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70ADD" w14:textId="77777777" w:rsidR="00B117BB" w:rsidRPr="00B117BB" w:rsidRDefault="00B117BB" w:rsidP="00B117BB">
      <w:pPr>
        <w:spacing w:after="0" w:line="240" w:lineRule="auto"/>
        <w:jc w:val="center"/>
        <w:rPr>
          <w:rFonts w:ascii="Cambria" w:eastAsia="Batang" w:hAnsi="Cambria" w:cs="Times New Roman"/>
          <w:b/>
          <w:color w:val="000000"/>
          <w:szCs w:val="21"/>
          <w:lang w:val="es-ES"/>
        </w:rPr>
      </w:pPr>
      <w:r w:rsidRPr="00B117BB">
        <w:rPr>
          <w:rFonts w:ascii="Cambria" w:eastAsia="Batang" w:hAnsi="Cambria" w:cs="Times New Roman"/>
          <w:b/>
          <w:color w:val="000000"/>
          <w:szCs w:val="21"/>
          <w:lang w:val="es-ES"/>
        </w:rPr>
        <w:t>COMISIÓN INTERAMERICANA DE DERECHOS HUMANOS</w:t>
      </w:r>
    </w:p>
    <w:p w14:paraId="2C089ED9" w14:textId="330FEA5C" w:rsidR="00B117BB" w:rsidRPr="00542EBF" w:rsidRDefault="00527571" w:rsidP="00B117BB">
      <w:pPr>
        <w:spacing w:after="0" w:line="240" w:lineRule="auto"/>
        <w:jc w:val="center"/>
        <w:rPr>
          <w:rFonts w:ascii="Cambria" w:eastAsia="Batang" w:hAnsi="Cambria" w:cs="Times New Roman"/>
          <w:b/>
          <w:color w:val="000000"/>
          <w:szCs w:val="21"/>
          <w:lang w:val="es-ES"/>
        </w:rPr>
      </w:pPr>
      <w:r>
        <w:rPr>
          <w:rFonts w:ascii="Cambria" w:eastAsia="Batang" w:hAnsi="Cambria" w:cs="Times New Roman"/>
          <w:b/>
          <w:color w:val="000000"/>
          <w:szCs w:val="21"/>
          <w:lang w:val="es-ES"/>
        </w:rPr>
        <w:t xml:space="preserve">RESOLUCIÓN </w:t>
      </w:r>
      <w:r w:rsidR="000D4F63">
        <w:rPr>
          <w:rFonts w:ascii="Cambria" w:eastAsia="Batang" w:hAnsi="Cambria" w:cs="Times New Roman"/>
          <w:b/>
          <w:color w:val="000000"/>
          <w:szCs w:val="21"/>
          <w:lang w:val="es-ES"/>
        </w:rPr>
        <w:t>8</w:t>
      </w:r>
      <w:r w:rsidR="00B117BB" w:rsidRPr="00542EBF">
        <w:rPr>
          <w:rFonts w:ascii="Cambria" w:eastAsia="Batang" w:hAnsi="Cambria" w:cs="Times New Roman"/>
          <w:b/>
          <w:color w:val="000000"/>
          <w:szCs w:val="21"/>
          <w:lang w:val="es-ES"/>
        </w:rPr>
        <w:t>/20</w:t>
      </w:r>
      <w:r w:rsidR="003B10E7">
        <w:rPr>
          <w:rFonts w:ascii="Cambria" w:eastAsia="Batang" w:hAnsi="Cambria" w:cs="Times New Roman"/>
          <w:b/>
          <w:color w:val="000000"/>
          <w:szCs w:val="21"/>
          <w:lang w:val="es-ES"/>
        </w:rPr>
        <w:t>20</w:t>
      </w:r>
    </w:p>
    <w:p w14:paraId="61C2A726" w14:textId="6CE5A062" w:rsidR="00B117BB" w:rsidRPr="00542EBF" w:rsidRDefault="00B117BB" w:rsidP="00B117BB">
      <w:pPr>
        <w:spacing w:after="0" w:line="240" w:lineRule="auto"/>
        <w:jc w:val="center"/>
        <w:rPr>
          <w:rFonts w:ascii="Cambria" w:eastAsia="Batang" w:hAnsi="Cambria" w:cs="Times New Roman"/>
          <w:color w:val="000000"/>
          <w:szCs w:val="21"/>
        </w:rPr>
      </w:pPr>
      <w:r w:rsidRPr="00542EBF">
        <w:rPr>
          <w:rFonts w:ascii="Cambria" w:eastAsia="Batang" w:hAnsi="Cambria" w:cs="Times New Roman"/>
          <w:color w:val="000000"/>
          <w:szCs w:val="21"/>
        </w:rPr>
        <w:t xml:space="preserve">Medida Cautelar No. </w:t>
      </w:r>
      <w:r w:rsidR="003B10E7">
        <w:rPr>
          <w:rFonts w:ascii="Cambria" w:eastAsia="Batang" w:hAnsi="Cambria" w:cs="Times New Roman"/>
          <w:color w:val="000000"/>
          <w:szCs w:val="21"/>
        </w:rPr>
        <w:t>1008-19</w:t>
      </w:r>
    </w:p>
    <w:p w14:paraId="03933F1D" w14:textId="77777777" w:rsidR="00B117BB" w:rsidRPr="00542EBF" w:rsidRDefault="00B117BB" w:rsidP="00B117BB">
      <w:pPr>
        <w:spacing w:after="0" w:line="240" w:lineRule="auto"/>
        <w:jc w:val="both"/>
        <w:rPr>
          <w:rFonts w:ascii="Cambria" w:eastAsia="Batang" w:hAnsi="Cambria" w:cs="Times New Roman"/>
          <w:color w:val="000000"/>
          <w:sz w:val="21"/>
          <w:szCs w:val="21"/>
        </w:rPr>
      </w:pPr>
    </w:p>
    <w:p w14:paraId="42E8FB00" w14:textId="06484B55" w:rsidR="00B117BB" w:rsidRPr="00542EBF" w:rsidRDefault="003B10E7" w:rsidP="00B117BB">
      <w:pPr>
        <w:spacing w:after="0" w:line="240" w:lineRule="auto"/>
        <w:jc w:val="center"/>
        <w:rPr>
          <w:rFonts w:ascii="Cambria" w:eastAsia="Batang" w:hAnsi="Cambria" w:cs="Times New Roman"/>
          <w:color w:val="000000"/>
          <w:sz w:val="26"/>
          <w:szCs w:val="26"/>
        </w:rPr>
      </w:pPr>
      <w:r>
        <w:rPr>
          <w:rFonts w:ascii="Cambria" w:eastAsia="Batang" w:hAnsi="Cambria" w:cs="Times New Roman"/>
          <w:color w:val="000000"/>
          <w:sz w:val="26"/>
          <w:szCs w:val="26"/>
        </w:rPr>
        <w:t>Alfonso y Alberto Alejandre Díaz</w:t>
      </w:r>
      <w:r w:rsidR="00B117BB" w:rsidRPr="00542EBF">
        <w:rPr>
          <w:rFonts w:ascii="Cambria" w:eastAsia="Batang" w:hAnsi="Cambria" w:cs="Times New Roman"/>
          <w:color w:val="000000"/>
          <w:sz w:val="26"/>
          <w:szCs w:val="26"/>
        </w:rPr>
        <w:t xml:space="preserve"> respecto de </w:t>
      </w:r>
      <w:r>
        <w:rPr>
          <w:rFonts w:ascii="Cambria" w:eastAsia="Batang" w:hAnsi="Cambria" w:cs="Times New Roman"/>
          <w:color w:val="000000"/>
          <w:sz w:val="26"/>
          <w:szCs w:val="26"/>
        </w:rPr>
        <w:t>México</w:t>
      </w:r>
      <w:r w:rsidR="00472D97">
        <w:rPr>
          <w:rStyle w:val="FootnoteReference"/>
          <w:rFonts w:ascii="Cambria" w:eastAsia="Batang" w:hAnsi="Cambria" w:cs="Times New Roman"/>
          <w:color w:val="000000"/>
          <w:sz w:val="26"/>
          <w:szCs w:val="26"/>
        </w:rPr>
        <w:footnoteReference w:id="1"/>
      </w:r>
    </w:p>
    <w:p w14:paraId="7EF20311" w14:textId="633BCDD3" w:rsidR="00B117BB" w:rsidRPr="00B117BB" w:rsidRDefault="000D4F63" w:rsidP="00B117BB">
      <w:pPr>
        <w:spacing w:after="0" w:line="240" w:lineRule="auto"/>
        <w:jc w:val="center"/>
        <w:rPr>
          <w:rFonts w:ascii="Cambria" w:eastAsia="Batang" w:hAnsi="Cambria" w:cs="Times New Roman"/>
          <w:color w:val="000000"/>
          <w:sz w:val="20"/>
          <w:szCs w:val="21"/>
          <w:lang w:val="es-ES"/>
        </w:rPr>
      </w:pPr>
      <w:r>
        <w:rPr>
          <w:rFonts w:ascii="Cambria" w:eastAsia="Batang" w:hAnsi="Cambria" w:cs="Times New Roman"/>
          <w:color w:val="000000"/>
          <w:sz w:val="20"/>
          <w:szCs w:val="21"/>
          <w:lang w:val="es-ES"/>
        </w:rPr>
        <w:t>5</w:t>
      </w:r>
      <w:r w:rsidR="00B117BB" w:rsidRPr="00542EBF">
        <w:rPr>
          <w:rFonts w:ascii="Cambria" w:eastAsia="Batang" w:hAnsi="Cambria" w:cs="Times New Roman"/>
          <w:color w:val="000000"/>
          <w:sz w:val="20"/>
          <w:szCs w:val="21"/>
          <w:lang w:val="es-ES"/>
        </w:rPr>
        <w:t xml:space="preserve"> de </w:t>
      </w:r>
      <w:r w:rsidR="00302DF0">
        <w:rPr>
          <w:rFonts w:ascii="Cambria" w:eastAsia="Batang" w:hAnsi="Cambria" w:cs="Times New Roman"/>
          <w:color w:val="000000"/>
          <w:sz w:val="20"/>
          <w:szCs w:val="21"/>
          <w:lang w:val="es-ES"/>
        </w:rPr>
        <w:t>febrero de 2020</w:t>
      </w:r>
    </w:p>
    <w:p w14:paraId="256C9BBD" w14:textId="77777777" w:rsidR="00B117BB" w:rsidRPr="00B117BB" w:rsidRDefault="00B117BB" w:rsidP="00B117BB">
      <w:pPr>
        <w:spacing w:after="0" w:line="240" w:lineRule="auto"/>
        <w:jc w:val="both"/>
        <w:rPr>
          <w:rFonts w:ascii="Cambria" w:eastAsia="Batang" w:hAnsi="Cambria" w:cs="Times New Roman"/>
          <w:color w:val="000000"/>
          <w:sz w:val="21"/>
          <w:szCs w:val="21"/>
          <w:lang w:val="es-ES"/>
        </w:rPr>
      </w:pPr>
    </w:p>
    <w:p w14:paraId="529F5F2D" w14:textId="77777777" w:rsidR="00B117BB" w:rsidRPr="00B117BB" w:rsidRDefault="00B117BB" w:rsidP="00B117BB">
      <w:pPr>
        <w:numPr>
          <w:ilvl w:val="0"/>
          <w:numId w:val="2"/>
        </w:numPr>
        <w:spacing w:after="0" w:line="240" w:lineRule="auto"/>
        <w:ind w:hanging="294"/>
        <w:jc w:val="both"/>
        <w:rPr>
          <w:rFonts w:ascii="Cambria" w:eastAsia="Batang" w:hAnsi="Cambria" w:cs="Times New Roman"/>
          <w:b/>
          <w:color w:val="000000"/>
          <w:sz w:val="21"/>
          <w:szCs w:val="21"/>
          <w:lang w:val="es-ES"/>
        </w:rPr>
      </w:pPr>
      <w:r w:rsidRPr="00B117BB">
        <w:rPr>
          <w:rFonts w:ascii="Cambria" w:eastAsia="Batang" w:hAnsi="Cambria" w:cs="Times New Roman"/>
          <w:b/>
          <w:color w:val="000000"/>
          <w:sz w:val="21"/>
          <w:szCs w:val="21"/>
          <w:lang w:val="es-ES"/>
        </w:rPr>
        <w:t>INTRODUCCIÓN</w:t>
      </w:r>
    </w:p>
    <w:p w14:paraId="4713200F" w14:textId="77777777" w:rsidR="00B117BB" w:rsidRPr="00B117BB" w:rsidRDefault="00B117BB" w:rsidP="00B117BB">
      <w:pPr>
        <w:spacing w:after="0" w:line="240" w:lineRule="auto"/>
        <w:ind w:left="720"/>
        <w:jc w:val="both"/>
        <w:rPr>
          <w:rFonts w:ascii="Cambria" w:eastAsia="Batang" w:hAnsi="Cambria" w:cs="Times New Roman"/>
          <w:b/>
          <w:color w:val="000000"/>
          <w:sz w:val="21"/>
          <w:szCs w:val="21"/>
          <w:lang w:val="es-ES"/>
        </w:rPr>
      </w:pPr>
    </w:p>
    <w:p w14:paraId="43C1A9B4" w14:textId="4E05B9BF" w:rsidR="00B117BB" w:rsidRPr="00B117BB" w:rsidRDefault="00B117BB" w:rsidP="00B117BB">
      <w:pPr>
        <w:numPr>
          <w:ilvl w:val="0"/>
          <w:numId w:val="3"/>
        </w:numPr>
        <w:spacing w:after="0" w:line="240" w:lineRule="auto"/>
        <w:ind w:left="0" w:firstLine="360"/>
        <w:jc w:val="both"/>
        <w:rPr>
          <w:rFonts w:ascii="Cambria" w:eastAsia="Batang" w:hAnsi="Cambria" w:cs="Times New Roman"/>
          <w:color w:val="000000"/>
          <w:sz w:val="21"/>
          <w:szCs w:val="21"/>
          <w:lang w:val="es-ES"/>
        </w:rPr>
      </w:pPr>
      <w:r w:rsidRPr="00B117BB">
        <w:rPr>
          <w:rFonts w:ascii="Cambria" w:eastAsia="Batang" w:hAnsi="Cambria" w:cs="Times New Roman"/>
          <w:color w:val="000000"/>
          <w:sz w:val="21"/>
          <w:szCs w:val="21"/>
          <w:lang w:val="es-ES"/>
        </w:rPr>
        <w:t xml:space="preserve">El </w:t>
      </w:r>
      <w:r w:rsidR="002C6DCB">
        <w:rPr>
          <w:rFonts w:ascii="Cambria" w:eastAsia="Batang" w:hAnsi="Cambria" w:cs="Times New Roman"/>
          <w:color w:val="000000"/>
          <w:sz w:val="21"/>
          <w:szCs w:val="21"/>
          <w:lang w:val="es-ES"/>
        </w:rPr>
        <w:t>25 de octubre de 2019</w:t>
      </w:r>
      <w:r w:rsidRPr="00B117BB">
        <w:rPr>
          <w:rFonts w:ascii="Cambria" w:eastAsia="Batang" w:hAnsi="Cambria" w:cs="Times New Roman"/>
          <w:color w:val="000000"/>
          <w:sz w:val="21"/>
          <w:szCs w:val="21"/>
          <w:lang w:val="es-ES"/>
        </w:rPr>
        <w:t xml:space="preserve">, la Comisión Interamericana de Derechos Humanos (“la Comisión Interamericana”, “la Comisión” o “la CIDH”) recibió una solicitud de medidas cautelares instando a la CIDH que requiera al Estado de </w:t>
      </w:r>
      <w:r w:rsidR="002C6DCB">
        <w:rPr>
          <w:rFonts w:ascii="Cambria" w:eastAsia="Batang" w:hAnsi="Cambria" w:cs="Times New Roman"/>
          <w:color w:val="000000"/>
          <w:sz w:val="21"/>
          <w:szCs w:val="21"/>
          <w:lang w:val="es-ES"/>
        </w:rPr>
        <w:t>México</w:t>
      </w:r>
      <w:r w:rsidRPr="00B117BB">
        <w:rPr>
          <w:rFonts w:ascii="Cambria" w:eastAsia="Batang" w:hAnsi="Cambria" w:cs="Times New Roman"/>
          <w:color w:val="000000"/>
          <w:sz w:val="21"/>
          <w:szCs w:val="21"/>
          <w:lang w:val="es-ES"/>
        </w:rPr>
        <w:t xml:space="preserve"> (“el Estado”</w:t>
      </w:r>
      <w:r w:rsidR="002C6DCB">
        <w:rPr>
          <w:rFonts w:ascii="Cambria" w:eastAsia="Batang" w:hAnsi="Cambria" w:cs="Times New Roman"/>
          <w:color w:val="000000"/>
          <w:sz w:val="21"/>
          <w:szCs w:val="21"/>
          <w:lang w:val="es-ES"/>
        </w:rPr>
        <w:t xml:space="preserve"> o “México”</w:t>
      </w:r>
      <w:r w:rsidRPr="00B117BB">
        <w:rPr>
          <w:rFonts w:ascii="Cambria" w:eastAsia="Batang" w:hAnsi="Cambria" w:cs="Times New Roman"/>
          <w:color w:val="000000"/>
          <w:sz w:val="21"/>
          <w:szCs w:val="21"/>
          <w:lang w:val="es-ES"/>
        </w:rPr>
        <w:t xml:space="preserve">) la adopción de las medidas necesarias para </w:t>
      </w:r>
      <w:r w:rsidR="002C6DCB">
        <w:rPr>
          <w:rFonts w:ascii="Cambria" w:eastAsia="Batang" w:hAnsi="Cambria" w:cs="Times New Roman"/>
          <w:color w:val="000000"/>
          <w:sz w:val="21"/>
          <w:szCs w:val="21"/>
          <w:lang w:val="es-ES"/>
        </w:rPr>
        <w:t xml:space="preserve">garantizar los derechos de los </w:t>
      </w:r>
      <w:r w:rsidR="00C67EB7">
        <w:rPr>
          <w:rFonts w:ascii="Cambria" w:eastAsia="Batang" w:hAnsi="Cambria" w:cs="Times New Roman"/>
          <w:color w:val="000000"/>
          <w:sz w:val="21"/>
          <w:szCs w:val="21"/>
          <w:lang w:val="es-ES"/>
        </w:rPr>
        <w:t>hermanos</w:t>
      </w:r>
      <w:r w:rsidR="008C22F4">
        <w:rPr>
          <w:rFonts w:ascii="Cambria" w:eastAsia="Batang" w:hAnsi="Cambria" w:cs="Times New Roman"/>
          <w:color w:val="000000"/>
          <w:sz w:val="21"/>
          <w:szCs w:val="21"/>
          <w:lang w:val="es-ES"/>
        </w:rPr>
        <w:t xml:space="preserve"> </w:t>
      </w:r>
      <w:r w:rsidR="008C22F4" w:rsidRPr="008C22F4">
        <w:rPr>
          <w:rFonts w:ascii="Cambria" w:eastAsia="Batang" w:hAnsi="Cambria" w:cs="Times New Roman"/>
          <w:color w:val="000000"/>
          <w:sz w:val="21"/>
          <w:szCs w:val="21"/>
        </w:rPr>
        <w:t xml:space="preserve">Alfonso </w:t>
      </w:r>
      <w:r w:rsidR="003102F2" w:rsidRPr="003102F2">
        <w:rPr>
          <w:rFonts w:ascii="Cambria" w:eastAsia="Batang" w:hAnsi="Cambria" w:cs="Times New Roman"/>
          <w:color w:val="000000"/>
          <w:sz w:val="21"/>
          <w:szCs w:val="21"/>
        </w:rPr>
        <w:t xml:space="preserve">Alejandre Díaz </w:t>
      </w:r>
      <w:r w:rsidR="008C22F4" w:rsidRPr="008C22F4">
        <w:rPr>
          <w:rFonts w:ascii="Cambria" w:eastAsia="Batang" w:hAnsi="Cambria" w:cs="Times New Roman"/>
          <w:color w:val="000000"/>
          <w:sz w:val="21"/>
          <w:szCs w:val="21"/>
        </w:rPr>
        <w:t>y Alberto Alejandre Díaz</w:t>
      </w:r>
      <w:r w:rsidR="008C22F4" w:rsidRPr="008C22F4">
        <w:rPr>
          <w:rFonts w:ascii="Cambria" w:eastAsia="Batang" w:hAnsi="Cambria" w:cs="Times New Roman"/>
          <w:color w:val="000000"/>
          <w:sz w:val="21"/>
          <w:szCs w:val="21"/>
          <w:lang w:val="es-ES"/>
        </w:rPr>
        <w:t xml:space="preserve"> (“los propuestos beneficiarios</w:t>
      </w:r>
      <w:r w:rsidR="008C22F4">
        <w:rPr>
          <w:rFonts w:ascii="Cambria" w:eastAsia="Batang" w:hAnsi="Cambria" w:cs="Times New Roman"/>
          <w:color w:val="000000"/>
          <w:sz w:val="21"/>
          <w:szCs w:val="21"/>
          <w:lang w:val="es-ES"/>
        </w:rPr>
        <w:t xml:space="preserve">”). Según la solicitud, los propuestos beneficiarios </w:t>
      </w:r>
      <w:r w:rsidR="00472D97">
        <w:rPr>
          <w:rFonts w:ascii="Cambria" w:eastAsia="Batang" w:hAnsi="Cambria" w:cs="Times New Roman"/>
          <w:color w:val="000000"/>
          <w:sz w:val="21"/>
          <w:szCs w:val="21"/>
          <w:lang w:val="es-ES"/>
        </w:rPr>
        <w:t xml:space="preserve">están </w:t>
      </w:r>
      <w:r w:rsidR="008C22F4">
        <w:rPr>
          <w:rFonts w:ascii="Cambria" w:eastAsia="Batang" w:hAnsi="Cambria" w:cs="Times New Roman"/>
          <w:color w:val="000000"/>
          <w:sz w:val="21"/>
          <w:szCs w:val="21"/>
          <w:lang w:val="es-ES"/>
        </w:rPr>
        <w:t>desaparecidos desde el 22 de marzo de 2019</w:t>
      </w:r>
      <w:r w:rsidR="008A3F43">
        <w:rPr>
          <w:rFonts w:ascii="Cambria" w:eastAsia="Batang" w:hAnsi="Cambria" w:cs="Times New Roman"/>
          <w:color w:val="000000"/>
          <w:sz w:val="21"/>
          <w:szCs w:val="21"/>
          <w:lang w:val="es-ES"/>
        </w:rPr>
        <w:t>.</w:t>
      </w:r>
    </w:p>
    <w:p w14:paraId="77983874" w14:textId="77777777" w:rsidR="00B117BB" w:rsidRPr="00B117BB" w:rsidRDefault="00B117BB" w:rsidP="00B117BB">
      <w:pPr>
        <w:spacing w:after="0" w:line="240" w:lineRule="auto"/>
        <w:jc w:val="both"/>
        <w:rPr>
          <w:rFonts w:ascii="Cambria" w:eastAsia="Batang" w:hAnsi="Cambria" w:cs="Times New Roman"/>
          <w:color w:val="000000"/>
          <w:sz w:val="21"/>
          <w:szCs w:val="21"/>
          <w:lang w:val="es-ES"/>
        </w:rPr>
      </w:pPr>
    </w:p>
    <w:p w14:paraId="25BAA0B8" w14:textId="3D95CC32" w:rsidR="00B117BB" w:rsidRPr="00B117BB" w:rsidRDefault="00B117BB" w:rsidP="00B117BB">
      <w:pPr>
        <w:numPr>
          <w:ilvl w:val="0"/>
          <w:numId w:val="3"/>
        </w:numPr>
        <w:spacing w:after="0" w:line="240" w:lineRule="auto"/>
        <w:ind w:left="0" w:firstLine="360"/>
        <w:jc w:val="both"/>
        <w:rPr>
          <w:rFonts w:ascii="Cambria" w:eastAsia="Batang" w:hAnsi="Cambria" w:cs="Times New Roman"/>
          <w:color w:val="000000"/>
          <w:sz w:val="21"/>
          <w:szCs w:val="21"/>
          <w:lang w:val="es-ES"/>
        </w:rPr>
      </w:pPr>
      <w:r w:rsidRPr="00B117BB">
        <w:rPr>
          <w:rFonts w:ascii="Cambria" w:eastAsia="Batang" w:hAnsi="Cambria" w:cs="Times New Roman"/>
          <w:color w:val="000000"/>
          <w:sz w:val="21"/>
          <w:szCs w:val="21"/>
          <w:lang w:val="es-ES"/>
        </w:rPr>
        <w:t>La Comisión solicitó información al Estado, conforme al artículo 25 de su Reglamento</w:t>
      </w:r>
      <w:r w:rsidR="0082209E">
        <w:rPr>
          <w:rFonts w:ascii="Cambria" w:eastAsia="Batang" w:hAnsi="Cambria" w:cs="Times New Roman"/>
          <w:color w:val="000000"/>
          <w:sz w:val="21"/>
          <w:szCs w:val="21"/>
          <w:lang w:val="es-ES"/>
        </w:rPr>
        <w:t>,</w:t>
      </w:r>
      <w:r w:rsidR="008A3F43">
        <w:rPr>
          <w:rFonts w:ascii="Cambria" w:eastAsia="Batang" w:hAnsi="Cambria" w:cs="Times New Roman"/>
          <w:color w:val="000000"/>
          <w:sz w:val="21"/>
          <w:szCs w:val="21"/>
          <w:lang w:val="es-ES"/>
        </w:rPr>
        <w:t xml:space="preserve"> el 13</w:t>
      </w:r>
      <w:r w:rsidRPr="00B117BB">
        <w:rPr>
          <w:rFonts w:ascii="Cambria" w:eastAsia="Batang" w:hAnsi="Cambria" w:cs="Times New Roman"/>
          <w:color w:val="000000"/>
          <w:sz w:val="21"/>
          <w:szCs w:val="21"/>
          <w:lang w:val="es-ES"/>
        </w:rPr>
        <w:t xml:space="preserve"> de</w:t>
      </w:r>
      <w:r w:rsidR="0082209E">
        <w:rPr>
          <w:rFonts w:ascii="Cambria" w:eastAsia="Batang" w:hAnsi="Cambria" w:cs="Times New Roman"/>
          <w:color w:val="000000"/>
          <w:sz w:val="21"/>
          <w:szCs w:val="21"/>
          <w:lang w:val="es-ES"/>
        </w:rPr>
        <w:t xml:space="preserve"> </w:t>
      </w:r>
      <w:r w:rsidR="008A3F43">
        <w:rPr>
          <w:rFonts w:ascii="Cambria" w:eastAsia="Batang" w:hAnsi="Cambria" w:cs="Times New Roman"/>
          <w:color w:val="000000"/>
          <w:sz w:val="21"/>
          <w:szCs w:val="21"/>
          <w:lang w:val="es-ES"/>
        </w:rPr>
        <w:t>enero</w:t>
      </w:r>
      <w:r w:rsidRPr="00B117BB">
        <w:rPr>
          <w:rFonts w:ascii="Cambria" w:eastAsia="Batang" w:hAnsi="Cambria" w:cs="Times New Roman"/>
          <w:color w:val="000000"/>
          <w:sz w:val="21"/>
          <w:szCs w:val="21"/>
          <w:lang w:val="es-ES"/>
        </w:rPr>
        <w:t xml:space="preserve"> de 20</w:t>
      </w:r>
      <w:r w:rsidR="008A3F43">
        <w:rPr>
          <w:rFonts w:ascii="Cambria" w:eastAsia="Batang" w:hAnsi="Cambria" w:cs="Times New Roman"/>
          <w:color w:val="000000"/>
          <w:sz w:val="21"/>
          <w:szCs w:val="21"/>
          <w:lang w:val="es-ES"/>
        </w:rPr>
        <w:t>20</w:t>
      </w:r>
      <w:r w:rsidR="0082209E">
        <w:rPr>
          <w:rFonts w:ascii="Cambria" w:eastAsia="Batang" w:hAnsi="Cambria" w:cs="Times New Roman"/>
          <w:color w:val="000000"/>
          <w:sz w:val="21"/>
          <w:szCs w:val="21"/>
          <w:lang w:val="es-ES"/>
        </w:rPr>
        <w:t>, el</w:t>
      </w:r>
      <w:r w:rsidRPr="00B117BB">
        <w:rPr>
          <w:rFonts w:ascii="Cambria" w:eastAsia="Batang" w:hAnsi="Cambria" w:cs="Times New Roman"/>
          <w:color w:val="000000"/>
          <w:sz w:val="21"/>
          <w:szCs w:val="21"/>
          <w:lang w:val="es-ES"/>
        </w:rPr>
        <w:t xml:space="preserve"> cual contestó el </w:t>
      </w:r>
      <w:r w:rsidR="008A3F43">
        <w:rPr>
          <w:rFonts w:ascii="Cambria" w:eastAsia="Batang" w:hAnsi="Cambria" w:cs="Times New Roman"/>
          <w:color w:val="000000"/>
          <w:sz w:val="21"/>
          <w:szCs w:val="21"/>
          <w:lang w:val="es-ES"/>
        </w:rPr>
        <w:t>22 de enero</w:t>
      </w:r>
      <w:r w:rsidR="0082209E">
        <w:rPr>
          <w:rFonts w:ascii="Cambria" w:eastAsia="Batang" w:hAnsi="Cambria" w:cs="Times New Roman"/>
          <w:color w:val="000000"/>
          <w:sz w:val="21"/>
          <w:szCs w:val="21"/>
          <w:lang w:val="es-ES"/>
        </w:rPr>
        <w:t xml:space="preserve"> de</w:t>
      </w:r>
      <w:r w:rsidRPr="00B117BB">
        <w:rPr>
          <w:rFonts w:ascii="Cambria" w:eastAsia="Batang" w:hAnsi="Cambria" w:cs="Times New Roman"/>
          <w:color w:val="000000"/>
          <w:sz w:val="21"/>
          <w:szCs w:val="21"/>
          <w:lang w:val="es-ES"/>
        </w:rPr>
        <w:t xml:space="preserve"> 20</w:t>
      </w:r>
      <w:r w:rsidR="008A3F43">
        <w:rPr>
          <w:rFonts w:ascii="Cambria" w:eastAsia="Batang" w:hAnsi="Cambria" w:cs="Times New Roman"/>
          <w:color w:val="000000"/>
          <w:sz w:val="21"/>
          <w:szCs w:val="21"/>
          <w:lang w:val="es-ES"/>
        </w:rPr>
        <w:t>20</w:t>
      </w:r>
      <w:r w:rsidRPr="00B117BB">
        <w:rPr>
          <w:rFonts w:ascii="Cambria" w:eastAsia="Batang" w:hAnsi="Cambria" w:cs="Times New Roman"/>
          <w:color w:val="000000"/>
          <w:sz w:val="21"/>
          <w:szCs w:val="21"/>
          <w:lang w:val="es-ES"/>
        </w:rPr>
        <w:t xml:space="preserve">. Por otra parte, los solicitantes </w:t>
      </w:r>
      <w:r w:rsidR="00006643">
        <w:rPr>
          <w:rFonts w:ascii="Cambria" w:eastAsia="Batang" w:hAnsi="Cambria" w:cs="Times New Roman"/>
          <w:color w:val="000000"/>
          <w:sz w:val="21"/>
          <w:szCs w:val="21"/>
          <w:lang w:val="es-ES"/>
        </w:rPr>
        <w:t xml:space="preserve">siguieron </w:t>
      </w:r>
      <w:r w:rsidRPr="00B117BB">
        <w:rPr>
          <w:rFonts w:ascii="Cambria" w:eastAsia="Batang" w:hAnsi="Cambria" w:cs="Times New Roman"/>
          <w:color w:val="000000"/>
          <w:sz w:val="21"/>
          <w:szCs w:val="21"/>
          <w:lang w:val="es-ES"/>
        </w:rPr>
        <w:t>envia</w:t>
      </w:r>
      <w:r w:rsidR="00006643">
        <w:rPr>
          <w:rFonts w:ascii="Cambria" w:eastAsia="Batang" w:hAnsi="Cambria" w:cs="Times New Roman"/>
          <w:color w:val="000000"/>
          <w:sz w:val="21"/>
          <w:szCs w:val="21"/>
          <w:lang w:val="es-ES"/>
        </w:rPr>
        <w:t>ndo</w:t>
      </w:r>
      <w:r w:rsidRPr="00B117BB">
        <w:rPr>
          <w:rFonts w:ascii="Cambria" w:eastAsia="Batang" w:hAnsi="Cambria" w:cs="Times New Roman"/>
          <w:color w:val="000000"/>
          <w:sz w:val="21"/>
          <w:szCs w:val="21"/>
          <w:lang w:val="es-ES"/>
        </w:rPr>
        <w:t xml:space="preserve"> información adicional</w:t>
      </w:r>
      <w:r w:rsidR="00006643">
        <w:rPr>
          <w:rFonts w:ascii="Cambria" w:eastAsia="Batang" w:hAnsi="Cambria" w:cs="Times New Roman"/>
          <w:color w:val="000000"/>
          <w:sz w:val="21"/>
          <w:szCs w:val="21"/>
          <w:lang w:val="es-ES"/>
        </w:rPr>
        <w:t>, siendo la de fecha más reciente en</w:t>
      </w:r>
      <w:r w:rsidRPr="00B117BB">
        <w:rPr>
          <w:rFonts w:ascii="Cambria" w:eastAsia="Batang" w:hAnsi="Cambria" w:cs="Times New Roman"/>
          <w:color w:val="000000"/>
          <w:sz w:val="21"/>
          <w:szCs w:val="21"/>
          <w:lang w:val="es-ES"/>
        </w:rPr>
        <w:t xml:space="preserve"> </w:t>
      </w:r>
      <w:r w:rsidR="008A3F43">
        <w:rPr>
          <w:rFonts w:ascii="Cambria" w:eastAsia="Batang" w:hAnsi="Cambria" w:cs="Times New Roman"/>
          <w:color w:val="000000"/>
          <w:sz w:val="21"/>
          <w:szCs w:val="21"/>
          <w:lang w:val="es-ES"/>
        </w:rPr>
        <w:t>el 19 de enero de 2020</w:t>
      </w:r>
      <w:r w:rsidRPr="00B117BB">
        <w:rPr>
          <w:rFonts w:ascii="Cambria" w:eastAsia="Batang" w:hAnsi="Cambria" w:cs="Times New Roman"/>
          <w:color w:val="000000"/>
          <w:sz w:val="21"/>
          <w:szCs w:val="21"/>
          <w:lang w:val="es-ES"/>
        </w:rPr>
        <w:t>.</w:t>
      </w:r>
    </w:p>
    <w:p w14:paraId="03B47FF3" w14:textId="77777777" w:rsidR="00B117BB" w:rsidRPr="00B117BB" w:rsidRDefault="00B117BB" w:rsidP="00B117BB">
      <w:pPr>
        <w:spacing w:after="0" w:line="240" w:lineRule="auto"/>
        <w:jc w:val="both"/>
        <w:rPr>
          <w:rFonts w:ascii="Cambria" w:eastAsia="Batang" w:hAnsi="Cambria" w:cs="Times New Roman"/>
          <w:color w:val="000000"/>
          <w:sz w:val="21"/>
          <w:szCs w:val="21"/>
          <w:lang w:val="es-ES"/>
        </w:rPr>
      </w:pPr>
    </w:p>
    <w:p w14:paraId="3E9D3D3B" w14:textId="2202EAF6" w:rsidR="00B117BB" w:rsidRPr="003102F2" w:rsidRDefault="00B117BB" w:rsidP="003102F2">
      <w:pPr>
        <w:numPr>
          <w:ilvl w:val="0"/>
          <w:numId w:val="3"/>
        </w:numPr>
        <w:spacing w:after="0" w:line="240" w:lineRule="auto"/>
        <w:ind w:left="0" w:firstLine="360"/>
        <w:contextualSpacing/>
        <w:jc w:val="both"/>
        <w:rPr>
          <w:rFonts w:ascii="Cambria" w:eastAsia="Batang" w:hAnsi="Cambria" w:cs="Times New Roman"/>
          <w:color w:val="000000"/>
          <w:sz w:val="21"/>
          <w:szCs w:val="21"/>
        </w:rPr>
      </w:pPr>
      <w:r w:rsidRPr="008A3F43">
        <w:rPr>
          <w:rFonts w:ascii="Cambria" w:eastAsia="Batang" w:hAnsi="Cambria" w:cs="Times New Roman"/>
          <w:color w:val="000000"/>
          <w:sz w:val="21"/>
          <w:szCs w:val="21"/>
          <w:lang w:val="es-ES"/>
        </w:rPr>
        <w:t xml:space="preserve">Tras analizar las alegaciones de hecho y de derecho presentadas por las partes, la Comisión considera que la información presentada demuestra </w:t>
      </w:r>
      <w:r w:rsidRPr="008A3F43">
        <w:rPr>
          <w:rFonts w:ascii="Cambria" w:eastAsia="Batang" w:hAnsi="Cambria" w:cs="Times New Roman"/>
          <w:i/>
          <w:color w:val="000000"/>
          <w:sz w:val="21"/>
          <w:szCs w:val="21"/>
          <w:lang w:val="es-ES"/>
        </w:rPr>
        <w:t>prima facie</w:t>
      </w:r>
      <w:r w:rsidRPr="008A3F43">
        <w:rPr>
          <w:rFonts w:ascii="Cambria" w:eastAsia="Batang" w:hAnsi="Cambria" w:cs="Times New Roman"/>
          <w:color w:val="000000"/>
          <w:sz w:val="21"/>
          <w:szCs w:val="21"/>
          <w:lang w:val="es-ES"/>
        </w:rPr>
        <w:t xml:space="preserve"> que </w:t>
      </w:r>
      <w:r w:rsidR="009664F2" w:rsidRPr="008A3F43">
        <w:rPr>
          <w:rFonts w:ascii="Cambria" w:eastAsia="Batang" w:hAnsi="Cambria" w:cs="Times New Roman"/>
          <w:color w:val="000000"/>
          <w:sz w:val="21"/>
          <w:szCs w:val="21"/>
          <w:lang w:val="es-ES"/>
        </w:rPr>
        <w:t>l</w:t>
      </w:r>
      <w:r w:rsidR="008A3F43" w:rsidRPr="008A3F43">
        <w:rPr>
          <w:rFonts w:ascii="Cambria" w:eastAsia="Batang" w:hAnsi="Cambria" w:cs="Times New Roman"/>
          <w:color w:val="000000"/>
          <w:sz w:val="21"/>
          <w:szCs w:val="21"/>
          <w:lang w:val="es-ES"/>
        </w:rPr>
        <w:t>o</w:t>
      </w:r>
      <w:r w:rsidR="009664F2" w:rsidRPr="008A3F43">
        <w:rPr>
          <w:rFonts w:ascii="Cambria" w:eastAsia="Batang" w:hAnsi="Cambria" w:cs="Times New Roman"/>
          <w:color w:val="000000"/>
          <w:sz w:val="21"/>
          <w:szCs w:val="21"/>
          <w:lang w:val="es-ES"/>
        </w:rPr>
        <w:t>s beneficiari</w:t>
      </w:r>
      <w:r w:rsidR="008A3F43" w:rsidRPr="008A3F43">
        <w:rPr>
          <w:rFonts w:ascii="Cambria" w:eastAsia="Batang" w:hAnsi="Cambria" w:cs="Times New Roman"/>
          <w:color w:val="000000"/>
          <w:sz w:val="21"/>
          <w:szCs w:val="21"/>
          <w:lang w:val="es-ES"/>
        </w:rPr>
        <w:t>o</w:t>
      </w:r>
      <w:r w:rsidR="009664F2" w:rsidRPr="008A3F43">
        <w:rPr>
          <w:rFonts w:ascii="Cambria" w:eastAsia="Batang" w:hAnsi="Cambria" w:cs="Times New Roman"/>
          <w:color w:val="000000"/>
          <w:sz w:val="21"/>
          <w:szCs w:val="21"/>
          <w:lang w:val="es-ES"/>
        </w:rPr>
        <w:t>s</w:t>
      </w:r>
      <w:r w:rsidRPr="008A3F43">
        <w:rPr>
          <w:rFonts w:ascii="Cambria" w:eastAsia="Batang" w:hAnsi="Cambria" w:cs="Times New Roman"/>
          <w:color w:val="000000"/>
          <w:sz w:val="21"/>
          <w:szCs w:val="21"/>
          <w:lang w:val="es-ES"/>
        </w:rPr>
        <w:t xml:space="preserve"> se encuentran en una situación de gravedad y urgencia, puesto que sus derechos a la vida e integridad personal están en grave riesgo. En consecuencia, de acuerdo con el Artículo 25 del Reglamento de la CIDH, </w:t>
      </w:r>
      <w:r w:rsidR="00472D97">
        <w:rPr>
          <w:rFonts w:ascii="Cambria" w:eastAsia="Batang" w:hAnsi="Cambria" w:cs="Times New Roman"/>
          <w:color w:val="000000"/>
          <w:sz w:val="21"/>
          <w:szCs w:val="21"/>
          <w:lang w:val="es-ES"/>
        </w:rPr>
        <w:t>esta</w:t>
      </w:r>
      <w:r w:rsidRPr="008A3F43">
        <w:rPr>
          <w:rFonts w:ascii="Cambria" w:eastAsia="Batang" w:hAnsi="Cambria" w:cs="Times New Roman"/>
          <w:color w:val="000000"/>
          <w:sz w:val="21"/>
          <w:szCs w:val="21"/>
          <w:lang w:val="es-ES"/>
        </w:rPr>
        <w:t xml:space="preserve"> solicita a </w:t>
      </w:r>
      <w:r w:rsidR="008A3F43" w:rsidRPr="008A3F43">
        <w:rPr>
          <w:rFonts w:ascii="Cambria" w:eastAsia="Batang" w:hAnsi="Cambria" w:cs="Times New Roman"/>
          <w:color w:val="000000"/>
          <w:sz w:val="21"/>
          <w:szCs w:val="21"/>
          <w:lang w:val="es-ES"/>
        </w:rPr>
        <w:t>México</w:t>
      </w:r>
      <w:r w:rsidRPr="008A3F43">
        <w:rPr>
          <w:rFonts w:ascii="Cambria" w:eastAsia="Batang" w:hAnsi="Cambria" w:cs="Times New Roman"/>
          <w:color w:val="000000"/>
          <w:sz w:val="21"/>
          <w:szCs w:val="21"/>
          <w:lang w:val="es-ES"/>
        </w:rPr>
        <w:t xml:space="preserve"> que: </w:t>
      </w:r>
      <w:r w:rsidR="008A3F43" w:rsidRPr="008A3F43">
        <w:rPr>
          <w:rFonts w:ascii="Cambria" w:eastAsia="Batang" w:hAnsi="Cambria" w:cs="Times New Roman"/>
          <w:color w:val="000000"/>
          <w:sz w:val="21"/>
          <w:szCs w:val="21"/>
        </w:rPr>
        <w:t>a) adopte las medidas necesarias para deter</w:t>
      </w:r>
      <w:r w:rsidR="008A3F43">
        <w:rPr>
          <w:rFonts w:ascii="Cambria" w:eastAsia="Batang" w:hAnsi="Cambria" w:cs="Times New Roman"/>
          <w:color w:val="000000"/>
          <w:sz w:val="21"/>
          <w:szCs w:val="21"/>
        </w:rPr>
        <w:t xml:space="preserve">minar el paradero o destino de los </w:t>
      </w:r>
      <w:r w:rsidR="008A3F43" w:rsidRPr="008A3F43">
        <w:rPr>
          <w:rFonts w:ascii="Cambria" w:eastAsia="Batang" w:hAnsi="Cambria" w:cs="Times New Roman"/>
          <w:color w:val="000000"/>
          <w:sz w:val="21"/>
          <w:szCs w:val="21"/>
        </w:rPr>
        <w:t>señor</w:t>
      </w:r>
      <w:r w:rsidR="008A3F43">
        <w:rPr>
          <w:rFonts w:ascii="Cambria" w:eastAsia="Batang" w:hAnsi="Cambria" w:cs="Times New Roman"/>
          <w:color w:val="000000"/>
          <w:sz w:val="21"/>
          <w:szCs w:val="21"/>
        </w:rPr>
        <w:t>es</w:t>
      </w:r>
      <w:r w:rsidR="008A3F43" w:rsidRPr="008A3F43">
        <w:rPr>
          <w:rFonts w:ascii="Cambria" w:eastAsia="Batang" w:hAnsi="Cambria" w:cs="Times New Roman"/>
          <w:color w:val="000000"/>
          <w:sz w:val="21"/>
          <w:szCs w:val="21"/>
        </w:rPr>
        <w:t xml:space="preserve"> </w:t>
      </w:r>
      <w:r w:rsidR="003102F2" w:rsidRPr="003102F2">
        <w:rPr>
          <w:rFonts w:ascii="Cambria" w:eastAsia="Batang" w:hAnsi="Cambria" w:cs="Times New Roman"/>
          <w:color w:val="000000"/>
          <w:sz w:val="21"/>
          <w:szCs w:val="21"/>
        </w:rPr>
        <w:t>Alfonso Alejandre Díaz y Alberto Alejandre Díaz</w:t>
      </w:r>
      <w:r w:rsidR="008A3F43" w:rsidRPr="008A3F43">
        <w:rPr>
          <w:rFonts w:ascii="Cambria" w:eastAsia="Batang" w:hAnsi="Cambria" w:cs="Times New Roman"/>
          <w:color w:val="000000"/>
          <w:sz w:val="21"/>
          <w:szCs w:val="21"/>
        </w:rPr>
        <w:t>, con el fin de proteger sus derechos a la vida e integridad personal; b) concierte las medidas a adoptarse con los representantes de</w:t>
      </w:r>
      <w:r w:rsidR="00472D97">
        <w:rPr>
          <w:rFonts w:ascii="Cambria" w:eastAsia="Batang" w:hAnsi="Cambria" w:cs="Times New Roman"/>
          <w:color w:val="000000"/>
          <w:sz w:val="21"/>
          <w:szCs w:val="21"/>
        </w:rPr>
        <w:t xml:space="preserve"> </w:t>
      </w:r>
      <w:r w:rsidR="008A3F43" w:rsidRPr="008A3F43">
        <w:rPr>
          <w:rFonts w:ascii="Cambria" w:eastAsia="Batang" w:hAnsi="Cambria" w:cs="Times New Roman"/>
          <w:color w:val="000000"/>
          <w:sz w:val="21"/>
          <w:szCs w:val="21"/>
        </w:rPr>
        <w:t>l</w:t>
      </w:r>
      <w:r w:rsidR="00472D97">
        <w:rPr>
          <w:rFonts w:ascii="Cambria" w:eastAsia="Batang" w:hAnsi="Cambria" w:cs="Times New Roman"/>
          <w:color w:val="000000"/>
          <w:sz w:val="21"/>
          <w:szCs w:val="21"/>
        </w:rPr>
        <w:t>os</w:t>
      </w:r>
      <w:r w:rsidR="008A3F43" w:rsidRPr="008A3F43">
        <w:rPr>
          <w:rFonts w:ascii="Cambria" w:eastAsia="Batang" w:hAnsi="Cambria" w:cs="Times New Roman"/>
          <w:color w:val="000000"/>
          <w:sz w:val="21"/>
          <w:szCs w:val="21"/>
        </w:rPr>
        <w:t xml:space="preserve"> beneficiario</w:t>
      </w:r>
      <w:r w:rsidR="00472D97">
        <w:rPr>
          <w:rFonts w:ascii="Cambria" w:eastAsia="Batang" w:hAnsi="Cambria" w:cs="Times New Roman"/>
          <w:color w:val="000000"/>
          <w:sz w:val="21"/>
          <w:szCs w:val="21"/>
        </w:rPr>
        <w:t>s</w:t>
      </w:r>
      <w:r w:rsidR="008A3F43" w:rsidRPr="008A3F43">
        <w:rPr>
          <w:rFonts w:ascii="Cambria" w:eastAsia="Batang" w:hAnsi="Cambria" w:cs="Times New Roman"/>
          <w:color w:val="000000"/>
          <w:sz w:val="21"/>
          <w:szCs w:val="21"/>
        </w:rPr>
        <w:t>; y c) informe sobre las acciones tendentes a investigar los hechos que dieron lugar a la adopción de la presente medida cautelar y así evitar su</w:t>
      </w:r>
      <w:r w:rsidR="003102F2">
        <w:rPr>
          <w:rFonts w:ascii="Cambria" w:eastAsia="Batang" w:hAnsi="Cambria" w:cs="Times New Roman"/>
          <w:color w:val="000000"/>
          <w:sz w:val="21"/>
          <w:szCs w:val="21"/>
        </w:rPr>
        <w:t xml:space="preserve"> repetición.</w:t>
      </w:r>
    </w:p>
    <w:p w14:paraId="3142E3DD" w14:textId="77777777" w:rsidR="00B117BB" w:rsidRPr="00B117BB" w:rsidRDefault="00B117BB" w:rsidP="00B117BB">
      <w:pPr>
        <w:spacing w:after="0" w:line="240" w:lineRule="auto"/>
        <w:jc w:val="both"/>
        <w:rPr>
          <w:rFonts w:ascii="Cambria" w:eastAsia="Batang" w:hAnsi="Cambria" w:cs="Times New Roman"/>
          <w:color w:val="000000"/>
          <w:sz w:val="21"/>
          <w:szCs w:val="21"/>
          <w:lang w:val="es-ES"/>
        </w:rPr>
      </w:pPr>
    </w:p>
    <w:p w14:paraId="6E2C708C" w14:textId="4B800BB7" w:rsidR="00B117BB" w:rsidRPr="00B117BB" w:rsidRDefault="006574B3" w:rsidP="00B117BB">
      <w:pPr>
        <w:numPr>
          <w:ilvl w:val="0"/>
          <w:numId w:val="2"/>
        </w:numPr>
        <w:spacing w:after="0" w:line="240" w:lineRule="auto"/>
        <w:ind w:hanging="294"/>
        <w:jc w:val="both"/>
        <w:rPr>
          <w:rFonts w:ascii="Cambria" w:eastAsia="Batang" w:hAnsi="Cambria" w:cs="Times New Roman"/>
          <w:b/>
          <w:color w:val="000000"/>
          <w:sz w:val="21"/>
          <w:szCs w:val="21"/>
          <w:lang w:val="es-ES"/>
        </w:rPr>
      </w:pPr>
      <w:r>
        <w:rPr>
          <w:rFonts w:ascii="Cambria" w:eastAsia="Batang" w:hAnsi="Cambria" w:cs="Times New Roman"/>
          <w:b/>
          <w:color w:val="000000"/>
          <w:sz w:val="21"/>
          <w:szCs w:val="21"/>
          <w:lang w:val="es-ES"/>
        </w:rPr>
        <w:t>RESUMEN DE HECHOS Y ARGUMENTOS</w:t>
      </w:r>
    </w:p>
    <w:p w14:paraId="39E68DD7" w14:textId="77777777" w:rsidR="00B117BB" w:rsidRPr="00B117BB" w:rsidRDefault="00B117BB" w:rsidP="00B117BB">
      <w:pPr>
        <w:spacing w:after="0" w:line="240" w:lineRule="auto"/>
        <w:jc w:val="both"/>
        <w:rPr>
          <w:rFonts w:ascii="Cambria" w:eastAsia="Batang" w:hAnsi="Cambria" w:cs="Times New Roman"/>
          <w:color w:val="000000"/>
          <w:sz w:val="21"/>
          <w:szCs w:val="21"/>
          <w:lang w:val="es-ES"/>
        </w:rPr>
      </w:pPr>
    </w:p>
    <w:p w14:paraId="5CDC48FF" w14:textId="77777777" w:rsidR="00B117BB" w:rsidRPr="00B117BB" w:rsidRDefault="00B117BB" w:rsidP="00B117BB">
      <w:pPr>
        <w:numPr>
          <w:ilvl w:val="0"/>
          <w:numId w:val="4"/>
        </w:numPr>
        <w:spacing w:after="0" w:line="240" w:lineRule="auto"/>
        <w:jc w:val="both"/>
        <w:rPr>
          <w:rFonts w:ascii="Cambria" w:eastAsia="Batang" w:hAnsi="Cambria" w:cs="Times New Roman"/>
          <w:b/>
          <w:color w:val="000000"/>
          <w:sz w:val="21"/>
          <w:szCs w:val="21"/>
          <w:lang w:val="es-ES"/>
        </w:rPr>
      </w:pPr>
      <w:r w:rsidRPr="00B117BB">
        <w:rPr>
          <w:rFonts w:ascii="Cambria" w:eastAsia="Batang" w:hAnsi="Cambria" w:cs="Times New Roman"/>
          <w:b/>
          <w:color w:val="000000"/>
          <w:sz w:val="21"/>
          <w:szCs w:val="21"/>
          <w:lang w:val="es-ES"/>
        </w:rPr>
        <w:t>Información alegada por los solicitantes</w:t>
      </w:r>
    </w:p>
    <w:p w14:paraId="09E93AF4" w14:textId="77777777" w:rsidR="00B117BB" w:rsidRPr="00B117BB" w:rsidRDefault="00B117BB" w:rsidP="00B117BB">
      <w:pPr>
        <w:spacing w:after="0" w:line="240" w:lineRule="auto"/>
        <w:ind w:left="720"/>
        <w:jc w:val="both"/>
        <w:rPr>
          <w:rFonts w:ascii="Cambria" w:eastAsia="Batang" w:hAnsi="Cambria" w:cs="Times New Roman"/>
          <w:b/>
          <w:color w:val="000000"/>
          <w:sz w:val="21"/>
          <w:szCs w:val="21"/>
          <w:lang w:val="es-ES"/>
        </w:rPr>
      </w:pPr>
    </w:p>
    <w:p w14:paraId="12565468" w14:textId="473348C3" w:rsidR="00B117BB" w:rsidRDefault="00800654" w:rsidP="00800654">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Pr>
          <w:rFonts w:ascii="Cambria" w:eastAsia="Batang" w:hAnsi="Cambria" w:cs="Times New Roman"/>
          <w:color w:val="000000"/>
          <w:sz w:val="21"/>
          <w:szCs w:val="21"/>
          <w:lang w:val="es-ES"/>
        </w:rPr>
        <w:t>Los solicitantes alegaron que el 20 de marzo de 2019</w:t>
      </w:r>
      <w:r w:rsidR="00511EAE">
        <w:rPr>
          <w:rFonts w:ascii="Cambria" w:eastAsia="Batang" w:hAnsi="Cambria" w:cs="Times New Roman"/>
          <w:color w:val="000000"/>
          <w:sz w:val="21"/>
          <w:szCs w:val="21"/>
          <w:lang w:val="es-ES"/>
        </w:rPr>
        <w:t xml:space="preserve">, un grupo de entre 12 a 15 </w:t>
      </w:r>
      <w:r w:rsidR="004D40BB">
        <w:rPr>
          <w:rFonts w:ascii="Cambria" w:eastAsia="Batang" w:hAnsi="Cambria" w:cs="Times New Roman"/>
          <w:color w:val="000000"/>
          <w:sz w:val="21"/>
          <w:szCs w:val="21"/>
          <w:lang w:val="es-ES"/>
        </w:rPr>
        <w:t>“delincuentes acompañados por policías municipales”</w:t>
      </w:r>
      <w:r w:rsidR="000166DD">
        <w:rPr>
          <w:rFonts w:ascii="Cambria" w:eastAsia="Batang" w:hAnsi="Cambria" w:cs="Times New Roman"/>
          <w:color w:val="000000"/>
          <w:sz w:val="21"/>
          <w:szCs w:val="21"/>
          <w:lang w:val="es-ES"/>
        </w:rPr>
        <w:t xml:space="preserve"> armado</w:t>
      </w:r>
      <w:r w:rsidR="00511EAE">
        <w:rPr>
          <w:rFonts w:ascii="Cambria" w:eastAsia="Batang" w:hAnsi="Cambria" w:cs="Times New Roman"/>
          <w:color w:val="000000"/>
          <w:sz w:val="21"/>
          <w:szCs w:val="21"/>
          <w:lang w:val="es-ES"/>
        </w:rPr>
        <w:t xml:space="preserve">s habría llegado a la casa de la madre de los propuestos beneficiarios, </w:t>
      </w:r>
      <w:r w:rsidR="009017D3">
        <w:rPr>
          <w:rFonts w:ascii="Cambria" w:eastAsia="Batang" w:hAnsi="Cambria" w:cs="Times New Roman"/>
          <w:color w:val="000000"/>
          <w:sz w:val="21"/>
          <w:szCs w:val="21"/>
          <w:lang w:val="es-ES"/>
        </w:rPr>
        <w:t xml:space="preserve">en Yurecuaro, Michoacán, </w:t>
      </w:r>
      <w:r w:rsidR="00511EAE">
        <w:rPr>
          <w:rFonts w:ascii="Cambria" w:eastAsia="Batang" w:hAnsi="Cambria" w:cs="Times New Roman"/>
          <w:color w:val="000000"/>
          <w:sz w:val="21"/>
          <w:szCs w:val="21"/>
          <w:lang w:val="es-ES"/>
        </w:rPr>
        <w:t xml:space="preserve">cuestionando a las personas que estaban allí. </w:t>
      </w:r>
      <w:r w:rsidR="00434D18">
        <w:rPr>
          <w:rFonts w:ascii="Cambria" w:eastAsia="Batang" w:hAnsi="Cambria" w:cs="Times New Roman"/>
          <w:color w:val="000000"/>
          <w:sz w:val="21"/>
          <w:szCs w:val="21"/>
          <w:lang w:val="es-ES"/>
        </w:rPr>
        <w:t xml:space="preserve">Supuestamente tras no obtener respuestas deseadas, el grupo empezó a disparar hacia </w:t>
      </w:r>
      <w:r w:rsidR="00472D97">
        <w:rPr>
          <w:rFonts w:ascii="Cambria" w:eastAsia="Batang" w:hAnsi="Cambria" w:cs="Times New Roman"/>
          <w:color w:val="000000"/>
          <w:sz w:val="21"/>
          <w:szCs w:val="21"/>
          <w:lang w:val="es-ES"/>
        </w:rPr>
        <w:t xml:space="preserve">el interior </w:t>
      </w:r>
      <w:r w:rsidR="00434D18">
        <w:rPr>
          <w:rFonts w:ascii="Cambria" w:eastAsia="Batang" w:hAnsi="Cambria" w:cs="Times New Roman"/>
          <w:color w:val="000000"/>
          <w:sz w:val="21"/>
          <w:szCs w:val="21"/>
          <w:lang w:val="es-ES"/>
        </w:rPr>
        <w:t>de la casa</w:t>
      </w:r>
      <w:r w:rsidR="00A623CE">
        <w:rPr>
          <w:rFonts w:ascii="Cambria" w:eastAsia="Batang" w:hAnsi="Cambria" w:cs="Times New Roman"/>
          <w:color w:val="000000"/>
          <w:sz w:val="21"/>
          <w:szCs w:val="21"/>
          <w:lang w:val="es-ES"/>
        </w:rPr>
        <w:t xml:space="preserve">. En aquel momento, los propuestos beneficiarios habrían llegado para </w:t>
      </w:r>
      <w:r w:rsidR="00245B85">
        <w:rPr>
          <w:rFonts w:ascii="Cambria" w:eastAsia="Batang" w:hAnsi="Cambria" w:cs="Times New Roman"/>
          <w:color w:val="000000"/>
          <w:sz w:val="21"/>
          <w:szCs w:val="21"/>
          <w:lang w:val="es-ES"/>
        </w:rPr>
        <w:t xml:space="preserve">apoyar a su familia, al mismo tiempo que </w:t>
      </w:r>
      <w:r w:rsidR="008F3387">
        <w:rPr>
          <w:rFonts w:ascii="Cambria" w:eastAsia="Batang" w:hAnsi="Cambria" w:cs="Times New Roman"/>
          <w:color w:val="000000"/>
          <w:sz w:val="21"/>
          <w:szCs w:val="21"/>
          <w:lang w:val="es-ES"/>
        </w:rPr>
        <w:t>aparecieron</w:t>
      </w:r>
      <w:r w:rsidR="00245B85">
        <w:rPr>
          <w:rFonts w:ascii="Cambria" w:eastAsia="Batang" w:hAnsi="Cambria" w:cs="Times New Roman"/>
          <w:color w:val="000000"/>
          <w:sz w:val="21"/>
          <w:szCs w:val="21"/>
          <w:lang w:val="es-ES"/>
        </w:rPr>
        <w:t xml:space="preserve"> dos patrullas de la policía, con entre 8 y 10 </w:t>
      </w:r>
      <w:r w:rsidR="00472D97">
        <w:rPr>
          <w:rFonts w:ascii="Cambria" w:eastAsia="Batang" w:hAnsi="Cambria" w:cs="Times New Roman"/>
          <w:color w:val="000000"/>
          <w:sz w:val="21"/>
          <w:szCs w:val="21"/>
          <w:lang w:val="es-ES"/>
        </w:rPr>
        <w:t>elementos</w:t>
      </w:r>
      <w:r w:rsidR="008F3387">
        <w:rPr>
          <w:rFonts w:ascii="Cambria" w:eastAsia="Batang" w:hAnsi="Cambria" w:cs="Times New Roman"/>
          <w:color w:val="000000"/>
          <w:sz w:val="21"/>
          <w:szCs w:val="21"/>
          <w:lang w:val="es-ES"/>
        </w:rPr>
        <w:t>, actuando presuntamente en complicidad con los agresores</w:t>
      </w:r>
      <w:r w:rsidR="00245B85">
        <w:rPr>
          <w:rFonts w:ascii="Cambria" w:eastAsia="Batang" w:hAnsi="Cambria" w:cs="Times New Roman"/>
          <w:color w:val="000000"/>
          <w:sz w:val="21"/>
          <w:szCs w:val="21"/>
          <w:lang w:val="es-ES"/>
        </w:rPr>
        <w:t>.</w:t>
      </w:r>
    </w:p>
    <w:p w14:paraId="20447E7D" w14:textId="27A0F4A5" w:rsidR="00203925" w:rsidRDefault="00203925" w:rsidP="00203925">
      <w:pPr>
        <w:spacing w:after="0" w:line="240" w:lineRule="auto"/>
        <w:ind w:left="360"/>
        <w:contextualSpacing/>
        <w:jc w:val="both"/>
        <w:rPr>
          <w:rFonts w:ascii="Cambria" w:eastAsia="Batang" w:hAnsi="Cambria" w:cs="Times New Roman"/>
          <w:color w:val="000000"/>
          <w:sz w:val="21"/>
          <w:szCs w:val="21"/>
          <w:lang w:val="es-ES"/>
        </w:rPr>
      </w:pPr>
    </w:p>
    <w:p w14:paraId="0449D593" w14:textId="00C15AFE" w:rsidR="00203925" w:rsidRDefault="009017D3" w:rsidP="00800654">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Pr>
          <w:rFonts w:ascii="Cambria" w:eastAsia="Batang" w:hAnsi="Cambria" w:cs="Times New Roman"/>
          <w:color w:val="000000"/>
          <w:sz w:val="21"/>
          <w:szCs w:val="21"/>
          <w:lang w:val="es-ES"/>
        </w:rPr>
        <w:t xml:space="preserve">Según la solicitud, al percatarse que aún habría personas vivas en la casa, el grupo volvió a disparar, </w:t>
      </w:r>
      <w:r w:rsidR="00472D97">
        <w:rPr>
          <w:rFonts w:ascii="Cambria" w:eastAsia="Batang" w:hAnsi="Cambria" w:cs="Times New Roman"/>
          <w:color w:val="000000"/>
          <w:sz w:val="21"/>
          <w:szCs w:val="21"/>
          <w:lang w:val="es-ES"/>
        </w:rPr>
        <w:t>adentrándose en</w:t>
      </w:r>
      <w:r>
        <w:rPr>
          <w:rFonts w:ascii="Cambria" w:eastAsia="Batang" w:hAnsi="Cambria" w:cs="Times New Roman"/>
          <w:color w:val="000000"/>
          <w:sz w:val="21"/>
          <w:szCs w:val="21"/>
          <w:lang w:val="es-ES"/>
        </w:rPr>
        <w:t xml:space="preserve"> la </w:t>
      </w:r>
      <w:r w:rsidR="004022A2">
        <w:rPr>
          <w:rFonts w:ascii="Cambria" w:eastAsia="Batang" w:hAnsi="Cambria" w:cs="Times New Roman"/>
          <w:color w:val="000000"/>
          <w:sz w:val="21"/>
          <w:szCs w:val="21"/>
          <w:lang w:val="es-ES"/>
        </w:rPr>
        <w:t>vivienda</w:t>
      </w:r>
      <w:r>
        <w:rPr>
          <w:rFonts w:ascii="Cambria" w:eastAsia="Batang" w:hAnsi="Cambria" w:cs="Times New Roman"/>
          <w:color w:val="000000"/>
          <w:sz w:val="21"/>
          <w:szCs w:val="21"/>
          <w:lang w:val="es-ES"/>
        </w:rPr>
        <w:t xml:space="preserve">. </w:t>
      </w:r>
      <w:r w:rsidR="00472D97">
        <w:rPr>
          <w:rFonts w:ascii="Cambria" w:eastAsia="Batang" w:hAnsi="Cambria" w:cs="Times New Roman"/>
          <w:color w:val="000000"/>
          <w:sz w:val="21"/>
          <w:szCs w:val="21"/>
          <w:lang w:val="es-ES"/>
        </w:rPr>
        <w:t>Seguidamente</w:t>
      </w:r>
      <w:r w:rsidR="004022A2">
        <w:rPr>
          <w:rFonts w:ascii="Cambria" w:eastAsia="Batang" w:hAnsi="Cambria" w:cs="Times New Roman"/>
          <w:color w:val="000000"/>
          <w:sz w:val="21"/>
          <w:szCs w:val="21"/>
          <w:lang w:val="es-ES"/>
        </w:rPr>
        <w:t xml:space="preserve">, </w:t>
      </w:r>
      <w:r w:rsidR="00472D97">
        <w:rPr>
          <w:rFonts w:ascii="Cambria" w:eastAsia="Batang" w:hAnsi="Cambria" w:cs="Times New Roman"/>
          <w:color w:val="000000"/>
          <w:sz w:val="21"/>
          <w:szCs w:val="21"/>
          <w:lang w:val="es-ES"/>
        </w:rPr>
        <w:t xml:space="preserve">unos </w:t>
      </w:r>
      <w:r w:rsidR="004022A2">
        <w:rPr>
          <w:rFonts w:ascii="Cambria" w:eastAsia="Batang" w:hAnsi="Cambria" w:cs="Times New Roman"/>
          <w:color w:val="000000"/>
          <w:sz w:val="21"/>
          <w:szCs w:val="21"/>
          <w:lang w:val="es-ES"/>
        </w:rPr>
        <w:t xml:space="preserve">“soldados” habrían llegado a la </w:t>
      </w:r>
      <w:r w:rsidR="00472D97">
        <w:rPr>
          <w:rFonts w:ascii="Cambria" w:eastAsia="Batang" w:hAnsi="Cambria" w:cs="Times New Roman"/>
          <w:color w:val="000000"/>
          <w:sz w:val="21"/>
          <w:szCs w:val="21"/>
          <w:lang w:val="es-ES"/>
        </w:rPr>
        <w:t>escena</w:t>
      </w:r>
      <w:r w:rsidR="004022A2">
        <w:rPr>
          <w:rFonts w:ascii="Cambria" w:eastAsia="Batang" w:hAnsi="Cambria" w:cs="Times New Roman"/>
          <w:color w:val="000000"/>
          <w:sz w:val="21"/>
          <w:szCs w:val="21"/>
          <w:lang w:val="es-ES"/>
        </w:rPr>
        <w:t xml:space="preserve">, </w:t>
      </w:r>
      <w:r w:rsidR="00472D97">
        <w:rPr>
          <w:rFonts w:ascii="Cambria" w:eastAsia="Batang" w:hAnsi="Cambria" w:cs="Times New Roman"/>
          <w:color w:val="000000"/>
          <w:sz w:val="21"/>
          <w:szCs w:val="21"/>
          <w:lang w:val="es-ES"/>
        </w:rPr>
        <w:t>provocando</w:t>
      </w:r>
      <w:r w:rsidR="004022A2">
        <w:rPr>
          <w:rFonts w:ascii="Cambria" w:eastAsia="Batang" w:hAnsi="Cambria" w:cs="Times New Roman"/>
          <w:color w:val="000000"/>
          <w:sz w:val="21"/>
          <w:szCs w:val="21"/>
          <w:lang w:val="es-ES"/>
        </w:rPr>
        <w:t xml:space="preserve"> que el grupo armado se retirase, “quedando solo policías”.</w:t>
      </w:r>
      <w:r w:rsidR="00000510">
        <w:rPr>
          <w:rFonts w:ascii="Cambria" w:eastAsia="Batang" w:hAnsi="Cambria" w:cs="Times New Roman"/>
          <w:color w:val="000000"/>
          <w:sz w:val="21"/>
          <w:szCs w:val="21"/>
          <w:lang w:val="es-ES"/>
        </w:rPr>
        <w:t xml:space="preserve"> En tal contexto, los solicitantes alegaron que “el </w:t>
      </w:r>
      <w:r w:rsidR="001945B1">
        <w:rPr>
          <w:rFonts w:ascii="Cambria" w:eastAsia="Batang" w:hAnsi="Cambria" w:cs="Times New Roman"/>
          <w:color w:val="000000"/>
          <w:sz w:val="21"/>
          <w:szCs w:val="21"/>
          <w:lang w:val="es-ES"/>
        </w:rPr>
        <w:t>ejército</w:t>
      </w:r>
      <w:r w:rsidR="00000510">
        <w:rPr>
          <w:rFonts w:ascii="Cambria" w:eastAsia="Batang" w:hAnsi="Cambria" w:cs="Times New Roman"/>
          <w:color w:val="000000"/>
          <w:sz w:val="21"/>
          <w:szCs w:val="21"/>
          <w:lang w:val="es-ES"/>
        </w:rPr>
        <w:t xml:space="preserve"> llevó detenidos a </w:t>
      </w:r>
      <w:r w:rsidR="00000510" w:rsidRPr="00000510">
        <w:rPr>
          <w:rFonts w:ascii="Cambria" w:eastAsia="Batang" w:hAnsi="Cambria" w:cs="Times New Roman"/>
          <w:color w:val="000000"/>
          <w:sz w:val="21"/>
          <w:szCs w:val="21"/>
        </w:rPr>
        <w:t>Alfonso Alejandre Díaz y Alberto Alejandre Díaz</w:t>
      </w:r>
      <w:r w:rsidR="001945B1">
        <w:rPr>
          <w:rFonts w:ascii="Cambria" w:eastAsia="Batang" w:hAnsi="Cambria" w:cs="Times New Roman"/>
          <w:color w:val="000000"/>
          <w:sz w:val="21"/>
          <w:szCs w:val="21"/>
        </w:rPr>
        <w:t xml:space="preserve"> a la PGR</w:t>
      </w:r>
      <w:r w:rsidR="00472D97">
        <w:rPr>
          <w:rFonts w:ascii="Cambria" w:eastAsia="Batang" w:hAnsi="Cambria" w:cs="Times New Roman"/>
          <w:color w:val="000000"/>
          <w:sz w:val="21"/>
          <w:szCs w:val="21"/>
        </w:rPr>
        <w:t xml:space="preserve"> [la otrora Procuraduría General de la República]</w:t>
      </w:r>
      <w:r w:rsidR="001945B1">
        <w:rPr>
          <w:rFonts w:ascii="Cambria" w:eastAsia="Batang" w:hAnsi="Cambria" w:cs="Times New Roman"/>
          <w:color w:val="000000"/>
          <w:sz w:val="21"/>
          <w:szCs w:val="21"/>
        </w:rPr>
        <w:t xml:space="preserve"> ubicada en la ciudad de la Piedad, Michoacán”, </w:t>
      </w:r>
      <w:r w:rsidR="00D178DB">
        <w:rPr>
          <w:rFonts w:ascii="Cambria" w:eastAsia="Batang" w:hAnsi="Cambria" w:cs="Times New Roman"/>
          <w:color w:val="000000"/>
          <w:sz w:val="21"/>
          <w:szCs w:val="21"/>
        </w:rPr>
        <w:t>presuntamente</w:t>
      </w:r>
      <w:r w:rsidR="001945B1">
        <w:rPr>
          <w:rFonts w:ascii="Cambria" w:eastAsia="Batang" w:hAnsi="Cambria" w:cs="Times New Roman"/>
          <w:color w:val="000000"/>
          <w:sz w:val="21"/>
          <w:szCs w:val="21"/>
        </w:rPr>
        <w:t xml:space="preserve"> por la “portación de armas de fuego”</w:t>
      </w:r>
      <w:r w:rsidR="00472D97">
        <w:rPr>
          <w:rFonts w:ascii="Cambria" w:eastAsia="Batang" w:hAnsi="Cambria" w:cs="Times New Roman"/>
          <w:color w:val="000000"/>
          <w:sz w:val="21"/>
          <w:szCs w:val="21"/>
        </w:rPr>
        <w:t xml:space="preserve"> en contravención a la ley</w:t>
      </w:r>
      <w:r w:rsidR="00D178DB">
        <w:rPr>
          <w:rFonts w:ascii="Cambria" w:eastAsia="Batang" w:hAnsi="Cambria" w:cs="Times New Roman"/>
          <w:color w:val="000000"/>
          <w:sz w:val="21"/>
          <w:szCs w:val="21"/>
          <w:lang w:val="es-ES"/>
        </w:rPr>
        <w:t>.</w:t>
      </w:r>
    </w:p>
    <w:p w14:paraId="40B2B1AA" w14:textId="77777777" w:rsidR="00742C6D" w:rsidRDefault="00742C6D" w:rsidP="00742C6D">
      <w:pPr>
        <w:spacing w:after="0" w:line="240" w:lineRule="auto"/>
        <w:ind w:left="360"/>
        <w:contextualSpacing/>
        <w:jc w:val="both"/>
        <w:rPr>
          <w:rFonts w:ascii="Cambria" w:eastAsia="Batang" w:hAnsi="Cambria" w:cs="Times New Roman"/>
          <w:color w:val="000000"/>
          <w:sz w:val="21"/>
          <w:szCs w:val="21"/>
          <w:lang w:val="es-ES"/>
        </w:rPr>
      </w:pPr>
    </w:p>
    <w:p w14:paraId="3EB66338" w14:textId="2B54B1F1" w:rsidR="00742C6D" w:rsidRDefault="00742C6D" w:rsidP="00800654">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Pr>
          <w:rFonts w:ascii="Cambria" w:eastAsia="Batang" w:hAnsi="Cambria" w:cs="Times New Roman"/>
          <w:color w:val="000000"/>
          <w:sz w:val="21"/>
          <w:szCs w:val="21"/>
          <w:lang w:val="es-ES"/>
        </w:rPr>
        <w:lastRenderedPageBreak/>
        <w:t>La familia de los propuestos beneficiarios habría podido visitarlos durante su detención, cuando fueron informados por autoridades estatales que se les liberarían en 48h, o sea, el 23 de marzo</w:t>
      </w:r>
      <w:r w:rsidR="000166DD">
        <w:rPr>
          <w:rFonts w:ascii="Cambria" w:eastAsia="Batang" w:hAnsi="Cambria" w:cs="Times New Roman"/>
          <w:color w:val="000000"/>
          <w:sz w:val="21"/>
          <w:szCs w:val="21"/>
          <w:lang w:val="es-ES"/>
        </w:rPr>
        <w:t xml:space="preserve"> de 2019</w:t>
      </w:r>
      <w:r w:rsidR="00FA04C9">
        <w:rPr>
          <w:rFonts w:ascii="Cambria" w:eastAsia="Batang" w:hAnsi="Cambria" w:cs="Times New Roman"/>
          <w:color w:val="000000"/>
          <w:sz w:val="21"/>
          <w:szCs w:val="21"/>
          <w:lang w:val="es-ES"/>
        </w:rPr>
        <w:t>, a las 5h00</w:t>
      </w:r>
      <w:r>
        <w:rPr>
          <w:rFonts w:ascii="Cambria" w:eastAsia="Batang" w:hAnsi="Cambria" w:cs="Times New Roman"/>
          <w:color w:val="000000"/>
          <w:sz w:val="21"/>
          <w:szCs w:val="21"/>
          <w:lang w:val="es-ES"/>
        </w:rPr>
        <w:t xml:space="preserve">. </w:t>
      </w:r>
      <w:r w:rsidR="000166DD" w:rsidRPr="000166DD">
        <w:rPr>
          <w:rFonts w:ascii="Cambria" w:eastAsia="Batang" w:hAnsi="Cambria" w:cs="Times New Roman"/>
          <w:color w:val="000000"/>
          <w:sz w:val="21"/>
          <w:szCs w:val="21"/>
          <w:lang w:val="es-ES"/>
        </w:rPr>
        <w:t>En la visita, los propuestos beneficiarios habrían verbalizando que “esos policías que están ahí nos quieren hacer problemas”.</w:t>
      </w:r>
      <w:r w:rsidR="000166DD">
        <w:rPr>
          <w:rFonts w:ascii="Cambria" w:eastAsia="Batang" w:hAnsi="Cambria" w:cs="Times New Roman"/>
          <w:color w:val="000000"/>
          <w:sz w:val="21"/>
          <w:szCs w:val="21"/>
          <w:lang w:val="es-ES"/>
        </w:rPr>
        <w:t xml:space="preserve"> </w:t>
      </w:r>
      <w:r w:rsidR="004E66F1">
        <w:rPr>
          <w:rFonts w:ascii="Cambria" w:eastAsia="Batang" w:hAnsi="Cambria" w:cs="Times New Roman"/>
          <w:color w:val="000000"/>
          <w:sz w:val="21"/>
          <w:szCs w:val="21"/>
          <w:lang w:val="es-ES"/>
        </w:rPr>
        <w:t xml:space="preserve">Sin embargo, cuando fueron a </w:t>
      </w:r>
      <w:r w:rsidR="00472D97">
        <w:rPr>
          <w:rFonts w:ascii="Cambria" w:eastAsia="Batang" w:hAnsi="Cambria" w:cs="Times New Roman"/>
          <w:color w:val="000000"/>
          <w:sz w:val="21"/>
          <w:szCs w:val="21"/>
          <w:lang w:val="es-ES"/>
        </w:rPr>
        <w:t>recogerlos</w:t>
      </w:r>
      <w:r w:rsidR="004E66F1">
        <w:rPr>
          <w:rFonts w:ascii="Cambria" w:eastAsia="Batang" w:hAnsi="Cambria" w:cs="Times New Roman"/>
          <w:color w:val="000000"/>
          <w:sz w:val="21"/>
          <w:szCs w:val="21"/>
          <w:lang w:val="es-ES"/>
        </w:rPr>
        <w:t xml:space="preserve">, se les informaron que ambos habrían sido liberados el día anterior, a las 23h20, </w:t>
      </w:r>
      <w:r w:rsidR="004D00A0">
        <w:rPr>
          <w:rFonts w:ascii="Cambria" w:eastAsia="Batang" w:hAnsi="Cambria" w:cs="Times New Roman"/>
          <w:color w:val="000000"/>
          <w:sz w:val="21"/>
          <w:szCs w:val="21"/>
          <w:lang w:val="es-ES"/>
        </w:rPr>
        <w:t>supuestamente</w:t>
      </w:r>
      <w:r w:rsidR="004E66F1">
        <w:rPr>
          <w:rFonts w:ascii="Cambria" w:eastAsia="Batang" w:hAnsi="Cambria" w:cs="Times New Roman"/>
          <w:color w:val="000000"/>
          <w:sz w:val="21"/>
          <w:szCs w:val="21"/>
          <w:lang w:val="es-ES"/>
        </w:rPr>
        <w:t xml:space="preserve"> sin explicar las razones. </w:t>
      </w:r>
      <w:r w:rsidR="00D05840">
        <w:rPr>
          <w:rFonts w:ascii="Cambria" w:eastAsia="Batang" w:hAnsi="Cambria" w:cs="Times New Roman"/>
          <w:color w:val="000000"/>
          <w:sz w:val="21"/>
          <w:szCs w:val="21"/>
          <w:lang w:val="es-ES"/>
        </w:rPr>
        <w:t xml:space="preserve">Los solicitantes agregaron que, tras la supuesta liberación de los propuestos beneficiarios, </w:t>
      </w:r>
      <w:r w:rsidR="00472D97">
        <w:rPr>
          <w:rFonts w:ascii="Cambria" w:eastAsia="Batang" w:hAnsi="Cambria" w:cs="Times New Roman"/>
          <w:color w:val="000000"/>
          <w:sz w:val="21"/>
          <w:szCs w:val="21"/>
          <w:lang w:val="es-ES"/>
        </w:rPr>
        <w:t xml:space="preserve">estos </w:t>
      </w:r>
      <w:r w:rsidR="00D05840">
        <w:rPr>
          <w:rFonts w:ascii="Cambria" w:eastAsia="Batang" w:hAnsi="Cambria" w:cs="Times New Roman"/>
          <w:color w:val="000000"/>
          <w:sz w:val="21"/>
          <w:szCs w:val="21"/>
          <w:lang w:val="es-ES"/>
        </w:rPr>
        <w:t>no habrían llamado o buscado a su familia o conocidos, sin que se conozca sus paraderos desde entonces.</w:t>
      </w:r>
    </w:p>
    <w:p w14:paraId="5053BA58" w14:textId="77777777" w:rsidR="00C67EB7" w:rsidRDefault="00C67EB7" w:rsidP="00C67EB7">
      <w:pPr>
        <w:spacing w:after="0" w:line="240" w:lineRule="auto"/>
        <w:ind w:left="360"/>
        <w:contextualSpacing/>
        <w:jc w:val="both"/>
        <w:rPr>
          <w:rFonts w:ascii="Cambria" w:eastAsia="Batang" w:hAnsi="Cambria" w:cs="Times New Roman"/>
          <w:color w:val="000000"/>
          <w:sz w:val="21"/>
          <w:szCs w:val="21"/>
          <w:lang w:val="es-ES"/>
        </w:rPr>
      </w:pPr>
    </w:p>
    <w:p w14:paraId="23CD8B5F" w14:textId="73EA1E27" w:rsidR="00C67EB7" w:rsidRPr="00135EBB" w:rsidRDefault="00C67EB7" w:rsidP="00800654">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Pr>
          <w:rFonts w:ascii="Cambria" w:eastAsia="Batang" w:hAnsi="Cambria" w:cs="Times New Roman"/>
          <w:color w:val="000000"/>
          <w:sz w:val="21"/>
          <w:szCs w:val="21"/>
          <w:lang w:val="es-ES"/>
        </w:rPr>
        <w:t xml:space="preserve">Los solicitantes habrían interpuesto denuncias sobre la presunta desaparición ante </w:t>
      </w:r>
      <w:r w:rsidR="004F7880">
        <w:rPr>
          <w:rFonts w:ascii="Cambria" w:eastAsia="Batang" w:hAnsi="Cambria" w:cs="Times New Roman"/>
          <w:color w:val="000000"/>
          <w:sz w:val="21"/>
          <w:szCs w:val="21"/>
          <w:lang w:val="es-ES"/>
        </w:rPr>
        <w:t>entidades estatales y órganos de derechos humanos, como el Ministerio P</w:t>
      </w:r>
      <w:r w:rsidR="005A18D6">
        <w:rPr>
          <w:rFonts w:ascii="Cambria" w:eastAsia="Batang" w:hAnsi="Cambria" w:cs="Times New Roman"/>
          <w:color w:val="000000"/>
          <w:sz w:val="21"/>
          <w:szCs w:val="21"/>
          <w:lang w:val="es-ES"/>
        </w:rPr>
        <w:t>ú</w:t>
      </w:r>
      <w:r w:rsidR="004F7880">
        <w:rPr>
          <w:rFonts w:ascii="Cambria" w:eastAsia="Batang" w:hAnsi="Cambria" w:cs="Times New Roman"/>
          <w:color w:val="000000"/>
          <w:sz w:val="21"/>
          <w:szCs w:val="21"/>
          <w:lang w:val="es-ES"/>
        </w:rPr>
        <w:t>blico, la Comisión de Derechos Humanos en Zamora, Michoacán,</w:t>
      </w:r>
      <w:r w:rsidR="00832B97">
        <w:rPr>
          <w:rFonts w:ascii="Cambria" w:eastAsia="Batang" w:hAnsi="Cambria" w:cs="Times New Roman"/>
          <w:color w:val="000000"/>
          <w:sz w:val="21"/>
          <w:szCs w:val="21"/>
          <w:lang w:val="es-ES"/>
        </w:rPr>
        <w:t xml:space="preserve"> y</w:t>
      </w:r>
      <w:r w:rsidR="004F7880">
        <w:rPr>
          <w:rFonts w:ascii="Cambria" w:eastAsia="Batang" w:hAnsi="Cambria" w:cs="Times New Roman"/>
          <w:color w:val="000000"/>
          <w:sz w:val="21"/>
          <w:szCs w:val="21"/>
          <w:lang w:val="es-ES"/>
        </w:rPr>
        <w:t xml:space="preserve"> la Comisión Nacional de Derechos Humanos, en la Ciudad de México</w:t>
      </w:r>
      <w:r w:rsidR="005A18D6">
        <w:rPr>
          <w:rFonts w:ascii="Cambria" w:eastAsia="Batang" w:hAnsi="Cambria" w:cs="Times New Roman"/>
          <w:color w:val="000000"/>
          <w:sz w:val="21"/>
          <w:szCs w:val="21"/>
          <w:lang w:val="es-ES"/>
        </w:rPr>
        <w:t xml:space="preserve">, presuntamente sin que se haya conducido una investigación idónea. Según la solicitud, las diligencias estatales nunca tomaron en cuenta </w:t>
      </w:r>
      <w:r w:rsidR="00135EBB">
        <w:rPr>
          <w:rFonts w:ascii="Cambria" w:eastAsia="Batang" w:hAnsi="Cambria" w:cs="Times New Roman"/>
          <w:color w:val="000000"/>
          <w:sz w:val="21"/>
          <w:szCs w:val="21"/>
          <w:lang w:val="es-ES"/>
        </w:rPr>
        <w:t>“</w:t>
      </w:r>
      <w:r w:rsidR="005A18D6">
        <w:rPr>
          <w:rFonts w:ascii="Cambria" w:eastAsia="Batang" w:hAnsi="Cambria" w:cs="Times New Roman"/>
          <w:color w:val="000000"/>
          <w:sz w:val="21"/>
          <w:szCs w:val="21"/>
          <w:lang w:val="es-ES"/>
        </w:rPr>
        <w:t>la posible violación de los derechos humanos de los propuestos beneficiarios</w:t>
      </w:r>
      <w:r w:rsidR="00135EBB">
        <w:rPr>
          <w:rFonts w:ascii="Cambria" w:eastAsia="Batang" w:hAnsi="Cambria" w:cs="Times New Roman"/>
          <w:color w:val="000000"/>
          <w:sz w:val="21"/>
          <w:szCs w:val="21"/>
          <w:lang w:val="es-ES"/>
        </w:rPr>
        <w:t>”</w:t>
      </w:r>
      <w:r w:rsidR="005A18D6">
        <w:rPr>
          <w:rFonts w:ascii="Cambria" w:eastAsia="Batang" w:hAnsi="Cambria" w:cs="Times New Roman"/>
          <w:color w:val="000000"/>
          <w:sz w:val="21"/>
          <w:szCs w:val="21"/>
          <w:lang w:val="es-ES"/>
        </w:rPr>
        <w:t xml:space="preserve"> con relación a </w:t>
      </w:r>
      <w:r w:rsidR="00472D97">
        <w:rPr>
          <w:rFonts w:ascii="Cambria" w:eastAsia="Batang" w:hAnsi="Cambria" w:cs="Times New Roman"/>
          <w:color w:val="000000"/>
          <w:sz w:val="21"/>
          <w:szCs w:val="21"/>
          <w:lang w:val="es-ES"/>
        </w:rPr>
        <w:t xml:space="preserve">la </w:t>
      </w:r>
      <w:r w:rsidR="005A18D6">
        <w:rPr>
          <w:rFonts w:ascii="Cambria" w:eastAsia="Batang" w:hAnsi="Cambria" w:cs="Times New Roman"/>
          <w:color w:val="000000"/>
          <w:sz w:val="21"/>
          <w:szCs w:val="21"/>
          <w:lang w:val="es-ES"/>
        </w:rPr>
        <w:t xml:space="preserve">manera con que se les habría otorgado la presunta libertad. </w:t>
      </w:r>
      <w:r w:rsidR="008B7F99">
        <w:rPr>
          <w:rFonts w:ascii="Cambria" w:eastAsia="Batang" w:hAnsi="Cambria" w:cs="Times New Roman"/>
          <w:color w:val="000000"/>
          <w:sz w:val="21"/>
          <w:szCs w:val="21"/>
          <w:lang w:val="es-ES"/>
        </w:rPr>
        <w:t xml:space="preserve">Las investigaciones se direccionan a cuestionar “si tienen conocimiento de la localización de [los propuestos beneficiarios], pero nunca llevaron a cabo investigación para acreditar la liberación real de [ellos] o si hayan </w:t>
      </w:r>
      <w:r w:rsidR="007F3C90">
        <w:rPr>
          <w:rFonts w:ascii="Cambria" w:eastAsia="Batang" w:hAnsi="Cambria" w:cs="Times New Roman"/>
          <w:color w:val="000000"/>
          <w:sz w:val="21"/>
          <w:szCs w:val="21"/>
          <w:lang w:val="es-ES"/>
        </w:rPr>
        <w:t xml:space="preserve">sido </w:t>
      </w:r>
      <w:r w:rsidR="008B7F99" w:rsidRPr="008B7F99">
        <w:rPr>
          <w:rFonts w:ascii="Cambria" w:eastAsia="Batang" w:hAnsi="Cambria" w:cs="Times New Roman"/>
          <w:color w:val="000000"/>
          <w:sz w:val="21"/>
          <w:szCs w:val="21"/>
        </w:rPr>
        <w:t>objeto de indebida disposición de su libertad, integridad corporal o su vi</w:t>
      </w:r>
      <w:r w:rsidR="007F3C90">
        <w:rPr>
          <w:rFonts w:ascii="Cambria" w:eastAsia="Batang" w:hAnsi="Cambria" w:cs="Times New Roman"/>
          <w:color w:val="000000"/>
          <w:sz w:val="21"/>
          <w:szCs w:val="21"/>
        </w:rPr>
        <w:t xml:space="preserve">da, y hayan sido desaparecidos.” </w:t>
      </w:r>
      <w:r w:rsidR="00790EC3">
        <w:rPr>
          <w:rFonts w:ascii="Cambria" w:eastAsia="Batang" w:hAnsi="Cambria" w:cs="Times New Roman"/>
          <w:color w:val="000000"/>
          <w:sz w:val="21"/>
          <w:szCs w:val="21"/>
        </w:rPr>
        <w:t xml:space="preserve">Adicionalmente, alegaron que una fuente confiable de la Fiscalía General del estado de Michoacán les compartió que supuestamente se “[…] recibió órdenes de no llevar ninguna investigación más nunca [les] dijeron de parte de quién y no [les] enseñaron ningún documento que acreditara dicha manifestación” (sic.). </w:t>
      </w:r>
      <w:r w:rsidR="007F3C90">
        <w:rPr>
          <w:rFonts w:ascii="Cambria" w:eastAsia="Batang" w:hAnsi="Cambria" w:cs="Times New Roman"/>
          <w:color w:val="000000"/>
          <w:sz w:val="21"/>
          <w:szCs w:val="21"/>
        </w:rPr>
        <w:t>En ese sentido, no se habría asegurado por las videograbaciones de las cámaras de seguridad de la PGR (</w:t>
      </w:r>
      <w:r w:rsidR="00571C9A">
        <w:rPr>
          <w:rFonts w:ascii="Cambria" w:eastAsia="Batang" w:hAnsi="Cambria" w:cs="Times New Roman"/>
          <w:color w:val="000000"/>
          <w:sz w:val="21"/>
          <w:szCs w:val="21"/>
        </w:rPr>
        <w:t xml:space="preserve">hoy en día, </w:t>
      </w:r>
      <w:r w:rsidR="007F3C90">
        <w:rPr>
          <w:rFonts w:ascii="Cambria" w:eastAsia="Batang" w:hAnsi="Cambria" w:cs="Times New Roman"/>
          <w:color w:val="000000"/>
          <w:sz w:val="21"/>
          <w:szCs w:val="21"/>
        </w:rPr>
        <w:t>Fiscalía General de la República) “que hayan captado la liberación de los [propuestos beneficiarios]</w:t>
      </w:r>
      <w:r w:rsidR="00135EBB">
        <w:rPr>
          <w:rFonts w:ascii="Cambria" w:eastAsia="Batang" w:hAnsi="Cambria" w:cs="Times New Roman"/>
          <w:color w:val="000000"/>
          <w:sz w:val="21"/>
          <w:szCs w:val="21"/>
        </w:rPr>
        <w:t>.”</w:t>
      </w:r>
    </w:p>
    <w:p w14:paraId="40A861C7" w14:textId="3F060248" w:rsidR="00135EBB" w:rsidRDefault="00135EBB" w:rsidP="00EF0173">
      <w:pPr>
        <w:spacing w:after="0" w:line="240" w:lineRule="auto"/>
        <w:ind w:left="360"/>
        <w:contextualSpacing/>
        <w:jc w:val="both"/>
        <w:rPr>
          <w:rFonts w:ascii="Cambria" w:eastAsia="Batang" w:hAnsi="Cambria" w:cs="Times New Roman"/>
          <w:color w:val="000000"/>
          <w:sz w:val="21"/>
          <w:szCs w:val="21"/>
          <w:lang w:val="es-ES"/>
        </w:rPr>
      </w:pPr>
    </w:p>
    <w:p w14:paraId="1A6B179C" w14:textId="3400CC10" w:rsidR="00135EBB" w:rsidRDefault="00135EBB" w:rsidP="00800654">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Pr>
          <w:rFonts w:ascii="Cambria" w:eastAsia="Batang" w:hAnsi="Cambria" w:cs="Times New Roman"/>
          <w:color w:val="000000"/>
          <w:sz w:val="21"/>
          <w:szCs w:val="21"/>
          <w:lang w:val="es-ES"/>
        </w:rPr>
        <w:t>Adicionalmente, los solicitantes indicaron que</w:t>
      </w:r>
      <w:r w:rsidR="006D125D">
        <w:rPr>
          <w:rFonts w:ascii="Cambria" w:eastAsia="Batang" w:hAnsi="Cambria" w:cs="Times New Roman"/>
          <w:color w:val="000000"/>
          <w:sz w:val="21"/>
          <w:szCs w:val="21"/>
          <w:lang w:val="es-ES"/>
        </w:rPr>
        <w:t>, si bien se habría ofrecido protección</w:t>
      </w:r>
      <w:r w:rsidR="002E24D1">
        <w:rPr>
          <w:rFonts w:ascii="Cambria" w:eastAsia="Batang" w:hAnsi="Cambria" w:cs="Times New Roman"/>
          <w:color w:val="000000"/>
          <w:sz w:val="21"/>
          <w:szCs w:val="21"/>
          <w:lang w:val="es-ES"/>
        </w:rPr>
        <w:t xml:space="preserve"> (sin detallar) a la familia de los propuestos beneficiarios,</w:t>
      </w:r>
      <w:r>
        <w:rPr>
          <w:rFonts w:ascii="Cambria" w:eastAsia="Batang" w:hAnsi="Cambria" w:cs="Times New Roman"/>
          <w:color w:val="000000"/>
          <w:sz w:val="21"/>
          <w:szCs w:val="21"/>
          <w:lang w:val="es-ES"/>
        </w:rPr>
        <w:t xml:space="preserve"> </w:t>
      </w:r>
      <w:r w:rsidR="002E24D1">
        <w:rPr>
          <w:rFonts w:ascii="Cambria" w:eastAsia="Batang" w:hAnsi="Cambria" w:cs="Times New Roman"/>
          <w:color w:val="000000"/>
          <w:sz w:val="21"/>
          <w:szCs w:val="21"/>
          <w:lang w:val="es-ES"/>
        </w:rPr>
        <w:t xml:space="preserve">ellos </w:t>
      </w:r>
      <w:r w:rsidR="00571C9A">
        <w:rPr>
          <w:rFonts w:ascii="Cambria" w:eastAsia="Batang" w:hAnsi="Cambria" w:cs="Times New Roman"/>
          <w:color w:val="000000"/>
          <w:sz w:val="21"/>
          <w:szCs w:val="21"/>
          <w:lang w:val="es-ES"/>
        </w:rPr>
        <w:t>abandonaron</w:t>
      </w:r>
      <w:r>
        <w:rPr>
          <w:rFonts w:ascii="Cambria" w:eastAsia="Batang" w:hAnsi="Cambria" w:cs="Times New Roman"/>
          <w:color w:val="000000"/>
          <w:sz w:val="21"/>
          <w:szCs w:val="21"/>
          <w:lang w:val="es-ES"/>
        </w:rPr>
        <w:t xml:space="preserve"> </w:t>
      </w:r>
      <w:r w:rsidRPr="00135EBB">
        <w:rPr>
          <w:rFonts w:ascii="Cambria" w:eastAsia="Batang" w:hAnsi="Cambria" w:cs="Times New Roman"/>
          <w:color w:val="000000"/>
          <w:sz w:val="21"/>
          <w:szCs w:val="21"/>
          <w:lang w:val="es-ES"/>
        </w:rPr>
        <w:t>Yurecuaro, Michoacán</w:t>
      </w:r>
      <w:r w:rsidR="002E24D1">
        <w:rPr>
          <w:rFonts w:ascii="Cambria" w:eastAsia="Batang" w:hAnsi="Cambria" w:cs="Times New Roman"/>
          <w:color w:val="000000"/>
          <w:sz w:val="21"/>
          <w:szCs w:val="21"/>
          <w:lang w:val="es-ES"/>
        </w:rPr>
        <w:t>,</w:t>
      </w:r>
      <w:r>
        <w:rPr>
          <w:rFonts w:ascii="Cambria" w:eastAsia="Batang" w:hAnsi="Cambria" w:cs="Times New Roman"/>
          <w:color w:val="000000"/>
          <w:sz w:val="21"/>
          <w:szCs w:val="21"/>
          <w:lang w:val="es-ES"/>
        </w:rPr>
        <w:t xml:space="preserve"> por temor </w:t>
      </w:r>
      <w:r w:rsidR="00571C9A">
        <w:rPr>
          <w:rFonts w:ascii="Cambria" w:eastAsia="Batang" w:hAnsi="Cambria" w:cs="Times New Roman"/>
          <w:color w:val="000000"/>
          <w:sz w:val="21"/>
          <w:szCs w:val="21"/>
          <w:lang w:val="es-ES"/>
        </w:rPr>
        <w:t xml:space="preserve">a </w:t>
      </w:r>
      <w:r>
        <w:rPr>
          <w:rFonts w:ascii="Cambria" w:eastAsia="Batang" w:hAnsi="Cambria" w:cs="Times New Roman"/>
          <w:color w:val="000000"/>
          <w:sz w:val="21"/>
          <w:szCs w:val="21"/>
          <w:lang w:val="es-ES"/>
        </w:rPr>
        <w:t xml:space="preserve">que les pasara lo mismo que </w:t>
      </w:r>
      <w:r w:rsidR="00571C9A">
        <w:rPr>
          <w:rFonts w:ascii="Cambria" w:eastAsia="Batang" w:hAnsi="Cambria" w:cs="Times New Roman"/>
          <w:color w:val="000000"/>
          <w:sz w:val="21"/>
          <w:szCs w:val="21"/>
          <w:lang w:val="es-ES"/>
        </w:rPr>
        <w:t xml:space="preserve">a </w:t>
      </w:r>
      <w:r>
        <w:rPr>
          <w:rFonts w:ascii="Cambria" w:eastAsia="Batang" w:hAnsi="Cambria" w:cs="Times New Roman"/>
          <w:color w:val="000000"/>
          <w:sz w:val="21"/>
          <w:szCs w:val="21"/>
          <w:lang w:val="es-ES"/>
        </w:rPr>
        <w:t>sus hermanos</w:t>
      </w:r>
      <w:r w:rsidR="00EF0173">
        <w:rPr>
          <w:rFonts w:ascii="Cambria" w:eastAsia="Batang" w:hAnsi="Cambria" w:cs="Times New Roman"/>
          <w:color w:val="000000"/>
          <w:sz w:val="21"/>
          <w:szCs w:val="21"/>
          <w:lang w:val="es-ES"/>
        </w:rPr>
        <w:t xml:space="preserve">, </w:t>
      </w:r>
      <w:r w:rsidR="002E24D1">
        <w:rPr>
          <w:rFonts w:ascii="Cambria" w:eastAsia="Batang" w:hAnsi="Cambria" w:cs="Times New Roman"/>
          <w:color w:val="000000"/>
          <w:sz w:val="21"/>
          <w:szCs w:val="21"/>
          <w:lang w:val="es-ES"/>
        </w:rPr>
        <w:t xml:space="preserve">particularmente tras ser aconsejados </w:t>
      </w:r>
      <w:r w:rsidR="00571C9A">
        <w:rPr>
          <w:rFonts w:ascii="Cambria" w:eastAsia="Batang" w:hAnsi="Cambria" w:cs="Times New Roman"/>
          <w:color w:val="000000"/>
          <w:sz w:val="21"/>
          <w:szCs w:val="21"/>
          <w:lang w:val="es-ES"/>
        </w:rPr>
        <w:t xml:space="preserve">de </w:t>
      </w:r>
      <w:r w:rsidR="002E24D1">
        <w:rPr>
          <w:rFonts w:ascii="Cambria" w:eastAsia="Batang" w:hAnsi="Cambria" w:cs="Times New Roman"/>
          <w:color w:val="000000"/>
          <w:sz w:val="21"/>
          <w:szCs w:val="21"/>
          <w:lang w:val="es-ES"/>
        </w:rPr>
        <w:t xml:space="preserve">no volver </w:t>
      </w:r>
      <w:r w:rsidR="00E85ECB">
        <w:rPr>
          <w:rFonts w:ascii="Cambria" w:eastAsia="Batang" w:hAnsi="Cambria" w:cs="Times New Roman"/>
          <w:color w:val="000000"/>
          <w:sz w:val="21"/>
          <w:szCs w:val="21"/>
          <w:lang w:val="es-ES"/>
        </w:rPr>
        <w:t>“si quieren seguir con vida”. Asimismo, la familia</w:t>
      </w:r>
      <w:r w:rsidR="00EF0173">
        <w:rPr>
          <w:rFonts w:ascii="Cambria" w:eastAsia="Batang" w:hAnsi="Cambria" w:cs="Times New Roman"/>
          <w:color w:val="000000"/>
          <w:sz w:val="21"/>
          <w:szCs w:val="21"/>
          <w:lang w:val="es-ES"/>
        </w:rPr>
        <w:t xml:space="preserve"> tendría conocimiento que la casa donde vivía </w:t>
      </w:r>
      <w:r w:rsidR="00832B97">
        <w:rPr>
          <w:rFonts w:ascii="Cambria" w:eastAsia="Batang" w:hAnsi="Cambria" w:cs="Times New Roman"/>
          <w:color w:val="000000"/>
          <w:sz w:val="21"/>
          <w:szCs w:val="21"/>
          <w:lang w:val="es-ES"/>
        </w:rPr>
        <w:t>la</w:t>
      </w:r>
      <w:r w:rsidR="00EF0173">
        <w:rPr>
          <w:rFonts w:ascii="Cambria" w:eastAsia="Batang" w:hAnsi="Cambria" w:cs="Times New Roman"/>
          <w:color w:val="000000"/>
          <w:sz w:val="21"/>
          <w:szCs w:val="21"/>
          <w:lang w:val="es-ES"/>
        </w:rPr>
        <w:t xml:space="preserve"> madre </w:t>
      </w:r>
      <w:r w:rsidR="00832B97">
        <w:rPr>
          <w:rFonts w:ascii="Cambria" w:eastAsia="Batang" w:hAnsi="Cambria" w:cs="Times New Roman"/>
          <w:color w:val="000000"/>
          <w:sz w:val="21"/>
          <w:szCs w:val="21"/>
          <w:lang w:val="es-ES"/>
        </w:rPr>
        <w:t xml:space="preserve">de ellos </w:t>
      </w:r>
      <w:r w:rsidR="00EF0173">
        <w:rPr>
          <w:rFonts w:ascii="Cambria" w:eastAsia="Batang" w:hAnsi="Cambria" w:cs="Times New Roman"/>
          <w:color w:val="000000"/>
          <w:sz w:val="21"/>
          <w:szCs w:val="21"/>
          <w:lang w:val="es-ES"/>
        </w:rPr>
        <w:t>habría sido tomada por los “delincuentes”.</w:t>
      </w:r>
    </w:p>
    <w:p w14:paraId="1A6558C7" w14:textId="77777777" w:rsidR="00800654" w:rsidRPr="00B117BB" w:rsidRDefault="00800654" w:rsidP="00800654">
      <w:pPr>
        <w:spacing w:after="0" w:line="240" w:lineRule="auto"/>
        <w:ind w:left="360"/>
        <w:contextualSpacing/>
        <w:jc w:val="both"/>
        <w:rPr>
          <w:rFonts w:ascii="Cambria" w:eastAsia="Batang" w:hAnsi="Cambria" w:cs="Times New Roman"/>
          <w:color w:val="000000"/>
          <w:sz w:val="21"/>
          <w:szCs w:val="21"/>
          <w:lang w:val="es-ES"/>
        </w:rPr>
      </w:pPr>
    </w:p>
    <w:p w14:paraId="14F0DE7E" w14:textId="77777777" w:rsidR="00B117BB" w:rsidRPr="00B117BB" w:rsidRDefault="00B117BB" w:rsidP="00B117BB">
      <w:pPr>
        <w:numPr>
          <w:ilvl w:val="0"/>
          <w:numId w:val="4"/>
        </w:numPr>
        <w:spacing w:after="0" w:line="240" w:lineRule="auto"/>
        <w:jc w:val="both"/>
        <w:rPr>
          <w:rFonts w:ascii="Cambria" w:eastAsia="Times New Roman" w:hAnsi="Cambria" w:cs="Times New Roman"/>
          <w:b/>
          <w:color w:val="000000"/>
          <w:sz w:val="21"/>
          <w:szCs w:val="21"/>
          <w:lang w:val="es-ES"/>
        </w:rPr>
      </w:pPr>
      <w:r w:rsidRPr="00B117BB">
        <w:rPr>
          <w:rFonts w:ascii="Cambria" w:eastAsia="Times New Roman" w:hAnsi="Cambria" w:cs="Times New Roman"/>
          <w:b/>
          <w:color w:val="000000"/>
          <w:sz w:val="21"/>
          <w:szCs w:val="21"/>
          <w:lang w:val="es-ES"/>
        </w:rPr>
        <w:t>Respuesta del Estado</w:t>
      </w:r>
    </w:p>
    <w:p w14:paraId="779450E6" w14:textId="77777777" w:rsidR="00B117BB" w:rsidRPr="00B117BB" w:rsidRDefault="00B117BB" w:rsidP="00B117BB">
      <w:pPr>
        <w:spacing w:after="0" w:line="240" w:lineRule="auto"/>
        <w:ind w:left="720"/>
        <w:jc w:val="both"/>
        <w:rPr>
          <w:rFonts w:ascii="Cambria" w:eastAsia="Times New Roman" w:hAnsi="Cambria" w:cs="Times New Roman"/>
          <w:b/>
          <w:color w:val="000000"/>
          <w:sz w:val="21"/>
          <w:szCs w:val="21"/>
          <w:lang w:val="es-ES"/>
        </w:rPr>
      </w:pPr>
    </w:p>
    <w:p w14:paraId="377D38BF" w14:textId="0F89F59D" w:rsidR="00FE386F" w:rsidRDefault="00B11643" w:rsidP="00B948CB">
      <w:pPr>
        <w:numPr>
          <w:ilvl w:val="0"/>
          <w:numId w:val="3"/>
        </w:numPr>
        <w:spacing w:after="0" w:line="240" w:lineRule="auto"/>
        <w:ind w:left="0" w:firstLine="360"/>
        <w:jc w:val="both"/>
        <w:rPr>
          <w:rFonts w:ascii="Cambria" w:eastAsia="Batang" w:hAnsi="Cambria" w:cs="Times New Roman"/>
          <w:color w:val="000000"/>
          <w:sz w:val="21"/>
          <w:szCs w:val="21"/>
        </w:rPr>
      </w:pPr>
      <w:r w:rsidRPr="00B11643">
        <w:rPr>
          <w:rFonts w:ascii="Cambria" w:eastAsia="Batang" w:hAnsi="Cambria" w:cs="Times New Roman"/>
          <w:color w:val="000000"/>
          <w:sz w:val="21"/>
          <w:szCs w:val="21"/>
          <w:lang w:val="es-ES"/>
        </w:rPr>
        <w:t xml:space="preserve">El Estado alegó que, ante la desaparición de los señores </w:t>
      </w:r>
      <w:r w:rsidRPr="00B11643">
        <w:rPr>
          <w:rFonts w:ascii="Cambria" w:eastAsia="Batang" w:hAnsi="Cambria" w:cs="Times New Roman"/>
          <w:color w:val="000000"/>
          <w:sz w:val="21"/>
          <w:szCs w:val="21"/>
        </w:rPr>
        <w:t xml:space="preserve">Alfonso Alejandre Díaz y Alberto Alejandre Díaz se habría iniciado una carpeta de investigación, la cual continuaría en trámite. En el marco de tales investigaciones, se habría solicitado a </w:t>
      </w:r>
      <w:r>
        <w:rPr>
          <w:rFonts w:ascii="Cambria" w:eastAsia="Batang" w:hAnsi="Cambria" w:cs="Times New Roman"/>
          <w:color w:val="000000"/>
          <w:sz w:val="21"/>
          <w:szCs w:val="21"/>
        </w:rPr>
        <w:t>“</w:t>
      </w:r>
      <w:r w:rsidRPr="00B11643">
        <w:rPr>
          <w:rFonts w:ascii="Cambria" w:eastAsia="Batang" w:hAnsi="Cambria" w:cs="Times New Roman"/>
          <w:color w:val="000000"/>
          <w:sz w:val="21"/>
          <w:szCs w:val="21"/>
        </w:rPr>
        <w:t xml:space="preserve">diferentes hospitales de la Piedad, Michoacán, al Coordinador del Centro de Comando, Comunicación, Computo, Control, Coordinación e Inteligencia, al Director de Seguridad Pública Municipal, al Director del Centro de Reinserción Social de la Piedad, al Enlace de Planeación y Estadística y al Director de Servicios Periciales, que comunicaran si contaban con información o registro de </w:t>
      </w:r>
      <w:r w:rsidR="00FE386F">
        <w:rPr>
          <w:rFonts w:ascii="Cambria" w:eastAsia="Batang" w:hAnsi="Cambria" w:cs="Times New Roman"/>
          <w:color w:val="000000"/>
          <w:sz w:val="21"/>
          <w:szCs w:val="21"/>
        </w:rPr>
        <w:t>las dos víctimas desaparecidas.”</w:t>
      </w:r>
      <w:r w:rsidR="00B948CB">
        <w:rPr>
          <w:rFonts w:ascii="Cambria" w:eastAsia="Batang" w:hAnsi="Cambria" w:cs="Times New Roman"/>
          <w:color w:val="000000"/>
          <w:sz w:val="21"/>
          <w:szCs w:val="21"/>
        </w:rPr>
        <w:t xml:space="preserve"> </w:t>
      </w:r>
      <w:r w:rsidR="00FE386F" w:rsidRPr="00B948CB">
        <w:rPr>
          <w:rFonts w:ascii="Cambria" w:eastAsia="Batang" w:hAnsi="Cambria" w:cs="Times New Roman"/>
          <w:color w:val="000000"/>
          <w:sz w:val="21"/>
          <w:szCs w:val="21"/>
        </w:rPr>
        <w:t xml:space="preserve">Igualmente, se habría entrevistado a la familia de los propuestos </w:t>
      </w:r>
      <w:r w:rsidR="003B6DDA" w:rsidRPr="00B948CB">
        <w:rPr>
          <w:rFonts w:ascii="Cambria" w:eastAsia="Batang" w:hAnsi="Cambria" w:cs="Times New Roman"/>
          <w:color w:val="000000"/>
          <w:sz w:val="21"/>
          <w:szCs w:val="21"/>
        </w:rPr>
        <w:t>beneficiarios,</w:t>
      </w:r>
      <w:r w:rsidR="00FE386F" w:rsidRPr="00B948CB">
        <w:rPr>
          <w:rFonts w:ascii="Cambria" w:eastAsia="Batang" w:hAnsi="Cambria" w:cs="Times New Roman"/>
          <w:color w:val="000000"/>
          <w:sz w:val="21"/>
          <w:szCs w:val="21"/>
        </w:rPr>
        <w:t xml:space="preserve"> así como </w:t>
      </w:r>
      <w:r w:rsidR="003B6DDA" w:rsidRPr="00B948CB">
        <w:rPr>
          <w:rFonts w:ascii="Cambria" w:eastAsia="Batang" w:hAnsi="Cambria" w:cs="Times New Roman"/>
          <w:color w:val="000000"/>
          <w:sz w:val="21"/>
          <w:szCs w:val="21"/>
        </w:rPr>
        <w:t>recabado muestras genéticas de la madre de ellos.</w:t>
      </w:r>
    </w:p>
    <w:p w14:paraId="3AA0548A" w14:textId="5BA5C906" w:rsidR="00B948CB" w:rsidRDefault="00B948CB" w:rsidP="00B948CB">
      <w:pPr>
        <w:spacing w:after="0" w:line="240" w:lineRule="auto"/>
        <w:ind w:left="360"/>
        <w:jc w:val="both"/>
        <w:rPr>
          <w:rFonts w:ascii="Cambria" w:eastAsia="Batang" w:hAnsi="Cambria" w:cs="Times New Roman"/>
          <w:color w:val="000000"/>
          <w:sz w:val="21"/>
          <w:szCs w:val="21"/>
        </w:rPr>
      </w:pPr>
    </w:p>
    <w:p w14:paraId="5C99885D" w14:textId="5A6A3DF5" w:rsidR="00C82483" w:rsidRPr="00C82483" w:rsidRDefault="00FF52A6" w:rsidP="000A4AB1">
      <w:pPr>
        <w:numPr>
          <w:ilvl w:val="0"/>
          <w:numId w:val="3"/>
        </w:numPr>
        <w:spacing w:after="0" w:line="240" w:lineRule="auto"/>
        <w:ind w:left="0" w:firstLine="360"/>
        <w:jc w:val="both"/>
        <w:rPr>
          <w:rFonts w:ascii="Cambria" w:eastAsia="Batang" w:hAnsi="Cambria" w:cs="Times New Roman"/>
          <w:color w:val="000000"/>
          <w:sz w:val="21"/>
          <w:szCs w:val="21"/>
        </w:rPr>
      </w:pPr>
      <w:r>
        <w:rPr>
          <w:rFonts w:ascii="Cambria" w:eastAsia="Batang" w:hAnsi="Cambria" w:cs="Times New Roman"/>
          <w:color w:val="000000"/>
          <w:sz w:val="21"/>
          <w:szCs w:val="21"/>
        </w:rPr>
        <w:t>Adicionalmente, l</w:t>
      </w:r>
      <w:r w:rsidR="00B948CB" w:rsidRPr="00C82483">
        <w:rPr>
          <w:rFonts w:ascii="Cambria" w:eastAsia="Batang" w:hAnsi="Cambria" w:cs="Times New Roman"/>
          <w:color w:val="000000"/>
          <w:sz w:val="21"/>
          <w:szCs w:val="21"/>
        </w:rPr>
        <w:t>a Comisión Nacional de los Derechos Humanos habría solicitado a la Fiscalía General de Michoacán (FGM) un “informe pormenorizado sobre los hechos de la detención de los señores Alfonso y Alberto Alejandre Díaz, así como circunstancias de tiempo, modo y lugar en que ocurrieron los hechos y su respectiva documentación, declaraciones y acciones.</w:t>
      </w:r>
      <w:r>
        <w:rPr>
          <w:rFonts w:ascii="Cambria" w:eastAsia="Batang" w:hAnsi="Cambria" w:cs="Times New Roman"/>
          <w:color w:val="000000"/>
          <w:sz w:val="21"/>
          <w:szCs w:val="21"/>
        </w:rPr>
        <w:t>”</w:t>
      </w:r>
      <w:r w:rsidR="00B948CB" w:rsidRPr="00C82483">
        <w:rPr>
          <w:rFonts w:ascii="Cambria" w:eastAsia="Batang" w:hAnsi="Cambria" w:cs="Times New Roman"/>
          <w:color w:val="000000"/>
          <w:sz w:val="21"/>
          <w:szCs w:val="21"/>
        </w:rPr>
        <w:t xml:space="preserve"> Sobre lo anterior, la FGM habría informado que no hay registro de </w:t>
      </w:r>
      <w:r w:rsidR="00C82483" w:rsidRPr="00C82483">
        <w:rPr>
          <w:rFonts w:ascii="Cambria" w:eastAsia="Batang" w:hAnsi="Cambria" w:cs="Times New Roman"/>
          <w:color w:val="000000"/>
          <w:sz w:val="21"/>
          <w:szCs w:val="21"/>
        </w:rPr>
        <w:t>alguna acción o diligencia que “derivara en la ejecución de actos violatorios de derechos humanos contra los presuntos agraviados.</w:t>
      </w:r>
      <w:r w:rsidR="00C82483">
        <w:rPr>
          <w:rFonts w:ascii="Cambria" w:eastAsia="Batang" w:hAnsi="Cambria" w:cs="Times New Roman"/>
          <w:color w:val="000000"/>
          <w:sz w:val="21"/>
          <w:szCs w:val="21"/>
        </w:rPr>
        <w:t>” Además, la FGM indicó que únicamente obra en el expediente pertinente, copias de la carpeta de investigación remitida en su m</w:t>
      </w:r>
      <w:r w:rsidR="00571C9A">
        <w:rPr>
          <w:rFonts w:ascii="Cambria" w:eastAsia="Batang" w:hAnsi="Cambria" w:cs="Times New Roman"/>
          <w:color w:val="000000"/>
          <w:sz w:val="21"/>
          <w:szCs w:val="21"/>
        </w:rPr>
        <w:t>o</w:t>
      </w:r>
      <w:r w:rsidR="00C82483">
        <w:rPr>
          <w:rFonts w:ascii="Cambria" w:eastAsia="Batang" w:hAnsi="Cambria" w:cs="Times New Roman"/>
          <w:color w:val="000000"/>
          <w:sz w:val="21"/>
          <w:szCs w:val="21"/>
        </w:rPr>
        <w:t>mento por la entonces PGR.</w:t>
      </w:r>
    </w:p>
    <w:p w14:paraId="08AB4B64" w14:textId="0A50B24E" w:rsidR="00B948CB" w:rsidRPr="00B948CB" w:rsidRDefault="00B948CB" w:rsidP="00C617D7">
      <w:pPr>
        <w:spacing w:after="0" w:line="240" w:lineRule="auto"/>
        <w:ind w:left="360"/>
        <w:jc w:val="both"/>
        <w:rPr>
          <w:rFonts w:ascii="Cambria" w:eastAsia="Batang" w:hAnsi="Cambria" w:cs="Times New Roman"/>
          <w:color w:val="000000"/>
          <w:sz w:val="21"/>
          <w:szCs w:val="21"/>
        </w:rPr>
      </w:pPr>
    </w:p>
    <w:p w14:paraId="60205886" w14:textId="0D9C7EB4" w:rsidR="00B948CB" w:rsidRPr="003D2D83" w:rsidRDefault="00C617D7" w:rsidP="000A4AB1">
      <w:pPr>
        <w:numPr>
          <w:ilvl w:val="0"/>
          <w:numId w:val="3"/>
        </w:numPr>
        <w:spacing w:after="0" w:line="240" w:lineRule="auto"/>
        <w:ind w:left="0" w:firstLine="360"/>
        <w:jc w:val="both"/>
        <w:rPr>
          <w:rFonts w:ascii="Cambria" w:eastAsia="Batang" w:hAnsi="Cambria" w:cs="Times New Roman"/>
          <w:color w:val="000000"/>
          <w:sz w:val="21"/>
          <w:szCs w:val="21"/>
        </w:rPr>
      </w:pPr>
      <w:r w:rsidRPr="003D2D83">
        <w:rPr>
          <w:rFonts w:ascii="Cambria" w:eastAsia="Batang" w:hAnsi="Cambria" w:cs="Times New Roman"/>
          <w:color w:val="000000"/>
          <w:sz w:val="21"/>
          <w:szCs w:val="21"/>
        </w:rPr>
        <w:t xml:space="preserve">Ante lo expuesto, el Estado manifestó que la Comisión Interamericana debe declinar la presente solicitud de medidas cautelares, invocando el principio de la complementariedad, “en tanto </w:t>
      </w:r>
      <w:r w:rsidRPr="003D2D83">
        <w:rPr>
          <w:rFonts w:ascii="Cambria" w:eastAsia="Batang" w:hAnsi="Cambria" w:cs="Times New Roman"/>
          <w:color w:val="000000"/>
          <w:sz w:val="21"/>
          <w:szCs w:val="21"/>
        </w:rPr>
        <w:lastRenderedPageBreak/>
        <w:t xml:space="preserve">el Estado mexicano ya se encuentra atendiendo la situación de manera diligente en el ámbito interno”. Así el Estado destacó que “[…] derivado de la situación de los propuestos beneficiarios, se iniciaron de manera oportuna las respectivas carpetas de investigación, en el marco de las cuales, se han llevado a cabo las diligencias pertinentes para esclarecer la suerte y paradero de </w:t>
      </w:r>
      <w:r w:rsidR="003D2D83" w:rsidRPr="003D2D83">
        <w:rPr>
          <w:rFonts w:ascii="Cambria" w:eastAsia="Batang" w:hAnsi="Cambria" w:cs="Times New Roman"/>
          <w:color w:val="000000"/>
          <w:sz w:val="21"/>
          <w:szCs w:val="21"/>
        </w:rPr>
        <w:t>las dos personas desaparecidas.”</w:t>
      </w:r>
    </w:p>
    <w:p w14:paraId="169EC53F" w14:textId="77777777" w:rsidR="00B117BB" w:rsidRPr="00B117BB" w:rsidRDefault="00B117BB" w:rsidP="00B117BB">
      <w:pPr>
        <w:spacing w:after="0" w:line="240" w:lineRule="auto"/>
        <w:jc w:val="both"/>
        <w:rPr>
          <w:rFonts w:ascii="Cambria" w:eastAsia="Batang" w:hAnsi="Cambria" w:cs="Times New Roman"/>
          <w:color w:val="000000"/>
          <w:sz w:val="21"/>
          <w:szCs w:val="21"/>
          <w:lang w:val="es-MX"/>
        </w:rPr>
      </w:pPr>
    </w:p>
    <w:p w14:paraId="6401B8A8" w14:textId="50FB8261" w:rsidR="00B117BB" w:rsidRPr="00B117BB" w:rsidRDefault="00B117BB" w:rsidP="00B117BB">
      <w:pPr>
        <w:numPr>
          <w:ilvl w:val="0"/>
          <w:numId w:val="2"/>
        </w:numPr>
        <w:spacing w:after="0" w:line="240" w:lineRule="auto"/>
        <w:ind w:hanging="294"/>
        <w:jc w:val="both"/>
        <w:rPr>
          <w:rFonts w:ascii="Cambria" w:eastAsia="Batang" w:hAnsi="Cambria" w:cs="Times New Roman"/>
          <w:b/>
          <w:color w:val="000000"/>
          <w:sz w:val="21"/>
          <w:szCs w:val="21"/>
          <w:lang w:val="es-ES"/>
        </w:rPr>
      </w:pPr>
      <w:r w:rsidRPr="00B117BB">
        <w:rPr>
          <w:rFonts w:ascii="Cambria" w:eastAsia="Batang" w:hAnsi="Cambria" w:cs="Times New Roman"/>
          <w:b/>
          <w:color w:val="000000"/>
          <w:sz w:val="21"/>
          <w:szCs w:val="21"/>
          <w:lang w:val="es-ES"/>
        </w:rPr>
        <w:t>AN</w:t>
      </w:r>
      <w:r w:rsidR="00B74DAA">
        <w:rPr>
          <w:rFonts w:ascii="Cambria" w:eastAsia="Batang" w:hAnsi="Cambria" w:cs="Times New Roman"/>
          <w:b/>
          <w:color w:val="000000"/>
          <w:sz w:val="21"/>
          <w:szCs w:val="21"/>
          <w:lang w:val="es-ES"/>
        </w:rPr>
        <w:t>Á</w:t>
      </w:r>
      <w:r w:rsidRPr="00B117BB">
        <w:rPr>
          <w:rFonts w:ascii="Cambria" w:eastAsia="Batang" w:hAnsi="Cambria" w:cs="Times New Roman"/>
          <w:b/>
          <w:color w:val="000000"/>
          <w:sz w:val="21"/>
          <w:szCs w:val="21"/>
          <w:lang w:val="es-ES"/>
        </w:rPr>
        <w:t>LISIS SOBRE LOS ELEMENTOS DE GRAVEDAD, URGENCIA E IRREPARABILIDAD</w:t>
      </w:r>
    </w:p>
    <w:p w14:paraId="3115FCC5" w14:textId="77777777" w:rsidR="00B117BB" w:rsidRPr="00B117BB" w:rsidRDefault="00B117BB" w:rsidP="00B117BB">
      <w:pPr>
        <w:spacing w:after="0" w:line="240" w:lineRule="auto"/>
        <w:ind w:left="720"/>
        <w:jc w:val="both"/>
        <w:rPr>
          <w:rFonts w:ascii="Cambria" w:eastAsia="Batang" w:hAnsi="Cambria" w:cs="Times New Roman"/>
          <w:b/>
          <w:color w:val="000000"/>
          <w:sz w:val="21"/>
          <w:szCs w:val="21"/>
          <w:lang w:val="es-ES"/>
        </w:rPr>
      </w:pPr>
    </w:p>
    <w:p w14:paraId="576E1266" w14:textId="0A74AE7D" w:rsidR="00DB487D" w:rsidRPr="0046565E" w:rsidRDefault="00DB487D" w:rsidP="00DB487D">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46565E">
        <w:rPr>
          <w:rFonts w:ascii="Cambria" w:eastAsia="Batang" w:hAnsi="Cambria" w:cs="Times New Roman"/>
          <w:color w:val="000000"/>
          <w:sz w:val="21"/>
          <w:szCs w:val="21"/>
          <w:lang w:val="es-ES"/>
        </w:rPr>
        <w:t>Las medidas cautelares son uno de los mecanismos de la Comisión para el ejercicio de su función de supervisar el cumplimiento con las obligaciones de derechos humanos, establecidas en el artículo 106 de la Carta de la Organización de los Estados Americanos. Las funciones generales de supervisión están establecidas en el artículo 41 (b) de la Convención Americana sobre Derechos Humanos, recogido también en el artículo 18 (b) del Estatuto de la CIDH. El mecanismo de medidas cautelares está descrito en el artículo 25 del Reglamento de la Comisión. De conformidad con ese artículo, la Comisión otorga medidas cautelares en situaciones que son graves y urgentes, en cuales tales medidas son necesarias para prevenir un d</w:t>
      </w:r>
      <w:r>
        <w:rPr>
          <w:rFonts w:ascii="Cambria" w:eastAsia="Batang" w:hAnsi="Cambria" w:cs="Times New Roman"/>
          <w:color w:val="000000"/>
          <w:sz w:val="21"/>
          <w:szCs w:val="21"/>
          <w:lang w:val="es-ES"/>
        </w:rPr>
        <w:t>año irreparable a las personas.</w:t>
      </w:r>
    </w:p>
    <w:p w14:paraId="08AB3758" w14:textId="77777777" w:rsidR="00B117BB" w:rsidRPr="00B117BB" w:rsidRDefault="00B117BB" w:rsidP="00A8790B">
      <w:pPr>
        <w:spacing w:after="0" w:line="240" w:lineRule="auto"/>
        <w:jc w:val="both"/>
        <w:rPr>
          <w:rFonts w:ascii="Cambria" w:eastAsia="Batang" w:hAnsi="Cambria" w:cs="Times New Roman"/>
          <w:color w:val="000000"/>
          <w:sz w:val="21"/>
          <w:szCs w:val="21"/>
          <w:lang w:val="es-ES"/>
        </w:rPr>
      </w:pPr>
    </w:p>
    <w:p w14:paraId="2B76CEDC" w14:textId="0F4EC6BB" w:rsidR="00B117BB" w:rsidRPr="00B117BB" w:rsidRDefault="00B117BB" w:rsidP="00A8790B">
      <w:pPr>
        <w:numPr>
          <w:ilvl w:val="0"/>
          <w:numId w:val="3"/>
        </w:numPr>
        <w:spacing w:after="0" w:line="240" w:lineRule="auto"/>
        <w:ind w:left="0" w:firstLine="360"/>
        <w:jc w:val="both"/>
        <w:rPr>
          <w:rFonts w:ascii="Cambria" w:eastAsia="Batang" w:hAnsi="Cambria" w:cs="Times New Roman"/>
          <w:color w:val="000000"/>
          <w:sz w:val="21"/>
          <w:szCs w:val="21"/>
          <w:lang w:val="es-ES"/>
        </w:rPr>
      </w:pPr>
      <w:r w:rsidRPr="00B117BB">
        <w:rPr>
          <w:rFonts w:ascii="Cambria" w:eastAsia="Batang" w:hAnsi="Cambria" w:cs="Times New Roman"/>
          <w:color w:val="000000"/>
          <w:sz w:val="21"/>
          <w:szCs w:val="21"/>
          <w:lang w:val="es-ES"/>
        </w:rPr>
        <w:t>La Comisión Interamericana y la Corte Interamericana de Derechos Humanos ( “la Corte Interamericana” o “Corte IDH”) han establecido de manera reiterada que las medidas cautelares y provisionales tienen un doble carácter, uno cautelar y otro tutelar. Respecto del carácter tutelar, las medidas buscan evitar un daño irreparable y preservar el ejercicio de los derechos humanos. Con respecto al carácter cautelar, las medidas cautelares tienen como propósito preservar una situación jurídica mientras está siendo considerada por la CIDH. El carácter cautelar tiene por objeto y fin preservar los derechos en posible riesgo hasta tanto se resuelva la petición que se encuentra bajo conocimiento en el Sistema Interamericano. Su objeto y fin son los de asegurar la integridad y la efectividad de la decisión de fondo y, de esta manera, evitar que se lesionen los derechos alegados, situación que podría hacer inocua o desvirtuar el efecto útil (</w:t>
      </w:r>
      <w:r w:rsidRPr="00B117BB">
        <w:rPr>
          <w:rFonts w:ascii="Cambria" w:eastAsia="Batang" w:hAnsi="Cambria" w:cs="Times New Roman"/>
          <w:i/>
          <w:color w:val="000000"/>
          <w:sz w:val="21"/>
          <w:szCs w:val="21"/>
          <w:lang w:val="es-ES"/>
        </w:rPr>
        <w:t>effet utile</w:t>
      </w:r>
      <w:r w:rsidRPr="00B117BB">
        <w:rPr>
          <w:rFonts w:ascii="Cambria" w:eastAsia="Batang" w:hAnsi="Cambria" w:cs="Times New Roman"/>
          <w:color w:val="000000"/>
          <w:sz w:val="21"/>
          <w:szCs w:val="21"/>
          <w:lang w:val="es-ES"/>
        </w:rPr>
        <w:t>) de la decisión final. En tal sentido, las medidas cautelares o provisionales permiten así que el Estado en cuestión pueda cumplir la decisión final y, de ser necesario, cumplir con las reparaciones ordenadas. Para los efectos de tomar una decisión, y de acuerdo con el artículo 25.2 de su Reglame</w:t>
      </w:r>
      <w:r w:rsidR="00A8790B">
        <w:rPr>
          <w:rFonts w:ascii="Cambria" w:eastAsia="Batang" w:hAnsi="Cambria" w:cs="Times New Roman"/>
          <w:color w:val="000000"/>
          <w:sz w:val="21"/>
          <w:szCs w:val="21"/>
          <w:lang w:val="es-ES"/>
        </w:rPr>
        <w:t>nto, la Comisión considera que:</w:t>
      </w:r>
    </w:p>
    <w:p w14:paraId="07EAA7FD" w14:textId="77777777" w:rsidR="00B117BB" w:rsidRPr="00B117BB" w:rsidRDefault="00B117BB" w:rsidP="00B117BB">
      <w:pPr>
        <w:spacing w:after="0" w:line="240" w:lineRule="auto"/>
        <w:jc w:val="both"/>
        <w:rPr>
          <w:rFonts w:ascii="Cambria" w:eastAsia="Batang" w:hAnsi="Cambria" w:cs="Times New Roman"/>
          <w:color w:val="000000"/>
          <w:sz w:val="21"/>
          <w:szCs w:val="21"/>
          <w:lang w:val="es-ES"/>
        </w:rPr>
      </w:pPr>
    </w:p>
    <w:p w14:paraId="503B551F" w14:textId="77777777" w:rsidR="00B117BB" w:rsidRPr="00B117BB" w:rsidRDefault="00B117BB" w:rsidP="00B117BB">
      <w:pPr>
        <w:numPr>
          <w:ilvl w:val="0"/>
          <w:numId w:val="1"/>
        </w:numPr>
        <w:spacing w:after="0" w:line="240" w:lineRule="auto"/>
        <w:jc w:val="both"/>
        <w:rPr>
          <w:rFonts w:ascii="Cambria" w:eastAsia="Batang" w:hAnsi="Cambria" w:cs="Times New Roman"/>
          <w:color w:val="000000"/>
          <w:sz w:val="18"/>
          <w:szCs w:val="21"/>
          <w:lang w:val="es-ES"/>
        </w:rPr>
      </w:pPr>
      <w:r w:rsidRPr="00B117BB">
        <w:rPr>
          <w:rFonts w:ascii="Cambria" w:eastAsia="Batang" w:hAnsi="Cambria" w:cs="Times New Roman"/>
          <w:color w:val="000000"/>
          <w:sz w:val="18"/>
          <w:szCs w:val="21"/>
          <w:lang w:val="es-ES"/>
        </w:rPr>
        <w:t xml:space="preserve">La “gravedad de la situación” implica el serio impacto que una acción u omisión puede tener sobre un derecho protegido o sobre el efecto eventual de una decisión pendiente en un caso o petición ante los órganos del Sistema Interamericano; </w:t>
      </w:r>
    </w:p>
    <w:p w14:paraId="0F3D79A8" w14:textId="77777777" w:rsidR="00B117BB" w:rsidRPr="00B117BB" w:rsidRDefault="00B117BB" w:rsidP="00B117BB">
      <w:pPr>
        <w:spacing w:after="0" w:line="240" w:lineRule="auto"/>
        <w:ind w:left="720"/>
        <w:jc w:val="both"/>
        <w:rPr>
          <w:rFonts w:ascii="Cambria" w:eastAsia="Batang" w:hAnsi="Cambria" w:cs="Times New Roman"/>
          <w:color w:val="000000"/>
          <w:sz w:val="18"/>
          <w:szCs w:val="21"/>
          <w:lang w:val="es-ES"/>
        </w:rPr>
      </w:pPr>
    </w:p>
    <w:p w14:paraId="4470CB04" w14:textId="77777777" w:rsidR="00B117BB" w:rsidRPr="00B117BB" w:rsidRDefault="00B117BB" w:rsidP="00B117BB">
      <w:pPr>
        <w:numPr>
          <w:ilvl w:val="0"/>
          <w:numId w:val="1"/>
        </w:numPr>
        <w:spacing w:after="0" w:line="240" w:lineRule="auto"/>
        <w:jc w:val="both"/>
        <w:rPr>
          <w:rFonts w:ascii="Cambria" w:eastAsia="Batang" w:hAnsi="Cambria" w:cs="Times New Roman"/>
          <w:color w:val="000000"/>
          <w:sz w:val="18"/>
          <w:szCs w:val="21"/>
          <w:lang w:val="es-ES"/>
        </w:rPr>
      </w:pPr>
      <w:r w:rsidRPr="00B117BB">
        <w:rPr>
          <w:rFonts w:ascii="Cambria" w:eastAsia="Batang" w:hAnsi="Cambria" w:cs="Times New Roman"/>
          <w:color w:val="000000"/>
          <w:sz w:val="18"/>
          <w:szCs w:val="21"/>
          <w:lang w:val="es-ES"/>
        </w:rPr>
        <w:t xml:space="preserve">La “urgencia de la situación” se determina por medio de la información aportada, indicando el riesgo o la amenaza que puedan ser inminentes y materializarse, requiriendo de esa manera una acción preventiva o tutelar; y </w:t>
      </w:r>
    </w:p>
    <w:p w14:paraId="36294001" w14:textId="77777777" w:rsidR="00B117BB" w:rsidRPr="00B117BB" w:rsidRDefault="00B117BB" w:rsidP="00B117BB">
      <w:pPr>
        <w:spacing w:after="0" w:line="240" w:lineRule="auto"/>
        <w:ind w:left="720"/>
        <w:jc w:val="both"/>
        <w:rPr>
          <w:rFonts w:ascii="Cambria" w:eastAsia="Batang" w:hAnsi="Cambria" w:cs="Times New Roman"/>
          <w:color w:val="000000"/>
          <w:sz w:val="18"/>
          <w:szCs w:val="21"/>
          <w:lang w:val="es-ES"/>
        </w:rPr>
      </w:pPr>
    </w:p>
    <w:p w14:paraId="67894140" w14:textId="77777777" w:rsidR="00B117BB" w:rsidRPr="00B117BB" w:rsidRDefault="00B117BB" w:rsidP="00B117BB">
      <w:pPr>
        <w:numPr>
          <w:ilvl w:val="0"/>
          <w:numId w:val="1"/>
        </w:numPr>
        <w:spacing w:after="0" w:line="240" w:lineRule="auto"/>
        <w:jc w:val="both"/>
        <w:rPr>
          <w:rFonts w:ascii="Cambria" w:eastAsia="Batang" w:hAnsi="Cambria" w:cs="Times New Roman"/>
          <w:color w:val="000000"/>
          <w:sz w:val="18"/>
          <w:szCs w:val="21"/>
          <w:lang w:val="es-ES"/>
        </w:rPr>
      </w:pPr>
      <w:r w:rsidRPr="00B117BB">
        <w:rPr>
          <w:rFonts w:ascii="Cambria" w:eastAsia="Batang" w:hAnsi="Cambria" w:cs="Times New Roman"/>
          <w:color w:val="000000"/>
          <w:sz w:val="18"/>
          <w:szCs w:val="21"/>
          <w:lang w:val="es-ES"/>
        </w:rPr>
        <w:t>El “daño irreparable” consiste en la afectación sobre derechos que, por su propia naturaleza, no son susceptibles de reparación, restauración o adecuada indemnización.</w:t>
      </w:r>
    </w:p>
    <w:p w14:paraId="17991AC1" w14:textId="77777777" w:rsidR="00B117BB" w:rsidRPr="00B117BB" w:rsidRDefault="00B117BB" w:rsidP="00B117BB">
      <w:pPr>
        <w:tabs>
          <w:tab w:val="left" w:pos="5161"/>
        </w:tabs>
        <w:spacing w:after="0" w:line="240" w:lineRule="auto"/>
        <w:jc w:val="both"/>
        <w:rPr>
          <w:rFonts w:ascii="Cambria" w:eastAsia="Batang" w:hAnsi="Cambria" w:cs="Times New Roman"/>
          <w:sz w:val="21"/>
          <w:szCs w:val="21"/>
          <w:lang w:val="es-ES"/>
        </w:rPr>
      </w:pPr>
    </w:p>
    <w:p w14:paraId="67A4242B" w14:textId="7A423CA6" w:rsidR="00B117BB" w:rsidRDefault="00B117BB" w:rsidP="00A8790B">
      <w:pPr>
        <w:numPr>
          <w:ilvl w:val="0"/>
          <w:numId w:val="3"/>
        </w:numPr>
        <w:spacing w:after="0" w:line="240" w:lineRule="auto"/>
        <w:ind w:left="0" w:firstLine="360"/>
        <w:jc w:val="both"/>
        <w:rPr>
          <w:rFonts w:ascii="Cambria" w:eastAsia="Batang" w:hAnsi="Cambria" w:cs="Times New Roman"/>
          <w:color w:val="000000"/>
          <w:sz w:val="21"/>
          <w:szCs w:val="21"/>
          <w:lang w:val="es-ES"/>
        </w:rPr>
      </w:pPr>
      <w:r w:rsidRPr="00B117BB">
        <w:rPr>
          <w:rFonts w:ascii="Cambria" w:eastAsia="Batang" w:hAnsi="Cambria" w:cs="Times New Roman"/>
          <w:color w:val="000000"/>
          <w:sz w:val="21"/>
          <w:szCs w:val="21"/>
          <w:lang w:val="es-ES"/>
        </w:rPr>
        <w:t xml:space="preserve">En el análisis de los mencionados requisitos, la Comisión reitera que los hechos que motivan una solicitud de medidas cautelares no requieren estar plenamente comprobados. La información proporcionada, a efectos de identificar una situación de gravedad y urgencia, debe ser apreciada desde </w:t>
      </w:r>
      <w:r w:rsidR="006349E5">
        <w:rPr>
          <w:rFonts w:ascii="Cambria" w:eastAsia="Batang" w:hAnsi="Cambria" w:cs="Times New Roman"/>
          <w:color w:val="000000"/>
          <w:sz w:val="21"/>
          <w:szCs w:val="21"/>
          <w:lang w:val="es-ES"/>
        </w:rPr>
        <w:t>un estándar</w:t>
      </w:r>
      <w:r w:rsidRPr="00B117BB">
        <w:rPr>
          <w:rFonts w:ascii="Cambria" w:eastAsia="Batang" w:hAnsi="Cambria" w:cs="Times New Roman"/>
          <w:color w:val="000000"/>
          <w:sz w:val="21"/>
          <w:szCs w:val="21"/>
          <w:lang w:val="es-ES"/>
        </w:rPr>
        <w:t xml:space="preserve"> </w:t>
      </w:r>
      <w:r w:rsidRPr="00B117BB">
        <w:rPr>
          <w:rFonts w:ascii="Cambria" w:eastAsia="Batang" w:hAnsi="Cambria" w:cs="Times New Roman"/>
          <w:i/>
          <w:color w:val="000000"/>
          <w:sz w:val="21"/>
          <w:szCs w:val="21"/>
          <w:lang w:val="es-ES"/>
        </w:rPr>
        <w:t>prima facie</w:t>
      </w:r>
      <w:r w:rsidRPr="00B117BB">
        <w:rPr>
          <w:rFonts w:ascii="Cambria" w:eastAsia="Batang" w:hAnsi="Cambria" w:cs="Times New Roman"/>
          <w:color w:val="000000"/>
          <w:sz w:val="21"/>
          <w:szCs w:val="21"/>
          <w:vertAlign w:val="superscript"/>
          <w:lang w:val="es-ES"/>
        </w:rPr>
        <w:footnoteReference w:id="2"/>
      </w:r>
      <w:r w:rsidRPr="00B117BB">
        <w:rPr>
          <w:rFonts w:ascii="Cambria" w:eastAsia="Batang" w:hAnsi="Cambria" w:cs="Times New Roman"/>
          <w:color w:val="000000"/>
          <w:sz w:val="21"/>
          <w:szCs w:val="21"/>
          <w:lang w:val="es-ES"/>
        </w:rPr>
        <w:t>.</w:t>
      </w:r>
    </w:p>
    <w:p w14:paraId="42614A20" w14:textId="77777777" w:rsidR="00B74DAA" w:rsidRDefault="00B74DAA" w:rsidP="00B74DAA">
      <w:pPr>
        <w:spacing w:after="0" w:line="240" w:lineRule="auto"/>
        <w:ind w:left="360"/>
        <w:jc w:val="both"/>
        <w:rPr>
          <w:rFonts w:ascii="Cambria" w:eastAsia="Batang" w:hAnsi="Cambria" w:cs="Times New Roman"/>
          <w:color w:val="000000"/>
          <w:sz w:val="21"/>
          <w:szCs w:val="21"/>
          <w:lang w:val="es-ES"/>
        </w:rPr>
      </w:pPr>
    </w:p>
    <w:p w14:paraId="27BF848A" w14:textId="76A75500" w:rsidR="00B74DAA" w:rsidRDefault="00B74DAA" w:rsidP="00A8790B">
      <w:pPr>
        <w:numPr>
          <w:ilvl w:val="0"/>
          <w:numId w:val="3"/>
        </w:numPr>
        <w:spacing w:after="0" w:line="240" w:lineRule="auto"/>
        <w:ind w:left="0" w:firstLine="360"/>
        <w:jc w:val="both"/>
        <w:rPr>
          <w:rFonts w:ascii="Cambria" w:eastAsia="Batang" w:hAnsi="Cambria" w:cs="Times New Roman"/>
          <w:color w:val="000000"/>
          <w:sz w:val="21"/>
          <w:szCs w:val="21"/>
          <w:lang w:val="es-ES"/>
        </w:rPr>
      </w:pPr>
      <w:r>
        <w:rPr>
          <w:rFonts w:ascii="Cambria" w:eastAsia="Batang" w:hAnsi="Cambria" w:cs="Times New Roman"/>
          <w:color w:val="000000"/>
          <w:sz w:val="21"/>
          <w:szCs w:val="21"/>
          <w:lang w:val="es-ES"/>
        </w:rPr>
        <w:t xml:space="preserve">En relación con el requisito de gravedad, </w:t>
      </w:r>
      <w:r w:rsidR="006349E5">
        <w:rPr>
          <w:rFonts w:ascii="Cambria" w:eastAsia="Batang" w:hAnsi="Cambria" w:cs="Times New Roman"/>
          <w:color w:val="000000"/>
          <w:sz w:val="21"/>
          <w:szCs w:val="21"/>
          <w:lang w:val="es-ES"/>
        </w:rPr>
        <w:t xml:space="preserve">en los supuestos de desaparición la Comisión ha tomado en cuenta los indicios de posible participación y conocimiento de autoridades estatales en los </w:t>
      </w:r>
      <w:r w:rsidR="006349E5">
        <w:rPr>
          <w:rFonts w:ascii="Cambria" w:eastAsia="Batang" w:hAnsi="Cambria" w:cs="Times New Roman"/>
          <w:color w:val="000000"/>
          <w:sz w:val="21"/>
          <w:szCs w:val="21"/>
          <w:lang w:val="es-ES"/>
        </w:rPr>
        <w:lastRenderedPageBreak/>
        <w:t>hechos</w:t>
      </w:r>
      <w:r w:rsidR="00790EC3">
        <w:rPr>
          <w:rStyle w:val="FootnoteReference"/>
          <w:rFonts w:ascii="Cambria" w:eastAsia="Batang" w:hAnsi="Cambria" w:cs="Times New Roman"/>
          <w:color w:val="000000"/>
          <w:sz w:val="21"/>
          <w:szCs w:val="21"/>
          <w:lang w:val="es-ES"/>
        </w:rPr>
        <w:footnoteReference w:id="3"/>
      </w:r>
      <w:r w:rsidR="006349E5">
        <w:rPr>
          <w:rFonts w:ascii="Cambria" w:eastAsia="Batang" w:hAnsi="Cambria" w:cs="Times New Roman"/>
          <w:color w:val="000000"/>
          <w:sz w:val="21"/>
          <w:szCs w:val="21"/>
          <w:lang w:val="es-ES"/>
        </w:rPr>
        <w:t>, pues sin perjuicio de que los derechos a la vida e integridad personal pueden igualmente hallarse en riesgo en el caso de que se haya producido un secuestro</w:t>
      </w:r>
      <w:r w:rsidR="006349E5">
        <w:rPr>
          <w:rStyle w:val="FootnoteReference"/>
          <w:rFonts w:ascii="Cambria" w:eastAsia="Batang" w:hAnsi="Cambria" w:cs="Times New Roman"/>
          <w:color w:val="000000"/>
          <w:sz w:val="21"/>
          <w:szCs w:val="21"/>
          <w:lang w:val="es-ES"/>
        </w:rPr>
        <w:footnoteReference w:id="4"/>
      </w:r>
      <w:r w:rsidR="006349E5">
        <w:rPr>
          <w:rFonts w:ascii="Cambria" w:eastAsia="Batang" w:hAnsi="Cambria" w:cs="Times New Roman"/>
          <w:color w:val="000000"/>
          <w:sz w:val="21"/>
          <w:szCs w:val="21"/>
          <w:lang w:val="es-ES"/>
        </w:rPr>
        <w:t xml:space="preserve"> </w:t>
      </w:r>
      <w:r w:rsidR="0096262C">
        <w:rPr>
          <w:rFonts w:ascii="Cambria" w:eastAsia="Batang" w:hAnsi="Cambria" w:cs="Times New Roman"/>
          <w:color w:val="000000"/>
          <w:sz w:val="21"/>
          <w:szCs w:val="21"/>
          <w:lang w:val="es-ES"/>
        </w:rPr>
        <w:t>u otra causa de</w:t>
      </w:r>
      <w:r w:rsidR="006349E5">
        <w:rPr>
          <w:rFonts w:ascii="Cambria" w:eastAsia="Batang" w:hAnsi="Cambria" w:cs="Times New Roman"/>
          <w:color w:val="000000"/>
          <w:sz w:val="21"/>
          <w:szCs w:val="21"/>
          <w:lang w:val="es-ES"/>
        </w:rPr>
        <w:t xml:space="preserve"> desaparición</w:t>
      </w:r>
      <w:r w:rsidR="006349E5">
        <w:rPr>
          <w:rStyle w:val="FootnoteReference"/>
          <w:rFonts w:ascii="Cambria" w:eastAsia="Batang" w:hAnsi="Cambria" w:cs="Times New Roman"/>
          <w:color w:val="000000"/>
          <w:sz w:val="21"/>
          <w:szCs w:val="21"/>
          <w:lang w:val="es-ES"/>
        </w:rPr>
        <w:footnoteReference w:id="5"/>
      </w:r>
      <w:r w:rsidR="006349E5">
        <w:rPr>
          <w:rFonts w:ascii="Cambria" w:eastAsia="Batang" w:hAnsi="Cambria" w:cs="Times New Roman"/>
          <w:color w:val="000000"/>
          <w:sz w:val="21"/>
          <w:szCs w:val="21"/>
          <w:lang w:val="es-ES"/>
        </w:rPr>
        <w:t xml:space="preserve">, estos aspectos </w:t>
      </w:r>
      <w:r w:rsidR="005F0A14">
        <w:rPr>
          <w:rFonts w:ascii="Cambria" w:eastAsia="Batang" w:hAnsi="Cambria" w:cs="Times New Roman"/>
          <w:color w:val="000000"/>
          <w:sz w:val="21"/>
          <w:szCs w:val="21"/>
          <w:lang w:val="es-ES"/>
        </w:rPr>
        <w:t>inciden</w:t>
      </w:r>
      <w:r w:rsidR="006349E5">
        <w:rPr>
          <w:rFonts w:ascii="Cambria" w:eastAsia="Batang" w:hAnsi="Cambria" w:cs="Times New Roman"/>
          <w:color w:val="000000"/>
          <w:sz w:val="21"/>
          <w:szCs w:val="21"/>
          <w:lang w:val="es-ES"/>
        </w:rPr>
        <w:t xml:space="preserve"> en la valoración particular que se efectúe al momento de calificar la </w:t>
      </w:r>
      <w:r w:rsidR="0096262C">
        <w:rPr>
          <w:rFonts w:ascii="Cambria" w:eastAsia="Batang" w:hAnsi="Cambria" w:cs="Times New Roman"/>
          <w:color w:val="000000"/>
          <w:sz w:val="21"/>
          <w:szCs w:val="21"/>
          <w:lang w:val="es-ES"/>
        </w:rPr>
        <w:t>gravedad</w:t>
      </w:r>
      <w:r w:rsidR="006349E5">
        <w:rPr>
          <w:rFonts w:ascii="Cambria" w:eastAsia="Batang" w:hAnsi="Cambria" w:cs="Times New Roman"/>
          <w:color w:val="000000"/>
          <w:sz w:val="21"/>
          <w:szCs w:val="21"/>
          <w:lang w:val="es-ES"/>
        </w:rPr>
        <w:t xml:space="preserve">. </w:t>
      </w:r>
      <w:r w:rsidR="0035388A">
        <w:rPr>
          <w:rFonts w:ascii="Cambria" w:eastAsia="Batang" w:hAnsi="Cambria" w:cs="Times New Roman"/>
          <w:color w:val="000000"/>
          <w:sz w:val="21"/>
          <w:szCs w:val="21"/>
          <w:lang w:val="es-ES"/>
        </w:rPr>
        <w:t xml:space="preserve">De acuerdo con los precedentes existentes, ejemplos </w:t>
      </w:r>
      <w:r w:rsidR="0035388A" w:rsidRPr="0035388A">
        <w:rPr>
          <w:rFonts w:ascii="Cambria" w:eastAsia="Batang" w:hAnsi="Cambria" w:cs="Times New Roman"/>
          <w:color w:val="000000"/>
          <w:sz w:val="21"/>
          <w:szCs w:val="21"/>
          <w:lang w:val="es-ES"/>
        </w:rPr>
        <w:t>de la posible vinculación con agentes estatales son la presencia de miembros del ejército en la zona donde ocurrió la desaparición</w:t>
      </w:r>
      <w:r w:rsidR="0035388A" w:rsidRPr="0035388A">
        <w:rPr>
          <w:rFonts w:ascii="Cambria" w:eastAsia="Batang" w:hAnsi="Cambria" w:cs="Times New Roman"/>
          <w:color w:val="000000"/>
          <w:sz w:val="21"/>
          <w:szCs w:val="21"/>
          <w:vertAlign w:val="superscript"/>
          <w:lang w:val="es-ES"/>
        </w:rPr>
        <w:footnoteReference w:id="6"/>
      </w:r>
      <w:r w:rsidR="0035388A" w:rsidRPr="0035388A">
        <w:rPr>
          <w:rFonts w:ascii="Cambria" w:eastAsia="Batang" w:hAnsi="Cambria" w:cs="Times New Roman"/>
          <w:color w:val="000000"/>
          <w:sz w:val="21"/>
          <w:szCs w:val="21"/>
          <w:lang w:val="es-ES"/>
        </w:rPr>
        <w:t>, la privación de la libertad por grupos paramilitares o armados que operen de manera conjunta con autoridades estatales</w:t>
      </w:r>
      <w:r w:rsidR="0035388A" w:rsidRPr="0035388A">
        <w:rPr>
          <w:rFonts w:ascii="Cambria" w:eastAsia="Batang" w:hAnsi="Cambria" w:cs="Times New Roman"/>
          <w:color w:val="000000"/>
          <w:sz w:val="21"/>
          <w:szCs w:val="21"/>
          <w:vertAlign w:val="superscript"/>
          <w:lang w:val="es-ES"/>
        </w:rPr>
        <w:footnoteReference w:id="7"/>
      </w:r>
      <w:r w:rsidR="0035388A" w:rsidRPr="0035388A">
        <w:rPr>
          <w:rFonts w:ascii="Cambria" w:eastAsia="Batang" w:hAnsi="Cambria" w:cs="Times New Roman"/>
          <w:color w:val="000000"/>
          <w:sz w:val="21"/>
          <w:szCs w:val="21"/>
          <w:lang w:val="es-ES"/>
        </w:rPr>
        <w:t>, o por testimonios que aleguen haberlos visto por última vez abordando un vehículo por órdenes de agentes policiales</w:t>
      </w:r>
      <w:r w:rsidR="0035388A" w:rsidRPr="0035388A">
        <w:rPr>
          <w:rFonts w:ascii="Cambria" w:eastAsia="Batang" w:hAnsi="Cambria" w:cs="Times New Roman"/>
          <w:color w:val="000000"/>
          <w:sz w:val="21"/>
          <w:szCs w:val="21"/>
          <w:vertAlign w:val="superscript"/>
          <w:lang w:val="es-ES"/>
        </w:rPr>
        <w:footnoteReference w:id="8"/>
      </w:r>
      <w:r w:rsidR="0035388A" w:rsidRPr="0035388A">
        <w:rPr>
          <w:rFonts w:ascii="Cambria" w:eastAsia="Batang" w:hAnsi="Cambria" w:cs="Times New Roman"/>
          <w:color w:val="000000"/>
          <w:sz w:val="21"/>
          <w:szCs w:val="21"/>
          <w:lang w:val="es-ES"/>
        </w:rPr>
        <w:t>, entre otros que demuestren la vinculación del hecho con el Estado a través de la participación de algún agente estatal.</w:t>
      </w:r>
    </w:p>
    <w:p w14:paraId="1F0C7F75" w14:textId="77777777" w:rsidR="00AC1B18" w:rsidRDefault="00AC1B18" w:rsidP="00AC1B18">
      <w:pPr>
        <w:spacing w:after="0" w:line="240" w:lineRule="auto"/>
        <w:ind w:left="360"/>
        <w:jc w:val="both"/>
        <w:rPr>
          <w:rFonts w:ascii="Cambria" w:eastAsia="Batang" w:hAnsi="Cambria" w:cs="Times New Roman"/>
          <w:color w:val="000000"/>
          <w:sz w:val="21"/>
          <w:szCs w:val="21"/>
          <w:lang w:val="es-ES"/>
        </w:rPr>
      </w:pPr>
    </w:p>
    <w:p w14:paraId="14FE03F9" w14:textId="4F7C7A83" w:rsidR="00B31D82" w:rsidRPr="00B31D82" w:rsidRDefault="00790EC3" w:rsidP="000A4AB1">
      <w:pPr>
        <w:numPr>
          <w:ilvl w:val="0"/>
          <w:numId w:val="3"/>
        </w:numPr>
        <w:spacing w:after="0" w:line="240" w:lineRule="auto"/>
        <w:ind w:left="0" w:firstLine="360"/>
        <w:jc w:val="both"/>
        <w:rPr>
          <w:rFonts w:ascii="Cambria" w:eastAsia="Batang" w:hAnsi="Cambria" w:cs="Times New Roman"/>
          <w:color w:val="000000"/>
          <w:sz w:val="21"/>
          <w:szCs w:val="21"/>
          <w:lang w:val="es-ES"/>
        </w:rPr>
      </w:pPr>
      <w:r>
        <w:rPr>
          <w:rFonts w:ascii="Cambria" w:eastAsia="Batang" w:hAnsi="Cambria" w:cs="Times New Roman"/>
          <w:color w:val="000000"/>
          <w:sz w:val="21"/>
          <w:szCs w:val="21"/>
          <w:lang w:val="es-ES"/>
        </w:rPr>
        <w:t>En el presente asunto, l</w:t>
      </w:r>
      <w:r w:rsidR="0088319B">
        <w:rPr>
          <w:rFonts w:ascii="Cambria" w:eastAsia="Batang" w:hAnsi="Cambria" w:cs="Times New Roman"/>
          <w:color w:val="000000"/>
          <w:sz w:val="21"/>
          <w:szCs w:val="21"/>
          <w:lang w:val="es-ES"/>
        </w:rPr>
        <w:t>a Comisión considera que el requisito de gravedad se encuentra cumplido en vista de que desde el 22 de marzo de 2019 se desconocería el destino o paradero de los propuestos beneficiarios. Según la información disponible, la última vez que su familia supo de su ubicaci</w:t>
      </w:r>
      <w:r>
        <w:rPr>
          <w:rFonts w:ascii="Cambria" w:eastAsia="Batang" w:hAnsi="Cambria" w:cs="Times New Roman"/>
          <w:color w:val="000000"/>
          <w:sz w:val="21"/>
          <w:szCs w:val="21"/>
          <w:lang w:val="es-ES"/>
        </w:rPr>
        <w:t>ó</w:t>
      </w:r>
      <w:r w:rsidR="0088319B">
        <w:rPr>
          <w:rFonts w:ascii="Cambria" w:eastAsia="Batang" w:hAnsi="Cambria" w:cs="Times New Roman"/>
          <w:color w:val="000000"/>
          <w:sz w:val="21"/>
          <w:szCs w:val="21"/>
          <w:lang w:val="es-ES"/>
        </w:rPr>
        <w:t xml:space="preserve">n, los propuestos beneficiarios </w:t>
      </w:r>
      <w:r w:rsidR="00B74DAA">
        <w:rPr>
          <w:rFonts w:ascii="Cambria" w:eastAsia="Batang" w:hAnsi="Cambria" w:cs="Times New Roman"/>
          <w:color w:val="000000"/>
          <w:sz w:val="21"/>
          <w:szCs w:val="21"/>
          <w:lang w:val="es-ES"/>
        </w:rPr>
        <w:t xml:space="preserve">habrían estado </w:t>
      </w:r>
      <w:r w:rsidR="0088319B">
        <w:rPr>
          <w:rFonts w:ascii="Cambria" w:eastAsia="Batang" w:hAnsi="Cambria" w:cs="Times New Roman"/>
          <w:color w:val="000000"/>
          <w:sz w:val="21"/>
          <w:szCs w:val="21"/>
          <w:lang w:val="es-ES"/>
        </w:rPr>
        <w:t>bajo la custodia de la PGR, siendo presuntamente liberados</w:t>
      </w:r>
      <w:r w:rsidR="00400A96">
        <w:rPr>
          <w:rFonts w:ascii="Cambria" w:eastAsia="Batang" w:hAnsi="Cambria" w:cs="Times New Roman"/>
          <w:color w:val="000000"/>
          <w:sz w:val="21"/>
          <w:szCs w:val="21"/>
          <w:lang w:val="es-ES"/>
        </w:rPr>
        <w:t xml:space="preserve"> el mismo día</w:t>
      </w:r>
      <w:r>
        <w:rPr>
          <w:rFonts w:ascii="Cambria" w:eastAsia="Batang" w:hAnsi="Cambria" w:cs="Times New Roman"/>
          <w:color w:val="000000"/>
          <w:sz w:val="21"/>
          <w:szCs w:val="21"/>
          <w:lang w:val="es-ES"/>
        </w:rPr>
        <w:t xml:space="preserve"> en circunstancias que, según indican, al día de la fecha no habrían sido aclaradas</w:t>
      </w:r>
      <w:r w:rsidR="00400A96">
        <w:rPr>
          <w:rFonts w:ascii="Cambria" w:eastAsia="Batang" w:hAnsi="Cambria" w:cs="Times New Roman"/>
          <w:color w:val="000000"/>
          <w:sz w:val="21"/>
          <w:szCs w:val="21"/>
          <w:lang w:val="es-ES"/>
        </w:rPr>
        <w:t xml:space="preserve">. Al respecto, la Comisión nota la seriedad de las alegaciones de que </w:t>
      </w:r>
      <w:r>
        <w:rPr>
          <w:rFonts w:ascii="Cambria" w:eastAsia="Batang" w:hAnsi="Cambria" w:cs="Times New Roman"/>
          <w:color w:val="000000"/>
          <w:sz w:val="21"/>
          <w:szCs w:val="21"/>
          <w:lang w:val="es-ES"/>
        </w:rPr>
        <w:t xml:space="preserve">algunos </w:t>
      </w:r>
      <w:r w:rsidR="00400A96">
        <w:rPr>
          <w:rFonts w:ascii="Cambria" w:eastAsia="Batang" w:hAnsi="Cambria" w:cs="Times New Roman"/>
          <w:color w:val="000000"/>
          <w:sz w:val="21"/>
          <w:szCs w:val="21"/>
          <w:lang w:val="es-ES"/>
        </w:rPr>
        <w:t>agentes estatales estarían involucrados</w:t>
      </w:r>
      <w:r>
        <w:rPr>
          <w:rFonts w:ascii="Cambria" w:eastAsia="Batang" w:hAnsi="Cambria" w:cs="Times New Roman"/>
          <w:color w:val="000000"/>
          <w:sz w:val="21"/>
          <w:szCs w:val="21"/>
          <w:lang w:val="es-ES"/>
        </w:rPr>
        <w:t xml:space="preserve"> o por lo menos </w:t>
      </w:r>
      <w:r w:rsidR="008F3387">
        <w:rPr>
          <w:rFonts w:ascii="Cambria" w:eastAsia="Batang" w:hAnsi="Cambria" w:cs="Times New Roman"/>
          <w:color w:val="000000"/>
          <w:sz w:val="21"/>
          <w:szCs w:val="21"/>
          <w:lang w:val="es-ES"/>
        </w:rPr>
        <w:t>podrían tener</w:t>
      </w:r>
      <w:r>
        <w:rPr>
          <w:rFonts w:ascii="Cambria" w:eastAsia="Batang" w:hAnsi="Cambria" w:cs="Times New Roman"/>
          <w:color w:val="000000"/>
          <w:sz w:val="21"/>
          <w:szCs w:val="21"/>
          <w:lang w:val="es-ES"/>
        </w:rPr>
        <w:t xml:space="preserve"> conocimiento</w:t>
      </w:r>
      <w:r w:rsidR="00400A96">
        <w:rPr>
          <w:rFonts w:ascii="Cambria" w:eastAsia="Batang" w:hAnsi="Cambria" w:cs="Times New Roman"/>
          <w:color w:val="000000"/>
          <w:sz w:val="21"/>
          <w:szCs w:val="21"/>
          <w:lang w:val="es-ES"/>
        </w:rPr>
        <w:t xml:space="preserve"> </w:t>
      </w:r>
      <w:r>
        <w:rPr>
          <w:rFonts w:ascii="Cambria" w:eastAsia="Batang" w:hAnsi="Cambria" w:cs="Times New Roman"/>
          <w:color w:val="000000"/>
          <w:sz w:val="21"/>
          <w:szCs w:val="21"/>
          <w:lang w:val="es-ES"/>
        </w:rPr>
        <w:t>de</w:t>
      </w:r>
      <w:r w:rsidR="00400A96">
        <w:rPr>
          <w:rFonts w:ascii="Cambria" w:eastAsia="Batang" w:hAnsi="Cambria" w:cs="Times New Roman"/>
          <w:color w:val="000000"/>
          <w:sz w:val="21"/>
          <w:szCs w:val="21"/>
          <w:lang w:val="es-ES"/>
        </w:rPr>
        <w:t xml:space="preserve"> la desaparición</w:t>
      </w:r>
      <w:r w:rsidR="00F22BA6">
        <w:rPr>
          <w:rFonts w:ascii="Cambria" w:eastAsia="Batang" w:hAnsi="Cambria" w:cs="Times New Roman"/>
          <w:color w:val="000000"/>
          <w:sz w:val="21"/>
          <w:szCs w:val="21"/>
          <w:lang w:val="es-ES"/>
        </w:rPr>
        <w:t xml:space="preserve">, </w:t>
      </w:r>
      <w:r>
        <w:rPr>
          <w:rFonts w:ascii="Cambria" w:eastAsia="Batang" w:hAnsi="Cambria" w:cs="Times New Roman"/>
          <w:color w:val="000000"/>
          <w:sz w:val="21"/>
          <w:szCs w:val="21"/>
          <w:lang w:val="es-ES"/>
        </w:rPr>
        <w:t>resaltando como posible indicio la previa participación de ciertos elementos policiales en el ataque perpetrado el 20 de marzo de 2019, según lo manifestado por los solicitantes</w:t>
      </w:r>
      <w:r w:rsidR="00F22BA6">
        <w:rPr>
          <w:rFonts w:ascii="Cambria" w:eastAsia="Batang" w:hAnsi="Cambria" w:cs="Times New Roman"/>
          <w:color w:val="000000"/>
          <w:sz w:val="21"/>
          <w:szCs w:val="21"/>
          <w:lang w:val="es-ES"/>
        </w:rPr>
        <w:t>,</w:t>
      </w:r>
      <w:r w:rsidR="00327749">
        <w:rPr>
          <w:rFonts w:ascii="Cambria" w:eastAsia="Batang" w:hAnsi="Cambria" w:cs="Times New Roman"/>
          <w:color w:val="000000"/>
          <w:sz w:val="21"/>
          <w:szCs w:val="21"/>
          <w:lang w:val="es-ES"/>
        </w:rPr>
        <w:t xml:space="preserve"> y</w:t>
      </w:r>
      <w:r w:rsidR="0061754F">
        <w:rPr>
          <w:rFonts w:ascii="Cambria" w:eastAsia="Batang" w:hAnsi="Cambria" w:cs="Times New Roman"/>
          <w:color w:val="000000"/>
          <w:sz w:val="21"/>
          <w:szCs w:val="21"/>
          <w:lang w:val="es-ES"/>
        </w:rPr>
        <w:t xml:space="preserve"> advierte que </w:t>
      </w:r>
      <w:r w:rsidR="0061754F" w:rsidRPr="0061754F">
        <w:rPr>
          <w:rFonts w:ascii="Cambria" w:eastAsia="Batang" w:hAnsi="Cambria" w:cs="Times New Roman"/>
          <w:color w:val="000000"/>
          <w:sz w:val="21"/>
          <w:szCs w:val="21"/>
        </w:rPr>
        <w:t xml:space="preserve">el Estado no desvirtuó ni ofreció una narrativa distinta a </w:t>
      </w:r>
      <w:r>
        <w:rPr>
          <w:rFonts w:ascii="Cambria" w:eastAsia="Batang" w:hAnsi="Cambria" w:cs="Times New Roman"/>
          <w:color w:val="000000"/>
          <w:sz w:val="21"/>
          <w:szCs w:val="21"/>
        </w:rPr>
        <w:t>estos</w:t>
      </w:r>
      <w:r w:rsidRPr="0061754F">
        <w:rPr>
          <w:rFonts w:ascii="Cambria" w:eastAsia="Batang" w:hAnsi="Cambria" w:cs="Times New Roman"/>
          <w:color w:val="000000"/>
          <w:sz w:val="21"/>
          <w:szCs w:val="21"/>
        </w:rPr>
        <w:t xml:space="preserve"> </w:t>
      </w:r>
      <w:r w:rsidR="0061754F" w:rsidRPr="0061754F">
        <w:rPr>
          <w:rFonts w:ascii="Cambria" w:eastAsia="Batang" w:hAnsi="Cambria" w:cs="Times New Roman"/>
          <w:color w:val="000000"/>
          <w:sz w:val="21"/>
          <w:szCs w:val="21"/>
        </w:rPr>
        <w:t xml:space="preserve">hechos </w:t>
      </w:r>
      <w:r w:rsidR="0061754F">
        <w:rPr>
          <w:rFonts w:ascii="Cambria" w:eastAsia="Batang" w:hAnsi="Cambria" w:cs="Times New Roman"/>
          <w:color w:val="000000"/>
          <w:sz w:val="21"/>
          <w:szCs w:val="21"/>
        </w:rPr>
        <w:t>, m</w:t>
      </w:r>
      <w:r w:rsidR="00B31D82">
        <w:rPr>
          <w:rFonts w:ascii="Cambria" w:eastAsia="Batang" w:hAnsi="Cambria" w:cs="Times New Roman"/>
          <w:color w:val="000000"/>
          <w:sz w:val="21"/>
          <w:szCs w:val="21"/>
        </w:rPr>
        <w:t xml:space="preserve">áxime </w:t>
      </w:r>
      <w:r w:rsidR="008F3387">
        <w:rPr>
          <w:rFonts w:ascii="Cambria" w:eastAsia="Batang" w:hAnsi="Cambria" w:cs="Times New Roman"/>
          <w:color w:val="000000"/>
          <w:sz w:val="21"/>
          <w:szCs w:val="21"/>
        </w:rPr>
        <w:t xml:space="preserve">tomando en cuenta que la desaparición se produjo al poco tiempo de haber estado los propuestos beneficiarios bajo  </w:t>
      </w:r>
      <w:r w:rsidR="00B31D82">
        <w:rPr>
          <w:rFonts w:ascii="Cambria" w:eastAsia="Batang" w:hAnsi="Cambria" w:cs="Times New Roman"/>
          <w:color w:val="000000"/>
          <w:sz w:val="21"/>
          <w:szCs w:val="21"/>
        </w:rPr>
        <w:t>la custodia del Estado.</w:t>
      </w:r>
    </w:p>
    <w:p w14:paraId="04DB5AFC" w14:textId="35AE0423" w:rsidR="004B716F" w:rsidRDefault="004B716F" w:rsidP="005762B7">
      <w:pPr>
        <w:spacing w:after="0" w:line="240" w:lineRule="auto"/>
        <w:jc w:val="both"/>
        <w:rPr>
          <w:rFonts w:ascii="Cambria" w:eastAsia="Batang" w:hAnsi="Cambria" w:cs="Times New Roman"/>
          <w:color w:val="000000"/>
          <w:sz w:val="21"/>
          <w:szCs w:val="21"/>
          <w:lang w:val="es-ES"/>
        </w:rPr>
      </w:pPr>
    </w:p>
    <w:p w14:paraId="10BC6C07" w14:textId="47B4118F" w:rsidR="004166FF" w:rsidRPr="00EF61F4" w:rsidRDefault="001C0440" w:rsidP="000A4AB1">
      <w:pPr>
        <w:numPr>
          <w:ilvl w:val="0"/>
          <w:numId w:val="3"/>
        </w:numPr>
        <w:spacing w:after="0" w:line="240" w:lineRule="auto"/>
        <w:ind w:left="0" w:firstLine="360"/>
        <w:jc w:val="both"/>
        <w:rPr>
          <w:rFonts w:ascii="Cambria" w:eastAsia="Batang" w:hAnsi="Cambria" w:cs="Times New Roman"/>
          <w:color w:val="000000"/>
          <w:sz w:val="21"/>
          <w:szCs w:val="21"/>
        </w:rPr>
      </w:pPr>
      <w:r w:rsidRPr="00EF61F4">
        <w:rPr>
          <w:rFonts w:ascii="Cambria" w:eastAsia="Batang" w:hAnsi="Cambria" w:cs="Times New Roman"/>
          <w:color w:val="000000"/>
          <w:sz w:val="21"/>
          <w:szCs w:val="21"/>
          <w:lang w:val="es-ES"/>
        </w:rPr>
        <w:t>La Comisión toma nota de la información aportada por el Estado y recuerda que, s</w:t>
      </w:r>
      <w:r w:rsidRPr="00EF61F4">
        <w:rPr>
          <w:rFonts w:ascii="Cambria" w:eastAsia="Batang" w:hAnsi="Cambria" w:cs="Times New Roman"/>
          <w:color w:val="000000"/>
          <w:sz w:val="21"/>
          <w:szCs w:val="21"/>
        </w:rPr>
        <w:t xml:space="preserve">i bien no corresponde en esta oportunidad, por la propia naturaleza del procedimiento cautelar, efectuar </w:t>
      </w:r>
      <w:r w:rsidR="008F3387">
        <w:rPr>
          <w:rFonts w:ascii="Cambria" w:eastAsia="Batang" w:hAnsi="Cambria" w:cs="Times New Roman"/>
          <w:color w:val="000000"/>
          <w:sz w:val="21"/>
          <w:szCs w:val="21"/>
        </w:rPr>
        <w:t xml:space="preserve">un </w:t>
      </w:r>
      <w:r w:rsidRPr="00EF61F4">
        <w:rPr>
          <w:rFonts w:ascii="Cambria" w:eastAsia="Batang" w:hAnsi="Cambria" w:cs="Times New Roman"/>
          <w:color w:val="000000"/>
          <w:sz w:val="21"/>
          <w:szCs w:val="21"/>
        </w:rPr>
        <w:t xml:space="preserve">pronunciamiento </w:t>
      </w:r>
      <w:r w:rsidR="004166FF" w:rsidRPr="00EF61F4">
        <w:rPr>
          <w:rFonts w:ascii="Cambria" w:eastAsia="Batang" w:hAnsi="Cambria" w:cs="Times New Roman"/>
          <w:color w:val="000000"/>
          <w:sz w:val="21"/>
          <w:szCs w:val="21"/>
        </w:rPr>
        <w:t xml:space="preserve">de fondo </w:t>
      </w:r>
      <w:r w:rsidRPr="00EF61F4">
        <w:rPr>
          <w:rFonts w:ascii="Cambria" w:eastAsia="Batang" w:hAnsi="Cambria" w:cs="Times New Roman"/>
          <w:color w:val="000000"/>
          <w:sz w:val="21"/>
          <w:szCs w:val="21"/>
        </w:rPr>
        <w:t xml:space="preserve">sobre la debida diligencia empleada por parte de las autoridades, </w:t>
      </w:r>
      <w:r w:rsidR="005762B7" w:rsidRPr="00EF61F4">
        <w:rPr>
          <w:rFonts w:ascii="Cambria" w:eastAsia="Batang" w:hAnsi="Cambria" w:cs="Times New Roman"/>
          <w:color w:val="000000"/>
          <w:sz w:val="21"/>
          <w:szCs w:val="21"/>
        </w:rPr>
        <w:t>observa</w:t>
      </w:r>
      <w:r w:rsidR="008F3387">
        <w:rPr>
          <w:rFonts w:ascii="Cambria" w:eastAsia="Batang" w:hAnsi="Cambria" w:cs="Times New Roman"/>
          <w:color w:val="000000"/>
          <w:sz w:val="21"/>
          <w:szCs w:val="21"/>
        </w:rPr>
        <w:t xml:space="preserve"> que, desde la perspectiva del análisis del riesgo,</w:t>
      </w:r>
      <w:r w:rsidR="005762B7" w:rsidRPr="00EF61F4">
        <w:rPr>
          <w:rFonts w:ascii="Cambria" w:eastAsia="Batang" w:hAnsi="Cambria" w:cs="Times New Roman"/>
          <w:color w:val="000000"/>
          <w:sz w:val="21"/>
          <w:szCs w:val="21"/>
        </w:rPr>
        <w:t xml:space="preserve"> </w:t>
      </w:r>
      <w:r w:rsidR="004166FF" w:rsidRPr="00EF61F4">
        <w:rPr>
          <w:rFonts w:ascii="Cambria" w:eastAsia="Batang" w:hAnsi="Cambria" w:cs="Times New Roman"/>
          <w:color w:val="000000"/>
          <w:sz w:val="21"/>
          <w:szCs w:val="21"/>
          <w:lang w:val="es-ES"/>
        </w:rPr>
        <w:t xml:space="preserve">han pasado </w:t>
      </w:r>
      <w:r w:rsidR="008F3387">
        <w:rPr>
          <w:rFonts w:ascii="Cambria" w:eastAsia="Batang" w:hAnsi="Cambria" w:cs="Times New Roman"/>
          <w:color w:val="000000"/>
          <w:sz w:val="21"/>
          <w:szCs w:val="21"/>
          <w:lang w:val="es-ES"/>
        </w:rPr>
        <w:t xml:space="preserve">ya </w:t>
      </w:r>
      <w:r w:rsidR="004166FF" w:rsidRPr="00EF61F4">
        <w:rPr>
          <w:rFonts w:ascii="Cambria" w:eastAsia="Batang" w:hAnsi="Cambria" w:cs="Times New Roman"/>
          <w:color w:val="000000"/>
          <w:sz w:val="21"/>
          <w:szCs w:val="21"/>
          <w:lang w:val="es-ES"/>
        </w:rPr>
        <w:t xml:space="preserve">más de 10 meses </w:t>
      </w:r>
      <w:r w:rsidR="00B74DAA">
        <w:rPr>
          <w:rFonts w:ascii="Cambria" w:eastAsia="Batang" w:hAnsi="Cambria" w:cs="Times New Roman"/>
          <w:color w:val="000000"/>
          <w:sz w:val="21"/>
          <w:szCs w:val="21"/>
          <w:lang w:val="es-ES"/>
        </w:rPr>
        <w:t xml:space="preserve">desde </w:t>
      </w:r>
      <w:r w:rsidR="00C71E76" w:rsidRPr="00EF61F4">
        <w:rPr>
          <w:rFonts w:ascii="Cambria" w:eastAsia="Batang" w:hAnsi="Cambria" w:cs="Times New Roman"/>
          <w:color w:val="000000"/>
          <w:sz w:val="21"/>
          <w:szCs w:val="21"/>
          <w:lang w:val="es-ES"/>
        </w:rPr>
        <w:t xml:space="preserve">que se desconoce el destino o paradero de los propuestos beneficiarios. En ese sentido, al momento de calificar la gravedad, la Comisión </w:t>
      </w:r>
      <w:r w:rsidR="008F3387">
        <w:rPr>
          <w:rFonts w:ascii="Cambria" w:eastAsia="Batang" w:hAnsi="Cambria" w:cs="Times New Roman"/>
          <w:color w:val="000000"/>
          <w:sz w:val="21"/>
          <w:szCs w:val="21"/>
          <w:lang w:val="es-ES"/>
        </w:rPr>
        <w:t>nota con preocupación que, según</w:t>
      </w:r>
      <w:r w:rsidR="00C71E76" w:rsidRPr="00EF61F4">
        <w:rPr>
          <w:rFonts w:ascii="Cambria" w:eastAsia="Batang" w:hAnsi="Cambria" w:cs="Times New Roman"/>
          <w:color w:val="000000"/>
          <w:sz w:val="21"/>
          <w:szCs w:val="21"/>
          <w:lang w:val="es-ES"/>
        </w:rPr>
        <w:t xml:space="preserve"> </w:t>
      </w:r>
      <w:r w:rsidR="00E54DCF" w:rsidRPr="00EF61F4">
        <w:rPr>
          <w:rFonts w:ascii="Cambria" w:eastAsia="Batang" w:hAnsi="Cambria" w:cs="Times New Roman"/>
          <w:color w:val="000000"/>
          <w:sz w:val="21"/>
          <w:szCs w:val="21"/>
          <w:lang w:val="es-ES"/>
        </w:rPr>
        <w:t>los alegatos de los solicitantes</w:t>
      </w:r>
      <w:r w:rsidR="008F3387">
        <w:rPr>
          <w:rFonts w:ascii="Cambria" w:eastAsia="Batang" w:hAnsi="Cambria" w:cs="Times New Roman"/>
          <w:color w:val="000000"/>
          <w:sz w:val="21"/>
          <w:szCs w:val="21"/>
          <w:lang w:val="es-ES"/>
        </w:rPr>
        <w:t>: i)</w:t>
      </w:r>
      <w:r w:rsidR="00E54DCF" w:rsidRPr="00EF61F4">
        <w:rPr>
          <w:rFonts w:ascii="Cambria" w:eastAsia="Batang" w:hAnsi="Cambria" w:cs="Times New Roman"/>
          <w:color w:val="000000"/>
          <w:sz w:val="21"/>
          <w:szCs w:val="21"/>
          <w:lang w:val="es-ES"/>
        </w:rPr>
        <w:t xml:space="preserve">  la </w:t>
      </w:r>
      <w:r w:rsidR="008F3387">
        <w:rPr>
          <w:rFonts w:ascii="Cambria" w:eastAsia="Batang" w:hAnsi="Cambria" w:cs="Times New Roman"/>
          <w:color w:val="000000"/>
          <w:sz w:val="21"/>
          <w:szCs w:val="21"/>
          <w:lang w:val="es-ES"/>
        </w:rPr>
        <w:t xml:space="preserve">línea investigativa </w:t>
      </w:r>
      <w:r w:rsidR="00E54DCF" w:rsidRPr="00EF61F4">
        <w:rPr>
          <w:rFonts w:ascii="Cambria" w:eastAsia="Batang" w:hAnsi="Cambria" w:cs="Times New Roman"/>
          <w:color w:val="000000"/>
          <w:sz w:val="21"/>
          <w:szCs w:val="21"/>
          <w:lang w:val="es-ES"/>
        </w:rPr>
        <w:t xml:space="preserve"> conducida por el Estado no </w:t>
      </w:r>
      <w:r w:rsidR="00DA183F" w:rsidRPr="00EF61F4">
        <w:rPr>
          <w:rFonts w:ascii="Cambria" w:eastAsia="Batang" w:hAnsi="Cambria" w:cs="Times New Roman"/>
          <w:color w:val="000000"/>
          <w:sz w:val="21"/>
          <w:szCs w:val="21"/>
          <w:lang w:val="es-ES"/>
        </w:rPr>
        <w:t>incluiría</w:t>
      </w:r>
      <w:r w:rsidR="00504CB4" w:rsidRPr="00EF61F4">
        <w:rPr>
          <w:rFonts w:ascii="Cambria" w:eastAsia="Batang" w:hAnsi="Cambria" w:cs="Times New Roman"/>
          <w:color w:val="000000"/>
          <w:sz w:val="21"/>
          <w:szCs w:val="21"/>
          <w:lang w:val="es-ES"/>
        </w:rPr>
        <w:t xml:space="preserve"> </w:t>
      </w:r>
      <w:r w:rsidR="00DA183F" w:rsidRPr="00EF61F4">
        <w:rPr>
          <w:rFonts w:ascii="Cambria" w:eastAsia="Batang" w:hAnsi="Cambria" w:cs="Times New Roman"/>
          <w:color w:val="000000"/>
          <w:sz w:val="21"/>
          <w:szCs w:val="21"/>
          <w:lang w:val="es-ES"/>
        </w:rPr>
        <w:t>“</w:t>
      </w:r>
      <w:r w:rsidR="00DA183F" w:rsidRPr="00EF61F4">
        <w:rPr>
          <w:rFonts w:ascii="Cambria" w:eastAsia="Batang" w:hAnsi="Cambria" w:cs="Times New Roman"/>
          <w:color w:val="000000"/>
          <w:sz w:val="21"/>
          <w:szCs w:val="21"/>
        </w:rPr>
        <w:t>acreditar la liberación real de [ellos] o si hayan sido objeto de indebida disposición de su libertad, integridad corporal o su vida, y hayan sido desaparecidos</w:t>
      </w:r>
      <w:r w:rsidR="008F3387">
        <w:rPr>
          <w:rFonts w:ascii="Cambria" w:eastAsia="Batang" w:hAnsi="Cambria" w:cs="Times New Roman"/>
          <w:color w:val="000000"/>
          <w:sz w:val="21"/>
          <w:szCs w:val="21"/>
        </w:rPr>
        <w:t>,</w:t>
      </w:r>
      <w:r w:rsidR="00DA183F" w:rsidRPr="00EF61F4">
        <w:rPr>
          <w:rFonts w:ascii="Cambria" w:eastAsia="Batang" w:hAnsi="Cambria" w:cs="Times New Roman"/>
          <w:color w:val="000000"/>
          <w:sz w:val="21"/>
          <w:szCs w:val="21"/>
        </w:rPr>
        <w:t>”</w:t>
      </w:r>
      <w:r w:rsidR="008F3387">
        <w:rPr>
          <w:rFonts w:ascii="Cambria" w:eastAsia="Batang" w:hAnsi="Cambria" w:cs="Times New Roman"/>
          <w:color w:val="000000"/>
          <w:sz w:val="21"/>
          <w:szCs w:val="21"/>
        </w:rPr>
        <w:t xml:space="preserve">; ii) la presunta existencia de órdenes con fines de obstruir la investigación misma; iii) el hecho de que </w:t>
      </w:r>
      <w:r w:rsidR="008F3387">
        <w:rPr>
          <w:rFonts w:ascii="Cambria" w:eastAsia="Batang" w:hAnsi="Cambria" w:cs="Times New Roman"/>
          <w:color w:val="000000"/>
          <w:sz w:val="21"/>
          <w:szCs w:val="21"/>
          <w:lang w:val="es-ES"/>
        </w:rPr>
        <w:t xml:space="preserve"> supuestamente no se pudo comprobar</w:t>
      </w:r>
      <w:r w:rsidR="00504CB4" w:rsidRPr="00EF61F4">
        <w:rPr>
          <w:rFonts w:ascii="Cambria" w:eastAsia="Batang" w:hAnsi="Cambria" w:cs="Times New Roman"/>
          <w:color w:val="000000"/>
          <w:sz w:val="21"/>
          <w:szCs w:val="21"/>
          <w:lang w:val="es-ES"/>
        </w:rPr>
        <w:t xml:space="preserve"> por </w:t>
      </w:r>
      <w:r w:rsidR="00504CB4" w:rsidRPr="00EF61F4">
        <w:rPr>
          <w:rFonts w:ascii="Cambria" w:eastAsia="Batang" w:hAnsi="Cambria" w:cs="Times New Roman"/>
          <w:color w:val="000000"/>
          <w:sz w:val="21"/>
          <w:szCs w:val="21"/>
        </w:rPr>
        <w:t xml:space="preserve">las cámaras de seguridad de la PGR (ver </w:t>
      </w:r>
      <w:r w:rsidR="00504CB4" w:rsidRPr="00EF61F4">
        <w:rPr>
          <w:rFonts w:ascii="Cambria" w:eastAsia="Batang" w:hAnsi="Cambria" w:cs="Times New Roman"/>
          <w:i/>
          <w:color w:val="000000"/>
          <w:sz w:val="21"/>
          <w:szCs w:val="21"/>
        </w:rPr>
        <w:t xml:space="preserve">supra </w:t>
      </w:r>
      <w:r w:rsidR="00504CB4" w:rsidRPr="00EF61F4">
        <w:rPr>
          <w:rFonts w:ascii="Cambria" w:eastAsia="Batang" w:hAnsi="Cambria" w:cs="Times New Roman"/>
          <w:color w:val="000000"/>
          <w:sz w:val="21"/>
          <w:szCs w:val="21"/>
        </w:rPr>
        <w:t>párr. 7)</w:t>
      </w:r>
      <w:r w:rsidR="008F3387">
        <w:rPr>
          <w:rFonts w:ascii="Cambria" w:eastAsia="Batang" w:hAnsi="Cambria" w:cs="Times New Roman"/>
          <w:color w:val="000000"/>
          <w:sz w:val="21"/>
          <w:szCs w:val="21"/>
        </w:rPr>
        <w:t xml:space="preserve"> el momento de su puesta en libertad</w:t>
      </w:r>
      <w:r w:rsidR="00504CB4" w:rsidRPr="00EF61F4">
        <w:rPr>
          <w:rFonts w:ascii="Cambria" w:eastAsia="Batang" w:hAnsi="Cambria" w:cs="Times New Roman"/>
          <w:color w:val="000000"/>
          <w:sz w:val="21"/>
          <w:szCs w:val="21"/>
        </w:rPr>
        <w:t>.</w:t>
      </w:r>
      <w:r w:rsidR="00EF61F4">
        <w:rPr>
          <w:rFonts w:ascii="Cambria" w:eastAsia="Batang" w:hAnsi="Cambria" w:cs="Times New Roman"/>
          <w:color w:val="000000"/>
          <w:sz w:val="21"/>
          <w:szCs w:val="21"/>
        </w:rPr>
        <w:t xml:space="preserve"> </w:t>
      </w:r>
      <w:r w:rsidR="00AE3EDA" w:rsidRPr="00EF61F4">
        <w:rPr>
          <w:rFonts w:ascii="Cambria" w:eastAsia="Batang" w:hAnsi="Cambria" w:cs="Times New Roman"/>
          <w:color w:val="000000"/>
          <w:sz w:val="21"/>
          <w:szCs w:val="21"/>
          <w:lang w:val="es-ES"/>
        </w:rPr>
        <w:t xml:space="preserve">Considerando lo expuesto, </w:t>
      </w:r>
      <w:r w:rsidR="0062481F" w:rsidRPr="00EF61F4">
        <w:rPr>
          <w:rFonts w:ascii="Cambria" w:eastAsia="Batang" w:hAnsi="Cambria" w:cs="Times New Roman"/>
          <w:color w:val="000000"/>
          <w:sz w:val="21"/>
          <w:szCs w:val="21"/>
          <w:lang w:val="es-ES"/>
        </w:rPr>
        <w:t xml:space="preserve">la Comisión recuerda que la Corte Interamericana ya ha </w:t>
      </w:r>
      <w:r w:rsidR="00B20660" w:rsidRPr="00EF61F4">
        <w:rPr>
          <w:rFonts w:ascii="Cambria" w:eastAsia="Batang" w:hAnsi="Cambria" w:cs="Times New Roman"/>
          <w:color w:val="000000"/>
          <w:sz w:val="21"/>
          <w:szCs w:val="21"/>
          <w:lang w:val="es-ES"/>
        </w:rPr>
        <w:t xml:space="preserve">subrayado </w:t>
      </w:r>
      <w:r w:rsidR="00FF5D47" w:rsidRPr="00EF61F4">
        <w:rPr>
          <w:rFonts w:ascii="Cambria" w:eastAsia="Batang" w:hAnsi="Cambria" w:cs="Times New Roman"/>
          <w:color w:val="000000"/>
          <w:sz w:val="21"/>
          <w:szCs w:val="21"/>
          <w:lang w:val="es-ES"/>
        </w:rPr>
        <w:t>que los Estados tienen un deber especial de debida diligencia cuando están o puedan estar involucrados agentes estatales</w:t>
      </w:r>
      <w:r w:rsidR="00FF5D47">
        <w:rPr>
          <w:rStyle w:val="FootnoteReference"/>
          <w:rFonts w:ascii="Cambria" w:eastAsia="Batang" w:hAnsi="Cambria" w:cs="Times New Roman"/>
          <w:color w:val="000000"/>
          <w:sz w:val="21"/>
          <w:szCs w:val="21"/>
          <w:lang w:val="es-ES"/>
        </w:rPr>
        <w:footnoteReference w:id="9"/>
      </w:r>
      <w:r w:rsidR="00FF5D47" w:rsidRPr="00EF61F4">
        <w:rPr>
          <w:rFonts w:ascii="Cambria" w:eastAsia="Batang" w:hAnsi="Cambria" w:cs="Times New Roman"/>
          <w:color w:val="000000"/>
          <w:sz w:val="21"/>
          <w:szCs w:val="21"/>
          <w:lang w:val="es-ES"/>
        </w:rPr>
        <w:t>.</w:t>
      </w:r>
    </w:p>
    <w:p w14:paraId="27F9559F" w14:textId="510556CA" w:rsidR="004166FF" w:rsidRPr="001C52C8" w:rsidRDefault="004166FF" w:rsidP="001C52C8">
      <w:pPr>
        <w:spacing w:after="0" w:line="240" w:lineRule="auto"/>
        <w:jc w:val="both"/>
        <w:rPr>
          <w:rFonts w:ascii="Cambria" w:eastAsia="Batang" w:hAnsi="Cambria" w:cs="Times New Roman"/>
          <w:color w:val="000000"/>
          <w:sz w:val="21"/>
          <w:szCs w:val="21"/>
        </w:rPr>
      </w:pPr>
    </w:p>
    <w:p w14:paraId="1077C8AE" w14:textId="51B0193A" w:rsidR="00B117BB" w:rsidRPr="00724D9F" w:rsidRDefault="00B117BB" w:rsidP="000A4AB1">
      <w:pPr>
        <w:numPr>
          <w:ilvl w:val="0"/>
          <w:numId w:val="3"/>
        </w:numPr>
        <w:spacing w:after="0" w:line="240" w:lineRule="auto"/>
        <w:ind w:left="0" w:firstLine="360"/>
        <w:jc w:val="both"/>
        <w:rPr>
          <w:rFonts w:ascii="Cambria" w:eastAsia="Batang" w:hAnsi="Cambria" w:cs="Times New Roman"/>
          <w:color w:val="000000"/>
          <w:sz w:val="21"/>
          <w:szCs w:val="21"/>
          <w:lang w:val="es-ES"/>
        </w:rPr>
      </w:pPr>
      <w:r w:rsidRPr="00724D9F">
        <w:rPr>
          <w:rFonts w:ascii="Cambria" w:eastAsia="Batang" w:hAnsi="Cambria" w:cs="Times New Roman"/>
          <w:color w:val="000000"/>
          <w:sz w:val="21"/>
          <w:szCs w:val="21"/>
          <w:lang w:val="es-ES"/>
        </w:rPr>
        <w:t xml:space="preserve">En vista de lo anterior, la Comisión </w:t>
      </w:r>
      <w:r w:rsidR="008F3387">
        <w:rPr>
          <w:rFonts w:ascii="Cambria" w:eastAsia="Batang" w:hAnsi="Cambria" w:cs="Times New Roman"/>
          <w:color w:val="000000"/>
          <w:sz w:val="21"/>
          <w:szCs w:val="21"/>
          <w:lang w:val="es-ES"/>
        </w:rPr>
        <w:t>concluye</w:t>
      </w:r>
      <w:r w:rsidR="008F3387" w:rsidRPr="00724D9F">
        <w:rPr>
          <w:rFonts w:ascii="Cambria" w:eastAsia="Batang" w:hAnsi="Cambria" w:cs="Times New Roman"/>
          <w:color w:val="000000"/>
          <w:sz w:val="21"/>
          <w:szCs w:val="21"/>
          <w:lang w:val="es-ES"/>
        </w:rPr>
        <w:t xml:space="preserve"> </w:t>
      </w:r>
      <w:r w:rsidRPr="00724D9F">
        <w:rPr>
          <w:rFonts w:ascii="Cambria" w:eastAsia="Batang" w:hAnsi="Cambria" w:cs="Times New Roman"/>
          <w:color w:val="000000"/>
          <w:sz w:val="21"/>
          <w:szCs w:val="21"/>
          <w:lang w:val="es-ES"/>
        </w:rPr>
        <w:t>que desde</w:t>
      </w:r>
      <w:r w:rsidR="008F3387">
        <w:rPr>
          <w:rFonts w:ascii="Cambria" w:eastAsia="Batang" w:hAnsi="Cambria" w:cs="Times New Roman"/>
          <w:color w:val="000000"/>
          <w:sz w:val="21"/>
          <w:szCs w:val="21"/>
          <w:lang w:val="es-ES"/>
        </w:rPr>
        <w:t>,</w:t>
      </w:r>
      <w:r w:rsidRPr="00724D9F">
        <w:rPr>
          <w:rFonts w:ascii="Cambria" w:eastAsia="Batang" w:hAnsi="Cambria" w:cs="Times New Roman"/>
          <w:color w:val="000000"/>
          <w:sz w:val="21"/>
          <w:szCs w:val="21"/>
          <w:lang w:val="es-ES"/>
        </w:rPr>
        <w:t xml:space="preserve"> el estándar </w:t>
      </w:r>
      <w:r w:rsidRPr="00724D9F">
        <w:rPr>
          <w:rFonts w:ascii="Cambria" w:eastAsia="Batang" w:hAnsi="Cambria" w:cs="Times New Roman"/>
          <w:i/>
          <w:color w:val="000000"/>
          <w:sz w:val="21"/>
          <w:szCs w:val="21"/>
          <w:lang w:val="es-ES"/>
        </w:rPr>
        <w:t>prima facie</w:t>
      </w:r>
      <w:r w:rsidRPr="00724D9F">
        <w:rPr>
          <w:rFonts w:ascii="Cambria" w:eastAsia="Batang" w:hAnsi="Cambria" w:cs="Times New Roman"/>
          <w:color w:val="000000"/>
          <w:sz w:val="21"/>
          <w:szCs w:val="21"/>
          <w:lang w:val="es-ES"/>
        </w:rPr>
        <w:t xml:space="preserve">, los derechos a la vida e integridad personal de </w:t>
      </w:r>
      <w:r w:rsidR="001C52C8" w:rsidRPr="001C52C8">
        <w:rPr>
          <w:rFonts w:ascii="Cambria" w:eastAsia="Batang" w:hAnsi="Cambria" w:cs="Times New Roman"/>
          <w:color w:val="000000"/>
          <w:sz w:val="21"/>
          <w:szCs w:val="21"/>
        </w:rPr>
        <w:t>Alfonso Alejandre Díaz y Alberto Alejandre Díaz</w:t>
      </w:r>
      <w:r w:rsidR="00724D9F">
        <w:rPr>
          <w:rFonts w:ascii="Cambria" w:eastAsia="Batang" w:hAnsi="Cambria" w:cs="Times New Roman"/>
          <w:color w:val="000000"/>
          <w:sz w:val="21"/>
          <w:szCs w:val="21"/>
        </w:rPr>
        <w:t>,</w:t>
      </w:r>
      <w:r w:rsidRPr="00724D9F">
        <w:rPr>
          <w:rFonts w:ascii="Cambria" w:eastAsia="Batang" w:hAnsi="Cambria" w:cs="Times New Roman"/>
          <w:color w:val="000000"/>
          <w:sz w:val="21"/>
          <w:szCs w:val="21"/>
          <w:lang w:val="es-ES"/>
        </w:rPr>
        <w:t xml:space="preserve"> se encuentran en una situación de grave riesgo.</w:t>
      </w:r>
    </w:p>
    <w:p w14:paraId="5E5A71E8" w14:textId="77777777" w:rsidR="00B117BB" w:rsidRPr="00B117BB" w:rsidRDefault="00B117BB" w:rsidP="00B117BB">
      <w:pPr>
        <w:spacing w:after="0" w:line="240" w:lineRule="auto"/>
        <w:ind w:left="720"/>
        <w:contextualSpacing/>
        <w:jc w:val="both"/>
        <w:rPr>
          <w:rFonts w:ascii="Cambria" w:eastAsia="Calibri" w:hAnsi="Cambria" w:cs="Times New Roman"/>
          <w:sz w:val="21"/>
          <w:szCs w:val="21"/>
          <w:lang w:val="es-ES"/>
        </w:rPr>
      </w:pPr>
    </w:p>
    <w:p w14:paraId="4ED0C20C" w14:textId="6C9BF7BF" w:rsidR="00B117BB" w:rsidRPr="002C02DA" w:rsidRDefault="00B117BB" w:rsidP="002C02DA">
      <w:pPr>
        <w:numPr>
          <w:ilvl w:val="0"/>
          <w:numId w:val="3"/>
        </w:numPr>
        <w:spacing w:after="0" w:line="240" w:lineRule="auto"/>
        <w:ind w:left="0" w:firstLine="360"/>
        <w:jc w:val="both"/>
        <w:rPr>
          <w:rFonts w:ascii="Cambria" w:eastAsia="Batang" w:hAnsi="Cambria" w:cs="Times New Roman"/>
          <w:color w:val="000000"/>
          <w:sz w:val="21"/>
          <w:szCs w:val="21"/>
        </w:rPr>
      </w:pPr>
      <w:r w:rsidRPr="001C52C8">
        <w:rPr>
          <w:rFonts w:ascii="Cambria" w:eastAsia="Batang" w:hAnsi="Cambria" w:cs="Times New Roman"/>
          <w:color w:val="000000"/>
          <w:sz w:val="21"/>
          <w:szCs w:val="21"/>
          <w:lang w:val="es-ES"/>
        </w:rPr>
        <w:t xml:space="preserve">En cuanto al requisito de urgencia, la Comisión </w:t>
      </w:r>
      <w:r w:rsidR="008F3387">
        <w:rPr>
          <w:rFonts w:ascii="Cambria" w:eastAsia="Batang" w:hAnsi="Cambria" w:cs="Times New Roman"/>
          <w:color w:val="000000"/>
          <w:sz w:val="21"/>
          <w:szCs w:val="21"/>
          <w:lang w:val="es-ES"/>
        </w:rPr>
        <w:t>entiende</w:t>
      </w:r>
      <w:r w:rsidR="008F3387" w:rsidRPr="001C52C8">
        <w:rPr>
          <w:rFonts w:ascii="Cambria" w:eastAsia="Batang" w:hAnsi="Cambria" w:cs="Times New Roman"/>
          <w:color w:val="000000"/>
          <w:sz w:val="21"/>
          <w:szCs w:val="21"/>
          <w:lang w:val="es-ES"/>
        </w:rPr>
        <w:t xml:space="preserve"> </w:t>
      </w:r>
      <w:r w:rsidRPr="001C52C8">
        <w:rPr>
          <w:rFonts w:ascii="Cambria" w:eastAsia="Batang" w:hAnsi="Cambria" w:cs="Times New Roman"/>
          <w:color w:val="000000"/>
          <w:sz w:val="21"/>
          <w:szCs w:val="21"/>
          <w:lang w:val="es-ES"/>
        </w:rPr>
        <w:t xml:space="preserve">que se encuentra cumplido, en vista de </w:t>
      </w:r>
      <w:r w:rsidR="000245D8" w:rsidRPr="001C52C8">
        <w:rPr>
          <w:rFonts w:ascii="Cambria" w:eastAsia="Batang" w:hAnsi="Cambria" w:cs="Times New Roman"/>
          <w:color w:val="000000"/>
          <w:sz w:val="21"/>
          <w:szCs w:val="21"/>
          <w:lang w:val="es-ES"/>
        </w:rPr>
        <w:t xml:space="preserve">que </w:t>
      </w:r>
      <w:r w:rsidR="001C52C8" w:rsidRPr="001C52C8">
        <w:rPr>
          <w:rFonts w:ascii="Cambria" w:eastAsia="Batang" w:hAnsi="Cambria" w:cs="Times New Roman"/>
          <w:color w:val="000000"/>
          <w:sz w:val="21"/>
          <w:szCs w:val="21"/>
        </w:rPr>
        <w:t>el transcurso del tiempo es susceptible de generar mayores afectaciones a los derechos a la vida e integridad personal de los propuestos beneficiarios</w:t>
      </w:r>
      <w:r w:rsidR="002C02DA">
        <w:rPr>
          <w:rFonts w:ascii="Cambria" w:eastAsia="Batang" w:hAnsi="Cambria" w:cs="Times New Roman"/>
          <w:color w:val="000000"/>
          <w:sz w:val="21"/>
          <w:szCs w:val="21"/>
        </w:rPr>
        <w:t xml:space="preserve">, máxime </w:t>
      </w:r>
      <w:r w:rsidR="008F3387">
        <w:rPr>
          <w:rFonts w:ascii="Cambria" w:eastAsia="Batang" w:hAnsi="Cambria" w:cs="Times New Roman"/>
          <w:color w:val="000000"/>
          <w:sz w:val="21"/>
          <w:szCs w:val="21"/>
        </w:rPr>
        <w:t xml:space="preserve">considerando </w:t>
      </w:r>
      <w:r w:rsidR="002C02DA">
        <w:rPr>
          <w:rFonts w:ascii="Cambria" w:eastAsia="Batang" w:hAnsi="Cambria" w:cs="Times New Roman"/>
          <w:color w:val="000000"/>
          <w:sz w:val="21"/>
          <w:szCs w:val="21"/>
        </w:rPr>
        <w:t xml:space="preserve">que ya han </w:t>
      </w:r>
      <w:r w:rsidR="008F3387">
        <w:rPr>
          <w:rFonts w:ascii="Cambria" w:eastAsia="Batang" w:hAnsi="Cambria" w:cs="Times New Roman"/>
          <w:color w:val="000000"/>
          <w:sz w:val="21"/>
          <w:szCs w:val="21"/>
        </w:rPr>
        <w:t xml:space="preserve">transcurrido </w:t>
      </w:r>
      <w:r w:rsidR="002C02DA">
        <w:rPr>
          <w:rFonts w:ascii="Cambria" w:eastAsia="Batang" w:hAnsi="Cambria" w:cs="Times New Roman"/>
          <w:color w:val="000000"/>
          <w:sz w:val="21"/>
          <w:szCs w:val="21"/>
        </w:rPr>
        <w:t xml:space="preserve">más de 10 meses de la presunta desaparición y </w:t>
      </w:r>
      <w:r w:rsidR="008F3387">
        <w:rPr>
          <w:rFonts w:ascii="Cambria" w:eastAsia="Batang" w:hAnsi="Cambria" w:cs="Times New Roman"/>
          <w:color w:val="000000"/>
          <w:sz w:val="21"/>
          <w:szCs w:val="21"/>
        </w:rPr>
        <w:t>el supuesto</w:t>
      </w:r>
      <w:r w:rsidR="002C02DA">
        <w:rPr>
          <w:rFonts w:ascii="Cambria" w:eastAsia="Batang" w:hAnsi="Cambria" w:cs="Times New Roman"/>
          <w:color w:val="000000"/>
          <w:sz w:val="21"/>
          <w:szCs w:val="21"/>
        </w:rPr>
        <w:t xml:space="preserve"> involucramiento de agentes estatales.</w:t>
      </w:r>
    </w:p>
    <w:p w14:paraId="39B12E5C" w14:textId="77777777" w:rsidR="00B117BB" w:rsidRPr="00B117BB" w:rsidRDefault="00B117BB" w:rsidP="00B117BB">
      <w:pPr>
        <w:spacing w:after="0" w:line="240" w:lineRule="auto"/>
        <w:ind w:left="360"/>
        <w:jc w:val="both"/>
        <w:rPr>
          <w:rFonts w:ascii="Cambria" w:eastAsia="Calibri" w:hAnsi="Cambria" w:cs="Times New Roman"/>
          <w:sz w:val="21"/>
          <w:szCs w:val="21"/>
          <w:lang w:val="es-ES"/>
        </w:rPr>
      </w:pPr>
    </w:p>
    <w:p w14:paraId="5D4C5DC1" w14:textId="4F47D23F" w:rsidR="00B117BB" w:rsidRDefault="00B117BB" w:rsidP="002C02DA">
      <w:pPr>
        <w:numPr>
          <w:ilvl w:val="0"/>
          <w:numId w:val="3"/>
        </w:numPr>
        <w:spacing w:after="0" w:line="240" w:lineRule="auto"/>
        <w:ind w:left="0" w:firstLine="360"/>
        <w:jc w:val="both"/>
        <w:rPr>
          <w:rFonts w:ascii="Cambria" w:eastAsia="Batang" w:hAnsi="Cambria" w:cs="Times New Roman"/>
          <w:color w:val="000000"/>
          <w:sz w:val="21"/>
          <w:szCs w:val="21"/>
          <w:lang w:val="es-ES"/>
        </w:rPr>
      </w:pPr>
      <w:r w:rsidRPr="00B117BB">
        <w:rPr>
          <w:rFonts w:ascii="Cambria" w:eastAsia="Batang" w:hAnsi="Cambria" w:cs="Times New Roman"/>
          <w:color w:val="000000"/>
          <w:sz w:val="21"/>
          <w:szCs w:val="21"/>
          <w:lang w:val="es-ES"/>
        </w:rPr>
        <w:t xml:space="preserve">En lo que respecta al requisito de irreparabilidad, la Comisión </w:t>
      </w:r>
      <w:r w:rsidR="008F3387">
        <w:rPr>
          <w:rFonts w:ascii="Cambria" w:eastAsia="Batang" w:hAnsi="Cambria" w:cs="Times New Roman"/>
          <w:color w:val="000000"/>
          <w:sz w:val="21"/>
          <w:szCs w:val="21"/>
          <w:lang w:val="es-ES"/>
        </w:rPr>
        <w:t>estima</w:t>
      </w:r>
      <w:r w:rsidR="008F3387" w:rsidRPr="00B117BB">
        <w:rPr>
          <w:rFonts w:ascii="Cambria" w:eastAsia="Batang" w:hAnsi="Cambria" w:cs="Times New Roman"/>
          <w:color w:val="000000"/>
          <w:sz w:val="21"/>
          <w:szCs w:val="21"/>
          <w:lang w:val="es-ES"/>
        </w:rPr>
        <w:t xml:space="preserve"> </w:t>
      </w:r>
      <w:r w:rsidRPr="00B117BB">
        <w:rPr>
          <w:rFonts w:ascii="Cambria" w:eastAsia="Batang" w:hAnsi="Cambria" w:cs="Times New Roman"/>
          <w:color w:val="000000"/>
          <w:sz w:val="21"/>
          <w:szCs w:val="21"/>
          <w:lang w:val="es-ES"/>
        </w:rPr>
        <w:t xml:space="preserve">que se encuentra cumplido, ya que la </w:t>
      </w:r>
      <w:r w:rsidRPr="002C02DA">
        <w:rPr>
          <w:rFonts w:ascii="Cambria" w:eastAsia="Batang" w:hAnsi="Cambria" w:cs="Times New Roman"/>
          <w:color w:val="000000"/>
          <w:sz w:val="21"/>
          <w:szCs w:val="21"/>
        </w:rPr>
        <w:t>posible</w:t>
      </w:r>
      <w:r w:rsidRPr="00B117BB">
        <w:rPr>
          <w:rFonts w:ascii="Cambria" w:eastAsia="Batang" w:hAnsi="Cambria" w:cs="Times New Roman"/>
          <w:color w:val="000000"/>
          <w:sz w:val="21"/>
          <w:szCs w:val="21"/>
          <w:lang w:val="es-ES"/>
        </w:rPr>
        <w:t xml:space="preserve"> afectación a los derechos a la vida e integridad personal constituyen la máxima situación de irreparabilidad.</w:t>
      </w:r>
    </w:p>
    <w:p w14:paraId="512DC62B" w14:textId="77777777" w:rsidR="000A4AB1" w:rsidRDefault="000A4AB1" w:rsidP="000A4AB1">
      <w:pPr>
        <w:pStyle w:val="ListParagraph"/>
        <w:rPr>
          <w:rFonts w:ascii="Cambria" w:eastAsia="Batang" w:hAnsi="Cambria" w:cs="Times New Roman"/>
          <w:color w:val="000000"/>
          <w:sz w:val="21"/>
          <w:szCs w:val="21"/>
          <w:lang w:val="es-ES"/>
        </w:rPr>
      </w:pPr>
    </w:p>
    <w:p w14:paraId="1200C5BA" w14:textId="77777777" w:rsidR="000A4AB1" w:rsidRPr="00FF29D2" w:rsidRDefault="000A4AB1" w:rsidP="000A4AB1">
      <w:pPr>
        <w:pStyle w:val="ListParagraph"/>
        <w:numPr>
          <w:ilvl w:val="0"/>
          <w:numId w:val="3"/>
        </w:numPr>
        <w:spacing w:after="0" w:line="240" w:lineRule="auto"/>
        <w:ind w:left="0" w:firstLine="360"/>
        <w:contextualSpacing w:val="0"/>
        <w:jc w:val="both"/>
        <w:rPr>
          <w:rFonts w:ascii="Cambria" w:eastAsia="Batang" w:hAnsi="Cambria" w:cs="Times New Roman"/>
          <w:color w:val="000000" w:themeColor="text1"/>
          <w:sz w:val="21"/>
          <w:szCs w:val="21"/>
        </w:rPr>
      </w:pPr>
      <w:r>
        <w:rPr>
          <w:rFonts w:ascii="Cambria" w:eastAsia="Batang" w:hAnsi="Cambria" w:cs="Times New Roman"/>
          <w:color w:val="000000" w:themeColor="text1"/>
          <w:sz w:val="21"/>
          <w:szCs w:val="21"/>
        </w:rPr>
        <w:t>Finalmente, respecto</w:t>
      </w:r>
      <w:r w:rsidRPr="00CD6522">
        <w:rPr>
          <w:rFonts w:ascii="Cambria" w:eastAsia="Batang" w:hAnsi="Cambria" w:cs="Times New Roman"/>
          <w:color w:val="000000" w:themeColor="text1"/>
          <w:sz w:val="21"/>
          <w:szCs w:val="21"/>
        </w:rPr>
        <w:t xml:space="preserve"> </w:t>
      </w:r>
      <w:r>
        <w:rPr>
          <w:rFonts w:ascii="Cambria" w:eastAsia="Batang" w:hAnsi="Cambria" w:cs="Times New Roman"/>
          <w:color w:val="000000" w:themeColor="text1"/>
          <w:sz w:val="21"/>
          <w:szCs w:val="21"/>
        </w:rPr>
        <w:t>al alegato d</w:t>
      </w:r>
      <w:r w:rsidRPr="00CD6522">
        <w:rPr>
          <w:rFonts w:ascii="Cambria" w:eastAsia="Batang" w:hAnsi="Cambria" w:cs="Times New Roman"/>
          <w:color w:val="000000" w:themeColor="text1"/>
          <w:sz w:val="21"/>
          <w:szCs w:val="21"/>
        </w:rPr>
        <w:t xml:space="preserve">el principio de complementariedad, la Comisión </w:t>
      </w:r>
      <w:r>
        <w:rPr>
          <w:rFonts w:ascii="Cambria" w:eastAsia="Batang" w:hAnsi="Cambria" w:cs="Times New Roman"/>
          <w:color w:val="000000" w:themeColor="text1"/>
          <w:sz w:val="21"/>
          <w:szCs w:val="21"/>
        </w:rPr>
        <w:t xml:space="preserve">recuerda </w:t>
      </w:r>
      <w:r w:rsidRPr="00CD6522">
        <w:rPr>
          <w:rFonts w:ascii="Cambria" w:eastAsia="Batang" w:hAnsi="Cambria" w:cs="Times New Roman"/>
          <w:color w:val="000000" w:themeColor="text1"/>
          <w:sz w:val="21"/>
          <w:szCs w:val="21"/>
        </w:rPr>
        <w:t>que dicho principio informa transversalmente al sistema interamericano</w:t>
      </w:r>
      <w:r>
        <w:rPr>
          <w:rFonts w:ascii="Cambria" w:eastAsia="Batang" w:hAnsi="Cambria" w:cs="Times New Roman"/>
          <w:color w:val="000000" w:themeColor="text1"/>
          <w:sz w:val="21"/>
          <w:szCs w:val="21"/>
        </w:rPr>
        <w:t xml:space="preserve"> y </w:t>
      </w:r>
      <w:r w:rsidRPr="00CD6522">
        <w:rPr>
          <w:rFonts w:ascii="Cambria" w:eastAsia="Batang" w:hAnsi="Cambria" w:cs="Times New Roman"/>
          <w:color w:val="000000" w:themeColor="text1"/>
          <w:sz w:val="21"/>
          <w:szCs w:val="21"/>
        </w:rPr>
        <w:t>que la jurisdicción internacional es “coadyuvante” de las jurisdicciones nacionales, sin que las sustituya</w:t>
      </w:r>
      <w:r w:rsidRPr="00525326">
        <w:rPr>
          <w:rStyle w:val="FootnoteReference"/>
          <w:rFonts w:ascii="Cambria" w:hAnsi="Cambria"/>
          <w:color w:val="000000" w:themeColor="text1"/>
          <w:sz w:val="21"/>
          <w:szCs w:val="21"/>
        </w:rPr>
        <w:footnoteReference w:id="10"/>
      </w:r>
      <w:r w:rsidRPr="00525326">
        <w:rPr>
          <w:rFonts w:ascii="Cambria" w:eastAsia="Batang" w:hAnsi="Cambria" w:cs="Times New Roman"/>
          <w:color w:val="000000" w:themeColor="text1"/>
          <w:sz w:val="21"/>
          <w:szCs w:val="21"/>
        </w:rPr>
        <w:t xml:space="preserve">. </w:t>
      </w:r>
      <w:r w:rsidRPr="00525326">
        <w:rPr>
          <w:rFonts w:ascii="Cambria" w:eastAsia="Batang" w:hAnsi="Cambria" w:cs="Times New Roman"/>
          <w:color w:val="000000" w:themeColor="text1"/>
          <w:sz w:val="21"/>
          <w:szCs w:val="21"/>
          <w:lang w:val="es-ES_tradnl"/>
        </w:rPr>
        <w:t>La Comisión considera</w:t>
      </w:r>
      <w:r>
        <w:rPr>
          <w:rFonts w:ascii="Cambria" w:eastAsia="Batang" w:hAnsi="Cambria" w:cs="Times New Roman"/>
          <w:color w:val="000000" w:themeColor="text1"/>
          <w:sz w:val="21"/>
          <w:szCs w:val="21"/>
          <w:lang w:val="es-ES_tradnl"/>
        </w:rPr>
        <w:t>,</w:t>
      </w:r>
      <w:r w:rsidRPr="00525326">
        <w:rPr>
          <w:rFonts w:ascii="Cambria" w:eastAsia="Batang" w:hAnsi="Cambria" w:cs="Times New Roman"/>
          <w:color w:val="000000" w:themeColor="text1"/>
          <w:sz w:val="21"/>
          <w:szCs w:val="21"/>
          <w:lang w:val="es-ES_tradnl"/>
        </w:rPr>
        <w:t xml:space="preserve"> sin embargo</w:t>
      </w:r>
      <w:r>
        <w:rPr>
          <w:rFonts w:ascii="Cambria" w:eastAsia="Batang" w:hAnsi="Cambria" w:cs="Times New Roman"/>
          <w:color w:val="000000" w:themeColor="text1"/>
          <w:sz w:val="21"/>
          <w:szCs w:val="21"/>
          <w:lang w:val="es-ES_tradnl"/>
        </w:rPr>
        <w:t>,</w:t>
      </w:r>
      <w:r w:rsidRPr="00525326">
        <w:rPr>
          <w:rFonts w:ascii="Cambria" w:eastAsia="Batang" w:hAnsi="Cambria" w:cs="Times New Roman"/>
          <w:color w:val="000000" w:themeColor="text1"/>
          <w:sz w:val="21"/>
          <w:szCs w:val="21"/>
          <w:lang w:val="es-ES_tradnl"/>
        </w:rPr>
        <w:t xml:space="preserve"> que la invocación del principio de complementariedad como </w:t>
      </w:r>
      <w:r>
        <w:rPr>
          <w:rFonts w:ascii="Cambria" w:eastAsia="Batang" w:hAnsi="Cambria" w:cs="Times New Roman"/>
          <w:color w:val="000000" w:themeColor="text1"/>
          <w:sz w:val="21"/>
          <w:szCs w:val="21"/>
          <w:lang w:val="es-ES_tradnl"/>
        </w:rPr>
        <w:t xml:space="preserve">argumento de improcedencia para </w:t>
      </w:r>
      <w:r w:rsidRPr="00525326">
        <w:rPr>
          <w:rFonts w:ascii="Cambria" w:eastAsia="Batang" w:hAnsi="Cambria" w:cs="Times New Roman"/>
          <w:color w:val="000000" w:themeColor="text1"/>
          <w:sz w:val="21"/>
          <w:szCs w:val="21"/>
          <w:lang w:val="es-ES_tradnl"/>
        </w:rPr>
        <w:t xml:space="preserve">la adopción de medidas cautelares, supone que el Estado concernido </w:t>
      </w:r>
      <w:r w:rsidRPr="00695218">
        <w:rPr>
          <w:rFonts w:ascii="Cambria" w:eastAsia="Batang" w:hAnsi="Cambria" w:cs="Times New Roman"/>
          <w:color w:val="000000" w:themeColor="text1"/>
          <w:sz w:val="21"/>
          <w:szCs w:val="21"/>
          <w:lang w:val="es-ES_tradnl"/>
        </w:rPr>
        <w:t xml:space="preserve">satisfaga la carga de demostrar que las personas </w:t>
      </w:r>
      <w:r>
        <w:rPr>
          <w:rFonts w:ascii="Cambria" w:eastAsia="Batang" w:hAnsi="Cambria" w:cs="Times New Roman"/>
          <w:color w:val="000000" w:themeColor="text1"/>
          <w:sz w:val="21"/>
          <w:szCs w:val="21"/>
          <w:lang w:val="es-ES_tradnl"/>
        </w:rPr>
        <w:t>beneficiarias</w:t>
      </w:r>
      <w:r w:rsidRPr="00695218">
        <w:rPr>
          <w:rFonts w:ascii="Cambria" w:eastAsia="Batang" w:hAnsi="Cambria" w:cs="Times New Roman"/>
          <w:color w:val="000000" w:themeColor="text1"/>
          <w:sz w:val="21"/>
          <w:szCs w:val="21"/>
          <w:lang w:val="es-ES_tradnl"/>
        </w:rPr>
        <w:t xml:space="preserve"> no se encuentran en el supuesto establecido en el artículo 25 del Reglamento</w:t>
      </w:r>
      <w:r>
        <w:rPr>
          <w:rFonts w:ascii="Cambria" w:eastAsia="Batang" w:hAnsi="Cambria" w:cs="Times New Roman"/>
          <w:color w:val="000000" w:themeColor="text1"/>
          <w:sz w:val="21"/>
          <w:szCs w:val="21"/>
          <w:lang w:val="es-ES_tradnl"/>
        </w:rPr>
        <w:t xml:space="preserve">, en vista de que </w:t>
      </w:r>
      <w:r w:rsidRPr="00C36735">
        <w:rPr>
          <w:rFonts w:ascii="Cambria" w:eastAsia="Batang" w:hAnsi="Cambria" w:cs="Times New Roman"/>
          <w:color w:val="000000" w:themeColor="text1"/>
          <w:sz w:val="21"/>
          <w:szCs w:val="21"/>
          <w:lang w:val="es-ES_tradnl"/>
        </w:rPr>
        <w:t xml:space="preserve">las medidas adoptadas por el propio Estado </w:t>
      </w:r>
      <w:r>
        <w:rPr>
          <w:rFonts w:ascii="Cambria" w:eastAsia="Batang" w:hAnsi="Cambria" w:cs="Times New Roman"/>
          <w:color w:val="000000" w:themeColor="text1"/>
          <w:sz w:val="21"/>
          <w:szCs w:val="21"/>
          <w:lang w:val="es-ES_tradnl"/>
        </w:rPr>
        <w:t xml:space="preserve">han tenido un </w:t>
      </w:r>
      <w:r w:rsidRPr="00C36735">
        <w:rPr>
          <w:rFonts w:ascii="Cambria" w:eastAsia="Batang" w:hAnsi="Cambria" w:cs="Times New Roman"/>
          <w:color w:val="000000" w:themeColor="text1"/>
          <w:sz w:val="21"/>
          <w:szCs w:val="21"/>
          <w:lang w:val="es-ES_tradnl"/>
        </w:rPr>
        <w:t>impacto sustantivo en la disminución o mitigación de la situación de riesgo, de tal forma que no permita apreciar una situación que cumpla con el requisito de gravedad y urgencia que precisamente requieren la intervención internacional para prevenir daños irreparables</w:t>
      </w:r>
      <w:r w:rsidRPr="00C36735">
        <w:rPr>
          <w:rFonts w:ascii="Cambria" w:hAnsi="Cambria"/>
          <w:vertAlign w:val="superscript"/>
          <w:lang w:val="es-ES_tradnl"/>
        </w:rPr>
        <w:footnoteReference w:id="11"/>
      </w:r>
      <w:r w:rsidRPr="00C36735">
        <w:rPr>
          <w:rFonts w:ascii="Cambria" w:eastAsia="Batang" w:hAnsi="Cambria" w:cs="Times New Roman"/>
          <w:color w:val="000000" w:themeColor="text1"/>
          <w:sz w:val="21"/>
          <w:szCs w:val="21"/>
          <w:lang w:val="es-ES_tradnl"/>
        </w:rPr>
        <w:t>.</w:t>
      </w:r>
    </w:p>
    <w:p w14:paraId="42AE3A00" w14:textId="77777777" w:rsidR="000A4AB1" w:rsidRPr="00FF29D2" w:rsidRDefault="000A4AB1" w:rsidP="000A4AB1">
      <w:pPr>
        <w:pStyle w:val="ListParagraph"/>
        <w:spacing w:after="0" w:line="240" w:lineRule="auto"/>
        <w:ind w:left="360"/>
        <w:contextualSpacing w:val="0"/>
        <w:jc w:val="both"/>
        <w:rPr>
          <w:rFonts w:ascii="Cambria" w:eastAsia="Batang" w:hAnsi="Cambria" w:cs="Times New Roman"/>
          <w:color w:val="000000" w:themeColor="text1"/>
          <w:sz w:val="21"/>
          <w:szCs w:val="21"/>
        </w:rPr>
      </w:pPr>
    </w:p>
    <w:p w14:paraId="6B6B3A75" w14:textId="611FDC15" w:rsidR="000A4AB1" w:rsidRPr="000A4AB1" w:rsidRDefault="000A4AB1" w:rsidP="000A4AB1">
      <w:pPr>
        <w:pStyle w:val="ListParagraph"/>
        <w:numPr>
          <w:ilvl w:val="0"/>
          <w:numId w:val="3"/>
        </w:numPr>
        <w:spacing w:line="240" w:lineRule="auto"/>
        <w:ind w:left="0" w:firstLine="360"/>
        <w:jc w:val="both"/>
        <w:rPr>
          <w:rFonts w:ascii="Cambria" w:hAnsi="Cambria"/>
          <w:sz w:val="21"/>
          <w:szCs w:val="21"/>
        </w:rPr>
      </w:pPr>
      <w:r w:rsidRPr="00FF29D2">
        <w:rPr>
          <w:rFonts w:ascii="Cambria" w:hAnsi="Cambria"/>
          <w:sz w:val="21"/>
          <w:szCs w:val="21"/>
        </w:rPr>
        <w:t>En ese se sentido, en el presente asunto, la Comisión ha constatado que la situación planteada a la luz del artículo 25 del Reglamento satisface el cumplimiento de los requisitos reglamentarios, siendo consecuentemente adecuada la adopción de medidas cautelares para salvaguardar sus derechos.</w:t>
      </w:r>
    </w:p>
    <w:p w14:paraId="55B5A940" w14:textId="77777777" w:rsidR="00B117BB" w:rsidRPr="00B117BB" w:rsidRDefault="00B117BB" w:rsidP="000A4AB1">
      <w:pPr>
        <w:pStyle w:val="ListParagraph"/>
        <w:spacing w:after="0" w:line="240" w:lineRule="auto"/>
        <w:ind w:left="360"/>
        <w:contextualSpacing w:val="0"/>
        <w:jc w:val="both"/>
        <w:rPr>
          <w:rFonts w:ascii="Cambria" w:eastAsia="Calibri" w:hAnsi="Cambria" w:cs="Times New Roman"/>
          <w:sz w:val="21"/>
          <w:szCs w:val="21"/>
          <w:lang w:val="es-ES"/>
        </w:rPr>
      </w:pPr>
    </w:p>
    <w:p w14:paraId="352AEAEC" w14:textId="2104AD1E" w:rsidR="00B117BB" w:rsidRPr="00B117BB" w:rsidRDefault="002C02DA" w:rsidP="00B117BB">
      <w:pPr>
        <w:numPr>
          <w:ilvl w:val="0"/>
          <w:numId w:val="2"/>
        </w:numPr>
        <w:spacing w:after="0" w:line="240" w:lineRule="auto"/>
        <w:ind w:hanging="294"/>
        <w:jc w:val="both"/>
        <w:rPr>
          <w:rFonts w:ascii="Cambria" w:eastAsia="Batang" w:hAnsi="Cambria" w:cs="Times New Roman"/>
          <w:b/>
          <w:color w:val="000000"/>
          <w:sz w:val="21"/>
          <w:szCs w:val="21"/>
          <w:lang w:val="es-ES"/>
        </w:rPr>
      </w:pPr>
      <w:r>
        <w:rPr>
          <w:rFonts w:ascii="Cambria" w:eastAsia="Batang" w:hAnsi="Cambria" w:cs="Times New Roman"/>
          <w:b/>
          <w:color w:val="000000"/>
          <w:sz w:val="21"/>
          <w:szCs w:val="21"/>
          <w:lang w:val="es-ES"/>
        </w:rPr>
        <w:t>BENEFICIARIO</w:t>
      </w:r>
      <w:r w:rsidR="00B117BB" w:rsidRPr="00B117BB">
        <w:rPr>
          <w:rFonts w:ascii="Cambria" w:eastAsia="Batang" w:hAnsi="Cambria" w:cs="Times New Roman"/>
          <w:b/>
          <w:color w:val="000000"/>
          <w:sz w:val="21"/>
          <w:szCs w:val="21"/>
          <w:lang w:val="es-ES"/>
        </w:rPr>
        <w:t>S</w:t>
      </w:r>
    </w:p>
    <w:p w14:paraId="4A831E13" w14:textId="77777777" w:rsidR="00B117BB" w:rsidRPr="00B117BB" w:rsidRDefault="00B117BB" w:rsidP="00B117BB">
      <w:pPr>
        <w:spacing w:after="0" w:line="240" w:lineRule="auto"/>
        <w:jc w:val="both"/>
        <w:rPr>
          <w:rFonts w:ascii="Cambria" w:eastAsia="Batang" w:hAnsi="Cambria" w:cs="Times New Roman"/>
          <w:b/>
          <w:color w:val="000000"/>
          <w:sz w:val="21"/>
          <w:szCs w:val="21"/>
          <w:lang w:val="es-ES"/>
        </w:rPr>
      </w:pPr>
    </w:p>
    <w:p w14:paraId="23259D8A" w14:textId="3A68C233" w:rsidR="00B117BB" w:rsidRPr="00B117BB" w:rsidRDefault="00B117BB" w:rsidP="003E7854">
      <w:pPr>
        <w:numPr>
          <w:ilvl w:val="0"/>
          <w:numId w:val="3"/>
        </w:numPr>
        <w:spacing w:after="0" w:line="240" w:lineRule="auto"/>
        <w:ind w:left="0" w:firstLine="360"/>
        <w:jc w:val="both"/>
        <w:rPr>
          <w:rFonts w:ascii="Cambria" w:eastAsia="Batang" w:hAnsi="Cambria" w:cs="Times New Roman"/>
          <w:color w:val="000000"/>
          <w:sz w:val="21"/>
          <w:szCs w:val="21"/>
          <w:lang w:val="es-ES"/>
        </w:rPr>
      </w:pPr>
      <w:r w:rsidRPr="00B117BB">
        <w:rPr>
          <w:rFonts w:ascii="Cambria" w:eastAsia="Batang" w:hAnsi="Cambria" w:cs="Times New Roman"/>
          <w:color w:val="000000"/>
          <w:sz w:val="21"/>
          <w:szCs w:val="21"/>
          <w:lang w:val="es-ES"/>
        </w:rPr>
        <w:t xml:space="preserve">La Comisión declara que </w:t>
      </w:r>
      <w:r w:rsidR="002C02DA">
        <w:rPr>
          <w:rFonts w:ascii="Cambria" w:eastAsia="Batang" w:hAnsi="Cambria" w:cs="Times New Roman"/>
          <w:color w:val="000000"/>
          <w:sz w:val="21"/>
          <w:szCs w:val="21"/>
          <w:lang w:val="es-ES"/>
        </w:rPr>
        <w:t>los beneficiarios</w:t>
      </w:r>
      <w:r w:rsidRPr="00B117BB">
        <w:rPr>
          <w:rFonts w:ascii="Cambria" w:eastAsia="Batang" w:hAnsi="Cambria" w:cs="Times New Roman"/>
          <w:color w:val="000000"/>
          <w:sz w:val="21"/>
          <w:szCs w:val="21"/>
          <w:lang w:val="es-ES"/>
        </w:rPr>
        <w:t xml:space="preserve"> de la presente medida cautelar son </w:t>
      </w:r>
      <w:r w:rsidR="002C02DA" w:rsidRPr="002C02DA">
        <w:rPr>
          <w:rFonts w:ascii="Cambria" w:eastAsia="Batang" w:hAnsi="Cambria" w:cs="Times New Roman"/>
          <w:color w:val="000000"/>
          <w:sz w:val="21"/>
          <w:szCs w:val="21"/>
        </w:rPr>
        <w:t xml:space="preserve">Alfonso Alejandre </w:t>
      </w:r>
      <w:r w:rsidR="002C02DA" w:rsidRPr="003E7854">
        <w:rPr>
          <w:rFonts w:ascii="Cambria" w:eastAsia="Batang" w:hAnsi="Cambria" w:cs="Times New Roman"/>
          <w:color w:val="000000"/>
          <w:sz w:val="21"/>
          <w:szCs w:val="21"/>
          <w:lang w:val="es-ES"/>
        </w:rPr>
        <w:t>Díaz</w:t>
      </w:r>
      <w:r w:rsidR="002C02DA" w:rsidRPr="002C02DA">
        <w:rPr>
          <w:rFonts w:ascii="Cambria" w:eastAsia="Batang" w:hAnsi="Cambria" w:cs="Times New Roman"/>
          <w:color w:val="000000"/>
          <w:sz w:val="21"/>
          <w:szCs w:val="21"/>
        </w:rPr>
        <w:t xml:space="preserve"> y Alberto Alejandre Díaz</w:t>
      </w:r>
      <w:r w:rsidR="002C02DA">
        <w:rPr>
          <w:rFonts w:ascii="Cambria" w:eastAsia="Batang" w:hAnsi="Cambria" w:cs="Times New Roman"/>
          <w:color w:val="000000"/>
          <w:sz w:val="21"/>
          <w:szCs w:val="21"/>
        </w:rPr>
        <w:t>, quienes se encuentran debidamente identificados en la presente resolución.</w:t>
      </w:r>
    </w:p>
    <w:p w14:paraId="75197A6A" w14:textId="77777777" w:rsidR="00B117BB" w:rsidRPr="00B117BB" w:rsidRDefault="00B117BB" w:rsidP="00B117BB">
      <w:pPr>
        <w:spacing w:after="0" w:line="240" w:lineRule="auto"/>
        <w:jc w:val="both"/>
        <w:rPr>
          <w:rFonts w:ascii="Cambria" w:eastAsia="Batang" w:hAnsi="Cambria" w:cs="Times New Roman"/>
          <w:color w:val="000000"/>
          <w:sz w:val="21"/>
          <w:szCs w:val="21"/>
          <w:lang w:val="es-ES"/>
        </w:rPr>
      </w:pPr>
    </w:p>
    <w:p w14:paraId="2ADA3582" w14:textId="77777777" w:rsidR="008F3387" w:rsidRDefault="008F3387" w:rsidP="00E96CEA">
      <w:pPr>
        <w:spacing w:after="0" w:line="240" w:lineRule="auto"/>
        <w:ind w:left="720"/>
        <w:jc w:val="both"/>
        <w:rPr>
          <w:rFonts w:ascii="Cambria" w:eastAsia="Batang" w:hAnsi="Cambria" w:cs="Times New Roman"/>
          <w:b/>
          <w:color w:val="000000"/>
          <w:sz w:val="21"/>
          <w:szCs w:val="21"/>
          <w:lang w:val="es-ES"/>
        </w:rPr>
      </w:pPr>
    </w:p>
    <w:p w14:paraId="6D7A390E" w14:textId="133F8614" w:rsidR="00B117BB" w:rsidRPr="00B117BB" w:rsidRDefault="00B117BB" w:rsidP="00B117BB">
      <w:pPr>
        <w:numPr>
          <w:ilvl w:val="0"/>
          <w:numId w:val="2"/>
        </w:numPr>
        <w:spacing w:after="0" w:line="240" w:lineRule="auto"/>
        <w:ind w:hanging="294"/>
        <w:jc w:val="both"/>
        <w:rPr>
          <w:rFonts w:ascii="Cambria" w:eastAsia="Batang" w:hAnsi="Cambria" w:cs="Times New Roman"/>
          <w:b/>
          <w:color w:val="000000"/>
          <w:sz w:val="21"/>
          <w:szCs w:val="21"/>
          <w:lang w:val="es-ES"/>
        </w:rPr>
      </w:pPr>
      <w:r w:rsidRPr="00B117BB">
        <w:rPr>
          <w:rFonts w:ascii="Cambria" w:eastAsia="Batang" w:hAnsi="Cambria" w:cs="Times New Roman"/>
          <w:b/>
          <w:color w:val="000000"/>
          <w:sz w:val="21"/>
          <w:szCs w:val="21"/>
          <w:lang w:val="es-ES"/>
        </w:rPr>
        <w:t xml:space="preserve">DECISIÓN </w:t>
      </w:r>
    </w:p>
    <w:p w14:paraId="04EBB45E" w14:textId="77777777" w:rsidR="00B117BB" w:rsidRPr="00B117BB" w:rsidRDefault="00B117BB" w:rsidP="00B117BB">
      <w:pPr>
        <w:spacing w:after="0" w:line="240" w:lineRule="auto"/>
        <w:jc w:val="both"/>
        <w:rPr>
          <w:rFonts w:ascii="Cambria" w:eastAsia="Batang" w:hAnsi="Cambria" w:cs="Times New Roman"/>
          <w:b/>
          <w:color w:val="000000"/>
          <w:sz w:val="21"/>
          <w:szCs w:val="21"/>
          <w:lang w:val="es-ES"/>
        </w:rPr>
      </w:pPr>
    </w:p>
    <w:p w14:paraId="61732B60" w14:textId="556B0018" w:rsidR="00B117BB" w:rsidRPr="00B117BB" w:rsidRDefault="00B117BB" w:rsidP="003E7854">
      <w:pPr>
        <w:numPr>
          <w:ilvl w:val="0"/>
          <w:numId w:val="3"/>
        </w:numPr>
        <w:spacing w:after="0" w:line="240" w:lineRule="auto"/>
        <w:ind w:left="0" w:firstLine="360"/>
        <w:jc w:val="both"/>
        <w:rPr>
          <w:rFonts w:ascii="Cambria" w:eastAsia="Batang" w:hAnsi="Cambria" w:cs="Times New Roman"/>
          <w:color w:val="000000"/>
          <w:sz w:val="21"/>
          <w:szCs w:val="21"/>
          <w:lang w:val="es-ES"/>
        </w:rPr>
      </w:pPr>
      <w:r w:rsidRPr="00B117BB">
        <w:rPr>
          <w:rFonts w:ascii="Cambria" w:eastAsia="Batang" w:hAnsi="Cambria" w:cs="Times New Roman"/>
          <w:color w:val="000000"/>
          <w:sz w:val="21"/>
          <w:szCs w:val="21"/>
          <w:lang w:val="es-ES"/>
        </w:rPr>
        <w:t xml:space="preserve">En vista de los antecedentes señalados, la CIDH considera que el presente asunto reúne </w:t>
      </w:r>
      <w:r w:rsidRPr="00B117BB">
        <w:rPr>
          <w:rFonts w:ascii="Cambria" w:eastAsia="Batang" w:hAnsi="Cambria" w:cs="Times New Roman"/>
          <w:i/>
          <w:color w:val="000000"/>
          <w:sz w:val="21"/>
          <w:szCs w:val="21"/>
          <w:lang w:val="es-ES"/>
        </w:rPr>
        <w:t>prima facie</w:t>
      </w:r>
      <w:r w:rsidRPr="00B117BB">
        <w:rPr>
          <w:rFonts w:ascii="Cambria" w:eastAsia="Batang" w:hAnsi="Cambria" w:cs="Times New Roman"/>
          <w:color w:val="000000"/>
          <w:sz w:val="21"/>
          <w:szCs w:val="21"/>
          <w:lang w:val="es-ES"/>
        </w:rPr>
        <w:t xml:space="preserve"> los requisitos de gravedad, urgencia e irreparabilidad contenidos en el artículo 25 de su Reglamento. En consecuencia, </w:t>
      </w:r>
      <w:r w:rsidR="008F3387">
        <w:rPr>
          <w:rFonts w:ascii="Cambria" w:eastAsia="Batang" w:hAnsi="Cambria" w:cs="Times New Roman"/>
          <w:color w:val="000000"/>
          <w:sz w:val="21"/>
          <w:szCs w:val="21"/>
          <w:lang w:val="es-ES"/>
        </w:rPr>
        <w:t>esta</w:t>
      </w:r>
      <w:r w:rsidRPr="00B117BB">
        <w:rPr>
          <w:rFonts w:ascii="Cambria" w:eastAsia="Batang" w:hAnsi="Cambria" w:cs="Times New Roman"/>
          <w:color w:val="000000"/>
          <w:sz w:val="21"/>
          <w:szCs w:val="21"/>
          <w:lang w:val="es-ES"/>
        </w:rPr>
        <w:t xml:space="preserve"> solicita a </w:t>
      </w:r>
      <w:r w:rsidR="003102F2">
        <w:rPr>
          <w:rFonts w:ascii="Cambria" w:eastAsia="Batang" w:hAnsi="Cambria" w:cs="Times New Roman"/>
          <w:color w:val="000000"/>
          <w:sz w:val="21"/>
          <w:szCs w:val="21"/>
          <w:lang w:val="es-ES"/>
        </w:rPr>
        <w:t>México</w:t>
      </w:r>
      <w:r w:rsidRPr="00B117BB">
        <w:rPr>
          <w:rFonts w:ascii="Cambria" w:eastAsia="Batang" w:hAnsi="Cambria" w:cs="Times New Roman"/>
          <w:color w:val="000000"/>
          <w:sz w:val="21"/>
          <w:szCs w:val="21"/>
          <w:lang w:val="es-ES"/>
        </w:rPr>
        <w:t xml:space="preserve"> que:</w:t>
      </w:r>
    </w:p>
    <w:p w14:paraId="1A53E8AE" w14:textId="77777777" w:rsidR="00B117BB" w:rsidRPr="00B117BB" w:rsidRDefault="00B117BB" w:rsidP="00B117BB">
      <w:pPr>
        <w:spacing w:after="0" w:line="240" w:lineRule="auto"/>
        <w:ind w:left="720"/>
        <w:contextualSpacing/>
        <w:jc w:val="both"/>
        <w:rPr>
          <w:rFonts w:ascii="Cambria" w:eastAsia="Calibri" w:hAnsi="Cambria" w:cs="Times New Roman"/>
          <w:sz w:val="21"/>
          <w:szCs w:val="21"/>
          <w:lang w:val="es-ES"/>
        </w:rPr>
      </w:pPr>
    </w:p>
    <w:p w14:paraId="35DDE8F2" w14:textId="37E769ED" w:rsidR="003102F2" w:rsidRPr="003102F2" w:rsidRDefault="003102F2" w:rsidP="003102F2">
      <w:pPr>
        <w:pStyle w:val="ListParagraph"/>
        <w:numPr>
          <w:ilvl w:val="1"/>
          <w:numId w:val="6"/>
        </w:numPr>
        <w:spacing w:after="120" w:line="240" w:lineRule="auto"/>
        <w:ind w:left="1134" w:hanging="357"/>
        <w:contextualSpacing w:val="0"/>
        <w:jc w:val="both"/>
        <w:rPr>
          <w:rFonts w:ascii="Cambria" w:eastAsia="Batang" w:hAnsi="Cambria" w:cs="Times New Roman"/>
          <w:color w:val="000000"/>
          <w:sz w:val="21"/>
          <w:szCs w:val="21"/>
        </w:rPr>
      </w:pPr>
      <w:r w:rsidRPr="003102F2">
        <w:rPr>
          <w:rFonts w:ascii="Cambria" w:eastAsia="Batang" w:hAnsi="Cambria" w:cs="Times New Roman"/>
          <w:color w:val="000000"/>
          <w:sz w:val="21"/>
          <w:szCs w:val="21"/>
        </w:rPr>
        <w:t xml:space="preserve">adopte las medidas necesarias para determinar el paradero o destino de los señores Alfonso Alejandre Díaz y Alberto Alejandre Díaz, con el fin de proteger sus derechos a la vida e integridad personal; </w:t>
      </w:r>
    </w:p>
    <w:p w14:paraId="6067D66D" w14:textId="3A2F7BFE" w:rsidR="003102F2" w:rsidRPr="003102F2" w:rsidRDefault="003102F2" w:rsidP="003102F2">
      <w:pPr>
        <w:pStyle w:val="ListParagraph"/>
        <w:numPr>
          <w:ilvl w:val="1"/>
          <w:numId w:val="6"/>
        </w:numPr>
        <w:spacing w:after="120" w:line="240" w:lineRule="auto"/>
        <w:ind w:left="1134" w:hanging="357"/>
        <w:contextualSpacing w:val="0"/>
        <w:jc w:val="both"/>
        <w:rPr>
          <w:rFonts w:ascii="Cambria" w:eastAsia="Batang" w:hAnsi="Cambria" w:cs="Times New Roman"/>
          <w:color w:val="000000"/>
          <w:sz w:val="21"/>
          <w:szCs w:val="21"/>
        </w:rPr>
      </w:pPr>
      <w:r w:rsidRPr="003102F2">
        <w:rPr>
          <w:rFonts w:ascii="Cambria" w:eastAsia="Batang" w:hAnsi="Cambria" w:cs="Times New Roman"/>
          <w:color w:val="000000"/>
          <w:sz w:val="21"/>
          <w:szCs w:val="21"/>
        </w:rPr>
        <w:lastRenderedPageBreak/>
        <w:t xml:space="preserve">concierte las medidas a adoptarse con los representantes del beneficiario; y </w:t>
      </w:r>
    </w:p>
    <w:p w14:paraId="47317D0F" w14:textId="46E8650F" w:rsidR="00B117BB" w:rsidRPr="003102F2" w:rsidRDefault="003102F2" w:rsidP="003102F2">
      <w:pPr>
        <w:pStyle w:val="ListParagraph"/>
        <w:numPr>
          <w:ilvl w:val="1"/>
          <w:numId w:val="6"/>
        </w:numPr>
        <w:spacing w:after="120" w:line="240" w:lineRule="auto"/>
        <w:ind w:left="1134" w:hanging="357"/>
        <w:contextualSpacing w:val="0"/>
        <w:jc w:val="both"/>
        <w:rPr>
          <w:rFonts w:ascii="Cambria" w:eastAsia="Batang" w:hAnsi="Cambria" w:cs="Times New Roman"/>
          <w:color w:val="000000"/>
          <w:sz w:val="21"/>
          <w:szCs w:val="21"/>
          <w:lang w:val="es-ES"/>
        </w:rPr>
      </w:pPr>
      <w:r w:rsidRPr="003102F2">
        <w:rPr>
          <w:rFonts w:ascii="Cambria" w:eastAsia="Batang" w:hAnsi="Cambria" w:cs="Times New Roman"/>
          <w:color w:val="000000"/>
          <w:sz w:val="21"/>
          <w:szCs w:val="21"/>
        </w:rPr>
        <w:t>informe sobre las acciones tendentes a investigar los hechos que dieron lugar a la adopción de la presente medida cautelar y así evitar su repetición.</w:t>
      </w:r>
    </w:p>
    <w:p w14:paraId="5C79BEF9" w14:textId="77777777" w:rsidR="003102F2" w:rsidRPr="003102F2" w:rsidRDefault="003102F2" w:rsidP="003102F2">
      <w:pPr>
        <w:pStyle w:val="ListParagraph"/>
        <w:spacing w:after="0" w:line="240" w:lineRule="auto"/>
        <w:ind w:left="2160"/>
        <w:jc w:val="both"/>
        <w:rPr>
          <w:rFonts w:ascii="Cambria" w:eastAsia="Batang" w:hAnsi="Cambria" w:cs="Times New Roman"/>
          <w:color w:val="000000"/>
          <w:sz w:val="21"/>
          <w:szCs w:val="21"/>
          <w:lang w:val="es-ES"/>
        </w:rPr>
      </w:pPr>
    </w:p>
    <w:p w14:paraId="509775ED" w14:textId="77777777" w:rsidR="00B117BB" w:rsidRPr="00B117BB" w:rsidRDefault="00B117BB" w:rsidP="003E7854">
      <w:pPr>
        <w:numPr>
          <w:ilvl w:val="0"/>
          <w:numId w:val="3"/>
        </w:numPr>
        <w:spacing w:after="0" w:line="240" w:lineRule="auto"/>
        <w:ind w:left="0" w:firstLine="360"/>
        <w:jc w:val="both"/>
        <w:rPr>
          <w:rFonts w:ascii="Cambria" w:eastAsia="Batang" w:hAnsi="Cambria" w:cs="Times New Roman"/>
          <w:color w:val="000000"/>
          <w:sz w:val="21"/>
          <w:szCs w:val="21"/>
          <w:lang w:val="es-ES"/>
        </w:rPr>
      </w:pPr>
      <w:r w:rsidRPr="00B117BB">
        <w:rPr>
          <w:rFonts w:ascii="Cambria" w:eastAsia="Batang" w:hAnsi="Cambria" w:cs="Times New Roman"/>
          <w:color w:val="000000"/>
          <w:sz w:val="21"/>
          <w:szCs w:val="21"/>
          <w:lang w:val="es-ES"/>
        </w:rPr>
        <w:t xml:space="preserve">La Comisión solicita al Gobierno de Su Excelencia que tenga a bien informar a la Comisión, dentro del plazo de 15 días contados a partir de la fecha de la presente comunicación, sobre la adopción de las medidas cautelares acordadas y actualizar dicha </w:t>
      </w:r>
      <w:r w:rsidR="00840869">
        <w:rPr>
          <w:rFonts w:ascii="Cambria" w:eastAsia="Batang" w:hAnsi="Cambria" w:cs="Times New Roman"/>
          <w:color w:val="000000"/>
          <w:sz w:val="21"/>
          <w:szCs w:val="21"/>
          <w:lang w:val="es-ES"/>
        </w:rPr>
        <w:t>información en forma periódica.</w:t>
      </w:r>
    </w:p>
    <w:p w14:paraId="5D93D7E4" w14:textId="77777777" w:rsidR="00B117BB" w:rsidRPr="00B117BB" w:rsidRDefault="00B117BB" w:rsidP="00B117BB">
      <w:pPr>
        <w:spacing w:after="0" w:line="240" w:lineRule="auto"/>
        <w:jc w:val="both"/>
        <w:rPr>
          <w:rFonts w:ascii="Cambria" w:eastAsia="Batang" w:hAnsi="Cambria" w:cs="Times New Roman"/>
          <w:color w:val="000000"/>
          <w:sz w:val="21"/>
          <w:szCs w:val="21"/>
          <w:lang w:val="es-ES"/>
        </w:rPr>
      </w:pPr>
    </w:p>
    <w:p w14:paraId="0BCE3B05" w14:textId="77777777" w:rsidR="00B117BB" w:rsidRPr="00B117BB" w:rsidRDefault="00B117BB" w:rsidP="003E7854">
      <w:pPr>
        <w:numPr>
          <w:ilvl w:val="0"/>
          <w:numId w:val="3"/>
        </w:numPr>
        <w:spacing w:after="0" w:line="240" w:lineRule="auto"/>
        <w:ind w:left="0" w:firstLine="360"/>
        <w:jc w:val="both"/>
        <w:rPr>
          <w:rFonts w:ascii="Cambria" w:eastAsia="Batang" w:hAnsi="Cambria" w:cs="Times New Roman"/>
          <w:color w:val="000000"/>
          <w:sz w:val="21"/>
          <w:szCs w:val="21"/>
          <w:lang w:val="es-ES"/>
        </w:rPr>
      </w:pPr>
      <w:r w:rsidRPr="00B117BB">
        <w:rPr>
          <w:rFonts w:ascii="Cambria" w:eastAsia="Batang" w:hAnsi="Cambria" w:cs="Times New Roman"/>
          <w:color w:val="000000"/>
          <w:sz w:val="21"/>
          <w:szCs w:val="21"/>
          <w:lang w:val="es-ES"/>
        </w:rPr>
        <w:t>La Comisión resalta que, de conformidad con el artículo 25.8 del Reglamento de la Comisión, el otorgamiento de medidas cautelares y su adopción por el Estado no constituyen prejuzgamiento sobre la posible violación de los derechos protegidos en la Convención Americana y otros instrumentos aplicables.</w:t>
      </w:r>
    </w:p>
    <w:p w14:paraId="01BAE598" w14:textId="77777777" w:rsidR="00B117BB" w:rsidRPr="00B117BB" w:rsidRDefault="00B117BB" w:rsidP="00B117BB">
      <w:pPr>
        <w:spacing w:after="0" w:line="240" w:lineRule="auto"/>
        <w:ind w:left="720"/>
        <w:contextualSpacing/>
        <w:jc w:val="both"/>
        <w:rPr>
          <w:rFonts w:ascii="Cambria" w:eastAsia="Calibri" w:hAnsi="Cambria" w:cs="Times New Roman"/>
          <w:sz w:val="21"/>
          <w:szCs w:val="21"/>
          <w:lang w:val="es-ES"/>
        </w:rPr>
      </w:pPr>
    </w:p>
    <w:p w14:paraId="7A06A339" w14:textId="379900BF" w:rsidR="00B117BB" w:rsidRPr="00B117BB" w:rsidRDefault="00B117BB" w:rsidP="003E7854">
      <w:pPr>
        <w:numPr>
          <w:ilvl w:val="0"/>
          <w:numId w:val="3"/>
        </w:numPr>
        <w:spacing w:after="0" w:line="240" w:lineRule="auto"/>
        <w:ind w:left="0" w:firstLine="360"/>
        <w:jc w:val="both"/>
        <w:rPr>
          <w:rFonts w:ascii="Cambria" w:eastAsia="Batang" w:hAnsi="Cambria" w:cs="Times New Roman"/>
          <w:color w:val="000000"/>
          <w:sz w:val="21"/>
          <w:szCs w:val="21"/>
          <w:lang w:val="es-ES"/>
        </w:rPr>
      </w:pPr>
      <w:r w:rsidRPr="00B117BB">
        <w:rPr>
          <w:rFonts w:ascii="Cambria" w:eastAsia="Batang" w:hAnsi="Cambria" w:cs="Times New Roman"/>
          <w:color w:val="000000"/>
          <w:sz w:val="21"/>
          <w:szCs w:val="21"/>
          <w:lang w:val="es-ES"/>
        </w:rPr>
        <w:t xml:space="preserve">La Comisión instruye a su Secretaría Ejecutiva que notifique la presente Resolución al Estado de </w:t>
      </w:r>
      <w:r w:rsidR="003102F2">
        <w:rPr>
          <w:rFonts w:ascii="Cambria" w:eastAsia="Batang" w:hAnsi="Cambria" w:cs="Times New Roman"/>
          <w:color w:val="000000"/>
          <w:sz w:val="21"/>
          <w:szCs w:val="21"/>
          <w:lang w:val="es-ES"/>
        </w:rPr>
        <w:t>México</w:t>
      </w:r>
      <w:r w:rsidRPr="00B117BB">
        <w:rPr>
          <w:rFonts w:ascii="Cambria" w:eastAsia="Batang" w:hAnsi="Cambria" w:cs="Times New Roman"/>
          <w:color w:val="000000"/>
          <w:sz w:val="21"/>
          <w:szCs w:val="21"/>
          <w:lang w:val="es-ES"/>
        </w:rPr>
        <w:t xml:space="preserve"> y a l</w:t>
      </w:r>
      <w:r w:rsidR="00840869">
        <w:rPr>
          <w:rFonts w:ascii="Cambria" w:eastAsia="Batang" w:hAnsi="Cambria" w:cs="Times New Roman"/>
          <w:color w:val="000000"/>
          <w:sz w:val="21"/>
          <w:szCs w:val="21"/>
          <w:lang w:val="es-ES"/>
        </w:rPr>
        <w:t>os</w:t>
      </w:r>
      <w:r w:rsidRPr="00B117BB">
        <w:rPr>
          <w:rFonts w:ascii="Cambria" w:eastAsia="Batang" w:hAnsi="Cambria" w:cs="Times New Roman"/>
          <w:color w:val="000000"/>
          <w:sz w:val="21"/>
          <w:szCs w:val="21"/>
          <w:lang w:val="es-ES"/>
        </w:rPr>
        <w:t xml:space="preserve"> solicitante</w:t>
      </w:r>
      <w:r w:rsidR="00840869">
        <w:rPr>
          <w:rFonts w:ascii="Cambria" w:eastAsia="Batang" w:hAnsi="Cambria" w:cs="Times New Roman"/>
          <w:color w:val="000000"/>
          <w:sz w:val="21"/>
          <w:szCs w:val="21"/>
          <w:lang w:val="es-ES"/>
        </w:rPr>
        <w:t>s</w:t>
      </w:r>
      <w:r w:rsidRPr="00B117BB">
        <w:rPr>
          <w:rFonts w:ascii="Cambria" w:eastAsia="Batang" w:hAnsi="Cambria" w:cs="Times New Roman"/>
          <w:color w:val="000000"/>
          <w:sz w:val="21"/>
          <w:szCs w:val="21"/>
          <w:lang w:val="es-ES"/>
        </w:rPr>
        <w:t>.</w:t>
      </w:r>
    </w:p>
    <w:p w14:paraId="6BB0CBF3" w14:textId="77777777" w:rsidR="00B117BB" w:rsidRPr="00B117BB" w:rsidRDefault="00B117BB" w:rsidP="00B117BB">
      <w:pPr>
        <w:spacing w:after="0" w:line="240" w:lineRule="auto"/>
        <w:jc w:val="both"/>
        <w:rPr>
          <w:rFonts w:ascii="Cambria" w:eastAsia="Batang" w:hAnsi="Cambria" w:cs="Times New Roman"/>
          <w:color w:val="000000"/>
          <w:sz w:val="21"/>
          <w:szCs w:val="21"/>
          <w:lang w:val="es-ES"/>
        </w:rPr>
      </w:pPr>
    </w:p>
    <w:p w14:paraId="73CE9696" w14:textId="2EE7D962" w:rsidR="00527571" w:rsidRPr="00B117BB" w:rsidRDefault="00B117BB" w:rsidP="003E7854">
      <w:pPr>
        <w:numPr>
          <w:ilvl w:val="0"/>
          <w:numId w:val="3"/>
        </w:numPr>
        <w:spacing w:after="0" w:line="240" w:lineRule="auto"/>
        <w:ind w:left="0" w:firstLine="360"/>
        <w:jc w:val="both"/>
        <w:rPr>
          <w:rFonts w:ascii="Cambria" w:eastAsia="Batang" w:hAnsi="Cambria" w:cs="Times New Roman"/>
          <w:color w:val="000000"/>
          <w:sz w:val="21"/>
          <w:szCs w:val="21"/>
          <w:lang w:val="es-ES"/>
        </w:rPr>
      </w:pPr>
      <w:r w:rsidRPr="00527571">
        <w:rPr>
          <w:rFonts w:ascii="Cambria" w:eastAsia="Batang" w:hAnsi="Cambria" w:cs="Times New Roman"/>
          <w:color w:val="000000"/>
          <w:sz w:val="21"/>
          <w:szCs w:val="21"/>
          <w:lang w:val="es-ES"/>
        </w:rPr>
        <w:t xml:space="preserve">Aprobado el </w:t>
      </w:r>
      <w:r w:rsidR="000D4F63">
        <w:rPr>
          <w:rFonts w:ascii="Cambria" w:eastAsia="Batang" w:hAnsi="Cambria" w:cs="Times New Roman"/>
          <w:color w:val="000000"/>
          <w:sz w:val="21"/>
          <w:szCs w:val="21"/>
          <w:lang w:val="es-ES"/>
        </w:rPr>
        <w:t>5</w:t>
      </w:r>
      <w:r w:rsidR="00527571" w:rsidRPr="008E5229">
        <w:rPr>
          <w:rFonts w:ascii="Cambria" w:eastAsia="Batang" w:hAnsi="Cambria" w:cs="Times New Roman"/>
          <w:color w:val="000000"/>
          <w:sz w:val="21"/>
          <w:szCs w:val="21"/>
          <w:lang w:val="es-ES"/>
        </w:rPr>
        <w:t xml:space="preserve"> de</w:t>
      </w:r>
      <w:r w:rsidR="00527571" w:rsidRPr="00B117BB">
        <w:rPr>
          <w:rFonts w:ascii="Cambria" w:eastAsia="Batang" w:hAnsi="Cambria" w:cs="Times New Roman"/>
          <w:color w:val="000000"/>
          <w:sz w:val="21"/>
          <w:szCs w:val="21"/>
          <w:lang w:val="es-ES"/>
        </w:rPr>
        <w:t xml:space="preserve"> </w:t>
      </w:r>
      <w:r w:rsidR="003102F2">
        <w:rPr>
          <w:rFonts w:ascii="Cambria" w:eastAsia="Batang" w:hAnsi="Cambria" w:cs="Times New Roman"/>
          <w:color w:val="000000"/>
          <w:sz w:val="21"/>
          <w:szCs w:val="21"/>
          <w:lang w:val="es-ES"/>
        </w:rPr>
        <w:t xml:space="preserve">febrero </w:t>
      </w:r>
      <w:r w:rsidR="00527571">
        <w:rPr>
          <w:rFonts w:ascii="Cambria" w:eastAsia="Batang" w:hAnsi="Cambria" w:cs="Times New Roman"/>
          <w:color w:val="000000"/>
          <w:sz w:val="21"/>
          <w:szCs w:val="21"/>
          <w:lang w:val="es-ES"/>
        </w:rPr>
        <w:t>de 20</w:t>
      </w:r>
      <w:r w:rsidR="003102F2">
        <w:rPr>
          <w:rFonts w:ascii="Cambria" w:eastAsia="Batang" w:hAnsi="Cambria" w:cs="Times New Roman"/>
          <w:color w:val="000000"/>
          <w:sz w:val="21"/>
          <w:szCs w:val="21"/>
          <w:lang w:val="es-ES"/>
        </w:rPr>
        <w:t>20</w:t>
      </w:r>
      <w:r w:rsidR="00527571">
        <w:rPr>
          <w:rFonts w:ascii="Cambria" w:eastAsia="Batang" w:hAnsi="Cambria" w:cs="Times New Roman"/>
          <w:color w:val="000000"/>
          <w:sz w:val="21"/>
          <w:szCs w:val="21"/>
          <w:lang w:val="es-ES"/>
        </w:rPr>
        <w:t xml:space="preserve"> por: </w:t>
      </w:r>
      <w:r w:rsidR="000D4F63" w:rsidRPr="000D4F63">
        <w:rPr>
          <w:rFonts w:ascii="Cambria" w:eastAsia="Batang" w:hAnsi="Cambria" w:cs="Times New Roman"/>
          <w:color w:val="000000"/>
          <w:sz w:val="21"/>
          <w:szCs w:val="21"/>
        </w:rPr>
        <w:t>Esmeralda</w:t>
      </w:r>
      <w:r w:rsidR="00DA525D">
        <w:rPr>
          <w:rFonts w:ascii="Cambria" w:eastAsia="Batang" w:hAnsi="Cambria" w:cs="Times New Roman"/>
          <w:color w:val="000000"/>
          <w:sz w:val="21"/>
          <w:szCs w:val="21"/>
        </w:rPr>
        <w:t xml:space="preserve"> Arosemena Troitino, Presidenta</w:t>
      </w:r>
      <w:r w:rsidR="000D4F63" w:rsidRPr="000D4F63">
        <w:rPr>
          <w:rFonts w:ascii="Cambria" w:eastAsia="Batang" w:hAnsi="Cambria" w:cs="Times New Roman"/>
          <w:color w:val="000000"/>
          <w:sz w:val="21"/>
          <w:szCs w:val="21"/>
        </w:rPr>
        <w:t xml:space="preserve">; Antonia Urrejola Noguera, Segunda Vice-Presidenta; </w:t>
      </w:r>
      <w:r w:rsidR="000D4F63">
        <w:rPr>
          <w:rFonts w:ascii="Cambria" w:eastAsia="Batang" w:hAnsi="Cambria" w:cs="Times New Roman"/>
          <w:color w:val="000000"/>
          <w:sz w:val="21"/>
          <w:szCs w:val="21"/>
        </w:rPr>
        <w:t xml:space="preserve">Margarette Macaulay; </w:t>
      </w:r>
      <w:r w:rsidR="000D4F63" w:rsidRPr="000D4F63">
        <w:rPr>
          <w:rFonts w:ascii="Cambria" w:eastAsia="Batang" w:hAnsi="Cambria" w:cs="Times New Roman"/>
          <w:color w:val="000000"/>
          <w:sz w:val="21"/>
          <w:szCs w:val="21"/>
        </w:rPr>
        <w:t>Flávia Piovesan</w:t>
      </w:r>
      <w:r w:rsidR="000D4F63">
        <w:rPr>
          <w:rFonts w:ascii="Cambria" w:eastAsia="Batang" w:hAnsi="Cambria" w:cs="Times New Roman"/>
          <w:color w:val="000000"/>
          <w:sz w:val="21"/>
          <w:szCs w:val="21"/>
        </w:rPr>
        <w:t>;</w:t>
      </w:r>
      <w:r w:rsidR="00174871">
        <w:rPr>
          <w:rFonts w:ascii="Cambria" w:eastAsia="Batang" w:hAnsi="Cambria" w:cs="Times New Roman"/>
          <w:color w:val="000000"/>
          <w:sz w:val="21"/>
          <w:szCs w:val="21"/>
        </w:rPr>
        <w:t xml:space="preserve"> y</w:t>
      </w:r>
      <w:r w:rsidR="000D4F63">
        <w:rPr>
          <w:rFonts w:ascii="Cambria" w:eastAsia="Batang" w:hAnsi="Cambria" w:cs="Times New Roman"/>
          <w:color w:val="000000"/>
          <w:sz w:val="21"/>
          <w:szCs w:val="21"/>
        </w:rPr>
        <w:t xml:space="preserve"> Julissa Mantilla.</w:t>
      </w:r>
    </w:p>
    <w:p w14:paraId="58EAB789" w14:textId="6FB0FC5E" w:rsidR="00B117BB" w:rsidRPr="00527571" w:rsidRDefault="00B117BB" w:rsidP="00142C07">
      <w:pPr>
        <w:spacing w:after="0" w:line="240" w:lineRule="auto"/>
        <w:contextualSpacing/>
        <w:jc w:val="both"/>
        <w:rPr>
          <w:rFonts w:ascii="Cambria" w:eastAsia="Batang" w:hAnsi="Cambria" w:cs="Times New Roman"/>
          <w:color w:val="000000"/>
          <w:sz w:val="21"/>
          <w:szCs w:val="21"/>
          <w:lang w:val="es-ES"/>
        </w:rPr>
      </w:pPr>
    </w:p>
    <w:p w14:paraId="3F8FE4B3" w14:textId="406041F3" w:rsidR="00457F3A" w:rsidRPr="00174871" w:rsidRDefault="00457F3A">
      <w:pPr>
        <w:rPr>
          <w:lang w:val="es-ES"/>
        </w:rPr>
      </w:pPr>
    </w:p>
    <w:p w14:paraId="47CEE8FC" w14:textId="4635D984" w:rsidR="00142C07" w:rsidRDefault="00142C07"/>
    <w:p w14:paraId="1AE682A2" w14:textId="77777777" w:rsidR="00441CCC" w:rsidRDefault="00441CCC"/>
    <w:p w14:paraId="1E083465" w14:textId="6C8D481F" w:rsidR="00142C07" w:rsidRPr="00441CCC" w:rsidRDefault="009D36FF" w:rsidP="00441CCC">
      <w:pPr>
        <w:spacing w:after="0" w:line="240" w:lineRule="auto"/>
        <w:jc w:val="center"/>
        <w:rPr>
          <w:rFonts w:ascii="Cambria" w:eastAsia="Batang" w:hAnsi="Cambria" w:cs="Times New Roman"/>
          <w:color w:val="000000"/>
          <w:sz w:val="21"/>
          <w:szCs w:val="21"/>
          <w:lang w:val="es-ES"/>
        </w:rPr>
      </w:pPr>
      <w:bookmarkStart w:id="0" w:name="_GoBack"/>
      <w:r>
        <w:rPr>
          <w:rFonts w:ascii="Cambria" w:eastAsia="Batang" w:hAnsi="Cambria" w:cs="Times New Roman"/>
          <w:color w:val="000000"/>
          <w:sz w:val="21"/>
          <w:szCs w:val="21"/>
          <w:lang w:val="es-ES"/>
        </w:rPr>
        <w:t>Paulo Abrão</w:t>
      </w:r>
    </w:p>
    <w:p w14:paraId="7C688DEA" w14:textId="256B756F" w:rsidR="000D4F63" w:rsidRPr="00441CCC" w:rsidRDefault="00441CCC" w:rsidP="00441CCC">
      <w:pPr>
        <w:spacing w:after="0" w:line="240" w:lineRule="auto"/>
        <w:jc w:val="center"/>
        <w:rPr>
          <w:rFonts w:ascii="Cambria" w:eastAsia="Batang" w:hAnsi="Cambria" w:cs="Times New Roman"/>
          <w:color w:val="000000"/>
          <w:sz w:val="21"/>
          <w:szCs w:val="21"/>
          <w:lang w:val="es-ES"/>
        </w:rPr>
      </w:pPr>
      <w:r w:rsidRPr="00441CCC">
        <w:rPr>
          <w:rFonts w:ascii="Cambria" w:eastAsia="Batang" w:hAnsi="Cambria" w:cs="Times New Roman"/>
          <w:color w:val="000000"/>
          <w:sz w:val="21"/>
          <w:szCs w:val="21"/>
          <w:lang w:val="es-ES"/>
        </w:rPr>
        <w:t>Secretario Ejecutivo</w:t>
      </w:r>
    </w:p>
    <w:bookmarkEnd w:id="0"/>
    <w:p w14:paraId="3126F7B5" w14:textId="25B7908E" w:rsidR="00142C07" w:rsidRDefault="00142C07"/>
    <w:p w14:paraId="0E316657" w14:textId="77777777" w:rsidR="00142C07" w:rsidRDefault="00142C07"/>
    <w:p w14:paraId="2D9AEBF5" w14:textId="22017FE8" w:rsidR="00142C07" w:rsidRPr="00142C07" w:rsidRDefault="00142C07" w:rsidP="00142C07">
      <w:pPr>
        <w:spacing w:after="0" w:line="240" w:lineRule="auto"/>
        <w:jc w:val="center"/>
        <w:rPr>
          <w:rFonts w:ascii="Cambria" w:eastAsia="Batang" w:hAnsi="Cambria" w:cs="Times New Roman"/>
          <w:color w:val="000000"/>
          <w:sz w:val="21"/>
          <w:szCs w:val="21"/>
          <w:lang w:val="es-ES"/>
        </w:rPr>
      </w:pPr>
    </w:p>
    <w:p w14:paraId="3953048F" w14:textId="77777777" w:rsidR="00142C07" w:rsidRPr="00142C07" w:rsidRDefault="00142C07">
      <w:pPr>
        <w:rPr>
          <w:lang w:val="es-ES"/>
        </w:rPr>
      </w:pPr>
    </w:p>
    <w:sectPr w:rsidR="00142C07" w:rsidRPr="00142C07" w:rsidSect="006D7676">
      <w:headerReference w:type="default" r:id="rId8"/>
      <w:footerReference w:type="default" r:id="rId9"/>
      <w:pgSz w:w="11906" w:h="16838" w:code="9"/>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F4022" w14:textId="77777777" w:rsidR="0093097C" w:rsidRDefault="0093097C" w:rsidP="00B117BB">
      <w:pPr>
        <w:spacing w:after="0" w:line="240" w:lineRule="auto"/>
      </w:pPr>
      <w:r>
        <w:separator/>
      </w:r>
    </w:p>
  </w:endnote>
  <w:endnote w:type="continuationSeparator" w:id="0">
    <w:p w14:paraId="4233EDDB" w14:textId="77777777" w:rsidR="0093097C" w:rsidRDefault="0093097C" w:rsidP="00B11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altName w:val="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Light" w:hAnsi="Calibri Light"/>
        <w:sz w:val="16"/>
      </w:rPr>
      <w:id w:val="-954479824"/>
      <w:docPartObj>
        <w:docPartGallery w:val="Page Numbers (Bottom of Page)"/>
        <w:docPartUnique/>
      </w:docPartObj>
    </w:sdtPr>
    <w:sdtEndPr>
      <w:rPr>
        <w:noProof/>
      </w:rPr>
    </w:sdtEndPr>
    <w:sdtContent>
      <w:p w14:paraId="3BFDCFF7" w14:textId="60900DC8" w:rsidR="000A4AB1" w:rsidRPr="00D961A4" w:rsidRDefault="000A4AB1">
        <w:pPr>
          <w:pStyle w:val="Footer"/>
          <w:jc w:val="center"/>
          <w:rPr>
            <w:rFonts w:ascii="Calibri Light" w:hAnsi="Calibri Light"/>
            <w:sz w:val="16"/>
          </w:rPr>
        </w:pPr>
        <w:r w:rsidRPr="00D961A4">
          <w:rPr>
            <w:rFonts w:ascii="Calibri Light" w:hAnsi="Calibri Light"/>
            <w:sz w:val="16"/>
          </w:rPr>
          <w:fldChar w:fldCharType="begin"/>
        </w:r>
        <w:r w:rsidRPr="00D961A4">
          <w:rPr>
            <w:rFonts w:ascii="Calibri Light" w:hAnsi="Calibri Light"/>
            <w:sz w:val="16"/>
          </w:rPr>
          <w:instrText xml:space="preserve"> PAGE   \* MERGEFORMAT </w:instrText>
        </w:r>
        <w:r w:rsidRPr="00D961A4">
          <w:rPr>
            <w:rFonts w:ascii="Calibri Light" w:hAnsi="Calibri Light"/>
            <w:sz w:val="16"/>
          </w:rPr>
          <w:fldChar w:fldCharType="separate"/>
        </w:r>
        <w:r w:rsidR="009D36FF">
          <w:rPr>
            <w:rFonts w:ascii="Calibri Light" w:hAnsi="Calibri Light"/>
            <w:noProof/>
            <w:sz w:val="16"/>
          </w:rPr>
          <w:t>- 6 -</w:t>
        </w:r>
        <w:r w:rsidRPr="00D961A4">
          <w:rPr>
            <w:rFonts w:ascii="Calibri Light" w:hAnsi="Calibri Light"/>
            <w:noProof/>
            <w:sz w:val="16"/>
          </w:rPr>
          <w:fldChar w:fldCharType="end"/>
        </w:r>
      </w:p>
    </w:sdtContent>
  </w:sdt>
  <w:p w14:paraId="13200D93" w14:textId="77777777" w:rsidR="000A4AB1" w:rsidRDefault="000A4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04AAB" w14:textId="77777777" w:rsidR="0093097C" w:rsidRDefault="0093097C" w:rsidP="00B117BB">
      <w:pPr>
        <w:spacing w:after="0" w:line="240" w:lineRule="auto"/>
      </w:pPr>
      <w:r>
        <w:separator/>
      </w:r>
    </w:p>
  </w:footnote>
  <w:footnote w:type="continuationSeparator" w:id="0">
    <w:p w14:paraId="6201F11A" w14:textId="77777777" w:rsidR="0093097C" w:rsidRDefault="0093097C" w:rsidP="00B117BB">
      <w:pPr>
        <w:spacing w:after="0" w:line="240" w:lineRule="auto"/>
      </w:pPr>
      <w:r>
        <w:continuationSeparator/>
      </w:r>
    </w:p>
  </w:footnote>
  <w:footnote w:id="1">
    <w:p w14:paraId="1E7EAEE8" w14:textId="47F90AFF" w:rsidR="00472D97" w:rsidRPr="00790EC3" w:rsidRDefault="00472D97" w:rsidP="00790EC3">
      <w:pPr>
        <w:pStyle w:val="FootnoteText"/>
        <w:rPr>
          <w:rFonts w:asciiTheme="majorHAnsi" w:hAnsiTheme="majorHAnsi" w:cstheme="majorHAnsi"/>
          <w:sz w:val="16"/>
          <w:szCs w:val="16"/>
        </w:rPr>
      </w:pPr>
      <w:r w:rsidRPr="00790EC3">
        <w:rPr>
          <w:rStyle w:val="FootnoteReference"/>
          <w:rFonts w:asciiTheme="majorHAnsi" w:hAnsiTheme="majorHAnsi" w:cstheme="majorHAnsi"/>
          <w:sz w:val="16"/>
          <w:szCs w:val="16"/>
        </w:rPr>
        <w:footnoteRef/>
      </w:r>
      <w:r w:rsidRPr="00790EC3">
        <w:rPr>
          <w:rFonts w:asciiTheme="majorHAnsi" w:hAnsiTheme="majorHAnsi" w:cstheme="majorHAnsi"/>
          <w:sz w:val="16"/>
          <w:szCs w:val="16"/>
        </w:rPr>
        <w:t xml:space="preserve"> </w:t>
      </w:r>
      <w:r w:rsidRPr="00790EC3">
        <w:rPr>
          <w:rFonts w:asciiTheme="majorHAnsi" w:hAnsiTheme="majorHAnsi" w:cstheme="majorHAnsi"/>
          <w:sz w:val="16"/>
          <w:szCs w:val="16"/>
          <w:lang w:val="es-ES_tradnl"/>
        </w:rPr>
        <w:t>De conformidad con el artículo 17.2.a del Reglamento de la Comisión, el Primer Vicepresidente Hernández García, de nacionalidad mexicana, no participó en el debate ni en la deliberación de este asunto.</w:t>
      </w:r>
    </w:p>
  </w:footnote>
  <w:footnote w:id="2">
    <w:p w14:paraId="0BD6C07F" w14:textId="77777777" w:rsidR="000A4AB1" w:rsidRPr="00790EC3" w:rsidRDefault="000A4AB1" w:rsidP="00790EC3">
      <w:pPr>
        <w:pStyle w:val="FootnoteText1"/>
        <w:rPr>
          <w:rFonts w:asciiTheme="majorHAnsi" w:hAnsiTheme="majorHAnsi" w:cstheme="majorHAnsi"/>
          <w:sz w:val="16"/>
          <w:szCs w:val="16"/>
          <w:lang w:val="es-MX"/>
        </w:rPr>
      </w:pPr>
      <w:r w:rsidRPr="00790EC3">
        <w:rPr>
          <w:rStyle w:val="FootnoteReference"/>
          <w:rFonts w:asciiTheme="majorHAnsi" w:hAnsiTheme="majorHAnsi" w:cstheme="majorHAnsi"/>
          <w:sz w:val="16"/>
          <w:szCs w:val="16"/>
        </w:rPr>
        <w:footnoteRef/>
      </w:r>
      <w:r w:rsidRPr="00790EC3">
        <w:rPr>
          <w:rFonts w:asciiTheme="majorHAnsi" w:hAnsiTheme="majorHAnsi" w:cstheme="majorHAnsi"/>
          <w:sz w:val="16"/>
          <w:szCs w:val="16"/>
          <w:lang w:val="es-MX"/>
        </w:rPr>
        <w:t xml:space="preserve"> Al respecto, por ejemplo, refiriéndose a las medidas provisionales, la Corte Interamericana ha considerado que tal estándar requiere un mínimo de detalle e información que permitan apreciar </w:t>
      </w:r>
      <w:r w:rsidRPr="00790EC3">
        <w:rPr>
          <w:rFonts w:asciiTheme="majorHAnsi" w:hAnsiTheme="majorHAnsi" w:cstheme="majorHAnsi"/>
          <w:i/>
          <w:sz w:val="16"/>
          <w:szCs w:val="16"/>
          <w:lang w:val="es-MX"/>
        </w:rPr>
        <w:t xml:space="preserve">prima facie </w:t>
      </w:r>
      <w:r w:rsidRPr="00790EC3">
        <w:rPr>
          <w:rFonts w:asciiTheme="majorHAnsi" w:hAnsiTheme="majorHAnsi" w:cstheme="majorHAnsi"/>
          <w:sz w:val="16"/>
          <w:szCs w:val="16"/>
          <w:lang w:val="es-MX"/>
        </w:rPr>
        <w:t xml:space="preserve">la situación de riesgo y urgencia. Corte IDH, </w:t>
      </w:r>
      <w:r w:rsidRPr="00790EC3">
        <w:rPr>
          <w:rFonts w:asciiTheme="majorHAnsi" w:hAnsiTheme="majorHAnsi" w:cstheme="majorHAnsi"/>
          <w:i/>
          <w:sz w:val="16"/>
          <w:szCs w:val="16"/>
          <w:lang w:val="es-MX"/>
        </w:rPr>
        <w:t>Asunto de los niños y adolescentes privados de libertad en el “Complexo do Tatuapé” de la Fundação CASA</w:t>
      </w:r>
      <w:r w:rsidRPr="00790EC3">
        <w:rPr>
          <w:rFonts w:asciiTheme="majorHAnsi" w:hAnsiTheme="majorHAnsi" w:cstheme="majorHAnsi"/>
          <w:sz w:val="16"/>
          <w:szCs w:val="16"/>
          <w:lang w:val="es-MX"/>
        </w:rPr>
        <w:t xml:space="preserve">. Solicitud de ampliación de medidas provisionales. Medidas Provisionales respecto de Brasil. Resolución de la Corte Interamericana de Derechos Humanos de 4 de julio de 2006. Considerando 23. Disponible en: http://www.corteidh.or.cr/docs/medidas/febem_se_03.pdf </w:t>
      </w:r>
    </w:p>
  </w:footnote>
  <w:footnote w:id="3">
    <w:p w14:paraId="200C90E0" w14:textId="2CF5ABA1" w:rsidR="00790EC3" w:rsidRPr="00790EC3" w:rsidRDefault="00790EC3" w:rsidP="00E96CEA">
      <w:pPr>
        <w:pStyle w:val="FootnoteText"/>
        <w:jc w:val="both"/>
        <w:rPr>
          <w:rFonts w:asciiTheme="majorHAnsi" w:hAnsiTheme="majorHAnsi" w:cstheme="majorHAnsi"/>
          <w:sz w:val="16"/>
          <w:szCs w:val="16"/>
        </w:rPr>
      </w:pPr>
      <w:r w:rsidRPr="00790EC3">
        <w:rPr>
          <w:rStyle w:val="FootnoteReference"/>
          <w:rFonts w:asciiTheme="majorHAnsi" w:hAnsiTheme="majorHAnsi" w:cstheme="majorHAnsi"/>
          <w:sz w:val="16"/>
          <w:szCs w:val="16"/>
        </w:rPr>
        <w:footnoteRef/>
      </w:r>
      <w:r w:rsidRPr="00790EC3">
        <w:rPr>
          <w:rFonts w:asciiTheme="majorHAnsi" w:hAnsiTheme="majorHAnsi" w:cstheme="majorHAnsi"/>
          <w:sz w:val="16"/>
          <w:szCs w:val="16"/>
        </w:rPr>
        <w:t xml:space="preserve"> La desaparición forzada es, de conformidad con el Artículo II de la Convención Interamericana sobre Desaparición Forzada de Personas, la privación de la libertad a una o más personas, cualquiera que fuere su forma, cometida por agentes del Estado o por personas o grupos de personas que actúen con la autorización, el apoyo o la aquiescencia del Estado, seguida de la falta de información o la negativa a reconocer dicha privación de libertad o de informar sobre el paradero de la persona, con lo cual se impide el ejercicio de los recursos legales y de las garantías procesales pertinentes. Ver: Convención Interamericana sobre Desaparición Forzada de Personas, adoptada en Belém do Pará, Brasil el 9 de junio de 1994, en el vigésimo cuarto periodo ordinario de sesiones de la Asamblea General de la OEA. Disponible en: </w:t>
      </w:r>
      <w:hyperlink r:id="rId1" w:history="1">
        <w:r w:rsidRPr="00790EC3">
          <w:rPr>
            <w:rStyle w:val="Hyperlink"/>
            <w:rFonts w:asciiTheme="majorHAnsi" w:hAnsiTheme="majorHAnsi" w:cstheme="majorHAnsi"/>
            <w:sz w:val="16"/>
            <w:szCs w:val="16"/>
          </w:rPr>
          <w:t>https://www.oas.org/juridico/spanish/tratados/a-60.html</w:t>
        </w:r>
      </w:hyperlink>
    </w:p>
  </w:footnote>
  <w:footnote w:id="4">
    <w:p w14:paraId="3BADE923" w14:textId="7D0EDB42" w:rsidR="006349E5" w:rsidRPr="00790EC3" w:rsidRDefault="006349E5" w:rsidP="00E96CEA">
      <w:pPr>
        <w:pStyle w:val="FootnoteText"/>
        <w:jc w:val="both"/>
        <w:rPr>
          <w:rFonts w:asciiTheme="majorHAnsi" w:hAnsiTheme="majorHAnsi" w:cstheme="majorHAnsi"/>
          <w:sz w:val="16"/>
          <w:szCs w:val="16"/>
        </w:rPr>
      </w:pPr>
      <w:r w:rsidRPr="00790EC3">
        <w:rPr>
          <w:rStyle w:val="FootnoteReference"/>
          <w:rFonts w:asciiTheme="majorHAnsi" w:hAnsiTheme="majorHAnsi" w:cstheme="majorHAnsi"/>
          <w:sz w:val="16"/>
          <w:szCs w:val="16"/>
        </w:rPr>
        <w:footnoteRef/>
      </w:r>
      <w:r w:rsidRPr="00790EC3">
        <w:rPr>
          <w:rFonts w:asciiTheme="majorHAnsi" w:hAnsiTheme="majorHAnsi" w:cstheme="majorHAnsi"/>
          <w:sz w:val="16"/>
          <w:szCs w:val="16"/>
        </w:rPr>
        <w:t xml:space="preserve"> </w:t>
      </w:r>
      <w:r w:rsidRPr="00790EC3">
        <w:rPr>
          <w:rFonts w:asciiTheme="majorHAnsi" w:hAnsiTheme="majorHAnsi" w:cstheme="majorHAnsi"/>
          <w:sz w:val="16"/>
          <w:szCs w:val="16"/>
          <w:lang w:val="es-ES"/>
        </w:rPr>
        <w:t>Ver</w:t>
      </w:r>
      <w:r w:rsidR="0035388A" w:rsidRPr="00790EC3">
        <w:rPr>
          <w:rFonts w:asciiTheme="majorHAnsi" w:hAnsiTheme="majorHAnsi" w:cstheme="majorHAnsi"/>
          <w:sz w:val="16"/>
          <w:szCs w:val="16"/>
          <w:lang w:val="es-ES"/>
        </w:rPr>
        <w:t>:</w:t>
      </w:r>
      <w:r w:rsidRPr="00790EC3">
        <w:rPr>
          <w:rFonts w:asciiTheme="majorHAnsi" w:hAnsiTheme="majorHAnsi" w:cstheme="majorHAnsi"/>
          <w:sz w:val="16"/>
          <w:szCs w:val="16"/>
          <w:lang w:val="es-ES"/>
        </w:rPr>
        <w:t xml:space="preserve"> CIDH, </w:t>
      </w:r>
      <w:r w:rsidRPr="00E96CEA">
        <w:rPr>
          <w:rFonts w:asciiTheme="majorHAnsi" w:hAnsiTheme="majorHAnsi" w:cstheme="majorHAnsi"/>
          <w:i/>
          <w:sz w:val="16"/>
          <w:szCs w:val="16"/>
          <w:lang w:val="es-ES"/>
        </w:rPr>
        <w:t>Javier Ortega Reyes, Paúl Rivas Bravo y Efraín Segarra Abril respecto de Colombia</w:t>
      </w:r>
      <w:r w:rsidRPr="00790EC3">
        <w:rPr>
          <w:rFonts w:asciiTheme="majorHAnsi" w:hAnsiTheme="majorHAnsi" w:cstheme="majorHAnsi"/>
          <w:sz w:val="16"/>
          <w:szCs w:val="16"/>
          <w:lang w:val="es-ES"/>
        </w:rPr>
        <w:t xml:space="preserve"> (</w:t>
      </w:r>
      <w:r w:rsidR="0035388A" w:rsidRPr="00790EC3">
        <w:rPr>
          <w:rFonts w:asciiTheme="majorHAnsi" w:hAnsiTheme="majorHAnsi" w:cstheme="majorHAnsi"/>
          <w:sz w:val="16"/>
          <w:szCs w:val="16"/>
          <w:lang w:val="es-ES"/>
        </w:rPr>
        <w:t>MC-309-18 y MC-310-</w:t>
      </w:r>
      <w:r w:rsidRPr="00790EC3">
        <w:rPr>
          <w:rFonts w:asciiTheme="majorHAnsi" w:hAnsiTheme="majorHAnsi" w:cstheme="majorHAnsi"/>
          <w:sz w:val="16"/>
          <w:szCs w:val="16"/>
          <w:lang w:val="es-ES"/>
        </w:rPr>
        <w:t>1</w:t>
      </w:r>
      <w:r w:rsidR="0035388A" w:rsidRPr="00790EC3">
        <w:rPr>
          <w:rFonts w:asciiTheme="majorHAnsi" w:hAnsiTheme="majorHAnsi" w:cstheme="majorHAnsi"/>
          <w:sz w:val="16"/>
          <w:szCs w:val="16"/>
          <w:lang w:val="es-ES"/>
        </w:rPr>
        <w:t>8</w:t>
      </w:r>
      <w:r w:rsidRPr="00790EC3">
        <w:rPr>
          <w:rFonts w:asciiTheme="majorHAnsi" w:hAnsiTheme="majorHAnsi" w:cstheme="majorHAnsi"/>
          <w:sz w:val="16"/>
          <w:szCs w:val="16"/>
          <w:lang w:val="es-ES"/>
        </w:rPr>
        <w:t xml:space="preserve">), Resolución 25/2018 de </w:t>
      </w:r>
      <w:r w:rsidR="0035388A" w:rsidRPr="00790EC3">
        <w:rPr>
          <w:rFonts w:asciiTheme="majorHAnsi" w:hAnsiTheme="majorHAnsi" w:cstheme="majorHAnsi"/>
          <w:sz w:val="16"/>
          <w:szCs w:val="16"/>
          <w:lang w:val="es-ES"/>
        </w:rPr>
        <w:t>12 de abril. D</w:t>
      </w:r>
      <w:r w:rsidRPr="00790EC3">
        <w:rPr>
          <w:rFonts w:asciiTheme="majorHAnsi" w:hAnsiTheme="majorHAnsi" w:cstheme="majorHAnsi"/>
          <w:sz w:val="16"/>
          <w:szCs w:val="16"/>
          <w:lang w:val="es-ES"/>
        </w:rPr>
        <w:t xml:space="preserve">isponible en: </w:t>
      </w:r>
      <w:hyperlink r:id="rId2" w:history="1">
        <w:r w:rsidRPr="00790EC3">
          <w:rPr>
            <w:rStyle w:val="Hyperlink"/>
            <w:rFonts w:asciiTheme="majorHAnsi" w:hAnsiTheme="majorHAnsi" w:cstheme="majorHAnsi"/>
            <w:sz w:val="16"/>
            <w:szCs w:val="16"/>
            <w:lang w:val="es-ES"/>
          </w:rPr>
          <w:t>http://www.oas.org/es/cidh/decisiones/pdf/2018/25-18MC209-18-CO-210-18-EC.pdf</w:t>
        </w:r>
      </w:hyperlink>
    </w:p>
  </w:footnote>
  <w:footnote w:id="5">
    <w:p w14:paraId="75A6B845" w14:textId="6D83CEA4" w:rsidR="006349E5" w:rsidRPr="00790EC3" w:rsidRDefault="006349E5" w:rsidP="00E96CEA">
      <w:pPr>
        <w:pStyle w:val="FootnoteText"/>
        <w:jc w:val="both"/>
        <w:rPr>
          <w:rFonts w:asciiTheme="majorHAnsi" w:hAnsiTheme="majorHAnsi" w:cstheme="majorHAnsi"/>
          <w:sz w:val="16"/>
          <w:szCs w:val="16"/>
        </w:rPr>
      </w:pPr>
      <w:r w:rsidRPr="00790EC3">
        <w:rPr>
          <w:rStyle w:val="FootnoteReference"/>
          <w:rFonts w:asciiTheme="majorHAnsi" w:hAnsiTheme="majorHAnsi" w:cstheme="majorHAnsi"/>
          <w:sz w:val="16"/>
          <w:szCs w:val="16"/>
        </w:rPr>
        <w:footnoteRef/>
      </w:r>
      <w:r w:rsidRPr="00790EC3">
        <w:rPr>
          <w:rFonts w:asciiTheme="majorHAnsi" w:hAnsiTheme="majorHAnsi" w:cstheme="majorHAnsi"/>
          <w:sz w:val="16"/>
          <w:szCs w:val="16"/>
        </w:rPr>
        <w:t xml:space="preserve"> </w:t>
      </w:r>
      <w:r w:rsidRPr="00790EC3">
        <w:rPr>
          <w:rFonts w:asciiTheme="majorHAnsi" w:hAnsiTheme="majorHAnsi" w:cstheme="majorHAnsi"/>
          <w:sz w:val="16"/>
          <w:szCs w:val="16"/>
          <w:lang w:val="es-ES"/>
        </w:rPr>
        <w:t>Ver</w:t>
      </w:r>
      <w:r w:rsidR="0035388A" w:rsidRPr="00790EC3">
        <w:rPr>
          <w:rFonts w:asciiTheme="majorHAnsi" w:hAnsiTheme="majorHAnsi" w:cstheme="majorHAnsi"/>
          <w:sz w:val="16"/>
          <w:szCs w:val="16"/>
          <w:lang w:val="es-ES"/>
        </w:rPr>
        <w:t>:</w:t>
      </w:r>
      <w:r w:rsidRPr="00790EC3">
        <w:rPr>
          <w:rFonts w:asciiTheme="majorHAnsi" w:hAnsiTheme="majorHAnsi" w:cstheme="majorHAnsi"/>
          <w:sz w:val="16"/>
          <w:szCs w:val="16"/>
          <w:lang w:val="es-ES"/>
        </w:rPr>
        <w:t xml:space="preserve"> CIDH, </w:t>
      </w:r>
      <w:r w:rsidR="0035388A" w:rsidRPr="00E96CEA">
        <w:rPr>
          <w:rFonts w:asciiTheme="majorHAnsi" w:hAnsiTheme="majorHAnsi" w:cstheme="majorHAnsi"/>
          <w:i/>
          <w:sz w:val="16"/>
          <w:szCs w:val="16"/>
          <w:lang w:val="es-ES"/>
        </w:rPr>
        <w:t>Náthaly Sara Salazar Ayala respecto de Perú</w:t>
      </w:r>
      <w:r w:rsidR="0035388A" w:rsidRPr="00790EC3">
        <w:rPr>
          <w:rFonts w:asciiTheme="majorHAnsi" w:hAnsiTheme="majorHAnsi" w:cstheme="majorHAnsi"/>
          <w:sz w:val="16"/>
          <w:szCs w:val="16"/>
          <w:lang w:val="es-ES"/>
        </w:rPr>
        <w:t xml:space="preserve"> (</w:t>
      </w:r>
      <w:r w:rsidRPr="00790EC3">
        <w:rPr>
          <w:rFonts w:asciiTheme="majorHAnsi" w:hAnsiTheme="majorHAnsi" w:cstheme="majorHAnsi"/>
          <w:sz w:val="16"/>
          <w:szCs w:val="16"/>
          <w:lang w:val="es-ES"/>
        </w:rPr>
        <w:t>MC</w:t>
      </w:r>
      <w:r w:rsidR="0035388A" w:rsidRPr="00790EC3">
        <w:rPr>
          <w:rFonts w:asciiTheme="majorHAnsi" w:hAnsiTheme="majorHAnsi" w:cstheme="majorHAnsi"/>
          <w:sz w:val="16"/>
          <w:szCs w:val="16"/>
          <w:lang w:val="es-ES"/>
        </w:rPr>
        <w:t>-81-</w:t>
      </w:r>
      <w:r w:rsidRPr="00790EC3">
        <w:rPr>
          <w:rFonts w:asciiTheme="majorHAnsi" w:hAnsiTheme="majorHAnsi" w:cstheme="majorHAnsi"/>
          <w:sz w:val="16"/>
          <w:szCs w:val="16"/>
          <w:lang w:val="es-ES"/>
        </w:rPr>
        <w:t>18</w:t>
      </w:r>
      <w:r w:rsidR="0035388A" w:rsidRPr="00790EC3">
        <w:rPr>
          <w:rFonts w:asciiTheme="majorHAnsi" w:hAnsiTheme="majorHAnsi" w:cstheme="majorHAnsi"/>
          <w:sz w:val="16"/>
          <w:szCs w:val="16"/>
          <w:lang w:val="es-ES"/>
        </w:rPr>
        <w:t>), Resolución 24/2018 de 8 de abril.</w:t>
      </w:r>
      <w:r w:rsidRPr="00790EC3">
        <w:rPr>
          <w:rFonts w:asciiTheme="majorHAnsi" w:hAnsiTheme="majorHAnsi" w:cstheme="majorHAnsi"/>
          <w:sz w:val="16"/>
          <w:szCs w:val="16"/>
          <w:lang w:val="es-ES"/>
        </w:rPr>
        <w:t xml:space="preserve"> Disponible en: </w:t>
      </w:r>
      <w:hyperlink r:id="rId3" w:history="1">
        <w:r w:rsidRPr="00790EC3">
          <w:rPr>
            <w:rStyle w:val="Hyperlink"/>
            <w:rFonts w:asciiTheme="majorHAnsi" w:hAnsiTheme="majorHAnsi" w:cstheme="majorHAnsi"/>
            <w:sz w:val="16"/>
            <w:szCs w:val="16"/>
            <w:lang w:val="es-ES"/>
          </w:rPr>
          <w:t>http://www.oas.org/es/cidh/decisiones/pdf/2018/24-18MC81-18-PE.pdf</w:t>
        </w:r>
      </w:hyperlink>
    </w:p>
  </w:footnote>
  <w:footnote w:id="6">
    <w:p w14:paraId="10EAD232" w14:textId="2AC7F472" w:rsidR="0035388A" w:rsidRPr="00790EC3" w:rsidRDefault="0035388A" w:rsidP="00E96CEA">
      <w:pPr>
        <w:pStyle w:val="FootnoteText"/>
        <w:jc w:val="both"/>
        <w:rPr>
          <w:rFonts w:asciiTheme="majorHAnsi" w:hAnsiTheme="majorHAnsi" w:cstheme="majorHAnsi"/>
          <w:sz w:val="16"/>
          <w:szCs w:val="16"/>
          <w:lang w:val="es-MX"/>
        </w:rPr>
      </w:pPr>
      <w:r w:rsidRPr="00790EC3">
        <w:rPr>
          <w:rStyle w:val="FootnoteReference"/>
          <w:rFonts w:asciiTheme="majorHAnsi" w:hAnsiTheme="majorHAnsi" w:cstheme="majorHAnsi"/>
          <w:sz w:val="16"/>
          <w:szCs w:val="16"/>
        </w:rPr>
        <w:footnoteRef/>
      </w:r>
      <w:r w:rsidRPr="00790EC3">
        <w:rPr>
          <w:rFonts w:asciiTheme="majorHAnsi" w:hAnsiTheme="majorHAnsi" w:cstheme="majorHAnsi"/>
          <w:sz w:val="16"/>
          <w:szCs w:val="16"/>
        </w:rPr>
        <w:t xml:space="preserve"> </w:t>
      </w:r>
      <w:r w:rsidRPr="00790EC3">
        <w:rPr>
          <w:rFonts w:asciiTheme="majorHAnsi" w:hAnsiTheme="majorHAnsi" w:cstheme="majorHAnsi"/>
          <w:sz w:val="16"/>
          <w:szCs w:val="16"/>
          <w:lang w:val="es-MX"/>
        </w:rPr>
        <w:t xml:space="preserve">Ver: CIDH, </w:t>
      </w:r>
      <w:r w:rsidRPr="00E96CEA">
        <w:rPr>
          <w:rFonts w:asciiTheme="majorHAnsi" w:hAnsiTheme="majorHAnsi" w:cstheme="majorHAnsi"/>
          <w:i/>
          <w:sz w:val="16"/>
          <w:szCs w:val="16"/>
          <w:lang w:val="es-MX"/>
        </w:rPr>
        <w:t>Dubán Celiano Díaz Cristancho respecto de Colombia</w:t>
      </w:r>
      <w:r w:rsidRPr="00790EC3">
        <w:rPr>
          <w:rFonts w:asciiTheme="majorHAnsi" w:hAnsiTheme="majorHAnsi" w:cstheme="majorHAnsi"/>
          <w:sz w:val="16"/>
          <w:szCs w:val="16"/>
          <w:lang w:val="es-MX"/>
        </w:rPr>
        <w:t xml:space="preserve"> (MC-455-14), Resolución 37/2014 de 24 de diciembre. Disponible en: </w:t>
      </w:r>
      <w:hyperlink r:id="rId4" w:history="1">
        <w:r w:rsidRPr="00790EC3">
          <w:rPr>
            <w:rStyle w:val="Hyperlink"/>
            <w:rFonts w:asciiTheme="majorHAnsi" w:hAnsiTheme="majorHAnsi" w:cstheme="majorHAnsi"/>
            <w:sz w:val="16"/>
            <w:szCs w:val="16"/>
          </w:rPr>
          <w:t>http://www.oas.org/es/cidh/decisiones/pdf/2014/MC455-14-ES.pdf</w:t>
        </w:r>
      </w:hyperlink>
      <w:r w:rsidRPr="00790EC3">
        <w:rPr>
          <w:rFonts w:asciiTheme="majorHAnsi" w:hAnsiTheme="majorHAnsi" w:cstheme="majorHAnsi"/>
          <w:sz w:val="16"/>
          <w:szCs w:val="16"/>
          <w:lang w:val="es-MX"/>
        </w:rPr>
        <w:t xml:space="preserve"> </w:t>
      </w:r>
    </w:p>
  </w:footnote>
  <w:footnote w:id="7">
    <w:p w14:paraId="1B8E73D0" w14:textId="181D300D" w:rsidR="0035388A" w:rsidRPr="00790EC3" w:rsidRDefault="0035388A" w:rsidP="00E96CEA">
      <w:pPr>
        <w:pStyle w:val="FootnoteText"/>
        <w:jc w:val="both"/>
        <w:rPr>
          <w:rFonts w:asciiTheme="majorHAnsi" w:hAnsiTheme="majorHAnsi" w:cstheme="majorHAnsi"/>
          <w:sz w:val="16"/>
          <w:szCs w:val="16"/>
          <w:lang w:val="es-MX"/>
        </w:rPr>
      </w:pPr>
      <w:r w:rsidRPr="00790EC3">
        <w:rPr>
          <w:rStyle w:val="FootnoteReference"/>
          <w:rFonts w:asciiTheme="majorHAnsi" w:hAnsiTheme="majorHAnsi" w:cstheme="majorHAnsi"/>
          <w:sz w:val="16"/>
          <w:szCs w:val="16"/>
        </w:rPr>
        <w:footnoteRef/>
      </w:r>
      <w:r w:rsidRPr="00790EC3">
        <w:rPr>
          <w:rFonts w:asciiTheme="majorHAnsi" w:hAnsiTheme="majorHAnsi" w:cstheme="majorHAnsi"/>
          <w:sz w:val="16"/>
          <w:szCs w:val="16"/>
        </w:rPr>
        <w:t xml:space="preserve"> </w:t>
      </w:r>
      <w:r w:rsidRPr="00790EC3">
        <w:rPr>
          <w:rFonts w:asciiTheme="majorHAnsi" w:hAnsiTheme="majorHAnsi" w:cstheme="majorHAnsi"/>
          <w:sz w:val="16"/>
          <w:szCs w:val="16"/>
          <w:lang w:val="es-MX"/>
        </w:rPr>
        <w:t xml:space="preserve"> Ver: CIDH, </w:t>
      </w:r>
      <w:r w:rsidRPr="00E96CEA">
        <w:rPr>
          <w:rFonts w:asciiTheme="majorHAnsi" w:hAnsiTheme="majorHAnsi" w:cstheme="majorHAnsi"/>
          <w:i/>
          <w:sz w:val="16"/>
          <w:szCs w:val="16"/>
          <w:lang w:val="es-MX"/>
        </w:rPr>
        <w:t>Buenaventura Hoyos Hernández respecto de Colombia</w:t>
      </w:r>
      <w:r w:rsidRPr="00790EC3">
        <w:rPr>
          <w:rFonts w:asciiTheme="majorHAnsi" w:hAnsiTheme="majorHAnsi" w:cstheme="majorHAnsi"/>
          <w:sz w:val="16"/>
          <w:szCs w:val="16"/>
          <w:lang w:val="es-MX"/>
        </w:rPr>
        <w:t xml:space="preserve"> (MC-301-13), Resolución 4/2013 de 4 de octubre. Disponible en: </w:t>
      </w:r>
      <w:hyperlink r:id="rId5" w:history="1">
        <w:r w:rsidRPr="00790EC3">
          <w:rPr>
            <w:rStyle w:val="Hyperlink"/>
            <w:rFonts w:asciiTheme="majorHAnsi" w:hAnsiTheme="majorHAnsi" w:cstheme="majorHAnsi"/>
            <w:sz w:val="16"/>
            <w:szCs w:val="16"/>
          </w:rPr>
          <w:t>http://www.oas.org/es/cidh/decisiones/pdf/MC301-13Resolucion%204-13esp.pdf</w:t>
        </w:r>
      </w:hyperlink>
    </w:p>
  </w:footnote>
  <w:footnote w:id="8">
    <w:p w14:paraId="42FDC022" w14:textId="2332EBD2" w:rsidR="0035388A" w:rsidRPr="00790EC3" w:rsidRDefault="0035388A" w:rsidP="00E96CEA">
      <w:pPr>
        <w:pStyle w:val="FootnoteText"/>
        <w:jc w:val="both"/>
        <w:rPr>
          <w:rFonts w:asciiTheme="majorHAnsi" w:hAnsiTheme="majorHAnsi" w:cstheme="majorHAnsi"/>
          <w:sz w:val="16"/>
          <w:szCs w:val="16"/>
        </w:rPr>
      </w:pPr>
      <w:r w:rsidRPr="00790EC3">
        <w:rPr>
          <w:rStyle w:val="FootnoteReference"/>
          <w:rFonts w:asciiTheme="majorHAnsi" w:hAnsiTheme="majorHAnsi" w:cstheme="majorHAnsi"/>
          <w:sz w:val="16"/>
          <w:szCs w:val="16"/>
        </w:rPr>
        <w:footnoteRef/>
      </w:r>
      <w:r w:rsidRPr="00790EC3">
        <w:rPr>
          <w:rFonts w:asciiTheme="majorHAnsi" w:hAnsiTheme="majorHAnsi" w:cstheme="majorHAnsi"/>
          <w:sz w:val="16"/>
          <w:szCs w:val="16"/>
        </w:rPr>
        <w:t xml:space="preserve">  Ver: CIDH, Margarita Marín Yan y otros respecto de México (MC-29-16), Resolución 24/2016 de 15 de abril. Disponible en: </w:t>
      </w:r>
      <w:hyperlink r:id="rId6" w:history="1">
        <w:r w:rsidRPr="00790EC3">
          <w:rPr>
            <w:rStyle w:val="Hyperlink"/>
            <w:rFonts w:asciiTheme="majorHAnsi" w:hAnsiTheme="majorHAnsi" w:cstheme="majorHAnsi"/>
            <w:sz w:val="16"/>
            <w:szCs w:val="16"/>
          </w:rPr>
          <w:t>http://www.oas.org/es/cidh/decisiones/pdf/2016/MC29-16-Es.pdf</w:t>
        </w:r>
      </w:hyperlink>
    </w:p>
  </w:footnote>
  <w:footnote w:id="9">
    <w:p w14:paraId="0C418985" w14:textId="5D047DFB" w:rsidR="000A4AB1" w:rsidRPr="00790EC3" w:rsidRDefault="000A4AB1" w:rsidP="00E96CEA">
      <w:pPr>
        <w:pStyle w:val="FootnoteText"/>
        <w:jc w:val="both"/>
        <w:rPr>
          <w:rFonts w:asciiTheme="majorHAnsi" w:hAnsiTheme="majorHAnsi" w:cstheme="majorHAnsi"/>
          <w:sz w:val="16"/>
          <w:szCs w:val="16"/>
        </w:rPr>
      </w:pPr>
      <w:r w:rsidRPr="00790EC3">
        <w:rPr>
          <w:rStyle w:val="FootnoteReference"/>
          <w:rFonts w:asciiTheme="majorHAnsi" w:hAnsiTheme="majorHAnsi" w:cstheme="majorHAnsi"/>
          <w:sz w:val="16"/>
          <w:szCs w:val="16"/>
        </w:rPr>
        <w:footnoteRef/>
      </w:r>
      <w:r w:rsidRPr="00790EC3">
        <w:rPr>
          <w:rFonts w:asciiTheme="majorHAnsi" w:hAnsiTheme="majorHAnsi" w:cstheme="majorHAnsi"/>
          <w:sz w:val="16"/>
          <w:szCs w:val="16"/>
        </w:rPr>
        <w:t xml:space="preserve"> Ver, por ejemplo: Caso Heliodoro Portugal Vs. Panamá. Excepciones Preliminares, Fondo, reparaciones y Costas. Sentencia de 12 de agosto de 2008, párr. 144. Disponible en: </w:t>
      </w:r>
      <w:hyperlink r:id="rId7" w:history="1">
        <w:r w:rsidRPr="00790EC3">
          <w:rPr>
            <w:rStyle w:val="Hyperlink"/>
            <w:rFonts w:asciiTheme="majorHAnsi" w:hAnsiTheme="majorHAnsi" w:cstheme="majorHAnsi"/>
            <w:sz w:val="16"/>
            <w:szCs w:val="16"/>
          </w:rPr>
          <w:t>http://www.corteidh.or.cr/docs/casos/articulos/seriec_186_esp.pdf</w:t>
        </w:r>
      </w:hyperlink>
      <w:r w:rsidRPr="00790EC3">
        <w:rPr>
          <w:rFonts w:asciiTheme="majorHAnsi" w:hAnsiTheme="majorHAnsi" w:cstheme="majorHAnsi"/>
          <w:sz w:val="16"/>
          <w:szCs w:val="16"/>
        </w:rPr>
        <w:t xml:space="preserve"> y Corte IDH. Caso Munárriz Escobar y Otros Vs. Perú. Excepción Preliminar, Fondo, Reparaciones y Costas. Sentencia de 20 de agosto de 2018, párr. 98. Disponible en: http://www.corteidh.or.cr/docs/casos/articulos/seriec_355_esp.pdf.</w:t>
      </w:r>
    </w:p>
  </w:footnote>
  <w:footnote w:id="10">
    <w:p w14:paraId="18B6E843" w14:textId="77777777" w:rsidR="000A4AB1" w:rsidRPr="00790EC3" w:rsidRDefault="000A4AB1" w:rsidP="00790EC3">
      <w:pPr>
        <w:pStyle w:val="FootnoteText"/>
        <w:rPr>
          <w:rFonts w:asciiTheme="majorHAnsi" w:hAnsiTheme="majorHAnsi" w:cstheme="majorHAnsi"/>
          <w:sz w:val="16"/>
          <w:szCs w:val="16"/>
        </w:rPr>
      </w:pPr>
      <w:r w:rsidRPr="00790EC3">
        <w:rPr>
          <w:rStyle w:val="FootnoteReference"/>
          <w:rFonts w:asciiTheme="majorHAnsi" w:hAnsiTheme="majorHAnsi" w:cstheme="majorHAnsi"/>
          <w:sz w:val="16"/>
          <w:szCs w:val="16"/>
        </w:rPr>
        <w:footnoteRef/>
      </w:r>
      <w:r w:rsidRPr="00790EC3">
        <w:rPr>
          <w:rFonts w:asciiTheme="majorHAnsi" w:hAnsiTheme="majorHAnsi" w:cstheme="majorHAnsi"/>
          <w:sz w:val="16"/>
          <w:szCs w:val="16"/>
        </w:rPr>
        <w:t xml:space="preserve"> Ver </w:t>
      </w:r>
      <w:r w:rsidRPr="00790EC3">
        <w:rPr>
          <w:rFonts w:asciiTheme="majorHAnsi" w:hAnsiTheme="majorHAnsi" w:cstheme="majorHAnsi"/>
          <w:i/>
          <w:sz w:val="16"/>
          <w:szCs w:val="16"/>
        </w:rPr>
        <w:t>inter alia</w:t>
      </w:r>
      <w:r w:rsidRPr="00790EC3">
        <w:rPr>
          <w:rFonts w:asciiTheme="majorHAnsi" w:hAnsiTheme="majorHAnsi" w:cstheme="majorHAnsi"/>
          <w:sz w:val="16"/>
          <w:szCs w:val="16"/>
        </w:rPr>
        <w:t xml:space="preserve">: CIDH, Francisco Javier Barraza Gómez respecto de México (MC-209-14), Resolución de 15 de agosto de 2017, párr. 22. Disponible en: </w:t>
      </w:r>
      <w:hyperlink r:id="rId8" w:history="1">
        <w:r w:rsidRPr="00790EC3">
          <w:rPr>
            <w:rStyle w:val="Hyperlink"/>
            <w:rFonts w:asciiTheme="majorHAnsi" w:hAnsiTheme="majorHAnsi" w:cstheme="majorHAnsi"/>
            <w:sz w:val="16"/>
            <w:szCs w:val="16"/>
          </w:rPr>
          <w:t>http://www.oas.org/es/cidh/decisiones/cautelares.asp</w:t>
        </w:r>
      </w:hyperlink>
      <w:r w:rsidRPr="00790EC3">
        <w:rPr>
          <w:rFonts w:asciiTheme="majorHAnsi" w:hAnsiTheme="majorHAnsi" w:cstheme="majorHAnsi"/>
          <w:sz w:val="16"/>
          <w:szCs w:val="16"/>
        </w:rPr>
        <w:t xml:space="preserve"> ; CIDH, Paulina Mateo Chic respecto de Guatemala (MC 782-17), Resolución de 1 de diciembre de 2017, párr. 34; Disponible en: </w:t>
      </w:r>
      <w:hyperlink r:id="rId9" w:history="1">
        <w:r w:rsidRPr="00790EC3">
          <w:rPr>
            <w:rStyle w:val="Hyperlink"/>
            <w:rFonts w:asciiTheme="majorHAnsi" w:hAnsiTheme="majorHAnsi" w:cstheme="majorHAnsi"/>
            <w:sz w:val="16"/>
            <w:szCs w:val="16"/>
          </w:rPr>
          <w:t>http://www.oas.org/es/cidh/decisiones/pdf/2017/49-17MC782-17-GU.pdf</w:t>
        </w:r>
      </w:hyperlink>
      <w:r w:rsidRPr="00790EC3">
        <w:rPr>
          <w:rFonts w:asciiTheme="majorHAnsi" w:hAnsiTheme="majorHAnsi" w:cstheme="majorHAnsi"/>
          <w:sz w:val="16"/>
          <w:szCs w:val="16"/>
        </w:rPr>
        <w:t xml:space="preserve">  ; y CIDH, Santiago Maldonado respecto de Argentina (MC 564-2017), Resolución de 22 de agosto de 2017, párr. 16. Disponible en: </w:t>
      </w:r>
      <w:hyperlink r:id="rId10" w:history="1">
        <w:r w:rsidRPr="00790EC3">
          <w:rPr>
            <w:rStyle w:val="Hyperlink"/>
            <w:rFonts w:asciiTheme="majorHAnsi" w:hAnsiTheme="majorHAnsi" w:cstheme="majorHAnsi"/>
            <w:sz w:val="16"/>
            <w:szCs w:val="16"/>
          </w:rPr>
          <w:t>http://www.oas.org/es/cidh/decisiones/pdf/2017/32-17MC564-17-AR.pdf</w:t>
        </w:r>
      </w:hyperlink>
      <w:r w:rsidRPr="00790EC3">
        <w:rPr>
          <w:rFonts w:asciiTheme="majorHAnsi" w:hAnsiTheme="majorHAnsi" w:cstheme="majorHAnsi"/>
          <w:sz w:val="16"/>
          <w:szCs w:val="16"/>
        </w:rPr>
        <w:t xml:space="preserve"> </w:t>
      </w:r>
    </w:p>
  </w:footnote>
  <w:footnote w:id="11">
    <w:p w14:paraId="3BF91B3F" w14:textId="77777777" w:rsidR="000A4AB1" w:rsidRPr="00790EC3" w:rsidRDefault="000A4AB1" w:rsidP="00790EC3">
      <w:pPr>
        <w:pStyle w:val="FootnoteText"/>
        <w:rPr>
          <w:rFonts w:asciiTheme="majorHAnsi" w:hAnsiTheme="majorHAnsi" w:cstheme="majorHAnsi"/>
          <w:sz w:val="16"/>
          <w:szCs w:val="16"/>
          <w:lang w:val="es-PE"/>
        </w:rPr>
      </w:pPr>
      <w:r w:rsidRPr="00790EC3">
        <w:rPr>
          <w:rStyle w:val="FootnoteReference"/>
          <w:rFonts w:asciiTheme="majorHAnsi" w:hAnsiTheme="majorHAnsi" w:cstheme="majorHAnsi"/>
          <w:sz w:val="16"/>
          <w:szCs w:val="16"/>
        </w:rPr>
        <w:footnoteRef/>
      </w:r>
      <w:r w:rsidRPr="00790EC3">
        <w:rPr>
          <w:rFonts w:asciiTheme="majorHAnsi" w:hAnsiTheme="majorHAnsi" w:cstheme="majorHAnsi"/>
          <w:sz w:val="16"/>
          <w:szCs w:val="16"/>
          <w:lang w:val="es-PE"/>
        </w:rPr>
        <w:t xml:space="preserve"> Ibídem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CAF31" w14:textId="77777777" w:rsidR="000A4AB1" w:rsidRPr="00436700" w:rsidRDefault="000A4AB1" w:rsidP="00457F3A">
    <w:pPr>
      <w:tabs>
        <w:tab w:val="left" w:pos="4040"/>
        <w:tab w:val="left" w:pos="4333"/>
        <w:tab w:val="center" w:pos="4680"/>
        <w:tab w:val="right" w:pos="9360"/>
      </w:tabs>
      <w:spacing w:after="0" w:line="240" w:lineRule="auto"/>
      <w:rPr>
        <w:rFonts w:eastAsia="Calibri"/>
        <w:lang w:val="en-US"/>
      </w:rPr>
    </w:pPr>
    <w:r>
      <w:rPr>
        <w:rFonts w:eastAsia="Calibri"/>
        <w:noProof/>
        <w:lang w:eastAsia="es-US"/>
      </w:rPr>
      <w:drawing>
        <wp:inline distT="0" distB="0" distL="0" distR="0" wp14:anchorId="3F291657" wp14:editId="264AED23">
          <wp:extent cx="2353310" cy="453390"/>
          <wp:effectExtent l="0" t="0" r="8890" b="3810"/>
          <wp:docPr id="6" name="Picture 6"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453390"/>
                  </a:xfrm>
                  <a:prstGeom prst="rect">
                    <a:avLst/>
                  </a:prstGeom>
                  <a:noFill/>
                  <a:ln>
                    <a:noFill/>
                  </a:ln>
                </pic:spPr>
              </pic:pic>
            </a:graphicData>
          </a:graphic>
        </wp:inline>
      </w:drawing>
    </w:r>
    <w:r w:rsidRPr="00117C14">
      <w:rPr>
        <w:rFonts w:eastAsia="Calibri"/>
        <w:lang w:val="en-US"/>
      </w:rPr>
      <w:tab/>
    </w:r>
    <w:r>
      <w:rPr>
        <w:rFonts w:eastAsia="Calibri"/>
        <w:lang w:val="en-US"/>
      </w:rPr>
      <w:tab/>
    </w:r>
    <w:r w:rsidRPr="00436700">
      <w:rPr>
        <w:rFonts w:eastAsia="Calibri"/>
        <w:lang w:val="en-US"/>
      </w:rPr>
      <w:tab/>
    </w:r>
    <w:r w:rsidRPr="00436700">
      <w:rPr>
        <w:rFonts w:eastAsia="Calibri"/>
        <w:lang w:val="en-US"/>
      </w:rPr>
      <w:tab/>
    </w:r>
    <w:r>
      <w:rPr>
        <w:rFonts w:eastAsia="Calibri"/>
        <w:noProof/>
        <w:lang w:eastAsia="es-US"/>
      </w:rPr>
      <w:drawing>
        <wp:inline distT="0" distB="0" distL="0" distR="0" wp14:anchorId="237826EB" wp14:editId="5379B89F">
          <wp:extent cx="2106930" cy="540385"/>
          <wp:effectExtent l="0" t="0" r="7620" b="0"/>
          <wp:docPr id="5" name="Picture 5" descr="I:\Prensa y Difusión\Templates\LogosNuevosOEA\principal\OAS_Seal_ESP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ensa y Difusión\Templates\LogosNuevosOEA\principal\OAS_Seal_ESP_Principal_.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6930" cy="540385"/>
                  </a:xfrm>
                  <a:prstGeom prst="rect">
                    <a:avLst/>
                  </a:prstGeom>
                  <a:noFill/>
                  <a:ln>
                    <a:noFill/>
                  </a:ln>
                </pic:spPr>
              </pic:pic>
            </a:graphicData>
          </a:graphic>
        </wp:inline>
      </w:drawing>
    </w:r>
  </w:p>
  <w:p w14:paraId="2309C398" w14:textId="77777777" w:rsidR="000A4AB1" w:rsidRPr="00436700" w:rsidRDefault="000A4AB1" w:rsidP="00457F3A">
    <w:pPr>
      <w:pBdr>
        <w:bottom w:val="single" w:sz="6" w:space="1" w:color="auto"/>
      </w:pBdr>
      <w:tabs>
        <w:tab w:val="center" w:pos="4680"/>
        <w:tab w:val="right" w:pos="9360"/>
      </w:tabs>
      <w:spacing w:after="0" w:line="240" w:lineRule="auto"/>
    </w:pPr>
  </w:p>
  <w:p w14:paraId="48A15B0F" w14:textId="77777777" w:rsidR="000A4AB1" w:rsidRPr="00E24662" w:rsidRDefault="000A4AB1" w:rsidP="00457F3A">
    <w:pPr>
      <w:tabs>
        <w:tab w:val="left" w:pos="4040"/>
        <w:tab w:val="left" w:pos="4333"/>
        <w:tab w:val="center" w:pos="4680"/>
        <w:tab w:val="right" w:pos="9360"/>
      </w:tabs>
      <w:spacing w:after="0" w:line="240" w:lineRule="auto"/>
      <w:rPr>
        <w:rFonts w:eastAsia="Calibri"/>
        <w:lang w:val="en-US"/>
      </w:rPr>
    </w:pPr>
    <w:r w:rsidRPr="00117C14">
      <w:rPr>
        <w:rFonts w:eastAsia="Calibri"/>
        <w:lang w:val="en-US"/>
      </w:rPr>
      <w:tab/>
    </w:r>
    <w:r w:rsidRPr="00117C14">
      <w:rPr>
        <w:rFonts w:eastAsia="Calibri"/>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5096"/>
    <w:multiLevelType w:val="hybridMultilevel"/>
    <w:tmpl w:val="97B21C8C"/>
    <w:lvl w:ilvl="0" w:tplc="04090017">
      <w:start w:val="1"/>
      <w:numFmt w:val="lowerLetter"/>
      <w:lvlText w:val="%1)"/>
      <w:lvlJc w:val="left"/>
      <w:pPr>
        <w:ind w:left="1440" w:hanging="360"/>
      </w:pPr>
    </w:lvl>
    <w:lvl w:ilvl="1" w:tplc="540A0019">
      <w:start w:val="1"/>
      <w:numFmt w:val="lowerLetter"/>
      <w:lvlText w:val="%2."/>
      <w:lvlJc w:val="left"/>
      <w:pPr>
        <w:ind w:left="2160" w:hanging="360"/>
      </w:pPr>
    </w:lvl>
    <w:lvl w:ilvl="2" w:tplc="540A001B" w:tentative="1">
      <w:start w:val="1"/>
      <w:numFmt w:val="lowerRoman"/>
      <w:lvlText w:val="%3."/>
      <w:lvlJc w:val="right"/>
      <w:pPr>
        <w:ind w:left="2880" w:hanging="180"/>
      </w:pPr>
    </w:lvl>
    <w:lvl w:ilvl="3" w:tplc="540A000F" w:tentative="1">
      <w:start w:val="1"/>
      <w:numFmt w:val="decimal"/>
      <w:lvlText w:val="%4."/>
      <w:lvlJc w:val="left"/>
      <w:pPr>
        <w:ind w:left="3600" w:hanging="360"/>
      </w:pPr>
    </w:lvl>
    <w:lvl w:ilvl="4" w:tplc="540A0019" w:tentative="1">
      <w:start w:val="1"/>
      <w:numFmt w:val="lowerLetter"/>
      <w:lvlText w:val="%5."/>
      <w:lvlJc w:val="left"/>
      <w:pPr>
        <w:ind w:left="4320" w:hanging="360"/>
      </w:pPr>
    </w:lvl>
    <w:lvl w:ilvl="5" w:tplc="540A001B" w:tentative="1">
      <w:start w:val="1"/>
      <w:numFmt w:val="lowerRoman"/>
      <w:lvlText w:val="%6."/>
      <w:lvlJc w:val="right"/>
      <w:pPr>
        <w:ind w:left="5040" w:hanging="180"/>
      </w:pPr>
    </w:lvl>
    <w:lvl w:ilvl="6" w:tplc="540A000F" w:tentative="1">
      <w:start w:val="1"/>
      <w:numFmt w:val="decimal"/>
      <w:lvlText w:val="%7."/>
      <w:lvlJc w:val="left"/>
      <w:pPr>
        <w:ind w:left="5760" w:hanging="360"/>
      </w:pPr>
    </w:lvl>
    <w:lvl w:ilvl="7" w:tplc="540A0019" w:tentative="1">
      <w:start w:val="1"/>
      <w:numFmt w:val="lowerLetter"/>
      <w:lvlText w:val="%8."/>
      <w:lvlJc w:val="left"/>
      <w:pPr>
        <w:ind w:left="6480" w:hanging="360"/>
      </w:pPr>
    </w:lvl>
    <w:lvl w:ilvl="8" w:tplc="540A001B" w:tentative="1">
      <w:start w:val="1"/>
      <w:numFmt w:val="lowerRoman"/>
      <w:lvlText w:val="%9."/>
      <w:lvlJc w:val="right"/>
      <w:pPr>
        <w:ind w:left="7200" w:hanging="180"/>
      </w:pPr>
    </w:lvl>
  </w:abstractNum>
  <w:abstractNum w:abstractNumId="1" w15:restartNumberingAfterBreak="0">
    <w:nsid w:val="17415D44"/>
    <w:multiLevelType w:val="hybridMultilevel"/>
    <w:tmpl w:val="8672669A"/>
    <w:lvl w:ilvl="0" w:tplc="0409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AF94192"/>
    <w:multiLevelType w:val="hybridMultilevel"/>
    <w:tmpl w:val="968AA6C2"/>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7A26CF"/>
    <w:multiLevelType w:val="hybridMultilevel"/>
    <w:tmpl w:val="87AC74C4"/>
    <w:lvl w:ilvl="0" w:tplc="0D249076">
      <w:start w:val="1"/>
      <w:numFmt w:val="decimal"/>
      <w:lvlText w:val="%1."/>
      <w:lvlJc w:val="center"/>
      <w:pPr>
        <w:ind w:left="720" w:hanging="360"/>
      </w:pPr>
      <w:rPr>
        <w:rFonts w:ascii="Cambria" w:hAnsi="Cambria" w:hint="default"/>
        <w:b w:val="0"/>
        <w:sz w:val="21"/>
        <w:szCs w:val="21"/>
      </w:rPr>
    </w:lvl>
    <w:lvl w:ilvl="1" w:tplc="FF669E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F30594"/>
    <w:multiLevelType w:val="hybridMultilevel"/>
    <w:tmpl w:val="81FC17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1F2C03"/>
    <w:multiLevelType w:val="hybridMultilevel"/>
    <w:tmpl w:val="D692497E"/>
    <w:lvl w:ilvl="0" w:tplc="540A0017">
      <w:start w:val="1"/>
      <w:numFmt w:val="low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6" w15:restartNumberingAfterBreak="0">
    <w:nsid w:val="773A4637"/>
    <w:multiLevelType w:val="hybridMultilevel"/>
    <w:tmpl w:val="87AC74C4"/>
    <w:lvl w:ilvl="0" w:tplc="0D249076">
      <w:start w:val="1"/>
      <w:numFmt w:val="decimal"/>
      <w:lvlText w:val="%1."/>
      <w:lvlJc w:val="center"/>
      <w:pPr>
        <w:ind w:left="720" w:hanging="360"/>
      </w:pPr>
      <w:rPr>
        <w:rFonts w:ascii="Cambria" w:hAnsi="Cambria" w:hint="default"/>
        <w:b w:val="0"/>
        <w:sz w:val="21"/>
        <w:szCs w:val="21"/>
      </w:rPr>
    </w:lvl>
    <w:lvl w:ilvl="1" w:tplc="FF669E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7BB"/>
    <w:rsid w:val="00000510"/>
    <w:rsid w:val="00006643"/>
    <w:rsid w:val="000166DD"/>
    <w:rsid w:val="0002105D"/>
    <w:rsid w:val="000245D8"/>
    <w:rsid w:val="000528A5"/>
    <w:rsid w:val="000604EB"/>
    <w:rsid w:val="00080DD4"/>
    <w:rsid w:val="000A4AB1"/>
    <w:rsid w:val="000D4F63"/>
    <w:rsid w:val="000F3B2E"/>
    <w:rsid w:val="00123C69"/>
    <w:rsid w:val="00135EBB"/>
    <w:rsid w:val="001371F9"/>
    <w:rsid w:val="00142C07"/>
    <w:rsid w:val="00171503"/>
    <w:rsid w:val="00174871"/>
    <w:rsid w:val="00180309"/>
    <w:rsid w:val="00184B98"/>
    <w:rsid w:val="001852BF"/>
    <w:rsid w:val="00191A13"/>
    <w:rsid w:val="001945B1"/>
    <w:rsid w:val="001A0F9E"/>
    <w:rsid w:val="001A5FC7"/>
    <w:rsid w:val="001B1532"/>
    <w:rsid w:val="001B3065"/>
    <w:rsid w:val="001C0440"/>
    <w:rsid w:val="001C52C8"/>
    <w:rsid w:val="001E593D"/>
    <w:rsid w:val="00201235"/>
    <w:rsid w:val="00203925"/>
    <w:rsid w:val="0021367E"/>
    <w:rsid w:val="00215F79"/>
    <w:rsid w:val="00230928"/>
    <w:rsid w:val="00235FDB"/>
    <w:rsid w:val="00240087"/>
    <w:rsid w:val="00245B85"/>
    <w:rsid w:val="002733E4"/>
    <w:rsid w:val="00283B4A"/>
    <w:rsid w:val="0029188B"/>
    <w:rsid w:val="002C02DA"/>
    <w:rsid w:val="002C242A"/>
    <w:rsid w:val="002C440F"/>
    <w:rsid w:val="002C6DCB"/>
    <w:rsid w:val="002E24D1"/>
    <w:rsid w:val="002E653F"/>
    <w:rsid w:val="00302DF0"/>
    <w:rsid w:val="003102F2"/>
    <w:rsid w:val="0032069F"/>
    <w:rsid w:val="00327749"/>
    <w:rsid w:val="0035388A"/>
    <w:rsid w:val="00363B10"/>
    <w:rsid w:val="00377CE9"/>
    <w:rsid w:val="00381D23"/>
    <w:rsid w:val="003A57C2"/>
    <w:rsid w:val="003B10E7"/>
    <w:rsid w:val="003B6DDA"/>
    <w:rsid w:val="003D2D83"/>
    <w:rsid w:val="003E7854"/>
    <w:rsid w:val="003F267F"/>
    <w:rsid w:val="003F52F2"/>
    <w:rsid w:val="00400A96"/>
    <w:rsid w:val="004022A2"/>
    <w:rsid w:val="00404398"/>
    <w:rsid w:val="004166FF"/>
    <w:rsid w:val="00434D18"/>
    <w:rsid w:val="00441CCC"/>
    <w:rsid w:val="0045406C"/>
    <w:rsid w:val="00457F3A"/>
    <w:rsid w:val="004727CD"/>
    <w:rsid w:val="00472D97"/>
    <w:rsid w:val="0048752A"/>
    <w:rsid w:val="004B716F"/>
    <w:rsid w:val="004D00A0"/>
    <w:rsid w:val="004D40BB"/>
    <w:rsid w:val="004E66F1"/>
    <w:rsid w:val="004F7880"/>
    <w:rsid w:val="00502DDD"/>
    <w:rsid w:val="00504CB4"/>
    <w:rsid w:val="00511EAE"/>
    <w:rsid w:val="005137BC"/>
    <w:rsid w:val="005238EF"/>
    <w:rsid w:val="00527571"/>
    <w:rsid w:val="00542EBF"/>
    <w:rsid w:val="00571C9A"/>
    <w:rsid w:val="005762B7"/>
    <w:rsid w:val="0058432A"/>
    <w:rsid w:val="00585D31"/>
    <w:rsid w:val="005A18D6"/>
    <w:rsid w:val="005C6D7A"/>
    <w:rsid w:val="005E19EF"/>
    <w:rsid w:val="005F0A14"/>
    <w:rsid w:val="0061754F"/>
    <w:rsid w:val="00621CDE"/>
    <w:rsid w:val="0062481F"/>
    <w:rsid w:val="00633C3B"/>
    <w:rsid w:val="006349E5"/>
    <w:rsid w:val="00641C16"/>
    <w:rsid w:val="00646B82"/>
    <w:rsid w:val="006574B3"/>
    <w:rsid w:val="006D125D"/>
    <w:rsid w:val="006D581D"/>
    <w:rsid w:val="006D7676"/>
    <w:rsid w:val="00720B4C"/>
    <w:rsid w:val="00724D9F"/>
    <w:rsid w:val="00742358"/>
    <w:rsid w:val="00742C6D"/>
    <w:rsid w:val="00775044"/>
    <w:rsid w:val="00776240"/>
    <w:rsid w:val="0078603D"/>
    <w:rsid w:val="00790EC3"/>
    <w:rsid w:val="007F3C90"/>
    <w:rsid w:val="007F5117"/>
    <w:rsid w:val="007F61D7"/>
    <w:rsid w:val="00800654"/>
    <w:rsid w:val="0082209E"/>
    <w:rsid w:val="008321B7"/>
    <w:rsid w:val="00832B97"/>
    <w:rsid w:val="008371B0"/>
    <w:rsid w:val="00840869"/>
    <w:rsid w:val="00842183"/>
    <w:rsid w:val="00842257"/>
    <w:rsid w:val="00843C55"/>
    <w:rsid w:val="00855E17"/>
    <w:rsid w:val="008751F4"/>
    <w:rsid w:val="0088319B"/>
    <w:rsid w:val="00883756"/>
    <w:rsid w:val="0089744E"/>
    <w:rsid w:val="008A3F31"/>
    <w:rsid w:val="008A3F43"/>
    <w:rsid w:val="008A42B3"/>
    <w:rsid w:val="008B7F99"/>
    <w:rsid w:val="008C22F4"/>
    <w:rsid w:val="008E475E"/>
    <w:rsid w:val="008F3387"/>
    <w:rsid w:val="008F560E"/>
    <w:rsid w:val="009017D3"/>
    <w:rsid w:val="009050EC"/>
    <w:rsid w:val="00907898"/>
    <w:rsid w:val="00907C81"/>
    <w:rsid w:val="0093097C"/>
    <w:rsid w:val="00930C02"/>
    <w:rsid w:val="00936669"/>
    <w:rsid w:val="00945DA5"/>
    <w:rsid w:val="0096262C"/>
    <w:rsid w:val="009664F2"/>
    <w:rsid w:val="00995948"/>
    <w:rsid w:val="009D36FF"/>
    <w:rsid w:val="009E6D75"/>
    <w:rsid w:val="00A01EEF"/>
    <w:rsid w:val="00A04BA5"/>
    <w:rsid w:val="00A06FBE"/>
    <w:rsid w:val="00A12C94"/>
    <w:rsid w:val="00A40DBD"/>
    <w:rsid w:val="00A4167F"/>
    <w:rsid w:val="00A44046"/>
    <w:rsid w:val="00A46D70"/>
    <w:rsid w:val="00A61783"/>
    <w:rsid w:val="00A623CE"/>
    <w:rsid w:val="00A823E9"/>
    <w:rsid w:val="00A8790B"/>
    <w:rsid w:val="00A922DD"/>
    <w:rsid w:val="00AB1B35"/>
    <w:rsid w:val="00AC1B18"/>
    <w:rsid w:val="00AD0E77"/>
    <w:rsid w:val="00AE3EDA"/>
    <w:rsid w:val="00B11643"/>
    <w:rsid w:val="00B117BB"/>
    <w:rsid w:val="00B20660"/>
    <w:rsid w:val="00B31D82"/>
    <w:rsid w:val="00B43BDF"/>
    <w:rsid w:val="00B61454"/>
    <w:rsid w:val="00B7156E"/>
    <w:rsid w:val="00B74DAA"/>
    <w:rsid w:val="00B948CB"/>
    <w:rsid w:val="00B97AF9"/>
    <w:rsid w:val="00BA43C0"/>
    <w:rsid w:val="00BD239A"/>
    <w:rsid w:val="00BF0532"/>
    <w:rsid w:val="00C1261E"/>
    <w:rsid w:val="00C14D08"/>
    <w:rsid w:val="00C20659"/>
    <w:rsid w:val="00C322C1"/>
    <w:rsid w:val="00C3444A"/>
    <w:rsid w:val="00C432BC"/>
    <w:rsid w:val="00C617D7"/>
    <w:rsid w:val="00C67EB7"/>
    <w:rsid w:val="00C71E76"/>
    <w:rsid w:val="00C82483"/>
    <w:rsid w:val="00C92C73"/>
    <w:rsid w:val="00CE75A1"/>
    <w:rsid w:val="00CE7CCC"/>
    <w:rsid w:val="00CF2C55"/>
    <w:rsid w:val="00CF5F63"/>
    <w:rsid w:val="00CF7208"/>
    <w:rsid w:val="00D05840"/>
    <w:rsid w:val="00D0649F"/>
    <w:rsid w:val="00D178DB"/>
    <w:rsid w:val="00D214AE"/>
    <w:rsid w:val="00D33634"/>
    <w:rsid w:val="00D354C5"/>
    <w:rsid w:val="00D35B21"/>
    <w:rsid w:val="00D56A3B"/>
    <w:rsid w:val="00D6198F"/>
    <w:rsid w:val="00D63693"/>
    <w:rsid w:val="00D761E3"/>
    <w:rsid w:val="00D8331F"/>
    <w:rsid w:val="00D936DA"/>
    <w:rsid w:val="00DA183F"/>
    <w:rsid w:val="00DA525D"/>
    <w:rsid w:val="00DB487D"/>
    <w:rsid w:val="00DC543B"/>
    <w:rsid w:val="00DC7E18"/>
    <w:rsid w:val="00DE21BA"/>
    <w:rsid w:val="00DE21E7"/>
    <w:rsid w:val="00DE7E30"/>
    <w:rsid w:val="00E061BB"/>
    <w:rsid w:val="00E06675"/>
    <w:rsid w:val="00E16422"/>
    <w:rsid w:val="00E26505"/>
    <w:rsid w:val="00E335C4"/>
    <w:rsid w:val="00E4437B"/>
    <w:rsid w:val="00E4783C"/>
    <w:rsid w:val="00E54DCF"/>
    <w:rsid w:val="00E61E48"/>
    <w:rsid w:val="00E85ECB"/>
    <w:rsid w:val="00E901F8"/>
    <w:rsid w:val="00E96CEA"/>
    <w:rsid w:val="00EA42FD"/>
    <w:rsid w:val="00EC6605"/>
    <w:rsid w:val="00EC7AF4"/>
    <w:rsid w:val="00EE537B"/>
    <w:rsid w:val="00EF0173"/>
    <w:rsid w:val="00EF1BEC"/>
    <w:rsid w:val="00EF61F4"/>
    <w:rsid w:val="00F047FA"/>
    <w:rsid w:val="00F22BA6"/>
    <w:rsid w:val="00F52F38"/>
    <w:rsid w:val="00F748B2"/>
    <w:rsid w:val="00F923A5"/>
    <w:rsid w:val="00FA04C9"/>
    <w:rsid w:val="00FB1189"/>
    <w:rsid w:val="00FD368E"/>
    <w:rsid w:val="00FD4258"/>
    <w:rsid w:val="00FD690B"/>
    <w:rsid w:val="00FE386F"/>
    <w:rsid w:val="00FF4716"/>
    <w:rsid w:val="00FF52A6"/>
    <w:rsid w:val="00FF5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BC3941"/>
  <w15:docId w15:val="{B37EEECE-242C-43B5-A49D-0C620B27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ext1">
    <w:name w:val="Footnote Text1"/>
    <w:basedOn w:val="Normal"/>
    <w:next w:val="FootnoteText"/>
    <w:link w:val="FootnoteTextChar"/>
    <w:unhideWhenUsed/>
    <w:rsid w:val="00B117BB"/>
    <w:pPr>
      <w:spacing w:after="0" w:line="240" w:lineRule="auto"/>
    </w:pPr>
    <w:rPr>
      <w:sz w:val="20"/>
      <w:szCs w:val="20"/>
    </w:rPr>
  </w:style>
  <w:style w:type="character" w:customStyle="1" w:styleId="FootnoteTextChar">
    <w:name w:val="Footnote Text Char"/>
    <w:basedOn w:val="DefaultParagraphFont"/>
    <w:link w:val="FootnoteText1"/>
    <w:rsid w:val="00B117BB"/>
    <w:rPr>
      <w:sz w:val="20"/>
      <w:szCs w:val="20"/>
      <w:lang w:val="es-US"/>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f1"/>
    <w:link w:val="Appelnotedebasde"/>
    <w:uiPriority w:val="99"/>
    <w:unhideWhenUsed/>
    <w:qFormat/>
    <w:rsid w:val="00B117BB"/>
    <w:rPr>
      <w:vertAlign w:val="superscript"/>
    </w:rPr>
  </w:style>
  <w:style w:type="paragraph" w:styleId="Footer">
    <w:name w:val="footer"/>
    <w:basedOn w:val="Normal"/>
    <w:link w:val="FooterChar"/>
    <w:uiPriority w:val="99"/>
    <w:unhideWhenUsed/>
    <w:rsid w:val="00B117BB"/>
    <w:pPr>
      <w:tabs>
        <w:tab w:val="center" w:pos="4680"/>
        <w:tab w:val="right" w:pos="9360"/>
      </w:tabs>
      <w:spacing w:after="0" w:line="240" w:lineRule="auto"/>
    </w:pPr>
    <w:rPr>
      <w:rFonts w:ascii="Calibri" w:eastAsia="Batang" w:hAnsi="Calibri" w:cs="Times New Roman"/>
      <w:lang w:val="es-ES"/>
    </w:rPr>
  </w:style>
  <w:style w:type="character" w:customStyle="1" w:styleId="FooterChar">
    <w:name w:val="Footer Char"/>
    <w:basedOn w:val="DefaultParagraphFont"/>
    <w:link w:val="Footer"/>
    <w:uiPriority w:val="99"/>
    <w:rsid w:val="00B117BB"/>
    <w:rPr>
      <w:rFonts w:ascii="Calibri" w:eastAsia="Batang" w:hAnsi="Calibri" w:cs="Times New Roman"/>
      <w:lang w:val="es-ES"/>
    </w:rPr>
  </w:style>
  <w:style w:type="paragraph" w:customStyle="1" w:styleId="Appelnotedebasde">
    <w:name w:val="Appel note de bas de..."/>
    <w:basedOn w:val="Normal"/>
    <w:link w:val="FootnoteReference"/>
    <w:rsid w:val="00B117BB"/>
    <w:pPr>
      <w:spacing w:line="240" w:lineRule="exact"/>
    </w:pPr>
    <w:rPr>
      <w:vertAlign w:val="superscript"/>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1"/>
    <w:unhideWhenUsed/>
    <w:qFormat/>
    <w:rsid w:val="00B117BB"/>
    <w:pPr>
      <w:spacing w:after="0" w:line="240" w:lineRule="auto"/>
    </w:pPr>
    <w:rPr>
      <w:sz w:val="20"/>
      <w:szCs w:val="20"/>
    </w:rPr>
  </w:style>
  <w:style w:type="character" w:customStyle="1" w:styleId="FootnoteTextChar1">
    <w:name w:val="Footnote Text Char1"/>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B117BB"/>
    <w:rPr>
      <w:sz w:val="20"/>
      <w:szCs w:val="20"/>
    </w:rPr>
  </w:style>
  <w:style w:type="paragraph" w:styleId="ListParagraph">
    <w:name w:val="List Paragraph"/>
    <w:basedOn w:val="Normal"/>
    <w:uiPriority w:val="34"/>
    <w:qFormat/>
    <w:rsid w:val="00D936DA"/>
    <w:pPr>
      <w:ind w:left="720"/>
      <w:contextualSpacing/>
    </w:pPr>
  </w:style>
  <w:style w:type="character" w:styleId="CommentReference">
    <w:name w:val="annotation reference"/>
    <w:basedOn w:val="DefaultParagraphFont"/>
    <w:uiPriority w:val="99"/>
    <w:semiHidden/>
    <w:unhideWhenUsed/>
    <w:rsid w:val="00724D9F"/>
    <w:rPr>
      <w:sz w:val="16"/>
      <w:szCs w:val="16"/>
    </w:rPr>
  </w:style>
  <w:style w:type="paragraph" w:styleId="CommentText">
    <w:name w:val="annotation text"/>
    <w:basedOn w:val="Normal"/>
    <w:link w:val="CommentTextChar"/>
    <w:uiPriority w:val="99"/>
    <w:semiHidden/>
    <w:unhideWhenUsed/>
    <w:rsid w:val="00724D9F"/>
    <w:pPr>
      <w:spacing w:line="240" w:lineRule="auto"/>
    </w:pPr>
    <w:rPr>
      <w:sz w:val="20"/>
      <w:szCs w:val="20"/>
    </w:rPr>
  </w:style>
  <w:style w:type="character" w:customStyle="1" w:styleId="CommentTextChar">
    <w:name w:val="Comment Text Char"/>
    <w:basedOn w:val="DefaultParagraphFont"/>
    <w:link w:val="CommentText"/>
    <w:uiPriority w:val="99"/>
    <w:semiHidden/>
    <w:rsid w:val="00724D9F"/>
    <w:rPr>
      <w:sz w:val="20"/>
      <w:szCs w:val="20"/>
    </w:rPr>
  </w:style>
  <w:style w:type="paragraph" w:styleId="CommentSubject">
    <w:name w:val="annotation subject"/>
    <w:basedOn w:val="CommentText"/>
    <w:next w:val="CommentText"/>
    <w:link w:val="CommentSubjectChar"/>
    <w:uiPriority w:val="99"/>
    <w:semiHidden/>
    <w:unhideWhenUsed/>
    <w:rsid w:val="00724D9F"/>
    <w:rPr>
      <w:b/>
      <w:bCs/>
    </w:rPr>
  </w:style>
  <w:style w:type="character" w:customStyle="1" w:styleId="CommentSubjectChar">
    <w:name w:val="Comment Subject Char"/>
    <w:basedOn w:val="CommentTextChar"/>
    <w:link w:val="CommentSubject"/>
    <w:uiPriority w:val="99"/>
    <w:semiHidden/>
    <w:rsid w:val="00724D9F"/>
    <w:rPr>
      <w:b/>
      <w:bCs/>
      <w:sz w:val="20"/>
      <w:szCs w:val="20"/>
    </w:rPr>
  </w:style>
  <w:style w:type="paragraph" w:styleId="BalloonText">
    <w:name w:val="Balloon Text"/>
    <w:basedOn w:val="Normal"/>
    <w:link w:val="BalloonTextChar"/>
    <w:uiPriority w:val="99"/>
    <w:semiHidden/>
    <w:unhideWhenUsed/>
    <w:rsid w:val="00724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D9F"/>
    <w:rPr>
      <w:rFonts w:ascii="Segoe UI" w:hAnsi="Segoe UI" w:cs="Segoe UI"/>
      <w:sz w:val="18"/>
      <w:szCs w:val="18"/>
    </w:rPr>
  </w:style>
  <w:style w:type="paragraph" w:styleId="Revision">
    <w:name w:val="Revision"/>
    <w:hidden/>
    <w:uiPriority w:val="99"/>
    <w:semiHidden/>
    <w:rsid w:val="00BD239A"/>
    <w:pPr>
      <w:spacing w:after="0" w:line="240" w:lineRule="auto"/>
    </w:pPr>
  </w:style>
  <w:style w:type="character" w:styleId="Hyperlink">
    <w:name w:val="Hyperlink"/>
    <w:basedOn w:val="DefaultParagraphFont"/>
    <w:uiPriority w:val="99"/>
    <w:unhideWhenUsed/>
    <w:rsid w:val="001C52C8"/>
    <w:rPr>
      <w:color w:val="0563C1" w:themeColor="hyperlink"/>
      <w:u w:val="single"/>
    </w:rPr>
  </w:style>
  <w:style w:type="paragraph" w:styleId="NoSpacing">
    <w:name w:val="No Spacing"/>
    <w:uiPriority w:val="1"/>
    <w:qFormat/>
    <w:rsid w:val="00472D97"/>
    <w:pPr>
      <w:spacing w:after="0" w:line="240" w:lineRule="auto"/>
    </w:pPr>
    <w:rPr>
      <w:rFonts w:ascii="Calibri" w:eastAsia="MS Mincho" w:hAnsi="Calibri" w:cs="Arial"/>
      <w:lang w:val="en-US" w:eastAsia="ja-JP"/>
    </w:rPr>
  </w:style>
  <w:style w:type="paragraph" w:styleId="Header">
    <w:name w:val="header"/>
    <w:basedOn w:val="Normal"/>
    <w:link w:val="HeaderChar"/>
    <w:uiPriority w:val="99"/>
    <w:unhideWhenUsed/>
    <w:rsid w:val="009D36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oas.org/es/cidh/decisiones/cautelares.asp" TargetMode="External"/><Relationship Id="rId3" Type="http://schemas.openxmlformats.org/officeDocument/2006/relationships/hyperlink" Target="http://www.oas.org/es/cidh/decisiones/pdf/2018/24-18MC81-18-PE.pdf" TargetMode="External"/><Relationship Id="rId7" Type="http://schemas.openxmlformats.org/officeDocument/2006/relationships/hyperlink" Target="http://www.corteidh.or.cr/docs/casos/articulos/seriec_186_esp.pdf" TargetMode="External"/><Relationship Id="rId2" Type="http://schemas.openxmlformats.org/officeDocument/2006/relationships/hyperlink" Target="http://www.oas.org/es/cidh/decisiones/pdf/2018/25-18MC209-18-CO-210-18-EC.pdf" TargetMode="External"/><Relationship Id="rId1" Type="http://schemas.openxmlformats.org/officeDocument/2006/relationships/hyperlink" Target="https://www.oas.org/juridico/spanish/tratados/a-60.html" TargetMode="External"/><Relationship Id="rId6" Type="http://schemas.openxmlformats.org/officeDocument/2006/relationships/hyperlink" Target="http://www.oas.org/es/cidh/decisiones/pdf/2016/MC29-16-Es.pdf" TargetMode="External"/><Relationship Id="rId5" Type="http://schemas.openxmlformats.org/officeDocument/2006/relationships/hyperlink" Target="http://www.oas.org/es/cidh/decisiones/pdf/MC301-13Resolucion%204-13esp.pdf" TargetMode="External"/><Relationship Id="rId10" Type="http://schemas.openxmlformats.org/officeDocument/2006/relationships/hyperlink" Target="http://www.oas.org/es/cidh/decisiones/pdf/2017/32-17MC564-17-AR.pdf" TargetMode="External"/><Relationship Id="rId4" Type="http://schemas.openxmlformats.org/officeDocument/2006/relationships/hyperlink" Target="http://www.oas.org/es/cidh/decisiones/pdf/2014/MC455-14-ES.pdf" TargetMode="External"/><Relationship Id="rId9" Type="http://schemas.openxmlformats.org/officeDocument/2006/relationships/hyperlink" Target="http://www.oas.org/es/cidh/decisiones/pdf/2017/49-17MC782-17-GU.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1B283-B195-482E-9D2C-FE0A06E55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2806</Words>
  <Characters>15437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 Luisa</dc:creator>
  <cp:lastModifiedBy>Silva, Luisa</cp:lastModifiedBy>
  <cp:revision>8</cp:revision>
  <cp:lastPrinted>2019-06-05T20:43:00Z</cp:lastPrinted>
  <dcterms:created xsi:type="dcterms:W3CDTF">2020-01-29T20:04:00Z</dcterms:created>
  <dcterms:modified xsi:type="dcterms:W3CDTF">2020-02-06T20:28:00Z</dcterms:modified>
</cp:coreProperties>
</file>