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DC142" w14:textId="77777777" w:rsidR="0070087B" w:rsidRPr="008073AC" w:rsidRDefault="0070087B" w:rsidP="008073AC">
      <w:pPr>
        <w:spacing w:after="0" w:line="240" w:lineRule="auto"/>
        <w:jc w:val="center"/>
        <w:rPr>
          <w:rFonts w:ascii="Cambria" w:eastAsia="Batang" w:hAnsi="Cambria" w:cs="Times New Roman"/>
          <w:b/>
          <w:color w:val="000000"/>
          <w:lang w:val="es-ES"/>
        </w:rPr>
      </w:pPr>
      <w:r w:rsidRPr="008073AC">
        <w:rPr>
          <w:rFonts w:ascii="Cambria" w:eastAsia="Batang" w:hAnsi="Cambria" w:cs="Times New Roman"/>
          <w:b/>
          <w:color w:val="000000"/>
          <w:lang w:val="es-ES"/>
        </w:rPr>
        <w:t>COMISIÓN INTERAMERICANA DE DERECHOS HUMANOS</w:t>
      </w:r>
    </w:p>
    <w:p w14:paraId="51CBC77C" w14:textId="0FB9D622" w:rsidR="0070087B" w:rsidRPr="008073AC" w:rsidRDefault="0070087B" w:rsidP="008073AC">
      <w:pPr>
        <w:spacing w:after="0" w:line="240" w:lineRule="auto"/>
        <w:jc w:val="center"/>
        <w:rPr>
          <w:rFonts w:ascii="Cambria" w:eastAsia="Batang" w:hAnsi="Cambria" w:cs="Times New Roman"/>
          <w:b/>
          <w:color w:val="000000"/>
          <w:lang w:val="es-ES"/>
        </w:rPr>
      </w:pPr>
      <w:r w:rsidRPr="008073AC">
        <w:rPr>
          <w:rFonts w:ascii="Cambria" w:eastAsia="Batang" w:hAnsi="Cambria" w:cs="Times New Roman"/>
          <w:b/>
          <w:color w:val="000000"/>
          <w:lang w:val="es-ES"/>
        </w:rPr>
        <w:t xml:space="preserve">RESOLUCIÓN </w:t>
      </w:r>
      <w:r w:rsidR="008073AC" w:rsidRPr="008073AC">
        <w:rPr>
          <w:rFonts w:ascii="Cambria" w:eastAsia="Batang" w:hAnsi="Cambria" w:cs="Times New Roman"/>
          <w:b/>
          <w:color w:val="000000"/>
          <w:lang w:val="es-ES"/>
        </w:rPr>
        <w:t>23</w:t>
      </w:r>
      <w:r w:rsidRPr="008073AC">
        <w:rPr>
          <w:rFonts w:ascii="Cambria" w:eastAsia="Batang" w:hAnsi="Cambria" w:cs="Times New Roman"/>
          <w:b/>
          <w:color w:val="000000"/>
          <w:lang w:val="es-ES"/>
        </w:rPr>
        <w:t>/2020</w:t>
      </w:r>
    </w:p>
    <w:p w14:paraId="11B0B6F8" w14:textId="77777777" w:rsidR="0070087B" w:rsidRPr="008073AC" w:rsidRDefault="00E20BE9" w:rsidP="008073AC">
      <w:pPr>
        <w:spacing w:after="0" w:line="240" w:lineRule="auto"/>
        <w:jc w:val="center"/>
        <w:rPr>
          <w:rFonts w:ascii="Cambria" w:eastAsia="Batang" w:hAnsi="Cambria" w:cs="Times New Roman"/>
          <w:color w:val="000000"/>
        </w:rPr>
      </w:pPr>
      <w:r w:rsidRPr="008073AC">
        <w:rPr>
          <w:rFonts w:ascii="Cambria" w:eastAsia="Batang" w:hAnsi="Cambria" w:cs="Times New Roman"/>
          <w:color w:val="000000"/>
        </w:rPr>
        <w:t>Medida Cautelar No. 954</w:t>
      </w:r>
      <w:r w:rsidR="0070087B" w:rsidRPr="008073AC">
        <w:rPr>
          <w:rFonts w:ascii="Cambria" w:eastAsia="Batang" w:hAnsi="Cambria" w:cs="Times New Roman"/>
          <w:color w:val="000000"/>
        </w:rPr>
        <w:t>-19</w:t>
      </w:r>
    </w:p>
    <w:p w14:paraId="4367F02E" w14:textId="77777777" w:rsidR="0070087B" w:rsidRPr="008073AC" w:rsidRDefault="0070087B" w:rsidP="008073AC">
      <w:pPr>
        <w:spacing w:after="0" w:line="240" w:lineRule="auto"/>
        <w:jc w:val="both"/>
        <w:rPr>
          <w:rFonts w:ascii="Cambria" w:eastAsia="Batang" w:hAnsi="Cambria" w:cs="Times New Roman"/>
          <w:color w:val="000000"/>
        </w:rPr>
      </w:pPr>
    </w:p>
    <w:p w14:paraId="0575F55F" w14:textId="1B2D14DF" w:rsidR="0070087B" w:rsidRPr="008073AC" w:rsidRDefault="00F37D25" w:rsidP="008073AC">
      <w:pPr>
        <w:spacing w:after="0" w:line="240" w:lineRule="auto"/>
        <w:jc w:val="center"/>
        <w:rPr>
          <w:rFonts w:ascii="Cambria" w:eastAsia="Batang" w:hAnsi="Cambria" w:cs="Times New Roman"/>
          <w:color w:val="000000"/>
          <w:sz w:val="26"/>
          <w:szCs w:val="26"/>
        </w:rPr>
      </w:pPr>
      <w:r w:rsidRPr="008073AC">
        <w:rPr>
          <w:rFonts w:ascii="Cambria" w:eastAsia="Batang" w:hAnsi="Cambria" w:cs="Times New Roman"/>
          <w:color w:val="000000"/>
          <w:sz w:val="26"/>
          <w:szCs w:val="26"/>
        </w:rPr>
        <w:t xml:space="preserve">Comunidad mapuche </w:t>
      </w:r>
      <w:proofErr w:type="spellStart"/>
      <w:r w:rsidRPr="008073AC">
        <w:rPr>
          <w:rFonts w:ascii="Cambria" w:eastAsia="Batang" w:hAnsi="Cambria" w:cs="Times New Roman"/>
          <w:color w:val="000000"/>
          <w:sz w:val="26"/>
          <w:szCs w:val="26"/>
        </w:rPr>
        <w:t>Lof</w:t>
      </w:r>
      <w:proofErr w:type="spellEnd"/>
      <w:r w:rsidRPr="008073AC">
        <w:rPr>
          <w:rFonts w:ascii="Cambria" w:eastAsia="Batang" w:hAnsi="Cambria" w:cs="Times New Roman"/>
          <w:color w:val="000000"/>
          <w:sz w:val="26"/>
          <w:szCs w:val="26"/>
        </w:rPr>
        <w:t xml:space="preserve"> </w:t>
      </w:r>
      <w:proofErr w:type="spellStart"/>
      <w:r w:rsidRPr="008073AC">
        <w:rPr>
          <w:rFonts w:ascii="Cambria" w:eastAsia="Batang" w:hAnsi="Cambria" w:cs="Times New Roman"/>
          <w:color w:val="000000"/>
          <w:sz w:val="26"/>
          <w:szCs w:val="26"/>
        </w:rPr>
        <w:t>Buenuleo</w:t>
      </w:r>
      <w:proofErr w:type="spellEnd"/>
      <w:r w:rsidR="00146CB8" w:rsidRPr="008073AC">
        <w:rPr>
          <w:rFonts w:ascii="Cambria" w:eastAsia="Batang" w:hAnsi="Cambria" w:cs="Times New Roman"/>
          <w:color w:val="000000"/>
          <w:sz w:val="26"/>
          <w:szCs w:val="26"/>
        </w:rPr>
        <w:t xml:space="preserve"> </w:t>
      </w:r>
      <w:r w:rsidR="0070087B" w:rsidRPr="008073AC">
        <w:rPr>
          <w:rFonts w:ascii="Cambria" w:eastAsia="Batang" w:hAnsi="Cambria" w:cs="Times New Roman"/>
          <w:color w:val="000000"/>
          <w:sz w:val="26"/>
          <w:szCs w:val="26"/>
        </w:rPr>
        <w:t>respecto de Argentina</w:t>
      </w:r>
    </w:p>
    <w:p w14:paraId="1952FD21" w14:textId="639B80E9" w:rsidR="0070087B" w:rsidRPr="008073AC" w:rsidRDefault="006C46F2" w:rsidP="008073AC">
      <w:pPr>
        <w:spacing w:after="0" w:line="240" w:lineRule="auto"/>
        <w:jc w:val="center"/>
        <w:rPr>
          <w:rFonts w:ascii="Cambria" w:eastAsia="Batang" w:hAnsi="Cambria" w:cs="Times New Roman"/>
          <w:color w:val="000000"/>
          <w:lang w:val="es-ES"/>
        </w:rPr>
      </w:pPr>
      <w:r>
        <w:rPr>
          <w:rFonts w:ascii="Cambria" w:eastAsia="Batang" w:hAnsi="Cambria" w:cs="Times New Roman"/>
          <w:color w:val="000000"/>
          <w:lang w:val="es-ES"/>
        </w:rPr>
        <w:t>1</w:t>
      </w:r>
      <w:r w:rsidR="006B564C">
        <w:rPr>
          <w:rFonts w:ascii="Cambria" w:eastAsia="Batang" w:hAnsi="Cambria" w:cs="Times New Roman"/>
          <w:color w:val="000000"/>
          <w:lang w:val="es-ES"/>
        </w:rPr>
        <w:t>4</w:t>
      </w:r>
      <w:r w:rsidR="001E2FB6">
        <w:rPr>
          <w:rFonts w:ascii="Cambria" w:eastAsia="Batang" w:hAnsi="Cambria" w:cs="Times New Roman"/>
          <w:color w:val="000000"/>
          <w:lang w:val="es-ES"/>
        </w:rPr>
        <w:t xml:space="preserve"> </w:t>
      </w:r>
      <w:r w:rsidR="0070087B" w:rsidRPr="008073AC">
        <w:rPr>
          <w:rFonts w:ascii="Cambria" w:eastAsia="Batang" w:hAnsi="Cambria" w:cs="Times New Roman"/>
          <w:color w:val="000000"/>
          <w:lang w:val="es-ES"/>
        </w:rPr>
        <w:t xml:space="preserve">de </w:t>
      </w:r>
      <w:r w:rsidR="00492B4F" w:rsidRPr="008073AC">
        <w:rPr>
          <w:rFonts w:ascii="Cambria" w:eastAsia="Batang" w:hAnsi="Cambria" w:cs="Times New Roman"/>
          <w:color w:val="000000"/>
          <w:lang w:val="es-ES"/>
        </w:rPr>
        <w:t>mayo</w:t>
      </w:r>
      <w:r w:rsidR="0070087B" w:rsidRPr="008073AC">
        <w:rPr>
          <w:rFonts w:ascii="Cambria" w:eastAsia="Batang" w:hAnsi="Cambria" w:cs="Times New Roman"/>
          <w:color w:val="000000"/>
          <w:lang w:val="es-ES"/>
        </w:rPr>
        <w:t xml:space="preserve"> de 2020</w:t>
      </w:r>
    </w:p>
    <w:p w14:paraId="1FC596A2" w14:textId="77777777" w:rsidR="0070087B" w:rsidRPr="008073AC" w:rsidRDefault="0070087B" w:rsidP="008073AC">
      <w:pPr>
        <w:spacing w:after="0" w:line="240" w:lineRule="auto"/>
        <w:jc w:val="both"/>
        <w:rPr>
          <w:rFonts w:ascii="Cambria" w:eastAsia="Batang" w:hAnsi="Cambria" w:cs="Times New Roman"/>
          <w:color w:val="000000"/>
          <w:lang w:val="es-ES"/>
        </w:rPr>
      </w:pPr>
    </w:p>
    <w:p w14:paraId="7A308ECD" w14:textId="77777777" w:rsidR="0070087B" w:rsidRPr="008073AC" w:rsidRDefault="0070087B" w:rsidP="008073AC">
      <w:pPr>
        <w:numPr>
          <w:ilvl w:val="0"/>
          <w:numId w:val="2"/>
        </w:numPr>
        <w:spacing w:after="0" w:line="240" w:lineRule="auto"/>
        <w:ind w:left="0" w:firstLine="360"/>
        <w:jc w:val="both"/>
        <w:rPr>
          <w:rFonts w:ascii="Cambria" w:eastAsia="Batang" w:hAnsi="Cambria" w:cs="Times New Roman"/>
          <w:b/>
          <w:color w:val="000000"/>
          <w:sz w:val="21"/>
          <w:szCs w:val="21"/>
          <w:lang w:val="es-ES"/>
        </w:rPr>
      </w:pPr>
      <w:r w:rsidRPr="008073AC">
        <w:rPr>
          <w:rFonts w:ascii="Cambria" w:eastAsia="Batang" w:hAnsi="Cambria" w:cs="Times New Roman"/>
          <w:b/>
          <w:color w:val="000000"/>
          <w:sz w:val="21"/>
          <w:szCs w:val="21"/>
          <w:lang w:val="es-ES"/>
        </w:rPr>
        <w:t>INTRODUCCIÓN</w:t>
      </w:r>
    </w:p>
    <w:p w14:paraId="33E35964" w14:textId="77777777" w:rsidR="0070087B" w:rsidRPr="008073AC" w:rsidRDefault="0070087B" w:rsidP="008073AC">
      <w:pPr>
        <w:spacing w:after="0" w:line="240" w:lineRule="auto"/>
        <w:ind w:firstLine="360"/>
        <w:jc w:val="both"/>
        <w:rPr>
          <w:rFonts w:ascii="Cambria" w:eastAsia="Batang" w:hAnsi="Cambria" w:cs="Times New Roman"/>
          <w:b/>
          <w:color w:val="000000"/>
          <w:sz w:val="21"/>
          <w:szCs w:val="21"/>
          <w:lang w:val="es-ES"/>
        </w:rPr>
      </w:pPr>
    </w:p>
    <w:p w14:paraId="33E9222D" w14:textId="5BECD9D1" w:rsidR="0070087B" w:rsidRPr="008073AC" w:rsidRDefault="0070087B" w:rsidP="008073AC">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8073AC">
        <w:rPr>
          <w:rFonts w:ascii="Cambria" w:eastAsia="Batang" w:hAnsi="Cambria" w:cs="Times New Roman"/>
          <w:color w:val="000000"/>
          <w:sz w:val="21"/>
          <w:szCs w:val="21"/>
          <w:lang w:val="es-ES"/>
        </w:rPr>
        <w:t xml:space="preserve">El </w:t>
      </w:r>
      <w:r w:rsidR="006F08CA" w:rsidRPr="008073AC">
        <w:rPr>
          <w:rFonts w:ascii="Cambria" w:eastAsia="Batang" w:hAnsi="Cambria" w:cs="Times New Roman"/>
          <w:color w:val="000000"/>
          <w:sz w:val="21"/>
          <w:szCs w:val="21"/>
          <w:lang w:val="es-ES"/>
        </w:rPr>
        <w:t>15 de octubre</w:t>
      </w:r>
      <w:r w:rsidRPr="008073AC">
        <w:rPr>
          <w:rFonts w:ascii="Cambria" w:eastAsia="Batang" w:hAnsi="Cambria" w:cs="Times New Roman"/>
          <w:color w:val="000000"/>
          <w:sz w:val="21"/>
          <w:szCs w:val="21"/>
          <w:lang w:val="es-ES"/>
        </w:rPr>
        <w:t xml:space="preserve"> de 2019, la Comisión Interamericana de Derechos Humanos (“la Comisión Interamericana”, “la Comisión” o “la CIDH”) recibió una solicitud de medidas cautelares en favor de </w:t>
      </w:r>
      <w:r w:rsidR="006F08CA" w:rsidRPr="008073AC">
        <w:rPr>
          <w:rFonts w:ascii="Cambria" w:eastAsia="Batang" w:hAnsi="Cambria" w:cs="Times New Roman"/>
          <w:color w:val="000000"/>
          <w:sz w:val="21"/>
          <w:szCs w:val="21"/>
          <w:lang w:val="es-ES"/>
        </w:rPr>
        <w:t xml:space="preserve">los miembros de la </w:t>
      </w:r>
      <w:r w:rsidR="00F37D25" w:rsidRPr="008073AC">
        <w:rPr>
          <w:rFonts w:ascii="Cambria" w:eastAsia="Batang" w:hAnsi="Cambria" w:cs="Times New Roman"/>
          <w:color w:val="000000"/>
          <w:sz w:val="21"/>
          <w:szCs w:val="21"/>
        </w:rPr>
        <w:t>c</w:t>
      </w:r>
      <w:r w:rsidR="006F08CA" w:rsidRPr="008073AC">
        <w:rPr>
          <w:rFonts w:ascii="Cambria" w:eastAsia="Batang" w:hAnsi="Cambria" w:cs="Times New Roman"/>
          <w:color w:val="000000"/>
          <w:sz w:val="21"/>
          <w:szCs w:val="21"/>
        </w:rPr>
        <w:t xml:space="preserve">omunidad </w:t>
      </w:r>
      <w:r w:rsidR="00F37D25" w:rsidRPr="008073AC">
        <w:rPr>
          <w:rFonts w:ascii="Cambria" w:eastAsia="Batang" w:hAnsi="Cambria" w:cs="Times New Roman"/>
          <w:color w:val="000000"/>
          <w:sz w:val="21"/>
          <w:szCs w:val="21"/>
        </w:rPr>
        <w:t>m</w:t>
      </w:r>
      <w:r w:rsidR="006F08CA" w:rsidRPr="008073AC">
        <w:rPr>
          <w:rFonts w:ascii="Cambria" w:eastAsia="Batang" w:hAnsi="Cambria" w:cs="Times New Roman"/>
          <w:color w:val="000000"/>
          <w:sz w:val="21"/>
          <w:szCs w:val="21"/>
        </w:rPr>
        <w:t xml:space="preserve">apuche </w:t>
      </w:r>
      <w:proofErr w:type="spellStart"/>
      <w:r w:rsidR="006F08CA" w:rsidRPr="008073AC">
        <w:rPr>
          <w:rFonts w:ascii="Cambria" w:eastAsia="Batang" w:hAnsi="Cambria" w:cs="Times New Roman"/>
          <w:color w:val="000000"/>
          <w:sz w:val="21"/>
          <w:szCs w:val="21"/>
        </w:rPr>
        <w:t>Lof</w:t>
      </w:r>
      <w:proofErr w:type="spellEnd"/>
      <w:r w:rsidR="006F08CA" w:rsidRPr="008073AC">
        <w:rPr>
          <w:rFonts w:ascii="Cambria" w:eastAsia="Batang" w:hAnsi="Cambria" w:cs="Times New Roman"/>
          <w:color w:val="000000"/>
          <w:sz w:val="21"/>
          <w:szCs w:val="21"/>
        </w:rPr>
        <w:t xml:space="preserve"> </w:t>
      </w:r>
      <w:proofErr w:type="spellStart"/>
      <w:r w:rsidR="006F08CA" w:rsidRPr="008073AC">
        <w:rPr>
          <w:rFonts w:ascii="Cambria" w:eastAsia="Batang" w:hAnsi="Cambria" w:cs="Times New Roman"/>
          <w:color w:val="000000"/>
          <w:sz w:val="21"/>
          <w:szCs w:val="21"/>
        </w:rPr>
        <w:t>Buenuleo</w:t>
      </w:r>
      <w:proofErr w:type="spellEnd"/>
      <w:r w:rsidR="006F08CA" w:rsidRPr="008073AC">
        <w:rPr>
          <w:rFonts w:ascii="Cambria" w:eastAsia="Batang" w:hAnsi="Cambria" w:cs="Times New Roman"/>
          <w:color w:val="000000"/>
          <w:sz w:val="21"/>
          <w:szCs w:val="21"/>
          <w:lang w:val="es-ES"/>
        </w:rPr>
        <w:t xml:space="preserve"> </w:t>
      </w:r>
      <w:r w:rsidRPr="008073AC">
        <w:rPr>
          <w:rFonts w:ascii="Cambria" w:eastAsia="Batang" w:hAnsi="Cambria" w:cs="Times New Roman"/>
          <w:color w:val="000000"/>
          <w:sz w:val="21"/>
          <w:szCs w:val="21"/>
          <w:lang w:val="es-ES"/>
        </w:rPr>
        <w:t>(“la</w:t>
      </w:r>
      <w:r w:rsidR="006F08CA" w:rsidRPr="008073AC">
        <w:rPr>
          <w:rFonts w:ascii="Cambria" w:eastAsia="Batang" w:hAnsi="Cambria" w:cs="Times New Roman"/>
          <w:color w:val="000000"/>
          <w:sz w:val="21"/>
          <w:szCs w:val="21"/>
          <w:lang w:val="es-ES"/>
        </w:rPr>
        <w:t>s personas</w:t>
      </w:r>
      <w:r w:rsidRPr="008073AC">
        <w:rPr>
          <w:rFonts w:ascii="Cambria" w:eastAsia="Batang" w:hAnsi="Cambria" w:cs="Times New Roman"/>
          <w:color w:val="000000"/>
          <w:sz w:val="21"/>
          <w:szCs w:val="21"/>
          <w:lang w:val="es-ES"/>
        </w:rPr>
        <w:t xml:space="preserve"> propuesta</w:t>
      </w:r>
      <w:r w:rsidR="006F08CA" w:rsidRPr="008073AC">
        <w:rPr>
          <w:rFonts w:ascii="Cambria" w:eastAsia="Batang" w:hAnsi="Cambria" w:cs="Times New Roman"/>
          <w:color w:val="000000"/>
          <w:sz w:val="21"/>
          <w:szCs w:val="21"/>
          <w:lang w:val="es-ES"/>
        </w:rPr>
        <w:t>s</w:t>
      </w:r>
      <w:r w:rsidRPr="008073AC">
        <w:rPr>
          <w:rFonts w:ascii="Cambria" w:eastAsia="Batang" w:hAnsi="Cambria" w:cs="Times New Roman"/>
          <w:color w:val="000000"/>
          <w:sz w:val="21"/>
          <w:szCs w:val="21"/>
          <w:lang w:val="es-ES"/>
        </w:rPr>
        <w:t xml:space="preserve"> </w:t>
      </w:r>
      <w:r w:rsidR="00F37D25" w:rsidRPr="008073AC">
        <w:rPr>
          <w:rFonts w:ascii="Cambria" w:eastAsia="Batang" w:hAnsi="Cambria" w:cs="Times New Roman"/>
          <w:color w:val="000000"/>
          <w:sz w:val="21"/>
          <w:szCs w:val="21"/>
          <w:lang w:val="es-ES"/>
        </w:rPr>
        <w:t xml:space="preserve">como </w:t>
      </w:r>
      <w:r w:rsidRPr="008073AC">
        <w:rPr>
          <w:rFonts w:ascii="Cambria" w:eastAsia="Batang" w:hAnsi="Cambria" w:cs="Times New Roman"/>
          <w:color w:val="000000"/>
          <w:sz w:val="21"/>
          <w:szCs w:val="21"/>
          <w:lang w:val="es-ES"/>
        </w:rPr>
        <w:t>beneficiaria</w:t>
      </w:r>
      <w:r w:rsidR="006F08CA" w:rsidRPr="008073AC">
        <w:rPr>
          <w:rFonts w:ascii="Cambria" w:eastAsia="Batang" w:hAnsi="Cambria" w:cs="Times New Roman"/>
          <w:color w:val="000000"/>
          <w:sz w:val="21"/>
          <w:szCs w:val="21"/>
          <w:lang w:val="es-ES"/>
        </w:rPr>
        <w:t>s</w:t>
      </w:r>
      <w:r w:rsidRPr="008073AC">
        <w:rPr>
          <w:rFonts w:ascii="Cambria" w:eastAsia="Batang" w:hAnsi="Cambria" w:cs="Times New Roman"/>
          <w:color w:val="000000"/>
          <w:sz w:val="21"/>
          <w:szCs w:val="21"/>
          <w:lang w:val="es-ES"/>
        </w:rPr>
        <w:t xml:space="preserve">”), instando a la CIDH que requiera al Estado de Argentina (“Argentina” o “el Estado”) la adopción de las medidas necesarias para proteger sus derechos a la vida e integridad personal. Según la solicitud, </w:t>
      </w:r>
      <w:r w:rsidR="006F08CA" w:rsidRPr="008073AC">
        <w:rPr>
          <w:rFonts w:ascii="Cambria" w:eastAsia="Batang" w:hAnsi="Cambria" w:cs="Times New Roman"/>
          <w:color w:val="000000"/>
          <w:sz w:val="21"/>
          <w:szCs w:val="21"/>
          <w:lang w:val="es-ES"/>
        </w:rPr>
        <w:t xml:space="preserve">a raíz de una disputa territorial </w:t>
      </w:r>
      <w:r w:rsidR="00F37D25" w:rsidRPr="008073AC">
        <w:rPr>
          <w:rFonts w:ascii="Cambria" w:eastAsia="Batang" w:hAnsi="Cambria" w:cs="Times New Roman"/>
          <w:color w:val="000000"/>
          <w:sz w:val="21"/>
          <w:szCs w:val="21"/>
          <w:lang w:val="es-ES"/>
        </w:rPr>
        <w:t xml:space="preserve">que dio lugar a </w:t>
      </w:r>
      <w:r w:rsidR="006F08CA" w:rsidRPr="008073AC">
        <w:rPr>
          <w:rFonts w:ascii="Cambria" w:eastAsia="Batang" w:hAnsi="Cambria" w:cs="Times New Roman"/>
          <w:color w:val="000000"/>
          <w:sz w:val="21"/>
          <w:szCs w:val="21"/>
          <w:lang w:val="es-ES"/>
        </w:rPr>
        <w:t xml:space="preserve">un proceso de desalojo en contra de la </w:t>
      </w:r>
      <w:r w:rsidR="00F37D25" w:rsidRPr="008073AC">
        <w:rPr>
          <w:rFonts w:ascii="Cambria" w:eastAsia="Batang" w:hAnsi="Cambria" w:cs="Times New Roman"/>
          <w:color w:val="000000"/>
          <w:sz w:val="21"/>
          <w:szCs w:val="21"/>
          <w:lang w:val="es-ES"/>
        </w:rPr>
        <w:t>c</w:t>
      </w:r>
      <w:r w:rsidR="006F08CA" w:rsidRPr="008073AC">
        <w:rPr>
          <w:rFonts w:ascii="Cambria" w:eastAsia="Batang" w:hAnsi="Cambria" w:cs="Times New Roman"/>
          <w:color w:val="000000"/>
          <w:sz w:val="21"/>
          <w:szCs w:val="21"/>
          <w:lang w:val="es-ES"/>
        </w:rPr>
        <w:t xml:space="preserve">omunidad, las personas propuestas </w:t>
      </w:r>
      <w:r w:rsidR="00F37D25" w:rsidRPr="008073AC">
        <w:rPr>
          <w:rFonts w:ascii="Cambria" w:eastAsia="Batang" w:hAnsi="Cambria" w:cs="Times New Roman"/>
          <w:color w:val="000000"/>
          <w:sz w:val="21"/>
          <w:szCs w:val="21"/>
          <w:lang w:val="es-ES"/>
        </w:rPr>
        <w:t xml:space="preserve">como </w:t>
      </w:r>
      <w:r w:rsidR="006F08CA" w:rsidRPr="008073AC">
        <w:rPr>
          <w:rFonts w:ascii="Cambria" w:eastAsia="Batang" w:hAnsi="Cambria" w:cs="Times New Roman"/>
          <w:color w:val="000000"/>
          <w:sz w:val="21"/>
          <w:szCs w:val="21"/>
          <w:lang w:val="es-ES"/>
        </w:rPr>
        <w:t>beneficiarias est</w:t>
      </w:r>
      <w:r w:rsidR="00F37D25" w:rsidRPr="008073AC">
        <w:rPr>
          <w:rFonts w:ascii="Cambria" w:eastAsia="Batang" w:hAnsi="Cambria" w:cs="Times New Roman"/>
          <w:color w:val="000000"/>
          <w:sz w:val="21"/>
          <w:szCs w:val="21"/>
          <w:lang w:val="es-ES"/>
        </w:rPr>
        <w:t>á</w:t>
      </w:r>
      <w:r w:rsidR="006F08CA" w:rsidRPr="008073AC">
        <w:rPr>
          <w:rFonts w:ascii="Cambria" w:eastAsia="Batang" w:hAnsi="Cambria" w:cs="Times New Roman"/>
          <w:color w:val="000000"/>
          <w:sz w:val="21"/>
          <w:szCs w:val="21"/>
          <w:lang w:val="es-ES"/>
        </w:rPr>
        <w:t>n amenazadas y habrían sufrido actos de violencia en</w:t>
      </w:r>
      <w:r w:rsidR="001E71F2" w:rsidRPr="008073AC">
        <w:rPr>
          <w:rFonts w:ascii="Cambria" w:eastAsia="Batang" w:hAnsi="Cambria" w:cs="Times New Roman"/>
          <w:color w:val="000000"/>
          <w:sz w:val="21"/>
          <w:szCs w:val="21"/>
          <w:lang w:val="es-ES"/>
        </w:rPr>
        <w:t xml:space="preserve"> su contra.</w:t>
      </w:r>
    </w:p>
    <w:p w14:paraId="11D0F1D1" w14:textId="77777777" w:rsidR="0070087B" w:rsidRPr="008073AC" w:rsidRDefault="0070087B" w:rsidP="008073AC">
      <w:pPr>
        <w:spacing w:after="0" w:line="240" w:lineRule="auto"/>
        <w:ind w:firstLine="360"/>
        <w:jc w:val="both"/>
        <w:rPr>
          <w:rFonts w:ascii="Cambria" w:eastAsia="Batang" w:hAnsi="Cambria" w:cs="Times New Roman"/>
          <w:color w:val="000000"/>
          <w:sz w:val="21"/>
          <w:szCs w:val="21"/>
          <w:lang w:val="es-ES"/>
        </w:rPr>
      </w:pPr>
    </w:p>
    <w:p w14:paraId="17D98DC2" w14:textId="678E9424" w:rsidR="0070087B" w:rsidRPr="008073AC" w:rsidRDefault="0070087B" w:rsidP="008073AC">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8073AC">
        <w:rPr>
          <w:rFonts w:ascii="Cambria" w:eastAsia="Batang" w:hAnsi="Cambria" w:cs="Times New Roman"/>
          <w:color w:val="000000"/>
          <w:sz w:val="21"/>
          <w:szCs w:val="21"/>
          <w:lang w:val="es-ES"/>
        </w:rPr>
        <w:t xml:space="preserve">La Comisión solicitó información al Estado, conforme al artículo 25 de su Reglamento, el </w:t>
      </w:r>
      <w:r w:rsidR="001E71F2" w:rsidRPr="008073AC">
        <w:rPr>
          <w:rFonts w:ascii="Cambria" w:eastAsia="Batang" w:hAnsi="Cambria" w:cs="Times New Roman"/>
          <w:color w:val="000000"/>
          <w:sz w:val="21"/>
          <w:szCs w:val="21"/>
          <w:lang w:val="es-ES"/>
        </w:rPr>
        <w:t>25 de febrero</w:t>
      </w:r>
      <w:r w:rsidRPr="008073AC">
        <w:rPr>
          <w:rFonts w:ascii="Cambria" w:eastAsia="Batang" w:hAnsi="Cambria" w:cs="Times New Roman"/>
          <w:color w:val="000000"/>
          <w:sz w:val="21"/>
          <w:szCs w:val="21"/>
          <w:lang w:val="es-ES"/>
        </w:rPr>
        <w:t xml:space="preserve"> de 20</w:t>
      </w:r>
      <w:r w:rsidR="001E71F2" w:rsidRPr="008073AC">
        <w:rPr>
          <w:rFonts w:ascii="Cambria" w:eastAsia="Batang" w:hAnsi="Cambria" w:cs="Times New Roman"/>
          <w:color w:val="000000"/>
          <w:sz w:val="21"/>
          <w:szCs w:val="21"/>
          <w:lang w:val="es-ES"/>
        </w:rPr>
        <w:t>20</w:t>
      </w:r>
      <w:r w:rsidRPr="008073AC">
        <w:rPr>
          <w:rFonts w:ascii="Cambria" w:eastAsia="Batang" w:hAnsi="Cambria" w:cs="Times New Roman"/>
          <w:color w:val="000000"/>
          <w:sz w:val="21"/>
          <w:szCs w:val="21"/>
          <w:lang w:val="es-ES"/>
        </w:rPr>
        <w:t xml:space="preserve">, el cual contestó el </w:t>
      </w:r>
      <w:r w:rsidR="008327D5" w:rsidRPr="008073AC">
        <w:rPr>
          <w:rFonts w:ascii="Cambria" w:eastAsia="Batang" w:hAnsi="Cambria" w:cs="Times New Roman"/>
          <w:color w:val="000000"/>
          <w:sz w:val="21"/>
          <w:szCs w:val="21"/>
          <w:lang w:val="es-ES"/>
        </w:rPr>
        <w:t>20</w:t>
      </w:r>
      <w:r w:rsidR="001E71F2" w:rsidRPr="008073AC">
        <w:rPr>
          <w:rFonts w:ascii="Cambria" w:eastAsia="Batang" w:hAnsi="Cambria" w:cs="Times New Roman"/>
          <w:color w:val="000000"/>
          <w:sz w:val="21"/>
          <w:szCs w:val="21"/>
          <w:lang w:val="es-ES"/>
        </w:rPr>
        <w:t xml:space="preserve"> de marzo</w:t>
      </w:r>
      <w:r w:rsidRPr="008073AC">
        <w:rPr>
          <w:rFonts w:ascii="Cambria" w:eastAsia="Batang" w:hAnsi="Cambria" w:cs="Times New Roman"/>
          <w:color w:val="000000"/>
          <w:sz w:val="21"/>
          <w:szCs w:val="21"/>
          <w:lang w:val="es-ES"/>
        </w:rPr>
        <w:t xml:space="preserve"> de 20</w:t>
      </w:r>
      <w:r w:rsidR="001E71F2" w:rsidRPr="008073AC">
        <w:rPr>
          <w:rFonts w:ascii="Cambria" w:eastAsia="Batang" w:hAnsi="Cambria" w:cs="Times New Roman"/>
          <w:color w:val="000000"/>
          <w:sz w:val="21"/>
          <w:szCs w:val="21"/>
          <w:lang w:val="es-ES"/>
        </w:rPr>
        <w:t>20</w:t>
      </w:r>
      <w:r w:rsidRPr="008073AC">
        <w:rPr>
          <w:rFonts w:ascii="Cambria" w:eastAsia="Batang" w:hAnsi="Cambria" w:cs="Times New Roman"/>
          <w:color w:val="000000"/>
          <w:sz w:val="21"/>
          <w:szCs w:val="21"/>
          <w:lang w:val="es-ES"/>
        </w:rPr>
        <w:t xml:space="preserve">. </w:t>
      </w:r>
      <w:r w:rsidR="00F37D25" w:rsidRPr="008073AC">
        <w:rPr>
          <w:rFonts w:ascii="Cambria" w:eastAsia="Batang" w:hAnsi="Cambria" w:cs="Times New Roman"/>
          <w:color w:val="000000"/>
          <w:sz w:val="21"/>
          <w:szCs w:val="21"/>
          <w:lang w:val="es-ES"/>
        </w:rPr>
        <w:t>L</w:t>
      </w:r>
      <w:r w:rsidRPr="008073AC">
        <w:rPr>
          <w:rFonts w:ascii="Cambria" w:eastAsia="Batang" w:hAnsi="Cambria" w:cs="Times New Roman"/>
          <w:color w:val="000000"/>
          <w:sz w:val="21"/>
          <w:szCs w:val="21"/>
          <w:lang w:val="es-ES"/>
        </w:rPr>
        <w:t xml:space="preserve">os solicitantes enviaron información adicional el </w:t>
      </w:r>
      <w:r w:rsidR="001E71F2" w:rsidRPr="008073AC">
        <w:rPr>
          <w:rFonts w:ascii="Cambria" w:eastAsia="Batang" w:hAnsi="Cambria" w:cs="Times New Roman"/>
          <w:color w:val="000000"/>
          <w:sz w:val="21"/>
          <w:szCs w:val="21"/>
          <w:lang w:val="es-ES"/>
        </w:rPr>
        <w:t>21 de octubre, 7 y 11 de noviembre</w:t>
      </w:r>
      <w:r w:rsidRPr="008073AC">
        <w:rPr>
          <w:rFonts w:ascii="Cambria" w:eastAsia="Batang" w:hAnsi="Cambria" w:cs="Times New Roman"/>
          <w:color w:val="000000"/>
          <w:sz w:val="21"/>
          <w:szCs w:val="21"/>
          <w:lang w:val="es-ES"/>
        </w:rPr>
        <w:t xml:space="preserve"> </w:t>
      </w:r>
      <w:r w:rsidR="00D51057" w:rsidRPr="008073AC">
        <w:rPr>
          <w:rFonts w:ascii="Cambria" w:eastAsia="Batang" w:hAnsi="Cambria" w:cs="Times New Roman"/>
          <w:color w:val="000000"/>
          <w:sz w:val="21"/>
          <w:szCs w:val="21"/>
          <w:lang w:val="es-ES"/>
        </w:rPr>
        <w:t xml:space="preserve">de </w:t>
      </w:r>
      <w:r w:rsidRPr="008073AC">
        <w:rPr>
          <w:rFonts w:ascii="Cambria" w:eastAsia="Batang" w:hAnsi="Cambria" w:cs="Times New Roman"/>
          <w:color w:val="000000"/>
          <w:sz w:val="21"/>
          <w:szCs w:val="21"/>
          <w:lang w:val="es-ES"/>
        </w:rPr>
        <w:t>2019</w:t>
      </w:r>
      <w:r w:rsidR="00D51057" w:rsidRPr="008073AC">
        <w:rPr>
          <w:rFonts w:ascii="Cambria" w:eastAsia="Batang" w:hAnsi="Cambria" w:cs="Times New Roman"/>
          <w:color w:val="000000"/>
          <w:sz w:val="21"/>
          <w:szCs w:val="21"/>
          <w:lang w:val="es-ES"/>
        </w:rPr>
        <w:t>, 27 de febrero</w:t>
      </w:r>
      <w:r w:rsidR="006912FC" w:rsidRPr="008073AC">
        <w:rPr>
          <w:rFonts w:ascii="Cambria" w:eastAsia="Batang" w:hAnsi="Cambria" w:cs="Times New Roman"/>
          <w:color w:val="000000"/>
          <w:sz w:val="21"/>
          <w:szCs w:val="21"/>
          <w:lang w:val="es-ES"/>
        </w:rPr>
        <w:t>,</w:t>
      </w:r>
      <w:r w:rsidR="00D51057" w:rsidRPr="008073AC">
        <w:rPr>
          <w:rFonts w:ascii="Cambria" w:eastAsia="Batang" w:hAnsi="Cambria" w:cs="Times New Roman"/>
          <w:color w:val="000000"/>
          <w:sz w:val="21"/>
          <w:szCs w:val="21"/>
          <w:lang w:val="es-ES"/>
        </w:rPr>
        <w:t xml:space="preserve"> 31 de marzo</w:t>
      </w:r>
      <w:r w:rsidR="00A56976" w:rsidRPr="008073AC">
        <w:rPr>
          <w:rFonts w:ascii="Cambria" w:eastAsia="Batang" w:hAnsi="Cambria" w:cs="Times New Roman"/>
          <w:color w:val="000000"/>
          <w:sz w:val="21"/>
          <w:szCs w:val="21"/>
          <w:lang w:val="es-ES"/>
        </w:rPr>
        <w:t>, 30 de abril y 2 de mayo</w:t>
      </w:r>
      <w:r w:rsidR="00D51057" w:rsidRPr="008073AC">
        <w:rPr>
          <w:rFonts w:ascii="Cambria" w:eastAsia="Batang" w:hAnsi="Cambria" w:cs="Times New Roman"/>
          <w:color w:val="000000"/>
          <w:sz w:val="21"/>
          <w:szCs w:val="21"/>
          <w:lang w:val="es-ES"/>
        </w:rPr>
        <w:t xml:space="preserve"> de 2020</w:t>
      </w:r>
      <w:r w:rsidRPr="008073AC">
        <w:rPr>
          <w:rFonts w:ascii="Cambria" w:eastAsia="Batang" w:hAnsi="Cambria" w:cs="Times New Roman"/>
          <w:color w:val="000000"/>
          <w:sz w:val="21"/>
          <w:szCs w:val="21"/>
          <w:lang w:val="es-ES"/>
        </w:rPr>
        <w:t>.</w:t>
      </w:r>
    </w:p>
    <w:p w14:paraId="1020131C" w14:textId="77777777" w:rsidR="0070087B" w:rsidRPr="008073AC" w:rsidRDefault="0070087B" w:rsidP="008073AC">
      <w:pPr>
        <w:spacing w:after="0" w:line="240" w:lineRule="auto"/>
        <w:ind w:firstLine="360"/>
        <w:jc w:val="both"/>
        <w:rPr>
          <w:rFonts w:ascii="Cambria" w:eastAsia="Batang" w:hAnsi="Cambria" w:cs="Times New Roman"/>
          <w:color w:val="000000"/>
          <w:sz w:val="21"/>
          <w:szCs w:val="21"/>
          <w:lang w:val="es-ES"/>
        </w:rPr>
      </w:pPr>
    </w:p>
    <w:p w14:paraId="3989E586" w14:textId="1D74E82A" w:rsidR="0070087B" w:rsidRPr="008073AC" w:rsidRDefault="0070087B" w:rsidP="008073AC">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8073AC">
        <w:rPr>
          <w:rFonts w:ascii="Cambria" w:eastAsia="Batang" w:hAnsi="Cambria" w:cs="Times New Roman"/>
          <w:color w:val="000000"/>
          <w:sz w:val="21"/>
          <w:szCs w:val="21"/>
          <w:lang w:val="es-ES"/>
        </w:rPr>
        <w:t xml:space="preserve">Tras analizar las alegaciones de hecho y de derecho presentadas por las partes, la Comisión considera que la información presentada demuestra </w:t>
      </w:r>
      <w:r w:rsidRPr="008073AC">
        <w:rPr>
          <w:rFonts w:ascii="Cambria" w:eastAsia="Batang" w:hAnsi="Cambria" w:cs="Times New Roman"/>
          <w:i/>
          <w:color w:val="000000"/>
          <w:sz w:val="21"/>
          <w:szCs w:val="21"/>
          <w:lang w:val="es-ES"/>
        </w:rPr>
        <w:t>prima facie</w:t>
      </w:r>
      <w:r w:rsidRPr="008073AC">
        <w:rPr>
          <w:rFonts w:ascii="Cambria" w:eastAsia="Batang" w:hAnsi="Cambria" w:cs="Times New Roman"/>
          <w:color w:val="000000"/>
          <w:sz w:val="21"/>
          <w:szCs w:val="21"/>
          <w:lang w:val="es-ES"/>
        </w:rPr>
        <w:t xml:space="preserve"> que la</w:t>
      </w:r>
      <w:r w:rsidR="00146CB8" w:rsidRPr="008073AC">
        <w:rPr>
          <w:rFonts w:ascii="Cambria" w:eastAsia="Batang" w:hAnsi="Cambria" w:cs="Times New Roman"/>
          <w:color w:val="000000"/>
          <w:sz w:val="21"/>
          <w:szCs w:val="21"/>
          <w:lang w:val="es-ES"/>
        </w:rPr>
        <w:t>s personas propuestas</w:t>
      </w:r>
      <w:r w:rsidRPr="008073AC">
        <w:rPr>
          <w:rFonts w:ascii="Cambria" w:eastAsia="Batang" w:hAnsi="Cambria" w:cs="Times New Roman"/>
          <w:color w:val="000000"/>
          <w:sz w:val="21"/>
          <w:szCs w:val="21"/>
          <w:lang w:val="es-ES"/>
        </w:rPr>
        <w:t xml:space="preserve"> </w:t>
      </w:r>
      <w:r w:rsidR="00F37D25" w:rsidRPr="008073AC">
        <w:rPr>
          <w:rFonts w:ascii="Cambria" w:eastAsia="Batang" w:hAnsi="Cambria" w:cs="Times New Roman"/>
          <w:color w:val="000000"/>
          <w:sz w:val="21"/>
          <w:szCs w:val="21"/>
          <w:lang w:val="es-ES"/>
        </w:rPr>
        <w:t xml:space="preserve">como </w:t>
      </w:r>
      <w:r w:rsidRPr="008073AC">
        <w:rPr>
          <w:rFonts w:ascii="Cambria" w:eastAsia="Batang" w:hAnsi="Cambria" w:cs="Times New Roman"/>
          <w:color w:val="000000"/>
          <w:sz w:val="21"/>
          <w:szCs w:val="21"/>
          <w:lang w:val="es-ES"/>
        </w:rPr>
        <w:t>beneficiaria</w:t>
      </w:r>
      <w:r w:rsidR="00146CB8" w:rsidRPr="008073AC">
        <w:rPr>
          <w:rFonts w:ascii="Cambria" w:eastAsia="Batang" w:hAnsi="Cambria" w:cs="Times New Roman"/>
          <w:color w:val="000000"/>
          <w:sz w:val="21"/>
          <w:szCs w:val="21"/>
          <w:lang w:val="es-ES"/>
        </w:rPr>
        <w:t>s</w:t>
      </w:r>
      <w:r w:rsidRPr="008073AC">
        <w:rPr>
          <w:rFonts w:ascii="Cambria" w:eastAsia="Batang" w:hAnsi="Cambria" w:cs="Times New Roman"/>
          <w:color w:val="000000"/>
          <w:sz w:val="21"/>
          <w:szCs w:val="21"/>
          <w:lang w:val="es-ES"/>
        </w:rPr>
        <w:t xml:space="preserve"> se encuentra</w:t>
      </w:r>
      <w:r w:rsidR="00146CB8" w:rsidRPr="008073AC">
        <w:rPr>
          <w:rFonts w:ascii="Cambria" w:eastAsia="Batang" w:hAnsi="Cambria" w:cs="Times New Roman"/>
          <w:color w:val="000000"/>
          <w:sz w:val="21"/>
          <w:szCs w:val="21"/>
          <w:lang w:val="es-ES"/>
        </w:rPr>
        <w:t>n</w:t>
      </w:r>
      <w:r w:rsidRPr="008073AC">
        <w:rPr>
          <w:rFonts w:ascii="Cambria" w:eastAsia="Batang" w:hAnsi="Cambria" w:cs="Times New Roman"/>
          <w:color w:val="000000"/>
          <w:sz w:val="21"/>
          <w:szCs w:val="21"/>
          <w:lang w:val="es-ES"/>
        </w:rPr>
        <w:t xml:space="preserve"> en una situación de gravedad y urgencia, puesto que sus derechos a la vida e integridad personal están en grave riesgo. En consecuencia, de acuerdo con el Artículo 25 del Reglamento de la CIDH, </w:t>
      </w:r>
      <w:r w:rsidR="00F37D25" w:rsidRPr="008073AC">
        <w:rPr>
          <w:rFonts w:ascii="Cambria" w:eastAsia="Batang" w:hAnsi="Cambria" w:cs="Times New Roman"/>
          <w:color w:val="000000"/>
          <w:sz w:val="21"/>
          <w:szCs w:val="21"/>
          <w:lang w:val="es-ES"/>
        </w:rPr>
        <w:t>esta</w:t>
      </w:r>
      <w:r w:rsidRPr="008073AC">
        <w:rPr>
          <w:rFonts w:ascii="Cambria" w:eastAsia="Batang" w:hAnsi="Cambria" w:cs="Times New Roman"/>
          <w:color w:val="000000"/>
          <w:sz w:val="21"/>
          <w:szCs w:val="21"/>
          <w:lang w:val="es-ES"/>
        </w:rPr>
        <w:t xml:space="preserve"> solicita </w:t>
      </w:r>
      <w:r w:rsidR="00F37D25" w:rsidRPr="008073AC">
        <w:rPr>
          <w:rFonts w:ascii="Cambria" w:eastAsia="Batang" w:hAnsi="Cambria" w:cs="Times New Roman"/>
          <w:color w:val="000000"/>
          <w:sz w:val="21"/>
          <w:szCs w:val="21"/>
          <w:lang w:val="es-ES"/>
        </w:rPr>
        <w:t>a</w:t>
      </w:r>
      <w:r w:rsidRPr="008073AC">
        <w:rPr>
          <w:rFonts w:ascii="Cambria" w:eastAsia="Batang" w:hAnsi="Cambria" w:cs="Times New Roman"/>
          <w:color w:val="000000"/>
          <w:sz w:val="21"/>
          <w:szCs w:val="21"/>
          <w:lang w:val="es-ES"/>
        </w:rPr>
        <w:t xml:space="preserve"> Argentina que:</w:t>
      </w:r>
      <w:r w:rsidR="00D51057" w:rsidRPr="008073AC">
        <w:rPr>
          <w:rFonts w:ascii="Cambria" w:eastAsia="Batang" w:hAnsi="Cambria" w:cs="Times New Roman"/>
          <w:color w:val="000000"/>
          <w:sz w:val="21"/>
          <w:szCs w:val="21"/>
          <w:lang w:val="es-ES"/>
        </w:rPr>
        <w:t xml:space="preserve"> </w:t>
      </w:r>
      <w:r w:rsidR="00BF3A00" w:rsidRPr="008073AC">
        <w:rPr>
          <w:rFonts w:ascii="Cambria" w:eastAsia="Batang" w:hAnsi="Cambria" w:cs="Times New Roman"/>
          <w:color w:val="000000"/>
          <w:sz w:val="21"/>
          <w:szCs w:val="21"/>
        </w:rPr>
        <w:t>a) adopte las medidas necesarias</w:t>
      </w:r>
      <w:r w:rsidR="008B7AC0" w:rsidRPr="008073AC">
        <w:rPr>
          <w:rFonts w:ascii="Cambria" w:eastAsia="Batang" w:hAnsi="Cambria" w:cs="Times New Roman"/>
          <w:color w:val="000000"/>
          <w:sz w:val="21"/>
          <w:szCs w:val="21"/>
        </w:rPr>
        <w:t xml:space="preserve"> y culturalmente adecuadas</w:t>
      </w:r>
      <w:r w:rsidR="00BF3A00" w:rsidRPr="008073AC">
        <w:rPr>
          <w:rFonts w:ascii="Cambria" w:eastAsia="Batang" w:hAnsi="Cambria" w:cs="Times New Roman"/>
          <w:color w:val="000000"/>
          <w:sz w:val="21"/>
          <w:szCs w:val="21"/>
        </w:rPr>
        <w:t xml:space="preserve"> para proteger los derechos a la vida e integridad personal de los miembros de la </w:t>
      </w:r>
      <w:r w:rsidR="00F37D25" w:rsidRPr="008073AC">
        <w:rPr>
          <w:rFonts w:ascii="Cambria" w:eastAsia="Batang" w:hAnsi="Cambria" w:cs="Times New Roman"/>
          <w:color w:val="000000"/>
          <w:sz w:val="21"/>
          <w:szCs w:val="21"/>
        </w:rPr>
        <w:t>c</w:t>
      </w:r>
      <w:r w:rsidR="00BF3A00" w:rsidRPr="008073AC">
        <w:rPr>
          <w:rFonts w:ascii="Cambria" w:eastAsia="Batang" w:hAnsi="Cambria" w:cs="Times New Roman"/>
          <w:color w:val="000000"/>
          <w:sz w:val="21"/>
          <w:szCs w:val="21"/>
        </w:rPr>
        <w:t xml:space="preserve">omunidad </w:t>
      </w:r>
      <w:r w:rsidR="00F37D25" w:rsidRPr="008073AC">
        <w:rPr>
          <w:rFonts w:ascii="Cambria" w:eastAsia="Batang" w:hAnsi="Cambria" w:cs="Times New Roman"/>
          <w:color w:val="000000"/>
          <w:sz w:val="21"/>
          <w:szCs w:val="21"/>
        </w:rPr>
        <w:t>m</w:t>
      </w:r>
      <w:r w:rsidR="007D4AA6" w:rsidRPr="008073AC">
        <w:rPr>
          <w:rFonts w:ascii="Cambria" w:eastAsia="Batang" w:hAnsi="Cambria" w:cs="Times New Roman"/>
          <w:color w:val="000000"/>
          <w:sz w:val="21"/>
          <w:szCs w:val="21"/>
        </w:rPr>
        <w:t xml:space="preserve">apuche </w:t>
      </w:r>
      <w:proofErr w:type="spellStart"/>
      <w:r w:rsidR="007D4AA6" w:rsidRPr="008073AC">
        <w:rPr>
          <w:rFonts w:ascii="Cambria" w:eastAsia="Batang" w:hAnsi="Cambria" w:cs="Times New Roman"/>
          <w:color w:val="000000"/>
          <w:sz w:val="21"/>
          <w:szCs w:val="21"/>
        </w:rPr>
        <w:t>Lof</w:t>
      </w:r>
      <w:proofErr w:type="spellEnd"/>
      <w:r w:rsidR="007D4AA6" w:rsidRPr="008073AC">
        <w:rPr>
          <w:rFonts w:ascii="Cambria" w:eastAsia="Batang" w:hAnsi="Cambria" w:cs="Times New Roman"/>
          <w:color w:val="000000"/>
          <w:sz w:val="21"/>
          <w:szCs w:val="21"/>
        </w:rPr>
        <w:t xml:space="preserve"> </w:t>
      </w:r>
      <w:proofErr w:type="spellStart"/>
      <w:r w:rsidR="007D4AA6" w:rsidRPr="008073AC">
        <w:rPr>
          <w:rFonts w:ascii="Cambria" w:eastAsia="Batang" w:hAnsi="Cambria" w:cs="Times New Roman"/>
          <w:color w:val="000000"/>
          <w:sz w:val="21"/>
          <w:szCs w:val="21"/>
        </w:rPr>
        <w:t>Buenuleo</w:t>
      </w:r>
      <w:proofErr w:type="spellEnd"/>
      <w:r w:rsidR="00722039" w:rsidRPr="008073AC">
        <w:rPr>
          <w:rFonts w:ascii="Cambria" w:eastAsia="Batang" w:hAnsi="Cambria" w:cs="Times New Roman"/>
          <w:color w:val="000000"/>
          <w:sz w:val="21"/>
          <w:szCs w:val="21"/>
        </w:rPr>
        <w:t>. A tal respecto, la Comisión recuerda que, de conformidad con el derecho internacional de los derechos humanos, las autoridades deben proteger a las personas del accionar cometido incluso por parte de terceros o particulares</w:t>
      </w:r>
      <w:r w:rsidR="00BF3A00" w:rsidRPr="008073AC">
        <w:rPr>
          <w:rFonts w:ascii="Cambria" w:eastAsia="Batang" w:hAnsi="Cambria" w:cs="Times New Roman"/>
          <w:color w:val="000000"/>
          <w:sz w:val="21"/>
          <w:szCs w:val="21"/>
        </w:rPr>
        <w:t xml:space="preserve">; b) concierte las medidas a adoptarse con </w:t>
      </w:r>
      <w:r w:rsidR="00F671A7" w:rsidRPr="008073AC">
        <w:rPr>
          <w:rFonts w:ascii="Cambria" w:eastAsia="Batang" w:hAnsi="Cambria" w:cs="Times New Roman"/>
          <w:color w:val="000000"/>
          <w:sz w:val="21"/>
          <w:szCs w:val="21"/>
        </w:rPr>
        <w:t>los</w:t>
      </w:r>
      <w:r w:rsidR="00BF3A00" w:rsidRPr="008073AC">
        <w:rPr>
          <w:rFonts w:ascii="Cambria" w:eastAsia="Batang" w:hAnsi="Cambria" w:cs="Times New Roman"/>
          <w:color w:val="000000"/>
          <w:sz w:val="21"/>
          <w:szCs w:val="21"/>
        </w:rPr>
        <w:t xml:space="preserve"> beneficiario</w:t>
      </w:r>
      <w:r w:rsidR="00F671A7" w:rsidRPr="008073AC">
        <w:rPr>
          <w:rFonts w:ascii="Cambria" w:eastAsia="Batang" w:hAnsi="Cambria" w:cs="Times New Roman"/>
          <w:color w:val="000000"/>
          <w:sz w:val="21"/>
          <w:szCs w:val="21"/>
        </w:rPr>
        <w:t>s</w:t>
      </w:r>
      <w:r w:rsidR="00BF3A00" w:rsidRPr="008073AC">
        <w:rPr>
          <w:rFonts w:ascii="Cambria" w:eastAsia="Batang" w:hAnsi="Cambria" w:cs="Times New Roman"/>
          <w:color w:val="000000"/>
          <w:sz w:val="21"/>
          <w:szCs w:val="21"/>
        </w:rPr>
        <w:t xml:space="preserve"> y sus representantes; </w:t>
      </w:r>
      <w:r w:rsidR="00F37D25" w:rsidRPr="008073AC">
        <w:rPr>
          <w:rFonts w:ascii="Cambria" w:eastAsia="Batang" w:hAnsi="Cambria" w:cs="Times New Roman"/>
          <w:color w:val="000000"/>
          <w:sz w:val="21"/>
          <w:szCs w:val="21"/>
        </w:rPr>
        <w:t>y</w:t>
      </w:r>
      <w:r w:rsidR="00BF3A00" w:rsidRPr="008073AC">
        <w:rPr>
          <w:rFonts w:ascii="Cambria" w:eastAsia="Batang" w:hAnsi="Cambria" w:cs="Times New Roman"/>
          <w:color w:val="000000"/>
          <w:sz w:val="21"/>
          <w:szCs w:val="21"/>
        </w:rPr>
        <w:t xml:space="preserve"> c) informe sobre las acciones implementadas tendentes a investigar los hechos que dieron lugar a la adopción de la presente medida cautelar y así evitar su repetición.</w:t>
      </w:r>
    </w:p>
    <w:p w14:paraId="7A37230A" w14:textId="77777777" w:rsidR="0070087B" w:rsidRPr="008073AC" w:rsidRDefault="0070087B" w:rsidP="008073AC">
      <w:pPr>
        <w:spacing w:after="0" w:line="240" w:lineRule="auto"/>
        <w:ind w:firstLine="360"/>
        <w:jc w:val="both"/>
        <w:rPr>
          <w:rFonts w:ascii="Cambria" w:eastAsia="Batang" w:hAnsi="Cambria" w:cs="Times New Roman"/>
          <w:color w:val="000000"/>
          <w:sz w:val="21"/>
          <w:szCs w:val="21"/>
          <w:lang w:val="es-ES"/>
        </w:rPr>
      </w:pPr>
    </w:p>
    <w:p w14:paraId="30481CE9" w14:textId="77777777" w:rsidR="0070087B" w:rsidRPr="008073AC" w:rsidRDefault="0070087B" w:rsidP="008073AC">
      <w:pPr>
        <w:numPr>
          <w:ilvl w:val="0"/>
          <w:numId w:val="2"/>
        </w:numPr>
        <w:spacing w:after="0" w:line="240" w:lineRule="auto"/>
        <w:ind w:left="0" w:firstLine="360"/>
        <w:jc w:val="both"/>
        <w:rPr>
          <w:rFonts w:ascii="Cambria" w:eastAsia="Batang" w:hAnsi="Cambria" w:cs="Times New Roman"/>
          <w:b/>
          <w:color w:val="000000"/>
          <w:sz w:val="21"/>
          <w:szCs w:val="21"/>
          <w:lang w:val="es-ES"/>
        </w:rPr>
      </w:pPr>
      <w:r w:rsidRPr="008073AC">
        <w:rPr>
          <w:rFonts w:ascii="Cambria" w:eastAsia="Batang" w:hAnsi="Cambria" w:cs="Times New Roman"/>
          <w:b/>
          <w:color w:val="000000"/>
          <w:sz w:val="21"/>
          <w:szCs w:val="21"/>
          <w:lang w:val="es-ES"/>
        </w:rPr>
        <w:t>RESUMEN DE HECHOS Y ARGUMENTOS</w:t>
      </w:r>
    </w:p>
    <w:p w14:paraId="5989EE3C" w14:textId="77777777" w:rsidR="0070087B" w:rsidRPr="008073AC" w:rsidRDefault="0070087B" w:rsidP="008073AC">
      <w:pPr>
        <w:spacing w:after="0" w:line="240" w:lineRule="auto"/>
        <w:ind w:firstLine="360"/>
        <w:jc w:val="both"/>
        <w:rPr>
          <w:rFonts w:ascii="Cambria" w:eastAsia="Batang" w:hAnsi="Cambria" w:cs="Times New Roman"/>
          <w:color w:val="000000"/>
          <w:sz w:val="21"/>
          <w:szCs w:val="21"/>
          <w:lang w:val="es-ES"/>
        </w:rPr>
      </w:pPr>
    </w:p>
    <w:p w14:paraId="1B855A9A" w14:textId="77777777" w:rsidR="0070087B" w:rsidRPr="008073AC" w:rsidRDefault="0070087B" w:rsidP="008073AC">
      <w:pPr>
        <w:numPr>
          <w:ilvl w:val="0"/>
          <w:numId w:val="4"/>
        </w:numPr>
        <w:spacing w:after="0" w:line="240" w:lineRule="auto"/>
        <w:ind w:left="0" w:firstLine="360"/>
        <w:jc w:val="both"/>
        <w:rPr>
          <w:rFonts w:ascii="Cambria" w:eastAsia="Batang" w:hAnsi="Cambria" w:cs="Times New Roman"/>
          <w:b/>
          <w:color w:val="000000"/>
          <w:sz w:val="21"/>
          <w:szCs w:val="21"/>
          <w:lang w:val="es-ES"/>
        </w:rPr>
      </w:pPr>
      <w:r w:rsidRPr="008073AC">
        <w:rPr>
          <w:rFonts w:ascii="Cambria" w:eastAsia="Batang" w:hAnsi="Cambria" w:cs="Times New Roman"/>
          <w:b/>
          <w:color w:val="000000"/>
          <w:sz w:val="21"/>
          <w:szCs w:val="21"/>
          <w:lang w:val="es-ES"/>
        </w:rPr>
        <w:t>Información alegada por los solicitantes</w:t>
      </w:r>
    </w:p>
    <w:p w14:paraId="65F18183" w14:textId="77777777" w:rsidR="0070087B" w:rsidRPr="008073AC" w:rsidRDefault="0070087B" w:rsidP="008073AC">
      <w:pPr>
        <w:spacing w:after="0" w:line="240" w:lineRule="auto"/>
        <w:ind w:firstLine="360"/>
        <w:jc w:val="both"/>
        <w:rPr>
          <w:rFonts w:ascii="Cambria" w:eastAsia="Batang" w:hAnsi="Cambria" w:cs="Times New Roman"/>
          <w:b/>
          <w:color w:val="000000"/>
          <w:sz w:val="21"/>
          <w:szCs w:val="21"/>
          <w:lang w:val="es-ES"/>
        </w:rPr>
      </w:pPr>
    </w:p>
    <w:p w14:paraId="7D0267F0" w14:textId="7A4A05F1" w:rsidR="006A6591" w:rsidRPr="008073AC" w:rsidRDefault="00F37D25" w:rsidP="008073AC">
      <w:pPr>
        <w:numPr>
          <w:ilvl w:val="0"/>
          <w:numId w:val="3"/>
        </w:numPr>
        <w:spacing w:after="0" w:line="240" w:lineRule="auto"/>
        <w:ind w:left="0" w:firstLine="360"/>
        <w:jc w:val="both"/>
        <w:rPr>
          <w:rFonts w:ascii="Cambria" w:eastAsia="Batang" w:hAnsi="Cambria" w:cs="Times New Roman"/>
          <w:color w:val="000000"/>
          <w:sz w:val="21"/>
          <w:szCs w:val="21"/>
        </w:rPr>
      </w:pPr>
      <w:r w:rsidRPr="008073AC">
        <w:rPr>
          <w:rFonts w:ascii="Cambria" w:eastAsia="Batang" w:hAnsi="Cambria" w:cs="Times New Roman"/>
          <w:color w:val="000000"/>
          <w:sz w:val="21"/>
          <w:szCs w:val="21"/>
        </w:rPr>
        <w:t>Los propuestos beneficiarios son</w:t>
      </w:r>
      <w:r w:rsidR="00D73D05" w:rsidRPr="008073AC">
        <w:rPr>
          <w:rFonts w:ascii="Cambria" w:eastAsia="Batang" w:hAnsi="Cambria" w:cs="Times New Roman"/>
          <w:color w:val="000000"/>
          <w:sz w:val="21"/>
          <w:szCs w:val="21"/>
        </w:rPr>
        <w:t xml:space="preserve"> los miembros de la</w:t>
      </w:r>
      <w:r w:rsidR="00806155" w:rsidRPr="008073AC">
        <w:rPr>
          <w:rFonts w:ascii="Cambria" w:eastAsia="Batang" w:hAnsi="Cambria" w:cs="Times New Roman"/>
          <w:color w:val="000000"/>
          <w:sz w:val="21"/>
          <w:szCs w:val="21"/>
        </w:rPr>
        <w:t xml:space="preserve"> </w:t>
      </w:r>
      <w:r w:rsidRPr="008073AC">
        <w:rPr>
          <w:rFonts w:ascii="Cambria" w:eastAsia="Batang" w:hAnsi="Cambria" w:cs="Times New Roman"/>
          <w:color w:val="000000"/>
          <w:sz w:val="21"/>
          <w:szCs w:val="21"/>
        </w:rPr>
        <w:t>c</w:t>
      </w:r>
      <w:r w:rsidR="00806155" w:rsidRPr="008073AC">
        <w:rPr>
          <w:rFonts w:ascii="Cambria" w:eastAsia="Batang" w:hAnsi="Cambria" w:cs="Times New Roman"/>
          <w:color w:val="000000"/>
          <w:sz w:val="21"/>
          <w:szCs w:val="21"/>
        </w:rPr>
        <w:t xml:space="preserve">omunidad </w:t>
      </w:r>
      <w:r w:rsidRPr="008073AC">
        <w:rPr>
          <w:rFonts w:ascii="Cambria" w:eastAsia="Batang" w:hAnsi="Cambria" w:cs="Times New Roman"/>
          <w:color w:val="000000"/>
          <w:sz w:val="21"/>
          <w:szCs w:val="21"/>
        </w:rPr>
        <w:t>m</w:t>
      </w:r>
      <w:r w:rsidR="00806155" w:rsidRPr="008073AC">
        <w:rPr>
          <w:rFonts w:ascii="Cambria" w:eastAsia="Batang" w:hAnsi="Cambria" w:cs="Times New Roman"/>
          <w:color w:val="000000"/>
          <w:sz w:val="21"/>
          <w:szCs w:val="21"/>
        </w:rPr>
        <w:t xml:space="preserve">apuche </w:t>
      </w:r>
      <w:proofErr w:type="spellStart"/>
      <w:r w:rsidR="00806155" w:rsidRPr="008073AC">
        <w:rPr>
          <w:rFonts w:ascii="Cambria" w:eastAsia="Batang" w:hAnsi="Cambria" w:cs="Times New Roman"/>
          <w:color w:val="000000"/>
          <w:sz w:val="21"/>
          <w:szCs w:val="21"/>
        </w:rPr>
        <w:t>Lof</w:t>
      </w:r>
      <w:proofErr w:type="spellEnd"/>
      <w:r w:rsidR="00806155" w:rsidRPr="008073AC">
        <w:rPr>
          <w:rFonts w:ascii="Cambria" w:eastAsia="Batang" w:hAnsi="Cambria" w:cs="Times New Roman"/>
          <w:color w:val="000000"/>
          <w:sz w:val="21"/>
          <w:szCs w:val="21"/>
        </w:rPr>
        <w:t xml:space="preserve"> </w:t>
      </w:r>
      <w:proofErr w:type="spellStart"/>
      <w:r w:rsidR="00806155" w:rsidRPr="008073AC">
        <w:rPr>
          <w:rFonts w:ascii="Cambria" w:eastAsia="Batang" w:hAnsi="Cambria" w:cs="Times New Roman"/>
          <w:color w:val="000000"/>
          <w:sz w:val="21"/>
          <w:szCs w:val="21"/>
        </w:rPr>
        <w:t>Buenuleo</w:t>
      </w:r>
      <w:proofErr w:type="spellEnd"/>
      <w:r w:rsidR="00806155" w:rsidRPr="008073AC">
        <w:rPr>
          <w:rFonts w:ascii="Cambria" w:eastAsia="Batang" w:hAnsi="Cambria" w:cs="Times New Roman"/>
          <w:color w:val="000000"/>
          <w:sz w:val="21"/>
          <w:szCs w:val="21"/>
        </w:rPr>
        <w:t xml:space="preserve">, </w:t>
      </w:r>
      <w:r w:rsidR="00512A9F" w:rsidRPr="008073AC">
        <w:rPr>
          <w:rFonts w:ascii="Cambria" w:eastAsia="Batang" w:hAnsi="Cambria" w:cs="Times New Roman"/>
          <w:color w:val="000000"/>
          <w:sz w:val="21"/>
          <w:szCs w:val="21"/>
        </w:rPr>
        <w:t>que</w:t>
      </w:r>
      <w:r w:rsidR="00806155" w:rsidRPr="008073AC">
        <w:rPr>
          <w:rFonts w:ascii="Cambria" w:eastAsia="Batang" w:hAnsi="Cambria" w:cs="Times New Roman"/>
          <w:color w:val="000000"/>
          <w:sz w:val="21"/>
          <w:szCs w:val="21"/>
        </w:rPr>
        <w:t xml:space="preserve"> </w:t>
      </w:r>
      <w:r w:rsidR="00512A9F" w:rsidRPr="008073AC">
        <w:rPr>
          <w:rFonts w:ascii="Cambria" w:eastAsia="Batang" w:hAnsi="Cambria" w:cs="Times New Roman"/>
          <w:color w:val="000000"/>
          <w:sz w:val="21"/>
          <w:szCs w:val="21"/>
        </w:rPr>
        <w:t>agrupa</w:t>
      </w:r>
      <w:r w:rsidRPr="008073AC">
        <w:rPr>
          <w:rFonts w:ascii="Cambria" w:eastAsia="Batang" w:hAnsi="Cambria" w:cs="Times New Roman"/>
          <w:color w:val="000000"/>
          <w:sz w:val="21"/>
          <w:szCs w:val="21"/>
        </w:rPr>
        <w:t xml:space="preserve"> </w:t>
      </w:r>
      <w:r w:rsidR="00806155" w:rsidRPr="008073AC">
        <w:rPr>
          <w:rFonts w:ascii="Cambria" w:eastAsia="Batang" w:hAnsi="Cambria" w:cs="Times New Roman"/>
          <w:color w:val="000000"/>
          <w:sz w:val="21"/>
          <w:szCs w:val="21"/>
        </w:rPr>
        <w:t xml:space="preserve">alrededor </w:t>
      </w:r>
      <w:r w:rsidR="00512A9F" w:rsidRPr="008073AC">
        <w:rPr>
          <w:rFonts w:ascii="Cambria" w:eastAsia="Batang" w:hAnsi="Cambria" w:cs="Times New Roman"/>
          <w:color w:val="000000"/>
          <w:sz w:val="21"/>
          <w:szCs w:val="21"/>
        </w:rPr>
        <w:t xml:space="preserve">a </w:t>
      </w:r>
      <w:r w:rsidR="00806155" w:rsidRPr="008073AC">
        <w:rPr>
          <w:rFonts w:ascii="Cambria" w:eastAsia="Batang" w:hAnsi="Cambria" w:cs="Times New Roman"/>
          <w:color w:val="000000"/>
          <w:sz w:val="21"/>
          <w:szCs w:val="21"/>
        </w:rPr>
        <w:t xml:space="preserve">60 personas entre ancianos, adultos y niños. </w:t>
      </w:r>
      <w:r w:rsidR="00512A9F" w:rsidRPr="008073AC">
        <w:rPr>
          <w:rFonts w:ascii="Cambria" w:eastAsia="Batang" w:hAnsi="Cambria" w:cs="Times New Roman"/>
          <w:color w:val="000000"/>
          <w:sz w:val="21"/>
          <w:szCs w:val="21"/>
        </w:rPr>
        <w:t xml:space="preserve">Los solicitantes reclaman que el territorio tradicionalmente ocupado </w:t>
      </w:r>
      <w:r w:rsidR="00806155" w:rsidRPr="008073AC">
        <w:rPr>
          <w:rFonts w:ascii="Cambria" w:eastAsia="Batang" w:hAnsi="Cambria" w:cs="Times New Roman"/>
          <w:color w:val="000000"/>
          <w:sz w:val="21"/>
          <w:szCs w:val="21"/>
        </w:rPr>
        <w:t xml:space="preserve">se encuentra en el lote pastoril 127 de la Colonia Nahuel </w:t>
      </w:r>
      <w:proofErr w:type="spellStart"/>
      <w:r w:rsidR="00806155" w:rsidRPr="008073AC">
        <w:rPr>
          <w:rFonts w:ascii="Cambria" w:eastAsia="Batang" w:hAnsi="Cambria" w:cs="Times New Roman"/>
          <w:color w:val="000000"/>
          <w:sz w:val="21"/>
          <w:szCs w:val="21"/>
        </w:rPr>
        <w:t>Huapi</w:t>
      </w:r>
      <w:proofErr w:type="spellEnd"/>
      <w:r w:rsidR="00806155" w:rsidRPr="008073AC">
        <w:rPr>
          <w:rFonts w:ascii="Cambria" w:eastAsia="Batang" w:hAnsi="Cambria" w:cs="Times New Roman"/>
          <w:color w:val="000000"/>
          <w:sz w:val="21"/>
          <w:szCs w:val="21"/>
        </w:rPr>
        <w:t>, San Carlos de Bariloche en la provincia de Río Negro, Argentina.</w:t>
      </w:r>
      <w:r w:rsidR="00512A9F" w:rsidRPr="008073AC">
        <w:rPr>
          <w:rFonts w:ascii="Cambria" w:eastAsia="Batang" w:hAnsi="Cambria" w:cs="Times New Roman"/>
          <w:color w:val="000000"/>
          <w:sz w:val="21"/>
          <w:szCs w:val="21"/>
        </w:rPr>
        <w:t xml:space="preserve"> Según la solicitud, la comunidad ha sido objeto de amenazas provenientes de </w:t>
      </w:r>
      <w:r w:rsidR="002F6F2E" w:rsidRPr="008073AC">
        <w:rPr>
          <w:rFonts w:ascii="Cambria" w:eastAsia="Batang" w:hAnsi="Cambria" w:cs="Times New Roman"/>
          <w:color w:val="000000"/>
          <w:sz w:val="21"/>
          <w:szCs w:val="21"/>
        </w:rPr>
        <w:t xml:space="preserve">terceros </w:t>
      </w:r>
      <w:r w:rsidR="00512A9F" w:rsidRPr="008073AC">
        <w:rPr>
          <w:rFonts w:ascii="Cambria" w:eastAsia="Batang" w:hAnsi="Cambria" w:cs="Times New Roman"/>
          <w:color w:val="000000"/>
          <w:sz w:val="21"/>
          <w:szCs w:val="21"/>
        </w:rPr>
        <w:t xml:space="preserve">particulares “fuertemente armados”, quienes intentaron desalojar a los propuestos beneficiarios por la fuerza y, a pesar de las denuncias y solicitudes de protección reiteradamente interpuestas, no se habría obtenido una respuesta estatal idónea y efectiva. </w:t>
      </w:r>
      <w:r w:rsidR="00195383" w:rsidRPr="008073AC">
        <w:rPr>
          <w:rFonts w:ascii="Cambria" w:eastAsia="Batang" w:hAnsi="Cambria" w:cs="Times New Roman"/>
          <w:color w:val="000000"/>
          <w:sz w:val="21"/>
          <w:szCs w:val="21"/>
        </w:rPr>
        <w:t xml:space="preserve">Se desprende de la solicitud que la sentencia de desalojo </w:t>
      </w:r>
      <w:r w:rsidR="007D4AA6" w:rsidRPr="008073AC">
        <w:rPr>
          <w:rFonts w:ascii="Cambria" w:eastAsia="Batang" w:hAnsi="Cambria" w:cs="Times New Roman"/>
          <w:color w:val="000000"/>
          <w:sz w:val="21"/>
          <w:szCs w:val="21"/>
        </w:rPr>
        <w:t>se encuentra</w:t>
      </w:r>
      <w:r w:rsidR="00195383" w:rsidRPr="008073AC">
        <w:rPr>
          <w:rFonts w:ascii="Cambria" w:eastAsia="Batang" w:hAnsi="Cambria" w:cs="Times New Roman"/>
          <w:color w:val="000000"/>
          <w:sz w:val="21"/>
          <w:szCs w:val="21"/>
        </w:rPr>
        <w:t xml:space="preserve"> actualmente suspendida</w:t>
      </w:r>
      <w:r w:rsidR="007D4AA6" w:rsidRPr="008073AC">
        <w:rPr>
          <w:rFonts w:ascii="Cambria" w:eastAsia="Batang" w:hAnsi="Cambria" w:cs="Times New Roman"/>
          <w:color w:val="000000"/>
          <w:sz w:val="21"/>
          <w:szCs w:val="21"/>
        </w:rPr>
        <w:t xml:space="preserve"> (</w:t>
      </w:r>
      <w:r w:rsidR="007D4AA6" w:rsidRPr="008073AC">
        <w:rPr>
          <w:rFonts w:ascii="Cambria" w:eastAsia="Batang" w:hAnsi="Cambria" w:cs="Times New Roman"/>
          <w:i/>
          <w:color w:val="000000"/>
          <w:sz w:val="21"/>
          <w:szCs w:val="21"/>
        </w:rPr>
        <w:t>vid</w:t>
      </w:r>
      <w:r w:rsidR="007D4AA6" w:rsidRPr="008073AC">
        <w:rPr>
          <w:rFonts w:ascii="Cambria" w:eastAsia="Batang" w:hAnsi="Cambria" w:cs="Times New Roman"/>
          <w:color w:val="000000"/>
          <w:sz w:val="21"/>
          <w:szCs w:val="21"/>
        </w:rPr>
        <w:t xml:space="preserve">. </w:t>
      </w:r>
      <w:r w:rsidR="007D4AA6" w:rsidRPr="008073AC">
        <w:rPr>
          <w:rFonts w:ascii="Cambria" w:eastAsia="Batang" w:hAnsi="Cambria" w:cs="Times New Roman"/>
          <w:i/>
          <w:color w:val="000000"/>
          <w:sz w:val="21"/>
          <w:szCs w:val="21"/>
        </w:rPr>
        <w:t>infra</w:t>
      </w:r>
      <w:r w:rsidR="009868AB">
        <w:rPr>
          <w:rFonts w:ascii="Cambria" w:eastAsia="Batang" w:hAnsi="Cambria" w:cs="Times New Roman"/>
          <w:color w:val="000000"/>
          <w:sz w:val="21"/>
          <w:szCs w:val="21"/>
        </w:rPr>
        <w:t xml:space="preserve"> párr. 12)</w:t>
      </w:r>
      <w:r w:rsidR="00774804" w:rsidRPr="008073AC">
        <w:rPr>
          <w:rFonts w:ascii="Cambria" w:eastAsia="Batang" w:hAnsi="Cambria" w:cs="Times New Roman"/>
          <w:color w:val="000000"/>
          <w:sz w:val="21"/>
          <w:szCs w:val="21"/>
        </w:rPr>
        <w:t>, aunque no se precisó si los actos de hostigamiento empezaron antes o después de la misma.</w:t>
      </w:r>
    </w:p>
    <w:p w14:paraId="51B09F97" w14:textId="77777777" w:rsidR="002760D4" w:rsidRPr="008073AC" w:rsidRDefault="002760D4" w:rsidP="008073AC">
      <w:pPr>
        <w:spacing w:after="0" w:line="240" w:lineRule="auto"/>
        <w:ind w:firstLine="360"/>
        <w:jc w:val="both"/>
        <w:rPr>
          <w:rFonts w:ascii="Cambria" w:eastAsia="Batang" w:hAnsi="Cambria" w:cs="Times New Roman"/>
          <w:color w:val="000000"/>
          <w:sz w:val="21"/>
          <w:szCs w:val="21"/>
        </w:rPr>
      </w:pPr>
    </w:p>
    <w:p w14:paraId="7FE751C6" w14:textId="68317AE7" w:rsidR="00A43960" w:rsidRPr="008073AC" w:rsidRDefault="00FF1864" w:rsidP="008073AC">
      <w:pPr>
        <w:numPr>
          <w:ilvl w:val="0"/>
          <w:numId w:val="3"/>
        </w:numPr>
        <w:spacing w:after="0" w:line="240" w:lineRule="auto"/>
        <w:ind w:left="0" w:firstLine="360"/>
        <w:jc w:val="both"/>
        <w:rPr>
          <w:rFonts w:ascii="Cambria" w:eastAsia="Batang" w:hAnsi="Cambria" w:cs="Times New Roman"/>
          <w:color w:val="000000"/>
          <w:sz w:val="21"/>
          <w:szCs w:val="21"/>
        </w:rPr>
      </w:pPr>
      <w:r w:rsidRPr="008073AC">
        <w:rPr>
          <w:rFonts w:ascii="Cambria" w:eastAsia="Batang" w:hAnsi="Cambria" w:cs="Times New Roman"/>
          <w:color w:val="000000"/>
          <w:sz w:val="21"/>
          <w:szCs w:val="21"/>
        </w:rPr>
        <w:t>En lo que se refiere a hechos concretos</w:t>
      </w:r>
      <w:r w:rsidR="00A922B1" w:rsidRPr="008073AC">
        <w:rPr>
          <w:rFonts w:ascii="Cambria" w:eastAsia="Batang" w:hAnsi="Cambria" w:cs="Times New Roman"/>
          <w:color w:val="000000"/>
          <w:sz w:val="21"/>
          <w:szCs w:val="21"/>
        </w:rPr>
        <w:t>,</w:t>
      </w:r>
      <w:r w:rsidRPr="008073AC">
        <w:rPr>
          <w:rFonts w:ascii="Cambria" w:eastAsia="Batang" w:hAnsi="Cambria" w:cs="Times New Roman"/>
          <w:color w:val="000000"/>
          <w:sz w:val="21"/>
          <w:szCs w:val="21"/>
        </w:rPr>
        <w:t xml:space="preserve"> los solicitantes relataron un </w:t>
      </w:r>
      <w:r w:rsidR="00A43960" w:rsidRPr="008073AC">
        <w:rPr>
          <w:rFonts w:ascii="Cambria" w:eastAsia="Batang" w:hAnsi="Cambria" w:cs="Times New Roman"/>
          <w:color w:val="000000"/>
          <w:sz w:val="21"/>
          <w:szCs w:val="21"/>
        </w:rPr>
        <w:t xml:space="preserve">primer </w:t>
      </w:r>
      <w:r w:rsidRPr="008073AC">
        <w:rPr>
          <w:rFonts w:ascii="Cambria" w:eastAsia="Batang" w:hAnsi="Cambria" w:cs="Times New Roman"/>
          <w:color w:val="000000"/>
          <w:sz w:val="21"/>
          <w:szCs w:val="21"/>
        </w:rPr>
        <w:t>incidente ocurrido</w:t>
      </w:r>
      <w:r w:rsidR="00A922B1" w:rsidRPr="008073AC">
        <w:rPr>
          <w:rFonts w:ascii="Cambria" w:eastAsia="Batang" w:hAnsi="Cambria" w:cs="Times New Roman"/>
          <w:color w:val="000000"/>
          <w:sz w:val="21"/>
          <w:szCs w:val="21"/>
        </w:rPr>
        <w:t xml:space="preserve"> e</w:t>
      </w:r>
      <w:r w:rsidR="00F14B24" w:rsidRPr="008073AC">
        <w:rPr>
          <w:rFonts w:ascii="Cambria" w:eastAsia="Batang" w:hAnsi="Cambria" w:cs="Times New Roman"/>
          <w:color w:val="000000"/>
          <w:sz w:val="21"/>
          <w:szCs w:val="21"/>
        </w:rPr>
        <w:t>l 11 de</w:t>
      </w:r>
      <w:r w:rsidR="004328B6" w:rsidRPr="008073AC">
        <w:rPr>
          <w:rFonts w:ascii="Cambria" w:eastAsia="Batang" w:hAnsi="Cambria" w:cs="Times New Roman"/>
          <w:color w:val="000000"/>
          <w:sz w:val="21"/>
          <w:szCs w:val="21"/>
        </w:rPr>
        <w:t xml:space="preserve"> septiembre de 2019</w:t>
      </w:r>
      <w:r w:rsidRPr="008073AC">
        <w:rPr>
          <w:rFonts w:ascii="Cambria" w:eastAsia="Batang" w:hAnsi="Cambria" w:cs="Times New Roman"/>
          <w:color w:val="000000"/>
          <w:sz w:val="21"/>
          <w:szCs w:val="21"/>
        </w:rPr>
        <w:t xml:space="preserve">, en el que estos terceros supuestamente irrumpieron en la comunidad, </w:t>
      </w:r>
      <w:r w:rsidRPr="008073AC">
        <w:rPr>
          <w:rFonts w:ascii="Cambria" w:eastAsia="Batang" w:hAnsi="Cambria" w:cs="Times New Roman"/>
          <w:color w:val="000000"/>
          <w:sz w:val="21"/>
          <w:szCs w:val="21"/>
        </w:rPr>
        <w:lastRenderedPageBreak/>
        <w:t xml:space="preserve">blandiendo armas de fuego, </w:t>
      </w:r>
      <w:r w:rsidR="00642D0D" w:rsidRPr="008073AC">
        <w:rPr>
          <w:rFonts w:ascii="Cambria" w:eastAsia="Batang" w:hAnsi="Cambria" w:cs="Times New Roman"/>
          <w:color w:val="000000"/>
          <w:sz w:val="21"/>
          <w:szCs w:val="21"/>
        </w:rPr>
        <w:t>y armas blancas</w:t>
      </w:r>
      <w:r w:rsidRPr="008073AC">
        <w:rPr>
          <w:rFonts w:ascii="Cambria" w:eastAsia="Batang" w:hAnsi="Cambria" w:cs="Times New Roman"/>
          <w:color w:val="000000"/>
          <w:sz w:val="21"/>
          <w:szCs w:val="21"/>
        </w:rPr>
        <w:t xml:space="preserve"> y amenazando a los propuestos beneficiarios</w:t>
      </w:r>
      <w:r w:rsidR="00983FDA" w:rsidRPr="008073AC">
        <w:rPr>
          <w:rFonts w:ascii="Cambria" w:eastAsia="Batang" w:hAnsi="Cambria" w:cs="Times New Roman"/>
          <w:color w:val="000000"/>
          <w:sz w:val="21"/>
          <w:szCs w:val="21"/>
        </w:rPr>
        <w:t xml:space="preserve"> </w:t>
      </w:r>
      <w:r w:rsidR="005A7550" w:rsidRPr="008073AC">
        <w:rPr>
          <w:rFonts w:ascii="Cambria" w:eastAsia="Batang" w:hAnsi="Cambria" w:cs="Times New Roman"/>
          <w:color w:val="000000"/>
          <w:sz w:val="21"/>
          <w:szCs w:val="21"/>
        </w:rPr>
        <w:t>con prender fuego en sus casas, así como</w:t>
      </w:r>
      <w:r w:rsidR="00983FDA" w:rsidRPr="008073AC">
        <w:rPr>
          <w:rFonts w:ascii="Cambria" w:eastAsia="Batang" w:hAnsi="Cambria" w:cs="Times New Roman"/>
          <w:color w:val="000000"/>
          <w:sz w:val="21"/>
          <w:szCs w:val="21"/>
        </w:rPr>
        <w:t xml:space="preserve"> con decires</w:t>
      </w:r>
      <w:r w:rsidRPr="008073AC">
        <w:rPr>
          <w:rFonts w:ascii="Cambria" w:eastAsia="Batang" w:hAnsi="Cambria" w:cs="Times New Roman"/>
          <w:color w:val="000000"/>
          <w:sz w:val="21"/>
          <w:szCs w:val="21"/>
        </w:rPr>
        <w:t xml:space="preserve">: </w:t>
      </w:r>
      <w:r w:rsidR="00770350" w:rsidRPr="008073AC">
        <w:rPr>
          <w:rFonts w:ascii="Cambria" w:eastAsia="Batang" w:hAnsi="Cambria" w:cs="Times New Roman"/>
          <w:color w:val="000000"/>
          <w:sz w:val="21"/>
          <w:szCs w:val="21"/>
        </w:rPr>
        <w:t xml:space="preserve">“vamos </w:t>
      </w:r>
      <w:r w:rsidR="00BA6B01" w:rsidRPr="008073AC">
        <w:rPr>
          <w:rFonts w:ascii="Cambria" w:eastAsia="Batang" w:hAnsi="Cambria" w:cs="Times New Roman"/>
          <w:color w:val="000000"/>
          <w:sz w:val="21"/>
          <w:szCs w:val="21"/>
        </w:rPr>
        <w:t xml:space="preserve">a </w:t>
      </w:r>
      <w:r w:rsidR="00770350" w:rsidRPr="008073AC">
        <w:rPr>
          <w:rFonts w:ascii="Cambria" w:eastAsia="Batang" w:hAnsi="Cambria" w:cs="Times New Roman"/>
          <w:color w:val="000000"/>
          <w:sz w:val="21"/>
          <w:szCs w:val="21"/>
        </w:rPr>
        <w:t>ver quiénes son los verdaderos mapuches</w:t>
      </w:r>
      <w:r w:rsidR="00BA6B01" w:rsidRPr="008073AC">
        <w:rPr>
          <w:rFonts w:ascii="Cambria" w:eastAsia="Batang" w:hAnsi="Cambria" w:cs="Times New Roman"/>
          <w:color w:val="000000"/>
          <w:sz w:val="21"/>
          <w:szCs w:val="21"/>
        </w:rPr>
        <w:t>”</w:t>
      </w:r>
      <w:r w:rsidR="00983FDA" w:rsidRPr="008073AC">
        <w:rPr>
          <w:rFonts w:ascii="Cambria" w:eastAsia="Batang" w:hAnsi="Cambria" w:cs="Times New Roman"/>
          <w:color w:val="000000"/>
          <w:sz w:val="21"/>
          <w:szCs w:val="21"/>
        </w:rPr>
        <w:t xml:space="preserve"> y </w:t>
      </w:r>
      <w:r w:rsidR="004D5468" w:rsidRPr="008073AC">
        <w:rPr>
          <w:rFonts w:ascii="Cambria" w:eastAsia="Batang" w:hAnsi="Cambria" w:cs="Times New Roman"/>
          <w:color w:val="000000"/>
          <w:sz w:val="21"/>
          <w:szCs w:val="21"/>
        </w:rPr>
        <w:t>que “se podría todo” aquella noche</w:t>
      </w:r>
      <w:r w:rsidRPr="008073AC">
        <w:rPr>
          <w:rFonts w:ascii="Cambria" w:eastAsia="Batang" w:hAnsi="Cambria" w:cs="Times New Roman"/>
          <w:color w:val="000000"/>
          <w:sz w:val="21"/>
          <w:szCs w:val="21"/>
        </w:rPr>
        <w:t>, entre otros improperios.</w:t>
      </w:r>
      <w:r w:rsidR="00BA6B01" w:rsidRPr="008073AC">
        <w:rPr>
          <w:rFonts w:ascii="Cambria" w:eastAsia="Batang" w:hAnsi="Cambria" w:cs="Times New Roman"/>
          <w:color w:val="000000"/>
          <w:sz w:val="21"/>
          <w:szCs w:val="21"/>
        </w:rPr>
        <w:t xml:space="preserve"> </w:t>
      </w:r>
      <w:r w:rsidR="00322275" w:rsidRPr="008073AC">
        <w:rPr>
          <w:rFonts w:ascii="Cambria" w:eastAsia="Batang" w:hAnsi="Cambria" w:cs="Times New Roman"/>
          <w:color w:val="000000"/>
          <w:sz w:val="21"/>
          <w:szCs w:val="21"/>
        </w:rPr>
        <w:t>Las autoridades habrían intervenido en ese momento</w:t>
      </w:r>
      <w:r w:rsidR="005A7550" w:rsidRPr="008073AC">
        <w:rPr>
          <w:rFonts w:ascii="Cambria" w:eastAsia="Batang" w:hAnsi="Cambria" w:cs="Times New Roman"/>
          <w:color w:val="000000"/>
          <w:sz w:val="21"/>
          <w:szCs w:val="21"/>
        </w:rPr>
        <w:t>,</w:t>
      </w:r>
      <w:r w:rsidR="00322275" w:rsidRPr="008073AC">
        <w:rPr>
          <w:rFonts w:ascii="Cambria" w:eastAsia="Batang" w:hAnsi="Cambria" w:cs="Times New Roman"/>
          <w:color w:val="000000"/>
          <w:sz w:val="21"/>
          <w:szCs w:val="21"/>
        </w:rPr>
        <w:t xml:space="preserve"> pero debido a una “falta de efectivos” no habrían logrado arribar hasta el lugar donde se </w:t>
      </w:r>
      <w:r w:rsidR="005A7550" w:rsidRPr="008073AC">
        <w:rPr>
          <w:rFonts w:ascii="Cambria" w:eastAsia="Batang" w:hAnsi="Cambria" w:cs="Times New Roman"/>
          <w:color w:val="000000"/>
          <w:sz w:val="21"/>
          <w:szCs w:val="21"/>
        </w:rPr>
        <w:t>habrían ubicado</w:t>
      </w:r>
      <w:r w:rsidR="00322275" w:rsidRPr="008073AC">
        <w:rPr>
          <w:rFonts w:ascii="Cambria" w:eastAsia="Batang" w:hAnsi="Cambria" w:cs="Times New Roman"/>
          <w:color w:val="000000"/>
          <w:sz w:val="21"/>
          <w:szCs w:val="21"/>
        </w:rPr>
        <w:t xml:space="preserve"> los presuntos agresores. </w:t>
      </w:r>
      <w:r w:rsidR="00000E4B" w:rsidRPr="008073AC">
        <w:rPr>
          <w:rFonts w:ascii="Cambria" w:eastAsia="Batang" w:hAnsi="Cambria" w:cs="Times New Roman"/>
          <w:color w:val="000000"/>
          <w:sz w:val="21"/>
          <w:szCs w:val="21"/>
        </w:rPr>
        <w:t xml:space="preserve">Aun así, una patrulla habría </w:t>
      </w:r>
      <w:r w:rsidR="002F6F2E" w:rsidRPr="008073AC">
        <w:rPr>
          <w:rFonts w:ascii="Cambria" w:eastAsia="Batang" w:hAnsi="Cambria" w:cs="Times New Roman"/>
          <w:color w:val="000000"/>
          <w:sz w:val="21"/>
          <w:szCs w:val="21"/>
        </w:rPr>
        <w:t>sido ubicada</w:t>
      </w:r>
      <w:r w:rsidR="00000E4B" w:rsidRPr="008073AC">
        <w:rPr>
          <w:rFonts w:ascii="Cambria" w:eastAsia="Batang" w:hAnsi="Cambria" w:cs="Times New Roman"/>
          <w:color w:val="000000"/>
          <w:sz w:val="21"/>
          <w:szCs w:val="21"/>
        </w:rPr>
        <w:t xml:space="preserve"> en la entrada</w:t>
      </w:r>
      <w:r w:rsidR="00C203A1" w:rsidRPr="008073AC">
        <w:rPr>
          <w:rFonts w:ascii="Cambria" w:eastAsia="Batang" w:hAnsi="Cambria" w:cs="Times New Roman"/>
          <w:color w:val="000000"/>
          <w:sz w:val="21"/>
          <w:szCs w:val="21"/>
        </w:rPr>
        <w:t xml:space="preserve"> de la comunidad</w:t>
      </w:r>
      <w:r w:rsidR="00000E4B" w:rsidRPr="008073AC">
        <w:rPr>
          <w:rFonts w:ascii="Cambria" w:eastAsia="Batang" w:hAnsi="Cambria" w:cs="Times New Roman"/>
          <w:color w:val="000000"/>
          <w:sz w:val="21"/>
          <w:szCs w:val="21"/>
        </w:rPr>
        <w:t xml:space="preserve"> para aparentemente garantizar su seguridad.</w:t>
      </w:r>
    </w:p>
    <w:p w14:paraId="799A0CB6" w14:textId="77777777" w:rsidR="00AA0656" w:rsidRPr="008073AC" w:rsidRDefault="00AA0656" w:rsidP="008073AC">
      <w:pPr>
        <w:spacing w:after="0" w:line="240" w:lineRule="auto"/>
        <w:ind w:left="360"/>
        <w:jc w:val="both"/>
        <w:rPr>
          <w:rFonts w:ascii="Cambria" w:eastAsia="Batang" w:hAnsi="Cambria" w:cs="Times New Roman"/>
          <w:color w:val="000000"/>
          <w:sz w:val="21"/>
          <w:szCs w:val="21"/>
        </w:rPr>
      </w:pPr>
    </w:p>
    <w:p w14:paraId="79F76C33" w14:textId="19C8B30D" w:rsidR="00770350" w:rsidRPr="008073AC" w:rsidRDefault="00A43960" w:rsidP="008073AC">
      <w:pPr>
        <w:numPr>
          <w:ilvl w:val="0"/>
          <w:numId w:val="3"/>
        </w:numPr>
        <w:spacing w:after="0" w:line="240" w:lineRule="auto"/>
        <w:ind w:left="0" w:firstLine="360"/>
        <w:jc w:val="both"/>
        <w:rPr>
          <w:rFonts w:ascii="Cambria" w:eastAsia="Batang" w:hAnsi="Cambria" w:cs="Times New Roman"/>
          <w:color w:val="000000"/>
          <w:sz w:val="21"/>
          <w:szCs w:val="21"/>
        </w:rPr>
      </w:pPr>
      <w:r w:rsidRPr="008073AC">
        <w:rPr>
          <w:rFonts w:ascii="Cambria" w:eastAsia="Batang" w:hAnsi="Cambria" w:cs="Times New Roman"/>
          <w:color w:val="000000"/>
          <w:sz w:val="21"/>
          <w:szCs w:val="21"/>
        </w:rPr>
        <w:t>El 18 de octubre de 2019, la fiscalía emitió una circular en la que determinó que, ante la conformación de la decisión de desalojo, quedaba “terminantemente prohibido el ingreso de toda persona que no se encuentre en el predio, y tampoco se autoriza el ingreso de personas a pernoctar, pasar el día o visitas a los ocupantes y/o a ingresar alimentos u otros efectos a los ocupantes” (se aportó copia del oficio). Los solicitantes manifestaron su disconformidad con esta medida, considerando que la misma es presuntamente discriminatoria y que no se tiene en cuenta la presencia de niños en la comunidad, quienes estarían en una situación de mayor vulnerabilidad ante una</w:t>
      </w:r>
      <w:r w:rsidR="008E4970" w:rsidRPr="008073AC">
        <w:rPr>
          <w:rFonts w:ascii="Cambria" w:eastAsia="Batang" w:hAnsi="Cambria" w:cs="Times New Roman"/>
          <w:color w:val="000000"/>
          <w:sz w:val="21"/>
          <w:szCs w:val="21"/>
        </w:rPr>
        <w:t xml:space="preserve"> supuesta carencia alimenticia.</w:t>
      </w:r>
    </w:p>
    <w:p w14:paraId="23FEEBAC" w14:textId="77777777" w:rsidR="009824EF" w:rsidRPr="008073AC" w:rsidRDefault="009824EF" w:rsidP="008073AC">
      <w:pPr>
        <w:spacing w:after="0" w:line="240" w:lineRule="auto"/>
        <w:ind w:firstLine="360"/>
        <w:jc w:val="both"/>
        <w:rPr>
          <w:rFonts w:ascii="Cambria" w:eastAsia="Batang" w:hAnsi="Cambria" w:cs="Times New Roman"/>
          <w:color w:val="000000"/>
          <w:sz w:val="21"/>
          <w:szCs w:val="21"/>
        </w:rPr>
      </w:pPr>
    </w:p>
    <w:p w14:paraId="05A3E4CD" w14:textId="5CB8F9E2" w:rsidR="00C1045B" w:rsidRPr="008073AC" w:rsidRDefault="0068065F" w:rsidP="008073AC">
      <w:pPr>
        <w:numPr>
          <w:ilvl w:val="0"/>
          <w:numId w:val="3"/>
        </w:numPr>
        <w:spacing w:after="0" w:line="240" w:lineRule="auto"/>
        <w:ind w:left="0" w:firstLine="360"/>
        <w:jc w:val="both"/>
        <w:rPr>
          <w:rFonts w:ascii="Cambria" w:eastAsia="Batang" w:hAnsi="Cambria" w:cs="Times New Roman"/>
          <w:color w:val="000000"/>
          <w:sz w:val="21"/>
          <w:szCs w:val="21"/>
        </w:rPr>
      </w:pPr>
      <w:r w:rsidRPr="008073AC">
        <w:rPr>
          <w:rFonts w:ascii="Cambria" w:eastAsia="Batang" w:hAnsi="Cambria" w:cs="Times New Roman"/>
          <w:color w:val="000000"/>
          <w:sz w:val="21"/>
          <w:szCs w:val="21"/>
        </w:rPr>
        <w:t>El</w:t>
      </w:r>
      <w:r w:rsidR="00FC1C66" w:rsidRPr="008073AC">
        <w:rPr>
          <w:rFonts w:ascii="Cambria" w:eastAsia="Batang" w:hAnsi="Cambria" w:cs="Times New Roman"/>
          <w:color w:val="000000"/>
          <w:sz w:val="21"/>
          <w:szCs w:val="21"/>
        </w:rPr>
        <w:t xml:space="preserve"> 10</w:t>
      </w:r>
      <w:r w:rsidR="004328B6" w:rsidRPr="008073AC">
        <w:rPr>
          <w:rFonts w:ascii="Cambria" w:eastAsia="Batang" w:hAnsi="Cambria" w:cs="Times New Roman"/>
          <w:color w:val="000000"/>
          <w:sz w:val="21"/>
          <w:szCs w:val="21"/>
        </w:rPr>
        <w:t xml:space="preserve"> noviembre de 2019</w:t>
      </w:r>
      <w:r w:rsidR="00A43960" w:rsidRPr="008073AC">
        <w:rPr>
          <w:rFonts w:ascii="Cambria" w:eastAsia="Batang" w:hAnsi="Cambria" w:cs="Times New Roman"/>
          <w:color w:val="000000"/>
          <w:sz w:val="21"/>
          <w:szCs w:val="21"/>
        </w:rPr>
        <w:t>,</w:t>
      </w:r>
      <w:r w:rsidR="004328B6" w:rsidRPr="008073AC">
        <w:rPr>
          <w:rFonts w:ascii="Cambria" w:eastAsia="Batang" w:hAnsi="Cambria" w:cs="Times New Roman"/>
          <w:color w:val="000000"/>
          <w:sz w:val="21"/>
          <w:szCs w:val="21"/>
        </w:rPr>
        <w:t xml:space="preserve"> un</w:t>
      </w:r>
      <w:r w:rsidR="00A43960" w:rsidRPr="008073AC">
        <w:rPr>
          <w:rFonts w:ascii="Cambria" w:eastAsia="Batang" w:hAnsi="Cambria" w:cs="Times New Roman"/>
          <w:color w:val="000000"/>
          <w:sz w:val="21"/>
          <w:szCs w:val="21"/>
        </w:rPr>
        <w:t>o de los propuestos beneficiarios habría oído disparos de armas de fuego al transitar ante la residencia de un presunto agresor</w:t>
      </w:r>
      <w:r w:rsidR="00336846" w:rsidRPr="008073AC">
        <w:rPr>
          <w:rFonts w:ascii="Cambria" w:eastAsia="Batang" w:hAnsi="Cambria" w:cs="Times New Roman"/>
          <w:color w:val="000000"/>
          <w:sz w:val="21"/>
          <w:szCs w:val="21"/>
        </w:rPr>
        <w:t xml:space="preserve">, </w:t>
      </w:r>
      <w:r w:rsidR="00F668E3" w:rsidRPr="008073AC">
        <w:rPr>
          <w:rFonts w:ascii="Cambria" w:eastAsia="Batang" w:hAnsi="Cambria" w:cs="Times New Roman"/>
          <w:color w:val="000000"/>
          <w:sz w:val="21"/>
          <w:szCs w:val="21"/>
        </w:rPr>
        <w:t xml:space="preserve">lo </w:t>
      </w:r>
      <w:r w:rsidR="0078292A" w:rsidRPr="008073AC">
        <w:rPr>
          <w:rFonts w:ascii="Cambria" w:eastAsia="Batang" w:hAnsi="Cambria" w:cs="Times New Roman"/>
          <w:color w:val="000000"/>
          <w:sz w:val="21"/>
          <w:szCs w:val="21"/>
        </w:rPr>
        <w:t>que fue interpreta</w:t>
      </w:r>
      <w:r w:rsidR="00F668E3" w:rsidRPr="008073AC">
        <w:rPr>
          <w:rFonts w:ascii="Cambria" w:eastAsia="Batang" w:hAnsi="Cambria" w:cs="Times New Roman"/>
          <w:color w:val="000000"/>
          <w:sz w:val="21"/>
          <w:szCs w:val="21"/>
        </w:rPr>
        <w:t>do</w:t>
      </w:r>
      <w:r w:rsidR="00336846" w:rsidRPr="008073AC">
        <w:rPr>
          <w:rFonts w:ascii="Cambria" w:eastAsia="Batang" w:hAnsi="Cambria" w:cs="Times New Roman"/>
          <w:color w:val="000000"/>
          <w:sz w:val="21"/>
          <w:szCs w:val="21"/>
        </w:rPr>
        <w:t xml:space="preserve"> </w:t>
      </w:r>
      <w:r w:rsidR="00F668E3" w:rsidRPr="008073AC">
        <w:rPr>
          <w:rFonts w:ascii="Cambria" w:eastAsia="Batang" w:hAnsi="Cambria" w:cs="Times New Roman"/>
          <w:color w:val="000000"/>
          <w:sz w:val="21"/>
          <w:szCs w:val="21"/>
        </w:rPr>
        <w:t>como una amenaza hacia s</w:t>
      </w:r>
      <w:r w:rsidR="0078292A" w:rsidRPr="008073AC">
        <w:rPr>
          <w:rFonts w:ascii="Cambria" w:eastAsia="Batang" w:hAnsi="Cambria" w:cs="Times New Roman"/>
          <w:color w:val="000000"/>
          <w:sz w:val="21"/>
          <w:szCs w:val="21"/>
        </w:rPr>
        <w:t>u persona</w:t>
      </w:r>
      <w:r w:rsidR="00F668E3" w:rsidRPr="008073AC">
        <w:rPr>
          <w:rFonts w:ascii="Cambria" w:eastAsia="Batang" w:hAnsi="Cambria" w:cs="Times New Roman"/>
          <w:color w:val="000000"/>
          <w:sz w:val="21"/>
          <w:szCs w:val="21"/>
        </w:rPr>
        <w:t>.</w:t>
      </w:r>
      <w:r w:rsidR="00A43960" w:rsidRPr="008073AC">
        <w:rPr>
          <w:rFonts w:ascii="Cambria" w:eastAsia="Batang" w:hAnsi="Cambria" w:cs="Times New Roman"/>
          <w:color w:val="000000"/>
          <w:sz w:val="21"/>
          <w:szCs w:val="21"/>
        </w:rPr>
        <w:t xml:space="preserve"> </w:t>
      </w:r>
      <w:r w:rsidR="002867F3" w:rsidRPr="008073AC">
        <w:rPr>
          <w:rFonts w:ascii="Cambria" w:eastAsia="Batang" w:hAnsi="Cambria" w:cs="Times New Roman"/>
          <w:color w:val="000000"/>
          <w:sz w:val="21"/>
          <w:szCs w:val="21"/>
        </w:rPr>
        <w:t>Además, denunció que en otra ocasión</w:t>
      </w:r>
      <w:r w:rsidR="004F0B9E" w:rsidRPr="008073AC">
        <w:rPr>
          <w:rFonts w:ascii="Cambria" w:eastAsia="Batang" w:hAnsi="Cambria" w:cs="Times New Roman"/>
          <w:color w:val="000000"/>
          <w:sz w:val="21"/>
          <w:szCs w:val="21"/>
        </w:rPr>
        <w:t xml:space="preserve"> unos individuos se acerca</w:t>
      </w:r>
      <w:r w:rsidR="00F668E3" w:rsidRPr="008073AC">
        <w:rPr>
          <w:rFonts w:ascii="Cambria" w:eastAsia="Batang" w:hAnsi="Cambria" w:cs="Times New Roman"/>
          <w:color w:val="000000"/>
          <w:sz w:val="21"/>
          <w:szCs w:val="21"/>
        </w:rPr>
        <w:t>ron</w:t>
      </w:r>
      <w:r w:rsidR="004F0B9E" w:rsidRPr="008073AC">
        <w:rPr>
          <w:rFonts w:ascii="Cambria" w:eastAsia="Batang" w:hAnsi="Cambria" w:cs="Times New Roman"/>
          <w:color w:val="000000"/>
          <w:sz w:val="21"/>
          <w:szCs w:val="21"/>
        </w:rPr>
        <w:t xml:space="preserve"> a su domicilio de manera intimidante, visiblemente embriagados y </w:t>
      </w:r>
      <w:r w:rsidR="00F2391C" w:rsidRPr="008073AC">
        <w:rPr>
          <w:rFonts w:ascii="Cambria" w:eastAsia="Batang" w:hAnsi="Cambria" w:cs="Times New Roman"/>
          <w:color w:val="000000"/>
          <w:sz w:val="21"/>
          <w:szCs w:val="21"/>
        </w:rPr>
        <w:t xml:space="preserve">supuestamente </w:t>
      </w:r>
      <w:r w:rsidR="004F0B9E" w:rsidRPr="008073AC">
        <w:rPr>
          <w:rFonts w:ascii="Cambria" w:eastAsia="Batang" w:hAnsi="Cambria" w:cs="Times New Roman"/>
          <w:color w:val="000000"/>
          <w:sz w:val="21"/>
          <w:szCs w:val="21"/>
        </w:rPr>
        <w:t>bajo el efecto de sustancias psicotrópicas, pese incluso a la presencia de una patrulla policial. Por estos hechos, este señor interpuso una denuncia y requirió una orden de alejamiento.</w:t>
      </w:r>
    </w:p>
    <w:p w14:paraId="7B8D529A" w14:textId="77777777" w:rsidR="00103D71" w:rsidRPr="008073AC" w:rsidRDefault="00103D71" w:rsidP="008073AC">
      <w:pPr>
        <w:spacing w:after="0" w:line="240" w:lineRule="auto"/>
        <w:ind w:firstLine="360"/>
        <w:jc w:val="both"/>
        <w:rPr>
          <w:rFonts w:ascii="Cambria" w:eastAsia="Batang" w:hAnsi="Cambria" w:cs="Times New Roman"/>
          <w:color w:val="000000"/>
          <w:sz w:val="21"/>
          <w:szCs w:val="21"/>
        </w:rPr>
      </w:pPr>
    </w:p>
    <w:p w14:paraId="77A6DEBE" w14:textId="17588DFC" w:rsidR="00103D71" w:rsidRPr="008073AC" w:rsidRDefault="00103D71" w:rsidP="008073AC">
      <w:pPr>
        <w:numPr>
          <w:ilvl w:val="0"/>
          <w:numId w:val="3"/>
        </w:numPr>
        <w:spacing w:after="0" w:line="240" w:lineRule="auto"/>
        <w:ind w:left="0" w:firstLine="360"/>
        <w:jc w:val="both"/>
        <w:rPr>
          <w:rFonts w:ascii="Cambria" w:eastAsia="Batang" w:hAnsi="Cambria" w:cs="Times New Roman"/>
          <w:color w:val="000000"/>
          <w:sz w:val="21"/>
          <w:szCs w:val="21"/>
        </w:rPr>
      </w:pPr>
      <w:r w:rsidRPr="008073AC">
        <w:rPr>
          <w:rFonts w:ascii="Cambria" w:eastAsia="Batang" w:hAnsi="Cambria" w:cs="Times New Roman"/>
          <w:color w:val="000000"/>
          <w:sz w:val="21"/>
          <w:szCs w:val="21"/>
        </w:rPr>
        <w:t>El 4 de diciembre de 2019</w:t>
      </w:r>
      <w:r w:rsidR="005E2421" w:rsidRPr="008073AC">
        <w:rPr>
          <w:rFonts w:ascii="Cambria" w:eastAsia="Batang" w:hAnsi="Cambria" w:cs="Times New Roman"/>
          <w:color w:val="000000"/>
          <w:sz w:val="21"/>
          <w:szCs w:val="21"/>
        </w:rPr>
        <w:t xml:space="preserve">, </w:t>
      </w:r>
      <w:r w:rsidR="00A33154" w:rsidRPr="008073AC">
        <w:rPr>
          <w:rFonts w:ascii="Cambria" w:eastAsia="Batang" w:hAnsi="Cambria" w:cs="Times New Roman"/>
          <w:color w:val="000000"/>
          <w:sz w:val="21"/>
          <w:szCs w:val="21"/>
        </w:rPr>
        <w:t>una</w:t>
      </w:r>
      <w:r w:rsidR="004F0B9E" w:rsidRPr="008073AC">
        <w:rPr>
          <w:rFonts w:ascii="Cambria" w:eastAsia="Batang" w:hAnsi="Cambria" w:cs="Times New Roman"/>
          <w:color w:val="000000"/>
          <w:sz w:val="21"/>
          <w:szCs w:val="21"/>
        </w:rPr>
        <w:t xml:space="preserve"> </w:t>
      </w:r>
      <w:r w:rsidR="00DE5DB1" w:rsidRPr="008073AC">
        <w:rPr>
          <w:rFonts w:ascii="Cambria" w:eastAsia="Batang" w:hAnsi="Cambria" w:cs="Times New Roman"/>
          <w:color w:val="000000"/>
          <w:sz w:val="21"/>
          <w:szCs w:val="21"/>
        </w:rPr>
        <w:t>propuest</w:t>
      </w:r>
      <w:r w:rsidR="00A33154" w:rsidRPr="008073AC">
        <w:rPr>
          <w:rFonts w:ascii="Cambria" w:eastAsia="Batang" w:hAnsi="Cambria" w:cs="Times New Roman"/>
          <w:color w:val="000000"/>
          <w:sz w:val="21"/>
          <w:szCs w:val="21"/>
        </w:rPr>
        <w:t>a</w:t>
      </w:r>
      <w:r w:rsidR="00DE5DB1" w:rsidRPr="008073AC">
        <w:rPr>
          <w:rFonts w:ascii="Cambria" w:eastAsia="Batang" w:hAnsi="Cambria" w:cs="Times New Roman"/>
          <w:color w:val="000000"/>
          <w:sz w:val="21"/>
          <w:szCs w:val="21"/>
        </w:rPr>
        <w:t xml:space="preserve"> beneficiari</w:t>
      </w:r>
      <w:r w:rsidR="00A33154" w:rsidRPr="008073AC">
        <w:rPr>
          <w:rFonts w:ascii="Cambria" w:eastAsia="Batang" w:hAnsi="Cambria" w:cs="Times New Roman"/>
          <w:color w:val="000000"/>
          <w:sz w:val="21"/>
          <w:szCs w:val="21"/>
        </w:rPr>
        <w:t>a</w:t>
      </w:r>
      <w:r w:rsidR="00DE5DB1" w:rsidRPr="008073AC">
        <w:rPr>
          <w:rFonts w:ascii="Cambria" w:eastAsia="Batang" w:hAnsi="Cambria" w:cs="Times New Roman"/>
          <w:color w:val="000000"/>
          <w:sz w:val="21"/>
          <w:szCs w:val="21"/>
        </w:rPr>
        <w:t xml:space="preserve"> y su núcleo familiar, en camino </w:t>
      </w:r>
      <w:r w:rsidR="004F0B9E" w:rsidRPr="008073AC">
        <w:rPr>
          <w:rFonts w:ascii="Cambria" w:eastAsia="Batang" w:hAnsi="Cambria" w:cs="Times New Roman"/>
          <w:color w:val="000000"/>
          <w:sz w:val="21"/>
          <w:szCs w:val="21"/>
        </w:rPr>
        <w:t xml:space="preserve">hacia </w:t>
      </w:r>
      <w:r w:rsidR="00DE5DB1" w:rsidRPr="008073AC">
        <w:rPr>
          <w:rFonts w:ascii="Cambria" w:eastAsia="Batang" w:hAnsi="Cambria" w:cs="Times New Roman"/>
          <w:color w:val="000000"/>
          <w:sz w:val="21"/>
          <w:szCs w:val="21"/>
        </w:rPr>
        <w:t xml:space="preserve">la </w:t>
      </w:r>
      <w:r w:rsidR="004F0B9E" w:rsidRPr="008073AC">
        <w:rPr>
          <w:rFonts w:ascii="Cambria" w:eastAsia="Batang" w:hAnsi="Cambria" w:cs="Times New Roman"/>
          <w:color w:val="000000"/>
          <w:sz w:val="21"/>
          <w:szCs w:val="21"/>
        </w:rPr>
        <w:t>c</w:t>
      </w:r>
      <w:r w:rsidR="006E4361" w:rsidRPr="008073AC">
        <w:rPr>
          <w:rFonts w:ascii="Cambria" w:eastAsia="Batang" w:hAnsi="Cambria" w:cs="Times New Roman"/>
          <w:color w:val="000000"/>
          <w:sz w:val="21"/>
          <w:szCs w:val="21"/>
        </w:rPr>
        <w:t xml:space="preserve">omunidad, </w:t>
      </w:r>
      <w:r w:rsidR="00A47161" w:rsidRPr="008073AC">
        <w:rPr>
          <w:rFonts w:ascii="Cambria" w:eastAsia="Batang" w:hAnsi="Cambria" w:cs="Times New Roman"/>
          <w:color w:val="000000"/>
          <w:sz w:val="21"/>
          <w:szCs w:val="21"/>
        </w:rPr>
        <w:t xml:space="preserve">el cual informan que sería la única vía, </w:t>
      </w:r>
      <w:r w:rsidR="0014767E" w:rsidRPr="008073AC">
        <w:rPr>
          <w:rFonts w:ascii="Cambria" w:eastAsia="Batang" w:hAnsi="Cambria" w:cs="Times New Roman"/>
          <w:color w:val="000000"/>
          <w:sz w:val="21"/>
          <w:szCs w:val="21"/>
        </w:rPr>
        <w:t>se habría</w:t>
      </w:r>
      <w:r w:rsidR="00225C34" w:rsidRPr="008073AC">
        <w:rPr>
          <w:rFonts w:ascii="Cambria" w:eastAsia="Batang" w:hAnsi="Cambria" w:cs="Times New Roman"/>
          <w:color w:val="000000"/>
          <w:sz w:val="21"/>
          <w:szCs w:val="21"/>
        </w:rPr>
        <w:t>n</w:t>
      </w:r>
      <w:r w:rsidR="0014767E" w:rsidRPr="008073AC">
        <w:rPr>
          <w:rFonts w:ascii="Cambria" w:eastAsia="Batang" w:hAnsi="Cambria" w:cs="Times New Roman"/>
          <w:color w:val="000000"/>
          <w:sz w:val="21"/>
          <w:szCs w:val="21"/>
        </w:rPr>
        <w:t xml:space="preserve"> percatado que </w:t>
      </w:r>
      <w:r w:rsidR="006E4361" w:rsidRPr="008073AC">
        <w:rPr>
          <w:rFonts w:ascii="Cambria" w:eastAsia="Batang" w:hAnsi="Cambria" w:cs="Times New Roman"/>
          <w:color w:val="000000"/>
          <w:sz w:val="21"/>
          <w:szCs w:val="21"/>
        </w:rPr>
        <w:t>se perforó</w:t>
      </w:r>
      <w:r w:rsidR="004F0B9E" w:rsidRPr="008073AC">
        <w:rPr>
          <w:rFonts w:ascii="Cambria" w:eastAsia="Batang" w:hAnsi="Cambria" w:cs="Times New Roman"/>
          <w:color w:val="000000"/>
          <w:sz w:val="21"/>
          <w:szCs w:val="21"/>
        </w:rPr>
        <w:t xml:space="preserve"> intencionalmente</w:t>
      </w:r>
      <w:r w:rsidR="006E4361" w:rsidRPr="008073AC">
        <w:rPr>
          <w:rFonts w:ascii="Cambria" w:eastAsia="Batang" w:hAnsi="Cambria" w:cs="Times New Roman"/>
          <w:color w:val="000000"/>
          <w:sz w:val="21"/>
          <w:szCs w:val="21"/>
        </w:rPr>
        <w:t xml:space="preserve"> el neumático de su </w:t>
      </w:r>
      <w:r w:rsidR="004F0B9E" w:rsidRPr="008073AC">
        <w:rPr>
          <w:rFonts w:ascii="Cambria" w:eastAsia="Batang" w:hAnsi="Cambria" w:cs="Times New Roman"/>
          <w:color w:val="000000"/>
          <w:sz w:val="21"/>
          <w:szCs w:val="21"/>
        </w:rPr>
        <w:t>vehículo</w:t>
      </w:r>
      <w:r w:rsidR="006E4361" w:rsidRPr="008073AC">
        <w:rPr>
          <w:rFonts w:ascii="Cambria" w:eastAsia="Batang" w:hAnsi="Cambria" w:cs="Times New Roman"/>
          <w:color w:val="000000"/>
          <w:sz w:val="21"/>
          <w:szCs w:val="21"/>
        </w:rPr>
        <w:t xml:space="preserve">, </w:t>
      </w:r>
      <w:r w:rsidR="004F0B9E" w:rsidRPr="008073AC">
        <w:rPr>
          <w:rFonts w:ascii="Cambria" w:eastAsia="Batang" w:hAnsi="Cambria" w:cs="Times New Roman"/>
          <w:color w:val="000000"/>
          <w:sz w:val="21"/>
          <w:szCs w:val="21"/>
        </w:rPr>
        <w:t xml:space="preserve">habiendo encontrado </w:t>
      </w:r>
      <w:r w:rsidR="00A33154" w:rsidRPr="008073AC">
        <w:rPr>
          <w:rFonts w:ascii="Cambria" w:eastAsia="Batang" w:hAnsi="Cambria" w:cs="Times New Roman"/>
          <w:color w:val="000000"/>
          <w:sz w:val="21"/>
          <w:szCs w:val="21"/>
        </w:rPr>
        <w:t>varias planchas de chapa con clavos soldados</w:t>
      </w:r>
      <w:r w:rsidR="004F0B9E" w:rsidRPr="008073AC">
        <w:rPr>
          <w:rFonts w:ascii="Cambria" w:eastAsia="Batang" w:hAnsi="Cambria" w:cs="Times New Roman"/>
          <w:color w:val="000000"/>
          <w:sz w:val="21"/>
          <w:szCs w:val="21"/>
        </w:rPr>
        <w:t>. Mientras se dedicaban a cambiarlo, dos sujetos a unos treinta metros de distancia habrían</w:t>
      </w:r>
      <w:r w:rsidR="00A47161" w:rsidRPr="008073AC">
        <w:rPr>
          <w:rFonts w:ascii="Cambria" w:eastAsia="Batang" w:hAnsi="Cambria" w:cs="Times New Roman"/>
          <w:color w:val="000000"/>
          <w:sz w:val="21"/>
          <w:szCs w:val="21"/>
        </w:rPr>
        <w:t xml:space="preserve"> empezado a arrojarles piedras</w:t>
      </w:r>
      <w:r w:rsidR="00226531" w:rsidRPr="008073AC">
        <w:rPr>
          <w:rFonts w:ascii="Cambria" w:eastAsia="Batang" w:hAnsi="Cambria" w:cs="Times New Roman"/>
          <w:color w:val="000000"/>
          <w:sz w:val="21"/>
          <w:szCs w:val="21"/>
        </w:rPr>
        <w:t xml:space="preserve">, </w:t>
      </w:r>
      <w:r w:rsidR="004F0B9E" w:rsidRPr="008073AC">
        <w:rPr>
          <w:rFonts w:ascii="Cambria" w:eastAsia="Batang" w:hAnsi="Cambria" w:cs="Times New Roman"/>
          <w:color w:val="000000"/>
          <w:sz w:val="21"/>
          <w:szCs w:val="21"/>
        </w:rPr>
        <w:t>quienes no habrían cesado incluso al constatarse la p</w:t>
      </w:r>
      <w:r w:rsidR="00226531" w:rsidRPr="008073AC">
        <w:rPr>
          <w:rFonts w:ascii="Cambria" w:eastAsia="Batang" w:hAnsi="Cambria" w:cs="Times New Roman"/>
          <w:color w:val="000000"/>
          <w:sz w:val="21"/>
          <w:szCs w:val="21"/>
        </w:rPr>
        <w:t>resencia de niños en la escena.</w:t>
      </w:r>
      <w:r w:rsidR="00A47161" w:rsidRPr="008073AC">
        <w:rPr>
          <w:rFonts w:ascii="Cambria" w:eastAsia="Batang" w:hAnsi="Cambria" w:cs="Times New Roman"/>
          <w:color w:val="000000"/>
          <w:sz w:val="21"/>
          <w:szCs w:val="21"/>
        </w:rPr>
        <w:t xml:space="preserve"> La agresión habría perdurado cerca de 10 minutos</w:t>
      </w:r>
      <w:r w:rsidR="00FC3EF6" w:rsidRPr="008073AC">
        <w:rPr>
          <w:rFonts w:ascii="Cambria" w:eastAsia="Batang" w:hAnsi="Cambria" w:cs="Times New Roman"/>
          <w:color w:val="000000"/>
          <w:sz w:val="21"/>
          <w:szCs w:val="21"/>
        </w:rPr>
        <w:t>.</w:t>
      </w:r>
    </w:p>
    <w:p w14:paraId="57BC2884" w14:textId="77777777" w:rsidR="00850127" w:rsidRPr="008073AC" w:rsidRDefault="00850127" w:rsidP="008073AC">
      <w:pPr>
        <w:spacing w:after="0" w:line="240" w:lineRule="auto"/>
        <w:ind w:firstLine="360"/>
        <w:jc w:val="both"/>
        <w:rPr>
          <w:rFonts w:ascii="Cambria" w:eastAsia="Batang" w:hAnsi="Cambria" w:cs="Times New Roman"/>
          <w:color w:val="000000"/>
          <w:sz w:val="21"/>
          <w:szCs w:val="21"/>
        </w:rPr>
      </w:pPr>
    </w:p>
    <w:p w14:paraId="014A6AC5" w14:textId="701F3899" w:rsidR="00850127" w:rsidRPr="008073AC" w:rsidRDefault="00A86F3A" w:rsidP="008073AC">
      <w:pPr>
        <w:numPr>
          <w:ilvl w:val="0"/>
          <w:numId w:val="3"/>
        </w:numPr>
        <w:spacing w:after="0" w:line="240" w:lineRule="auto"/>
        <w:ind w:left="0" w:firstLine="360"/>
        <w:jc w:val="both"/>
        <w:rPr>
          <w:rFonts w:ascii="Cambria" w:eastAsia="Batang" w:hAnsi="Cambria" w:cs="Times New Roman"/>
          <w:color w:val="000000"/>
          <w:sz w:val="21"/>
          <w:szCs w:val="21"/>
        </w:rPr>
      </w:pPr>
      <w:r w:rsidRPr="008073AC">
        <w:rPr>
          <w:rFonts w:ascii="Cambria" w:eastAsia="Batang" w:hAnsi="Cambria" w:cs="Times New Roman"/>
          <w:color w:val="000000"/>
          <w:sz w:val="21"/>
          <w:szCs w:val="21"/>
        </w:rPr>
        <w:t>Entre</w:t>
      </w:r>
      <w:r w:rsidR="004F0B9E" w:rsidRPr="008073AC">
        <w:rPr>
          <w:rFonts w:ascii="Cambria" w:eastAsia="Batang" w:hAnsi="Cambria" w:cs="Times New Roman"/>
          <w:color w:val="000000"/>
          <w:sz w:val="21"/>
          <w:szCs w:val="21"/>
        </w:rPr>
        <w:t xml:space="preserve"> los días</w:t>
      </w:r>
      <w:r w:rsidRPr="008073AC">
        <w:rPr>
          <w:rFonts w:ascii="Cambria" w:eastAsia="Batang" w:hAnsi="Cambria" w:cs="Times New Roman"/>
          <w:color w:val="000000"/>
          <w:sz w:val="21"/>
          <w:szCs w:val="21"/>
        </w:rPr>
        <w:t xml:space="preserve"> 15 y 16 de febrero de 2020, </w:t>
      </w:r>
      <w:r w:rsidR="004F0B9E" w:rsidRPr="008073AC">
        <w:rPr>
          <w:rFonts w:ascii="Cambria" w:eastAsia="Batang" w:hAnsi="Cambria" w:cs="Times New Roman"/>
          <w:color w:val="000000"/>
          <w:sz w:val="21"/>
          <w:szCs w:val="21"/>
        </w:rPr>
        <w:t xml:space="preserve">un integrante de la comunidad </w:t>
      </w:r>
      <w:r w:rsidRPr="008073AC">
        <w:rPr>
          <w:rFonts w:ascii="Cambria" w:eastAsia="Batang" w:hAnsi="Cambria" w:cs="Times New Roman"/>
          <w:color w:val="000000"/>
          <w:sz w:val="21"/>
          <w:szCs w:val="21"/>
        </w:rPr>
        <w:t xml:space="preserve">habría </w:t>
      </w:r>
      <w:r w:rsidR="004F0B9E" w:rsidRPr="008073AC">
        <w:rPr>
          <w:rFonts w:ascii="Cambria" w:eastAsia="Batang" w:hAnsi="Cambria" w:cs="Times New Roman"/>
          <w:color w:val="000000"/>
          <w:sz w:val="21"/>
          <w:szCs w:val="21"/>
        </w:rPr>
        <w:t xml:space="preserve">avistado </w:t>
      </w:r>
      <w:r w:rsidRPr="008073AC">
        <w:rPr>
          <w:rFonts w:ascii="Cambria" w:eastAsia="Batang" w:hAnsi="Cambria" w:cs="Times New Roman"/>
          <w:color w:val="000000"/>
          <w:sz w:val="21"/>
          <w:szCs w:val="21"/>
        </w:rPr>
        <w:t>un cartel</w:t>
      </w:r>
      <w:r w:rsidR="009868AB">
        <w:rPr>
          <w:rFonts w:ascii="Cambria" w:eastAsia="Batang" w:hAnsi="Cambria" w:cs="Times New Roman"/>
          <w:color w:val="000000"/>
          <w:sz w:val="21"/>
          <w:szCs w:val="21"/>
        </w:rPr>
        <w:t>,</w:t>
      </w:r>
      <w:r w:rsidRPr="008073AC">
        <w:rPr>
          <w:rFonts w:ascii="Cambria" w:eastAsia="Batang" w:hAnsi="Cambria" w:cs="Times New Roman"/>
          <w:color w:val="000000"/>
          <w:sz w:val="21"/>
          <w:szCs w:val="21"/>
        </w:rPr>
        <w:t xml:space="preserve"> ubicado dentro del </w:t>
      </w:r>
      <w:r w:rsidR="00CA49AC" w:rsidRPr="008073AC">
        <w:rPr>
          <w:rFonts w:ascii="Cambria" w:eastAsia="Batang" w:hAnsi="Cambria" w:cs="Times New Roman"/>
          <w:color w:val="000000"/>
          <w:sz w:val="21"/>
          <w:szCs w:val="21"/>
        </w:rPr>
        <w:t xml:space="preserve">terreno </w:t>
      </w:r>
      <w:r w:rsidRPr="008073AC">
        <w:rPr>
          <w:rFonts w:ascii="Cambria" w:eastAsia="Batang" w:hAnsi="Cambria" w:cs="Times New Roman"/>
          <w:color w:val="000000"/>
          <w:sz w:val="21"/>
          <w:szCs w:val="21"/>
        </w:rPr>
        <w:t>de la comunidad</w:t>
      </w:r>
      <w:r w:rsidR="00CA49AC" w:rsidRPr="008073AC">
        <w:rPr>
          <w:rFonts w:ascii="Cambria" w:eastAsia="Batang" w:hAnsi="Cambria" w:cs="Times New Roman"/>
          <w:color w:val="000000"/>
          <w:sz w:val="21"/>
          <w:szCs w:val="21"/>
        </w:rPr>
        <w:t>, que contenía</w:t>
      </w:r>
      <w:r w:rsidRPr="008073AC">
        <w:rPr>
          <w:rFonts w:ascii="Cambria" w:eastAsia="Batang" w:hAnsi="Cambria" w:cs="Times New Roman"/>
          <w:color w:val="000000"/>
          <w:sz w:val="21"/>
          <w:szCs w:val="21"/>
        </w:rPr>
        <w:t xml:space="preserve"> </w:t>
      </w:r>
      <w:r w:rsidR="00CA49AC" w:rsidRPr="008073AC">
        <w:rPr>
          <w:rFonts w:ascii="Cambria" w:eastAsia="Batang" w:hAnsi="Cambria" w:cs="Times New Roman"/>
          <w:color w:val="000000"/>
          <w:sz w:val="21"/>
          <w:szCs w:val="21"/>
        </w:rPr>
        <w:t>mensajes</w:t>
      </w:r>
      <w:r w:rsidRPr="008073AC">
        <w:rPr>
          <w:rFonts w:ascii="Cambria" w:eastAsia="Batang" w:hAnsi="Cambria" w:cs="Times New Roman"/>
          <w:color w:val="000000"/>
          <w:sz w:val="21"/>
          <w:szCs w:val="21"/>
        </w:rPr>
        <w:t xml:space="preserve"> </w:t>
      </w:r>
      <w:r w:rsidR="006C427E" w:rsidRPr="008073AC">
        <w:rPr>
          <w:rFonts w:ascii="Cambria" w:eastAsia="Batang" w:hAnsi="Cambria" w:cs="Times New Roman"/>
          <w:color w:val="000000"/>
          <w:sz w:val="21"/>
          <w:szCs w:val="21"/>
        </w:rPr>
        <w:t xml:space="preserve">degradantes en su contra. </w:t>
      </w:r>
      <w:r w:rsidR="00850127" w:rsidRPr="008073AC">
        <w:rPr>
          <w:rFonts w:ascii="Cambria" w:eastAsia="Batang" w:hAnsi="Cambria" w:cs="Times New Roman"/>
          <w:color w:val="000000"/>
          <w:sz w:val="21"/>
          <w:szCs w:val="21"/>
        </w:rPr>
        <w:t xml:space="preserve">El </w:t>
      </w:r>
      <w:r w:rsidR="005123D7" w:rsidRPr="008073AC">
        <w:rPr>
          <w:rFonts w:ascii="Cambria" w:eastAsia="Batang" w:hAnsi="Cambria" w:cs="Times New Roman"/>
          <w:color w:val="000000"/>
          <w:sz w:val="21"/>
          <w:szCs w:val="21"/>
        </w:rPr>
        <w:t xml:space="preserve">18 de febrero, </w:t>
      </w:r>
      <w:proofErr w:type="gramStart"/>
      <w:r w:rsidR="005123D7" w:rsidRPr="008073AC">
        <w:rPr>
          <w:rFonts w:ascii="Cambria" w:eastAsia="Batang" w:hAnsi="Cambria" w:cs="Times New Roman"/>
          <w:color w:val="000000"/>
          <w:sz w:val="21"/>
          <w:szCs w:val="21"/>
        </w:rPr>
        <w:t xml:space="preserve">una </w:t>
      </w:r>
      <w:r w:rsidR="006F41C9" w:rsidRPr="008073AC">
        <w:rPr>
          <w:rFonts w:ascii="Cambria" w:eastAsia="Batang" w:hAnsi="Cambria" w:cs="Times New Roman"/>
          <w:color w:val="000000"/>
          <w:sz w:val="21"/>
          <w:szCs w:val="21"/>
        </w:rPr>
        <w:t>de las propuestas beneficiarias</w:t>
      </w:r>
      <w:r w:rsidR="005123D7" w:rsidRPr="008073AC">
        <w:rPr>
          <w:rFonts w:ascii="Cambria" w:eastAsia="Batang" w:hAnsi="Cambria" w:cs="Times New Roman"/>
          <w:color w:val="000000"/>
          <w:sz w:val="21"/>
          <w:szCs w:val="21"/>
        </w:rPr>
        <w:t xml:space="preserve"> y su núcleo familiar habría</w:t>
      </w:r>
      <w:r w:rsidR="00054140" w:rsidRPr="008073AC">
        <w:rPr>
          <w:rFonts w:ascii="Cambria" w:eastAsia="Batang" w:hAnsi="Cambria" w:cs="Times New Roman"/>
          <w:color w:val="000000"/>
          <w:sz w:val="21"/>
          <w:szCs w:val="21"/>
        </w:rPr>
        <w:t>n</w:t>
      </w:r>
      <w:proofErr w:type="gramEnd"/>
      <w:r w:rsidR="005123D7" w:rsidRPr="008073AC">
        <w:rPr>
          <w:rFonts w:ascii="Cambria" w:eastAsia="Batang" w:hAnsi="Cambria" w:cs="Times New Roman"/>
          <w:color w:val="000000"/>
          <w:sz w:val="21"/>
          <w:szCs w:val="21"/>
        </w:rPr>
        <w:t xml:space="preserve"> sido </w:t>
      </w:r>
      <w:r w:rsidR="00054140" w:rsidRPr="008073AC">
        <w:rPr>
          <w:rFonts w:ascii="Cambria" w:eastAsia="Batang" w:hAnsi="Cambria" w:cs="Times New Roman"/>
          <w:color w:val="000000"/>
          <w:sz w:val="21"/>
          <w:szCs w:val="21"/>
        </w:rPr>
        <w:t>interceptados</w:t>
      </w:r>
      <w:r w:rsidR="005123D7" w:rsidRPr="008073AC">
        <w:rPr>
          <w:rFonts w:ascii="Cambria" w:eastAsia="Batang" w:hAnsi="Cambria" w:cs="Times New Roman"/>
          <w:color w:val="000000"/>
          <w:sz w:val="21"/>
          <w:szCs w:val="21"/>
        </w:rPr>
        <w:t xml:space="preserve"> en su camino</w:t>
      </w:r>
      <w:r w:rsidR="00CA49AC" w:rsidRPr="008073AC">
        <w:rPr>
          <w:rFonts w:ascii="Cambria" w:eastAsia="Batang" w:hAnsi="Cambria" w:cs="Times New Roman"/>
          <w:color w:val="000000"/>
          <w:sz w:val="21"/>
          <w:szCs w:val="21"/>
        </w:rPr>
        <w:t xml:space="preserve"> por un grupo de personas que, portando armas de fuego, les amenazaron:</w:t>
      </w:r>
      <w:r w:rsidR="003919E6" w:rsidRPr="008073AC">
        <w:rPr>
          <w:rFonts w:ascii="Cambria" w:eastAsia="Batang" w:hAnsi="Cambria" w:cs="Times New Roman"/>
          <w:color w:val="000000"/>
          <w:sz w:val="21"/>
          <w:szCs w:val="21"/>
        </w:rPr>
        <w:t xml:space="preserve"> “tengo otra gente que de mi familia y </w:t>
      </w:r>
      <w:r w:rsidR="00054140" w:rsidRPr="008073AC">
        <w:rPr>
          <w:rFonts w:ascii="Cambria" w:eastAsia="Batang" w:hAnsi="Cambria" w:cs="Times New Roman"/>
          <w:color w:val="000000"/>
          <w:sz w:val="21"/>
          <w:szCs w:val="21"/>
        </w:rPr>
        <w:t xml:space="preserve">te vamos hacer mierda hasta que desaparezcas loca de mierda, india de mierda”. </w:t>
      </w:r>
      <w:r w:rsidR="00D824FC" w:rsidRPr="008073AC">
        <w:rPr>
          <w:rFonts w:ascii="Cambria" w:eastAsia="Batang" w:hAnsi="Cambria" w:cs="Times New Roman"/>
          <w:color w:val="000000"/>
          <w:sz w:val="21"/>
          <w:szCs w:val="21"/>
        </w:rPr>
        <w:t>Además, el neumático de su vehículo habría sido pinchado nuevamente</w:t>
      </w:r>
      <w:r w:rsidR="00FC3EF6" w:rsidRPr="008073AC">
        <w:rPr>
          <w:rFonts w:ascii="Cambria" w:eastAsia="Batang" w:hAnsi="Cambria" w:cs="Times New Roman"/>
          <w:color w:val="000000"/>
          <w:sz w:val="21"/>
          <w:szCs w:val="21"/>
        </w:rPr>
        <w:t>, por el mismo tipo de dispositivo referido anteriormente</w:t>
      </w:r>
      <w:r w:rsidR="00D824FC" w:rsidRPr="008073AC">
        <w:rPr>
          <w:rFonts w:ascii="Cambria" w:eastAsia="Batang" w:hAnsi="Cambria" w:cs="Times New Roman"/>
          <w:color w:val="000000"/>
          <w:sz w:val="21"/>
          <w:szCs w:val="21"/>
        </w:rPr>
        <w:t xml:space="preserve">. Los propuestos beneficiarios llamaron a la policía, quien les indicó que esperaran a la llegada del equipo forense, el cual al parecer nunca acudió. Los solicitantes también relataron que </w:t>
      </w:r>
      <w:proofErr w:type="gramStart"/>
      <w:r w:rsidR="00D824FC" w:rsidRPr="008073AC">
        <w:rPr>
          <w:rFonts w:ascii="Cambria" w:eastAsia="Batang" w:hAnsi="Cambria" w:cs="Times New Roman"/>
          <w:color w:val="000000"/>
          <w:sz w:val="21"/>
          <w:szCs w:val="21"/>
        </w:rPr>
        <w:t xml:space="preserve">una familia </w:t>
      </w:r>
      <w:r w:rsidR="007D4AA6" w:rsidRPr="008073AC">
        <w:rPr>
          <w:rFonts w:ascii="Cambria" w:eastAsia="Batang" w:hAnsi="Cambria" w:cs="Times New Roman"/>
          <w:color w:val="000000"/>
          <w:sz w:val="21"/>
          <w:szCs w:val="21"/>
        </w:rPr>
        <w:t>vinculada con los demandantes lo</w:t>
      </w:r>
      <w:r w:rsidR="00D824FC" w:rsidRPr="008073AC">
        <w:rPr>
          <w:rFonts w:ascii="Cambria" w:eastAsia="Batang" w:hAnsi="Cambria" w:cs="Times New Roman"/>
          <w:color w:val="000000"/>
          <w:sz w:val="21"/>
          <w:szCs w:val="21"/>
        </w:rPr>
        <w:t>s increparon</w:t>
      </w:r>
      <w:proofErr w:type="gramEnd"/>
      <w:r w:rsidR="00D824FC" w:rsidRPr="008073AC">
        <w:rPr>
          <w:rFonts w:ascii="Cambria" w:eastAsia="Batang" w:hAnsi="Cambria" w:cs="Times New Roman"/>
          <w:color w:val="000000"/>
          <w:sz w:val="21"/>
          <w:szCs w:val="21"/>
        </w:rPr>
        <w:t xml:space="preserve"> al transitar con su vehículo por el camino:</w:t>
      </w:r>
      <w:r w:rsidR="009138AB" w:rsidRPr="008073AC">
        <w:rPr>
          <w:rFonts w:ascii="Cambria" w:eastAsia="Batang" w:hAnsi="Cambria" w:cs="Times New Roman"/>
          <w:color w:val="000000"/>
          <w:sz w:val="21"/>
          <w:szCs w:val="21"/>
        </w:rPr>
        <w:t xml:space="preserve"> “</w:t>
      </w:r>
      <w:r w:rsidR="006F5167" w:rsidRPr="008073AC">
        <w:rPr>
          <w:rFonts w:ascii="Cambria" w:eastAsia="Batang" w:hAnsi="Cambria" w:cs="Times New Roman"/>
          <w:color w:val="000000"/>
          <w:sz w:val="21"/>
          <w:szCs w:val="21"/>
        </w:rPr>
        <w:t>ya vas a ver nos vamos a encontrar en la escuela te vamos a hacer mierda”</w:t>
      </w:r>
      <w:r w:rsidR="009A210E" w:rsidRPr="008073AC">
        <w:rPr>
          <w:rFonts w:ascii="Cambria" w:eastAsia="Batang" w:hAnsi="Cambria" w:cs="Times New Roman"/>
          <w:color w:val="000000"/>
          <w:sz w:val="21"/>
          <w:szCs w:val="21"/>
        </w:rPr>
        <w:t xml:space="preserve">, supuestamente </w:t>
      </w:r>
      <w:r w:rsidR="008773DE" w:rsidRPr="008073AC">
        <w:rPr>
          <w:rFonts w:ascii="Cambria" w:eastAsia="Batang" w:hAnsi="Cambria" w:cs="Times New Roman"/>
          <w:color w:val="000000"/>
          <w:sz w:val="21"/>
          <w:szCs w:val="21"/>
        </w:rPr>
        <w:t xml:space="preserve">afirmado por una niña a otra </w:t>
      </w:r>
      <w:r w:rsidR="00FC3EF6" w:rsidRPr="008073AC">
        <w:rPr>
          <w:rFonts w:ascii="Cambria" w:eastAsia="Batang" w:hAnsi="Cambria" w:cs="Times New Roman"/>
          <w:color w:val="000000"/>
          <w:sz w:val="21"/>
          <w:szCs w:val="21"/>
        </w:rPr>
        <w:t xml:space="preserve">niña </w:t>
      </w:r>
      <w:r w:rsidR="008773DE" w:rsidRPr="008073AC">
        <w:rPr>
          <w:rFonts w:ascii="Cambria" w:eastAsia="Batang" w:hAnsi="Cambria" w:cs="Times New Roman"/>
          <w:color w:val="000000"/>
          <w:sz w:val="21"/>
          <w:szCs w:val="21"/>
        </w:rPr>
        <w:t>propuesta beneficiaria</w:t>
      </w:r>
      <w:r w:rsidR="002B693D" w:rsidRPr="008073AC">
        <w:rPr>
          <w:rFonts w:ascii="Cambria" w:eastAsia="Batang" w:hAnsi="Cambria" w:cs="Times New Roman"/>
          <w:color w:val="000000"/>
          <w:sz w:val="21"/>
          <w:szCs w:val="21"/>
        </w:rPr>
        <w:t>.</w:t>
      </w:r>
    </w:p>
    <w:p w14:paraId="1EEEC516" w14:textId="77777777" w:rsidR="00D0035A" w:rsidRPr="008073AC" w:rsidRDefault="00D0035A" w:rsidP="008073AC">
      <w:pPr>
        <w:spacing w:after="0" w:line="240" w:lineRule="auto"/>
        <w:ind w:firstLine="360"/>
        <w:jc w:val="both"/>
        <w:rPr>
          <w:rFonts w:ascii="Cambria" w:eastAsia="Batang" w:hAnsi="Cambria" w:cs="Times New Roman"/>
          <w:color w:val="000000"/>
          <w:sz w:val="21"/>
          <w:szCs w:val="21"/>
        </w:rPr>
      </w:pPr>
    </w:p>
    <w:p w14:paraId="490B9557" w14:textId="2108B8BD" w:rsidR="00D0035A" w:rsidRPr="008073AC" w:rsidRDefault="00D0035A" w:rsidP="008073AC">
      <w:pPr>
        <w:numPr>
          <w:ilvl w:val="0"/>
          <w:numId w:val="3"/>
        </w:numPr>
        <w:spacing w:after="0" w:line="240" w:lineRule="auto"/>
        <w:ind w:left="0" w:firstLine="360"/>
        <w:jc w:val="both"/>
        <w:rPr>
          <w:rFonts w:ascii="Cambria" w:eastAsia="Batang" w:hAnsi="Cambria" w:cs="Times New Roman"/>
          <w:color w:val="000000"/>
          <w:sz w:val="21"/>
          <w:szCs w:val="21"/>
        </w:rPr>
      </w:pPr>
      <w:r w:rsidRPr="008073AC">
        <w:rPr>
          <w:rFonts w:ascii="Cambria" w:eastAsia="Batang" w:hAnsi="Cambria" w:cs="Times New Roman"/>
          <w:color w:val="000000"/>
          <w:sz w:val="21"/>
          <w:szCs w:val="21"/>
        </w:rPr>
        <w:t>El 29 de marzo de 2020,</w:t>
      </w:r>
      <w:r w:rsidR="00C366EC" w:rsidRPr="008073AC">
        <w:rPr>
          <w:rFonts w:ascii="Cambria" w:eastAsia="Batang" w:hAnsi="Cambria" w:cs="Times New Roman"/>
          <w:color w:val="000000"/>
          <w:sz w:val="21"/>
          <w:szCs w:val="21"/>
        </w:rPr>
        <w:t xml:space="preserve"> dos propuestos beneficiarios, entre ellos un niño, habrían sido “apedreados con gomeras” cuando caminaban hacia el territorio en disputa</w:t>
      </w:r>
      <w:r w:rsidR="00124E66" w:rsidRPr="008073AC">
        <w:rPr>
          <w:rFonts w:ascii="Cambria" w:eastAsia="Batang" w:hAnsi="Cambria" w:cs="Times New Roman"/>
          <w:color w:val="000000"/>
          <w:sz w:val="21"/>
          <w:szCs w:val="21"/>
        </w:rPr>
        <w:t xml:space="preserve">. El 30 de marzo, los </w:t>
      </w:r>
      <w:r w:rsidR="00D824FC" w:rsidRPr="008073AC">
        <w:rPr>
          <w:rFonts w:ascii="Cambria" w:eastAsia="Batang" w:hAnsi="Cambria" w:cs="Times New Roman"/>
          <w:color w:val="000000"/>
          <w:sz w:val="21"/>
          <w:szCs w:val="21"/>
        </w:rPr>
        <w:t xml:space="preserve">presuntos </w:t>
      </w:r>
      <w:r w:rsidR="00124E66" w:rsidRPr="008073AC">
        <w:rPr>
          <w:rFonts w:ascii="Cambria" w:eastAsia="Batang" w:hAnsi="Cambria" w:cs="Times New Roman"/>
          <w:color w:val="000000"/>
          <w:sz w:val="21"/>
          <w:szCs w:val="21"/>
        </w:rPr>
        <w:t>perpetradores habría</w:t>
      </w:r>
      <w:r w:rsidR="003455B7" w:rsidRPr="008073AC">
        <w:rPr>
          <w:rFonts w:ascii="Cambria" w:eastAsia="Batang" w:hAnsi="Cambria" w:cs="Times New Roman"/>
          <w:color w:val="000000"/>
          <w:sz w:val="21"/>
          <w:szCs w:val="21"/>
        </w:rPr>
        <w:t>n</w:t>
      </w:r>
      <w:r w:rsidR="00124E66" w:rsidRPr="008073AC">
        <w:rPr>
          <w:rFonts w:ascii="Cambria" w:eastAsia="Batang" w:hAnsi="Cambria" w:cs="Times New Roman"/>
          <w:color w:val="000000"/>
          <w:sz w:val="21"/>
          <w:szCs w:val="21"/>
        </w:rPr>
        <w:t xml:space="preserve"> nuevamente disparado con armas de fuego en contra de</w:t>
      </w:r>
      <w:r w:rsidR="00193734" w:rsidRPr="008073AC">
        <w:rPr>
          <w:rFonts w:ascii="Cambria" w:eastAsia="Batang" w:hAnsi="Cambria" w:cs="Times New Roman"/>
          <w:color w:val="000000"/>
          <w:sz w:val="21"/>
          <w:szCs w:val="21"/>
        </w:rPr>
        <w:t>l</w:t>
      </w:r>
      <w:r w:rsidR="00124E66" w:rsidRPr="008073AC">
        <w:rPr>
          <w:rFonts w:ascii="Cambria" w:eastAsia="Batang" w:hAnsi="Cambria" w:cs="Times New Roman"/>
          <w:color w:val="000000"/>
          <w:sz w:val="21"/>
          <w:szCs w:val="21"/>
        </w:rPr>
        <w:t xml:space="preserve"> </w:t>
      </w:r>
      <w:r w:rsidR="00D824FC" w:rsidRPr="008073AC">
        <w:rPr>
          <w:rFonts w:ascii="Cambria" w:eastAsia="Batang" w:hAnsi="Cambria" w:cs="Times New Roman"/>
          <w:color w:val="000000"/>
          <w:sz w:val="21"/>
          <w:szCs w:val="21"/>
        </w:rPr>
        <w:t xml:space="preserve">vehículo </w:t>
      </w:r>
      <w:r w:rsidR="00193734" w:rsidRPr="008073AC">
        <w:rPr>
          <w:rFonts w:ascii="Cambria" w:eastAsia="Batang" w:hAnsi="Cambria" w:cs="Times New Roman"/>
          <w:color w:val="000000"/>
          <w:sz w:val="21"/>
          <w:szCs w:val="21"/>
        </w:rPr>
        <w:t xml:space="preserve">de personas propuestas como beneficiarias </w:t>
      </w:r>
      <w:r w:rsidR="00124E66" w:rsidRPr="008073AC">
        <w:rPr>
          <w:rFonts w:ascii="Cambria" w:eastAsia="Batang" w:hAnsi="Cambria" w:cs="Times New Roman"/>
          <w:color w:val="000000"/>
          <w:sz w:val="21"/>
          <w:szCs w:val="21"/>
        </w:rPr>
        <w:t xml:space="preserve">en el </w:t>
      </w:r>
      <w:r w:rsidR="00B40DCC" w:rsidRPr="008073AC">
        <w:rPr>
          <w:rFonts w:ascii="Cambria" w:eastAsia="Batang" w:hAnsi="Cambria" w:cs="Times New Roman"/>
          <w:color w:val="000000"/>
          <w:sz w:val="21"/>
          <w:szCs w:val="21"/>
        </w:rPr>
        <w:t xml:space="preserve">referido </w:t>
      </w:r>
      <w:r w:rsidR="00124E66" w:rsidRPr="008073AC">
        <w:rPr>
          <w:rFonts w:ascii="Cambria" w:eastAsia="Batang" w:hAnsi="Cambria" w:cs="Times New Roman"/>
          <w:color w:val="000000"/>
          <w:sz w:val="21"/>
          <w:szCs w:val="21"/>
        </w:rPr>
        <w:t xml:space="preserve">camino </w:t>
      </w:r>
      <w:r w:rsidR="00B40DCC" w:rsidRPr="008073AC">
        <w:rPr>
          <w:rFonts w:ascii="Cambria" w:eastAsia="Batang" w:hAnsi="Cambria" w:cs="Times New Roman"/>
          <w:color w:val="000000"/>
          <w:sz w:val="21"/>
          <w:szCs w:val="21"/>
        </w:rPr>
        <w:t>hacia el</w:t>
      </w:r>
      <w:r w:rsidR="00124E66" w:rsidRPr="008073AC">
        <w:rPr>
          <w:rFonts w:ascii="Cambria" w:eastAsia="Batang" w:hAnsi="Cambria" w:cs="Times New Roman"/>
          <w:color w:val="000000"/>
          <w:sz w:val="21"/>
          <w:szCs w:val="21"/>
        </w:rPr>
        <w:t xml:space="preserve"> territorio</w:t>
      </w:r>
      <w:r w:rsidR="002106CF" w:rsidRPr="008073AC">
        <w:rPr>
          <w:rFonts w:ascii="Cambria" w:eastAsia="Batang" w:hAnsi="Cambria" w:cs="Times New Roman"/>
          <w:color w:val="000000"/>
          <w:sz w:val="21"/>
          <w:szCs w:val="21"/>
        </w:rPr>
        <w:t>, habiendo en seguida golpeado</w:t>
      </w:r>
      <w:r w:rsidR="00D824FC" w:rsidRPr="008073AC">
        <w:rPr>
          <w:rFonts w:ascii="Cambria" w:eastAsia="Batang" w:hAnsi="Cambria" w:cs="Times New Roman"/>
          <w:color w:val="000000"/>
          <w:sz w:val="21"/>
          <w:szCs w:val="21"/>
        </w:rPr>
        <w:t xml:space="preserve"> a</w:t>
      </w:r>
      <w:r w:rsidR="002106CF" w:rsidRPr="008073AC">
        <w:rPr>
          <w:rFonts w:ascii="Cambria" w:eastAsia="Batang" w:hAnsi="Cambria" w:cs="Times New Roman"/>
          <w:color w:val="000000"/>
          <w:sz w:val="21"/>
          <w:szCs w:val="21"/>
        </w:rPr>
        <w:t xml:space="preserve"> uno de </w:t>
      </w:r>
      <w:r w:rsidR="00D824FC" w:rsidRPr="008073AC">
        <w:rPr>
          <w:rFonts w:ascii="Cambria" w:eastAsia="Batang" w:hAnsi="Cambria" w:cs="Times New Roman"/>
          <w:color w:val="000000"/>
          <w:sz w:val="21"/>
          <w:szCs w:val="21"/>
        </w:rPr>
        <w:t>sus ocupantes</w:t>
      </w:r>
      <w:r w:rsidR="00F21BD7" w:rsidRPr="008073AC">
        <w:rPr>
          <w:rFonts w:ascii="Cambria" w:eastAsia="Batang" w:hAnsi="Cambria" w:cs="Times New Roman"/>
          <w:color w:val="000000"/>
          <w:sz w:val="21"/>
          <w:szCs w:val="21"/>
        </w:rPr>
        <w:t xml:space="preserve">. Según la solicitud, </w:t>
      </w:r>
      <w:r w:rsidR="00000E4B" w:rsidRPr="008073AC">
        <w:rPr>
          <w:rFonts w:ascii="Cambria" w:eastAsia="Batang" w:hAnsi="Cambria" w:cs="Times New Roman"/>
          <w:color w:val="000000"/>
          <w:sz w:val="21"/>
          <w:szCs w:val="21"/>
        </w:rPr>
        <w:t>la policía habría acudido</w:t>
      </w:r>
      <w:r w:rsidR="001D22A8" w:rsidRPr="008073AC">
        <w:rPr>
          <w:rFonts w:ascii="Cambria" w:eastAsia="Batang" w:hAnsi="Cambria" w:cs="Times New Roman"/>
          <w:color w:val="000000"/>
          <w:sz w:val="21"/>
          <w:szCs w:val="21"/>
        </w:rPr>
        <w:t>,</w:t>
      </w:r>
      <w:r w:rsidR="00000E4B" w:rsidRPr="008073AC">
        <w:rPr>
          <w:rFonts w:ascii="Cambria" w:eastAsia="Batang" w:hAnsi="Cambria" w:cs="Times New Roman"/>
          <w:color w:val="000000"/>
          <w:sz w:val="21"/>
          <w:szCs w:val="21"/>
        </w:rPr>
        <w:t xml:space="preserve"> pero aún no disponía de la orden de registro correspondiente.</w:t>
      </w:r>
    </w:p>
    <w:p w14:paraId="5C6D005C" w14:textId="77777777" w:rsidR="00F21BD7" w:rsidRPr="008073AC" w:rsidRDefault="00F21BD7" w:rsidP="008073AC">
      <w:pPr>
        <w:spacing w:after="0" w:line="240" w:lineRule="auto"/>
        <w:ind w:firstLine="360"/>
        <w:jc w:val="both"/>
        <w:rPr>
          <w:rFonts w:ascii="Cambria" w:eastAsia="Batang" w:hAnsi="Cambria" w:cs="Times New Roman"/>
          <w:color w:val="000000"/>
          <w:sz w:val="21"/>
          <w:szCs w:val="21"/>
        </w:rPr>
      </w:pPr>
    </w:p>
    <w:p w14:paraId="5CB3B22C" w14:textId="71D31426" w:rsidR="0070087B" w:rsidRPr="008073AC" w:rsidRDefault="00F21BD7" w:rsidP="008073AC">
      <w:pPr>
        <w:numPr>
          <w:ilvl w:val="0"/>
          <w:numId w:val="3"/>
        </w:numPr>
        <w:spacing w:after="0" w:line="240" w:lineRule="auto"/>
        <w:ind w:left="0" w:firstLine="360"/>
        <w:jc w:val="both"/>
        <w:rPr>
          <w:rFonts w:ascii="Cambria" w:eastAsia="Batang" w:hAnsi="Cambria" w:cs="Times New Roman"/>
          <w:color w:val="000000"/>
          <w:sz w:val="21"/>
          <w:szCs w:val="21"/>
        </w:rPr>
      </w:pPr>
      <w:r w:rsidRPr="008073AC">
        <w:rPr>
          <w:rFonts w:ascii="Cambria" w:eastAsia="Batang" w:hAnsi="Cambria" w:cs="Times New Roman"/>
          <w:color w:val="000000"/>
          <w:sz w:val="21"/>
          <w:szCs w:val="21"/>
        </w:rPr>
        <w:t>En comunicación del 31 de marzo de 2020, los solicitantes añadieron que “</w:t>
      </w:r>
      <w:r w:rsidR="000D22D7" w:rsidRPr="008073AC">
        <w:rPr>
          <w:rFonts w:ascii="Cambria" w:eastAsia="Batang" w:hAnsi="Cambria" w:cs="Times New Roman"/>
          <w:color w:val="000000"/>
          <w:sz w:val="21"/>
          <w:szCs w:val="21"/>
        </w:rPr>
        <w:t>[c]</w:t>
      </w:r>
      <w:proofErr w:type="spellStart"/>
      <w:r w:rsidRPr="008073AC">
        <w:rPr>
          <w:rFonts w:ascii="Cambria" w:eastAsia="Batang" w:hAnsi="Cambria" w:cs="Times New Roman"/>
          <w:color w:val="000000"/>
          <w:sz w:val="21"/>
          <w:szCs w:val="21"/>
        </w:rPr>
        <w:t>ontin</w:t>
      </w:r>
      <w:r w:rsidR="00000E4B" w:rsidRPr="008073AC">
        <w:rPr>
          <w:rFonts w:ascii="Cambria" w:eastAsia="Batang" w:hAnsi="Cambria" w:cs="Times New Roman"/>
          <w:color w:val="000000"/>
          <w:sz w:val="21"/>
          <w:szCs w:val="21"/>
        </w:rPr>
        <w:t>ú</w:t>
      </w:r>
      <w:r w:rsidRPr="008073AC">
        <w:rPr>
          <w:rFonts w:ascii="Cambria" w:eastAsia="Batang" w:hAnsi="Cambria" w:cs="Times New Roman"/>
          <w:color w:val="000000"/>
          <w:sz w:val="21"/>
          <w:szCs w:val="21"/>
        </w:rPr>
        <w:t>a</w:t>
      </w:r>
      <w:proofErr w:type="spellEnd"/>
      <w:r w:rsidRPr="008073AC">
        <w:rPr>
          <w:rFonts w:ascii="Cambria" w:eastAsia="Batang" w:hAnsi="Cambria" w:cs="Times New Roman"/>
          <w:color w:val="000000"/>
          <w:sz w:val="21"/>
          <w:szCs w:val="21"/>
        </w:rPr>
        <w:t xml:space="preserve"> siendo constante el hostigamiento, el amedrentamiento y las amenazas a la</w:t>
      </w:r>
      <w:r w:rsidR="000D22D7" w:rsidRPr="008073AC">
        <w:rPr>
          <w:rFonts w:ascii="Cambria" w:eastAsia="Batang" w:hAnsi="Cambria" w:cs="Times New Roman"/>
          <w:color w:val="000000"/>
          <w:sz w:val="21"/>
          <w:szCs w:val="21"/>
        </w:rPr>
        <w:t xml:space="preserve"> </w:t>
      </w:r>
      <w:r w:rsidRPr="008073AC">
        <w:rPr>
          <w:rFonts w:ascii="Cambria" w:eastAsia="Batang" w:hAnsi="Cambria" w:cs="Times New Roman"/>
          <w:color w:val="000000"/>
          <w:sz w:val="21"/>
          <w:szCs w:val="21"/>
        </w:rPr>
        <w:t>comunidad</w:t>
      </w:r>
      <w:r w:rsidR="000D22D7" w:rsidRPr="008073AC">
        <w:rPr>
          <w:rFonts w:ascii="Cambria" w:eastAsia="Batang" w:hAnsi="Cambria" w:cs="Times New Roman"/>
          <w:color w:val="000000"/>
          <w:sz w:val="21"/>
          <w:szCs w:val="21"/>
        </w:rPr>
        <w:t>” y que “[l]os niños de la comunidad tienen miedo de salir del territorio”.</w:t>
      </w:r>
      <w:r w:rsidR="00BE5B56" w:rsidRPr="008073AC">
        <w:rPr>
          <w:rFonts w:ascii="Cambria" w:eastAsia="Batang" w:hAnsi="Cambria" w:cs="Times New Roman"/>
          <w:color w:val="000000"/>
          <w:sz w:val="21"/>
          <w:szCs w:val="21"/>
        </w:rPr>
        <w:t xml:space="preserve"> No obstante, tras el decreto de cuarentena ante la pandemia de COVID-19</w:t>
      </w:r>
      <w:r w:rsidR="006C3C94" w:rsidRPr="008073AC">
        <w:rPr>
          <w:rFonts w:ascii="Cambria" w:eastAsia="Batang" w:hAnsi="Cambria" w:cs="Times New Roman"/>
          <w:color w:val="000000"/>
          <w:sz w:val="21"/>
          <w:szCs w:val="21"/>
        </w:rPr>
        <w:t>,</w:t>
      </w:r>
      <w:r w:rsidR="00BE5B56" w:rsidRPr="008073AC">
        <w:rPr>
          <w:rFonts w:ascii="Cambria" w:eastAsia="Batang" w:hAnsi="Cambria" w:cs="Times New Roman"/>
          <w:color w:val="000000"/>
          <w:sz w:val="21"/>
          <w:szCs w:val="21"/>
        </w:rPr>
        <w:t xml:space="preserve"> la guardia policial que estaba destinada a proteger a la </w:t>
      </w:r>
      <w:r w:rsidR="00000E4B" w:rsidRPr="008073AC">
        <w:rPr>
          <w:rFonts w:ascii="Cambria" w:eastAsia="Batang" w:hAnsi="Cambria" w:cs="Times New Roman"/>
          <w:color w:val="000000"/>
          <w:sz w:val="21"/>
          <w:szCs w:val="21"/>
        </w:rPr>
        <w:t>c</w:t>
      </w:r>
      <w:r w:rsidR="00BE5B56" w:rsidRPr="008073AC">
        <w:rPr>
          <w:rFonts w:ascii="Cambria" w:eastAsia="Batang" w:hAnsi="Cambria" w:cs="Times New Roman"/>
          <w:color w:val="000000"/>
          <w:sz w:val="21"/>
          <w:szCs w:val="21"/>
        </w:rPr>
        <w:t xml:space="preserve">omunidad </w:t>
      </w:r>
      <w:r w:rsidR="00000E4B" w:rsidRPr="008073AC">
        <w:rPr>
          <w:rFonts w:ascii="Cambria" w:eastAsia="Batang" w:hAnsi="Cambria" w:cs="Times New Roman"/>
          <w:color w:val="000000"/>
          <w:sz w:val="21"/>
          <w:szCs w:val="21"/>
        </w:rPr>
        <w:t xml:space="preserve">habría sido </w:t>
      </w:r>
      <w:r w:rsidR="00000E4B" w:rsidRPr="008073AC">
        <w:rPr>
          <w:rFonts w:ascii="Cambria" w:eastAsia="Batang" w:hAnsi="Cambria" w:cs="Times New Roman"/>
          <w:color w:val="000000"/>
          <w:sz w:val="21"/>
          <w:szCs w:val="21"/>
        </w:rPr>
        <w:lastRenderedPageBreak/>
        <w:t xml:space="preserve">levantada </w:t>
      </w:r>
      <w:r w:rsidR="00BE5B56" w:rsidRPr="008073AC">
        <w:rPr>
          <w:rFonts w:ascii="Cambria" w:eastAsia="Batang" w:hAnsi="Cambria" w:cs="Times New Roman"/>
          <w:color w:val="000000"/>
          <w:sz w:val="21"/>
          <w:szCs w:val="21"/>
        </w:rPr>
        <w:t xml:space="preserve">(ver </w:t>
      </w:r>
      <w:r w:rsidR="00BE5B56" w:rsidRPr="008073AC">
        <w:rPr>
          <w:rFonts w:ascii="Cambria" w:eastAsia="Batang" w:hAnsi="Cambria" w:cs="Times New Roman"/>
          <w:i/>
          <w:color w:val="000000"/>
          <w:sz w:val="21"/>
          <w:szCs w:val="21"/>
        </w:rPr>
        <w:t xml:space="preserve">supra </w:t>
      </w:r>
      <w:r w:rsidR="00BE5B56" w:rsidRPr="008073AC">
        <w:rPr>
          <w:rFonts w:ascii="Cambria" w:eastAsia="Batang" w:hAnsi="Cambria" w:cs="Times New Roman"/>
          <w:color w:val="000000"/>
          <w:sz w:val="21"/>
          <w:szCs w:val="21"/>
        </w:rPr>
        <w:t xml:space="preserve">párr. </w:t>
      </w:r>
      <w:r w:rsidR="00000E4B" w:rsidRPr="008073AC">
        <w:rPr>
          <w:rFonts w:ascii="Cambria" w:eastAsia="Batang" w:hAnsi="Cambria" w:cs="Times New Roman"/>
          <w:color w:val="000000"/>
          <w:sz w:val="21"/>
          <w:szCs w:val="21"/>
        </w:rPr>
        <w:t>5</w:t>
      </w:r>
      <w:r w:rsidR="00BE5B56" w:rsidRPr="008073AC">
        <w:rPr>
          <w:rFonts w:ascii="Cambria" w:eastAsia="Batang" w:hAnsi="Cambria" w:cs="Times New Roman"/>
          <w:color w:val="000000"/>
          <w:sz w:val="21"/>
          <w:szCs w:val="21"/>
        </w:rPr>
        <w:t>). Desde entonces, se habría</w:t>
      </w:r>
      <w:r w:rsidR="00000E4B" w:rsidRPr="008073AC">
        <w:rPr>
          <w:rFonts w:ascii="Cambria" w:eastAsia="Batang" w:hAnsi="Cambria" w:cs="Times New Roman"/>
          <w:color w:val="000000"/>
          <w:sz w:val="21"/>
          <w:szCs w:val="21"/>
        </w:rPr>
        <w:t>n</w:t>
      </w:r>
      <w:r w:rsidR="00BE5B56" w:rsidRPr="008073AC">
        <w:rPr>
          <w:rFonts w:ascii="Cambria" w:eastAsia="Batang" w:hAnsi="Cambria" w:cs="Times New Roman"/>
          <w:color w:val="000000"/>
          <w:sz w:val="21"/>
          <w:szCs w:val="21"/>
        </w:rPr>
        <w:t xml:space="preserve"> incrementado </w:t>
      </w:r>
      <w:r w:rsidR="001D22A8" w:rsidRPr="008073AC">
        <w:rPr>
          <w:rFonts w:ascii="Cambria" w:eastAsia="Batang" w:hAnsi="Cambria" w:cs="Times New Roman"/>
          <w:color w:val="000000"/>
          <w:sz w:val="21"/>
          <w:szCs w:val="21"/>
        </w:rPr>
        <w:t>las agresiones en contra de</w:t>
      </w:r>
      <w:r w:rsidR="00BE5B56" w:rsidRPr="008073AC">
        <w:rPr>
          <w:rFonts w:ascii="Cambria" w:eastAsia="Batang" w:hAnsi="Cambria" w:cs="Times New Roman"/>
          <w:color w:val="000000"/>
          <w:sz w:val="21"/>
          <w:szCs w:val="21"/>
        </w:rPr>
        <w:t xml:space="preserve"> </w:t>
      </w:r>
      <w:r w:rsidR="00000E4B" w:rsidRPr="008073AC">
        <w:rPr>
          <w:rFonts w:ascii="Cambria" w:eastAsia="Batang" w:hAnsi="Cambria" w:cs="Times New Roman"/>
          <w:color w:val="000000"/>
          <w:sz w:val="21"/>
          <w:szCs w:val="21"/>
        </w:rPr>
        <w:t>los propuestos beneficiarios</w:t>
      </w:r>
      <w:r w:rsidR="001246BC" w:rsidRPr="008073AC">
        <w:rPr>
          <w:rFonts w:ascii="Cambria" w:eastAsia="Batang" w:hAnsi="Cambria" w:cs="Times New Roman"/>
          <w:color w:val="000000"/>
          <w:sz w:val="21"/>
          <w:szCs w:val="21"/>
        </w:rPr>
        <w:t xml:space="preserve">. Los solicitantes aportaron copia de una solicitud de </w:t>
      </w:r>
      <w:r w:rsidR="001246BC" w:rsidRPr="008073AC">
        <w:rPr>
          <w:rFonts w:ascii="Cambria" w:eastAsia="Batang" w:hAnsi="Cambria" w:cs="Times New Roman"/>
          <w:i/>
          <w:color w:val="000000"/>
          <w:sz w:val="21"/>
          <w:szCs w:val="21"/>
        </w:rPr>
        <w:t xml:space="preserve">habeas corpus </w:t>
      </w:r>
      <w:r w:rsidR="00AA0656" w:rsidRPr="008073AC">
        <w:rPr>
          <w:rFonts w:ascii="Cambria" w:eastAsia="Batang" w:hAnsi="Cambria" w:cs="Times New Roman"/>
          <w:color w:val="000000"/>
          <w:sz w:val="21"/>
          <w:szCs w:val="21"/>
        </w:rPr>
        <w:t xml:space="preserve">interpuesta </w:t>
      </w:r>
      <w:r w:rsidR="001246BC" w:rsidRPr="008073AC">
        <w:rPr>
          <w:rFonts w:ascii="Cambria" w:eastAsia="Batang" w:hAnsi="Cambria" w:cs="Times New Roman"/>
          <w:color w:val="000000"/>
          <w:sz w:val="21"/>
          <w:szCs w:val="21"/>
        </w:rPr>
        <w:t xml:space="preserve">para </w:t>
      </w:r>
      <w:r w:rsidR="00774804" w:rsidRPr="008073AC">
        <w:rPr>
          <w:rFonts w:ascii="Cambria" w:eastAsia="Batang" w:hAnsi="Cambria" w:cs="Times New Roman"/>
          <w:color w:val="000000"/>
          <w:sz w:val="21"/>
          <w:szCs w:val="21"/>
        </w:rPr>
        <w:t>que vuelva</w:t>
      </w:r>
      <w:r w:rsidR="006C3C94" w:rsidRPr="008073AC">
        <w:rPr>
          <w:rFonts w:ascii="Cambria" w:eastAsia="Batang" w:hAnsi="Cambria" w:cs="Times New Roman"/>
          <w:color w:val="000000"/>
          <w:sz w:val="21"/>
          <w:szCs w:val="21"/>
        </w:rPr>
        <w:t xml:space="preserve"> </w:t>
      </w:r>
      <w:r w:rsidR="00774804" w:rsidRPr="008073AC">
        <w:rPr>
          <w:rFonts w:ascii="Cambria" w:eastAsia="Batang" w:hAnsi="Cambria" w:cs="Times New Roman"/>
          <w:color w:val="000000"/>
          <w:sz w:val="21"/>
          <w:szCs w:val="21"/>
        </w:rPr>
        <w:t>la patrulla</w:t>
      </w:r>
      <w:r w:rsidR="001246BC" w:rsidRPr="008073AC">
        <w:rPr>
          <w:rFonts w:ascii="Cambria" w:eastAsia="Batang" w:hAnsi="Cambria" w:cs="Times New Roman"/>
          <w:color w:val="000000"/>
          <w:sz w:val="21"/>
          <w:szCs w:val="21"/>
        </w:rPr>
        <w:t xml:space="preserve"> </w:t>
      </w:r>
      <w:r w:rsidR="006C3C94" w:rsidRPr="008073AC">
        <w:rPr>
          <w:rFonts w:ascii="Cambria" w:eastAsia="Batang" w:hAnsi="Cambria" w:cs="Times New Roman"/>
          <w:color w:val="000000"/>
          <w:sz w:val="21"/>
          <w:szCs w:val="21"/>
        </w:rPr>
        <w:t>(</w:t>
      </w:r>
      <w:r w:rsidR="001246BC" w:rsidRPr="008073AC">
        <w:rPr>
          <w:rFonts w:ascii="Cambria" w:eastAsia="Batang" w:hAnsi="Cambria" w:cs="Times New Roman"/>
          <w:color w:val="000000"/>
          <w:sz w:val="21"/>
          <w:szCs w:val="21"/>
        </w:rPr>
        <w:t>sin reportar sobre la decisión a la fecha de suministro de la información a la CIDH).</w:t>
      </w:r>
    </w:p>
    <w:p w14:paraId="49B8EE4A" w14:textId="40316F10" w:rsidR="00A56976" w:rsidRPr="008073AC" w:rsidRDefault="00A56976" w:rsidP="008073AC">
      <w:pPr>
        <w:spacing w:after="0" w:line="240" w:lineRule="auto"/>
        <w:ind w:left="360"/>
        <w:jc w:val="both"/>
        <w:rPr>
          <w:rFonts w:ascii="Cambria" w:eastAsia="Batang" w:hAnsi="Cambria" w:cs="Times New Roman"/>
          <w:color w:val="000000"/>
          <w:sz w:val="21"/>
          <w:szCs w:val="21"/>
        </w:rPr>
      </w:pPr>
    </w:p>
    <w:p w14:paraId="7BDCEB7B" w14:textId="03D6D76D" w:rsidR="00A56976" w:rsidRPr="008073AC" w:rsidRDefault="00A56976" w:rsidP="008073AC">
      <w:pPr>
        <w:numPr>
          <w:ilvl w:val="0"/>
          <w:numId w:val="3"/>
        </w:numPr>
        <w:spacing w:after="0" w:line="240" w:lineRule="auto"/>
        <w:ind w:left="0" w:firstLine="360"/>
        <w:jc w:val="both"/>
        <w:rPr>
          <w:rFonts w:ascii="Cambria" w:eastAsia="Batang" w:hAnsi="Cambria" w:cs="Times New Roman"/>
          <w:color w:val="000000"/>
          <w:sz w:val="21"/>
          <w:szCs w:val="21"/>
        </w:rPr>
      </w:pPr>
      <w:r w:rsidRPr="008073AC">
        <w:rPr>
          <w:rFonts w:ascii="Cambria" w:eastAsia="Batang" w:hAnsi="Cambria" w:cs="Times New Roman"/>
          <w:color w:val="000000"/>
          <w:sz w:val="21"/>
          <w:szCs w:val="21"/>
        </w:rPr>
        <w:t>Adicionalmente, el 30 de abril y 2 de mayo los solicitantes aportaron información alegando que, el 29 de abril, habría ocurrido otro intento de desalojarlo</w:t>
      </w:r>
      <w:r w:rsidR="00D327DF" w:rsidRPr="008073AC">
        <w:rPr>
          <w:rFonts w:ascii="Cambria" w:eastAsia="Batang" w:hAnsi="Cambria" w:cs="Times New Roman"/>
          <w:color w:val="000000"/>
          <w:sz w:val="21"/>
          <w:szCs w:val="21"/>
        </w:rPr>
        <w:t>s</w:t>
      </w:r>
      <w:r w:rsidRPr="008073AC">
        <w:rPr>
          <w:rFonts w:ascii="Cambria" w:eastAsia="Batang" w:hAnsi="Cambria" w:cs="Times New Roman"/>
          <w:color w:val="000000"/>
          <w:sz w:val="21"/>
          <w:szCs w:val="21"/>
        </w:rPr>
        <w:t xml:space="preserve"> a </w:t>
      </w:r>
      <w:r w:rsidR="00DE54F1" w:rsidRPr="008073AC">
        <w:rPr>
          <w:rFonts w:ascii="Cambria" w:eastAsia="Batang" w:hAnsi="Cambria" w:cs="Times New Roman"/>
          <w:color w:val="000000"/>
          <w:sz w:val="21"/>
          <w:szCs w:val="21"/>
        </w:rPr>
        <w:t xml:space="preserve">la </w:t>
      </w:r>
      <w:r w:rsidRPr="008073AC">
        <w:rPr>
          <w:rFonts w:ascii="Cambria" w:eastAsia="Batang" w:hAnsi="Cambria" w:cs="Times New Roman"/>
          <w:color w:val="000000"/>
          <w:sz w:val="21"/>
          <w:szCs w:val="21"/>
        </w:rPr>
        <w:t>fuerza por parte de terceros armados. Tal acto habría resultado en propuestos beneficiarios heridos</w:t>
      </w:r>
      <w:r w:rsidR="00D327DF" w:rsidRPr="008073AC">
        <w:rPr>
          <w:rFonts w:ascii="Cambria" w:eastAsia="Batang" w:hAnsi="Cambria" w:cs="Times New Roman"/>
          <w:color w:val="000000"/>
          <w:sz w:val="21"/>
          <w:szCs w:val="21"/>
        </w:rPr>
        <w:t>, incluyendo un niño golpeado. Los solicitantes suministraron video de los actos</w:t>
      </w:r>
      <w:r w:rsidR="00DE54F1" w:rsidRPr="008073AC">
        <w:rPr>
          <w:rFonts w:ascii="Cambria" w:eastAsia="Batang" w:hAnsi="Cambria" w:cs="Times New Roman"/>
          <w:color w:val="000000"/>
          <w:sz w:val="21"/>
          <w:szCs w:val="21"/>
        </w:rPr>
        <w:t>.</w:t>
      </w:r>
    </w:p>
    <w:p w14:paraId="7B1AB957" w14:textId="77777777" w:rsidR="00774804" w:rsidRPr="008073AC" w:rsidRDefault="00774804" w:rsidP="008073AC">
      <w:pPr>
        <w:spacing w:after="0" w:line="240" w:lineRule="auto"/>
        <w:ind w:firstLine="360"/>
        <w:jc w:val="both"/>
        <w:rPr>
          <w:rFonts w:ascii="Cambria" w:eastAsia="Batang" w:hAnsi="Cambria" w:cs="Times New Roman"/>
          <w:b/>
          <w:color w:val="000000"/>
          <w:sz w:val="21"/>
          <w:szCs w:val="21"/>
          <w:lang w:val="es-ES"/>
        </w:rPr>
      </w:pPr>
    </w:p>
    <w:p w14:paraId="152183B9" w14:textId="77777777" w:rsidR="0070087B" w:rsidRPr="008073AC" w:rsidRDefault="0070087B" w:rsidP="008073AC">
      <w:pPr>
        <w:numPr>
          <w:ilvl w:val="0"/>
          <w:numId w:val="4"/>
        </w:numPr>
        <w:spacing w:after="0" w:line="240" w:lineRule="auto"/>
        <w:ind w:left="0" w:firstLine="360"/>
        <w:jc w:val="both"/>
        <w:rPr>
          <w:rFonts w:ascii="Cambria" w:eastAsia="Times New Roman" w:hAnsi="Cambria" w:cs="Times New Roman"/>
          <w:b/>
          <w:color w:val="000000"/>
          <w:sz w:val="21"/>
          <w:szCs w:val="21"/>
          <w:lang w:val="es-ES"/>
        </w:rPr>
      </w:pPr>
      <w:r w:rsidRPr="008073AC">
        <w:rPr>
          <w:rFonts w:ascii="Cambria" w:eastAsia="Times New Roman" w:hAnsi="Cambria" w:cs="Times New Roman"/>
          <w:b/>
          <w:color w:val="000000"/>
          <w:sz w:val="21"/>
          <w:szCs w:val="21"/>
          <w:lang w:val="es-ES"/>
        </w:rPr>
        <w:t>Respuesta del Estado</w:t>
      </w:r>
    </w:p>
    <w:p w14:paraId="41C71C42" w14:textId="77777777" w:rsidR="0070087B" w:rsidRPr="008073AC" w:rsidRDefault="0070087B" w:rsidP="008073AC">
      <w:pPr>
        <w:spacing w:after="0" w:line="240" w:lineRule="auto"/>
        <w:ind w:firstLine="360"/>
        <w:jc w:val="both"/>
        <w:rPr>
          <w:rFonts w:ascii="Cambria" w:eastAsia="Times New Roman" w:hAnsi="Cambria" w:cs="Times New Roman"/>
          <w:b/>
          <w:color w:val="000000"/>
          <w:sz w:val="21"/>
          <w:szCs w:val="21"/>
          <w:lang w:val="es-ES"/>
        </w:rPr>
      </w:pPr>
    </w:p>
    <w:p w14:paraId="0E93F7D5" w14:textId="236C01F4" w:rsidR="00B108EF" w:rsidRPr="008073AC" w:rsidRDefault="00B108EF" w:rsidP="008073AC">
      <w:pPr>
        <w:numPr>
          <w:ilvl w:val="0"/>
          <w:numId w:val="3"/>
        </w:numPr>
        <w:spacing w:after="0" w:line="240" w:lineRule="auto"/>
        <w:ind w:left="0" w:firstLine="360"/>
        <w:jc w:val="both"/>
        <w:rPr>
          <w:rFonts w:ascii="Cambria" w:eastAsia="Times New Roman" w:hAnsi="Cambria" w:cs="Times New Roman"/>
          <w:b/>
          <w:color w:val="000000"/>
          <w:sz w:val="21"/>
          <w:szCs w:val="21"/>
          <w:lang w:val="es-ES"/>
        </w:rPr>
      </w:pPr>
      <w:r w:rsidRPr="008073AC">
        <w:rPr>
          <w:rFonts w:ascii="Cambria" w:eastAsia="Times New Roman" w:hAnsi="Cambria" w:cs="Times New Roman"/>
          <w:color w:val="000000"/>
          <w:sz w:val="21"/>
          <w:szCs w:val="21"/>
          <w:lang w:val="es-ES"/>
        </w:rPr>
        <w:t>El Estado alegó que, desde la interposición de la presente solicitud de medidas cautelares ante la Comisión, se aplicó la Ley N</w:t>
      </w:r>
      <w:r w:rsidR="00866DBF" w:rsidRPr="008073AC">
        <w:rPr>
          <w:rFonts w:ascii="Cambria" w:eastAsia="Times New Roman" w:hAnsi="Cambria" w:cs="Times New Roman"/>
          <w:color w:val="000000"/>
          <w:sz w:val="21"/>
          <w:szCs w:val="21"/>
          <w:lang w:val="es-ES"/>
        </w:rPr>
        <w:t xml:space="preserve">º 26.160 la cual suspendió el desalojo de la </w:t>
      </w:r>
      <w:r w:rsidR="00774804" w:rsidRPr="008073AC">
        <w:rPr>
          <w:rFonts w:ascii="Cambria" w:eastAsia="Times New Roman" w:hAnsi="Cambria" w:cs="Times New Roman"/>
          <w:color w:val="000000"/>
          <w:sz w:val="21"/>
          <w:szCs w:val="21"/>
          <w:lang w:val="es-ES"/>
        </w:rPr>
        <w:t>c</w:t>
      </w:r>
      <w:r w:rsidR="00866DBF" w:rsidRPr="008073AC">
        <w:rPr>
          <w:rFonts w:ascii="Cambria" w:eastAsia="Times New Roman" w:hAnsi="Cambria" w:cs="Times New Roman"/>
          <w:color w:val="000000"/>
          <w:sz w:val="21"/>
          <w:szCs w:val="21"/>
          <w:lang w:val="es-ES"/>
        </w:rPr>
        <w:t xml:space="preserve">omunidad </w:t>
      </w:r>
      <w:r w:rsidR="00774804" w:rsidRPr="008073AC">
        <w:rPr>
          <w:rFonts w:ascii="Cambria" w:eastAsia="Times New Roman" w:hAnsi="Cambria" w:cs="Times New Roman"/>
          <w:color w:val="000000"/>
          <w:sz w:val="21"/>
          <w:szCs w:val="21"/>
        </w:rPr>
        <w:t>m</w:t>
      </w:r>
      <w:r w:rsidR="00866DBF" w:rsidRPr="008073AC">
        <w:rPr>
          <w:rFonts w:ascii="Cambria" w:eastAsia="Times New Roman" w:hAnsi="Cambria" w:cs="Times New Roman"/>
          <w:color w:val="000000"/>
          <w:sz w:val="21"/>
          <w:szCs w:val="21"/>
        </w:rPr>
        <w:t xml:space="preserve">apuche </w:t>
      </w:r>
      <w:proofErr w:type="spellStart"/>
      <w:r w:rsidR="00866DBF" w:rsidRPr="008073AC">
        <w:rPr>
          <w:rFonts w:ascii="Cambria" w:eastAsia="Times New Roman" w:hAnsi="Cambria" w:cs="Times New Roman"/>
          <w:color w:val="000000"/>
          <w:sz w:val="21"/>
          <w:szCs w:val="21"/>
        </w:rPr>
        <w:t>Lof</w:t>
      </w:r>
      <w:proofErr w:type="spellEnd"/>
      <w:r w:rsidR="00866DBF" w:rsidRPr="008073AC">
        <w:rPr>
          <w:rFonts w:ascii="Cambria" w:eastAsia="Times New Roman" w:hAnsi="Cambria" w:cs="Times New Roman"/>
          <w:color w:val="000000"/>
          <w:sz w:val="21"/>
          <w:szCs w:val="21"/>
        </w:rPr>
        <w:t xml:space="preserve"> </w:t>
      </w:r>
      <w:proofErr w:type="spellStart"/>
      <w:r w:rsidR="00866DBF" w:rsidRPr="008073AC">
        <w:rPr>
          <w:rFonts w:ascii="Cambria" w:eastAsia="Times New Roman" w:hAnsi="Cambria" w:cs="Times New Roman"/>
          <w:color w:val="000000"/>
          <w:sz w:val="21"/>
          <w:szCs w:val="21"/>
        </w:rPr>
        <w:t>Buenuleo</w:t>
      </w:r>
      <w:proofErr w:type="spellEnd"/>
      <w:r w:rsidR="00866DBF" w:rsidRPr="008073AC">
        <w:rPr>
          <w:rFonts w:ascii="Cambria" w:eastAsia="Times New Roman" w:hAnsi="Cambria" w:cs="Times New Roman"/>
          <w:color w:val="000000"/>
          <w:sz w:val="21"/>
          <w:szCs w:val="21"/>
        </w:rPr>
        <w:t xml:space="preserve"> “mientras dure su vigencia”. Según el Estado, “[…] el Tribunal de Impugnación de la Provincia, con fecha 13 de diciembre de 2019, declaró la incompetencia del Poder </w:t>
      </w:r>
      <w:r w:rsidR="00866DBF" w:rsidRPr="008073AC">
        <w:rPr>
          <w:rFonts w:ascii="Cambria" w:eastAsia="Batang" w:hAnsi="Cambria" w:cs="Times New Roman"/>
          <w:color w:val="000000"/>
          <w:sz w:val="21"/>
          <w:szCs w:val="21"/>
        </w:rPr>
        <w:t>Judicial</w:t>
      </w:r>
      <w:r w:rsidR="00866DBF" w:rsidRPr="008073AC">
        <w:rPr>
          <w:rFonts w:ascii="Cambria" w:eastAsia="Times New Roman" w:hAnsi="Cambria" w:cs="Times New Roman"/>
          <w:color w:val="000000"/>
          <w:sz w:val="21"/>
          <w:szCs w:val="21"/>
        </w:rPr>
        <w:t xml:space="preserve"> provincial por encontrarse el predio en Parques Nacionales, y dispuso la remisión al Juzgado Federal de San Carlos de Bariloche. Se resalta que ese Tribunal fundamentó su sentencia en lo esgrimido por el Foro Nacional de Derecho de Pueblos Indígenas que sostuvo que la cuestión de conflictos sobre tierras y territorios debe ser competencia federal en los términos del</w:t>
      </w:r>
      <w:r w:rsidR="00664D38" w:rsidRPr="008073AC">
        <w:rPr>
          <w:rFonts w:ascii="Cambria" w:eastAsia="Times New Roman" w:hAnsi="Cambria" w:cs="Times New Roman"/>
          <w:color w:val="000000"/>
          <w:sz w:val="21"/>
          <w:szCs w:val="21"/>
        </w:rPr>
        <w:t xml:space="preserve"> </w:t>
      </w:r>
      <w:r w:rsidR="00866DBF" w:rsidRPr="008073AC">
        <w:rPr>
          <w:rFonts w:ascii="Cambria" w:eastAsia="Times New Roman" w:hAnsi="Cambria" w:cs="Times New Roman"/>
          <w:color w:val="000000"/>
          <w:sz w:val="21"/>
          <w:szCs w:val="21"/>
        </w:rPr>
        <w:t>Convenio 169 de la OIT, y dejó expresamente aclarado que la medida de desalojo quedaba suspendida.</w:t>
      </w:r>
      <w:r w:rsidR="00664D38" w:rsidRPr="008073AC">
        <w:rPr>
          <w:rFonts w:ascii="Cambria" w:eastAsia="Times New Roman" w:hAnsi="Cambria" w:cs="Times New Roman"/>
          <w:color w:val="000000"/>
          <w:sz w:val="21"/>
          <w:szCs w:val="21"/>
        </w:rPr>
        <w:t>”</w:t>
      </w:r>
    </w:p>
    <w:p w14:paraId="5D97506A" w14:textId="77777777" w:rsidR="00664D38" w:rsidRPr="008073AC" w:rsidRDefault="00664D38" w:rsidP="008073AC">
      <w:pPr>
        <w:spacing w:after="0" w:line="240" w:lineRule="auto"/>
        <w:ind w:firstLine="360"/>
        <w:jc w:val="both"/>
        <w:rPr>
          <w:rFonts w:ascii="Cambria" w:eastAsia="Times New Roman" w:hAnsi="Cambria" w:cs="Times New Roman"/>
          <w:b/>
          <w:color w:val="000000"/>
          <w:sz w:val="21"/>
          <w:szCs w:val="21"/>
          <w:lang w:val="es-ES"/>
        </w:rPr>
      </w:pPr>
    </w:p>
    <w:p w14:paraId="10F4C887" w14:textId="53B2762D" w:rsidR="007C0A21" w:rsidRPr="008073AC" w:rsidRDefault="00664D38" w:rsidP="008073AC">
      <w:pPr>
        <w:numPr>
          <w:ilvl w:val="0"/>
          <w:numId w:val="3"/>
        </w:numPr>
        <w:spacing w:after="0" w:line="240" w:lineRule="auto"/>
        <w:ind w:left="0" w:firstLine="360"/>
        <w:jc w:val="both"/>
        <w:rPr>
          <w:rFonts w:ascii="Cambria" w:eastAsia="Times New Roman" w:hAnsi="Cambria" w:cs="Times New Roman"/>
          <w:b/>
          <w:color w:val="000000"/>
          <w:sz w:val="21"/>
          <w:szCs w:val="21"/>
          <w:lang w:val="es-ES"/>
        </w:rPr>
      </w:pPr>
      <w:r w:rsidRPr="008073AC">
        <w:rPr>
          <w:rFonts w:ascii="Cambria" w:eastAsia="Times New Roman" w:hAnsi="Cambria" w:cs="Times New Roman"/>
          <w:color w:val="000000"/>
          <w:sz w:val="21"/>
          <w:szCs w:val="21"/>
        </w:rPr>
        <w:t xml:space="preserve">Con relación a los alegatos de los solicitantes sobre hechos de violencia en contra de las personas propuestas </w:t>
      </w:r>
      <w:r w:rsidR="00774804" w:rsidRPr="008073AC">
        <w:rPr>
          <w:rFonts w:ascii="Cambria" w:eastAsia="Times New Roman" w:hAnsi="Cambria" w:cs="Times New Roman"/>
          <w:color w:val="000000"/>
          <w:sz w:val="21"/>
          <w:szCs w:val="21"/>
        </w:rPr>
        <w:t xml:space="preserve">como </w:t>
      </w:r>
      <w:r w:rsidRPr="008073AC">
        <w:rPr>
          <w:rFonts w:ascii="Cambria" w:eastAsia="Times New Roman" w:hAnsi="Cambria" w:cs="Times New Roman"/>
          <w:color w:val="000000"/>
          <w:sz w:val="21"/>
          <w:szCs w:val="21"/>
        </w:rPr>
        <w:t xml:space="preserve">beneficiarias, el Estado indicó que, desde 10 de septiembre de 2019, se ubicó en el territorio </w:t>
      </w:r>
      <w:r w:rsidR="007C0A21" w:rsidRPr="008073AC">
        <w:rPr>
          <w:rFonts w:ascii="Cambria" w:eastAsia="Times New Roman" w:hAnsi="Cambria" w:cs="Times New Roman"/>
          <w:color w:val="000000"/>
          <w:sz w:val="21"/>
          <w:szCs w:val="21"/>
        </w:rPr>
        <w:t xml:space="preserve">en conflicto “[…] </w:t>
      </w:r>
      <w:r w:rsidRPr="008073AC">
        <w:rPr>
          <w:rFonts w:ascii="Cambria" w:eastAsia="Times New Roman" w:hAnsi="Cambria" w:cs="Times New Roman"/>
          <w:color w:val="000000"/>
          <w:sz w:val="21"/>
          <w:szCs w:val="21"/>
        </w:rPr>
        <w:t>una guardia permanente del Cuerpo de Operaciones Especiales y Rescate de la Policía de Río Negro (COER), para evitar todo hecho de violencia que</w:t>
      </w:r>
      <w:r w:rsidR="007C0A21" w:rsidRPr="008073AC">
        <w:rPr>
          <w:rFonts w:ascii="Cambria" w:eastAsia="Times New Roman" w:hAnsi="Cambria" w:cs="Times New Roman"/>
          <w:color w:val="000000"/>
          <w:sz w:val="21"/>
          <w:szCs w:val="21"/>
        </w:rPr>
        <w:t xml:space="preserve"> </w:t>
      </w:r>
      <w:r w:rsidRPr="008073AC">
        <w:rPr>
          <w:rFonts w:ascii="Cambria" w:eastAsia="Times New Roman" w:hAnsi="Cambria" w:cs="Times New Roman"/>
          <w:color w:val="000000"/>
          <w:sz w:val="21"/>
          <w:szCs w:val="21"/>
        </w:rPr>
        <w:t>pudiera ocurrir.</w:t>
      </w:r>
      <w:r w:rsidR="007C0A21" w:rsidRPr="008073AC">
        <w:rPr>
          <w:rFonts w:ascii="Cambria" w:eastAsia="Times New Roman" w:hAnsi="Cambria" w:cs="Times New Roman"/>
          <w:color w:val="000000"/>
          <w:sz w:val="21"/>
          <w:szCs w:val="21"/>
        </w:rPr>
        <w:t>”</w:t>
      </w:r>
      <w:r w:rsidR="00F65180" w:rsidRPr="008073AC">
        <w:rPr>
          <w:rFonts w:ascii="Cambria" w:eastAsia="Times New Roman" w:hAnsi="Cambria" w:cs="Times New Roman"/>
          <w:b/>
          <w:color w:val="000000"/>
          <w:sz w:val="21"/>
          <w:szCs w:val="21"/>
        </w:rPr>
        <w:t xml:space="preserve"> </w:t>
      </w:r>
      <w:r w:rsidR="007C0A21" w:rsidRPr="008073AC">
        <w:rPr>
          <w:rFonts w:ascii="Cambria" w:eastAsia="Times New Roman" w:hAnsi="Cambria" w:cs="Times New Roman"/>
          <w:color w:val="000000"/>
          <w:sz w:val="21"/>
          <w:szCs w:val="21"/>
        </w:rPr>
        <w:t>Asimismo, el 7 de febrero de 2020 se habría</w:t>
      </w:r>
      <w:r w:rsidR="00774804" w:rsidRPr="008073AC">
        <w:rPr>
          <w:rFonts w:ascii="Cambria" w:eastAsia="Times New Roman" w:hAnsi="Cambria" w:cs="Times New Roman"/>
          <w:color w:val="000000"/>
          <w:sz w:val="21"/>
          <w:szCs w:val="21"/>
        </w:rPr>
        <w:t>n</w:t>
      </w:r>
      <w:r w:rsidR="007C0A21" w:rsidRPr="008073AC">
        <w:rPr>
          <w:rFonts w:ascii="Cambria" w:eastAsia="Times New Roman" w:hAnsi="Cambria" w:cs="Times New Roman"/>
          <w:color w:val="000000"/>
          <w:sz w:val="21"/>
          <w:szCs w:val="21"/>
        </w:rPr>
        <w:t xml:space="preserve"> formulado cargos en contra de los sospechosos de haber amenazado </w:t>
      </w:r>
      <w:r w:rsidR="00A936DC" w:rsidRPr="008073AC">
        <w:rPr>
          <w:rFonts w:ascii="Cambria" w:eastAsia="Times New Roman" w:hAnsi="Cambria" w:cs="Times New Roman"/>
          <w:color w:val="000000"/>
          <w:sz w:val="21"/>
          <w:szCs w:val="21"/>
        </w:rPr>
        <w:t xml:space="preserve">a </w:t>
      </w:r>
      <w:r w:rsidR="007C0A21" w:rsidRPr="008073AC">
        <w:rPr>
          <w:rFonts w:ascii="Cambria" w:eastAsia="Times New Roman" w:hAnsi="Cambria" w:cs="Times New Roman"/>
          <w:color w:val="000000"/>
          <w:sz w:val="21"/>
          <w:szCs w:val="21"/>
        </w:rPr>
        <w:t xml:space="preserve">la </w:t>
      </w:r>
      <w:r w:rsidR="00774804" w:rsidRPr="008073AC">
        <w:rPr>
          <w:rFonts w:ascii="Cambria" w:eastAsia="Times New Roman" w:hAnsi="Cambria" w:cs="Times New Roman"/>
          <w:color w:val="000000"/>
          <w:sz w:val="21"/>
          <w:szCs w:val="21"/>
        </w:rPr>
        <w:t>c</w:t>
      </w:r>
      <w:r w:rsidR="007C0A21" w:rsidRPr="008073AC">
        <w:rPr>
          <w:rFonts w:ascii="Cambria" w:eastAsia="Times New Roman" w:hAnsi="Cambria" w:cs="Times New Roman"/>
          <w:color w:val="000000"/>
          <w:sz w:val="21"/>
          <w:szCs w:val="21"/>
        </w:rPr>
        <w:t>omunidad</w:t>
      </w:r>
      <w:r w:rsidR="00F65180" w:rsidRPr="008073AC">
        <w:rPr>
          <w:rFonts w:ascii="Cambria" w:eastAsia="Times New Roman" w:hAnsi="Cambria" w:cs="Times New Roman"/>
          <w:color w:val="000000"/>
          <w:sz w:val="21"/>
          <w:szCs w:val="21"/>
        </w:rPr>
        <w:t>.</w:t>
      </w:r>
    </w:p>
    <w:p w14:paraId="19BDAA9A" w14:textId="77777777" w:rsidR="00995CF0" w:rsidRPr="008073AC" w:rsidRDefault="00995CF0" w:rsidP="008073AC">
      <w:pPr>
        <w:spacing w:after="0" w:line="240" w:lineRule="auto"/>
        <w:ind w:firstLine="360"/>
        <w:jc w:val="both"/>
        <w:rPr>
          <w:rFonts w:ascii="Cambria" w:eastAsia="Times New Roman" w:hAnsi="Cambria" w:cs="Times New Roman"/>
          <w:b/>
          <w:color w:val="000000"/>
          <w:sz w:val="21"/>
          <w:szCs w:val="21"/>
          <w:lang w:val="es-ES"/>
        </w:rPr>
      </w:pPr>
    </w:p>
    <w:p w14:paraId="1C469B55" w14:textId="2DB1EE4D" w:rsidR="00995CF0" w:rsidRPr="008073AC" w:rsidRDefault="00995CF0" w:rsidP="008073AC">
      <w:pPr>
        <w:numPr>
          <w:ilvl w:val="0"/>
          <w:numId w:val="3"/>
        </w:numPr>
        <w:spacing w:after="0" w:line="240" w:lineRule="auto"/>
        <w:ind w:left="0" w:firstLine="360"/>
        <w:jc w:val="both"/>
        <w:rPr>
          <w:rFonts w:ascii="Cambria" w:eastAsia="Times New Roman" w:hAnsi="Cambria" w:cs="Times New Roman"/>
          <w:color w:val="000000"/>
          <w:sz w:val="21"/>
          <w:szCs w:val="21"/>
        </w:rPr>
      </w:pPr>
      <w:r w:rsidRPr="008073AC">
        <w:rPr>
          <w:rFonts w:ascii="Cambria" w:eastAsia="Times New Roman" w:hAnsi="Cambria" w:cs="Times New Roman"/>
          <w:color w:val="000000"/>
          <w:sz w:val="21"/>
          <w:szCs w:val="21"/>
        </w:rPr>
        <w:t xml:space="preserve">El Instituto Nacional de Asuntos Indígenas </w:t>
      </w:r>
      <w:r w:rsidR="0092363D" w:rsidRPr="008073AC">
        <w:rPr>
          <w:rFonts w:ascii="Cambria" w:eastAsia="Times New Roman" w:hAnsi="Cambria" w:cs="Times New Roman"/>
          <w:color w:val="000000"/>
          <w:sz w:val="21"/>
          <w:szCs w:val="21"/>
        </w:rPr>
        <w:t xml:space="preserve">(INAI) </w:t>
      </w:r>
      <w:r w:rsidRPr="008073AC">
        <w:rPr>
          <w:rFonts w:ascii="Cambria" w:eastAsia="Times New Roman" w:hAnsi="Cambria" w:cs="Times New Roman"/>
          <w:color w:val="000000"/>
          <w:sz w:val="21"/>
          <w:szCs w:val="21"/>
        </w:rPr>
        <w:t>habría sido llamado para intervenir en la disputa territorial en cuestión</w:t>
      </w:r>
      <w:r w:rsidR="00B01D82" w:rsidRPr="008073AC">
        <w:rPr>
          <w:rFonts w:ascii="Cambria" w:eastAsia="Times New Roman" w:hAnsi="Cambria" w:cs="Times New Roman"/>
          <w:color w:val="000000"/>
          <w:sz w:val="21"/>
          <w:szCs w:val="21"/>
        </w:rPr>
        <w:t xml:space="preserve"> por la vocera de la </w:t>
      </w:r>
      <w:r w:rsidR="00774804" w:rsidRPr="008073AC">
        <w:rPr>
          <w:rFonts w:ascii="Cambria" w:eastAsia="Times New Roman" w:hAnsi="Cambria" w:cs="Times New Roman"/>
          <w:color w:val="000000"/>
          <w:sz w:val="21"/>
          <w:szCs w:val="21"/>
        </w:rPr>
        <w:t>c</w:t>
      </w:r>
      <w:r w:rsidR="00B01D82" w:rsidRPr="008073AC">
        <w:rPr>
          <w:rFonts w:ascii="Cambria" w:eastAsia="Times New Roman" w:hAnsi="Cambria" w:cs="Times New Roman"/>
          <w:color w:val="000000"/>
          <w:sz w:val="21"/>
          <w:szCs w:val="21"/>
        </w:rPr>
        <w:t xml:space="preserve">omunidad, la señora </w:t>
      </w:r>
      <w:proofErr w:type="spellStart"/>
      <w:r w:rsidR="00B01D82" w:rsidRPr="008073AC">
        <w:rPr>
          <w:rFonts w:ascii="Cambria" w:eastAsia="Times New Roman" w:hAnsi="Cambria" w:cs="Times New Roman"/>
          <w:color w:val="000000"/>
          <w:sz w:val="21"/>
          <w:szCs w:val="21"/>
        </w:rPr>
        <w:t>Deolinda</w:t>
      </w:r>
      <w:proofErr w:type="spellEnd"/>
      <w:r w:rsidR="00B01D82" w:rsidRPr="008073AC">
        <w:rPr>
          <w:rFonts w:ascii="Cambria" w:eastAsia="Times New Roman" w:hAnsi="Cambria" w:cs="Times New Roman"/>
          <w:color w:val="000000"/>
          <w:sz w:val="21"/>
          <w:szCs w:val="21"/>
        </w:rPr>
        <w:t xml:space="preserve"> </w:t>
      </w:r>
      <w:proofErr w:type="spellStart"/>
      <w:r w:rsidR="00B01D82" w:rsidRPr="008073AC">
        <w:rPr>
          <w:rFonts w:ascii="Cambria" w:eastAsia="Times New Roman" w:hAnsi="Cambria" w:cs="Times New Roman"/>
          <w:color w:val="000000"/>
          <w:sz w:val="21"/>
          <w:szCs w:val="21"/>
        </w:rPr>
        <w:t>Buenuleo</w:t>
      </w:r>
      <w:proofErr w:type="spellEnd"/>
      <w:r w:rsidRPr="008073AC">
        <w:rPr>
          <w:rFonts w:ascii="Cambria" w:eastAsia="Times New Roman" w:hAnsi="Cambria" w:cs="Times New Roman"/>
          <w:color w:val="000000"/>
          <w:sz w:val="21"/>
          <w:szCs w:val="21"/>
        </w:rPr>
        <w:t xml:space="preserve">, </w:t>
      </w:r>
      <w:r w:rsidR="00B01D82" w:rsidRPr="008073AC">
        <w:rPr>
          <w:rFonts w:ascii="Cambria" w:eastAsia="Times New Roman" w:hAnsi="Cambria" w:cs="Times New Roman"/>
          <w:color w:val="000000"/>
          <w:sz w:val="21"/>
          <w:szCs w:val="21"/>
        </w:rPr>
        <w:t>habiendo manteni</w:t>
      </w:r>
      <w:r w:rsidRPr="008073AC">
        <w:rPr>
          <w:rFonts w:ascii="Cambria" w:eastAsia="Times New Roman" w:hAnsi="Cambria" w:cs="Times New Roman"/>
          <w:color w:val="000000"/>
          <w:sz w:val="21"/>
          <w:szCs w:val="21"/>
        </w:rPr>
        <w:t xml:space="preserve">do comunicaciones telefónicas con </w:t>
      </w:r>
      <w:r w:rsidR="00774804" w:rsidRPr="008073AC">
        <w:rPr>
          <w:rFonts w:ascii="Cambria" w:eastAsia="Times New Roman" w:hAnsi="Cambria" w:cs="Times New Roman"/>
          <w:color w:val="000000"/>
          <w:sz w:val="21"/>
          <w:szCs w:val="21"/>
        </w:rPr>
        <w:t xml:space="preserve">sus </w:t>
      </w:r>
      <w:r w:rsidRPr="008073AC">
        <w:rPr>
          <w:rFonts w:ascii="Cambria" w:eastAsia="Times New Roman" w:hAnsi="Cambria" w:cs="Times New Roman"/>
          <w:color w:val="000000"/>
          <w:sz w:val="21"/>
          <w:szCs w:val="21"/>
        </w:rPr>
        <w:t>miembros</w:t>
      </w:r>
      <w:r w:rsidR="009B28D6" w:rsidRPr="008073AC">
        <w:rPr>
          <w:rFonts w:ascii="Cambria" w:eastAsia="Times New Roman" w:hAnsi="Cambria" w:cs="Times New Roman"/>
          <w:color w:val="000000"/>
          <w:sz w:val="21"/>
          <w:szCs w:val="21"/>
        </w:rPr>
        <w:t>.</w:t>
      </w:r>
      <w:r w:rsidR="0092363D" w:rsidRPr="008073AC">
        <w:rPr>
          <w:rFonts w:ascii="Cambria" w:eastAsia="Times New Roman" w:hAnsi="Cambria" w:cs="Times New Roman"/>
          <w:color w:val="000000"/>
          <w:sz w:val="21"/>
          <w:szCs w:val="21"/>
        </w:rPr>
        <w:t xml:space="preserve"> En ese sentido, el INAI habría realizado </w:t>
      </w:r>
      <w:r w:rsidR="006D474B" w:rsidRPr="008073AC">
        <w:rPr>
          <w:rFonts w:ascii="Cambria" w:eastAsia="Times New Roman" w:hAnsi="Cambria" w:cs="Times New Roman"/>
          <w:color w:val="000000"/>
          <w:sz w:val="21"/>
          <w:szCs w:val="21"/>
        </w:rPr>
        <w:t xml:space="preserve">un </w:t>
      </w:r>
      <w:r w:rsidR="0092363D" w:rsidRPr="008073AC">
        <w:rPr>
          <w:rFonts w:ascii="Cambria" w:eastAsia="Times New Roman" w:hAnsi="Cambria" w:cs="Times New Roman"/>
          <w:color w:val="000000"/>
          <w:sz w:val="21"/>
          <w:szCs w:val="21"/>
        </w:rPr>
        <w:t xml:space="preserve">acompañamiento en </w:t>
      </w:r>
      <w:r w:rsidR="006D474B" w:rsidRPr="008073AC">
        <w:rPr>
          <w:rFonts w:ascii="Cambria" w:eastAsia="Times New Roman" w:hAnsi="Cambria" w:cs="Times New Roman"/>
          <w:color w:val="000000"/>
          <w:sz w:val="21"/>
          <w:szCs w:val="21"/>
        </w:rPr>
        <w:t xml:space="preserve">el </w:t>
      </w:r>
      <w:r w:rsidR="0092363D" w:rsidRPr="008073AC">
        <w:rPr>
          <w:rFonts w:ascii="Cambria" w:eastAsia="Times New Roman" w:hAnsi="Cambria" w:cs="Times New Roman"/>
          <w:color w:val="000000"/>
          <w:sz w:val="21"/>
          <w:szCs w:val="21"/>
        </w:rPr>
        <w:t xml:space="preserve">territorio y participado </w:t>
      </w:r>
      <w:r w:rsidR="006D474B" w:rsidRPr="008073AC">
        <w:rPr>
          <w:rFonts w:ascii="Cambria" w:eastAsia="Times New Roman" w:hAnsi="Cambria" w:cs="Times New Roman"/>
          <w:color w:val="000000"/>
          <w:sz w:val="21"/>
          <w:szCs w:val="21"/>
        </w:rPr>
        <w:t xml:space="preserve">en </w:t>
      </w:r>
      <w:r w:rsidR="0092363D" w:rsidRPr="008073AC">
        <w:rPr>
          <w:rFonts w:ascii="Cambria" w:eastAsia="Times New Roman" w:hAnsi="Cambria" w:cs="Times New Roman"/>
          <w:color w:val="000000"/>
          <w:sz w:val="21"/>
          <w:szCs w:val="21"/>
        </w:rPr>
        <w:t xml:space="preserve">las audiencias </w:t>
      </w:r>
      <w:r w:rsidR="006D474B" w:rsidRPr="008073AC">
        <w:rPr>
          <w:rFonts w:ascii="Cambria" w:eastAsia="Times New Roman" w:hAnsi="Cambria" w:cs="Times New Roman"/>
          <w:color w:val="000000"/>
          <w:sz w:val="21"/>
          <w:szCs w:val="21"/>
        </w:rPr>
        <w:t xml:space="preserve">judiciales </w:t>
      </w:r>
      <w:r w:rsidR="00D927D9" w:rsidRPr="008073AC">
        <w:rPr>
          <w:rFonts w:ascii="Cambria" w:eastAsia="Times New Roman" w:hAnsi="Cambria" w:cs="Times New Roman"/>
          <w:color w:val="000000"/>
          <w:sz w:val="21"/>
          <w:szCs w:val="21"/>
        </w:rPr>
        <w:t xml:space="preserve">relacionadas al proceso de desalojo </w:t>
      </w:r>
      <w:r w:rsidR="0092363D" w:rsidRPr="008073AC">
        <w:rPr>
          <w:rFonts w:ascii="Cambria" w:eastAsia="Times New Roman" w:hAnsi="Cambria" w:cs="Times New Roman"/>
          <w:color w:val="000000"/>
          <w:sz w:val="21"/>
          <w:szCs w:val="21"/>
        </w:rPr>
        <w:t>en calidad de testigo ofrecido por la defensa. Actualmente</w:t>
      </w:r>
      <w:r w:rsidR="006D474B" w:rsidRPr="008073AC">
        <w:rPr>
          <w:rFonts w:ascii="Cambria" w:eastAsia="Times New Roman" w:hAnsi="Cambria" w:cs="Times New Roman"/>
          <w:color w:val="000000"/>
          <w:sz w:val="21"/>
          <w:szCs w:val="21"/>
        </w:rPr>
        <w:t>,</w:t>
      </w:r>
      <w:r w:rsidR="0092363D" w:rsidRPr="008073AC">
        <w:rPr>
          <w:rFonts w:ascii="Cambria" w:eastAsia="Times New Roman" w:hAnsi="Cambria" w:cs="Times New Roman"/>
          <w:color w:val="000000"/>
          <w:sz w:val="21"/>
          <w:szCs w:val="21"/>
        </w:rPr>
        <w:t xml:space="preserve"> el Instituto estarí</w:t>
      </w:r>
      <w:r w:rsidR="006D474B" w:rsidRPr="008073AC">
        <w:rPr>
          <w:rFonts w:ascii="Cambria" w:eastAsia="Times New Roman" w:hAnsi="Cambria" w:cs="Times New Roman"/>
          <w:color w:val="000000"/>
          <w:sz w:val="21"/>
          <w:szCs w:val="21"/>
        </w:rPr>
        <w:t>a</w:t>
      </w:r>
      <w:r w:rsidR="0092363D" w:rsidRPr="008073AC">
        <w:rPr>
          <w:rFonts w:ascii="Cambria" w:eastAsia="Times New Roman" w:hAnsi="Cambria" w:cs="Times New Roman"/>
          <w:color w:val="000000"/>
          <w:sz w:val="21"/>
          <w:szCs w:val="21"/>
        </w:rPr>
        <w:t xml:space="preserve"> realizando las tareas técnicas destinadas al Relevamiento Territorial “a efectos de determinar la posesión que viene ejerciendo la Comunidad.”</w:t>
      </w:r>
    </w:p>
    <w:p w14:paraId="5BC1C6FF" w14:textId="77777777" w:rsidR="00F65180" w:rsidRPr="008073AC" w:rsidRDefault="00F65180" w:rsidP="008073AC">
      <w:pPr>
        <w:spacing w:after="0" w:line="240" w:lineRule="auto"/>
        <w:ind w:firstLine="360"/>
        <w:jc w:val="both"/>
        <w:rPr>
          <w:rFonts w:ascii="Cambria" w:eastAsia="Times New Roman" w:hAnsi="Cambria" w:cs="Times New Roman"/>
          <w:b/>
          <w:color w:val="000000"/>
          <w:sz w:val="21"/>
          <w:szCs w:val="21"/>
          <w:lang w:val="es-ES"/>
        </w:rPr>
      </w:pPr>
    </w:p>
    <w:p w14:paraId="33FC0A8A" w14:textId="34769BFC" w:rsidR="00F65180" w:rsidRPr="008073AC" w:rsidRDefault="00F65180" w:rsidP="008073AC">
      <w:pPr>
        <w:numPr>
          <w:ilvl w:val="0"/>
          <w:numId w:val="3"/>
        </w:numPr>
        <w:spacing w:after="0" w:line="240" w:lineRule="auto"/>
        <w:ind w:left="0" w:firstLine="360"/>
        <w:jc w:val="both"/>
        <w:rPr>
          <w:rFonts w:ascii="Cambria" w:eastAsia="Times New Roman" w:hAnsi="Cambria" w:cs="Times New Roman"/>
          <w:b/>
          <w:color w:val="000000"/>
          <w:sz w:val="21"/>
          <w:szCs w:val="21"/>
          <w:lang w:val="es-ES"/>
        </w:rPr>
      </w:pPr>
      <w:r w:rsidRPr="008073AC">
        <w:rPr>
          <w:rFonts w:ascii="Cambria" w:eastAsia="Times New Roman" w:hAnsi="Cambria" w:cs="Times New Roman"/>
          <w:color w:val="000000"/>
          <w:sz w:val="21"/>
          <w:szCs w:val="21"/>
          <w:lang w:val="es-ES"/>
        </w:rPr>
        <w:t>El Estado también indicó que, el 13 de febrero de 2020, se habría firmado un acuerdo para cr</w:t>
      </w:r>
      <w:r w:rsidR="006D474B" w:rsidRPr="008073AC">
        <w:rPr>
          <w:rFonts w:ascii="Cambria" w:eastAsia="Times New Roman" w:hAnsi="Cambria" w:cs="Times New Roman"/>
          <w:color w:val="000000"/>
          <w:sz w:val="21"/>
          <w:szCs w:val="21"/>
          <w:lang w:val="es-ES"/>
        </w:rPr>
        <w:t>e</w:t>
      </w:r>
      <w:r w:rsidRPr="008073AC">
        <w:rPr>
          <w:rFonts w:ascii="Cambria" w:eastAsia="Times New Roman" w:hAnsi="Cambria" w:cs="Times New Roman"/>
          <w:color w:val="000000"/>
          <w:sz w:val="21"/>
          <w:szCs w:val="21"/>
          <w:lang w:val="es-ES"/>
        </w:rPr>
        <w:t xml:space="preserve">ar una </w:t>
      </w:r>
      <w:r w:rsidRPr="008073AC">
        <w:rPr>
          <w:rFonts w:ascii="Cambria" w:eastAsia="Times New Roman" w:hAnsi="Cambria" w:cs="Times New Roman"/>
          <w:color w:val="000000"/>
          <w:sz w:val="21"/>
          <w:szCs w:val="21"/>
        </w:rPr>
        <w:t>“Mesa de Resolución Alternativa de Conflictos Territoriales con los pueblos originarios”</w:t>
      </w:r>
      <w:r w:rsidR="006D474B" w:rsidRPr="008073AC">
        <w:rPr>
          <w:rFonts w:ascii="Cambria" w:eastAsia="Times New Roman" w:hAnsi="Cambria" w:cs="Times New Roman"/>
          <w:color w:val="000000"/>
          <w:sz w:val="21"/>
          <w:szCs w:val="21"/>
        </w:rPr>
        <w:t xml:space="preserve">, que consistirá en </w:t>
      </w:r>
      <w:r w:rsidRPr="008073AC">
        <w:rPr>
          <w:rFonts w:ascii="Cambria" w:eastAsia="Times New Roman" w:hAnsi="Cambria" w:cs="Times New Roman"/>
          <w:color w:val="000000"/>
          <w:sz w:val="21"/>
          <w:szCs w:val="21"/>
        </w:rPr>
        <w:t>un espacio interministerial para buscar soluciones “consensuales y pacíficas”</w:t>
      </w:r>
      <w:r w:rsidR="009F4C01" w:rsidRPr="008073AC">
        <w:rPr>
          <w:rFonts w:ascii="Cambria" w:eastAsia="Times New Roman" w:hAnsi="Cambria" w:cs="Times New Roman"/>
          <w:color w:val="000000"/>
          <w:sz w:val="21"/>
          <w:szCs w:val="21"/>
        </w:rPr>
        <w:t xml:space="preserve"> a conflictos que se produzcan con las comunidades indígenas.</w:t>
      </w:r>
    </w:p>
    <w:p w14:paraId="672D2B2B" w14:textId="77777777" w:rsidR="00A936DC" w:rsidRPr="008073AC" w:rsidRDefault="00A936DC" w:rsidP="008073AC">
      <w:pPr>
        <w:spacing w:after="0" w:line="240" w:lineRule="auto"/>
        <w:ind w:firstLine="360"/>
        <w:jc w:val="both"/>
        <w:rPr>
          <w:rFonts w:ascii="Cambria" w:eastAsia="Times New Roman" w:hAnsi="Cambria" w:cs="Times New Roman"/>
          <w:b/>
          <w:color w:val="000000"/>
          <w:sz w:val="21"/>
          <w:szCs w:val="21"/>
          <w:lang w:val="es-ES"/>
        </w:rPr>
      </w:pPr>
    </w:p>
    <w:p w14:paraId="4ADE050F" w14:textId="454AD648" w:rsidR="00BF638D" w:rsidRPr="008073AC" w:rsidRDefault="00BF638D" w:rsidP="008073AC">
      <w:pPr>
        <w:numPr>
          <w:ilvl w:val="0"/>
          <w:numId w:val="3"/>
        </w:numPr>
        <w:spacing w:after="0" w:line="240" w:lineRule="auto"/>
        <w:ind w:left="0" w:firstLine="360"/>
        <w:jc w:val="both"/>
        <w:rPr>
          <w:rFonts w:ascii="Cambria" w:eastAsia="Times New Roman" w:hAnsi="Cambria" w:cs="Times New Roman"/>
          <w:color w:val="000000"/>
          <w:sz w:val="21"/>
          <w:szCs w:val="21"/>
          <w:lang w:val="es-ES"/>
        </w:rPr>
      </w:pPr>
      <w:r w:rsidRPr="008073AC">
        <w:rPr>
          <w:rFonts w:ascii="Cambria" w:eastAsia="Times New Roman" w:hAnsi="Cambria" w:cs="Times New Roman"/>
          <w:color w:val="000000"/>
          <w:sz w:val="21"/>
          <w:szCs w:val="21"/>
        </w:rPr>
        <w:t>Considerando lo expuesto, el Estado concluyó</w:t>
      </w:r>
      <w:r w:rsidR="003A3823" w:rsidRPr="008073AC">
        <w:rPr>
          <w:rFonts w:ascii="Cambria" w:eastAsia="Times New Roman" w:hAnsi="Cambria" w:cs="Times New Roman"/>
          <w:color w:val="000000"/>
          <w:sz w:val="21"/>
          <w:szCs w:val="21"/>
        </w:rPr>
        <w:t xml:space="preserve"> </w:t>
      </w:r>
      <w:r w:rsidR="003A3823" w:rsidRPr="008073AC">
        <w:rPr>
          <w:rFonts w:ascii="Cambria" w:eastAsia="Times New Roman" w:hAnsi="Cambria" w:cs="Times New Roman"/>
          <w:bCs/>
          <w:color w:val="000000"/>
          <w:sz w:val="21"/>
          <w:szCs w:val="21"/>
        </w:rPr>
        <w:t xml:space="preserve">que “[…] </w:t>
      </w:r>
      <w:r w:rsidRPr="008073AC">
        <w:rPr>
          <w:rFonts w:ascii="Cambria" w:eastAsia="Times New Roman" w:hAnsi="Cambria" w:cs="Times New Roman"/>
          <w:bCs/>
          <w:color w:val="000000"/>
          <w:sz w:val="21"/>
          <w:szCs w:val="21"/>
        </w:rPr>
        <w:t>la medida de desalojo se encuentra suspendida y que se constata la</w:t>
      </w:r>
      <w:r w:rsidR="003A3823" w:rsidRPr="008073AC">
        <w:rPr>
          <w:rFonts w:ascii="Cambria" w:eastAsia="Times New Roman" w:hAnsi="Cambria" w:cs="Times New Roman"/>
          <w:bCs/>
          <w:color w:val="000000"/>
          <w:sz w:val="21"/>
          <w:szCs w:val="21"/>
        </w:rPr>
        <w:t xml:space="preserve"> </w:t>
      </w:r>
      <w:r w:rsidRPr="008073AC">
        <w:rPr>
          <w:rFonts w:ascii="Cambria" w:eastAsia="Times New Roman" w:hAnsi="Cambria" w:cs="Times New Roman"/>
          <w:bCs/>
          <w:color w:val="000000"/>
          <w:sz w:val="21"/>
          <w:szCs w:val="21"/>
        </w:rPr>
        <w:t>presencia de autoridades provinciales y federales en territorio a modo preventivo, por lo que no se acreditan los requisitos del artículo 25 del Reglamento de la Ilustre Comisión.</w:t>
      </w:r>
      <w:r w:rsidR="003A3823" w:rsidRPr="008073AC">
        <w:rPr>
          <w:rFonts w:ascii="Cambria" w:eastAsia="Times New Roman" w:hAnsi="Cambria" w:cs="Times New Roman"/>
          <w:bCs/>
          <w:color w:val="000000"/>
          <w:sz w:val="21"/>
          <w:szCs w:val="21"/>
        </w:rPr>
        <w:t>”</w:t>
      </w:r>
    </w:p>
    <w:p w14:paraId="4274F4A1" w14:textId="77777777" w:rsidR="0070087B" w:rsidRPr="008073AC" w:rsidRDefault="0070087B" w:rsidP="008073AC">
      <w:pPr>
        <w:spacing w:after="0" w:line="240" w:lineRule="auto"/>
        <w:ind w:firstLine="360"/>
        <w:contextualSpacing/>
        <w:jc w:val="both"/>
        <w:rPr>
          <w:rFonts w:ascii="Cambria" w:eastAsia="Batang" w:hAnsi="Cambria" w:cs="Times New Roman"/>
          <w:color w:val="000000"/>
          <w:sz w:val="21"/>
          <w:szCs w:val="21"/>
          <w:lang w:val="es-MX"/>
        </w:rPr>
      </w:pPr>
    </w:p>
    <w:p w14:paraId="1BD998B6" w14:textId="77777777" w:rsidR="0070087B" w:rsidRPr="008073AC" w:rsidRDefault="0070087B" w:rsidP="008073AC">
      <w:pPr>
        <w:numPr>
          <w:ilvl w:val="0"/>
          <w:numId w:val="2"/>
        </w:numPr>
        <w:spacing w:after="0" w:line="240" w:lineRule="auto"/>
        <w:ind w:left="0" w:firstLine="360"/>
        <w:jc w:val="both"/>
        <w:rPr>
          <w:rFonts w:ascii="Cambria" w:eastAsia="Batang" w:hAnsi="Cambria" w:cs="Times New Roman"/>
          <w:b/>
          <w:color w:val="000000"/>
          <w:sz w:val="21"/>
          <w:szCs w:val="21"/>
          <w:lang w:val="es-ES"/>
        </w:rPr>
      </w:pPr>
      <w:r w:rsidRPr="008073AC">
        <w:rPr>
          <w:rFonts w:ascii="Cambria" w:eastAsia="Batang" w:hAnsi="Cambria" w:cs="Times New Roman"/>
          <w:b/>
          <w:color w:val="000000"/>
          <w:sz w:val="21"/>
          <w:szCs w:val="21"/>
          <w:lang w:val="es-ES"/>
        </w:rPr>
        <w:t>ANALISIS SOBRE LOS ELEMENTOS DE GRAVEDAD, URGENCIA E IRREPARABILIDAD</w:t>
      </w:r>
    </w:p>
    <w:p w14:paraId="05C437E4" w14:textId="77777777" w:rsidR="0070087B" w:rsidRPr="008073AC" w:rsidRDefault="0070087B" w:rsidP="008073AC">
      <w:pPr>
        <w:spacing w:after="0" w:line="240" w:lineRule="auto"/>
        <w:ind w:firstLine="360"/>
        <w:jc w:val="both"/>
        <w:rPr>
          <w:rFonts w:ascii="Cambria" w:eastAsia="Batang" w:hAnsi="Cambria" w:cs="Times New Roman"/>
          <w:b/>
          <w:color w:val="000000"/>
          <w:sz w:val="21"/>
          <w:szCs w:val="21"/>
          <w:lang w:val="es-ES"/>
        </w:rPr>
      </w:pPr>
    </w:p>
    <w:p w14:paraId="53A0DB07" w14:textId="57B4D9E7" w:rsidR="0070087B" w:rsidRPr="008073AC" w:rsidRDefault="0070087B" w:rsidP="008073AC">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8073AC">
        <w:rPr>
          <w:rFonts w:ascii="Cambria" w:eastAsia="Batang" w:hAnsi="Cambria" w:cs="Times New Roman"/>
          <w:color w:val="000000"/>
          <w:sz w:val="21"/>
          <w:szCs w:val="21"/>
          <w:lang w:val="es-ES"/>
        </w:rPr>
        <w:t xml:space="preserve">El mecanismo de medidas cautelares </w:t>
      </w:r>
      <w:r w:rsidR="006D474B" w:rsidRPr="008073AC">
        <w:rPr>
          <w:rFonts w:ascii="Cambria" w:eastAsia="Batang" w:hAnsi="Cambria" w:cs="Times New Roman"/>
          <w:color w:val="000000"/>
          <w:sz w:val="21"/>
          <w:szCs w:val="21"/>
          <w:lang w:val="es-ES"/>
        </w:rPr>
        <w:t xml:space="preserve">forma </w:t>
      </w:r>
      <w:r w:rsidRPr="008073AC">
        <w:rPr>
          <w:rFonts w:ascii="Cambria" w:eastAsia="Batang" w:hAnsi="Cambria" w:cs="Times New Roman"/>
          <w:color w:val="000000"/>
          <w:sz w:val="21"/>
          <w:szCs w:val="21"/>
          <w:lang w:val="es-ES"/>
        </w:rPr>
        <w:t xml:space="preserve">parte de la función de la Comisión de supervisar el </w:t>
      </w:r>
      <w:r w:rsidRPr="008073AC">
        <w:rPr>
          <w:rFonts w:ascii="Cambria" w:eastAsia="Times New Roman" w:hAnsi="Cambria" w:cs="Times New Roman"/>
          <w:color w:val="000000"/>
          <w:sz w:val="21"/>
          <w:szCs w:val="21"/>
        </w:rPr>
        <w:t>cumplimiento</w:t>
      </w:r>
      <w:r w:rsidRPr="008073AC">
        <w:rPr>
          <w:rFonts w:ascii="Cambria" w:eastAsia="Batang" w:hAnsi="Cambria" w:cs="Times New Roman"/>
          <w:color w:val="000000"/>
          <w:sz w:val="21"/>
          <w:szCs w:val="21"/>
          <w:lang w:val="es-ES"/>
        </w:rPr>
        <w:t xml:space="preserve"> con las obligaciones de derechos humanos establecidas en el artículo 106 de la Carta de la </w:t>
      </w:r>
      <w:r w:rsidRPr="008073AC">
        <w:rPr>
          <w:rFonts w:ascii="Cambria" w:eastAsia="Batang" w:hAnsi="Cambria" w:cs="Times New Roman"/>
          <w:color w:val="000000"/>
          <w:sz w:val="21"/>
          <w:szCs w:val="21"/>
          <w:lang w:val="es-MX"/>
        </w:rPr>
        <w:t>Organización</w:t>
      </w:r>
      <w:r w:rsidRPr="008073AC">
        <w:rPr>
          <w:rFonts w:ascii="Cambria" w:eastAsia="Batang" w:hAnsi="Cambria" w:cs="Times New Roman"/>
          <w:color w:val="000000"/>
          <w:sz w:val="21"/>
          <w:szCs w:val="21"/>
          <w:lang w:val="es-ES"/>
        </w:rPr>
        <w:t xml:space="preserve"> de los Estados Americanos. Estas funciones generales de supervisión están establecidas en el artículo 41 (b) de la Convención Americana sobre Derechos Humanos, recogido </w:t>
      </w:r>
      <w:r w:rsidRPr="008073AC">
        <w:rPr>
          <w:rFonts w:ascii="Cambria" w:eastAsia="Batang" w:hAnsi="Cambria" w:cs="Times New Roman"/>
          <w:color w:val="000000"/>
          <w:sz w:val="21"/>
          <w:szCs w:val="21"/>
          <w:lang w:val="es-ES"/>
        </w:rPr>
        <w:lastRenderedPageBreak/>
        <w:t>también en el artículo 18 (b) del Estatuto de la CIDH</w:t>
      </w:r>
      <w:r w:rsidR="006D474B" w:rsidRPr="008073AC">
        <w:rPr>
          <w:rFonts w:ascii="Cambria" w:eastAsia="Batang" w:hAnsi="Cambria" w:cs="Times New Roman"/>
          <w:color w:val="000000"/>
          <w:sz w:val="21"/>
          <w:szCs w:val="21"/>
          <w:lang w:val="es-ES"/>
        </w:rPr>
        <w:t>, mientras que</w:t>
      </w:r>
      <w:r w:rsidRPr="008073AC">
        <w:rPr>
          <w:rFonts w:ascii="Cambria" w:eastAsia="Batang" w:hAnsi="Cambria" w:cs="Times New Roman"/>
          <w:color w:val="000000"/>
          <w:sz w:val="21"/>
          <w:szCs w:val="21"/>
          <w:lang w:val="es-ES"/>
        </w:rPr>
        <w:t xml:space="preserve"> </w:t>
      </w:r>
      <w:r w:rsidR="006D474B" w:rsidRPr="008073AC">
        <w:rPr>
          <w:rFonts w:ascii="Cambria" w:eastAsia="Batang" w:hAnsi="Cambria" w:cs="Times New Roman"/>
          <w:color w:val="000000"/>
          <w:sz w:val="21"/>
          <w:szCs w:val="21"/>
          <w:lang w:val="es-ES"/>
        </w:rPr>
        <w:t>e</w:t>
      </w:r>
      <w:r w:rsidRPr="008073AC">
        <w:rPr>
          <w:rFonts w:ascii="Cambria" w:eastAsia="Batang" w:hAnsi="Cambria" w:cs="Times New Roman"/>
          <w:color w:val="000000"/>
          <w:sz w:val="21"/>
          <w:szCs w:val="21"/>
          <w:lang w:val="es-ES"/>
        </w:rPr>
        <w:t xml:space="preserve">l mecanismo de medidas cautelares </w:t>
      </w:r>
      <w:r w:rsidR="006D474B" w:rsidRPr="008073AC">
        <w:rPr>
          <w:rFonts w:ascii="Cambria" w:eastAsia="Batang" w:hAnsi="Cambria" w:cs="Times New Roman"/>
          <w:color w:val="000000"/>
          <w:sz w:val="21"/>
          <w:szCs w:val="21"/>
          <w:lang w:val="es-ES"/>
        </w:rPr>
        <w:t xml:space="preserve">se encuentra </w:t>
      </w:r>
      <w:r w:rsidRPr="008073AC">
        <w:rPr>
          <w:rFonts w:ascii="Cambria" w:eastAsia="Batang" w:hAnsi="Cambria" w:cs="Times New Roman"/>
          <w:color w:val="000000"/>
          <w:sz w:val="21"/>
          <w:szCs w:val="21"/>
          <w:lang w:val="es-ES"/>
        </w:rPr>
        <w:t xml:space="preserve">descrito en el artículo 25 del Reglamento de la Comisión. De conformidad con ese artículo, la Comisión otorga medidas cautelares en situaciones que son graves y urgentes, y en </w:t>
      </w:r>
      <w:r w:rsidR="00FD7DB8" w:rsidRPr="008073AC">
        <w:rPr>
          <w:rFonts w:ascii="Cambria" w:eastAsia="Batang" w:hAnsi="Cambria" w:cs="Times New Roman"/>
          <w:color w:val="000000"/>
          <w:sz w:val="21"/>
          <w:szCs w:val="21"/>
          <w:lang w:val="es-ES"/>
        </w:rPr>
        <w:t xml:space="preserve">las </w:t>
      </w:r>
      <w:r w:rsidRPr="008073AC">
        <w:rPr>
          <w:rFonts w:ascii="Cambria" w:eastAsia="Batang" w:hAnsi="Cambria" w:cs="Times New Roman"/>
          <w:color w:val="000000"/>
          <w:sz w:val="21"/>
          <w:szCs w:val="21"/>
          <w:lang w:val="es-ES"/>
        </w:rPr>
        <w:t>cuales tales medidas son necesarias para prevenir un daño irreparable a las personas</w:t>
      </w:r>
      <w:r w:rsidR="006D474B" w:rsidRPr="008073AC">
        <w:rPr>
          <w:rFonts w:ascii="Cambria" w:eastAsia="Batang" w:hAnsi="Cambria" w:cs="Times New Roman"/>
          <w:color w:val="000000"/>
          <w:sz w:val="21"/>
          <w:szCs w:val="21"/>
          <w:lang w:val="es-ES"/>
        </w:rPr>
        <w:t xml:space="preserve"> o al objeto de una petición o caso ante los órganos del Sistema Interamericano.</w:t>
      </w:r>
    </w:p>
    <w:p w14:paraId="5CFF7408" w14:textId="77777777" w:rsidR="0070087B" w:rsidRPr="008073AC" w:rsidRDefault="0070087B" w:rsidP="008073AC">
      <w:pPr>
        <w:spacing w:after="0" w:line="240" w:lineRule="auto"/>
        <w:ind w:firstLine="360"/>
        <w:jc w:val="both"/>
        <w:rPr>
          <w:rFonts w:ascii="Cambria" w:eastAsia="Batang" w:hAnsi="Cambria" w:cs="Times New Roman"/>
          <w:color w:val="000000"/>
          <w:sz w:val="21"/>
          <w:szCs w:val="21"/>
          <w:lang w:val="es-ES"/>
        </w:rPr>
      </w:pPr>
    </w:p>
    <w:p w14:paraId="4F13449A" w14:textId="437D295D" w:rsidR="0070087B" w:rsidRPr="008073AC" w:rsidRDefault="0070087B" w:rsidP="008073AC">
      <w:pPr>
        <w:numPr>
          <w:ilvl w:val="0"/>
          <w:numId w:val="3"/>
        </w:numPr>
        <w:spacing w:after="0" w:line="240" w:lineRule="auto"/>
        <w:ind w:left="0" w:firstLine="360"/>
        <w:jc w:val="both"/>
        <w:rPr>
          <w:rFonts w:ascii="Cambria" w:eastAsia="Batang" w:hAnsi="Cambria" w:cs="Times New Roman"/>
          <w:color w:val="000000"/>
          <w:lang w:val="es-ES"/>
        </w:rPr>
      </w:pPr>
      <w:r w:rsidRPr="008073AC">
        <w:rPr>
          <w:rFonts w:ascii="Cambria" w:eastAsia="Batang" w:hAnsi="Cambria" w:cs="Times New Roman"/>
          <w:color w:val="000000"/>
          <w:sz w:val="21"/>
          <w:szCs w:val="21"/>
          <w:lang w:val="es-ES"/>
        </w:rPr>
        <w:t xml:space="preserve">La Comisión Interamericana y la Corte Interamericana de Derechos Humanos (“la Corte Interamericana” o “Corte IDH”) han establecido de manera reiterada que las medidas cautelares y provisionales tienen un doble carácter, uno </w:t>
      </w:r>
      <w:r w:rsidR="006D474B" w:rsidRPr="008073AC">
        <w:rPr>
          <w:rFonts w:ascii="Cambria" w:eastAsia="Batang" w:hAnsi="Cambria" w:cs="Times New Roman"/>
          <w:color w:val="000000"/>
          <w:sz w:val="21"/>
          <w:szCs w:val="21"/>
          <w:lang w:val="es-ES"/>
        </w:rPr>
        <w:t xml:space="preserve">tutelar </w:t>
      </w:r>
      <w:r w:rsidRPr="008073AC">
        <w:rPr>
          <w:rFonts w:ascii="Cambria" w:eastAsia="Batang" w:hAnsi="Cambria" w:cs="Times New Roman"/>
          <w:color w:val="000000"/>
          <w:sz w:val="21"/>
          <w:szCs w:val="21"/>
          <w:lang w:val="es-ES"/>
        </w:rPr>
        <w:t>y otro</w:t>
      </w:r>
      <w:r w:rsidR="006D474B" w:rsidRPr="008073AC">
        <w:rPr>
          <w:rFonts w:ascii="Cambria" w:eastAsia="Batang" w:hAnsi="Cambria" w:cs="Times New Roman"/>
          <w:color w:val="000000"/>
          <w:sz w:val="21"/>
          <w:szCs w:val="21"/>
          <w:lang w:val="es-ES"/>
        </w:rPr>
        <w:t xml:space="preserve"> cautelar</w:t>
      </w:r>
      <w:r w:rsidRPr="008073AC">
        <w:rPr>
          <w:rFonts w:ascii="Cambria" w:eastAsia="Batang" w:hAnsi="Cambria" w:cs="Times New Roman"/>
          <w:color w:val="000000"/>
          <w:sz w:val="21"/>
          <w:szCs w:val="21"/>
          <w:lang w:val="es-ES"/>
        </w:rPr>
        <w:t xml:space="preserve">. Respecto del carácter tutelar, las </w:t>
      </w:r>
      <w:r w:rsidRPr="008073AC">
        <w:rPr>
          <w:rFonts w:ascii="Cambria" w:eastAsia="Times New Roman" w:hAnsi="Cambria" w:cs="Times New Roman"/>
          <w:color w:val="000000"/>
          <w:sz w:val="21"/>
          <w:szCs w:val="21"/>
        </w:rPr>
        <w:t>medidas</w:t>
      </w:r>
      <w:r w:rsidRPr="008073AC">
        <w:rPr>
          <w:rFonts w:ascii="Cambria" w:eastAsia="Batang" w:hAnsi="Cambria" w:cs="Times New Roman"/>
          <w:color w:val="000000"/>
          <w:sz w:val="21"/>
          <w:szCs w:val="21"/>
          <w:lang w:val="es-ES"/>
        </w:rPr>
        <w:t xml:space="preserve">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proofErr w:type="spellStart"/>
      <w:r w:rsidRPr="008073AC">
        <w:rPr>
          <w:rFonts w:ascii="Cambria" w:eastAsia="Batang" w:hAnsi="Cambria" w:cs="Times New Roman"/>
          <w:i/>
          <w:color w:val="000000"/>
          <w:sz w:val="21"/>
          <w:szCs w:val="21"/>
          <w:lang w:val="es-ES"/>
        </w:rPr>
        <w:t>effet</w:t>
      </w:r>
      <w:proofErr w:type="spellEnd"/>
      <w:r w:rsidRPr="008073AC">
        <w:rPr>
          <w:rFonts w:ascii="Cambria" w:eastAsia="Batang" w:hAnsi="Cambria" w:cs="Times New Roman"/>
          <w:i/>
          <w:color w:val="000000"/>
          <w:sz w:val="21"/>
          <w:szCs w:val="21"/>
          <w:lang w:val="es-ES"/>
        </w:rPr>
        <w:t xml:space="preserve"> </w:t>
      </w:r>
      <w:proofErr w:type="spellStart"/>
      <w:r w:rsidRPr="008073AC">
        <w:rPr>
          <w:rFonts w:ascii="Cambria" w:eastAsia="Batang" w:hAnsi="Cambria" w:cs="Times New Roman"/>
          <w:i/>
          <w:color w:val="000000"/>
          <w:sz w:val="21"/>
          <w:szCs w:val="21"/>
          <w:lang w:val="es-ES"/>
        </w:rPr>
        <w:t>utile</w:t>
      </w:r>
      <w:proofErr w:type="spellEnd"/>
      <w:r w:rsidRPr="008073AC">
        <w:rPr>
          <w:rFonts w:ascii="Cambria" w:eastAsia="Batang" w:hAnsi="Cambria" w:cs="Times New Roman"/>
          <w:color w:val="000000"/>
          <w:sz w:val="21"/>
          <w:szCs w:val="21"/>
          <w:lang w:val="es-ES"/>
        </w:rPr>
        <w:t>)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w:t>
      </w:r>
    </w:p>
    <w:p w14:paraId="313B9ECA" w14:textId="77777777" w:rsidR="0070087B" w:rsidRPr="008073AC" w:rsidRDefault="0070087B" w:rsidP="008073AC">
      <w:pPr>
        <w:spacing w:after="0" w:line="240" w:lineRule="auto"/>
        <w:jc w:val="both"/>
        <w:rPr>
          <w:rFonts w:ascii="Cambria" w:eastAsia="Batang" w:hAnsi="Cambria" w:cs="Times New Roman"/>
          <w:color w:val="000000"/>
          <w:lang w:val="es-ES"/>
        </w:rPr>
      </w:pPr>
    </w:p>
    <w:p w14:paraId="574772DD" w14:textId="77777777" w:rsidR="0070087B" w:rsidRPr="008073AC" w:rsidRDefault="0070087B" w:rsidP="008073AC">
      <w:pPr>
        <w:numPr>
          <w:ilvl w:val="0"/>
          <w:numId w:val="1"/>
        </w:numPr>
        <w:spacing w:after="0" w:line="240" w:lineRule="auto"/>
        <w:jc w:val="both"/>
        <w:rPr>
          <w:rFonts w:ascii="Cambria" w:eastAsia="Batang" w:hAnsi="Cambria" w:cs="Times New Roman"/>
          <w:color w:val="000000"/>
          <w:sz w:val="18"/>
          <w:lang w:val="es-ES"/>
        </w:rPr>
      </w:pPr>
      <w:r w:rsidRPr="008073AC">
        <w:rPr>
          <w:rFonts w:ascii="Cambria" w:eastAsia="Batang" w:hAnsi="Cambria" w:cs="Times New Roman"/>
          <w:color w:val="000000"/>
          <w:sz w:val="18"/>
          <w:lang w:val="es-ES"/>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14:paraId="6B0E6D10" w14:textId="77777777" w:rsidR="0070087B" w:rsidRPr="008073AC" w:rsidRDefault="0070087B" w:rsidP="008073AC">
      <w:pPr>
        <w:spacing w:after="0" w:line="240" w:lineRule="auto"/>
        <w:ind w:left="720"/>
        <w:jc w:val="both"/>
        <w:rPr>
          <w:rFonts w:ascii="Cambria" w:eastAsia="Batang" w:hAnsi="Cambria" w:cs="Times New Roman"/>
          <w:color w:val="000000"/>
          <w:sz w:val="18"/>
          <w:lang w:val="es-ES"/>
        </w:rPr>
      </w:pPr>
    </w:p>
    <w:p w14:paraId="237AE46B" w14:textId="77777777" w:rsidR="0070087B" w:rsidRPr="008073AC" w:rsidRDefault="0070087B" w:rsidP="008073AC">
      <w:pPr>
        <w:numPr>
          <w:ilvl w:val="0"/>
          <w:numId w:val="1"/>
        </w:numPr>
        <w:spacing w:after="0" w:line="240" w:lineRule="auto"/>
        <w:jc w:val="both"/>
        <w:rPr>
          <w:rFonts w:ascii="Cambria" w:eastAsia="Batang" w:hAnsi="Cambria" w:cs="Times New Roman"/>
          <w:color w:val="000000"/>
          <w:sz w:val="18"/>
          <w:lang w:val="es-ES"/>
        </w:rPr>
      </w:pPr>
      <w:r w:rsidRPr="008073AC">
        <w:rPr>
          <w:rFonts w:ascii="Cambria" w:eastAsia="Batang" w:hAnsi="Cambria" w:cs="Times New Roman"/>
          <w:color w:val="000000"/>
          <w:sz w:val="18"/>
          <w:lang w:val="es-ES"/>
        </w:rPr>
        <w:t xml:space="preserve">La “urgencia de la situación” se determina por medio de la información aportada, indicando el riesgo o la amenaza que puedan ser inminentes y materializarse, requiriendo de esa manera una acción preventiva o tutelar; y </w:t>
      </w:r>
    </w:p>
    <w:p w14:paraId="3C999C09" w14:textId="77777777" w:rsidR="0070087B" w:rsidRPr="008073AC" w:rsidRDefault="0070087B" w:rsidP="008073AC">
      <w:pPr>
        <w:spacing w:after="0" w:line="240" w:lineRule="auto"/>
        <w:ind w:left="720"/>
        <w:jc w:val="both"/>
        <w:rPr>
          <w:rFonts w:ascii="Cambria" w:eastAsia="Batang" w:hAnsi="Cambria" w:cs="Times New Roman"/>
          <w:color w:val="000000"/>
          <w:sz w:val="18"/>
          <w:lang w:val="es-ES"/>
        </w:rPr>
      </w:pPr>
    </w:p>
    <w:p w14:paraId="6C03E3D4" w14:textId="77777777" w:rsidR="0070087B" w:rsidRPr="008073AC" w:rsidRDefault="0070087B" w:rsidP="008073AC">
      <w:pPr>
        <w:numPr>
          <w:ilvl w:val="0"/>
          <w:numId w:val="1"/>
        </w:numPr>
        <w:spacing w:after="0" w:line="240" w:lineRule="auto"/>
        <w:jc w:val="both"/>
        <w:rPr>
          <w:rFonts w:ascii="Cambria" w:eastAsia="Batang" w:hAnsi="Cambria" w:cs="Times New Roman"/>
          <w:color w:val="000000"/>
          <w:sz w:val="18"/>
          <w:lang w:val="es-ES"/>
        </w:rPr>
      </w:pPr>
      <w:r w:rsidRPr="008073AC">
        <w:rPr>
          <w:rFonts w:ascii="Cambria" w:eastAsia="Batang" w:hAnsi="Cambria" w:cs="Times New Roman"/>
          <w:color w:val="000000"/>
          <w:sz w:val="18"/>
          <w:lang w:val="es-ES"/>
        </w:rPr>
        <w:t>El “daño irreparable” consiste en la afectación sobre derechos que, por su propia naturaleza, no son susceptibles de reparación, restauración o adecuada indemnización.</w:t>
      </w:r>
    </w:p>
    <w:p w14:paraId="6C481EB2" w14:textId="77777777" w:rsidR="0070087B" w:rsidRPr="008073AC" w:rsidRDefault="0070087B" w:rsidP="008073AC">
      <w:pPr>
        <w:tabs>
          <w:tab w:val="left" w:pos="5161"/>
        </w:tabs>
        <w:spacing w:after="0" w:line="240" w:lineRule="auto"/>
        <w:jc w:val="both"/>
        <w:rPr>
          <w:rFonts w:ascii="Cambria" w:eastAsia="Batang" w:hAnsi="Cambria" w:cs="Times New Roman"/>
          <w:lang w:val="es-ES"/>
        </w:rPr>
      </w:pPr>
    </w:p>
    <w:p w14:paraId="25CE750C" w14:textId="77777777" w:rsidR="0070087B" w:rsidRPr="008073AC" w:rsidRDefault="0070087B" w:rsidP="008073AC">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8073AC">
        <w:rPr>
          <w:rFonts w:ascii="Cambria" w:eastAsia="Batang" w:hAnsi="Cambria" w:cs="Times New Roman"/>
          <w:color w:val="000000"/>
          <w:sz w:val="21"/>
          <w:szCs w:val="21"/>
          <w:lang w:val="es-ES"/>
        </w:rPr>
        <w:t xml:space="preserve">En el análisis de los mencionados requisitos, la Comisión reitera que los hechos que motivan una solicitud de medidas cautelares no requieren estar plenamente comprobados. La información proporcionada, a efectos de identificar una situación de gravedad y urgencia, debe ser apreciada desde una perspectiva </w:t>
      </w:r>
      <w:r w:rsidRPr="008073AC">
        <w:rPr>
          <w:rFonts w:ascii="Cambria" w:eastAsia="Batang" w:hAnsi="Cambria" w:cs="Times New Roman"/>
          <w:i/>
          <w:color w:val="000000"/>
          <w:sz w:val="21"/>
          <w:szCs w:val="21"/>
          <w:lang w:val="es-ES"/>
        </w:rPr>
        <w:t>prima facie</w:t>
      </w:r>
      <w:r w:rsidRPr="008073AC">
        <w:rPr>
          <w:rFonts w:ascii="Cambria" w:eastAsia="Batang" w:hAnsi="Cambria" w:cs="Times New Roman"/>
          <w:color w:val="000000"/>
          <w:sz w:val="21"/>
          <w:szCs w:val="21"/>
          <w:vertAlign w:val="superscript"/>
          <w:lang w:val="es-ES"/>
        </w:rPr>
        <w:footnoteReference w:id="1"/>
      </w:r>
      <w:r w:rsidRPr="008073AC">
        <w:rPr>
          <w:rFonts w:ascii="Cambria" w:eastAsia="Batang" w:hAnsi="Cambria" w:cs="Times New Roman"/>
          <w:color w:val="000000"/>
          <w:sz w:val="21"/>
          <w:szCs w:val="21"/>
          <w:lang w:val="es-ES"/>
        </w:rPr>
        <w:t>.</w:t>
      </w:r>
    </w:p>
    <w:p w14:paraId="7C6D13DD" w14:textId="77777777" w:rsidR="0070087B" w:rsidRPr="008073AC" w:rsidRDefault="0070087B" w:rsidP="008073AC">
      <w:pPr>
        <w:ind w:firstLine="360"/>
        <w:contextualSpacing/>
        <w:rPr>
          <w:rFonts w:ascii="Cambria" w:eastAsia="Batang" w:hAnsi="Cambria" w:cs="Times New Roman"/>
          <w:color w:val="000000"/>
          <w:sz w:val="21"/>
          <w:szCs w:val="21"/>
          <w:lang w:val="es-ES"/>
        </w:rPr>
      </w:pPr>
    </w:p>
    <w:p w14:paraId="7FA00290" w14:textId="6AB66CAF" w:rsidR="00976DF4" w:rsidRPr="008073AC" w:rsidRDefault="006D474B" w:rsidP="008073AC">
      <w:pPr>
        <w:numPr>
          <w:ilvl w:val="0"/>
          <w:numId w:val="3"/>
        </w:numPr>
        <w:spacing w:after="0" w:line="240" w:lineRule="auto"/>
        <w:ind w:left="0" w:firstLine="360"/>
        <w:jc w:val="both"/>
        <w:rPr>
          <w:rFonts w:ascii="Cambria" w:eastAsia="Batang" w:hAnsi="Cambria" w:cs="Times New Roman"/>
          <w:color w:val="000000" w:themeColor="text1"/>
          <w:sz w:val="21"/>
          <w:szCs w:val="21"/>
          <w:lang w:val="es-ES"/>
        </w:rPr>
      </w:pPr>
      <w:r w:rsidRPr="008073AC">
        <w:rPr>
          <w:rFonts w:ascii="Cambria" w:eastAsia="Batang" w:hAnsi="Cambria" w:cs="Times New Roman"/>
          <w:color w:val="000000"/>
          <w:sz w:val="21"/>
          <w:szCs w:val="21"/>
          <w:lang w:val="es-ES"/>
        </w:rPr>
        <w:t xml:space="preserve">Como cuestión preliminar, </w:t>
      </w:r>
      <w:r w:rsidR="00782DC5" w:rsidRPr="008073AC">
        <w:rPr>
          <w:rFonts w:ascii="Cambria" w:eastAsia="Batang" w:hAnsi="Cambria" w:cs="Times New Roman"/>
          <w:color w:val="000000"/>
          <w:sz w:val="21"/>
          <w:szCs w:val="21"/>
          <w:lang w:val="es-ES"/>
        </w:rPr>
        <w:t xml:space="preserve">la Comisión toma nota de la información aportada por el Estado con relación a sus diligencias relacionadas a solucionar el fondo de la disputa territorial referida en la presente solicitud. No obstante, se </w:t>
      </w:r>
      <w:r w:rsidR="00976DF4" w:rsidRPr="008073AC">
        <w:rPr>
          <w:rFonts w:ascii="Cambria" w:eastAsia="Batang" w:hAnsi="Cambria" w:cs="Times New Roman"/>
          <w:color w:val="000000"/>
          <w:sz w:val="21"/>
          <w:szCs w:val="21"/>
          <w:lang w:val="es-ES"/>
        </w:rPr>
        <w:t xml:space="preserve">considera pertinente aclarar que no está llamada a pronunciarse, por vía del mecanismo de medidas cautelares, sobre </w:t>
      </w:r>
      <w:r w:rsidR="00976DF4" w:rsidRPr="008073AC">
        <w:rPr>
          <w:rFonts w:ascii="Cambria" w:eastAsia="Batang" w:hAnsi="Cambria" w:cs="Times New Roman"/>
          <w:color w:val="000000"/>
          <w:sz w:val="21"/>
          <w:szCs w:val="21"/>
        </w:rPr>
        <w:t>la compatibilidad de los procesos que se tramitan en el ámbito interno a la luz de la Convención Americana</w:t>
      </w:r>
      <w:r w:rsidR="00976DF4" w:rsidRPr="008073AC">
        <w:rPr>
          <w:rFonts w:ascii="Cambria" w:eastAsia="Batang" w:hAnsi="Cambria" w:cs="Times New Roman"/>
          <w:color w:val="000000"/>
          <w:sz w:val="21"/>
          <w:szCs w:val="21"/>
          <w:lang w:val="es-ES"/>
        </w:rPr>
        <w:t xml:space="preserve">. Del mismo modo, no corresponde a la Comisión en este procedimiento determinar quiénes son los propietarios de las tierras en controversia. En el ámbito de las medidas cautelares tampoco </w:t>
      </w:r>
      <w:r w:rsidR="00976DF4" w:rsidRPr="008073AC">
        <w:rPr>
          <w:rFonts w:ascii="Cambria" w:eastAsia="Batang" w:hAnsi="Cambria" w:cs="Times New Roman"/>
          <w:color w:val="000000"/>
          <w:sz w:val="21"/>
          <w:szCs w:val="21"/>
          <w:lang w:val="es-PE"/>
        </w:rPr>
        <w:t xml:space="preserve">se determina la responsabilidad del Estado por el alegado incumplimiento de obligaciones establecidas en la Convención u otros instrumentos pertinentes. </w:t>
      </w:r>
      <w:r w:rsidR="00976DF4" w:rsidRPr="008073AC">
        <w:rPr>
          <w:rFonts w:ascii="Cambria" w:eastAsia="Batang" w:hAnsi="Cambria" w:cs="Times New Roman"/>
          <w:color w:val="000000"/>
          <w:sz w:val="21"/>
          <w:szCs w:val="21"/>
          <w:lang w:val="es-ES"/>
        </w:rPr>
        <w:t xml:space="preserve">Tales </w:t>
      </w:r>
      <w:r w:rsidR="00976DF4" w:rsidRPr="008073AC">
        <w:rPr>
          <w:rFonts w:ascii="Cambria" w:eastAsia="Batang" w:hAnsi="Cambria" w:cs="Times New Roman"/>
          <w:color w:val="000000"/>
          <w:sz w:val="21"/>
          <w:szCs w:val="21"/>
        </w:rPr>
        <w:t xml:space="preserve">pretensiones, por su propia naturaleza, requieren de </w:t>
      </w:r>
      <w:r w:rsidR="00976DF4" w:rsidRPr="008073AC">
        <w:rPr>
          <w:rFonts w:ascii="Cambria" w:eastAsia="Batang" w:hAnsi="Cambria" w:cs="Times New Roman"/>
          <w:iCs/>
          <w:color w:val="000000"/>
          <w:sz w:val="21"/>
          <w:szCs w:val="21"/>
          <w:lang w:val="es-ES"/>
        </w:rPr>
        <w:t xml:space="preserve">determinaciones de fondo que serían propias de ser analizadas en una petición o caso. Por lo anterior, el análisis que la Comisión efectúa a continuación se relaciona exclusivamente con los requisitos de </w:t>
      </w:r>
      <w:r w:rsidR="00976DF4" w:rsidRPr="008073AC">
        <w:rPr>
          <w:rFonts w:ascii="Cambria" w:eastAsia="Batang" w:hAnsi="Cambria" w:cs="Times New Roman"/>
          <w:iCs/>
          <w:color w:val="000000"/>
          <w:sz w:val="21"/>
          <w:szCs w:val="21"/>
          <w:lang w:val="es-ES"/>
        </w:rPr>
        <w:lastRenderedPageBreak/>
        <w:t>gravedad, urgencia y riesgo de daño irreparable establecidos en el artículo 25 de su Reglamento, los cuales pueden resolverse sin tratar de determinaciones de fondo.</w:t>
      </w:r>
      <w:r w:rsidR="00787475" w:rsidRPr="008073AC">
        <w:rPr>
          <w:rStyle w:val="FootnoteReference"/>
          <w:rFonts w:ascii="Cambria" w:eastAsia="Batang" w:hAnsi="Cambria" w:cs="Times New Roman"/>
          <w:iCs/>
          <w:color w:val="000000"/>
          <w:sz w:val="21"/>
          <w:szCs w:val="21"/>
          <w:lang w:val="es-ES"/>
        </w:rPr>
        <w:footnoteReference w:id="2"/>
      </w:r>
    </w:p>
    <w:p w14:paraId="388F4320" w14:textId="77777777" w:rsidR="00976DF4" w:rsidRPr="008073AC" w:rsidRDefault="00976DF4" w:rsidP="008073AC">
      <w:pPr>
        <w:spacing w:after="0" w:line="240" w:lineRule="auto"/>
        <w:ind w:firstLine="360"/>
        <w:jc w:val="both"/>
        <w:rPr>
          <w:rFonts w:ascii="Cambria" w:eastAsia="Calibri" w:hAnsi="Cambria" w:cs="Times New Roman"/>
          <w:sz w:val="21"/>
          <w:szCs w:val="21"/>
          <w:lang w:val="es-ES"/>
        </w:rPr>
      </w:pPr>
    </w:p>
    <w:p w14:paraId="6B0F035B" w14:textId="1F13B3FA" w:rsidR="00F80275" w:rsidRPr="008073AC" w:rsidRDefault="007205A9" w:rsidP="008073AC">
      <w:pPr>
        <w:numPr>
          <w:ilvl w:val="0"/>
          <w:numId w:val="3"/>
        </w:numPr>
        <w:spacing w:after="0" w:line="240" w:lineRule="auto"/>
        <w:ind w:left="0" w:firstLine="360"/>
        <w:jc w:val="both"/>
        <w:rPr>
          <w:rFonts w:ascii="Cambria" w:eastAsia="Calibri" w:hAnsi="Cambria" w:cs="Times New Roman"/>
          <w:sz w:val="21"/>
          <w:szCs w:val="21"/>
          <w:lang w:val="es-ES"/>
        </w:rPr>
      </w:pPr>
      <w:r w:rsidRPr="008073AC">
        <w:rPr>
          <w:rFonts w:ascii="Cambria" w:eastAsia="Batang" w:hAnsi="Cambria" w:cs="Times New Roman"/>
          <w:color w:val="000000"/>
          <w:sz w:val="21"/>
          <w:szCs w:val="21"/>
          <w:lang w:val="es-ES"/>
        </w:rPr>
        <w:t>En el presente asunto</w:t>
      </w:r>
      <w:r w:rsidR="0070087B" w:rsidRPr="008073AC">
        <w:rPr>
          <w:rFonts w:ascii="Cambria" w:eastAsia="Batang" w:hAnsi="Cambria" w:cs="Times New Roman"/>
          <w:color w:val="000000"/>
          <w:sz w:val="21"/>
          <w:szCs w:val="21"/>
          <w:lang w:val="es-ES"/>
        </w:rPr>
        <w:t xml:space="preserve">, la Comisión </w:t>
      </w:r>
      <w:r w:rsidRPr="008073AC">
        <w:rPr>
          <w:rFonts w:ascii="Cambria" w:eastAsia="Batang" w:hAnsi="Cambria" w:cs="Times New Roman"/>
          <w:color w:val="000000"/>
          <w:sz w:val="21"/>
          <w:szCs w:val="21"/>
          <w:lang w:val="es-ES"/>
        </w:rPr>
        <w:t xml:space="preserve">observa que el requisito de gravedad se encuentra cumplido, en vista de </w:t>
      </w:r>
      <w:r w:rsidR="002408FE" w:rsidRPr="008073AC">
        <w:rPr>
          <w:rFonts w:ascii="Cambria" w:eastAsia="Batang" w:hAnsi="Cambria" w:cs="Times New Roman"/>
          <w:color w:val="000000"/>
          <w:sz w:val="21"/>
          <w:szCs w:val="21"/>
          <w:lang w:val="es-ES"/>
        </w:rPr>
        <w:t xml:space="preserve">que </w:t>
      </w:r>
      <w:r w:rsidRPr="008073AC">
        <w:rPr>
          <w:rFonts w:ascii="Cambria" w:eastAsia="Batang" w:hAnsi="Cambria" w:cs="Times New Roman"/>
          <w:color w:val="000000"/>
          <w:sz w:val="21"/>
          <w:szCs w:val="21"/>
          <w:lang w:val="es-ES"/>
        </w:rPr>
        <w:t xml:space="preserve">los eventos de riesgo reportados son susceptibles de afectar seriamente </w:t>
      </w:r>
      <w:r w:rsidR="002408FE" w:rsidRPr="008073AC">
        <w:rPr>
          <w:rFonts w:ascii="Cambria" w:eastAsia="Batang" w:hAnsi="Cambria" w:cs="Times New Roman"/>
          <w:color w:val="000000"/>
          <w:sz w:val="21"/>
          <w:szCs w:val="21"/>
          <w:lang w:val="es-ES"/>
        </w:rPr>
        <w:t>los</w:t>
      </w:r>
      <w:r w:rsidRPr="008073AC">
        <w:rPr>
          <w:rFonts w:ascii="Cambria" w:eastAsia="Batang" w:hAnsi="Cambria" w:cs="Times New Roman"/>
          <w:color w:val="000000"/>
          <w:sz w:val="21"/>
          <w:szCs w:val="21"/>
          <w:lang w:val="es-ES"/>
        </w:rPr>
        <w:t xml:space="preserve"> derechos a la vida e integridad personal de los propuestos beneficiarios. Al momento de valorar la situación, es importante tener en cuenta el contexto de la disputa territorial y la existencia de un procedimiento judicial, el cual puede contribuir a exacerbar el clima de violencia señalado</w:t>
      </w:r>
      <w:r w:rsidR="006A6591" w:rsidRPr="008073AC">
        <w:rPr>
          <w:rFonts w:ascii="Cambria" w:eastAsia="Batang" w:hAnsi="Cambria" w:cs="Times New Roman"/>
          <w:color w:val="000000"/>
          <w:sz w:val="21"/>
          <w:szCs w:val="21"/>
          <w:lang w:val="es-ES"/>
        </w:rPr>
        <w:t>, conforme se vaya desarrollando</w:t>
      </w:r>
      <w:r w:rsidRPr="008073AC">
        <w:rPr>
          <w:rFonts w:ascii="Cambria" w:eastAsia="Batang" w:hAnsi="Cambria" w:cs="Times New Roman"/>
          <w:color w:val="000000"/>
          <w:sz w:val="21"/>
          <w:szCs w:val="21"/>
          <w:lang w:val="es-ES"/>
        </w:rPr>
        <w:t>. En este sentido, además de los solicitantes</w:t>
      </w:r>
      <w:r w:rsidR="002408FE" w:rsidRPr="008073AC">
        <w:rPr>
          <w:rFonts w:ascii="Cambria" w:eastAsia="Batang" w:hAnsi="Cambria" w:cs="Times New Roman"/>
          <w:color w:val="000000"/>
          <w:sz w:val="21"/>
          <w:szCs w:val="21"/>
          <w:lang w:val="es-ES"/>
        </w:rPr>
        <w:t xml:space="preserve"> haber reportado</w:t>
      </w:r>
      <w:r w:rsidRPr="008073AC">
        <w:rPr>
          <w:rFonts w:ascii="Cambria" w:eastAsia="Batang" w:hAnsi="Cambria" w:cs="Times New Roman"/>
          <w:color w:val="000000"/>
          <w:sz w:val="21"/>
          <w:szCs w:val="21"/>
          <w:lang w:val="es-ES"/>
        </w:rPr>
        <w:t xml:space="preserve"> </w:t>
      </w:r>
      <w:r w:rsidR="008047FD" w:rsidRPr="008073AC">
        <w:rPr>
          <w:rFonts w:ascii="Cambria" w:eastAsia="Batang" w:hAnsi="Cambria" w:cs="Times New Roman"/>
          <w:color w:val="000000"/>
          <w:sz w:val="21"/>
          <w:szCs w:val="21"/>
          <w:lang w:val="es-ES"/>
        </w:rPr>
        <w:t xml:space="preserve">reiterados </w:t>
      </w:r>
      <w:r w:rsidRPr="008073AC">
        <w:rPr>
          <w:rFonts w:ascii="Cambria" w:eastAsia="Batang" w:hAnsi="Cambria" w:cs="Times New Roman"/>
          <w:color w:val="000000"/>
          <w:sz w:val="21"/>
          <w:szCs w:val="21"/>
          <w:lang w:val="es-ES"/>
        </w:rPr>
        <w:t xml:space="preserve">episodios </w:t>
      </w:r>
      <w:r w:rsidR="00BC1E35" w:rsidRPr="008073AC">
        <w:rPr>
          <w:rFonts w:ascii="Cambria" w:eastAsia="Batang" w:hAnsi="Cambria" w:cs="Times New Roman"/>
          <w:color w:val="000000"/>
          <w:sz w:val="21"/>
          <w:szCs w:val="21"/>
          <w:lang w:val="es-ES"/>
        </w:rPr>
        <w:t>de amenaza</w:t>
      </w:r>
      <w:r w:rsidRPr="008073AC">
        <w:rPr>
          <w:rFonts w:ascii="Cambria" w:eastAsia="Batang" w:hAnsi="Cambria" w:cs="Times New Roman"/>
          <w:color w:val="000000"/>
          <w:sz w:val="21"/>
          <w:szCs w:val="21"/>
          <w:lang w:val="es-ES"/>
        </w:rPr>
        <w:t>s</w:t>
      </w:r>
      <w:r w:rsidR="00BC1E35" w:rsidRPr="008073AC">
        <w:rPr>
          <w:rFonts w:ascii="Cambria" w:eastAsia="Batang" w:hAnsi="Cambria" w:cs="Times New Roman"/>
          <w:color w:val="000000"/>
          <w:sz w:val="21"/>
          <w:szCs w:val="21"/>
          <w:lang w:val="es-ES"/>
        </w:rPr>
        <w:t>, hostigamiento</w:t>
      </w:r>
      <w:r w:rsidRPr="008073AC">
        <w:rPr>
          <w:rFonts w:ascii="Cambria" w:eastAsia="Batang" w:hAnsi="Cambria" w:cs="Times New Roman"/>
          <w:color w:val="000000"/>
          <w:sz w:val="21"/>
          <w:szCs w:val="21"/>
          <w:lang w:val="es-ES"/>
        </w:rPr>
        <w:t>s</w:t>
      </w:r>
      <w:r w:rsidR="00BC1E35" w:rsidRPr="008073AC">
        <w:rPr>
          <w:rFonts w:ascii="Cambria" w:eastAsia="Batang" w:hAnsi="Cambria" w:cs="Times New Roman"/>
          <w:color w:val="000000"/>
          <w:sz w:val="21"/>
          <w:szCs w:val="21"/>
          <w:lang w:val="es-ES"/>
        </w:rPr>
        <w:t xml:space="preserve"> y ac</w:t>
      </w:r>
      <w:r w:rsidR="008047FD" w:rsidRPr="008073AC">
        <w:rPr>
          <w:rFonts w:ascii="Cambria" w:eastAsia="Batang" w:hAnsi="Cambria" w:cs="Times New Roman"/>
          <w:color w:val="000000"/>
          <w:sz w:val="21"/>
          <w:szCs w:val="21"/>
          <w:lang w:val="es-ES"/>
        </w:rPr>
        <w:t xml:space="preserve">tos de violencia en contra de los miembros de la </w:t>
      </w:r>
      <w:r w:rsidRPr="008073AC">
        <w:rPr>
          <w:rFonts w:ascii="Cambria" w:eastAsia="Batang" w:hAnsi="Cambria" w:cs="Times New Roman"/>
          <w:color w:val="000000"/>
          <w:sz w:val="21"/>
          <w:szCs w:val="21"/>
          <w:lang w:val="es-ES"/>
        </w:rPr>
        <w:t>c</w:t>
      </w:r>
      <w:r w:rsidR="008047FD" w:rsidRPr="008073AC">
        <w:rPr>
          <w:rFonts w:ascii="Cambria" w:eastAsia="Batang" w:hAnsi="Cambria" w:cs="Times New Roman"/>
          <w:color w:val="000000"/>
          <w:sz w:val="21"/>
          <w:szCs w:val="21"/>
          <w:lang w:val="es-ES"/>
        </w:rPr>
        <w:t xml:space="preserve">omunidad </w:t>
      </w:r>
      <w:r w:rsidRPr="008073AC">
        <w:rPr>
          <w:rFonts w:ascii="Cambria" w:eastAsia="Batang" w:hAnsi="Cambria" w:cs="Times New Roman"/>
          <w:color w:val="000000"/>
          <w:sz w:val="21"/>
          <w:szCs w:val="21"/>
        </w:rPr>
        <w:t>m</w:t>
      </w:r>
      <w:r w:rsidR="008047FD" w:rsidRPr="008073AC">
        <w:rPr>
          <w:rFonts w:ascii="Cambria" w:eastAsia="Batang" w:hAnsi="Cambria" w:cs="Times New Roman"/>
          <w:color w:val="000000"/>
          <w:sz w:val="21"/>
          <w:szCs w:val="21"/>
        </w:rPr>
        <w:t xml:space="preserve">apuche </w:t>
      </w:r>
      <w:proofErr w:type="spellStart"/>
      <w:r w:rsidR="008047FD" w:rsidRPr="008073AC">
        <w:rPr>
          <w:rFonts w:ascii="Cambria" w:eastAsia="Batang" w:hAnsi="Cambria" w:cs="Times New Roman"/>
          <w:color w:val="000000"/>
          <w:sz w:val="21"/>
          <w:szCs w:val="21"/>
        </w:rPr>
        <w:t>Lof</w:t>
      </w:r>
      <w:proofErr w:type="spellEnd"/>
      <w:r w:rsidR="008047FD" w:rsidRPr="008073AC">
        <w:rPr>
          <w:rFonts w:ascii="Cambria" w:eastAsia="Batang" w:hAnsi="Cambria" w:cs="Times New Roman"/>
          <w:color w:val="000000"/>
          <w:sz w:val="21"/>
          <w:szCs w:val="21"/>
        </w:rPr>
        <w:t xml:space="preserve"> </w:t>
      </w:r>
      <w:proofErr w:type="spellStart"/>
      <w:r w:rsidR="008047FD" w:rsidRPr="008073AC">
        <w:rPr>
          <w:rFonts w:ascii="Cambria" w:eastAsia="Batang" w:hAnsi="Cambria" w:cs="Times New Roman"/>
          <w:color w:val="000000"/>
          <w:sz w:val="21"/>
          <w:szCs w:val="21"/>
        </w:rPr>
        <w:t>Buenuleo</w:t>
      </w:r>
      <w:proofErr w:type="spellEnd"/>
      <w:r w:rsidR="008047FD" w:rsidRPr="008073AC">
        <w:rPr>
          <w:rFonts w:ascii="Cambria" w:eastAsia="Batang" w:hAnsi="Cambria" w:cs="Times New Roman"/>
          <w:color w:val="000000"/>
          <w:sz w:val="21"/>
          <w:szCs w:val="21"/>
        </w:rPr>
        <w:t xml:space="preserve">, </w:t>
      </w:r>
      <w:r w:rsidR="006A6591" w:rsidRPr="008073AC">
        <w:rPr>
          <w:rFonts w:ascii="Cambria" w:eastAsia="Batang" w:hAnsi="Cambria" w:cs="Times New Roman"/>
          <w:color w:val="000000"/>
          <w:sz w:val="21"/>
          <w:szCs w:val="21"/>
        </w:rPr>
        <w:t>la Comisión nota con preocupación que los presuntos perpetradores habrían empleado,</w:t>
      </w:r>
      <w:r w:rsidR="008047FD" w:rsidRPr="008073AC">
        <w:rPr>
          <w:rFonts w:ascii="Cambria" w:eastAsia="Batang" w:hAnsi="Cambria" w:cs="Times New Roman"/>
          <w:color w:val="000000"/>
          <w:sz w:val="21"/>
          <w:szCs w:val="21"/>
        </w:rPr>
        <w:t xml:space="preserve"> </w:t>
      </w:r>
      <w:r w:rsidR="00BC1E35" w:rsidRPr="008073AC">
        <w:rPr>
          <w:rFonts w:ascii="Cambria" w:eastAsia="Batang" w:hAnsi="Cambria" w:cs="Times New Roman"/>
          <w:color w:val="000000"/>
          <w:sz w:val="21"/>
          <w:szCs w:val="21"/>
        </w:rPr>
        <w:t>en más de una ocasión</w:t>
      </w:r>
      <w:r w:rsidR="006A6591" w:rsidRPr="008073AC">
        <w:rPr>
          <w:rFonts w:ascii="Cambria" w:eastAsia="Batang" w:hAnsi="Cambria" w:cs="Times New Roman"/>
          <w:color w:val="000000"/>
          <w:sz w:val="21"/>
          <w:szCs w:val="21"/>
        </w:rPr>
        <w:t>,</w:t>
      </w:r>
      <w:r w:rsidR="00BC1E35" w:rsidRPr="008073AC">
        <w:rPr>
          <w:rFonts w:ascii="Cambria" w:eastAsia="Batang" w:hAnsi="Cambria" w:cs="Times New Roman"/>
          <w:color w:val="000000"/>
          <w:sz w:val="21"/>
          <w:szCs w:val="21"/>
        </w:rPr>
        <w:t xml:space="preserve"> armas de fuego</w:t>
      </w:r>
      <w:r w:rsidR="00E52FDA" w:rsidRPr="008073AC">
        <w:rPr>
          <w:rFonts w:ascii="Cambria" w:eastAsia="Batang" w:hAnsi="Cambria" w:cs="Times New Roman"/>
          <w:color w:val="000000"/>
          <w:sz w:val="21"/>
          <w:szCs w:val="21"/>
        </w:rPr>
        <w:t xml:space="preserve"> (</w:t>
      </w:r>
      <w:r w:rsidR="00E52FDA" w:rsidRPr="008073AC">
        <w:rPr>
          <w:rFonts w:ascii="Cambria" w:eastAsia="Batang" w:hAnsi="Cambria" w:cs="Times New Roman"/>
          <w:i/>
          <w:color w:val="000000"/>
          <w:sz w:val="21"/>
          <w:szCs w:val="21"/>
        </w:rPr>
        <w:t xml:space="preserve">supra </w:t>
      </w:r>
      <w:r w:rsidR="007A2D78" w:rsidRPr="008073AC">
        <w:rPr>
          <w:rFonts w:ascii="Cambria" w:eastAsia="Batang" w:hAnsi="Cambria" w:cs="Times New Roman"/>
          <w:color w:val="000000"/>
          <w:sz w:val="21"/>
          <w:szCs w:val="21"/>
        </w:rPr>
        <w:t>párr.</w:t>
      </w:r>
      <w:r w:rsidR="00E52FDA" w:rsidRPr="008073AC">
        <w:rPr>
          <w:rFonts w:ascii="Cambria" w:eastAsia="Batang" w:hAnsi="Cambria" w:cs="Times New Roman"/>
          <w:color w:val="000000"/>
          <w:sz w:val="21"/>
          <w:szCs w:val="21"/>
        </w:rPr>
        <w:t xml:space="preserve"> </w:t>
      </w:r>
      <w:r w:rsidR="00D51DD0" w:rsidRPr="008073AC">
        <w:rPr>
          <w:rFonts w:ascii="Cambria" w:eastAsia="Batang" w:hAnsi="Cambria" w:cs="Times New Roman"/>
          <w:color w:val="000000"/>
          <w:sz w:val="21"/>
          <w:szCs w:val="21"/>
        </w:rPr>
        <w:t>5, 9</w:t>
      </w:r>
      <w:r w:rsidR="00DE54F1" w:rsidRPr="008073AC">
        <w:rPr>
          <w:rFonts w:ascii="Cambria" w:eastAsia="Batang" w:hAnsi="Cambria" w:cs="Times New Roman"/>
          <w:color w:val="000000"/>
          <w:sz w:val="21"/>
          <w:szCs w:val="21"/>
        </w:rPr>
        <w:t>,</w:t>
      </w:r>
      <w:r w:rsidR="00D51DD0" w:rsidRPr="008073AC">
        <w:rPr>
          <w:rFonts w:ascii="Cambria" w:eastAsia="Batang" w:hAnsi="Cambria" w:cs="Times New Roman"/>
          <w:color w:val="000000"/>
          <w:sz w:val="21"/>
          <w:szCs w:val="21"/>
        </w:rPr>
        <w:t xml:space="preserve"> 10</w:t>
      </w:r>
      <w:r w:rsidR="00DE54F1" w:rsidRPr="008073AC">
        <w:rPr>
          <w:rFonts w:ascii="Cambria" w:eastAsia="Batang" w:hAnsi="Cambria" w:cs="Times New Roman"/>
          <w:color w:val="000000"/>
          <w:sz w:val="21"/>
          <w:szCs w:val="21"/>
        </w:rPr>
        <w:t xml:space="preserve"> y 12</w:t>
      </w:r>
      <w:r w:rsidR="007A2D78" w:rsidRPr="008073AC">
        <w:rPr>
          <w:rFonts w:ascii="Cambria" w:eastAsia="Batang" w:hAnsi="Cambria" w:cs="Times New Roman"/>
          <w:color w:val="000000"/>
          <w:sz w:val="21"/>
          <w:szCs w:val="21"/>
        </w:rPr>
        <w:t>)</w:t>
      </w:r>
      <w:r w:rsidR="00BC1E35" w:rsidRPr="008073AC">
        <w:rPr>
          <w:rFonts w:ascii="Cambria" w:eastAsia="Batang" w:hAnsi="Cambria" w:cs="Times New Roman"/>
          <w:color w:val="000000"/>
          <w:sz w:val="21"/>
          <w:szCs w:val="21"/>
        </w:rPr>
        <w:t xml:space="preserve">, </w:t>
      </w:r>
      <w:r w:rsidR="0078292A" w:rsidRPr="008073AC">
        <w:rPr>
          <w:rFonts w:ascii="Cambria" w:eastAsia="Batang" w:hAnsi="Cambria" w:cs="Times New Roman"/>
          <w:color w:val="000000"/>
          <w:sz w:val="21"/>
          <w:szCs w:val="21"/>
        </w:rPr>
        <w:t xml:space="preserve"> arrojado</w:t>
      </w:r>
      <w:r w:rsidR="00201F7B" w:rsidRPr="008073AC">
        <w:rPr>
          <w:rFonts w:ascii="Cambria" w:eastAsia="Batang" w:hAnsi="Cambria" w:cs="Times New Roman"/>
          <w:color w:val="000000"/>
          <w:sz w:val="21"/>
          <w:szCs w:val="21"/>
        </w:rPr>
        <w:t xml:space="preserve"> piedras</w:t>
      </w:r>
      <w:r w:rsidR="007A2D78" w:rsidRPr="008073AC">
        <w:rPr>
          <w:rFonts w:ascii="Cambria" w:eastAsia="Batang" w:hAnsi="Cambria" w:cs="Times New Roman"/>
          <w:color w:val="000000"/>
          <w:sz w:val="21"/>
          <w:szCs w:val="21"/>
        </w:rPr>
        <w:t xml:space="preserve"> y gomeras</w:t>
      </w:r>
      <w:r w:rsidR="00201F7B" w:rsidRPr="008073AC">
        <w:rPr>
          <w:rFonts w:ascii="Cambria" w:eastAsia="Batang" w:hAnsi="Cambria" w:cs="Times New Roman"/>
          <w:color w:val="000000"/>
          <w:sz w:val="21"/>
          <w:szCs w:val="21"/>
        </w:rPr>
        <w:t xml:space="preserve"> </w:t>
      </w:r>
      <w:r w:rsidR="007A2D78" w:rsidRPr="008073AC">
        <w:rPr>
          <w:rFonts w:ascii="Cambria" w:eastAsia="Batang" w:hAnsi="Cambria" w:cs="Times New Roman"/>
          <w:color w:val="000000"/>
          <w:sz w:val="21"/>
          <w:szCs w:val="21"/>
        </w:rPr>
        <w:t>(</w:t>
      </w:r>
      <w:r w:rsidR="007A2D78" w:rsidRPr="008073AC">
        <w:rPr>
          <w:rFonts w:ascii="Cambria" w:eastAsia="Batang" w:hAnsi="Cambria" w:cs="Times New Roman"/>
          <w:i/>
          <w:color w:val="000000"/>
          <w:sz w:val="21"/>
          <w:szCs w:val="21"/>
        </w:rPr>
        <w:t xml:space="preserve">supra </w:t>
      </w:r>
      <w:r w:rsidR="007A2D78" w:rsidRPr="008073AC">
        <w:rPr>
          <w:rFonts w:ascii="Cambria" w:eastAsia="Batang" w:hAnsi="Cambria" w:cs="Times New Roman"/>
          <w:color w:val="000000"/>
          <w:sz w:val="21"/>
          <w:szCs w:val="21"/>
        </w:rPr>
        <w:t xml:space="preserve">párr. </w:t>
      </w:r>
      <w:r w:rsidR="00D51DD0" w:rsidRPr="008073AC">
        <w:rPr>
          <w:rFonts w:ascii="Cambria" w:eastAsia="Batang" w:hAnsi="Cambria" w:cs="Times New Roman"/>
          <w:color w:val="000000"/>
          <w:sz w:val="21"/>
          <w:szCs w:val="21"/>
        </w:rPr>
        <w:t xml:space="preserve">8 y </w:t>
      </w:r>
      <w:r w:rsidR="007A2D78" w:rsidRPr="008073AC">
        <w:rPr>
          <w:rFonts w:ascii="Cambria" w:eastAsia="Batang" w:hAnsi="Cambria" w:cs="Times New Roman"/>
          <w:color w:val="000000"/>
          <w:sz w:val="21"/>
          <w:szCs w:val="21"/>
        </w:rPr>
        <w:t>10)</w:t>
      </w:r>
      <w:r w:rsidR="00F003AF" w:rsidRPr="008073AC">
        <w:rPr>
          <w:rFonts w:ascii="Cambria" w:eastAsia="Batang" w:hAnsi="Cambria" w:cs="Times New Roman"/>
          <w:color w:val="000000"/>
          <w:sz w:val="21"/>
          <w:szCs w:val="21"/>
        </w:rPr>
        <w:t xml:space="preserve"> </w:t>
      </w:r>
      <w:r w:rsidR="00201F7B" w:rsidRPr="008073AC">
        <w:rPr>
          <w:rFonts w:ascii="Cambria" w:eastAsia="Batang" w:hAnsi="Cambria" w:cs="Times New Roman"/>
          <w:color w:val="000000"/>
          <w:sz w:val="21"/>
          <w:szCs w:val="21"/>
        </w:rPr>
        <w:t>y</w:t>
      </w:r>
      <w:r w:rsidR="006A6591" w:rsidRPr="008073AC">
        <w:rPr>
          <w:rFonts w:ascii="Cambria" w:eastAsia="Batang" w:hAnsi="Cambria" w:cs="Times New Roman"/>
          <w:color w:val="000000"/>
          <w:sz w:val="21"/>
          <w:szCs w:val="21"/>
        </w:rPr>
        <w:t xml:space="preserve"> llegado incluso a golpear hace escasas semanas</w:t>
      </w:r>
      <w:r w:rsidR="00201F7B" w:rsidRPr="008073AC">
        <w:rPr>
          <w:rFonts w:ascii="Cambria" w:eastAsia="Batang" w:hAnsi="Cambria" w:cs="Times New Roman"/>
          <w:color w:val="000000"/>
          <w:sz w:val="21"/>
          <w:szCs w:val="21"/>
        </w:rPr>
        <w:t xml:space="preserve"> </w:t>
      </w:r>
      <w:r w:rsidR="006A6591" w:rsidRPr="008073AC">
        <w:rPr>
          <w:rFonts w:ascii="Cambria" w:eastAsia="Batang" w:hAnsi="Cambria" w:cs="Times New Roman"/>
          <w:color w:val="000000"/>
          <w:sz w:val="21"/>
          <w:szCs w:val="21"/>
        </w:rPr>
        <w:t>a</w:t>
      </w:r>
      <w:r w:rsidR="00201F7B" w:rsidRPr="008073AC">
        <w:rPr>
          <w:rFonts w:ascii="Cambria" w:eastAsia="Batang" w:hAnsi="Cambria" w:cs="Times New Roman"/>
          <w:color w:val="000000"/>
          <w:sz w:val="21"/>
          <w:szCs w:val="21"/>
        </w:rPr>
        <w:t xml:space="preserve"> uno de los propuestos beneficiarios, </w:t>
      </w:r>
      <w:r w:rsidR="006A6591" w:rsidRPr="008073AC">
        <w:rPr>
          <w:rFonts w:ascii="Cambria" w:eastAsia="Batang" w:hAnsi="Cambria" w:cs="Times New Roman"/>
          <w:color w:val="000000"/>
          <w:sz w:val="21"/>
          <w:szCs w:val="21"/>
        </w:rPr>
        <w:t xml:space="preserve">contra </w:t>
      </w:r>
      <w:r w:rsidR="00201F7B" w:rsidRPr="008073AC">
        <w:rPr>
          <w:rFonts w:ascii="Cambria" w:eastAsia="Batang" w:hAnsi="Cambria" w:cs="Times New Roman"/>
          <w:color w:val="000000"/>
          <w:sz w:val="21"/>
          <w:szCs w:val="21"/>
        </w:rPr>
        <w:t>qui</w:t>
      </w:r>
      <w:r w:rsidR="006A6591" w:rsidRPr="008073AC">
        <w:rPr>
          <w:rFonts w:ascii="Cambria" w:eastAsia="Batang" w:hAnsi="Cambria" w:cs="Times New Roman"/>
          <w:color w:val="000000"/>
          <w:sz w:val="21"/>
          <w:szCs w:val="21"/>
        </w:rPr>
        <w:t>e</w:t>
      </w:r>
      <w:r w:rsidR="00201F7B" w:rsidRPr="008073AC">
        <w:rPr>
          <w:rFonts w:ascii="Cambria" w:eastAsia="Batang" w:hAnsi="Cambria" w:cs="Times New Roman"/>
          <w:color w:val="000000"/>
          <w:sz w:val="21"/>
          <w:szCs w:val="21"/>
        </w:rPr>
        <w:t xml:space="preserve">n </w:t>
      </w:r>
      <w:r w:rsidR="006A6591" w:rsidRPr="008073AC">
        <w:rPr>
          <w:rFonts w:ascii="Cambria" w:eastAsia="Batang" w:hAnsi="Cambria" w:cs="Times New Roman"/>
          <w:color w:val="000000"/>
          <w:sz w:val="21"/>
          <w:szCs w:val="21"/>
        </w:rPr>
        <w:t xml:space="preserve">se </w:t>
      </w:r>
      <w:r w:rsidR="00201F7B" w:rsidRPr="008073AC">
        <w:rPr>
          <w:rFonts w:ascii="Cambria" w:eastAsia="Batang" w:hAnsi="Cambria" w:cs="Times New Roman"/>
          <w:color w:val="000000"/>
          <w:sz w:val="21"/>
          <w:szCs w:val="21"/>
        </w:rPr>
        <w:t>habría</w:t>
      </w:r>
      <w:r w:rsidR="006A6591" w:rsidRPr="008073AC">
        <w:rPr>
          <w:rFonts w:ascii="Cambria" w:eastAsia="Batang" w:hAnsi="Cambria" w:cs="Times New Roman"/>
          <w:color w:val="000000"/>
          <w:sz w:val="21"/>
          <w:szCs w:val="21"/>
        </w:rPr>
        <w:t>n</w:t>
      </w:r>
      <w:r w:rsidR="00201F7B" w:rsidRPr="008073AC">
        <w:rPr>
          <w:rFonts w:ascii="Cambria" w:eastAsia="Batang" w:hAnsi="Cambria" w:cs="Times New Roman"/>
          <w:color w:val="000000"/>
          <w:sz w:val="21"/>
          <w:szCs w:val="21"/>
        </w:rPr>
        <w:t xml:space="preserve"> </w:t>
      </w:r>
      <w:r w:rsidR="006A6591" w:rsidRPr="008073AC">
        <w:rPr>
          <w:rFonts w:ascii="Cambria" w:eastAsia="Batang" w:hAnsi="Cambria" w:cs="Times New Roman"/>
          <w:color w:val="000000"/>
          <w:sz w:val="21"/>
          <w:szCs w:val="21"/>
        </w:rPr>
        <w:t>efectuado</w:t>
      </w:r>
      <w:r w:rsidR="00201F7B" w:rsidRPr="008073AC">
        <w:rPr>
          <w:rFonts w:ascii="Cambria" w:eastAsia="Batang" w:hAnsi="Cambria" w:cs="Times New Roman"/>
          <w:color w:val="000000"/>
          <w:sz w:val="21"/>
          <w:szCs w:val="21"/>
        </w:rPr>
        <w:t xml:space="preserve"> disparos</w:t>
      </w:r>
      <w:r w:rsidR="0043267A" w:rsidRPr="008073AC">
        <w:rPr>
          <w:rFonts w:ascii="Cambria" w:eastAsia="Batang" w:hAnsi="Cambria" w:cs="Times New Roman"/>
          <w:color w:val="000000"/>
          <w:sz w:val="21"/>
          <w:szCs w:val="21"/>
        </w:rPr>
        <w:t xml:space="preserve"> </w:t>
      </w:r>
      <w:r w:rsidR="00F003AF" w:rsidRPr="008073AC">
        <w:rPr>
          <w:rFonts w:ascii="Cambria" w:eastAsia="Batang" w:hAnsi="Cambria" w:cs="Times New Roman"/>
          <w:color w:val="000000"/>
          <w:sz w:val="21"/>
          <w:szCs w:val="21"/>
        </w:rPr>
        <w:t>(</w:t>
      </w:r>
      <w:r w:rsidR="00F003AF" w:rsidRPr="008073AC">
        <w:rPr>
          <w:rFonts w:ascii="Cambria" w:eastAsia="Batang" w:hAnsi="Cambria" w:cs="Times New Roman"/>
          <w:i/>
          <w:color w:val="000000"/>
          <w:sz w:val="21"/>
          <w:szCs w:val="21"/>
        </w:rPr>
        <w:t xml:space="preserve">supra </w:t>
      </w:r>
      <w:r w:rsidR="00F003AF" w:rsidRPr="008073AC">
        <w:rPr>
          <w:rFonts w:ascii="Cambria" w:eastAsia="Batang" w:hAnsi="Cambria" w:cs="Times New Roman"/>
          <w:color w:val="000000"/>
          <w:sz w:val="21"/>
          <w:szCs w:val="21"/>
        </w:rPr>
        <w:t>párr. 1</w:t>
      </w:r>
      <w:r w:rsidR="00D51DD0" w:rsidRPr="008073AC">
        <w:rPr>
          <w:rFonts w:ascii="Cambria" w:eastAsia="Batang" w:hAnsi="Cambria" w:cs="Times New Roman"/>
          <w:color w:val="000000"/>
          <w:sz w:val="21"/>
          <w:szCs w:val="21"/>
        </w:rPr>
        <w:t>0</w:t>
      </w:r>
      <w:r w:rsidR="00F003AF" w:rsidRPr="008073AC">
        <w:rPr>
          <w:rFonts w:ascii="Cambria" w:eastAsia="Batang" w:hAnsi="Cambria" w:cs="Times New Roman"/>
          <w:color w:val="000000"/>
          <w:sz w:val="21"/>
          <w:szCs w:val="21"/>
        </w:rPr>
        <w:t>)</w:t>
      </w:r>
      <w:r w:rsidR="00201F7B" w:rsidRPr="008073AC">
        <w:rPr>
          <w:rFonts w:ascii="Cambria" w:eastAsia="Batang" w:hAnsi="Cambria" w:cs="Times New Roman"/>
          <w:color w:val="000000"/>
          <w:sz w:val="21"/>
          <w:szCs w:val="21"/>
        </w:rPr>
        <w:t>.</w:t>
      </w:r>
      <w:r w:rsidR="006A6591" w:rsidRPr="008073AC">
        <w:rPr>
          <w:rFonts w:ascii="Cambria" w:eastAsia="Batang" w:hAnsi="Cambria" w:cs="Times New Roman"/>
          <w:color w:val="000000"/>
          <w:sz w:val="21"/>
          <w:szCs w:val="21"/>
        </w:rPr>
        <w:t xml:space="preserve"> La intensidad del riesgo enfrentado puede asimismo apreciarse a través de una serie de indicios que </w:t>
      </w:r>
      <w:r w:rsidR="0078292A" w:rsidRPr="008073AC">
        <w:rPr>
          <w:rFonts w:ascii="Cambria" w:eastAsia="Batang" w:hAnsi="Cambria" w:cs="Times New Roman"/>
          <w:color w:val="000000"/>
          <w:sz w:val="21"/>
          <w:szCs w:val="21"/>
        </w:rPr>
        <w:t xml:space="preserve">supuestamente </w:t>
      </w:r>
      <w:r w:rsidR="006A6591" w:rsidRPr="008073AC">
        <w:rPr>
          <w:rFonts w:ascii="Cambria" w:eastAsia="Batang" w:hAnsi="Cambria" w:cs="Times New Roman"/>
          <w:color w:val="000000"/>
          <w:sz w:val="21"/>
          <w:szCs w:val="21"/>
        </w:rPr>
        <w:t>denotarían una voluntad manifiesta de atentar contra sus derechos, tales como</w:t>
      </w:r>
      <w:r w:rsidR="0078292A" w:rsidRPr="008073AC">
        <w:rPr>
          <w:rFonts w:ascii="Cambria" w:eastAsia="Batang" w:hAnsi="Cambria" w:cs="Times New Roman"/>
          <w:color w:val="000000"/>
          <w:sz w:val="21"/>
          <w:szCs w:val="21"/>
        </w:rPr>
        <w:t xml:space="preserve"> el sabotaje de los vehículos, las aparentes</w:t>
      </w:r>
      <w:r w:rsidR="006A6591" w:rsidRPr="008073AC">
        <w:rPr>
          <w:rFonts w:ascii="Cambria" w:eastAsia="Batang" w:hAnsi="Cambria" w:cs="Times New Roman"/>
          <w:color w:val="000000"/>
          <w:sz w:val="21"/>
          <w:szCs w:val="21"/>
        </w:rPr>
        <w:t xml:space="preserve"> emboscadas en el único camino de acceso a la comunidad, incluso con la presencia de niños y niñas</w:t>
      </w:r>
      <w:r w:rsidR="0078292A" w:rsidRPr="008073AC">
        <w:rPr>
          <w:rFonts w:ascii="Cambria" w:eastAsia="Batang" w:hAnsi="Cambria" w:cs="Times New Roman"/>
          <w:color w:val="000000"/>
          <w:sz w:val="21"/>
          <w:szCs w:val="21"/>
        </w:rPr>
        <w:t xml:space="preserve"> o el tenor </w:t>
      </w:r>
      <w:r w:rsidR="009A5CAA" w:rsidRPr="008073AC">
        <w:rPr>
          <w:rFonts w:ascii="Cambria" w:eastAsia="Batang" w:hAnsi="Cambria" w:cs="Times New Roman"/>
          <w:color w:val="000000"/>
          <w:sz w:val="21"/>
          <w:szCs w:val="21"/>
          <w:lang w:val="es-ES"/>
        </w:rPr>
        <w:t xml:space="preserve">de las amenazas </w:t>
      </w:r>
      <w:r w:rsidR="0078292A" w:rsidRPr="008073AC">
        <w:rPr>
          <w:rFonts w:ascii="Cambria" w:eastAsia="Batang" w:hAnsi="Cambria" w:cs="Times New Roman"/>
          <w:color w:val="000000"/>
          <w:sz w:val="21"/>
          <w:szCs w:val="21"/>
          <w:lang w:val="es-ES"/>
        </w:rPr>
        <w:t xml:space="preserve">proferidas: </w:t>
      </w:r>
      <w:r w:rsidR="009A5CAA" w:rsidRPr="008073AC">
        <w:rPr>
          <w:rFonts w:ascii="Cambria" w:eastAsia="Batang" w:hAnsi="Cambria" w:cs="Times New Roman"/>
          <w:color w:val="000000"/>
          <w:sz w:val="21"/>
          <w:szCs w:val="21"/>
          <w:lang w:val="es-ES"/>
        </w:rPr>
        <w:t>“</w:t>
      </w:r>
      <w:r w:rsidR="009A5CAA" w:rsidRPr="008073AC">
        <w:rPr>
          <w:rFonts w:ascii="Cambria" w:eastAsia="Batang" w:hAnsi="Cambria" w:cs="Times New Roman"/>
          <w:color w:val="000000"/>
          <w:sz w:val="21"/>
          <w:szCs w:val="21"/>
        </w:rPr>
        <w:t>ya vas a ver nos vamos a encontrar en la escuela te vamos a hacer mierda”.</w:t>
      </w:r>
    </w:p>
    <w:p w14:paraId="7C3CB451" w14:textId="77777777" w:rsidR="00F80275" w:rsidRPr="008073AC" w:rsidRDefault="00F80275" w:rsidP="008073AC">
      <w:pPr>
        <w:spacing w:after="0" w:line="240" w:lineRule="auto"/>
        <w:ind w:firstLine="360"/>
        <w:jc w:val="both"/>
        <w:rPr>
          <w:rFonts w:ascii="Cambria" w:eastAsia="Calibri" w:hAnsi="Cambria" w:cs="Times New Roman"/>
          <w:sz w:val="21"/>
          <w:szCs w:val="21"/>
          <w:lang w:val="es-ES"/>
        </w:rPr>
      </w:pPr>
    </w:p>
    <w:p w14:paraId="3FDE8694" w14:textId="0AFD457B" w:rsidR="008A5623" w:rsidRPr="008073AC" w:rsidRDefault="00C25096" w:rsidP="008073AC">
      <w:pPr>
        <w:numPr>
          <w:ilvl w:val="0"/>
          <w:numId w:val="3"/>
        </w:numPr>
        <w:spacing w:after="0" w:line="240" w:lineRule="auto"/>
        <w:ind w:left="0" w:firstLine="360"/>
        <w:jc w:val="both"/>
        <w:rPr>
          <w:rFonts w:ascii="Cambria" w:eastAsia="Calibri" w:hAnsi="Cambria" w:cs="Times New Roman"/>
          <w:sz w:val="21"/>
          <w:szCs w:val="21"/>
        </w:rPr>
      </w:pPr>
      <w:r w:rsidRPr="008073AC">
        <w:rPr>
          <w:rFonts w:ascii="Cambria" w:eastAsia="Calibri" w:hAnsi="Cambria" w:cs="Times New Roman"/>
          <w:sz w:val="21"/>
          <w:szCs w:val="21"/>
        </w:rPr>
        <w:t xml:space="preserve">La Comisión </w:t>
      </w:r>
      <w:r w:rsidR="006A6591" w:rsidRPr="008073AC">
        <w:rPr>
          <w:rFonts w:ascii="Cambria" w:eastAsia="Calibri" w:hAnsi="Cambria" w:cs="Times New Roman"/>
          <w:sz w:val="21"/>
          <w:szCs w:val="21"/>
        </w:rPr>
        <w:t xml:space="preserve">toma nota de la respuesta del Estado y </w:t>
      </w:r>
      <w:r w:rsidR="00013EC6" w:rsidRPr="008073AC">
        <w:rPr>
          <w:rFonts w:ascii="Cambria" w:eastAsia="Calibri" w:hAnsi="Cambria" w:cs="Times New Roman"/>
          <w:sz w:val="21"/>
          <w:szCs w:val="21"/>
        </w:rPr>
        <w:t xml:space="preserve">valora que, </w:t>
      </w:r>
      <w:r w:rsidR="00013EC6" w:rsidRPr="008073AC">
        <w:rPr>
          <w:rFonts w:ascii="Cambria" w:eastAsia="Calibri" w:hAnsi="Cambria" w:cs="Times New Roman"/>
          <w:sz w:val="21"/>
          <w:szCs w:val="21"/>
          <w:lang w:val="es-ES"/>
        </w:rPr>
        <w:t>según</w:t>
      </w:r>
      <w:r w:rsidR="00267616" w:rsidRPr="008073AC">
        <w:rPr>
          <w:rFonts w:ascii="Cambria" w:eastAsia="Calibri" w:hAnsi="Cambria" w:cs="Times New Roman"/>
          <w:sz w:val="21"/>
          <w:szCs w:val="21"/>
          <w:lang w:val="es-ES"/>
        </w:rPr>
        <w:t xml:space="preserve"> </w:t>
      </w:r>
      <w:r w:rsidR="006A6591" w:rsidRPr="008073AC">
        <w:rPr>
          <w:rFonts w:ascii="Cambria" w:eastAsia="Calibri" w:hAnsi="Cambria" w:cs="Times New Roman"/>
          <w:sz w:val="21"/>
          <w:szCs w:val="21"/>
          <w:lang w:val="es-ES"/>
        </w:rPr>
        <w:t>fue reportado</w:t>
      </w:r>
      <w:r w:rsidR="00267616" w:rsidRPr="008073AC">
        <w:rPr>
          <w:rFonts w:ascii="Cambria" w:eastAsia="Calibri" w:hAnsi="Cambria" w:cs="Times New Roman"/>
          <w:sz w:val="21"/>
          <w:szCs w:val="21"/>
          <w:lang w:val="es-ES"/>
        </w:rPr>
        <w:t xml:space="preserve">, </w:t>
      </w:r>
      <w:r w:rsidRPr="008073AC">
        <w:rPr>
          <w:rFonts w:ascii="Cambria" w:eastAsia="Calibri" w:hAnsi="Cambria" w:cs="Times New Roman"/>
          <w:sz w:val="21"/>
          <w:szCs w:val="21"/>
          <w:lang w:val="es-ES"/>
        </w:rPr>
        <w:t xml:space="preserve">se </w:t>
      </w:r>
      <w:r w:rsidR="006A6591" w:rsidRPr="008073AC">
        <w:rPr>
          <w:rFonts w:ascii="Cambria" w:eastAsia="Calibri" w:hAnsi="Cambria" w:cs="Times New Roman"/>
          <w:sz w:val="21"/>
          <w:szCs w:val="21"/>
          <w:lang w:val="es-ES"/>
        </w:rPr>
        <w:t xml:space="preserve">hubiera </w:t>
      </w:r>
      <w:r w:rsidRPr="008073AC">
        <w:rPr>
          <w:rFonts w:ascii="Cambria" w:eastAsia="Calibri" w:hAnsi="Cambria" w:cs="Times New Roman"/>
          <w:sz w:val="21"/>
          <w:szCs w:val="21"/>
          <w:lang w:val="es-ES"/>
        </w:rPr>
        <w:t xml:space="preserve">buscado “[…] </w:t>
      </w:r>
      <w:r w:rsidRPr="008073AC">
        <w:rPr>
          <w:rFonts w:ascii="Cambria" w:eastAsia="Calibri" w:hAnsi="Cambria" w:cs="Times New Roman"/>
          <w:sz w:val="21"/>
          <w:szCs w:val="21"/>
        </w:rPr>
        <w:t xml:space="preserve">evitar todo hecho de violencia que pudiera ocurrir” con la </w:t>
      </w:r>
      <w:r w:rsidR="00A33BA1" w:rsidRPr="008073AC">
        <w:rPr>
          <w:rFonts w:ascii="Cambria" w:eastAsia="Calibri" w:hAnsi="Cambria" w:cs="Times New Roman"/>
          <w:sz w:val="21"/>
          <w:szCs w:val="21"/>
        </w:rPr>
        <w:t xml:space="preserve">colocación </w:t>
      </w:r>
      <w:r w:rsidRPr="008073AC">
        <w:rPr>
          <w:rFonts w:ascii="Cambria" w:eastAsia="Calibri" w:hAnsi="Cambria" w:cs="Times New Roman"/>
          <w:sz w:val="21"/>
          <w:szCs w:val="21"/>
        </w:rPr>
        <w:t xml:space="preserve">de </w:t>
      </w:r>
      <w:r w:rsidR="00A33BA1" w:rsidRPr="008073AC">
        <w:rPr>
          <w:rFonts w:ascii="Cambria" w:eastAsia="Calibri" w:hAnsi="Cambria" w:cs="Times New Roman"/>
          <w:sz w:val="21"/>
          <w:szCs w:val="21"/>
        </w:rPr>
        <w:t xml:space="preserve">una </w:t>
      </w:r>
      <w:r w:rsidR="00271E1A" w:rsidRPr="008073AC">
        <w:rPr>
          <w:rFonts w:ascii="Cambria" w:eastAsia="Calibri" w:hAnsi="Cambria" w:cs="Times New Roman"/>
          <w:sz w:val="21"/>
          <w:szCs w:val="21"/>
        </w:rPr>
        <w:t xml:space="preserve">guardia permanente en las cercanías del territorio en </w:t>
      </w:r>
      <w:r w:rsidR="00E37DE0" w:rsidRPr="008073AC">
        <w:rPr>
          <w:rFonts w:ascii="Cambria" w:eastAsia="Calibri" w:hAnsi="Cambria" w:cs="Times New Roman"/>
          <w:sz w:val="21"/>
          <w:szCs w:val="21"/>
        </w:rPr>
        <w:t>disputa</w:t>
      </w:r>
      <w:r w:rsidR="00271E1A" w:rsidRPr="008073AC">
        <w:rPr>
          <w:rFonts w:ascii="Cambria" w:eastAsia="Calibri" w:hAnsi="Cambria" w:cs="Times New Roman"/>
          <w:sz w:val="21"/>
          <w:szCs w:val="21"/>
        </w:rPr>
        <w:t xml:space="preserve">, </w:t>
      </w:r>
      <w:r w:rsidR="00A33BA1" w:rsidRPr="008073AC">
        <w:rPr>
          <w:rFonts w:ascii="Cambria" w:eastAsia="Calibri" w:hAnsi="Cambria" w:cs="Times New Roman"/>
          <w:sz w:val="21"/>
          <w:szCs w:val="21"/>
        </w:rPr>
        <w:t xml:space="preserve">presente </w:t>
      </w:r>
      <w:r w:rsidR="00271E1A" w:rsidRPr="008073AC">
        <w:rPr>
          <w:rFonts w:ascii="Cambria" w:eastAsia="Calibri" w:hAnsi="Cambria" w:cs="Times New Roman"/>
          <w:sz w:val="21"/>
          <w:szCs w:val="21"/>
        </w:rPr>
        <w:t xml:space="preserve">desde 10 de septiembre de 2019. Sin perjuicio </w:t>
      </w:r>
      <w:r w:rsidR="00A33BA1" w:rsidRPr="008073AC">
        <w:rPr>
          <w:rFonts w:ascii="Cambria" w:eastAsia="Calibri" w:hAnsi="Cambria" w:cs="Times New Roman"/>
          <w:sz w:val="21"/>
          <w:szCs w:val="21"/>
        </w:rPr>
        <w:t xml:space="preserve">de lo </w:t>
      </w:r>
      <w:r w:rsidR="00271E1A" w:rsidRPr="008073AC">
        <w:rPr>
          <w:rFonts w:ascii="Cambria" w:eastAsia="Calibri" w:hAnsi="Cambria" w:cs="Times New Roman"/>
          <w:sz w:val="21"/>
          <w:szCs w:val="21"/>
        </w:rPr>
        <w:t xml:space="preserve">anterior, </w:t>
      </w:r>
      <w:r w:rsidR="00A33BA1" w:rsidRPr="008073AC">
        <w:rPr>
          <w:rFonts w:ascii="Cambria" w:eastAsia="Calibri" w:hAnsi="Cambria" w:cs="Times New Roman"/>
          <w:sz w:val="21"/>
          <w:szCs w:val="21"/>
        </w:rPr>
        <w:t xml:space="preserve">debe advertirse que </w:t>
      </w:r>
      <w:r w:rsidR="00271E1A" w:rsidRPr="008073AC">
        <w:rPr>
          <w:rFonts w:ascii="Cambria" w:eastAsia="Calibri" w:hAnsi="Cambria" w:cs="Times New Roman"/>
          <w:sz w:val="21"/>
          <w:szCs w:val="21"/>
        </w:rPr>
        <w:t xml:space="preserve">la medida implementada no habría evitado la continuidad, incrementación y concretización de amenazas y actos de violencia en contra de las </w:t>
      </w:r>
      <w:r w:rsidR="00251CE6" w:rsidRPr="008073AC">
        <w:rPr>
          <w:rFonts w:ascii="Cambria" w:eastAsia="Calibri" w:hAnsi="Cambria" w:cs="Times New Roman"/>
          <w:sz w:val="21"/>
          <w:szCs w:val="21"/>
        </w:rPr>
        <w:t xml:space="preserve">personas </w:t>
      </w:r>
      <w:r w:rsidR="006A4729">
        <w:rPr>
          <w:rFonts w:ascii="Cambria" w:eastAsia="Calibri" w:hAnsi="Cambria" w:cs="Times New Roman"/>
          <w:sz w:val="21"/>
          <w:szCs w:val="21"/>
        </w:rPr>
        <w:t xml:space="preserve">propuestas como </w:t>
      </w:r>
      <w:r w:rsidR="00251CE6" w:rsidRPr="008073AC">
        <w:rPr>
          <w:rFonts w:ascii="Cambria" w:eastAsia="Calibri" w:hAnsi="Cambria" w:cs="Times New Roman"/>
          <w:sz w:val="21"/>
          <w:szCs w:val="21"/>
        </w:rPr>
        <w:t>beneficiarias</w:t>
      </w:r>
      <w:r w:rsidR="008A5623" w:rsidRPr="008073AC">
        <w:rPr>
          <w:rFonts w:ascii="Cambria" w:eastAsia="Calibri" w:hAnsi="Cambria" w:cs="Times New Roman"/>
          <w:sz w:val="21"/>
          <w:szCs w:val="21"/>
        </w:rPr>
        <w:t xml:space="preserve">, conforme </w:t>
      </w:r>
      <w:r w:rsidR="00A33BA1" w:rsidRPr="008073AC">
        <w:rPr>
          <w:rFonts w:ascii="Cambria" w:eastAsia="Calibri" w:hAnsi="Cambria" w:cs="Times New Roman"/>
          <w:sz w:val="21"/>
          <w:szCs w:val="21"/>
        </w:rPr>
        <w:t xml:space="preserve">fue </w:t>
      </w:r>
      <w:r w:rsidR="008A5623" w:rsidRPr="008073AC">
        <w:rPr>
          <w:rFonts w:ascii="Cambria" w:eastAsia="Calibri" w:hAnsi="Cambria" w:cs="Times New Roman"/>
          <w:sz w:val="21"/>
          <w:szCs w:val="21"/>
        </w:rPr>
        <w:t>detallado arriba</w:t>
      </w:r>
      <w:r w:rsidR="00251CE6" w:rsidRPr="008073AC">
        <w:rPr>
          <w:rFonts w:ascii="Cambria" w:eastAsia="Calibri" w:hAnsi="Cambria" w:cs="Times New Roman"/>
          <w:sz w:val="21"/>
          <w:szCs w:val="21"/>
        </w:rPr>
        <w:t xml:space="preserve">. </w:t>
      </w:r>
      <w:r w:rsidR="007A6C22" w:rsidRPr="008073AC">
        <w:rPr>
          <w:rFonts w:ascii="Cambria" w:eastAsia="Calibri" w:hAnsi="Cambria" w:cs="Times New Roman"/>
          <w:sz w:val="21"/>
          <w:szCs w:val="21"/>
        </w:rPr>
        <w:t xml:space="preserve">En efecto, los solicitantes </w:t>
      </w:r>
      <w:r w:rsidR="00A33BA1" w:rsidRPr="008073AC">
        <w:rPr>
          <w:rFonts w:ascii="Cambria" w:eastAsia="Calibri" w:hAnsi="Cambria" w:cs="Times New Roman"/>
          <w:sz w:val="21"/>
          <w:szCs w:val="21"/>
        </w:rPr>
        <w:t xml:space="preserve">denunciaron </w:t>
      </w:r>
      <w:r w:rsidR="007A6C22" w:rsidRPr="008073AC">
        <w:rPr>
          <w:rFonts w:ascii="Cambria" w:eastAsia="Calibri" w:hAnsi="Cambria" w:cs="Times New Roman"/>
          <w:sz w:val="21"/>
          <w:szCs w:val="21"/>
        </w:rPr>
        <w:t>importantes limitaciones e</w:t>
      </w:r>
      <w:r w:rsidR="00AE1394" w:rsidRPr="008073AC">
        <w:rPr>
          <w:rFonts w:ascii="Cambria" w:eastAsia="Calibri" w:hAnsi="Cambria" w:cs="Times New Roman"/>
          <w:sz w:val="21"/>
          <w:szCs w:val="21"/>
        </w:rPr>
        <w:t>n tal esquema de protección, incluyendo la</w:t>
      </w:r>
      <w:r w:rsidR="00A33BA1" w:rsidRPr="008073AC">
        <w:rPr>
          <w:rFonts w:ascii="Cambria" w:eastAsia="Calibri" w:hAnsi="Cambria" w:cs="Times New Roman"/>
          <w:sz w:val="21"/>
          <w:szCs w:val="21"/>
        </w:rPr>
        <w:t xml:space="preserve"> insuficiencia de los medios de los que dispone la patrulla para hacer frente al territorio en cuestión y su</w:t>
      </w:r>
      <w:r w:rsidR="00AE1394" w:rsidRPr="008073AC">
        <w:rPr>
          <w:rFonts w:ascii="Cambria" w:eastAsia="Calibri" w:hAnsi="Cambria" w:cs="Times New Roman"/>
          <w:sz w:val="21"/>
          <w:szCs w:val="21"/>
        </w:rPr>
        <w:t xml:space="preserve"> inadecuada ubicación</w:t>
      </w:r>
      <w:r w:rsidR="00A33BA1" w:rsidRPr="008073AC">
        <w:rPr>
          <w:rFonts w:ascii="Cambria" w:eastAsia="Calibri" w:hAnsi="Cambria" w:cs="Times New Roman"/>
          <w:sz w:val="21"/>
          <w:szCs w:val="21"/>
        </w:rPr>
        <w:t xml:space="preserve"> pues</w:t>
      </w:r>
      <w:r w:rsidR="0078292A" w:rsidRPr="008073AC">
        <w:rPr>
          <w:rFonts w:ascii="Cambria" w:eastAsia="Calibri" w:hAnsi="Cambria" w:cs="Times New Roman"/>
          <w:sz w:val="21"/>
          <w:szCs w:val="21"/>
        </w:rPr>
        <w:t>,</w:t>
      </w:r>
      <w:r w:rsidR="00A33BA1" w:rsidRPr="008073AC">
        <w:rPr>
          <w:rFonts w:ascii="Cambria" w:eastAsia="Calibri" w:hAnsi="Cambria" w:cs="Times New Roman"/>
          <w:sz w:val="21"/>
          <w:szCs w:val="21"/>
        </w:rPr>
        <w:t xml:space="preserve"> según se indica</w:t>
      </w:r>
      <w:r w:rsidR="0078292A" w:rsidRPr="008073AC">
        <w:rPr>
          <w:rFonts w:ascii="Cambria" w:eastAsia="Calibri" w:hAnsi="Cambria" w:cs="Times New Roman"/>
          <w:sz w:val="21"/>
          <w:szCs w:val="21"/>
        </w:rPr>
        <w:t>,</w:t>
      </w:r>
      <w:r w:rsidR="00AE1394" w:rsidRPr="008073AC">
        <w:rPr>
          <w:rFonts w:ascii="Cambria" w:eastAsia="Calibri" w:hAnsi="Cambria" w:cs="Times New Roman"/>
          <w:sz w:val="21"/>
          <w:szCs w:val="21"/>
        </w:rPr>
        <w:t xml:space="preserve"> no lograría impedir </w:t>
      </w:r>
      <w:r w:rsidR="00A33BA1" w:rsidRPr="008073AC">
        <w:rPr>
          <w:rFonts w:ascii="Cambria" w:eastAsia="Calibri" w:hAnsi="Cambria" w:cs="Times New Roman"/>
          <w:sz w:val="21"/>
          <w:szCs w:val="21"/>
        </w:rPr>
        <w:t xml:space="preserve">la repetición de </w:t>
      </w:r>
      <w:r w:rsidR="00AE1394" w:rsidRPr="008073AC">
        <w:rPr>
          <w:rFonts w:ascii="Cambria" w:eastAsia="Calibri" w:hAnsi="Cambria" w:cs="Times New Roman"/>
          <w:sz w:val="21"/>
          <w:szCs w:val="21"/>
        </w:rPr>
        <w:t xml:space="preserve">eventos de riesgo </w:t>
      </w:r>
      <w:r w:rsidR="001D0AA5" w:rsidRPr="008073AC">
        <w:rPr>
          <w:rFonts w:ascii="Cambria" w:eastAsia="Calibri" w:hAnsi="Cambria" w:cs="Times New Roman"/>
          <w:sz w:val="21"/>
          <w:szCs w:val="21"/>
        </w:rPr>
        <w:t xml:space="preserve">en el </w:t>
      </w:r>
      <w:r w:rsidR="00510026" w:rsidRPr="008073AC">
        <w:rPr>
          <w:rFonts w:ascii="Cambria" w:eastAsia="Calibri" w:hAnsi="Cambria" w:cs="Times New Roman"/>
          <w:sz w:val="21"/>
          <w:szCs w:val="21"/>
        </w:rPr>
        <w:t>camino hacia</w:t>
      </w:r>
      <w:r w:rsidR="00A33BA1" w:rsidRPr="008073AC">
        <w:rPr>
          <w:rFonts w:ascii="Cambria" w:eastAsia="Calibri" w:hAnsi="Cambria" w:cs="Times New Roman"/>
          <w:sz w:val="21"/>
          <w:szCs w:val="21"/>
        </w:rPr>
        <w:t xml:space="preserve"> </w:t>
      </w:r>
      <w:r w:rsidR="001D0AA5" w:rsidRPr="008073AC">
        <w:rPr>
          <w:rFonts w:ascii="Cambria" w:eastAsia="Calibri" w:hAnsi="Cambria" w:cs="Times New Roman"/>
          <w:sz w:val="21"/>
          <w:szCs w:val="21"/>
        </w:rPr>
        <w:t xml:space="preserve">la </w:t>
      </w:r>
      <w:r w:rsidR="00A33BA1" w:rsidRPr="008073AC">
        <w:rPr>
          <w:rFonts w:ascii="Cambria" w:eastAsia="Calibri" w:hAnsi="Cambria" w:cs="Times New Roman"/>
          <w:sz w:val="21"/>
          <w:szCs w:val="21"/>
        </w:rPr>
        <w:t>c</w:t>
      </w:r>
      <w:r w:rsidR="001D0AA5" w:rsidRPr="008073AC">
        <w:rPr>
          <w:rFonts w:ascii="Cambria" w:eastAsia="Calibri" w:hAnsi="Cambria" w:cs="Times New Roman"/>
          <w:sz w:val="21"/>
          <w:szCs w:val="21"/>
        </w:rPr>
        <w:t>omunidad</w:t>
      </w:r>
      <w:r w:rsidR="00A33BA1" w:rsidRPr="008073AC">
        <w:rPr>
          <w:rFonts w:ascii="Cambria" w:eastAsia="Calibri" w:hAnsi="Cambria" w:cs="Times New Roman"/>
          <w:sz w:val="21"/>
          <w:szCs w:val="21"/>
        </w:rPr>
        <w:t xml:space="preserve">, resaltándose además que algunas amenazas incluso se habrían dado </w:t>
      </w:r>
      <w:r w:rsidR="001D0AA5" w:rsidRPr="008073AC">
        <w:rPr>
          <w:rFonts w:ascii="Cambria" w:eastAsia="Calibri" w:hAnsi="Cambria" w:cs="Times New Roman"/>
          <w:sz w:val="21"/>
          <w:szCs w:val="21"/>
        </w:rPr>
        <w:t>dentro de</w:t>
      </w:r>
      <w:r w:rsidR="00510026" w:rsidRPr="008073AC">
        <w:rPr>
          <w:rFonts w:ascii="Cambria" w:eastAsia="Calibri" w:hAnsi="Cambria" w:cs="Times New Roman"/>
          <w:sz w:val="21"/>
          <w:szCs w:val="21"/>
        </w:rPr>
        <w:t>l</w:t>
      </w:r>
      <w:r w:rsidR="001D0AA5" w:rsidRPr="008073AC">
        <w:rPr>
          <w:rFonts w:ascii="Cambria" w:eastAsia="Calibri" w:hAnsi="Cambria" w:cs="Times New Roman"/>
          <w:sz w:val="21"/>
          <w:szCs w:val="21"/>
        </w:rPr>
        <w:t xml:space="preserve"> área (</w:t>
      </w:r>
      <w:r w:rsidR="001D0AA5" w:rsidRPr="008073AC">
        <w:rPr>
          <w:rFonts w:ascii="Cambria" w:eastAsia="Calibri" w:hAnsi="Cambria" w:cs="Times New Roman"/>
          <w:i/>
          <w:sz w:val="21"/>
          <w:szCs w:val="21"/>
        </w:rPr>
        <w:t xml:space="preserve">supra </w:t>
      </w:r>
      <w:r w:rsidR="00625B46" w:rsidRPr="008073AC">
        <w:rPr>
          <w:rFonts w:ascii="Cambria" w:eastAsia="Calibri" w:hAnsi="Cambria" w:cs="Times New Roman"/>
          <w:sz w:val="21"/>
          <w:szCs w:val="21"/>
        </w:rPr>
        <w:t>párr</w:t>
      </w:r>
      <w:r w:rsidR="001D0AA5" w:rsidRPr="008073AC">
        <w:rPr>
          <w:rFonts w:ascii="Cambria" w:eastAsia="Calibri" w:hAnsi="Cambria" w:cs="Times New Roman"/>
          <w:sz w:val="21"/>
          <w:szCs w:val="21"/>
        </w:rPr>
        <w:t xml:space="preserve">. </w:t>
      </w:r>
      <w:r w:rsidR="00013EC6" w:rsidRPr="008073AC">
        <w:rPr>
          <w:rFonts w:ascii="Cambria" w:eastAsia="Calibri" w:hAnsi="Cambria" w:cs="Times New Roman"/>
          <w:sz w:val="21"/>
          <w:szCs w:val="21"/>
        </w:rPr>
        <w:t>7 y 9</w:t>
      </w:r>
      <w:r w:rsidR="00625B46" w:rsidRPr="008073AC">
        <w:rPr>
          <w:rFonts w:ascii="Cambria" w:eastAsia="Calibri" w:hAnsi="Cambria" w:cs="Times New Roman"/>
          <w:sz w:val="21"/>
          <w:szCs w:val="21"/>
        </w:rPr>
        <w:t>)</w:t>
      </w:r>
      <w:r w:rsidR="009C3A82" w:rsidRPr="008073AC">
        <w:rPr>
          <w:rFonts w:ascii="Cambria" w:eastAsia="Calibri" w:hAnsi="Cambria" w:cs="Times New Roman"/>
          <w:sz w:val="21"/>
          <w:szCs w:val="21"/>
        </w:rPr>
        <w:t>.</w:t>
      </w:r>
    </w:p>
    <w:p w14:paraId="56DDBF0B" w14:textId="77777777" w:rsidR="008A5623" w:rsidRPr="008073AC" w:rsidRDefault="008A5623" w:rsidP="008073AC">
      <w:pPr>
        <w:spacing w:after="0" w:line="240" w:lineRule="auto"/>
        <w:ind w:firstLine="360"/>
        <w:jc w:val="both"/>
        <w:rPr>
          <w:rFonts w:ascii="Cambria" w:eastAsia="Calibri" w:hAnsi="Cambria" w:cs="Times New Roman"/>
          <w:sz w:val="21"/>
          <w:szCs w:val="21"/>
        </w:rPr>
      </w:pPr>
    </w:p>
    <w:p w14:paraId="50B3592D" w14:textId="4208D756" w:rsidR="008A5623" w:rsidRPr="008073AC" w:rsidRDefault="00251CE6" w:rsidP="008073AC">
      <w:pPr>
        <w:numPr>
          <w:ilvl w:val="0"/>
          <w:numId w:val="3"/>
        </w:numPr>
        <w:spacing w:after="0" w:line="240" w:lineRule="auto"/>
        <w:ind w:left="0" w:firstLine="360"/>
        <w:jc w:val="both"/>
        <w:rPr>
          <w:rFonts w:ascii="Cambria" w:eastAsia="Calibri" w:hAnsi="Cambria" w:cs="Times New Roman"/>
        </w:rPr>
      </w:pPr>
      <w:r w:rsidRPr="008073AC">
        <w:rPr>
          <w:rFonts w:ascii="Cambria" w:eastAsia="Calibri" w:hAnsi="Cambria" w:cs="Times New Roman"/>
          <w:sz w:val="21"/>
          <w:szCs w:val="21"/>
        </w:rPr>
        <w:t>La C</w:t>
      </w:r>
      <w:r w:rsidR="003A7974" w:rsidRPr="008073AC">
        <w:rPr>
          <w:rFonts w:ascii="Cambria" w:eastAsia="Calibri" w:hAnsi="Cambria" w:cs="Times New Roman"/>
          <w:sz w:val="21"/>
          <w:szCs w:val="21"/>
        </w:rPr>
        <w:t>omi</w:t>
      </w:r>
      <w:r w:rsidRPr="008073AC">
        <w:rPr>
          <w:rFonts w:ascii="Cambria" w:eastAsia="Calibri" w:hAnsi="Cambria" w:cs="Times New Roman"/>
          <w:sz w:val="21"/>
          <w:szCs w:val="21"/>
        </w:rPr>
        <w:t>sión recuerda que las medidas de protección deben ser id</w:t>
      </w:r>
      <w:r w:rsidR="003A7974" w:rsidRPr="008073AC">
        <w:rPr>
          <w:rFonts w:ascii="Cambria" w:eastAsia="Calibri" w:hAnsi="Cambria" w:cs="Times New Roman"/>
          <w:sz w:val="21"/>
          <w:szCs w:val="21"/>
        </w:rPr>
        <w:t>óneas e efectivas</w:t>
      </w:r>
      <w:r w:rsidR="00A33BA1" w:rsidRPr="008073AC">
        <w:rPr>
          <w:rFonts w:ascii="Cambria" w:eastAsia="Calibri" w:hAnsi="Cambria" w:cs="Times New Roman"/>
          <w:sz w:val="21"/>
          <w:szCs w:val="21"/>
        </w:rPr>
        <w:t>;</w:t>
      </w:r>
      <w:r w:rsidRPr="008073AC">
        <w:rPr>
          <w:rFonts w:ascii="Cambria" w:eastAsia="Calibri" w:hAnsi="Cambria" w:cs="Times New Roman"/>
          <w:sz w:val="21"/>
          <w:szCs w:val="21"/>
        </w:rPr>
        <w:t xml:space="preserve"> o sea, </w:t>
      </w:r>
      <w:r w:rsidR="003A7974" w:rsidRPr="008073AC">
        <w:rPr>
          <w:rFonts w:ascii="Cambria" w:eastAsia="Calibri" w:hAnsi="Cambria" w:cs="Times New Roman"/>
          <w:sz w:val="21"/>
          <w:szCs w:val="21"/>
        </w:rPr>
        <w:t xml:space="preserve">las medidas implementadas, por su naturaleza, deben hacer frente al riesgo enfrentado y producir resultados de manera </w:t>
      </w:r>
      <w:r w:rsidR="009D5C9F" w:rsidRPr="008073AC">
        <w:rPr>
          <w:rFonts w:ascii="Cambria" w:eastAsia="Calibri" w:hAnsi="Cambria" w:cs="Times New Roman"/>
          <w:sz w:val="21"/>
          <w:szCs w:val="21"/>
        </w:rPr>
        <w:t xml:space="preserve">en </w:t>
      </w:r>
      <w:r w:rsidR="003A7974" w:rsidRPr="008073AC">
        <w:rPr>
          <w:rFonts w:ascii="Cambria" w:eastAsia="Calibri" w:hAnsi="Cambria" w:cs="Times New Roman"/>
          <w:sz w:val="21"/>
          <w:szCs w:val="21"/>
        </w:rPr>
        <w:t>que cese el riesgo</w:t>
      </w:r>
      <w:r w:rsidR="003A7974" w:rsidRPr="008073AC">
        <w:rPr>
          <w:rStyle w:val="FootnoteReference"/>
          <w:rFonts w:ascii="Cambria" w:eastAsia="Calibri" w:hAnsi="Cambria" w:cs="Times New Roman"/>
          <w:sz w:val="21"/>
          <w:szCs w:val="21"/>
        </w:rPr>
        <w:footnoteReference w:id="3"/>
      </w:r>
      <w:r w:rsidR="003A7974" w:rsidRPr="008073AC">
        <w:rPr>
          <w:rFonts w:ascii="Cambria" w:eastAsia="Calibri" w:hAnsi="Cambria" w:cs="Times New Roman"/>
          <w:sz w:val="21"/>
          <w:szCs w:val="21"/>
        </w:rPr>
        <w:t>.</w:t>
      </w:r>
      <w:r w:rsidR="00FE1A28" w:rsidRPr="008073AC">
        <w:rPr>
          <w:rFonts w:ascii="Cambria" w:eastAsia="Calibri" w:hAnsi="Cambria" w:cs="Times New Roman"/>
          <w:sz w:val="21"/>
          <w:szCs w:val="21"/>
        </w:rPr>
        <w:t xml:space="preserve"> </w:t>
      </w:r>
      <w:r w:rsidR="008A5623" w:rsidRPr="008073AC">
        <w:rPr>
          <w:rFonts w:ascii="Cambria" w:eastAsia="Calibri" w:hAnsi="Cambria" w:cs="Times New Roman"/>
          <w:sz w:val="21"/>
          <w:szCs w:val="21"/>
        </w:rPr>
        <w:t xml:space="preserve">En ese sentido, </w:t>
      </w:r>
      <w:r w:rsidR="00A33BA1" w:rsidRPr="008073AC">
        <w:rPr>
          <w:rFonts w:ascii="Cambria" w:eastAsia="Calibri" w:hAnsi="Cambria" w:cs="Times New Roman"/>
          <w:sz w:val="21"/>
          <w:szCs w:val="21"/>
        </w:rPr>
        <w:t>se</w:t>
      </w:r>
      <w:r w:rsidR="008A5623" w:rsidRPr="008073AC">
        <w:rPr>
          <w:rFonts w:ascii="Cambria" w:eastAsia="Calibri" w:hAnsi="Cambria" w:cs="Times New Roman"/>
          <w:sz w:val="21"/>
          <w:szCs w:val="21"/>
        </w:rPr>
        <w:t xml:space="preserve"> observa que el Estado no argumentó cómo se llegó a la determinación de efectividad o idoneidad del esquema de protección indicado</w:t>
      </w:r>
      <w:r w:rsidR="006A4729">
        <w:rPr>
          <w:rFonts w:ascii="Cambria" w:eastAsia="Calibri" w:hAnsi="Cambria" w:cs="Times New Roman"/>
          <w:sz w:val="21"/>
          <w:szCs w:val="21"/>
        </w:rPr>
        <w:t>, además</w:t>
      </w:r>
      <w:r w:rsidR="006B5105" w:rsidRPr="008073AC">
        <w:rPr>
          <w:rFonts w:ascii="Cambria" w:eastAsia="Calibri" w:hAnsi="Cambria" w:cs="Times New Roman"/>
          <w:sz w:val="21"/>
          <w:szCs w:val="21"/>
        </w:rPr>
        <w:t xml:space="preserve"> de la necesidad de tener en cuenta la </w:t>
      </w:r>
      <w:r w:rsidR="00A62FE8" w:rsidRPr="008073AC">
        <w:rPr>
          <w:rFonts w:ascii="Cambria" w:eastAsia="Calibri" w:hAnsi="Cambria" w:cs="Times New Roman"/>
          <w:sz w:val="21"/>
          <w:szCs w:val="21"/>
        </w:rPr>
        <w:t>adecuación cultural d</w:t>
      </w:r>
      <w:r w:rsidR="00F93D1B" w:rsidRPr="008073AC">
        <w:rPr>
          <w:rFonts w:ascii="Cambria" w:eastAsia="Calibri" w:hAnsi="Cambria" w:cs="Times New Roman"/>
          <w:sz w:val="21"/>
          <w:szCs w:val="21"/>
        </w:rPr>
        <w:t xml:space="preserve">e tales medidas de protección por tratarse de miembros de un pueblo indígena. </w:t>
      </w:r>
      <w:r w:rsidR="0052618F" w:rsidRPr="008073AC">
        <w:rPr>
          <w:rFonts w:ascii="Cambria" w:eastAsia="Calibri" w:hAnsi="Cambria" w:cs="Times New Roman"/>
          <w:sz w:val="21"/>
          <w:szCs w:val="21"/>
        </w:rPr>
        <w:t xml:space="preserve">Aunado a lo anterior se observa que, según los solicitantes, tras el decreto de cuarentena por la pandemia de COVID-19, </w:t>
      </w:r>
      <w:r w:rsidR="00720BA0" w:rsidRPr="008073AC">
        <w:rPr>
          <w:rFonts w:ascii="Cambria" w:eastAsia="Calibri" w:hAnsi="Cambria" w:cs="Times New Roman"/>
          <w:sz w:val="21"/>
          <w:szCs w:val="21"/>
        </w:rPr>
        <w:t>se habría levantado la referida guardia</w:t>
      </w:r>
      <w:r w:rsidR="00A33BA1" w:rsidRPr="008073AC">
        <w:rPr>
          <w:rFonts w:ascii="Cambria" w:eastAsia="Calibri" w:hAnsi="Cambria" w:cs="Times New Roman"/>
          <w:sz w:val="21"/>
          <w:szCs w:val="21"/>
        </w:rPr>
        <w:t>, sin que se cuente</w:t>
      </w:r>
      <w:r w:rsidR="00720BA0" w:rsidRPr="008073AC">
        <w:rPr>
          <w:rFonts w:ascii="Cambria" w:eastAsia="Calibri" w:hAnsi="Cambria" w:cs="Times New Roman"/>
          <w:sz w:val="21"/>
          <w:szCs w:val="21"/>
        </w:rPr>
        <w:t xml:space="preserve"> </w:t>
      </w:r>
      <w:r w:rsidR="009B5555" w:rsidRPr="008073AC">
        <w:rPr>
          <w:rFonts w:ascii="Cambria" w:eastAsia="Calibri" w:hAnsi="Cambria" w:cs="Times New Roman"/>
          <w:sz w:val="21"/>
          <w:szCs w:val="21"/>
        </w:rPr>
        <w:t>con información de que se haya</w:t>
      </w:r>
      <w:r w:rsidR="00A33BA1" w:rsidRPr="008073AC">
        <w:rPr>
          <w:rFonts w:ascii="Cambria" w:eastAsia="Calibri" w:hAnsi="Cambria" w:cs="Times New Roman"/>
          <w:sz w:val="21"/>
          <w:szCs w:val="21"/>
        </w:rPr>
        <w:t>n</w:t>
      </w:r>
      <w:r w:rsidR="009B5555" w:rsidRPr="008073AC">
        <w:rPr>
          <w:rFonts w:ascii="Cambria" w:eastAsia="Calibri" w:hAnsi="Cambria" w:cs="Times New Roman"/>
          <w:sz w:val="21"/>
          <w:szCs w:val="21"/>
        </w:rPr>
        <w:t xml:space="preserve"> adoptado medidas de protección sustitutivas</w:t>
      </w:r>
      <w:r w:rsidR="00A33BA1" w:rsidRPr="008073AC">
        <w:rPr>
          <w:rFonts w:ascii="Cambria" w:eastAsia="Calibri" w:hAnsi="Cambria" w:cs="Times New Roman"/>
          <w:sz w:val="21"/>
          <w:szCs w:val="21"/>
        </w:rPr>
        <w:t>;</w:t>
      </w:r>
      <w:r w:rsidR="009B5555" w:rsidRPr="008073AC">
        <w:rPr>
          <w:rFonts w:ascii="Cambria" w:eastAsia="Calibri" w:hAnsi="Cambria" w:cs="Times New Roman"/>
          <w:sz w:val="21"/>
          <w:szCs w:val="21"/>
        </w:rPr>
        <w:t xml:space="preserve"> al contrario, </w:t>
      </w:r>
      <w:r w:rsidR="00D26722" w:rsidRPr="008073AC">
        <w:rPr>
          <w:rFonts w:ascii="Cambria" w:eastAsia="Calibri" w:hAnsi="Cambria" w:cs="Times New Roman"/>
          <w:sz w:val="21"/>
          <w:szCs w:val="21"/>
        </w:rPr>
        <w:t>se alegó que hubo</w:t>
      </w:r>
      <w:r w:rsidR="00720BA0" w:rsidRPr="008073AC">
        <w:rPr>
          <w:rFonts w:ascii="Cambria" w:eastAsia="Calibri" w:hAnsi="Cambria" w:cs="Times New Roman"/>
          <w:sz w:val="21"/>
          <w:szCs w:val="21"/>
        </w:rPr>
        <w:t xml:space="preserve"> un incremento en las agresiones en contra de los miembro</w:t>
      </w:r>
      <w:r w:rsidR="00ED3685" w:rsidRPr="008073AC">
        <w:rPr>
          <w:rFonts w:ascii="Cambria" w:eastAsia="Calibri" w:hAnsi="Cambria" w:cs="Times New Roman"/>
          <w:sz w:val="21"/>
          <w:szCs w:val="21"/>
        </w:rPr>
        <w:t>s</w:t>
      </w:r>
      <w:r w:rsidR="00720BA0" w:rsidRPr="008073AC">
        <w:rPr>
          <w:rFonts w:ascii="Cambria" w:eastAsia="Calibri" w:hAnsi="Cambria" w:cs="Times New Roman"/>
          <w:sz w:val="21"/>
          <w:szCs w:val="21"/>
        </w:rPr>
        <w:t xml:space="preserve"> de la </w:t>
      </w:r>
      <w:r w:rsidR="00A33BA1" w:rsidRPr="008073AC">
        <w:rPr>
          <w:rFonts w:ascii="Cambria" w:eastAsia="Calibri" w:hAnsi="Cambria" w:cs="Times New Roman"/>
          <w:sz w:val="21"/>
          <w:szCs w:val="21"/>
        </w:rPr>
        <w:t>c</w:t>
      </w:r>
      <w:r w:rsidR="00720BA0" w:rsidRPr="008073AC">
        <w:rPr>
          <w:rFonts w:ascii="Cambria" w:eastAsia="Calibri" w:hAnsi="Cambria" w:cs="Times New Roman"/>
          <w:sz w:val="21"/>
          <w:szCs w:val="21"/>
        </w:rPr>
        <w:t>omunidad</w:t>
      </w:r>
      <w:r w:rsidR="00A33BA1" w:rsidRPr="008073AC">
        <w:rPr>
          <w:rFonts w:ascii="Cambria" w:eastAsia="Calibri" w:hAnsi="Cambria" w:cs="Times New Roman"/>
          <w:sz w:val="21"/>
          <w:szCs w:val="21"/>
        </w:rPr>
        <w:t xml:space="preserve">. </w:t>
      </w:r>
      <w:r w:rsidR="00ED3685" w:rsidRPr="008073AC">
        <w:rPr>
          <w:rFonts w:ascii="Cambria" w:eastAsia="Calibri" w:hAnsi="Cambria" w:cs="Times New Roman"/>
          <w:sz w:val="21"/>
          <w:szCs w:val="21"/>
        </w:rPr>
        <w:t>Al respecto, la Comisión recuerda que, en su Resolución 1/2020 “Pandemia y Derechos Humanos en las Américas”</w:t>
      </w:r>
      <w:r w:rsidR="006D558D" w:rsidRPr="008073AC">
        <w:rPr>
          <w:rFonts w:ascii="Cambria" w:eastAsia="Calibri" w:hAnsi="Cambria" w:cs="Times New Roman"/>
          <w:sz w:val="21"/>
          <w:szCs w:val="21"/>
        </w:rPr>
        <w:t xml:space="preserve"> se destacó que la actuación de los Estados debe estar en conformidad, </w:t>
      </w:r>
      <w:r w:rsidR="006D558D" w:rsidRPr="008073AC">
        <w:rPr>
          <w:rFonts w:ascii="Cambria" w:eastAsia="Calibri" w:hAnsi="Cambria" w:cs="Times New Roman"/>
          <w:i/>
          <w:sz w:val="21"/>
          <w:szCs w:val="21"/>
        </w:rPr>
        <w:t xml:space="preserve">inter </w:t>
      </w:r>
      <w:proofErr w:type="spellStart"/>
      <w:r w:rsidR="006D558D" w:rsidRPr="008073AC">
        <w:rPr>
          <w:rFonts w:ascii="Cambria" w:eastAsia="Calibri" w:hAnsi="Cambria" w:cs="Times New Roman"/>
          <w:i/>
          <w:sz w:val="21"/>
          <w:szCs w:val="21"/>
        </w:rPr>
        <w:t>alia</w:t>
      </w:r>
      <w:proofErr w:type="spellEnd"/>
      <w:r w:rsidR="006D558D" w:rsidRPr="008073AC">
        <w:rPr>
          <w:rFonts w:ascii="Cambria" w:eastAsia="Calibri" w:hAnsi="Cambria" w:cs="Times New Roman"/>
          <w:sz w:val="21"/>
          <w:szCs w:val="21"/>
        </w:rPr>
        <w:t>, con el deber de garantía de los derechos humanos, el cual</w:t>
      </w:r>
    </w:p>
    <w:p w14:paraId="0B70EFBD" w14:textId="77777777" w:rsidR="00ED3685" w:rsidRPr="008073AC" w:rsidRDefault="00ED3685" w:rsidP="008073AC">
      <w:pPr>
        <w:spacing w:after="0" w:line="240" w:lineRule="auto"/>
        <w:jc w:val="both"/>
        <w:rPr>
          <w:rFonts w:ascii="Cambria" w:eastAsia="Calibri" w:hAnsi="Cambria" w:cs="Times New Roman"/>
        </w:rPr>
      </w:pPr>
    </w:p>
    <w:p w14:paraId="06A9D7B7" w14:textId="77777777" w:rsidR="00F80275" w:rsidRPr="008073AC" w:rsidRDefault="006D558D" w:rsidP="008073AC">
      <w:pPr>
        <w:autoSpaceDE w:val="0"/>
        <w:autoSpaceDN w:val="0"/>
        <w:adjustRightInd w:val="0"/>
        <w:spacing w:after="0" w:line="240" w:lineRule="auto"/>
        <w:ind w:left="567" w:right="567"/>
        <w:jc w:val="both"/>
        <w:rPr>
          <w:rFonts w:ascii="Cambria" w:hAnsi="Cambria" w:cs="Cambria"/>
          <w:sz w:val="20"/>
        </w:rPr>
      </w:pPr>
      <w:r w:rsidRPr="008073AC">
        <w:rPr>
          <w:rFonts w:ascii="Cambria" w:hAnsi="Cambria" w:cs="Cambria"/>
          <w:sz w:val="18"/>
        </w:rPr>
        <w:t xml:space="preserve">[…] </w:t>
      </w:r>
      <w:r w:rsidR="00ED3685" w:rsidRPr="008073AC">
        <w:rPr>
          <w:rFonts w:ascii="Cambria" w:hAnsi="Cambria" w:cs="Cambria"/>
          <w:sz w:val="18"/>
        </w:rPr>
        <w:t>requie</w:t>
      </w:r>
      <w:r w:rsidRPr="008073AC">
        <w:rPr>
          <w:rFonts w:ascii="Cambria" w:hAnsi="Cambria" w:cs="Cambria"/>
          <w:sz w:val="18"/>
        </w:rPr>
        <w:t xml:space="preserve">re que los Estados protejan los </w:t>
      </w:r>
      <w:r w:rsidR="00ED3685" w:rsidRPr="008073AC">
        <w:rPr>
          <w:rFonts w:ascii="Cambria" w:hAnsi="Cambria" w:cs="Cambria"/>
          <w:sz w:val="18"/>
        </w:rPr>
        <w:t>derechos humanos atendiendo a las particulares n</w:t>
      </w:r>
      <w:r w:rsidRPr="008073AC">
        <w:rPr>
          <w:rFonts w:ascii="Cambria" w:hAnsi="Cambria" w:cs="Cambria"/>
          <w:sz w:val="18"/>
        </w:rPr>
        <w:t xml:space="preserve">ecesidades de protección de las </w:t>
      </w:r>
      <w:r w:rsidR="00ED3685" w:rsidRPr="008073AC">
        <w:rPr>
          <w:rFonts w:ascii="Cambria" w:hAnsi="Cambria" w:cs="Cambria"/>
          <w:sz w:val="18"/>
        </w:rPr>
        <w:t>personas y que esta obligación involucra el deber de los Estados de organizar todo el</w:t>
      </w:r>
      <w:r w:rsidRPr="008073AC">
        <w:rPr>
          <w:rFonts w:ascii="Cambria" w:hAnsi="Cambria" w:cs="Cambria"/>
          <w:sz w:val="18"/>
        </w:rPr>
        <w:t xml:space="preserve"> </w:t>
      </w:r>
      <w:r w:rsidR="00ED3685" w:rsidRPr="008073AC">
        <w:rPr>
          <w:rFonts w:ascii="Cambria" w:hAnsi="Cambria" w:cs="Cambria"/>
          <w:sz w:val="18"/>
        </w:rPr>
        <w:t>aparato gubernamental y, en general, todas las estructuras a través de las cuales se</w:t>
      </w:r>
      <w:r w:rsidRPr="008073AC">
        <w:rPr>
          <w:rFonts w:ascii="Cambria" w:hAnsi="Cambria" w:cs="Cambria"/>
          <w:sz w:val="18"/>
        </w:rPr>
        <w:t xml:space="preserve"> </w:t>
      </w:r>
      <w:r w:rsidR="00ED3685" w:rsidRPr="008073AC">
        <w:rPr>
          <w:rFonts w:ascii="Cambria" w:hAnsi="Cambria" w:cs="Cambria"/>
          <w:sz w:val="18"/>
        </w:rPr>
        <w:t xml:space="preserve">manifiesta el </w:t>
      </w:r>
      <w:r w:rsidR="00ED3685" w:rsidRPr="008073AC">
        <w:rPr>
          <w:rFonts w:ascii="Cambria" w:hAnsi="Cambria" w:cs="Cambria"/>
          <w:sz w:val="18"/>
        </w:rPr>
        <w:lastRenderedPageBreak/>
        <w:t>ejercicio del poder público, de manera t</w:t>
      </w:r>
      <w:r w:rsidRPr="008073AC">
        <w:rPr>
          <w:rFonts w:ascii="Cambria" w:hAnsi="Cambria" w:cs="Cambria"/>
          <w:sz w:val="18"/>
        </w:rPr>
        <w:t xml:space="preserve">al que sean capaces de asegurar </w:t>
      </w:r>
      <w:r w:rsidR="00ED3685" w:rsidRPr="008073AC">
        <w:rPr>
          <w:rFonts w:ascii="Cambria" w:hAnsi="Cambria" w:cs="Cambria"/>
          <w:sz w:val="18"/>
        </w:rPr>
        <w:t>jurídicamente el libre y pleno ejercicio de los derechos humanos.</w:t>
      </w:r>
      <w:r w:rsidR="00C909FE" w:rsidRPr="008073AC">
        <w:rPr>
          <w:rStyle w:val="FootnoteReference"/>
          <w:rFonts w:ascii="Cambria" w:hAnsi="Cambria" w:cs="Cambria"/>
          <w:sz w:val="18"/>
        </w:rPr>
        <w:footnoteReference w:id="4"/>
      </w:r>
    </w:p>
    <w:p w14:paraId="3CC547D8" w14:textId="77777777" w:rsidR="0070087B" w:rsidRPr="008073AC" w:rsidRDefault="0070087B" w:rsidP="008073AC">
      <w:pPr>
        <w:contextualSpacing/>
        <w:rPr>
          <w:rFonts w:ascii="Cambria" w:eastAsia="Calibri" w:hAnsi="Cambria" w:cs="Times New Roman"/>
          <w:lang w:val="es-ES"/>
        </w:rPr>
      </w:pPr>
    </w:p>
    <w:p w14:paraId="7762046E" w14:textId="1993E378" w:rsidR="0070087B" w:rsidRPr="008073AC" w:rsidRDefault="0070087B" w:rsidP="008073AC">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8073AC">
        <w:rPr>
          <w:rFonts w:ascii="Cambria" w:eastAsia="Batang" w:hAnsi="Cambria" w:cs="Times New Roman"/>
          <w:color w:val="000000"/>
          <w:sz w:val="21"/>
          <w:szCs w:val="21"/>
          <w:lang w:val="es-ES"/>
        </w:rPr>
        <w:t xml:space="preserve">En </w:t>
      </w:r>
      <w:r w:rsidRPr="008073AC">
        <w:rPr>
          <w:rFonts w:ascii="Cambria" w:eastAsia="Calibri" w:hAnsi="Cambria" w:cs="Times New Roman"/>
          <w:sz w:val="21"/>
          <w:szCs w:val="21"/>
        </w:rPr>
        <w:t>vista</w:t>
      </w:r>
      <w:r w:rsidRPr="008073AC">
        <w:rPr>
          <w:rFonts w:ascii="Cambria" w:eastAsia="Batang" w:hAnsi="Cambria" w:cs="Times New Roman"/>
          <w:color w:val="000000"/>
          <w:sz w:val="21"/>
          <w:szCs w:val="21"/>
          <w:lang w:val="es-ES"/>
        </w:rPr>
        <w:t xml:space="preserve"> de lo anterior, la Comisión </w:t>
      </w:r>
      <w:r w:rsidR="00A33BA1" w:rsidRPr="008073AC">
        <w:rPr>
          <w:rFonts w:ascii="Cambria" w:eastAsia="Batang" w:hAnsi="Cambria" w:cs="Times New Roman"/>
          <w:color w:val="000000"/>
          <w:sz w:val="21"/>
          <w:szCs w:val="21"/>
          <w:lang w:val="es-ES"/>
        </w:rPr>
        <w:t xml:space="preserve">concluye </w:t>
      </w:r>
      <w:r w:rsidRPr="008073AC">
        <w:rPr>
          <w:rFonts w:ascii="Cambria" w:eastAsia="Batang" w:hAnsi="Cambria" w:cs="Times New Roman"/>
          <w:color w:val="000000"/>
          <w:sz w:val="21"/>
          <w:szCs w:val="21"/>
          <w:lang w:val="es-ES"/>
        </w:rPr>
        <w:t xml:space="preserve">que desde el estándar </w:t>
      </w:r>
      <w:r w:rsidRPr="008073AC">
        <w:rPr>
          <w:rFonts w:ascii="Cambria" w:eastAsia="Batang" w:hAnsi="Cambria" w:cs="Times New Roman"/>
          <w:i/>
          <w:color w:val="000000"/>
          <w:sz w:val="21"/>
          <w:szCs w:val="21"/>
          <w:lang w:val="es-ES"/>
        </w:rPr>
        <w:t>prima facie</w:t>
      </w:r>
      <w:r w:rsidR="00A33BA1" w:rsidRPr="008073AC">
        <w:rPr>
          <w:rFonts w:ascii="Cambria" w:eastAsia="Batang" w:hAnsi="Cambria" w:cs="Times New Roman"/>
          <w:color w:val="000000"/>
          <w:sz w:val="21"/>
          <w:szCs w:val="21"/>
          <w:lang w:val="es-ES"/>
        </w:rPr>
        <w:t>,</w:t>
      </w:r>
      <w:r w:rsidRPr="008073AC">
        <w:rPr>
          <w:rFonts w:ascii="Cambria" w:eastAsia="Batang" w:hAnsi="Cambria" w:cs="Times New Roman"/>
          <w:color w:val="000000"/>
          <w:sz w:val="21"/>
          <w:szCs w:val="21"/>
          <w:lang w:val="es-ES"/>
        </w:rPr>
        <w:t xml:space="preserve"> los </w:t>
      </w:r>
      <w:r w:rsidRPr="008073AC">
        <w:rPr>
          <w:rFonts w:ascii="Cambria" w:eastAsia="Calibri" w:hAnsi="Cambria" w:cs="Times New Roman"/>
          <w:sz w:val="21"/>
          <w:szCs w:val="21"/>
          <w:lang w:val="es-MX"/>
        </w:rPr>
        <w:t>derechos</w:t>
      </w:r>
      <w:r w:rsidR="00415C6B" w:rsidRPr="008073AC">
        <w:rPr>
          <w:rFonts w:ascii="Cambria" w:eastAsia="Batang" w:hAnsi="Cambria" w:cs="Times New Roman"/>
          <w:color w:val="000000"/>
          <w:sz w:val="21"/>
          <w:szCs w:val="21"/>
          <w:lang w:val="es-ES"/>
        </w:rPr>
        <w:t xml:space="preserve"> a la vida e</w:t>
      </w:r>
      <w:r w:rsidRPr="008073AC">
        <w:rPr>
          <w:rFonts w:ascii="Cambria" w:eastAsia="Batang" w:hAnsi="Cambria" w:cs="Times New Roman"/>
          <w:color w:val="000000"/>
          <w:sz w:val="21"/>
          <w:szCs w:val="21"/>
          <w:lang w:val="es-ES"/>
        </w:rPr>
        <w:t xml:space="preserve"> integridad personal </w:t>
      </w:r>
      <w:r w:rsidR="00415C6B" w:rsidRPr="008073AC">
        <w:rPr>
          <w:rFonts w:ascii="Cambria" w:eastAsia="Batang" w:hAnsi="Cambria" w:cs="Times New Roman"/>
          <w:color w:val="000000"/>
          <w:sz w:val="21"/>
          <w:szCs w:val="21"/>
          <w:lang w:val="es-ES"/>
        </w:rPr>
        <w:t xml:space="preserve">de los miembros de la </w:t>
      </w:r>
      <w:r w:rsidR="00A33BA1" w:rsidRPr="008073AC">
        <w:rPr>
          <w:rFonts w:ascii="Cambria" w:eastAsia="Batang" w:hAnsi="Cambria" w:cs="Times New Roman"/>
          <w:color w:val="000000"/>
          <w:sz w:val="21"/>
          <w:szCs w:val="21"/>
        </w:rPr>
        <w:t>c</w:t>
      </w:r>
      <w:r w:rsidR="00415C6B" w:rsidRPr="008073AC">
        <w:rPr>
          <w:rFonts w:ascii="Cambria" w:eastAsia="Batang" w:hAnsi="Cambria" w:cs="Times New Roman"/>
          <w:color w:val="000000"/>
          <w:sz w:val="21"/>
          <w:szCs w:val="21"/>
        </w:rPr>
        <w:t xml:space="preserve">omunidad </w:t>
      </w:r>
      <w:r w:rsidR="00A33BA1" w:rsidRPr="008073AC">
        <w:rPr>
          <w:rFonts w:ascii="Cambria" w:eastAsia="Batang" w:hAnsi="Cambria" w:cs="Times New Roman"/>
          <w:color w:val="000000"/>
          <w:sz w:val="21"/>
          <w:szCs w:val="21"/>
        </w:rPr>
        <w:t>m</w:t>
      </w:r>
      <w:r w:rsidR="00415C6B" w:rsidRPr="008073AC">
        <w:rPr>
          <w:rFonts w:ascii="Cambria" w:eastAsia="Batang" w:hAnsi="Cambria" w:cs="Times New Roman"/>
          <w:color w:val="000000"/>
          <w:sz w:val="21"/>
          <w:szCs w:val="21"/>
        </w:rPr>
        <w:t xml:space="preserve">apuche </w:t>
      </w:r>
      <w:proofErr w:type="spellStart"/>
      <w:r w:rsidR="00415C6B" w:rsidRPr="008073AC">
        <w:rPr>
          <w:rFonts w:ascii="Cambria" w:eastAsia="Batang" w:hAnsi="Cambria" w:cs="Times New Roman"/>
          <w:color w:val="000000"/>
          <w:sz w:val="21"/>
          <w:szCs w:val="21"/>
        </w:rPr>
        <w:t>Lof</w:t>
      </w:r>
      <w:proofErr w:type="spellEnd"/>
      <w:r w:rsidR="00415C6B" w:rsidRPr="008073AC">
        <w:rPr>
          <w:rFonts w:ascii="Cambria" w:eastAsia="Batang" w:hAnsi="Cambria" w:cs="Times New Roman"/>
          <w:color w:val="000000"/>
          <w:sz w:val="21"/>
          <w:szCs w:val="21"/>
        </w:rPr>
        <w:t xml:space="preserve"> </w:t>
      </w:r>
      <w:proofErr w:type="spellStart"/>
      <w:r w:rsidR="00415C6B" w:rsidRPr="008073AC">
        <w:rPr>
          <w:rFonts w:ascii="Cambria" w:eastAsia="Batang" w:hAnsi="Cambria" w:cs="Times New Roman"/>
          <w:color w:val="000000"/>
          <w:sz w:val="21"/>
          <w:szCs w:val="21"/>
        </w:rPr>
        <w:t>Buenuleo</w:t>
      </w:r>
      <w:proofErr w:type="spellEnd"/>
      <w:r w:rsidRPr="008073AC">
        <w:rPr>
          <w:rFonts w:ascii="Cambria" w:eastAsia="Batang" w:hAnsi="Cambria" w:cs="Times New Roman"/>
          <w:color w:val="000000"/>
          <w:sz w:val="21"/>
          <w:szCs w:val="21"/>
          <w:lang w:val="es-ES"/>
        </w:rPr>
        <w:t xml:space="preserve"> se encuentra</w:t>
      </w:r>
      <w:r w:rsidR="00A33BA1" w:rsidRPr="008073AC">
        <w:rPr>
          <w:rFonts w:ascii="Cambria" w:eastAsia="Batang" w:hAnsi="Cambria" w:cs="Times New Roman"/>
          <w:color w:val="000000"/>
          <w:sz w:val="21"/>
          <w:szCs w:val="21"/>
          <w:lang w:val="es-ES"/>
        </w:rPr>
        <w:t>n</w:t>
      </w:r>
      <w:r w:rsidRPr="008073AC">
        <w:rPr>
          <w:rFonts w:ascii="Cambria" w:eastAsia="Batang" w:hAnsi="Cambria" w:cs="Times New Roman"/>
          <w:color w:val="000000"/>
          <w:sz w:val="21"/>
          <w:szCs w:val="21"/>
          <w:lang w:val="es-ES"/>
        </w:rPr>
        <w:t xml:space="preserve"> en una situación de grave riesgo.</w:t>
      </w:r>
    </w:p>
    <w:p w14:paraId="0650DD6F" w14:textId="77777777" w:rsidR="0070087B" w:rsidRPr="008073AC" w:rsidRDefault="0070087B" w:rsidP="008073AC">
      <w:pPr>
        <w:spacing w:after="0" w:line="240" w:lineRule="auto"/>
        <w:ind w:firstLine="360"/>
        <w:contextualSpacing/>
        <w:jc w:val="both"/>
        <w:rPr>
          <w:rFonts w:ascii="Cambria" w:eastAsia="Calibri" w:hAnsi="Cambria" w:cs="Times New Roman"/>
          <w:sz w:val="21"/>
          <w:szCs w:val="21"/>
          <w:lang w:val="es-ES"/>
        </w:rPr>
      </w:pPr>
    </w:p>
    <w:p w14:paraId="674BAD55" w14:textId="7FD3BA9F" w:rsidR="0070087B" w:rsidRPr="008073AC" w:rsidRDefault="0070087B" w:rsidP="008073AC">
      <w:pPr>
        <w:numPr>
          <w:ilvl w:val="0"/>
          <w:numId w:val="3"/>
        </w:numPr>
        <w:spacing w:after="0" w:line="240" w:lineRule="auto"/>
        <w:ind w:left="0" w:firstLine="360"/>
        <w:jc w:val="both"/>
        <w:rPr>
          <w:rFonts w:ascii="Cambria" w:eastAsia="Batang" w:hAnsi="Cambria" w:cs="Times New Roman"/>
          <w:color w:val="000000"/>
          <w:sz w:val="21"/>
          <w:szCs w:val="21"/>
        </w:rPr>
      </w:pPr>
      <w:r w:rsidRPr="008073AC">
        <w:rPr>
          <w:rFonts w:ascii="Cambria" w:eastAsia="Batang" w:hAnsi="Cambria" w:cs="Times New Roman"/>
          <w:color w:val="000000"/>
          <w:sz w:val="21"/>
          <w:szCs w:val="21"/>
          <w:lang w:val="es-ES"/>
        </w:rPr>
        <w:t>En cuanto al requisito de urgencia, la Comisión considera que se encuentra</w:t>
      </w:r>
      <w:r w:rsidR="00A33BA1" w:rsidRPr="008073AC">
        <w:rPr>
          <w:rFonts w:ascii="Cambria" w:eastAsia="Batang" w:hAnsi="Cambria" w:cs="Times New Roman"/>
          <w:color w:val="000000"/>
          <w:sz w:val="21"/>
          <w:szCs w:val="21"/>
          <w:lang w:val="es-ES"/>
        </w:rPr>
        <w:t xml:space="preserve"> igualmente </w:t>
      </w:r>
      <w:r w:rsidRPr="008073AC">
        <w:rPr>
          <w:rFonts w:ascii="Cambria" w:eastAsia="Batang" w:hAnsi="Cambria" w:cs="Times New Roman"/>
          <w:color w:val="000000"/>
          <w:sz w:val="21"/>
          <w:szCs w:val="21"/>
          <w:lang w:val="es-ES"/>
        </w:rPr>
        <w:t xml:space="preserve">cumplido, en vista de </w:t>
      </w:r>
      <w:r w:rsidR="004F44FB" w:rsidRPr="008073AC">
        <w:rPr>
          <w:rFonts w:ascii="Cambria" w:eastAsia="Batang" w:hAnsi="Cambria" w:cs="Times New Roman"/>
          <w:color w:val="000000"/>
          <w:sz w:val="21"/>
          <w:szCs w:val="21"/>
          <w:lang w:val="es-ES"/>
        </w:rPr>
        <w:t>la continuidad</w:t>
      </w:r>
      <w:r w:rsidR="00A33BA1" w:rsidRPr="008073AC">
        <w:rPr>
          <w:rFonts w:ascii="Cambria" w:eastAsia="Batang" w:hAnsi="Cambria" w:cs="Times New Roman"/>
          <w:color w:val="000000"/>
          <w:sz w:val="21"/>
          <w:szCs w:val="21"/>
          <w:lang w:val="es-ES"/>
        </w:rPr>
        <w:t xml:space="preserve"> y cercanía en el tiempo de los actos de hostigamiento y las amenazas proferidas, de cuyo contenido cabría también advertir una supuesta intención de atentar en contra de los propuestos beneficiarios en cualquier momento</w:t>
      </w:r>
      <w:r w:rsidR="004F44FB" w:rsidRPr="008073AC">
        <w:rPr>
          <w:rFonts w:ascii="Cambria" w:eastAsia="Batang" w:hAnsi="Cambria" w:cs="Times New Roman"/>
          <w:color w:val="000000"/>
          <w:sz w:val="21"/>
          <w:szCs w:val="21"/>
          <w:lang w:val="es-ES"/>
        </w:rPr>
        <w:t xml:space="preserve"> </w:t>
      </w:r>
      <w:r w:rsidR="00046449" w:rsidRPr="008073AC">
        <w:rPr>
          <w:rFonts w:ascii="Cambria" w:eastAsia="Batang" w:hAnsi="Cambria" w:cs="Times New Roman"/>
          <w:color w:val="000000"/>
          <w:sz w:val="21"/>
          <w:szCs w:val="21"/>
          <w:lang w:val="es-ES"/>
        </w:rPr>
        <w:t>(</w:t>
      </w:r>
      <w:r w:rsidR="00A33BA1" w:rsidRPr="008073AC">
        <w:rPr>
          <w:rFonts w:ascii="Cambria" w:eastAsia="Batang" w:hAnsi="Cambria" w:cs="Times New Roman"/>
          <w:i/>
          <w:color w:val="000000"/>
          <w:sz w:val="21"/>
          <w:szCs w:val="21"/>
          <w:lang w:val="es-ES"/>
        </w:rPr>
        <w:t>vid</w:t>
      </w:r>
      <w:r w:rsidR="00A33BA1" w:rsidRPr="008073AC">
        <w:rPr>
          <w:rFonts w:ascii="Cambria" w:eastAsia="Batang" w:hAnsi="Cambria" w:cs="Times New Roman"/>
          <w:color w:val="000000"/>
          <w:sz w:val="21"/>
          <w:szCs w:val="21"/>
          <w:lang w:val="es-ES"/>
        </w:rPr>
        <w:t xml:space="preserve">. </w:t>
      </w:r>
      <w:r w:rsidR="00A9530B" w:rsidRPr="008073AC">
        <w:rPr>
          <w:rFonts w:ascii="Cambria" w:eastAsia="Batang" w:hAnsi="Cambria" w:cs="Times New Roman"/>
          <w:i/>
          <w:color w:val="000000"/>
          <w:sz w:val="21"/>
          <w:szCs w:val="21"/>
          <w:lang w:val="es-ES"/>
        </w:rPr>
        <w:t xml:space="preserve">supra </w:t>
      </w:r>
      <w:r w:rsidR="00A9530B" w:rsidRPr="008073AC">
        <w:rPr>
          <w:rFonts w:ascii="Cambria" w:eastAsia="Batang" w:hAnsi="Cambria" w:cs="Times New Roman"/>
          <w:color w:val="000000"/>
          <w:sz w:val="21"/>
          <w:szCs w:val="21"/>
          <w:lang w:val="es-ES"/>
        </w:rPr>
        <w:t xml:space="preserve">párr. </w:t>
      </w:r>
      <w:r w:rsidR="009D5837" w:rsidRPr="008073AC">
        <w:rPr>
          <w:rFonts w:ascii="Cambria" w:eastAsia="Batang" w:hAnsi="Cambria" w:cs="Times New Roman"/>
          <w:color w:val="000000"/>
          <w:sz w:val="21"/>
          <w:szCs w:val="21"/>
          <w:lang w:val="es-ES"/>
        </w:rPr>
        <w:t>9</w:t>
      </w:r>
      <w:r w:rsidR="00A33BA1" w:rsidRPr="008073AC">
        <w:rPr>
          <w:rFonts w:ascii="Cambria" w:eastAsia="Batang" w:hAnsi="Cambria" w:cs="Times New Roman"/>
          <w:color w:val="000000"/>
          <w:sz w:val="21"/>
          <w:szCs w:val="21"/>
          <w:lang w:val="es-ES"/>
        </w:rPr>
        <w:t>).</w:t>
      </w:r>
      <w:r w:rsidR="00E301A9" w:rsidRPr="008073AC">
        <w:rPr>
          <w:rFonts w:ascii="Cambria" w:eastAsia="Batang" w:hAnsi="Cambria" w:cs="Times New Roman"/>
          <w:color w:val="000000"/>
          <w:sz w:val="21"/>
          <w:szCs w:val="21"/>
        </w:rPr>
        <w:t xml:space="preserve"> En es</w:t>
      </w:r>
      <w:r w:rsidR="00A33BA1" w:rsidRPr="008073AC">
        <w:rPr>
          <w:rFonts w:ascii="Cambria" w:eastAsia="Batang" w:hAnsi="Cambria" w:cs="Times New Roman"/>
          <w:color w:val="000000"/>
          <w:sz w:val="21"/>
          <w:szCs w:val="21"/>
        </w:rPr>
        <w:t>t</w:t>
      </w:r>
      <w:r w:rsidR="00E301A9" w:rsidRPr="008073AC">
        <w:rPr>
          <w:rFonts w:ascii="Cambria" w:eastAsia="Batang" w:hAnsi="Cambria" w:cs="Times New Roman"/>
          <w:color w:val="000000"/>
          <w:sz w:val="21"/>
          <w:szCs w:val="21"/>
        </w:rPr>
        <w:t xml:space="preserve">e sentido, </w:t>
      </w:r>
      <w:r w:rsidR="004A709A" w:rsidRPr="008073AC">
        <w:rPr>
          <w:rFonts w:ascii="Cambria" w:eastAsia="Batang" w:hAnsi="Cambria" w:cs="Times New Roman"/>
          <w:color w:val="000000"/>
          <w:sz w:val="21"/>
          <w:szCs w:val="21"/>
        </w:rPr>
        <w:t xml:space="preserve">se entiende que los </w:t>
      </w:r>
      <w:r w:rsidR="004F44FB" w:rsidRPr="008073AC">
        <w:rPr>
          <w:rFonts w:ascii="Cambria" w:eastAsia="Batang" w:hAnsi="Cambria" w:cs="Times New Roman"/>
          <w:color w:val="000000"/>
          <w:sz w:val="21"/>
          <w:szCs w:val="21"/>
          <w:lang w:val="es-ES"/>
        </w:rPr>
        <w:t xml:space="preserve">miembros de la </w:t>
      </w:r>
      <w:r w:rsidR="004A709A" w:rsidRPr="008073AC">
        <w:rPr>
          <w:rFonts w:ascii="Cambria" w:eastAsia="Batang" w:hAnsi="Cambria" w:cs="Times New Roman"/>
          <w:color w:val="000000"/>
          <w:sz w:val="21"/>
          <w:szCs w:val="21"/>
        </w:rPr>
        <w:t>c</w:t>
      </w:r>
      <w:r w:rsidR="004F44FB" w:rsidRPr="008073AC">
        <w:rPr>
          <w:rFonts w:ascii="Cambria" w:eastAsia="Batang" w:hAnsi="Cambria" w:cs="Times New Roman"/>
          <w:color w:val="000000"/>
          <w:sz w:val="21"/>
          <w:szCs w:val="21"/>
        </w:rPr>
        <w:t xml:space="preserve">omunidad </w:t>
      </w:r>
      <w:r w:rsidR="004F44FB" w:rsidRPr="008073AC">
        <w:rPr>
          <w:rFonts w:ascii="Cambria" w:eastAsia="Batang" w:hAnsi="Cambria" w:cs="Times New Roman"/>
          <w:color w:val="000000"/>
          <w:sz w:val="21"/>
          <w:szCs w:val="21"/>
          <w:lang w:val="es-ES"/>
        </w:rPr>
        <w:t xml:space="preserve">podrían verse expuestos a </w:t>
      </w:r>
      <w:r w:rsidR="004A709A" w:rsidRPr="008073AC">
        <w:rPr>
          <w:rFonts w:ascii="Cambria" w:eastAsia="Batang" w:hAnsi="Cambria" w:cs="Times New Roman"/>
          <w:color w:val="000000"/>
          <w:sz w:val="21"/>
          <w:szCs w:val="21"/>
          <w:lang w:val="es-ES"/>
        </w:rPr>
        <w:t xml:space="preserve">la repetición de </w:t>
      </w:r>
      <w:r w:rsidR="004F44FB" w:rsidRPr="008073AC">
        <w:rPr>
          <w:rFonts w:ascii="Cambria" w:eastAsia="Batang" w:hAnsi="Cambria" w:cs="Times New Roman"/>
          <w:color w:val="000000"/>
          <w:sz w:val="21"/>
          <w:szCs w:val="21"/>
          <w:lang w:val="es-ES"/>
        </w:rPr>
        <w:t xml:space="preserve">posibles agresiones de parte de terceros </w:t>
      </w:r>
      <w:r w:rsidR="004A709A" w:rsidRPr="008073AC">
        <w:rPr>
          <w:rFonts w:ascii="Cambria" w:eastAsia="Batang" w:hAnsi="Cambria" w:cs="Times New Roman"/>
          <w:color w:val="000000"/>
          <w:sz w:val="21"/>
          <w:szCs w:val="21"/>
          <w:lang w:val="es-ES"/>
        </w:rPr>
        <w:t>en un futuro inmediato</w:t>
      </w:r>
      <w:r w:rsidR="004F44FB" w:rsidRPr="008073AC">
        <w:rPr>
          <w:rFonts w:ascii="Cambria" w:eastAsia="Batang" w:hAnsi="Cambria" w:cs="Times New Roman"/>
          <w:color w:val="000000"/>
          <w:sz w:val="21"/>
          <w:szCs w:val="21"/>
          <w:lang w:val="es-ES"/>
        </w:rPr>
        <w:t>, máxime teniendo en cuenta que ya se habrían concretizado actos de violencia en</w:t>
      </w:r>
      <w:r w:rsidR="004A709A" w:rsidRPr="008073AC">
        <w:rPr>
          <w:rFonts w:ascii="Cambria" w:eastAsia="Batang" w:hAnsi="Cambria" w:cs="Times New Roman"/>
          <w:color w:val="000000"/>
          <w:sz w:val="21"/>
          <w:szCs w:val="21"/>
          <w:lang w:val="es-ES"/>
        </w:rPr>
        <w:t xml:space="preserve"> su</w:t>
      </w:r>
      <w:r w:rsidR="004F44FB" w:rsidRPr="008073AC">
        <w:rPr>
          <w:rFonts w:ascii="Cambria" w:eastAsia="Batang" w:hAnsi="Cambria" w:cs="Times New Roman"/>
          <w:color w:val="000000"/>
          <w:sz w:val="21"/>
          <w:szCs w:val="21"/>
          <w:lang w:val="es-ES"/>
        </w:rPr>
        <w:t xml:space="preserve"> contra y </w:t>
      </w:r>
      <w:r w:rsidR="00E301A9" w:rsidRPr="008073AC">
        <w:rPr>
          <w:rFonts w:ascii="Cambria" w:eastAsia="Batang" w:hAnsi="Cambria" w:cs="Times New Roman"/>
          <w:color w:val="000000"/>
          <w:sz w:val="21"/>
          <w:szCs w:val="21"/>
          <w:lang w:val="es-ES"/>
        </w:rPr>
        <w:t xml:space="preserve">ante </w:t>
      </w:r>
      <w:r w:rsidR="004A709A" w:rsidRPr="008073AC">
        <w:rPr>
          <w:rFonts w:ascii="Cambria" w:eastAsia="Batang" w:hAnsi="Cambria" w:cs="Times New Roman"/>
          <w:color w:val="000000"/>
          <w:sz w:val="21"/>
          <w:szCs w:val="21"/>
          <w:lang w:val="es-ES"/>
        </w:rPr>
        <w:t xml:space="preserve">la </w:t>
      </w:r>
      <w:r w:rsidR="009D5C9F" w:rsidRPr="008073AC">
        <w:rPr>
          <w:rFonts w:ascii="Cambria" w:eastAsia="Batang" w:hAnsi="Cambria" w:cs="Times New Roman"/>
          <w:color w:val="000000"/>
          <w:sz w:val="21"/>
          <w:szCs w:val="21"/>
          <w:lang w:val="es-ES"/>
        </w:rPr>
        <w:t>alegad</w:t>
      </w:r>
      <w:r w:rsidR="004A709A" w:rsidRPr="008073AC">
        <w:rPr>
          <w:rFonts w:ascii="Cambria" w:eastAsia="Batang" w:hAnsi="Cambria" w:cs="Times New Roman"/>
          <w:color w:val="000000"/>
          <w:sz w:val="21"/>
          <w:szCs w:val="21"/>
          <w:lang w:val="es-ES"/>
        </w:rPr>
        <w:t>a</w:t>
      </w:r>
      <w:r w:rsidR="004F44FB" w:rsidRPr="008073AC">
        <w:rPr>
          <w:rFonts w:ascii="Cambria" w:eastAsia="Batang" w:hAnsi="Cambria" w:cs="Times New Roman"/>
          <w:color w:val="000000"/>
          <w:sz w:val="21"/>
          <w:szCs w:val="21"/>
          <w:lang w:val="es-ES"/>
        </w:rPr>
        <w:t xml:space="preserve"> </w:t>
      </w:r>
      <w:r w:rsidR="004A709A" w:rsidRPr="008073AC">
        <w:rPr>
          <w:rFonts w:ascii="Cambria" w:eastAsia="Batang" w:hAnsi="Cambria" w:cs="Times New Roman"/>
          <w:color w:val="000000"/>
          <w:sz w:val="21"/>
          <w:szCs w:val="21"/>
          <w:lang w:val="es-ES"/>
        </w:rPr>
        <w:t>ausencia de la patrulla inicialmente ubicada en el ingreso.</w:t>
      </w:r>
    </w:p>
    <w:p w14:paraId="5D45970E" w14:textId="77777777" w:rsidR="0070087B" w:rsidRPr="008073AC" w:rsidRDefault="0070087B" w:rsidP="008073AC">
      <w:pPr>
        <w:spacing w:after="0" w:line="240" w:lineRule="auto"/>
        <w:ind w:firstLine="360"/>
        <w:jc w:val="both"/>
        <w:rPr>
          <w:rFonts w:ascii="Cambria" w:eastAsia="Calibri" w:hAnsi="Cambria" w:cs="Times New Roman"/>
          <w:sz w:val="21"/>
          <w:szCs w:val="21"/>
          <w:lang w:val="es-ES"/>
        </w:rPr>
      </w:pPr>
    </w:p>
    <w:p w14:paraId="51C0D39E" w14:textId="37D388C6" w:rsidR="0070087B" w:rsidRPr="008073AC" w:rsidRDefault="0070087B" w:rsidP="008073AC">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8073AC">
        <w:rPr>
          <w:rFonts w:ascii="Cambria" w:eastAsia="Batang" w:hAnsi="Cambria" w:cs="Times New Roman"/>
          <w:color w:val="000000"/>
          <w:sz w:val="21"/>
          <w:szCs w:val="21"/>
          <w:lang w:val="es-ES"/>
        </w:rPr>
        <w:t xml:space="preserve">En lo que respecta al requisito de </w:t>
      </w:r>
      <w:proofErr w:type="spellStart"/>
      <w:r w:rsidRPr="008073AC">
        <w:rPr>
          <w:rFonts w:ascii="Cambria" w:eastAsia="Batang" w:hAnsi="Cambria" w:cs="Times New Roman"/>
          <w:color w:val="000000"/>
          <w:sz w:val="21"/>
          <w:szCs w:val="21"/>
          <w:lang w:val="es-ES"/>
        </w:rPr>
        <w:t>irreparabilidad</w:t>
      </w:r>
      <w:proofErr w:type="spellEnd"/>
      <w:r w:rsidRPr="008073AC">
        <w:rPr>
          <w:rFonts w:ascii="Cambria" w:eastAsia="Batang" w:hAnsi="Cambria" w:cs="Times New Roman"/>
          <w:color w:val="000000"/>
          <w:sz w:val="21"/>
          <w:szCs w:val="21"/>
          <w:lang w:val="es-ES"/>
        </w:rPr>
        <w:t xml:space="preserve">, la Comisión </w:t>
      </w:r>
      <w:r w:rsidR="004A709A" w:rsidRPr="008073AC">
        <w:rPr>
          <w:rFonts w:ascii="Cambria" w:eastAsia="Batang" w:hAnsi="Cambria" w:cs="Times New Roman"/>
          <w:color w:val="000000"/>
          <w:sz w:val="21"/>
          <w:szCs w:val="21"/>
          <w:lang w:val="es-ES"/>
        </w:rPr>
        <w:t xml:space="preserve">sostiene </w:t>
      </w:r>
      <w:r w:rsidRPr="008073AC">
        <w:rPr>
          <w:rFonts w:ascii="Cambria" w:eastAsia="Batang" w:hAnsi="Cambria" w:cs="Times New Roman"/>
          <w:color w:val="000000"/>
          <w:sz w:val="21"/>
          <w:szCs w:val="21"/>
          <w:lang w:val="es-ES"/>
        </w:rPr>
        <w:t xml:space="preserve">que se encuentra cumplido, </w:t>
      </w:r>
      <w:r w:rsidRPr="008073AC">
        <w:rPr>
          <w:rFonts w:ascii="Cambria" w:eastAsia="Batang" w:hAnsi="Cambria" w:cs="Times New Roman"/>
          <w:color w:val="000000"/>
          <w:sz w:val="21"/>
          <w:szCs w:val="21"/>
        </w:rPr>
        <w:t>ya</w:t>
      </w:r>
      <w:r w:rsidRPr="008073AC">
        <w:rPr>
          <w:rFonts w:ascii="Cambria" w:eastAsia="Batang" w:hAnsi="Cambria" w:cs="Times New Roman"/>
          <w:color w:val="000000"/>
          <w:sz w:val="21"/>
          <w:szCs w:val="21"/>
          <w:lang w:val="es-ES"/>
        </w:rPr>
        <w:t xml:space="preserve"> que la posible afectación a los derechos a la vida e integridad personal constituyen</w:t>
      </w:r>
      <w:r w:rsidR="00E301A9" w:rsidRPr="008073AC">
        <w:rPr>
          <w:rFonts w:ascii="Cambria" w:eastAsia="Batang" w:hAnsi="Cambria" w:cs="Times New Roman"/>
          <w:color w:val="000000"/>
          <w:sz w:val="21"/>
          <w:szCs w:val="21"/>
          <w:lang w:val="es-ES"/>
        </w:rPr>
        <w:t>, por su propia naturaleza,</w:t>
      </w:r>
      <w:r w:rsidRPr="008073AC">
        <w:rPr>
          <w:rFonts w:ascii="Cambria" w:eastAsia="Batang" w:hAnsi="Cambria" w:cs="Times New Roman"/>
          <w:color w:val="000000"/>
          <w:sz w:val="21"/>
          <w:szCs w:val="21"/>
          <w:lang w:val="es-ES"/>
        </w:rPr>
        <w:t xml:space="preserve"> la máxima situación de </w:t>
      </w:r>
      <w:proofErr w:type="spellStart"/>
      <w:r w:rsidRPr="008073AC">
        <w:rPr>
          <w:rFonts w:ascii="Cambria" w:eastAsia="Batang" w:hAnsi="Cambria" w:cs="Times New Roman"/>
          <w:color w:val="000000"/>
          <w:sz w:val="21"/>
          <w:szCs w:val="21"/>
          <w:lang w:val="es-ES"/>
        </w:rPr>
        <w:t>irreparabilidad</w:t>
      </w:r>
      <w:proofErr w:type="spellEnd"/>
      <w:r w:rsidRPr="008073AC">
        <w:rPr>
          <w:rFonts w:ascii="Cambria" w:eastAsia="Batang" w:hAnsi="Cambria" w:cs="Times New Roman"/>
          <w:color w:val="000000"/>
          <w:sz w:val="21"/>
          <w:szCs w:val="21"/>
          <w:lang w:val="es-ES"/>
        </w:rPr>
        <w:t>.</w:t>
      </w:r>
    </w:p>
    <w:p w14:paraId="6D8344F0" w14:textId="77777777" w:rsidR="004F44FB" w:rsidRPr="008073AC" w:rsidRDefault="004F44FB" w:rsidP="008073AC">
      <w:pPr>
        <w:spacing w:after="0" w:line="240" w:lineRule="auto"/>
        <w:ind w:firstLine="360"/>
        <w:jc w:val="both"/>
        <w:rPr>
          <w:rFonts w:ascii="Cambria" w:eastAsia="Batang" w:hAnsi="Cambria" w:cs="Times New Roman"/>
          <w:color w:val="000000"/>
          <w:sz w:val="21"/>
          <w:szCs w:val="21"/>
          <w:lang w:val="es-ES"/>
        </w:rPr>
      </w:pPr>
    </w:p>
    <w:p w14:paraId="5FF8A4A5" w14:textId="21FEEE6F" w:rsidR="00267616" w:rsidRPr="008073AC" w:rsidRDefault="00E301A9" w:rsidP="008073AC">
      <w:pPr>
        <w:numPr>
          <w:ilvl w:val="0"/>
          <w:numId w:val="3"/>
        </w:numPr>
        <w:spacing w:after="0" w:line="240" w:lineRule="auto"/>
        <w:ind w:left="0" w:firstLine="360"/>
        <w:jc w:val="both"/>
        <w:rPr>
          <w:rFonts w:ascii="Cambria" w:eastAsia="Batang" w:hAnsi="Cambria" w:cs="Times New Roman"/>
          <w:color w:val="000000"/>
          <w:sz w:val="21"/>
          <w:szCs w:val="21"/>
        </w:rPr>
      </w:pPr>
      <w:r w:rsidRPr="008073AC">
        <w:rPr>
          <w:rFonts w:ascii="Cambria" w:eastAsia="Batang" w:hAnsi="Cambria" w:cs="Times New Roman"/>
          <w:color w:val="000000"/>
          <w:sz w:val="21"/>
          <w:szCs w:val="21"/>
          <w:lang w:val="es-ES"/>
        </w:rPr>
        <w:t xml:space="preserve">Por </w:t>
      </w:r>
      <w:r w:rsidR="00BF5492" w:rsidRPr="008073AC">
        <w:rPr>
          <w:rFonts w:ascii="Cambria" w:eastAsia="Batang" w:hAnsi="Cambria" w:cs="Times New Roman"/>
          <w:color w:val="000000"/>
          <w:sz w:val="21"/>
          <w:szCs w:val="21"/>
          <w:lang w:val="es-ES"/>
        </w:rPr>
        <w:t>último</w:t>
      </w:r>
      <w:r w:rsidRPr="008073AC">
        <w:rPr>
          <w:rFonts w:ascii="Cambria" w:eastAsia="Batang" w:hAnsi="Cambria" w:cs="Times New Roman"/>
          <w:color w:val="000000"/>
          <w:sz w:val="21"/>
          <w:szCs w:val="21"/>
          <w:lang w:val="es-ES"/>
        </w:rPr>
        <w:t xml:space="preserve">, </w:t>
      </w:r>
      <w:r w:rsidR="00BF5492" w:rsidRPr="008073AC">
        <w:rPr>
          <w:rFonts w:ascii="Cambria" w:eastAsia="Batang" w:hAnsi="Cambria" w:cs="Times New Roman"/>
          <w:color w:val="000000"/>
          <w:sz w:val="21"/>
          <w:szCs w:val="21"/>
          <w:lang w:val="es-ES"/>
        </w:rPr>
        <w:t xml:space="preserve">atendiendo a las circunstancias en las cuales habrían ocurrido los hechos mencionados y el contexto particular </w:t>
      </w:r>
      <w:r w:rsidR="004A709A" w:rsidRPr="008073AC">
        <w:rPr>
          <w:rFonts w:ascii="Cambria" w:eastAsia="Batang" w:hAnsi="Cambria" w:cs="Times New Roman"/>
          <w:color w:val="000000"/>
          <w:sz w:val="21"/>
          <w:szCs w:val="21"/>
          <w:lang w:val="es-ES"/>
        </w:rPr>
        <w:t>(</w:t>
      </w:r>
      <w:r w:rsidR="004A709A" w:rsidRPr="008073AC">
        <w:rPr>
          <w:rFonts w:ascii="Cambria" w:eastAsia="Batang" w:hAnsi="Cambria" w:cs="Times New Roman"/>
          <w:i/>
          <w:color w:val="000000"/>
          <w:sz w:val="21"/>
          <w:szCs w:val="21"/>
          <w:lang w:val="es-ES"/>
        </w:rPr>
        <w:t>vid</w:t>
      </w:r>
      <w:r w:rsidR="004A709A" w:rsidRPr="008073AC">
        <w:rPr>
          <w:rFonts w:ascii="Cambria" w:eastAsia="Batang" w:hAnsi="Cambria" w:cs="Times New Roman"/>
          <w:color w:val="000000"/>
          <w:sz w:val="21"/>
          <w:szCs w:val="21"/>
          <w:lang w:val="es-ES"/>
        </w:rPr>
        <w:t xml:space="preserve">. </w:t>
      </w:r>
      <w:r w:rsidR="004A709A" w:rsidRPr="008073AC">
        <w:rPr>
          <w:rFonts w:ascii="Cambria" w:eastAsia="Batang" w:hAnsi="Cambria" w:cs="Times New Roman"/>
          <w:i/>
          <w:color w:val="000000"/>
          <w:sz w:val="21"/>
          <w:szCs w:val="21"/>
          <w:lang w:val="es-ES"/>
        </w:rPr>
        <w:t>supra</w:t>
      </w:r>
      <w:r w:rsidR="004A709A" w:rsidRPr="008073AC">
        <w:rPr>
          <w:rFonts w:ascii="Cambria" w:eastAsia="Batang" w:hAnsi="Cambria" w:cs="Times New Roman"/>
          <w:color w:val="000000"/>
          <w:sz w:val="21"/>
          <w:szCs w:val="21"/>
          <w:lang w:val="es-ES"/>
        </w:rPr>
        <w:t xml:space="preserve"> párr. </w:t>
      </w:r>
      <w:r w:rsidR="009D5837" w:rsidRPr="008073AC">
        <w:rPr>
          <w:rFonts w:ascii="Cambria" w:eastAsia="Batang" w:hAnsi="Cambria" w:cs="Times New Roman"/>
          <w:color w:val="000000"/>
          <w:sz w:val="21"/>
          <w:szCs w:val="21"/>
          <w:lang w:val="es-ES"/>
        </w:rPr>
        <w:t>5 y 9</w:t>
      </w:r>
      <w:r w:rsidR="004A709A" w:rsidRPr="008073AC">
        <w:rPr>
          <w:rFonts w:ascii="Cambria" w:eastAsia="Batang" w:hAnsi="Cambria" w:cs="Times New Roman"/>
          <w:color w:val="000000"/>
          <w:sz w:val="21"/>
          <w:szCs w:val="21"/>
          <w:lang w:val="es-ES"/>
        </w:rPr>
        <w:t xml:space="preserve">), </w:t>
      </w:r>
      <w:r w:rsidRPr="008073AC">
        <w:rPr>
          <w:rFonts w:ascii="Cambria" w:eastAsia="Batang" w:hAnsi="Cambria" w:cs="Times New Roman"/>
          <w:color w:val="000000"/>
          <w:sz w:val="21"/>
          <w:szCs w:val="21"/>
          <w:lang w:val="es-ES"/>
        </w:rPr>
        <w:t xml:space="preserve">la Comisión recuerda que </w:t>
      </w:r>
      <w:r w:rsidR="001C0836" w:rsidRPr="008073AC">
        <w:rPr>
          <w:rFonts w:ascii="Cambria" w:eastAsia="Batang" w:hAnsi="Cambria" w:cs="Times New Roman"/>
          <w:color w:val="000000"/>
          <w:sz w:val="21"/>
          <w:szCs w:val="21"/>
          <w:lang w:val="es-ES"/>
        </w:rPr>
        <w:t>“</w:t>
      </w:r>
      <w:r w:rsidR="00112A96" w:rsidRPr="008073AC">
        <w:rPr>
          <w:rFonts w:ascii="Cambria" w:eastAsia="Batang" w:hAnsi="Cambria" w:cs="Times New Roman"/>
          <w:color w:val="000000"/>
          <w:sz w:val="21"/>
          <w:szCs w:val="21"/>
          <w:lang w:val="es-ES"/>
        </w:rPr>
        <w:t>históricamente los pueblos indígenas y tribales han sido sujetos a condiciones de marginación y discriminación</w:t>
      </w:r>
      <w:r w:rsidR="001C0836" w:rsidRPr="008073AC">
        <w:rPr>
          <w:rFonts w:ascii="Cambria" w:eastAsia="Batang" w:hAnsi="Cambria" w:cs="Times New Roman"/>
          <w:color w:val="000000"/>
          <w:sz w:val="21"/>
          <w:szCs w:val="21"/>
          <w:lang w:val="es-ES"/>
        </w:rPr>
        <w:t>”</w:t>
      </w:r>
      <w:r w:rsidR="00112A96" w:rsidRPr="008073AC">
        <w:rPr>
          <w:rFonts w:ascii="Cambria" w:eastAsia="Batang" w:hAnsi="Cambria" w:cs="Times New Roman"/>
          <w:color w:val="000000"/>
          <w:sz w:val="21"/>
          <w:szCs w:val="21"/>
          <w:lang w:val="es-ES"/>
        </w:rPr>
        <w:t>, por lo que reitera que</w:t>
      </w:r>
      <w:r w:rsidR="001C0836" w:rsidRPr="008073AC">
        <w:rPr>
          <w:rFonts w:ascii="Cambria" w:eastAsia="Batang" w:hAnsi="Cambria" w:cs="Times New Roman"/>
          <w:color w:val="000000"/>
          <w:sz w:val="21"/>
          <w:szCs w:val="21"/>
          <w:lang w:val="es-ES"/>
        </w:rPr>
        <w:t xml:space="preserve"> “</w:t>
      </w:r>
      <w:r w:rsidR="001C0836" w:rsidRPr="008073AC">
        <w:rPr>
          <w:rFonts w:ascii="Cambria" w:eastAsia="Batang" w:hAnsi="Cambria" w:cs="Times New Roman"/>
          <w:color w:val="000000"/>
          <w:sz w:val="21"/>
          <w:szCs w:val="21"/>
        </w:rPr>
        <w:t>[d]entro del derecho internacional en general, y en el derecho interamericano específicamente, se requiere de protección especial para que los pueblos indígenas puedan ejercer sus derechos plena y equitativamente con el resto de la población. Además, quizá sea necesario establecer medidas especiales de protección para los pueblos indígenas a fin de garantizar su su</w:t>
      </w:r>
      <w:r w:rsidR="001762A3">
        <w:rPr>
          <w:rFonts w:ascii="Cambria" w:eastAsia="Batang" w:hAnsi="Cambria" w:cs="Times New Roman"/>
          <w:color w:val="000000"/>
          <w:sz w:val="21"/>
          <w:szCs w:val="21"/>
        </w:rPr>
        <w:t>pervivencia física y cultural -</w:t>
      </w:r>
      <w:r w:rsidR="001C0836" w:rsidRPr="008073AC">
        <w:rPr>
          <w:rFonts w:ascii="Cambria" w:eastAsia="Batang" w:hAnsi="Cambria" w:cs="Times New Roman"/>
          <w:color w:val="000000"/>
          <w:sz w:val="21"/>
          <w:szCs w:val="21"/>
        </w:rPr>
        <w:t>un derecho protegido en varios instrumentos y convenciones internacionales”</w:t>
      </w:r>
      <w:r w:rsidR="001C0836" w:rsidRPr="008073AC">
        <w:rPr>
          <w:rStyle w:val="FootnoteReference"/>
          <w:rFonts w:ascii="Cambria" w:eastAsia="Batang" w:hAnsi="Cambria" w:cs="Times New Roman"/>
          <w:color w:val="000000"/>
          <w:sz w:val="21"/>
          <w:szCs w:val="21"/>
        </w:rPr>
        <w:footnoteReference w:id="5"/>
      </w:r>
      <w:r w:rsidR="00B63E30" w:rsidRPr="008073AC">
        <w:rPr>
          <w:rFonts w:ascii="Cambria" w:eastAsia="Batang" w:hAnsi="Cambria" w:cs="Times New Roman"/>
          <w:color w:val="000000"/>
          <w:sz w:val="21"/>
          <w:szCs w:val="21"/>
        </w:rPr>
        <w:t>.</w:t>
      </w:r>
      <w:r w:rsidR="00B32CB4" w:rsidRPr="008073AC">
        <w:rPr>
          <w:rFonts w:ascii="Cambria" w:eastAsia="Batang" w:hAnsi="Cambria" w:cs="Times New Roman"/>
          <w:color w:val="000000"/>
          <w:sz w:val="21"/>
          <w:szCs w:val="21"/>
        </w:rPr>
        <w:t xml:space="preserve"> Lo anterior es particularmente </w:t>
      </w:r>
      <w:r w:rsidR="00BE6DC4" w:rsidRPr="008073AC">
        <w:rPr>
          <w:rFonts w:ascii="Cambria" w:eastAsia="Batang" w:hAnsi="Cambria" w:cs="Times New Roman"/>
          <w:color w:val="000000"/>
          <w:sz w:val="21"/>
          <w:szCs w:val="21"/>
        </w:rPr>
        <w:t>grave</w:t>
      </w:r>
      <w:r w:rsidR="00B32CB4" w:rsidRPr="008073AC">
        <w:rPr>
          <w:rFonts w:ascii="Cambria" w:eastAsia="Batang" w:hAnsi="Cambria" w:cs="Times New Roman"/>
          <w:color w:val="000000"/>
          <w:sz w:val="21"/>
          <w:szCs w:val="21"/>
        </w:rPr>
        <w:t xml:space="preserve"> en el contexto de conflictos </w:t>
      </w:r>
      <w:r w:rsidR="00BE6DC4" w:rsidRPr="008073AC">
        <w:rPr>
          <w:rFonts w:ascii="Cambria" w:eastAsia="Batang" w:hAnsi="Cambria" w:cs="Times New Roman"/>
          <w:color w:val="000000"/>
          <w:sz w:val="21"/>
          <w:szCs w:val="21"/>
        </w:rPr>
        <w:t xml:space="preserve">que enfrentan los pueblos indígenas en el </w:t>
      </w:r>
      <w:r w:rsidR="00057212" w:rsidRPr="008073AC">
        <w:rPr>
          <w:rFonts w:ascii="Cambria" w:eastAsia="Batang" w:hAnsi="Cambria" w:cs="Times New Roman"/>
          <w:color w:val="000000"/>
          <w:sz w:val="21"/>
          <w:szCs w:val="21"/>
        </w:rPr>
        <w:t>marco</w:t>
      </w:r>
      <w:r w:rsidR="00BE6DC4" w:rsidRPr="008073AC">
        <w:rPr>
          <w:rFonts w:ascii="Cambria" w:eastAsia="Batang" w:hAnsi="Cambria" w:cs="Times New Roman"/>
          <w:color w:val="000000"/>
          <w:sz w:val="21"/>
          <w:szCs w:val="21"/>
        </w:rPr>
        <w:t xml:space="preserve"> de </w:t>
      </w:r>
      <w:r w:rsidR="00057212" w:rsidRPr="008073AC">
        <w:rPr>
          <w:rFonts w:ascii="Cambria" w:eastAsia="Batang" w:hAnsi="Cambria" w:cs="Times New Roman"/>
          <w:color w:val="000000"/>
          <w:sz w:val="21"/>
          <w:szCs w:val="21"/>
        </w:rPr>
        <w:t>procesos de</w:t>
      </w:r>
      <w:r w:rsidR="00BE6DC4" w:rsidRPr="008073AC">
        <w:rPr>
          <w:rFonts w:ascii="Cambria" w:eastAsia="Batang" w:hAnsi="Cambria" w:cs="Times New Roman"/>
          <w:color w:val="000000"/>
          <w:sz w:val="21"/>
          <w:szCs w:val="21"/>
        </w:rPr>
        <w:t xml:space="preserve"> reivindicación de derechos sobre tierras</w:t>
      </w:r>
      <w:r w:rsidR="00E95C41" w:rsidRPr="008073AC">
        <w:rPr>
          <w:rFonts w:ascii="Cambria" w:eastAsia="Batang" w:hAnsi="Cambria" w:cs="Times New Roman"/>
          <w:color w:val="000000"/>
          <w:sz w:val="21"/>
          <w:szCs w:val="21"/>
        </w:rPr>
        <w:t>, territorios</w:t>
      </w:r>
      <w:r w:rsidR="00BE6DC4" w:rsidRPr="008073AC">
        <w:rPr>
          <w:rFonts w:ascii="Cambria" w:eastAsia="Batang" w:hAnsi="Cambria" w:cs="Times New Roman"/>
          <w:color w:val="000000"/>
          <w:sz w:val="21"/>
          <w:szCs w:val="21"/>
        </w:rPr>
        <w:t xml:space="preserve"> y re</w:t>
      </w:r>
      <w:r w:rsidR="001762A3">
        <w:rPr>
          <w:rFonts w:ascii="Cambria" w:eastAsia="Batang" w:hAnsi="Cambria" w:cs="Times New Roman"/>
          <w:color w:val="000000"/>
          <w:sz w:val="21"/>
          <w:szCs w:val="21"/>
        </w:rPr>
        <w:t>cursos naturales tradicionales.</w:t>
      </w:r>
    </w:p>
    <w:p w14:paraId="60D138B6" w14:textId="77777777" w:rsidR="0070087B" w:rsidRPr="008073AC" w:rsidRDefault="0070087B" w:rsidP="008073AC">
      <w:pPr>
        <w:spacing w:after="0" w:line="240" w:lineRule="auto"/>
        <w:ind w:firstLine="360"/>
        <w:jc w:val="both"/>
        <w:rPr>
          <w:rFonts w:ascii="Cambria" w:eastAsia="Calibri" w:hAnsi="Cambria" w:cs="Times New Roman"/>
          <w:sz w:val="21"/>
          <w:szCs w:val="21"/>
          <w:lang w:val="es-ES"/>
        </w:rPr>
      </w:pPr>
    </w:p>
    <w:p w14:paraId="55799819" w14:textId="77777777" w:rsidR="0070087B" w:rsidRPr="008073AC" w:rsidRDefault="00415C6B" w:rsidP="008073AC">
      <w:pPr>
        <w:numPr>
          <w:ilvl w:val="0"/>
          <w:numId w:val="2"/>
        </w:numPr>
        <w:spacing w:after="0" w:line="240" w:lineRule="auto"/>
        <w:ind w:left="0" w:firstLine="360"/>
        <w:jc w:val="both"/>
        <w:rPr>
          <w:rFonts w:ascii="Cambria" w:eastAsia="Batang" w:hAnsi="Cambria" w:cs="Times New Roman"/>
          <w:b/>
          <w:color w:val="000000"/>
          <w:sz w:val="21"/>
          <w:szCs w:val="21"/>
          <w:lang w:val="es-ES"/>
        </w:rPr>
      </w:pPr>
      <w:r w:rsidRPr="008073AC">
        <w:rPr>
          <w:rFonts w:ascii="Cambria" w:eastAsia="Batang" w:hAnsi="Cambria" w:cs="Times New Roman"/>
          <w:b/>
          <w:color w:val="000000"/>
          <w:sz w:val="21"/>
          <w:szCs w:val="21"/>
          <w:lang w:val="es-ES"/>
        </w:rPr>
        <w:t xml:space="preserve">PERSONAS </w:t>
      </w:r>
      <w:r w:rsidR="0070087B" w:rsidRPr="008073AC">
        <w:rPr>
          <w:rFonts w:ascii="Cambria" w:eastAsia="Batang" w:hAnsi="Cambria" w:cs="Times New Roman"/>
          <w:b/>
          <w:color w:val="000000"/>
          <w:sz w:val="21"/>
          <w:szCs w:val="21"/>
          <w:lang w:val="es-ES"/>
        </w:rPr>
        <w:t>BENEFICIARIA</w:t>
      </w:r>
      <w:r w:rsidRPr="008073AC">
        <w:rPr>
          <w:rFonts w:ascii="Cambria" w:eastAsia="Batang" w:hAnsi="Cambria" w:cs="Times New Roman"/>
          <w:b/>
          <w:color w:val="000000"/>
          <w:sz w:val="21"/>
          <w:szCs w:val="21"/>
          <w:lang w:val="es-ES"/>
        </w:rPr>
        <w:t>S</w:t>
      </w:r>
    </w:p>
    <w:p w14:paraId="34CCEC32" w14:textId="77777777" w:rsidR="0070087B" w:rsidRPr="008073AC" w:rsidRDefault="0070087B" w:rsidP="008073AC">
      <w:pPr>
        <w:spacing w:after="0" w:line="240" w:lineRule="auto"/>
        <w:ind w:firstLine="360"/>
        <w:jc w:val="both"/>
        <w:rPr>
          <w:rFonts w:ascii="Cambria" w:eastAsia="Batang" w:hAnsi="Cambria" w:cs="Times New Roman"/>
          <w:b/>
          <w:color w:val="000000"/>
          <w:sz w:val="21"/>
          <w:szCs w:val="21"/>
          <w:lang w:val="es-ES"/>
        </w:rPr>
      </w:pPr>
    </w:p>
    <w:p w14:paraId="348E1055" w14:textId="2335DA6D" w:rsidR="0070087B" w:rsidRPr="008073AC" w:rsidRDefault="0070087B" w:rsidP="008073AC">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8073AC">
        <w:rPr>
          <w:rFonts w:ascii="Cambria" w:eastAsia="Batang" w:hAnsi="Cambria" w:cs="Times New Roman"/>
          <w:color w:val="000000"/>
          <w:sz w:val="21"/>
          <w:szCs w:val="21"/>
          <w:lang w:val="es-ES"/>
        </w:rPr>
        <w:t>La Comisión declara que la</w:t>
      </w:r>
      <w:r w:rsidR="001F1EB9" w:rsidRPr="008073AC">
        <w:rPr>
          <w:rFonts w:ascii="Cambria" w:eastAsia="Batang" w:hAnsi="Cambria" w:cs="Times New Roman"/>
          <w:color w:val="000000"/>
          <w:sz w:val="21"/>
          <w:szCs w:val="21"/>
          <w:lang w:val="es-ES"/>
        </w:rPr>
        <w:t>s personas</w:t>
      </w:r>
      <w:r w:rsidRPr="008073AC">
        <w:rPr>
          <w:rFonts w:ascii="Cambria" w:eastAsia="Batang" w:hAnsi="Cambria" w:cs="Times New Roman"/>
          <w:color w:val="000000"/>
          <w:sz w:val="21"/>
          <w:szCs w:val="21"/>
          <w:lang w:val="es-ES"/>
        </w:rPr>
        <w:t xml:space="preserve"> beneficiaria</w:t>
      </w:r>
      <w:r w:rsidR="001F1EB9" w:rsidRPr="008073AC">
        <w:rPr>
          <w:rFonts w:ascii="Cambria" w:eastAsia="Batang" w:hAnsi="Cambria" w:cs="Times New Roman"/>
          <w:color w:val="000000"/>
          <w:sz w:val="21"/>
          <w:szCs w:val="21"/>
          <w:lang w:val="es-ES"/>
        </w:rPr>
        <w:t>s</w:t>
      </w:r>
      <w:r w:rsidRPr="008073AC">
        <w:rPr>
          <w:rFonts w:ascii="Cambria" w:eastAsia="Batang" w:hAnsi="Cambria" w:cs="Times New Roman"/>
          <w:color w:val="000000"/>
          <w:sz w:val="21"/>
          <w:szCs w:val="21"/>
          <w:lang w:val="es-ES"/>
        </w:rPr>
        <w:t xml:space="preserve"> de la presente medida cautelar </w:t>
      </w:r>
      <w:r w:rsidR="001F1EB9" w:rsidRPr="008073AC">
        <w:rPr>
          <w:rFonts w:ascii="Cambria" w:eastAsia="Batang" w:hAnsi="Cambria" w:cs="Times New Roman"/>
          <w:color w:val="000000"/>
          <w:sz w:val="21"/>
          <w:szCs w:val="21"/>
          <w:lang w:val="es-ES"/>
        </w:rPr>
        <w:t xml:space="preserve">son los miembros de la </w:t>
      </w:r>
      <w:r w:rsidR="001F1EB9" w:rsidRPr="008073AC">
        <w:rPr>
          <w:rFonts w:ascii="Cambria" w:eastAsia="Batang" w:hAnsi="Cambria" w:cs="Times New Roman"/>
          <w:color w:val="000000"/>
          <w:sz w:val="21"/>
          <w:szCs w:val="21"/>
        </w:rPr>
        <w:t xml:space="preserve">Comunidad Mapuche </w:t>
      </w:r>
      <w:proofErr w:type="spellStart"/>
      <w:r w:rsidR="001F1EB9" w:rsidRPr="008073AC">
        <w:rPr>
          <w:rFonts w:ascii="Cambria" w:eastAsia="Batang" w:hAnsi="Cambria" w:cs="Times New Roman"/>
          <w:color w:val="000000"/>
          <w:sz w:val="21"/>
          <w:szCs w:val="21"/>
        </w:rPr>
        <w:t>Lof</w:t>
      </w:r>
      <w:proofErr w:type="spellEnd"/>
      <w:r w:rsidR="001F1EB9" w:rsidRPr="008073AC">
        <w:rPr>
          <w:rFonts w:ascii="Cambria" w:eastAsia="Batang" w:hAnsi="Cambria" w:cs="Times New Roman"/>
          <w:color w:val="000000"/>
          <w:sz w:val="21"/>
          <w:szCs w:val="21"/>
        </w:rPr>
        <w:t xml:space="preserve"> </w:t>
      </w:r>
      <w:proofErr w:type="spellStart"/>
      <w:r w:rsidR="001F1EB9" w:rsidRPr="008073AC">
        <w:rPr>
          <w:rFonts w:ascii="Cambria" w:eastAsia="Batang" w:hAnsi="Cambria" w:cs="Times New Roman"/>
          <w:color w:val="000000"/>
          <w:sz w:val="21"/>
          <w:szCs w:val="21"/>
        </w:rPr>
        <w:t>Buenuleo</w:t>
      </w:r>
      <w:proofErr w:type="spellEnd"/>
      <w:r w:rsidR="00BF578E" w:rsidRPr="008073AC">
        <w:rPr>
          <w:rFonts w:ascii="Cambria" w:eastAsia="Batang" w:hAnsi="Cambria" w:cs="Times New Roman"/>
          <w:color w:val="000000"/>
          <w:sz w:val="21"/>
          <w:szCs w:val="21"/>
        </w:rPr>
        <w:t xml:space="preserve">, </w:t>
      </w:r>
      <w:r w:rsidR="007D4AA6" w:rsidRPr="008073AC">
        <w:rPr>
          <w:rFonts w:ascii="Cambria" w:eastAsia="Batang" w:hAnsi="Cambria" w:cs="Times New Roman"/>
          <w:color w:val="000000"/>
          <w:sz w:val="21"/>
          <w:szCs w:val="21"/>
        </w:rPr>
        <w:t>quienes son determinables de acuerdo con el artículo 25</w:t>
      </w:r>
      <w:r w:rsidR="001F1EB9" w:rsidRPr="008073AC">
        <w:rPr>
          <w:rFonts w:ascii="Cambria" w:eastAsia="Batang" w:hAnsi="Cambria" w:cs="Times New Roman"/>
          <w:color w:val="000000"/>
          <w:sz w:val="21"/>
          <w:szCs w:val="21"/>
          <w:lang w:val="es-ES"/>
        </w:rPr>
        <w:t>.</w:t>
      </w:r>
      <w:r w:rsidR="007D4AA6" w:rsidRPr="008073AC">
        <w:rPr>
          <w:rFonts w:ascii="Cambria" w:eastAsia="Batang" w:hAnsi="Cambria" w:cs="Times New Roman"/>
          <w:color w:val="000000"/>
          <w:sz w:val="21"/>
          <w:szCs w:val="21"/>
          <w:lang w:val="es-ES"/>
        </w:rPr>
        <w:t>3 del Reglamento.</w:t>
      </w:r>
    </w:p>
    <w:p w14:paraId="4915625F" w14:textId="77777777" w:rsidR="0070087B" w:rsidRPr="008073AC" w:rsidRDefault="0070087B" w:rsidP="008073AC">
      <w:pPr>
        <w:spacing w:after="0" w:line="240" w:lineRule="auto"/>
        <w:ind w:firstLine="360"/>
        <w:jc w:val="both"/>
        <w:rPr>
          <w:rFonts w:ascii="Cambria" w:eastAsia="Batang" w:hAnsi="Cambria" w:cs="Times New Roman"/>
          <w:color w:val="000000"/>
          <w:sz w:val="21"/>
          <w:szCs w:val="21"/>
          <w:lang w:val="es-ES"/>
        </w:rPr>
      </w:pPr>
    </w:p>
    <w:p w14:paraId="546BBA04" w14:textId="77777777" w:rsidR="0070087B" w:rsidRPr="008073AC" w:rsidRDefault="0070087B" w:rsidP="008073AC">
      <w:pPr>
        <w:numPr>
          <w:ilvl w:val="0"/>
          <w:numId w:val="2"/>
        </w:numPr>
        <w:spacing w:after="0" w:line="240" w:lineRule="auto"/>
        <w:ind w:left="0" w:firstLine="360"/>
        <w:jc w:val="both"/>
        <w:rPr>
          <w:rFonts w:ascii="Cambria" w:eastAsia="Batang" w:hAnsi="Cambria" w:cs="Times New Roman"/>
          <w:b/>
          <w:color w:val="000000"/>
          <w:sz w:val="21"/>
          <w:szCs w:val="21"/>
          <w:lang w:val="es-ES"/>
        </w:rPr>
      </w:pPr>
      <w:r w:rsidRPr="008073AC">
        <w:rPr>
          <w:rFonts w:ascii="Cambria" w:eastAsia="Batang" w:hAnsi="Cambria" w:cs="Times New Roman"/>
          <w:b/>
          <w:color w:val="000000"/>
          <w:sz w:val="21"/>
          <w:szCs w:val="21"/>
          <w:lang w:val="es-ES"/>
        </w:rPr>
        <w:t xml:space="preserve">DECISIÓN </w:t>
      </w:r>
    </w:p>
    <w:p w14:paraId="43CC0DAF" w14:textId="77777777" w:rsidR="0070087B" w:rsidRPr="008073AC" w:rsidRDefault="0070087B" w:rsidP="008073AC">
      <w:pPr>
        <w:spacing w:after="0" w:line="240" w:lineRule="auto"/>
        <w:ind w:firstLine="360"/>
        <w:jc w:val="both"/>
        <w:rPr>
          <w:rFonts w:ascii="Cambria" w:eastAsia="Batang" w:hAnsi="Cambria" w:cs="Times New Roman"/>
          <w:b/>
          <w:color w:val="000000"/>
          <w:sz w:val="21"/>
          <w:szCs w:val="21"/>
          <w:lang w:val="es-ES"/>
        </w:rPr>
      </w:pPr>
    </w:p>
    <w:p w14:paraId="0635D170" w14:textId="4AC7A66A" w:rsidR="0070087B" w:rsidRPr="008073AC" w:rsidRDefault="0070087B" w:rsidP="008073AC">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8073AC">
        <w:rPr>
          <w:rFonts w:ascii="Cambria" w:eastAsia="Batang" w:hAnsi="Cambria" w:cs="Times New Roman"/>
          <w:color w:val="000000"/>
          <w:sz w:val="21"/>
          <w:szCs w:val="21"/>
          <w:lang w:val="es-ES"/>
        </w:rPr>
        <w:t xml:space="preserve">En vista de los antecedentes señalados, la CIDH considera que el presente asunto reúne </w:t>
      </w:r>
      <w:r w:rsidRPr="008073AC">
        <w:rPr>
          <w:rFonts w:ascii="Cambria" w:eastAsia="Batang" w:hAnsi="Cambria" w:cs="Times New Roman"/>
          <w:i/>
          <w:color w:val="000000"/>
          <w:sz w:val="21"/>
          <w:szCs w:val="21"/>
          <w:lang w:val="es-ES"/>
        </w:rPr>
        <w:t>prima facie</w:t>
      </w:r>
      <w:r w:rsidRPr="008073AC">
        <w:rPr>
          <w:rFonts w:ascii="Cambria" w:eastAsia="Batang" w:hAnsi="Cambria" w:cs="Times New Roman"/>
          <w:color w:val="000000"/>
          <w:sz w:val="21"/>
          <w:szCs w:val="21"/>
          <w:lang w:val="es-ES"/>
        </w:rPr>
        <w:t xml:space="preserve"> los </w:t>
      </w:r>
      <w:r w:rsidRPr="008073AC">
        <w:rPr>
          <w:rFonts w:ascii="Cambria" w:eastAsia="Batang" w:hAnsi="Cambria" w:cs="Times New Roman"/>
          <w:color w:val="000000"/>
          <w:sz w:val="21"/>
          <w:szCs w:val="21"/>
        </w:rPr>
        <w:t>requisitos</w:t>
      </w:r>
      <w:r w:rsidRPr="008073AC">
        <w:rPr>
          <w:rFonts w:ascii="Cambria" w:eastAsia="Batang" w:hAnsi="Cambria" w:cs="Times New Roman"/>
          <w:color w:val="000000"/>
          <w:sz w:val="21"/>
          <w:szCs w:val="21"/>
          <w:lang w:val="es-ES"/>
        </w:rPr>
        <w:t xml:space="preserve"> de gravedad, urgencia e </w:t>
      </w:r>
      <w:proofErr w:type="spellStart"/>
      <w:r w:rsidRPr="008073AC">
        <w:rPr>
          <w:rFonts w:ascii="Cambria" w:eastAsia="Batang" w:hAnsi="Cambria" w:cs="Times New Roman"/>
          <w:color w:val="000000"/>
          <w:sz w:val="21"/>
          <w:szCs w:val="21"/>
          <w:lang w:val="es-ES"/>
        </w:rPr>
        <w:t>irreparabilidad</w:t>
      </w:r>
      <w:proofErr w:type="spellEnd"/>
      <w:r w:rsidRPr="008073AC">
        <w:rPr>
          <w:rFonts w:ascii="Cambria" w:eastAsia="Batang" w:hAnsi="Cambria" w:cs="Times New Roman"/>
          <w:color w:val="000000"/>
          <w:sz w:val="21"/>
          <w:szCs w:val="21"/>
          <w:lang w:val="es-ES"/>
        </w:rPr>
        <w:t xml:space="preserve"> contenidos en el artículo 25 de su Reglamento. En consecuencia, </w:t>
      </w:r>
      <w:r w:rsidR="00BF5492" w:rsidRPr="008073AC">
        <w:rPr>
          <w:rFonts w:ascii="Cambria" w:eastAsia="Batang" w:hAnsi="Cambria" w:cs="Times New Roman"/>
          <w:color w:val="000000"/>
          <w:sz w:val="21"/>
          <w:szCs w:val="21"/>
          <w:lang w:val="es-ES"/>
        </w:rPr>
        <w:t>esta</w:t>
      </w:r>
      <w:r w:rsidRPr="008073AC">
        <w:rPr>
          <w:rFonts w:ascii="Cambria" w:eastAsia="Batang" w:hAnsi="Cambria" w:cs="Times New Roman"/>
          <w:color w:val="000000"/>
          <w:sz w:val="21"/>
          <w:szCs w:val="21"/>
          <w:lang w:val="es-ES"/>
        </w:rPr>
        <w:t xml:space="preserve"> solicita a Argentina que:</w:t>
      </w:r>
    </w:p>
    <w:p w14:paraId="59B06783" w14:textId="77777777" w:rsidR="0070087B" w:rsidRPr="008073AC" w:rsidRDefault="0070087B" w:rsidP="008073AC">
      <w:pPr>
        <w:spacing w:after="0" w:line="240" w:lineRule="auto"/>
        <w:ind w:firstLine="360"/>
        <w:contextualSpacing/>
        <w:jc w:val="both"/>
        <w:rPr>
          <w:rFonts w:ascii="Cambria" w:eastAsia="Calibri" w:hAnsi="Cambria" w:cs="Times New Roman"/>
          <w:sz w:val="21"/>
          <w:szCs w:val="21"/>
          <w:lang w:val="es-ES"/>
        </w:rPr>
      </w:pPr>
    </w:p>
    <w:p w14:paraId="6DE4B420" w14:textId="6948C60B" w:rsidR="00BF5492" w:rsidRPr="008073AC" w:rsidRDefault="00BF5492" w:rsidP="008073AC">
      <w:pPr>
        <w:pStyle w:val="ListParagraph"/>
        <w:numPr>
          <w:ilvl w:val="0"/>
          <w:numId w:val="15"/>
        </w:numPr>
        <w:spacing w:after="120" w:line="240" w:lineRule="auto"/>
        <w:contextualSpacing w:val="0"/>
        <w:jc w:val="both"/>
        <w:rPr>
          <w:rFonts w:ascii="Cambria" w:eastAsia="Batang" w:hAnsi="Cambria" w:cs="Times New Roman"/>
          <w:color w:val="000000"/>
          <w:sz w:val="21"/>
          <w:szCs w:val="21"/>
          <w:lang w:val="es-ES"/>
        </w:rPr>
      </w:pPr>
      <w:r w:rsidRPr="008073AC">
        <w:rPr>
          <w:rFonts w:ascii="Cambria" w:eastAsia="Batang" w:hAnsi="Cambria" w:cs="Times New Roman"/>
          <w:color w:val="000000"/>
          <w:sz w:val="21"/>
          <w:szCs w:val="21"/>
        </w:rPr>
        <w:t xml:space="preserve">adopte las medidas necesarias </w:t>
      </w:r>
      <w:r w:rsidR="0042726A" w:rsidRPr="008073AC">
        <w:rPr>
          <w:rFonts w:ascii="Cambria" w:eastAsia="Batang" w:hAnsi="Cambria" w:cs="Times New Roman"/>
          <w:color w:val="000000"/>
          <w:sz w:val="21"/>
          <w:szCs w:val="21"/>
        </w:rPr>
        <w:t xml:space="preserve">y </w:t>
      </w:r>
      <w:r w:rsidR="001762A3" w:rsidRPr="008073AC">
        <w:rPr>
          <w:rFonts w:ascii="Cambria" w:eastAsia="Batang" w:hAnsi="Cambria" w:cs="Times New Roman"/>
          <w:color w:val="000000"/>
          <w:sz w:val="21"/>
          <w:szCs w:val="21"/>
        </w:rPr>
        <w:t>culturalmente</w:t>
      </w:r>
      <w:r w:rsidR="0042726A" w:rsidRPr="008073AC">
        <w:rPr>
          <w:rFonts w:ascii="Cambria" w:eastAsia="Batang" w:hAnsi="Cambria" w:cs="Times New Roman"/>
          <w:color w:val="000000"/>
          <w:sz w:val="21"/>
          <w:szCs w:val="21"/>
        </w:rPr>
        <w:t xml:space="preserve"> </w:t>
      </w:r>
      <w:r w:rsidR="00EA5696" w:rsidRPr="008073AC">
        <w:rPr>
          <w:rFonts w:ascii="Cambria" w:eastAsia="Batang" w:hAnsi="Cambria" w:cs="Times New Roman"/>
          <w:color w:val="000000"/>
          <w:sz w:val="21"/>
          <w:szCs w:val="21"/>
        </w:rPr>
        <w:t xml:space="preserve">adecuadas </w:t>
      </w:r>
      <w:r w:rsidRPr="008073AC">
        <w:rPr>
          <w:rFonts w:ascii="Cambria" w:eastAsia="Batang" w:hAnsi="Cambria" w:cs="Times New Roman"/>
          <w:color w:val="000000"/>
          <w:sz w:val="21"/>
          <w:szCs w:val="21"/>
        </w:rPr>
        <w:t>para proteger los derechos a la vida e integridad personal de los miembros de la</w:t>
      </w:r>
      <w:r w:rsidR="007D4AA6" w:rsidRPr="008073AC">
        <w:rPr>
          <w:rFonts w:ascii="Cambria" w:eastAsia="Batang" w:hAnsi="Cambria" w:cs="Times New Roman"/>
          <w:color w:val="000000"/>
          <w:sz w:val="21"/>
          <w:szCs w:val="21"/>
        </w:rPr>
        <w:t xml:space="preserve"> comunidad mapuche </w:t>
      </w:r>
      <w:proofErr w:type="spellStart"/>
      <w:r w:rsidR="007D4AA6" w:rsidRPr="008073AC">
        <w:rPr>
          <w:rFonts w:ascii="Cambria" w:eastAsia="Batang" w:hAnsi="Cambria" w:cs="Times New Roman"/>
          <w:color w:val="000000"/>
          <w:sz w:val="21"/>
          <w:szCs w:val="21"/>
        </w:rPr>
        <w:t>Lof</w:t>
      </w:r>
      <w:proofErr w:type="spellEnd"/>
      <w:r w:rsidR="007D4AA6" w:rsidRPr="008073AC">
        <w:rPr>
          <w:rFonts w:ascii="Cambria" w:eastAsia="Batang" w:hAnsi="Cambria" w:cs="Times New Roman"/>
          <w:color w:val="000000"/>
          <w:sz w:val="21"/>
          <w:szCs w:val="21"/>
        </w:rPr>
        <w:t xml:space="preserve"> </w:t>
      </w:r>
      <w:proofErr w:type="spellStart"/>
      <w:r w:rsidR="007D4AA6" w:rsidRPr="008073AC">
        <w:rPr>
          <w:rFonts w:ascii="Cambria" w:eastAsia="Batang" w:hAnsi="Cambria" w:cs="Times New Roman"/>
          <w:color w:val="000000"/>
          <w:sz w:val="21"/>
          <w:szCs w:val="21"/>
        </w:rPr>
        <w:t>Buenuleo</w:t>
      </w:r>
      <w:proofErr w:type="spellEnd"/>
      <w:r w:rsidRPr="008073AC">
        <w:rPr>
          <w:rFonts w:ascii="Cambria" w:eastAsia="Batang" w:hAnsi="Cambria" w:cs="Times New Roman"/>
          <w:color w:val="000000"/>
          <w:sz w:val="21"/>
          <w:szCs w:val="21"/>
        </w:rPr>
        <w:t>. A tal respecto, la Comisión recuerda que, de conformidad con el derecho internacional de los derechos humanos, las autoridades deben proteger a las personas del accionar cometido incluso por parte de terceros o particulares</w:t>
      </w:r>
      <w:r w:rsidR="00011554" w:rsidRPr="008073AC">
        <w:rPr>
          <w:rFonts w:ascii="Cambria" w:eastAsia="Batang" w:hAnsi="Cambria" w:cs="Times New Roman"/>
          <w:color w:val="000000"/>
          <w:sz w:val="21"/>
          <w:szCs w:val="21"/>
          <w:lang w:val="es-ES"/>
        </w:rPr>
        <w:t>;</w:t>
      </w:r>
    </w:p>
    <w:p w14:paraId="1CB6AEF4" w14:textId="2B457631" w:rsidR="00BF5492" w:rsidRPr="008073AC" w:rsidRDefault="00011554" w:rsidP="008073AC">
      <w:pPr>
        <w:pStyle w:val="ListParagraph"/>
        <w:numPr>
          <w:ilvl w:val="0"/>
          <w:numId w:val="15"/>
        </w:numPr>
        <w:spacing w:after="120" w:line="240" w:lineRule="auto"/>
        <w:contextualSpacing w:val="0"/>
        <w:jc w:val="both"/>
        <w:rPr>
          <w:rFonts w:ascii="Cambria" w:eastAsia="Batang" w:hAnsi="Cambria" w:cs="Times New Roman"/>
          <w:color w:val="000000"/>
          <w:sz w:val="21"/>
          <w:szCs w:val="21"/>
        </w:rPr>
      </w:pPr>
      <w:r w:rsidRPr="008073AC">
        <w:rPr>
          <w:rFonts w:ascii="Cambria" w:eastAsia="Batang" w:hAnsi="Cambria" w:cs="Times New Roman"/>
          <w:color w:val="000000"/>
          <w:sz w:val="21"/>
          <w:szCs w:val="21"/>
        </w:rPr>
        <w:lastRenderedPageBreak/>
        <w:t xml:space="preserve">concierte las medidas a adoptarse con </w:t>
      </w:r>
      <w:r w:rsidR="00F671A7" w:rsidRPr="008073AC">
        <w:rPr>
          <w:rFonts w:ascii="Cambria" w:eastAsia="Batang" w:hAnsi="Cambria" w:cs="Times New Roman"/>
          <w:color w:val="000000"/>
          <w:sz w:val="21"/>
          <w:szCs w:val="21"/>
        </w:rPr>
        <w:t>los</w:t>
      </w:r>
      <w:r w:rsidRPr="008073AC">
        <w:rPr>
          <w:rFonts w:ascii="Cambria" w:eastAsia="Batang" w:hAnsi="Cambria" w:cs="Times New Roman"/>
          <w:color w:val="000000"/>
          <w:sz w:val="21"/>
          <w:szCs w:val="21"/>
        </w:rPr>
        <w:t xml:space="preserve"> beneficiario</w:t>
      </w:r>
      <w:r w:rsidR="00F671A7" w:rsidRPr="008073AC">
        <w:rPr>
          <w:rFonts w:ascii="Cambria" w:eastAsia="Batang" w:hAnsi="Cambria" w:cs="Times New Roman"/>
          <w:color w:val="000000"/>
          <w:sz w:val="21"/>
          <w:szCs w:val="21"/>
        </w:rPr>
        <w:t>s</w:t>
      </w:r>
      <w:r w:rsidRPr="008073AC">
        <w:rPr>
          <w:rFonts w:ascii="Cambria" w:eastAsia="Batang" w:hAnsi="Cambria" w:cs="Times New Roman"/>
          <w:color w:val="000000"/>
          <w:sz w:val="21"/>
          <w:szCs w:val="21"/>
        </w:rPr>
        <w:t xml:space="preserve"> y sus representantes; </w:t>
      </w:r>
      <w:r w:rsidR="00BF5492" w:rsidRPr="008073AC">
        <w:rPr>
          <w:rFonts w:ascii="Cambria" w:eastAsia="Batang" w:hAnsi="Cambria" w:cs="Times New Roman"/>
          <w:color w:val="000000"/>
          <w:sz w:val="21"/>
          <w:szCs w:val="21"/>
        </w:rPr>
        <w:t>y</w:t>
      </w:r>
    </w:p>
    <w:p w14:paraId="6C178DDE" w14:textId="657EC364" w:rsidR="00011554" w:rsidRPr="008073AC" w:rsidRDefault="00011554" w:rsidP="008073AC">
      <w:pPr>
        <w:pStyle w:val="ListParagraph"/>
        <w:numPr>
          <w:ilvl w:val="0"/>
          <w:numId w:val="15"/>
        </w:numPr>
        <w:spacing w:after="120" w:line="240" w:lineRule="auto"/>
        <w:contextualSpacing w:val="0"/>
        <w:jc w:val="both"/>
        <w:rPr>
          <w:rFonts w:ascii="Cambria" w:eastAsia="Batang" w:hAnsi="Cambria" w:cs="Times New Roman"/>
          <w:color w:val="000000"/>
          <w:sz w:val="21"/>
          <w:szCs w:val="21"/>
        </w:rPr>
      </w:pPr>
      <w:r w:rsidRPr="008073AC">
        <w:rPr>
          <w:rFonts w:ascii="Cambria" w:eastAsia="Batang" w:hAnsi="Cambria" w:cs="Times New Roman"/>
          <w:color w:val="000000"/>
          <w:sz w:val="21"/>
          <w:szCs w:val="21"/>
        </w:rPr>
        <w:t>informe sobre las acciones implementadas tendentes a investigar los hechos que dieron lugar a la adopción de la presente medida cautelar y así evitar su repetición.</w:t>
      </w:r>
    </w:p>
    <w:p w14:paraId="5EAA68F2" w14:textId="77777777" w:rsidR="0070087B" w:rsidRPr="008073AC" w:rsidRDefault="0070087B" w:rsidP="008073AC">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8073AC">
        <w:rPr>
          <w:rFonts w:ascii="Cambria" w:eastAsia="Batang" w:hAnsi="Cambria" w:cs="Times New Roman"/>
          <w:color w:val="000000"/>
          <w:sz w:val="21"/>
          <w:szCs w:val="21"/>
          <w:lang w:val="es-ES"/>
        </w:rPr>
        <w:t xml:space="preserve">La Comisión solicita al Gobierno de Su Excelencia que tenga a bien informar a la Comisión, dentro del plazo de </w:t>
      </w:r>
      <w:r w:rsidR="00BF578E" w:rsidRPr="008073AC">
        <w:rPr>
          <w:rFonts w:ascii="Cambria" w:eastAsia="Batang" w:hAnsi="Cambria" w:cs="Times New Roman"/>
          <w:color w:val="000000"/>
          <w:sz w:val="21"/>
          <w:szCs w:val="21"/>
          <w:lang w:val="es-ES"/>
        </w:rPr>
        <w:t>20</w:t>
      </w:r>
      <w:r w:rsidRPr="008073AC">
        <w:rPr>
          <w:rFonts w:ascii="Cambria" w:eastAsia="Batang" w:hAnsi="Cambria" w:cs="Times New Roman"/>
          <w:color w:val="000000"/>
          <w:sz w:val="21"/>
          <w:szCs w:val="21"/>
          <w:lang w:val="es-ES"/>
        </w:rPr>
        <w:t xml:space="preserve"> días contados a partir de la fecha de la presente comunicación, sobre la </w:t>
      </w:r>
      <w:r w:rsidRPr="008073AC">
        <w:rPr>
          <w:rFonts w:ascii="Cambria" w:eastAsia="Batang" w:hAnsi="Cambria" w:cs="Times New Roman"/>
          <w:color w:val="000000"/>
          <w:sz w:val="21"/>
          <w:szCs w:val="21"/>
        </w:rPr>
        <w:t>adopción</w:t>
      </w:r>
      <w:r w:rsidRPr="008073AC">
        <w:rPr>
          <w:rFonts w:ascii="Cambria" w:eastAsia="Batang" w:hAnsi="Cambria" w:cs="Times New Roman"/>
          <w:color w:val="000000"/>
          <w:sz w:val="21"/>
          <w:szCs w:val="21"/>
          <w:lang w:val="es-ES"/>
        </w:rPr>
        <w:t xml:space="preserve"> de las medidas cautelares acordadas y actualizar dicha información en forma periódica.</w:t>
      </w:r>
    </w:p>
    <w:p w14:paraId="4A88E9F3" w14:textId="77777777" w:rsidR="0070087B" w:rsidRPr="008073AC" w:rsidRDefault="0070087B" w:rsidP="008073AC">
      <w:pPr>
        <w:spacing w:after="0" w:line="240" w:lineRule="auto"/>
        <w:ind w:firstLine="360"/>
        <w:jc w:val="both"/>
        <w:rPr>
          <w:rFonts w:ascii="Cambria" w:eastAsia="Batang" w:hAnsi="Cambria" w:cs="Times New Roman"/>
          <w:color w:val="000000"/>
          <w:sz w:val="21"/>
          <w:szCs w:val="21"/>
          <w:lang w:val="es-ES"/>
        </w:rPr>
      </w:pPr>
    </w:p>
    <w:p w14:paraId="0183E78C" w14:textId="77777777" w:rsidR="0070087B" w:rsidRPr="008073AC" w:rsidRDefault="0070087B" w:rsidP="008073AC">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8073AC">
        <w:rPr>
          <w:rFonts w:ascii="Cambria" w:eastAsia="Batang" w:hAnsi="Cambria" w:cs="Times New Roman"/>
          <w:color w:val="000000"/>
          <w:sz w:val="21"/>
          <w:szCs w:val="21"/>
          <w:lang w:val="es-ES"/>
        </w:rPr>
        <w:t xml:space="preserve">La Comisión resalta que, de conformidad con el artículo 25.8 del Reglamento de la Comisión, el otorgamiento de </w:t>
      </w:r>
      <w:r w:rsidRPr="008073AC">
        <w:rPr>
          <w:rFonts w:ascii="Cambria" w:eastAsia="Batang" w:hAnsi="Cambria" w:cs="Times New Roman"/>
          <w:color w:val="000000"/>
          <w:sz w:val="21"/>
          <w:szCs w:val="21"/>
        </w:rPr>
        <w:t>medidas</w:t>
      </w:r>
      <w:r w:rsidRPr="008073AC">
        <w:rPr>
          <w:rFonts w:ascii="Cambria" w:eastAsia="Batang" w:hAnsi="Cambria" w:cs="Times New Roman"/>
          <w:color w:val="000000"/>
          <w:sz w:val="21"/>
          <w:szCs w:val="21"/>
          <w:lang w:val="es-ES"/>
        </w:rPr>
        <w:t xml:space="preserve"> cautelares y su adopción por el Estado no constituyen prejuzgamiento sobre la posible violación de los derechos protegidos en la Convención Americana y otros instrumentos aplicables.</w:t>
      </w:r>
    </w:p>
    <w:p w14:paraId="3C569849" w14:textId="77777777" w:rsidR="0070087B" w:rsidRPr="008073AC" w:rsidRDefault="0070087B" w:rsidP="008073AC">
      <w:pPr>
        <w:spacing w:after="0" w:line="240" w:lineRule="auto"/>
        <w:ind w:firstLine="360"/>
        <w:contextualSpacing/>
        <w:jc w:val="both"/>
        <w:rPr>
          <w:rFonts w:ascii="Cambria" w:eastAsia="Calibri" w:hAnsi="Cambria" w:cs="Times New Roman"/>
          <w:sz w:val="21"/>
          <w:szCs w:val="21"/>
          <w:lang w:val="es-ES"/>
        </w:rPr>
      </w:pPr>
    </w:p>
    <w:p w14:paraId="611D0BB9" w14:textId="77777777" w:rsidR="0070087B" w:rsidRPr="008073AC" w:rsidRDefault="0070087B" w:rsidP="008073AC">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8073AC">
        <w:rPr>
          <w:rFonts w:ascii="Cambria" w:eastAsia="Batang" w:hAnsi="Cambria" w:cs="Times New Roman"/>
          <w:color w:val="000000"/>
          <w:sz w:val="21"/>
          <w:szCs w:val="21"/>
          <w:lang w:val="es-ES"/>
        </w:rPr>
        <w:t>La Comisión instruye a su Secretaría Ejecutiva que notifique la presente Resolución al Estado de Argentina y a los solicitantes.</w:t>
      </w:r>
    </w:p>
    <w:p w14:paraId="3257B065" w14:textId="77777777" w:rsidR="0070087B" w:rsidRPr="008073AC" w:rsidRDefault="0070087B" w:rsidP="008073AC">
      <w:pPr>
        <w:spacing w:after="0" w:line="240" w:lineRule="auto"/>
        <w:ind w:firstLine="360"/>
        <w:jc w:val="both"/>
        <w:rPr>
          <w:rFonts w:ascii="Cambria" w:eastAsia="Batang" w:hAnsi="Cambria" w:cs="Times New Roman"/>
          <w:color w:val="000000"/>
          <w:sz w:val="21"/>
          <w:szCs w:val="21"/>
          <w:lang w:val="es-ES"/>
        </w:rPr>
      </w:pPr>
    </w:p>
    <w:p w14:paraId="6916D3A7" w14:textId="0DADCE62" w:rsidR="0070087B" w:rsidRPr="008073AC" w:rsidRDefault="0070087B" w:rsidP="008073AC">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8073AC">
        <w:rPr>
          <w:rFonts w:ascii="Cambria" w:eastAsia="Batang" w:hAnsi="Cambria" w:cs="Times New Roman"/>
          <w:color w:val="000000"/>
          <w:sz w:val="21"/>
          <w:szCs w:val="21"/>
          <w:lang w:val="es-ES"/>
        </w:rPr>
        <w:t xml:space="preserve">Aprobado el </w:t>
      </w:r>
      <w:r w:rsidR="006C46F2">
        <w:rPr>
          <w:rFonts w:ascii="Cambria" w:eastAsia="Batang" w:hAnsi="Cambria" w:cs="Times New Roman"/>
          <w:color w:val="000000"/>
          <w:sz w:val="21"/>
          <w:szCs w:val="21"/>
          <w:lang w:val="es-ES"/>
        </w:rPr>
        <w:t>1</w:t>
      </w:r>
      <w:r w:rsidR="006B564C">
        <w:rPr>
          <w:rFonts w:ascii="Cambria" w:eastAsia="Batang" w:hAnsi="Cambria" w:cs="Times New Roman"/>
          <w:color w:val="000000"/>
          <w:sz w:val="21"/>
          <w:szCs w:val="21"/>
          <w:lang w:val="es-ES"/>
        </w:rPr>
        <w:t>4</w:t>
      </w:r>
      <w:r w:rsidRPr="008073AC">
        <w:rPr>
          <w:rFonts w:ascii="Cambria" w:eastAsia="Batang" w:hAnsi="Cambria" w:cs="Times New Roman"/>
          <w:color w:val="000000"/>
          <w:sz w:val="21"/>
          <w:szCs w:val="21"/>
          <w:lang w:val="es-ES"/>
        </w:rPr>
        <w:t xml:space="preserve"> de </w:t>
      </w:r>
      <w:r w:rsidR="00492B4F" w:rsidRPr="008073AC">
        <w:rPr>
          <w:rFonts w:ascii="Cambria" w:eastAsia="Batang" w:hAnsi="Cambria" w:cs="Times New Roman"/>
          <w:color w:val="000000"/>
          <w:sz w:val="21"/>
          <w:szCs w:val="21"/>
          <w:lang w:val="es-ES"/>
        </w:rPr>
        <w:t>mayo</w:t>
      </w:r>
      <w:r w:rsidRPr="008073AC">
        <w:rPr>
          <w:rFonts w:ascii="Cambria" w:eastAsia="Batang" w:hAnsi="Cambria" w:cs="Times New Roman"/>
          <w:color w:val="000000"/>
          <w:sz w:val="21"/>
          <w:szCs w:val="21"/>
          <w:lang w:val="es-ES"/>
        </w:rPr>
        <w:t xml:space="preserve"> de 20</w:t>
      </w:r>
      <w:r w:rsidR="001F1EB9" w:rsidRPr="008073AC">
        <w:rPr>
          <w:rFonts w:ascii="Cambria" w:eastAsia="Batang" w:hAnsi="Cambria" w:cs="Times New Roman"/>
          <w:color w:val="000000"/>
          <w:sz w:val="21"/>
          <w:szCs w:val="21"/>
          <w:lang w:val="es-ES"/>
        </w:rPr>
        <w:t>20</w:t>
      </w:r>
      <w:r w:rsidRPr="008073AC">
        <w:rPr>
          <w:rFonts w:ascii="Cambria" w:eastAsia="Batang" w:hAnsi="Cambria" w:cs="Times New Roman"/>
          <w:color w:val="000000"/>
          <w:sz w:val="21"/>
          <w:szCs w:val="21"/>
          <w:lang w:val="es-ES"/>
        </w:rPr>
        <w:t xml:space="preserve"> por: </w:t>
      </w:r>
      <w:r w:rsidR="009B08E3" w:rsidRPr="009B08E3">
        <w:rPr>
          <w:rFonts w:ascii="Cambria" w:eastAsia="Batang" w:hAnsi="Cambria" w:cs="Times New Roman"/>
          <w:color w:val="000000"/>
          <w:sz w:val="21"/>
          <w:szCs w:val="21"/>
        </w:rPr>
        <w:t>Joel Hernández García</w:t>
      </w:r>
      <w:r w:rsidR="008073AC">
        <w:rPr>
          <w:rFonts w:ascii="Cambria" w:eastAsia="Batang" w:hAnsi="Cambria" w:cs="Times New Roman"/>
          <w:color w:val="000000"/>
          <w:sz w:val="21"/>
          <w:szCs w:val="21"/>
          <w:lang w:val="es-ES"/>
        </w:rPr>
        <w:t>, Presidente;</w:t>
      </w:r>
      <w:r w:rsidR="008073AC" w:rsidRPr="008073AC">
        <w:rPr>
          <w:rFonts w:ascii="Cambria" w:eastAsia="Batang" w:hAnsi="Cambria" w:cs="Times New Roman"/>
          <w:color w:val="000000"/>
          <w:sz w:val="21"/>
          <w:szCs w:val="21"/>
          <w:lang w:val="es-ES"/>
        </w:rPr>
        <w:t xml:space="preserve"> </w:t>
      </w:r>
      <w:r w:rsidR="001E2FB6">
        <w:rPr>
          <w:rFonts w:ascii="Cambria" w:eastAsia="Batang" w:hAnsi="Cambria" w:cs="Times New Roman"/>
          <w:color w:val="000000"/>
          <w:sz w:val="21"/>
          <w:szCs w:val="21"/>
          <w:lang w:val="es-ES"/>
        </w:rPr>
        <w:t xml:space="preserve">Antonia Urrejola Noguera, Primera Vice-Presidenta; </w:t>
      </w:r>
      <w:proofErr w:type="spellStart"/>
      <w:r w:rsidR="009B08E3" w:rsidRPr="009B08E3">
        <w:rPr>
          <w:rFonts w:ascii="Cambria" w:eastAsia="Batang" w:hAnsi="Cambria" w:cs="Times New Roman"/>
          <w:color w:val="000000"/>
          <w:sz w:val="21"/>
          <w:szCs w:val="21"/>
          <w:lang w:val="es-ES"/>
        </w:rPr>
        <w:t>Flávia</w:t>
      </w:r>
      <w:proofErr w:type="spellEnd"/>
      <w:r w:rsidR="009B08E3" w:rsidRPr="009B08E3">
        <w:rPr>
          <w:rFonts w:ascii="Cambria" w:eastAsia="Batang" w:hAnsi="Cambria" w:cs="Times New Roman"/>
          <w:color w:val="000000"/>
          <w:sz w:val="21"/>
          <w:szCs w:val="21"/>
          <w:lang w:val="es-ES"/>
        </w:rPr>
        <w:t xml:space="preserve"> Piovesan</w:t>
      </w:r>
      <w:r w:rsidR="009B08E3">
        <w:rPr>
          <w:rFonts w:ascii="Cambria" w:eastAsia="Batang" w:hAnsi="Cambria" w:cs="Times New Roman"/>
          <w:color w:val="000000"/>
          <w:sz w:val="21"/>
          <w:szCs w:val="21"/>
          <w:lang w:val="es-ES"/>
        </w:rPr>
        <w:t>, Segunda Vice-Presidenta;</w:t>
      </w:r>
      <w:r w:rsidR="008073AC" w:rsidRPr="008073AC">
        <w:rPr>
          <w:rFonts w:ascii="Cambria" w:eastAsia="Batang" w:hAnsi="Cambria" w:cs="Times New Roman"/>
          <w:color w:val="000000"/>
          <w:sz w:val="21"/>
          <w:szCs w:val="21"/>
          <w:lang w:val="es-ES"/>
        </w:rPr>
        <w:t xml:space="preserve"> </w:t>
      </w:r>
      <w:r w:rsidR="004421FE">
        <w:rPr>
          <w:rFonts w:ascii="Cambria" w:eastAsia="Batang" w:hAnsi="Cambria" w:cs="Times New Roman"/>
          <w:color w:val="000000"/>
          <w:sz w:val="21"/>
          <w:szCs w:val="21"/>
          <w:lang w:val="es-ES"/>
        </w:rPr>
        <w:t xml:space="preserve">Margarette May Macaulay; </w:t>
      </w:r>
      <w:r w:rsidR="008073AC" w:rsidRPr="008073AC">
        <w:rPr>
          <w:rFonts w:ascii="Cambria" w:eastAsia="Batang" w:hAnsi="Cambria" w:cs="Times New Roman"/>
          <w:color w:val="000000"/>
          <w:sz w:val="21"/>
          <w:szCs w:val="21"/>
          <w:lang w:val="es-ES"/>
        </w:rPr>
        <w:t xml:space="preserve">Esmeralda Arosemena de </w:t>
      </w:r>
      <w:proofErr w:type="spellStart"/>
      <w:r w:rsidR="008073AC" w:rsidRPr="008073AC">
        <w:rPr>
          <w:rFonts w:ascii="Cambria" w:eastAsia="Batang" w:hAnsi="Cambria" w:cs="Times New Roman"/>
          <w:color w:val="000000"/>
          <w:sz w:val="21"/>
          <w:szCs w:val="21"/>
          <w:lang w:val="es-ES"/>
        </w:rPr>
        <w:t>Troitiño</w:t>
      </w:r>
      <w:proofErr w:type="spellEnd"/>
      <w:r w:rsidR="001E2FB6">
        <w:rPr>
          <w:rFonts w:ascii="Cambria" w:eastAsia="Batang" w:hAnsi="Cambria" w:cs="Times New Roman"/>
          <w:color w:val="000000"/>
          <w:sz w:val="21"/>
          <w:szCs w:val="21"/>
          <w:lang w:val="es-ES"/>
        </w:rPr>
        <w:t xml:space="preserve"> y Julissa Mantilla Falcón.</w:t>
      </w:r>
    </w:p>
    <w:p w14:paraId="2BC29A04" w14:textId="2C652FA7" w:rsidR="0070087B" w:rsidRPr="004421FE" w:rsidRDefault="0070087B" w:rsidP="008073AC">
      <w:pPr>
        <w:rPr>
          <w:lang w:val="es-ES"/>
        </w:rPr>
      </w:pPr>
      <w:bookmarkStart w:id="0" w:name="_GoBack"/>
      <w:bookmarkEnd w:id="0"/>
    </w:p>
    <w:p w14:paraId="40E1F023" w14:textId="719F2067" w:rsidR="00FE6ABF" w:rsidRDefault="00FE6ABF" w:rsidP="008073AC"/>
    <w:p w14:paraId="00AB0D3A" w14:textId="10BBCBC4" w:rsidR="00FE6ABF" w:rsidRDefault="00FE6ABF" w:rsidP="008073AC"/>
    <w:p w14:paraId="0F84CE16" w14:textId="77777777" w:rsidR="00FE6ABF" w:rsidRPr="0070087B" w:rsidRDefault="00FE6ABF" w:rsidP="008073AC"/>
    <w:p w14:paraId="639B57F4" w14:textId="46364AEC" w:rsidR="0070087B" w:rsidRPr="00FE6ABF" w:rsidRDefault="00FE6ABF" w:rsidP="00FE6ABF">
      <w:pPr>
        <w:spacing w:after="0" w:line="240" w:lineRule="auto"/>
        <w:ind w:left="360"/>
        <w:jc w:val="center"/>
        <w:rPr>
          <w:rFonts w:ascii="Cambria" w:eastAsia="Batang" w:hAnsi="Cambria" w:cs="Times New Roman"/>
          <w:color w:val="000000"/>
          <w:sz w:val="21"/>
          <w:szCs w:val="21"/>
          <w:lang w:val="es-ES"/>
        </w:rPr>
      </w:pPr>
      <w:r w:rsidRPr="00FE6ABF">
        <w:rPr>
          <w:rFonts w:ascii="Cambria" w:eastAsia="Batang" w:hAnsi="Cambria" w:cs="Times New Roman"/>
          <w:color w:val="000000"/>
          <w:sz w:val="21"/>
          <w:szCs w:val="21"/>
          <w:lang w:val="es-ES"/>
        </w:rPr>
        <w:t xml:space="preserve">Paulo </w:t>
      </w:r>
      <w:proofErr w:type="spellStart"/>
      <w:r w:rsidRPr="00FE6ABF">
        <w:rPr>
          <w:rFonts w:ascii="Cambria" w:eastAsia="Batang" w:hAnsi="Cambria" w:cs="Times New Roman"/>
          <w:color w:val="000000"/>
          <w:sz w:val="21"/>
          <w:szCs w:val="21"/>
          <w:lang w:val="es-ES"/>
        </w:rPr>
        <w:t>Abrão</w:t>
      </w:r>
      <w:proofErr w:type="spellEnd"/>
    </w:p>
    <w:p w14:paraId="2BE511C8" w14:textId="40D62B23" w:rsidR="00FE6ABF" w:rsidRPr="00FE6ABF" w:rsidRDefault="00FE6ABF" w:rsidP="00FE6ABF">
      <w:pPr>
        <w:spacing w:after="0" w:line="240" w:lineRule="auto"/>
        <w:ind w:left="360"/>
        <w:jc w:val="center"/>
        <w:rPr>
          <w:rFonts w:ascii="Cambria" w:eastAsia="Batang" w:hAnsi="Cambria" w:cs="Times New Roman"/>
          <w:color w:val="000000"/>
          <w:sz w:val="21"/>
          <w:szCs w:val="21"/>
          <w:lang w:val="es-ES"/>
        </w:rPr>
      </w:pPr>
      <w:r w:rsidRPr="00FE6ABF">
        <w:rPr>
          <w:rFonts w:ascii="Cambria" w:eastAsia="Batang" w:hAnsi="Cambria" w:cs="Times New Roman"/>
          <w:color w:val="000000"/>
          <w:sz w:val="21"/>
          <w:szCs w:val="21"/>
          <w:lang w:val="es-ES"/>
        </w:rPr>
        <w:t>Secret</w:t>
      </w:r>
      <w:r>
        <w:rPr>
          <w:rFonts w:ascii="Cambria" w:eastAsia="Batang" w:hAnsi="Cambria" w:cs="Times New Roman"/>
          <w:color w:val="000000"/>
          <w:sz w:val="21"/>
          <w:szCs w:val="21"/>
          <w:lang w:val="es-ES"/>
        </w:rPr>
        <w:t>a</w:t>
      </w:r>
      <w:r w:rsidRPr="00FE6ABF">
        <w:rPr>
          <w:rFonts w:ascii="Cambria" w:eastAsia="Batang" w:hAnsi="Cambria" w:cs="Times New Roman"/>
          <w:color w:val="000000"/>
          <w:sz w:val="21"/>
          <w:szCs w:val="21"/>
          <w:lang w:val="es-ES"/>
        </w:rPr>
        <w:t>rio Ejecutivo</w:t>
      </w:r>
    </w:p>
    <w:p w14:paraId="651A09F8" w14:textId="59D4677D" w:rsidR="006A6591" w:rsidRPr="00D73D05" w:rsidRDefault="006A6591" w:rsidP="008073AC">
      <w:pPr>
        <w:rPr>
          <w:lang w:val="es-ES"/>
        </w:rPr>
      </w:pPr>
    </w:p>
    <w:sectPr w:rsidR="006A6591" w:rsidRPr="00D73D05" w:rsidSect="006A6591">
      <w:headerReference w:type="default" r:id="rId8"/>
      <w:footerReference w:type="default" r:id="rId9"/>
      <w:pgSz w:w="11906" w:h="16838" w:code="9"/>
      <w:pgMar w:top="1440" w:right="1440" w:bottom="1440" w:left="1440" w:header="720" w:footer="720" w:gutter="0"/>
      <w:pgNumType w:fmt="numberInDash"/>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BDA261" w16cid:durableId="2256E821"/>
  <w16cid:commentId w16cid:paraId="4746B2D6" w16cid:durableId="2256E822"/>
  <w16cid:commentId w16cid:paraId="76B19E87" w16cid:durableId="2256E823"/>
  <w16cid:commentId w16cid:paraId="4BEAAA7A" w16cid:durableId="2256E824"/>
  <w16cid:commentId w16cid:paraId="2B72B5A4" w16cid:durableId="2256E825"/>
  <w16cid:commentId w16cid:paraId="63B203AA" w16cid:durableId="2256E826"/>
  <w16cid:commentId w16cid:paraId="7601740F" w16cid:durableId="2256E827"/>
  <w16cid:commentId w16cid:paraId="21494012" w16cid:durableId="2256E828"/>
  <w16cid:commentId w16cid:paraId="6C25E88A" w16cid:durableId="2256E829"/>
  <w16cid:commentId w16cid:paraId="79AA2D58" w16cid:durableId="2256E82A"/>
  <w16cid:commentId w16cid:paraId="391634FB" w16cid:durableId="2256E82B"/>
  <w16cid:commentId w16cid:paraId="6B6D79CA" w16cid:durableId="2256E82C"/>
  <w16cid:commentId w16cid:paraId="0359C7FE" w16cid:durableId="2256E82D"/>
  <w16cid:commentId w16cid:paraId="4847A5F2" w16cid:durableId="2256E890"/>
  <w16cid:commentId w16cid:paraId="49A702E2" w16cid:durableId="2256E82E"/>
  <w16cid:commentId w16cid:paraId="30176BAF" w16cid:durableId="2256E8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3F2F4" w14:textId="77777777" w:rsidR="001B06A2" w:rsidRDefault="001B06A2" w:rsidP="0070087B">
      <w:pPr>
        <w:spacing w:after="0" w:line="240" w:lineRule="auto"/>
      </w:pPr>
      <w:r>
        <w:separator/>
      </w:r>
    </w:p>
  </w:endnote>
  <w:endnote w:type="continuationSeparator" w:id="0">
    <w:p w14:paraId="7165BE17" w14:textId="77777777" w:rsidR="001B06A2" w:rsidRDefault="001B06A2" w:rsidP="00700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hAnsi="Calibri Light"/>
        <w:sz w:val="16"/>
      </w:rPr>
      <w:id w:val="-954479824"/>
      <w:docPartObj>
        <w:docPartGallery w:val="Page Numbers (Bottom of Page)"/>
        <w:docPartUnique/>
      </w:docPartObj>
    </w:sdtPr>
    <w:sdtEndPr>
      <w:rPr>
        <w:noProof/>
      </w:rPr>
    </w:sdtEndPr>
    <w:sdtContent>
      <w:p w14:paraId="4D3DEA5D" w14:textId="239A78F0" w:rsidR="006A6591" w:rsidRPr="00D961A4" w:rsidRDefault="006A6591">
        <w:pPr>
          <w:pStyle w:val="Footer"/>
          <w:jc w:val="center"/>
          <w:rPr>
            <w:rFonts w:ascii="Calibri Light" w:hAnsi="Calibri Light"/>
            <w:sz w:val="16"/>
          </w:rPr>
        </w:pPr>
        <w:r w:rsidRPr="00D961A4">
          <w:rPr>
            <w:rFonts w:ascii="Calibri Light" w:hAnsi="Calibri Light"/>
            <w:sz w:val="16"/>
          </w:rPr>
          <w:fldChar w:fldCharType="begin"/>
        </w:r>
        <w:r w:rsidRPr="00D961A4">
          <w:rPr>
            <w:rFonts w:ascii="Calibri Light" w:hAnsi="Calibri Light"/>
            <w:sz w:val="16"/>
          </w:rPr>
          <w:instrText xml:space="preserve"> PAGE   \* MERGEFORMAT </w:instrText>
        </w:r>
        <w:r w:rsidRPr="00D961A4">
          <w:rPr>
            <w:rFonts w:ascii="Calibri Light" w:hAnsi="Calibri Light"/>
            <w:sz w:val="16"/>
          </w:rPr>
          <w:fldChar w:fldCharType="separate"/>
        </w:r>
        <w:r w:rsidR="004421FE">
          <w:rPr>
            <w:rFonts w:ascii="Calibri Light" w:hAnsi="Calibri Light"/>
            <w:noProof/>
            <w:sz w:val="16"/>
          </w:rPr>
          <w:t>- 1 -</w:t>
        </w:r>
        <w:r w:rsidRPr="00D961A4">
          <w:rPr>
            <w:rFonts w:ascii="Calibri Light" w:hAnsi="Calibri Light"/>
            <w:noProof/>
            <w:sz w:val="16"/>
          </w:rPr>
          <w:fldChar w:fldCharType="end"/>
        </w:r>
      </w:p>
    </w:sdtContent>
  </w:sdt>
  <w:p w14:paraId="5B54CCAC" w14:textId="77777777" w:rsidR="006A6591" w:rsidRDefault="006A6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2EA39" w14:textId="77777777" w:rsidR="001B06A2" w:rsidRDefault="001B06A2" w:rsidP="0070087B">
      <w:pPr>
        <w:spacing w:after="0" w:line="240" w:lineRule="auto"/>
      </w:pPr>
      <w:r>
        <w:separator/>
      </w:r>
    </w:p>
  </w:footnote>
  <w:footnote w:type="continuationSeparator" w:id="0">
    <w:p w14:paraId="657D5F21" w14:textId="77777777" w:rsidR="001B06A2" w:rsidRDefault="001B06A2" w:rsidP="0070087B">
      <w:pPr>
        <w:spacing w:after="0" w:line="240" w:lineRule="auto"/>
      </w:pPr>
      <w:r>
        <w:continuationSeparator/>
      </w:r>
    </w:p>
  </w:footnote>
  <w:footnote w:id="1">
    <w:p w14:paraId="0D96B675" w14:textId="77777777" w:rsidR="006A6591" w:rsidRPr="00972F4F" w:rsidRDefault="006A6591" w:rsidP="00972F4F">
      <w:pPr>
        <w:pStyle w:val="FootnoteText1"/>
        <w:rPr>
          <w:rFonts w:asciiTheme="majorHAnsi" w:hAnsiTheme="majorHAnsi" w:cstheme="majorHAnsi"/>
          <w:sz w:val="16"/>
          <w:szCs w:val="16"/>
          <w:lang w:val="es-MX"/>
        </w:rPr>
      </w:pPr>
      <w:r w:rsidRPr="00972F4F">
        <w:rPr>
          <w:rStyle w:val="FootnoteReference"/>
          <w:rFonts w:asciiTheme="majorHAnsi" w:hAnsiTheme="majorHAnsi" w:cstheme="majorHAnsi"/>
          <w:sz w:val="16"/>
          <w:szCs w:val="16"/>
        </w:rPr>
        <w:footnoteRef/>
      </w:r>
      <w:r w:rsidRPr="00972F4F">
        <w:rPr>
          <w:rFonts w:asciiTheme="majorHAnsi" w:hAnsiTheme="majorHAnsi" w:cstheme="majorHAnsi"/>
          <w:sz w:val="16"/>
          <w:szCs w:val="16"/>
          <w:lang w:val="es-MX"/>
        </w:rPr>
        <w:t xml:space="preserve"> Al respecto, por ejemplo, refiriéndose a las medidas provisionales, la Corte Interamericana ha considerado que tal estándar requiere un mínimo de detalle e información que permitan apreciar </w:t>
      </w:r>
      <w:r w:rsidRPr="00972F4F">
        <w:rPr>
          <w:rFonts w:asciiTheme="majorHAnsi" w:hAnsiTheme="majorHAnsi" w:cstheme="majorHAnsi"/>
          <w:i/>
          <w:sz w:val="16"/>
          <w:szCs w:val="16"/>
          <w:lang w:val="es-MX"/>
        </w:rPr>
        <w:t xml:space="preserve">prima facie </w:t>
      </w:r>
      <w:r w:rsidRPr="00972F4F">
        <w:rPr>
          <w:rFonts w:asciiTheme="majorHAnsi" w:hAnsiTheme="majorHAnsi" w:cstheme="majorHAnsi"/>
          <w:sz w:val="16"/>
          <w:szCs w:val="16"/>
          <w:lang w:val="es-MX"/>
        </w:rPr>
        <w:t xml:space="preserve">la situación de riesgo y urgencia. Corte IDH, </w:t>
      </w:r>
      <w:r w:rsidRPr="00972F4F">
        <w:rPr>
          <w:rFonts w:asciiTheme="majorHAnsi" w:hAnsiTheme="majorHAnsi" w:cstheme="majorHAnsi"/>
          <w:i/>
          <w:sz w:val="16"/>
          <w:szCs w:val="16"/>
          <w:lang w:val="es-MX"/>
        </w:rPr>
        <w:t xml:space="preserve">Asunto de los niños y adolescentes privados de libertad en el “Complexo do </w:t>
      </w:r>
      <w:proofErr w:type="spellStart"/>
      <w:r w:rsidRPr="00972F4F">
        <w:rPr>
          <w:rFonts w:asciiTheme="majorHAnsi" w:hAnsiTheme="majorHAnsi" w:cstheme="majorHAnsi"/>
          <w:i/>
          <w:sz w:val="16"/>
          <w:szCs w:val="16"/>
          <w:lang w:val="es-MX"/>
        </w:rPr>
        <w:t>Tatuapé</w:t>
      </w:r>
      <w:proofErr w:type="spellEnd"/>
      <w:r w:rsidRPr="00972F4F">
        <w:rPr>
          <w:rFonts w:asciiTheme="majorHAnsi" w:hAnsiTheme="majorHAnsi" w:cstheme="majorHAnsi"/>
          <w:i/>
          <w:sz w:val="16"/>
          <w:szCs w:val="16"/>
          <w:lang w:val="es-MX"/>
        </w:rPr>
        <w:t xml:space="preserve">” de la </w:t>
      </w:r>
      <w:proofErr w:type="spellStart"/>
      <w:r w:rsidRPr="00972F4F">
        <w:rPr>
          <w:rFonts w:asciiTheme="majorHAnsi" w:hAnsiTheme="majorHAnsi" w:cstheme="majorHAnsi"/>
          <w:i/>
          <w:sz w:val="16"/>
          <w:szCs w:val="16"/>
          <w:lang w:val="es-MX"/>
        </w:rPr>
        <w:t>Fundação</w:t>
      </w:r>
      <w:proofErr w:type="spellEnd"/>
      <w:r w:rsidRPr="00972F4F">
        <w:rPr>
          <w:rFonts w:asciiTheme="majorHAnsi" w:hAnsiTheme="majorHAnsi" w:cstheme="majorHAnsi"/>
          <w:i/>
          <w:sz w:val="16"/>
          <w:szCs w:val="16"/>
          <w:lang w:val="es-MX"/>
        </w:rPr>
        <w:t xml:space="preserve"> CASA</w:t>
      </w:r>
      <w:r w:rsidRPr="00972F4F">
        <w:rPr>
          <w:rFonts w:asciiTheme="majorHAnsi" w:hAnsiTheme="majorHAnsi" w:cstheme="majorHAnsi"/>
          <w:sz w:val="16"/>
          <w:szCs w:val="16"/>
          <w:lang w:val="es-MX"/>
        </w:rPr>
        <w:t xml:space="preserve">. Solicitud de ampliación de medidas provisionales. Medidas Provisionales respecto de Brasil. Resolución de la Corte Interamericana de Derechos Humanos de 4 de julio de 2006. Considerando 23. Disponible en: http://www.corteidh.or.cr/docs/medidas/febem_se_03.pdf </w:t>
      </w:r>
    </w:p>
  </w:footnote>
  <w:footnote w:id="2">
    <w:p w14:paraId="737463F1" w14:textId="275A8E42" w:rsidR="00787475" w:rsidRPr="00787475" w:rsidRDefault="00787475" w:rsidP="002408FE">
      <w:pPr>
        <w:pStyle w:val="FootnoteText1"/>
      </w:pPr>
      <w:r w:rsidRPr="002408FE">
        <w:rPr>
          <w:rFonts w:asciiTheme="majorHAnsi" w:hAnsiTheme="majorHAnsi" w:cstheme="majorHAnsi"/>
          <w:sz w:val="16"/>
          <w:szCs w:val="16"/>
          <w:lang w:val="es-MX"/>
        </w:rPr>
        <w:footnoteRef/>
      </w:r>
      <w:r w:rsidRPr="002408FE">
        <w:rPr>
          <w:rFonts w:asciiTheme="majorHAnsi" w:hAnsiTheme="majorHAnsi" w:cstheme="majorHAnsi"/>
          <w:sz w:val="16"/>
          <w:szCs w:val="16"/>
          <w:lang w:val="es-MX"/>
        </w:rPr>
        <w:t xml:space="preserve"> Ver también: CIDH, Miembros de la comunidad </w:t>
      </w:r>
      <w:proofErr w:type="spellStart"/>
      <w:r w:rsidRPr="002408FE">
        <w:rPr>
          <w:rFonts w:asciiTheme="majorHAnsi" w:hAnsiTheme="majorHAnsi" w:cstheme="majorHAnsi"/>
          <w:sz w:val="16"/>
          <w:szCs w:val="16"/>
          <w:lang w:val="es-MX"/>
        </w:rPr>
        <w:t>Guyraroká</w:t>
      </w:r>
      <w:proofErr w:type="spellEnd"/>
      <w:r w:rsidRPr="002408FE">
        <w:rPr>
          <w:rFonts w:asciiTheme="majorHAnsi" w:hAnsiTheme="majorHAnsi" w:cstheme="majorHAnsi"/>
          <w:sz w:val="16"/>
          <w:szCs w:val="16"/>
          <w:lang w:val="es-MX"/>
        </w:rPr>
        <w:t xml:space="preserve"> del Pueblo Indígena </w:t>
      </w:r>
      <w:proofErr w:type="spellStart"/>
      <w:r w:rsidRPr="002408FE">
        <w:rPr>
          <w:rFonts w:asciiTheme="majorHAnsi" w:hAnsiTheme="majorHAnsi" w:cstheme="majorHAnsi"/>
          <w:sz w:val="16"/>
          <w:szCs w:val="16"/>
          <w:lang w:val="es-MX"/>
        </w:rPr>
        <w:t>Guarani</w:t>
      </w:r>
      <w:proofErr w:type="spellEnd"/>
      <w:r w:rsidRPr="002408FE">
        <w:rPr>
          <w:rFonts w:asciiTheme="majorHAnsi" w:hAnsiTheme="majorHAnsi" w:cstheme="majorHAnsi"/>
          <w:sz w:val="16"/>
          <w:szCs w:val="16"/>
          <w:lang w:val="es-MX"/>
        </w:rPr>
        <w:t xml:space="preserve"> </w:t>
      </w:r>
      <w:proofErr w:type="spellStart"/>
      <w:r w:rsidRPr="002408FE">
        <w:rPr>
          <w:rFonts w:asciiTheme="majorHAnsi" w:hAnsiTheme="majorHAnsi" w:cstheme="majorHAnsi"/>
          <w:sz w:val="16"/>
          <w:szCs w:val="16"/>
          <w:lang w:val="es-MX"/>
        </w:rPr>
        <w:t>Kaiowá</w:t>
      </w:r>
      <w:proofErr w:type="spellEnd"/>
      <w:r w:rsidRPr="002408FE">
        <w:rPr>
          <w:rFonts w:asciiTheme="majorHAnsi" w:hAnsiTheme="majorHAnsi" w:cstheme="majorHAnsi"/>
          <w:sz w:val="16"/>
          <w:szCs w:val="16"/>
          <w:lang w:val="es-MX"/>
        </w:rPr>
        <w:t xml:space="preserve"> respecto de Brasil</w:t>
      </w:r>
      <w:r w:rsidR="0095393D" w:rsidRPr="002408FE">
        <w:rPr>
          <w:rFonts w:asciiTheme="majorHAnsi" w:hAnsiTheme="majorHAnsi" w:cstheme="majorHAnsi"/>
          <w:sz w:val="16"/>
          <w:szCs w:val="16"/>
          <w:lang w:val="es-MX"/>
        </w:rPr>
        <w:t xml:space="preserve"> (MC 458-19), Resolución 47/2019, 29 de septiembre de 2019.</w:t>
      </w:r>
    </w:p>
  </w:footnote>
  <w:footnote w:id="3">
    <w:p w14:paraId="1C29E460" w14:textId="77777777" w:rsidR="006A6591" w:rsidRPr="00972F4F" w:rsidRDefault="006A6591" w:rsidP="00972F4F">
      <w:pPr>
        <w:pStyle w:val="FootnoteText"/>
        <w:rPr>
          <w:rFonts w:asciiTheme="majorHAnsi" w:hAnsiTheme="majorHAnsi" w:cstheme="majorHAnsi"/>
        </w:rPr>
      </w:pPr>
      <w:r w:rsidRPr="00972F4F">
        <w:rPr>
          <w:rStyle w:val="FootnoteReference"/>
          <w:rFonts w:asciiTheme="majorHAnsi" w:hAnsiTheme="majorHAnsi" w:cstheme="majorHAnsi"/>
          <w:sz w:val="16"/>
        </w:rPr>
        <w:footnoteRef/>
      </w:r>
      <w:r w:rsidRPr="00972F4F">
        <w:rPr>
          <w:rFonts w:asciiTheme="majorHAnsi" w:hAnsiTheme="majorHAnsi" w:cstheme="majorHAnsi"/>
          <w:sz w:val="16"/>
        </w:rPr>
        <w:t xml:space="preserve"> CIDH, Segundo Informe sobre la Situación de las defensoras y los defensores de derechos humanos en las Américas, 2011, párr. 521. Disponible en: http://www.oas.org/es/cidh/defensores/docs/pdf/defensores2011.pdf.</w:t>
      </w:r>
    </w:p>
  </w:footnote>
  <w:footnote w:id="4">
    <w:p w14:paraId="0E2AFCC9" w14:textId="77777777" w:rsidR="006A6591" w:rsidRPr="00972F4F" w:rsidRDefault="006A6591" w:rsidP="00972F4F">
      <w:pPr>
        <w:pStyle w:val="FootnoteText"/>
        <w:rPr>
          <w:rFonts w:asciiTheme="majorHAnsi" w:hAnsiTheme="majorHAnsi" w:cstheme="majorHAnsi"/>
        </w:rPr>
      </w:pPr>
      <w:r w:rsidRPr="00972F4F">
        <w:rPr>
          <w:rStyle w:val="FootnoteReference"/>
          <w:rFonts w:asciiTheme="majorHAnsi" w:hAnsiTheme="majorHAnsi" w:cstheme="majorHAnsi"/>
          <w:sz w:val="16"/>
        </w:rPr>
        <w:footnoteRef/>
      </w:r>
      <w:r w:rsidRPr="00972F4F">
        <w:rPr>
          <w:rFonts w:asciiTheme="majorHAnsi" w:hAnsiTheme="majorHAnsi" w:cstheme="majorHAnsi"/>
          <w:sz w:val="16"/>
        </w:rPr>
        <w:t xml:space="preserve"> CIDH, Pandemia y Derechos Humanos en las Américas, Resolución 1/2020, 10 de abril de 2020, Resolutivo 3b. Disponible en: https://www.oas.org/es/cidh/decisiones/pdf/Resolucion-1-20-es.pdf.</w:t>
      </w:r>
    </w:p>
  </w:footnote>
  <w:footnote w:id="5">
    <w:p w14:paraId="26830BFB" w14:textId="77777777" w:rsidR="006A6591" w:rsidRPr="00972F4F" w:rsidRDefault="006A6591" w:rsidP="00972F4F">
      <w:pPr>
        <w:pStyle w:val="FootnoteText"/>
        <w:rPr>
          <w:rFonts w:asciiTheme="majorHAnsi" w:hAnsiTheme="majorHAnsi" w:cstheme="majorHAnsi"/>
        </w:rPr>
      </w:pPr>
      <w:r w:rsidRPr="00972F4F">
        <w:rPr>
          <w:rStyle w:val="FootnoteReference"/>
          <w:rFonts w:asciiTheme="majorHAnsi" w:hAnsiTheme="majorHAnsi" w:cstheme="majorHAnsi"/>
          <w:sz w:val="16"/>
        </w:rPr>
        <w:footnoteRef/>
      </w:r>
      <w:r w:rsidRPr="00972F4F">
        <w:rPr>
          <w:rFonts w:asciiTheme="majorHAnsi" w:hAnsiTheme="majorHAnsi" w:cstheme="majorHAnsi"/>
          <w:sz w:val="16"/>
        </w:rPr>
        <w:t xml:space="preserve"> CIDH, Compendio Igualdad y no discriminación: Estándares Interamericanos, OEA/</w:t>
      </w:r>
      <w:proofErr w:type="spellStart"/>
      <w:r w:rsidRPr="00972F4F">
        <w:rPr>
          <w:rFonts w:asciiTheme="majorHAnsi" w:hAnsiTheme="majorHAnsi" w:cstheme="majorHAnsi"/>
          <w:sz w:val="16"/>
        </w:rPr>
        <w:t>Ser.L</w:t>
      </w:r>
      <w:proofErr w:type="spellEnd"/>
      <w:r w:rsidRPr="00972F4F">
        <w:rPr>
          <w:rFonts w:asciiTheme="majorHAnsi" w:hAnsiTheme="majorHAnsi" w:cstheme="majorHAnsi"/>
          <w:sz w:val="16"/>
        </w:rPr>
        <w:t>/V/II.171, Doc. 31, 12 febrero 2019, p. 103-106. Disponible en: http://www.oas.org/es/cidh/informes/pdfs/Compendio-IgualdadNoDiscriminacion.pdf.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A5F98" w14:textId="77777777" w:rsidR="006A6591" w:rsidRPr="00436700" w:rsidRDefault="006A6591" w:rsidP="006A6591">
    <w:pPr>
      <w:tabs>
        <w:tab w:val="left" w:pos="4040"/>
        <w:tab w:val="left" w:pos="4333"/>
        <w:tab w:val="center" w:pos="4680"/>
        <w:tab w:val="right" w:pos="9360"/>
      </w:tabs>
      <w:spacing w:after="0" w:line="240" w:lineRule="auto"/>
      <w:rPr>
        <w:rFonts w:eastAsia="Calibri"/>
        <w:lang w:val="en-US"/>
      </w:rPr>
    </w:pPr>
    <w:r>
      <w:rPr>
        <w:rFonts w:eastAsia="Calibri"/>
        <w:noProof/>
        <w:lang w:eastAsia="es-US"/>
      </w:rPr>
      <w:drawing>
        <wp:inline distT="0" distB="0" distL="0" distR="0" wp14:anchorId="60F69890" wp14:editId="6F47B37C">
          <wp:extent cx="2353310" cy="453390"/>
          <wp:effectExtent l="0" t="0" r="8890" b="381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117C14">
      <w:rPr>
        <w:rFonts w:eastAsia="Calibri"/>
        <w:lang w:val="en-US"/>
      </w:rPr>
      <w:tab/>
    </w:r>
    <w:r>
      <w:rPr>
        <w:rFonts w:eastAsia="Calibri"/>
        <w:lang w:val="en-US"/>
      </w:rPr>
      <w:tab/>
    </w:r>
    <w:r w:rsidRPr="00436700">
      <w:rPr>
        <w:rFonts w:eastAsia="Calibri"/>
        <w:lang w:val="en-US"/>
      </w:rPr>
      <w:tab/>
    </w:r>
    <w:r w:rsidRPr="00436700">
      <w:rPr>
        <w:rFonts w:eastAsia="Calibri"/>
        <w:lang w:val="en-US"/>
      </w:rPr>
      <w:tab/>
    </w:r>
    <w:r>
      <w:rPr>
        <w:rFonts w:eastAsia="Calibri"/>
        <w:noProof/>
        <w:lang w:eastAsia="es-US"/>
      </w:rPr>
      <w:drawing>
        <wp:inline distT="0" distB="0" distL="0" distR="0" wp14:anchorId="2CBDA0D2" wp14:editId="01CF6D09">
          <wp:extent cx="2106930" cy="540385"/>
          <wp:effectExtent l="0" t="0" r="762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p>
  <w:p w14:paraId="6F9230CB" w14:textId="77777777" w:rsidR="006A6591" w:rsidRPr="00436700" w:rsidRDefault="006A6591" w:rsidP="006A6591">
    <w:pPr>
      <w:pBdr>
        <w:bottom w:val="single" w:sz="6" w:space="1" w:color="auto"/>
      </w:pBdr>
      <w:tabs>
        <w:tab w:val="center" w:pos="4680"/>
        <w:tab w:val="right" w:pos="9360"/>
      </w:tabs>
      <w:spacing w:after="0" w:line="240" w:lineRule="auto"/>
    </w:pPr>
  </w:p>
  <w:p w14:paraId="5666CF22" w14:textId="77777777" w:rsidR="006A6591" w:rsidRPr="00E24662" w:rsidRDefault="006A6591" w:rsidP="006A6591">
    <w:pPr>
      <w:tabs>
        <w:tab w:val="left" w:pos="4040"/>
        <w:tab w:val="left" w:pos="4333"/>
        <w:tab w:val="center" w:pos="4680"/>
        <w:tab w:val="right" w:pos="9360"/>
      </w:tabs>
      <w:spacing w:after="0" w:line="240" w:lineRule="auto"/>
      <w:rPr>
        <w:rFonts w:eastAsia="Calibri"/>
        <w:lang w:val="en-US"/>
      </w:rPr>
    </w:pPr>
    <w:r w:rsidRPr="00117C14">
      <w:rPr>
        <w:rFonts w:eastAsia="Calibri"/>
        <w:lang w:val="en-US"/>
      </w:rPr>
      <w:tab/>
    </w:r>
    <w:r w:rsidRPr="00117C14">
      <w:rPr>
        <w:rFonts w:eastAsia="Calibri"/>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61B"/>
    <w:multiLevelType w:val="hybridMultilevel"/>
    <w:tmpl w:val="A978D476"/>
    <w:lvl w:ilvl="0" w:tplc="31EA2E68">
      <w:start w:val="1"/>
      <w:numFmt w:val="decimal"/>
      <w:lvlText w:val="%1."/>
      <w:lvlJc w:val="center"/>
      <w:pPr>
        <w:ind w:left="720" w:hanging="360"/>
      </w:pPr>
      <w:rPr>
        <w:rFonts w:ascii="Cambria" w:hAnsi="Cambria" w:hint="default"/>
        <w:b w:val="0"/>
        <w:sz w:val="21"/>
        <w:szCs w:val="21"/>
        <w:lang w:val="es-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C25C7"/>
    <w:multiLevelType w:val="hybridMultilevel"/>
    <w:tmpl w:val="A978D476"/>
    <w:lvl w:ilvl="0" w:tplc="31EA2E68">
      <w:start w:val="1"/>
      <w:numFmt w:val="decimal"/>
      <w:lvlText w:val="%1."/>
      <w:lvlJc w:val="center"/>
      <w:pPr>
        <w:ind w:left="720" w:hanging="360"/>
      </w:pPr>
      <w:rPr>
        <w:rFonts w:ascii="Cambria" w:hAnsi="Cambria" w:hint="default"/>
        <w:b w:val="0"/>
        <w:sz w:val="21"/>
        <w:szCs w:val="21"/>
        <w:lang w:val="es-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15D44"/>
    <w:multiLevelType w:val="hybridMultilevel"/>
    <w:tmpl w:val="8672669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AF94192"/>
    <w:multiLevelType w:val="hybridMultilevel"/>
    <w:tmpl w:val="968AA6C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B6FFF"/>
    <w:multiLevelType w:val="hybridMultilevel"/>
    <w:tmpl w:val="A7981BFE"/>
    <w:lvl w:ilvl="0" w:tplc="31EA2E68">
      <w:start w:val="1"/>
      <w:numFmt w:val="decimal"/>
      <w:lvlText w:val="%1."/>
      <w:lvlJc w:val="center"/>
      <w:pPr>
        <w:ind w:left="720" w:hanging="360"/>
      </w:pPr>
      <w:rPr>
        <w:rFonts w:ascii="Cambria" w:hAnsi="Cambria" w:hint="default"/>
        <w:b w:val="0"/>
        <w:sz w:val="21"/>
        <w:szCs w:val="21"/>
        <w:lang w:val="es-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A26CF"/>
    <w:multiLevelType w:val="hybridMultilevel"/>
    <w:tmpl w:val="BE348838"/>
    <w:lvl w:ilvl="0" w:tplc="31EA2E68">
      <w:start w:val="1"/>
      <w:numFmt w:val="decimal"/>
      <w:lvlText w:val="%1."/>
      <w:lvlJc w:val="center"/>
      <w:pPr>
        <w:ind w:left="720" w:hanging="360"/>
      </w:pPr>
      <w:rPr>
        <w:rFonts w:ascii="Cambria" w:hAnsi="Cambria" w:hint="default"/>
        <w:b w:val="0"/>
        <w:sz w:val="21"/>
        <w:szCs w:val="21"/>
        <w:lang w:val="es-US"/>
      </w:rPr>
    </w:lvl>
    <w:lvl w:ilvl="1" w:tplc="6F9C2A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B2C50"/>
    <w:multiLevelType w:val="hybridMultilevel"/>
    <w:tmpl w:val="A7981BFE"/>
    <w:lvl w:ilvl="0" w:tplc="31EA2E68">
      <w:start w:val="1"/>
      <w:numFmt w:val="decimal"/>
      <w:lvlText w:val="%1."/>
      <w:lvlJc w:val="center"/>
      <w:pPr>
        <w:ind w:left="720" w:hanging="360"/>
      </w:pPr>
      <w:rPr>
        <w:rFonts w:ascii="Cambria" w:hAnsi="Cambria" w:hint="default"/>
        <w:b w:val="0"/>
        <w:sz w:val="21"/>
        <w:szCs w:val="21"/>
        <w:lang w:val="es-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B4E88"/>
    <w:multiLevelType w:val="hybridMultilevel"/>
    <w:tmpl w:val="A978D476"/>
    <w:lvl w:ilvl="0" w:tplc="31EA2E68">
      <w:start w:val="1"/>
      <w:numFmt w:val="decimal"/>
      <w:lvlText w:val="%1."/>
      <w:lvlJc w:val="center"/>
      <w:pPr>
        <w:ind w:left="720" w:hanging="360"/>
      </w:pPr>
      <w:rPr>
        <w:rFonts w:ascii="Cambria" w:hAnsi="Cambria" w:hint="default"/>
        <w:b w:val="0"/>
        <w:sz w:val="21"/>
        <w:szCs w:val="21"/>
        <w:lang w:val="es-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401964"/>
    <w:multiLevelType w:val="hybridMultilevel"/>
    <w:tmpl w:val="A978D476"/>
    <w:lvl w:ilvl="0" w:tplc="31EA2E68">
      <w:start w:val="1"/>
      <w:numFmt w:val="decimal"/>
      <w:lvlText w:val="%1."/>
      <w:lvlJc w:val="center"/>
      <w:pPr>
        <w:ind w:left="720" w:hanging="360"/>
      </w:pPr>
      <w:rPr>
        <w:rFonts w:ascii="Cambria" w:hAnsi="Cambria" w:hint="default"/>
        <w:b w:val="0"/>
        <w:sz w:val="21"/>
        <w:szCs w:val="21"/>
        <w:lang w:val="es-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F30594"/>
    <w:multiLevelType w:val="hybridMultilevel"/>
    <w:tmpl w:val="81FC17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8830D7"/>
    <w:multiLevelType w:val="hybridMultilevel"/>
    <w:tmpl w:val="4912C4FC"/>
    <w:lvl w:ilvl="0" w:tplc="540A0019">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1" w15:restartNumberingAfterBreak="0">
    <w:nsid w:val="47682892"/>
    <w:multiLevelType w:val="hybridMultilevel"/>
    <w:tmpl w:val="36D628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F7434E"/>
    <w:multiLevelType w:val="hybridMultilevel"/>
    <w:tmpl w:val="A978D476"/>
    <w:lvl w:ilvl="0" w:tplc="31EA2E68">
      <w:start w:val="1"/>
      <w:numFmt w:val="decimal"/>
      <w:lvlText w:val="%1."/>
      <w:lvlJc w:val="center"/>
      <w:pPr>
        <w:ind w:left="720" w:hanging="360"/>
      </w:pPr>
      <w:rPr>
        <w:rFonts w:ascii="Cambria" w:hAnsi="Cambria" w:hint="default"/>
        <w:b w:val="0"/>
        <w:sz w:val="21"/>
        <w:szCs w:val="21"/>
        <w:lang w:val="es-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A1397E"/>
    <w:multiLevelType w:val="hybridMultilevel"/>
    <w:tmpl w:val="975AC1A8"/>
    <w:lvl w:ilvl="0" w:tplc="540A000F">
      <w:start w:val="1"/>
      <w:numFmt w:val="decimal"/>
      <w:lvlText w:val="%1."/>
      <w:lvlJc w:val="left"/>
      <w:pPr>
        <w:ind w:left="1440" w:hanging="360"/>
      </w:pPr>
    </w:lvl>
    <w:lvl w:ilvl="1" w:tplc="540A0019" w:tentative="1">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14" w15:restartNumberingAfterBreak="0">
    <w:nsid w:val="7B9A189D"/>
    <w:multiLevelType w:val="hybridMultilevel"/>
    <w:tmpl w:val="A978D476"/>
    <w:lvl w:ilvl="0" w:tplc="31EA2E68">
      <w:start w:val="1"/>
      <w:numFmt w:val="decimal"/>
      <w:lvlText w:val="%1."/>
      <w:lvlJc w:val="center"/>
      <w:pPr>
        <w:ind w:left="720" w:hanging="360"/>
      </w:pPr>
      <w:rPr>
        <w:rFonts w:ascii="Cambria" w:hAnsi="Cambria" w:hint="default"/>
        <w:b w:val="0"/>
        <w:sz w:val="21"/>
        <w:szCs w:val="21"/>
        <w:lang w:val="es-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3"/>
  </w:num>
  <w:num w:numId="5">
    <w:abstractNumId w:val="10"/>
  </w:num>
  <w:num w:numId="6">
    <w:abstractNumId w:val="7"/>
  </w:num>
  <w:num w:numId="7">
    <w:abstractNumId w:val="0"/>
  </w:num>
  <w:num w:numId="8">
    <w:abstractNumId w:val="14"/>
  </w:num>
  <w:num w:numId="9">
    <w:abstractNumId w:val="1"/>
  </w:num>
  <w:num w:numId="10">
    <w:abstractNumId w:val="8"/>
  </w:num>
  <w:num w:numId="11">
    <w:abstractNumId w:val="12"/>
  </w:num>
  <w:num w:numId="12">
    <w:abstractNumId w:val="4"/>
  </w:num>
  <w:num w:numId="13">
    <w:abstractNumId w:val="6"/>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87B"/>
    <w:rsid w:val="00000E4B"/>
    <w:rsid w:val="00003E3E"/>
    <w:rsid w:val="000074F9"/>
    <w:rsid w:val="00011554"/>
    <w:rsid w:val="00013EC6"/>
    <w:rsid w:val="00035EEB"/>
    <w:rsid w:val="00046449"/>
    <w:rsid w:val="00054140"/>
    <w:rsid w:val="00057212"/>
    <w:rsid w:val="00073765"/>
    <w:rsid w:val="000758D9"/>
    <w:rsid w:val="000A77C2"/>
    <w:rsid w:val="000B4218"/>
    <w:rsid w:val="000D22D7"/>
    <w:rsid w:val="00103D71"/>
    <w:rsid w:val="00112A96"/>
    <w:rsid w:val="00114D22"/>
    <w:rsid w:val="0011683F"/>
    <w:rsid w:val="00123636"/>
    <w:rsid w:val="001246BC"/>
    <w:rsid w:val="00124E66"/>
    <w:rsid w:val="00146CB8"/>
    <w:rsid w:val="0014767E"/>
    <w:rsid w:val="0016379B"/>
    <w:rsid w:val="001762A3"/>
    <w:rsid w:val="001802C9"/>
    <w:rsid w:val="0019287A"/>
    <w:rsid w:val="00193734"/>
    <w:rsid w:val="00195383"/>
    <w:rsid w:val="001A46E8"/>
    <w:rsid w:val="001B06A2"/>
    <w:rsid w:val="001B5BCB"/>
    <w:rsid w:val="001C0836"/>
    <w:rsid w:val="001D0AA5"/>
    <w:rsid w:val="001D1150"/>
    <w:rsid w:val="001D22A8"/>
    <w:rsid w:val="001D2815"/>
    <w:rsid w:val="001E0CA0"/>
    <w:rsid w:val="001E2FB6"/>
    <w:rsid w:val="001E71F2"/>
    <w:rsid w:val="001F1429"/>
    <w:rsid w:val="001F1EB9"/>
    <w:rsid w:val="001F3BCC"/>
    <w:rsid w:val="00201F7B"/>
    <w:rsid w:val="002106CF"/>
    <w:rsid w:val="00217D66"/>
    <w:rsid w:val="00225C34"/>
    <w:rsid w:val="00226531"/>
    <w:rsid w:val="002408FE"/>
    <w:rsid w:val="002517A0"/>
    <w:rsid w:val="00251CE6"/>
    <w:rsid w:val="00265809"/>
    <w:rsid w:val="00267616"/>
    <w:rsid w:val="00271E1A"/>
    <w:rsid w:val="002760D4"/>
    <w:rsid w:val="002834E1"/>
    <w:rsid w:val="002867F3"/>
    <w:rsid w:val="002A276A"/>
    <w:rsid w:val="002B22E0"/>
    <w:rsid w:val="002B693D"/>
    <w:rsid w:val="002F6F2E"/>
    <w:rsid w:val="00300702"/>
    <w:rsid w:val="00302797"/>
    <w:rsid w:val="00322275"/>
    <w:rsid w:val="00336846"/>
    <w:rsid w:val="003455B7"/>
    <w:rsid w:val="00371321"/>
    <w:rsid w:val="00372ECA"/>
    <w:rsid w:val="003919E6"/>
    <w:rsid w:val="003A3823"/>
    <w:rsid w:val="003A7974"/>
    <w:rsid w:val="003D0563"/>
    <w:rsid w:val="003E4321"/>
    <w:rsid w:val="003E55FD"/>
    <w:rsid w:val="00415C6B"/>
    <w:rsid w:val="0042726A"/>
    <w:rsid w:val="0043267A"/>
    <w:rsid w:val="004328B6"/>
    <w:rsid w:val="00433D40"/>
    <w:rsid w:val="004421FE"/>
    <w:rsid w:val="004750F6"/>
    <w:rsid w:val="004819A2"/>
    <w:rsid w:val="00492B4F"/>
    <w:rsid w:val="004A709A"/>
    <w:rsid w:val="004B0754"/>
    <w:rsid w:val="004B44CE"/>
    <w:rsid w:val="004D5468"/>
    <w:rsid w:val="004E46DE"/>
    <w:rsid w:val="004E7F5A"/>
    <w:rsid w:val="004F0B9E"/>
    <w:rsid w:val="004F15F7"/>
    <w:rsid w:val="004F15FA"/>
    <w:rsid w:val="004F44FB"/>
    <w:rsid w:val="00510026"/>
    <w:rsid w:val="005123D7"/>
    <w:rsid w:val="00512A9F"/>
    <w:rsid w:val="0052618F"/>
    <w:rsid w:val="00574258"/>
    <w:rsid w:val="00577381"/>
    <w:rsid w:val="0058291D"/>
    <w:rsid w:val="005A538D"/>
    <w:rsid w:val="005A5C8C"/>
    <w:rsid w:val="005A7550"/>
    <w:rsid w:val="005C5B96"/>
    <w:rsid w:val="005D2208"/>
    <w:rsid w:val="005E2421"/>
    <w:rsid w:val="005F5AB8"/>
    <w:rsid w:val="00625B46"/>
    <w:rsid w:val="00636E1B"/>
    <w:rsid w:val="00642D0D"/>
    <w:rsid w:val="00651FF9"/>
    <w:rsid w:val="00664D38"/>
    <w:rsid w:val="0068065F"/>
    <w:rsid w:val="006912FC"/>
    <w:rsid w:val="006A4729"/>
    <w:rsid w:val="006A5310"/>
    <w:rsid w:val="006A6591"/>
    <w:rsid w:val="006B5105"/>
    <w:rsid w:val="006B564C"/>
    <w:rsid w:val="006B734D"/>
    <w:rsid w:val="006C311A"/>
    <w:rsid w:val="006C3C94"/>
    <w:rsid w:val="006C427E"/>
    <w:rsid w:val="006C46F2"/>
    <w:rsid w:val="006D474B"/>
    <w:rsid w:val="006D558D"/>
    <w:rsid w:val="006E4361"/>
    <w:rsid w:val="006F08CA"/>
    <w:rsid w:val="006F41C9"/>
    <w:rsid w:val="006F5167"/>
    <w:rsid w:val="006F6FC0"/>
    <w:rsid w:val="0070087B"/>
    <w:rsid w:val="007205A9"/>
    <w:rsid w:val="00720BA0"/>
    <w:rsid w:val="00722039"/>
    <w:rsid w:val="00725032"/>
    <w:rsid w:val="007301DC"/>
    <w:rsid w:val="00730E33"/>
    <w:rsid w:val="00745C1D"/>
    <w:rsid w:val="00770350"/>
    <w:rsid w:val="00774804"/>
    <w:rsid w:val="00775044"/>
    <w:rsid w:val="0078292A"/>
    <w:rsid w:val="00782DC5"/>
    <w:rsid w:val="00787475"/>
    <w:rsid w:val="007A29F6"/>
    <w:rsid w:val="007A2D78"/>
    <w:rsid w:val="007A6C22"/>
    <w:rsid w:val="007C0A21"/>
    <w:rsid w:val="007D03B9"/>
    <w:rsid w:val="007D4AA6"/>
    <w:rsid w:val="007F0B01"/>
    <w:rsid w:val="007F2F23"/>
    <w:rsid w:val="008042E6"/>
    <w:rsid w:val="008047FD"/>
    <w:rsid w:val="00806155"/>
    <w:rsid w:val="008073AC"/>
    <w:rsid w:val="00815D6B"/>
    <w:rsid w:val="008327D5"/>
    <w:rsid w:val="00850127"/>
    <w:rsid w:val="00866DBF"/>
    <w:rsid w:val="008773DE"/>
    <w:rsid w:val="00895136"/>
    <w:rsid w:val="008A5623"/>
    <w:rsid w:val="008B7AC0"/>
    <w:rsid w:val="008C39A8"/>
    <w:rsid w:val="008C729E"/>
    <w:rsid w:val="008D6CD3"/>
    <w:rsid w:val="008E4970"/>
    <w:rsid w:val="008E6E52"/>
    <w:rsid w:val="008F6A6B"/>
    <w:rsid w:val="009138AB"/>
    <w:rsid w:val="0092363D"/>
    <w:rsid w:val="0093380A"/>
    <w:rsid w:val="0093725E"/>
    <w:rsid w:val="0094012E"/>
    <w:rsid w:val="0095393D"/>
    <w:rsid w:val="00972F4F"/>
    <w:rsid w:val="00976DF4"/>
    <w:rsid w:val="009824EF"/>
    <w:rsid w:val="00983FDA"/>
    <w:rsid w:val="009868AB"/>
    <w:rsid w:val="00990BE1"/>
    <w:rsid w:val="00995CF0"/>
    <w:rsid w:val="009A210E"/>
    <w:rsid w:val="009A5CAA"/>
    <w:rsid w:val="009B08E3"/>
    <w:rsid w:val="009B28D6"/>
    <w:rsid w:val="009B5555"/>
    <w:rsid w:val="009B782A"/>
    <w:rsid w:val="009C3A82"/>
    <w:rsid w:val="009D5837"/>
    <w:rsid w:val="009D5C9F"/>
    <w:rsid w:val="009D7EF1"/>
    <w:rsid w:val="009F4C01"/>
    <w:rsid w:val="00A04D57"/>
    <w:rsid w:val="00A2238E"/>
    <w:rsid w:val="00A253A2"/>
    <w:rsid w:val="00A33154"/>
    <w:rsid w:val="00A33BA1"/>
    <w:rsid w:val="00A43960"/>
    <w:rsid w:val="00A47161"/>
    <w:rsid w:val="00A56976"/>
    <w:rsid w:val="00A62FE8"/>
    <w:rsid w:val="00A86F3A"/>
    <w:rsid w:val="00A922B1"/>
    <w:rsid w:val="00A936DC"/>
    <w:rsid w:val="00A9530B"/>
    <w:rsid w:val="00AA0656"/>
    <w:rsid w:val="00AD7B34"/>
    <w:rsid w:val="00AE1394"/>
    <w:rsid w:val="00B01D82"/>
    <w:rsid w:val="00B108EF"/>
    <w:rsid w:val="00B11D95"/>
    <w:rsid w:val="00B17E56"/>
    <w:rsid w:val="00B27B66"/>
    <w:rsid w:val="00B32CB4"/>
    <w:rsid w:val="00B40DCC"/>
    <w:rsid w:val="00B47BB9"/>
    <w:rsid w:val="00B50D84"/>
    <w:rsid w:val="00B546B8"/>
    <w:rsid w:val="00B63E30"/>
    <w:rsid w:val="00B66070"/>
    <w:rsid w:val="00B775EE"/>
    <w:rsid w:val="00B958E7"/>
    <w:rsid w:val="00BA6B01"/>
    <w:rsid w:val="00BC1E35"/>
    <w:rsid w:val="00BC50F4"/>
    <w:rsid w:val="00BC7DDF"/>
    <w:rsid w:val="00BD1F6B"/>
    <w:rsid w:val="00BE5B56"/>
    <w:rsid w:val="00BE6DC4"/>
    <w:rsid w:val="00BF3A00"/>
    <w:rsid w:val="00BF5492"/>
    <w:rsid w:val="00BF578E"/>
    <w:rsid w:val="00BF638D"/>
    <w:rsid w:val="00C03308"/>
    <w:rsid w:val="00C1045B"/>
    <w:rsid w:val="00C203A1"/>
    <w:rsid w:val="00C25096"/>
    <w:rsid w:val="00C366EC"/>
    <w:rsid w:val="00C76835"/>
    <w:rsid w:val="00C81512"/>
    <w:rsid w:val="00C83EC4"/>
    <w:rsid w:val="00C909FE"/>
    <w:rsid w:val="00C93DAA"/>
    <w:rsid w:val="00CA49AC"/>
    <w:rsid w:val="00CE7CCC"/>
    <w:rsid w:val="00D0035A"/>
    <w:rsid w:val="00D06A11"/>
    <w:rsid w:val="00D26722"/>
    <w:rsid w:val="00D327DF"/>
    <w:rsid w:val="00D51057"/>
    <w:rsid w:val="00D51DD0"/>
    <w:rsid w:val="00D73D05"/>
    <w:rsid w:val="00D824FC"/>
    <w:rsid w:val="00D82B91"/>
    <w:rsid w:val="00D927D9"/>
    <w:rsid w:val="00DD51F6"/>
    <w:rsid w:val="00DD5F18"/>
    <w:rsid w:val="00DE13CB"/>
    <w:rsid w:val="00DE54F1"/>
    <w:rsid w:val="00DE5DB1"/>
    <w:rsid w:val="00E20044"/>
    <w:rsid w:val="00E20BE9"/>
    <w:rsid w:val="00E301A9"/>
    <w:rsid w:val="00E367F0"/>
    <w:rsid w:val="00E37DE0"/>
    <w:rsid w:val="00E414C3"/>
    <w:rsid w:val="00E44A84"/>
    <w:rsid w:val="00E52FDA"/>
    <w:rsid w:val="00E62A3E"/>
    <w:rsid w:val="00E95C41"/>
    <w:rsid w:val="00EA5696"/>
    <w:rsid w:val="00ED3685"/>
    <w:rsid w:val="00F003AF"/>
    <w:rsid w:val="00F14B24"/>
    <w:rsid w:val="00F21BD7"/>
    <w:rsid w:val="00F2391C"/>
    <w:rsid w:val="00F37D25"/>
    <w:rsid w:val="00F65180"/>
    <w:rsid w:val="00F668E3"/>
    <w:rsid w:val="00F671A7"/>
    <w:rsid w:val="00F80275"/>
    <w:rsid w:val="00F93D1B"/>
    <w:rsid w:val="00FC1C66"/>
    <w:rsid w:val="00FC3EF6"/>
    <w:rsid w:val="00FC71F4"/>
    <w:rsid w:val="00FD7DB8"/>
    <w:rsid w:val="00FE1A28"/>
    <w:rsid w:val="00FE6ABF"/>
    <w:rsid w:val="00FF186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462C"/>
  <w15:chartTrackingRefBased/>
  <w15:docId w15:val="{0E1C1D80-DD0D-4E54-8CE8-F867411C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nhideWhenUsed/>
    <w:rsid w:val="0070087B"/>
    <w:pPr>
      <w:spacing w:after="0" w:line="240" w:lineRule="auto"/>
    </w:pPr>
    <w:rPr>
      <w:sz w:val="20"/>
      <w:szCs w:val="20"/>
    </w:rPr>
  </w:style>
  <w:style w:type="character" w:customStyle="1" w:styleId="FootnoteTextChar">
    <w:name w:val="Footnote Text Char"/>
    <w:basedOn w:val="DefaultParagraphFont"/>
    <w:link w:val="FootnoteText1"/>
    <w:rsid w:val="0070087B"/>
    <w:rPr>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nhideWhenUsed/>
    <w:qFormat/>
    <w:rsid w:val="0070087B"/>
    <w:rPr>
      <w:vertAlign w:val="superscript"/>
    </w:rPr>
  </w:style>
  <w:style w:type="paragraph" w:styleId="Footer">
    <w:name w:val="footer"/>
    <w:basedOn w:val="Normal"/>
    <w:link w:val="FooterChar"/>
    <w:uiPriority w:val="99"/>
    <w:unhideWhenUsed/>
    <w:rsid w:val="0070087B"/>
    <w:pPr>
      <w:tabs>
        <w:tab w:val="center" w:pos="4680"/>
        <w:tab w:val="right" w:pos="9360"/>
      </w:tabs>
      <w:spacing w:after="0" w:line="240" w:lineRule="auto"/>
    </w:pPr>
    <w:rPr>
      <w:rFonts w:ascii="Calibri" w:eastAsia="Batang" w:hAnsi="Calibri" w:cs="Times New Roman"/>
      <w:lang w:val="es-ES"/>
    </w:rPr>
  </w:style>
  <w:style w:type="character" w:customStyle="1" w:styleId="FooterChar">
    <w:name w:val="Footer Char"/>
    <w:basedOn w:val="DefaultParagraphFont"/>
    <w:link w:val="Footer"/>
    <w:uiPriority w:val="99"/>
    <w:rsid w:val="0070087B"/>
    <w:rPr>
      <w:rFonts w:ascii="Calibri" w:eastAsia="Batang" w:hAnsi="Calibri" w:cs="Times New Roman"/>
      <w:lang w:val="es-ES"/>
    </w:rPr>
  </w:style>
  <w:style w:type="paragraph" w:customStyle="1" w:styleId="Appelnotedebasde">
    <w:name w:val="Appel note de bas de..."/>
    <w:basedOn w:val="Normal"/>
    <w:link w:val="FootnoteReference"/>
    <w:rsid w:val="0070087B"/>
    <w:pPr>
      <w:spacing w:line="240" w:lineRule="exact"/>
    </w:pPr>
    <w:rPr>
      <w:vertAlign w:val="superscript"/>
    </w:rPr>
  </w:style>
  <w:style w:type="paragraph" w:styleId="FootnoteText">
    <w:name w:val="footnote text"/>
    <w:basedOn w:val="Normal"/>
    <w:link w:val="FootnoteTextChar1"/>
    <w:uiPriority w:val="99"/>
    <w:semiHidden/>
    <w:unhideWhenUsed/>
    <w:rsid w:val="0070087B"/>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0087B"/>
    <w:rPr>
      <w:sz w:val="20"/>
      <w:szCs w:val="20"/>
    </w:rPr>
  </w:style>
  <w:style w:type="paragraph" w:styleId="BalloonText">
    <w:name w:val="Balloon Text"/>
    <w:basedOn w:val="Normal"/>
    <w:link w:val="BalloonTextChar"/>
    <w:uiPriority w:val="99"/>
    <w:semiHidden/>
    <w:unhideWhenUsed/>
    <w:rsid w:val="00700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87B"/>
    <w:rPr>
      <w:rFonts w:ascii="Segoe UI" w:hAnsi="Segoe UI" w:cs="Segoe UI"/>
      <w:sz w:val="18"/>
      <w:szCs w:val="18"/>
    </w:rPr>
  </w:style>
  <w:style w:type="paragraph" w:styleId="Header">
    <w:name w:val="header"/>
    <w:basedOn w:val="Normal"/>
    <w:link w:val="HeaderChar"/>
    <w:uiPriority w:val="99"/>
    <w:unhideWhenUsed/>
    <w:rsid w:val="00225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C34"/>
  </w:style>
  <w:style w:type="paragraph" w:styleId="ListParagraph">
    <w:name w:val="List Paragraph"/>
    <w:basedOn w:val="Normal"/>
    <w:uiPriority w:val="34"/>
    <w:qFormat/>
    <w:rsid w:val="00976DF4"/>
    <w:pPr>
      <w:ind w:left="720"/>
      <w:contextualSpacing/>
    </w:pPr>
  </w:style>
  <w:style w:type="character" w:styleId="CommentReference">
    <w:name w:val="annotation reference"/>
    <w:basedOn w:val="DefaultParagraphFont"/>
    <w:uiPriority w:val="99"/>
    <w:semiHidden/>
    <w:unhideWhenUsed/>
    <w:rsid w:val="00F37D25"/>
    <w:rPr>
      <w:sz w:val="16"/>
      <w:szCs w:val="16"/>
    </w:rPr>
  </w:style>
  <w:style w:type="paragraph" w:styleId="CommentText">
    <w:name w:val="annotation text"/>
    <w:basedOn w:val="Normal"/>
    <w:link w:val="CommentTextChar"/>
    <w:uiPriority w:val="99"/>
    <w:semiHidden/>
    <w:unhideWhenUsed/>
    <w:rsid w:val="00F37D25"/>
    <w:pPr>
      <w:spacing w:line="240" w:lineRule="auto"/>
    </w:pPr>
    <w:rPr>
      <w:sz w:val="20"/>
      <w:szCs w:val="20"/>
    </w:rPr>
  </w:style>
  <w:style w:type="character" w:customStyle="1" w:styleId="CommentTextChar">
    <w:name w:val="Comment Text Char"/>
    <w:basedOn w:val="DefaultParagraphFont"/>
    <w:link w:val="CommentText"/>
    <w:uiPriority w:val="99"/>
    <w:semiHidden/>
    <w:rsid w:val="00F37D25"/>
    <w:rPr>
      <w:sz w:val="20"/>
      <w:szCs w:val="20"/>
    </w:rPr>
  </w:style>
  <w:style w:type="paragraph" w:styleId="CommentSubject">
    <w:name w:val="annotation subject"/>
    <w:basedOn w:val="CommentText"/>
    <w:next w:val="CommentText"/>
    <w:link w:val="CommentSubjectChar"/>
    <w:uiPriority w:val="99"/>
    <w:semiHidden/>
    <w:unhideWhenUsed/>
    <w:rsid w:val="00F37D25"/>
    <w:rPr>
      <w:b/>
      <w:bCs/>
    </w:rPr>
  </w:style>
  <w:style w:type="character" w:customStyle="1" w:styleId="CommentSubjectChar">
    <w:name w:val="Comment Subject Char"/>
    <w:basedOn w:val="CommentTextChar"/>
    <w:link w:val="CommentSubject"/>
    <w:uiPriority w:val="99"/>
    <w:semiHidden/>
    <w:rsid w:val="00F37D25"/>
    <w:rPr>
      <w:b/>
      <w:bCs/>
      <w:sz w:val="20"/>
      <w:szCs w:val="20"/>
    </w:rPr>
  </w:style>
  <w:style w:type="paragraph" w:styleId="Revision">
    <w:name w:val="Revision"/>
    <w:hidden/>
    <w:uiPriority w:val="99"/>
    <w:semiHidden/>
    <w:rsid w:val="00F37D25"/>
    <w:pPr>
      <w:spacing w:after="0" w:line="240" w:lineRule="auto"/>
    </w:pPr>
  </w:style>
  <w:style w:type="character" w:styleId="Hyperlink">
    <w:name w:val="Hyperlink"/>
    <w:basedOn w:val="DefaultParagraphFont"/>
    <w:uiPriority w:val="99"/>
    <w:unhideWhenUsed/>
    <w:rsid w:val="009B08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50EF3-BD32-4792-83A3-4228EB6A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3678</Words>
  <Characters>20234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Luisa</dc:creator>
  <cp:keywords/>
  <dc:description/>
  <cp:lastModifiedBy>Silva, Luisa</cp:lastModifiedBy>
  <cp:revision>10</cp:revision>
  <cp:lastPrinted>2020-05-14T14:04:00Z</cp:lastPrinted>
  <dcterms:created xsi:type="dcterms:W3CDTF">2020-05-04T18:09:00Z</dcterms:created>
  <dcterms:modified xsi:type="dcterms:W3CDTF">2020-05-14T14:07:00Z</dcterms:modified>
</cp:coreProperties>
</file>