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6057" w14:textId="66EDD6FC" w:rsidR="00B455C9" w:rsidRPr="00315040" w:rsidRDefault="00023F57" w:rsidP="00023F57">
      <w:pPr>
        <w:jc w:val="center"/>
        <w:rPr>
          <w:rFonts w:ascii="Cambria" w:hAnsi="Cambria"/>
          <w:b/>
          <w:sz w:val="22"/>
          <w:szCs w:val="21"/>
          <w:lang w:val="es-ES"/>
        </w:rPr>
      </w:pPr>
      <w:r w:rsidRPr="00315040">
        <w:rPr>
          <w:rFonts w:ascii="Cambria" w:hAnsi="Cambria"/>
          <w:b/>
          <w:sz w:val="22"/>
          <w:szCs w:val="21"/>
          <w:lang w:val="es-ES"/>
        </w:rPr>
        <w:t>COMISIÓN INTERAMERICANA DE DERECHOS HUMANOS</w:t>
      </w:r>
    </w:p>
    <w:p w14:paraId="4D059F6B" w14:textId="7932B513" w:rsidR="004B2698" w:rsidRPr="00315040" w:rsidRDefault="00023F57" w:rsidP="00001040">
      <w:pPr>
        <w:jc w:val="center"/>
        <w:rPr>
          <w:rFonts w:ascii="Cambria" w:eastAsia="Batang" w:hAnsi="Cambria" w:cs="Times New Roman"/>
          <w:b/>
          <w:color w:val="000000"/>
          <w:sz w:val="22"/>
          <w:szCs w:val="21"/>
          <w:lang w:val="es-ES"/>
        </w:rPr>
      </w:pPr>
      <w:r w:rsidRPr="00315040">
        <w:rPr>
          <w:rFonts w:ascii="Cambria" w:hAnsi="Cambria"/>
          <w:b/>
          <w:sz w:val="22"/>
          <w:szCs w:val="21"/>
          <w:lang w:val="es-ES"/>
        </w:rPr>
        <w:t xml:space="preserve">RESOLUCIÓN </w:t>
      </w:r>
      <w:r w:rsidR="00315040" w:rsidRPr="00315040">
        <w:rPr>
          <w:rFonts w:ascii="Cambria" w:eastAsia="Batang" w:hAnsi="Cambria" w:cs="Times New Roman"/>
          <w:b/>
          <w:color w:val="000000"/>
          <w:sz w:val="22"/>
          <w:szCs w:val="21"/>
          <w:lang w:val="es-ES"/>
        </w:rPr>
        <w:t>59</w:t>
      </w:r>
      <w:r w:rsidR="004B2698" w:rsidRPr="00315040">
        <w:rPr>
          <w:rFonts w:ascii="Cambria" w:eastAsia="Batang" w:hAnsi="Cambria" w:cs="Times New Roman"/>
          <w:b/>
          <w:color w:val="000000"/>
          <w:sz w:val="22"/>
          <w:szCs w:val="21"/>
          <w:lang w:val="es-ES"/>
        </w:rPr>
        <w:t>/2019</w:t>
      </w:r>
    </w:p>
    <w:p w14:paraId="6BC19B4B" w14:textId="2D86C273" w:rsidR="004B2698" w:rsidRPr="00315040" w:rsidRDefault="00023F57" w:rsidP="00001040">
      <w:pPr>
        <w:jc w:val="center"/>
        <w:rPr>
          <w:rFonts w:ascii="Cambria" w:eastAsia="Batang" w:hAnsi="Cambria" w:cs="Times New Roman"/>
          <w:color w:val="000000"/>
          <w:sz w:val="22"/>
          <w:szCs w:val="21"/>
          <w:lang w:val="es-ES"/>
        </w:rPr>
      </w:pPr>
      <w:r w:rsidRPr="00315040">
        <w:rPr>
          <w:rFonts w:ascii="Cambria" w:eastAsia="Batang" w:hAnsi="Cambria" w:cs="Times New Roman"/>
          <w:color w:val="000000"/>
          <w:sz w:val="22"/>
          <w:szCs w:val="21"/>
          <w:lang w:val="es-ES"/>
        </w:rPr>
        <w:t>Medida cautelar</w:t>
      </w:r>
      <w:r w:rsidR="004B2698" w:rsidRPr="00315040">
        <w:rPr>
          <w:rFonts w:ascii="Cambria" w:eastAsia="Batang" w:hAnsi="Cambria" w:cs="Times New Roman"/>
          <w:color w:val="000000"/>
          <w:sz w:val="22"/>
          <w:szCs w:val="21"/>
          <w:lang w:val="es-ES"/>
        </w:rPr>
        <w:t xml:space="preserve"> No. </w:t>
      </w:r>
      <w:r w:rsidR="00BF49EA" w:rsidRPr="00315040">
        <w:rPr>
          <w:rFonts w:ascii="Cambria" w:eastAsia="Batang" w:hAnsi="Cambria" w:cs="Times New Roman"/>
          <w:color w:val="000000"/>
          <w:sz w:val="22"/>
          <w:szCs w:val="21"/>
          <w:lang w:val="es-ES"/>
        </w:rPr>
        <w:t>984</w:t>
      </w:r>
      <w:r w:rsidR="004B2698" w:rsidRPr="00315040">
        <w:rPr>
          <w:rFonts w:ascii="Cambria" w:eastAsia="Batang" w:hAnsi="Cambria" w:cs="Times New Roman"/>
          <w:color w:val="000000"/>
          <w:sz w:val="22"/>
          <w:szCs w:val="21"/>
          <w:lang w:val="es-ES"/>
        </w:rPr>
        <w:t>-1</w:t>
      </w:r>
      <w:r w:rsidR="00184F9E" w:rsidRPr="00315040">
        <w:rPr>
          <w:rFonts w:ascii="Cambria" w:eastAsia="Batang" w:hAnsi="Cambria" w:cs="Times New Roman"/>
          <w:color w:val="000000"/>
          <w:sz w:val="22"/>
          <w:szCs w:val="21"/>
          <w:lang w:val="es-ES"/>
        </w:rPr>
        <w:t>9</w:t>
      </w:r>
    </w:p>
    <w:p w14:paraId="7D6F7AC3" w14:textId="77777777" w:rsidR="004B2698" w:rsidRPr="00315040" w:rsidRDefault="004B2698" w:rsidP="004E3721">
      <w:pPr>
        <w:jc w:val="center"/>
        <w:rPr>
          <w:rFonts w:ascii="Cambria" w:eastAsia="Batang" w:hAnsi="Cambria" w:cs="Times New Roman"/>
          <w:color w:val="000000"/>
          <w:sz w:val="21"/>
          <w:szCs w:val="21"/>
          <w:lang w:val="es-ES"/>
        </w:rPr>
      </w:pPr>
    </w:p>
    <w:p w14:paraId="38C5880C" w14:textId="03519BDE" w:rsidR="004B2698" w:rsidRPr="00315040" w:rsidRDefault="00023F57" w:rsidP="004E3721">
      <w:pPr>
        <w:jc w:val="center"/>
        <w:rPr>
          <w:rFonts w:ascii="Cambria" w:eastAsia="Batang" w:hAnsi="Cambria" w:cs="Times New Roman"/>
          <w:color w:val="000000"/>
          <w:sz w:val="26"/>
          <w:szCs w:val="26"/>
          <w:lang w:val="es-ES"/>
        </w:rPr>
      </w:pPr>
      <w:r w:rsidRPr="00315040">
        <w:rPr>
          <w:rFonts w:ascii="Cambria" w:eastAsia="Batang" w:hAnsi="Cambria" w:cs="Times New Roman"/>
          <w:color w:val="000000"/>
          <w:sz w:val="26"/>
          <w:szCs w:val="26"/>
          <w:lang w:val="es-ES"/>
        </w:rPr>
        <w:t>Niño</w:t>
      </w:r>
      <w:r w:rsidR="00BF49EA" w:rsidRPr="00315040">
        <w:rPr>
          <w:rFonts w:ascii="Cambria" w:eastAsia="Batang" w:hAnsi="Cambria" w:cs="Times New Roman"/>
          <w:color w:val="000000"/>
          <w:sz w:val="26"/>
          <w:szCs w:val="26"/>
          <w:lang w:val="es-ES"/>
        </w:rPr>
        <w:t xml:space="preserve"> J.M.V</w:t>
      </w:r>
      <w:r w:rsidR="005C3205" w:rsidRPr="00315040">
        <w:rPr>
          <w:rFonts w:ascii="Cambria" w:eastAsia="Batang" w:hAnsi="Cambria" w:cs="Times New Roman"/>
          <w:color w:val="000000"/>
          <w:sz w:val="26"/>
          <w:szCs w:val="26"/>
          <w:lang w:val="es-ES"/>
        </w:rPr>
        <w:t>.</w:t>
      </w:r>
      <w:r w:rsidR="00B455C9" w:rsidRPr="00315040">
        <w:rPr>
          <w:rFonts w:ascii="Cambria" w:eastAsia="Batang" w:hAnsi="Cambria" w:cs="Times New Roman"/>
          <w:color w:val="000000"/>
          <w:sz w:val="26"/>
          <w:szCs w:val="26"/>
          <w:lang w:val="es-ES"/>
        </w:rPr>
        <w:t xml:space="preserve"> </w:t>
      </w:r>
      <w:r w:rsidRPr="00315040">
        <w:rPr>
          <w:rFonts w:ascii="Cambria" w:eastAsia="Batang" w:hAnsi="Cambria" w:cs="Times New Roman"/>
          <w:color w:val="000000"/>
          <w:sz w:val="26"/>
          <w:szCs w:val="26"/>
          <w:lang w:val="es-ES"/>
        </w:rPr>
        <w:t>respecto de</w:t>
      </w:r>
      <w:r w:rsidR="00B455C9" w:rsidRPr="00315040">
        <w:rPr>
          <w:rFonts w:ascii="Cambria" w:eastAsia="Batang" w:hAnsi="Cambria" w:cs="Times New Roman"/>
          <w:color w:val="000000"/>
          <w:sz w:val="26"/>
          <w:szCs w:val="26"/>
          <w:lang w:val="es-ES"/>
        </w:rPr>
        <w:t xml:space="preserve"> </w:t>
      </w:r>
      <w:r w:rsidR="00BF49EA" w:rsidRPr="00315040">
        <w:rPr>
          <w:rFonts w:ascii="Cambria" w:eastAsia="Batang" w:hAnsi="Cambria" w:cs="Times New Roman"/>
          <w:color w:val="000000"/>
          <w:sz w:val="26"/>
          <w:szCs w:val="26"/>
          <w:lang w:val="es-ES"/>
        </w:rPr>
        <w:t xml:space="preserve">Trinidad </w:t>
      </w:r>
      <w:r w:rsidR="008D2A23" w:rsidRPr="00315040">
        <w:rPr>
          <w:rFonts w:ascii="Cambria" w:eastAsia="Batang" w:hAnsi="Cambria" w:cs="Times New Roman"/>
          <w:color w:val="000000"/>
          <w:sz w:val="26"/>
          <w:szCs w:val="26"/>
          <w:lang w:val="es-ES"/>
        </w:rPr>
        <w:t>y</w:t>
      </w:r>
      <w:r w:rsidR="00BF49EA" w:rsidRPr="00315040">
        <w:rPr>
          <w:rFonts w:ascii="Cambria" w:eastAsia="Batang" w:hAnsi="Cambria" w:cs="Times New Roman"/>
          <w:color w:val="000000"/>
          <w:sz w:val="26"/>
          <w:szCs w:val="26"/>
          <w:lang w:val="es-ES"/>
        </w:rPr>
        <w:t xml:space="preserve"> Tobago</w:t>
      </w:r>
    </w:p>
    <w:p w14:paraId="0D00FBEB" w14:textId="176785DE" w:rsidR="004B2698" w:rsidRPr="00315040" w:rsidRDefault="00315040" w:rsidP="004E3721">
      <w:pPr>
        <w:jc w:val="center"/>
        <w:rPr>
          <w:rFonts w:ascii="Cambria" w:eastAsia="Batang" w:hAnsi="Cambria" w:cs="Times New Roman"/>
          <w:color w:val="000000"/>
          <w:sz w:val="20"/>
          <w:szCs w:val="21"/>
          <w:lang w:val="es-ES"/>
        </w:rPr>
      </w:pPr>
      <w:r w:rsidRPr="00315040">
        <w:rPr>
          <w:rFonts w:ascii="Cambria" w:eastAsia="Batang" w:hAnsi="Cambria" w:cs="Times New Roman"/>
          <w:color w:val="000000"/>
          <w:sz w:val="20"/>
          <w:szCs w:val="20"/>
          <w:lang w:val="es-ES"/>
        </w:rPr>
        <w:t>9</w:t>
      </w:r>
      <w:r w:rsidR="00F303BD">
        <w:rPr>
          <w:rFonts w:ascii="Cambria" w:eastAsia="Batang" w:hAnsi="Cambria" w:cs="Times New Roman"/>
          <w:color w:val="000000"/>
          <w:sz w:val="20"/>
          <w:szCs w:val="20"/>
          <w:lang w:val="es-ES"/>
        </w:rPr>
        <w:t xml:space="preserve"> de diciembre</w:t>
      </w:r>
      <w:r w:rsidR="00023F57" w:rsidRPr="00315040">
        <w:rPr>
          <w:rFonts w:ascii="Cambria" w:eastAsia="Batang" w:hAnsi="Cambria" w:cs="Times New Roman"/>
          <w:color w:val="000000"/>
          <w:sz w:val="20"/>
          <w:szCs w:val="20"/>
          <w:lang w:val="es-ES"/>
        </w:rPr>
        <w:t xml:space="preserve"> de </w:t>
      </w:r>
      <w:r w:rsidR="00B455C9" w:rsidRPr="00315040">
        <w:rPr>
          <w:rFonts w:ascii="Cambria" w:eastAsia="Batang" w:hAnsi="Cambria" w:cs="Times New Roman"/>
          <w:color w:val="000000"/>
          <w:sz w:val="20"/>
          <w:szCs w:val="20"/>
          <w:lang w:val="es-ES"/>
        </w:rPr>
        <w:t>2019</w:t>
      </w:r>
    </w:p>
    <w:p w14:paraId="79CD2BC0" w14:textId="4517A1C8" w:rsidR="004B2698" w:rsidRPr="00D5543D" w:rsidRDefault="004B2698" w:rsidP="004E3721">
      <w:pPr>
        <w:jc w:val="both"/>
        <w:rPr>
          <w:rFonts w:ascii="Cambria" w:eastAsia="Batang" w:hAnsi="Cambria" w:cs="Times New Roman"/>
          <w:color w:val="000000"/>
          <w:sz w:val="21"/>
          <w:szCs w:val="21"/>
          <w:lang w:val="es-US"/>
        </w:rPr>
      </w:pPr>
    </w:p>
    <w:p w14:paraId="36A653D8" w14:textId="77777777" w:rsidR="00AA7DD8" w:rsidRPr="00D5543D" w:rsidRDefault="00AA7DD8" w:rsidP="004E3721">
      <w:pPr>
        <w:jc w:val="both"/>
        <w:rPr>
          <w:rFonts w:ascii="Cambria" w:eastAsia="Batang" w:hAnsi="Cambria" w:cs="Times New Roman"/>
          <w:color w:val="000000"/>
          <w:sz w:val="21"/>
          <w:szCs w:val="21"/>
          <w:lang w:val="es-US"/>
        </w:rPr>
      </w:pPr>
    </w:p>
    <w:p w14:paraId="4F146C98" w14:textId="172C8202" w:rsidR="004B2698" w:rsidRPr="008C1A90" w:rsidRDefault="00023F57" w:rsidP="00023F57">
      <w:pPr>
        <w:pStyle w:val="ListParagraph"/>
        <w:numPr>
          <w:ilvl w:val="0"/>
          <w:numId w:val="2"/>
        </w:numPr>
        <w:spacing w:after="0" w:line="240" w:lineRule="auto"/>
        <w:jc w:val="both"/>
        <w:rPr>
          <w:rFonts w:ascii="Cambria" w:eastAsiaTheme="minorHAnsi" w:hAnsi="Cambria"/>
          <w:b/>
          <w:sz w:val="21"/>
          <w:szCs w:val="21"/>
          <w:lang w:val="es-ES_tradnl"/>
        </w:rPr>
      </w:pPr>
      <w:r w:rsidRPr="008C1A90">
        <w:rPr>
          <w:rFonts w:ascii="Cambria" w:hAnsi="Cambria"/>
          <w:b/>
          <w:sz w:val="21"/>
          <w:szCs w:val="21"/>
          <w:lang w:val="es-ES_tradnl"/>
        </w:rPr>
        <w:t>INTRODUCCIÓN</w:t>
      </w:r>
    </w:p>
    <w:p w14:paraId="5D96E932" w14:textId="77777777" w:rsidR="004B2698" w:rsidRPr="008C1A90" w:rsidRDefault="004B2698" w:rsidP="004E3721">
      <w:pPr>
        <w:ind w:left="720"/>
        <w:jc w:val="both"/>
        <w:rPr>
          <w:rFonts w:ascii="Cambria" w:eastAsia="Batang" w:hAnsi="Cambria" w:cs="Times New Roman"/>
          <w:b/>
          <w:color w:val="000000"/>
          <w:sz w:val="21"/>
          <w:szCs w:val="21"/>
          <w:lang w:val="en-US"/>
        </w:rPr>
      </w:pPr>
    </w:p>
    <w:p w14:paraId="017D052D" w14:textId="3A8A8D23" w:rsidR="004B2698" w:rsidRPr="008C1A90" w:rsidRDefault="00023F57" w:rsidP="004E372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El 22 de octubre de 2019, la Comisión Interamericana de Derechos Humanos </w:t>
      </w:r>
      <w:r w:rsidRPr="008C1A90">
        <w:rPr>
          <w:rFonts w:ascii="Cambria" w:hAnsi="Cambria"/>
          <w:sz w:val="21"/>
          <w:szCs w:val="21"/>
          <w:lang w:val="es-ES"/>
        </w:rPr>
        <w:t xml:space="preserve">(“la Comisión Interamericana”, “la Comisión” o “la CIDH”) recibió una solicitud de medidas cautelares a favor del niño J.M.V. (“el propuesto beneficiario”) interpuesta por la organización no gubernamental “Defiende Venezuela” (“los solicitantes”), instando a la Comisión que requiera al Estado de Trinidad y Tobago (“Trinidad y Tobago” o “el Estado”) la adopción de las medidas necesarias para proteger sus derechos a la identidad, familia e integridad personal. </w:t>
      </w:r>
      <w:r w:rsidR="00F303BD" w:rsidRPr="008C1A90">
        <w:rPr>
          <w:rFonts w:ascii="Cambria" w:hAnsi="Cambria"/>
          <w:sz w:val="21"/>
          <w:szCs w:val="21"/>
          <w:lang w:val="es-ES"/>
        </w:rPr>
        <w:t>Según</w:t>
      </w:r>
      <w:r w:rsidRPr="008C1A90">
        <w:rPr>
          <w:rFonts w:ascii="Cambria" w:hAnsi="Cambria"/>
          <w:sz w:val="21"/>
          <w:szCs w:val="21"/>
          <w:lang w:val="es-ES"/>
        </w:rPr>
        <w:t xml:space="preserve"> la solicitud, </w:t>
      </w:r>
      <w:r w:rsidR="007A3C0F" w:rsidRPr="008C1A90">
        <w:rPr>
          <w:rFonts w:ascii="Cambria" w:hAnsi="Cambria"/>
          <w:sz w:val="21"/>
          <w:szCs w:val="21"/>
          <w:lang w:val="es-ES"/>
        </w:rPr>
        <w:t>el Estado asumió la custodia del propuesto beneficiario, de un año de edad, poco después de nacer, sin que este haya tenido contacto con su familia biológica desde entonces.</w:t>
      </w:r>
    </w:p>
    <w:p w14:paraId="1170E744" w14:textId="77777777" w:rsidR="00601233" w:rsidRPr="008C1A90"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47B05BF" w14:textId="7179FCA3" w:rsidR="004B2698" w:rsidRPr="008C1A90" w:rsidRDefault="007A3C0F" w:rsidP="003F37A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La Comisión solicitó información al Estado el 29 de octubre de 2019, según lo dispuesto en el artículo 25 del Reglamento. Sin embargo, no se ha recibido </w:t>
      </w:r>
      <w:r w:rsidR="00220058" w:rsidRPr="008C1A90">
        <w:rPr>
          <w:rFonts w:ascii="Cambria" w:eastAsia="Batang" w:hAnsi="Cambria" w:cs="Times New Roman"/>
          <w:color w:val="000000" w:themeColor="text1"/>
          <w:sz w:val="21"/>
          <w:szCs w:val="21"/>
          <w:lang w:val="es-ES"/>
        </w:rPr>
        <w:t>respuesta alguna</w:t>
      </w:r>
      <w:r w:rsidRPr="008C1A90">
        <w:rPr>
          <w:rFonts w:ascii="Cambria" w:eastAsia="Batang" w:hAnsi="Cambria" w:cs="Times New Roman"/>
          <w:color w:val="000000" w:themeColor="text1"/>
          <w:sz w:val="21"/>
          <w:szCs w:val="21"/>
          <w:lang w:val="es-ES"/>
        </w:rPr>
        <w:t xml:space="preserve"> </w:t>
      </w:r>
      <w:r w:rsidR="00220058" w:rsidRPr="008C1A90">
        <w:rPr>
          <w:rFonts w:ascii="Cambria" w:eastAsia="Batang" w:hAnsi="Cambria" w:cs="Times New Roman"/>
          <w:color w:val="000000" w:themeColor="text1"/>
          <w:sz w:val="21"/>
          <w:szCs w:val="21"/>
          <w:lang w:val="es-ES"/>
        </w:rPr>
        <w:t>hasta la fecha</w:t>
      </w:r>
      <w:r w:rsidRPr="008C1A90">
        <w:rPr>
          <w:rFonts w:ascii="Cambria" w:eastAsia="Batang" w:hAnsi="Cambria" w:cs="Times New Roman"/>
          <w:color w:val="000000" w:themeColor="text1"/>
          <w:sz w:val="21"/>
          <w:szCs w:val="21"/>
          <w:lang w:val="es-ES"/>
        </w:rPr>
        <w:t>. Los solicitantes enviaron información adicional el 7 de noviembre de 2019.</w:t>
      </w:r>
    </w:p>
    <w:p w14:paraId="3364E80E" w14:textId="77777777" w:rsidR="00601233" w:rsidRPr="008C1A90"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5222C3F" w14:textId="2282E107" w:rsidR="00E850D8" w:rsidRPr="008C1A90" w:rsidRDefault="007A3C0F" w:rsidP="000F3BA2">
      <w:pPr>
        <w:pStyle w:val="ListParagraph"/>
        <w:numPr>
          <w:ilvl w:val="0"/>
          <w:numId w:val="3"/>
        </w:numPr>
        <w:spacing w:line="240" w:lineRule="auto"/>
        <w:ind w:left="0" w:firstLine="360"/>
        <w:jc w:val="both"/>
        <w:rPr>
          <w:rFonts w:ascii="Cambria" w:hAnsi="Cambria"/>
          <w:sz w:val="21"/>
          <w:szCs w:val="21"/>
          <w:lang w:val="es-ES"/>
        </w:rPr>
      </w:pPr>
      <w:r w:rsidRPr="008C1A90">
        <w:rPr>
          <w:rFonts w:ascii="Cambria" w:hAnsi="Cambria"/>
          <w:sz w:val="21"/>
          <w:szCs w:val="21"/>
          <w:lang w:val="es-ES"/>
        </w:rPr>
        <w:t xml:space="preserve">Tras analizar las alegaciones de hecho y de derecho aportadas por las partes, la Comisión considera que la información aportada demuestra, desde el estándar </w:t>
      </w:r>
      <w:r w:rsidRPr="008C1A90">
        <w:rPr>
          <w:rFonts w:ascii="Cambria" w:hAnsi="Cambria"/>
          <w:i/>
          <w:sz w:val="21"/>
          <w:szCs w:val="21"/>
          <w:lang w:val="es-ES"/>
        </w:rPr>
        <w:t>prima facie</w:t>
      </w:r>
      <w:r w:rsidRPr="008C1A90">
        <w:rPr>
          <w:rFonts w:ascii="Cambria" w:hAnsi="Cambria"/>
          <w:sz w:val="21"/>
          <w:szCs w:val="21"/>
          <w:lang w:val="es-ES"/>
        </w:rPr>
        <w:t xml:space="preserve"> aplicable, que el niño J.M.V. se encuentra en una situación de gravedad y urgencia, toda vez que sus derechos a la identidad, familia e integridad personal enfrentan un grave riesgo de daño irreparable. Por consiguiente, en virtud del artículo 25 de su Reglamento, la Comisi</w:t>
      </w:r>
      <w:r w:rsidR="008771C5" w:rsidRPr="008C1A90">
        <w:rPr>
          <w:rFonts w:ascii="Cambria" w:hAnsi="Cambria"/>
          <w:sz w:val="21"/>
          <w:szCs w:val="21"/>
          <w:lang w:val="es-ES"/>
        </w:rPr>
        <w:t xml:space="preserve">ón solicita que el Estado de </w:t>
      </w:r>
      <w:r w:rsidR="00220058" w:rsidRPr="008C1A90">
        <w:rPr>
          <w:rFonts w:ascii="Cambria" w:hAnsi="Cambria"/>
          <w:sz w:val="21"/>
          <w:szCs w:val="21"/>
          <w:lang w:val="es-ES"/>
        </w:rPr>
        <w:t>Trinidad y Tobag</w:t>
      </w:r>
      <w:r w:rsidRPr="008C1A90">
        <w:rPr>
          <w:rFonts w:ascii="Cambria" w:hAnsi="Cambria"/>
          <w:sz w:val="21"/>
          <w:szCs w:val="21"/>
          <w:lang w:val="es-ES"/>
        </w:rPr>
        <w:t xml:space="preserve">o adopte las medidas necesarias para proteger los derechos a la integridad personal, identidad y familia de J.M.V. mediante un análisis </w:t>
      </w:r>
      <w:r w:rsidR="00F303BD" w:rsidRPr="008C1A90">
        <w:rPr>
          <w:rFonts w:ascii="Cambria" w:hAnsi="Cambria"/>
          <w:sz w:val="21"/>
          <w:szCs w:val="21"/>
          <w:lang w:val="es-ES"/>
        </w:rPr>
        <w:t xml:space="preserve">oportuno </w:t>
      </w:r>
      <w:r w:rsidRPr="008C1A90">
        <w:rPr>
          <w:rFonts w:ascii="Cambria" w:hAnsi="Cambria"/>
          <w:sz w:val="21"/>
          <w:szCs w:val="21"/>
          <w:lang w:val="es-ES"/>
        </w:rPr>
        <w:t xml:space="preserve">para determinar si las medidas que se han dictado a favor del propuesto beneficiario respetan el interés superior del niño, </w:t>
      </w:r>
      <w:r w:rsidR="008771C5" w:rsidRPr="008C1A90">
        <w:rPr>
          <w:rFonts w:ascii="Cambria" w:hAnsi="Cambria"/>
          <w:sz w:val="21"/>
          <w:szCs w:val="21"/>
          <w:lang w:val="es-ES"/>
        </w:rPr>
        <w:t xml:space="preserve">en conformidad </w:t>
      </w:r>
      <w:r w:rsidRPr="008C1A90">
        <w:rPr>
          <w:rFonts w:ascii="Cambria" w:hAnsi="Cambria"/>
          <w:sz w:val="21"/>
          <w:szCs w:val="21"/>
          <w:lang w:val="es-ES"/>
        </w:rPr>
        <w:t xml:space="preserve">con los estándares internacionales aplicables en este </w:t>
      </w:r>
      <w:r w:rsidR="00D03538" w:rsidRPr="008C1A90">
        <w:rPr>
          <w:rFonts w:ascii="Cambria" w:hAnsi="Cambria"/>
          <w:sz w:val="21"/>
          <w:szCs w:val="21"/>
          <w:lang w:val="es-ES"/>
        </w:rPr>
        <w:t>caso</w:t>
      </w:r>
      <w:r w:rsidRPr="008C1A90">
        <w:rPr>
          <w:rFonts w:ascii="Cambria" w:hAnsi="Cambria"/>
          <w:sz w:val="21"/>
          <w:szCs w:val="21"/>
          <w:lang w:val="es-ES"/>
        </w:rPr>
        <w:t xml:space="preserve">. Asimismo, dicho análisis debe fundamentarse en una evaluación técnica actualizada y relevante, en consonancia con los estándares internacionales relevantes en este </w:t>
      </w:r>
      <w:r w:rsidR="00D03538" w:rsidRPr="008C1A90">
        <w:rPr>
          <w:rFonts w:ascii="Cambria" w:hAnsi="Cambria"/>
          <w:sz w:val="21"/>
          <w:szCs w:val="21"/>
          <w:lang w:val="es-ES"/>
        </w:rPr>
        <w:t>asunto</w:t>
      </w:r>
      <w:r w:rsidRPr="008C1A90">
        <w:rPr>
          <w:rFonts w:ascii="Cambria" w:hAnsi="Cambria"/>
          <w:sz w:val="21"/>
          <w:szCs w:val="21"/>
          <w:lang w:val="es-ES"/>
        </w:rPr>
        <w:t xml:space="preserve">, en especial a la luz de los párrafos </w:t>
      </w:r>
      <w:r w:rsidR="00294BB9" w:rsidRPr="008C1A90">
        <w:rPr>
          <w:rFonts w:ascii="Cambria" w:hAnsi="Cambria"/>
          <w:sz w:val="21"/>
          <w:szCs w:val="21"/>
          <w:lang w:val="es-ES"/>
        </w:rPr>
        <w:t>17</w:t>
      </w:r>
      <w:r w:rsidR="00F303BD" w:rsidRPr="008C1A90">
        <w:rPr>
          <w:rFonts w:ascii="Cambria" w:hAnsi="Cambria"/>
          <w:sz w:val="21"/>
          <w:szCs w:val="21"/>
          <w:lang w:val="es-ES"/>
        </w:rPr>
        <w:t>,</w:t>
      </w:r>
      <w:r w:rsidR="00247169" w:rsidRPr="008C1A90">
        <w:rPr>
          <w:rFonts w:ascii="Cambria" w:hAnsi="Cambria"/>
          <w:sz w:val="21"/>
          <w:szCs w:val="21"/>
          <w:lang w:val="es-ES"/>
        </w:rPr>
        <w:t xml:space="preserve"> y</w:t>
      </w:r>
      <w:r w:rsidRPr="008C1A90">
        <w:rPr>
          <w:rFonts w:ascii="Cambria" w:hAnsi="Cambria"/>
          <w:sz w:val="21"/>
          <w:szCs w:val="21"/>
          <w:lang w:val="es-ES"/>
        </w:rPr>
        <w:t xml:space="preserve"> </w:t>
      </w:r>
      <w:r w:rsidR="00294BB9" w:rsidRPr="008C1A90">
        <w:rPr>
          <w:rFonts w:ascii="Cambria" w:hAnsi="Cambria"/>
          <w:sz w:val="21"/>
          <w:szCs w:val="21"/>
          <w:lang w:val="es-ES"/>
        </w:rPr>
        <w:t>19</w:t>
      </w:r>
      <w:r w:rsidR="00247169" w:rsidRPr="008C1A90">
        <w:rPr>
          <w:rFonts w:ascii="Cambria" w:hAnsi="Cambria"/>
          <w:sz w:val="21"/>
          <w:szCs w:val="21"/>
          <w:lang w:val="es-ES"/>
        </w:rPr>
        <w:t xml:space="preserve"> al </w:t>
      </w:r>
      <w:r w:rsidR="00294BB9" w:rsidRPr="008C1A90">
        <w:rPr>
          <w:rFonts w:ascii="Cambria" w:hAnsi="Cambria"/>
          <w:sz w:val="21"/>
          <w:szCs w:val="21"/>
          <w:lang w:val="es-ES"/>
        </w:rPr>
        <w:t>21</w:t>
      </w:r>
      <w:r w:rsidRPr="008C1A90">
        <w:rPr>
          <w:rFonts w:ascii="Cambria" w:hAnsi="Cambria"/>
          <w:sz w:val="21"/>
          <w:szCs w:val="21"/>
          <w:lang w:val="es-ES"/>
        </w:rPr>
        <w:t xml:space="preserve"> de la presente resolución</w:t>
      </w:r>
      <w:r w:rsidR="00066159" w:rsidRPr="008C1A90">
        <w:rPr>
          <w:rFonts w:ascii="Cambria" w:eastAsia="Batang" w:hAnsi="Cambria" w:cs="Times New Roman"/>
          <w:color w:val="000000" w:themeColor="text1"/>
          <w:sz w:val="21"/>
          <w:szCs w:val="21"/>
          <w:lang w:val="es-ES"/>
        </w:rPr>
        <w:t>.</w:t>
      </w:r>
    </w:p>
    <w:p w14:paraId="17772048" w14:textId="501E17C9" w:rsidR="00E850D8" w:rsidRPr="008C1A90" w:rsidRDefault="00E850D8" w:rsidP="00001040">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3E36E53D" w14:textId="31CBFD73" w:rsidR="004B2698" w:rsidRPr="008C1A90" w:rsidRDefault="001362B5" w:rsidP="00603734">
      <w:pPr>
        <w:numPr>
          <w:ilvl w:val="0"/>
          <w:numId w:val="2"/>
        </w:numPr>
        <w:ind w:hanging="294"/>
        <w:jc w:val="both"/>
        <w:rPr>
          <w:rFonts w:ascii="Cambria" w:eastAsia="Batang" w:hAnsi="Cambria" w:cs="Times New Roman"/>
          <w:b/>
          <w:color w:val="000000" w:themeColor="text1"/>
          <w:sz w:val="21"/>
          <w:szCs w:val="21"/>
          <w:lang w:val="es-ES"/>
        </w:rPr>
      </w:pPr>
      <w:r w:rsidRPr="008C1A90">
        <w:rPr>
          <w:rFonts w:ascii="Cambria" w:hAnsi="Cambria"/>
          <w:b/>
          <w:sz w:val="21"/>
          <w:szCs w:val="21"/>
          <w:lang w:val="es-ES_tradnl"/>
        </w:rPr>
        <w:t>RESUMEN DE LOS HECHOS Y ARGUMENTOS</w:t>
      </w:r>
      <w:r w:rsidR="004B2698" w:rsidRPr="008C1A90">
        <w:rPr>
          <w:rFonts w:ascii="Cambria" w:eastAsia="Batang" w:hAnsi="Cambria" w:cs="Times New Roman"/>
          <w:b/>
          <w:color w:val="000000" w:themeColor="text1"/>
          <w:sz w:val="21"/>
          <w:szCs w:val="21"/>
          <w:lang w:val="es-ES"/>
        </w:rPr>
        <w:t xml:space="preserve"> </w:t>
      </w:r>
    </w:p>
    <w:p w14:paraId="5B053631" w14:textId="77777777" w:rsidR="004B2698" w:rsidRPr="008C1A90" w:rsidRDefault="004B2698" w:rsidP="00603734">
      <w:pPr>
        <w:jc w:val="both"/>
        <w:rPr>
          <w:rFonts w:ascii="Cambria" w:eastAsia="Batang" w:hAnsi="Cambria" w:cs="Times New Roman"/>
          <w:color w:val="000000"/>
          <w:sz w:val="21"/>
          <w:szCs w:val="21"/>
          <w:lang w:val="es-ES"/>
        </w:rPr>
      </w:pPr>
    </w:p>
    <w:p w14:paraId="71FCD841" w14:textId="3C5B6A4A" w:rsidR="004B2698" w:rsidRPr="008C1A90" w:rsidRDefault="001362B5" w:rsidP="00603734">
      <w:pPr>
        <w:numPr>
          <w:ilvl w:val="0"/>
          <w:numId w:val="4"/>
        </w:numPr>
        <w:jc w:val="both"/>
        <w:rPr>
          <w:rFonts w:ascii="Cambria" w:eastAsia="Batang" w:hAnsi="Cambria" w:cs="Times New Roman"/>
          <w:b/>
          <w:color w:val="000000"/>
          <w:sz w:val="21"/>
          <w:szCs w:val="21"/>
          <w:lang w:val="es-ES"/>
        </w:rPr>
      </w:pPr>
      <w:r w:rsidRPr="008C1A90">
        <w:rPr>
          <w:rFonts w:ascii="Cambria" w:hAnsi="Cambria"/>
          <w:b/>
          <w:sz w:val="21"/>
          <w:szCs w:val="21"/>
          <w:lang w:val="es-ES_tradnl"/>
        </w:rPr>
        <w:t>Información aportada por la solicitante</w:t>
      </w:r>
    </w:p>
    <w:p w14:paraId="4DB7E4C6" w14:textId="77777777" w:rsidR="00C31FCE" w:rsidRPr="008C1A90" w:rsidRDefault="00C31FCE" w:rsidP="002C7A90">
      <w:pPr>
        <w:ind w:left="360"/>
        <w:jc w:val="both"/>
        <w:rPr>
          <w:rFonts w:ascii="Cambria" w:eastAsia="Batang" w:hAnsi="Cambria" w:cs="Times New Roman"/>
          <w:b/>
          <w:color w:val="000000"/>
          <w:sz w:val="21"/>
          <w:szCs w:val="21"/>
          <w:lang w:val="es-ES"/>
        </w:rPr>
      </w:pPr>
    </w:p>
    <w:p w14:paraId="22D06F93" w14:textId="77E01930" w:rsidR="00C31FCE" w:rsidRPr="008C1A90" w:rsidRDefault="001362B5" w:rsidP="002C7A90">
      <w:pPr>
        <w:pStyle w:val="ListParagraph"/>
        <w:numPr>
          <w:ilvl w:val="0"/>
          <w:numId w:val="8"/>
        </w:numPr>
        <w:jc w:val="both"/>
        <w:rPr>
          <w:rFonts w:ascii="Cambria" w:eastAsia="Batang" w:hAnsi="Cambria" w:cs="Times New Roman"/>
          <w:b/>
          <w:i/>
          <w:color w:val="000000"/>
          <w:sz w:val="21"/>
          <w:szCs w:val="21"/>
          <w:lang w:val="es-ES"/>
        </w:rPr>
      </w:pPr>
      <w:r w:rsidRPr="008C1A90">
        <w:rPr>
          <w:rFonts w:ascii="Cambria" w:eastAsia="Batang" w:hAnsi="Cambria" w:cs="Times New Roman"/>
          <w:b/>
          <w:i/>
          <w:color w:val="000000"/>
          <w:sz w:val="21"/>
          <w:szCs w:val="21"/>
          <w:lang w:val="es-ES"/>
        </w:rPr>
        <w:t>Antecedentes</w:t>
      </w:r>
    </w:p>
    <w:p w14:paraId="3155269B" w14:textId="77777777" w:rsidR="00C31FCE" w:rsidRPr="008C1A90" w:rsidRDefault="00C31FCE" w:rsidP="00D03538">
      <w:pPr>
        <w:jc w:val="both"/>
        <w:rPr>
          <w:rFonts w:ascii="Cambria" w:eastAsia="Batang" w:hAnsi="Cambria" w:cs="Times New Roman"/>
          <w:b/>
          <w:color w:val="000000"/>
          <w:sz w:val="21"/>
          <w:szCs w:val="21"/>
          <w:lang w:val="es-ES"/>
        </w:rPr>
      </w:pPr>
    </w:p>
    <w:p w14:paraId="630A9B48" w14:textId="6EF7DEF4" w:rsidR="00B94D5E" w:rsidRPr="008C1A90" w:rsidRDefault="001362B5" w:rsidP="00ED3BC6">
      <w:pPr>
        <w:pStyle w:val="ListParagraph"/>
        <w:numPr>
          <w:ilvl w:val="0"/>
          <w:numId w:val="3"/>
        </w:numPr>
        <w:spacing w:line="240" w:lineRule="auto"/>
        <w:ind w:left="0" w:firstLine="360"/>
        <w:jc w:val="both"/>
        <w:rPr>
          <w:rFonts w:ascii="Cambria" w:eastAsia="Batang" w:hAnsi="Cambria" w:cs="Times New Roman"/>
          <w:color w:val="000000"/>
          <w:sz w:val="21"/>
          <w:szCs w:val="21"/>
          <w:lang w:val="es-ES"/>
        </w:rPr>
      </w:pPr>
      <w:r w:rsidRPr="008C1A90">
        <w:rPr>
          <w:rFonts w:ascii="Cambria" w:eastAsia="Batang" w:hAnsi="Cambria" w:cs="Times New Roman"/>
          <w:color w:val="000000"/>
          <w:sz w:val="21"/>
          <w:szCs w:val="21"/>
          <w:lang w:val="es-ES"/>
        </w:rPr>
        <w:t>El niño J.M.V. nació el 6 de septie</w:t>
      </w:r>
      <w:r w:rsidR="00220058" w:rsidRPr="008C1A90">
        <w:rPr>
          <w:rFonts w:ascii="Cambria" w:eastAsia="Batang" w:hAnsi="Cambria" w:cs="Times New Roman"/>
          <w:color w:val="000000"/>
          <w:sz w:val="21"/>
          <w:szCs w:val="21"/>
          <w:lang w:val="es-ES"/>
        </w:rPr>
        <w:t>mbre de 2018 en Trinidad y Tobag</w:t>
      </w:r>
      <w:r w:rsidRPr="008C1A90">
        <w:rPr>
          <w:rFonts w:ascii="Cambria" w:eastAsia="Batang" w:hAnsi="Cambria" w:cs="Times New Roman"/>
          <w:color w:val="000000"/>
          <w:sz w:val="21"/>
          <w:szCs w:val="21"/>
          <w:lang w:val="es-ES"/>
        </w:rPr>
        <w:t xml:space="preserve">o. Su madre, la señora Isis Carol Villalobos es de nacionalidad venezolana. </w:t>
      </w:r>
      <w:r w:rsidR="00F303BD" w:rsidRPr="008C1A90">
        <w:rPr>
          <w:rFonts w:ascii="Cambria" w:eastAsia="Batang" w:hAnsi="Cambria" w:cs="Times New Roman"/>
          <w:color w:val="000000"/>
          <w:sz w:val="21"/>
          <w:szCs w:val="21"/>
          <w:lang w:val="es-ES"/>
        </w:rPr>
        <w:t>Según</w:t>
      </w:r>
      <w:r w:rsidRPr="008C1A90">
        <w:rPr>
          <w:rFonts w:ascii="Cambria" w:eastAsia="Batang" w:hAnsi="Cambria" w:cs="Times New Roman"/>
          <w:color w:val="000000"/>
          <w:sz w:val="21"/>
          <w:szCs w:val="21"/>
          <w:lang w:val="es-ES"/>
        </w:rPr>
        <w:t xml:space="preserve"> la información proporcionada por los solicitantes, la señora Villalobos se enteró de que estaba embarazada en febrero de 2018 y no “sentía motivación alguna” por su embarazo, </w:t>
      </w:r>
      <w:r w:rsidR="007A6905" w:rsidRPr="008C1A90">
        <w:rPr>
          <w:rFonts w:ascii="Cambria" w:eastAsia="Batang" w:hAnsi="Cambria" w:cs="Times New Roman"/>
          <w:color w:val="000000"/>
          <w:sz w:val="21"/>
          <w:szCs w:val="21"/>
          <w:lang w:val="es-ES"/>
        </w:rPr>
        <w:t>presuntamente</w:t>
      </w:r>
      <w:r w:rsidRPr="008C1A90">
        <w:rPr>
          <w:rFonts w:ascii="Cambria" w:eastAsia="Batang" w:hAnsi="Cambria" w:cs="Times New Roman"/>
          <w:color w:val="000000"/>
          <w:sz w:val="21"/>
          <w:szCs w:val="21"/>
          <w:lang w:val="es-ES"/>
        </w:rPr>
        <w:t xml:space="preserve"> por la situación de Venezuela en ese momento y porque “se sentía avergonzada”, dado que el padre estaba casado con otra persona. En este contexto, en agosto de 2018, un amigo suyo la </w:t>
      </w:r>
      <w:r w:rsidR="007A6905" w:rsidRPr="008C1A90">
        <w:rPr>
          <w:rFonts w:ascii="Cambria" w:eastAsia="Batang" w:hAnsi="Cambria" w:cs="Times New Roman"/>
          <w:color w:val="000000"/>
          <w:sz w:val="21"/>
          <w:szCs w:val="21"/>
          <w:lang w:val="es-ES"/>
        </w:rPr>
        <w:t>habría puesto</w:t>
      </w:r>
      <w:r w:rsidRPr="008C1A90">
        <w:rPr>
          <w:rFonts w:ascii="Cambria" w:eastAsia="Batang" w:hAnsi="Cambria" w:cs="Times New Roman"/>
          <w:color w:val="000000"/>
          <w:sz w:val="21"/>
          <w:szCs w:val="21"/>
          <w:lang w:val="es-ES"/>
        </w:rPr>
        <w:t xml:space="preserve"> en contacto con una persona, la señora B</w:t>
      </w:r>
      <w:r w:rsidR="00D03538" w:rsidRPr="008C1A90">
        <w:rPr>
          <w:rFonts w:ascii="Cambria" w:eastAsia="Batang" w:hAnsi="Cambria" w:cs="Times New Roman"/>
          <w:color w:val="000000"/>
          <w:sz w:val="21"/>
          <w:szCs w:val="21"/>
          <w:lang w:val="es-ES"/>
        </w:rPr>
        <w:t>.</w:t>
      </w:r>
      <w:r w:rsidRPr="008C1A90">
        <w:rPr>
          <w:rFonts w:ascii="Cambria" w:eastAsia="Batang" w:hAnsi="Cambria" w:cs="Times New Roman"/>
          <w:color w:val="000000"/>
          <w:sz w:val="21"/>
          <w:szCs w:val="21"/>
          <w:lang w:val="es-ES"/>
        </w:rPr>
        <w:t xml:space="preserve">, que conocía a una pareja en Trinidad y Tobago que quería adoptar a un niño recién nacido. </w:t>
      </w:r>
      <w:r w:rsidR="00B149B3" w:rsidRPr="008C1A90">
        <w:rPr>
          <w:rFonts w:ascii="Cambria" w:eastAsia="Batang" w:hAnsi="Cambria" w:cs="Times New Roman"/>
          <w:color w:val="000000"/>
          <w:sz w:val="21"/>
          <w:szCs w:val="21"/>
          <w:lang w:val="es-ES"/>
        </w:rPr>
        <w:t>La señora B</w:t>
      </w:r>
      <w:r w:rsidR="00D03538" w:rsidRPr="008C1A90">
        <w:rPr>
          <w:rFonts w:ascii="Cambria" w:eastAsia="Batang" w:hAnsi="Cambria" w:cs="Times New Roman"/>
          <w:color w:val="000000"/>
          <w:sz w:val="21"/>
          <w:szCs w:val="21"/>
          <w:lang w:val="es-ES"/>
        </w:rPr>
        <w:t>.</w:t>
      </w:r>
      <w:r w:rsidR="00B149B3" w:rsidRPr="008C1A90">
        <w:rPr>
          <w:rFonts w:ascii="Cambria" w:eastAsia="Batang" w:hAnsi="Cambria" w:cs="Times New Roman"/>
          <w:color w:val="000000"/>
          <w:sz w:val="21"/>
          <w:szCs w:val="21"/>
          <w:lang w:val="es-ES"/>
        </w:rPr>
        <w:t xml:space="preserve"> se habría ofrecido a pagar los gastos del viaje de la señora Villalobos a Trinidad y To</w:t>
      </w:r>
      <w:r w:rsidR="00220058" w:rsidRPr="008C1A90">
        <w:rPr>
          <w:rFonts w:ascii="Cambria" w:eastAsia="Batang" w:hAnsi="Cambria" w:cs="Times New Roman"/>
          <w:color w:val="000000"/>
          <w:sz w:val="21"/>
          <w:szCs w:val="21"/>
          <w:lang w:val="es-ES"/>
        </w:rPr>
        <w:t>bag</w:t>
      </w:r>
      <w:r w:rsidR="00B149B3" w:rsidRPr="008C1A90">
        <w:rPr>
          <w:rFonts w:ascii="Cambria" w:eastAsia="Batang" w:hAnsi="Cambria" w:cs="Times New Roman"/>
          <w:color w:val="000000"/>
          <w:sz w:val="21"/>
          <w:szCs w:val="21"/>
          <w:lang w:val="es-ES"/>
        </w:rPr>
        <w:t xml:space="preserve">o para conocer a la pareja </w:t>
      </w:r>
      <w:r w:rsidR="00AC7D61" w:rsidRPr="008C1A90">
        <w:rPr>
          <w:rFonts w:ascii="Cambria" w:eastAsia="Batang" w:hAnsi="Cambria" w:cs="Times New Roman"/>
          <w:color w:val="000000"/>
          <w:sz w:val="21"/>
          <w:szCs w:val="21"/>
          <w:lang w:val="es-ES"/>
        </w:rPr>
        <w:t>adoptiva</w:t>
      </w:r>
      <w:r w:rsidR="00B149B3" w:rsidRPr="008C1A90">
        <w:rPr>
          <w:rFonts w:ascii="Cambria" w:eastAsia="Batang" w:hAnsi="Cambria" w:cs="Times New Roman"/>
          <w:color w:val="000000"/>
          <w:sz w:val="21"/>
          <w:szCs w:val="21"/>
          <w:lang w:val="es-ES"/>
        </w:rPr>
        <w:t>, que a su vez iba a iniciar los procedimientos necesarios para permitir su entrada en el país</w:t>
      </w:r>
      <w:r w:rsidR="001D3FB7" w:rsidRPr="008C1A90">
        <w:rPr>
          <w:rFonts w:ascii="Cambria" w:eastAsia="Batang" w:hAnsi="Cambria" w:cs="Times New Roman"/>
          <w:color w:val="000000"/>
          <w:sz w:val="21"/>
          <w:szCs w:val="21"/>
          <w:lang w:val="es-ES"/>
        </w:rPr>
        <w:t xml:space="preserve">, los cuales </w:t>
      </w:r>
      <w:r w:rsidR="00F303BD" w:rsidRPr="008C1A90">
        <w:rPr>
          <w:rFonts w:ascii="Cambria" w:eastAsia="Batang" w:hAnsi="Cambria" w:cs="Times New Roman"/>
          <w:color w:val="000000"/>
          <w:sz w:val="21"/>
          <w:szCs w:val="21"/>
          <w:lang w:val="es-ES"/>
        </w:rPr>
        <w:t>“</w:t>
      </w:r>
      <w:r w:rsidR="001D3FB7" w:rsidRPr="008C1A90">
        <w:rPr>
          <w:rFonts w:ascii="Cambria" w:eastAsia="Batang" w:hAnsi="Cambria" w:cs="Times New Roman"/>
          <w:color w:val="000000"/>
          <w:sz w:val="21"/>
          <w:szCs w:val="21"/>
          <w:lang w:val="es-ES"/>
        </w:rPr>
        <w:t xml:space="preserve">incluían pasajes de avión, gastos extraordinarios, una carta de invitación, entre </w:t>
      </w:r>
      <w:r w:rsidR="001D3FB7" w:rsidRPr="008C1A90">
        <w:rPr>
          <w:rFonts w:ascii="Cambria" w:eastAsia="Batang" w:hAnsi="Cambria" w:cs="Times New Roman"/>
          <w:color w:val="000000"/>
          <w:sz w:val="21"/>
          <w:szCs w:val="21"/>
          <w:lang w:val="es-ES"/>
        </w:rPr>
        <w:lastRenderedPageBreak/>
        <w:t>otros</w:t>
      </w:r>
      <w:r w:rsidR="00F303BD" w:rsidRPr="008C1A90">
        <w:rPr>
          <w:rFonts w:ascii="Cambria" w:eastAsia="Batang" w:hAnsi="Cambria" w:cs="Times New Roman"/>
          <w:color w:val="000000"/>
          <w:sz w:val="21"/>
          <w:szCs w:val="21"/>
          <w:lang w:val="es-ES"/>
        </w:rPr>
        <w:t>”</w:t>
      </w:r>
      <w:r w:rsidR="00B149B3" w:rsidRPr="008C1A90">
        <w:rPr>
          <w:rFonts w:ascii="Cambria" w:eastAsia="Batang" w:hAnsi="Cambria" w:cs="Times New Roman"/>
          <w:color w:val="000000"/>
          <w:sz w:val="21"/>
          <w:szCs w:val="21"/>
          <w:lang w:val="es-ES"/>
        </w:rPr>
        <w:t>. La señora Villalobos habría afirmado que deseaba conocer a los padres potenciales antes de considerar la opción de dar a su hijo en adopción.</w:t>
      </w:r>
    </w:p>
    <w:p w14:paraId="18A62F3B" w14:textId="4DBB2A8F" w:rsidR="00CC2A23" w:rsidRPr="008C1A90" w:rsidRDefault="00CC2A23" w:rsidP="00CC2A23">
      <w:pPr>
        <w:pStyle w:val="ListParagraph"/>
        <w:spacing w:line="240" w:lineRule="auto"/>
        <w:ind w:left="360"/>
        <w:jc w:val="both"/>
        <w:rPr>
          <w:rFonts w:ascii="Cambria" w:eastAsia="Batang" w:hAnsi="Cambria" w:cs="Times New Roman"/>
          <w:color w:val="000000"/>
          <w:sz w:val="21"/>
          <w:szCs w:val="21"/>
          <w:lang w:val="es-ES"/>
        </w:rPr>
      </w:pPr>
    </w:p>
    <w:p w14:paraId="08DB6207" w14:textId="689FBAEE" w:rsidR="00BE2904" w:rsidRPr="008C1A90" w:rsidRDefault="00B149B3" w:rsidP="002C7A90">
      <w:pPr>
        <w:pStyle w:val="ListParagraph"/>
        <w:numPr>
          <w:ilvl w:val="0"/>
          <w:numId w:val="3"/>
        </w:numPr>
        <w:spacing w:after="0" w:line="240" w:lineRule="auto"/>
        <w:ind w:left="0" w:firstLine="360"/>
        <w:jc w:val="both"/>
        <w:rPr>
          <w:rFonts w:ascii="Cambria" w:eastAsia="Batang" w:hAnsi="Cambria" w:cs="Times New Roman"/>
          <w:color w:val="000000"/>
          <w:sz w:val="21"/>
          <w:szCs w:val="21"/>
          <w:lang w:val="es-ES"/>
        </w:rPr>
      </w:pPr>
      <w:r w:rsidRPr="008C1A90">
        <w:rPr>
          <w:rFonts w:ascii="Cambria" w:eastAsia="Batang" w:hAnsi="Cambria" w:cs="Times New Roman"/>
          <w:color w:val="000000"/>
          <w:sz w:val="21"/>
          <w:szCs w:val="21"/>
          <w:lang w:val="es-ES"/>
        </w:rPr>
        <w:t>El 23 de agosto de 2018, la señora Villalobos v</w:t>
      </w:r>
      <w:r w:rsidR="00220058" w:rsidRPr="008C1A90">
        <w:rPr>
          <w:rFonts w:ascii="Cambria" w:eastAsia="Batang" w:hAnsi="Cambria" w:cs="Times New Roman"/>
          <w:color w:val="000000"/>
          <w:sz w:val="21"/>
          <w:szCs w:val="21"/>
          <w:lang w:val="es-ES"/>
        </w:rPr>
        <w:t>iajó en avión a Trinidad y Tobag</w:t>
      </w:r>
      <w:r w:rsidRPr="008C1A90">
        <w:rPr>
          <w:rFonts w:ascii="Cambria" w:eastAsia="Batang" w:hAnsi="Cambria" w:cs="Times New Roman"/>
          <w:color w:val="000000"/>
          <w:sz w:val="21"/>
          <w:szCs w:val="21"/>
          <w:lang w:val="es-ES"/>
        </w:rPr>
        <w:t>o, donde</w:t>
      </w:r>
      <w:r w:rsidR="00AC7D61" w:rsidRPr="008C1A90">
        <w:rPr>
          <w:rFonts w:ascii="Cambria" w:eastAsia="Batang" w:hAnsi="Cambria" w:cs="Times New Roman"/>
          <w:color w:val="000000"/>
          <w:sz w:val="21"/>
          <w:szCs w:val="21"/>
          <w:lang w:val="es-ES"/>
        </w:rPr>
        <w:t xml:space="preserve"> </w:t>
      </w:r>
      <w:r w:rsidR="007A6905" w:rsidRPr="008C1A90">
        <w:rPr>
          <w:rFonts w:ascii="Cambria" w:eastAsia="Batang" w:hAnsi="Cambria" w:cs="Times New Roman"/>
          <w:color w:val="000000"/>
          <w:sz w:val="21"/>
          <w:szCs w:val="21"/>
          <w:lang w:val="es-ES"/>
        </w:rPr>
        <w:t>habría sido</w:t>
      </w:r>
      <w:r w:rsidR="00AC7D61" w:rsidRPr="008C1A90">
        <w:rPr>
          <w:rFonts w:ascii="Cambria" w:eastAsia="Batang" w:hAnsi="Cambria" w:cs="Times New Roman"/>
          <w:color w:val="000000"/>
          <w:sz w:val="21"/>
          <w:szCs w:val="21"/>
          <w:lang w:val="es-ES"/>
        </w:rPr>
        <w:t xml:space="preserve"> recibida y acogida por la s</w:t>
      </w:r>
      <w:r w:rsidRPr="008C1A90">
        <w:rPr>
          <w:rFonts w:ascii="Cambria" w:eastAsia="Batang" w:hAnsi="Cambria" w:cs="Times New Roman"/>
          <w:color w:val="000000"/>
          <w:sz w:val="21"/>
          <w:szCs w:val="21"/>
          <w:lang w:val="es-ES"/>
        </w:rPr>
        <w:t>eñora B.</w:t>
      </w:r>
      <w:r w:rsidR="00F303BD" w:rsidRPr="008C1A90">
        <w:rPr>
          <w:rFonts w:ascii="Cambria" w:eastAsia="Batang" w:hAnsi="Cambria" w:cs="Times New Roman"/>
          <w:color w:val="000000"/>
          <w:sz w:val="21"/>
          <w:szCs w:val="21"/>
          <w:lang w:val="es-ES"/>
        </w:rPr>
        <w:t xml:space="preserve"> La se</w:t>
      </w:r>
      <w:r w:rsidR="00F303BD" w:rsidRPr="008C1A90">
        <w:rPr>
          <w:rFonts w:ascii="Cambria" w:eastAsia="Batang" w:hAnsi="Cambria" w:cs="Times New Roman"/>
          <w:color w:val="000000"/>
          <w:sz w:val="21"/>
          <w:szCs w:val="21"/>
          <w:lang w:val="es-MX"/>
        </w:rPr>
        <w:t>ñora B. le informó que su solicitud de conocer a los padres potenciales dependería de la aprobación del abogado de la pareja.</w:t>
      </w:r>
      <w:r w:rsidRPr="008C1A90">
        <w:rPr>
          <w:rFonts w:ascii="Cambria" w:eastAsia="Batang" w:hAnsi="Cambria" w:cs="Times New Roman"/>
          <w:color w:val="000000"/>
          <w:sz w:val="21"/>
          <w:szCs w:val="21"/>
          <w:lang w:val="es-ES"/>
        </w:rPr>
        <w:t xml:space="preserve"> Según la solicitud, la señora Villalobos </w:t>
      </w:r>
      <w:r w:rsidR="00AC7D61" w:rsidRPr="008C1A90">
        <w:rPr>
          <w:rFonts w:ascii="Cambria" w:eastAsia="Batang" w:hAnsi="Cambria" w:cs="Times New Roman"/>
          <w:color w:val="000000"/>
          <w:sz w:val="21"/>
          <w:szCs w:val="21"/>
          <w:lang w:val="es-ES"/>
        </w:rPr>
        <w:t>tenía la intención de</w:t>
      </w:r>
      <w:r w:rsidRPr="008C1A90">
        <w:rPr>
          <w:rFonts w:ascii="Cambria" w:eastAsia="Batang" w:hAnsi="Cambria" w:cs="Times New Roman"/>
          <w:color w:val="000000"/>
          <w:sz w:val="21"/>
          <w:szCs w:val="21"/>
          <w:lang w:val="es-ES"/>
        </w:rPr>
        <w:t xml:space="preserve"> quedarse en el país tres días; </w:t>
      </w:r>
      <w:r w:rsidR="00650D6F" w:rsidRPr="008C1A90">
        <w:rPr>
          <w:rFonts w:ascii="Cambria" w:eastAsia="Batang" w:hAnsi="Cambria" w:cs="Times New Roman"/>
          <w:color w:val="000000"/>
          <w:sz w:val="21"/>
          <w:szCs w:val="21"/>
          <w:lang w:val="es-ES"/>
        </w:rPr>
        <w:t>no obstante</w:t>
      </w:r>
      <w:r w:rsidRPr="008C1A90">
        <w:rPr>
          <w:rFonts w:ascii="Cambria" w:eastAsia="Batang" w:hAnsi="Cambria" w:cs="Times New Roman"/>
          <w:color w:val="000000"/>
          <w:sz w:val="21"/>
          <w:szCs w:val="21"/>
          <w:lang w:val="es-ES"/>
        </w:rPr>
        <w:t xml:space="preserve">, se sintió enferma y no pudo tomar el avión de vuelta. Su placenta se </w:t>
      </w:r>
      <w:r w:rsidR="00650D6F" w:rsidRPr="008C1A90">
        <w:rPr>
          <w:rFonts w:ascii="Cambria" w:eastAsia="Batang" w:hAnsi="Cambria" w:cs="Times New Roman"/>
          <w:color w:val="000000"/>
          <w:sz w:val="21"/>
          <w:szCs w:val="21"/>
          <w:lang w:val="es-ES"/>
        </w:rPr>
        <w:t xml:space="preserve">habría desplazado </w:t>
      </w:r>
      <w:r w:rsidRPr="008C1A90">
        <w:rPr>
          <w:rFonts w:ascii="Cambria" w:eastAsia="Batang" w:hAnsi="Cambria" w:cs="Times New Roman"/>
          <w:color w:val="000000"/>
          <w:sz w:val="21"/>
          <w:szCs w:val="21"/>
          <w:lang w:val="es-ES"/>
        </w:rPr>
        <w:t>a la parte inferior de su útero y no podía caminar. El 5 de septiembre,</w:t>
      </w:r>
      <w:r w:rsidR="00650D6F" w:rsidRPr="008C1A90">
        <w:rPr>
          <w:rFonts w:ascii="Cambria" w:eastAsia="Batang" w:hAnsi="Cambria" w:cs="Times New Roman"/>
          <w:color w:val="000000"/>
          <w:sz w:val="21"/>
          <w:szCs w:val="21"/>
          <w:lang w:val="es-ES"/>
        </w:rPr>
        <w:t xml:space="preserve"> se le habría informado a</w:t>
      </w:r>
      <w:r w:rsidRPr="008C1A90">
        <w:rPr>
          <w:rFonts w:ascii="Cambria" w:eastAsia="Batang" w:hAnsi="Cambria" w:cs="Times New Roman"/>
          <w:color w:val="000000"/>
          <w:sz w:val="21"/>
          <w:szCs w:val="21"/>
          <w:lang w:val="es-ES"/>
        </w:rPr>
        <w:t xml:space="preserve"> la señora Villa</w:t>
      </w:r>
      <w:r w:rsidR="00F35962" w:rsidRPr="008C1A90">
        <w:rPr>
          <w:rFonts w:ascii="Cambria" w:eastAsia="Batang" w:hAnsi="Cambria" w:cs="Times New Roman"/>
          <w:color w:val="000000"/>
          <w:sz w:val="21"/>
          <w:szCs w:val="21"/>
          <w:lang w:val="es-ES"/>
        </w:rPr>
        <w:t>lobos que tenía que ingresar a</w:t>
      </w:r>
      <w:r w:rsidRPr="008C1A90">
        <w:rPr>
          <w:rFonts w:ascii="Cambria" w:eastAsia="Batang" w:hAnsi="Cambria" w:cs="Times New Roman"/>
          <w:color w:val="000000"/>
          <w:sz w:val="21"/>
          <w:szCs w:val="21"/>
          <w:lang w:val="es-ES"/>
        </w:rPr>
        <w:t xml:space="preserve">l hospital para inducirle el parto, a pesar de que solo </w:t>
      </w:r>
      <w:r w:rsidR="00F35962" w:rsidRPr="008C1A90">
        <w:rPr>
          <w:rFonts w:ascii="Cambria" w:eastAsia="Batang" w:hAnsi="Cambria" w:cs="Times New Roman"/>
          <w:color w:val="000000"/>
          <w:sz w:val="21"/>
          <w:szCs w:val="21"/>
          <w:lang w:val="es-ES"/>
        </w:rPr>
        <w:t>llevaba 7 meses de</w:t>
      </w:r>
      <w:r w:rsidRPr="008C1A90">
        <w:rPr>
          <w:rFonts w:ascii="Cambria" w:eastAsia="Batang" w:hAnsi="Cambria" w:cs="Times New Roman"/>
          <w:color w:val="000000"/>
          <w:sz w:val="21"/>
          <w:szCs w:val="21"/>
          <w:lang w:val="es-ES"/>
        </w:rPr>
        <w:t xml:space="preserve"> </w:t>
      </w:r>
      <w:r w:rsidR="00F35962" w:rsidRPr="008C1A90">
        <w:rPr>
          <w:rFonts w:ascii="Cambria" w:eastAsia="Batang" w:hAnsi="Cambria" w:cs="Times New Roman"/>
          <w:color w:val="000000"/>
          <w:sz w:val="21"/>
          <w:szCs w:val="21"/>
          <w:lang w:val="es-ES"/>
        </w:rPr>
        <w:t>embarazo</w:t>
      </w:r>
      <w:r w:rsidRPr="008C1A90">
        <w:rPr>
          <w:rFonts w:ascii="Cambria" w:eastAsia="Batang" w:hAnsi="Cambria" w:cs="Times New Roman"/>
          <w:color w:val="000000"/>
          <w:sz w:val="21"/>
          <w:szCs w:val="21"/>
          <w:lang w:val="es-ES"/>
        </w:rPr>
        <w:t xml:space="preserve">. </w:t>
      </w:r>
      <w:r w:rsidR="001C4054" w:rsidRPr="008C1A90">
        <w:rPr>
          <w:rFonts w:ascii="Cambria" w:eastAsia="Batang" w:hAnsi="Cambria" w:cs="Times New Roman"/>
          <w:color w:val="000000"/>
          <w:sz w:val="21"/>
          <w:szCs w:val="21"/>
          <w:lang w:val="es-ES"/>
        </w:rPr>
        <w:t xml:space="preserve">La pareja que quería adoptar a J.M.V. se </w:t>
      </w:r>
      <w:r w:rsidR="00650D6F" w:rsidRPr="008C1A90">
        <w:rPr>
          <w:rFonts w:ascii="Cambria" w:eastAsia="Batang" w:hAnsi="Cambria" w:cs="Times New Roman"/>
          <w:color w:val="000000"/>
          <w:sz w:val="21"/>
          <w:szCs w:val="21"/>
          <w:lang w:val="es-ES"/>
        </w:rPr>
        <w:t>habría hecho</w:t>
      </w:r>
      <w:r w:rsidR="001C4054" w:rsidRPr="008C1A90">
        <w:rPr>
          <w:rFonts w:ascii="Cambria" w:eastAsia="Batang" w:hAnsi="Cambria" w:cs="Times New Roman"/>
          <w:color w:val="000000"/>
          <w:sz w:val="21"/>
          <w:szCs w:val="21"/>
          <w:lang w:val="es-ES"/>
        </w:rPr>
        <w:t xml:space="preserve"> cargo de todos sus gastos médicos. Ese mismo día, la señora B. </w:t>
      </w:r>
      <w:r w:rsidR="00AF513D" w:rsidRPr="008C1A90">
        <w:rPr>
          <w:rFonts w:ascii="Cambria" w:eastAsia="Batang" w:hAnsi="Cambria" w:cs="Times New Roman"/>
          <w:color w:val="000000"/>
          <w:sz w:val="21"/>
          <w:szCs w:val="21"/>
          <w:lang w:val="es-ES"/>
        </w:rPr>
        <w:t>llevó</w:t>
      </w:r>
      <w:r w:rsidR="001C4054" w:rsidRPr="008C1A90">
        <w:rPr>
          <w:rFonts w:ascii="Cambria" w:eastAsia="Batang" w:hAnsi="Cambria" w:cs="Times New Roman"/>
          <w:color w:val="000000"/>
          <w:sz w:val="21"/>
          <w:szCs w:val="21"/>
          <w:lang w:val="es-ES"/>
        </w:rPr>
        <w:t xml:space="preserve"> a un abogado angloparlante para que ayudase a la señora Villalobos con el proceso de adopción, a pesar de que ella no hablaba inglés con fluidez.</w:t>
      </w:r>
    </w:p>
    <w:p w14:paraId="15BC81DD" w14:textId="77777777" w:rsidR="00BE2904" w:rsidRPr="008C1A90" w:rsidRDefault="00BE2904" w:rsidP="002C7A90">
      <w:pPr>
        <w:pStyle w:val="ListParagraph"/>
        <w:spacing w:after="0" w:line="240" w:lineRule="auto"/>
        <w:ind w:left="360"/>
        <w:jc w:val="both"/>
        <w:rPr>
          <w:rFonts w:ascii="Cambria" w:eastAsia="Batang" w:hAnsi="Cambria" w:cs="Times New Roman"/>
          <w:color w:val="000000"/>
          <w:sz w:val="21"/>
          <w:szCs w:val="21"/>
          <w:lang w:val="es-ES"/>
        </w:rPr>
      </w:pPr>
    </w:p>
    <w:p w14:paraId="4DF0719D" w14:textId="4755D25A" w:rsidR="00305CA1" w:rsidRPr="008C1A90" w:rsidRDefault="001C4054" w:rsidP="002C7A90">
      <w:pPr>
        <w:pStyle w:val="ListParagraph"/>
        <w:numPr>
          <w:ilvl w:val="0"/>
          <w:numId w:val="3"/>
        </w:numPr>
        <w:spacing w:after="0" w:line="240" w:lineRule="auto"/>
        <w:ind w:left="0" w:firstLine="360"/>
        <w:jc w:val="both"/>
        <w:rPr>
          <w:rFonts w:ascii="Cambria" w:hAnsi="Cambria"/>
          <w:sz w:val="21"/>
          <w:szCs w:val="21"/>
          <w:lang w:val="es-ES"/>
        </w:rPr>
      </w:pPr>
      <w:r w:rsidRPr="008C1A90">
        <w:rPr>
          <w:rFonts w:ascii="Cambria" w:hAnsi="Cambria"/>
          <w:sz w:val="21"/>
          <w:szCs w:val="21"/>
          <w:lang w:val="es-ES"/>
        </w:rPr>
        <w:t xml:space="preserve">El 6 de septiembre nació el propuesto beneficiario J.M.V. El 10 de septiembre, día en el que </w:t>
      </w:r>
      <w:r w:rsidR="00F35962" w:rsidRPr="008C1A90">
        <w:rPr>
          <w:rFonts w:ascii="Cambria" w:hAnsi="Cambria"/>
          <w:sz w:val="21"/>
          <w:szCs w:val="21"/>
          <w:lang w:val="es-ES"/>
        </w:rPr>
        <w:t xml:space="preserve">recibió </w:t>
      </w:r>
      <w:r w:rsidRPr="008C1A90">
        <w:rPr>
          <w:rFonts w:ascii="Cambria" w:hAnsi="Cambria"/>
          <w:sz w:val="21"/>
          <w:szCs w:val="21"/>
          <w:lang w:val="es-ES"/>
        </w:rPr>
        <w:t xml:space="preserve">el alta hospitalaria, la señora Villalobos </w:t>
      </w:r>
      <w:r w:rsidR="00E17427" w:rsidRPr="008C1A90">
        <w:rPr>
          <w:rFonts w:ascii="Cambria" w:hAnsi="Cambria"/>
          <w:sz w:val="21"/>
          <w:szCs w:val="21"/>
          <w:lang w:val="es-ES"/>
        </w:rPr>
        <w:t>habría informado</w:t>
      </w:r>
      <w:r w:rsidRPr="008C1A90">
        <w:rPr>
          <w:rFonts w:ascii="Cambria" w:hAnsi="Cambria"/>
          <w:sz w:val="21"/>
          <w:szCs w:val="21"/>
          <w:lang w:val="es-ES"/>
        </w:rPr>
        <w:t xml:space="preserve"> a la señora B. que no tenía intención de dar a su hijo en adopción; la señora B., por su parte, le entregó la factura de los gastos médicos incurridos. </w:t>
      </w:r>
    </w:p>
    <w:p w14:paraId="6231382A" w14:textId="77777777" w:rsidR="00305CA1" w:rsidRPr="008C1A90" w:rsidRDefault="00305CA1" w:rsidP="00305CA1">
      <w:pPr>
        <w:pStyle w:val="ListParagraph"/>
        <w:rPr>
          <w:rFonts w:ascii="Cambria" w:hAnsi="Cambria"/>
          <w:sz w:val="21"/>
          <w:szCs w:val="21"/>
          <w:lang w:val="es-ES"/>
        </w:rPr>
      </w:pPr>
    </w:p>
    <w:p w14:paraId="5E9CE254" w14:textId="2EAE1687" w:rsidR="000B4B9E" w:rsidRPr="008C1A90" w:rsidRDefault="001C4054" w:rsidP="002C7A90">
      <w:pPr>
        <w:pStyle w:val="ListParagraph"/>
        <w:numPr>
          <w:ilvl w:val="0"/>
          <w:numId w:val="3"/>
        </w:numPr>
        <w:spacing w:after="0" w:line="240" w:lineRule="auto"/>
        <w:ind w:left="0" w:firstLine="360"/>
        <w:jc w:val="both"/>
        <w:rPr>
          <w:rFonts w:ascii="Cambria" w:hAnsi="Cambria"/>
          <w:sz w:val="21"/>
          <w:szCs w:val="21"/>
          <w:lang w:val="es-ES"/>
        </w:rPr>
      </w:pPr>
      <w:r w:rsidRPr="008C1A90">
        <w:rPr>
          <w:rFonts w:ascii="Cambria" w:hAnsi="Cambria"/>
          <w:sz w:val="21"/>
          <w:szCs w:val="21"/>
          <w:lang w:val="es-ES"/>
        </w:rPr>
        <w:t xml:space="preserve">La señora Villalobos y el propuesto beneficiario </w:t>
      </w:r>
      <w:r w:rsidR="00305CA1" w:rsidRPr="008C1A90">
        <w:rPr>
          <w:rFonts w:ascii="Cambria" w:hAnsi="Cambria"/>
          <w:sz w:val="21"/>
          <w:szCs w:val="21"/>
          <w:lang w:val="es-ES"/>
        </w:rPr>
        <w:t>habrían sido</w:t>
      </w:r>
      <w:r w:rsidRPr="008C1A90">
        <w:rPr>
          <w:rFonts w:ascii="Cambria" w:hAnsi="Cambria"/>
          <w:sz w:val="21"/>
          <w:szCs w:val="21"/>
          <w:lang w:val="es-ES"/>
        </w:rPr>
        <w:t xml:space="preserve"> </w:t>
      </w:r>
      <w:r w:rsidR="002E7435" w:rsidRPr="008C1A90">
        <w:rPr>
          <w:rFonts w:ascii="Cambria" w:hAnsi="Cambria"/>
          <w:sz w:val="21"/>
          <w:szCs w:val="21"/>
          <w:lang w:val="es-ES"/>
        </w:rPr>
        <w:t>trasladados</w:t>
      </w:r>
      <w:r w:rsidRPr="008C1A90">
        <w:rPr>
          <w:rFonts w:ascii="Cambria" w:hAnsi="Cambria"/>
          <w:sz w:val="21"/>
          <w:szCs w:val="21"/>
          <w:lang w:val="es-ES"/>
        </w:rPr>
        <w:t xml:space="preserve"> de nuevo a la residencia de la señora B. </w:t>
      </w:r>
      <w:r w:rsidR="002E7435" w:rsidRPr="008C1A90">
        <w:rPr>
          <w:rFonts w:ascii="Cambria" w:hAnsi="Cambria"/>
          <w:sz w:val="21"/>
          <w:szCs w:val="21"/>
          <w:lang w:val="es-ES"/>
        </w:rPr>
        <w:t xml:space="preserve">Según </w:t>
      </w:r>
      <w:r w:rsidRPr="008C1A90">
        <w:rPr>
          <w:rFonts w:ascii="Cambria" w:hAnsi="Cambria"/>
          <w:sz w:val="21"/>
          <w:szCs w:val="21"/>
          <w:lang w:val="es-ES"/>
        </w:rPr>
        <w:t>la solicitud, cuando volvieron</w:t>
      </w:r>
      <w:r w:rsidR="002E7435" w:rsidRPr="008C1A90">
        <w:rPr>
          <w:rFonts w:ascii="Cambria" w:hAnsi="Cambria"/>
          <w:sz w:val="21"/>
          <w:szCs w:val="21"/>
          <w:lang w:val="es-ES"/>
        </w:rPr>
        <w:t>,</w:t>
      </w:r>
      <w:r w:rsidRPr="008C1A90">
        <w:rPr>
          <w:rFonts w:ascii="Cambria" w:hAnsi="Cambria"/>
          <w:sz w:val="21"/>
          <w:szCs w:val="21"/>
          <w:lang w:val="es-ES"/>
        </w:rPr>
        <w:t xml:space="preserve"> </w:t>
      </w:r>
      <w:r w:rsidR="00AF513D" w:rsidRPr="008C1A90">
        <w:rPr>
          <w:rFonts w:ascii="Cambria" w:hAnsi="Cambria"/>
          <w:sz w:val="21"/>
          <w:szCs w:val="21"/>
          <w:lang w:val="es-ES"/>
        </w:rPr>
        <w:t>sus anfitriones</w:t>
      </w:r>
      <w:r w:rsidRPr="008C1A90">
        <w:rPr>
          <w:rFonts w:ascii="Cambria" w:hAnsi="Cambria"/>
          <w:sz w:val="21"/>
          <w:szCs w:val="21"/>
          <w:lang w:val="es-ES"/>
        </w:rPr>
        <w:t xml:space="preserve"> dejaron de mantenerla tanto a ella como a su hijo, a pesar de que la señora Villalobos no disponía de recursos para mantenerse por sí misma (debido a restricciones gubernamentales no podía acceder a sus fondos en Venezuela). Asimismo, no se le permitía abandonar la residencia sin estar acompañada por sus anfitriones. En estas circunstancias, la señora Villalobos </w:t>
      </w:r>
      <w:r w:rsidR="00F35962" w:rsidRPr="008C1A90">
        <w:rPr>
          <w:rFonts w:ascii="Cambria" w:hAnsi="Cambria"/>
          <w:sz w:val="21"/>
          <w:szCs w:val="21"/>
          <w:lang w:val="es-ES"/>
        </w:rPr>
        <w:t>se causó una herida en la incisión de la ces</w:t>
      </w:r>
      <w:r w:rsidR="008C1A90">
        <w:rPr>
          <w:rFonts w:ascii="Cambria" w:hAnsi="Cambria"/>
          <w:sz w:val="21"/>
          <w:szCs w:val="21"/>
          <w:lang w:val="es-ES"/>
        </w:rPr>
        <w:t>á</w:t>
      </w:r>
      <w:r w:rsidR="00F35962" w:rsidRPr="008C1A90">
        <w:rPr>
          <w:rFonts w:ascii="Cambria" w:hAnsi="Cambria"/>
          <w:sz w:val="21"/>
          <w:szCs w:val="21"/>
          <w:lang w:val="es-ES"/>
        </w:rPr>
        <w:t>r</w:t>
      </w:r>
      <w:r w:rsidR="008C1A90">
        <w:rPr>
          <w:rFonts w:ascii="Cambria" w:hAnsi="Cambria"/>
          <w:sz w:val="21"/>
          <w:szCs w:val="21"/>
          <w:lang w:val="es-ES"/>
        </w:rPr>
        <w:t>e</w:t>
      </w:r>
      <w:r w:rsidR="00F35962" w:rsidRPr="008C1A90">
        <w:rPr>
          <w:rFonts w:ascii="Cambria" w:hAnsi="Cambria"/>
          <w:sz w:val="21"/>
          <w:szCs w:val="21"/>
          <w:lang w:val="es-ES"/>
        </w:rPr>
        <w:t>a</w:t>
      </w:r>
      <w:r w:rsidR="00F35962" w:rsidRPr="008C1A90" w:rsidDel="00F35962">
        <w:rPr>
          <w:rFonts w:ascii="Cambria" w:hAnsi="Cambria"/>
          <w:sz w:val="21"/>
          <w:szCs w:val="21"/>
          <w:lang w:val="es-ES"/>
        </w:rPr>
        <w:t xml:space="preserve"> </w:t>
      </w:r>
      <w:r w:rsidR="008970C1" w:rsidRPr="008C1A90">
        <w:rPr>
          <w:rFonts w:ascii="Cambria" w:hAnsi="Cambria"/>
          <w:sz w:val="21"/>
          <w:szCs w:val="21"/>
          <w:lang w:val="es-ES"/>
        </w:rPr>
        <w:t xml:space="preserve">para </w:t>
      </w:r>
      <w:r w:rsidR="00F35962" w:rsidRPr="008C1A90">
        <w:rPr>
          <w:rFonts w:ascii="Cambria" w:hAnsi="Cambria"/>
          <w:sz w:val="21"/>
          <w:szCs w:val="21"/>
          <w:lang w:val="es-ES"/>
        </w:rPr>
        <w:t>que la trasladaran</w:t>
      </w:r>
      <w:r w:rsidR="000E267A" w:rsidRPr="008C1A90">
        <w:rPr>
          <w:rFonts w:ascii="Cambria" w:hAnsi="Cambria"/>
          <w:sz w:val="21"/>
          <w:szCs w:val="21"/>
          <w:lang w:val="es-ES"/>
        </w:rPr>
        <w:t xml:space="preserve"> al hospital, donde </w:t>
      </w:r>
      <w:r w:rsidR="00354995" w:rsidRPr="008C1A90">
        <w:rPr>
          <w:rFonts w:ascii="Cambria" w:hAnsi="Cambria"/>
          <w:sz w:val="21"/>
          <w:szCs w:val="21"/>
          <w:lang w:val="es-ES"/>
        </w:rPr>
        <w:t>habría acordado</w:t>
      </w:r>
      <w:r w:rsidR="000E267A" w:rsidRPr="008C1A90">
        <w:rPr>
          <w:rFonts w:ascii="Cambria" w:hAnsi="Cambria"/>
          <w:sz w:val="21"/>
          <w:szCs w:val="21"/>
          <w:lang w:val="es-ES"/>
        </w:rPr>
        <w:t xml:space="preserve"> dar al propuesto beneficiario en adopción a los anfitriones, quienes</w:t>
      </w:r>
      <w:r w:rsidR="00354995" w:rsidRPr="008C1A90">
        <w:rPr>
          <w:rFonts w:ascii="Cambria" w:hAnsi="Cambria"/>
          <w:sz w:val="21"/>
          <w:szCs w:val="21"/>
          <w:lang w:val="es-ES"/>
        </w:rPr>
        <w:t xml:space="preserve"> posteriormente</w:t>
      </w:r>
      <w:r w:rsidR="000E267A" w:rsidRPr="008C1A90">
        <w:rPr>
          <w:rFonts w:ascii="Cambria" w:hAnsi="Cambria"/>
          <w:sz w:val="21"/>
          <w:szCs w:val="21"/>
          <w:lang w:val="es-ES"/>
        </w:rPr>
        <w:t xml:space="preserve"> le </w:t>
      </w:r>
      <w:r w:rsidR="00354995" w:rsidRPr="008C1A90">
        <w:rPr>
          <w:rFonts w:ascii="Cambria" w:hAnsi="Cambria"/>
          <w:sz w:val="21"/>
          <w:szCs w:val="21"/>
          <w:lang w:val="es-ES"/>
        </w:rPr>
        <w:t xml:space="preserve">habrían comprado </w:t>
      </w:r>
      <w:r w:rsidR="000E267A" w:rsidRPr="008C1A90">
        <w:rPr>
          <w:rFonts w:ascii="Cambria" w:hAnsi="Cambria"/>
          <w:sz w:val="21"/>
          <w:szCs w:val="21"/>
          <w:lang w:val="es-ES"/>
        </w:rPr>
        <w:t xml:space="preserve">un billete de avión de vuelta a Venezuela. Según los solicitantes, la señora Villalobos accedió a la adopción porque no se le ocurría ninguna otra alternativa </w:t>
      </w:r>
      <w:r w:rsidR="009938B7" w:rsidRPr="008C1A90">
        <w:rPr>
          <w:rFonts w:ascii="Cambria" w:hAnsi="Cambria"/>
          <w:sz w:val="21"/>
          <w:szCs w:val="21"/>
          <w:lang w:val="es-ES"/>
        </w:rPr>
        <w:t xml:space="preserve">y no disponía de representación </w:t>
      </w:r>
      <w:r w:rsidR="000E267A" w:rsidRPr="008C1A90">
        <w:rPr>
          <w:rFonts w:ascii="Cambria" w:hAnsi="Cambria"/>
          <w:sz w:val="21"/>
          <w:szCs w:val="21"/>
          <w:lang w:val="es-ES"/>
        </w:rPr>
        <w:t>adecuada</w:t>
      </w:r>
      <w:r w:rsidR="00AF513D" w:rsidRPr="008C1A90">
        <w:rPr>
          <w:rFonts w:ascii="Cambria" w:hAnsi="Cambria"/>
          <w:sz w:val="21"/>
          <w:szCs w:val="21"/>
          <w:lang w:val="es-ES"/>
        </w:rPr>
        <w:t>.</w:t>
      </w:r>
    </w:p>
    <w:p w14:paraId="33129522" w14:textId="769FDEBF" w:rsidR="000B4B9E" w:rsidRPr="008C1A90" w:rsidRDefault="000B4B9E" w:rsidP="002C7A90">
      <w:pPr>
        <w:pStyle w:val="ListParagraph"/>
        <w:spacing w:after="0" w:line="240" w:lineRule="auto"/>
        <w:jc w:val="both"/>
        <w:rPr>
          <w:rFonts w:ascii="Cambria" w:eastAsia="Batang" w:hAnsi="Cambria" w:cs="Times New Roman"/>
          <w:color w:val="000000"/>
          <w:sz w:val="21"/>
          <w:szCs w:val="21"/>
          <w:lang w:val="es-ES"/>
        </w:rPr>
      </w:pPr>
    </w:p>
    <w:p w14:paraId="43A3A16F" w14:textId="263B98D6" w:rsidR="000B4B9E" w:rsidRPr="008C1A90" w:rsidRDefault="000E267A" w:rsidP="002C7A90">
      <w:pPr>
        <w:pStyle w:val="ListParagraph"/>
        <w:numPr>
          <w:ilvl w:val="0"/>
          <w:numId w:val="3"/>
        </w:numPr>
        <w:spacing w:after="0" w:line="240" w:lineRule="auto"/>
        <w:ind w:left="0" w:firstLine="360"/>
        <w:jc w:val="both"/>
        <w:rPr>
          <w:rFonts w:ascii="Cambria" w:eastAsia="Batang" w:hAnsi="Cambria" w:cs="Times New Roman"/>
          <w:color w:val="000000"/>
          <w:sz w:val="21"/>
          <w:szCs w:val="21"/>
          <w:lang w:val="es-ES"/>
        </w:rPr>
      </w:pPr>
      <w:r w:rsidRPr="008C1A90">
        <w:rPr>
          <w:rFonts w:ascii="Cambria" w:eastAsia="Batang" w:hAnsi="Cambria" w:cs="Times New Roman"/>
          <w:color w:val="000000"/>
          <w:sz w:val="21"/>
          <w:szCs w:val="21"/>
          <w:lang w:val="es-ES"/>
        </w:rPr>
        <w:t xml:space="preserve">Cuando regresó a Venezuela, la señora Villalobos se </w:t>
      </w:r>
      <w:r w:rsidR="00354995" w:rsidRPr="008C1A90">
        <w:rPr>
          <w:rFonts w:ascii="Cambria" w:eastAsia="Batang" w:hAnsi="Cambria" w:cs="Times New Roman"/>
          <w:color w:val="000000"/>
          <w:sz w:val="21"/>
          <w:szCs w:val="21"/>
          <w:lang w:val="es-ES"/>
        </w:rPr>
        <w:t>habría puesto</w:t>
      </w:r>
      <w:r w:rsidRPr="008C1A90">
        <w:rPr>
          <w:rFonts w:ascii="Cambria" w:eastAsia="Batang" w:hAnsi="Cambria" w:cs="Times New Roman"/>
          <w:color w:val="000000"/>
          <w:sz w:val="21"/>
          <w:szCs w:val="21"/>
          <w:lang w:val="es-ES"/>
        </w:rPr>
        <w:t xml:space="preserve"> en contacto con la Embajada de Trinidad y Tobago en Caracas y </w:t>
      </w:r>
      <w:r w:rsidR="00354995" w:rsidRPr="008C1A90">
        <w:rPr>
          <w:rFonts w:ascii="Cambria" w:eastAsia="Batang" w:hAnsi="Cambria" w:cs="Times New Roman"/>
          <w:color w:val="000000"/>
          <w:sz w:val="21"/>
          <w:szCs w:val="21"/>
          <w:lang w:val="es-ES"/>
        </w:rPr>
        <w:t>habría obtenido</w:t>
      </w:r>
      <w:r w:rsidRPr="008C1A90">
        <w:rPr>
          <w:rFonts w:ascii="Cambria" w:eastAsia="Batang" w:hAnsi="Cambria" w:cs="Times New Roman"/>
          <w:color w:val="000000"/>
          <w:sz w:val="21"/>
          <w:szCs w:val="21"/>
          <w:lang w:val="es-ES"/>
        </w:rPr>
        <w:t xml:space="preserve"> autorización para volver al país el 11 de octubre de 2018. Según la solicitud, en noviembre las autoridades buscaron al niño y lo llevaron a una guardería mientras investigaban a los padres adoptivos por </w:t>
      </w:r>
      <w:r w:rsidR="00AF513D" w:rsidRPr="008C1A90">
        <w:rPr>
          <w:rFonts w:ascii="Cambria" w:eastAsia="Batang" w:hAnsi="Cambria" w:cs="Times New Roman"/>
          <w:color w:val="000000"/>
          <w:sz w:val="21"/>
          <w:szCs w:val="21"/>
          <w:lang w:val="es-ES"/>
        </w:rPr>
        <w:t>trata de personas</w:t>
      </w:r>
      <w:r w:rsidRPr="008C1A90">
        <w:rPr>
          <w:rFonts w:ascii="Cambria" w:eastAsia="Batang" w:hAnsi="Cambria" w:cs="Times New Roman"/>
          <w:color w:val="000000"/>
          <w:sz w:val="21"/>
          <w:szCs w:val="21"/>
          <w:lang w:val="es-ES"/>
        </w:rPr>
        <w:t>.</w:t>
      </w:r>
    </w:p>
    <w:p w14:paraId="018F3346" w14:textId="77777777" w:rsidR="00A45C9D" w:rsidRPr="008C1A90" w:rsidRDefault="00A45C9D" w:rsidP="002C7A90">
      <w:pPr>
        <w:pStyle w:val="ListParagraph"/>
        <w:spacing w:line="240" w:lineRule="auto"/>
        <w:ind w:left="360"/>
        <w:jc w:val="both"/>
        <w:rPr>
          <w:rFonts w:ascii="Cambria" w:eastAsia="Batang" w:hAnsi="Cambria" w:cs="Times New Roman"/>
          <w:color w:val="000000"/>
          <w:sz w:val="21"/>
          <w:szCs w:val="21"/>
          <w:lang w:val="es-ES"/>
        </w:rPr>
      </w:pPr>
    </w:p>
    <w:p w14:paraId="4F5F92B8" w14:textId="430958E9" w:rsidR="00A45C9D" w:rsidRPr="008C1A90" w:rsidRDefault="000E267A" w:rsidP="002C7A90">
      <w:pPr>
        <w:pStyle w:val="ListParagraph"/>
        <w:numPr>
          <w:ilvl w:val="0"/>
          <w:numId w:val="8"/>
        </w:numPr>
        <w:rPr>
          <w:rFonts w:ascii="Cambria" w:eastAsia="Batang" w:hAnsi="Cambria" w:cs="Times New Roman"/>
          <w:i/>
          <w:color w:val="000000"/>
          <w:sz w:val="21"/>
          <w:szCs w:val="21"/>
          <w:lang w:val="es-ES"/>
        </w:rPr>
      </w:pPr>
      <w:r w:rsidRPr="008C1A90">
        <w:rPr>
          <w:rFonts w:ascii="Cambria" w:eastAsia="Batang" w:hAnsi="Cambria" w:cs="Times New Roman"/>
          <w:i/>
          <w:color w:val="000000"/>
          <w:sz w:val="21"/>
          <w:szCs w:val="21"/>
          <w:lang w:val="es-ES"/>
        </w:rPr>
        <w:t>Procedimientos judiciales</w:t>
      </w:r>
    </w:p>
    <w:p w14:paraId="208C7064" w14:textId="77777777" w:rsidR="00A45C9D" w:rsidRPr="008C1A90" w:rsidRDefault="00A45C9D" w:rsidP="00304236">
      <w:pPr>
        <w:pStyle w:val="ListParagraph"/>
        <w:rPr>
          <w:rFonts w:ascii="Cambria" w:eastAsia="Batang" w:hAnsi="Cambria" w:cs="Times New Roman"/>
          <w:color w:val="000000"/>
          <w:sz w:val="21"/>
          <w:szCs w:val="21"/>
          <w:lang w:val="en-US"/>
        </w:rPr>
      </w:pPr>
    </w:p>
    <w:p w14:paraId="79453842" w14:textId="4CF94943" w:rsidR="001F065D" w:rsidRPr="008C1A90" w:rsidRDefault="000E267A" w:rsidP="00304236">
      <w:pPr>
        <w:pStyle w:val="ListParagraph"/>
        <w:numPr>
          <w:ilvl w:val="0"/>
          <w:numId w:val="3"/>
        </w:numPr>
        <w:spacing w:line="240" w:lineRule="auto"/>
        <w:ind w:left="0" w:firstLine="360"/>
        <w:jc w:val="both"/>
        <w:rPr>
          <w:rFonts w:ascii="Cambria" w:eastAsia="Batang" w:hAnsi="Cambria" w:cs="Times New Roman"/>
          <w:color w:val="000000"/>
          <w:sz w:val="21"/>
          <w:szCs w:val="21"/>
          <w:lang w:val="es-ES"/>
        </w:rPr>
      </w:pPr>
      <w:r w:rsidRPr="008C1A90">
        <w:rPr>
          <w:rFonts w:ascii="Cambria" w:eastAsia="Batang" w:hAnsi="Cambria" w:cs="Times New Roman"/>
          <w:color w:val="000000"/>
          <w:sz w:val="21"/>
          <w:szCs w:val="21"/>
          <w:lang w:val="es-ES"/>
        </w:rPr>
        <w:t xml:space="preserve">El </w:t>
      </w:r>
      <w:r w:rsidR="00C9360D" w:rsidRPr="008C1A90">
        <w:rPr>
          <w:rFonts w:ascii="Cambria" w:eastAsia="Batang" w:hAnsi="Cambria" w:cs="Times New Roman"/>
          <w:color w:val="000000"/>
          <w:sz w:val="21"/>
          <w:szCs w:val="21"/>
          <w:lang w:val="es-ES"/>
        </w:rPr>
        <w:t>12 de noviembre de</w:t>
      </w:r>
      <w:r w:rsidRPr="008C1A90">
        <w:rPr>
          <w:rFonts w:ascii="Cambria" w:eastAsia="Batang" w:hAnsi="Cambria" w:cs="Times New Roman"/>
          <w:color w:val="000000"/>
          <w:sz w:val="21"/>
          <w:szCs w:val="21"/>
          <w:lang w:val="es-ES"/>
        </w:rPr>
        <w:t xml:space="preserve"> 2018, </w:t>
      </w:r>
      <w:r w:rsidR="00E41E1B" w:rsidRPr="008C1A90">
        <w:rPr>
          <w:rFonts w:ascii="Cambria" w:eastAsia="Batang" w:hAnsi="Cambria" w:cs="Times New Roman"/>
          <w:color w:val="000000"/>
          <w:sz w:val="21"/>
          <w:szCs w:val="21"/>
          <w:lang w:val="es-ES"/>
        </w:rPr>
        <w:t xml:space="preserve">se habría interpuesto una denuncia </w:t>
      </w:r>
      <w:r w:rsidR="007609D5" w:rsidRPr="008C1A90">
        <w:rPr>
          <w:rFonts w:ascii="Cambria" w:eastAsia="Batang" w:hAnsi="Cambria" w:cs="Times New Roman"/>
          <w:color w:val="000000"/>
          <w:sz w:val="21"/>
          <w:szCs w:val="21"/>
          <w:lang w:val="es-ES"/>
        </w:rPr>
        <w:t>ante el t</w:t>
      </w:r>
      <w:r w:rsidR="00E41E1B" w:rsidRPr="008C1A90">
        <w:rPr>
          <w:rFonts w:ascii="Cambria" w:eastAsia="Batang" w:hAnsi="Cambria" w:cs="Times New Roman"/>
          <w:color w:val="000000"/>
          <w:sz w:val="21"/>
          <w:szCs w:val="21"/>
          <w:lang w:val="es-ES"/>
        </w:rPr>
        <w:t xml:space="preserve">ribunal de </w:t>
      </w:r>
      <w:r w:rsidR="007609D5" w:rsidRPr="008C1A90">
        <w:rPr>
          <w:rFonts w:ascii="Cambria" w:eastAsia="Batang" w:hAnsi="Cambria" w:cs="Times New Roman"/>
          <w:color w:val="000000"/>
          <w:sz w:val="21"/>
          <w:szCs w:val="21"/>
          <w:lang w:val="es-ES"/>
        </w:rPr>
        <w:t>f</w:t>
      </w:r>
      <w:r w:rsidR="00E41E1B" w:rsidRPr="008C1A90">
        <w:rPr>
          <w:rFonts w:ascii="Cambria" w:eastAsia="Batang" w:hAnsi="Cambria" w:cs="Times New Roman"/>
          <w:color w:val="000000"/>
          <w:sz w:val="21"/>
          <w:szCs w:val="21"/>
          <w:lang w:val="es-ES"/>
        </w:rPr>
        <w:t>amilia</w:t>
      </w:r>
      <w:r w:rsidRPr="008C1A90">
        <w:rPr>
          <w:rFonts w:ascii="Cambria" w:eastAsia="Batang" w:hAnsi="Cambria" w:cs="Times New Roman"/>
          <w:color w:val="000000"/>
          <w:sz w:val="21"/>
          <w:szCs w:val="21"/>
          <w:lang w:val="es-ES"/>
        </w:rPr>
        <w:t xml:space="preserve"> para </w:t>
      </w:r>
      <w:r w:rsidR="00A57492" w:rsidRPr="008C1A90">
        <w:rPr>
          <w:rFonts w:ascii="Cambria" w:eastAsia="Batang" w:hAnsi="Cambria" w:cs="Times New Roman"/>
          <w:color w:val="000000"/>
          <w:sz w:val="21"/>
          <w:szCs w:val="21"/>
          <w:lang w:val="es-ES"/>
        </w:rPr>
        <w:t>determinar</w:t>
      </w:r>
      <w:r w:rsidRPr="008C1A90">
        <w:rPr>
          <w:rFonts w:ascii="Cambria" w:eastAsia="Batang" w:hAnsi="Cambria" w:cs="Times New Roman"/>
          <w:color w:val="000000"/>
          <w:sz w:val="21"/>
          <w:szCs w:val="21"/>
          <w:lang w:val="es-ES"/>
        </w:rPr>
        <w:t xml:space="preserve"> la custodia del propuesto beneficiario. Hasta la f</w:t>
      </w:r>
      <w:r w:rsidR="007609D5" w:rsidRPr="008C1A90">
        <w:rPr>
          <w:rFonts w:ascii="Cambria" w:eastAsia="Batang" w:hAnsi="Cambria" w:cs="Times New Roman"/>
          <w:color w:val="000000"/>
          <w:sz w:val="21"/>
          <w:szCs w:val="21"/>
          <w:lang w:val="es-ES"/>
        </w:rPr>
        <w:t>echa, la madre de J.M.V. continuaría</w:t>
      </w:r>
      <w:r w:rsidRPr="008C1A90">
        <w:rPr>
          <w:rFonts w:ascii="Cambria" w:eastAsia="Batang" w:hAnsi="Cambria" w:cs="Times New Roman"/>
          <w:color w:val="000000"/>
          <w:sz w:val="21"/>
          <w:szCs w:val="21"/>
          <w:lang w:val="es-ES"/>
        </w:rPr>
        <w:t xml:space="preserve"> en Trinidad y Tobago a la espera de una </w:t>
      </w:r>
      <w:r w:rsidR="00A57492" w:rsidRPr="008C1A90">
        <w:rPr>
          <w:rFonts w:ascii="Cambria" w:eastAsia="Batang" w:hAnsi="Cambria" w:cs="Times New Roman"/>
          <w:color w:val="000000"/>
          <w:sz w:val="21"/>
          <w:szCs w:val="21"/>
          <w:lang w:val="es-ES"/>
        </w:rPr>
        <w:t>decisión</w:t>
      </w:r>
      <w:r w:rsidRPr="008C1A90">
        <w:rPr>
          <w:rFonts w:ascii="Cambria" w:eastAsia="Batang" w:hAnsi="Cambria" w:cs="Times New Roman"/>
          <w:color w:val="000000"/>
          <w:sz w:val="21"/>
          <w:szCs w:val="21"/>
          <w:lang w:val="es-ES"/>
        </w:rPr>
        <w:t xml:space="preserve"> judicial; sin embargo, no se le ha permitido estar en contacto con su hijo desde hace más de un año, a pesar de los recursos interpuestos en su nombre. En efecto, el 18 de diciembre de 2018 el tribunal le </w:t>
      </w:r>
      <w:r w:rsidR="007609D5" w:rsidRPr="008C1A90">
        <w:rPr>
          <w:rFonts w:ascii="Cambria" w:eastAsia="Batang" w:hAnsi="Cambria" w:cs="Times New Roman"/>
          <w:color w:val="000000"/>
          <w:sz w:val="21"/>
          <w:szCs w:val="21"/>
          <w:lang w:val="es-ES"/>
        </w:rPr>
        <w:t>habría negado</w:t>
      </w:r>
      <w:r w:rsidRPr="008C1A90">
        <w:rPr>
          <w:rFonts w:ascii="Cambria" w:eastAsia="Batang" w:hAnsi="Cambria" w:cs="Times New Roman"/>
          <w:color w:val="000000"/>
          <w:sz w:val="21"/>
          <w:szCs w:val="21"/>
          <w:lang w:val="es-ES"/>
        </w:rPr>
        <w:t xml:space="preserve"> </w:t>
      </w:r>
      <w:r w:rsidR="00C9360D" w:rsidRPr="008C1A90">
        <w:rPr>
          <w:rFonts w:ascii="Cambria" w:eastAsia="Batang" w:hAnsi="Cambria" w:cs="Times New Roman"/>
          <w:color w:val="000000"/>
          <w:sz w:val="21"/>
          <w:szCs w:val="21"/>
          <w:lang w:val="es-ES"/>
        </w:rPr>
        <w:t>la guarda provisional</w:t>
      </w:r>
      <w:r w:rsidRPr="008C1A90">
        <w:rPr>
          <w:rFonts w:ascii="Cambria" w:eastAsia="Batang" w:hAnsi="Cambria" w:cs="Times New Roman"/>
          <w:color w:val="000000"/>
          <w:sz w:val="21"/>
          <w:szCs w:val="21"/>
          <w:lang w:val="es-ES"/>
        </w:rPr>
        <w:t xml:space="preserve"> “hasta haber considerado todas las pruebas y haber tomado una decisión definitiva”. Además, el tribunal </w:t>
      </w:r>
      <w:r w:rsidR="007609D5" w:rsidRPr="008C1A90">
        <w:rPr>
          <w:rFonts w:ascii="Cambria" w:eastAsia="Batang" w:hAnsi="Cambria" w:cs="Times New Roman"/>
          <w:color w:val="000000"/>
          <w:sz w:val="21"/>
          <w:szCs w:val="21"/>
          <w:lang w:val="es-ES"/>
        </w:rPr>
        <w:t>habría ordenado</w:t>
      </w:r>
      <w:r w:rsidRPr="008C1A90">
        <w:rPr>
          <w:rFonts w:ascii="Cambria" w:eastAsia="Batang" w:hAnsi="Cambria" w:cs="Times New Roman"/>
          <w:color w:val="000000"/>
          <w:sz w:val="21"/>
          <w:szCs w:val="21"/>
          <w:lang w:val="es-ES"/>
        </w:rPr>
        <w:t xml:space="preserve"> que se llevara a cabo “un estudio de idoneidad </w:t>
      </w:r>
      <w:r w:rsidR="00AF513D" w:rsidRPr="008C1A90">
        <w:rPr>
          <w:rFonts w:ascii="Cambria" w:eastAsia="Batang" w:hAnsi="Cambria" w:cs="Times New Roman"/>
          <w:color w:val="000000"/>
          <w:sz w:val="21"/>
          <w:szCs w:val="21"/>
          <w:lang w:val="es-ES"/>
        </w:rPr>
        <w:t>en</w:t>
      </w:r>
      <w:r w:rsidRPr="008C1A90">
        <w:rPr>
          <w:rFonts w:ascii="Cambria" w:eastAsia="Batang" w:hAnsi="Cambria" w:cs="Times New Roman"/>
          <w:color w:val="000000"/>
          <w:sz w:val="21"/>
          <w:szCs w:val="21"/>
          <w:lang w:val="es-ES"/>
        </w:rPr>
        <w:t xml:space="preserve"> Venezuela” para </w:t>
      </w:r>
      <w:r w:rsidR="00A57492" w:rsidRPr="008C1A90">
        <w:rPr>
          <w:rFonts w:ascii="Cambria" w:eastAsia="Batang" w:hAnsi="Cambria" w:cs="Times New Roman"/>
          <w:color w:val="000000"/>
          <w:sz w:val="21"/>
          <w:szCs w:val="21"/>
          <w:lang w:val="es-ES"/>
        </w:rPr>
        <w:t xml:space="preserve">evaluar la situación de la señora Villalobos y que J.M.V. se quedara “a cargo y bajo el cuidado de la Autoridad para la </w:t>
      </w:r>
      <w:r w:rsidR="00163639" w:rsidRPr="008C1A90">
        <w:rPr>
          <w:rFonts w:ascii="Cambria" w:eastAsia="Batang" w:hAnsi="Cambria" w:cs="Times New Roman"/>
          <w:color w:val="000000"/>
          <w:sz w:val="21"/>
          <w:szCs w:val="21"/>
          <w:lang w:val="es-ES"/>
        </w:rPr>
        <w:t>Niñez</w:t>
      </w:r>
      <w:r w:rsidR="00220058" w:rsidRPr="008C1A90">
        <w:rPr>
          <w:rFonts w:ascii="Cambria" w:eastAsia="Batang" w:hAnsi="Cambria" w:cs="Times New Roman"/>
          <w:color w:val="000000"/>
          <w:sz w:val="21"/>
          <w:szCs w:val="21"/>
          <w:lang w:val="es-ES"/>
        </w:rPr>
        <w:t xml:space="preserve"> de Trinidad y Tobag</w:t>
      </w:r>
      <w:r w:rsidR="00A57492" w:rsidRPr="008C1A90">
        <w:rPr>
          <w:rFonts w:ascii="Cambria" w:eastAsia="Batang" w:hAnsi="Cambria" w:cs="Times New Roman"/>
          <w:color w:val="000000"/>
          <w:sz w:val="21"/>
          <w:szCs w:val="21"/>
          <w:lang w:val="es-ES"/>
        </w:rPr>
        <w:t>o” dur</w:t>
      </w:r>
      <w:r w:rsidR="00AF513D" w:rsidRPr="008C1A90">
        <w:rPr>
          <w:rFonts w:ascii="Cambria" w:eastAsia="Batang" w:hAnsi="Cambria" w:cs="Times New Roman"/>
          <w:color w:val="000000"/>
          <w:sz w:val="21"/>
          <w:szCs w:val="21"/>
          <w:lang w:val="es-ES"/>
        </w:rPr>
        <w:t>ante el plazo de cuatro a seis semanas necesario</w:t>
      </w:r>
      <w:r w:rsidR="00A57492" w:rsidRPr="008C1A90">
        <w:rPr>
          <w:rFonts w:ascii="Cambria" w:eastAsia="Batang" w:hAnsi="Cambria" w:cs="Times New Roman"/>
          <w:color w:val="000000"/>
          <w:sz w:val="21"/>
          <w:szCs w:val="21"/>
          <w:lang w:val="es-ES"/>
        </w:rPr>
        <w:t xml:space="preserve"> para completar el estudio.</w:t>
      </w:r>
      <w:r w:rsidR="007609D5" w:rsidRPr="008C1A90">
        <w:rPr>
          <w:rFonts w:ascii="Cambria" w:eastAsia="Batang" w:hAnsi="Cambria" w:cs="Times New Roman"/>
          <w:color w:val="000000"/>
          <w:sz w:val="21"/>
          <w:szCs w:val="21"/>
          <w:lang w:val="es-ES"/>
        </w:rPr>
        <w:t xml:space="preserve"> </w:t>
      </w:r>
      <w:r w:rsidR="00E97CE9" w:rsidRPr="008C1A90">
        <w:rPr>
          <w:rFonts w:ascii="Cambria" w:eastAsia="Batang" w:hAnsi="Cambria" w:cs="Times New Roman"/>
          <w:color w:val="000000"/>
          <w:sz w:val="21"/>
          <w:szCs w:val="21"/>
          <w:lang w:val="es-ES"/>
        </w:rPr>
        <w:t>En lo que se refiere a</w:t>
      </w:r>
      <w:r w:rsidR="007609D5" w:rsidRPr="008C1A90">
        <w:rPr>
          <w:rFonts w:ascii="Cambria" w:eastAsia="Batang" w:hAnsi="Cambria" w:cs="Times New Roman"/>
          <w:color w:val="000000"/>
          <w:sz w:val="21"/>
          <w:szCs w:val="21"/>
          <w:lang w:val="es-ES"/>
        </w:rPr>
        <w:t xml:space="preserve"> los documentos presentados por los solicitantes, no se cuenta con información referente a una decisión sobre derechos de visita.</w:t>
      </w:r>
    </w:p>
    <w:p w14:paraId="5350B299" w14:textId="77777777" w:rsidR="001F065D" w:rsidRPr="008C1A90" w:rsidRDefault="001F065D" w:rsidP="001F065D">
      <w:pPr>
        <w:pStyle w:val="ListParagraph"/>
        <w:rPr>
          <w:rFonts w:ascii="Cambria" w:eastAsia="Batang" w:hAnsi="Cambria" w:cs="Times New Roman"/>
          <w:color w:val="000000"/>
          <w:sz w:val="21"/>
          <w:szCs w:val="21"/>
          <w:lang w:val="es-ES"/>
        </w:rPr>
      </w:pPr>
    </w:p>
    <w:p w14:paraId="039AFFB2" w14:textId="55587C07" w:rsidR="007A15C1" w:rsidRPr="008C1A90" w:rsidRDefault="009755EE" w:rsidP="00304236">
      <w:pPr>
        <w:pStyle w:val="ListParagraph"/>
        <w:numPr>
          <w:ilvl w:val="0"/>
          <w:numId w:val="3"/>
        </w:numPr>
        <w:spacing w:line="240" w:lineRule="auto"/>
        <w:ind w:left="0" w:firstLine="360"/>
        <w:jc w:val="both"/>
        <w:rPr>
          <w:rFonts w:ascii="Cambria" w:eastAsia="Batang" w:hAnsi="Cambria" w:cs="Times New Roman"/>
          <w:color w:val="000000"/>
          <w:sz w:val="21"/>
          <w:szCs w:val="21"/>
          <w:lang w:val="es-ES"/>
        </w:rPr>
      </w:pPr>
      <w:r w:rsidRPr="008C1A90">
        <w:rPr>
          <w:rFonts w:ascii="Cambria" w:eastAsia="Batang" w:hAnsi="Cambria" w:cs="Times New Roman"/>
          <w:color w:val="000000"/>
          <w:sz w:val="21"/>
          <w:szCs w:val="21"/>
          <w:lang w:val="es-ES"/>
        </w:rPr>
        <w:t>El t</w:t>
      </w:r>
      <w:r w:rsidR="00A57492" w:rsidRPr="008C1A90">
        <w:rPr>
          <w:rFonts w:ascii="Cambria" w:eastAsia="Batang" w:hAnsi="Cambria" w:cs="Times New Roman"/>
          <w:color w:val="000000"/>
          <w:sz w:val="21"/>
          <w:szCs w:val="21"/>
          <w:lang w:val="es-ES"/>
        </w:rPr>
        <w:t>ribunal consideró</w:t>
      </w:r>
      <w:r w:rsidR="00E33C76" w:rsidRPr="008C1A90">
        <w:rPr>
          <w:rFonts w:ascii="Cambria" w:eastAsia="Batang" w:hAnsi="Cambria" w:cs="Times New Roman"/>
          <w:color w:val="000000"/>
          <w:sz w:val="21"/>
          <w:szCs w:val="21"/>
          <w:lang w:val="es-ES"/>
        </w:rPr>
        <w:t xml:space="preserve"> que para otorgar la guard</w:t>
      </w:r>
      <w:r w:rsidR="00A57492" w:rsidRPr="008C1A90">
        <w:rPr>
          <w:rFonts w:ascii="Cambria" w:eastAsia="Batang" w:hAnsi="Cambria" w:cs="Times New Roman"/>
          <w:color w:val="000000"/>
          <w:sz w:val="21"/>
          <w:szCs w:val="21"/>
          <w:lang w:val="es-ES"/>
        </w:rPr>
        <w:t xml:space="preserve">a provisional a la señora Villalobos era necesario realizar un análisis de fondo del caso, lo cual no </w:t>
      </w:r>
      <w:r w:rsidR="00C9360D" w:rsidRPr="008C1A90">
        <w:rPr>
          <w:rFonts w:ascii="Cambria" w:eastAsia="Batang" w:hAnsi="Cambria" w:cs="Times New Roman"/>
          <w:color w:val="000000"/>
          <w:sz w:val="21"/>
          <w:szCs w:val="21"/>
          <w:lang w:val="es-ES"/>
        </w:rPr>
        <w:t>habría sido</w:t>
      </w:r>
      <w:r w:rsidR="00A57492" w:rsidRPr="008C1A90">
        <w:rPr>
          <w:rFonts w:ascii="Cambria" w:eastAsia="Batang" w:hAnsi="Cambria" w:cs="Times New Roman"/>
          <w:color w:val="000000"/>
          <w:sz w:val="21"/>
          <w:szCs w:val="21"/>
          <w:lang w:val="es-ES"/>
        </w:rPr>
        <w:t xml:space="preserve"> posible en ese momento desde un punto de vista procesal. </w:t>
      </w:r>
      <w:r w:rsidR="000150FE" w:rsidRPr="008C1A90">
        <w:rPr>
          <w:rFonts w:ascii="Cambria" w:eastAsia="Batang" w:hAnsi="Cambria" w:cs="Times New Roman"/>
          <w:color w:val="000000"/>
          <w:sz w:val="21"/>
          <w:szCs w:val="21"/>
          <w:lang w:val="es-ES"/>
        </w:rPr>
        <w:t>Según</w:t>
      </w:r>
      <w:r w:rsidR="00A57492" w:rsidRPr="008C1A90">
        <w:rPr>
          <w:rFonts w:ascii="Cambria" w:eastAsia="Batang" w:hAnsi="Cambria" w:cs="Times New Roman"/>
          <w:color w:val="000000"/>
          <w:sz w:val="21"/>
          <w:szCs w:val="21"/>
          <w:lang w:val="es-ES"/>
        </w:rPr>
        <w:t xml:space="preserve"> la decisión, no estaba claro en ese </w:t>
      </w:r>
      <w:r w:rsidR="00AF513D" w:rsidRPr="008C1A90">
        <w:rPr>
          <w:rFonts w:ascii="Cambria" w:eastAsia="Batang" w:hAnsi="Cambria" w:cs="Times New Roman"/>
          <w:color w:val="000000"/>
          <w:sz w:val="21"/>
          <w:szCs w:val="21"/>
          <w:lang w:val="es-ES"/>
        </w:rPr>
        <w:t>m</w:t>
      </w:r>
      <w:r w:rsidR="00A57492" w:rsidRPr="008C1A90">
        <w:rPr>
          <w:rFonts w:ascii="Cambria" w:eastAsia="Batang" w:hAnsi="Cambria" w:cs="Times New Roman"/>
          <w:color w:val="000000"/>
          <w:sz w:val="21"/>
          <w:szCs w:val="21"/>
          <w:lang w:val="es-ES"/>
        </w:rPr>
        <w:t xml:space="preserve">omento si la madre del </w:t>
      </w:r>
      <w:r w:rsidR="00A57492" w:rsidRPr="008C1A90">
        <w:rPr>
          <w:rFonts w:ascii="Cambria" w:eastAsia="Batang" w:hAnsi="Cambria" w:cs="Times New Roman"/>
          <w:color w:val="000000"/>
          <w:sz w:val="21"/>
          <w:szCs w:val="21"/>
          <w:lang w:val="es-ES"/>
        </w:rPr>
        <w:lastRenderedPageBreak/>
        <w:t xml:space="preserve">propuesto beneficiario había sido víctima de </w:t>
      </w:r>
      <w:r w:rsidR="00AF513D" w:rsidRPr="008C1A90">
        <w:rPr>
          <w:rFonts w:ascii="Cambria" w:eastAsia="Batang" w:hAnsi="Cambria" w:cs="Times New Roman"/>
          <w:color w:val="000000"/>
          <w:sz w:val="21"/>
          <w:szCs w:val="21"/>
          <w:lang w:val="es-ES"/>
        </w:rPr>
        <w:t>trata de personas</w:t>
      </w:r>
      <w:r w:rsidR="00A57492" w:rsidRPr="008C1A90">
        <w:rPr>
          <w:rFonts w:ascii="Cambria" w:eastAsia="Batang" w:hAnsi="Cambria" w:cs="Times New Roman"/>
          <w:color w:val="000000"/>
          <w:sz w:val="21"/>
          <w:szCs w:val="21"/>
          <w:lang w:val="es-ES"/>
        </w:rPr>
        <w:t xml:space="preserve"> o si era parte de una red criminal. Además, advirtió ciertas contradicciones en su relato y tomó en consideración su situación económica, así como el hecho de que no estaba retenida en Trinidad y Tobago, dado que dicho Estado “tiene fronteras permeables con Venezuela”. Sin embargo, se reconoció que la señora Villalobos “no suponía un riesgo aparente o claro para el bebé”.</w:t>
      </w:r>
    </w:p>
    <w:p w14:paraId="712D7B0C" w14:textId="77777777" w:rsidR="007A15C1" w:rsidRPr="008C1A90" w:rsidRDefault="007A15C1" w:rsidP="007A15C1">
      <w:pPr>
        <w:pStyle w:val="ListParagraph"/>
        <w:rPr>
          <w:rFonts w:ascii="Cambria" w:eastAsia="Batang" w:hAnsi="Cambria" w:cs="Times New Roman"/>
          <w:color w:val="000000"/>
          <w:sz w:val="21"/>
          <w:szCs w:val="21"/>
          <w:lang w:val="es-ES"/>
        </w:rPr>
      </w:pPr>
    </w:p>
    <w:p w14:paraId="53079DD9" w14:textId="0526DEA8" w:rsidR="00387014" w:rsidRPr="008C1A90" w:rsidRDefault="000150FE" w:rsidP="002C7A90">
      <w:pPr>
        <w:pStyle w:val="ListParagraph"/>
        <w:numPr>
          <w:ilvl w:val="0"/>
          <w:numId w:val="3"/>
        </w:numPr>
        <w:spacing w:line="240" w:lineRule="auto"/>
        <w:ind w:left="0" w:firstLine="360"/>
        <w:jc w:val="both"/>
        <w:rPr>
          <w:rFonts w:ascii="Cambria" w:hAnsi="Cambria"/>
          <w:lang w:val="es-ES"/>
        </w:rPr>
      </w:pPr>
      <w:r w:rsidRPr="008C1A90">
        <w:rPr>
          <w:rFonts w:ascii="Cambria" w:eastAsia="Batang" w:hAnsi="Cambria" w:cs="Times New Roman"/>
          <w:color w:val="000000"/>
          <w:sz w:val="21"/>
          <w:szCs w:val="21"/>
          <w:lang w:val="es-ES"/>
        </w:rPr>
        <w:t xml:space="preserve">Según </w:t>
      </w:r>
      <w:r w:rsidR="00A57492" w:rsidRPr="008C1A90">
        <w:rPr>
          <w:rFonts w:ascii="Cambria" w:eastAsia="Batang" w:hAnsi="Cambria" w:cs="Times New Roman"/>
          <w:color w:val="000000"/>
          <w:sz w:val="21"/>
          <w:szCs w:val="21"/>
          <w:lang w:val="es-ES"/>
        </w:rPr>
        <w:t xml:space="preserve">los solicitantes, </w:t>
      </w:r>
      <w:r w:rsidR="00CE590C" w:rsidRPr="008C1A90">
        <w:rPr>
          <w:rFonts w:ascii="Cambria" w:eastAsia="Batang" w:hAnsi="Cambria" w:cs="Times New Roman"/>
          <w:color w:val="000000"/>
          <w:sz w:val="21"/>
          <w:szCs w:val="21"/>
          <w:lang w:val="es-ES"/>
        </w:rPr>
        <w:t xml:space="preserve">dicha decisión se tomó a pesar de que la Autoridad para la </w:t>
      </w:r>
      <w:r w:rsidR="00163639" w:rsidRPr="008C1A90">
        <w:rPr>
          <w:rFonts w:ascii="Cambria" w:eastAsia="Batang" w:hAnsi="Cambria" w:cs="Times New Roman"/>
          <w:color w:val="000000"/>
          <w:sz w:val="21"/>
          <w:szCs w:val="21"/>
          <w:lang w:val="es-ES"/>
        </w:rPr>
        <w:t>Niñez</w:t>
      </w:r>
      <w:r w:rsidR="00CE590C" w:rsidRPr="008C1A90">
        <w:rPr>
          <w:rFonts w:ascii="Cambria" w:eastAsia="Batang" w:hAnsi="Cambria" w:cs="Times New Roman"/>
          <w:color w:val="000000"/>
          <w:sz w:val="21"/>
          <w:szCs w:val="21"/>
          <w:lang w:val="es-ES"/>
        </w:rPr>
        <w:t xml:space="preserve"> del Estado había emitido una recomendación favorable el 10 de diciembre de 2018 para asignar provisionalmente la custodia de J.M.V. a su madre. Una semana más tarde, se emitió otra recomendación para permitir que la madre tuviese acceso a su hijo en la guardería. Además, los solicitantes explicaron que la decisión no se ha </w:t>
      </w:r>
      <w:r w:rsidR="006556CB" w:rsidRPr="008C1A90">
        <w:rPr>
          <w:rFonts w:ascii="Cambria" w:eastAsia="Batang" w:hAnsi="Cambria" w:cs="Times New Roman"/>
          <w:color w:val="000000"/>
          <w:sz w:val="21"/>
          <w:szCs w:val="21"/>
          <w:lang w:val="es-ES"/>
        </w:rPr>
        <w:t>revisado</w:t>
      </w:r>
      <w:r w:rsidR="00CE590C" w:rsidRPr="008C1A90">
        <w:rPr>
          <w:rFonts w:ascii="Cambria" w:eastAsia="Batang" w:hAnsi="Cambria" w:cs="Times New Roman"/>
          <w:color w:val="000000"/>
          <w:sz w:val="21"/>
          <w:szCs w:val="21"/>
          <w:lang w:val="es-ES"/>
        </w:rPr>
        <w:t xml:space="preserve"> a la luz de las circunstancias actuales, a pesar de que la señora Villalobos ya no está siendo sometida a una investigación penal. Por último, indicaron que el juicio que debía celebrarse en noviembre de 2019 ha sido pospuesto hasta enero de 2020</w:t>
      </w:r>
      <w:r w:rsidR="000F5331" w:rsidRPr="008C1A90">
        <w:rPr>
          <w:rFonts w:ascii="Cambria" w:eastAsia="Batang" w:hAnsi="Cambria" w:cs="Times New Roman"/>
          <w:color w:val="000000"/>
          <w:sz w:val="21"/>
          <w:szCs w:val="21"/>
          <w:lang w:val="es-ES"/>
        </w:rPr>
        <w:t xml:space="preserve">. </w:t>
      </w:r>
    </w:p>
    <w:p w14:paraId="79F2A33A" w14:textId="1536E100" w:rsidR="004B2698" w:rsidRPr="008C1A90" w:rsidRDefault="00CE590C" w:rsidP="00BE7B6F">
      <w:pPr>
        <w:numPr>
          <w:ilvl w:val="0"/>
          <w:numId w:val="4"/>
        </w:numPr>
        <w:jc w:val="both"/>
        <w:rPr>
          <w:rFonts w:ascii="Cambria" w:eastAsia="Times New Roman" w:hAnsi="Cambria" w:cs="Times New Roman"/>
          <w:b/>
          <w:color w:val="000000"/>
          <w:sz w:val="21"/>
          <w:szCs w:val="21"/>
          <w:lang w:val="es-ES"/>
        </w:rPr>
      </w:pPr>
      <w:r w:rsidRPr="008C1A90">
        <w:rPr>
          <w:rFonts w:ascii="Cambria" w:eastAsia="Times New Roman" w:hAnsi="Cambria" w:cs="Times New Roman"/>
          <w:b/>
          <w:color w:val="000000"/>
          <w:sz w:val="21"/>
          <w:szCs w:val="21"/>
          <w:lang w:val="es-ES"/>
        </w:rPr>
        <w:t>Respuesta del Estado</w:t>
      </w:r>
    </w:p>
    <w:p w14:paraId="08930247" w14:textId="77777777" w:rsidR="00B94D5E" w:rsidRPr="008C1A90" w:rsidRDefault="00B94D5E" w:rsidP="00BE7B6F">
      <w:pPr>
        <w:ind w:left="720"/>
        <w:jc w:val="both"/>
        <w:rPr>
          <w:rFonts w:ascii="Cambria" w:eastAsia="Times New Roman" w:hAnsi="Cambria" w:cs="Times New Roman"/>
          <w:b/>
          <w:color w:val="000000"/>
          <w:sz w:val="21"/>
          <w:szCs w:val="21"/>
          <w:lang w:val="es-ES"/>
        </w:rPr>
      </w:pPr>
    </w:p>
    <w:p w14:paraId="3FDE6330" w14:textId="26636E7A" w:rsidR="00B94D5E" w:rsidRPr="008C1A90" w:rsidRDefault="00CE590C" w:rsidP="000F023F">
      <w:pPr>
        <w:pStyle w:val="ListParagraph"/>
        <w:numPr>
          <w:ilvl w:val="0"/>
          <w:numId w:val="3"/>
        </w:numPr>
        <w:spacing w:line="240" w:lineRule="auto"/>
        <w:ind w:left="0" w:firstLine="36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La Comisión solicitó información al Estado el 29 de octubre de 2019. Sin embargo, no se</w:t>
      </w:r>
      <w:r w:rsidR="00D1026A" w:rsidRPr="008C1A90">
        <w:rPr>
          <w:rFonts w:ascii="Cambria" w:eastAsia="Batang" w:hAnsi="Cambria" w:cs="Times New Roman"/>
          <w:color w:val="000000" w:themeColor="text1"/>
          <w:sz w:val="21"/>
          <w:szCs w:val="21"/>
          <w:lang w:val="es-ES"/>
        </w:rPr>
        <w:t xml:space="preserve"> ha recibido respuesta alguna hasta </w:t>
      </w:r>
      <w:r w:rsidRPr="008C1A90">
        <w:rPr>
          <w:rFonts w:ascii="Cambria" w:eastAsia="Batang" w:hAnsi="Cambria" w:cs="Times New Roman"/>
          <w:color w:val="000000" w:themeColor="text1"/>
          <w:sz w:val="21"/>
          <w:szCs w:val="21"/>
          <w:lang w:val="es-ES"/>
        </w:rPr>
        <w:t>la fecha.</w:t>
      </w:r>
    </w:p>
    <w:p w14:paraId="6C564074" w14:textId="163039C0" w:rsidR="004B2698" w:rsidRPr="008C1A90" w:rsidRDefault="00CE590C" w:rsidP="00EE18F5">
      <w:pPr>
        <w:numPr>
          <w:ilvl w:val="0"/>
          <w:numId w:val="2"/>
        </w:numPr>
        <w:ind w:hanging="294"/>
        <w:jc w:val="both"/>
        <w:rPr>
          <w:rFonts w:ascii="Cambria" w:eastAsia="Batang" w:hAnsi="Cambria" w:cs="Times New Roman"/>
          <w:b/>
          <w:color w:val="000000" w:themeColor="text1"/>
          <w:sz w:val="21"/>
          <w:szCs w:val="21"/>
          <w:lang w:val="es-ES"/>
        </w:rPr>
      </w:pPr>
      <w:r w:rsidRPr="008C1A90">
        <w:rPr>
          <w:rFonts w:ascii="Cambria" w:eastAsia="Calibri" w:hAnsi="Cambria"/>
          <w:b/>
          <w:sz w:val="21"/>
          <w:szCs w:val="21"/>
          <w:lang w:val="es-ES_tradnl"/>
        </w:rPr>
        <w:t xml:space="preserve">ANÁLISIS </w:t>
      </w:r>
      <w:r w:rsidRPr="008C1A90">
        <w:rPr>
          <w:rFonts w:ascii="Cambria" w:hAnsi="Cambria"/>
          <w:b/>
          <w:sz w:val="21"/>
          <w:szCs w:val="21"/>
          <w:lang w:val="es-ES_tradnl"/>
        </w:rPr>
        <w:t>DE</w:t>
      </w:r>
      <w:r w:rsidRPr="008C1A90">
        <w:rPr>
          <w:rFonts w:ascii="Cambria" w:eastAsia="Calibri" w:hAnsi="Cambria"/>
          <w:b/>
          <w:sz w:val="21"/>
          <w:szCs w:val="21"/>
          <w:lang w:val="es-ES_tradnl"/>
        </w:rPr>
        <w:t xml:space="preserve"> LOS ELEMENTOS DE GRAVEDAD, URGENCIA E IRREPARABILIDAD</w:t>
      </w:r>
    </w:p>
    <w:p w14:paraId="725AB41F" w14:textId="77777777" w:rsidR="00B94D5E" w:rsidRPr="008C1A90" w:rsidRDefault="00B94D5E" w:rsidP="00EE18F5">
      <w:pPr>
        <w:ind w:left="720"/>
        <w:jc w:val="both"/>
        <w:rPr>
          <w:rFonts w:ascii="Cambria" w:eastAsia="Batang" w:hAnsi="Cambria" w:cs="Times New Roman"/>
          <w:b/>
          <w:color w:val="000000" w:themeColor="text1"/>
          <w:sz w:val="21"/>
          <w:szCs w:val="21"/>
          <w:lang w:val="es-ES"/>
        </w:rPr>
      </w:pPr>
    </w:p>
    <w:p w14:paraId="6FA02C94" w14:textId="779C622A" w:rsidR="004B2698" w:rsidRPr="008C1A90" w:rsidRDefault="00CE590C"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8C1A90">
        <w:rPr>
          <w:rFonts w:ascii="Cambria" w:eastAsia="Calibri" w:hAnsi="Cambria"/>
          <w:sz w:val="21"/>
          <w:szCs w:val="21"/>
          <w:lang w:val="es-ES_tradnl"/>
        </w:rPr>
        <w:t>establecidas</w:t>
      </w:r>
      <w:r w:rsidRPr="008C1A90">
        <w:rPr>
          <w:rFonts w:ascii="Cambria" w:hAnsi="Cambria"/>
          <w:sz w:val="21"/>
          <w:szCs w:val="21"/>
          <w:lang w:val="es-MX"/>
        </w:rPr>
        <w:t xml:space="preserve"> en el artículo 41 (b) de la Convención Americana sobre Derechos Humanos, recogido también en el artículo 18 (b) del Estatuto de la CIDH y el </w:t>
      </w:r>
      <w:r w:rsidRPr="008C1A90">
        <w:rPr>
          <w:rFonts w:ascii="Cambria" w:eastAsia="Times New Roman" w:hAnsi="Cambria" w:cs="Times New Roman"/>
          <w:color w:val="000000"/>
          <w:sz w:val="21"/>
          <w:szCs w:val="21"/>
        </w:rPr>
        <w:t>mecanismo</w:t>
      </w:r>
      <w:r w:rsidRPr="008C1A90">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w:t>
      </w:r>
      <w:r w:rsidR="0022206F" w:rsidRPr="008C1A90">
        <w:rPr>
          <w:rFonts w:ascii="Cambria" w:hAnsi="Cambria"/>
          <w:sz w:val="21"/>
          <w:szCs w:val="21"/>
          <w:lang w:val="es-MX"/>
        </w:rPr>
        <w:t xml:space="preserve">año irreparable </w:t>
      </w:r>
      <w:r w:rsidRPr="008C1A90">
        <w:rPr>
          <w:rFonts w:ascii="Cambria" w:hAnsi="Cambria"/>
          <w:sz w:val="21"/>
          <w:szCs w:val="21"/>
          <w:lang w:val="es-MX"/>
        </w:rPr>
        <w:t>a las personas</w:t>
      </w:r>
      <w:r w:rsidR="004B2698" w:rsidRPr="008C1A90">
        <w:rPr>
          <w:rFonts w:ascii="Cambria" w:eastAsia="Batang" w:hAnsi="Cambria" w:cs="Times New Roman"/>
          <w:color w:val="000000" w:themeColor="text1"/>
          <w:sz w:val="21"/>
          <w:szCs w:val="21"/>
          <w:lang w:val="es-ES"/>
        </w:rPr>
        <w:t xml:space="preserve">. </w:t>
      </w:r>
    </w:p>
    <w:p w14:paraId="1CBD0293" w14:textId="77777777" w:rsidR="00B94D5E" w:rsidRPr="008C1A90"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6830C8E9" w14:textId="4F4C7451" w:rsidR="004B2698" w:rsidRPr="008C1A90" w:rsidRDefault="00CE590C"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8C1A90">
        <w:rPr>
          <w:rFonts w:ascii="Cambria" w:hAnsi="Cambria"/>
          <w:i/>
          <w:sz w:val="21"/>
          <w:szCs w:val="21"/>
          <w:lang w:val="es-MX"/>
        </w:rPr>
        <w:t>effet utile</w:t>
      </w:r>
      <w:r w:rsidRPr="008C1A90">
        <w:rPr>
          <w:rFonts w:ascii="Cambria" w:hAnsi="Cambria"/>
          <w:sz w:val="21"/>
          <w:szCs w:val="21"/>
          <w:lang w:val="es-MX"/>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r w:rsidR="000A05DA" w:rsidRPr="008C1A90">
        <w:rPr>
          <w:rFonts w:ascii="Cambria" w:eastAsia="Batang" w:hAnsi="Cambria" w:cs="Times New Roman"/>
          <w:color w:val="000000" w:themeColor="text1"/>
          <w:sz w:val="21"/>
          <w:szCs w:val="21"/>
          <w:lang w:val="es-ES"/>
        </w:rPr>
        <w:t>:</w:t>
      </w:r>
    </w:p>
    <w:p w14:paraId="1A1877E1" w14:textId="77777777" w:rsidR="00B94D5E" w:rsidRPr="008C1A90"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19F3FEB7" w14:textId="639C9242" w:rsidR="005B42EF" w:rsidRPr="008C1A90" w:rsidRDefault="00CE590C" w:rsidP="001C633E">
      <w:pPr>
        <w:numPr>
          <w:ilvl w:val="0"/>
          <w:numId w:val="1"/>
        </w:numPr>
        <w:jc w:val="both"/>
        <w:rPr>
          <w:rFonts w:ascii="Cambria" w:eastAsia="Batang" w:hAnsi="Cambria" w:cs="Times New Roman"/>
          <w:color w:val="000000"/>
          <w:sz w:val="18"/>
          <w:szCs w:val="21"/>
          <w:lang w:val="es-ES"/>
        </w:rPr>
      </w:pPr>
      <w:r w:rsidRPr="008C1A90">
        <w:rPr>
          <w:rFonts w:ascii="Cambria" w:hAnsi="Cambria"/>
          <w:sz w:val="18"/>
          <w:szCs w:val="21"/>
          <w:lang w:val="es-MX"/>
        </w:rPr>
        <w:t>La “gravedad de la situación” implica el serio impacto que una acción u omisión puede tener sobre un derecho protegido o sobre el efecto eventual de una decisión pendiente en un caso o petición ante los órganos del Sistema Interamericano</w:t>
      </w:r>
      <w:r w:rsidR="004B2698" w:rsidRPr="008C1A90">
        <w:rPr>
          <w:rFonts w:ascii="Cambria" w:eastAsia="Batang" w:hAnsi="Cambria" w:cs="Times New Roman"/>
          <w:color w:val="000000"/>
          <w:sz w:val="18"/>
          <w:szCs w:val="21"/>
          <w:lang w:val="es-ES"/>
        </w:rPr>
        <w:t>;</w:t>
      </w:r>
    </w:p>
    <w:p w14:paraId="20E1F08B" w14:textId="407F6A14" w:rsidR="004B2698" w:rsidRPr="008C1A90" w:rsidRDefault="004B2698" w:rsidP="002C7A90">
      <w:pPr>
        <w:ind w:left="720"/>
        <w:jc w:val="both"/>
        <w:rPr>
          <w:rFonts w:ascii="Cambria" w:eastAsia="Batang" w:hAnsi="Cambria" w:cs="Times New Roman"/>
          <w:color w:val="000000"/>
          <w:sz w:val="18"/>
          <w:szCs w:val="21"/>
          <w:lang w:val="es-ES"/>
        </w:rPr>
      </w:pPr>
      <w:r w:rsidRPr="008C1A90">
        <w:rPr>
          <w:rFonts w:ascii="Cambria" w:eastAsia="Batang" w:hAnsi="Cambria" w:cs="Times New Roman"/>
          <w:color w:val="000000"/>
          <w:sz w:val="18"/>
          <w:szCs w:val="21"/>
          <w:lang w:val="es-ES"/>
        </w:rPr>
        <w:t xml:space="preserve"> </w:t>
      </w:r>
    </w:p>
    <w:p w14:paraId="21C5C8B3" w14:textId="534D7F0D" w:rsidR="004B2698" w:rsidRPr="008C1A90" w:rsidRDefault="00CE590C" w:rsidP="001C633E">
      <w:pPr>
        <w:numPr>
          <w:ilvl w:val="0"/>
          <w:numId w:val="1"/>
        </w:numPr>
        <w:jc w:val="both"/>
        <w:rPr>
          <w:rFonts w:ascii="Cambria" w:eastAsia="Batang" w:hAnsi="Cambria" w:cs="Times New Roman"/>
          <w:color w:val="000000"/>
          <w:sz w:val="18"/>
          <w:szCs w:val="21"/>
          <w:lang w:val="es-ES"/>
        </w:rPr>
      </w:pPr>
      <w:r w:rsidRPr="008C1A90">
        <w:rPr>
          <w:rFonts w:ascii="Cambria" w:hAnsi="Cambria"/>
          <w:sz w:val="18"/>
          <w:szCs w:val="21"/>
          <w:lang w:val="es-MX"/>
        </w:rPr>
        <w:t>La “urgencia de la situación” se determina por medio de la información aportada, indicando el riesgo o la amenaza que puedan ser inminentes y materializarse, requiriendo de esa manera una acción preventiva o tutelar; y</w:t>
      </w:r>
    </w:p>
    <w:p w14:paraId="767892BD" w14:textId="77777777" w:rsidR="005B42EF" w:rsidRPr="008C1A90" w:rsidRDefault="005B42EF" w:rsidP="002C7A90">
      <w:pPr>
        <w:ind w:left="720"/>
        <w:jc w:val="both"/>
        <w:rPr>
          <w:rFonts w:ascii="Cambria" w:eastAsia="Batang" w:hAnsi="Cambria" w:cs="Times New Roman"/>
          <w:color w:val="000000"/>
          <w:sz w:val="18"/>
          <w:szCs w:val="21"/>
          <w:lang w:val="es-ES"/>
        </w:rPr>
      </w:pPr>
    </w:p>
    <w:p w14:paraId="1768DB81" w14:textId="045D9554" w:rsidR="004B2698" w:rsidRPr="008C1A90" w:rsidRDefault="00CE590C" w:rsidP="001C633E">
      <w:pPr>
        <w:numPr>
          <w:ilvl w:val="0"/>
          <w:numId w:val="1"/>
        </w:numPr>
        <w:jc w:val="both"/>
        <w:rPr>
          <w:rFonts w:ascii="Cambria" w:eastAsia="Batang" w:hAnsi="Cambria" w:cs="Times New Roman"/>
          <w:color w:val="000000"/>
          <w:sz w:val="18"/>
          <w:szCs w:val="21"/>
          <w:lang w:val="es-ES"/>
        </w:rPr>
      </w:pPr>
      <w:r w:rsidRPr="008C1A90">
        <w:rPr>
          <w:rFonts w:ascii="Cambria" w:hAnsi="Cambria"/>
          <w:sz w:val="18"/>
          <w:szCs w:val="21"/>
          <w:lang w:val="es-MX"/>
        </w:rPr>
        <w:t>El “daño irreparable” consiste en la afectación sobre derechos que, por su propia naturaleza, no son susceptibles de reparación, restauración o adecuada indemnización</w:t>
      </w:r>
      <w:r w:rsidR="004B2698" w:rsidRPr="008C1A90">
        <w:rPr>
          <w:rFonts w:ascii="Cambria" w:eastAsia="Batang" w:hAnsi="Cambria" w:cs="Times New Roman"/>
          <w:color w:val="000000"/>
          <w:sz w:val="18"/>
          <w:szCs w:val="21"/>
          <w:lang w:val="es-ES"/>
        </w:rPr>
        <w:t>.</w:t>
      </w:r>
    </w:p>
    <w:p w14:paraId="37BBA83D" w14:textId="77777777" w:rsidR="00B94D5E" w:rsidRPr="008C1A90"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357E7F8" w14:textId="32DFF390" w:rsidR="004B2698" w:rsidRPr="008C1A90" w:rsidRDefault="00CE590C"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hAnsi="Cambria"/>
          <w:sz w:val="21"/>
          <w:szCs w:val="21"/>
          <w:lang w:val="es-MX"/>
        </w:rPr>
        <w:lastRenderedPageBreak/>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8C1A90">
        <w:rPr>
          <w:rFonts w:ascii="Cambria" w:hAnsi="Cambria"/>
          <w:i/>
          <w:sz w:val="21"/>
          <w:szCs w:val="21"/>
          <w:lang w:val="es-MX"/>
        </w:rPr>
        <w:t>prima facie</w:t>
      </w:r>
      <w:r w:rsidRPr="008C1A90">
        <w:rPr>
          <w:rFonts w:ascii="Cambria" w:hAnsi="Cambria"/>
          <w:sz w:val="21"/>
          <w:szCs w:val="21"/>
          <w:lang w:val="es-MX"/>
        </w:rPr>
        <w:t xml:space="preserve"> que permita identificar una situación de gravedad y urgencia</w:t>
      </w:r>
      <w:r w:rsidR="004B2698" w:rsidRPr="008C1A90">
        <w:rPr>
          <w:rFonts w:ascii="Cambria" w:eastAsia="Batang" w:hAnsi="Cambria" w:cs="Times New Roman"/>
          <w:color w:val="000000" w:themeColor="text1"/>
          <w:sz w:val="21"/>
          <w:szCs w:val="21"/>
          <w:vertAlign w:val="superscript"/>
          <w:lang w:val="es-ES"/>
        </w:rPr>
        <w:footnoteReference w:id="1"/>
      </w:r>
      <w:r w:rsidRPr="008C1A90">
        <w:rPr>
          <w:rFonts w:ascii="Cambria" w:hAnsi="Cambria"/>
          <w:sz w:val="21"/>
          <w:szCs w:val="21"/>
          <w:lang w:val="es-MX"/>
        </w:rPr>
        <w:t>.</w:t>
      </w:r>
    </w:p>
    <w:p w14:paraId="326BEF4F" w14:textId="77777777" w:rsidR="00193139" w:rsidRPr="008C1A90" w:rsidRDefault="00193139" w:rsidP="00CD1914">
      <w:pPr>
        <w:jc w:val="both"/>
        <w:rPr>
          <w:rFonts w:ascii="Cambria" w:hAnsi="Cambria"/>
          <w:sz w:val="21"/>
          <w:szCs w:val="21"/>
          <w:lang w:val="es-ES"/>
        </w:rPr>
      </w:pPr>
    </w:p>
    <w:p w14:paraId="77BCCCBD"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sz w:val="21"/>
          <w:szCs w:val="21"/>
          <w:lang w:val="es-ES"/>
        </w:rPr>
        <w:t>La Comisión considera pertinente aclarar que el mecanismo de medidas cautelares no es idóneo para determinar si los procedimientos internos relativos a la guarda y custodia del propuesto beneficiario son compatibles con las obligaciones establecidas en la Declaración Americana de los Derechos y Deberes del Hombre, o a la luz de dichas obligaciones especiales relativas a los niños, dado que el sistema de peticiones y casos es el único mecanismo que puede abordar el fondo del asunto. En vista de todo ello, el análisis que sigue a continuación se limita exclusivamente a los requisitos de gravedad, urgencia y riesgo de daño irreparable recogidos en el artículo 25 del Reglamento de la Comisión, los cuales pueden resolverse sin tratar cuestiones de fondo.</w:t>
      </w:r>
    </w:p>
    <w:p w14:paraId="210760DA"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p>
    <w:p w14:paraId="331B5E24" w14:textId="15D00723"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En relación con el requisito de gravedad, la Comisión considera que, tal y como reconocieron los organismos del sistema interamericano, los niños y niñas podrían enfrentar un riesgo en ciertos procedimientos, como aquellos relativos a su adopción, guarda o custodia. Más concretamente, dado que </w:t>
      </w:r>
      <w:r w:rsidR="000150FE" w:rsidRPr="008C1A90">
        <w:rPr>
          <w:rFonts w:ascii="Cambria" w:eastAsia="Batang" w:hAnsi="Cambria" w:cs="Times New Roman"/>
          <w:color w:val="000000" w:themeColor="text1"/>
          <w:sz w:val="21"/>
          <w:szCs w:val="21"/>
          <w:lang w:val="es-ES"/>
        </w:rPr>
        <w:t>podrían ser separados</w:t>
      </w:r>
      <w:r w:rsidRPr="008C1A90">
        <w:rPr>
          <w:rFonts w:ascii="Cambria" w:eastAsia="Batang" w:hAnsi="Cambria" w:cs="Times New Roman"/>
          <w:color w:val="000000" w:themeColor="text1"/>
          <w:sz w:val="21"/>
          <w:szCs w:val="21"/>
          <w:lang w:val="es-ES"/>
        </w:rPr>
        <w:t xml:space="preserve"> de sus familias biológicas, sus derechos a la integridad personal, identidad y vida familiar pueden sufrir un daño irreparable</w:t>
      </w:r>
      <w:r w:rsidRPr="008C1A90">
        <w:rPr>
          <w:rStyle w:val="FootnoteReference"/>
          <w:rFonts w:ascii="Cambria" w:eastAsia="Batang" w:hAnsi="Cambria" w:cs="Times New Roman"/>
          <w:color w:val="000000" w:themeColor="text1"/>
          <w:sz w:val="21"/>
          <w:szCs w:val="21"/>
          <w:lang w:val="es-ES"/>
        </w:rPr>
        <w:footnoteReference w:id="2"/>
      </w:r>
      <w:r w:rsidRPr="008C1A90">
        <w:rPr>
          <w:rFonts w:ascii="Cambria" w:eastAsia="Batang" w:hAnsi="Cambria" w:cs="Times New Roman"/>
          <w:color w:val="000000" w:themeColor="text1"/>
          <w:sz w:val="21"/>
          <w:szCs w:val="21"/>
          <w:lang w:val="es-ES"/>
        </w:rPr>
        <w:t xml:space="preserve"> en caso de que se produzcan demoras o una falta de respuesta, lo cual haría necesaria la adopción de medidas cautelares.</w:t>
      </w:r>
      <w:r w:rsidRPr="008C1A90">
        <w:rPr>
          <w:rStyle w:val="FootnoteReference"/>
          <w:rFonts w:ascii="Cambria" w:eastAsia="Batang" w:hAnsi="Cambria" w:cs="Times New Roman"/>
          <w:color w:val="000000" w:themeColor="text1"/>
          <w:sz w:val="21"/>
          <w:szCs w:val="21"/>
          <w:lang w:val="es-ES"/>
        </w:rPr>
        <w:footnoteReference w:id="3"/>
      </w:r>
      <w:r w:rsidRPr="008C1A90">
        <w:rPr>
          <w:rFonts w:ascii="Cambria" w:eastAsia="Batang" w:hAnsi="Cambria" w:cs="Times New Roman"/>
          <w:color w:val="000000" w:themeColor="text1"/>
          <w:sz w:val="21"/>
          <w:szCs w:val="21"/>
          <w:lang w:val="es-ES"/>
        </w:rPr>
        <w:t xml:space="preserve"> En efecto:</w:t>
      </w:r>
    </w:p>
    <w:p w14:paraId="3BF767D7"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p>
    <w:p w14:paraId="1D577800" w14:textId="77777777" w:rsidR="00460E91" w:rsidRPr="008C1A90" w:rsidRDefault="00460E91" w:rsidP="00460E91">
      <w:pPr>
        <w:pStyle w:val="ListParagraph"/>
        <w:ind w:left="1008" w:right="1008"/>
        <w:jc w:val="both"/>
        <w:rPr>
          <w:rFonts w:ascii="Cambria" w:eastAsia="Batang" w:hAnsi="Cambria" w:cs="Times New Roman"/>
          <w:color w:val="000000" w:themeColor="text1"/>
          <w:sz w:val="18"/>
          <w:szCs w:val="21"/>
        </w:rPr>
      </w:pPr>
      <w:r w:rsidRPr="008C1A90">
        <w:rPr>
          <w:rFonts w:ascii="Cambria" w:eastAsia="Batang" w:hAnsi="Cambria" w:cs="Times New Roman"/>
          <w:color w:val="000000" w:themeColor="text1"/>
          <w:sz w:val="18"/>
          <w:szCs w:val="21"/>
          <w:lang w:val="es-ES"/>
        </w:rPr>
        <w:t>“las relaciones familiares y los aspectos biológicos de la historia de una persona, particularmente de un niño o una niña, constituyen parte fundamental de su identidad, por lo que, toda acción u omisión del Estado que tenga efectos sobre tales componentes, puede constituir una violación del derecho a la identidad;” y “[…] a la familia que todo niño y niña tiene derecho es, principalmente, a su familia biológica, la cual incluye a los familiares más cercanos, la que debe brindar la protección al niño y, a su vez, debe ser objeto primordial de medidas de protección por parte del Estado.</w:t>
      </w:r>
      <w:r w:rsidRPr="008C1A90">
        <w:rPr>
          <w:rStyle w:val="FootnoteReference"/>
          <w:rFonts w:ascii="Cambria" w:eastAsia="Batang" w:hAnsi="Cambria" w:cs="Times New Roman"/>
          <w:color w:val="000000" w:themeColor="text1"/>
          <w:sz w:val="18"/>
          <w:szCs w:val="21"/>
          <w:lang w:val="en-US"/>
        </w:rPr>
        <w:footnoteReference w:id="4"/>
      </w:r>
    </w:p>
    <w:p w14:paraId="3FA36A1F"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p>
    <w:p w14:paraId="7B2B0418"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Por consiguiente, la Corte Interamericana ha señalado que en los casos relativos a los derechos de los niños, las autoridades internas tienen la obligación de “acelerar” los procedimientos </w:t>
      </w:r>
      <w:r w:rsidRPr="008C1A90">
        <w:rPr>
          <w:rFonts w:ascii="Cambria" w:eastAsia="Batang" w:hAnsi="Cambria" w:cs="Times New Roman"/>
          <w:i/>
          <w:color w:val="000000" w:themeColor="text1"/>
          <w:sz w:val="21"/>
          <w:szCs w:val="21"/>
          <w:lang w:val="es-ES"/>
        </w:rPr>
        <w:t>motu proprio</w:t>
      </w:r>
      <w:r w:rsidRPr="008C1A90">
        <w:rPr>
          <w:rFonts w:ascii="Cambria" w:eastAsia="Batang" w:hAnsi="Cambria" w:cs="Times New Roman"/>
          <w:color w:val="000000" w:themeColor="text1"/>
          <w:sz w:val="21"/>
          <w:szCs w:val="21"/>
          <w:lang w:val="es-ES"/>
        </w:rPr>
        <w:t>, señalando además que las cuestiones relacionadas con la guarda y los derechos de visita “[…] no presentan especiales complejidades y no son inusuales para los Estados.”</w:t>
      </w:r>
      <w:r w:rsidRPr="008C1A90">
        <w:rPr>
          <w:rStyle w:val="FootnoteReference"/>
          <w:rFonts w:ascii="Cambria" w:eastAsia="Batang" w:hAnsi="Cambria" w:cs="Times New Roman"/>
          <w:color w:val="000000" w:themeColor="text1"/>
          <w:sz w:val="21"/>
          <w:szCs w:val="21"/>
          <w:lang w:val="en-US"/>
        </w:rPr>
        <w:footnoteReference w:id="5"/>
      </w:r>
    </w:p>
    <w:p w14:paraId="3C490EF2"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59CF2810"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En este asunto, la Comisión entiende que el propuesto beneficiario se enfrentaría a una situación de riesgo, toda vez que no habría tenido contacto con su madre durante más de un año, a pesar de la existencia de un procedimiento judicial y de contar con tan solo un año. Si bien no procede analizar en este punto si el Estado ha incurrido en alguna responsabilidad internacional en relación con la conducta de las autoridades o cuestionar el hecho de que el niño se encuentre bajo la custodia del Estado, no se puede pasar por alto que, como ya se ha establecido en otros asuntos, el mero paso del tiempo sea un factor determinante a la hora de valorar el riesgo previamente mencionado. En </w:t>
      </w:r>
      <w:r w:rsidRPr="008C1A90">
        <w:rPr>
          <w:rFonts w:ascii="Cambria" w:eastAsia="Batang" w:hAnsi="Cambria" w:cs="Times New Roman"/>
          <w:color w:val="000000" w:themeColor="text1"/>
          <w:sz w:val="21"/>
          <w:szCs w:val="21"/>
          <w:lang w:val="es-ES"/>
        </w:rPr>
        <w:lastRenderedPageBreak/>
        <w:t xml:space="preserve">efecto, la ausencia de toda relación con su familia biológica es susceptible de impactar de manera grave en sus derechos, máxime teniendo en cuenta su edad y el papel que dicha interacción puede desempeñar en su desarrollo psicológico e identitario (ver </w:t>
      </w:r>
      <w:r w:rsidRPr="008C1A90">
        <w:rPr>
          <w:rFonts w:ascii="Cambria" w:eastAsia="Batang" w:hAnsi="Cambria" w:cs="Times New Roman"/>
          <w:i/>
          <w:color w:val="000000" w:themeColor="text1"/>
          <w:sz w:val="21"/>
          <w:szCs w:val="21"/>
          <w:lang w:val="es-ES"/>
        </w:rPr>
        <w:t xml:space="preserve">supra </w:t>
      </w:r>
      <w:r w:rsidRPr="008C1A90">
        <w:rPr>
          <w:rFonts w:ascii="Cambria" w:eastAsia="Batang" w:hAnsi="Cambria" w:cs="Times New Roman"/>
          <w:color w:val="000000" w:themeColor="text1"/>
          <w:sz w:val="21"/>
          <w:szCs w:val="21"/>
          <w:lang w:val="es-ES"/>
        </w:rPr>
        <w:t>párr. 17)</w:t>
      </w:r>
      <w:r w:rsidRPr="008C1A90">
        <w:rPr>
          <w:rStyle w:val="FootnoteReference"/>
          <w:rFonts w:ascii="Cambria" w:eastAsia="Batang" w:hAnsi="Cambria" w:cs="Times New Roman"/>
          <w:color w:val="000000" w:themeColor="text1"/>
          <w:sz w:val="21"/>
          <w:szCs w:val="21"/>
          <w:lang w:val="en-US"/>
        </w:rPr>
        <w:footnoteReference w:id="6"/>
      </w:r>
      <w:r w:rsidRPr="008C1A90">
        <w:rPr>
          <w:rFonts w:ascii="Cambria" w:eastAsia="Batang" w:hAnsi="Cambria" w:cs="Times New Roman"/>
          <w:color w:val="000000" w:themeColor="text1"/>
          <w:sz w:val="21"/>
          <w:szCs w:val="21"/>
          <w:lang w:val="es-ES"/>
        </w:rPr>
        <w:t>.</w:t>
      </w:r>
    </w:p>
    <w:p w14:paraId="7B40D8F5"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p>
    <w:p w14:paraId="01D02578" w14:textId="72CBDDFC"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La Comisión toma debida nota de la decisión del tribunal de 18 de diciembre de 2018, en la que habría negado la custodia provisional a favor de la señora Villalobos. En este sentido, y en conformidad con los estándares internacionales, particularmente con el principio de excepcionalidad que rige en casos de separación familiar, los Estados deben implementar todas las medidas necesarias para brindar apoyo y asistencia a la familia que está a cargo del cuidado del niño o niña</w:t>
      </w:r>
      <w:r w:rsidR="002660E9" w:rsidRPr="008C1A90">
        <w:rPr>
          <w:rStyle w:val="FootnoteReference"/>
          <w:rFonts w:ascii="Cambria" w:eastAsia="Batang" w:hAnsi="Cambria" w:cs="Times New Roman"/>
          <w:color w:val="000000" w:themeColor="text1"/>
          <w:sz w:val="21"/>
          <w:szCs w:val="21"/>
          <w:lang w:val="es-ES"/>
        </w:rPr>
        <w:footnoteReference w:id="7"/>
      </w:r>
      <w:r w:rsidRPr="008C1A90">
        <w:rPr>
          <w:rFonts w:ascii="Cambria" w:eastAsia="Batang" w:hAnsi="Cambria" w:cs="Times New Roman"/>
          <w:color w:val="000000" w:themeColor="text1"/>
          <w:sz w:val="21"/>
          <w:szCs w:val="21"/>
          <w:lang w:val="es-ES"/>
        </w:rPr>
        <w:t xml:space="preserve"> antes de proceder con la separación.</w:t>
      </w:r>
      <w:r w:rsidR="002660E9" w:rsidRPr="008C1A90">
        <w:rPr>
          <w:rStyle w:val="FootnoteReference"/>
          <w:rFonts w:ascii="Cambria" w:eastAsia="Batang" w:hAnsi="Cambria" w:cs="Times New Roman"/>
          <w:color w:val="000000" w:themeColor="text1"/>
          <w:sz w:val="21"/>
          <w:szCs w:val="21"/>
          <w:lang w:val="es-ES"/>
        </w:rPr>
        <w:footnoteReference w:id="8"/>
      </w:r>
      <w:r w:rsidRPr="008C1A90">
        <w:rPr>
          <w:rFonts w:ascii="Cambria" w:eastAsia="Batang" w:hAnsi="Cambria" w:cs="Times New Roman"/>
          <w:color w:val="000000" w:themeColor="text1"/>
          <w:sz w:val="21"/>
          <w:szCs w:val="21"/>
          <w:lang w:val="es-ES"/>
        </w:rPr>
        <w:t xml:space="preserve"> Por otra parte, la evaluación del interés superior del niño debe estar fundamentada en las evaluaciones y criterios técnicos respectivos. Adicionalmente, en ciertos casos, por ejemplo en los que se dan actos de violencia, negligencia o explotación en el seno de la familia, es necesario que el Estado intervenga a través de la adopción de medidas de protección, que pueden incluir la separación temporal o permanente del niño de sus progenitores.</w:t>
      </w:r>
      <w:r w:rsidRPr="008C1A90">
        <w:rPr>
          <w:rStyle w:val="FootnoteReference"/>
          <w:rFonts w:ascii="Cambria" w:eastAsia="Batang" w:hAnsi="Cambria" w:cs="Times New Roman"/>
          <w:color w:val="000000" w:themeColor="text1"/>
          <w:sz w:val="21"/>
          <w:szCs w:val="21"/>
          <w:lang w:val="en-US"/>
        </w:rPr>
        <w:footnoteReference w:id="9"/>
      </w:r>
      <w:r w:rsidRPr="008C1A90">
        <w:rPr>
          <w:rFonts w:ascii="Cambria" w:eastAsia="Batang" w:hAnsi="Cambria" w:cs="Times New Roman"/>
          <w:color w:val="000000" w:themeColor="text1"/>
          <w:sz w:val="21"/>
          <w:szCs w:val="21"/>
          <w:lang w:val="es-ES"/>
        </w:rPr>
        <w:t xml:space="preserve"> En efecto, los Estados tienen la obligación inmediata de adoptar “todo tipo de medidas efectivas y apropiadas para prevenir y responder a la violencia en contra de los niños y niñas,”</w:t>
      </w:r>
      <w:r w:rsidRPr="008C1A90">
        <w:rPr>
          <w:rStyle w:val="FootnoteReference"/>
          <w:rFonts w:ascii="Cambria" w:eastAsia="Batang" w:hAnsi="Cambria" w:cs="Times New Roman"/>
          <w:color w:val="000000" w:themeColor="text1"/>
          <w:sz w:val="21"/>
          <w:szCs w:val="21"/>
          <w:lang w:val="en-US"/>
        </w:rPr>
        <w:footnoteReference w:id="10"/>
      </w:r>
      <w:r w:rsidRPr="008C1A90">
        <w:rPr>
          <w:rFonts w:ascii="Cambria" w:eastAsia="Batang" w:hAnsi="Cambria" w:cs="Times New Roman"/>
          <w:color w:val="000000" w:themeColor="text1"/>
          <w:sz w:val="21"/>
          <w:szCs w:val="21"/>
          <w:lang w:val="es-ES"/>
        </w:rPr>
        <w:t xml:space="preserve"> siempre que estén debidamente justificadas en virtud del principio de su interés superior</w:t>
      </w:r>
      <w:r w:rsidRPr="008C1A90">
        <w:rPr>
          <w:rStyle w:val="FootnoteReference"/>
          <w:rFonts w:ascii="Cambria" w:eastAsia="Batang" w:hAnsi="Cambria" w:cs="Times New Roman"/>
          <w:color w:val="000000" w:themeColor="text1"/>
          <w:sz w:val="21"/>
          <w:szCs w:val="21"/>
          <w:lang w:val="en-US"/>
        </w:rPr>
        <w:footnoteReference w:id="11"/>
      </w:r>
      <w:r w:rsidRPr="008C1A90">
        <w:rPr>
          <w:rFonts w:ascii="Cambria" w:eastAsia="Batang" w:hAnsi="Cambria" w:cs="Times New Roman"/>
          <w:color w:val="000000" w:themeColor="text1"/>
          <w:sz w:val="21"/>
          <w:szCs w:val="21"/>
          <w:lang w:val="es-ES"/>
        </w:rPr>
        <w:t>. Asimismo, las medidas que supongan un impacto para el derecho a la familia “[…] deben respetar los principios de necesidad, excepcionalidad y temporalidad,”</w:t>
      </w:r>
      <w:r w:rsidRPr="008C1A90">
        <w:rPr>
          <w:rStyle w:val="FootnoteReference"/>
          <w:rFonts w:ascii="Cambria" w:eastAsia="Batang" w:hAnsi="Cambria" w:cs="Times New Roman"/>
          <w:color w:val="000000" w:themeColor="text1"/>
          <w:sz w:val="21"/>
          <w:szCs w:val="21"/>
          <w:lang w:val="en-US"/>
        </w:rPr>
        <w:footnoteReference w:id="12"/>
      </w:r>
      <w:r w:rsidRPr="008C1A90">
        <w:rPr>
          <w:rFonts w:ascii="Cambria" w:eastAsia="Batang" w:hAnsi="Cambria" w:cs="Times New Roman"/>
          <w:color w:val="000000" w:themeColor="text1"/>
          <w:sz w:val="21"/>
          <w:szCs w:val="21"/>
          <w:lang w:val="es-ES"/>
        </w:rPr>
        <w:t xml:space="preserve"> y preservar y restaurar los derechos del niño, incluyendo el derecho a la familia.</w:t>
      </w:r>
      <w:r w:rsidRPr="008C1A90">
        <w:rPr>
          <w:rStyle w:val="FootnoteReference"/>
          <w:rFonts w:ascii="Cambria" w:eastAsia="Batang" w:hAnsi="Cambria" w:cs="Times New Roman"/>
          <w:color w:val="000000" w:themeColor="text1"/>
          <w:sz w:val="21"/>
          <w:szCs w:val="21"/>
          <w:lang w:val="en-US"/>
        </w:rPr>
        <w:footnoteReference w:id="13"/>
      </w:r>
      <w:r w:rsidRPr="008C1A90">
        <w:rPr>
          <w:rFonts w:ascii="Cambria" w:eastAsia="Batang" w:hAnsi="Cambria" w:cs="Times New Roman"/>
          <w:color w:val="000000" w:themeColor="text1"/>
          <w:sz w:val="21"/>
          <w:szCs w:val="21"/>
          <w:lang w:val="es-ES"/>
        </w:rPr>
        <w:t xml:space="preserve"> Como resultado de estos principios se deriva la obligación del Estado de revisar periódicamente las medidas adoptadas.</w:t>
      </w:r>
      <w:r w:rsidRPr="008C1A90">
        <w:rPr>
          <w:rStyle w:val="FootnoteReference"/>
          <w:rFonts w:ascii="Cambria" w:eastAsia="Batang" w:hAnsi="Cambria" w:cs="Times New Roman"/>
          <w:color w:val="000000" w:themeColor="text1"/>
          <w:sz w:val="21"/>
          <w:szCs w:val="21"/>
          <w:lang w:val="en-US"/>
        </w:rPr>
        <w:footnoteReference w:id="14"/>
      </w:r>
    </w:p>
    <w:p w14:paraId="293A26D1"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 </w:t>
      </w:r>
    </w:p>
    <w:p w14:paraId="36EFD893" w14:textId="47E1B821"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Sin embargo, cabe destacar que, de acuerdo con los solicitantes, todavía no se ha revisado la decisión mediante la cual se habría negado la custodia provisional del niño a la señora Villalobos, a pesar de que ha transcurrido casi un año desde que entró en vigor. Además, según la información aportada por los solicitantes, no se ha tomado una decisión sobre el derecho de visitas. Teniendo en cuenta el impacto del tiempo y la obligación de los Estados de “acelerar” los procedimientos de esta naturaleza </w:t>
      </w:r>
      <w:r w:rsidRPr="008C1A90">
        <w:rPr>
          <w:rFonts w:ascii="Cambria" w:eastAsia="Batang" w:hAnsi="Cambria" w:cs="Times New Roman"/>
          <w:i/>
          <w:color w:val="000000" w:themeColor="text1"/>
          <w:sz w:val="21"/>
          <w:szCs w:val="21"/>
          <w:lang w:val="es-ES"/>
        </w:rPr>
        <w:t>motu</w:t>
      </w:r>
      <w:r w:rsidRPr="008C1A90">
        <w:rPr>
          <w:rFonts w:ascii="Cambria" w:eastAsia="Batang" w:hAnsi="Cambria" w:cs="Times New Roman"/>
          <w:color w:val="000000" w:themeColor="text1"/>
          <w:sz w:val="21"/>
          <w:szCs w:val="21"/>
          <w:lang w:val="es-ES"/>
        </w:rPr>
        <w:t xml:space="preserve"> </w:t>
      </w:r>
      <w:r w:rsidRPr="008C1A90">
        <w:rPr>
          <w:rFonts w:ascii="Cambria" w:eastAsia="Batang" w:hAnsi="Cambria" w:cs="Times New Roman"/>
          <w:i/>
          <w:color w:val="000000" w:themeColor="text1"/>
          <w:sz w:val="21"/>
          <w:szCs w:val="21"/>
          <w:lang w:val="es-ES"/>
        </w:rPr>
        <w:t xml:space="preserve">proprio </w:t>
      </w:r>
      <w:r w:rsidRPr="008C1A90">
        <w:rPr>
          <w:rFonts w:ascii="Cambria" w:eastAsia="Batang" w:hAnsi="Cambria" w:cs="Times New Roman"/>
          <w:color w:val="000000" w:themeColor="text1"/>
          <w:sz w:val="21"/>
          <w:szCs w:val="21"/>
          <w:lang w:val="es-ES"/>
        </w:rPr>
        <w:t>(</w:t>
      </w:r>
      <w:r w:rsidRPr="008C1A90">
        <w:rPr>
          <w:rFonts w:ascii="Cambria" w:eastAsia="Batang" w:hAnsi="Cambria" w:cs="Times New Roman"/>
          <w:i/>
          <w:color w:val="000000" w:themeColor="text1"/>
          <w:sz w:val="21"/>
          <w:szCs w:val="21"/>
          <w:lang w:val="es-ES"/>
        </w:rPr>
        <w:t xml:space="preserve">supra </w:t>
      </w:r>
      <w:r w:rsidRPr="008C1A90">
        <w:rPr>
          <w:rFonts w:ascii="Cambria" w:eastAsia="Batang" w:hAnsi="Cambria" w:cs="Times New Roman"/>
          <w:color w:val="000000" w:themeColor="text1"/>
          <w:sz w:val="21"/>
          <w:szCs w:val="21"/>
          <w:lang w:val="es-ES"/>
        </w:rPr>
        <w:t>párr. 18), la Comisión advierte que los derechos de J.M.V. a la integridad personal, identidad y familia pueden sufrir serias repercusiones</w:t>
      </w:r>
      <w:r w:rsidRPr="008C1A90">
        <w:rPr>
          <w:rStyle w:val="FootnoteReference"/>
          <w:rFonts w:ascii="Cambria" w:eastAsia="Batang" w:hAnsi="Cambria" w:cs="Times New Roman"/>
          <w:color w:val="000000" w:themeColor="text1"/>
          <w:sz w:val="21"/>
          <w:szCs w:val="21"/>
          <w:lang w:val="en-US"/>
        </w:rPr>
        <w:footnoteReference w:id="15"/>
      </w:r>
      <w:r w:rsidRPr="008C1A90">
        <w:rPr>
          <w:rFonts w:ascii="Cambria" w:eastAsia="Batang" w:hAnsi="Cambria" w:cs="Times New Roman"/>
          <w:color w:val="000000" w:themeColor="text1"/>
          <w:sz w:val="21"/>
          <w:szCs w:val="21"/>
          <w:lang w:val="es-ES"/>
        </w:rPr>
        <w:t xml:space="preserve">. Además, de acuerdo con la solicitud, las circunstancias de la señora Villalobos han cambiado desde que se emitiese la orden judicial inicial, en particular en lo que respecta a la afirmación de que, a la hora de evaluar el interés superior del niño, “no estaba claro si </w:t>
      </w:r>
      <w:r w:rsidRPr="008C1A90">
        <w:rPr>
          <w:rFonts w:ascii="Cambria" w:eastAsia="Batang" w:hAnsi="Cambria" w:cs="Times New Roman"/>
          <w:color w:val="000000"/>
          <w:sz w:val="21"/>
          <w:szCs w:val="21"/>
          <w:lang w:val="es-ES"/>
        </w:rPr>
        <w:t xml:space="preserve">la madre del propuesto beneficiario había sido víctima de trata </w:t>
      </w:r>
      <w:r w:rsidRPr="008C1A90">
        <w:rPr>
          <w:rFonts w:ascii="Cambria" w:eastAsia="Batang" w:hAnsi="Cambria" w:cs="Times New Roman"/>
          <w:color w:val="000000"/>
          <w:sz w:val="21"/>
          <w:szCs w:val="21"/>
          <w:lang w:val="es-ES"/>
        </w:rPr>
        <w:lastRenderedPageBreak/>
        <w:t>de personas o si era parte de una red criminal</w:t>
      </w:r>
      <w:r w:rsidRPr="008C1A90">
        <w:rPr>
          <w:rFonts w:ascii="Cambria" w:eastAsia="Batang" w:hAnsi="Cambria" w:cs="Times New Roman"/>
          <w:color w:val="000000" w:themeColor="text1"/>
          <w:sz w:val="21"/>
          <w:szCs w:val="21"/>
          <w:lang w:val="es-ES"/>
        </w:rPr>
        <w:t>” (</w:t>
      </w:r>
      <w:r w:rsidRPr="008C1A90">
        <w:rPr>
          <w:rFonts w:ascii="Cambria" w:eastAsia="Batang" w:hAnsi="Cambria" w:cs="Times New Roman"/>
          <w:i/>
          <w:color w:val="000000" w:themeColor="text1"/>
          <w:sz w:val="21"/>
          <w:szCs w:val="21"/>
          <w:lang w:val="es-ES"/>
        </w:rPr>
        <w:t xml:space="preserve">supra </w:t>
      </w:r>
      <w:r w:rsidRPr="008C1A90">
        <w:rPr>
          <w:rFonts w:ascii="Cambria" w:eastAsia="Batang" w:hAnsi="Cambria" w:cs="Times New Roman"/>
          <w:color w:val="000000" w:themeColor="text1"/>
          <w:sz w:val="21"/>
          <w:szCs w:val="21"/>
          <w:lang w:val="es-ES"/>
        </w:rPr>
        <w:t>p</w:t>
      </w:r>
      <w:r w:rsidR="000150FE" w:rsidRPr="008C1A90">
        <w:rPr>
          <w:rFonts w:ascii="Cambria" w:eastAsia="Batang" w:hAnsi="Cambria" w:cs="Times New Roman"/>
          <w:color w:val="000000" w:themeColor="text1"/>
          <w:sz w:val="21"/>
          <w:szCs w:val="21"/>
          <w:lang w:val="es-ES"/>
        </w:rPr>
        <w:t>á</w:t>
      </w:r>
      <w:r w:rsidRPr="008C1A90">
        <w:rPr>
          <w:rFonts w:ascii="Cambria" w:eastAsia="Batang" w:hAnsi="Cambria" w:cs="Times New Roman"/>
          <w:color w:val="000000" w:themeColor="text1"/>
          <w:sz w:val="21"/>
          <w:szCs w:val="21"/>
          <w:lang w:val="es-ES"/>
        </w:rPr>
        <w:t>r</w:t>
      </w:r>
      <w:r w:rsidR="000150FE" w:rsidRPr="008C1A90">
        <w:rPr>
          <w:rFonts w:ascii="Cambria" w:eastAsia="Batang" w:hAnsi="Cambria" w:cs="Times New Roman"/>
          <w:color w:val="000000" w:themeColor="text1"/>
          <w:sz w:val="21"/>
          <w:szCs w:val="21"/>
          <w:lang w:val="es-ES"/>
        </w:rPr>
        <w:t>r</w:t>
      </w:r>
      <w:r w:rsidRPr="008C1A90">
        <w:rPr>
          <w:rFonts w:ascii="Cambria" w:eastAsia="Batang" w:hAnsi="Cambria" w:cs="Times New Roman"/>
          <w:color w:val="000000" w:themeColor="text1"/>
          <w:sz w:val="21"/>
          <w:szCs w:val="21"/>
          <w:lang w:val="es-ES"/>
        </w:rPr>
        <w:t xml:space="preserve"> 10)</w:t>
      </w:r>
      <w:r w:rsidR="002660E9" w:rsidRPr="008C1A90">
        <w:rPr>
          <w:rFonts w:ascii="Cambria" w:eastAsia="Batang" w:hAnsi="Cambria" w:cs="Times New Roman"/>
          <w:color w:val="000000" w:themeColor="text1"/>
          <w:sz w:val="21"/>
          <w:szCs w:val="21"/>
          <w:lang w:val="es-ES"/>
        </w:rPr>
        <w:t xml:space="preserve"> </w:t>
      </w:r>
      <w:r w:rsidR="002660E9" w:rsidRPr="00D5543D">
        <w:rPr>
          <w:rFonts w:ascii="Cambria" w:hAnsi="Cambria"/>
          <w:sz w:val="21"/>
          <w:szCs w:val="21"/>
          <w:lang w:val="es-ES"/>
        </w:rPr>
        <w:t>dado que, actualmente, la señora Villalobos ya no sería objeto de investigación</w:t>
      </w:r>
      <w:r w:rsidRPr="008C1A90">
        <w:rPr>
          <w:rFonts w:ascii="Cambria" w:eastAsia="Batang" w:hAnsi="Cambria" w:cs="Times New Roman"/>
          <w:color w:val="000000" w:themeColor="text1"/>
          <w:sz w:val="21"/>
          <w:szCs w:val="21"/>
          <w:lang w:val="es-ES"/>
        </w:rPr>
        <w:t>.</w:t>
      </w:r>
    </w:p>
    <w:p w14:paraId="2A54562C" w14:textId="77777777" w:rsidR="00460E91" w:rsidRPr="008C1A90" w:rsidRDefault="00460E91" w:rsidP="00460E91">
      <w:pPr>
        <w:pStyle w:val="ListParagraph"/>
        <w:rPr>
          <w:rFonts w:ascii="Cambria" w:eastAsia="Batang" w:hAnsi="Cambria" w:cs="Times New Roman"/>
          <w:color w:val="000000" w:themeColor="text1"/>
          <w:sz w:val="21"/>
          <w:szCs w:val="21"/>
          <w:lang w:val="es-ES"/>
        </w:rPr>
      </w:pPr>
    </w:p>
    <w:p w14:paraId="007A9680" w14:textId="1084397D"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A pesar de cualquier información pertinente que pudiera haber enviado el Estado para examinar estas graves alegaciones, la Comisión lamenta que no se haya recibido todavía respuesta alguna. Si bien lo anterior no justifica </w:t>
      </w:r>
      <w:r w:rsidRPr="008C1A90">
        <w:rPr>
          <w:rFonts w:ascii="Cambria" w:eastAsia="Batang" w:hAnsi="Cambria" w:cs="Times New Roman"/>
          <w:i/>
          <w:color w:val="000000" w:themeColor="text1"/>
          <w:sz w:val="21"/>
          <w:szCs w:val="21"/>
          <w:lang w:val="es-ES"/>
        </w:rPr>
        <w:t>per se</w:t>
      </w:r>
      <w:r w:rsidRPr="008C1A90">
        <w:rPr>
          <w:rFonts w:ascii="Cambria" w:eastAsia="Batang" w:hAnsi="Cambria" w:cs="Times New Roman"/>
          <w:color w:val="000000" w:themeColor="text1"/>
          <w:sz w:val="21"/>
          <w:szCs w:val="21"/>
          <w:lang w:val="es-ES"/>
        </w:rPr>
        <w:t xml:space="preserve"> el otorgamiento de una medida cautelar, sí impide a la Comisión determinar si las alegaciones de los solicitantes pueden verse desvirtuadas, especialmente considerando que el propuesto beneficiario se encuentra bajo la custodia del Estado, el cual ha adquirido obligaciones especiales de protección a los niños.</w:t>
      </w:r>
    </w:p>
    <w:p w14:paraId="79EC6F08"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7E6C917F"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Habida cuenta de lo anterior, la Comisión concluye que, </w:t>
      </w:r>
      <w:r w:rsidRPr="008C1A90">
        <w:rPr>
          <w:rFonts w:ascii="Cambria" w:eastAsia="Calibri" w:hAnsi="Cambria"/>
          <w:sz w:val="21"/>
          <w:szCs w:val="21"/>
          <w:lang w:val="es-ES"/>
        </w:rPr>
        <w:t xml:space="preserve">desde el estándar </w:t>
      </w:r>
      <w:r w:rsidRPr="008C1A90">
        <w:rPr>
          <w:rFonts w:ascii="Cambria" w:eastAsia="Calibri" w:hAnsi="Cambria"/>
          <w:i/>
          <w:sz w:val="21"/>
          <w:szCs w:val="21"/>
          <w:lang w:val="es-ES"/>
        </w:rPr>
        <w:t>prima facie</w:t>
      </w:r>
      <w:r w:rsidRPr="008C1A90">
        <w:rPr>
          <w:rFonts w:ascii="Cambria" w:eastAsia="Calibri" w:hAnsi="Cambria"/>
          <w:sz w:val="21"/>
          <w:szCs w:val="21"/>
          <w:lang w:val="es-ES"/>
        </w:rPr>
        <w:t xml:space="preserve"> aplicable al mecanismo de medidas cautelares</w:t>
      </w:r>
      <w:r w:rsidRPr="008C1A90">
        <w:rPr>
          <w:rFonts w:ascii="Cambria" w:eastAsia="Batang" w:hAnsi="Cambria" w:cs="Times New Roman"/>
          <w:color w:val="000000" w:themeColor="text1"/>
          <w:sz w:val="21"/>
          <w:szCs w:val="21"/>
          <w:lang w:val="es-ES"/>
        </w:rPr>
        <w:t>, los derechos a la integridad personal, identidad y familia de J.M.V. se encuentran en una situación de grave riesgo.</w:t>
      </w:r>
    </w:p>
    <w:p w14:paraId="2616A9CD"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E7CF045"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sz w:val="21"/>
          <w:szCs w:val="21"/>
          <w:lang w:val="es-ES"/>
        </w:rPr>
        <w:t>En cuanto al requisito de urgencia, la Comisión advierte que han pasado al menos once meses desde que el Estado asumiera la custodia de J.M.V. y que, a pesar de ello, la separación de su familia no se ha revisado a la luz del interés superior del niño y de las circunstancias actuales. Además, cabe destacar que el juicio ha sido pospuesto hasta enero de 2020, de acuerdo con la información aportada por los solicitantes. Por consiguiente, la Comisión entiende que es necesario adoptar medidas urgentes, en vista del grave riesgo al que se enfrentan los derechos de J.M.V., que es susceptible de materializarse con el mero paso del tiempo.</w:t>
      </w:r>
    </w:p>
    <w:p w14:paraId="2A1A55E5"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F5DE8F7"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sz w:val="21"/>
          <w:szCs w:val="21"/>
          <w:lang w:val="es-ES"/>
        </w:rPr>
        <w:t>En lo que respecta al requisito de irreparabilidad, la Comisión considera que la pérdida potencial de los lazos familiares como resultado de la situación descrita anteriormente puede causar un daño irreparable para los derechos de J.M.V. a la integridad personal y a la identidad, daño que puede incluso persistir durante su vida adulta y su desarrollo, toda vez que la separación tendría lugar a una edad tan temprana.</w:t>
      </w:r>
    </w:p>
    <w:p w14:paraId="60BF1D1A" w14:textId="77777777" w:rsidR="00460E91" w:rsidRPr="008C1A90" w:rsidRDefault="00460E91" w:rsidP="00460E91">
      <w:pPr>
        <w:jc w:val="both"/>
        <w:rPr>
          <w:rFonts w:ascii="Cambria" w:eastAsia="Batang" w:hAnsi="Cambria" w:cs="Times New Roman"/>
          <w:color w:val="000000" w:themeColor="text1"/>
          <w:sz w:val="21"/>
          <w:szCs w:val="21"/>
          <w:lang w:val="es-ES"/>
        </w:rPr>
      </w:pPr>
    </w:p>
    <w:p w14:paraId="1ECC5254" w14:textId="77777777" w:rsidR="00460E91" w:rsidRPr="008C1A90" w:rsidRDefault="00460E91" w:rsidP="00460E91">
      <w:pPr>
        <w:numPr>
          <w:ilvl w:val="0"/>
          <w:numId w:val="2"/>
        </w:numPr>
        <w:ind w:hanging="294"/>
        <w:jc w:val="both"/>
        <w:rPr>
          <w:rFonts w:ascii="Cambria" w:eastAsia="Batang" w:hAnsi="Cambria" w:cs="Times New Roman"/>
          <w:b/>
          <w:color w:val="000000"/>
          <w:sz w:val="21"/>
          <w:szCs w:val="21"/>
          <w:lang w:val="es-ES"/>
        </w:rPr>
      </w:pPr>
      <w:r w:rsidRPr="008C1A90">
        <w:rPr>
          <w:rFonts w:ascii="Cambria" w:eastAsia="Batang" w:hAnsi="Cambria" w:cs="Times New Roman"/>
          <w:b/>
          <w:color w:val="000000"/>
          <w:sz w:val="21"/>
          <w:szCs w:val="21"/>
          <w:lang w:val="es-ES"/>
        </w:rPr>
        <w:t>BENEFICIARIOS</w:t>
      </w:r>
    </w:p>
    <w:p w14:paraId="1F7F18DD" w14:textId="77777777" w:rsidR="00460E91" w:rsidRPr="008C1A90" w:rsidRDefault="00460E91" w:rsidP="00460E91">
      <w:pPr>
        <w:jc w:val="both"/>
        <w:rPr>
          <w:rFonts w:ascii="Cambria" w:eastAsia="Batang" w:hAnsi="Cambria" w:cs="Times New Roman"/>
          <w:b/>
          <w:color w:val="000000"/>
          <w:sz w:val="21"/>
          <w:szCs w:val="21"/>
          <w:lang w:val="es-ES"/>
        </w:rPr>
      </w:pPr>
    </w:p>
    <w:p w14:paraId="69E9A089"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hAnsi="Cambria"/>
          <w:sz w:val="21"/>
          <w:szCs w:val="21"/>
          <w:lang w:val="es-ES"/>
        </w:rPr>
        <w:t>La Comisión declara que el beneficiario de esta medida cautelar es J.M.V., quien ha sido debidamente identificado en el marco de este procedimiento de acuerdo con el artículo 25.6.b. del Reglamento.</w:t>
      </w:r>
    </w:p>
    <w:p w14:paraId="42C0A832" w14:textId="77777777" w:rsidR="00460E91" w:rsidRPr="008C1A90" w:rsidRDefault="00460E91" w:rsidP="00460E91">
      <w:pPr>
        <w:jc w:val="both"/>
        <w:rPr>
          <w:rFonts w:ascii="Cambria" w:eastAsia="Batang" w:hAnsi="Cambria" w:cs="Times New Roman"/>
          <w:color w:val="000000"/>
          <w:sz w:val="21"/>
          <w:szCs w:val="21"/>
          <w:lang w:val="es-ES"/>
        </w:rPr>
      </w:pPr>
    </w:p>
    <w:p w14:paraId="74016CBD" w14:textId="77777777" w:rsidR="00460E91" w:rsidRPr="008C1A90" w:rsidRDefault="00460E91" w:rsidP="00460E91">
      <w:pPr>
        <w:pStyle w:val="ListParagraph"/>
        <w:numPr>
          <w:ilvl w:val="0"/>
          <w:numId w:val="2"/>
        </w:numPr>
        <w:spacing w:after="0" w:line="240" w:lineRule="auto"/>
        <w:jc w:val="both"/>
        <w:rPr>
          <w:rFonts w:ascii="Cambria" w:hAnsi="Cambria"/>
          <w:b/>
          <w:bCs/>
          <w:sz w:val="21"/>
          <w:szCs w:val="21"/>
          <w:lang w:val="es-AR"/>
        </w:rPr>
      </w:pPr>
      <w:r w:rsidRPr="008C1A90">
        <w:rPr>
          <w:rFonts w:ascii="Cambria" w:eastAsia="Calibri" w:hAnsi="Cambria"/>
          <w:b/>
          <w:sz w:val="21"/>
          <w:szCs w:val="21"/>
          <w:lang w:val="es-ES_tradnl"/>
        </w:rPr>
        <w:t>DECISIÓN</w:t>
      </w:r>
    </w:p>
    <w:p w14:paraId="75B5820C" w14:textId="77777777" w:rsidR="00460E91" w:rsidRPr="008C1A90" w:rsidRDefault="00460E91" w:rsidP="00460E91">
      <w:pPr>
        <w:jc w:val="both"/>
        <w:rPr>
          <w:rFonts w:ascii="Cambria" w:eastAsia="Batang" w:hAnsi="Cambria" w:cs="Times New Roman"/>
          <w:b/>
          <w:color w:val="000000"/>
          <w:sz w:val="21"/>
          <w:szCs w:val="21"/>
          <w:lang w:val="es-ES"/>
        </w:rPr>
      </w:pPr>
    </w:p>
    <w:p w14:paraId="4F4AFC12" w14:textId="2FF57BF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hAnsi="Cambria"/>
          <w:sz w:val="21"/>
          <w:szCs w:val="21"/>
          <w:lang w:val="es-MX"/>
        </w:rPr>
        <w:t xml:space="preserve">La Comisión considera que el presente asunto reúne </w:t>
      </w:r>
      <w:r w:rsidRPr="008C1A90">
        <w:rPr>
          <w:rFonts w:ascii="Cambria" w:hAnsi="Cambria"/>
          <w:i/>
          <w:sz w:val="21"/>
          <w:szCs w:val="21"/>
          <w:lang w:val="es-MX"/>
        </w:rPr>
        <w:t>prima facie</w:t>
      </w:r>
      <w:r w:rsidRPr="008C1A90">
        <w:rPr>
          <w:rFonts w:ascii="Cambria" w:hAnsi="Cambria"/>
          <w:sz w:val="21"/>
          <w:szCs w:val="21"/>
          <w:lang w:val="es-MX"/>
        </w:rPr>
        <w:t xml:space="preserve"> los requisitos de gravedad, urgencia e irreparabilidad contenidos en el artículo 25 de su Reglamento</w:t>
      </w:r>
      <w:r w:rsidRPr="008C1A90">
        <w:rPr>
          <w:rFonts w:ascii="Cambria" w:hAnsi="Cambria"/>
          <w:sz w:val="21"/>
          <w:szCs w:val="21"/>
          <w:lang w:val="es-ES"/>
        </w:rPr>
        <w:t xml:space="preserve">. Por consiguiente, la Comisión solicita que Trinidad y Tobago adopte las medidas necesarias para proteger los derechos a la integridad personal, identidad y familia de J.M.V. mediante un análisis para determinar si las medidas de protección a favor del propuesto beneficiario respetan el interés superior del niño, </w:t>
      </w:r>
      <w:r w:rsidR="002660E9" w:rsidRPr="008C1A90">
        <w:rPr>
          <w:rFonts w:ascii="Cambria" w:hAnsi="Cambria"/>
          <w:sz w:val="21"/>
          <w:szCs w:val="21"/>
          <w:lang w:val="es-ES"/>
        </w:rPr>
        <w:t xml:space="preserve">con </w:t>
      </w:r>
      <w:r w:rsidRPr="008C1A90">
        <w:rPr>
          <w:rFonts w:ascii="Cambria" w:hAnsi="Cambria"/>
          <w:sz w:val="21"/>
          <w:szCs w:val="21"/>
          <w:lang w:val="es-ES"/>
        </w:rPr>
        <w:t xml:space="preserve">base </w:t>
      </w:r>
      <w:r w:rsidR="002660E9" w:rsidRPr="008C1A90">
        <w:rPr>
          <w:rFonts w:ascii="Cambria" w:hAnsi="Cambria"/>
          <w:sz w:val="21"/>
          <w:szCs w:val="21"/>
          <w:lang w:val="es-ES"/>
        </w:rPr>
        <w:t>en</w:t>
      </w:r>
      <w:r w:rsidRPr="008C1A90">
        <w:rPr>
          <w:rFonts w:ascii="Cambria" w:hAnsi="Cambria"/>
          <w:sz w:val="21"/>
          <w:szCs w:val="21"/>
          <w:lang w:val="es-ES"/>
        </w:rPr>
        <w:t xml:space="preserve"> una evaluación técnica actualizada y relevante, en consonancia con los estándares internacionales relevantes en este asunto, en especial a la luz de los párrafos 17 y 19 al 21 de la presente resolución.</w:t>
      </w:r>
    </w:p>
    <w:p w14:paraId="0AB5262B" w14:textId="77777777" w:rsidR="00460E91" w:rsidRPr="008C1A90" w:rsidRDefault="00460E91" w:rsidP="00460E91">
      <w:pPr>
        <w:pStyle w:val="ListParagraph"/>
        <w:ind w:left="1440"/>
        <w:jc w:val="both"/>
        <w:rPr>
          <w:rFonts w:ascii="Cambria" w:eastAsia="Batang" w:hAnsi="Cambria" w:cs="Times New Roman"/>
          <w:color w:val="000000"/>
          <w:sz w:val="21"/>
          <w:szCs w:val="21"/>
          <w:lang w:val="es-ES"/>
        </w:rPr>
      </w:pPr>
    </w:p>
    <w:p w14:paraId="6285FB1D"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s-ES"/>
        </w:rPr>
      </w:pPr>
      <w:r w:rsidRPr="008C1A90">
        <w:rPr>
          <w:rFonts w:ascii="Cambria" w:hAnsi="Cambria"/>
          <w:sz w:val="21"/>
          <w:szCs w:val="21"/>
          <w:lang w:val="es-ES"/>
        </w:rPr>
        <w:t>La Comisión solicita que el Gobierno de Su Excelencia informe a la Comisión, dentro de un plazo de 15 días, contados a partir de la fecha de notificación de la presente comunicación, sobre la adopción de las medidas cautelares acordadas y que actualice dicha información de forma periódica</w:t>
      </w:r>
      <w:r w:rsidRPr="008C1A90">
        <w:rPr>
          <w:rFonts w:ascii="Cambria" w:eastAsia="Batang" w:hAnsi="Cambria" w:cs="Times New Roman"/>
          <w:sz w:val="21"/>
          <w:szCs w:val="21"/>
          <w:lang w:val="es-ES"/>
        </w:rPr>
        <w:t>.</w:t>
      </w:r>
    </w:p>
    <w:p w14:paraId="48FF69EA"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98F22CF"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s-ES"/>
        </w:rPr>
      </w:pPr>
      <w:r w:rsidRPr="008C1A90">
        <w:rPr>
          <w:rFonts w:ascii="Cambria" w:hAnsi="Cambria"/>
          <w:sz w:val="21"/>
          <w:szCs w:val="21"/>
          <w:lang w:val="es-ES"/>
        </w:rPr>
        <w:t xml:space="preserve">La Comisión resalta que, de acuerdo con el artículo 25 (8) de su Reglamento, el otorgamiento de la presente medida cautelar y su adopción por el Estado no constituyen prejuzgamiento sobre </w:t>
      </w:r>
      <w:r w:rsidRPr="008C1A90">
        <w:rPr>
          <w:rFonts w:ascii="Cambria" w:hAnsi="Cambria"/>
          <w:sz w:val="21"/>
          <w:szCs w:val="21"/>
          <w:lang w:val="es-ES"/>
        </w:rPr>
        <w:lastRenderedPageBreak/>
        <w:t>violación alguna a los derechos protegidos en la</w:t>
      </w:r>
      <w:r w:rsidRPr="008C1A90">
        <w:rPr>
          <w:rFonts w:ascii="Cambria" w:hAnsi="Cambria"/>
          <w:color w:val="000000"/>
          <w:sz w:val="21"/>
          <w:szCs w:val="21"/>
          <w:lang w:val="es-ES"/>
        </w:rPr>
        <w:t xml:space="preserve"> Convención Americana y otros instrumentos aplicables</w:t>
      </w:r>
      <w:r w:rsidRPr="008C1A90">
        <w:rPr>
          <w:rFonts w:ascii="Cambria" w:eastAsia="Batang" w:hAnsi="Cambria" w:cs="Times New Roman"/>
          <w:sz w:val="21"/>
          <w:szCs w:val="21"/>
          <w:lang w:val="es-ES"/>
        </w:rPr>
        <w:t>.</w:t>
      </w:r>
    </w:p>
    <w:p w14:paraId="533708C9" w14:textId="77777777" w:rsidR="00460E91" w:rsidRPr="008C1A90" w:rsidRDefault="00460E91" w:rsidP="00460E91">
      <w:pPr>
        <w:pStyle w:val="ListParagraph"/>
        <w:spacing w:line="240" w:lineRule="auto"/>
        <w:rPr>
          <w:rFonts w:ascii="Cambria" w:eastAsia="Batang" w:hAnsi="Cambria" w:cs="Times New Roman"/>
          <w:color w:val="000000" w:themeColor="text1"/>
          <w:sz w:val="21"/>
          <w:szCs w:val="21"/>
          <w:lang w:val="es-ES"/>
        </w:rPr>
      </w:pPr>
    </w:p>
    <w:p w14:paraId="0158D998"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s-ES"/>
        </w:rPr>
      </w:pPr>
      <w:r w:rsidRPr="008C1A90">
        <w:rPr>
          <w:rFonts w:ascii="Cambria" w:hAnsi="Cambria"/>
          <w:sz w:val="21"/>
          <w:szCs w:val="21"/>
          <w:lang w:val="es-AR"/>
        </w:rPr>
        <w:t xml:space="preserve">La Comisión instruye que la Secretaría Ejecutiva de la CIDH notifique la presente resolución al </w:t>
      </w:r>
      <w:r w:rsidRPr="008C1A90">
        <w:rPr>
          <w:rFonts w:ascii="Cambria" w:hAnsi="Cambria"/>
          <w:sz w:val="21"/>
          <w:szCs w:val="21"/>
          <w:lang w:val="es-ES"/>
        </w:rPr>
        <w:t>Gobierno de Trinidad y Tobago y a los solicitantes</w:t>
      </w:r>
      <w:r w:rsidRPr="008C1A90">
        <w:rPr>
          <w:rFonts w:ascii="Cambria" w:eastAsia="Batang" w:hAnsi="Cambria" w:cs="Times New Roman"/>
          <w:sz w:val="21"/>
          <w:szCs w:val="21"/>
          <w:lang w:val="es-ES"/>
        </w:rPr>
        <w:t>.</w:t>
      </w:r>
    </w:p>
    <w:p w14:paraId="48A05623" w14:textId="77777777" w:rsidR="00460E91" w:rsidRPr="008C1A90" w:rsidRDefault="00460E91" w:rsidP="00460E91">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A156637" w14:textId="77777777" w:rsidR="00460E91" w:rsidRPr="008C1A90" w:rsidRDefault="00460E91" w:rsidP="00460E9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8C1A90">
        <w:rPr>
          <w:rFonts w:ascii="Cambria" w:eastAsia="Batang" w:hAnsi="Cambria" w:cs="Times New Roman"/>
          <w:color w:val="000000" w:themeColor="text1"/>
          <w:sz w:val="21"/>
          <w:szCs w:val="21"/>
          <w:lang w:val="es-ES"/>
        </w:rPr>
        <w:t xml:space="preserve">Aprobado el 9 de noviembre de 2019 por: Esmeralda Arosemena de Troitiño, Presidenta; Joel </w:t>
      </w:r>
      <w:r w:rsidRPr="008C1A90">
        <w:rPr>
          <w:rFonts w:ascii="Cambria" w:hAnsi="Cambria"/>
          <w:sz w:val="21"/>
          <w:szCs w:val="21"/>
          <w:lang w:val="es-ES"/>
        </w:rPr>
        <w:t>Hernández</w:t>
      </w:r>
      <w:r w:rsidRPr="008C1A90">
        <w:rPr>
          <w:rFonts w:ascii="Cambria" w:eastAsia="Batang" w:hAnsi="Cambria" w:cs="Times New Roman"/>
          <w:color w:val="000000" w:themeColor="text1"/>
          <w:sz w:val="21"/>
          <w:szCs w:val="21"/>
          <w:lang w:val="es-ES"/>
        </w:rPr>
        <w:t xml:space="preserve"> García, Primer Vicepresidente; Antonia Urrejola Noguera, Segunda Vicepresidenta; Margarette May Macaulay; Francisco José Eguiguren Praeli; y Flavia Piovesan.</w:t>
      </w:r>
    </w:p>
    <w:p w14:paraId="31FF27B2" w14:textId="77777777" w:rsidR="00460E91" w:rsidRDefault="00460E91" w:rsidP="00460E91">
      <w:pPr>
        <w:jc w:val="both"/>
        <w:rPr>
          <w:rFonts w:ascii="Cambria" w:hAnsi="Cambria"/>
          <w:sz w:val="21"/>
          <w:szCs w:val="21"/>
          <w:lang w:val="es-ES"/>
        </w:rPr>
      </w:pPr>
    </w:p>
    <w:p w14:paraId="24A297BB" w14:textId="77777777" w:rsidR="00460E91" w:rsidRDefault="00460E91" w:rsidP="00460E91">
      <w:pPr>
        <w:jc w:val="both"/>
        <w:rPr>
          <w:rFonts w:ascii="Cambria" w:hAnsi="Cambria"/>
          <w:sz w:val="21"/>
          <w:szCs w:val="21"/>
          <w:lang w:val="es-ES"/>
        </w:rPr>
      </w:pPr>
    </w:p>
    <w:p w14:paraId="0CA3A007" w14:textId="77777777" w:rsidR="00460E91" w:rsidRDefault="00460E91" w:rsidP="00460E91">
      <w:pPr>
        <w:jc w:val="both"/>
        <w:rPr>
          <w:rFonts w:ascii="Cambria" w:hAnsi="Cambria"/>
          <w:sz w:val="21"/>
          <w:szCs w:val="21"/>
          <w:lang w:val="es-ES"/>
        </w:rPr>
      </w:pPr>
    </w:p>
    <w:p w14:paraId="7C3EDDC4" w14:textId="77777777" w:rsidR="00460E91" w:rsidRDefault="00460E91" w:rsidP="00460E91">
      <w:pPr>
        <w:jc w:val="both"/>
        <w:rPr>
          <w:rFonts w:ascii="Cambria" w:hAnsi="Cambria"/>
          <w:sz w:val="21"/>
          <w:szCs w:val="21"/>
          <w:lang w:val="es-ES"/>
        </w:rPr>
      </w:pPr>
    </w:p>
    <w:p w14:paraId="12CEB55F" w14:textId="77777777" w:rsidR="00460E91" w:rsidRPr="00193139" w:rsidRDefault="00460E91" w:rsidP="00460E91">
      <w:pPr>
        <w:jc w:val="center"/>
        <w:rPr>
          <w:rFonts w:ascii="Cambria" w:eastAsia="Batang" w:hAnsi="Cambria" w:cs="Times New Roman"/>
          <w:color w:val="000000"/>
          <w:sz w:val="21"/>
          <w:szCs w:val="21"/>
          <w:lang w:val="es-ES"/>
        </w:rPr>
      </w:pPr>
      <w:r w:rsidRPr="00193139">
        <w:rPr>
          <w:rFonts w:ascii="Cambria" w:eastAsia="Batang" w:hAnsi="Cambria" w:cs="Times New Roman"/>
          <w:color w:val="000000"/>
          <w:sz w:val="21"/>
          <w:szCs w:val="21"/>
          <w:lang w:val="es-ES"/>
        </w:rPr>
        <w:t>Paulo Abrão</w:t>
      </w:r>
    </w:p>
    <w:p w14:paraId="1F10B915" w14:textId="77777777" w:rsidR="00460E91" w:rsidRPr="00193139" w:rsidRDefault="00460E91" w:rsidP="00460E91">
      <w:pPr>
        <w:jc w:val="center"/>
        <w:rPr>
          <w:rFonts w:ascii="Cambria" w:eastAsia="Batang" w:hAnsi="Cambria" w:cs="Times New Roman"/>
          <w:color w:val="000000"/>
          <w:sz w:val="21"/>
          <w:szCs w:val="21"/>
          <w:lang w:val="en-US"/>
        </w:rPr>
      </w:pPr>
      <w:r w:rsidRPr="00AA7DD8">
        <w:rPr>
          <w:rFonts w:ascii="Cambria" w:eastAsia="Batang" w:hAnsi="Cambria" w:cs="Times New Roman"/>
          <w:color w:val="000000"/>
          <w:sz w:val="21"/>
          <w:szCs w:val="21"/>
          <w:lang w:val="en-US"/>
        </w:rPr>
        <w:t>Executive Secretary</w:t>
      </w:r>
    </w:p>
    <w:p w14:paraId="5F991D9D" w14:textId="77777777" w:rsidR="00460E91" w:rsidRPr="00EE0F5F" w:rsidRDefault="00460E91" w:rsidP="00460E91">
      <w:pPr>
        <w:jc w:val="both"/>
        <w:rPr>
          <w:rFonts w:ascii="Cambria" w:hAnsi="Cambria"/>
          <w:sz w:val="21"/>
          <w:szCs w:val="21"/>
          <w:lang w:val="es-ES"/>
        </w:rPr>
      </w:pPr>
    </w:p>
    <w:p w14:paraId="44547943" w14:textId="77777777" w:rsidR="00460E91" w:rsidRPr="00EE0F5F" w:rsidRDefault="00460E91" w:rsidP="00CD1914">
      <w:pPr>
        <w:jc w:val="both"/>
        <w:rPr>
          <w:rFonts w:ascii="Cambria" w:hAnsi="Cambria"/>
          <w:sz w:val="21"/>
          <w:szCs w:val="21"/>
          <w:lang w:val="es-ES"/>
        </w:rPr>
      </w:pPr>
    </w:p>
    <w:sectPr w:rsidR="00460E91" w:rsidRPr="00EE0F5F" w:rsidSect="005E3ADC">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F7C6B" w16cid:durableId="211BD8C9"/>
  <w16cid:commentId w16cid:paraId="7C7987D3" w16cid:durableId="211BDE80"/>
  <w16cid:commentId w16cid:paraId="0C172800" w16cid:durableId="21252FB5"/>
  <w16cid:commentId w16cid:paraId="3C96467F" w16cid:durableId="21252FB6"/>
  <w16cid:commentId w16cid:paraId="6E4D25B8" w16cid:durableId="21252FB7"/>
  <w16cid:commentId w16cid:paraId="30723D5D" w16cid:durableId="21252FB8"/>
  <w16cid:commentId w16cid:paraId="0EA6AB36" w16cid:durableId="21252FB9"/>
  <w16cid:commentId w16cid:paraId="1000EB7A" w16cid:durableId="21252FBA"/>
  <w16cid:commentId w16cid:paraId="07552E47" w16cid:durableId="21252FBB"/>
  <w16cid:commentId w16cid:paraId="708C0B72" w16cid:durableId="21252FBC"/>
  <w16cid:commentId w16cid:paraId="10DD695C" w16cid:durableId="21252FBD"/>
  <w16cid:commentId w16cid:paraId="17241080" w16cid:durableId="21252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7A41" w14:textId="77777777" w:rsidR="00743E53" w:rsidRDefault="00743E53" w:rsidP="004B2698">
      <w:r>
        <w:separator/>
      </w:r>
    </w:p>
  </w:endnote>
  <w:endnote w:type="continuationSeparator" w:id="0">
    <w:p w14:paraId="700BEA83" w14:textId="77777777" w:rsidR="00743E53" w:rsidRDefault="00743E53" w:rsidP="004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001F316A" w14:textId="6176E904" w:rsidR="00170208" w:rsidRPr="00D961A4" w:rsidRDefault="00170208">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D5543D">
          <w:rPr>
            <w:rFonts w:ascii="Calibri Light" w:hAnsi="Calibri Light"/>
            <w:noProof/>
            <w:sz w:val="16"/>
          </w:rPr>
          <w:t>- 6 -</w:t>
        </w:r>
        <w:r w:rsidRPr="00D961A4">
          <w:rPr>
            <w:rFonts w:ascii="Calibri Light" w:hAnsi="Calibri Light"/>
            <w:noProof/>
            <w:sz w:val="16"/>
          </w:rPr>
          <w:fldChar w:fldCharType="end"/>
        </w:r>
      </w:p>
    </w:sdtContent>
  </w:sdt>
  <w:p w14:paraId="47B770FF" w14:textId="77777777" w:rsidR="00170208" w:rsidRDefault="0017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A63E" w14:textId="77777777" w:rsidR="00743E53" w:rsidRDefault="00743E53" w:rsidP="004B2698">
      <w:r>
        <w:separator/>
      </w:r>
    </w:p>
  </w:footnote>
  <w:footnote w:type="continuationSeparator" w:id="0">
    <w:p w14:paraId="73BB9A62" w14:textId="77777777" w:rsidR="00743E53" w:rsidRDefault="00743E53" w:rsidP="004B2698">
      <w:r>
        <w:continuationSeparator/>
      </w:r>
    </w:p>
  </w:footnote>
  <w:footnote w:id="1">
    <w:p w14:paraId="4175DA4A" w14:textId="21690E3A" w:rsidR="00170208" w:rsidRPr="00CE590C" w:rsidRDefault="00170208" w:rsidP="00EF0584">
      <w:pPr>
        <w:pStyle w:val="FootnoteText"/>
        <w:jc w:val="both"/>
        <w:rPr>
          <w:rFonts w:asciiTheme="majorHAnsi" w:hAnsiTheme="majorHAnsi" w:cstheme="majorHAnsi"/>
          <w:sz w:val="18"/>
          <w:szCs w:val="18"/>
          <w:lang w:val="es-ES"/>
        </w:rPr>
      </w:pPr>
      <w:r w:rsidRPr="0045756D">
        <w:rPr>
          <w:rStyle w:val="FootnoteReference"/>
          <w:rFonts w:asciiTheme="majorHAnsi" w:hAnsiTheme="majorHAnsi" w:cstheme="majorHAnsi"/>
          <w:sz w:val="16"/>
          <w:szCs w:val="18"/>
        </w:rPr>
        <w:footnoteRef/>
      </w:r>
      <w:r w:rsidRPr="00CE590C">
        <w:rPr>
          <w:rFonts w:asciiTheme="majorHAnsi" w:hAnsiTheme="majorHAnsi" w:cstheme="majorHAnsi"/>
          <w:sz w:val="16"/>
          <w:szCs w:val="18"/>
          <w:lang w:val="es-ES"/>
        </w:rPr>
        <w:t xml:space="preserve"> </w:t>
      </w:r>
      <w:r w:rsidRPr="00172C34">
        <w:rPr>
          <w:rFonts w:asciiTheme="majorHAnsi" w:hAnsiTheme="majorHAnsi" w:cstheme="majorHAnsi"/>
          <w:sz w:val="16"/>
          <w:szCs w:val="16"/>
        </w:rPr>
        <w:t xml:space="preserve">Al respecto, por ejemplo, refiriéndose a las medidas provisionales, la Corte Interamericana ha considerado que tal estándar requiere un mínimo de detalle e información que permitan apreciar </w:t>
      </w:r>
      <w:r w:rsidRPr="00172C34">
        <w:rPr>
          <w:rFonts w:asciiTheme="majorHAnsi" w:hAnsiTheme="majorHAnsi" w:cstheme="majorHAnsi"/>
          <w:i/>
          <w:sz w:val="16"/>
          <w:szCs w:val="16"/>
        </w:rPr>
        <w:t xml:space="preserve">prima facie </w:t>
      </w:r>
      <w:r w:rsidRPr="00172C34">
        <w:rPr>
          <w:rFonts w:asciiTheme="majorHAnsi" w:hAnsiTheme="majorHAnsi" w:cstheme="majorHAnsi"/>
          <w:sz w:val="16"/>
          <w:szCs w:val="16"/>
        </w:rPr>
        <w:t xml:space="preserve">la situación de riesgo y urgencia. Corte IDH, </w:t>
      </w:r>
      <w:r w:rsidRPr="00172C34">
        <w:rPr>
          <w:rFonts w:asciiTheme="majorHAnsi" w:hAnsiTheme="majorHAnsi" w:cstheme="majorHAnsi"/>
          <w:i/>
          <w:sz w:val="16"/>
          <w:szCs w:val="16"/>
        </w:rPr>
        <w:t>Asunto de los niños y adolescentes privados de libertad en el “Complexo do Tatuapé” de la Fundação CASA</w:t>
      </w:r>
      <w:r w:rsidRPr="00172C34">
        <w:rPr>
          <w:rFonts w:asciiTheme="majorHAnsi" w:hAnsiTheme="majorHAnsi" w:cstheme="majorHAnsi"/>
          <w:sz w:val="16"/>
          <w:szCs w:val="16"/>
        </w:rPr>
        <w:t>. Solicitud de ampliación de medidas provisionales. Medidas Provisionales respecto de Brasil. Resolución de la Corte Interamericana de Derechos Humanos de 4 de julio de 2006. Consi</w:t>
      </w:r>
      <w:r>
        <w:rPr>
          <w:rFonts w:asciiTheme="majorHAnsi" w:hAnsiTheme="majorHAnsi" w:cstheme="majorHAnsi"/>
          <w:sz w:val="16"/>
          <w:szCs w:val="16"/>
        </w:rPr>
        <w:t>derando 23</w:t>
      </w:r>
      <w:r w:rsidRPr="00CE590C">
        <w:rPr>
          <w:rFonts w:asciiTheme="majorHAnsi" w:hAnsiTheme="majorHAnsi" w:cstheme="majorHAnsi"/>
          <w:sz w:val="16"/>
          <w:szCs w:val="18"/>
          <w:lang w:val="es-ES"/>
        </w:rPr>
        <w:t>. Disponible en: http://www.corteidh.or.cr/docs/medidas/febem_se_03.pdf</w:t>
      </w:r>
    </w:p>
  </w:footnote>
  <w:footnote w:id="2">
    <w:p w14:paraId="7F085D92" w14:textId="77777777" w:rsidR="00460E91" w:rsidRPr="008D2A23" w:rsidRDefault="00460E91" w:rsidP="00460E91">
      <w:pPr>
        <w:pStyle w:val="FootnoteText"/>
        <w:jc w:val="both"/>
        <w:rPr>
          <w:rFonts w:asciiTheme="majorHAnsi" w:hAnsiTheme="majorHAnsi" w:cstheme="majorHAnsi"/>
          <w:sz w:val="16"/>
          <w:szCs w:val="16"/>
          <w:lang w:val="pt-BR"/>
        </w:rPr>
      </w:pPr>
      <w:r w:rsidRPr="005325AE">
        <w:rPr>
          <w:rStyle w:val="FootnoteReference"/>
          <w:rFonts w:asciiTheme="majorHAnsi" w:hAnsiTheme="majorHAnsi" w:cstheme="majorHAnsi"/>
          <w:sz w:val="16"/>
          <w:szCs w:val="16"/>
          <w:lang w:val="es-ES"/>
        </w:rPr>
        <w:footnoteRef/>
      </w:r>
      <w:r w:rsidRPr="005325AE">
        <w:rPr>
          <w:rFonts w:asciiTheme="majorHAnsi" w:hAnsiTheme="majorHAnsi" w:cstheme="majorHAnsi"/>
          <w:sz w:val="16"/>
          <w:szCs w:val="16"/>
          <w:lang w:val="es-ES"/>
        </w:rPr>
        <w:t xml:space="preserve"> Corte IDH, Resolución de la Corte Interamericana de Derechos Humanos de 1 de julio de 2011, Medidas provisionales respecto de Paraguay, </w:t>
      </w:r>
      <w:r w:rsidRPr="005325AE">
        <w:rPr>
          <w:rFonts w:asciiTheme="majorHAnsi" w:hAnsiTheme="majorHAnsi" w:cstheme="majorHAnsi"/>
          <w:i/>
          <w:sz w:val="16"/>
          <w:szCs w:val="16"/>
          <w:lang w:val="es-ES"/>
        </w:rPr>
        <w:t>Asunto L.M</w:t>
      </w:r>
      <w:r w:rsidRPr="005325AE">
        <w:rPr>
          <w:rFonts w:asciiTheme="majorHAnsi" w:hAnsiTheme="majorHAnsi" w:cstheme="majorHAnsi"/>
          <w:sz w:val="16"/>
          <w:szCs w:val="16"/>
          <w:lang w:val="es-ES"/>
        </w:rPr>
        <w:t xml:space="preserve">., párr. 12, 15-16, 19; CIDH, </w:t>
      </w:r>
      <w:r w:rsidRPr="005325AE">
        <w:rPr>
          <w:rFonts w:asciiTheme="majorHAnsi" w:hAnsiTheme="majorHAnsi" w:cstheme="majorHAnsi"/>
          <w:i/>
          <w:sz w:val="16"/>
          <w:szCs w:val="16"/>
          <w:lang w:val="es-ES"/>
        </w:rPr>
        <w:t>Niño A.R. respecto de Argentina</w:t>
      </w:r>
      <w:r w:rsidRPr="005325AE">
        <w:rPr>
          <w:rFonts w:asciiTheme="majorHAnsi" w:hAnsiTheme="majorHAnsi" w:cstheme="majorHAnsi"/>
          <w:sz w:val="16"/>
          <w:szCs w:val="16"/>
          <w:lang w:val="es-ES"/>
        </w:rPr>
        <w:t xml:space="preserve"> (</w:t>
      </w:r>
      <w:r>
        <w:rPr>
          <w:rFonts w:asciiTheme="majorHAnsi" w:hAnsiTheme="majorHAnsi" w:cstheme="majorHAnsi"/>
          <w:sz w:val="16"/>
          <w:szCs w:val="16"/>
          <w:lang w:val="es-ES"/>
        </w:rPr>
        <w:t>MC</w:t>
      </w:r>
      <w:r w:rsidRPr="005325AE">
        <w:rPr>
          <w:rFonts w:asciiTheme="majorHAnsi" w:hAnsiTheme="majorHAnsi" w:cstheme="majorHAnsi"/>
          <w:sz w:val="16"/>
          <w:szCs w:val="16"/>
          <w:lang w:val="es-ES"/>
        </w:rPr>
        <w:t xml:space="preserve"> 356-16), Resolución 26/2017 de 27 de julio de 2017, párr. 14; CIDH, </w:t>
      </w:r>
      <w:r w:rsidRPr="005325AE">
        <w:rPr>
          <w:rFonts w:asciiTheme="majorHAnsi" w:hAnsiTheme="majorHAnsi" w:cstheme="majorHAnsi"/>
          <w:i/>
          <w:sz w:val="16"/>
          <w:szCs w:val="16"/>
          <w:lang w:val="es-ES"/>
        </w:rPr>
        <w:t xml:space="preserve">Asunto de Maria y su hijo Mariano respecto de Argentina </w:t>
      </w:r>
      <w:r w:rsidRPr="005325AE">
        <w:rPr>
          <w:rFonts w:asciiTheme="majorHAnsi" w:hAnsiTheme="majorHAnsi" w:cstheme="majorHAnsi"/>
          <w:sz w:val="16"/>
          <w:szCs w:val="16"/>
          <w:lang w:val="es-ES"/>
        </w:rPr>
        <w:t>(</w:t>
      </w:r>
      <w:r>
        <w:rPr>
          <w:rFonts w:asciiTheme="majorHAnsi" w:hAnsiTheme="majorHAnsi" w:cstheme="majorHAnsi"/>
          <w:sz w:val="16"/>
          <w:szCs w:val="16"/>
          <w:lang w:val="es-ES"/>
        </w:rPr>
        <w:t>MC</w:t>
      </w:r>
      <w:r w:rsidRPr="005325AE">
        <w:rPr>
          <w:rFonts w:asciiTheme="majorHAnsi" w:hAnsiTheme="majorHAnsi" w:cstheme="majorHAnsi"/>
          <w:sz w:val="16"/>
          <w:szCs w:val="16"/>
          <w:lang w:val="es-ES"/>
        </w:rPr>
        <w:t xml:space="preserve"> 540-15), Resolución 22/2016, 12 de abril de 2016, párr. 2 y 11; CIDH, </w:t>
      </w:r>
      <w:r w:rsidRPr="005325AE">
        <w:rPr>
          <w:rFonts w:asciiTheme="majorHAnsi" w:hAnsiTheme="majorHAnsi" w:cstheme="majorHAnsi"/>
          <w:i/>
          <w:sz w:val="16"/>
          <w:szCs w:val="16"/>
          <w:lang w:val="es-ES"/>
        </w:rPr>
        <w:t>El derecho de los niños a la familia</w:t>
      </w:r>
      <w:r w:rsidRPr="005325AE">
        <w:rPr>
          <w:rFonts w:asciiTheme="majorHAnsi" w:hAnsiTheme="majorHAnsi" w:cstheme="majorHAnsi"/>
          <w:sz w:val="16"/>
          <w:szCs w:val="16"/>
          <w:lang w:val="es-ES"/>
        </w:rPr>
        <w:t xml:space="preserve"> [falta cita completa] 2013, párr. </w:t>
      </w:r>
      <w:r w:rsidRPr="008D2A23">
        <w:rPr>
          <w:rFonts w:asciiTheme="majorHAnsi" w:hAnsiTheme="majorHAnsi" w:cstheme="majorHAnsi"/>
          <w:sz w:val="16"/>
          <w:szCs w:val="16"/>
          <w:lang w:val="pt-BR"/>
        </w:rPr>
        <w:t>174.</w:t>
      </w:r>
    </w:p>
  </w:footnote>
  <w:footnote w:id="3">
    <w:p w14:paraId="7EFAA571" w14:textId="77777777" w:rsidR="00460E91" w:rsidRPr="008D2A23" w:rsidRDefault="00460E91" w:rsidP="00460E91">
      <w:pPr>
        <w:pStyle w:val="FootnoteText"/>
        <w:rPr>
          <w:rFonts w:asciiTheme="majorHAnsi" w:hAnsiTheme="majorHAnsi" w:cstheme="majorHAnsi"/>
          <w:lang w:val="pt-BR"/>
        </w:rPr>
      </w:pPr>
      <w:r w:rsidRPr="005325AE">
        <w:rPr>
          <w:rStyle w:val="FootnoteReference"/>
          <w:rFonts w:asciiTheme="majorHAnsi" w:hAnsiTheme="majorHAnsi" w:cstheme="majorHAnsi"/>
          <w:sz w:val="16"/>
          <w:lang w:val="es-ES"/>
        </w:rPr>
        <w:footnoteRef/>
      </w:r>
      <w:r w:rsidRPr="008D2A23">
        <w:rPr>
          <w:rFonts w:asciiTheme="majorHAnsi" w:hAnsiTheme="majorHAnsi" w:cstheme="majorHAnsi"/>
          <w:sz w:val="16"/>
          <w:lang w:val="pt-BR"/>
        </w:rPr>
        <w:t xml:space="preserve"> </w:t>
      </w:r>
      <w:r w:rsidRPr="008D2A23">
        <w:rPr>
          <w:rFonts w:asciiTheme="majorHAnsi" w:hAnsiTheme="majorHAnsi" w:cstheme="majorHAnsi"/>
          <w:sz w:val="16"/>
          <w:szCs w:val="16"/>
          <w:lang w:val="pt-BR"/>
        </w:rPr>
        <w:t>Corte IDH</w:t>
      </w:r>
      <w:r w:rsidRPr="008D2A23">
        <w:rPr>
          <w:rFonts w:asciiTheme="majorHAnsi" w:hAnsiTheme="majorHAnsi" w:cstheme="majorHAnsi"/>
          <w:sz w:val="16"/>
          <w:lang w:val="pt-BR"/>
        </w:rPr>
        <w:t xml:space="preserve">, </w:t>
      </w:r>
      <w:r w:rsidRPr="008D2A23">
        <w:rPr>
          <w:rFonts w:asciiTheme="majorHAnsi" w:hAnsiTheme="majorHAnsi" w:cstheme="majorHAnsi"/>
          <w:i/>
          <w:sz w:val="16"/>
          <w:szCs w:val="16"/>
          <w:lang w:val="pt-BR"/>
        </w:rPr>
        <w:t>Asunto L.M</w:t>
      </w:r>
      <w:r w:rsidRPr="008D2A23">
        <w:rPr>
          <w:rFonts w:asciiTheme="majorHAnsi" w:hAnsiTheme="majorHAnsi" w:cstheme="majorHAnsi"/>
          <w:i/>
          <w:sz w:val="16"/>
          <w:lang w:val="pt-BR"/>
        </w:rPr>
        <w:t>.</w:t>
      </w:r>
      <w:r w:rsidRPr="008D2A23">
        <w:rPr>
          <w:rFonts w:asciiTheme="majorHAnsi" w:hAnsiTheme="majorHAnsi" w:cstheme="majorHAnsi"/>
          <w:sz w:val="16"/>
          <w:lang w:val="pt-BR"/>
        </w:rPr>
        <w:t xml:space="preserve">, </w:t>
      </w:r>
      <w:r w:rsidRPr="008D2A23">
        <w:rPr>
          <w:rFonts w:asciiTheme="majorHAnsi" w:hAnsiTheme="majorHAnsi" w:cstheme="majorHAnsi"/>
          <w:i/>
          <w:sz w:val="16"/>
          <w:lang w:val="pt-BR"/>
        </w:rPr>
        <w:t>considerandum</w:t>
      </w:r>
      <w:r w:rsidRPr="008D2A23">
        <w:rPr>
          <w:rFonts w:asciiTheme="majorHAnsi" w:hAnsiTheme="majorHAnsi" w:cstheme="majorHAnsi"/>
          <w:sz w:val="16"/>
          <w:lang w:val="pt-BR"/>
        </w:rPr>
        <w:t xml:space="preserve"> 16.</w:t>
      </w:r>
    </w:p>
  </w:footnote>
  <w:footnote w:id="4">
    <w:p w14:paraId="70A9E68B" w14:textId="77777777" w:rsidR="00460E91" w:rsidRPr="005325AE" w:rsidRDefault="00460E91" w:rsidP="00460E91">
      <w:pPr>
        <w:pStyle w:val="FootnoteText"/>
        <w:rPr>
          <w:rFonts w:asciiTheme="majorHAnsi" w:hAnsiTheme="majorHAnsi" w:cstheme="majorHAnsi"/>
          <w:sz w:val="16"/>
          <w:szCs w:val="16"/>
          <w:lang w:val="es-ES"/>
        </w:rPr>
      </w:pPr>
      <w:r w:rsidRPr="005325AE">
        <w:rPr>
          <w:rStyle w:val="FootnoteReference"/>
          <w:rFonts w:asciiTheme="majorHAnsi" w:hAnsiTheme="majorHAnsi" w:cstheme="majorHAnsi"/>
          <w:sz w:val="16"/>
          <w:szCs w:val="16"/>
          <w:lang w:val="es-ES"/>
        </w:rPr>
        <w:footnoteRef/>
      </w:r>
      <w:r w:rsidRPr="008D2A23">
        <w:rPr>
          <w:rFonts w:asciiTheme="majorHAnsi" w:hAnsiTheme="majorHAnsi" w:cstheme="majorHAnsi"/>
          <w:sz w:val="16"/>
          <w:szCs w:val="16"/>
          <w:lang w:val="pt-BR"/>
        </w:rPr>
        <w:t xml:space="preserve"> Corte IDH. </w:t>
      </w:r>
      <w:r w:rsidRPr="00D5543D">
        <w:rPr>
          <w:rFonts w:asciiTheme="majorHAnsi" w:hAnsiTheme="majorHAnsi" w:cstheme="majorHAnsi"/>
          <w:sz w:val="16"/>
          <w:szCs w:val="16"/>
        </w:rPr>
        <w:t xml:space="preserve">Caso Fornerón e hija Vs. </w:t>
      </w:r>
      <w:r w:rsidRPr="005325AE">
        <w:rPr>
          <w:rFonts w:asciiTheme="majorHAnsi" w:hAnsiTheme="majorHAnsi" w:cstheme="majorHAnsi"/>
          <w:sz w:val="16"/>
          <w:szCs w:val="16"/>
          <w:lang w:val="es-ES"/>
        </w:rPr>
        <w:t>Argentina. Fondo, Reparaciones y Costas. Sentencia de 27 de abril de 2012. Serie C No. 242, párr. 113 y 119.</w:t>
      </w:r>
    </w:p>
  </w:footnote>
  <w:footnote w:id="5">
    <w:p w14:paraId="40FE647F" w14:textId="77777777" w:rsidR="00460E91" w:rsidRPr="008D2A23" w:rsidRDefault="00460E91" w:rsidP="00460E91">
      <w:pPr>
        <w:pStyle w:val="FootnoteText"/>
        <w:jc w:val="both"/>
        <w:rPr>
          <w:rFonts w:asciiTheme="majorHAnsi" w:hAnsiTheme="majorHAnsi" w:cstheme="majorHAnsi"/>
          <w:lang w:val="es-ES"/>
        </w:rPr>
      </w:pPr>
      <w:r w:rsidRPr="005325AE">
        <w:rPr>
          <w:rStyle w:val="FootnoteReference"/>
          <w:rFonts w:asciiTheme="majorHAnsi" w:hAnsiTheme="majorHAnsi" w:cstheme="majorHAnsi"/>
          <w:sz w:val="16"/>
          <w:lang w:val="es-ES"/>
        </w:rPr>
        <w:footnoteRef/>
      </w:r>
      <w:r w:rsidRPr="008D2A23">
        <w:rPr>
          <w:rFonts w:asciiTheme="majorHAnsi" w:hAnsiTheme="majorHAnsi" w:cstheme="majorHAnsi"/>
          <w:sz w:val="16"/>
          <w:lang w:val="pt-BR"/>
        </w:rPr>
        <w:t xml:space="preserve"> </w:t>
      </w:r>
      <w:r w:rsidRPr="008D2A23">
        <w:rPr>
          <w:rFonts w:asciiTheme="majorHAnsi" w:hAnsiTheme="majorHAnsi" w:cstheme="majorHAnsi"/>
          <w:sz w:val="16"/>
          <w:szCs w:val="16"/>
          <w:lang w:val="pt-BR"/>
        </w:rPr>
        <w:t>Corte IDH. Caso Fornerón e hija</w:t>
      </w:r>
      <w:r w:rsidRPr="008D2A23">
        <w:rPr>
          <w:rFonts w:asciiTheme="majorHAnsi" w:hAnsiTheme="majorHAnsi" w:cstheme="majorHAnsi"/>
          <w:sz w:val="16"/>
          <w:lang w:val="pt-BR"/>
        </w:rPr>
        <w:t xml:space="preserve">, </w:t>
      </w:r>
      <w:r w:rsidRPr="008D2A23">
        <w:rPr>
          <w:rFonts w:asciiTheme="majorHAnsi" w:hAnsiTheme="majorHAnsi" w:cstheme="majorHAnsi"/>
          <w:sz w:val="16"/>
          <w:szCs w:val="16"/>
          <w:lang w:val="pt-BR"/>
        </w:rPr>
        <w:t>párr</w:t>
      </w:r>
      <w:r w:rsidRPr="008D2A23">
        <w:rPr>
          <w:rFonts w:asciiTheme="majorHAnsi" w:hAnsiTheme="majorHAnsi" w:cstheme="majorHAnsi"/>
          <w:sz w:val="16"/>
          <w:lang w:val="pt-BR"/>
        </w:rPr>
        <w:t xml:space="preserve">. </w:t>
      </w:r>
      <w:r w:rsidRPr="005325AE">
        <w:rPr>
          <w:rFonts w:asciiTheme="majorHAnsi" w:hAnsiTheme="majorHAnsi" w:cstheme="majorHAnsi"/>
          <w:sz w:val="16"/>
          <w:lang w:val="es-ES"/>
        </w:rPr>
        <w:t xml:space="preserve">67 y 69; CIDH, </w:t>
      </w:r>
      <w:r w:rsidRPr="005325AE">
        <w:rPr>
          <w:rFonts w:asciiTheme="majorHAnsi" w:hAnsiTheme="majorHAnsi" w:cstheme="majorHAnsi"/>
          <w:i/>
          <w:sz w:val="16"/>
          <w:szCs w:val="16"/>
          <w:lang w:val="es-ES"/>
        </w:rPr>
        <w:t>Niño A.R. respecto de Argentina</w:t>
      </w:r>
      <w:r w:rsidRPr="005325AE">
        <w:rPr>
          <w:rFonts w:asciiTheme="majorHAnsi" w:hAnsiTheme="majorHAnsi" w:cstheme="majorHAnsi"/>
          <w:sz w:val="16"/>
          <w:lang w:val="es-ES"/>
        </w:rPr>
        <w:t xml:space="preserve">, </w:t>
      </w:r>
      <w:r w:rsidRPr="005325AE">
        <w:rPr>
          <w:rFonts w:asciiTheme="majorHAnsi" w:hAnsiTheme="majorHAnsi" w:cstheme="majorHAnsi"/>
          <w:sz w:val="16"/>
          <w:szCs w:val="16"/>
          <w:lang w:val="es-ES"/>
        </w:rPr>
        <w:t>párr</w:t>
      </w:r>
      <w:r w:rsidRPr="005325AE">
        <w:rPr>
          <w:rFonts w:asciiTheme="majorHAnsi" w:hAnsiTheme="majorHAnsi" w:cstheme="majorHAnsi"/>
          <w:sz w:val="16"/>
          <w:lang w:val="es-ES"/>
        </w:rPr>
        <w:t xml:space="preserve">. 24; Corte IDH, </w:t>
      </w:r>
      <w:r w:rsidRPr="005325AE">
        <w:rPr>
          <w:rFonts w:asciiTheme="majorHAnsi" w:hAnsiTheme="majorHAnsi" w:cstheme="majorHAnsi"/>
          <w:i/>
          <w:sz w:val="16"/>
          <w:szCs w:val="16"/>
          <w:lang w:val="es-ES"/>
        </w:rPr>
        <w:t>Asunto L.M</w:t>
      </w:r>
      <w:r w:rsidRPr="005325AE">
        <w:rPr>
          <w:rFonts w:asciiTheme="majorHAnsi" w:hAnsiTheme="majorHAnsi" w:cstheme="majorHAnsi"/>
          <w:i/>
          <w:sz w:val="16"/>
          <w:lang w:val="es-ES"/>
        </w:rPr>
        <w:t>.</w:t>
      </w:r>
      <w:r w:rsidRPr="005325AE">
        <w:rPr>
          <w:rFonts w:asciiTheme="majorHAnsi" w:hAnsiTheme="majorHAnsi" w:cstheme="majorHAnsi"/>
          <w:sz w:val="16"/>
          <w:lang w:val="es-ES"/>
        </w:rPr>
        <w:t>, párr. 16.</w:t>
      </w:r>
    </w:p>
  </w:footnote>
  <w:footnote w:id="6">
    <w:p w14:paraId="7A623BAB" w14:textId="77777777" w:rsidR="00460E91" w:rsidRPr="00170208" w:rsidRDefault="00460E91" w:rsidP="00460E91">
      <w:pPr>
        <w:pStyle w:val="FootnoteText"/>
        <w:jc w:val="both"/>
        <w:rPr>
          <w:rFonts w:asciiTheme="majorHAnsi" w:hAnsiTheme="majorHAnsi" w:cstheme="majorHAnsi"/>
          <w:sz w:val="16"/>
          <w:szCs w:val="16"/>
          <w:lang w:val="es-ES"/>
        </w:rPr>
      </w:pPr>
      <w:r w:rsidRPr="002B75DA">
        <w:rPr>
          <w:rStyle w:val="FootnoteReference"/>
          <w:rFonts w:asciiTheme="majorHAnsi" w:hAnsiTheme="majorHAnsi" w:cstheme="majorHAnsi"/>
          <w:sz w:val="16"/>
          <w:szCs w:val="16"/>
        </w:rPr>
        <w:footnoteRef/>
      </w:r>
      <w:r w:rsidRPr="00170208">
        <w:rPr>
          <w:rFonts w:asciiTheme="majorHAnsi" w:hAnsiTheme="majorHAnsi" w:cstheme="majorHAnsi"/>
          <w:sz w:val="16"/>
          <w:szCs w:val="16"/>
          <w:lang w:val="es-ES"/>
        </w:rPr>
        <w:t xml:space="preserve"> Ver: CIDH, </w:t>
      </w:r>
      <w:r w:rsidRPr="00170208">
        <w:rPr>
          <w:rFonts w:asciiTheme="majorHAnsi" w:hAnsiTheme="majorHAnsi" w:cstheme="majorHAnsi"/>
          <w:i/>
          <w:sz w:val="16"/>
          <w:szCs w:val="16"/>
          <w:lang w:val="es-ES"/>
        </w:rPr>
        <w:t>G.Y.G.R. respecto de México</w:t>
      </w:r>
      <w:r w:rsidRPr="00170208">
        <w:rPr>
          <w:rFonts w:asciiTheme="majorHAnsi" w:hAnsiTheme="majorHAnsi" w:cstheme="majorHAnsi"/>
          <w:sz w:val="16"/>
          <w:szCs w:val="16"/>
          <w:lang w:val="es-ES"/>
        </w:rPr>
        <w:t xml:space="preserve"> (MC 364-17), Resolución 38/2019, </w:t>
      </w:r>
      <w:r>
        <w:rPr>
          <w:rFonts w:asciiTheme="majorHAnsi" w:hAnsiTheme="majorHAnsi" w:cstheme="majorHAnsi"/>
          <w:sz w:val="16"/>
          <w:szCs w:val="16"/>
          <w:lang w:val="es-ES"/>
        </w:rPr>
        <w:t>29 de julio de 2019, párr</w:t>
      </w:r>
      <w:r w:rsidRPr="00170208">
        <w:rPr>
          <w:rFonts w:asciiTheme="majorHAnsi" w:hAnsiTheme="majorHAnsi" w:cstheme="majorHAnsi"/>
          <w:sz w:val="16"/>
          <w:szCs w:val="16"/>
          <w:lang w:val="es-ES"/>
        </w:rPr>
        <w:t>. 31.</w:t>
      </w:r>
    </w:p>
  </w:footnote>
  <w:footnote w:id="7">
    <w:p w14:paraId="27AEF53F" w14:textId="1E819871" w:rsidR="002660E9" w:rsidRDefault="002660E9" w:rsidP="002660E9">
      <w:pPr>
        <w:pStyle w:val="FootnoteText"/>
      </w:pPr>
      <w:r>
        <w:rPr>
          <w:rStyle w:val="FootnoteReference"/>
        </w:rPr>
        <w:footnoteRef/>
      </w:r>
      <w: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 172.</w:t>
      </w:r>
    </w:p>
  </w:footnote>
  <w:footnote w:id="8">
    <w:p w14:paraId="12100855" w14:textId="5F32AF9C" w:rsidR="002660E9" w:rsidRDefault="002660E9" w:rsidP="002660E9">
      <w:pPr>
        <w:pStyle w:val="FootnoteText"/>
      </w:pPr>
      <w:bookmarkStart w:id="0" w:name="_GoBack"/>
      <w:r>
        <w:rPr>
          <w:rStyle w:val="FootnoteReference"/>
        </w:rPr>
        <w:footnoteRef/>
      </w:r>
      <w: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 185 y 195.</w:t>
      </w:r>
      <w:bookmarkEnd w:id="0"/>
    </w:p>
  </w:footnote>
  <w:footnote w:id="9">
    <w:p w14:paraId="2597FFAA" w14:textId="77777777" w:rsidR="00460E91" w:rsidRPr="002C27E0" w:rsidRDefault="00460E91" w:rsidP="00460E91">
      <w:pPr>
        <w:pStyle w:val="FootnoteText"/>
        <w:jc w:val="both"/>
        <w:rPr>
          <w:rFonts w:asciiTheme="majorHAnsi" w:hAnsiTheme="majorHAnsi" w:cstheme="majorHAnsi"/>
          <w:lang w:val="es-ES"/>
        </w:rPr>
      </w:pPr>
      <w:r w:rsidRPr="00F21BD3">
        <w:rPr>
          <w:rStyle w:val="FootnoteReference"/>
          <w:rFonts w:asciiTheme="majorHAnsi" w:hAnsiTheme="majorHAnsi" w:cstheme="majorHAnsi"/>
          <w:sz w:val="16"/>
        </w:rPr>
        <w:footnoteRef/>
      </w:r>
      <w:r w:rsidRPr="002C27E0">
        <w:rPr>
          <w:rFonts w:asciiTheme="majorHAnsi" w:hAnsiTheme="majorHAnsi" w:cstheme="majorHAnsi"/>
          <w:sz w:val="16"/>
          <w:lang w:val="es-ES"/>
        </w:rP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w:t>
      </w:r>
      <w:r>
        <w:rPr>
          <w:rFonts w:asciiTheme="majorHAnsi" w:hAnsiTheme="majorHAnsi" w:cstheme="majorHAnsi"/>
          <w:sz w:val="16"/>
          <w:lang w:val="es-ES"/>
        </w:rPr>
        <w:t xml:space="preserve"> </w:t>
      </w:r>
      <w:r w:rsidRPr="008D2A23">
        <w:rPr>
          <w:rFonts w:asciiTheme="majorHAnsi" w:hAnsiTheme="majorHAnsi" w:cstheme="majorHAnsi"/>
          <w:sz w:val="16"/>
          <w:lang w:val="es-ES"/>
        </w:rPr>
        <w:t xml:space="preserve">122, 179. </w:t>
      </w:r>
      <w:r w:rsidRPr="002C27E0">
        <w:rPr>
          <w:rFonts w:asciiTheme="majorHAnsi" w:hAnsiTheme="majorHAnsi" w:cstheme="majorHAnsi"/>
          <w:sz w:val="16"/>
          <w:lang w:val="es-ES"/>
        </w:rPr>
        <w:t xml:space="preserve">Ver también: Corte IDH, Caso de Atala Riffo e hijas vs. Chile. Fondo, </w:t>
      </w:r>
      <w:r>
        <w:rPr>
          <w:rFonts w:asciiTheme="majorHAnsi" w:hAnsiTheme="majorHAnsi" w:cstheme="majorHAnsi"/>
          <w:sz w:val="16"/>
          <w:lang w:val="es-ES"/>
        </w:rPr>
        <w:t xml:space="preserve">Reparaciones y Costas. Sentencia de 24 de febrero de 2012. </w:t>
      </w:r>
      <w:r w:rsidRPr="008D2A23">
        <w:rPr>
          <w:rFonts w:asciiTheme="majorHAnsi" w:hAnsiTheme="majorHAnsi" w:cstheme="majorHAnsi"/>
          <w:sz w:val="16"/>
          <w:lang w:val="es-ES"/>
        </w:rPr>
        <w:t xml:space="preserve">Serie C No. 239, párr. </w:t>
      </w:r>
      <w:r w:rsidRPr="002C27E0">
        <w:rPr>
          <w:rFonts w:asciiTheme="majorHAnsi" w:hAnsiTheme="majorHAnsi" w:cstheme="majorHAnsi"/>
          <w:sz w:val="16"/>
          <w:lang w:val="es-ES"/>
        </w:rPr>
        <w:t>164.</w:t>
      </w:r>
    </w:p>
  </w:footnote>
  <w:footnote w:id="10">
    <w:p w14:paraId="5337F001" w14:textId="77777777" w:rsidR="00460E91" w:rsidRPr="002C27E0" w:rsidRDefault="00460E91" w:rsidP="00460E91">
      <w:pPr>
        <w:pStyle w:val="FootnoteText"/>
        <w:jc w:val="both"/>
        <w:rPr>
          <w:rFonts w:asciiTheme="majorHAnsi" w:hAnsiTheme="majorHAnsi" w:cstheme="majorHAnsi"/>
          <w:lang w:val="es-ES"/>
        </w:rPr>
      </w:pPr>
      <w:r w:rsidRPr="00745EA6">
        <w:rPr>
          <w:rStyle w:val="FootnoteReference"/>
          <w:rFonts w:asciiTheme="majorHAnsi" w:hAnsiTheme="majorHAnsi" w:cstheme="majorHAnsi"/>
          <w:sz w:val="16"/>
        </w:rPr>
        <w:footnoteRef/>
      </w:r>
      <w:r w:rsidRPr="002C27E0">
        <w:rPr>
          <w:rFonts w:asciiTheme="majorHAnsi" w:hAnsiTheme="majorHAnsi" w:cstheme="majorHAnsi"/>
          <w:sz w:val="16"/>
          <w:lang w:val="es-ES"/>
        </w:rP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w:t>
      </w:r>
      <w:r w:rsidRPr="002C27E0">
        <w:rPr>
          <w:rFonts w:asciiTheme="majorHAnsi" w:hAnsiTheme="majorHAnsi" w:cstheme="majorHAnsi"/>
          <w:sz w:val="16"/>
          <w:lang w:val="es-ES"/>
        </w:rPr>
        <w:t xml:space="preserve"> 185 y 128; Corte IDH, Resolución de la Corte Interamericana de Derechos Humanos de 1 de julio de 2011, Medidas provisionales respect</w:t>
      </w:r>
      <w:r>
        <w:rPr>
          <w:rFonts w:asciiTheme="majorHAnsi" w:hAnsiTheme="majorHAnsi" w:cstheme="majorHAnsi"/>
          <w:sz w:val="16"/>
          <w:lang w:val="es-ES"/>
        </w:rPr>
        <w:t>o</w:t>
      </w:r>
      <w:r w:rsidRPr="002C27E0">
        <w:rPr>
          <w:rFonts w:asciiTheme="majorHAnsi" w:hAnsiTheme="majorHAnsi" w:cstheme="majorHAnsi"/>
          <w:sz w:val="16"/>
          <w:lang w:val="es-ES"/>
        </w:rPr>
        <w:t xml:space="preserve"> de P</w:t>
      </w:r>
      <w:r>
        <w:rPr>
          <w:rFonts w:asciiTheme="majorHAnsi" w:hAnsiTheme="majorHAnsi" w:cstheme="majorHAnsi"/>
          <w:sz w:val="16"/>
          <w:lang w:val="es-ES"/>
        </w:rPr>
        <w:t xml:space="preserve">araguay, Asunto L.M., párr. </w:t>
      </w:r>
      <w:r w:rsidRPr="002C27E0">
        <w:rPr>
          <w:rFonts w:asciiTheme="majorHAnsi" w:hAnsiTheme="majorHAnsi" w:cstheme="majorHAnsi"/>
          <w:sz w:val="16"/>
          <w:lang w:val="es-ES"/>
        </w:rPr>
        <w:t>14 y 16.</w:t>
      </w:r>
    </w:p>
  </w:footnote>
  <w:footnote w:id="11">
    <w:p w14:paraId="23FF28A3" w14:textId="77777777" w:rsidR="00460E91" w:rsidRPr="008D2A23" w:rsidRDefault="00460E91" w:rsidP="00460E91">
      <w:pPr>
        <w:pStyle w:val="FootnoteText"/>
        <w:jc w:val="both"/>
        <w:rPr>
          <w:rFonts w:asciiTheme="majorHAnsi" w:hAnsiTheme="majorHAnsi" w:cstheme="majorHAnsi"/>
          <w:lang w:val="es-ES"/>
        </w:rPr>
      </w:pPr>
      <w:r w:rsidRPr="00F87C68">
        <w:rPr>
          <w:rStyle w:val="FootnoteReference"/>
          <w:rFonts w:asciiTheme="majorHAnsi" w:hAnsiTheme="majorHAnsi" w:cstheme="majorHAnsi"/>
          <w:sz w:val="16"/>
        </w:rPr>
        <w:footnoteRef/>
      </w:r>
      <w:r w:rsidRPr="002C27E0">
        <w:rPr>
          <w:rFonts w:asciiTheme="majorHAnsi" w:hAnsiTheme="majorHAnsi" w:cstheme="majorHAnsi"/>
          <w:sz w:val="16"/>
          <w:lang w:val="es-ES"/>
        </w:rP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w:t>
      </w:r>
      <w:r w:rsidRPr="002C27E0">
        <w:rPr>
          <w:rFonts w:asciiTheme="majorHAnsi" w:hAnsiTheme="majorHAnsi" w:cstheme="majorHAnsi"/>
          <w:sz w:val="16"/>
          <w:lang w:val="es-ES"/>
        </w:rPr>
        <w:t xml:space="preserve"> 185 y 128;</w:t>
      </w:r>
      <w:r>
        <w:rPr>
          <w:rFonts w:asciiTheme="majorHAnsi" w:hAnsiTheme="majorHAnsi" w:cstheme="majorHAnsi"/>
          <w:sz w:val="16"/>
          <w:lang w:val="es-ES"/>
        </w:rPr>
        <w:t xml:space="preserve"> </w:t>
      </w:r>
      <w:r w:rsidRPr="002C27E0">
        <w:rPr>
          <w:rFonts w:asciiTheme="majorHAnsi" w:hAnsiTheme="majorHAnsi" w:cstheme="majorHAnsi"/>
          <w:sz w:val="16"/>
          <w:lang w:val="es-ES"/>
        </w:rPr>
        <w:t>Corte IDH, Resolución de la Corte Interamericana de Derechos Humanos de 1 de julio de 2011, Medidas provisionales respect</w:t>
      </w:r>
      <w:r>
        <w:rPr>
          <w:rFonts w:asciiTheme="majorHAnsi" w:hAnsiTheme="majorHAnsi" w:cstheme="majorHAnsi"/>
          <w:sz w:val="16"/>
          <w:lang w:val="es-ES"/>
        </w:rPr>
        <w:t>o</w:t>
      </w:r>
      <w:r w:rsidRPr="002C27E0">
        <w:rPr>
          <w:rFonts w:asciiTheme="majorHAnsi" w:hAnsiTheme="majorHAnsi" w:cstheme="majorHAnsi"/>
          <w:sz w:val="16"/>
          <w:lang w:val="es-ES"/>
        </w:rPr>
        <w:t xml:space="preserve"> de P</w:t>
      </w:r>
      <w:r>
        <w:rPr>
          <w:rFonts w:asciiTheme="majorHAnsi" w:hAnsiTheme="majorHAnsi" w:cstheme="majorHAnsi"/>
          <w:sz w:val="16"/>
          <w:lang w:val="es-ES"/>
        </w:rPr>
        <w:t xml:space="preserve">araguay, Asunto L.M., párr. </w:t>
      </w:r>
      <w:r w:rsidRPr="002C27E0">
        <w:rPr>
          <w:rFonts w:asciiTheme="majorHAnsi" w:hAnsiTheme="majorHAnsi" w:cstheme="majorHAnsi"/>
          <w:sz w:val="16"/>
          <w:lang w:val="es-ES"/>
        </w:rPr>
        <w:t xml:space="preserve">14; </w:t>
      </w:r>
      <w:r>
        <w:rPr>
          <w:rFonts w:asciiTheme="majorHAnsi" w:hAnsiTheme="majorHAnsi" w:cstheme="majorHAnsi"/>
          <w:sz w:val="16"/>
          <w:lang w:val="es-ES"/>
        </w:rPr>
        <w:t>Corte CIDH</w:t>
      </w:r>
      <w:r w:rsidRPr="002C27E0">
        <w:rPr>
          <w:rFonts w:asciiTheme="majorHAnsi" w:hAnsiTheme="majorHAnsi" w:cstheme="majorHAnsi"/>
          <w:sz w:val="16"/>
          <w:lang w:val="es-ES"/>
        </w:rPr>
        <w:t>, Condición jurídica y derechos humanos del niño. Opinión Consultiva OC-17/02 de 28 de agosto de 2002. Serie A No. 17; I</w:t>
      </w:r>
      <w:r w:rsidRPr="002C27E0">
        <w:rPr>
          <w:rFonts w:asciiTheme="majorHAnsi" w:hAnsiTheme="majorHAnsi" w:cstheme="majorHAnsi"/>
          <w:sz w:val="16"/>
          <w:szCs w:val="16"/>
          <w:lang w:val="es-ES"/>
        </w:rPr>
        <w:t xml:space="preserve"> CIDH, El derecho del niño y la niña a la familia, 2013, </w:t>
      </w:r>
      <w:r>
        <w:rPr>
          <w:rFonts w:asciiTheme="majorHAnsi" w:hAnsiTheme="majorHAnsi" w:cstheme="majorHAnsi"/>
          <w:sz w:val="16"/>
          <w:szCs w:val="16"/>
          <w:lang w:val="es-ES"/>
        </w:rPr>
        <w:t>párr</w:t>
      </w:r>
      <w:r w:rsidRPr="002C27E0">
        <w:rPr>
          <w:rFonts w:asciiTheme="majorHAnsi" w:hAnsiTheme="majorHAnsi" w:cstheme="majorHAnsi"/>
          <w:sz w:val="16"/>
          <w:lang w:val="es-ES"/>
        </w:rPr>
        <w:t xml:space="preserve">. </w:t>
      </w:r>
      <w:r w:rsidRPr="008D2A23">
        <w:rPr>
          <w:rFonts w:asciiTheme="majorHAnsi" w:hAnsiTheme="majorHAnsi" w:cstheme="majorHAnsi"/>
          <w:sz w:val="16"/>
          <w:lang w:val="es-ES"/>
        </w:rPr>
        <w:t>149.</w:t>
      </w:r>
    </w:p>
  </w:footnote>
  <w:footnote w:id="12">
    <w:p w14:paraId="0EC6B9A1" w14:textId="77777777" w:rsidR="00460E91" w:rsidRPr="008D2A23" w:rsidRDefault="00460E91" w:rsidP="00460E91">
      <w:pPr>
        <w:pStyle w:val="FootnoteText"/>
        <w:jc w:val="both"/>
        <w:rPr>
          <w:rFonts w:asciiTheme="majorHAnsi" w:hAnsiTheme="majorHAnsi" w:cstheme="majorHAnsi"/>
          <w:sz w:val="16"/>
          <w:szCs w:val="16"/>
          <w:lang w:val="es-ES"/>
        </w:rPr>
      </w:pPr>
      <w:r w:rsidRPr="00A942A9">
        <w:rPr>
          <w:rStyle w:val="FootnoteReference"/>
          <w:rFonts w:asciiTheme="majorHAnsi" w:hAnsiTheme="majorHAnsi" w:cstheme="majorHAnsi"/>
          <w:sz w:val="16"/>
          <w:szCs w:val="16"/>
        </w:rPr>
        <w:footnoteRef/>
      </w:r>
      <w:r>
        <w:rPr>
          <w:rFonts w:asciiTheme="majorHAnsi" w:hAnsiTheme="majorHAnsi" w:cstheme="majorHAnsi"/>
          <w:sz w:val="16"/>
          <w:lang w:val="es-ES"/>
        </w:rPr>
        <w:t xml:space="preserve">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w:t>
      </w:r>
      <w:r w:rsidRPr="002C27E0">
        <w:rPr>
          <w:rFonts w:asciiTheme="majorHAnsi" w:hAnsiTheme="majorHAnsi" w:cstheme="majorHAnsi"/>
          <w:sz w:val="16"/>
          <w:szCs w:val="16"/>
          <w:lang w:val="es-ES"/>
        </w:rPr>
        <w:t xml:space="preserve">. 143; </w:t>
      </w:r>
      <w:r w:rsidRPr="002C27E0">
        <w:rPr>
          <w:rFonts w:asciiTheme="majorHAnsi" w:hAnsiTheme="majorHAnsi" w:cstheme="majorHAnsi"/>
          <w:sz w:val="16"/>
          <w:lang w:val="es-ES"/>
        </w:rPr>
        <w:t>Corte IDH, Resolución de la Corte Interamericana de Derechos Humanos de 1 de julio de 2011, Medidas provisionales respect</w:t>
      </w:r>
      <w:r>
        <w:rPr>
          <w:rFonts w:asciiTheme="majorHAnsi" w:hAnsiTheme="majorHAnsi" w:cstheme="majorHAnsi"/>
          <w:sz w:val="16"/>
          <w:lang w:val="es-ES"/>
        </w:rPr>
        <w:t>o</w:t>
      </w:r>
      <w:r w:rsidRPr="002C27E0">
        <w:rPr>
          <w:rFonts w:asciiTheme="majorHAnsi" w:hAnsiTheme="majorHAnsi" w:cstheme="majorHAnsi"/>
          <w:sz w:val="16"/>
          <w:lang w:val="es-ES"/>
        </w:rPr>
        <w:t xml:space="preserve"> de P</w:t>
      </w:r>
      <w:r>
        <w:rPr>
          <w:rFonts w:asciiTheme="majorHAnsi" w:hAnsiTheme="majorHAnsi" w:cstheme="majorHAnsi"/>
          <w:sz w:val="16"/>
          <w:lang w:val="es-ES"/>
        </w:rPr>
        <w:t xml:space="preserve">araguay, Asunto L.M., párr. </w:t>
      </w:r>
      <w:r w:rsidRPr="002C27E0">
        <w:rPr>
          <w:rFonts w:asciiTheme="majorHAnsi" w:hAnsiTheme="majorHAnsi" w:cstheme="majorHAnsi"/>
          <w:sz w:val="16"/>
          <w:lang w:val="es-ES"/>
        </w:rPr>
        <w:t>14</w:t>
      </w:r>
      <w:r w:rsidRPr="002C27E0">
        <w:rPr>
          <w:rFonts w:asciiTheme="majorHAnsi" w:hAnsiTheme="majorHAnsi" w:cstheme="majorHAnsi"/>
          <w:sz w:val="16"/>
          <w:szCs w:val="16"/>
          <w:lang w:val="es-ES"/>
        </w:rPr>
        <w:t xml:space="preserve">; </w:t>
      </w:r>
      <w:r w:rsidRPr="005325AE">
        <w:rPr>
          <w:rFonts w:asciiTheme="majorHAnsi" w:hAnsiTheme="majorHAnsi" w:cstheme="majorHAnsi"/>
          <w:sz w:val="16"/>
          <w:szCs w:val="16"/>
          <w:lang w:val="es-ES"/>
        </w:rPr>
        <w:t xml:space="preserve">Corte IDH. Caso Fornerón e hija Vs. Argentina. Fondo, Reparaciones y Costas. Sentencia de 27 de abril de 2012. Serie C No. 242, párr. </w:t>
      </w:r>
      <w:r w:rsidRPr="008D2A23">
        <w:rPr>
          <w:rFonts w:asciiTheme="majorHAnsi" w:hAnsiTheme="majorHAnsi" w:cstheme="majorHAnsi"/>
          <w:sz w:val="16"/>
          <w:szCs w:val="16"/>
          <w:lang w:val="es-ES"/>
        </w:rPr>
        <w:t>121.</w:t>
      </w:r>
    </w:p>
  </w:footnote>
  <w:footnote w:id="13">
    <w:p w14:paraId="78CC02BE" w14:textId="77777777" w:rsidR="00460E91" w:rsidRPr="002C27E0" w:rsidRDefault="00460E91" w:rsidP="00460E91">
      <w:pPr>
        <w:pStyle w:val="FootnoteText"/>
        <w:rPr>
          <w:rFonts w:asciiTheme="majorHAnsi" w:hAnsiTheme="majorHAnsi" w:cstheme="majorHAnsi"/>
          <w:lang w:val="es-ES"/>
        </w:rPr>
      </w:pPr>
      <w:r w:rsidRPr="00A942A9">
        <w:rPr>
          <w:rStyle w:val="FootnoteReference"/>
          <w:rFonts w:asciiTheme="majorHAnsi" w:hAnsiTheme="majorHAnsi" w:cstheme="majorHAnsi"/>
          <w:sz w:val="16"/>
        </w:rPr>
        <w:footnoteRef/>
      </w:r>
      <w:r w:rsidRPr="0044370B">
        <w:rPr>
          <w:rFonts w:asciiTheme="majorHAnsi" w:hAnsiTheme="majorHAnsi" w:cstheme="majorHAnsi"/>
          <w:sz w:val="16"/>
          <w:lang w:val="es-ES"/>
        </w:rPr>
        <w:t xml:space="preserve"> Ver también: </w:t>
      </w:r>
      <w:r w:rsidRPr="002C27E0">
        <w:rPr>
          <w:rFonts w:asciiTheme="majorHAnsi" w:hAnsiTheme="majorHAnsi" w:cstheme="majorHAnsi"/>
          <w:sz w:val="16"/>
          <w:lang w:val="es-ES"/>
        </w:rPr>
        <w:t>Corte IDH, Resolución de la Corte Interamericana de Derechos Humanos de 1 de julio de 2011, Medidas provisionales respect</w:t>
      </w:r>
      <w:r>
        <w:rPr>
          <w:rFonts w:asciiTheme="majorHAnsi" w:hAnsiTheme="majorHAnsi" w:cstheme="majorHAnsi"/>
          <w:sz w:val="16"/>
          <w:lang w:val="es-ES"/>
        </w:rPr>
        <w:t>o</w:t>
      </w:r>
      <w:r w:rsidRPr="002C27E0">
        <w:rPr>
          <w:rFonts w:asciiTheme="majorHAnsi" w:hAnsiTheme="majorHAnsi" w:cstheme="majorHAnsi"/>
          <w:sz w:val="16"/>
          <w:lang w:val="es-ES"/>
        </w:rPr>
        <w:t xml:space="preserve"> de P</w:t>
      </w:r>
      <w:r>
        <w:rPr>
          <w:rFonts w:asciiTheme="majorHAnsi" w:hAnsiTheme="majorHAnsi" w:cstheme="majorHAnsi"/>
          <w:sz w:val="16"/>
          <w:lang w:val="es-ES"/>
        </w:rPr>
        <w:t>araguay, Asunto L.M., párr</w:t>
      </w:r>
      <w:r w:rsidRPr="0044370B">
        <w:rPr>
          <w:rFonts w:asciiTheme="majorHAnsi" w:hAnsiTheme="majorHAnsi" w:cstheme="majorHAnsi"/>
          <w:sz w:val="16"/>
          <w:lang w:val="es-ES"/>
        </w:rPr>
        <w:t xml:space="preserve">. </w:t>
      </w:r>
      <w:r w:rsidRPr="002C27E0">
        <w:rPr>
          <w:rFonts w:asciiTheme="majorHAnsi" w:hAnsiTheme="majorHAnsi" w:cstheme="majorHAnsi"/>
          <w:sz w:val="16"/>
          <w:lang w:val="es-ES"/>
        </w:rPr>
        <w:t xml:space="preserve">17; </w:t>
      </w:r>
      <w:r w:rsidRPr="002C27E0">
        <w:rPr>
          <w:rFonts w:asciiTheme="majorHAnsi" w:hAnsiTheme="majorHAnsi" w:cstheme="majorHAnsi"/>
          <w:sz w:val="16"/>
          <w:szCs w:val="16"/>
          <w:lang w:val="es-ES"/>
        </w:rPr>
        <w:t xml:space="preserve">CIDH, El derecho del niño y la niña a la familia, 2013, </w:t>
      </w:r>
      <w:r>
        <w:rPr>
          <w:rFonts w:asciiTheme="majorHAnsi" w:hAnsiTheme="majorHAnsi" w:cstheme="majorHAnsi"/>
          <w:sz w:val="16"/>
          <w:szCs w:val="16"/>
          <w:lang w:val="es-ES"/>
        </w:rPr>
        <w:t>párr</w:t>
      </w:r>
      <w:r w:rsidRPr="002C27E0">
        <w:rPr>
          <w:rFonts w:asciiTheme="majorHAnsi" w:hAnsiTheme="majorHAnsi" w:cstheme="majorHAnsi"/>
          <w:sz w:val="16"/>
          <w:lang w:val="es-ES"/>
        </w:rPr>
        <w:t>. 172.</w:t>
      </w:r>
    </w:p>
  </w:footnote>
  <w:footnote w:id="14">
    <w:p w14:paraId="45922823" w14:textId="77777777" w:rsidR="00460E91" w:rsidRPr="008D2A23" w:rsidRDefault="00460E91" w:rsidP="00460E91">
      <w:pPr>
        <w:pStyle w:val="FootnoteText"/>
        <w:jc w:val="both"/>
        <w:rPr>
          <w:rFonts w:asciiTheme="majorHAnsi" w:hAnsiTheme="majorHAnsi" w:cstheme="majorHAnsi"/>
          <w:sz w:val="16"/>
          <w:szCs w:val="16"/>
          <w:lang w:val="es-ES"/>
        </w:rPr>
      </w:pPr>
      <w:r w:rsidRPr="002C27E0">
        <w:rPr>
          <w:rStyle w:val="FootnoteReference"/>
          <w:rFonts w:asciiTheme="majorHAnsi" w:hAnsiTheme="majorHAnsi" w:cstheme="majorHAnsi"/>
          <w:sz w:val="16"/>
          <w:szCs w:val="16"/>
          <w:lang w:val="es-ES"/>
        </w:rPr>
        <w:footnoteRef/>
      </w:r>
      <w:r w:rsidRPr="002C27E0">
        <w:rPr>
          <w:rFonts w:asciiTheme="majorHAnsi" w:hAnsiTheme="majorHAnsi" w:cstheme="majorHAnsi"/>
          <w:sz w:val="16"/>
          <w:szCs w:val="16"/>
          <w:lang w:val="es-ES"/>
        </w:rPr>
        <w:t xml:space="preserve"> “La revisión periódica de la medida temporal de protección tiene como finalidad determinar si la medida cumple con su objetivo, y por tanto, si responde al interés superior del niño. Adicionalmente, la supervisión periódica debe contribuir a que la aplicación de la medida permita la pronta reintegración del niño a su familia, siempre que fuera acorde con su interés superior.”; y también: “[l]a revisión debe fundamentarse en las evaluaciones técnicas presentadas por los equipos multidisciplinarios, y la motivación debe ser objetiva, idónea y suficiente, y basarse en el interés superior del niño. Además debe escucharse la opinión del niño y la de sus progenitores, familia, y otras personas relevantes en la vida del niño, al decidir las condiciones de aplicación, mantenimiento, modificación o cese de la medida de protección.” (CIDH, El derecho del niño y la niña a la familia, 2013, párr. 145 y 244 respectivamente). Ver también párr. 173, 196, 243-246. </w:t>
      </w:r>
    </w:p>
  </w:footnote>
  <w:footnote w:id="15">
    <w:p w14:paraId="131A9CF6" w14:textId="77777777" w:rsidR="00460E91" w:rsidRPr="0044370B" w:rsidRDefault="00460E91" w:rsidP="00460E91">
      <w:pPr>
        <w:pStyle w:val="FootnoteText"/>
        <w:jc w:val="both"/>
        <w:rPr>
          <w:rFonts w:asciiTheme="majorHAnsi" w:hAnsiTheme="majorHAnsi" w:cstheme="majorHAnsi"/>
          <w:sz w:val="16"/>
          <w:lang w:val="es-ES"/>
        </w:rPr>
      </w:pPr>
      <w:r w:rsidRPr="00876907">
        <w:rPr>
          <w:rStyle w:val="FootnoteReference"/>
          <w:rFonts w:asciiTheme="majorHAnsi" w:hAnsiTheme="majorHAnsi" w:cstheme="majorHAnsi"/>
          <w:sz w:val="16"/>
        </w:rPr>
        <w:footnoteRef/>
      </w:r>
      <w:r w:rsidRPr="0044370B">
        <w:rPr>
          <w:rFonts w:asciiTheme="majorHAnsi" w:hAnsiTheme="majorHAnsi" w:cstheme="majorHAnsi"/>
          <w:sz w:val="16"/>
          <w:lang w:val="es-ES"/>
        </w:rPr>
        <w:t xml:space="preserve"> Ver también: CIDH, G.Y.G.R. respect</w:t>
      </w:r>
      <w:r>
        <w:rPr>
          <w:rFonts w:asciiTheme="majorHAnsi" w:hAnsiTheme="majorHAnsi" w:cstheme="majorHAnsi"/>
          <w:sz w:val="16"/>
          <w:lang w:val="es-ES"/>
        </w:rPr>
        <w:t>o</w:t>
      </w:r>
      <w:r w:rsidRPr="0044370B">
        <w:rPr>
          <w:rFonts w:asciiTheme="majorHAnsi" w:hAnsiTheme="majorHAnsi" w:cstheme="majorHAnsi"/>
          <w:sz w:val="16"/>
          <w:lang w:val="es-ES"/>
        </w:rPr>
        <w:t xml:space="preserve"> de México (MC 364-17), </w:t>
      </w:r>
      <w:r>
        <w:rPr>
          <w:rFonts w:asciiTheme="majorHAnsi" w:hAnsiTheme="majorHAnsi" w:cstheme="majorHAnsi"/>
          <w:sz w:val="16"/>
          <w:lang w:val="es-ES"/>
        </w:rPr>
        <w:t>Resolución</w:t>
      </w:r>
      <w:r w:rsidRPr="0044370B">
        <w:rPr>
          <w:rFonts w:asciiTheme="majorHAnsi" w:hAnsiTheme="majorHAnsi" w:cstheme="majorHAnsi"/>
          <w:sz w:val="16"/>
          <w:lang w:val="es-ES"/>
        </w:rPr>
        <w:t xml:space="preserve"> 38/2019, </w:t>
      </w:r>
      <w:r>
        <w:rPr>
          <w:rFonts w:asciiTheme="majorHAnsi" w:hAnsiTheme="majorHAnsi" w:cstheme="majorHAnsi"/>
          <w:sz w:val="16"/>
          <w:lang w:val="es-ES"/>
        </w:rPr>
        <w:t>29 de julio de 2019</w:t>
      </w:r>
      <w:r w:rsidRPr="0044370B">
        <w:rPr>
          <w:rFonts w:asciiTheme="majorHAnsi" w:hAnsiTheme="majorHAnsi" w:cstheme="majorHAnsi"/>
          <w:sz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6294" w14:textId="377B8688" w:rsidR="001D3FB7" w:rsidRPr="00436700" w:rsidRDefault="001D3FB7" w:rsidP="001D3FB7">
    <w:pPr>
      <w:tabs>
        <w:tab w:val="left" w:pos="4040"/>
        <w:tab w:val="left" w:pos="4333"/>
        <w:tab w:val="center" w:pos="4680"/>
        <w:tab w:val="right" w:pos="9360"/>
      </w:tabs>
      <w:rPr>
        <w:rFonts w:eastAsia="Calibri"/>
        <w:lang w:val="en-US"/>
      </w:rPr>
    </w:pPr>
    <w:r>
      <w:rPr>
        <w:rFonts w:eastAsia="Calibri"/>
        <w:noProof/>
        <w:lang w:val="es-US" w:eastAsia="es-US"/>
      </w:rPr>
      <w:drawing>
        <wp:anchor distT="0" distB="0" distL="114300" distR="114300" simplePos="0" relativeHeight="251658240" behindDoc="0" locked="0" layoutInCell="1" allowOverlap="1" wp14:anchorId="46942931" wp14:editId="3DF21306">
          <wp:simplePos x="0" y="0"/>
          <wp:positionH relativeFrom="column">
            <wp:posOffset>3601085</wp:posOffset>
          </wp:positionH>
          <wp:positionV relativeFrom="paragraph">
            <wp:posOffset>0</wp:posOffset>
          </wp:positionV>
          <wp:extent cx="2106930" cy="540385"/>
          <wp:effectExtent l="0" t="0" r="7620" b="0"/>
          <wp:wrapSquare wrapText="bothSides"/>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lang w:val="es-US" w:eastAsia="es-US"/>
      </w:rPr>
      <w:drawing>
        <wp:inline distT="0" distB="0" distL="0" distR="0" wp14:anchorId="020B2921" wp14:editId="01357B8F">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p>
  <w:p w14:paraId="0859833A" w14:textId="3608473B" w:rsidR="00193139" w:rsidRDefault="00193139" w:rsidP="001D3FB7">
    <w:pPr>
      <w:pBdr>
        <w:bottom w:val="single" w:sz="6" w:space="1" w:color="auto"/>
      </w:pBdr>
      <w:tabs>
        <w:tab w:val="center" w:pos="4680"/>
        <w:tab w:val="right" w:pos="9360"/>
      </w:tabs>
    </w:pPr>
  </w:p>
  <w:p w14:paraId="76A176CD" w14:textId="77777777" w:rsidR="00AA7DD8" w:rsidRPr="00436700" w:rsidRDefault="00AA7DD8" w:rsidP="001D3FB7">
    <w:pPr>
      <w:pBdr>
        <w:bottom w:val="single" w:sz="6" w:space="1" w:color="auto"/>
      </w:pBdr>
      <w:tabs>
        <w:tab w:val="center" w:pos="4680"/>
        <w:tab w:val="right" w:pos="9360"/>
      </w:tabs>
    </w:pPr>
  </w:p>
  <w:p w14:paraId="193E31DA" w14:textId="698D72E6" w:rsidR="001D3FB7" w:rsidRPr="00E24662" w:rsidRDefault="001D3FB7" w:rsidP="001D3FB7">
    <w:pPr>
      <w:tabs>
        <w:tab w:val="left" w:pos="4040"/>
        <w:tab w:val="left" w:pos="4333"/>
        <w:tab w:val="center" w:pos="4680"/>
        <w:tab w:val="right" w:pos="9360"/>
      </w:tabs>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E3"/>
    <w:multiLevelType w:val="hybridMultilevel"/>
    <w:tmpl w:val="AE848C4C"/>
    <w:lvl w:ilvl="0" w:tplc="EABCCE54">
      <w:start w:val="23"/>
      <w:numFmt w:val="decimal"/>
      <w:lvlText w:val="%1."/>
      <w:lvlJc w:val="center"/>
      <w:pPr>
        <w:ind w:left="180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176B1B"/>
    <w:multiLevelType w:val="hybridMultilevel"/>
    <w:tmpl w:val="8FA2A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6CF"/>
    <w:multiLevelType w:val="hybridMultilevel"/>
    <w:tmpl w:val="044C5B42"/>
    <w:lvl w:ilvl="0" w:tplc="0D249076">
      <w:start w:val="1"/>
      <w:numFmt w:val="decimal"/>
      <w:lvlText w:val="%1."/>
      <w:lvlJc w:val="center"/>
      <w:pPr>
        <w:ind w:left="720" w:hanging="360"/>
      </w:pPr>
      <w:rPr>
        <w:rFonts w:ascii="Cambria" w:hAnsi="Cambria" w:hint="default"/>
        <w:b w:val="0"/>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53CD9"/>
    <w:multiLevelType w:val="hybridMultilevel"/>
    <w:tmpl w:val="2842B1EE"/>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70BE6FA9"/>
    <w:multiLevelType w:val="hybridMultilevel"/>
    <w:tmpl w:val="A6325E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pt-BR" w:vendorID="64" w:dllVersion="131078" w:nlCheck="1" w:checkStyle="0"/>
  <w:activeWritingStyle w:appName="MSWord" w:lang="es-PE"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A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8"/>
    <w:rsid w:val="000006EA"/>
    <w:rsid w:val="00001040"/>
    <w:rsid w:val="00002E09"/>
    <w:rsid w:val="00010C3B"/>
    <w:rsid w:val="000129C4"/>
    <w:rsid w:val="00013500"/>
    <w:rsid w:val="000150FE"/>
    <w:rsid w:val="0001730C"/>
    <w:rsid w:val="00017766"/>
    <w:rsid w:val="00021047"/>
    <w:rsid w:val="00022211"/>
    <w:rsid w:val="000229D6"/>
    <w:rsid w:val="00022D10"/>
    <w:rsid w:val="00023F57"/>
    <w:rsid w:val="00031BC3"/>
    <w:rsid w:val="00033CD0"/>
    <w:rsid w:val="00042BF3"/>
    <w:rsid w:val="00043340"/>
    <w:rsid w:val="00045CB5"/>
    <w:rsid w:val="0004673D"/>
    <w:rsid w:val="00047B94"/>
    <w:rsid w:val="00047CC5"/>
    <w:rsid w:val="00051043"/>
    <w:rsid w:val="00054EE4"/>
    <w:rsid w:val="00063034"/>
    <w:rsid w:val="00066159"/>
    <w:rsid w:val="000729B4"/>
    <w:rsid w:val="00073E13"/>
    <w:rsid w:val="000840BC"/>
    <w:rsid w:val="00085811"/>
    <w:rsid w:val="00087587"/>
    <w:rsid w:val="00090DE1"/>
    <w:rsid w:val="00090F4E"/>
    <w:rsid w:val="000A05DA"/>
    <w:rsid w:val="000A3E22"/>
    <w:rsid w:val="000A5646"/>
    <w:rsid w:val="000A6595"/>
    <w:rsid w:val="000A7BF5"/>
    <w:rsid w:val="000B4B9E"/>
    <w:rsid w:val="000B769B"/>
    <w:rsid w:val="000D2A9D"/>
    <w:rsid w:val="000D2F14"/>
    <w:rsid w:val="000D4723"/>
    <w:rsid w:val="000D6F31"/>
    <w:rsid w:val="000E1B5B"/>
    <w:rsid w:val="000E267A"/>
    <w:rsid w:val="000E5753"/>
    <w:rsid w:val="000F023F"/>
    <w:rsid w:val="000F1258"/>
    <w:rsid w:val="000F2C1D"/>
    <w:rsid w:val="000F3133"/>
    <w:rsid w:val="000F3BA2"/>
    <w:rsid w:val="000F5331"/>
    <w:rsid w:val="00101D3D"/>
    <w:rsid w:val="001021A0"/>
    <w:rsid w:val="001110FF"/>
    <w:rsid w:val="00112E64"/>
    <w:rsid w:val="001154FD"/>
    <w:rsid w:val="001210CE"/>
    <w:rsid w:val="0012375D"/>
    <w:rsid w:val="00124839"/>
    <w:rsid w:val="00126DCA"/>
    <w:rsid w:val="0013539F"/>
    <w:rsid w:val="001362B5"/>
    <w:rsid w:val="00136591"/>
    <w:rsid w:val="00144531"/>
    <w:rsid w:val="00150C18"/>
    <w:rsid w:val="001535AB"/>
    <w:rsid w:val="001541C8"/>
    <w:rsid w:val="0015630E"/>
    <w:rsid w:val="00156337"/>
    <w:rsid w:val="00160990"/>
    <w:rsid w:val="0016156B"/>
    <w:rsid w:val="00162CAB"/>
    <w:rsid w:val="00163639"/>
    <w:rsid w:val="001646CC"/>
    <w:rsid w:val="00170208"/>
    <w:rsid w:val="00170463"/>
    <w:rsid w:val="00176DD0"/>
    <w:rsid w:val="0017719A"/>
    <w:rsid w:val="00184F9E"/>
    <w:rsid w:val="00185AFA"/>
    <w:rsid w:val="001922A0"/>
    <w:rsid w:val="00193139"/>
    <w:rsid w:val="0019410E"/>
    <w:rsid w:val="00196450"/>
    <w:rsid w:val="001A4AFE"/>
    <w:rsid w:val="001B3DC0"/>
    <w:rsid w:val="001B3F13"/>
    <w:rsid w:val="001C0F29"/>
    <w:rsid w:val="001C1DFE"/>
    <w:rsid w:val="001C3E64"/>
    <w:rsid w:val="001C4054"/>
    <w:rsid w:val="001C4CC0"/>
    <w:rsid w:val="001C600C"/>
    <w:rsid w:val="001C633E"/>
    <w:rsid w:val="001D3FB7"/>
    <w:rsid w:val="001D6029"/>
    <w:rsid w:val="001E24C0"/>
    <w:rsid w:val="001F065D"/>
    <w:rsid w:val="001F1B1A"/>
    <w:rsid w:val="001F5450"/>
    <w:rsid w:val="0020088B"/>
    <w:rsid w:val="00204C78"/>
    <w:rsid w:val="002104DD"/>
    <w:rsid w:val="00211EB1"/>
    <w:rsid w:val="00212A2C"/>
    <w:rsid w:val="00217727"/>
    <w:rsid w:val="00220058"/>
    <w:rsid w:val="0022206F"/>
    <w:rsid w:val="00223329"/>
    <w:rsid w:val="00227A7B"/>
    <w:rsid w:val="00231017"/>
    <w:rsid w:val="00235D4E"/>
    <w:rsid w:val="0023601E"/>
    <w:rsid w:val="00236A3F"/>
    <w:rsid w:val="00236FBC"/>
    <w:rsid w:val="002428D1"/>
    <w:rsid w:val="00245C10"/>
    <w:rsid w:val="00247169"/>
    <w:rsid w:val="00250ADD"/>
    <w:rsid w:val="0025100A"/>
    <w:rsid w:val="00251263"/>
    <w:rsid w:val="00256A7A"/>
    <w:rsid w:val="002610E0"/>
    <w:rsid w:val="002613CE"/>
    <w:rsid w:val="00262149"/>
    <w:rsid w:val="00262200"/>
    <w:rsid w:val="00264E96"/>
    <w:rsid w:val="002660E9"/>
    <w:rsid w:val="00270D1B"/>
    <w:rsid w:val="00271353"/>
    <w:rsid w:val="00273818"/>
    <w:rsid w:val="00274BAE"/>
    <w:rsid w:val="002758EB"/>
    <w:rsid w:val="00277300"/>
    <w:rsid w:val="002826F3"/>
    <w:rsid w:val="002851A3"/>
    <w:rsid w:val="002915BE"/>
    <w:rsid w:val="00294BB9"/>
    <w:rsid w:val="002963B2"/>
    <w:rsid w:val="00296626"/>
    <w:rsid w:val="00296D0A"/>
    <w:rsid w:val="002B4FB5"/>
    <w:rsid w:val="002B75DA"/>
    <w:rsid w:val="002C27E0"/>
    <w:rsid w:val="002C7A90"/>
    <w:rsid w:val="002D0EF2"/>
    <w:rsid w:val="002D244E"/>
    <w:rsid w:val="002D30B5"/>
    <w:rsid w:val="002D79DB"/>
    <w:rsid w:val="002E3E6F"/>
    <w:rsid w:val="002E7435"/>
    <w:rsid w:val="002E79E1"/>
    <w:rsid w:val="002F1096"/>
    <w:rsid w:val="002F4982"/>
    <w:rsid w:val="00300761"/>
    <w:rsid w:val="003007EC"/>
    <w:rsid w:val="003041E8"/>
    <w:rsid w:val="00304236"/>
    <w:rsid w:val="00305CA1"/>
    <w:rsid w:val="003077D6"/>
    <w:rsid w:val="00310C64"/>
    <w:rsid w:val="00311FE1"/>
    <w:rsid w:val="003123C5"/>
    <w:rsid w:val="00312AF1"/>
    <w:rsid w:val="00315040"/>
    <w:rsid w:val="003231E5"/>
    <w:rsid w:val="00324769"/>
    <w:rsid w:val="003254C9"/>
    <w:rsid w:val="003322DA"/>
    <w:rsid w:val="00341860"/>
    <w:rsid w:val="00342018"/>
    <w:rsid w:val="00344D8D"/>
    <w:rsid w:val="00344DF3"/>
    <w:rsid w:val="00345B01"/>
    <w:rsid w:val="00345D31"/>
    <w:rsid w:val="00346D17"/>
    <w:rsid w:val="00346DD7"/>
    <w:rsid w:val="0035045A"/>
    <w:rsid w:val="00350C4C"/>
    <w:rsid w:val="00351DA5"/>
    <w:rsid w:val="0035371F"/>
    <w:rsid w:val="00354995"/>
    <w:rsid w:val="003551B9"/>
    <w:rsid w:val="00356156"/>
    <w:rsid w:val="00357640"/>
    <w:rsid w:val="00366A45"/>
    <w:rsid w:val="00376FBD"/>
    <w:rsid w:val="00383DC6"/>
    <w:rsid w:val="00387014"/>
    <w:rsid w:val="00391E84"/>
    <w:rsid w:val="003B6A85"/>
    <w:rsid w:val="003C063E"/>
    <w:rsid w:val="003C1065"/>
    <w:rsid w:val="003C167D"/>
    <w:rsid w:val="003C1B22"/>
    <w:rsid w:val="003C2761"/>
    <w:rsid w:val="003C38A7"/>
    <w:rsid w:val="003D3BE3"/>
    <w:rsid w:val="003D4925"/>
    <w:rsid w:val="003E01EE"/>
    <w:rsid w:val="003F37A6"/>
    <w:rsid w:val="0040042B"/>
    <w:rsid w:val="0040251E"/>
    <w:rsid w:val="004122F6"/>
    <w:rsid w:val="0041683A"/>
    <w:rsid w:val="00417E42"/>
    <w:rsid w:val="00421F38"/>
    <w:rsid w:val="00425729"/>
    <w:rsid w:val="004259BE"/>
    <w:rsid w:val="0042724A"/>
    <w:rsid w:val="004303CB"/>
    <w:rsid w:val="00436EF5"/>
    <w:rsid w:val="004403F9"/>
    <w:rsid w:val="004404E2"/>
    <w:rsid w:val="0044370B"/>
    <w:rsid w:val="00444A1B"/>
    <w:rsid w:val="00446806"/>
    <w:rsid w:val="0044685F"/>
    <w:rsid w:val="00446C76"/>
    <w:rsid w:val="0045118A"/>
    <w:rsid w:val="0045608D"/>
    <w:rsid w:val="0045756D"/>
    <w:rsid w:val="004576F1"/>
    <w:rsid w:val="00460E91"/>
    <w:rsid w:val="00461399"/>
    <w:rsid w:val="00461B86"/>
    <w:rsid w:val="00462032"/>
    <w:rsid w:val="004706C2"/>
    <w:rsid w:val="0047122F"/>
    <w:rsid w:val="00473B78"/>
    <w:rsid w:val="00475EFB"/>
    <w:rsid w:val="004847EF"/>
    <w:rsid w:val="00485D51"/>
    <w:rsid w:val="00487145"/>
    <w:rsid w:val="00492211"/>
    <w:rsid w:val="004960A3"/>
    <w:rsid w:val="004A2168"/>
    <w:rsid w:val="004B1F23"/>
    <w:rsid w:val="004B2698"/>
    <w:rsid w:val="004B7E0F"/>
    <w:rsid w:val="004C50E2"/>
    <w:rsid w:val="004D2CAF"/>
    <w:rsid w:val="004E0422"/>
    <w:rsid w:val="004E13BB"/>
    <w:rsid w:val="004E2A8C"/>
    <w:rsid w:val="004E31A5"/>
    <w:rsid w:val="004E3721"/>
    <w:rsid w:val="004E48E6"/>
    <w:rsid w:val="004F1850"/>
    <w:rsid w:val="004F3E19"/>
    <w:rsid w:val="004F62D8"/>
    <w:rsid w:val="004F6C58"/>
    <w:rsid w:val="00500642"/>
    <w:rsid w:val="005016B2"/>
    <w:rsid w:val="00520151"/>
    <w:rsid w:val="005213CC"/>
    <w:rsid w:val="00522F4D"/>
    <w:rsid w:val="00525326"/>
    <w:rsid w:val="00526A5E"/>
    <w:rsid w:val="00532303"/>
    <w:rsid w:val="005325AE"/>
    <w:rsid w:val="00533280"/>
    <w:rsid w:val="00534CEA"/>
    <w:rsid w:val="005419F9"/>
    <w:rsid w:val="0054749C"/>
    <w:rsid w:val="005505FD"/>
    <w:rsid w:val="005533EB"/>
    <w:rsid w:val="005619F5"/>
    <w:rsid w:val="00563197"/>
    <w:rsid w:val="00564E36"/>
    <w:rsid w:val="0057187C"/>
    <w:rsid w:val="00572DD6"/>
    <w:rsid w:val="00574F64"/>
    <w:rsid w:val="0057514D"/>
    <w:rsid w:val="00580007"/>
    <w:rsid w:val="00584DCD"/>
    <w:rsid w:val="005863B8"/>
    <w:rsid w:val="005909A6"/>
    <w:rsid w:val="0059487C"/>
    <w:rsid w:val="005A39F7"/>
    <w:rsid w:val="005B1112"/>
    <w:rsid w:val="005B1B94"/>
    <w:rsid w:val="005B42EF"/>
    <w:rsid w:val="005B6FB3"/>
    <w:rsid w:val="005C1BB5"/>
    <w:rsid w:val="005C3205"/>
    <w:rsid w:val="005C4288"/>
    <w:rsid w:val="005C4640"/>
    <w:rsid w:val="005C57EA"/>
    <w:rsid w:val="005C5A79"/>
    <w:rsid w:val="005D0B54"/>
    <w:rsid w:val="005D3BDC"/>
    <w:rsid w:val="005D531F"/>
    <w:rsid w:val="005E2D0A"/>
    <w:rsid w:val="005E3ADC"/>
    <w:rsid w:val="005E3F4B"/>
    <w:rsid w:val="005F0C04"/>
    <w:rsid w:val="005F1D67"/>
    <w:rsid w:val="005F2A5C"/>
    <w:rsid w:val="005F3EC6"/>
    <w:rsid w:val="005F60D4"/>
    <w:rsid w:val="00601233"/>
    <w:rsid w:val="006022B4"/>
    <w:rsid w:val="0060302E"/>
    <w:rsid w:val="0060315E"/>
    <w:rsid w:val="00603734"/>
    <w:rsid w:val="0060732E"/>
    <w:rsid w:val="00611377"/>
    <w:rsid w:val="006118B0"/>
    <w:rsid w:val="00612731"/>
    <w:rsid w:val="0061664F"/>
    <w:rsid w:val="00616953"/>
    <w:rsid w:val="00620194"/>
    <w:rsid w:val="00623868"/>
    <w:rsid w:val="0062611E"/>
    <w:rsid w:val="00630A2C"/>
    <w:rsid w:val="006336BB"/>
    <w:rsid w:val="00644466"/>
    <w:rsid w:val="006444B3"/>
    <w:rsid w:val="00645718"/>
    <w:rsid w:val="00646DB7"/>
    <w:rsid w:val="006477EA"/>
    <w:rsid w:val="00650D6F"/>
    <w:rsid w:val="006519BD"/>
    <w:rsid w:val="006556CB"/>
    <w:rsid w:val="00655AE4"/>
    <w:rsid w:val="00655D72"/>
    <w:rsid w:val="006635A7"/>
    <w:rsid w:val="00671F68"/>
    <w:rsid w:val="006755B8"/>
    <w:rsid w:val="00681BE7"/>
    <w:rsid w:val="00684E71"/>
    <w:rsid w:val="00695218"/>
    <w:rsid w:val="00695995"/>
    <w:rsid w:val="00697304"/>
    <w:rsid w:val="006A0D57"/>
    <w:rsid w:val="006A36BF"/>
    <w:rsid w:val="006B4FEE"/>
    <w:rsid w:val="006C1CF3"/>
    <w:rsid w:val="006C2382"/>
    <w:rsid w:val="006C4403"/>
    <w:rsid w:val="006D309A"/>
    <w:rsid w:val="006D536B"/>
    <w:rsid w:val="006D5612"/>
    <w:rsid w:val="006E651D"/>
    <w:rsid w:val="006F2A9D"/>
    <w:rsid w:val="006F3C23"/>
    <w:rsid w:val="006F4A8C"/>
    <w:rsid w:val="00701239"/>
    <w:rsid w:val="00703216"/>
    <w:rsid w:val="00703BFD"/>
    <w:rsid w:val="00716004"/>
    <w:rsid w:val="007263EF"/>
    <w:rsid w:val="00726897"/>
    <w:rsid w:val="00730719"/>
    <w:rsid w:val="00732727"/>
    <w:rsid w:val="007361BF"/>
    <w:rsid w:val="00742F92"/>
    <w:rsid w:val="00743E53"/>
    <w:rsid w:val="00744D97"/>
    <w:rsid w:val="00745EA6"/>
    <w:rsid w:val="00747DC1"/>
    <w:rsid w:val="0075377F"/>
    <w:rsid w:val="007609D5"/>
    <w:rsid w:val="00760B06"/>
    <w:rsid w:val="0076317B"/>
    <w:rsid w:val="007644E8"/>
    <w:rsid w:val="007660D9"/>
    <w:rsid w:val="00775243"/>
    <w:rsid w:val="00797971"/>
    <w:rsid w:val="007A0F1E"/>
    <w:rsid w:val="007A15C1"/>
    <w:rsid w:val="007A3C0F"/>
    <w:rsid w:val="007A6905"/>
    <w:rsid w:val="007B4685"/>
    <w:rsid w:val="007C0D0D"/>
    <w:rsid w:val="007C0F03"/>
    <w:rsid w:val="007C2AF2"/>
    <w:rsid w:val="007C61DC"/>
    <w:rsid w:val="007D07D4"/>
    <w:rsid w:val="007D5ECD"/>
    <w:rsid w:val="007E17F5"/>
    <w:rsid w:val="0080086C"/>
    <w:rsid w:val="00801CC9"/>
    <w:rsid w:val="00810AA0"/>
    <w:rsid w:val="00811E4A"/>
    <w:rsid w:val="00814BC1"/>
    <w:rsid w:val="00820873"/>
    <w:rsid w:val="00822180"/>
    <w:rsid w:val="00822526"/>
    <w:rsid w:val="00830FCC"/>
    <w:rsid w:val="00833A58"/>
    <w:rsid w:val="008537BF"/>
    <w:rsid w:val="0086105D"/>
    <w:rsid w:val="00867192"/>
    <w:rsid w:val="008718E9"/>
    <w:rsid w:val="00871C29"/>
    <w:rsid w:val="00872E11"/>
    <w:rsid w:val="00876907"/>
    <w:rsid w:val="008771C5"/>
    <w:rsid w:val="008900A1"/>
    <w:rsid w:val="00893756"/>
    <w:rsid w:val="00894999"/>
    <w:rsid w:val="00894FE8"/>
    <w:rsid w:val="008970C1"/>
    <w:rsid w:val="008A777C"/>
    <w:rsid w:val="008B19D7"/>
    <w:rsid w:val="008B2EDF"/>
    <w:rsid w:val="008B64AB"/>
    <w:rsid w:val="008B6F0E"/>
    <w:rsid w:val="008B7073"/>
    <w:rsid w:val="008C1A90"/>
    <w:rsid w:val="008D2A23"/>
    <w:rsid w:val="008D55B3"/>
    <w:rsid w:val="008E0534"/>
    <w:rsid w:val="0090036B"/>
    <w:rsid w:val="00903933"/>
    <w:rsid w:val="0090577A"/>
    <w:rsid w:val="00915BFA"/>
    <w:rsid w:val="009217DF"/>
    <w:rsid w:val="0092388D"/>
    <w:rsid w:val="009271F4"/>
    <w:rsid w:val="00932D23"/>
    <w:rsid w:val="00940E7A"/>
    <w:rsid w:val="0094572E"/>
    <w:rsid w:val="009527AF"/>
    <w:rsid w:val="0096386F"/>
    <w:rsid w:val="00974350"/>
    <w:rsid w:val="009755EE"/>
    <w:rsid w:val="00975715"/>
    <w:rsid w:val="00975FF7"/>
    <w:rsid w:val="0097654F"/>
    <w:rsid w:val="00980457"/>
    <w:rsid w:val="00985414"/>
    <w:rsid w:val="009938B7"/>
    <w:rsid w:val="009A198E"/>
    <w:rsid w:val="009A465F"/>
    <w:rsid w:val="009A6AE7"/>
    <w:rsid w:val="009B2BCC"/>
    <w:rsid w:val="009B35FF"/>
    <w:rsid w:val="009C48EF"/>
    <w:rsid w:val="009C4C82"/>
    <w:rsid w:val="009C6413"/>
    <w:rsid w:val="009D1C9B"/>
    <w:rsid w:val="009D2E27"/>
    <w:rsid w:val="009D6B3C"/>
    <w:rsid w:val="009E00B5"/>
    <w:rsid w:val="009E3C34"/>
    <w:rsid w:val="009E5734"/>
    <w:rsid w:val="009E586D"/>
    <w:rsid w:val="009F131E"/>
    <w:rsid w:val="00A01600"/>
    <w:rsid w:val="00A01CE6"/>
    <w:rsid w:val="00A0475E"/>
    <w:rsid w:val="00A048C1"/>
    <w:rsid w:val="00A05C14"/>
    <w:rsid w:val="00A11055"/>
    <w:rsid w:val="00A111DA"/>
    <w:rsid w:val="00A119C0"/>
    <w:rsid w:val="00A163CA"/>
    <w:rsid w:val="00A168B6"/>
    <w:rsid w:val="00A246C7"/>
    <w:rsid w:val="00A24F5B"/>
    <w:rsid w:val="00A31317"/>
    <w:rsid w:val="00A3245E"/>
    <w:rsid w:val="00A3663B"/>
    <w:rsid w:val="00A37A98"/>
    <w:rsid w:val="00A4037F"/>
    <w:rsid w:val="00A45C9D"/>
    <w:rsid w:val="00A57492"/>
    <w:rsid w:val="00A643D6"/>
    <w:rsid w:val="00A648A5"/>
    <w:rsid w:val="00A657FF"/>
    <w:rsid w:val="00A74D49"/>
    <w:rsid w:val="00A81CA1"/>
    <w:rsid w:val="00A827A1"/>
    <w:rsid w:val="00A82F5F"/>
    <w:rsid w:val="00A90362"/>
    <w:rsid w:val="00A90702"/>
    <w:rsid w:val="00A942A9"/>
    <w:rsid w:val="00AA7DD8"/>
    <w:rsid w:val="00AB51BF"/>
    <w:rsid w:val="00AC4C92"/>
    <w:rsid w:val="00AC70D4"/>
    <w:rsid w:val="00AC7712"/>
    <w:rsid w:val="00AC7C36"/>
    <w:rsid w:val="00AC7D61"/>
    <w:rsid w:val="00AE6DC5"/>
    <w:rsid w:val="00AF12DE"/>
    <w:rsid w:val="00AF3133"/>
    <w:rsid w:val="00AF35AC"/>
    <w:rsid w:val="00AF513D"/>
    <w:rsid w:val="00B05981"/>
    <w:rsid w:val="00B07E50"/>
    <w:rsid w:val="00B149B3"/>
    <w:rsid w:val="00B15F8B"/>
    <w:rsid w:val="00B17609"/>
    <w:rsid w:val="00B214B3"/>
    <w:rsid w:val="00B23B7A"/>
    <w:rsid w:val="00B2546E"/>
    <w:rsid w:val="00B36140"/>
    <w:rsid w:val="00B36223"/>
    <w:rsid w:val="00B37217"/>
    <w:rsid w:val="00B405F1"/>
    <w:rsid w:val="00B44502"/>
    <w:rsid w:val="00B455C9"/>
    <w:rsid w:val="00B4652C"/>
    <w:rsid w:val="00B46FA2"/>
    <w:rsid w:val="00B47E16"/>
    <w:rsid w:val="00B54BE5"/>
    <w:rsid w:val="00B627F9"/>
    <w:rsid w:val="00B665EE"/>
    <w:rsid w:val="00B7063A"/>
    <w:rsid w:val="00B76BF3"/>
    <w:rsid w:val="00B840BF"/>
    <w:rsid w:val="00B84A8A"/>
    <w:rsid w:val="00B94D5E"/>
    <w:rsid w:val="00BA17F2"/>
    <w:rsid w:val="00BA2D05"/>
    <w:rsid w:val="00BA3336"/>
    <w:rsid w:val="00BB10AA"/>
    <w:rsid w:val="00BB51B9"/>
    <w:rsid w:val="00BC1F56"/>
    <w:rsid w:val="00BE2904"/>
    <w:rsid w:val="00BE2BE6"/>
    <w:rsid w:val="00BE7B6F"/>
    <w:rsid w:val="00BF49EA"/>
    <w:rsid w:val="00BF4DA5"/>
    <w:rsid w:val="00BF533B"/>
    <w:rsid w:val="00BF56EF"/>
    <w:rsid w:val="00C005D9"/>
    <w:rsid w:val="00C054AF"/>
    <w:rsid w:val="00C06487"/>
    <w:rsid w:val="00C06CCE"/>
    <w:rsid w:val="00C21F10"/>
    <w:rsid w:val="00C2266F"/>
    <w:rsid w:val="00C304A1"/>
    <w:rsid w:val="00C31FCE"/>
    <w:rsid w:val="00C349EF"/>
    <w:rsid w:val="00C356D5"/>
    <w:rsid w:val="00C36499"/>
    <w:rsid w:val="00C36735"/>
    <w:rsid w:val="00C40000"/>
    <w:rsid w:val="00C46458"/>
    <w:rsid w:val="00C46BCF"/>
    <w:rsid w:val="00C479C9"/>
    <w:rsid w:val="00C50CC4"/>
    <w:rsid w:val="00C54F52"/>
    <w:rsid w:val="00C56C68"/>
    <w:rsid w:val="00C57055"/>
    <w:rsid w:val="00C60FB4"/>
    <w:rsid w:val="00C61BB6"/>
    <w:rsid w:val="00C62087"/>
    <w:rsid w:val="00C70BD2"/>
    <w:rsid w:val="00C75B56"/>
    <w:rsid w:val="00C805AF"/>
    <w:rsid w:val="00C82231"/>
    <w:rsid w:val="00C84476"/>
    <w:rsid w:val="00C86DDE"/>
    <w:rsid w:val="00C87511"/>
    <w:rsid w:val="00C92DEE"/>
    <w:rsid w:val="00C9360D"/>
    <w:rsid w:val="00C937FF"/>
    <w:rsid w:val="00C9426B"/>
    <w:rsid w:val="00CA333E"/>
    <w:rsid w:val="00CA3C03"/>
    <w:rsid w:val="00CA5847"/>
    <w:rsid w:val="00CB139E"/>
    <w:rsid w:val="00CB1482"/>
    <w:rsid w:val="00CB6C2A"/>
    <w:rsid w:val="00CC0686"/>
    <w:rsid w:val="00CC2A23"/>
    <w:rsid w:val="00CC4E76"/>
    <w:rsid w:val="00CD1914"/>
    <w:rsid w:val="00CD3B46"/>
    <w:rsid w:val="00CD4344"/>
    <w:rsid w:val="00CD6522"/>
    <w:rsid w:val="00CE590C"/>
    <w:rsid w:val="00CF332A"/>
    <w:rsid w:val="00CF7583"/>
    <w:rsid w:val="00D03538"/>
    <w:rsid w:val="00D04BE1"/>
    <w:rsid w:val="00D1026A"/>
    <w:rsid w:val="00D1048F"/>
    <w:rsid w:val="00D11283"/>
    <w:rsid w:val="00D13482"/>
    <w:rsid w:val="00D14D8A"/>
    <w:rsid w:val="00D222B1"/>
    <w:rsid w:val="00D22A15"/>
    <w:rsid w:val="00D244C7"/>
    <w:rsid w:val="00D24D45"/>
    <w:rsid w:val="00D27C5C"/>
    <w:rsid w:val="00D30661"/>
    <w:rsid w:val="00D31182"/>
    <w:rsid w:val="00D31DD1"/>
    <w:rsid w:val="00D33F33"/>
    <w:rsid w:val="00D35091"/>
    <w:rsid w:val="00D353D7"/>
    <w:rsid w:val="00D424AB"/>
    <w:rsid w:val="00D42B1D"/>
    <w:rsid w:val="00D5543D"/>
    <w:rsid w:val="00D57B96"/>
    <w:rsid w:val="00D61A84"/>
    <w:rsid w:val="00D70CE8"/>
    <w:rsid w:val="00D748EB"/>
    <w:rsid w:val="00D77E7F"/>
    <w:rsid w:val="00D8047F"/>
    <w:rsid w:val="00D834A3"/>
    <w:rsid w:val="00D83BAC"/>
    <w:rsid w:val="00D85E85"/>
    <w:rsid w:val="00D87A38"/>
    <w:rsid w:val="00D947C5"/>
    <w:rsid w:val="00DA18D1"/>
    <w:rsid w:val="00DA2B96"/>
    <w:rsid w:val="00DA36F6"/>
    <w:rsid w:val="00DA5633"/>
    <w:rsid w:val="00DB76B5"/>
    <w:rsid w:val="00DC1FD4"/>
    <w:rsid w:val="00DD2B3C"/>
    <w:rsid w:val="00DE0013"/>
    <w:rsid w:val="00DE1297"/>
    <w:rsid w:val="00DF11E5"/>
    <w:rsid w:val="00DF1641"/>
    <w:rsid w:val="00DF78CA"/>
    <w:rsid w:val="00E06EDD"/>
    <w:rsid w:val="00E070A2"/>
    <w:rsid w:val="00E10E47"/>
    <w:rsid w:val="00E12111"/>
    <w:rsid w:val="00E17427"/>
    <w:rsid w:val="00E179A3"/>
    <w:rsid w:val="00E20291"/>
    <w:rsid w:val="00E20726"/>
    <w:rsid w:val="00E21EA3"/>
    <w:rsid w:val="00E2587B"/>
    <w:rsid w:val="00E26CED"/>
    <w:rsid w:val="00E33C76"/>
    <w:rsid w:val="00E41E1B"/>
    <w:rsid w:val="00E515ED"/>
    <w:rsid w:val="00E54D10"/>
    <w:rsid w:val="00E631AB"/>
    <w:rsid w:val="00E65ABC"/>
    <w:rsid w:val="00E66AF3"/>
    <w:rsid w:val="00E75277"/>
    <w:rsid w:val="00E77201"/>
    <w:rsid w:val="00E850D8"/>
    <w:rsid w:val="00E8755B"/>
    <w:rsid w:val="00E91267"/>
    <w:rsid w:val="00E97CE9"/>
    <w:rsid w:val="00EC04D3"/>
    <w:rsid w:val="00ED31C4"/>
    <w:rsid w:val="00ED3BC6"/>
    <w:rsid w:val="00ED4AF1"/>
    <w:rsid w:val="00EE0F5F"/>
    <w:rsid w:val="00EE18F5"/>
    <w:rsid w:val="00EE526E"/>
    <w:rsid w:val="00EF0584"/>
    <w:rsid w:val="00F00FC2"/>
    <w:rsid w:val="00F017EB"/>
    <w:rsid w:val="00F0226D"/>
    <w:rsid w:val="00F10ADC"/>
    <w:rsid w:val="00F11FA9"/>
    <w:rsid w:val="00F17D96"/>
    <w:rsid w:val="00F21BD3"/>
    <w:rsid w:val="00F26ECB"/>
    <w:rsid w:val="00F303BD"/>
    <w:rsid w:val="00F35962"/>
    <w:rsid w:val="00F37E17"/>
    <w:rsid w:val="00F417A8"/>
    <w:rsid w:val="00F427CF"/>
    <w:rsid w:val="00F43944"/>
    <w:rsid w:val="00F55E8E"/>
    <w:rsid w:val="00F5650C"/>
    <w:rsid w:val="00F572F6"/>
    <w:rsid w:val="00F61E55"/>
    <w:rsid w:val="00F62D3E"/>
    <w:rsid w:val="00F66CB4"/>
    <w:rsid w:val="00F73B1C"/>
    <w:rsid w:val="00F82CD3"/>
    <w:rsid w:val="00F84FB3"/>
    <w:rsid w:val="00F86736"/>
    <w:rsid w:val="00F87C68"/>
    <w:rsid w:val="00F9551B"/>
    <w:rsid w:val="00F97D40"/>
    <w:rsid w:val="00FA569D"/>
    <w:rsid w:val="00FB299F"/>
    <w:rsid w:val="00FB5442"/>
    <w:rsid w:val="00FB75FA"/>
    <w:rsid w:val="00FC00E5"/>
    <w:rsid w:val="00FD03F1"/>
    <w:rsid w:val="00FD1EE7"/>
    <w:rsid w:val="00FD435B"/>
    <w:rsid w:val="00FD7F51"/>
    <w:rsid w:val="00FE4CBE"/>
    <w:rsid w:val="00FE56CE"/>
    <w:rsid w:val="00FF29D2"/>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87B5"/>
  <w14:defaultImageDpi w14:val="330"/>
  <w15:docId w15:val="{B6BDE77B-C35C-42DF-B240-56CCD12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698"/>
    <w:pPr>
      <w:tabs>
        <w:tab w:val="center" w:pos="4513"/>
        <w:tab w:val="right" w:pos="9026"/>
      </w:tabs>
    </w:pPr>
  </w:style>
  <w:style w:type="character" w:customStyle="1" w:styleId="FooterChar">
    <w:name w:val="Footer Char"/>
    <w:basedOn w:val="DefaultParagraphFont"/>
    <w:link w:val="Footer"/>
    <w:uiPriority w:val="99"/>
    <w:rsid w:val="004B2698"/>
  </w:style>
  <w:style w:type="paragraph" w:styleId="FootnoteText">
    <w:name w:val="footnote text"/>
    <w:basedOn w:val="Normal"/>
    <w:link w:val="FootnoteTextChar"/>
    <w:unhideWhenUsed/>
    <w:rsid w:val="004B2698"/>
    <w:rPr>
      <w:sz w:val="20"/>
      <w:szCs w:val="20"/>
      <w:lang w:val="es-US"/>
    </w:rPr>
  </w:style>
  <w:style w:type="character" w:customStyle="1" w:styleId="FootnoteTextChar">
    <w:name w:val="Footnote Text Char"/>
    <w:basedOn w:val="DefaultParagraphFont"/>
    <w:link w:val="FootnoteText"/>
    <w:rsid w:val="004B2698"/>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4B2698"/>
    <w:rPr>
      <w:vertAlign w:val="superscript"/>
    </w:rPr>
  </w:style>
  <w:style w:type="paragraph" w:customStyle="1" w:styleId="Appelnotedebasde">
    <w:name w:val="Appel note de bas de..."/>
    <w:basedOn w:val="Normal"/>
    <w:link w:val="FootnoteReference"/>
    <w:rsid w:val="004B2698"/>
    <w:pPr>
      <w:spacing w:after="160" w:line="240" w:lineRule="exact"/>
    </w:pPr>
    <w:rPr>
      <w:vertAlign w:val="superscript"/>
    </w:rPr>
  </w:style>
  <w:style w:type="paragraph" w:styleId="ListParagraph">
    <w:name w:val="List Paragraph"/>
    <w:basedOn w:val="Normal"/>
    <w:uiPriority w:val="34"/>
    <w:qFormat/>
    <w:rsid w:val="004B2698"/>
    <w:pPr>
      <w:spacing w:after="160" w:line="259" w:lineRule="auto"/>
      <w:ind w:left="720"/>
      <w:contextualSpacing/>
    </w:pPr>
    <w:rPr>
      <w:sz w:val="22"/>
      <w:szCs w:val="22"/>
      <w:lang w:val="es-US"/>
    </w:rPr>
  </w:style>
  <w:style w:type="character" w:styleId="CommentReference">
    <w:name w:val="annotation reference"/>
    <w:basedOn w:val="DefaultParagraphFont"/>
    <w:uiPriority w:val="99"/>
    <w:semiHidden/>
    <w:unhideWhenUsed/>
    <w:rsid w:val="004E0422"/>
    <w:rPr>
      <w:sz w:val="16"/>
      <w:szCs w:val="16"/>
    </w:rPr>
  </w:style>
  <w:style w:type="paragraph" w:styleId="CommentText">
    <w:name w:val="annotation text"/>
    <w:basedOn w:val="Normal"/>
    <w:link w:val="CommentTextChar"/>
    <w:uiPriority w:val="99"/>
    <w:semiHidden/>
    <w:unhideWhenUsed/>
    <w:rsid w:val="004E0422"/>
    <w:rPr>
      <w:sz w:val="20"/>
      <w:szCs w:val="20"/>
    </w:rPr>
  </w:style>
  <w:style w:type="character" w:customStyle="1" w:styleId="CommentTextChar">
    <w:name w:val="Comment Text Char"/>
    <w:basedOn w:val="DefaultParagraphFont"/>
    <w:link w:val="CommentText"/>
    <w:uiPriority w:val="99"/>
    <w:semiHidden/>
    <w:rsid w:val="004E0422"/>
    <w:rPr>
      <w:sz w:val="20"/>
      <w:szCs w:val="20"/>
    </w:rPr>
  </w:style>
  <w:style w:type="paragraph" w:styleId="CommentSubject">
    <w:name w:val="annotation subject"/>
    <w:basedOn w:val="CommentText"/>
    <w:next w:val="CommentText"/>
    <w:link w:val="CommentSubjectChar"/>
    <w:uiPriority w:val="99"/>
    <w:semiHidden/>
    <w:unhideWhenUsed/>
    <w:rsid w:val="004E0422"/>
    <w:rPr>
      <w:b/>
      <w:bCs/>
    </w:rPr>
  </w:style>
  <w:style w:type="character" w:customStyle="1" w:styleId="CommentSubjectChar">
    <w:name w:val="Comment Subject Char"/>
    <w:basedOn w:val="CommentTextChar"/>
    <w:link w:val="CommentSubject"/>
    <w:uiPriority w:val="99"/>
    <w:semiHidden/>
    <w:rsid w:val="004E0422"/>
    <w:rPr>
      <w:b/>
      <w:bCs/>
      <w:sz w:val="20"/>
      <w:szCs w:val="20"/>
    </w:rPr>
  </w:style>
  <w:style w:type="paragraph" w:styleId="BalloonText">
    <w:name w:val="Balloon Text"/>
    <w:basedOn w:val="Normal"/>
    <w:link w:val="BalloonTextChar"/>
    <w:uiPriority w:val="99"/>
    <w:semiHidden/>
    <w:unhideWhenUsed/>
    <w:rsid w:val="004E0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422"/>
    <w:rPr>
      <w:rFonts w:ascii="Times New Roman" w:hAnsi="Times New Roman" w:cs="Times New Roman"/>
      <w:sz w:val="18"/>
      <w:szCs w:val="18"/>
    </w:rPr>
  </w:style>
  <w:style w:type="paragraph" w:styleId="Revision">
    <w:name w:val="Revision"/>
    <w:hidden/>
    <w:uiPriority w:val="99"/>
    <w:semiHidden/>
    <w:rsid w:val="00D27C5C"/>
  </w:style>
  <w:style w:type="character" w:styleId="Hyperlink">
    <w:name w:val="Hyperlink"/>
    <w:basedOn w:val="DefaultParagraphFont"/>
    <w:uiPriority w:val="99"/>
    <w:unhideWhenUsed/>
    <w:rsid w:val="00F37E17"/>
    <w:rPr>
      <w:color w:val="0563C1" w:themeColor="hyperlink"/>
      <w:u w:val="single"/>
    </w:rPr>
  </w:style>
  <w:style w:type="character" w:customStyle="1" w:styleId="UnresolvedMention1">
    <w:name w:val="Unresolved Mention1"/>
    <w:basedOn w:val="DefaultParagraphFont"/>
    <w:uiPriority w:val="99"/>
    <w:semiHidden/>
    <w:unhideWhenUsed/>
    <w:rsid w:val="00A81CA1"/>
    <w:rPr>
      <w:color w:val="605E5C"/>
      <w:shd w:val="clear" w:color="auto" w:fill="E1DFDD"/>
    </w:rPr>
  </w:style>
  <w:style w:type="paragraph" w:styleId="Header">
    <w:name w:val="header"/>
    <w:basedOn w:val="Normal"/>
    <w:link w:val="HeaderChar"/>
    <w:uiPriority w:val="99"/>
    <w:unhideWhenUsed/>
    <w:rsid w:val="00BF49EA"/>
    <w:pPr>
      <w:tabs>
        <w:tab w:val="center" w:pos="4680"/>
        <w:tab w:val="right" w:pos="9360"/>
      </w:tabs>
    </w:pPr>
  </w:style>
  <w:style w:type="character" w:customStyle="1" w:styleId="HeaderChar">
    <w:name w:val="Header Char"/>
    <w:basedOn w:val="DefaultParagraphFont"/>
    <w:link w:val="Header"/>
    <w:uiPriority w:val="99"/>
    <w:rsid w:val="00BF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900">
      <w:bodyDiv w:val="1"/>
      <w:marLeft w:val="0"/>
      <w:marRight w:val="0"/>
      <w:marTop w:val="0"/>
      <w:marBottom w:val="0"/>
      <w:divBdr>
        <w:top w:val="none" w:sz="0" w:space="0" w:color="auto"/>
        <w:left w:val="none" w:sz="0" w:space="0" w:color="auto"/>
        <w:bottom w:val="none" w:sz="0" w:space="0" w:color="auto"/>
        <w:right w:val="none" w:sz="0" w:space="0" w:color="auto"/>
      </w:divBdr>
      <w:divsChild>
        <w:div w:id="1344090673">
          <w:marLeft w:val="0"/>
          <w:marRight w:val="0"/>
          <w:marTop w:val="0"/>
          <w:marBottom w:val="0"/>
          <w:divBdr>
            <w:top w:val="none" w:sz="0" w:space="0" w:color="auto"/>
            <w:left w:val="none" w:sz="0" w:space="0" w:color="auto"/>
            <w:bottom w:val="none" w:sz="0" w:space="0" w:color="auto"/>
            <w:right w:val="none" w:sz="0" w:space="0" w:color="auto"/>
          </w:divBdr>
          <w:divsChild>
            <w:div w:id="1114207993">
              <w:marLeft w:val="-225"/>
              <w:marRight w:val="-225"/>
              <w:marTop w:val="0"/>
              <w:marBottom w:val="0"/>
              <w:divBdr>
                <w:top w:val="none" w:sz="0" w:space="0" w:color="auto"/>
                <w:left w:val="none" w:sz="0" w:space="0" w:color="auto"/>
                <w:bottom w:val="none" w:sz="0" w:space="0" w:color="auto"/>
                <w:right w:val="none" w:sz="0" w:space="0" w:color="auto"/>
              </w:divBdr>
              <w:divsChild>
                <w:div w:id="1757902584">
                  <w:marLeft w:val="0"/>
                  <w:marRight w:val="0"/>
                  <w:marTop w:val="0"/>
                  <w:marBottom w:val="0"/>
                  <w:divBdr>
                    <w:top w:val="none" w:sz="0" w:space="0" w:color="auto"/>
                    <w:left w:val="none" w:sz="0" w:space="0" w:color="auto"/>
                    <w:bottom w:val="none" w:sz="0" w:space="0" w:color="auto"/>
                    <w:right w:val="none" w:sz="0" w:space="0" w:color="auto"/>
                  </w:divBdr>
                  <w:divsChild>
                    <w:div w:id="27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5DE3-B3AE-4EDD-BAEA-5D2FC668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3320</Words>
  <Characters>18265</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Maria Silva Merico</dc:creator>
  <cp:lastModifiedBy>Silva, Luisa</cp:lastModifiedBy>
  <cp:revision>2</cp:revision>
  <dcterms:created xsi:type="dcterms:W3CDTF">2020-01-27T22:22:00Z</dcterms:created>
  <dcterms:modified xsi:type="dcterms:W3CDTF">2020-01-27T22:22:00Z</dcterms:modified>
</cp:coreProperties>
</file>