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540E" w14:textId="77777777" w:rsidR="009575E3" w:rsidRPr="00830EDD" w:rsidRDefault="00E254C2" w:rsidP="00A93C9D">
      <w:pPr>
        <w:jc w:val="center"/>
        <w:rPr>
          <w:rFonts w:ascii="Cambria" w:hAnsi="Cambria"/>
          <w:b/>
          <w:sz w:val="22"/>
          <w:szCs w:val="21"/>
          <w:lang w:val="es-ES_tradnl"/>
        </w:rPr>
      </w:pPr>
      <w:r w:rsidRPr="00830EDD">
        <w:rPr>
          <w:rFonts w:ascii="Cambria" w:hAnsi="Cambria"/>
          <w:b/>
          <w:sz w:val="22"/>
          <w:szCs w:val="21"/>
          <w:lang w:val="es-ES_tradnl"/>
        </w:rPr>
        <w:t>COMISIÓN INTERAMERICANA DE DERECHOS HUMANOS</w:t>
      </w:r>
    </w:p>
    <w:p w14:paraId="04397EA6" w14:textId="53270ECB" w:rsidR="00E254C2" w:rsidRPr="00830EDD" w:rsidRDefault="00E254C2" w:rsidP="00A93C9D">
      <w:pPr>
        <w:jc w:val="center"/>
        <w:rPr>
          <w:rFonts w:ascii="Cambria" w:hAnsi="Cambria"/>
          <w:sz w:val="22"/>
          <w:szCs w:val="21"/>
          <w:lang w:val="es-ES_tradnl"/>
        </w:rPr>
      </w:pPr>
      <w:r w:rsidRPr="00830EDD">
        <w:rPr>
          <w:rFonts w:ascii="Cambria" w:hAnsi="Cambria"/>
          <w:b/>
          <w:sz w:val="22"/>
          <w:szCs w:val="21"/>
          <w:lang w:val="es-ES_tradnl"/>
        </w:rPr>
        <w:t xml:space="preserve">RESOLUCIÓN </w:t>
      </w:r>
      <w:r w:rsidR="00B015EC">
        <w:rPr>
          <w:rFonts w:ascii="Cambria" w:hAnsi="Cambria"/>
          <w:b/>
          <w:sz w:val="22"/>
          <w:szCs w:val="21"/>
          <w:lang w:val="es-ES_tradnl"/>
        </w:rPr>
        <w:t>57</w:t>
      </w:r>
      <w:r w:rsidR="00BA255D" w:rsidRPr="00830EDD">
        <w:rPr>
          <w:rFonts w:ascii="Cambria" w:hAnsi="Cambria"/>
          <w:b/>
          <w:sz w:val="22"/>
          <w:szCs w:val="21"/>
          <w:lang w:val="es-ES_tradnl"/>
        </w:rPr>
        <w:t>/201</w:t>
      </w:r>
      <w:r w:rsidR="00560216" w:rsidRPr="00830EDD">
        <w:rPr>
          <w:rFonts w:ascii="Cambria" w:hAnsi="Cambria"/>
          <w:b/>
          <w:sz w:val="22"/>
          <w:szCs w:val="21"/>
          <w:lang w:val="es-ES_tradnl"/>
        </w:rPr>
        <w:t>9</w:t>
      </w:r>
    </w:p>
    <w:p w14:paraId="2CBC4673" w14:textId="77777777" w:rsidR="00560216" w:rsidRPr="00830EDD" w:rsidRDefault="00560216" w:rsidP="00A93C9D">
      <w:pPr>
        <w:jc w:val="center"/>
        <w:rPr>
          <w:rFonts w:ascii="Cambria" w:hAnsi="Cambria"/>
          <w:sz w:val="22"/>
          <w:szCs w:val="21"/>
          <w:lang w:val="es-CO"/>
        </w:rPr>
      </w:pPr>
    </w:p>
    <w:p w14:paraId="4DE780B2" w14:textId="2F37D564" w:rsidR="004E33D0" w:rsidRPr="00830EDD" w:rsidRDefault="004E33D0" w:rsidP="00A93C9D">
      <w:pPr>
        <w:jc w:val="center"/>
        <w:rPr>
          <w:rFonts w:ascii="Cambria" w:hAnsi="Cambria"/>
          <w:sz w:val="22"/>
          <w:szCs w:val="21"/>
          <w:lang w:val="es-CO"/>
        </w:rPr>
      </w:pPr>
      <w:r w:rsidRPr="00830EDD">
        <w:rPr>
          <w:rFonts w:ascii="Cambria" w:hAnsi="Cambria"/>
          <w:sz w:val="22"/>
          <w:szCs w:val="21"/>
          <w:lang w:val="es-CO"/>
        </w:rPr>
        <w:t xml:space="preserve">Medida cautelar No. </w:t>
      </w:r>
      <w:r w:rsidR="00D35D8B">
        <w:rPr>
          <w:rFonts w:ascii="Cambria" w:hAnsi="Cambria"/>
          <w:sz w:val="22"/>
          <w:szCs w:val="21"/>
          <w:lang w:val="es-CO"/>
        </w:rPr>
        <w:t>887</w:t>
      </w:r>
      <w:r w:rsidRPr="00830EDD">
        <w:rPr>
          <w:rFonts w:ascii="Cambria" w:hAnsi="Cambria"/>
          <w:sz w:val="22"/>
          <w:szCs w:val="21"/>
          <w:lang w:val="es-CO"/>
        </w:rPr>
        <w:t>-1</w:t>
      </w:r>
      <w:r w:rsidR="00D52A91" w:rsidRPr="00830EDD">
        <w:rPr>
          <w:rFonts w:ascii="Cambria" w:hAnsi="Cambria"/>
          <w:sz w:val="22"/>
          <w:szCs w:val="21"/>
          <w:lang w:val="es-CO"/>
        </w:rPr>
        <w:t>9</w:t>
      </w:r>
    </w:p>
    <w:p w14:paraId="4540FB1D" w14:textId="1C861C03" w:rsidR="00E254C2" w:rsidRPr="00830EDD" w:rsidRDefault="00D35D8B" w:rsidP="00A93C9D">
      <w:pPr>
        <w:jc w:val="center"/>
        <w:rPr>
          <w:rFonts w:ascii="Cambria" w:hAnsi="Cambria"/>
          <w:sz w:val="26"/>
          <w:szCs w:val="26"/>
          <w:lang w:val="es-CO"/>
        </w:rPr>
      </w:pPr>
      <w:r>
        <w:rPr>
          <w:rFonts w:ascii="Cambria" w:hAnsi="Cambria"/>
          <w:sz w:val="26"/>
          <w:szCs w:val="26"/>
          <w:lang w:val="es-MX"/>
        </w:rPr>
        <w:t>Familias de la Comunidad Nueva Austria del Sira</w:t>
      </w:r>
      <w:r w:rsidR="00560216" w:rsidRPr="00830EDD">
        <w:rPr>
          <w:rFonts w:ascii="Cambria" w:hAnsi="Cambria"/>
          <w:sz w:val="26"/>
          <w:szCs w:val="26"/>
          <w:lang w:val="es-MX"/>
        </w:rPr>
        <w:t xml:space="preserve"> </w:t>
      </w:r>
      <w:r w:rsidR="00E254C2" w:rsidRPr="00830EDD">
        <w:rPr>
          <w:rFonts w:ascii="Cambria" w:hAnsi="Cambria"/>
          <w:sz w:val="26"/>
          <w:szCs w:val="26"/>
          <w:lang w:val="es-CO"/>
        </w:rPr>
        <w:t xml:space="preserve">respecto de </w:t>
      </w:r>
      <w:r w:rsidR="004705F6" w:rsidRPr="00830EDD">
        <w:rPr>
          <w:rFonts w:ascii="Cambria" w:hAnsi="Cambria"/>
          <w:sz w:val="26"/>
          <w:szCs w:val="26"/>
          <w:lang w:val="es-CO"/>
        </w:rPr>
        <w:t>Perú</w:t>
      </w:r>
      <w:r w:rsidR="00C66B45" w:rsidRPr="00830EDD">
        <w:rPr>
          <w:rStyle w:val="FootnoteReference"/>
          <w:rFonts w:ascii="Cambria" w:hAnsi="Cambria"/>
          <w:sz w:val="26"/>
          <w:szCs w:val="26"/>
          <w:lang w:val="es-CO"/>
        </w:rPr>
        <w:footnoteReference w:id="1"/>
      </w:r>
    </w:p>
    <w:p w14:paraId="68EE6831" w14:textId="0E02C5C7" w:rsidR="00377C04" w:rsidRPr="00830EDD" w:rsidRDefault="00B015EC" w:rsidP="00A93C9D">
      <w:pPr>
        <w:jc w:val="center"/>
        <w:rPr>
          <w:rFonts w:ascii="Cambria" w:hAnsi="Cambria"/>
          <w:sz w:val="20"/>
          <w:szCs w:val="18"/>
          <w:lang w:val="es-ES_tradnl"/>
        </w:rPr>
      </w:pPr>
      <w:r>
        <w:rPr>
          <w:rFonts w:ascii="Cambria" w:hAnsi="Cambria"/>
          <w:sz w:val="20"/>
          <w:szCs w:val="18"/>
          <w:lang w:val="es-ES_tradnl"/>
        </w:rPr>
        <w:t xml:space="preserve">6 </w:t>
      </w:r>
      <w:r w:rsidR="00377C04" w:rsidRPr="00830EDD">
        <w:rPr>
          <w:rFonts w:ascii="Cambria" w:hAnsi="Cambria"/>
          <w:sz w:val="20"/>
          <w:szCs w:val="18"/>
          <w:lang w:val="es-ES_tradnl"/>
        </w:rPr>
        <w:t>de</w:t>
      </w:r>
      <w:r>
        <w:rPr>
          <w:rFonts w:ascii="Cambria" w:hAnsi="Cambria"/>
          <w:sz w:val="20"/>
          <w:szCs w:val="18"/>
          <w:lang w:val="es-ES_tradnl"/>
        </w:rPr>
        <w:t xml:space="preserve"> </w:t>
      </w:r>
      <w:r w:rsidR="00D35D8B">
        <w:rPr>
          <w:rFonts w:ascii="Cambria" w:hAnsi="Cambria"/>
          <w:sz w:val="20"/>
          <w:szCs w:val="18"/>
          <w:lang w:val="es-ES_tradnl"/>
        </w:rPr>
        <w:t>noviembre</w:t>
      </w:r>
      <w:r w:rsidR="00AF66D8" w:rsidRPr="00830EDD">
        <w:rPr>
          <w:rFonts w:ascii="Cambria" w:hAnsi="Cambria"/>
          <w:sz w:val="20"/>
          <w:szCs w:val="18"/>
          <w:lang w:val="es-ES_tradnl"/>
        </w:rPr>
        <w:t xml:space="preserve"> de 201</w:t>
      </w:r>
      <w:r w:rsidR="00560216" w:rsidRPr="00830EDD">
        <w:rPr>
          <w:rFonts w:ascii="Cambria" w:hAnsi="Cambria"/>
          <w:sz w:val="20"/>
          <w:szCs w:val="18"/>
          <w:lang w:val="es-ES_tradnl"/>
        </w:rPr>
        <w:t>9</w:t>
      </w:r>
    </w:p>
    <w:p w14:paraId="1D2005C8" w14:textId="77777777" w:rsidR="008B53BD" w:rsidRPr="00830EDD" w:rsidRDefault="008B53BD" w:rsidP="00A93C9D">
      <w:pPr>
        <w:jc w:val="both"/>
        <w:rPr>
          <w:rFonts w:ascii="Cambria" w:hAnsi="Cambria"/>
          <w:sz w:val="20"/>
          <w:szCs w:val="18"/>
          <w:lang w:val="es-ES_tradnl"/>
        </w:rPr>
      </w:pPr>
    </w:p>
    <w:p w14:paraId="708A854C" w14:textId="77777777" w:rsidR="00377C04" w:rsidRPr="00830EDD" w:rsidRDefault="00377C04" w:rsidP="00A93C9D">
      <w:pPr>
        <w:pStyle w:val="ListParagraph"/>
        <w:numPr>
          <w:ilvl w:val="0"/>
          <w:numId w:val="2"/>
        </w:numPr>
        <w:ind w:left="540" w:firstLine="0"/>
        <w:jc w:val="both"/>
        <w:rPr>
          <w:rFonts w:ascii="Cambria" w:hAnsi="Cambria"/>
          <w:b/>
          <w:sz w:val="21"/>
          <w:szCs w:val="21"/>
          <w:lang w:val="es-ES_tradnl"/>
        </w:rPr>
      </w:pPr>
      <w:r w:rsidRPr="00830EDD">
        <w:rPr>
          <w:rFonts w:ascii="Cambria" w:hAnsi="Cambria"/>
          <w:b/>
          <w:sz w:val="21"/>
          <w:szCs w:val="21"/>
          <w:lang w:val="es-ES_tradnl"/>
        </w:rPr>
        <w:t>INTRODUCCIÓN</w:t>
      </w:r>
    </w:p>
    <w:p w14:paraId="0D28A4EE" w14:textId="77777777" w:rsidR="00377C04" w:rsidRPr="00830EDD" w:rsidRDefault="00377C04" w:rsidP="00A93C9D">
      <w:pPr>
        <w:jc w:val="both"/>
        <w:rPr>
          <w:rFonts w:ascii="Cambria" w:hAnsi="Cambria"/>
          <w:sz w:val="21"/>
          <w:szCs w:val="21"/>
          <w:lang w:val="es-ES_tradnl"/>
        </w:rPr>
      </w:pPr>
    </w:p>
    <w:p w14:paraId="6B4BFCB9" w14:textId="0F17DB03" w:rsidR="00B157E3" w:rsidRDefault="0099605F" w:rsidP="00A93C9D">
      <w:pPr>
        <w:pStyle w:val="ListParagraph"/>
        <w:numPr>
          <w:ilvl w:val="0"/>
          <w:numId w:val="1"/>
        </w:numPr>
        <w:ind w:left="0" w:firstLine="360"/>
        <w:jc w:val="both"/>
        <w:rPr>
          <w:rFonts w:ascii="Cambria" w:hAnsi="Cambria"/>
          <w:sz w:val="21"/>
          <w:szCs w:val="21"/>
          <w:lang w:val="es-ES_tradnl"/>
        </w:rPr>
      </w:pPr>
      <w:r w:rsidRPr="00830EDD">
        <w:rPr>
          <w:rFonts w:ascii="Cambria" w:hAnsi="Cambria"/>
          <w:sz w:val="21"/>
          <w:szCs w:val="21"/>
          <w:lang w:val="es-ES_tradnl"/>
        </w:rPr>
        <w:t xml:space="preserve">El </w:t>
      </w:r>
      <w:r w:rsidR="00D35D8B">
        <w:rPr>
          <w:rFonts w:ascii="Cambria" w:hAnsi="Cambria"/>
          <w:sz w:val="21"/>
          <w:szCs w:val="21"/>
          <w:lang w:val="es-ES_tradnl"/>
        </w:rPr>
        <w:t>24</w:t>
      </w:r>
      <w:r w:rsidRPr="00830EDD">
        <w:rPr>
          <w:rFonts w:ascii="Cambria" w:hAnsi="Cambria"/>
          <w:sz w:val="21"/>
          <w:szCs w:val="21"/>
          <w:lang w:val="es-ES_tradnl"/>
        </w:rPr>
        <w:t xml:space="preserve"> de </w:t>
      </w:r>
      <w:r w:rsidR="00D35D8B">
        <w:rPr>
          <w:rFonts w:ascii="Cambria" w:hAnsi="Cambria"/>
          <w:sz w:val="21"/>
          <w:szCs w:val="21"/>
          <w:lang w:val="es-ES_tradnl"/>
        </w:rPr>
        <w:t>septiembre</w:t>
      </w:r>
      <w:r w:rsidRPr="00830EDD">
        <w:rPr>
          <w:rFonts w:ascii="Cambria" w:hAnsi="Cambria"/>
          <w:sz w:val="21"/>
          <w:szCs w:val="21"/>
          <w:lang w:val="es-ES_tradnl"/>
        </w:rPr>
        <w:t xml:space="preserve"> de 2019</w:t>
      </w:r>
      <w:r w:rsidR="00560216" w:rsidRPr="00830EDD">
        <w:rPr>
          <w:rFonts w:ascii="Cambria" w:hAnsi="Cambria"/>
          <w:sz w:val="21"/>
          <w:szCs w:val="21"/>
          <w:lang w:val="es-ES_tradnl"/>
        </w:rPr>
        <w:t>, l</w:t>
      </w:r>
      <w:r w:rsidR="00377C04" w:rsidRPr="00830EDD">
        <w:rPr>
          <w:rFonts w:ascii="Cambria" w:hAnsi="Cambria"/>
          <w:sz w:val="21"/>
          <w:szCs w:val="21"/>
          <w:lang w:val="es-ES_tradnl"/>
        </w:rPr>
        <w:t xml:space="preserve">a Comisión Interamericana de Derechos Humanos (“la Comisión Interamericana”, “la Comisión” o “la CIDH”) recibió </w:t>
      </w:r>
      <w:r w:rsidR="00560216" w:rsidRPr="00830EDD">
        <w:rPr>
          <w:rFonts w:ascii="Cambria" w:hAnsi="Cambria"/>
          <w:sz w:val="21"/>
          <w:szCs w:val="21"/>
          <w:lang w:val="es-ES_tradnl"/>
        </w:rPr>
        <w:t xml:space="preserve">una </w:t>
      </w:r>
      <w:r w:rsidR="00D35D8B">
        <w:rPr>
          <w:rFonts w:ascii="Cambria" w:hAnsi="Cambria"/>
          <w:sz w:val="21"/>
          <w:szCs w:val="21"/>
          <w:lang w:val="es-ES_tradnl"/>
        </w:rPr>
        <w:t>solicitud de medidas cautelares interpuesta por la Coordinadora Nacional de Derechos Humanos</w:t>
      </w:r>
      <w:r w:rsidR="00560216" w:rsidRPr="00830EDD">
        <w:rPr>
          <w:rFonts w:ascii="Cambria" w:hAnsi="Cambria"/>
          <w:sz w:val="21"/>
          <w:szCs w:val="21"/>
          <w:lang w:val="es-ES_tradnl"/>
        </w:rPr>
        <w:t xml:space="preserve"> ( “la solicitante”), </w:t>
      </w:r>
      <w:r w:rsidR="00D35D8B">
        <w:rPr>
          <w:rFonts w:ascii="Cambria" w:hAnsi="Cambria"/>
          <w:sz w:val="21"/>
          <w:szCs w:val="21"/>
          <w:lang w:val="es-ES_tradnl"/>
        </w:rPr>
        <w:t xml:space="preserve">instando a la Comisión que requiera al Estado de Perú (“Perú” o “el Estado”) la adopción de las medidas necesarias para proteger los derechos de las familias de la Comunidad Nueva Austria del Sira (“los propuestos beneficiarios”), quienes estarían en una situación de riesgo </w:t>
      </w:r>
      <w:r w:rsidR="00E32071">
        <w:rPr>
          <w:rFonts w:ascii="Cambria" w:hAnsi="Cambria"/>
          <w:sz w:val="21"/>
          <w:szCs w:val="21"/>
          <w:lang w:val="es-ES_tradnl"/>
        </w:rPr>
        <w:t>ante</w:t>
      </w:r>
      <w:r w:rsidR="00D35D8B">
        <w:rPr>
          <w:rFonts w:ascii="Cambria" w:hAnsi="Cambria"/>
          <w:sz w:val="21"/>
          <w:szCs w:val="21"/>
          <w:lang w:val="es-ES_tradnl"/>
        </w:rPr>
        <w:t xml:space="preserve"> la presencia de terceros “invasores”, quienes les amenazarían y agredieran, en el marco de un proceso de reconocimiento y titulación de su comunidad</w:t>
      </w:r>
      <w:r w:rsidR="00D0446E">
        <w:rPr>
          <w:rStyle w:val="FootnoteReference"/>
          <w:rFonts w:ascii="Cambria" w:hAnsi="Cambria"/>
          <w:sz w:val="21"/>
          <w:szCs w:val="21"/>
          <w:lang w:val="es-ES_tradnl"/>
        </w:rPr>
        <w:footnoteReference w:id="2"/>
      </w:r>
      <w:r w:rsidR="00D35D8B">
        <w:rPr>
          <w:rFonts w:ascii="Cambria" w:hAnsi="Cambria"/>
          <w:sz w:val="21"/>
          <w:szCs w:val="21"/>
          <w:lang w:val="es-ES_tradnl"/>
        </w:rPr>
        <w:t xml:space="preserve">. </w:t>
      </w:r>
    </w:p>
    <w:p w14:paraId="5D2B433C" w14:textId="77777777" w:rsidR="00560216" w:rsidRPr="00830EDD" w:rsidRDefault="00560216" w:rsidP="00A93C9D">
      <w:pPr>
        <w:pStyle w:val="ListParagraph"/>
        <w:ind w:left="360"/>
        <w:jc w:val="both"/>
        <w:rPr>
          <w:rFonts w:ascii="Cambria" w:hAnsi="Cambria"/>
          <w:sz w:val="21"/>
          <w:szCs w:val="21"/>
          <w:lang w:val="es-ES_tradnl"/>
        </w:rPr>
      </w:pPr>
    </w:p>
    <w:p w14:paraId="3053049B" w14:textId="0B2B86EF" w:rsidR="00ED2666" w:rsidRPr="00ED2666" w:rsidRDefault="00B0018D" w:rsidP="00A93C9D">
      <w:pPr>
        <w:pStyle w:val="ListParagraph"/>
        <w:numPr>
          <w:ilvl w:val="0"/>
          <w:numId w:val="1"/>
        </w:numPr>
        <w:ind w:left="0" w:firstLine="360"/>
        <w:jc w:val="both"/>
        <w:rPr>
          <w:rFonts w:ascii="Cambria" w:eastAsia="Times New Roman" w:hAnsi="Cambria" w:cs="Times New Roman"/>
          <w:color w:val="000000"/>
          <w:sz w:val="21"/>
          <w:szCs w:val="21"/>
          <w:lang w:val="es-CO"/>
        </w:rPr>
      </w:pPr>
      <w:r w:rsidRPr="00830EDD">
        <w:rPr>
          <w:rFonts w:ascii="Cambria" w:hAnsi="Cambria"/>
          <w:sz w:val="21"/>
          <w:szCs w:val="21"/>
          <w:lang w:val="es-MX"/>
        </w:rPr>
        <w:t>Tras solicitar información al Estado, se recibió su inform</w:t>
      </w:r>
      <w:r w:rsidR="002051CC" w:rsidRPr="00830EDD">
        <w:rPr>
          <w:rFonts w:ascii="Cambria" w:hAnsi="Cambria"/>
          <w:sz w:val="21"/>
          <w:szCs w:val="21"/>
          <w:lang w:val="es-MX"/>
        </w:rPr>
        <w:t>e</w:t>
      </w:r>
      <w:r w:rsidRPr="00830EDD">
        <w:rPr>
          <w:rFonts w:ascii="Cambria" w:hAnsi="Cambria"/>
          <w:sz w:val="21"/>
          <w:szCs w:val="21"/>
          <w:lang w:val="es-MX"/>
        </w:rPr>
        <w:t xml:space="preserve"> </w:t>
      </w:r>
      <w:r w:rsidR="008B53BD" w:rsidRPr="00830EDD">
        <w:rPr>
          <w:rFonts w:ascii="Cambria" w:hAnsi="Cambria"/>
          <w:sz w:val="21"/>
          <w:szCs w:val="21"/>
          <w:lang w:val="es-MX"/>
        </w:rPr>
        <w:t xml:space="preserve">el </w:t>
      </w:r>
      <w:r w:rsidR="00FC3209">
        <w:rPr>
          <w:rFonts w:ascii="Cambria" w:hAnsi="Cambria"/>
          <w:sz w:val="21"/>
          <w:szCs w:val="21"/>
          <w:lang w:val="es-MX"/>
        </w:rPr>
        <w:t>21 de octubre de 2019.</w:t>
      </w:r>
      <w:r w:rsidR="008B53BD" w:rsidRPr="00830EDD">
        <w:rPr>
          <w:rFonts w:ascii="Cambria" w:hAnsi="Cambria"/>
          <w:sz w:val="21"/>
          <w:szCs w:val="21"/>
          <w:lang w:val="es-MX"/>
        </w:rPr>
        <w:t xml:space="preserve"> </w:t>
      </w:r>
      <w:r w:rsidR="00FC3209">
        <w:rPr>
          <w:rFonts w:ascii="Cambria" w:hAnsi="Cambria"/>
          <w:sz w:val="21"/>
          <w:szCs w:val="21"/>
          <w:lang w:val="es-MX"/>
        </w:rPr>
        <w:t xml:space="preserve">Sin </w:t>
      </w:r>
      <w:r w:rsidR="00782C9C">
        <w:rPr>
          <w:rFonts w:ascii="Cambria" w:hAnsi="Cambria"/>
          <w:sz w:val="21"/>
          <w:szCs w:val="21"/>
          <w:lang w:val="es-MX"/>
        </w:rPr>
        <w:t xml:space="preserve">precisar la </w:t>
      </w:r>
      <w:r w:rsidR="00FC3209">
        <w:rPr>
          <w:rFonts w:ascii="Cambria" w:hAnsi="Cambria"/>
          <w:sz w:val="21"/>
          <w:szCs w:val="21"/>
          <w:lang w:val="es-MX"/>
        </w:rPr>
        <w:t>fecha, el Estado indicó que remitirá posterior</w:t>
      </w:r>
      <w:r w:rsidR="00990819">
        <w:rPr>
          <w:rFonts w:ascii="Cambria" w:hAnsi="Cambria"/>
          <w:sz w:val="21"/>
          <w:szCs w:val="21"/>
          <w:lang w:val="es-MX"/>
        </w:rPr>
        <w:t xml:space="preserve">mente un informe complementario, el cual </w:t>
      </w:r>
      <w:r w:rsidR="00782C9C">
        <w:rPr>
          <w:rFonts w:ascii="Cambria" w:hAnsi="Cambria"/>
          <w:sz w:val="21"/>
          <w:szCs w:val="21"/>
          <w:lang w:val="es-MX"/>
        </w:rPr>
        <w:t xml:space="preserve">aún </w:t>
      </w:r>
      <w:r w:rsidR="00990819">
        <w:rPr>
          <w:rFonts w:ascii="Cambria" w:hAnsi="Cambria"/>
          <w:sz w:val="21"/>
          <w:szCs w:val="21"/>
          <w:lang w:val="es-MX"/>
        </w:rPr>
        <w:t xml:space="preserve">no ha </w:t>
      </w:r>
      <w:r w:rsidR="00782C9C">
        <w:rPr>
          <w:rFonts w:ascii="Cambria" w:hAnsi="Cambria"/>
          <w:sz w:val="21"/>
          <w:szCs w:val="21"/>
          <w:lang w:val="es-MX"/>
        </w:rPr>
        <w:t xml:space="preserve">sido </w:t>
      </w:r>
      <w:r w:rsidR="00990819">
        <w:rPr>
          <w:rFonts w:ascii="Cambria" w:hAnsi="Cambria"/>
          <w:sz w:val="21"/>
          <w:szCs w:val="21"/>
          <w:lang w:val="es-MX"/>
        </w:rPr>
        <w:t xml:space="preserve">recibido. </w:t>
      </w:r>
      <w:r w:rsidR="00FC3209">
        <w:rPr>
          <w:rFonts w:ascii="Cambria" w:hAnsi="Cambria"/>
          <w:sz w:val="21"/>
          <w:szCs w:val="21"/>
          <w:lang w:val="es-MX"/>
        </w:rPr>
        <w:t xml:space="preserve"> </w:t>
      </w:r>
    </w:p>
    <w:p w14:paraId="09228D29" w14:textId="77777777" w:rsidR="00ED2666" w:rsidRPr="00ED2666" w:rsidRDefault="00ED2666" w:rsidP="00A93C9D">
      <w:pPr>
        <w:pStyle w:val="ListParagraph"/>
        <w:rPr>
          <w:rFonts w:ascii="Cambria" w:hAnsi="Cambria"/>
          <w:sz w:val="21"/>
          <w:szCs w:val="21"/>
          <w:lang w:val="es-ES_tradnl"/>
        </w:rPr>
      </w:pPr>
    </w:p>
    <w:p w14:paraId="049123C9" w14:textId="6A1B12F3" w:rsidR="00ED2666" w:rsidRPr="00ED2666" w:rsidRDefault="00ED2666" w:rsidP="00A93C9D">
      <w:pPr>
        <w:pStyle w:val="ListParagraph"/>
        <w:numPr>
          <w:ilvl w:val="0"/>
          <w:numId w:val="1"/>
        </w:numPr>
        <w:ind w:left="0" w:firstLine="360"/>
        <w:jc w:val="both"/>
        <w:rPr>
          <w:rFonts w:ascii="Cambria" w:hAnsi="Cambria"/>
          <w:sz w:val="21"/>
          <w:szCs w:val="21"/>
          <w:lang w:val="es-ES_tradnl"/>
        </w:rPr>
      </w:pPr>
      <w:r w:rsidRPr="00ED2666">
        <w:rPr>
          <w:rFonts w:ascii="Cambria" w:hAnsi="Cambria"/>
          <w:sz w:val="21"/>
          <w:szCs w:val="21"/>
          <w:lang w:val="es-ES_tradnl"/>
        </w:rPr>
        <w:t xml:space="preserve">Tras analizar las alegaciones de hecho y de derecho aportadas por las partes, la Comisión considera, desde el estándar </w:t>
      </w:r>
      <w:r w:rsidRPr="00ED2666">
        <w:rPr>
          <w:rFonts w:ascii="Cambria" w:hAnsi="Cambria"/>
          <w:i/>
          <w:sz w:val="21"/>
          <w:szCs w:val="21"/>
          <w:lang w:val="es-ES_tradnl"/>
        </w:rPr>
        <w:t>prima facie</w:t>
      </w:r>
      <w:r w:rsidRPr="00ED2666">
        <w:rPr>
          <w:rFonts w:ascii="Cambria" w:hAnsi="Cambria"/>
          <w:sz w:val="21"/>
          <w:szCs w:val="21"/>
          <w:lang w:val="es-ES_tradnl"/>
        </w:rPr>
        <w:t xml:space="preserve"> aplicable, que las familias de la Comunidad Nueva Austria del Sira se encuentran en una situación de gravedad y urgencia, toda vez que sus derechos enfrentan un riesgo de daño irreparable. Por consiguiente, con base en el artículo 25 de su Reglamento, </w:t>
      </w:r>
      <w:r w:rsidR="00782C9C">
        <w:rPr>
          <w:rFonts w:ascii="Cambria" w:hAnsi="Cambria"/>
          <w:sz w:val="21"/>
          <w:szCs w:val="21"/>
          <w:lang w:val="es-ES_tradnl"/>
        </w:rPr>
        <w:t>esta</w:t>
      </w:r>
      <w:r w:rsidRPr="00ED2666">
        <w:rPr>
          <w:rFonts w:ascii="Cambria" w:hAnsi="Cambria"/>
          <w:sz w:val="21"/>
          <w:szCs w:val="21"/>
          <w:lang w:val="es-ES_tradnl"/>
        </w:rPr>
        <w:t xml:space="preserve"> solicita </w:t>
      </w:r>
      <w:r w:rsidR="00782C9C">
        <w:rPr>
          <w:rFonts w:ascii="Cambria" w:hAnsi="Cambria"/>
          <w:sz w:val="21"/>
          <w:szCs w:val="21"/>
          <w:lang w:val="es-ES_tradnl"/>
        </w:rPr>
        <w:t>a</w:t>
      </w:r>
      <w:r w:rsidRPr="00ED2666">
        <w:rPr>
          <w:rFonts w:ascii="Cambria" w:hAnsi="Cambria"/>
          <w:sz w:val="21"/>
          <w:szCs w:val="21"/>
          <w:lang w:val="es-ES_tradnl"/>
        </w:rPr>
        <w:t xml:space="preserve"> Perú que: a) adopte las medidas necesarias para proteger los derechos a la vida e integridad personal de las familias de la C</w:t>
      </w:r>
      <w:r w:rsidR="00315CC8">
        <w:rPr>
          <w:rFonts w:ascii="Cambria" w:hAnsi="Cambria"/>
          <w:sz w:val="21"/>
          <w:szCs w:val="21"/>
          <w:lang w:val="es-ES_tradnl"/>
        </w:rPr>
        <w:t xml:space="preserve">omunidad Nueva Austria del Sira, </w:t>
      </w:r>
      <w:r w:rsidRPr="00ED2666">
        <w:rPr>
          <w:rFonts w:ascii="Cambria" w:hAnsi="Cambria"/>
          <w:sz w:val="21"/>
          <w:szCs w:val="21"/>
          <w:lang w:val="es-ES_tradnl"/>
        </w:rPr>
        <w:t>y evitar actos de violencia de parte de terceros; b) adopte las medidas de protección culturalmente adecuadas para proteger la vida y la integridad personal de las familias de la comunidad identificada; c) concierte las medidas a adoptarse con las personas beneficiarias y sus representantes; y d) informe sobre las acciones implementadas tendientes a investigar los hechos que dieron lugar a la adopción de la presente medidas cautelar y así evitar su repetición.</w:t>
      </w:r>
    </w:p>
    <w:p w14:paraId="4F167C4F" w14:textId="77777777" w:rsidR="00ED2666" w:rsidRPr="00ED2666" w:rsidRDefault="00ED2666" w:rsidP="00A93C9D">
      <w:pPr>
        <w:pStyle w:val="ListParagraph"/>
        <w:rPr>
          <w:rFonts w:ascii="Cambria" w:hAnsi="Cambria"/>
          <w:sz w:val="21"/>
          <w:szCs w:val="21"/>
          <w:lang w:val="es-ES_tradnl"/>
        </w:rPr>
      </w:pPr>
    </w:p>
    <w:p w14:paraId="156E6DAA" w14:textId="77777777" w:rsidR="00A46838" w:rsidRPr="00830EDD" w:rsidRDefault="00A46838" w:rsidP="00A93C9D">
      <w:pPr>
        <w:pStyle w:val="ListParagraph"/>
        <w:numPr>
          <w:ilvl w:val="0"/>
          <w:numId w:val="2"/>
        </w:numPr>
        <w:ind w:left="540" w:firstLine="0"/>
        <w:jc w:val="both"/>
        <w:rPr>
          <w:rFonts w:ascii="Cambria" w:hAnsi="Cambria"/>
          <w:b/>
          <w:sz w:val="21"/>
          <w:szCs w:val="21"/>
          <w:lang w:val="es-ES_tradnl"/>
        </w:rPr>
      </w:pPr>
      <w:r w:rsidRPr="00830EDD">
        <w:rPr>
          <w:rFonts w:ascii="Cambria" w:hAnsi="Cambria"/>
          <w:b/>
          <w:sz w:val="21"/>
          <w:szCs w:val="21"/>
          <w:lang w:val="es-ES_tradnl"/>
        </w:rPr>
        <w:t xml:space="preserve">RESUMEN DE LOS HECHOS Y ARGUMENTOS APORTADOS POR </w:t>
      </w:r>
      <w:r w:rsidR="002C269C" w:rsidRPr="00830EDD">
        <w:rPr>
          <w:rFonts w:ascii="Cambria" w:hAnsi="Cambria"/>
          <w:b/>
          <w:sz w:val="21"/>
          <w:szCs w:val="21"/>
          <w:lang w:val="es-ES_tradnl"/>
        </w:rPr>
        <w:t>L</w:t>
      </w:r>
      <w:r w:rsidR="003B2C14">
        <w:rPr>
          <w:rFonts w:ascii="Cambria" w:hAnsi="Cambria"/>
          <w:b/>
          <w:sz w:val="21"/>
          <w:szCs w:val="21"/>
          <w:lang w:val="es-ES_tradnl"/>
        </w:rPr>
        <w:t>AS PARTES</w:t>
      </w:r>
    </w:p>
    <w:p w14:paraId="4871E0D5" w14:textId="77777777" w:rsidR="00A46838" w:rsidRPr="00830EDD" w:rsidRDefault="00A46838" w:rsidP="00A93C9D">
      <w:pPr>
        <w:jc w:val="both"/>
        <w:rPr>
          <w:rFonts w:ascii="Cambria" w:hAnsi="Cambria"/>
          <w:sz w:val="21"/>
          <w:szCs w:val="21"/>
          <w:lang w:val="es-ES_tradnl"/>
        </w:rPr>
      </w:pPr>
    </w:p>
    <w:p w14:paraId="53CB2F8F" w14:textId="77777777" w:rsidR="00A46838" w:rsidRPr="00830EDD" w:rsidRDefault="00BF7D6A" w:rsidP="00A93C9D">
      <w:pPr>
        <w:pStyle w:val="ListParagraph"/>
        <w:numPr>
          <w:ilvl w:val="0"/>
          <w:numId w:val="3"/>
        </w:numPr>
        <w:ind w:left="0" w:firstLine="360"/>
        <w:jc w:val="both"/>
        <w:rPr>
          <w:rFonts w:ascii="Cambria" w:hAnsi="Cambria"/>
          <w:b/>
          <w:sz w:val="21"/>
          <w:szCs w:val="21"/>
          <w:lang w:val="es-ES_tradnl"/>
        </w:rPr>
      </w:pPr>
      <w:r w:rsidRPr="00830EDD">
        <w:rPr>
          <w:rFonts w:ascii="Cambria" w:hAnsi="Cambria"/>
          <w:b/>
          <w:sz w:val="21"/>
          <w:szCs w:val="21"/>
          <w:lang w:val="es-ES_tradnl"/>
        </w:rPr>
        <w:t>Informaci</w:t>
      </w:r>
      <w:r w:rsidR="00465068" w:rsidRPr="00830EDD">
        <w:rPr>
          <w:rFonts w:ascii="Cambria" w:hAnsi="Cambria"/>
          <w:b/>
          <w:sz w:val="21"/>
          <w:szCs w:val="21"/>
          <w:lang w:val="es-ES_tradnl"/>
        </w:rPr>
        <w:t>ón aportada por la solicitante</w:t>
      </w:r>
    </w:p>
    <w:p w14:paraId="34EC552B" w14:textId="77777777" w:rsidR="00057A18" w:rsidRPr="00830EDD" w:rsidRDefault="00057A18" w:rsidP="00A93C9D">
      <w:pPr>
        <w:jc w:val="both"/>
        <w:rPr>
          <w:rFonts w:ascii="Cambria" w:hAnsi="Cambria"/>
          <w:sz w:val="21"/>
          <w:szCs w:val="21"/>
          <w:lang w:val="es-ES_tradnl"/>
        </w:rPr>
      </w:pPr>
    </w:p>
    <w:p w14:paraId="6769E379" w14:textId="3F09EFE9" w:rsidR="00E32071" w:rsidRPr="00351328" w:rsidRDefault="004C0BD2" w:rsidP="00A93C9D">
      <w:pPr>
        <w:pStyle w:val="ListParagraph"/>
        <w:numPr>
          <w:ilvl w:val="0"/>
          <w:numId w:val="1"/>
        </w:numPr>
        <w:ind w:left="0" w:firstLine="360"/>
        <w:jc w:val="both"/>
        <w:rPr>
          <w:rFonts w:ascii="Cambria" w:eastAsia="Calibri" w:hAnsi="Cambria" w:cs="Times New Roman"/>
          <w:sz w:val="21"/>
          <w:szCs w:val="21"/>
          <w:lang w:val="es-ES"/>
        </w:rPr>
      </w:pPr>
      <w:r>
        <w:rPr>
          <w:rFonts w:ascii="Cambria" w:eastAsia="Calibri" w:hAnsi="Cambria" w:cs="Times New Roman"/>
          <w:sz w:val="21"/>
          <w:szCs w:val="21"/>
          <w:lang w:val="es-ES"/>
        </w:rPr>
        <w:t>El universo de</w:t>
      </w:r>
      <w:r w:rsidRPr="00E32071">
        <w:rPr>
          <w:rFonts w:ascii="Cambria" w:eastAsia="Calibri" w:hAnsi="Cambria" w:cs="Times New Roman"/>
          <w:sz w:val="21"/>
          <w:szCs w:val="21"/>
          <w:lang w:val="es-ES"/>
        </w:rPr>
        <w:t xml:space="preserve"> </w:t>
      </w:r>
      <w:r w:rsidR="00E32071" w:rsidRPr="00E32071">
        <w:rPr>
          <w:rFonts w:ascii="Cambria" w:eastAsia="Calibri" w:hAnsi="Cambria" w:cs="Times New Roman"/>
          <w:sz w:val="21"/>
          <w:szCs w:val="21"/>
          <w:lang w:val="es-ES"/>
        </w:rPr>
        <w:t xml:space="preserve">propuestos beneficiarios </w:t>
      </w:r>
      <w:r>
        <w:rPr>
          <w:rFonts w:ascii="Cambria" w:eastAsia="Calibri" w:hAnsi="Cambria" w:cs="Times New Roman"/>
          <w:sz w:val="21"/>
          <w:szCs w:val="21"/>
          <w:lang w:val="es-ES"/>
        </w:rPr>
        <w:t xml:space="preserve">está conformado por </w:t>
      </w:r>
      <w:r w:rsidR="00E32071" w:rsidRPr="00E32071">
        <w:rPr>
          <w:rFonts w:ascii="Cambria" w:eastAsia="Calibri" w:hAnsi="Cambria" w:cs="Times New Roman"/>
          <w:sz w:val="21"/>
          <w:szCs w:val="21"/>
          <w:lang w:val="es-ES"/>
        </w:rPr>
        <w:t xml:space="preserve">14 familias de </w:t>
      </w:r>
      <w:r w:rsidR="00E0173E">
        <w:rPr>
          <w:rFonts w:ascii="Cambria" w:eastAsia="Calibri" w:hAnsi="Cambria" w:cs="Times New Roman"/>
          <w:sz w:val="21"/>
          <w:szCs w:val="21"/>
          <w:lang w:val="es-ES"/>
        </w:rPr>
        <w:t xml:space="preserve">la </w:t>
      </w:r>
      <w:r w:rsidR="00E0173E" w:rsidRPr="00E32071">
        <w:rPr>
          <w:rFonts w:ascii="Cambria" w:eastAsia="Calibri" w:hAnsi="Cambria" w:cs="Times New Roman"/>
          <w:sz w:val="21"/>
          <w:szCs w:val="21"/>
          <w:lang w:val="es-ES"/>
        </w:rPr>
        <w:t xml:space="preserve">Comunidad Nueva Austria del Sira </w:t>
      </w:r>
      <w:r w:rsidR="00E0173E">
        <w:rPr>
          <w:rFonts w:ascii="Cambria" w:eastAsia="Calibri" w:hAnsi="Cambria" w:cs="Times New Roman"/>
          <w:sz w:val="21"/>
          <w:szCs w:val="21"/>
          <w:lang w:val="es-ES"/>
        </w:rPr>
        <w:t xml:space="preserve">de </w:t>
      </w:r>
      <w:r w:rsidR="00E32071" w:rsidRPr="00E32071">
        <w:rPr>
          <w:rFonts w:ascii="Cambria" w:eastAsia="Calibri" w:hAnsi="Cambria" w:cs="Times New Roman"/>
          <w:sz w:val="21"/>
          <w:szCs w:val="21"/>
          <w:lang w:val="es-ES"/>
        </w:rPr>
        <w:t xml:space="preserve">los </w:t>
      </w:r>
      <w:r w:rsidR="003F6F63">
        <w:rPr>
          <w:rFonts w:ascii="Cambria" w:eastAsia="Calibri" w:hAnsi="Cambria" w:cs="Times New Roman"/>
          <w:sz w:val="21"/>
          <w:szCs w:val="21"/>
          <w:lang w:val="es-ES"/>
        </w:rPr>
        <w:t>pueblos indígenas Yanesha y Ashá</w:t>
      </w:r>
      <w:r w:rsidR="00E32071" w:rsidRPr="00E32071">
        <w:rPr>
          <w:rFonts w:ascii="Cambria" w:eastAsia="Calibri" w:hAnsi="Cambria" w:cs="Times New Roman"/>
          <w:sz w:val="21"/>
          <w:szCs w:val="21"/>
          <w:lang w:val="es-ES"/>
        </w:rPr>
        <w:t>ninka, ubicada en la provincia y distrito de Puerto Inca, Departamento de Huánuco</w:t>
      </w:r>
      <w:r w:rsidR="008B0B84">
        <w:rPr>
          <w:rStyle w:val="FootnoteReference"/>
          <w:rFonts w:ascii="Cambria" w:eastAsia="Calibri" w:hAnsi="Cambria" w:cs="Times New Roman"/>
          <w:sz w:val="21"/>
          <w:szCs w:val="21"/>
          <w:lang w:val="es-ES"/>
        </w:rPr>
        <w:footnoteReference w:id="3"/>
      </w:r>
      <w:r w:rsidR="00E32071" w:rsidRPr="00E32071">
        <w:rPr>
          <w:rFonts w:ascii="Cambria" w:eastAsia="Calibri" w:hAnsi="Cambria" w:cs="Times New Roman"/>
          <w:sz w:val="21"/>
          <w:szCs w:val="21"/>
          <w:lang w:val="es-ES"/>
        </w:rPr>
        <w:t>. Las familias ocuparían un área de 14, 443 hectáreas que forma</w:t>
      </w:r>
      <w:r w:rsidR="00E32071">
        <w:rPr>
          <w:rFonts w:ascii="Cambria" w:eastAsia="Calibri" w:hAnsi="Cambria" w:cs="Times New Roman"/>
          <w:sz w:val="21"/>
          <w:szCs w:val="21"/>
          <w:lang w:val="es-ES"/>
        </w:rPr>
        <w:t>n</w:t>
      </w:r>
      <w:r w:rsidR="00E32071" w:rsidRPr="00E32071">
        <w:rPr>
          <w:rFonts w:ascii="Cambria" w:eastAsia="Calibri" w:hAnsi="Cambria" w:cs="Times New Roman"/>
          <w:sz w:val="21"/>
          <w:szCs w:val="21"/>
          <w:lang w:val="es-ES"/>
        </w:rPr>
        <w:t xml:space="preserve"> parte de la zona de amortiguamiento con la Reserva Comunal del Sira.</w:t>
      </w:r>
      <w:r w:rsidR="00351328">
        <w:rPr>
          <w:rFonts w:ascii="Cambria" w:eastAsia="Calibri" w:hAnsi="Cambria" w:cs="Times New Roman"/>
          <w:sz w:val="21"/>
          <w:szCs w:val="21"/>
          <w:lang w:val="es-ES"/>
        </w:rPr>
        <w:t xml:space="preserve"> </w:t>
      </w:r>
      <w:r w:rsidR="00E32071" w:rsidRPr="00351328">
        <w:rPr>
          <w:rFonts w:ascii="Cambria" w:eastAsia="Calibri" w:hAnsi="Cambria" w:cs="Times New Roman"/>
          <w:sz w:val="21"/>
          <w:szCs w:val="21"/>
          <w:lang w:val="es-ES"/>
        </w:rPr>
        <w:t xml:space="preserve">En el 2004, la comunidad habría sido reconocida por el Gobierno Regional de Huánuco e inscrita en Registros Públicos. A lo largo de los años no habría logrado la titulación de su territorio, presentando cuestionamientos procesales al procedimiento existente en el Perú. La Comunidad habría impulsado, junto con otras, la creación de la </w:t>
      </w:r>
      <w:r w:rsidR="00E32071" w:rsidRPr="00351328">
        <w:rPr>
          <w:rFonts w:ascii="Cambria" w:eastAsia="Calibri" w:hAnsi="Cambria" w:cs="Times New Roman"/>
          <w:sz w:val="21"/>
          <w:szCs w:val="21"/>
          <w:lang w:val="es-ES"/>
        </w:rPr>
        <w:lastRenderedPageBreak/>
        <w:t xml:space="preserve">Reserva Comunal del SIRA en el 2001. La Comunidad sería socia del Ejecutor del Contrato de Administración de la Reserva Comunal El Sira-ECOSIRA. </w:t>
      </w:r>
    </w:p>
    <w:p w14:paraId="560A0F39" w14:textId="77777777" w:rsidR="00351328" w:rsidRDefault="00351328" w:rsidP="00A93C9D">
      <w:pPr>
        <w:ind w:left="360"/>
        <w:jc w:val="both"/>
        <w:rPr>
          <w:rFonts w:ascii="Cambria" w:eastAsia="Calibri" w:hAnsi="Cambria" w:cs="Times New Roman"/>
          <w:sz w:val="21"/>
          <w:szCs w:val="21"/>
          <w:lang w:val="es-ES"/>
        </w:rPr>
      </w:pPr>
    </w:p>
    <w:p w14:paraId="64489A48" w14:textId="78B6F511" w:rsidR="00E32071" w:rsidRPr="00E32071" w:rsidRDefault="00E32071" w:rsidP="00A93C9D">
      <w:pPr>
        <w:numPr>
          <w:ilvl w:val="0"/>
          <w:numId w:val="1"/>
        </w:numPr>
        <w:ind w:left="0" w:firstLine="360"/>
        <w:jc w:val="both"/>
        <w:rPr>
          <w:rFonts w:ascii="Cambria" w:eastAsia="Calibri" w:hAnsi="Cambria" w:cs="Times New Roman"/>
          <w:sz w:val="21"/>
          <w:szCs w:val="21"/>
          <w:lang w:val="es-ES"/>
        </w:rPr>
      </w:pPr>
      <w:r w:rsidRPr="00E32071">
        <w:rPr>
          <w:rFonts w:ascii="Cambria" w:eastAsia="Calibri" w:hAnsi="Cambria" w:cs="Times New Roman"/>
          <w:sz w:val="21"/>
          <w:szCs w:val="21"/>
          <w:lang w:val="es-ES"/>
        </w:rPr>
        <w:t xml:space="preserve">En el 2006, la comunidad habría empezado a sufrir la invasión de personas foráneas, quienes habrían empezado a talar los bosques primarios y depredando los recursos naturales. </w:t>
      </w:r>
      <w:r w:rsidR="00396EF1">
        <w:rPr>
          <w:rFonts w:ascii="Cambria" w:eastAsia="Calibri" w:hAnsi="Cambria" w:cs="Times New Roman"/>
          <w:sz w:val="21"/>
          <w:szCs w:val="21"/>
          <w:lang w:val="es-ES"/>
        </w:rPr>
        <w:t xml:space="preserve">La solicitante resaltó </w:t>
      </w:r>
      <w:r w:rsidRPr="00E32071">
        <w:rPr>
          <w:rFonts w:ascii="Cambria" w:eastAsia="Calibri" w:hAnsi="Cambria" w:cs="Times New Roman"/>
          <w:sz w:val="21"/>
          <w:szCs w:val="21"/>
          <w:lang w:val="es-ES"/>
        </w:rPr>
        <w:t xml:space="preserve">un desbosque masivo practicado en las zonas ocupadas por los </w:t>
      </w:r>
      <w:r w:rsidR="00396EF1">
        <w:rPr>
          <w:rFonts w:ascii="Cambria" w:eastAsia="Calibri" w:hAnsi="Cambria" w:cs="Times New Roman"/>
          <w:sz w:val="21"/>
          <w:szCs w:val="21"/>
          <w:lang w:val="es-ES"/>
        </w:rPr>
        <w:t>“</w:t>
      </w:r>
      <w:r w:rsidRPr="00E32071">
        <w:rPr>
          <w:rFonts w:ascii="Cambria" w:eastAsia="Calibri" w:hAnsi="Cambria" w:cs="Times New Roman"/>
          <w:sz w:val="21"/>
          <w:szCs w:val="21"/>
          <w:lang w:val="es-ES"/>
        </w:rPr>
        <w:t>invasores</w:t>
      </w:r>
      <w:r w:rsidR="00396EF1">
        <w:rPr>
          <w:rFonts w:ascii="Cambria" w:eastAsia="Calibri" w:hAnsi="Cambria" w:cs="Times New Roman"/>
          <w:sz w:val="21"/>
          <w:szCs w:val="21"/>
          <w:lang w:val="es-ES"/>
        </w:rPr>
        <w:t>”</w:t>
      </w:r>
      <w:r w:rsidRPr="00E32071">
        <w:rPr>
          <w:rFonts w:ascii="Cambria" w:eastAsia="Calibri" w:hAnsi="Cambria" w:cs="Times New Roman"/>
          <w:sz w:val="21"/>
          <w:szCs w:val="21"/>
          <w:lang w:val="es-ES"/>
        </w:rPr>
        <w:t xml:space="preserve">, mientras que en el área cercana a la Reserva El Sira, donde se concentran las viviendas comunales, la cubierta vegetal se conservaría. Los solicitantes indicaron que </w:t>
      </w:r>
      <w:r w:rsidR="004C0BD2">
        <w:rPr>
          <w:rFonts w:ascii="Cambria" w:eastAsia="Calibri" w:hAnsi="Cambria" w:cs="Times New Roman"/>
          <w:sz w:val="21"/>
          <w:szCs w:val="21"/>
          <w:lang w:val="es-ES"/>
        </w:rPr>
        <w:t>pusieron</w:t>
      </w:r>
      <w:r w:rsidRPr="00E32071">
        <w:rPr>
          <w:rFonts w:ascii="Cambria" w:eastAsia="Calibri" w:hAnsi="Cambria" w:cs="Times New Roman"/>
          <w:sz w:val="21"/>
          <w:szCs w:val="21"/>
          <w:lang w:val="es-ES"/>
        </w:rPr>
        <w:t xml:space="preserve"> en conocimiento de esta situación a las autoridades a lo largo del tiempo, sin </w:t>
      </w:r>
      <w:r w:rsidR="004C0BD2">
        <w:rPr>
          <w:rFonts w:ascii="Cambria" w:eastAsia="Calibri" w:hAnsi="Cambria" w:cs="Times New Roman"/>
          <w:sz w:val="21"/>
          <w:szCs w:val="21"/>
          <w:lang w:val="es-ES"/>
        </w:rPr>
        <w:t xml:space="preserve">que estas adoptaran </w:t>
      </w:r>
      <w:r w:rsidRPr="00E32071">
        <w:rPr>
          <w:rFonts w:ascii="Cambria" w:eastAsia="Calibri" w:hAnsi="Cambria" w:cs="Times New Roman"/>
          <w:sz w:val="21"/>
          <w:szCs w:val="21"/>
          <w:lang w:val="es-ES"/>
        </w:rPr>
        <w:t>medida</w:t>
      </w:r>
      <w:r w:rsidR="004C0BD2" w:rsidRPr="004C0BD2">
        <w:rPr>
          <w:rFonts w:ascii="Cambria" w:eastAsia="Calibri" w:hAnsi="Cambria" w:cs="Times New Roman"/>
          <w:sz w:val="21"/>
          <w:szCs w:val="21"/>
          <w:lang w:val="es-ES"/>
        </w:rPr>
        <w:t xml:space="preserve"> </w:t>
      </w:r>
      <w:r w:rsidR="004C0BD2" w:rsidRPr="00E32071">
        <w:rPr>
          <w:rFonts w:ascii="Cambria" w:eastAsia="Calibri" w:hAnsi="Cambria" w:cs="Times New Roman"/>
          <w:sz w:val="21"/>
          <w:szCs w:val="21"/>
          <w:lang w:val="es-ES"/>
        </w:rPr>
        <w:t>alguna</w:t>
      </w:r>
      <w:r w:rsidRPr="00E32071">
        <w:rPr>
          <w:rFonts w:ascii="Cambria" w:eastAsia="Calibri" w:hAnsi="Cambria" w:cs="Times New Roman"/>
          <w:sz w:val="21"/>
          <w:szCs w:val="21"/>
          <w:lang w:val="es-ES"/>
        </w:rPr>
        <w:t xml:space="preserve">. Se destacó </w:t>
      </w:r>
      <w:r w:rsidR="004C0BD2">
        <w:rPr>
          <w:rFonts w:ascii="Cambria" w:eastAsia="Calibri" w:hAnsi="Cambria" w:cs="Times New Roman"/>
          <w:sz w:val="21"/>
          <w:szCs w:val="21"/>
          <w:lang w:val="es-ES"/>
        </w:rPr>
        <w:t xml:space="preserve">igualmente </w:t>
      </w:r>
      <w:r w:rsidRPr="00E32071">
        <w:rPr>
          <w:rFonts w:ascii="Cambria" w:eastAsia="Calibri" w:hAnsi="Cambria" w:cs="Times New Roman"/>
          <w:sz w:val="21"/>
          <w:szCs w:val="21"/>
          <w:lang w:val="es-ES"/>
        </w:rPr>
        <w:t>que las autoridades de la comunidad han sido denunciadas por decomisar y poner a disposición de la Fiscalía las motosierras empleadas por los taladores en agosto del 2015.</w:t>
      </w:r>
    </w:p>
    <w:p w14:paraId="7C1449E4" w14:textId="77777777" w:rsidR="00E0173E" w:rsidRDefault="00E0173E" w:rsidP="00A93C9D">
      <w:pPr>
        <w:ind w:left="360"/>
        <w:jc w:val="both"/>
        <w:rPr>
          <w:rFonts w:ascii="Cambria" w:eastAsia="Calibri" w:hAnsi="Cambria" w:cs="Times New Roman"/>
          <w:sz w:val="21"/>
          <w:szCs w:val="21"/>
          <w:lang w:val="es-ES"/>
        </w:rPr>
      </w:pPr>
    </w:p>
    <w:p w14:paraId="5053A9A0" w14:textId="7AFDC772" w:rsidR="00E32071" w:rsidRPr="00E32071" w:rsidRDefault="00396EF1" w:rsidP="00A93C9D">
      <w:pPr>
        <w:numPr>
          <w:ilvl w:val="0"/>
          <w:numId w:val="1"/>
        </w:numPr>
        <w:ind w:left="0" w:firstLine="360"/>
        <w:jc w:val="both"/>
        <w:rPr>
          <w:rFonts w:ascii="Cambria" w:eastAsia="Calibri" w:hAnsi="Cambria" w:cs="Times New Roman"/>
          <w:sz w:val="21"/>
          <w:szCs w:val="21"/>
          <w:lang w:val="es-ES"/>
        </w:rPr>
      </w:pPr>
      <w:r>
        <w:rPr>
          <w:rFonts w:ascii="Cambria" w:eastAsia="Calibri" w:hAnsi="Cambria" w:cs="Times New Roman"/>
          <w:sz w:val="21"/>
          <w:szCs w:val="21"/>
          <w:lang w:val="es-ES"/>
        </w:rPr>
        <w:t xml:space="preserve">La solicitante indicó </w:t>
      </w:r>
      <w:r w:rsidR="00E32071" w:rsidRPr="00E32071">
        <w:rPr>
          <w:rFonts w:ascii="Cambria" w:eastAsia="Calibri" w:hAnsi="Cambria" w:cs="Times New Roman"/>
          <w:sz w:val="21"/>
          <w:szCs w:val="21"/>
          <w:lang w:val="es-ES"/>
        </w:rPr>
        <w:t xml:space="preserve">que </w:t>
      </w:r>
      <w:r>
        <w:rPr>
          <w:rFonts w:ascii="Cambria" w:eastAsia="Calibri" w:hAnsi="Cambria" w:cs="Times New Roman"/>
          <w:sz w:val="21"/>
          <w:szCs w:val="21"/>
          <w:lang w:val="es-ES"/>
        </w:rPr>
        <w:t xml:space="preserve">los “invasores” </w:t>
      </w:r>
      <w:r w:rsidR="00E32071" w:rsidRPr="00E32071">
        <w:rPr>
          <w:rFonts w:ascii="Cambria" w:eastAsia="Calibri" w:hAnsi="Cambria" w:cs="Times New Roman"/>
          <w:sz w:val="21"/>
          <w:szCs w:val="21"/>
          <w:lang w:val="es-ES"/>
        </w:rPr>
        <w:t>plantearon una acción judicial para extinguir la personalidad jurídica de la Comunidad</w:t>
      </w:r>
      <w:r>
        <w:rPr>
          <w:rFonts w:ascii="Cambria" w:eastAsia="Calibri" w:hAnsi="Cambria" w:cs="Times New Roman"/>
          <w:sz w:val="21"/>
          <w:szCs w:val="21"/>
          <w:lang w:val="es-ES"/>
        </w:rPr>
        <w:t xml:space="preserve"> siendo que,</w:t>
      </w:r>
      <w:r w:rsidR="00E32071" w:rsidRPr="00E32071">
        <w:rPr>
          <w:rFonts w:ascii="Cambria" w:eastAsia="Calibri" w:hAnsi="Cambria" w:cs="Times New Roman"/>
          <w:sz w:val="21"/>
          <w:szCs w:val="21"/>
          <w:lang w:val="es-ES"/>
        </w:rPr>
        <w:t xml:space="preserve"> en agosto del 2014, a pesar de la opinión en contra del Ministerio Público, y sin haber realizado una constatación por personal especializado en el territorio de la Comunidad, el Juzgado Mixto de Puerto Inca </w:t>
      </w:r>
      <w:r w:rsidR="004C0BD2">
        <w:rPr>
          <w:rFonts w:ascii="Cambria" w:eastAsia="Calibri" w:hAnsi="Cambria" w:cs="Times New Roman"/>
          <w:sz w:val="21"/>
          <w:szCs w:val="21"/>
          <w:lang w:val="es-ES"/>
        </w:rPr>
        <w:t>ordenó</w:t>
      </w:r>
      <w:r w:rsidR="00E32071" w:rsidRPr="00E32071">
        <w:rPr>
          <w:rFonts w:ascii="Cambria" w:eastAsia="Calibri" w:hAnsi="Cambria" w:cs="Times New Roman"/>
          <w:sz w:val="21"/>
          <w:szCs w:val="21"/>
          <w:lang w:val="es-ES"/>
        </w:rPr>
        <w:t xml:space="preserve"> declarar nulo el reconocimiento de la Comunidad. En cumplimiento de </w:t>
      </w:r>
      <w:r>
        <w:rPr>
          <w:rFonts w:ascii="Cambria" w:eastAsia="Calibri" w:hAnsi="Cambria" w:cs="Times New Roman"/>
          <w:sz w:val="21"/>
          <w:szCs w:val="21"/>
          <w:lang w:val="es-ES"/>
        </w:rPr>
        <w:t xml:space="preserve">dicha decisión, </w:t>
      </w:r>
      <w:r w:rsidR="00E32071" w:rsidRPr="00E32071">
        <w:rPr>
          <w:rFonts w:ascii="Cambria" w:eastAsia="Calibri" w:hAnsi="Cambria" w:cs="Times New Roman"/>
          <w:sz w:val="21"/>
          <w:szCs w:val="21"/>
          <w:lang w:val="es-ES"/>
        </w:rPr>
        <w:t xml:space="preserve">el Gobierno Regional </w:t>
      </w:r>
      <w:r w:rsidR="009F65BF">
        <w:rPr>
          <w:rFonts w:ascii="Cambria" w:eastAsia="Calibri" w:hAnsi="Cambria" w:cs="Times New Roman"/>
          <w:sz w:val="21"/>
          <w:szCs w:val="21"/>
          <w:lang w:val="es-ES"/>
        </w:rPr>
        <w:t xml:space="preserve">de Huánuco </w:t>
      </w:r>
      <w:r w:rsidR="004C0BD2">
        <w:rPr>
          <w:rFonts w:ascii="Cambria" w:eastAsia="Calibri" w:hAnsi="Cambria" w:cs="Times New Roman"/>
          <w:sz w:val="21"/>
          <w:szCs w:val="21"/>
          <w:lang w:val="es-ES"/>
        </w:rPr>
        <w:t>anuló</w:t>
      </w:r>
      <w:r w:rsidR="009F65BF">
        <w:rPr>
          <w:rFonts w:ascii="Cambria" w:eastAsia="Calibri" w:hAnsi="Cambria" w:cs="Times New Roman"/>
          <w:sz w:val="21"/>
          <w:szCs w:val="21"/>
          <w:lang w:val="es-ES"/>
        </w:rPr>
        <w:t xml:space="preserve"> </w:t>
      </w:r>
      <w:r w:rsidR="00E32071" w:rsidRPr="00E32071">
        <w:rPr>
          <w:rFonts w:ascii="Cambria" w:eastAsia="Calibri" w:hAnsi="Cambria" w:cs="Times New Roman"/>
          <w:sz w:val="21"/>
          <w:szCs w:val="21"/>
          <w:lang w:val="es-ES"/>
        </w:rPr>
        <w:t xml:space="preserve">el reconocimiento de la Comunidad en abril del 2016. En junio de 2018, la comunidad </w:t>
      </w:r>
      <w:r w:rsidR="004C0BD2">
        <w:rPr>
          <w:rFonts w:ascii="Cambria" w:eastAsia="Calibri" w:hAnsi="Cambria" w:cs="Times New Roman"/>
          <w:sz w:val="21"/>
          <w:szCs w:val="21"/>
          <w:lang w:val="es-ES"/>
        </w:rPr>
        <w:t>inició</w:t>
      </w:r>
      <w:r w:rsidR="00E32071" w:rsidRPr="00E32071">
        <w:rPr>
          <w:rFonts w:ascii="Cambria" w:eastAsia="Calibri" w:hAnsi="Cambria" w:cs="Times New Roman"/>
          <w:sz w:val="21"/>
          <w:szCs w:val="21"/>
          <w:lang w:val="es-ES"/>
        </w:rPr>
        <w:t xml:space="preserve"> nuevamente su procedimiento de reconocimiento, sin </w:t>
      </w:r>
      <w:r>
        <w:rPr>
          <w:rFonts w:ascii="Cambria" w:eastAsia="Calibri" w:hAnsi="Cambria" w:cs="Times New Roman"/>
          <w:sz w:val="21"/>
          <w:szCs w:val="21"/>
          <w:lang w:val="es-ES"/>
        </w:rPr>
        <w:t xml:space="preserve">presentarse </w:t>
      </w:r>
      <w:r w:rsidR="00E32071" w:rsidRPr="00E32071">
        <w:rPr>
          <w:rFonts w:ascii="Cambria" w:eastAsia="Calibri" w:hAnsi="Cambria" w:cs="Times New Roman"/>
          <w:sz w:val="21"/>
          <w:szCs w:val="21"/>
          <w:lang w:val="es-ES"/>
        </w:rPr>
        <w:t xml:space="preserve">avances. </w:t>
      </w:r>
    </w:p>
    <w:p w14:paraId="7BCF08DA" w14:textId="77777777" w:rsidR="00396EF1" w:rsidRDefault="00396EF1" w:rsidP="00A93C9D">
      <w:pPr>
        <w:ind w:left="360"/>
        <w:jc w:val="both"/>
        <w:rPr>
          <w:rFonts w:ascii="Cambria" w:eastAsia="Calibri" w:hAnsi="Cambria" w:cs="Times New Roman"/>
          <w:sz w:val="21"/>
          <w:szCs w:val="21"/>
          <w:lang w:val="es-ES"/>
        </w:rPr>
      </w:pPr>
    </w:p>
    <w:p w14:paraId="349F476D" w14:textId="2B52F69C" w:rsidR="00E32071" w:rsidRPr="00E32071" w:rsidRDefault="00E32071" w:rsidP="00A93C9D">
      <w:pPr>
        <w:numPr>
          <w:ilvl w:val="0"/>
          <w:numId w:val="1"/>
        </w:numPr>
        <w:ind w:left="0" w:firstLine="360"/>
        <w:jc w:val="both"/>
        <w:rPr>
          <w:rFonts w:ascii="Cambria" w:eastAsia="Calibri" w:hAnsi="Cambria" w:cs="Times New Roman"/>
          <w:sz w:val="21"/>
          <w:szCs w:val="21"/>
          <w:lang w:val="es-ES"/>
        </w:rPr>
      </w:pPr>
      <w:r w:rsidRPr="00E32071">
        <w:rPr>
          <w:rFonts w:ascii="Cambria" w:eastAsia="Calibri" w:hAnsi="Cambria" w:cs="Times New Roman"/>
          <w:sz w:val="21"/>
          <w:szCs w:val="21"/>
          <w:lang w:val="es-ES"/>
        </w:rPr>
        <w:t xml:space="preserve">Paralelamente, </w:t>
      </w:r>
      <w:r w:rsidR="00396EF1">
        <w:rPr>
          <w:rFonts w:ascii="Cambria" w:eastAsia="Calibri" w:hAnsi="Cambria" w:cs="Times New Roman"/>
          <w:sz w:val="21"/>
          <w:szCs w:val="21"/>
          <w:lang w:val="es-ES"/>
        </w:rPr>
        <w:t>la solicitante indicó que</w:t>
      </w:r>
      <w:r w:rsidRPr="00E32071">
        <w:rPr>
          <w:rFonts w:ascii="Cambria" w:eastAsia="Calibri" w:hAnsi="Cambria" w:cs="Times New Roman"/>
          <w:sz w:val="21"/>
          <w:szCs w:val="21"/>
          <w:lang w:val="es-ES"/>
        </w:rPr>
        <w:t xml:space="preserve"> el Gobierno Regional de Huánuco </w:t>
      </w:r>
      <w:r w:rsidR="004C0BD2">
        <w:rPr>
          <w:rFonts w:ascii="Cambria" w:eastAsia="Calibri" w:hAnsi="Cambria" w:cs="Times New Roman"/>
          <w:sz w:val="21"/>
          <w:szCs w:val="21"/>
          <w:lang w:val="es-ES"/>
        </w:rPr>
        <w:t>comenzó</w:t>
      </w:r>
      <w:r w:rsidRPr="00E32071">
        <w:rPr>
          <w:rFonts w:ascii="Cambria" w:eastAsia="Calibri" w:hAnsi="Cambria" w:cs="Times New Roman"/>
          <w:sz w:val="21"/>
          <w:szCs w:val="21"/>
          <w:lang w:val="es-ES"/>
        </w:rPr>
        <w:t xml:space="preserve"> a entregar títulos individuales sobre más del 60% del territorio reclamado como </w:t>
      </w:r>
      <w:r w:rsidR="00396EF1">
        <w:rPr>
          <w:rFonts w:ascii="Cambria" w:eastAsia="Calibri" w:hAnsi="Cambria" w:cs="Times New Roman"/>
          <w:sz w:val="21"/>
          <w:szCs w:val="21"/>
          <w:lang w:val="es-ES"/>
        </w:rPr>
        <w:t>de la comunidad</w:t>
      </w:r>
      <w:r w:rsidR="009F65BF">
        <w:rPr>
          <w:rFonts w:ascii="Cambria" w:eastAsia="Calibri" w:hAnsi="Cambria" w:cs="Times New Roman"/>
          <w:sz w:val="21"/>
          <w:szCs w:val="21"/>
          <w:lang w:val="es-ES"/>
        </w:rPr>
        <w:t xml:space="preserve">, siendo que </w:t>
      </w:r>
      <w:r w:rsidRPr="00E32071">
        <w:rPr>
          <w:rFonts w:ascii="Cambria" w:eastAsia="Calibri" w:hAnsi="Cambria" w:cs="Times New Roman"/>
          <w:sz w:val="21"/>
          <w:szCs w:val="21"/>
          <w:lang w:val="es-ES"/>
        </w:rPr>
        <w:t xml:space="preserve">uno de los títulos se superpondría a la casa comunal. </w:t>
      </w:r>
      <w:r w:rsidR="009F65BF">
        <w:rPr>
          <w:rFonts w:ascii="Cambria" w:eastAsia="Calibri" w:hAnsi="Cambria" w:cs="Times New Roman"/>
          <w:sz w:val="21"/>
          <w:szCs w:val="21"/>
          <w:lang w:val="es-ES"/>
        </w:rPr>
        <w:t>Según la solicitud</w:t>
      </w:r>
      <w:r w:rsidRPr="00E32071">
        <w:rPr>
          <w:rFonts w:ascii="Cambria" w:eastAsia="Calibri" w:hAnsi="Cambria" w:cs="Times New Roman"/>
          <w:sz w:val="21"/>
          <w:szCs w:val="21"/>
          <w:lang w:val="es-ES"/>
        </w:rPr>
        <w:t xml:space="preserve">, </w:t>
      </w:r>
      <w:r w:rsidR="004C0BD2">
        <w:rPr>
          <w:rFonts w:ascii="Cambria" w:eastAsia="Calibri" w:hAnsi="Cambria" w:cs="Times New Roman"/>
          <w:sz w:val="21"/>
          <w:szCs w:val="21"/>
          <w:lang w:val="es-ES"/>
        </w:rPr>
        <w:t>existen</w:t>
      </w:r>
      <w:r w:rsidR="004C0BD2" w:rsidRPr="00E32071">
        <w:rPr>
          <w:rFonts w:ascii="Cambria" w:eastAsia="Calibri" w:hAnsi="Cambria" w:cs="Times New Roman"/>
          <w:sz w:val="21"/>
          <w:szCs w:val="21"/>
          <w:lang w:val="es-ES"/>
        </w:rPr>
        <w:t xml:space="preserve"> </w:t>
      </w:r>
      <w:r w:rsidRPr="00E32071">
        <w:rPr>
          <w:rFonts w:ascii="Cambria" w:eastAsia="Calibri" w:hAnsi="Cambria" w:cs="Times New Roman"/>
          <w:sz w:val="21"/>
          <w:szCs w:val="21"/>
          <w:lang w:val="es-ES"/>
        </w:rPr>
        <w:t xml:space="preserve">104 títulos individuales inscritos ante los Registros Públicos, y aproximadamente </w:t>
      </w:r>
      <w:r w:rsidR="004C0BD2">
        <w:rPr>
          <w:rFonts w:ascii="Cambria" w:eastAsia="Calibri" w:hAnsi="Cambria" w:cs="Times New Roman"/>
          <w:sz w:val="21"/>
          <w:szCs w:val="21"/>
          <w:lang w:val="es-ES"/>
        </w:rPr>
        <w:t xml:space="preserve">otros </w:t>
      </w:r>
      <w:r w:rsidRPr="00E32071">
        <w:rPr>
          <w:rFonts w:ascii="Cambria" w:eastAsia="Calibri" w:hAnsi="Cambria" w:cs="Times New Roman"/>
          <w:sz w:val="21"/>
          <w:szCs w:val="21"/>
          <w:lang w:val="es-ES"/>
        </w:rPr>
        <w:t xml:space="preserve">200 más en trámite. Los 104 títulos inscritos se concentrarían en manos de 47 personas, lo que evidenciaría </w:t>
      </w:r>
      <w:r w:rsidR="004C0BD2">
        <w:rPr>
          <w:rFonts w:ascii="Cambria" w:eastAsia="Calibri" w:hAnsi="Cambria" w:cs="Times New Roman"/>
          <w:sz w:val="21"/>
          <w:szCs w:val="21"/>
          <w:lang w:val="es-ES"/>
        </w:rPr>
        <w:t xml:space="preserve">que </w:t>
      </w:r>
      <w:r w:rsidRPr="00E32071">
        <w:rPr>
          <w:rFonts w:ascii="Cambria" w:eastAsia="Calibri" w:hAnsi="Cambria" w:cs="Times New Roman"/>
          <w:sz w:val="21"/>
          <w:szCs w:val="21"/>
          <w:lang w:val="es-ES"/>
        </w:rPr>
        <w:t xml:space="preserve">su posicionamiento en el área obedece a una lógica de tráfico de tierras. La comunidad habría presentado diversas solicitudes de paralización de entrega de títulos al Gobierno Regional, sin </w:t>
      </w:r>
      <w:r w:rsidR="004C0BD2">
        <w:rPr>
          <w:rFonts w:ascii="Cambria" w:eastAsia="Calibri" w:hAnsi="Cambria" w:cs="Times New Roman"/>
          <w:sz w:val="21"/>
          <w:szCs w:val="21"/>
          <w:lang w:val="es-ES"/>
        </w:rPr>
        <w:t>éxito</w:t>
      </w:r>
      <w:r w:rsidRPr="00E32071">
        <w:rPr>
          <w:rFonts w:ascii="Cambria" w:eastAsia="Calibri" w:hAnsi="Cambria" w:cs="Times New Roman"/>
          <w:sz w:val="21"/>
          <w:szCs w:val="21"/>
          <w:lang w:val="es-ES"/>
        </w:rPr>
        <w:t xml:space="preserve">.  La titulación individual </w:t>
      </w:r>
      <w:r w:rsidR="004C0BD2">
        <w:rPr>
          <w:rFonts w:ascii="Cambria" w:eastAsia="Calibri" w:hAnsi="Cambria" w:cs="Times New Roman"/>
          <w:sz w:val="21"/>
          <w:szCs w:val="21"/>
          <w:lang w:val="es-ES"/>
        </w:rPr>
        <w:t xml:space="preserve">asimismo </w:t>
      </w:r>
      <w:r w:rsidRPr="00E32071">
        <w:rPr>
          <w:rFonts w:ascii="Cambria" w:eastAsia="Calibri" w:hAnsi="Cambria" w:cs="Times New Roman"/>
          <w:sz w:val="21"/>
          <w:szCs w:val="21"/>
          <w:lang w:val="es-ES"/>
        </w:rPr>
        <w:t>habría acelerado el proceso de deforestación.</w:t>
      </w:r>
      <w:r w:rsidR="00853A59">
        <w:rPr>
          <w:rFonts w:ascii="Cambria" w:eastAsia="Calibri" w:hAnsi="Cambria" w:cs="Times New Roman"/>
          <w:sz w:val="21"/>
          <w:szCs w:val="21"/>
          <w:lang w:val="es-ES"/>
        </w:rPr>
        <w:t xml:space="preserve"> </w:t>
      </w:r>
    </w:p>
    <w:p w14:paraId="60B335EC" w14:textId="77777777" w:rsidR="009F65BF" w:rsidRDefault="009F65BF" w:rsidP="00A93C9D">
      <w:pPr>
        <w:ind w:left="360"/>
        <w:jc w:val="both"/>
        <w:rPr>
          <w:rFonts w:ascii="Cambria" w:eastAsia="Calibri" w:hAnsi="Cambria" w:cs="Times New Roman"/>
          <w:sz w:val="21"/>
          <w:szCs w:val="21"/>
          <w:lang w:val="es-ES"/>
        </w:rPr>
      </w:pPr>
    </w:p>
    <w:p w14:paraId="5D83F471" w14:textId="22B98F7B" w:rsidR="00E32071" w:rsidRPr="00E32071" w:rsidRDefault="00E32071" w:rsidP="00A93C9D">
      <w:pPr>
        <w:numPr>
          <w:ilvl w:val="0"/>
          <w:numId w:val="1"/>
        </w:numPr>
        <w:ind w:left="0" w:firstLine="360"/>
        <w:jc w:val="both"/>
        <w:rPr>
          <w:rFonts w:ascii="Cambria" w:eastAsia="Calibri" w:hAnsi="Cambria" w:cs="Times New Roman"/>
          <w:sz w:val="21"/>
          <w:szCs w:val="21"/>
          <w:lang w:val="es-ES"/>
        </w:rPr>
      </w:pPr>
      <w:r w:rsidRPr="00E32071">
        <w:rPr>
          <w:rFonts w:ascii="Cambria" w:eastAsia="Calibri" w:hAnsi="Cambria" w:cs="Times New Roman"/>
          <w:sz w:val="21"/>
          <w:szCs w:val="21"/>
          <w:lang w:val="es-ES"/>
        </w:rPr>
        <w:t xml:space="preserve">Las visitas de campo que se exigen como parte del procedimiento </w:t>
      </w:r>
      <w:r w:rsidR="009F65BF">
        <w:rPr>
          <w:rFonts w:ascii="Cambria" w:eastAsia="Calibri" w:hAnsi="Cambria" w:cs="Times New Roman"/>
          <w:sz w:val="21"/>
          <w:szCs w:val="21"/>
          <w:lang w:val="es-ES"/>
        </w:rPr>
        <w:t xml:space="preserve">de reconocimiento </w:t>
      </w:r>
      <w:r w:rsidRPr="00E32071">
        <w:rPr>
          <w:rFonts w:ascii="Cambria" w:eastAsia="Calibri" w:hAnsi="Cambria" w:cs="Times New Roman"/>
          <w:sz w:val="21"/>
          <w:szCs w:val="21"/>
          <w:lang w:val="es-ES"/>
        </w:rPr>
        <w:t xml:space="preserve">se habrían frustrado en 3 ocasiones por agresiones y amenazas de los “invasores”. </w:t>
      </w:r>
      <w:r w:rsidR="009F65BF">
        <w:rPr>
          <w:rFonts w:ascii="Cambria" w:eastAsia="Calibri" w:hAnsi="Cambria" w:cs="Times New Roman"/>
          <w:sz w:val="21"/>
          <w:szCs w:val="21"/>
          <w:lang w:val="es-ES"/>
        </w:rPr>
        <w:t xml:space="preserve">La solicitante indicó que </w:t>
      </w:r>
      <w:r w:rsidRPr="00E32071">
        <w:rPr>
          <w:rFonts w:ascii="Cambria" w:eastAsia="Calibri" w:hAnsi="Cambria" w:cs="Times New Roman"/>
          <w:sz w:val="21"/>
          <w:szCs w:val="21"/>
          <w:lang w:val="es-ES"/>
        </w:rPr>
        <w:t>el Gobierno Regional condicionaría la tramitación del reconocimiento a que los dirigentes indígenas lleguen a un acuerdo con los “invasores”. De acuerdo con el planteamiento del Gobierno Regional, el reconocimiento y titulación abarcarían únicamente él área de la Comunidad que aún no ha sido ocupada por títulos individuales, es decir 3</w:t>
      </w:r>
      <w:r w:rsidR="00DA386A">
        <w:rPr>
          <w:rFonts w:ascii="Cambria" w:eastAsia="Calibri" w:hAnsi="Cambria" w:cs="Times New Roman"/>
          <w:sz w:val="21"/>
          <w:szCs w:val="21"/>
          <w:lang w:val="es-ES"/>
        </w:rPr>
        <w:t>,</w:t>
      </w:r>
      <w:r w:rsidRPr="00E32071">
        <w:rPr>
          <w:rFonts w:ascii="Cambria" w:eastAsia="Calibri" w:hAnsi="Cambria" w:cs="Times New Roman"/>
          <w:sz w:val="21"/>
          <w:szCs w:val="21"/>
          <w:lang w:val="es-ES"/>
        </w:rPr>
        <w:t>500 hectáreas. L</w:t>
      </w:r>
      <w:r w:rsidR="009F65BF">
        <w:rPr>
          <w:rFonts w:ascii="Cambria" w:eastAsia="Calibri" w:hAnsi="Cambria" w:cs="Times New Roman"/>
          <w:sz w:val="21"/>
          <w:szCs w:val="21"/>
          <w:lang w:val="es-ES"/>
        </w:rPr>
        <w:t>a</w:t>
      </w:r>
      <w:r w:rsidRPr="00E32071">
        <w:rPr>
          <w:rFonts w:ascii="Cambria" w:eastAsia="Calibri" w:hAnsi="Cambria" w:cs="Times New Roman"/>
          <w:sz w:val="21"/>
          <w:szCs w:val="21"/>
          <w:lang w:val="es-ES"/>
        </w:rPr>
        <w:t xml:space="preserve"> solicitante </w:t>
      </w:r>
      <w:r w:rsidR="009F65BF" w:rsidRPr="00E32071">
        <w:rPr>
          <w:rFonts w:ascii="Cambria" w:eastAsia="Calibri" w:hAnsi="Cambria" w:cs="Times New Roman"/>
          <w:sz w:val="21"/>
          <w:szCs w:val="21"/>
          <w:lang w:val="es-ES"/>
        </w:rPr>
        <w:t>destac</w:t>
      </w:r>
      <w:r w:rsidR="009F65BF">
        <w:rPr>
          <w:rFonts w:ascii="Cambria" w:eastAsia="Calibri" w:hAnsi="Cambria" w:cs="Times New Roman"/>
          <w:sz w:val="21"/>
          <w:szCs w:val="21"/>
          <w:lang w:val="es-ES"/>
        </w:rPr>
        <w:t xml:space="preserve">ó </w:t>
      </w:r>
      <w:r w:rsidRPr="00E32071">
        <w:rPr>
          <w:rFonts w:ascii="Cambria" w:eastAsia="Calibri" w:hAnsi="Cambria" w:cs="Times New Roman"/>
          <w:sz w:val="21"/>
          <w:szCs w:val="21"/>
          <w:lang w:val="es-ES"/>
        </w:rPr>
        <w:t xml:space="preserve">que </w:t>
      </w:r>
      <w:r w:rsidR="00DA386A">
        <w:rPr>
          <w:rFonts w:ascii="Cambria" w:eastAsia="Calibri" w:hAnsi="Cambria" w:cs="Times New Roman"/>
          <w:sz w:val="21"/>
          <w:szCs w:val="21"/>
          <w:lang w:val="es-ES"/>
        </w:rPr>
        <w:t>los</w:t>
      </w:r>
      <w:r w:rsidR="00FB7903">
        <w:rPr>
          <w:rFonts w:ascii="Cambria" w:eastAsia="Calibri" w:hAnsi="Cambria" w:cs="Times New Roman"/>
          <w:sz w:val="21"/>
          <w:szCs w:val="21"/>
          <w:lang w:val="es-ES"/>
        </w:rPr>
        <w:t xml:space="preserve"> </w:t>
      </w:r>
      <w:r w:rsidRPr="00E32071">
        <w:rPr>
          <w:rFonts w:ascii="Cambria" w:eastAsia="Calibri" w:hAnsi="Cambria" w:cs="Times New Roman"/>
          <w:sz w:val="21"/>
          <w:szCs w:val="21"/>
          <w:lang w:val="es-ES"/>
        </w:rPr>
        <w:t xml:space="preserve">“invasores” hacen llamados en las emisoras locales para que más personas ingresen en </w:t>
      </w:r>
      <w:r w:rsidR="009F65BF">
        <w:rPr>
          <w:rFonts w:ascii="Cambria" w:eastAsia="Calibri" w:hAnsi="Cambria" w:cs="Times New Roman"/>
          <w:sz w:val="21"/>
          <w:szCs w:val="21"/>
          <w:lang w:val="es-ES"/>
        </w:rPr>
        <w:t>su c</w:t>
      </w:r>
      <w:r w:rsidRPr="00E32071">
        <w:rPr>
          <w:rFonts w:ascii="Cambria" w:eastAsia="Calibri" w:hAnsi="Cambria" w:cs="Times New Roman"/>
          <w:sz w:val="21"/>
          <w:szCs w:val="21"/>
          <w:lang w:val="es-ES"/>
        </w:rPr>
        <w:t xml:space="preserve">omunidad, a sabiendas de que en estos momentos no existiría ninguna seguridad jurídica </w:t>
      </w:r>
      <w:r w:rsidR="009F65BF">
        <w:rPr>
          <w:rFonts w:ascii="Cambria" w:eastAsia="Calibri" w:hAnsi="Cambria" w:cs="Times New Roman"/>
          <w:sz w:val="21"/>
          <w:szCs w:val="21"/>
          <w:lang w:val="es-ES"/>
        </w:rPr>
        <w:t>para su territorio</w:t>
      </w:r>
      <w:r w:rsidRPr="00E32071">
        <w:rPr>
          <w:rFonts w:ascii="Cambria" w:eastAsia="Calibri" w:hAnsi="Cambria" w:cs="Times New Roman"/>
          <w:sz w:val="21"/>
          <w:szCs w:val="21"/>
          <w:lang w:val="es-ES"/>
        </w:rPr>
        <w:t>.</w:t>
      </w:r>
    </w:p>
    <w:p w14:paraId="7CC60992" w14:textId="77777777" w:rsidR="009F65BF" w:rsidRDefault="009F65BF" w:rsidP="00A93C9D">
      <w:pPr>
        <w:ind w:left="360"/>
        <w:jc w:val="both"/>
        <w:rPr>
          <w:rFonts w:ascii="Cambria" w:eastAsia="Calibri" w:hAnsi="Cambria" w:cs="Times New Roman"/>
          <w:sz w:val="21"/>
          <w:szCs w:val="21"/>
          <w:lang w:val="es-ES"/>
        </w:rPr>
      </w:pPr>
    </w:p>
    <w:p w14:paraId="2A4576B5" w14:textId="501A4EF6" w:rsidR="00E32071" w:rsidRPr="00E32071" w:rsidRDefault="00E32071" w:rsidP="00A93C9D">
      <w:pPr>
        <w:numPr>
          <w:ilvl w:val="0"/>
          <w:numId w:val="1"/>
        </w:numPr>
        <w:ind w:left="0" w:firstLine="360"/>
        <w:jc w:val="both"/>
        <w:rPr>
          <w:rFonts w:ascii="Cambria" w:eastAsia="Calibri" w:hAnsi="Cambria" w:cs="Times New Roman"/>
          <w:sz w:val="21"/>
          <w:szCs w:val="21"/>
          <w:lang w:val="es-ES"/>
        </w:rPr>
      </w:pPr>
      <w:r w:rsidRPr="00E32071">
        <w:rPr>
          <w:rFonts w:ascii="Cambria" w:eastAsia="Calibri" w:hAnsi="Cambria" w:cs="Times New Roman"/>
          <w:sz w:val="21"/>
          <w:szCs w:val="21"/>
          <w:lang w:val="es-ES"/>
        </w:rPr>
        <w:t>De manera particular, los solicitantes indicaron que los “invasores”</w:t>
      </w:r>
      <w:r w:rsidR="00DA386A">
        <w:rPr>
          <w:rFonts w:ascii="Cambria" w:eastAsia="Calibri" w:hAnsi="Cambria" w:cs="Times New Roman"/>
          <w:sz w:val="21"/>
          <w:szCs w:val="21"/>
          <w:lang w:val="es-ES"/>
        </w:rPr>
        <w:t>,</w:t>
      </w:r>
      <w:r w:rsidRPr="00E32071">
        <w:rPr>
          <w:rFonts w:ascii="Cambria" w:eastAsia="Calibri" w:hAnsi="Cambria" w:cs="Times New Roman"/>
          <w:sz w:val="21"/>
          <w:szCs w:val="21"/>
          <w:lang w:val="es-ES"/>
        </w:rPr>
        <w:t xml:space="preserve"> agrupados en los centros poblados Paujil y Quimpichari</w:t>
      </w:r>
      <w:r w:rsidR="00DA386A">
        <w:rPr>
          <w:rFonts w:ascii="Cambria" w:eastAsia="Calibri" w:hAnsi="Cambria" w:cs="Times New Roman"/>
          <w:sz w:val="21"/>
          <w:szCs w:val="21"/>
          <w:lang w:val="es-ES"/>
        </w:rPr>
        <w:t>,</w:t>
      </w:r>
      <w:r w:rsidRPr="00E32071">
        <w:rPr>
          <w:rFonts w:ascii="Cambria" w:eastAsia="Calibri" w:hAnsi="Cambria" w:cs="Times New Roman"/>
          <w:sz w:val="21"/>
          <w:szCs w:val="21"/>
          <w:lang w:val="es-ES"/>
        </w:rPr>
        <w:t xml:space="preserve"> realizan permanentes actos de hostigamiento contra los miembros de la Comunidad incluyendo amenazas, difamaci</w:t>
      </w:r>
      <w:r w:rsidR="00DA386A">
        <w:rPr>
          <w:rFonts w:ascii="Cambria" w:eastAsia="Calibri" w:hAnsi="Cambria" w:cs="Times New Roman"/>
          <w:sz w:val="21"/>
          <w:szCs w:val="21"/>
          <w:lang w:val="es-ES"/>
        </w:rPr>
        <w:t>o</w:t>
      </w:r>
      <w:r w:rsidRPr="00E32071">
        <w:rPr>
          <w:rFonts w:ascii="Cambria" w:eastAsia="Calibri" w:hAnsi="Cambria" w:cs="Times New Roman"/>
          <w:sz w:val="21"/>
          <w:szCs w:val="21"/>
          <w:lang w:val="es-ES"/>
        </w:rPr>
        <w:t>n</w:t>
      </w:r>
      <w:r w:rsidR="00DA386A">
        <w:rPr>
          <w:rFonts w:ascii="Cambria" w:eastAsia="Calibri" w:hAnsi="Cambria" w:cs="Times New Roman"/>
          <w:sz w:val="21"/>
          <w:szCs w:val="21"/>
          <w:lang w:val="es-ES"/>
        </w:rPr>
        <w:t>es</w:t>
      </w:r>
      <w:r w:rsidRPr="00E32071">
        <w:rPr>
          <w:rFonts w:ascii="Cambria" w:eastAsia="Calibri" w:hAnsi="Cambria" w:cs="Times New Roman"/>
          <w:sz w:val="21"/>
          <w:szCs w:val="21"/>
          <w:lang w:val="es-ES"/>
        </w:rPr>
        <w:t>, criminalizaci</w:t>
      </w:r>
      <w:r w:rsidR="00DA386A">
        <w:rPr>
          <w:rFonts w:ascii="Cambria" w:eastAsia="Calibri" w:hAnsi="Cambria" w:cs="Times New Roman"/>
          <w:sz w:val="21"/>
          <w:szCs w:val="21"/>
          <w:lang w:val="es-ES"/>
        </w:rPr>
        <w:t>o</w:t>
      </w:r>
      <w:r w:rsidRPr="00E32071">
        <w:rPr>
          <w:rFonts w:ascii="Cambria" w:eastAsia="Calibri" w:hAnsi="Cambria" w:cs="Times New Roman"/>
          <w:sz w:val="21"/>
          <w:szCs w:val="21"/>
          <w:lang w:val="es-ES"/>
        </w:rPr>
        <w:t>n</w:t>
      </w:r>
      <w:r w:rsidR="00DA386A">
        <w:rPr>
          <w:rFonts w:ascii="Cambria" w:eastAsia="Calibri" w:hAnsi="Cambria" w:cs="Times New Roman"/>
          <w:sz w:val="21"/>
          <w:szCs w:val="21"/>
          <w:lang w:val="es-ES"/>
        </w:rPr>
        <w:t>es</w:t>
      </w:r>
      <w:r w:rsidRPr="00E32071">
        <w:rPr>
          <w:rFonts w:ascii="Cambria" w:eastAsia="Calibri" w:hAnsi="Cambria" w:cs="Times New Roman"/>
          <w:sz w:val="21"/>
          <w:szCs w:val="21"/>
          <w:lang w:val="es-ES"/>
        </w:rPr>
        <w:t>, agresiones físicas, secuestro</w:t>
      </w:r>
      <w:r w:rsidR="00DA386A">
        <w:rPr>
          <w:rFonts w:ascii="Cambria" w:eastAsia="Calibri" w:hAnsi="Cambria" w:cs="Times New Roman"/>
          <w:sz w:val="21"/>
          <w:szCs w:val="21"/>
          <w:lang w:val="es-ES"/>
        </w:rPr>
        <w:t>s</w:t>
      </w:r>
      <w:r w:rsidRPr="00E32071">
        <w:rPr>
          <w:rFonts w:ascii="Cambria" w:eastAsia="Calibri" w:hAnsi="Cambria" w:cs="Times New Roman"/>
          <w:sz w:val="21"/>
          <w:szCs w:val="21"/>
          <w:lang w:val="es-ES"/>
        </w:rPr>
        <w:t xml:space="preserve"> y ataque</w:t>
      </w:r>
      <w:r w:rsidR="00DA386A">
        <w:rPr>
          <w:rFonts w:ascii="Cambria" w:eastAsia="Calibri" w:hAnsi="Cambria" w:cs="Times New Roman"/>
          <w:sz w:val="21"/>
          <w:szCs w:val="21"/>
          <w:lang w:val="es-ES"/>
        </w:rPr>
        <w:t>s</w:t>
      </w:r>
      <w:r w:rsidRPr="00E32071">
        <w:rPr>
          <w:rFonts w:ascii="Cambria" w:eastAsia="Calibri" w:hAnsi="Cambria" w:cs="Times New Roman"/>
          <w:sz w:val="21"/>
          <w:szCs w:val="21"/>
          <w:lang w:val="es-ES"/>
        </w:rPr>
        <w:t xml:space="preserve"> con arma de fuego, lo que habría llevado al desplazamiento forzoso de casi la mitad de las familias. De las 23 familias que llegaron a conformar la Comunidad</w:t>
      </w:r>
      <w:r w:rsidR="00DA386A">
        <w:rPr>
          <w:rFonts w:ascii="Cambria" w:eastAsia="Calibri" w:hAnsi="Cambria" w:cs="Times New Roman"/>
          <w:sz w:val="21"/>
          <w:szCs w:val="21"/>
          <w:lang w:val="es-ES"/>
        </w:rPr>
        <w:t>,</w:t>
      </w:r>
      <w:r w:rsidRPr="00E32071">
        <w:rPr>
          <w:rFonts w:ascii="Cambria" w:eastAsia="Calibri" w:hAnsi="Cambria" w:cs="Times New Roman"/>
          <w:sz w:val="21"/>
          <w:szCs w:val="21"/>
          <w:lang w:val="es-ES"/>
        </w:rPr>
        <w:t xml:space="preserve"> actualmente solo </w:t>
      </w:r>
      <w:r w:rsidR="009F65BF">
        <w:rPr>
          <w:rFonts w:ascii="Cambria" w:eastAsia="Calibri" w:hAnsi="Cambria" w:cs="Times New Roman"/>
          <w:sz w:val="21"/>
          <w:szCs w:val="21"/>
          <w:lang w:val="es-ES"/>
        </w:rPr>
        <w:t xml:space="preserve">permanecerían </w:t>
      </w:r>
      <w:r w:rsidRPr="00E32071">
        <w:rPr>
          <w:rFonts w:ascii="Cambria" w:eastAsia="Calibri" w:hAnsi="Cambria" w:cs="Times New Roman"/>
          <w:sz w:val="21"/>
          <w:szCs w:val="21"/>
          <w:lang w:val="es-ES"/>
        </w:rPr>
        <w:t>14.</w:t>
      </w:r>
    </w:p>
    <w:p w14:paraId="21AD95F1" w14:textId="77777777" w:rsidR="009F65BF" w:rsidRDefault="009F65BF" w:rsidP="00A93C9D">
      <w:pPr>
        <w:ind w:left="360"/>
        <w:jc w:val="both"/>
        <w:rPr>
          <w:rFonts w:ascii="Cambria" w:eastAsia="Calibri" w:hAnsi="Cambria" w:cs="Times New Roman"/>
          <w:sz w:val="21"/>
          <w:szCs w:val="21"/>
          <w:lang w:val="es-ES"/>
        </w:rPr>
      </w:pPr>
    </w:p>
    <w:p w14:paraId="67DF8F90" w14:textId="28A48888" w:rsidR="00E32071" w:rsidRPr="00A457F5" w:rsidRDefault="00E32071" w:rsidP="00A93C9D">
      <w:pPr>
        <w:numPr>
          <w:ilvl w:val="0"/>
          <w:numId w:val="1"/>
        </w:numPr>
        <w:ind w:left="0" w:firstLine="360"/>
        <w:jc w:val="both"/>
        <w:rPr>
          <w:rFonts w:ascii="Cambria" w:eastAsia="Calibri" w:hAnsi="Cambria" w:cs="Times New Roman"/>
          <w:sz w:val="21"/>
          <w:szCs w:val="21"/>
          <w:lang w:val="es-ES"/>
        </w:rPr>
      </w:pPr>
      <w:r w:rsidRPr="00E32071">
        <w:rPr>
          <w:rFonts w:ascii="Cambria" w:eastAsia="Calibri" w:hAnsi="Cambria" w:cs="Times New Roman"/>
          <w:sz w:val="21"/>
          <w:szCs w:val="21"/>
          <w:lang w:val="es-ES"/>
        </w:rPr>
        <w:t xml:space="preserve">El </w:t>
      </w:r>
      <w:r w:rsidR="009F65BF">
        <w:rPr>
          <w:rFonts w:ascii="Cambria" w:eastAsia="Calibri" w:hAnsi="Cambria" w:cs="Times New Roman"/>
          <w:sz w:val="21"/>
          <w:szCs w:val="21"/>
          <w:lang w:val="es-ES"/>
        </w:rPr>
        <w:t xml:space="preserve">29 de julio de 2019 se habría producido un </w:t>
      </w:r>
      <w:r w:rsidRPr="00E32071">
        <w:rPr>
          <w:rFonts w:ascii="Cambria" w:eastAsia="Calibri" w:hAnsi="Cambria" w:cs="Times New Roman"/>
          <w:sz w:val="21"/>
          <w:szCs w:val="21"/>
          <w:lang w:val="es-ES"/>
        </w:rPr>
        <w:t xml:space="preserve">intento de asesinato del </w:t>
      </w:r>
      <w:r w:rsidR="009F65BF" w:rsidRPr="00E32071">
        <w:rPr>
          <w:rFonts w:ascii="Cambria" w:eastAsia="Calibri" w:hAnsi="Cambria" w:cs="Times New Roman"/>
          <w:sz w:val="21"/>
          <w:szCs w:val="21"/>
          <w:lang w:val="es-ES"/>
        </w:rPr>
        <w:t>señor Germán López</w:t>
      </w:r>
      <w:r w:rsidR="009F65BF">
        <w:rPr>
          <w:rFonts w:ascii="Cambria" w:eastAsia="Calibri" w:hAnsi="Cambria" w:cs="Times New Roman"/>
          <w:sz w:val="21"/>
          <w:szCs w:val="21"/>
          <w:lang w:val="es-ES"/>
        </w:rPr>
        <w:t>,</w:t>
      </w:r>
      <w:r w:rsidR="00853A59">
        <w:rPr>
          <w:rFonts w:ascii="Cambria" w:eastAsia="Calibri" w:hAnsi="Cambria" w:cs="Times New Roman"/>
          <w:sz w:val="21"/>
          <w:szCs w:val="21"/>
          <w:lang w:val="es-ES"/>
        </w:rPr>
        <w:t xml:space="preserve"> p</w:t>
      </w:r>
      <w:r w:rsidRPr="00E32071">
        <w:rPr>
          <w:rFonts w:ascii="Cambria" w:eastAsia="Calibri" w:hAnsi="Cambria" w:cs="Times New Roman"/>
          <w:sz w:val="21"/>
          <w:szCs w:val="21"/>
          <w:lang w:val="es-ES"/>
        </w:rPr>
        <w:t xml:space="preserve">residente de la Comunidad. </w:t>
      </w:r>
      <w:r w:rsidR="00853A59">
        <w:rPr>
          <w:rFonts w:ascii="Cambria" w:eastAsia="Calibri" w:hAnsi="Cambria" w:cs="Times New Roman"/>
          <w:sz w:val="21"/>
          <w:szCs w:val="21"/>
          <w:lang w:val="es-ES"/>
        </w:rPr>
        <w:t>Cuando</w:t>
      </w:r>
      <w:r w:rsidRPr="00E32071">
        <w:rPr>
          <w:rFonts w:ascii="Cambria" w:eastAsia="Calibri" w:hAnsi="Cambria" w:cs="Times New Roman"/>
          <w:sz w:val="21"/>
          <w:szCs w:val="21"/>
          <w:lang w:val="es-ES"/>
        </w:rPr>
        <w:t xml:space="preserve"> el señor López </w:t>
      </w:r>
      <w:r w:rsidR="00853A59">
        <w:rPr>
          <w:rFonts w:ascii="Cambria" w:eastAsia="Calibri" w:hAnsi="Cambria" w:cs="Times New Roman"/>
          <w:sz w:val="21"/>
          <w:szCs w:val="21"/>
          <w:lang w:val="es-ES"/>
        </w:rPr>
        <w:t xml:space="preserve">salió </w:t>
      </w:r>
      <w:r w:rsidR="00853A59" w:rsidRPr="00E32071">
        <w:rPr>
          <w:rFonts w:ascii="Cambria" w:eastAsia="Calibri" w:hAnsi="Cambria" w:cs="Times New Roman"/>
          <w:sz w:val="21"/>
          <w:szCs w:val="21"/>
          <w:lang w:val="es-ES"/>
        </w:rPr>
        <w:t>a</w:t>
      </w:r>
      <w:r w:rsidRPr="00E32071">
        <w:rPr>
          <w:rFonts w:ascii="Cambria" w:eastAsia="Calibri" w:hAnsi="Cambria" w:cs="Times New Roman"/>
          <w:sz w:val="21"/>
          <w:szCs w:val="21"/>
          <w:lang w:val="es-ES"/>
        </w:rPr>
        <w:t xml:space="preserve"> pescar, tres desconocidos encapuchados se </w:t>
      </w:r>
      <w:r w:rsidR="00853A59">
        <w:rPr>
          <w:rFonts w:ascii="Cambria" w:eastAsia="Calibri" w:hAnsi="Cambria" w:cs="Times New Roman"/>
          <w:sz w:val="21"/>
          <w:szCs w:val="21"/>
          <w:lang w:val="es-ES"/>
        </w:rPr>
        <w:t>habrían presentado</w:t>
      </w:r>
      <w:r w:rsidRPr="00E32071">
        <w:rPr>
          <w:rFonts w:ascii="Cambria" w:eastAsia="Calibri" w:hAnsi="Cambria" w:cs="Times New Roman"/>
          <w:sz w:val="21"/>
          <w:szCs w:val="21"/>
          <w:lang w:val="es-ES"/>
        </w:rPr>
        <w:t xml:space="preserve"> en su vivienda </w:t>
      </w:r>
      <w:r w:rsidR="00853A59">
        <w:rPr>
          <w:rFonts w:ascii="Cambria" w:eastAsia="Calibri" w:hAnsi="Cambria" w:cs="Times New Roman"/>
          <w:sz w:val="21"/>
          <w:szCs w:val="21"/>
          <w:lang w:val="es-ES"/>
        </w:rPr>
        <w:t>en la noche</w:t>
      </w:r>
      <w:r w:rsidRPr="00E32071">
        <w:rPr>
          <w:rFonts w:ascii="Cambria" w:eastAsia="Calibri" w:hAnsi="Cambria" w:cs="Times New Roman"/>
          <w:sz w:val="21"/>
          <w:szCs w:val="21"/>
          <w:lang w:val="es-ES"/>
        </w:rPr>
        <w:t xml:space="preserve"> </w:t>
      </w:r>
      <w:r w:rsidR="00853A59">
        <w:rPr>
          <w:rFonts w:ascii="Cambria" w:eastAsia="Calibri" w:hAnsi="Cambria" w:cs="Times New Roman"/>
          <w:sz w:val="21"/>
          <w:szCs w:val="21"/>
          <w:lang w:val="es-ES"/>
        </w:rPr>
        <w:t>y habrían disparado 5 veces</w:t>
      </w:r>
      <w:r w:rsidRPr="00E32071">
        <w:rPr>
          <w:rFonts w:ascii="Cambria" w:eastAsia="Calibri" w:hAnsi="Cambria" w:cs="Times New Roman"/>
          <w:sz w:val="21"/>
          <w:szCs w:val="21"/>
          <w:lang w:val="es-ES"/>
        </w:rPr>
        <w:t xml:space="preserve"> contra Juan López Shamiguiri, cuñado del señor López, a quien confundieron con él. La víctima del atentado </w:t>
      </w:r>
      <w:r w:rsidR="00DA386A">
        <w:rPr>
          <w:rFonts w:ascii="Cambria" w:eastAsia="Calibri" w:hAnsi="Cambria" w:cs="Times New Roman"/>
          <w:sz w:val="21"/>
          <w:szCs w:val="21"/>
          <w:lang w:val="es-ES"/>
        </w:rPr>
        <w:t>permaneció</w:t>
      </w:r>
      <w:r w:rsidRPr="00E32071">
        <w:rPr>
          <w:rFonts w:ascii="Cambria" w:eastAsia="Calibri" w:hAnsi="Cambria" w:cs="Times New Roman"/>
          <w:sz w:val="21"/>
          <w:szCs w:val="21"/>
          <w:lang w:val="es-ES"/>
        </w:rPr>
        <w:t xml:space="preserve"> </w:t>
      </w:r>
      <w:r w:rsidR="00853A59" w:rsidRPr="00E32071">
        <w:rPr>
          <w:rFonts w:ascii="Cambria" w:eastAsia="Calibri" w:hAnsi="Cambria" w:cs="Times New Roman"/>
          <w:sz w:val="21"/>
          <w:szCs w:val="21"/>
          <w:lang w:val="es-ES"/>
        </w:rPr>
        <w:t>internada</w:t>
      </w:r>
      <w:r w:rsidRPr="00E32071">
        <w:rPr>
          <w:rFonts w:ascii="Cambria" w:eastAsia="Calibri" w:hAnsi="Cambria" w:cs="Times New Roman"/>
          <w:sz w:val="21"/>
          <w:szCs w:val="21"/>
          <w:lang w:val="es-ES"/>
        </w:rPr>
        <w:t xml:space="preserve"> dos meses en el Hospital, pero </w:t>
      </w:r>
      <w:r w:rsidR="00DA386A">
        <w:rPr>
          <w:rFonts w:ascii="Cambria" w:eastAsia="Calibri" w:hAnsi="Cambria" w:cs="Times New Roman"/>
          <w:sz w:val="21"/>
          <w:szCs w:val="21"/>
          <w:lang w:val="es-ES"/>
        </w:rPr>
        <w:t>logró</w:t>
      </w:r>
      <w:r w:rsidRPr="00E32071">
        <w:rPr>
          <w:rFonts w:ascii="Cambria" w:eastAsia="Calibri" w:hAnsi="Cambria" w:cs="Times New Roman"/>
          <w:sz w:val="21"/>
          <w:szCs w:val="21"/>
          <w:lang w:val="es-ES"/>
        </w:rPr>
        <w:t xml:space="preserve"> salvar su vida. Después de los hechos los agresores habrían ido a buscar tres veces más al señor</w:t>
      </w:r>
      <w:r w:rsidR="00853A59">
        <w:rPr>
          <w:rFonts w:ascii="Cambria" w:eastAsia="Calibri" w:hAnsi="Cambria" w:cs="Times New Roman"/>
          <w:sz w:val="21"/>
          <w:szCs w:val="21"/>
          <w:lang w:val="es-ES"/>
        </w:rPr>
        <w:t xml:space="preserve"> </w:t>
      </w:r>
      <w:r w:rsidRPr="00E32071">
        <w:rPr>
          <w:rFonts w:ascii="Cambria" w:eastAsia="Calibri" w:hAnsi="Cambria" w:cs="Times New Roman"/>
          <w:sz w:val="21"/>
          <w:szCs w:val="21"/>
          <w:lang w:val="es-ES"/>
        </w:rPr>
        <w:t xml:space="preserve">López en los lugares donde sale a cazar y pescar, por lo que </w:t>
      </w:r>
      <w:r w:rsidRPr="00E32071">
        <w:rPr>
          <w:rFonts w:ascii="Cambria" w:eastAsia="Calibri" w:hAnsi="Cambria" w:cs="Times New Roman"/>
          <w:sz w:val="21"/>
          <w:szCs w:val="21"/>
          <w:lang w:val="es-ES"/>
        </w:rPr>
        <w:lastRenderedPageBreak/>
        <w:t>habría sido necesaria su reubicación temporal.</w:t>
      </w:r>
      <w:r w:rsidR="00A457F5">
        <w:rPr>
          <w:rFonts w:ascii="Cambria" w:eastAsia="Calibri" w:hAnsi="Cambria" w:cs="Times New Roman"/>
          <w:sz w:val="21"/>
          <w:szCs w:val="21"/>
          <w:lang w:val="es-ES"/>
        </w:rPr>
        <w:t xml:space="preserve"> </w:t>
      </w:r>
      <w:r w:rsidRPr="00A457F5">
        <w:rPr>
          <w:rFonts w:ascii="Cambria" w:eastAsia="Calibri" w:hAnsi="Cambria" w:cs="Times New Roman"/>
          <w:sz w:val="21"/>
          <w:szCs w:val="21"/>
          <w:lang w:val="es-ES"/>
        </w:rPr>
        <w:t xml:space="preserve">El señor López habría solicitado garantías personales ante el Subprefecto de Puerto Inca el 31 de julio de 2019, sin obtener respuesta. </w:t>
      </w:r>
      <w:r w:rsidR="00DA386A">
        <w:rPr>
          <w:rFonts w:ascii="Cambria" w:eastAsia="Calibri" w:hAnsi="Cambria" w:cs="Times New Roman"/>
          <w:sz w:val="21"/>
          <w:szCs w:val="21"/>
          <w:lang w:val="es-ES"/>
        </w:rPr>
        <w:t xml:space="preserve">La </w:t>
      </w:r>
      <w:r w:rsidRPr="00A457F5">
        <w:rPr>
          <w:rFonts w:ascii="Cambria" w:eastAsia="Calibri" w:hAnsi="Cambria" w:cs="Times New Roman"/>
          <w:sz w:val="21"/>
          <w:szCs w:val="21"/>
          <w:lang w:val="es-ES"/>
        </w:rPr>
        <w:t>organización UNAY</w:t>
      </w:r>
      <w:r w:rsidR="00DA386A">
        <w:rPr>
          <w:rFonts w:ascii="Cambria" w:eastAsia="Calibri" w:hAnsi="Cambria" w:cs="Times New Roman"/>
          <w:sz w:val="21"/>
          <w:szCs w:val="21"/>
          <w:lang w:val="es-ES"/>
        </w:rPr>
        <w:t>, a la cual pertenece, también</w:t>
      </w:r>
      <w:r w:rsidRPr="00A457F5">
        <w:rPr>
          <w:rFonts w:ascii="Cambria" w:eastAsia="Calibri" w:hAnsi="Cambria" w:cs="Times New Roman"/>
          <w:sz w:val="21"/>
          <w:szCs w:val="21"/>
          <w:lang w:val="es-ES"/>
        </w:rPr>
        <w:t xml:space="preserve"> habría denunciado los hechos ante la Fiscalía de Prevención del Delito el 7 de septiembre de 2019, </w:t>
      </w:r>
      <w:r w:rsidR="00DA386A">
        <w:rPr>
          <w:rFonts w:ascii="Cambria" w:eastAsia="Calibri" w:hAnsi="Cambria" w:cs="Times New Roman"/>
          <w:sz w:val="21"/>
          <w:szCs w:val="21"/>
          <w:lang w:val="es-ES"/>
        </w:rPr>
        <w:t>con el mismo resultado</w:t>
      </w:r>
      <w:r w:rsidRPr="00A457F5">
        <w:rPr>
          <w:rFonts w:ascii="Cambria" w:eastAsia="Calibri" w:hAnsi="Cambria" w:cs="Times New Roman"/>
          <w:sz w:val="21"/>
          <w:szCs w:val="21"/>
          <w:lang w:val="es-ES"/>
        </w:rPr>
        <w:t>.</w:t>
      </w:r>
    </w:p>
    <w:p w14:paraId="14622937" w14:textId="77777777" w:rsidR="00A457F5" w:rsidRPr="00E32071" w:rsidRDefault="00A457F5" w:rsidP="00A93C9D">
      <w:pPr>
        <w:ind w:left="360"/>
        <w:jc w:val="both"/>
        <w:rPr>
          <w:rFonts w:ascii="Cambria" w:eastAsia="Calibri" w:hAnsi="Cambria" w:cs="Times New Roman"/>
          <w:sz w:val="21"/>
          <w:szCs w:val="21"/>
          <w:lang w:val="es-ES"/>
        </w:rPr>
      </w:pPr>
    </w:p>
    <w:p w14:paraId="64A0262D" w14:textId="01260831" w:rsidR="00E32071" w:rsidRPr="008C3A1F" w:rsidRDefault="00E32071" w:rsidP="00A93C9D">
      <w:pPr>
        <w:pStyle w:val="ListParagraph"/>
        <w:numPr>
          <w:ilvl w:val="0"/>
          <w:numId w:val="1"/>
        </w:numPr>
        <w:ind w:left="0" w:firstLine="360"/>
        <w:jc w:val="both"/>
        <w:rPr>
          <w:rFonts w:ascii="Cambria" w:eastAsia="Calibri" w:hAnsi="Cambria" w:cs="Times New Roman"/>
          <w:sz w:val="21"/>
          <w:szCs w:val="21"/>
          <w:lang w:val="es-ES"/>
        </w:rPr>
      </w:pPr>
      <w:r w:rsidRPr="00E32071">
        <w:rPr>
          <w:rFonts w:ascii="Cambria" w:eastAsia="Calibri" w:hAnsi="Cambria" w:cs="Times New Roman"/>
          <w:sz w:val="21"/>
          <w:szCs w:val="21"/>
          <w:lang w:val="es-ES"/>
        </w:rPr>
        <w:t xml:space="preserve">El </w:t>
      </w:r>
      <w:r w:rsidR="00A457F5">
        <w:rPr>
          <w:rFonts w:ascii="Cambria" w:eastAsia="Calibri" w:hAnsi="Cambria" w:cs="Times New Roman"/>
          <w:sz w:val="21"/>
          <w:szCs w:val="21"/>
          <w:lang w:val="es-ES"/>
        </w:rPr>
        <w:t>9 de septiembre de 2019</w:t>
      </w:r>
      <w:r w:rsidR="00A457F5" w:rsidRPr="00A457F5">
        <w:rPr>
          <w:rFonts w:ascii="Cambria" w:eastAsia="Calibri" w:hAnsi="Cambria" w:cs="Times New Roman"/>
          <w:sz w:val="21"/>
          <w:szCs w:val="21"/>
          <w:lang w:val="es-ES"/>
        </w:rPr>
        <w:t xml:space="preserve"> </w:t>
      </w:r>
      <w:r w:rsidR="00A457F5">
        <w:rPr>
          <w:rFonts w:ascii="Cambria" w:eastAsia="Calibri" w:hAnsi="Cambria" w:cs="Times New Roman"/>
          <w:sz w:val="21"/>
          <w:szCs w:val="21"/>
          <w:lang w:val="es-ES"/>
        </w:rPr>
        <w:t xml:space="preserve">el </w:t>
      </w:r>
      <w:r w:rsidR="00A457F5" w:rsidRPr="00E32071">
        <w:rPr>
          <w:rFonts w:ascii="Cambria" w:eastAsia="Calibri" w:hAnsi="Cambria" w:cs="Times New Roman"/>
          <w:sz w:val="21"/>
          <w:szCs w:val="21"/>
          <w:lang w:val="es-ES"/>
        </w:rPr>
        <w:t>señor Polico Díaz</w:t>
      </w:r>
      <w:r w:rsidR="00A457F5">
        <w:rPr>
          <w:rFonts w:ascii="Cambria" w:eastAsia="Calibri" w:hAnsi="Cambria" w:cs="Times New Roman"/>
          <w:sz w:val="21"/>
          <w:szCs w:val="21"/>
          <w:lang w:val="es-ES"/>
        </w:rPr>
        <w:t>, v</w:t>
      </w:r>
      <w:r w:rsidRPr="00A457F5">
        <w:rPr>
          <w:rFonts w:ascii="Cambria" w:eastAsia="Calibri" w:hAnsi="Cambria" w:cs="Times New Roman"/>
          <w:sz w:val="21"/>
          <w:szCs w:val="21"/>
          <w:lang w:val="es-ES"/>
        </w:rPr>
        <w:t>icepresidente de la Comunidad</w:t>
      </w:r>
      <w:r w:rsidR="00A457F5">
        <w:rPr>
          <w:rFonts w:ascii="Cambria" w:eastAsia="Calibri" w:hAnsi="Cambria" w:cs="Times New Roman"/>
          <w:sz w:val="21"/>
          <w:szCs w:val="21"/>
          <w:lang w:val="es-ES"/>
        </w:rPr>
        <w:t xml:space="preserve">, habría sido secuestrado, </w:t>
      </w:r>
      <w:r w:rsidR="00DA386A">
        <w:rPr>
          <w:rFonts w:ascii="Cambria" w:eastAsia="Calibri" w:hAnsi="Cambria" w:cs="Times New Roman"/>
          <w:sz w:val="21"/>
          <w:szCs w:val="21"/>
          <w:lang w:val="es-ES"/>
        </w:rPr>
        <w:t>siendo además</w:t>
      </w:r>
      <w:r w:rsidR="00A457F5">
        <w:rPr>
          <w:rFonts w:ascii="Cambria" w:eastAsia="Calibri" w:hAnsi="Cambria" w:cs="Times New Roman"/>
          <w:sz w:val="21"/>
          <w:szCs w:val="21"/>
          <w:lang w:val="es-ES"/>
        </w:rPr>
        <w:t xml:space="preserve"> agredido</w:t>
      </w:r>
      <w:r w:rsidR="00DA386A">
        <w:rPr>
          <w:rFonts w:ascii="Cambria" w:eastAsia="Calibri" w:hAnsi="Cambria" w:cs="Times New Roman"/>
          <w:sz w:val="21"/>
          <w:szCs w:val="21"/>
          <w:lang w:val="es-ES"/>
        </w:rPr>
        <w:t>s</w:t>
      </w:r>
      <w:r w:rsidR="00A457F5">
        <w:rPr>
          <w:rFonts w:ascii="Cambria" w:eastAsia="Calibri" w:hAnsi="Cambria" w:cs="Times New Roman"/>
          <w:sz w:val="21"/>
          <w:szCs w:val="21"/>
          <w:lang w:val="es-ES"/>
        </w:rPr>
        <w:t xml:space="preserve"> l</w:t>
      </w:r>
      <w:r w:rsidRPr="00A457F5">
        <w:rPr>
          <w:rFonts w:ascii="Cambria" w:eastAsia="Calibri" w:hAnsi="Cambria" w:cs="Times New Roman"/>
          <w:sz w:val="21"/>
          <w:szCs w:val="21"/>
          <w:lang w:val="es-ES"/>
        </w:rPr>
        <w:t>os comuneros Damián Sambache Vasquez, Daniel Sambache Pérez y Edilberto Pizango Sánchez</w:t>
      </w:r>
      <w:r w:rsidR="00A457F5">
        <w:rPr>
          <w:rFonts w:ascii="Cambria" w:eastAsia="Calibri" w:hAnsi="Cambria" w:cs="Times New Roman"/>
          <w:sz w:val="21"/>
          <w:szCs w:val="21"/>
          <w:lang w:val="es-ES"/>
        </w:rPr>
        <w:t xml:space="preserve"> mientras se trasladaban p</w:t>
      </w:r>
      <w:r w:rsidRPr="00A457F5">
        <w:rPr>
          <w:rFonts w:ascii="Cambria" w:eastAsia="Calibri" w:hAnsi="Cambria" w:cs="Times New Roman"/>
          <w:sz w:val="21"/>
          <w:szCs w:val="21"/>
          <w:lang w:val="es-ES"/>
        </w:rPr>
        <w:t xml:space="preserve">ara recibir a una delegación del Gobierno Regional </w:t>
      </w:r>
      <w:r w:rsidR="00A457F5">
        <w:rPr>
          <w:rFonts w:ascii="Cambria" w:eastAsia="Calibri" w:hAnsi="Cambria" w:cs="Times New Roman"/>
          <w:sz w:val="21"/>
          <w:szCs w:val="21"/>
          <w:lang w:val="es-ES"/>
        </w:rPr>
        <w:t xml:space="preserve">de Huánuco que </w:t>
      </w:r>
      <w:r w:rsidR="00DA386A">
        <w:rPr>
          <w:rFonts w:ascii="Cambria" w:eastAsia="Calibri" w:hAnsi="Cambria" w:cs="Times New Roman"/>
          <w:sz w:val="21"/>
          <w:szCs w:val="21"/>
          <w:lang w:val="es-ES"/>
        </w:rPr>
        <w:t xml:space="preserve">se encontraba </w:t>
      </w:r>
      <w:r w:rsidR="00A457F5">
        <w:rPr>
          <w:rFonts w:ascii="Cambria" w:eastAsia="Calibri" w:hAnsi="Cambria" w:cs="Times New Roman"/>
          <w:sz w:val="21"/>
          <w:szCs w:val="21"/>
          <w:lang w:val="es-ES"/>
        </w:rPr>
        <w:t>realiza</w:t>
      </w:r>
      <w:r w:rsidR="00DA386A">
        <w:rPr>
          <w:rFonts w:ascii="Cambria" w:eastAsia="Calibri" w:hAnsi="Cambria" w:cs="Times New Roman"/>
          <w:sz w:val="21"/>
          <w:szCs w:val="21"/>
          <w:lang w:val="es-ES"/>
        </w:rPr>
        <w:t>ndo</w:t>
      </w:r>
      <w:r w:rsidR="00A457F5">
        <w:rPr>
          <w:rFonts w:ascii="Cambria" w:eastAsia="Calibri" w:hAnsi="Cambria" w:cs="Times New Roman"/>
          <w:sz w:val="21"/>
          <w:szCs w:val="21"/>
          <w:lang w:val="es-ES"/>
        </w:rPr>
        <w:t xml:space="preserve"> </w:t>
      </w:r>
      <w:r w:rsidRPr="00A457F5">
        <w:rPr>
          <w:rFonts w:ascii="Cambria" w:eastAsia="Calibri" w:hAnsi="Cambria" w:cs="Times New Roman"/>
          <w:sz w:val="21"/>
          <w:szCs w:val="21"/>
          <w:lang w:val="es-ES"/>
        </w:rPr>
        <w:t xml:space="preserve">una inspección al territorio comunal como parte del proceso de reconocimiento de la comunidad. </w:t>
      </w:r>
      <w:r w:rsidR="008C3A1F">
        <w:rPr>
          <w:rFonts w:ascii="Cambria" w:eastAsia="Calibri" w:hAnsi="Cambria" w:cs="Times New Roman"/>
          <w:sz w:val="21"/>
          <w:szCs w:val="21"/>
          <w:lang w:val="es-ES"/>
        </w:rPr>
        <w:t>A</w:t>
      </w:r>
      <w:r w:rsidRPr="00A457F5">
        <w:rPr>
          <w:rFonts w:ascii="Cambria" w:eastAsia="Calibri" w:hAnsi="Cambria" w:cs="Times New Roman"/>
          <w:sz w:val="21"/>
          <w:szCs w:val="21"/>
          <w:lang w:val="es-ES"/>
        </w:rPr>
        <w:t xml:space="preserve"> las dos de la tarde</w:t>
      </w:r>
      <w:r w:rsidR="00DA386A">
        <w:rPr>
          <w:rFonts w:ascii="Cambria" w:eastAsia="Calibri" w:hAnsi="Cambria" w:cs="Times New Roman"/>
          <w:sz w:val="21"/>
          <w:szCs w:val="21"/>
          <w:lang w:val="es-ES"/>
        </w:rPr>
        <w:t>,</w:t>
      </w:r>
      <w:r w:rsidRPr="00A457F5">
        <w:rPr>
          <w:rFonts w:ascii="Cambria" w:eastAsia="Calibri" w:hAnsi="Cambria" w:cs="Times New Roman"/>
          <w:sz w:val="21"/>
          <w:szCs w:val="21"/>
          <w:lang w:val="es-ES"/>
        </w:rPr>
        <w:t xml:space="preserve"> los comuneros habrían sido interceptados por un grupo de 30 “invasores” procedentes de los caseríos de Paujil y Quimpichari, quienes les </w:t>
      </w:r>
      <w:r w:rsidR="00A457F5">
        <w:rPr>
          <w:rFonts w:ascii="Cambria" w:eastAsia="Calibri" w:hAnsi="Cambria" w:cs="Times New Roman"/>
          <w:sz w:val="21"/>
          <w:szCs w:val="21"/>
          <w:lang w:val="es-ES"/>
        </w:rPr>
        <w:t>habrían golpeado</w:t>
      </w:r>
      <w:r w:rsidRPr="00A457F5">
        <w:rPr>
          <w:rFonts w:ascii="Cambria" w:eastAsia="Calibri" w:hAnsi="Cambria" w:cs="Times New Roman"/>
          <w:sz w:val="21"/>
          <w:szCs w:val="21"/>
          <w:lang w:val="es-ES"/>
        </w:rPr>
        <w:t xml:space="preserve"> </w:t>
      </w:r>
      <w:r w:rsidR="00A457F5">
        <w:rPr>
          <w:rFonts w:ascii="Cambria" w:eastAsia="Calibri" w:hAnsi="Cambria" w:cs="Times New Roman"/>
          <w:sz w:val="21"/>
          <w:szCs w:val="21"/>
          <w:lang w:val="es-ES"/>
        </w:rPr>
        <w:t xml:space="preserve">e </w:t>
      </w:r>
      <w:r w:rsidR="00DA386A">
        <w:rPr>
          <w:rFonts w:ascii="Cambria" w:eastAsia="Calibri" w:hAnsi="Cambria" w:cs="Times New Roman"/>
          <w:sz w:val="21"/>
          <w:szCs w:val="21"/>
          <w:lang w:val="es-ES"/>
        </w:rPr>
        <w:t>impedido</w:t>
      </w:r>
      <w:r w:rsidR="00DA386A" w:rsidRPr="00A457F5">
        <w:rPr>
          <w:rFonts w:ascii="Cambria" w:eastAsia="Calibri" w:hAnsi="Cambria" w:cs="Times New Roman"/>
          <w:sz w:val="21"/>
          <w:szCs w:val="21"/>
          <w:lang w:val="es-ES"/>
        </w:rPr>
        <w:t xml:space="preserve"> </w:t>
      </w:r>
      <w:r w:rsidRPr="00A457F5">
        <w:rPr>
          <w:rFonts w:ascii="Cambria" w:eastAsia="Calibri" w:hAnsi="Cambria" w:cs="Times New Roman"/>
          <w:sz w:val="21"/>
          <w:szCs w:val="21"/>
          <w:lang w:val="es-ES"/>
        </w:rPr>
        <w:t xml:space="preserve">el paso. Polico Díaz habría sido retenido durante tres horas, </w:t>
      </w:r>
      <w:r w:rsidR="00A457F5">
        <w:rPr>
          <w:rFonts w:ascii="Cambria" w:eastAsia="Calibri" w:hAnsi="Cambria" w:cs="Times New Roman"/>
          <w:sz w:val="21"/>
          <w:szCs w:val="21"/>
          <w:lang w:val="es-ES"/>
        </w:rPr>
        <w:t>siendo amenazado que</w:t>
      </w:r>
      <w:r w:rsidRPr="00A457F5">
        <w:rPr>
          <w:rFonts w:ascii="Cambria" w:eastAsia="Calibri" w:hAnsi="Cambria" w:cs="Times New Roman"/>
          <w:sz w:val="21"/>
          <w:szCs w:val="21"/>
          <w:lang w:val="es-ES"/>
        </w:rPr>
        <w:t xml:space="preserve"> irían a su casa o que le prenderían fuego en el retorno a la Comunidad. Finalmente, Polico Díaz </w:t>
      </w:r>
      <w:r w:rsidR="00430F6F">
        <w:rPr>
          <w:rFonts w:ascii="Cambria" w:eastAsia="Calibri" w:hAnsi="Cambria" w:cs="Times New Roman"/>
          <w:sz w:val="21"/>
          <w:szCs w:val="21"/>
          <w:lang w:val="es-ES"/>
        </w:rPr>
        <w:t>logró</w:t>
      </w:r>
      <w:r w:rsidRPr="00A457F5">
        <w:rPr>
          <w:rFonts w:ascii="Cambria" w:eastAsia="Calibri" w:hAnsi="Cambria" w:cs="Times New Roman"/>
          <w:sz w:val="21"/>
          <w:szCs w:val="21"/>
          <w:lang w:val="es-ES"/>
        </w:rPr>
        <w:t xml:space="preserve"> escapar</w:t>
      </w:r>
      <w:r w:rsidR="00430F6F">
        <w:rPr>
          <w:rFonts w:ascii="Cambria" w:eastAsia="Calibri" w:hAnsi="Cambria" w:cs="Times New Roman"/>
          <w:sz w:val="21"/>
          <w:szCs w:val="21"/>
          <w:lang w:val="es-ES"/>
        </w:rPr>
        <w:t>,</w:t>
      </w:r>
      <w:r w:rsidR="008C3A1F">
        <w:rPr>
          <w:rFonts w:ascii="Cambria" w:eastAsia="Calibri" w:hAnsi="Cambria" w:cs="Times New Roman"/>
          <w:sz w:val="21"/>
          <w:szCs w:val="21"/>
          <w:lang w:val="es-ES"/>
        </w:rPr>
        <w:t xml:space="preserve"> escondiéndose </w:t>
      </w:r>
      <w:r w:rsidRPr="00A457F5">
        <w:rPr>
          <w:rFonts w:ascii="Cambria" w:eastAsia="Calibri" w:hAnsi="Cambria" w:cs="Times New Roman"/>
          <w:sz w:val="21"/>
          <w:szCs w:val="21"/>
          <w:lang w:val="es-ES"/>
        </w:rPr>
        <w:t>toda la noche en casa de un conocido.</w:t>
      </w:r>
      <w:r w:rsidR="008C3A1F">
        <w:rPr>
          <w:rFonts w:ascii="Cambria" w:eastAsia="Calibri" w:hAnsi="Cambria" w:cs="Times New Roman"/>
          <w:sz w:val="21"/>
          <w:szCs w:val="21"/>
          <w:lang w:val="es-ES"/>
        </w:rPr>
        <w:t xml:space="preserve"> </w:t>
      </w:r>
      <w:r w:rsidR="00430F6F">
        <w:rPr>
          <w:rFonts w:ascii="Cambria" w:eastAsia="Calibri" w:hAnsi="Cambria" w:cs="Times New Roman"/>
          <w:sz w:val="21"/>
          <w:szCs w:val="21"/>
          <w:lang w:val="es-ES"/>
        </w:rPr>
        <w:t>Respecto de estos hechos, s</w:t>
      </w:r>
      <w:r w:rsidRPr="008C3A1F">
        <w:rPr>
          <w:rFonts w:ascii="Cambria" w:eastAsia="Calibri" w:hAnsi="Cambria" w:cs="Times New Roman"/>
          <w:sz w:val="21"/>
          <w:szCs w:val="21"/>
          <w:lang w:val="es-ES"/>
        </w:rPr>
        <w:t>e habrían realizado las denuncias correspondientes ante la Comisaría de Puerto Inca</w:t>
      </w:r>
      <w:r w:rsidR="00430F6F">
        <w:rPr>
          <w:rFonts w:ascii="Cambria" w:eastAsia="Calibri" w:hAnsi="Cambria" w:cs="Times New Roman"/>
          <w:sz w:val="21"/>
          <w:szCs w:val="21"/>
          <w:lang w:val="es-ES"/>
        </w:rPr>
        <w:t xml:space="preserve">; sin embargo, la policía les habrían exigido que </w:t>
      </w:r>
      <w:r w:rsidRPr="008C3A1F">
        <w:rPr>
          <w:rFonts w:ascii="Cambria" w:eastAsia="Calibri" w:hAnsi="Cambria" w:cs="Times New Roman"/>
          <w:sz w:val="21"/>
          <w:szCs w:val="21"/>
          <w:lang w:val="es-ES"/>
        </w:rPr>
        <w:t xml:space="preserve"> </w:t>
      </w:r>
      <w:r w:rsidR="00430F6F">
        <w:rPr>
          <w:rFonts w:ascii="Cambria" w:eastAsia="Calibri" w:hAnsi="Cambria" w:cs="Times New Roman"/>
          <w:sz w:val="21"/>
          <w:szCs w:val="21"/>
          <w:lang w:val="es-ES"/>
        </w:rPr>
        <w:t xml:space="preserve">dando lugar a </w:t>
      </w:r>
      <w:r w:rsidRPr="008C3A1F">
        <w:rPr>
          <w:rFonts w:ascii="Cambria" w:eastAsia="Calibri" w:hAnsi="Cambria" w:cs="Times New Roman"/>
          <w:sz w:val="21"/>
          <w:szCs w:val="21"/>
          <w:lang w:val="es-ES"/>
        </w:rPr>
        <w:t>respeten a los terceros</w:t>
      </w:r>
      <w:r w:rsidR="00430F6F">
        <w:rPr>
          <w:rFonts w:ascii="Cambria" w:eastAsia="Calibri" w:hAnsi="Cambria" w:cs="Times New Roman"/>
          <w:sz w:val="21"/>
          <w:szCs w:val="21"/>
          <w:lang w:val="es-ES"/>
        </w:rPr>
        <w:t xml:space="preserve"> “invasores”. Adicionalmente, la solicitante reportó que requirió </w:t>
      </w:r>
      <w:r w:rsidRPr="008C3A1F">
        <w:rPr>
          <w:rFonts w:ascii="Cambria" w:eastAsia="Calibri" w:hAnsi="Cambria" w:cs="Times New Roman"/>
          <w:sz w:val="21"/>
          <w:szCs w:val="21"/>
          <w:lang w:val="es-ES"/>
        </w:rPr>
        <w:t xml:space="preserve">garantías ante la </w:t>
      </w:r>
      <w:r w:rsidR="008C3A1F">
        <w:rPr>
          <w:rFonts w:ascii="Cambria" w:eastAsia="Calibri" w:hAnsi="Cambria" w:cs="Times New Roman"/>
          <w:sz w:val="21"/>
          <w:szCs w:val="21"/>
          <w:lang w:val="es-ES"/>
        </w:rPr>
        <w:t>P</w:t>
      </w:r>
      <w:r w:rsidRPr="008C3A1F">
        <w:rPr>
          <w:rFonts w:ascii="Cambria" w:eastAsia="Calibri" w:hAnsi="Cambria" w:cs="Times New Roman"/>
          <w:sz w:val="21"/>
          <w:szCs w:val="21"/>
          <w:lang w:val="es-ES"/>
        </w:rPr>
        <w:t xml:space="preserve">refectura, </w:t>
      </w:r>
      <w:r w:rsidR="008C3A1F">
        <w:rPr>
          <w:rFonts w:ascii="Cambria" w:eastAsia="Calibri" w:hAnsi="Cambria" w:cs="Times New Roman"/>
          <w:sz w:val="21"/>
          <w:szCs w:val="21"/>
          <w:lang w:val="es-ES"/>
        </w:rPr>
        <w:t xml:space="preserve">sin </w:t>
      </w:r>
      <w:r w:rsidRPr="008C3A1F">
        <w:rPr>
          <w:rFonts w:ascii="Cambria" w:eastAsia="Calibri" w:hAnsi="Cambria" w:cs="Times New Roman"/>
          <w:sz w:val="21"/>
          <w:szCs w:val="21"/>
          <w:lang w:val="es-ES"/>
        </w:rPr>
        <w:t>medida</w:t>
      </w:r>
      <w:r w:rsidR="00D12F4E">
        <w:rPr>
          <w:rFonts w:ascii="Cambria" w:eastAsia="Calibri" w:hAnsi="Cambria" w:cs="Times New Roman"/>
          <w:sz w:val="21"/>
          <w:szCs w:val="21"/>
          <w:lang w:val="es-ES"/>
        </w:rPr>
        <w:t>s</w:t>
      </w:r>
      <w:r w:rsidRPr="008C3A1F">
        <w:rPr>
          <w:rFonts w:ascii="Cambria" w:eastAsia="Calibri" w:hAnsi="Cambria" w:cs="Times New Roman"/>
          <w:sz w:val="21"/>
          <w:szCs w:val="21"/>
          <w:lang w:val="es-ES"/>
        </w:rPr>
        <w:t xml:space="preserve"> de protección</w:t>
      </w:r>
      <w:r w:rsidR="00D12F4E">
        <w:rPr>
          <w:rFonts w:ascii="Cambria" w:eastAsia="Calibri" w:hAnsi="Cambria" w:cs="Times New Roman"/>
          <w:sz w:val="21"/>
          <w:szCs w:val="21"/>
          <w:lang w:val="es-ES"/>
        </w:rPr>
        <w:t xml:space="preserve"> a la fecha</w:t>
      </w:r>
      <w:r w:rsidRPr="008C3A1F">
        <w:rPr>
          <w:rFonts w:ascii="Cambria" w:eastAsia="Calibri" w:hAnsi="Cambria" w:cs="Times New Roman"/>
          <w:sz w:val="21"/>
          <w:szCs w:val="21"/>
          <w:lang w:val="es-ES"/>
        </w:rPr>
        <w:t xml:space="preserve">. </w:t>
      </w:r>
    </w:p>
    <w:p w14:paraId="113470C7" w14:textId="77777777" w:rsidR="008C3A1F" w:rsidRDefault="008C3A1F" w:rsidP="00A93C9D">
      <w:pPr>
        <w:pStyle w:val="ListParagraph"/>
        <w:rPr>
          <w:rFonts w:ascii="Cambria" w:eastAsia="Calibri" w:hAnsi="Cambria" w:cs="Times New Roman"/>
          <w:sz w:val="21"/>
          <w:szCs w:val="21"/>
          <w:lang w:val="es-ES"/>
        </w:rPr>
      </w:pPr>
    </w:p>
    <w:p w14:paraId="6EE570D3" w14:textId="037D1DED" w:rsidR="00E32071" w:rsidRPr="00E32071" w:rsidRDefault="00E32071" w:rsidP="00A93C9D">
      <w:pPr>
        <w:numPr>
          <w:ilvl w:val="0"/>
          <w:numId w:val="1"/>
        </w:numPr>
        <w:ind w:left="0" w:firstLine="360"/>
        <w:jc w:val="both"/>
        <w:rPr>
          <w:rFonts w:ascii="Cambria" w:eastAsia="Calibri" w:hAnsi="Cambria" w:cs="Times New Roman"/>
          <w:sz w:val="21"/>
          <w:szCs w:val="21"/>
          <w:lang w:val="es-ES"/>
        </w:rPr>
      </w:pPr>
      <w:r w:rsidRPr="00E32071">
        <w:rPr>
          <w:rFonts w:ascii="Cambria" w:eastAsia="Calibri" w:hAnsi="Cambria" w:cs="Times New Roman"/>
          <w:sz w:val="21"/>
          <w:szCs w:val="21"/>
          <w:lang w:val="es-ES"/>
        </w:rPr>
        <w:t xml:space="preserve">Anteriormente, </w:t>
      </w:r>
      <w:r w:rsidR="00FC3049">
        <w:rPr>
          <w:rFonts w:ascii="Cambria" w:eastAsia="Calibri" w:hAnsi="Cambria" w:cs="Times New Roman"/>
          <w:sz w:val="21"/>
          <w:szCs w:val="21"/>
          <w:lang w:val="es-ES"/>
        </w:rPr>
        <w:t xml:space="preserve">la solicitante destacó que </w:t>
      </w:r>
      <w:r w:rsidRPr="00E32071">
        <w:rPr>
          <w:rFonts w:ascii="Cambria" w:eastAsia="Calibri" w:hAnsi="Cambria" w:cs="Times New Roman"/>
          <w:sz w:val="21"/>
          <w:szCs w:val="21"/>
          <w:lang w:val="es-ES"/>
        </w:rPr>
        <w:t xml:space="preserve">agresiones similares </w:t>
      </w:r>
      <w:r w:rsidR="00430F6F">
        <w:rPr>
          <w:rFonts w:ascii="Cambria" w:eastAsia="Calibri" w:hAnsi="Cambria" w:cs="Times New Roman"/>
          <w:sz w:val="21"/>
          <w:szCs w:val="21"/>
          <w:lang w:val="es-ES"/>
        </w:rPr>
        <w:t>ocurrieron</w:t>
      </w:r>
      <w:r w:rsidRPr="00E32071">
        <w:rPr>
          <w:rFonts w:ascii="Cambria" w:eastAsia="Calibri" w:hAnsi="Cambria" w:cs="Times New Roman"/>
          <w:sz w:val="21"/>
          <w:szCs w:val="21"/>
          <w:lang w:val="es-ES"/>
        </w:rPr>
        <w:t xml:space="preserve"> los días 20 de julio y 11 de diciembre del 2018</w:t>
      </w:r>
      <w:r w:rsidR="00430F6F">
        <w:rPr>
          <w:rFonts w:ascii="Cambria" w:eastAsia="Calibri" w:hAnsi="Cambria" w:cs="Times New Roman"/>
          <w:sz w:val="21"/>
          <w:szCs w:val="21"/>
          <w:lang w:val="es-ES"/>
        </w:rPr>
        <w:t>,</w:t>
      </w:r>
      <w:r w:rsidRPr="00E32071">
        <w:rPr>
          <w:rFonts w:ascii="Cambria" w:eastAsia="Calibri" w:hAnsi="Cambria" w:cs="Times New Roman"/>
          <w:sz w:val="21"/>
          <w:szCs w:val="21"/>
          <w:lang w:val="es-ES"/>
        </w:rPr>
        <w:t xml:space="preserve"> cuando el Gobierno Regional </w:t>
      </w:r>
      <w:r w:rsidR="00430F6F">
        <w:rPr>
          <w:rFonts w:ascii="Cambria" w:eastAsia="Calibri" w:hAnsi="Cambria" w:cs="Times New Roman"/>
          <w:sz w:val="21"/>
          <w:szCs w:val="21"/>
          <w:lang w:val="es-ES"/>
        </w:rPr>
        <w:t>programó</w:t>
      </w:r>
      <w:r w:rsidRPr="00E32071">
        <w:rPr>
          <w:rFonts w:ascii="Cambria" w:eastAsia="Calibri" w:hAnsi="Cambria" w:cs="Times New Roman"/>
          <w:sz w:val="21"/>
          <w:szCs w:val="21"/>
          <w:lang w:val="es-ES"/>
        </w:rPr>
        <w:t xml:space="preserve"> inspecciones similares.</w:t>
      </w:r>
      <w:r w:rsidR="00FC3049">
        <w:rPr>
          <w:rFonts w:ascii="Cambria" w:eastAsia="Calibri" w:hAnsi="Cambria" w:cs="Times New Roman"/>
          <w:sz w:val="21"/>
          <w:szCs w:val="21"/>
          <w:lang w:val="es-ES"/>
        </w:rPr>
        <w:t xml:space="preserve"> </w:t>
      </w:r>
      <w:r w:rsidRPr="00E32071">
        <w:rPr>
          <w:rFonts w:ascii="Cambria" w:eastAsia="Calibri" w:hAnsi="Cambria" w:cs="Times New Roman"/>
          <w:sz w:val="21"/>
          <w:szCs w:val="21"/>
          <w:lang w:val="es-ES"/>
        </w:rPr>
        <w:t>Asimismo, el señor Polico Díaz Sambache habría sido secuestrado el abril del 2019, a las dos de la madrugada</w:t>
      </w:r>
      <w:r w:rsidR="00430F6F">
        <w:rPr>
          <w:rFonts w:ascii="Cambria" w:eastAsia="Calibri" w:hAnsi="Cambria" w:cs="Times New Roman"/>
          <w:sz w:val="21"/>
          <w:szCs w:val="21"/>
          <w:lang w:val="es-ES"/>
        </w:rPr>
        <w:t>,</w:t>
      </w:r>
      <w:r w:rsidRPr="00E32071">
        <w:rPr>
          <w:rFonts w:ascii="Cambria" w:eastAsia="Calibri" w:hAnsi="Cambria" w:cs="Times New Roman"/>
          <w:sz w:val="21"/>
          <w:szCs w:val="21"/>
          <w:lang w:val="es-ES"/>
        </w:rPr>
        <w:t xml:space="preserve"> mientras pernoctaba con otros comuneros en la vivienda del comunero Edilberto Pizango, donde suelen quedarse para cazar. En esa ocasión</w:t>
      </w:r>
      <w:r w:rsidR="00430F6F">
        <w:rPr>
          <w:rFonts w:ascii="Cambria" w:eastAsia="Calibri" w:hAnsi="Cambria" w:cs="Times New Roman"/>
          <w:sz w:val="21"/>
          <w:szCs w:val="21"/>
          <w:lang w:val="es-ES"/>
        </w:rPr>
        <w:t>,</w:t>
      </w:r>
      <w:r w:rsidRPr="00E32071">
        <w:rPr>
          <w:rFonts w:ascii="Cambria" w:eastAsia="Calibri" w:hAnsi="Cambria" w:cs="Times New Roman"/>
          <w:sz w:val="21"/>
          <w:szCs w:val="21"/>
          <w:lang w:val="es-ES"/>
        </w:rPr>
        <w:t xml:space="preserve"> </w:t>
      </w:r>
      <w:r w:rsidR="00FC3049">
        <w:rPr>
          <w:rFonts w:ascii="Cambria" w:eastAsia="Calibri" w:hAnsi="Cambria" w:cs="Times New Roman"/>
          <w:sz w:val="21"/>
          <w:szCs w:val="21"/>
          <w:lang w:val="es-ES"/>
        </w:rPr>
        <w:t>6</w:t>
      </w:r>
      <w:r w:rsidRPr="00E32071">
        <w:rPr>
          <w:rFonts w:ascii="Cambria" w:eastAsia="Calibri" w:hAnsi="Cambria" w:cs="Times New Roman"/>
          <w:sz w:val="21"/>
          <w:szCs w:val="21"/>
          <w:lang w:val="es-ES"/>
        </w:rPr>
        <w:t xml:space="preserve"> personas con uniforme de policías acompañados de varios civiles, uno de ellos con el rostro oculto con pasamontañas, le habrían mantenido secuestrado durante casi 3 días, acusándole de participar en actividades relacionadas con el tráfico de estupefacientes. Sus captores le </w:t>
      </w:r>
      <w:r w:rsidR="00F63AFA">
        <w:rPr>
          <w:rFonts w:ascii="Cambria" w:eastAsia="Calibri" w:hAnsi="Cambria" w:cs="Times New Roman"/>
          <w:sz w:val="21"/>
          <w:szCs w:val="21"/>
          <w:lang w:val="es-ES"/>
        </w:rPr>
        <w:t>habrían indicado</w:t>
      </w:r>
      <w:r w:rsidRPr="00E32071">
        <w:rPr>
          <w:rFonts w:ascii="Cambria" w:eastAsia="Calibri" w:hAnsi="Cambria" w:cs="Times New Roman"/>
          <w:sz w:val="21"/>
          <w:szCs w:val="21"/>
          <w:lang w:val="es-ES"/>
        </w:rPr>
        <w:t xml:space="preserve"> que la zona se encontraba en estado de emergencia y que pod</w:t>
      </w:r>
      <w:r w:rsidR="00F63AFA">
        <w:rPr>
          <w:rFonts w:ascii="Cambria" w:eastAsia="Calibri" w:hAnsi="Cambria" w:cs="Times New Roman"/>
          <w:sz w:val="21"/>
          <w:szCs w:val="21"/>
          <w:lang w:val="es-ES"/>
        </w:rPr>
        <w:t>r</w:t>
      </w:r>
      <w:r w:rsidRPr="00E32071">
        <w:rPr>
          <w:rFonts w:ascii="Cambria" w:eastAsia="Calibri" w:hAnsi="Cambria" w:cs="Times New Roman"/>
          <w:sz w:val="21"/>
          <w:szCs w:val="21"/>
          <w:lang w:val="es-ES"/>
        </w:rPr>
        <w:t>ían desaparecerlo sin consecuencia alguna. Durante su secuestro</w:t>
      </w:r>
      <w:r w:rsidR="00430F6F">
        <w:rPr>
          <w:rFonts w:ascii="Cambria" w:eastAsia="Calibri" w:hAnsi="Cambria" w:cs="Times New Roman"/>
          <w:sz w:val="21"/>
          <w:szCs w:val="21"/>
          <w:lang w:val="es-ES"/>
        </w:rPr>
        <w:t>,</w:t>
      </w:r>
      <w:r w:rsidRPr="00E32071">
        <w:rPr>
          <w:rFonts w:ascii="Cambria" w:eastAsia="Calibri" w:hAnsi="Cambria" w:cs="Times New Roman"/>
          <w:sz w:val="21"/>
          <w:szCs w:val="21"/>
          <w:lang w:val="es-ES"/>
        </w:rPr>
        <w:t xml:space="preserve"> pudo reconocer a</w:t>
      </w:r>
      <w:r w:rsidR="00F63AFA">
        <w:rPr>
          <w:rFonts w:ascii="Cambria" w:eastAsia="Calibri" w:hAnsi="Cambria" w:cs="Times New Roman"/>
          <w:sz w:val="21"/>
          <w:szCs w:val="21"/>
          <w:lang w:val="es-ES"/>
        </w:rPr>
        <w:t xml:space="preserve"> un</w:t>
      </w:r>
      <w:r w:rsidRPr="00E32071">
        <w:rPr>
          <w:rFonts w:ascii="Cambria" w:eastAsia="Calibri" w:hAnsi="Cambria" w:cs="Times New Roman"/>
          <w:sz w:val="21"/>
          <w:szCs w:val="21"/>
          <w:lang w:val="es-ES"/>
        </w:rPr>
        <w:t xml:space="preserve"> civil </w:t>
      </w:r>
      <w:r w:rsidR="00430F6F">
        <w:rPr>
          <w:rFonts w:ascii="Cambria" w:eastAsia="Calibri" w:hAnsi="Cambria" w:cs="Times New Roman"/>
          <w:sz w:val="21"/>
          <w:szCs w:val="21"/>
          <w:lang w:val="es-ES"/>
        </w:rPr>
        <w:t>encapuchado</w:t>
      </w:r>
      <w:r w:rsidRPr="00E32071">
        <w:rPr>
          <w:rFonts w:ascii="Cambria" w:eastAsia="Calibri" w:hAnsi="Cambria" w:cs="Times New Roman"/>
          <w:sz w:val="21"/>
          <w:szCs w:val="21"/>
          <w:lang w:val="es-ES"/>
        </w:rPr>
        <w:t xml:space="preserve"> </w:t>
      </w:r>
      <w:r w:rsidR="00430F6F">
        <w:rPr>
          <w:rFonts w:ascii="Cambria" w:eastAsia="Calibri" w:hAnsi="Cambria" w:cs="Times New Roman"/>
          <w:sz w:val="21"/>
          <w:szCs w:val="21"/>
          <w:lang w:val="es-ES"/>
        </w:rPr>
        <w:t>como el presunto</w:t>
      </w:r>
      <w:r w:rsidR="00F63AFA">
        <w:rPr>
          <w:rFonts w:ascii="Cambria" w:eastAsia="Calibri" w:hAnsi="Cambria" w:cs="Times New Roman"/>
          <w:sz w:val="21"/>
          <w:szCs w:val="21"/>
          <w:lang w:val="es-ES"/>
        </w:rPr>
        <w:t xml:space="preserve"> líder de</w:t>
      </w:r>
      <w:r w:rsidRPr="00E32071">
        <w:rPr>
          <w:rFonts w:ascii="Cambria" w:eastAsia="Calibri" w:hAnsi="Cambria" w:cs="Times New Roman"/>
          <w:sz w:val="21"/>
          <w:szCs w:val="21"/>
          <w:lang w:val="es-ES"/>
        </w:rPr>
        <w:t xml:space="preserve"> los “invasores”. Al siguiente día de ser liberado Polico Díaz, los integrantes de la Comunidad </w:t>
      </w:r>
      <w:r w:rsidR="00F63AFA">
        <w:rPr>
          <w:rFonts w:ascii="Cambria" w:eastAsia="Calibri" w:hAnsi="Cambria" w:cs="Times New Roman"/>
          <w:sz w:val="21"/>
          <w:szCs w:val="21"/>
          <w:lang w:val="es-ES"/>
        </w:rPr>
        <w:t>habrían observado</w:t>
      </w:r>
      <w:r w:rsidRPr="00E32071">
        <w:rPr>
          <w:rFonts w:ascii="Cambria" w:eastAsia="Calibri" w:hAnsi="Cambria" w:cs="Times New Roman"/>
          <w:sz w:val="21"/>
          <w:szCs w:val="21"/>
          <w:lang w:val="es-ES"/>
        </w:rPr>
        <w:t xml:space="preserve"> en el caserío de Quimpichari una camioneta de la Comisaría que estaba recogiendo a un grupo de policías</w:t>
      </w:r>
      <w:r w:rsidR="00F63AFA">
        <w:rPr>
          <w:rFonts w:ascii="Cambria" w:eastAsia="Calibri" w:hAnsi="Cambria" w:cs="Times New Roman"/>
          <w:sz w:val="21"/>
          <w:szCs w:val="21"/>
          <w:lang w:val="es-ES"/>
        </w:rPr>
        <w:t>. Sin embargo,</w:t>
      </w:r>
      <w:r w:rsidRPr="00E32071">
        <w:rPr>
          <w:rFonts w:ascii="Cambria" w:eastAsia="Calibri" w:hAnsi="Cambria" w:cs="Times New Roman"/>
          <w:sz w:val="21"/>
          <w:szCs w:val="21"/>
          <w:lang w:val="es-ES"/>
        </w:rPr>
        <w:t xml:space="preserve"> el Comisario responsable </w:t>
      </w:r>
      <w:r w:rsidR="00F63AFA">
        <w:rPr>
          <w:rFonts w:ascii="Cambria" w:eastAsia="Calibri" w:hAnsi="Cambria" w:cs="Times New Roman"/>
          <w:sz w:val="21"/>
          <w:szCs w:val="21"/>
          <w:lang w:val="es-ES"/>
        </w:rPr>
        <w:t>habría negado</w:t>
      </w:r>
      <w:r w:rsidRPr="00E32071">
        <w:rPr>
          <w:rFonts w:ascii="Cambria" w:eastAsia="Calibri" w:hAnsi="Cambria" w:cs="Times New Roman"/>
          <w:sz w:val="21"/>
          <w:szCs w:val="21"/>
          <w:lang w:val="es-ES"/>
        </w:rPr>
        <w:t xml:space="preserve"> que se haya realizado </w:t>
      </w:r>
      <w:r w:rsidR="00F63AFA" w:rsidRPr="00E32071">
        <w:rPr>
          <w:rFonts w:ascii="Cambria" w:eastAsia="Calibri" w:hAnsi="Cambria" w:cs="Times New Roman"/>
          <w:sz w:val="21"/>
          <w:szCs w:val="21"/>
          <w:lang w:val="es-ES"/>
        </w:rPr>
        <w:t>algún</w:t>
      </w:r>
      <w:r w:rsidRPr="00E32071">
        <w:rPr>
          <w:rFonts w:ascii="Cambria" w:eastAsia="Calibri" w:hAnsi="Cambria" w:cs="Times New Roman"/>
          <w:sz w:val="21"/>
          <w:szCs w:val="21"/>
          <w:lang w:val="es-ES"/>
        </w:rPr>
        <w:t xml:space="preserve"> patrulla</w:t>
      </w:r>
      <w:r w:rsidR="00F63AFA">
        <w:rPr>
          <w:rFonts w:ascii="Cambria" w:eastAsia="Calibri" w:hAnsi="Cambria" w:cs="Times New Roman"/>
          <w:sz w:val="21"/>
          <w:szCs w:val="21"/>
          <w:lang w:val="es-ES"/>
        </w:rPr>
        <w:t>je</w:t>
      </w:r>
      <w:r w:rsidRPr="00E32071">
        <w:rPr>
          <w:rFonts w:ascii="Cambria" w:eastAsia="Calibri" w:hAnsi="Cambria" w:cs="Times New Roman"/>
          <w:sz w:val="21"/>
          <w:szCs w:val="21"/>
          <w:lang w:val="es-ES"/>
        </w:rPr>
        <w:t xml:space="preserve"> en esa fecha.</w:t>
      </w:r>
    </w:p>
    <w:p w14:paraId="15037691" w14:textId="77777777" w:rsidR="00F63AFA" w:rsidRDefault="00F63AFA" w:rsidP="00A93C9D">
      <w:pPr>
        <w:ind w:left="360"/>
        <w:jc w:val="both"/>
        <w:rPr>
          <w:rFonts w:ascii="Cambria" w:eastAsia="Calibri" w:hAnsi="Cambria" w:cs="Times New Roman"/>
          <w:sz w:val="21"/>
          <w:szCs w:val="21"/>
          <w:lang w:val="es-ES"/>
        </w:rPr>
      </w:pPr>
    </w:p>
    <w:p w14:paraId="73263EBE" w14:textId="54B8DCBE" w:rsidR="00E32071" w:rsidRPr="00E32071" w:rsidRDefault="001B27C0" w:rsidP="00A93C9D">
      <w:pPr>
        <w:numPr>
          <w:ilvl w:val="0"/>
          <w:numId w:val="1"/>
        </w:numPr>
        <w:ind w:left="0" w:firstLine="360"/>
        <w:jc w:val="both"/>
        <w:rPr>
          <w:rFonts w:ascii="Cambria" w:eastAsia="Calibri" w:hAnsi="Cambria" w:cs="Times New Roman"/>
          <w:sz w:val="21"/>
          <w:szCs w:val="21"/>
          <w:lang w:val="es-ES"/>
        </w:rPr>
      </w:pPr>
      <w:r>
        <w:rPr>
          <w:rFonts w:ascii="Cambria" w:eastAsia="Calibri" w:hAnsi="Cambria" w:cs="Times New Roman"/>
          <w:sz w:val="21"/>
          <w:szCs w:val="21"/>
          <w:lang w:val="es-ES"/>
        </w:rPr>
        <w:t>La solicitante indicó que existen</w:t>
      </w:r>
      <w:r w:rsidR="00E32071" w:rsidRPr="00E32071">
        <w:rPr>
          <w:rFonts w:ascii="Cambria" w:eastAsia="Calibri" w:hAnsi="Cambria" w:cs="Times New Roman"/>
          <w:sz w:val="21"/>
          <w:szCs w:val="21"/>
          <w:lang w:val="es-ES"/>
        </w:rPr>
        <w:t xml:space="preserve"> denuncias en contra de los integrantes de la comunidad, con las cuales se vendría deteriorando su imagen ante las autoridades en la zona urbana, generando procesos en los que tienen muchas dificultades para defenderse, ya que se encuentran a ocho horas caminando de la ciudad y no cuentan con recursos para acceder a patrocinio legal</w:t>
      </w:r>
      <w:r>
        <w:rPr>
          <w:rStyle w:val="FootnoteReference"/>
          <w:rFonts w:ascii="Cambria" w:eastAsia="Calibri" w:hAnsi="Cambria" w:cs="Times New Roman"/>
          <w:sz w:val="21"/>
          <w:szCs w:val="21"/>
          <w:lang w:val="es-ES"/>
        </w:rPr>
        <w:footnoteReference w:id="4"/>
      </w:r>
      <w:r w:rsidR="00E32071" w:rsidRPr="00E32071">
        <w:rPr>
          <w:rFonts w:ascii="Cambria" w:eastAsia="Calibri" w:hAnsi="Cambria" w:cs="Times New Roman"/>
          <w:sz w:val="21"/>
          <w:szCs w:val="21"/>
          <w:lang w:val="es-ES"/>
        </w:rPr>
        <w:t xml:space="preserve">. A la par, los “invasores” </w:t>
      </w:r>
      <w:r w:rsidR="003E2E5B">
        <w:rPr>
          <w:rFonts w:ascii="Cambria" w:eastAsia="Calibri" w:hAnsi="Cambria" w:cs="Times New Roman"/>
          <w:sz w:val="21"/>
          <w:szCs w:val="21"/>
          <w:lang w:val="es-ES"/>
        </w:rPr>
        <w:t xml:space="preserve">estarían </w:t>
      </w:r>
      <w:r w:rsidR="00E32071" w:rsidRPr="00E32071">
        <w:rPr>
          <w:rFonts w:ascii="Cambria" w:eastAsia="Calibri" w:hAnsi="Cambria" w:cs="Times New Roman"/>
          <w:sz w:val="21"/>
          <w:szCs w:val="21"/>
          <w:lang w:val="es-ES"/>
        </w:rPr>
        <w:t>difamando a las autoridades comunales sosteniendo que se dedican al tráfico de estupefacientes,</w:t>
      </w:r>
      <w:r w:rsidR="003E2E5B">
        <w:rPr>
          <w:rFonts w:ascii="Cambria" w:eastAsia="Calibri" w:hAnsi="Cambria" w:cs="Times New Roman"/>
          <w:sz w:val="21"/>
          <w:szCs w:val="21"/>
          <w:lang w:val="es-ES"/>
        </w:rPr>
        <w:t xml:space="preserve"> </w:t>
      </w:r>
      <w:r w:rsidR="00E32071" w:rsidRPr="00E32071">
        <w:rPr>
          <w:rFonts w:ascii="Cambria" w:eastAsia="Calibri" w:hAnsi="Cambria" w:cs="Times New Roman"/>
          <w:sz w:val="21"/>
          <w:szCs w:val="21"/>
          <w:lang w:val="es-ES"/>
        </w:rPr>
        <w:t xml:space="preserve">lo que está afectando la credibilidad de los dirigentes. </w:t>
      </w:r>
    </w:p>
    <w:p w14:paraId="413E5FEC" w14:textId="77777777" w:rsidR="00F63AFA" w:rsidRDefault="00F63AFA" w:rsidP="00A93C9D">
      <w:pPr>
        <w:ind w:left="360"/>
        <w:jc w:val="both"/>
        <w:rPr>
          <w:rFonts w:ascii="Cambria" w:eastAsia="Calibri" w:hAnsi="Cambria" w:cs="Times New Roman"/>
          <w:sz w:val="21"/>
          <w:szCs w:val="21"/>
          <w:lang w:val="es-ES"/>
        </w:rPr>
      </w:pPr>
    </w:p>
    <w:p w14:paraId="1D41F50A" w14:textId="7EEA1A13" w:rsidR="00E32071" w:rsidRPr="00E32071" w:rsidRDefault="003E2E5B" w:rsidP="00A93C9D">
      <w:pPr>
        <w:numPr>
          <w:ilvl w:val="0"/>
          <w:numId w:val="1"/>
        </w:numPr>
        <w:ind w:left="0" w:firstLine="360"/>
        <w:jc w:val="both"/>
        <w:rPr>
          <w:rFonts w:ascii="Cambria" w:eastAsia="Calibri" w:hAnsi="Cambria" w:cs="Times New Roman"/>
          <w:sz w:val="21"/>
          <w:szCs w:val="21"/>
          <w:lang w:val="es-ES"/>
        </w:rPr>
      </w:pPr>
      <w:r>
        <w:rPr>
          <w:rFonts w:ascii="Cambria" w:eastAsia="Calibri" w:hAnsi="Cambria" w:cs="Times New Roman"/>
          <w:sz w:val="21"/>
          <w:szCs w:val="21"/>
          <w:lang w:val="es-ES"/>
        </w:rPr>
        <w:t xml:space="preserve">Finalmente, la solicitante indicó que </w:t>
      </w:r>
      <w:r w:rsidR="00E32071" w:rsidRPr="00E32071">
        <w:rPr>
          <w:rFonts w:ascii="Cambria" w:eastAsia="Calibri" w:hAnsi="Cambria" w:cs="Times New Roman"/>
          <w:sz w:val="21"/>
          <w:szCs w:val="21"/>
          <w:lang w:val="es-ES"/>
        </w:rPr>
        <w:t xml:space="preserve">se ha solicitado garantías al Ministerio del Interior por el intento de asesinato del </w:t>
      </w:r>
      <w:r w:rsidRPr="00E32071">
        <w:rPr>
          <w:rFonts w:ascii="Cambria" w:eastAsia="Calibri" w:hAnsi="Cambria" w:cs="Times New Roman"/>
          <w:sz w:val="21"/>
          <w:szCs w:val="21"/>
          <w:lang w:val="es-ES"/>
        </w:rPr>
        <w:t>jefe</w:t>
      </w:r>
      <w:r w:rsidR="00E32071" w:rsidRPr="00E32071">
        <w:rPr>
          <w:rFonts w:ascii="Cambria" w:eastAsia="Calibri" w:hAnsi="Cambria" w:cs="Times New Roman"/>
          <w:sz w:val="21"/>
          <w:szCs w:val="21"/>
          <w:lang w:val="es-ES"/>
        </w:rPr>
        <w:t xml:space="preserve"> de la Comunidad </w:t>
      </w:r>
      <w:r>
        <w:rPr>
          <w:rFonts w:ascii="Cambria" w:eastAsia="Calibri" w:hAnsi="Cambria" w:cs="Times New Roman"/>
          <w:sz w:val="21"/>
          <w:szCs w:val="21"/>
          <w:lang w:val="es-ES"/>
        </w:rPr>
        <w:t>d</w:t>
      </w:r>
      <w:r w:rsidR="00E32071" w:rsidRPr="00E32071">
        <w:rPr>
          <w:rFonts w:ascii="Cambria" w:eastAsia="Calibri" w:hAnsi="Cambria" w:cs="Times New Roman"/>
          <w:sz w:val="21"/>
          <w:szCs w:val="21"/>
          <w:lang w:val="es-ES"/>
        </w:rPr>
        <w:t>el 29 de julio de 2019 y la</w:t>
      </w:r>
      <w:r>
        <w:rPr>
          <w:rFonts w:ascii="Cambria" w:eastAsia="Calibri" w:hAnsi="Cambria" w:cs="Times New Roman"/>
          <w:sz w:val="21"/>
          <w:szCs w:val="21"/>
          <w:lang w:val="es-ES"/>
        </w:rPr>
        <w:t>s</w:t>
      </w:r>
      <w:r w:rsidR="00E32071" w:rsidRPr="00E32071">
        <w:rPr>
          <w:rFonts w:ascii="Cambria" w:eastAsia="Calibri" w:hAnsi="Cambria" w:cs="Times New Roman"/>
          <w:sz w:val="21"/>
          <w:szCs w:val="21"/>
          <w:lang w:val="es-ES"/>
        </w:rPr>
        <w:t xml:space="preserve"> </w:t>
      </w:r>
      <w:r>
        <w:rPr>
          <w:rFonts w:ascii="Cambria" w:eastAsia="Calibri" w:hAnsi="Cambria" w:cs="Times New Roman"/>
          <w:sz w:val="21"/>
          <w:szCs w:val="21"/>
          <w:lang w:val="es-ES"/>
        </w:rPr>
        <w:t>agresiones</w:t>
      </w:r>
      <w:r w:rsidR="00E32071" w:rsidRPr="00E32071">
        <w:rPr>
          <w:rFonts w:ascii="Cambria" w:eastAsia="Calibri" w:hAnsi="Cambria" w:cs="Times New Roman"/>
          <w:sz w:val="21"/>
          <w:szCs w:val="21"/>
          <w:lang w:val="es-ES"/>
        </w:rPr>
        <w:t xml:space="preserve"> contra otros cuatro comuneros ocurrida el 9 de septiembre de 2019</w:t>
      </w:r>
      <w:r>
        <w:rPr>
          <w:rFonts w:ascii="Cambria" w:eastAsia="Calibri" w:hAnsi="Cambria" w:cs="Times New Roman"/>
          <w:sz w:val="21"/>
          <w:szCs w:val="21"/>
          <w:lang w:val="es-ES"/>
        </w:rPr>
        <w:t xml:space="preserve">, sin </w:t>
      </w:r>
      <w:r w:rsidR="00E32071" w:rsidRPr="00E32071">
        <w:rPr>
          <w:rFonts w:ascii="Cambria" w:eastAsia="Calibri" w:hAnsi="Cambria" w:cs="Times New Roman"/>
          <w:sz w:val="21"/>
          <w:szCs w:val="21"/>
          <w:lang w:val="es-ES"/>
        </w:rPr>
        <w:t>respuestas. L</w:t>
      </w:r>
      <w:r>
        <w:rPr>
          <w:rFonts w:ascii="Cambria" w:eastAsia="Calibri" w:hAnsi="Cambria" w:cs="Times New Roman"/>
          <w:sz w:val="21"/>
          <w:szCs w:val="21"/>
          <w:lang w:val="es-ES"/>
        </w:rPr>
        <w:t>a</w:t>
      </w:r>
      <w:r w:rsidR="00E32071" w:rsidRPr="00E32071">
        <w:rPr>
          <w:rFonts w:ascii="Cambria" w:eastAsia="Calibri" w:hAnsi="Cambria" w:cs="Times New Roman"/>
          <w:sz w:val="21"/>
          <w:szCs w:val="21"/>
          <w:lang w:val="es-ES"/>
        </w:rPr>
        <w:t xml:space="preserve"> solicitante también </w:t>
      </w:r>
      <w:r>
        <w:rPr>
          <w:rFonts w:ascii="Cambria" w:eastAsia="Calibri" w:hAnsi="Cambria" w:cs="Times New Roman"/>
          <w:sz w:val="21"/>
          <w:szCs w:val="21"/>
          <w:lang w:val="es-ES"/>
        </w:rPr>
        <w:t>indicó</w:t>
      </w:r>
      <w:r w:rsidR="00E32071" w:rsidRPr="00E32071">
        <w:rPr>
          <w:rFonts w:ascii="Cambria" w:eastAsia="Calibri" w:hAnsi="Cambria" w:cs="Times New Roman"/>
          <w:sz w:val="21"/>
          <w:szCs w:val="21"/>
          <w:lang w:val="es-ES"/>
        </w:rPr>
        <w:t xml:space="preserve"> que comunicaron la situación de riesgo al Protocolo de Defensores liderado por el Ministerio de Justicia, al Ministerio de Cultura, a la Defensoría del Pueblo, al Gobierno Regional de Huánuco, la Comisión de </w:t>
      </w:r>
      <w:r w:rsidR="00E32071" w:rsidRPr="00E32071">
        <w:rPr>
          <w:rFonts w:ascii="Cambria" w:eastAsia="Calibri" w:hAnsi="Cambria" w:cs="Times New Roman"/>
          <w:sz w:val="21"/>
          <w:szCs w:val="21"/>
          <w:lang w:val="es-ES"/>
        </w:rPr>
        <w:lastRenderedPageBreak/>
        <w:t>Pueblos Andinos y Amazónicos y al Ministerio Público. Hasta la fecha no se habría logrado ninguna medida de protección.</w:t>
      </w:r>
    </w:p>
    <w:p w14:paraId="4903C10F" w14:textId="77777777" w:rsidR="00F63AFA" w:rsidRDefault="00F63AFA" w:rsidP="00A93C9D">
      <w:pPr>
        <w:pStyle w:val="ListParagraph"/>
        <w:jc w:val="both"/>
        <w:rPr>
          <w:rFonts w:ascii="Cambria" w:eastAsia="Calibri" w:hAnsi="Cambria"/>
          <w:b/>
          <w:sz w:val="21"/>
          <w:szCs w:val="21"/>
          <w:lang w:val="es-ES_tradnl"/>
        </w:rPr>
      </w:pPr>
    </w:p>
    <w:p w14:paraId="62C04CBE" w14:textId="10F2ADD7" w:rsidR="002840D0" w:rsidRPr="00E32071" w:rsidRDefault="00A858AE" w:rsidP="00A93C9D">
      <w:pPr>
        <w:pStyle w:val="ListParagraph"/>
        <w:numPr>
          <w:ilvl w:val="0"/>
          <w:numId w:val="3"/>
        </w:numPr>
        <w:jc w:val="both"/>
        <w:rPr>
          <w:rFonts w:ascii="Cambria" w:eastAsia="Calibri" w:hAnsi="Cambria"/>
          <w:b/>
          <w:sz w:val="21"/>
          <w:szCs w:val="21"/>
          <w:lang w:val="es-ES_tradnl"/>
        </w:rPr>
      </w:pPr>
      <w:r w:rsidRPr="00E32071">
        <w:rPr>
          <w:rFonts w:ascii="Cambria" w:eastAsia="Calibri" w:hAnsi="Cambria"/>
          <w:b/>
          <w:sz w:val="21"/>
          <w:szCs w:val="21"/>
          <w:lang w:val="es-ES_tradnl"/>
        </w:rPr>
        <w:t>Respuesta del Estado</w:t>
      </w:r>
    </w:p>
    <w:p w14:paraId="5562CD3B" w14:textId="5C9A2C38" w:rsidR="00B157E3" w:rsidRPr="003119A6" w:rsidRDefault="00B157E3" w:rsidP="00A93C9D">
      <w:pPr>
        <w:jc w:val="both"/>
        <w:rPr>
          <w:rFonts w:ascii="Cambria" w:eastAsia="Calibri" w:hAnsi="Cambria"/>
          <w:sz w:val="21"/>
          <w:szCs w:val="21"/>
          <w:lang w:val="es-ES_tradnl"/>
        </w:rPr>
      </w:pPr>
    </w:p>
    <w:p w14:paraId="486F6399" w14:textId="09EC30F6" w:rsidR="002F07A4" w:rsidRPr="002F07A4" w:rsidRDefault="003119A6" w:rsidP="00A93C9D">
      <w:pPr>
        <w:numPr>
          <w:ilvl w:val="0"/>
          <w:numId w:val="1"/>
        </w:numPr>
        <w:ind w:left="0" w:firstLine="360"/>
        <w:jc w:val="both"/>
        <w:rPr>
          <w:rFonts w:ascii="Cambria" w:eastAsia="Calibri" w:hAnsi="Cambria" w:cs="Times New Roman"/>
          <w:sz w:val="21"/>
          <w:szCs w:val="21"/>
          <w:lang w:val="es-ES"/>
        </w:rPr>
      </w:pPr>
      <w:r w:rsidRPr="00A87F37">
        <w:rPr>
          <w:rFonts w:ascii="Cambria" w:eastAsia="Calibri" w:hAnsi="Cambria" w:cs="Times New Roman"/>
          <w:sz w:val="21"/>
          <w:szCs w:val="21"/>
          <w:lang w:val="es-ES"/>
        </w:rPr>
        <w:t xml:space="preserve">El Estado indicó que ya han sido adoptadas medidas por iniciativa propia con anterioridad e independientemente de la existencia de la </w:t>
      </w:r>
      <w:r w:rsidR="00D739FC" w:rsidRPr="00A87F37">
        <w:rPr>
          <w:rFonts w:ascii="Cambria" w:eastAsia="Calibri" w:hAnsi="Cambria" w:cs="Times New Roman"/>
          <w:sz w:val="21"/>
          <w:szCs w:val="21"/>
          <w:lang w:val="es-ES"/>
        </w:rPr>
        <w:t>solicitud de</w:t>
      </w:r>
      <w:r w:rsidRPr="00A87F37">
        <w:rPr>
          <w:rFonts w:ascii="Cambria" w:eastAsia="Calibri" w:hAnsi="Cambria" w:cs="Times New Roman"/>
          <w:sz w:val="21"/>
          <w:szCs w:val="21"/>
          <w:lang w:val="es-ES"/>
        </w:rPr>
        <w:t xml:space="preserve"> medidas cautelares. </w:t>
      </w:r>
      <w:r w:rsidR="00D425FF">
        <w:rPr>
          <w:rFonts w:ascii="Cambria" w:eastAsia="Calibri" w:hAnsi="Cambria" w:cs="Times New Roman"/>
          <w:sz w:val="21"/>
          <w:szCs w:val="21"/>
          <w:lang w:val="es-ES"/>
        </w:rPr>
        <w:t>En particular,</w:t>
      </w:r>
      <w:r w:rsidRPr="00A87F37">
        <w:rPr>
          <w:rFonts w:ascii="Cambria" w:eastAsia="Calibri" w:hAnsi="Cambria" w:cs="Times New Roman"/>
          <w:sz w:val="21"/>
          <w:szCs w:val="21"/>
          <w:lang w:val="es-ES"/>
        </w:rPr>
        <w:t xml:space="preserve"> solicitó tomar en consideración que muchas de las medidas de protección requeridas por la solicitante exceden </w:t>
      </w:r>
      <w:r w:rsidR="00D425FF">
        <w:rPr>
          <w:rFonts w:ascii="Cambria" w:eastAsia="Calibri" w:hAnsi="Cambria" w:cs="Times New Roman"/>
          <w:sz w:val="21"/>
          <w:szCs w:val="21"/>
          <w:lang w:val="es-ES"/>
        </w:rPr>
        <w:t>“</w:t>
      </w:r>
      <w:r w:rsidRPr="00A87F37">
        <w:rPr>
          <w:rFonts w:ascii="Cambria" w:eastAsia="Calibri" w:hAnsi="Cambria" w:cs="Times New Roman"/>
          <w:sz w:val="21"/>
          <w:szCs w:val="21"/>
          <w:lang w:val="es-ES"/>
        </w:rPr>
        <w:t>de sobremanera</w:t>
      </w:r>
      <w:r w:rsidR="00D425FF">
        <w:rPr>
          <w:rFonts w:ascii="Cambria" w:eastAsia="Calibri" w:hAnsi="Cambria" w:cs="Times New Roman"/>
          <w:sz w:val="21"/>
          <w:szCs w:val="21"/>
          <w:lang w:val="es-ES"/>
        </w:rPr>
        <w:t>”</w:t>
      </w:r>
      <w:r w:rsidRPr="00A87F37">
        <w:rPr>
          <w:rFonts w:ascii="Cambria" w:eastAsia="Calibri" w:hAnsi="Cambria" w:cs="Times New Roman"/>
          <w:sz w:val="21"/>
          <w:szCs w:val="21"/>
          <w:lang w:val="es-ES"/>
        </w:rPr>
        <w:t xml:space="preserve"> una solicitud de medidas cautelares. </w:t>
      </w:r>
      <w:r w:rsidR="00D425FF">
        <w:rPr>
          <w:rFonts w:ascii="Cambria" w:eastAsia="Calibri" w:hAnsi="Cambria" w:cs="Times New Roman"/>
          <w:sz w:val="21"/>
          <w:szCs w:val="21"/>
          <w:lang w:val="es-ES"/>
        </w:rPr>
        <w:t xml:space="preserve">En efecto, alegó </w:t>
      </w:r>
      <w:r w:rsidR="002F07A4" w:rsidRPr="002F07A4">
        <w:rPr>
          <w:rFonts w:ascii="Cambria" w:eastAsia="Calibri" w:hAnsi="Cambria" w:cs="Times New Roman"/>
          <w:sz w:val="21"/>
          <w:szCs w:val="21"/>
          <w:lang w:val="es-ES"/>
        </w:rPr>
        <w:t xml:space="preserve">que la protección y garantía de las personas defensoras de derechos humanos, incluidas </w:t>
      </w:r>
      <w:r w:rsidR="00D425FF">
        <w:rPr>
          <w:rFonts w:ascii="Cambria" w:eastAsia="Calibri" w:hAnsi="Cambria" w:cs="Times New Roman"/>
          <w:sz w:val="21"/>
          <w:szCs w:val="21"/>
          <w:lang w:val="es-ES"/>
        </w:rPr>
        <w:t>los</w:t>
      </w:r>
      <w:r w:rsidR="003A690E">
        <w:rPr>
          <w:rFonts w:ascii="Cambria" w:eastAsia="Calibri" w:hAnsi="Cambria" w:cs="Times New Roman"/>
          <w:sz w:val="21"/>
          <w:szCs w:val="21"/>
          <w:lang w:val="es-ES"/>
        </w:rPr>
        <w:t xml:space="preserve"> </w:t>
      </w:r>
      <w:r w:rsidR="002F07A4" w:rsidRPr="002F07A4">
        <w:rPr>
          <w:rFonts w:ascii="Cambria" w:eastAsia="Calibri" w:hAnsi="Cambria" w:cs="Times New Roman"/>
          <w:sz w:val="21"/>
          <w:szCs w:val="21"/>
          <w:lang w:val="es-ES"/>
        </w:rPr>
        <w:t>defensor</w:t>
      </w:r>
      <w:r w:rsidR="00D425FF">
        <w:rPr>
          <w:rFonts w:ascii="Cambria" w:eastAsia="Calibri" w:hAnsi="Cambria" w:cs="Times New Roman"/>
          <w:sz w:val="21"/>
          <w:szCs w:val="21"/>
          <w:lang w:val="es-ES"/>
        </w:rPr>
        <w:t>e</w:t>
      </w:r>
      <w:r w:rsidR="002F07A4" w:rsidRPr="002F07A4">
        <w:rPr>
          <w:rFonts w:ascii="Cambria" w:eastAsia="Calibri" w:hAnsi="Cambria" w:cs="Times New Roman"/>
          <w:sz w:val="21"/>
          <w:szCs w:val="21"/>
          <w:lang w:val="es-ES"/>
        </w:rPr>
        <w:t>s indígenas</w:t>
      </w:r>
      <w:r w:rsidR="00D425FF">
        <w:rPr>
          <w:rFonts w:ascii="Cambria" w:eastAsia="Calibri" w:hAnsi="Cambria" w:cs="Times New Roman"/>
          <w:sz w:val="21"/>
          <w:szCs w:val="21"/>
          <w:lang w:val="es-ES"/>
        </w:rPr>
        <w:t>,</w:t>
      </w:r>
      <w:r w:rsidR="002F07A4" w:rsidRPr="002F07A4">
        <w:rPr>
          <w:rFonts w:ascii="Cambria" w:eastAsia="Calibri" w:hAnsi="Cambria" w:cs="Times New Roman"/>
          <w:sz w:val="21"/>
          <w:szCs w:val="21"/>
          <w:lang w:val="es-ES"/>
        </w:rPr>
        <w:t xml:space="preserve"> se enmarcan en dos instrumentos de política pública: el Plan Nacional de Derechos Humanos 2018-2021</w:t>
      </w:r>
      <w:r w:rsidR="00B94EC2">
        <w:rPr>
          <w:rStyle w:val="FootnoteReference"/>
          <w:rFonts w:ascii="Cambria" w:eastAsia="Calibri" w:hAnsi="Cambria" w:cs="Times New Roman"/>
          <w:sz w:val="21"/>
          <w:szCs w:val="21"/>
          <w:lang w:val="es-ES"/>
        </w:rPr>
        <w:footnoteReference w:id="5"/>
      </w:r>
      <w:r w:rsidR="002F07A4" w:rsidRPr="002F07A4">
        <w:rPr>
          <w:rFonts w:ascii="Cambria" w:eastAsia="Calibri" w:hAnsi="Cambria" w:cs="Times New Roman"/>
          <w:sz w:val="21"/>
          <w:szCs w:val="21"/>
          <w:lang w:val="es-ES"/>
        </w:rPr>
        <w:t xml:space="preserve"> y el Protocolo para garantizar la protección de personas defensoras de Derechos Humanos</w:t>
      </w:r>
      <w:r w:rsidR="00B94EC2">
        <w:rPr>
          <w:rStyle w:val="FootnoteReference"/>
          <w:rFonts w:ascii="Cambria" w:eastAsia="Calibri" w:hAnsi="Cambria" w:cs="Times New Roman"/>
          <w:sz w:val="21"/>
          <w:szCs w:val="21"/>
          <w:lang w:val="es-ES"/>
        </w:rPr>
        <w:footnoteReference w:id="6"/>
      </w:r>
      <w:r w:rsidR="002F07A4" w:rsidRPr="002F07A4">
        <w:rPr>
          <w:rFonts w:ascii="Cambria" w:eastAsia="Calibri" w:hAnsi="Cambria" w:cs="Times New Roman"/>
          <w:sz w:val="21"/>
          <w:szCs w:val="21"/>
          <w:lang w:val="es-ES"/>
        </w:rPr>
        <w:t>.</w:t>
      </w:r>
    </w:p>
    <w:p w14:paraId="744CC948" w14:textId="77777777" w:rsidR="002F07A4" w:rsidRPr="00A87F37" w:rsidRDefault="002F07A4" w:rsidP="00A93C9D">
      <w:pPr>
        <w:ind w:left="360"/>
        <w:jc w:val="both"/>
        <w:rPr>
          <w:rFonts w:ascii="Cambria" w:eastAsia="Calibri" w:hAnsi="Cambria" w:cs="Times New Roman"/>
          <w:sz w:val="21"/>
          <w:szCs w:val="21"/>
          <w:lang w:val="es-ES"/>
        </w:rPr>
      </w:pPr>
    </w:p>
    <w:p w14:paraId="09F3D4E0" w14:textId="4FE661DC" w:rsidR="003119A6" w:rsidRPr="003119A6" w:rsidRDefault="003119A6" w:rsidP="00A93C9D">
      <w:pPr>
        <w:numPr>
          <w:ilvl w:val="0"/>
          <w:numId w:val="1"/>
        </w:numPr>
        <w:ind w:left="0" w:firstLine="360"/>
        <w:jc w:val="both"/>
        <w:rPr>
          <w:rFonts w:ascii="Cambria" w:eastAsia="Calibri" w:hAnsi="Cambria" w:cs="Times New Roman"/>
          <w:sz w:val="21"/>
          <w:szCs w:val="21"/>
          <w:lang w:val="es-ES"/>
        </w:rPr>
      </w:pPr>
      <w:r w:rsidRPr="003119A6">
        <w:rPr>
          <w:rFonts w:ascii="Cambria" w:eastAsia="Calibri" w:hAnsi="Cambria" w:cs="Times New Roman"/>
          <w:sz w:val="21"/>
          <w:szCs w:val="21"/>
          <w:lang w:val="es-ES"/>
        </w:rPr>
        <w:t xml:space="preserve">El Estado indicó que </w:t>
      </w:r>
      <w:r w:rsidR="00F0694E">
        <w:rPr>
          <w:rFonts w:ascii="Cambria" w:eastAsia="Calibri" w:hAnsi="Cambria" w:cs="Times New Roman"/>
          <w:sz w:val="21"/>
          <w:szCs w:val="21"/>
          <w:lang w:val="es-ES"/>
        </w:rPr>
        <w:t>la Dirección General de Derechos Humanos del Ministerio de Justicia y Derechos Humanos</w:t>
      </w:r>
      <w:r w:rsidRPr="003119A6">
        <w:rPr>
          <w:rFonts w:ascii="Cambria" w:eastAsia="Calibri" w:hAnsi="Cambria" w:cs="Times New Roman"/>
          <w:sz w:val="21"/>
          <w:szCs w:val="21"/>
          <w:lang w:val="es-ES"/>
        </w:rPr>
        <w:t xml:space="preserve"> </w:t>
      </w:r>
      <w:r w:rsidR="00C75F76">
        <w:rPr>
          <w:rFonts w:ascii="Cambria" w:eastAsia="Calibri" w:hAnsi="Cambria" w:cs="Times New Roman"/>
          <w:sz w:val="21"/>
          <w:szCs w:val="21"/>
          <w:lang w:val="es-ES"/>
        </w:rPr>
        <w:t xml:space="preserve">(DGDH) </w:t>
      </w:r>
      <w:r w:rsidR="00F0694E">
        <w:rPr>
          <w:rFonts w:ascii="Cambria" w:eastAsia="Calibri" w:hAnsi="Cambria" w:cs="Times New Roman"/>
          <w:sz w:val="21"/>
          <w:szCs w:val="21"/>
          <w:lang w:val="es-ES"/>
        </w:rPr>
        <w:t xml:space="preserve">inició las </w:t>
      </w:r>
      <w:r w:rsidRPr="003119A6">
        <w:rPr>
          <w:rFonts w:ascii="Cambria" w:eastAsia="Calibri" w:hAnsi="Cambria" w:cs="Times New Roman"/>
          <w:sz w:val="21"/>
          <w:szCs w:val="21"/>
          <w:lang w:val="es-ES"/>
        </w:rPr>
        <w:t>coordinaciones con la Dirección General de Defensa Pública y Acceso a la Justicia</w:t>
      </w:r>
      <w:r w:rsidR="00D425FF">
        <w:rPr>
          <w:rFonts w:ascii="Cambria" w:eastAsia="Calibri" w:hAnsi="Cambria" w:cs="Times New Roman"/>
          <w:sz w:val="21"/>
          <w:szCs w:val="21"/>
          <w:lang w:val="es-ES"/>
        </w:rPr>
        <w:t>,</w:t>
      </w:r>
      <w:r w:rsidRPr="003119A6">
        <w:rPr>
          <w:rFonts w:ascii="Cambria" w:eastAsia="Calibri" w:hAnsi="Cambria" w:cs="Times New Roman"/>
          <w:sz w:val="21"/>
          <w:szCs w:val="21"/>
          <w:lang w:val="es-ES"/>
        </w:rPr>
        <w:t xml:space="preserve"> a fin de asegurar las acciones legales que desactiv</w:t>
      </w:r>
      <w:r w:rsidR="00D739FC" w:rsidRPr="00A87F37">
        <w:rPr>
          <w:rFonts w:ascii="Cambria" w:eastAsia="Calibri" w:hAnsi="Cambria" w:cs="Times New Roman"/>
          <w:sz w:val="21"/>
          <w:szCs w:val="21"/>
          <w:lang w:val="es-ES"/>
        </w:rPr>
        <w:t>en la situación de riesgo</w:t>
      </w:r>
      <w:r w:rsidR="00F0694E">
        <w:rPr>
          <w:rFonts w:ascii="Cambria" w:eastAsia="Calibri" w:hAnsi="Cambria" w:cs="Times New Roman"/>
          <w:sz w:val="21"/>
          <w:szCs w:val="21"/>
          <w:lang w:val="es-ES"/>
        </w:rPr>
        <w:t xml:space="preserve"> ante las alegadas agresiones</w:t>
      </w:r>
      <w:r w:rsidR="00D739FC" w:rsidRPr="00A87F37">
        <w:rPr>
          <w:rFonts w:ascii="Cambria" w:eastAsia="Calibri" w:hAnsi="Cambria" w:cs="Times New Roman"/>
          <w:sz w:val="21"/>
          <w:szCs w:val="21"/>
          <w:lang w:val="es-ES"/>
        </w:rPr>
        <w:t>.</w:t>
      </w:r>
      <w:r w:rsidR="00F0694E">
        <w:rPr>
          <w:rFonts w:ascii="Cambria" w:eastAsia="Calibri" w:hAnsi="Cambria" w:cs="Times New Roman"/>
          <w:sz w:val="21"/>
          <w:szCs w:val="21"/>
          <w:lang w:val="es-ES"/>
        </w:rPr>
        <w:t xml:space="preserve"> </w:t>
      </w:r>
      <w:r w:rsidR="00D739FC" w:rsidRPr="00F0694E">
        <w:rPr>
          <w:rFonts w:ascii="Cambria" w:eastAsia="Calibri" w:hAnsi="Cambria" w:cs="Times New Roman"/>
          <w:sz w:val="21"/>
          <w:szCs w:val="21"/>
          <w:lang w:val="es-ES"/>
        </w:rPr>
        <w:t xml:space="preserve">Tras tomar conocimiento </w:t>
      </w:r>
      <w:r w:rsidR="00F0694E" w:rsidRPr="00F0694E">
        <w:rPr>
          <w:rFonts w:ascii="Cambria" w:eastAsia="Calibri" w:hAnsi="Cambria" w:cs="Times New Roman"/>
          <w:sz w:val="21"/>
          <w:szCs w:val="21"/>
          <w:lang w:val="es-ES"/>
        </w:rPr>
        <w:t>que e</w:t>
      </w:r>
      <w:r w:rsidR="00D739FC" w:rsidRPr="00F0694E">
        <w:rPr>
          <w:rFonts w:ascii="Cambria" w:eastAsia="Calibri" w:hAnsi="Cambria" w:cs="Times New Roman"/>
          <w:sz w:val="21"/>
          <w:szCs w:val="21"/>
          <w:lang w:val="es-ES"/>
        </w:rPr>
        <w:t>l vicepresidente de la comunidad</w:t>
      </w:r>
      <w:r w:rsidR="00F0694E" w:rsidRPr="00F0694E">
        <w:rPr>
          <w:rFonts w:ascii="Cambria" w:eastAsia="Calibri" w:hAnsi="Cambria" w:cs="Times New Roman"/>
          <w:sz w:val="21"/>
          <w:szCs w:val="21"/>
          <w:lang w:val="es-ES"/>
        </w:rPr>
        <w:t xml:space="preserve"> habría logrado huir de sus captores</w:t>
      </w:r>
      <w:r w:rsidR="00F0694E">
        <w:rPr>
          <w:rFonts w:ascii="Cambria" w:eastAsia="Calibri" w:hAnsi="Cambria" w:cs="Times New Roman"/>
          <w:sz w:val="21"/>
          <w:szCs w:val="21"/>
          <w:lang w:val="es-ES"/>
        </w:rPr>
        <w:t xml:space="preserve"> y que </w:t>
      </w:r>
      <w:r w:rsidR="00F0694E" w:rsidRPr="00F0694E">
        <w:rPr>
          <w:rFonts w:ascii="Cambria" w:eastAsia="Calibri" w:hAnsi="Cambria" w:cs="Times New Roman"/>
          <w:sz w:val="21"/>
          <w:szCs w:val="21"/>
          <w:lang w:val="es-ES"/>
        </w:rPr>
        <w:t>requería inmediata acción policial</w:t>
      </w:r>
      <w:r w:rsidR="00D739FC" w:rsidRPr="00F0694E">
        <w:rPr>
          <w:rFonts w:ascii="Cambria" w:eastAsia="Calibri" w:hAnsi="Cambria" w:cs="Times New Roman"/>
          <w:sz w:val="21"/>
          <w:szCs w:val="21"/>
          <w:lang w:val="es-ES"/>
        </w:rPr>
        <w:t>, e</w:t>
      </w:r>
      <w:r w:rsidRPr="003119A6">
        <w:rPr>
          <w:rFonts w:ascii="Cambria" w:eastAsia="Calibri" w:hAnsi="Cambria" w:cs="Times New Roman"/>
          <w:sz w:val="21"/>
          <w:szCs w:val="21"/>
          <w:lang w:val="es-ES"/>
        </w:rPr>
        <w:t>l 10 de septiembre de 2019</w:t>
      </w:r>
      <w:r w:rsidR="00D739FC" w:rsidRPr="00F0694E">
        <w:rPr>
          <w:rFonts w:ascii="Cambria" w:eastAsia="Calibri" w:hAnsi="Cambria" w:cs="Times New Roman"/>
          <w:sz w:val="21"/>
          <w:szCs w:val="21"/>
          <w:lang w:val="es-ES"/>
        </w:rPr>
        <w:t xml:space="preserve"> se solicitó </w:t>
      </w:r>
      <w:r w:rsidRPr="003119A6">
        <w:rPr>
          <w:rFonts w:ascii="Cambria" w:eastAsia="Calibri" w:hAnsi="Cambria" w:cs="Times New Roman"/>
          <w:sz w:val="21"/>
          <w:szCs w:val="21"/>
          <w:lang w:val="es-ES"/>
        </w:rPr>
        <w:t xml:space="preserve">a la Dirección General de Seguridad Democrática del Ministerio del Interior </w:t>
      </w:r>
      <w:r w:rsidR="00D425FF">
        <w:rPr>
          <w:rFonts w:ascii="Cambria" w:eastAsia="Calibri" w:hAnsi="Cambria" w:cs="Times New Roman"/>
          <w:sz w:val="21"/>
          <w:szCs w:val="21"/>
          <w:lang w:val="es-ES"/>
        </w:rPr>
        <w:t>para</w:t>
      </w:r>
      <w:r w:rsidRPr="003119A6">
        <w:rPr>
          <w:rFonts w:ascii="Cambria" w:eastAsia="Calibri" w:hAnsi="Cambria" w:cs="Times New Roman"/>
          <w:sz w:val="21"/>
          <w:szCs w:val="21"/>
          <w:lang w:val="es-ES"/>
        </w:rPr>
        <w:t xml:space="preserve"> que </w:t>
      </w:r>
      <w:r w:rsidR="00D739FC" w:rsidRPr="00F0694E">
        <w:rPr>
          <w:rFonts w:ascii="Cambria" w:eastAsia="Calibri" w:hAnsi="Cambria" w:cs="Times New Roman"/>
          <w:sz w:val="21"/>
          <w:szCs w:val="21"/>
          <w:lang w:val="es-ES"/>
        </w:rPr>
        <w:t>confirme la información recibida</w:t>
      </w:r>
      <w:r w:rsidRPr="003119A6">
        <w:rPr>
          <w:rFonts w:ascii="Cambria" w:eastAsia="Calibri" w:hAnsi="Cambria" w:cs="Times New Roman"/>
          <w:sz w:val="21"/>
          <w:szCs w:val="21"/>
          <w:lang w:val="es-ES"/>
        </w:rPr>
        <w:t xml:space="preserve">. Posteriormente, ese mismo día, el Ministerio del Interior </w:t>
      </w:r>
      <w:r w:rsidR="00F0694E" w:rsidRPr="00F0694E">
        <w:rPr>
          <w:rFonts w:ascii="Cambria" w:eastAsia="Calibri" w:hAnsi="Cambria" w:cs="Times New Roman"/>
          <w:sz w:val="21"/>
          <w:szCs w:val="21"/>
          <w:lang w:val="es-ES"/>
        </w:rPr>
        <w:t xml:space="preserve">habría indicado </w:t>
      </w:r>
      <w:r w:rsidRPr="003119A6">
        <w:rPr>
          <w:rFonts w:ascii="Cambria" w:eastAsia="Calibri" w:hAnsi="Cambria" w:cs="Times New Roman"/>
          <w:sz w:val="21"/>
          <w:szCs w:val="21"/>
          <w:lang w:val="es-ES"/>
        </w:rPr>
        <w:t xml:space="preserve">que el </w:t>
      </w:r>
      <w:r w:rsidR="00F0694E" w:rsidRPr="00F0694E">
        <w:rPr>
          <w:rFonts w:ascii="Cambria" w:eastAsia="Calibri" w:hAnsi="Cambria" w:cs="Times New Roman"/>
          <w:sz w:val="21"/>
          <w:szCs w:val="21"/>
          <w:lang w:val="es-ES"/>
        </w:rPr>
        <w:t>v</w:t>
      </w:r>
      <w:r w:rsidRPr="003119A6">
        <w:rPr>
          <w:rFonts w:ascii="Cambria" w:eastAsia="Calibri" w:hAnsi="Cambria" w:cs="Times New Roman"/>
          <w:sz w:val="21"/>
          <w:szCs w:val="21"/>
          <w:lang w:val="es-ES"/>
        </w:rPr>
        <w:t xml:space="preserve">icepresidente de la </w:t>
      </w:r>
      <w:r w:rsidR="00F0694E" w:rsidRPr="00F0694E">
        <w:rPr>
          <w:rFonts w:ascii="Cambria" w:eastAsia="Calibri" w:hAnsi="Cambria" w:cs="Times New Roman"/>
          <w:sz w:val="21"/>
          <w:szCs w:val="21"/>
          <w:lang w:val="es-ES"/>
        </w:rPr>
        <w:t>c</w:t>
      </w:r>
      <w:r w:rsidRPr="003119A6">
        <w:rPr>
          <w:rFonts w:ascii="Cambria" w:eastAsia="Calibri" w:hAnsi="Cambria" w:cs="Times New Roman"/>
          <w:sz w:val="21"/>
          <w:szCs w:val="21"/>
          <w:lang w:val="es-ES"/>
        </w:rPr>
        <w:t>omunidad se encontraba en la Comisaria de Puerto Inca, requiriendo la presencia de su abogado particular para presentar su declaración policial.</w:t>
      </w:r>
      <w:r w:rsidR="00F0694E">
        <w:rPr>
          <w:rFonts w:ascii="Cambria" w:eastAsia="Calibri" w:hAnsi="Cambria" w:cs="Times New Roman"/>
          <w:sz w:val="21"/>
          <w:szCs w:val="21"/>
          <w:lang w:val="es-ES"/>
        </w:rPr>
        <w:t xml:space="preserve"> El </w:t>
      </w:r>
      <w:r w:rsidRPr="003119A6">
        <w:rPr>
          <w:rFonts w:ascii="Cambria" w:eastAsia="Calibri" w:hAnsi="Cambria" w:cs="Times New Roman"/>
          <w:sz w:val="21"/>
          <w:szCs w:val="21"/>
          <w:lang w:val="es-ES"/>
        </w:rPr>
        <w:t>12 de septiembre de 2019, Polico Diaz Sambache, Augusto Rancis Anacina, Edilberto Pizango Sánchez, Daniel Sambache Pérez, Damián Sambache Pérez y Antonio Ruíz Simón</w:t>
      </w:r>
      <w:r w:rsidR="00F0694E">
        <w:rPr>
          <w:rFonts w:ascii="Cambria" w:eastAsia="Calibri" w:hAnsi="Cambria" w:cs="Times New Roman"/>
          <w:sz w:val="21"/>
          <w:szCs w:val="21"/>
          <w:lang w:val="es-ES"/>
        </w:rPr>
        <w:t xml:space="preserve"> </w:t>
      </w:r>
      <w:r w:rsidRPr="003119A6">
        <w:rPr>
          <w:rFonts w:ascii="Cambria" w:eastAsia="Calibri" w:hAnsi="Cambria" w:cs="Times New Roman"/>
          <w:sz w:val="21"/>
          <w:szCs w:val="21"/>
          <w:lang w:val="es-ES"/>
        </w:rPr>
        <w:t xml:space="preserve">solicitaron garantías personales ante el Subprefecto Distrital de Puerto Inca, indicando que fueron amenazados de muerte por el grupo de personas a quienes señalaron como responsables de los hechos del 9 de septiembre de 2019. </w:t>
      </w:r>
      <w:r w:rsidR="00F0694E">
        <w:rPr>
          <w:rFonts w:ascii="Cambria" w:eastAsia="Calibri" w:hAnsi="Cambria" w:cs="Times New Roman"/>
          <w:sz w:val="21"/>
          <w:szCs w:val="21"/>
          <w:lang w:val="es-ES"/>
        </w:rPr>
        <w:t xml:space="preserve">El Estado indicó que </w:t>
      </w:r>
      <w:r w:rsidRPr="003119A6">
        <w:rPr>
          <w:rFonts w:ascii="Cambria" w:eastAsia="Calibri" w:hAnsi="Cambria" w:cs="Times New Roman"/>
          <w:sz w:val="21"/>
          <w:szCs w:val="21"/>
          <w:lang w:val="es-ES"/>
        </w:rPr>
        <w:t>el Sub Prefecto de Puerto Inca emitió resoluciones de otorgamiento de garantías personales d</w:t>
      </w:r>
      <w:r w:rsidR="00F0694E">
        <w:rPr>
          <w:rFonts w:ascii="Cambria" w:eastAsia="Calibri" w:hAnsi="Cambria" w:cs="Times New Roman"/>
          <w:sz w:val="21"/>
          <w:szCs w:val="21"/>
          <w:lang w:val="es-ES"/>
        </w:rPr>
        <w:t>el</w:t>
      </w:r>
      <w:r w:rsidRPr="003119A6">
        <w:rPr>
          <w:rFonts w:ascii="Cambria" w:eastAsia="Calibri" w:hAnsi="Cambria" w:cs="Times New Roman"/>
          <w:sz w:val="21"/>
          <w:szCs w:val="21"/>
          <w:lang w:val="es-ES"/>
        </w:rPr>
        <w:t xml:space="preserve"> 23 de septiembre de 2019 a favor de las 6 persona</w:t>
      </w:r>
      <w:r w:rsidR="00F0694E">
        <w:rPr>
          <w:rFonts w:ascii="Cambria" w:eastAsia="Calibri" w:hAnsi="Cambria" w:cs="Times New Roman"/>
          <w:sz w:val="21"/>
          <w:szCs w:val="21"/>
          <w:lang w:val="es-ES"/>
        </w:rPr>
        <w:t>s</w:t>
      </w:r>
      <w:r w:rsidRPr="003119A6">
        <w:rPr>
          <w:rFonts w:ascii="Cambria" w:eastAsia="Calibri" w:hAnsi="Cambria" w:cs="Times New Roman"/>
          <w:sz w:val="21"/>
          <w:szCs w:val="21"/>
          <w:lang w:val="es-ES"/>
        </w:rPr>
        <w:t xml:space="preserve"> </w:t>
      </w:r>
      <w:r w:rsidR="00C75F76">
        <w:rPr>
          <w:rFonts w:ascii="Cambria" w:eastAsia="Calibri" w:hAnsi="Cambria" w:cs="Times New Roman"/>
          <w:sz w:val="21"/>
          <w:szCs w:val="21"/>
          <w:lang w:val="es-ES"/>
        </w:rPr>
        <w:t xml:space="preserve">y se requirió </w:t>
      </w:r>
      <w:r w:rsidRPr="003119A6">
        <w:rPr>
          <w:rFonts w:ascii="Cambria" w:eastAsia="Calibri" w:hAnsi="Cambria" w:cs="Times New Roman"/>
          <w:sz w:val="21"/>
          <w:szCs w:val="21"/>
          <w:lang w:val="es-ES"/>
        </w:rPr>
        <w:t xml:space="preserve">a la Policía Nacional del Perú se adopte las medidas correspondientes. </w:t>
      </w:r>
    </w:p>
    <w:p w14:paraId="7649F3AD" w14:textId="77777777" w:rsidR="00C75F76" w:rsidRDefault="00C75F76" w:rsidP="00A93C9D">
      <w:pPr>
        <w:ind w:left="450"/>
        <w:jc w:val="both"/>
        <w:rPr>
          <w:rFonts w:ascii="Cambria" w:eastAsia="Calibri" w:hAnsi="Cambria" w:cs="Times New Roman"/>
          <w:sz w:val="21"/>
          <w:szCs w:val="21"/>
          <w:lang w:val="es-ES"/>
        </w:rPr>
      </w:pPr>
    </w:p>
    <w:p w14:paraId="3E267DDD" w14:textId="369D91B0" w:rsidR="00FF3C66" w:rsidRDefault="003119A6" w:rsidP="00A93C9D">
      <w:pPr>
        <w:numPr>
          <w:ilvl w:val="0"/>
          <w:numId w:val="1"/>
        </w:numPr>
        <w:ind w:left="0" w:firstLine="360"/>
        <w:jc w:val="both"/>
        <w:rPr>
          <w:rFonts w:ascii="Cambria" w:eastAsia="Calibri" w:hAnsi="Cambria" w:cs="Times New Roman"/>
          <w:sz w:val="21"/>
          <w:szCs w:val="21"/>
          <w:lang w:val="es-ES"/>
        </w:rPr>
      </w:pPr>
      <w:r w:rsidRPr="003119A6">
        <w:rPr>
          <w:rFonts w:ascii="Cambria" w:eastAsia="Calibri" w:hAnsi="Cambria" w:cs="Times New Roman"/>
          <w:sz w:val="21"/>
          <w:szCs w:val="21"/>
          <w:lang w:val="es-ES"/>
        </w:rPr>
        <w:t xml:space="preserve">Asimismo, </w:t>
      </w:r>
      <w:r w:rsidR="00C75F76" w:rsidRPr="003119A6">
        <w:rPr>
          <w:rFonts w:ascii="Cambria" w:eastAsia="Calibri" w:hAnsi="Cambria" w:cs="Times New Roman"/>
          <w:sz w:val="21"/>
          <w:szCs w:val="21"/>
          <w:lang w:val="es-ES"/>
        </w:rPr>
        <w:t>en relación con los alegados actos de violenci</w:t>
      </w:r>
      <w:r w:rsidR="00C75F76">
        <w:rPr>
          <w:rFonts w:ascii="Cambria" w:eastAsia="Calibri" w:hAnsi="Cambria" w:cs="Times New Roman"/>
          <w:sz w:val="21"/>
          <w:szCs w:val="21"/>
          <w:lang w:val="es-ES"/>
        </w:rPr>
        <w:t xml:space="preserve">a, </w:t>
      </w:r>
      <w:r w:rsidRPr="003119A6">
        <w:rPr>
          <w:rFonts w:ascii="Cambria" w:eastAsia="Calibri" w:hAnsi="Cambria" w:cs="Times New Roman"/>
          <w:sz w:val="21"/>
          <w:szCs w:val="21"/>
          <w:lang w:val="es-ES"/>
        </w:rPr>
        <w:t xml:space="preserve">la DGDH </w:t>
      </w:r>
      <w:r w:rsidR="00C75F76">
        <w:rPr>
          <w:rFonts w:ascii="Cambria" w:eastAsia="Calibri" w:hAnsi="Cambria" w:cs="Times New Roman"/>
          <w:sz w:val="21"/>
          <w:szCs w:val="21"/>
          <w:lang w:val="es-ES"/>
        </w:rPr>
        <w:t>se comunicó con e</w:t>
      </w:r>
      <w:r w:rsidRPr="003119A6">
        <w:rPr>
          <w:rFonts w:ascii="Cambria" w:eastAsia="Calibri" w:hAnsi="Cambria" w:cs="Times New Roman"/>
          <w:sz w:val="21"/>
          <w:szCs w:val="21"/>
          <w:lang w:val="es-ES"/>
        </w:rPr>
        <w:t xml:space="preserve">l Ministerio del Interior, a través de la Dirección General de Seguridad Democrática, a fin de realizar las indagaciones acerca de la intervención policial en la zona, especialmente si se tramitaron denuncias respecto al posible secuestro del dirigente y comuneros afectados. La DGDH </w:t>
      </w:r>
      <w:r w:rsidR="00C75F76" w:rsidRPr="00C75F76">
        <w:rPr>
          <w:rFonts w:ascii="Cambria" w:eastAsia="Calibri" w:hAnsi="Cambria" w:cs="Times New Roman"/>
          <w:sz w:val="21"/>
          <w:szCs w:val="21"/>
          <w:lang w:val="es-ES"/>
        </w:rPr>
        <w:t>permanecería</w:t>
      </w:r>
      <w:r w:rsidRPr="003119A6">
        <w:rPr>
          <w:rFonts w:ascii="Cambria" w:eastAsia="Calibri" w:hAnsi="Cambria" w:cs="Times New Roman"/>
          <w:sz w:val="21"/>
          <w:szCs w:val="21"/>
          <w:lang w:val="es-ES"/>
        </w:rPr>
        <w:t xml:space="preserve"> en contacto con las organizaciones de la sociedad civil</w:t>
      </w:r>
      <w:r w:rsidR="002F07A4">
        <w:rPr>
          <w:rFonts w:ascii="Cambria" w:eastAsia="Calibri" w:hAnsi="Cambria" w:cs="Times New Roman"/>
          <w:sz w:val="21"/>
          <w:szCs w:val="21"/>
          <w:lang w:val="es-ES"/>
        </w:rPr>
        <w:t>, entre ellas la solicitante,</w:t>
      </w:r>
      <w:r w:rsidRPr="003119A6">
        <w:rPr>
          <w:rFonts w:ascii="Cambria" w:eastAsia="Calibri" w:hAnsi="Cambria" w:cs="Times New Roman"/>
          <w:sz w:val="21"/>
          <w:szCs w:val="21"/>
          <w:lang w:val="es-ES"/>
        </w:rPr>
        <w:t xml:space="preserve"> y recabará información de las entidades estatales nacionales y regionales para determinar si es necesario expedir un pronunciamiento como actuación protectora </w:t>
      </w:r>
      <w:r w:rsidR="00C75F76" w:rsidRPr="00C75F76">
        <w:rPr>
          <w:rFonts w:ascii="Cambria" w:eastAsia="Calibri" w:hAnsi="Cambria" w:cs="Times New Roman"/>
          <w:sz w:val="21"/>
          <w:szCs w:val="21"/>
          <w:lang w:val="es-ES"/>
        </w:rPr>
        <w:t>enmarcada</w:t>
      </w:r>
      <w:r w:rsidRPr="003119A6">
        <w:rPr>
          <w:rFonts w:ascii="Cambria" w:eastAsia="Calibri" w:hAnsi="Cambria" w:cs="Times New Roman"/>
          <w:sz w:val="21"/>
          <w:szCs w:val="21"/>
          <w:lang w:val="es-ES"/>
        </w:rPr>
        <w:t xml:space="preserve"> en el “Protocolo</w:t>
      </w:r>
      <w:r w:rsidR="002F07A4">
        <w:rPr>
          <w:rFonts w:ascii="Cambria" w:eastAsia="Calibri" w:hAnsi="Cambria" w:cs="Times New Roman"/>
          <w:sz w:val="21"/>
          <w:szCs w:val="21"/>
          <w:lang w:val="es-ES"/>
        </w:rPr>
        <w:t xml:space="preserve"> </w:t>
      </w:r>
      <w:r w:rsidRPr="003119A6">
        <w:rPr>
          <w:rFonts w:ascii="Cambria" w:eastAsia="Calibri" w:hAnsi="Cambria" w:cs="Times New Roman"/>
          <w:sz w:val="21"/>
          <w:szCs w:val="21"/>
          <w:lang w:val="es-ES"/>
        </w:rPr>
        <w:t>para garantizar la protección de personas defensoras de derechos humanos” de 25 de abril de 2019.</w:t>
      </w:r>
    </w:p>
    <w:p w14:paraId="65B756EF" w14:textId="77777777" w:rsidR="00FF3C66" w:rsidRDefault="00FF3C66" w:rsidP="00A93C9D">
      <w:pPr>
        <w:pStyle w:val="ListParagraph"/>
        <w:rPr>
          <w:rFonts w:ascii="Cambria" w:eastAsia="Calibri" w:hAnsi="Cambria" w:cs="Times New Roman"/>
          <w:sz w:val="21"/>
          <w:szCs w:val="21"/>
          <w:lang w:val="es-ES"/>
        </w:rPr>
      </w:pPr>
    </w:p>
    <w:p w14:paraId="7DB143BF" w14:textId="77777777" w:rsidR="007F060B" w:rsidRDefault="00E05375" w:rsidP="00A93C9D">
      <w:pPr>
        <w:numPr>
          <w:ilvl w:val="0"/>
          <w:numId w:val="1"/>
        </w:numPr>
        <w:ind w:left="0" w:firstLine="360"/>
        <w:jc w:val="both"/>
        <w:rPr>
          <w:rFonts w:ascii="Cambria" w:eastAsia="Calibri" w:hAnsi="Cambria" w:cs="Times New Roman"/>
          <w:sz w:val="21"/>
          <w:szCs w:val="21"/>
          <w:lang w:val="es-ES"/>
        </w:rPr>
      </w:pPr>
      <w:r w:rsidRPr="00FF3C66">
        <w:rPr>
          <w:rFonts w:ascii="Cambria" w:eastAsia="Calibri" w:hAnsi="Cambria" w:cs="Times New Roman"/>
          <w:sz w:val="21"/>
          <w:szCs w:val="21"/>
          <w:lang w:val="es-ES"/>
        </w:rPr>
        <w:t>La Defensoría</w:t>
      </w:r>
      <w:r w:rsidR="003119A6" w:rsidRPr="003119A6">
        <w:rPr>
          <w:rFonts w:ascii="Cambria" w:eastAsia="Calibri" w:hAnsi="Cambria" w:cs="Times New Roman"/>
          <w:sz w:val="21"/>
          <w:szCs w:val="21"/>
          <w:lang w:val="es-ES"/>
        </w:rPr>
        <w:t xml:space="preserve"> del Pueblo</w:t>
      </w:r>
      <w:r w:rsidRPr="00FF3C66">
        <w:rPr>
          <w:rFonts w:ascii="Cambria" w:eastAsia="Calibri" w:hAnsi="Cambria" w:cs="Times New Roman"/>
          <w:sz w:val="21"/>
          <w:szCs w:val="21"/>
          <w:lang w:val="es-ES"/>
        </w:rPr>
        <w:t xml:space="preserve"> indicó que e</w:t>
      </w:r>
      <w:r w:rsidR="003119A6" w:rsidRPr="003119A6">
        <w:rPr>
          <w:rFonts w:ascii="Cambria" w:eastAsia="Calibri" w:hAnsi="Cambria" w:cs="Times New Roman"/>
          <w:sz w:val="21"/>
          <w:szCs w:val="21"/>
          <w:lang w:val="es-ES"/>
        </w:rPr>
        <w:t xml:space="preserve">l 10 de septiembre de 2019 la policía de la Comisaría del Distrito de Puerto Inca </w:t>
      </w:r>
      <w:r w:rsidRPr="00FF3C66">
        <w:rPr>
          <w:rFonts w:ascii="Cambria" w:eastAsia="Calibri" w:hAnsi="Cambria" w:cs="Times New Roman"/>
          <w:sz w:val="21"/>
          <w:szCs w:val="21"/>
          <w:lang w:val="es-ES"/>
        </w:rPr>
        <w:t>comunicó</w:t>
      </w:r>
      <w:r w:rsidR="003119A6" w:rsidRPr="003119A6">
        <w:rPr>
          <w:rFonts w:ascii="Cambria" w:eastAsia="Calibri" w:hAnsi="Cambria" w:cs="Times New Roman"/>
          <w:sz w:val="21"/>
          <w:szCs w:val="21"/>
          <w:lang w:val="es-ES"/>
        </w:rPr>
        <w:t xml:space="preserve"> que se logró ubicar al señor Polico Día</w:t>
      </w:r>
      <w:r w:rsidR="00ED1516" w:rsidRPr="00FF3C66">
        <w:rPr>
          <w:rFonts w:ascii="Cambria" w:eastAsia="Calibri" w:hAnsi="Cambria" w:cs="Times New Roman"/>
          <w:sz w:val="21"/>
          <w:szCs w:val="21"/>
          <w:lang w:val="es-ES"/>
        </w:rPr>
        <w:t>z</w:t>
      </w:r>
      <w:r w:rsidR="003119A6" w:rsidRPr="003119A6">
        <w:rPr>
          <w:rFonts w:ascii="Cambria" w:eastAsia="Calibri" w:hAnsi="Cambria" w:cs="Times New Roman"/>
          <w:sz w:val="21"/>
          <w:szCs w:val="21"/>
          <w:lang w:val="es-ES"/>
        </w:rPr>
        <w:t xml:space="preserve"> Sambache. Ese mismo día</w:t>
      </w:r>
      <w:r w:rsidR="00ED1516" w:rsidRPr="00FF3C66">
        <w:rPr>
          <w:rFonts w:ascii="Cambria" w:eastAsia="Calibri" w:hAnsi="Cambria" w:cs="Times New Roman"/>
          <w:sz w:val="21"/>
          <w:szCs w:val="21"/>
          <w:lang w:val="es-ES"/>
        </w:rPr>
        <w:t xml:space="preserve">, la Defensoría </w:t>
      </w:r>
      <w:r w:rsidR="00E0173E">
        <w:rPr>
          <w:rFonts w:ascii="Cambria" w:eastAsia="Calibri" w:hAnsi="Cambria" w:cs="Times New Roman"/>
          <w:sz w:val="21"/>
          <w:szCs w:val="21"/>
          <w:lang w:val="es-ES"/>
        </w:rPr>
        <w:t xml:space="preserve">informó </w:t>
      </w:r>
      <w:r w:rsidR="00ED1516" w:rsidRPr="00FF3C66">
        <w:rPr>
          <w:rFonts w:ascii="Cambria" w:eastAsia="Calibri" w:hAnsi="Cambria" w:cs="Times New Roman"/>
          <w:sz w:val="21"/>
          <w:szCs w:val="21"/>
          <w:lang w:val="es-ES"/>
        </w:rPr>
        <w:t>de los</w:t>
      </w:r>
      <w:r w:rsidR="003119A6" w:rsidRPr="003119A6">
        <w:rPr>
          <w:rFonts w:ascii="Cambria" w:eastAsia="Calibri" w:hAnsi="Cambria" w:cs="Times New Roman"/>
          <w:sz w:val="21"/>
          <w:szCs w:val="21"/>
          <w:lang w:val="es-ES"/>
        </w:rPr>
        <w:t xml:space="preserve"> hechos a la Fiscalía </w:t>
      </w:r>
      <w:r w:rsidR="00ED1516" w:rsidRPr="00FF3C66">
        <w:rPr>
          <w:rFonts w:ascii="Cambria" w:eastAsia="Calibri" w:hAnsi="Cambria" w:cs="Times New Roman"/>
          <w:sz w:val="21"/>
          <w:szCs w:val="21"/>
          <w:lang w:val="es-ES"/>
        </w:rPr>
        <w:t>Provincial</w:t>
      </w:r>
      <w:r w:rsidR="003119A6" w:rsidRPr="003119A6">
        <w:rPr>
          <w:rFonts w:ascii="Cambria" w:eastAsia="Calibri" w:hAnsi="Cambria" w:cs="Times New Roman"/>
          <w:sz w:val="21"/>
          <w:szCs w:val="21"/>
          <w:lang w:val="es-ES"/>
        </w:rPr>
        <w:t xml:space="preserve"> Penal Corporativa de Puerto Inca</w:t>
      </w:r>
      <w:r w:rsidR="00ED1516" w:rsidRPr="00FF3C66">
        <w:rPr>
          <w:rFonts w:ascii="Cambria" w:eastAsia="Calibri" w:hAnsi="Cambria" w:cs="Times New Roman"/>
          <w:sz w:val="21"/>
          <w:szCs w:val="21"/>
          <w:lang w:val="es-ES"/>
        </w:rPr>
        <w:t xml:space="preserve">, quien indicó que estaba haciendo las coordinaciones pertinentes con la Comisaria de la zona. </w:t>
      </w:r>
      <w:r w:rsidR="003119A6" w:rsidRPr="003119A6">
        <w:rPr>
          <w:rFonts w:ascii="Cambria" w:eastAsia="Calibri" w:hAnsi="Cambria" w:cs="Times New Roman"/>
          <w:sz w:val="21"/>
          <w:szCs w:val="21"/>
          <w:lang w:val="es-ES"/>
        </w:rPr>
        <w:t xml:space="preserve">El 17 de septiembre de 2019, </w:t>
      </w:r>
      <w:r w:rsidR="00ED1516" w:rsidRPr="00FF3C66">
        <w:rPr>
          <w:rFonts w:ascii="Cambria" w:eastAsia="Calibri" w:hAnsi="Cambria" w:cs="Times New Roman"/>
          <w:sz w:val="21"/>
          <w:szCs w:val="21"/>
          <w:lang w:val="es-ES"/>
        </w:rPr>
        <w:t xml:space="preserve">se </w:t>
      </w:r>
      <w:r w:rsidR="003119A6" w:rsidRPr="003119A6">
        <w:rPr>
          <w:rFonts w:ascii="Cambria" w:eastAsia="Calibri" w:hAnsi="Cambria" w:cs="Times New Roman"/>
          <w:sz w:val="21"/>
          <w:szCs w:val="21"/>
          <w:lang w:val="es-ES"/>
        </w:rPr>
        <w:t xml:space="preserve">informó que la Fiscalía y la Comisaría de </w:t>
      </w:r>
      <w:r w:rsidR="00ED1516" w:rsidRPr="00FF3C66">
        <w:rPr>
          <w:rFonts w:ascii="Cambria" w:eastAsia="Calibri" w:hAnsi="Cambria" w:cs="Times New Roman"/>
          <w:sz w:val="21"/>
          <w:szCs w:val="21"/>
          <w:lang w:val="es-ES"/>
        </w:rPr>
        <w:t>la zona</w:t>
      </w:r>
      <w:r w:rsidR="003119A6" w:rsidRPr="003119A6">
        <w:rPr>
          <w:rFonts w:ascii="Cambria" w:eastAsia="Calibri" w:hAnsi="Cambria" w:cs="Times New Roman"/>
          <w:sz w:val="21"/>
          <w:szCs w:val="21"/>
          <w:lang w:val="es-ES"/>
        </w:rPr>
        <w:t xml:space="preserve">, con el apoyo del abogado de la Organización de Comunidades Nativas de Ucayali, </w:t>
      </w:r>
      <w:r w:rsidR="00ED1516" w:rsidRPr="00FF3C66">
        <w:rPr>
          <w:rFonts w:ascii="Cambria" w:eastAsia="Calibri" w:hAnsi="Cambria" w:cs="Times New Roman"/>
          <w:sz w:val="21"/>
          <w:szCs w:val="21"/>
          <w:lang w:val="es-ES"/>
        </w:rPr>
        <w:t>vendrían</w:t>
      </w:r>
      <w:r w:rsidR="003119A6" w:rsidRPr="003119A6">
        <w:rPr>
          <w:rFonts w:ascii="Cambria" w:eastAsia="Calibri" w:hAnsi="Cambria" w:cs="Times New Roman"/>
          <w:sz w:val="21"/>
          <w:szCs w:val="21"/>
          <w:lang w:val="es-ES"/>
        </w:rPr>
        <w:t xml:space="preserve"> investigando los hechos.</w:t>
      </w:r>
    </w:p>
    <w:p w14:paraId="313EDF17" w14:textId="77777777" w:rsidR="007F060B" w:rsidRDefault="007F060B" w:rsidP="00A93C9D">
      <w:pPr>
        <w:pStyle w:val="ListParagraph"/>
        <w:rPr>
          <w:rFonts w:ascii="Cambria" w:eastAsia="Calibri" w:hAnsi="Cambria" w:cs="Times New Roman"/>
          <w:sz w:val="21"/>
          <w:szCs w:val="21"/>
          <w:lang w:val="es-ES"/>
        </w:rPr>
      </w:pPr>
    </w:p>
    <w:p w14:paraId="3B748133" w14:textId="6BCE1752" w:rsidR="007F060B" w:rsidRPr="00832BF4" w:rsidRDefault="003119A6" w:rsidP="00A93C9D">
      <w:pPr>
        <w:numPr>
          <w:ilvl w:val="0"/>
          <w:numId w:val="1"/>
        </w:numPr>
        <w:ind w:left="0" w:firstLine="360"/>
        <w:jc w:val="both"/>
        <w:rPr>
          <w:rFonts w:ascii="Cambria" w:eastAsia="Calibri" w:hAnsi="Cambria" w:cs="Times New Roman"/>
          <w:sz w:val="21"/>
          <w:szCs w:val="21"/>
          <w:lang w:val="es-ES"/>
        </w:rPr>
      </w:pPr>
      <w:r w:rsidRPr="007F060B">
        <w:rPr>
          <w:rFonts w:ascii="Cambria" w:eastAsia="Calibri" w:hAnsi="Cambria" w:cs="Times New Roman"/>
          <w:sz w:val="21"/>
          <w:szCs w:val="21"/>
          <w:lang w:val="es-ES"/>
        </w:rPr>
        <w:t xml:space="preserve">Por otro lado, el Programa de Pueblos </w:t>
      </w:r>
      <w:r w:rsidR="007F060B" w:rsidRPr="007F060B">
        <w:rPr>
          <w:rFonts w:ascii="Cambria" w:eastAsia="Calibri" w:hAnsi="Cambria" w:cs="Times New Roman"/>
          <w:sz w:val="21"/>
          <w:szCs w:val="21"/>
          <w:lang w:val="es-ES"/>
        </w:rPr>
        <w:t>Indígenas</w:t>
      </w:r>
      <w:r w:rsidRPr="007F060B">
        <w:rPr>
          <w:rFonts w:ascii="Cambria" w:eastAsia="Calibri" w:hAnsi="Cambria" w:cs="Times New Roman"/>
          <w:sz w:val="21"/>
          <w:szCs w:val="21"/>
          <w:lang w:val="es-ES"/>
        </w:rPr>
        <w:t xml:space="preserve"> de la Adjuntía en Medio Ambiente, Servicios Públicos y Pueblos </w:t>
      </w:r>
      <w:r w:rsidR="007F060B" w:rsidRPr="007F060B">
        <w:rPr>
          <w:rFonts w:ascii="Cambria" w:eastAsia="Calibri" w:hAnsi="Cambria" w:cs="Times New Roman"/>
          <w:sz w:val="21"/>
          <w:szCs w:val="21"/>
          <w:lang w:val="es-ES"/>
        </w:rPr>
        <w:t>Indígenas</w:t>
      </w:r>
      <w:r w:rsidRPr="007F060B">
        <w:rPr>
          <w:rFonts w:ascii="Cambria" w:eastAsia="Calibri" w:hAnsi="Cambria" w:cs="Times New Roman"/>
          <w:sz w:val="21"/>
          <w:szCs w:val="21"/>
          <w:lang w:val="es-ES"/>
        </w:rPr>
        <w:t xml:space="preserve"> de la Defensoría del Pueblo recomendó al Ministerio del Interior adoptar las medidas y acciones necesarias para que, en coordinación con la Policía Nacional del Perú, se disponga garantizar la seguridad </w:t>
      </w:r>
      <w:r w:rsidR="007F060B">
        <w:rPr>
          <w:rFonts w:ascii="Cambria" w:eastAsia="Calibri" w:hAnsi="Cambria" w:cs="Times New Roman"/>
          <w:sz w:val="21"/>
          <w:szCs w:val="21"/>
          <w:lang w:val="es-ES"/>
        </w:rPr>
        <w:t>de</w:t>
      </w:r>
      <w:r w:rsidRPr="007F060B">
        <w:rPr>
          <w:rFonts w:ascii="Cambria" w:eastAsia="Calibri" w:hAnsi="Cambria" w:cs="Times New Roman"/>
          <w:sz w:val="21"/>
          <w:szCs w:val="21"/>
          <w:lang w:val="es-ES"/>
        </w:rPr>
        <w:t xml:space="preserve"> Polico Día</w:t>
      </w:r>
      <w:r w:rsidR="007F060B">
        <w:rPr>
          <w:rFonts w:ascii="Cambria" w:eastAsia="Calibri" w:hAnsi="Cambria" w:cs="Times New Roman"/>
          <w:sz w:val="21"/>
          <w:szCs w:val="21"/>
          <w:lang w:val="es-ES"/>
        </w:rPr>
        <w:t>z</w:t>
      </w:r>
      <w:r w:rsidRPr="007F060B">
        <w:rPr>
          <w:rFonts w:ascii="Cambria" w:eastAsia="Calibri" w:hAnsi="Cambria" w:cs="Times New Roman"/>
          <w:sz w:val="21"/>
          <w:szCs w:val="21"/>
          <w:lang w:val="es-ES"/>
        </w:rPr>
        <w:t xml:space="preserve"> Sambache y demás integrantes de la Comunidad Nueva Austria del Sira. Adicionalmente, se recomendó al Ministerio Público que realice las investigaciones que permitan determinar las responsabilidades penales correspondientes, respetando el principio de plazo razonable, respecto de los hechos en los que habría resuelto agraviado el señor Polico Día</w:t>
      </w:r>
      <w:r w:rsidR="007F060B">
        <w:rPr>
          <w:rFonts w:ascii="Cambria" w:eastAsia="Calibri" w:hAnsi="Cambria" w:cs="Times New Roman"/>
          <w:sz w:val="21"/>
          <w:szCs w:val="21"/>
          <w:lang w:val="es-ES"/>
        </w:rPr>
        <w:t>z</w:t>
      </w:r>
      <w:r w:rsidRPr="007F060B">
        <w:rPr>
          <w:rFonts w:ascii="Cambria" w:eastAsia="Calibri" w:hAnsi="Cambria" w:cs="Times New Roman"/>
          <w:sz w:val="21"/>
          <w:szCs w:val="21"/>
          <w:lang w:val="es-ES"/>
        </w:rPr>
        <w:t xml:space="preserve"> Sambache y otros integrantes de la Comunidad Nueva Austria del Sira.</w:t>
      </w:r>
    </w:p>
    <w:p w14:paraId="23B5EFC6" w14:textId="77777777" w:rsidR="00CF1745" w:rsidRDefault="00CF1745" w:rsidP="00A93C9D">
      <w:pPr>
        <w:jc w:val="both"/>
        <w:rPr>
          <w:rFonts w:ascii="Cambria" w:eastAsia="Calibri" w:hAnsi="Cambria" w:cs="Times New Roman"/>
          <w:sz w:val="21"/>
          <w:szCs w:val="21"/>
          <w:lang w:val="es-ES"/>
        </w:rPr>
      </w:pPr>
    </w:p>
    <w:p w14:paraId="5116C109" w14:textId="77777777" w:rsidR="00832BF4" w:rsidRDefault="00832BF4" w:rsidP="00A93C9D">
      <w:pPr>
        <w:numPr>
          <w:ilvl w:val="0"/>
          <w:numId w:val="1"/>
        </w:numPr>
        <w:ind w:left="0" w:firstLine="360"/>
        <w:jc w:val="both"/>
        <w:rPr>
          <w:rFonts w:ascii="Cambria" w:eastAsia="Calibri" w:hAnsi="Cambria" w:cs="Times New Roman"/>
          <w:sz w:val="21"/>
          <w:szCs w:val="21"/>
          <w:lang w:val="es-ES"/>
        </w:rPr>
      </w:pPr>
      <w:r>
        <w:rPr>
          <w:rFonts w:ascii="Cambria" w:eastAsia="Calibri" w:hAnsi="Cambria" w:cs="Times New Roman"/>
          <w:sz w:val="21"/>
          <w:szCs w:val="21"/>
          <w:lang w:val="es-ES"/>
        </w:rPr>
        <w:t>En lo que se refiere a las investigaciones existentes, el Estado indicó lo siguientes:</w:t>
      </w:r>
    </w:p>
    <w:p w14:paraId="7F9AD596" w14:textId="77777777" w:rsidR="00832BF4" w:rsidRDefault="00832BF4" w:rsidP="00A93C9D">
      <w:pPr>
        <w:pStyle w:val="ListParagraph"/>
        <w:rPr>
          <w:rFonts w:ascii="Cambria" w:eastAsia="Calibri" w:hAnsi="Cambria" w:cs="Times New Roman"/>
          <w:sz w:val="21"/>
          <w:szCs w:val="21"/>
          <w:lang w:val="es-ES"/>
        </w:rPr>
      </w:pPr>
    </w:p>
    <w:p w14:paraId="2D428440" w14:textId="708CB8D8" w:rsidR="003119A6" w:rsidRPr="00FB7903" w:rsidRDefault="003119A6" w:rsidP="00A93C9D">
      <w:pPr>
        <w:pStyle w:val="ListParagraph"/>
        <w:numPr>
          <w:ilvl w:val="0"/>
          <w:numId w:val="44"/>
        </w:numPr>
        <w:ind w:left="1008" w:right="1008"/>
        <w:jc w:val="both"/>
        <w:rPr>
          <w:rFonts w:ascii="Cambria" w:eastAsia="Calibri" w:hAnsi="Cambria" w:cs="Times New Roman"/>
          <w:sz w:val="18"/>
          <w:szCs w:val="21"/>
          <w:lang w:val="es-ES"/>
        </w:rPr>
      </w:pPr>
      <w:r w:rsidRPr="00FB7903">
        <w:rPr>
          <w:rFonts w:ascii="Cambria" w:eastAsia="Calibri" w:hAnsi="Cambria" w:cs="Times New Roman"/>
          <w:sz w:val="18"/>
          <w:szCs w:val="21"/>
          <w:lang w:val="es-ES"/>
        </w:rPr>
        <w:t xml:space="preserve">Con relación a la denuncia del 29 de julio de 2019, el Comisario Sectorial de Puerto Inca </w:t>
      </w:r>
      <w:r w:rsidR="00832BF4" w:rsidRPr="00FB7903">
        <w:rPr>
          <w:rFonts w:ascii="Cambria" w:eastAsia="Calibri" w:hAnsi="Cambria" w:cs="Times New Roman"/>
          <w:sz w:val="18"/>
          <w:szCs w:val="21"/>
          <w:lang w:val="es-ES"/>
        </w:rPr>
        <w:t xml:space="preserve">habría tomado </w:t>
      </w:r>
      <w:r w:rsidRPr="00FB7903">
        <w:rPr>
          <w:rFonts w:ascii="Cambria" w:eastAsia="Calibri" w:hAnsi="Cambria" w:cs="Times New Roman"/>
          <w:sz w:val="18"/>
          <w:szCs w:val="21"/>
          <w:lang w:val="es-ES"/>
        </w:rPr>
        <w:t>conocimiento de la presunta comisión del delito contra la vida, el cuerpo y la salud, en la modalidad de lesiones, en agravio de Juan Luis Lopez Shanmiguiri.</w:t>
      </w:r>
      <w:r w:rsidR="00CF1745" w:rsidRPr="00FB7903">
        <w:rPr>
          <w:rFonts w:ascii="Cambria" w:eastAsia="Calibri" w:hAnsi="Cambria" w:cs="Times New Roman"/>
          <w:sz w:val="18"/>
          <w:szCs w:val="21"/>
          <w:lang w:val="es-ES"/>
        </w:rPr>
        <w:t xml:space="preserve"> </w:t>
      </w:r>
      <w:r w:rsidRPr="00FB7903">
        <w:rPr>
          <w:rFonts w:ascii="Cambria" w:eastAsia="Calibri" w:hAnsi="Cambria" w:cs="Times New Roman"/>
          <w:sz w:val="18"/>
          <w:szCs w:val="21"/>
          <w:lang w:val="es-ES"/>
        </w:rPr>
        <w:t xml:space="preserve">La Policía Nacional </w:t>
      </w:r>
      <w:r w:rsidR="00012F4A" w:rsidRPr="00FB7903">
        <w:rPr>
          <w:rFonts w:ascii="Cambria" w:eastAsia="Calibri" w:hAnsi="Cambria" w:cs="Times New Roman"/>
          <w:sz w:val="18"/>
          <w:szCs w:val="21"/>
          <w:lang w:val="es-ES"/>
        </w:rPr>
        <w:t xml:space="preserve">habría realizado </w:t>
      </w:r>
      <w:r w:rsidRPr="00FB7903">
        <w:rPr>
          <w:rFonts w:ascii="Cambria" w:eastAsia="Calibri" w:hAnsi="Cambria" w:cs="Times New Roman"/>
          <w:sz w:val="18"/>
          <w:szCs w:val="21"/>
          <w:lang w:val="es-ES"/>
        </w:rPr>
        <w:t xml:space="preserve">operativos por diferentes zonas del distrito de Puerto Inca. Asimismo, la Fiscalía </w:t>
      </w:r>
      <w:r w:rsidR="00012F4A" w:rsidRPr="00FB7903">
        <w:rPr>
          <w:rFonts w:ascii="Cambria" w:eastAsia="Calibri" w:hAnsi="Cambria" w:cs="Times New Roman"/>
          <w:sz w:val="18"/>
          <w:szCs w:val="21"/>
          <w:lang w:val="es-ES"/>
        </w:rPr>
        <w:t>competente habría dispuesto</w:t>
      </w:r>
      <w:r w:rsidRPr="00FB7903">
        <w:rPr>
          <w:rFonts w:ascii="Cambria" w:eastAsia="Calibri" w:hAnsi="Cambria" w:cs="Times New Roman"/>
          <w:sz w:val="18"/>
          <w:szCs w:val="21"/>
          <w:lang w:val="es-ES"/>
        </w:rPr>
        <w:t xml:space="preserve"> que el caso pase a la División de Investigación Criminal – Puerto Inca para la realización de las investigaciones correspondientes. </w:t>
      </w:r>
    </w:p>
    <w:p w14:paraId="15BC35B5" w14:textId="77777777" w:rsidR="00CF1745" w:rsidRPr="00FB7903" w:rsidRDefault="00CF1745" w:rsidP="00A93C9D">
      <w:pPr>
        <w:ind w:left="1008" w:right="1008"/>
        <w:jc w:val="both"/>
        <w:rPr>
          <w:rFonts w:ascii="Cambria" w:eastAsia="Calibri" w:hAnsi="Cambria" w:cs="Times New Roman"/>
          <w:sz w:val="18"/>
          <w:szCs w:val="21"/>
          <w:lang w:val="es-ES"/>
        </w:rPr>
      </w:pPr>
    </w:p>
    <w:p w14:paraId="659C3F09" w14:textId="25E5AD03" w:rsidR="003119A6" w:rsidRPr="00FB7903" w:rsidRDefault="003119A6" w:rsidP="00A93C9D">
      <w:pPr>
        <w:pStyle w:val="ListParagraph"/>
        <w:numPr>
          <w:ilvl w:val="0"/>
          <w:numId w:val="44"/>
        </w:numPr>
        <w:ind w:left="1008" w:right="1008"/>
        <w:jc w:val="both"/>
        <w:rPr>
          <w:rFonts w:ascii="Cambria" w:eastAsia="Calibri" w:hAnsi="Cambria" w:cs="Times New Roman"/>
          <w:sz w:val="18"/>
          <w:szCs w:val="21"/>
          <w:lang w:val="es-ES"/>
        </w:rPr>
      </w:pPr>
      <w:r w:rsidRPr="00FB7903">
        <w:rPr>
          <w:rFonts w:ascii="Cambria" w:eastAsia="Calibri" w:hAnsi="Cambria" w:cs="Times New Roman"/>
          <w:sz w:val="18"/>
          <w:szCs w:val="21"/>
          <w:lang w:val="es-ES"/>
        </w:rPr>
        <w:t xml:space="preserve">Con relación a la denuncia de secuestro de 4 personas </w:t>
      </w:r>
      <w:r w:rsidR="00012F4A" w:rsidRPr="00FB7903">
        <w:rPr>
          <w:rFonts w:ascii="Cambria" w:eastAsia="Calibri" w:hAnsi="Cambria" w:cs="Times New Roman"/>
          <w:sz w:val="18"/>
          <w:szCs w:val="21"/>
          <w:lang w:val="es-ES"/>
        </w:rPr>
        <w:t xml:space="preserve">de </w:t>
      </w:r>
      <w:r w:rsidRPr="00FB7903">
        <w:rPr>
          <w:rFonts w:ascii="Cambria" w:eastAsia="Calibri" w:hAnsi="Cambria" w:cs="Times New Roman"/>
          <w:sz w:val="18"/>
          <w:szCs w:val="21"/>
          <w:lang w:val="es-ES"/>
        </w:rPr>
        <w:t xml:space="preserve">la Comunidad Nueva Austria del Sira, el Comisario Sectorial de Puerto Inca informó que el 10 de septiembre de 2019 se tenía programada la realización de una diligencia de demarcación de límite de parte del Gobierno Regional de Huánuco en la mencionada comunidad. </w:t>
      </w:r>
      <w:r w:rsidR="00012F4A" w:rsidRPr="00FB7903">
        <w:rPr>
          <w:rFonts w:ascii="Cambria" w:eastAsia="Calibri" w:hAnsi="Cambria" w:cs="Times New Roman"/>
          <w:sz w:val="18"/>
          <w:szCs w:val="21"/>
          <w:lang w:val="es-ES"/>
        </w:rPr>
        <w:t>Dicha</w:t>
      </w:r>
      <w:r w:rsidRPr="00FB7903">
        <w:rPr>
          <w:rFonts w:ascii="Cambria" w:eastAsia="Calibri" w:hAnsi="Cambria" w:cs="Times New Roman"/>
          <w:sz w:val="18"/>
          <w:szCs w:val="21"/>
          <w:lang w:val="es-ES"/>
        </w:rPr>
        <w:t xml:space="preserve"> diligencia no se </w:t>
      </w:r>
      <w:r w:rsidR="00012F4A" w:rsidRPr="00FB7903">
        <w:rPr>
          <w:rFonts w:ascii="Cambria" w:eastAsia="Calibri" w:hAnsi="Cambria" w:cs="Times New Roman"/>
          <w:sz w:val="18"/>
          <w:szCs w:val="21"/>
          <w:lang w:val="es-ES"/>
        </w:rPr>
        <w:t>habría llevado</w:t>
      </w:r>
      <w:r w:rsidRPr="00FB7903">
        <w:rPr>
          <w:rFonts w:ascii="Cambria" w:eastAsia="Calibri" w:hAnsi="Cambria" w:cs="Times New Roman"/>
          <w:sz w:val="18"/>
          <w:szCs w:val="21"/>
          <w:lang w:val="es-ES"/>
        </w:rPr>
        <w:t xml:space="preserve"> a cabo por falta de garantías, toda vez que el 9 de septiembre de 2019 se habría suscitado el presunto secuestro del señor Polico Día</w:t>
      </w:r>
      <w:r w:rsidR="00012F4A" w:rsidRPr="00FB7903">
        <w:rPr>
          <w:rFonts w:ascii="Cambria" w:eastAsia="Calibri" w:hAnsi="Cambria" w:cs="Times New Roman"/>
          <w:sz w:val="18"/>
          <w:szCs w:val="21"/>
          <w:lang w:val="es-ES"/>
        </w:rPr>
        <w:t>z</w:t>
      </w:r>
      <w:r w:rsidRPr="00FB7903">
        <w:rPr>
          <w:rFonts w:ascii="Cambria" w:eastAsia="Calibri" w:hAnsi="Cambria" w:cs="Times New Roman"/>
          <w:sz w:val="18"/>
          <w:szCs w:val="21"/>
          <w:lang w:val="es-ES"/>
        </w:rPr>
        <w:t xml:space="preserve"> Sambache, por parte de pobladores de la Comunidad Paujil</w:t>
      </w:r>
      <w:r w:rsidR="00CF1745" w:rsidRPr="00FB7903">
        <w:rPr>
          <w:rFonts w:ascii="Cambria" w:eastAsia="Calibri" w:hAnsi="Cambria" w:cs="Times New Roman"/>
          <w:sz w:val="18"/>
          <w:szCs w:val="21"/>
          <w:lang w:val="es-ES"/>
        </w:rPr>
        <w:t>.</w:t>
      </w:r>
      <w:r w:rsidR="00012F4A" w:rsidRPr="00FB7903">
        <w:rPr>
          <w:rFonts w:ascii="Cambria" w:eastAsia="Calibri" w:hAnsi="Cambria" w:cs="Times New Roman"/>
          <w:sz w:val="18"/>
          <w:szCs w:val="21"/>
          <w:lang w:val="es-ES"/>
        </w:rPr>
        <w:t xml:space="preserve"> Este caso se encuentra en proceso de investigación de los hechos, las que </w:t>
      </w:r>
      <w:r w:rsidRPr="00FB7903">
        <w:rPr>
          <w:rFonts w:ascii="Cambria" w:eastAsia="Calibri" w:hAnsi="Cambria" w:cs="Times New Roman"/>
          <w:sz w:val="18"/>
          <w:szCs w:val="21"/>
          <w:lang w:val="es-ES"/>
        </w:rPr>
        <w:t xml:space="preserve">se desarrollan en relación a </w:t>
      </w:r>
      <w:r w:rsidR="00012F4A" w:rsidRPr="00FB7903">
        <w:rPr>
          <w:rFonts w:ascii="Cambria" w:eastAsia="Calibri" w:hAnsi="Cambria" w:cs="Times New Roman"/>
          <w:sz w:val="18"/>
          <w:szCs w:val="21"/>
          <w:lang w:val="es-ES"/>
        </w:rPr>
        <w:t>determinados</w:t>
      </w:r>
      <w:r w:rsidRPr="00FB7903">
        <w:rPr>
          <w:rFonts w:ascii="Cambria" w:eastAsia="Calibri" w:hAnsi="Cambria" w:cs="Times New Roman"/>
          <w:sz w:val="18"/>
          <w:szCs w:val="21"/>
          <w:lang w:val="es-ES"/>
        </w:rPr>
        <w:t xml:space="preserve"> </w:t>
      </w:r>
      <w:r w:rsidR="00012F4A" w:rsidRPr="00FB7903">
        <w:rPr>
          <w:rFonts w:ascii="Cambria" w:eastAsia="Calibri" w:hAnsi="Cambria" w:cs="Times New Roman"/>
          <w:sz w:val="18"/>
          <w:szCs w:val="21"/>
          <w:lang w:val="es-ES"/>
        </w:rPr>
        <w:t xml:space="preserve">personas que fueron identificadas, sin que alguna de ellas pertenezca </w:t>
      </w:r>
      <w:r w:rsidRPr="00FB7903">
        <w:rPr>
          <w:rFonts w:ascii="Cambria" w:eastAsia="Calibri" w:hAnsi="Cambria" w:cs="Times New Roman"/>
          <w:sz w:val="18"/>
          <w:szCs w:val="21"/>
          <w:lang w:val="es-ES"/>
        </w:rPr>
        <w:t xml:space="preserve"> a la Policía Nacional del Perú. </w:t>
      </w:r>
    </w:p>
    <w:p w14:paraId="43F65F83" w14:textId="77777777" w:rsidR="00832BF4" w:rsidRDefault="00832BF4" w:rsidP="00A93C9D">
      <w:pPr>
        <w:jc w:val="both"/>
        <w:rPr>
          <w:rFonts w:ascii="Cambria" w:eastAsia="Calibri" w:hAnsi="Cambria" w:cs="Times New Roman"/>
          <w:sz w:val="21"/>
          <w:szCs w:val="21"/>
          <w:lang w:val="es-ES"/>
        </w:rPr>
      </w:pPr>
    </w:p>
    <w:p w14:paraId="4419A67D" w14:textId="77777777" w:rsidR="00BF6F4D" w:rsidRDefault="00AD16EF" w:rsidP="00A93C9D">
      <w:pPr>
        <w:numPr>
          <w:ilvl w:val="0"/>
          <w:numId w:val="1"/>
        </w:numPr>
        <w:ind w:left="0" w:firstLine="360"/>
        <w:jc w:val="both"/>
        <w:rPr>
          <w:rFonts w:ascii="Cambria" w:eastAsia="Calibri" w:hAnsi="Cambria" w:cs="Times New Roman"/>
          <w:sz w:val="21"/>
          <w:szCs w:val="21"/>
          <w:lang w:val="es-ES"/>
        </w:rPr>
      </w:pPr>
      <w:r>
        <w:rPr>
          <w:rFonts w:ascii="Cambria" w:eastAsia="Calibri" w:hAnsi="Cambria" w:cs="Times New Roman"/>
          <w:sz w:val="21"/>
          <w:szCs w:val="21"/>
          <w:lang w:val="es-ES"/>
        </w:rPr>
        <w:t xml:space="preserve">En lo que se refiere al proceso de reconocimiento de la comunidad, la Defensoría del Pueblo habría realizado gestiones ante la Dirección Regional de Agricultura de Huánuco. El 2 de abril de 2019, dicha </w:t>
      </w:r>
      <w:r w:rsidR="003119A6" w:rsidRPr="00AD16EF">
        <w:rPr>
          <w:rFonts w:ascii="Cambria" w:eastAsia="Calibri" w:hAnsi="Cambria" w:cs="Times New Roman"/>
          <w:sz w:val="21"/>
          <w:szCs w:val="21"/>
          <w:lang w:val="es-ES"/>
        </w:rPr>
        <w:t xml:space="preserve">la Dirección Regional habría dado respuesta a lo solicitado por el señor Lopez señalando que “(…) se viene revisando y analizando los expedientes de reconocimiento de las Comunidades Nativas y por lo cual se requerirá de un informe de levantamiento de suelos”. </w:t>
      </w:r>
      <w:r w:rsidRPr="00AD16EF">
        <w:rPr>
          <w:rFonts w:ascii="Cambria" w:eastAsia="Calibri" w:hAnsi="Cambria" w:cs="Times New Roman"/>
          <w:sz w:val="21"/>
          <w:szCs w:val="21"/>
          <w:lang w:val="es-ES"/>
        </w:rPr>
        <w:t>E</w:t>
      </w:r>
      <w:r>
        <w:rPr>
          <w:rFonts w:ascii="Cambria" w:eastAsia="Calibri" w:hAnsi="Cambria" w:cs="Times New Roman"/>
          <w:sz w:val="21"/>
          <w:szCs w:val="21"/>
          <w:lang w:val="es-ES"/>
        </w:rPr>
        <w:t>l 15 de abril de 2019, se habría presentado ante</w:t>
      </w:r>
      <w:r w:rsidR="003119A6" w:rsidRPr="00AD16EF">
        <w:rPr>
          <w:rFonts w:ascii="Cambria" w:eastAsia="Calibri" w:hAnsi="Cambria" w:cs="Times New Roman"/>
          <w:sz w:val="21"/>
          <w:szCs w:val="21"/>
          <w:lang w:val="es-ES"/>
        </w:rPr>
        <w:t xml:space="preserve"> representantes de </w:t>
      </w:r>
      <w:r>
        <w:rPr>
          <w:rFonts w:ascii="Cambria" w:eastAsia="Calibri" w:hAnsi="Cambria" w:cs="Times New Roman"/>
          <w:sz w:val="21"/>
          <w:szCs w:val="21"/>
          <w:lang w:val="es-ES"/>
        </w:rPr>
        <w:t xml:space="preserve">dicha Dirección Regional </w:t>
      </w:r>
      <w:r w:rsidR="003119A6" w:rsidRPr="00AD16EF">
        <w:rPr>
          <w:rFonts w:ascii="Cambria" w:eastAsia="Calibri" w:hAnsi="Cambria" w:cs="Times New Roman"/>
          <w:sz w:val="21"/>
          <w:szCs w:val="21"/>
          <w:lang w:val="es-ES"/>
        </w:rPr>
        <w:t xml:space="preserve">el informe referido al </w:t>
      </w:r>
      <w:r>
        <w:rPr>
          <w:rFonts w:ascii="Cambria" w:eastAsia="Calibri" w:hAnsi="Cambria" w:cs="Times New Roman"/>
          <w:sz w:val="21"/>
          <w:szCs w:val="21"/>
          <w:lang w:val="es-ES"/>
        </w:rPr>
        <w:t>“</w:t>
      </w:r>
      <w:r w:rsidR="003119A6" w:rsidRPr="00AD16EF">
        <w:rPr>
          <w:rFonts w:ascii="Cambria" w:eastAsia="Calibri" w:hAnsi="Cambria" w:cs="Times New Roman"/>
          <w:sz w:val="21"/>
          <w:szCs w:val="21"/>
          <w:lang w:val="es-ES"/>
        </w:rPr>
        <w:t xml:space="preserve">Camino de Titulación de las Comunidades Campesinas y </w:t>
      </w:r>
      <w:r>
        <w:rPr>
          <w:rFonts w:ascii="Cambria" w:eastAsia="Calibri" w:hAnsi="Cambria" w:cs="Times New Roman"/>
          <w:sz w:val="21"/>
          <w:szCs w:val="21"/>
          <w:lang w:val="es-ES"/>
        </w:rPr>
        <w:t>N</w:t>
      </w:r>
      <w:r w:rsidR="003119A6" w:rsidRPr="00AD16EF">
        <w:rPr>
          <w:rFonts w:ascii="Cambria" w:eastAsia="Calibri" w:hAnsi="Cambria" w:cs="Times New Roman"/>
          <w:sz w:val="21"/>
          <w:szCs w:val="21"/>
          <w:lang w:val="es-ES"/>
        </w:rPr>
        <w:t>ativas</w:t>
      </w:r>
      <w:r>
        <w:rPr>
          <w:rFonts w:ascii="Cambria" w:eastAsia="Calibri" w:hAnsi="Cambria" w:cs="Times New Roman"/>
          <w:sz w:val="21"/>
          <w:szCs w:val="21"/>
          <w:lang w:val="es-ES"/>
        </w:rPr>
        <w:t>”</w:t>
      </w:r>
      <w:r w:rsidR="003119A6" w:rsidRPr="00AD16EF">
        <w:rPr>
          <w:rFonts w:ascii="Cambria" w:eastAsia="Calibri" w:hAnsi="Cambria" w:cs="Times New Roman"/>
          <w:sz w:val="21"/>
          <w:szCs w:val="21"/>
          <w:lang w:val="es-ES"/>
        </w:rPr>
        <w:t xml:space="preserve">. Los representantes </w:t>
      </w:r>
      <w:r>
        <w:rPr>
          <w:rFonts w:ascii="Cambria" w:eastAsia="Calibri" w:hAnsi="Cambria" w:cs="Times New Roman"/>
          <w:sz w:val="21"/>
          <w:szCs w:val="21"/>
          <w:lang w:val="es-ES"/>
        </w:rPr>
        <w:t xml:space="preserve">de la Dirección Regional habrían indicado </w:t>
      </w:r>
      <w:r w:rsidR="003119A6" w:rsidRPr="00AD16EF">
        <w:rPr>
          <w:rFonts w:ascii="Cambria" w:eastAsia="Calibri" w:hAnsi="Cambria" w:cs="Times New Roman"/>
          <w:sz w:val="21"/>
          <w:szCs w:val="21"/>
          <w:lang w:val="es-ES"/>
        </w:rPr>
        <w:t>que en el 2019 no se habría otorgado titulaciones individuales en la zonas colind</w:t>
      </w:r>
      <w:r>
        <w:rPr>
          <w:rFonts w:ascii="Cambria" w:eastAsia="Calibri" w:hAnsi="Cambria" w:cs="Times New Roman"/>
          <w:sz w:val="21"/>
          <w:szCs w:val="21"/>
          <w:lang w:val="es-ES"/>
        </w:rPr>
        <w:t xml:space="preserve">antes a las comunidades nativas, incluyendo a </w:t>
      </w:r>
      <w:r w:rsidR="003119A6" w:rsidRPr="00AD16EF">
        <w:rPr>
          <w:rFonts w:ascii="Cambria" w:eastAsia="Calibri" w:hAnsi="Cambria" w:cs="Times New Roman"/>
          <w:sz w:val="21"/>
          <w:szCs w:val="21"/>
          <w:lang w:val="es-ES"/>
        </w:rPr>
        <w:t xml:space="preserve">Nueva Austria del Sira. </w:t>
      </w:r>
    </w:p>
    <w:p w14:paraId="6941CA31" w14:textId="77777777" w:rsidR="00BF6F4D" w:rsidRDefault="00BF6F4D" w:rsidP="00A93C9D">
      <w:pPr>
        <w:ind w:left="360"/>
        <w:jc w:val="both"/>
        <w:rPr>
          <w:rFonts w:ascii="Cambria" w:eastAsia="Calibri" w:hAnsi="Cambria" w:cs="Times New Roman"/>
          <w:sz w:val="21"/>
          <w:szCs w:val="21"/>
          <w:lang w:val="es-ES"/>
        </w:rPr>
      </w:pPr>
    </w:p>
    <w:p w14:paraId="093771B5" w14:textId="2714EFD7" w:rsidR="007B7BE5" w:rsidRPr="00BF6F4D" w:rsidRDefault="00AD16EF" w:rsidP="00A93C9D">
      <w:pPr>
        <w:numPr>
          <w:ilvl w:val="0"/>
          <w:numId w:val="1"/>
        </w:numPr>
        <w:ind w:left="0" w:firstLine="360"/>
        <w:jc w:val="both"/>
        <w:rPr>
          <w:rFonts w:ascii="Cambria" w:eastAsia="Calibri" w:hAnsi="Cambria" w:cs="Times New Roman"/>
          <w:sz w:val="21"/>
          <w:szCs w:val="21"/>
          <w:lang w:val="es-ES"/>
        </w:rPr>
      </w:pPr>
      <w:r>
        <w:rPr>
          <w:rFonts w:ascii="Cambria" w:eastAsia="Calibri" w:hAnsi="Cambria" w:cs="Times New Roman"/>
          <w:sz w:val="21"/>
          <w:szCs w:val="21"/>
          <w:lang w:val="es-ES"/>
        </w:rPr>
        <w:t>Posteriormente, e</w:t>
      </w:r>
      <w:r w:rsidR="003119A6" w:rsidRPr="00AD16EF">
        <w:rPr>
          <w:rFonts w:ascii="Cambria" w:eastAsia="Calibri" w:hAnsi="Cambria" w:cs="Times New Roman"/>
          <w:sz w:val="21"/>
          <w:szCs w:val="21"/>
          <w:lang w:val="es-ES"/>
        </w:rPr>
        <w:t>l 29 de mayo de 2019, los representantes</w:t>
      </w:r>
      <w:r>
        <w:rPr>
          <w:rFonts w:ascii="Cambria" w:eastAsia="Calibri" w:hAnsi="Cambria" w:cs="Times New Roman"/>
          <w:sz w:val="21"/>
          <w:szCs w:val="21"/>
          <w:lang w:val="es-ES"/>
        </w:rPr>
        <w:t xml:space="preserve"> de la Dirección Regional </w:t>
      </w:r>
      <w:r w:rsidR="003119A6" w:rsidRPr="00AD16EF">
        <w:rPr>
          <w:rFonts w:ascii="Cambria" w:eastAsia="Calibri" w:hAnsi="Cambria" w:cs="Times New Roman"/>
          <w:sz w:val="21"/>
          <w:szCs w:val="21"/>
          <w:lang w:val="es-ES"/>
        </w:rPr>
        <w:t>informaron que se suspendieron los procedimientos de otorgamientos de títulos individuales en zona colindantes a las comunidades nativas.</w:t>
      </w:r>
      <w:r w:rsidR="00BF6F4D">
        <w:rPr>
          <w:rFonts w:ascii="Cambria" w:eastAsia="Calibri" w:hAnsi="Cambria" w:cs="Times New Roman"/>
          <w:sz w:val="21"/>
          <w:szCs w:val="21"/>
          <w:lang w:val="es-ES"/>
        </w:rPr>
        <w:t xml:space="preserve"> </w:t>
      </w:r>
      <w:r w:rsidR="003119A6" w:rsidRPr="00BF6F4D">
        <w:rPr>
          <w:rFonts w:ascii="Cambria" w:eastAsia="Calibri" w:hAnsi="Cambria" w:cs="Times New Roman"/>
          <w:sz w:val="21"/>
          <w:szCs w:val="21"/>
          <w:lang w:val="es-ES"/>
        </w:rPr>
        <w:t xml:space="preserve">El 16 de julio de 2019,  el Director de la </w:t>
      </w:r>
      <w:r w:rsidR="00EA63A3" w:rsidRPr="00BF6F4D">
        <w:rPr>
          <w:rFonts w:ascii="Cambria" w:eastAsia="Calibri" w:hAnsi="Cambria" w:cs="Times New Roman"/>
          <w:sz w:val="21"/>
          <w:szCs w:val="21"/>
          <w:lang w:val="es-ES"/>
        </w:rPr>
        <w:t>Dirección</w:t>
      </w:r>
      <w:r w:rsidR="003119A6" w:rsidRPr="00BF6F4D">
        <w:rPr>
          <w:rFonts w:ascii="Cambria" w:eastAsia="Calibri" w:hAnsi="Cambria" w:cs="Times New Roman"/>
          <w:sz w:val="21"/>
          <w:szCs w:val="21"/>
          <w:lang w:val="es-ES"/>
        </w:rPr>
        <w:t xml:space="preserve"> </w:t>
      </w:r>
      <w:r w:rsidR="00EA63A3" w:rsidRPr="00BF6F4D">
        <w:rPr>
          <w:rFonts w:ascii="Cambria" w:eastAsia="Calibri" w:hAnsi="Cambria" w:cs="Times New Roman"/>
          <w:sz w:val="21"/>
          <w:szCs w:val="21"/>
          <w:lang w:val="es-ES"/>
        </w:rPr>
        <w:t>Regional</w:t>
      </w:r>
      <w:r w:rsidR="003119A6" w:rsidRPr="00BF6F4D">
        <w:rPr>
          <w:rFonts w:ascii="Cambria" w:eastAsia="Calibri" w:hAnsi="Cambria" w:cs="Times New Roman"/>
          <w:sz w:val="21"/>
          <w:szCs w:val="21"/>
          <w:lang w:val="es-ES"/>
        </w:rPr>
        <w:t xml:space="preserve"> y representantes de las comunidades nativas ubicadas en el </w:t>
      </w:r>
      <w:r w:rsidR="00EA63A3" w:rsidRPr="00BF6F4D">
        <w:rPr>
          <w:rFonts w:ascii="Cambria" w:eastAsia="Calibri" w:hAnsi="Cambria" w:cs="Times New Roman"/>
          <w:sz w:val="21"/>
          <w:szCs w:val="21"/>
          <w:lang w:val="es-ES"/>
        </w:rPr>
        <w:t>distrito de P</w:t>
      </w:r>
      <w:r w:rsidR="00832BF4" w:rsidRPr="00BF6F4D">
        <w:rPr>
          <w:rFonts w:ascii="Cambria" w:eastAsia="Calibri" w:hAnsi="Cambria" w:cs="Times New Roman"/>
          <w:sz w:val="21"/>
          <w:szCs w:val="21"/>
          <w:lang w:val="es-ES"/>
        </w:rPr>
        <w:t xml:space="preserve">uerto </w:t>
      </w:r>
      <w:r w:rsidR="00EA63A3" w:rsidRPr="00BF6F4D">
        <w:rPr>
          <w:rFonts w:ascii="Cambria" w:eastAsia="Calibri" w:hAnsi="Cambria" w:cs="Times New Roman"/>
          <w:sz w:val="21"/>
          <w:szCs w:val="21"/>
          <w:lang w:val="es-ES"/>
        </w:rPr>
        <w:t xml:space="preserve">Inca </w:t>
      </w:r>
      <w:r w:rsidR="00832BF4" w:rsidRPr="00BF6F4D">
        <w:rPr>
          <w:rFonts w:ascii="Cambria" w:eastAsia="Calibri" w:hAnsi="Cambria" w:cs="Times New Roman"/>
          <w:sz w:val="21"/>
          <w:szCs w:val="21"/>
          <w:lang w:val="es-ES"/>
        </w:rPr>
        <w:t xml:space="preserve">se </w:t>
      </w:r>
      <w:r w:rsidR="00EA63A3" w:rsidRPr="00BF6F4D">
        <w:rPr>
          <w:rFonts w:ascii="Cambria" w:eastAsia="Calibri" w:hAnsi="Cambria" w:cs="Times New Roman"/>
          <w:sz w:val="21"/>
          <w:szCs w:val="21"/>
          <w:lang w:val="es-ES"/>
        </w:rPr>
        <w:t>reunieron</w:t>
      </w:r>
      <w:r w:rsidR="00832BF4" w:rsidRPr="00BF6F4D">
        <w:rPr>
          <w:rFonts w:ascii="Cambria" w:eastAsia="Calibri" w:hAnsi="Cambria" w:cs="Times New Roman"/>
          <w:sz w:val="21"/>
          <w:szCs w:val="21"/>
          <w:lang w:val="es-ES"/>
        </w:rPr>
        <w:t xml:space="preserve"> y acordaron realizar actividades y acciones concretas para el proceso de saneamiento </w:t>
      </w:r>
      <w:r w:rsidR="00EA63A3" w:rsidRPr="00BF6F4D">
        <w:rPr>
          <w:rFonts w:ascii="Cambria" w:eastAsia="Calibri" w:hAnsi="Cambria" w:cs="Times New Roman"/>
          <w:sz w:val="21"/>
          <w:szCs w:val="21"/>
          <w:lang w:val="es-ES"/>
        </w:rPr>
        <w:t>físico</w:t>
      </w:r>
      <w:r w:rsidR="00832BF4" w:rsidRPr="00BF6F4D">
        <w:rPr>
          <w:rFonts w:ascii="Cambria" w:eastAsia="Calibri" w:hAnsi="Cambria" w:cs="Times New Roman"/>
          <w:sz w:val="21"/>
          <w:szCs w:val="21"/>
          <w:lang w:val="es-ES"/>
        </w:rPr>
        <w:t xml:space="preserve"> y legal de sus territorios. </w:t>
      </w:r>
      <w:r w:rsidR="00EA63A3" w:rsidRPr="00BF6F4D">
        <w:rPr>
          <w:rFonts w:ascii="Cambria" w:eastAsia="Calibri" w:hAnsi="Cambria" w:cs="Times New Roman"/>
          <w:sz w:val="21"/>
          <w:szCs w:val="21"/>
          <w:lang w:val="es-ES"/>
        </w:rPr>
        <w:t>R</w:t>
      </w:r>
      <w:r w:rsidR="003119A6" w:rsidRPr="00BF6F4D">
        <w:rPr>
          <w:rFonts w:ascii="Cambria" w:eastAsia="Calibri" w:hAnsi="Cambria" w:cs="Times New Roman"/>
          <w:sz w:val="21"/>
          <w:szCs w:val="21"/>
          <w:lang w:val="es-ES"/>
        </w:rPr>
        <w:t>especto de la Comunidad Nueva Austri</w:t>
      </w:r>
      <w:r w:rsidR="002F07A4" w:rsidRPr="00BF6F4D">
        <w:rPr>
          <w:rFonts w:ascii="Cambria" w:eastAsia="Calibri" w:hAnsi="Cambria" w:cs="Times New Roman"/>
          <w:sz w:val="21"/>
          <w:szCs w:val="21"/>
          <w:lang w:val="es-ES"/>
        </w:rPr>
        <w:t xml:space="preserve">a </w:t>
      </w:r>
      <w:r w:rsidR="003119A6" w:rsidRPr="00BF6F4D">
        <w:rPr>
          <w:rFonts w:ascii="Cambria" w:eastAsia="Calibri" w:hAnsi="Cambria" w:cs="Times New Roman"/>
          <w:sz w:val="21"/>
          <w:szCs w:val="21"/>
          <w:lang w:val="es-ES"/>
        </w:rPr>
        <w:t xml:space="preserve">del Sira se </w:t>
      </w:r>
      <w:r w:rsidR="002F07A4" w:rsidRPr="00BF6F4D">
        <w:rPr>
          <w:rFonts w:ascii="Cambria" w:eastAsia="Calibri" w:hAnsi="Cambria" w:cs="Times New Roman"/>
          <w:sz w:val="21"/>
          <w:szCs w:val="21"/>
          <w:lang w:val="es-ES"/>
        </w:rPr>
        <w:t>habría procedido</w:t>
      </w:r>
      <w:r w:rsidR="003119A6" w:rsidRPr="00BF6F4D">
        <w:rPr>
          <w:rFonts w:ascii="Cambria" w:eastAsia="Calibri" w:hAnsi="Cambria" w:cs="Times New Roman"/>
          <w:sz w:val="21"/>
          <w:szCs w:val="21"/>
          <w:lang w:val="es-ES"/>
        </w:rPr>
        <w:t xml:space="preserve"> a detallar un cronograma de actividades con el fin de que sea reconocida legalmente por la </w:t>
      </w:r>
      <w:r w:rsidR="00EA63A3" w:rsidRPr="00BF6F4D">
        <w:rPr>
          <w:rFonts w:ascii="Cambria" w:eastAsia="Calibri" w:hAnsi="Cambria" w:cs="Times New Roman"/>
          <w:sz w:val="21"/>
          <w:szCs w:val="21"/>
          <w:lang w:val="es-ES"/>
        </w:rPr>
        <w:t>Dirección</w:t>
      </w:r>
      <w:r w:rsidR="003119A6" w:rsidRPr="00BF6F4D">
        <w:rPr>
          <w:rFonts w:ascii="Cambria" w:eastAsia="Calibri" w:hAnsi="Cambria" w:cs="Times New Roman"/>
          <w:sz w:val="21"/>
          <w:szCs w:val="21"/>
          <w:lang w:val="es-ES"/>
        </w:rPr>
        <w:t xml:space="preserve"> Regional de Agricultura de </w:t>
      </w:r>
      <w:r w:rsidR="00EA63A3" w:rsidRPr="00BF6F4D">
        <w:rPr>
          <w:rFonts w:ascii="Cambria" w:eastAsia="Calibri" w:hAnsi="Cambria" w:cs="Times New Roman"/>
          <w:sz w:val="21"/>
          <w:szCs w:val="21"/>
          <w:lang w:val="es-ES"/>
        </w:rPr>
        <w:t>Huánuco</w:t>
      </w:r>
      <w:r w:rsidR="003119A6" w:rsidRPr="00BF6F4D">
        <w:rPr>
          <w:rFonts w:ascii="Cambria" w:eastAsia="Calibri" w:hAnsi="Cambria" w:cs="Times New Roman"/>
          <w:sz w:val="21"/>
          <w:szCs w:val="21"/>
          <w:lang w:val="es-ES"/>
        </w:rPr>
        <w:t xml:space="preserve">. </w:t>
      </w:r>
    </w:p>
    <w:p w14:paraId="59F11ED5" w14:textId="77777777" w:rsidR="007B7BE5" w:rsidRPr="007B7BE5" w:rsidRDefault="007B7BE5" w:rsidP="00A93C9D">
      <w:pPr>
        <w:pStyle w:val="ListParagraph"/>
        <w:rPr>
          <w:rFonts w:ascii="Cambria" w:eastAsia="Calibri" w:hAnsi="Cambria" w:cs="Times New Roman"/>
          <w:sz w:val="21"/>
          <w:szCs w:val="21"/>
          <w:lang w:val="es-ES"/>
        </w:rPr>
      </w:pPr>
    </w:p>
    <w:p w14:paraId="2F675340" w14:textId="7E1CC95B" w:rsidR="003119A6" w:rsidRPr="00EA63A3" w:rsidRDefault="00722489" w:rsidP="00A93C9D">
      <w:pPr>
        <w:numPr>
          <w:ilvl w:val="0"/>
          <w:numId w:val="1"/>
        </w:numPr>
        <w:ind w:left="0" w:firstLine="360"/>
        <w:jc w:val="both"/>
        <w:rPr>
          <w:rFonts w:ascii="Cambria" w:eastAsia="Calibri" w:hAnsi="Cambria" w:cs="Times New Roman"/>
          <w:sz w:val="21"/>
          <w:szCs w:val="21"/>
          <w:lang w:val="es-ES"/>
        </w:rPr>
      </w:pPr>
      <w:r>
        <w:rPr>
          <w:rFonts w:ascii="Cambria" w:eastAsia="Calibri" w:hAnsi="Cambria" w:cs="Times New Roman"/>
          <w:sz w:val="21"/>
          <w:szCs w:val="21"/>
          <w:lang w:val="es-ES"/>
        </w:rPr>
        <w:t xml:space="preserve">Finalmente, </w:t>
      </w:r>
      <w:r w:rsidR="007B7BE5">
        <w:rPr>
          <w:rFonts w:ascii="Cambria" w:eastAsia="Calibri" w:hAnsi="Cambria" w:cs="Times New Roman"/>
          <w:sz w:val="21"/>
          <w:szCs w:val="21"/>
          <w:lang w:val="es-ES"/>
        </w:rPr>
        <w:t xml:space="preserve">se indicó que desde el Servicio Nacional de Áreas Naturales Protegidas (SERNANP) también se vendrían ejecutando acciones con la finalidad de coadyuvar en el proceso de titulación de la comunidad. El SERNANP indicó que la comunidad cuenta con existencia física y a la fecha su territorio se encontraría superpuesto a predios titulados a favor de particulares, quienes obtuvieron dicho títulos por </w:t>
      </w:r>
      <w:r w:rsidR="007B7BE5">
        <w:rPr>
          <w:rFonts w:ascii="Cambria" w:eastAsia="Calibri" w:hAnsi="Cambria" w:cs="Times New Roman"/>
          <w:sz w:val="21"/>
          <w:szCs w:val="21"/>
          <w:lang w:val="es-ES"/>
        </w:rPr>
        <w:lastRenderedPageBreak/>
        <w:t xml:space="preserve">la Dirección Regional de Agricultura de Huánuco, luego de que fuera declarada la nulidad de la resolución de reconocimiento. Asimismo, informó que dichos predios vendrían tramitando permisos de aprovechamiento forestal. </w:t>
      </w:r>
    </w:p>
    <w:p w14:paraId="5DE33135" w14:textId="77777777" w:rsidR="00D35D8B" w:rsidRPr="00830EDD" w:rsidRDefault="00D35D8B" w:rsidP="00A93C9D">
      <w:pPr>
        <w:pStyle w:val="ListParagraph"/>
        <w:ind w:left="360"/>
        <w:jc w:val="both"/>
        <w:rPr>
          <w:rFonts w:ascii="Cambria" w:eastAsia="Calibri" w:hAnsi="Cambria"/>
          <w:sz w:val="21"/>
          <w:szCs w:val="21"/>
          <w:lang w:val="es-ES_tradnl"/>
        </w:rPr>
      </w:pPr>
    </w:p>
    <w:p w14:paraId="4A6840D3" w14:textId="77777777" w:rsidR="00D13ED9" w:rsidRPr="00830EDD" w:rsidRDefault="003C26E2" w:rsidP="00A93C9D">
      <w:pPr>
        <w:pStyle w:val="ListParagraph"/>
        <w:numPr>
          <w:ilvl w:val="0"/>
          <w:numId w:val="2"/>
        </w:numPr>
        <w:ind w:firstLine="0"/>
        <w:jc w:val="both"/>
        <w:rPr>
          <w:rFonts w:ascii="Cambria" w:eastAsia="Calibri" w:hAnsi="Cambria"/>
          <w:b/>
          <w:sz w:val="21"/>
          <w:szCs w:val="21"/>
          <w:lang w:val="es-ES_tradnl"/>
        </w:rPr>
      </w:pPr>
      <w:r w:rsidRPr="00830EDD">
        <w:rPr>
          <w:rFonts w:ascii="Cambria" w:eastAsia="Calibri" w:hAnsi="Cambria"/>
          <w:b/>
          <w:sz w:val="21"/>
          <w:szCs w:val="21"/>
          <w:lang w:val="es-ES_tradnl"/>
        </w:rPr>
        <w:t>A</w:t>
      </w:r>
      <w:r w:rsidR="00D13ED9" w:rsidRPr="00830EDD">
        <w:rPr>
          <w:rFonts w:ascii="Cambria" w:eastAsia="Calibri" w:hAnsi="Cambria"/>
          <w:b/>
          <w:sz w:val="21"/>
          <w:szCs w:val="21"/>
          <w:lang w:val="es-ES_tradnl"/>
        </w:rPr>
        <w:t>N</w:t>
      </w:r>
      <w:r w:rsidRPr="00830EDD">
        <w:rPr>
          <w:rFonts w:ascii="Cambria" w:eastAsia="Calibri" w:hAnsi="Cambria"/>
          <w:b/>
          <w:sz w:val="21"/>
          <w:szCs w:val="21"/>
          <w:lang w:val="es-ES_tradnl"/>
        </w:rPr>
        <w:t>Á</w:t>
      </w:r>
      <w:r w:rsidR="00D13ED9" w:rsidRPr="00830EDD">
        <w:rPr>
          <w:rFonts w:ascii="Cambria" w:eastAsia="Calibri" w:hAnsi="Cambria"/>
          <w:b/>
          <w:sz w:val="21"/>
          <w:szCs w:val="21"/>
          <w:lang w:val="es-ES_tradnl"/>
        </w:rPr>
        <w:t xml:space="preserve">LISIS </w:t>
      </w:r>
      <w:r w:rsidR="00D13ED9" w:rsidRPr="00830EDD">
        <w:rPr>
          <w:rFonts w:ascii="Cambria" w:hAnsi="Cambria"/>
          <w:b/>
          <w:sz w:val="21"/>
          <w:szCs w:val="21"/>
          <w:lang w:val="es-ES_tradnl"/>
        </w:rPr>
        <w:t>DE</w:t>
      </w:r>
      <w:r w:rsidR="00D13ED9" w:rsidRPr="00830EDD">
        <w:rPr>
          <w:rFonts w:ascii="Cambria" w:eastAsia="Calibri" w:hAnsi="Cambria"/>
          <w:b/>
          <w:sz w:val="21"/>
          <w:szCs w:val="21"/>
          <w:lang w:val="es-ES_tradnl"/>
        </w:rPr>
        <w:t xml:space="preserve"> LOS ELEMENTOS DE GRAVEDAD, URGENCIA E IRREPARABILIDAD</w:t>
      </w:r>
    </w:p>
    <w:p w14:paraId="1C8BCA2D" w14:textId="77777777" w:rsidR="00D13ED9" w:rsidRPr="00830EDD" w:rsidRDefault="00D13ED9" w:rsidP="00A93C9D">
      <w:pPr>
        <w:jc w:val="both"/>
        <w:rPr>
          <w:rFonts w:ascii="Cambria" w:eastAsia="Calibri" w:hAnsi="Cambria"/>
          <w:sz w:val="21"/>
          <w:szCs w:val="21"/>
          <w:lang w:val="es-ES_tradnl"/>
        </w:rPr>
      </w:pPr>
    </w:p>
    <w:p w14:paraId="5DB294BE" w14:textId="6B59B6FE" w:rsidR="00315CC8" w:rsidRPr="00315CC8" w:rsidRDefault="00817419" w:rsidP="00315CC8">
      <w:pPr>
        <w:pStyle w:val="ListParagraph"/>
        <w:numPr>
          <w:ilvl w:val="0"/>
          <w:numId w:val="1"/>
        </w:numPr>
        <w:ind w:left="0" w:firstLine="360"/>
        <w:jc w:val="both"/>
        <w:rPr>
          <w:rFonts w:ascii="Cambria" w:hAnsi="Cambria"/>
          <w:sz w:val="21"/>
          <w:szCs w:val="21"/>
          <w:lang w:val="es-MX"/>
        </w:rPr>
      </w:pPr>
      <w:r w:rsidRPr="000E3139">
        <w:rPr>
          <w:rFonts w:ascii="Cambria" w:hAnsi="Cambria"/>
          <w:sz w:val="21"/>
          <w:szCs w:val="21"/>
          <w:lang w:val="es-MX"/>
        </w:rPr>
        <w:t xml:space="preserve">El </w:t>
      </w:r>
      <w:r w:rsidR="00315CC8" w:rsidRPr="00315CC8">
        <w:rPr>
          <w:rFonts w:ascii="Cambria" w:hAnsi="Cambria"/>
          <w:sz w:val="21"/>
          <w:szCs w:val="21"/>
          <w:lang w:val="es-MX"/>
        </w:rPr>
        <w:t>mecanismo de medidas cautelares forma parte de la función de la Comisión de supervisar el</w:t>
      </w:r>
      <w:r w:rsidR="00315CC8">
        <w:rPr>
          <w:rFonts w:ascii="Cambria" w:hAnsi="Cambria"/>
          <w:sz w:val="21"/>
          <w:szCs w:val="21"/>
          <w:lang w:val="es-MX"/>
        </w:rPr>
        <w:t xml:space="preserve"> </w:t>
      </w:r>
      <w:r w:rsidR="00315CC8" w:rsidRPr="00315CC8">
        <w:rPr>
          <w:rFonts w:ascii="Cambria" w:hAnsi="Cambria"/>
          <w:sz w:val="21"/>
          <w:szCs w:val="21"/>
          <w:lang w:val="es-MX"/>
        </w:rPr>
        <w:t>cumplimiento con las obligaciones de derechos humanos establecidas en el artículo 106 de la Carta de la</w:t>
      </w:r>
      <w:r w:rsidR="00315CC8">
        <w:rPr>
          <w:rFonts w:ascii="Cambria" w:hAnsi="Cambria"/>
          <w:sz w:val="21"/>
          <w:szCs w:val="21"/>
          <w:lang w:val="es-MX"/>
        </w:rPr>
        <w:t xml:space="preserve"> </w:t>
      </w:r>
      <w:r w:rsidR="00315CC8" w:rsidRPr="00315CC8">
        <w:rPr>
          <w:rFonts w:ascii="Cambria" w:hAnsi="Cambria"/>
          <w:sz w:val="21"/>
          <w:szCs w:val="21"/>
          <w:lang w:val="es-MX"/>
        </w:rPr>
        <w:t>Organización de Estados Americanos (“OEA”), con base en el artículo 41 (b) de la Convención Americana</w:t>
      </w:r>
      <w:r w:rsidR="00315CC8">
        <w:rPr>
          <w:rFonts w:ascii="Cambria" w:hAnsi="Cambria"/>
          <w:sz w:val="21"/>
          <w:szCs w:val="21"/>
          <w:lang w:val="es-MX"/>
        </w:rPr>
        <w:t xml:space="preserve"> </w:t>
      </w:r>
      <w:r w:rsidR="00315CC8" w:rsidRPr="00315CC8">
        <w:rPr>
          <w:rFonts w:ascii="Cambria" w:hAnsi="Cambria"/>
          <w:sz w:val="21"/>
          <w:szCs w:val="21"/>
          <w:lang w:val="es-MX"/>
        </w:rPr>
        <w:t>sobre Derechos Humanos (“Convención Americana”) y el artículo 18 (b) del Estatuto de la CIDH.</w:t>
      </w:r>
      <w:r w:rsidR="00315CC8">
        <w:rPr>
          <w:rFonts w:ascii="Cambria" w:hAnsi="Cambria"/>
          <w:sz w:val="21"/>
          <w:szCs w:val="21"/>
          <w:lang w:val="es-MX"/>
        </w:rPr>
        <w:t xml:space="preserve"> </w:t>
      </w:r>
      <w:r w:rsidR="00315CC8" w:rsidRPr="00315CC8">
        <w:rPr>
          <w:rFonts w:ascii="Cambria" w:hAnsi="Cambria"/>
          <w:sz w:val="21"/>
          <w:szCs w:val="21"/>
          <w:lang w:val="es-MX"/>
        </w:rPr>
        <w:t>Asimismo, el mecanismo de medidas cautelares se encuentra descrito en el artículo 25 del Reglamento,</w:t>
      </w:r>
      <w:r w:rsidR="00315CC8">
        <w:rPr>
          <w:rFonts w:ascii="Cambria" w:hAnsi="Cambria"/>
          <w:sz w:val="21"/>
          <w:szCs w:val="21"/>
          <w:lang w:val="es-MX"/>
        </w:rPr>
        <w:t xml:space="preserve"> </w:t>
      </w:r>
      <w:r w:rsidR="00315CC8" w:rsidRPr="00315CC8">
        <w:rPr>
          <w:rFonts w:ascii="Cambria" w:hAnsi="Cambria"/>
          <w:sz w:val="21"/>
          <w:szCs w:val="21"/>
          <w:lang w:val="es-MX"/>
        </w:rPr>
        <w:t>conforme al cual la Comisión otorga medidas cautelares en situaciones que son graves y urgentes,</w:t>
      </w:r>
      <w:r w:rsidR="00315CC8">
        <w:rPr>
          <w:rFonts w:ascii="Cambria" w:hAnsi="Cambria"/>
          <w:sz w:val="21"/>
          <w:szCs w:val="21"/>
          <w:lang w:val="es-MX"/>
        </w:rPr>
        <w:t xml:space="preserve"> </w:t>
      </w:r>
      <w:r w:rsidR="00315CC8" w:rsidRPr="00315CC8">
        <w:rPr>
          <w:rFonts w:ascii="Cambria" w:hAnsi="Cambria"/>
          <w:sz w:val="21"/>
          <w:szCs w:val="21"/>
          <w:lang w:val="es-MX"/>
        </w:rPr>
        <w:t>necesarias para prevenir un daño irreparable.</w:t>
      </w:r>
    </w:p>
    <w:p w14:paraId="2BA90C00" w14:textId="77777777" w:rsidR="00817419" w:rsidRPr="00830EDD" w:rsidRDefault="00817419" w:rsidP="00A93C9D">
      <w:pPr>
        <w:jc w:val="both"/>
        <w:rPr>
          <w:rFonts w:ascii="Cambria" w:hAnsi="Cambria"/>
          <w:sz w:val="21"/>
          <w:szCs w:val="21"/>
          <w:lang w:val="es-MX"/>
        </w:rPr>
      </w:pPr>
    </w:p>
    <w:p w14:paraId="0F3E35EB" w14:textId="77777777" w:rsidR="00817419" w:rsidRPr="00830EDD" w:rsidRDefault="00817419" w:rsidP="00A93C9D">
      <w:pPr>
        <w:pStyle w:val="ListParagraph"/>
        <w:numPr>
          <w:ilvl w:val="0"/>
          <w:numId w:val="1"/>
        </w:numPr>
        <w:ind w:left="0" w:firstLine="360"/>
        <w:jc w:val="both"/>
        <w:rPr>
          <w:rFonts w:ascii="Cambria" w:hAnsi="Cambria"/>
          <w:sz w:val="21"/>
          <w:szCs w:val="21"/>
          <w:lang w:val="es-MX"/>
        </w:rPr>
      </w:pPr>
      <w:r w:rsidRPr="00830EDD">
        <w:rPr>
          <w:rFonts w:ascii="Cambria" w:hAnsi="Cambria"/>
          <w:sz w:val="21"/>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830EDD">
        <w:rPr>
          <w:rFonts w:ascii="Cambria" w:hAnsi="Cambria"/>
          <w:i/>
          <w:sz w:val="21"/>
          <w:szCs w:val="21"/>
          <w:lang w:val="es-MX"/>
        </w:rPr>
        <w:t>effet utile</w:t>
      </w:r>
      <w:r w:rsidRPr="00830EDD">
        <w:rPr>
          <w:rFonts w:ascii="Cambria" w:hAnsi="Cambria"/>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14:paraId="60A72AA5" w14:textId="77777777" w:rsidR="00817419" w:rsidRPr="00830EDD" w:rsidRDefault="00817419" w:rsidP="00A93C9D">
      <w:pPr>
        <w:ind w:left="360"/>
        <w:jc w:val="both"/>
        <w:rPr>
          <w:rFonts w:ascii="Cambria" w:hAnsi="Cambria"/>
          <w:sz w:val="21"/>
          <w:szCs w:val="21"/>
          <w:lang w:val="es-MX"/>
        </w:rPr>
      </w:pPr>
    </w:p>
    <w:p w14:paraId="081BF794" w14:textId="77777777" w:rsidR="00817419" w:rsidRPr="00830EDD" w:rsidRDefault="00817419" w:rsidP="00A93C9D">
      <w:pPr>
        <w:numPr>
          <w:ilvl w:val="0"/>
          <w:numId w:val="8"/>
        </w:numPr>
        <w:ind w:right="713"/>
        <w:jc w:val="both"/>
        <w:rPr>
          <w:rFonts w:ascii="Cambria" w:hAnsi="Cambria"/>
          <w:sz w:val="18"/>
          <w:szCs w:val="21"/>
          <w:lang w:val="es-MX"/>
        </w:rPr>
      </w:pPr>
      <w:r w:rsidRPr="00830EDD">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14:paraId="33F59101" w14:textId="77777777" w:rsidR="00817419" w:rsidRPr="00830EDD" w:rsidRDefault="00817419" w:rsidP="00A93C9D">
      <w:pPr>
        <w:ind w:right="713"/>
        <w:jc w:val="both"/>
        <w:rPr>
          <w:rFonts w:ascii="Cambria" w:hAnsi="Cambria"/>
          <w:sz w:val="18"/>
          <w:szCs w:val="21"/>
          <w:lang w:val="es-MX"/>
        </w:rPr>
      </w:pPr>
    </w:p>
    <w:p w14:paraId="6EC89B97" w14:textId="77777777" w:rsidR="00817419" w:rsidRPr="00830EDD" w:rsidRDefault="00817419" w:rsidP="00A93C9D">
      <w:pPr>
        <w:numPr>
          <w:ilvl w:val="0"/>
          <w:numId w:val="8"/>
        </w:numPr>
        <w:ind w:right="713"/>
        <w:jc w:val="both"/>
        <w:rPr>
          <w:rFonts w:ascii="Cambria" w:hAnsi="Cambria"/>
          <w:sz w:val="18"/>
          <w:szCs w:val="21"/>
          <w:lang w:val="es-MX"/>
        </w:rPr>
      </w:pPr>
      <w:r w:rsidRPr="00830EDD">
        <w:rPr>
          <w:rFonts w:ascii="Cambria" w:hAnsi="Cambria"/>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14:paraId="2105F3F5" w14:textId="77777777" w:rsidR="00817419" w:rsidRPr="00830EDD" w:rsidRDefault="00817419" w:rsidP="00A93C9D">
      <w:pPr>
        <w:ind w:right="713"/>
        <w:jc w:val="both"/>
        <w:rPr>
          <w:rFonts w:ascii="Cambria" w:hAnsi="Cambria"/>
          <w:sz w:val="18"/>
          <w:szCs w:val="21"/>
          <w:lang w:val="es-MX"/>
        </w:rPr>
      </w:pPr>
    </w:p>
    <w:p w14:paraId="7C6CBA78" w14:textId="77777777" w:rsidR="00817419" w:rsidRPr="00830EDD" w:rsidRDefault="00817419" w:rsidP="00A93C9D">
      <w:pPr>
        <w:numPr>
          <w:ilvl w:val="0"/>
          <w:numId w:val="8"/>
        </w:numPr>
        <w:ind w:right="713"/>
        <w:jc w:val="both"/>
        <w:rPr>
          <w:rFonts w:ascii="Cambria" w:hAnsi="Cambria"/>
          <w:sz w:val="18"/>
          <w:szCs w:val="21"/>
          <w:lang w:val="es-MX"/>
        </w:rPr>
      </w:pPr>
      <w:r w:rsidRPr="00830EDD">
        <w:rPr>
          <w:rFonts w:ascii="Cambria" w:hAnsi="Cambria"/>
          <w:sz w:val="18"/>
          <w:szCs w:val="21"/>
          <w:lang w:val="es-MX"/>
        </w:rPr>
        <w:t>El “daño irreparable” consiste en la afectación sobre derechos que, por su propia naturaleza, no son susceptibles de reparación, restauración o adecuada indemnización.</w:t>
      </w:r>
    </w:p>
    <w:p w14:paraId="723A7DD5" w14:textId="77777777" w:rsidR="00817419" w:rsidRPr="00830EDD" w:rsidRDefault="00817419" w:rsidP="00A93C9D">
      <w:pPr>
        <w:jc w:val="both"/>
        <w:rPr>
          <w:rFonts w:ascii="Cambria" w:hAnsi="Cambria"/>
          <w:sz w:val="21"/>
          <w:szCs w:val="21"/>
          <w:lang w:val="es-MX"/>
        </w:rPr>
      </w:pPr>
    </w:p>
    <w:p w14:paraId="6A31D8BD" w14:textId="77777777" w:rsidR="00275904" w:rsidRPr="00275904" w:rsidRDefault="00817419" w:rsidP="00A93C9D">
      <w:pPr>
        <w:pStyle w:val="ListParagraph"/>
        <w:numPr>
          <w:ilvl w:val="0"/>
          <w:numId w:val="1"/>
        </w:numPr>
        <w:ind w:left="0" w:firstLine="360"/>
        <w:jc w:val="both"/>
        <w:rPr>
          <w:rFonts w:ascii="Cambria" w:eastAsia="Calibri" w:hAnsi="Cambria"/>
          <w:sz w:val="21"/>
          <w:szCs w:val="21"/>
          <w:lang w:val="es-ES_tradnl"/>
        </w:rPr>
      </w:pPr>
      <w:r w:rsidRPr="00830EDD">
        <w:rPr>
          <w:rFonts w:ascii="Cambria" w:hAnsi="Cambria"/>
          <w:sz w:val="21"/>
          <w:szCs w:val="21"/>
          <w:lang w:val="es-MX"/>
        </w:rPr>
        <w:t xml:space="preserve">En el análisis de los mencionados requisitos, la Comisión reitera que los hechos que motivan una solicitud de medidas de cautelares no requieren estar plenamente comprobados, sino que la información proporcionada debe ser apreciada desde una perspectiva </w:t>
      </w:r>
      <w:r w:rsidRPr="00830EDD">
        <w:rPr>
          <w:rFonts w:ascii="Cambria" w:hAnsi="Cambria"/>
          <w:i/>
          <w:sz w:val="21"/>
          <w:szCs w:val="21"/>
          <w:lang w:val="es-MX"/>
        </w:rPr>
        <w:t>prima facie</w:t>
      </w:r>
      <w:r w:rsidRPr="00830EDD">
        <w:rPr>
          <w:rFonts w:ascii="Cambria" w:hAnsi="Cambria"/>
          <w:sz w:val="21"/>
          <w:szCs w:val="21"/>
          <w:lang w:val="es-MX"/>
        </w:rPr>
        <w:t xml:space="preserve"> que permita identificar una situación de gravedad y urgencia</w:t>
      </w:r>
      <w:r w:rsidRPr="00830EDD">
        <w:rPr>
          <w:rFonts w:ascii="Cambria" w:hAnsi="Cambria"/>
          <w:sz w:val="21"/>
          <w:szCs w:val="21"/>
          <w:vertAlign w:val="superscript"/>
        </w:rPr>
        <w:footnoteReference w:id="7"/>
      </w:r>
      <w:r w:rsidRPr="00830EDD">
        <w:rPr>
          <w:rFonts w:ascii="Cambria" w:hAnsi="Cambria"/>
          <w:sz w:val="21"/>
          <w:szCs w:val="21"/>
          <w:lang w:val="es-MX"/>
        </w:rPr>
        <w:t>.</w:t>
      </w:r>
      <w:r w:rsidR="00794E2F" w:rsidRPr="00830EDD">
        <w:rPr>
          <w:rFonts w:ascii="Cambria" w:hAnsi="Cambria"/>
          <w:sz w:val="21"/>
          <w:szCs w:val="21"/>
          <w:lang w:val="es-MX"/>
        </w:rPr>
        <w:t xml:space="preserve"> </w:t>
      </w:r>
    </w:p>
    <w:p w14:paraId="2ACAD2F4" w14:textId="77777777" w:rsidR="00990819" w:rsidRDefault="00990819" w:rsidP="00A93C9D">
      <w:pPr>
        <w:pStyle w:val="ListParagraph"/>
        <w:ind w:left="360"/>
        <w:jc w:val="both"/>
        <w:rPr>
          <w:rFonts w:ascii="Cambria" w:eastAsia="Calibri" w:hAnsi="Cambria"/>
          <w:sz w:val="21"/>
          <w:szCs w:val="21"/>
          <w:lang w:val="es-ES_tradnl"/>
        </w:rPr>
      </w:pPr>
    </w:p>
    <w:p w14:paraId="05AC26CE" w14:textId="4BE73071" w:rsidR="00B94EC2" w:rsidRPr="004D367B" w:rsidRDefault="00D425FF" w:rsidP="00A93C9D">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Como punto preliminar, l</w:t>
      </w:r>
      <w:r w:rsidR="00275904" w:rsidRPr="00275904">
        <w:rPr>
          <w:rFonts w:ascii="Cambria" w:eastAsia="Calibri" w:hAnsi="Cambria"/>
          <w:sz w:val="21"/>
          <w:szCs w:val="21"/>
          <w:lang w:val="es-ES_tradnl"/>
        </w:rPr>
        <w:t>a Comisión considera pertinente aclarar que no est</w:t>
      </w:r>
      <w:r w:rsidR="00275904">
        <w:rPr>
          <w:rFonts w:ascii="Cambria" w:eastAsia="Calibri" w:hAnsi="Cambria"/>
          <w:sz w:val="21"/>
          <w:szCs w:val="21"/>
          <w:lang w:val="es-ES_tradnl"/>
        </w:rPr>
        <w:t xml:space="preserve">á llamada a pronunciarse, por vía del mecanismo de medidas cautelares, </w:t>
      </w:r>
      <w:r w:rsidR="003640D6">
        <w:rPr>
          <w:rFonts w:ascii="Cambria" w:eastAsia="Calibri" w:hAnsi="Cambria"/>
          <w:sz w:val="21"/>
          <w:szCs w:val="21"/>
          <w:lang w:val="es-ES_tradnl"/>
        </w:rPr>
        <w:t>sobre la compatibilidad de las decisiones judiciales o del</w:t>
      </w:r>
      <w:r w:rsidR="00275904">
        <w:rPr>
          <w:rFonts w:ascii="Cambria" w:eastAsia="Calibri" w:hAnsi="Cambria"/>
          <w:sz w:val="21"/>
          <w:szCs w:val="21"/>
          <w:lang w:val="es-ES_tradnl"/>
        </w:rPr>
        <w:t xml:space="preserve"> procedimiento de reconocimiento de la comunidad a la luz de la Convención</w:t>
      </w:r>
      <w:r w:rsidR="004D367B">
        <w:rPr>
          <w:rFonts w:ascii="Cambria" w:eastAsia="Calibri" w:hAnsi="Cambria"/>
          <w:sz w:val="21"/>
          <w:szCs w:val="21"/>
          <w:lang w:val="es-ES_tradnl"/>
        </w:rPr>
        <w:t xml:space="preserve"> Americana. </w:t>
      </w:r>
      <w:r w:rsidR="00275904" w:rsidRPr="004D367B">
        <w:rPr>
          <w:rFonts w:ascii="Cambria" w:eastAsia="Calibri" w:hAnsi="Cambria"/>
          <w:sz w:val="21"/>
          <w:szCs w:val="21"/>
          <w:lang w:val="es-ES_tradnl"/>
        </w:rPr>
        <w:lastRenderedPageBreak/>
        <w:t xml:space="preserve">Los cuestionamientos en torno a dicho procedimiento, por su propia naturaleza, requieren de determinaciones de fondo que serían propias de ser analizadas en una petición o caso. </w:t>
      </w:r>
      <w:r w:rsidR="004D367B">
        <w:rPr>
          <w:rFonts w:ascii="Cambria" w:eastAsia="Calibri" w:hAnsi="Cambria"/>
          <w:sz w:val="21"/>
          <w:szCs w:val="21"/>
          <w:lang w:val="es-ES_tradnl"/>
        </w:rPr>
        <w:t xml:space="preserve">Tampoco, </w:t>
      </w:r>
      <w:r>
        <w:rPr>
          <w:rFonts w:ascii="Cambria" w:eastAsia="Calibri" w:hAnsi="Cambria"/>
          <w:sz w:val="21"/>
          <w:szCs w:val="21"/>
          <w:lang w:val="es-ES_tradnl"/>
        </w:rPr>
        <w:t xml:space="preserve">le </w:t>
      </w:r>
      <w:r w:rsidR="004D367B">
        <w:rPr>
          <w:rFonts w:ascii="Cambria" w:eastAsia="Calibri" w:hAnsi="Cambria"/>
          <w:sz w:val="21"/>
          <w:szCs w:val="21"/>
          <w:lang w:val="es-ES_tradnl"/>
        </w:rPr>
        <w:t xml:space="preserve">corresponde determinar </w:t>
      </w:r>
      <w:r>
        <w:rPr>
          <w:rFonts w:ascii="Cambria" w:eastAsia="Calibri" w:hAnsi="Cambria"/>
          <w:sz w:val="21"/>
          <w:szCs w:val="21"/>
          <w:lang w:val="es-ES_tradnl"/>
        </w:rPr>
        <w:t xml:space="preserve">las eventuales </w:t>
      </w:r>
      <w:r w:rsidR="004D367B">
        <w:rPr>
          <w:rFonts w:ascii="Cambria" w:eastAsia="Calibri" w:hAnsi="Cambria"/>
          <w:sz w:val="21"/>
          <w:szCs w:val="21"/>
          <w:lang w:val="es-ES_tradnl"/>
        </w:rPr>
        <w:t xml:space="preserve">responsabilidades penales de las personas propuestas </w:t>
      </w:r>
      <w:r>
        <w:rPr>
          <w:rFonts w:ascii="Cambria" w:eastAsia="Calibri" w:hAnsi="Cambria"/>
          <w:sz w:val="21"/>
          <w:szCs w:val="21"/>
          <w:lang w:val="es-ES_tradnl"/>
        </w:rPr>
        <w:t xml:space="preserve">como </w:t>
      </w:r>
      <w:r w:rsidR="004D367B">
        <w:rPr>
          <w:rFonts w:ascii="Cambria" w:eastAsia="Calibri" w:hAnsi="Cambria"/>
          <w:sz w:val="21"/>
          <w:szCs w:val="21"/>
          <w:lang w:val="es-ES_tradnl"/>
        </w:rPr>
        <w:t xml:space="preserve">beneficiarias o de </w:t>
      </w:r>
      <w:r>
        <w:rPr>
          <w:rFonts w:ascii="Cambria" w:eastAsia="Calibri" w:hAnsi="Cambria"/>
          <w:sz w:val="21"/>
          <w:szCs w:val="21"/>
          <w:lang w:val="es-ES_tradnl"/>
        </w:rPr>
        <w:t>aquellos</w:t>
      </w:r>
      <w:r w:rsidR="004D367B">
        <w:rPr>
          <w:rFonts w:ascii="Cambria" w:eastAsia="Calibri" w:hAnsi="Cambria"/>
          <w:sz w:val="21"/>
          <w:szCs w:val="21"/>
          <w:lang w:val="es-ES_tradnl"/>
        </w:rPr>
        <w:t xml:space="preserve"> </w:t>
      </w:r>
      <w:r>
        <w:rPr>
          <w:rFonts w:ascii="Cambria" w:eastAsia="Calibri" w:hAnsi="Cambria"/>
          <w:sz w:val="21"/>
          <w:szCs w:val="21"/>
          <w:lang w:val="es-ES_tradnl"/>
        </w:rPr>
        <w:t xml:space="preserve">presuntamente </w:t>
      </w:r>
      <w:r w:rsidR="004D367B">
        <w:rPr>
          <w:rFonts w:ascii="Cambria" w:eastAsia="Calibri" w:hAnsi="Cambria"/>
          <w:sz w:val="21"/>
          <w:szCs w:val="21"/>
          <w:lang w:val="es-ES_tradnl"/>
        </w:rPr>
        <w:t>involucrad</w:t>
      </w:r>
      <w:r>
        <w:rPr>
          <w:rFonts w:ascii="Cambria" w:eastAsia="Calibri" w:hAnsi="Cambria"/>
          <w:sz w:val="21"/>
          <w:szCs w:val="21"/>
          <w:lang w:val="es-ES_tradnl"/>
        </w:rPr>
        <w:t>o</w:t>
      </w:r>
      <w:r w:rsidR="004D367B">
        <w:rPr>
          <w:rFonts w:ascii="Cambria" w:eastAsia="Calibri" w:hAnsi="Cambria"/>
          <w:sz w:val="21"/>
          <w:szCs w:val="21"/>
          <w:lang w:val="es-ES_tradnl"/>
        </w:rPr>
        <w:t xml:space="preserve">s en los eventos de riesgo. </w:t>
      </w:r>
      <w:r w:rsidR="00C83A34" w:rsidRPr="004D367B">
        <w:rPr>
          <w:rFonts w:ascii="Cambria" w:eastAsia="Calibri" w:hAnsi="Cambria"/>
          <w:sz w:val="21"/>
          <w:szCs w:val="21"/>
          <w:lang w:val="es-ES_tradnl"/>
        </w:rPr>
        <w:t>Por lo anterior, el análisis que la Comisión efectúa a continuación se relaciona exclusivamente con los requisitos de gravedad, urgencia y riesgo de daño irreparable establecidos en el artículo 25 de su Reglamento, los cuales pueden resolver</w:t>
      </w:r>
      <w:r w:rsidR="00281D43">
        <w:rPr>
          <w:rFonts w:ascii="Cambria" w:eastAsia="Calibri" w:hAnsi="Cambria"/>
          <w:sz w:val="21"/>
          <w:szCs w:val="21"/>
          <w:lang w:val="es-ES_tradnl"/>
        </w:rPr>
        <w:t>se</w:t>
      </w:r>
      <w:r w:rsidR="00C83A34" w:rsidRPr="004D367B">
        <w:rPr>
          <w:rFonts w:ascii="Cambria" w:eastAsia="Calibri" w:hAnsi="Cambria"/>
          <w:sz w:val="21"/>
          <w:szCs w:val="21"/>
          <w:lang w:val="es-ES_tradnl"/>
        </w:rPr>
        <w:t xml:space="preserve"> sin </w:t>
      </w:r>
      <w:r w:rsidR="00281D43">
        <w:rPr>
          <w:rFonts w:ascii="Cambria" w:eastAsia="Calibri" w:hAnsi="Cambria"/>
          <w:sz w:val="21"/>
          <w:szCs w:val="21"/>
          <w:lang w:val="es-ES_tradnl"/>
        </w:rPr>
        <w:t>entrar</w:t>
      </w:r>
      <w:r w:rsidR="00281D43" w:rsidRPr="004D367B">
        <w:rPr>
          <w:rFonts w:ascii="Cambria" w:eastAsia="Calibri" w:hAnsi="Cambria"/>
          <w:sz w:val="21"/>
          <w:szCs w:val="21"/>
          <w:lang w:val="es-ES_tradnl"/>
        </w:rPr>
        <w:t xml:space="preserve"> </w:t>
      </w:r>
      <w:r w:rsidR="00281D43">
        <w:rPr>
          <w:rFonts w:ascii="Cambria" w:eastAsia="Calibri" w:hAnsi="Cambria"/>
          <w:sz w:val="21"/>
          <w:szCs w:val="21"/>
          <w:lang w:val="es-ES_tradnl"/>
        </w:rPr>
        <w:t>en</w:t>
      </w:r>
      <w:r w:rsidR="00281D43" w:rsidRPr="004D367B">
        <w:rPr>
          <w:rFonts w:ascii="Cambria" w:eastAsia="Calibri" w:hAnsi="Cambria"/>
          <w:sz w:val="21"/>
          <w:szCs w:val="21"/>
          <w:lang w:val="es-ES_tradnl"/>
        </w:rPr>
        <w:t xml:space="preserve"> </w:t>
      </w:r>
      <w:r w:rsidR="00C83A34" w:rsidRPr="004D367B">
        <w:rPr>
          <w:rFonts w:ascii="Cambria" w:eastAsia="Calibri" w:hAnsi="Cambria"/>
          <w:sz w:val="21"/>
          <w:szCs w:val="21"/>
          <w:lang w:val="es-ES_tradnl"/>
        </w:rPr>
        <w:t xml:space="preserve">determinaciones de fondo. </w:t>
      </w:r>
    </w:p>
    <w:p w14:paraId="3F82D0E0" w14:textId="77777777" w:rsidR="00C83A34" w:rsidRDefault="00C83A34" w:rsidP="00A93C9D">
      <w:pPr>
        <w:pStyle w:val="ListParagraph"/>
        <w:ind w:left="360"/>
        <w:jc w:val="both"/>
        <w:rPr>
          <w:rFonts w:ascii="Cambria" w:eastAsia="Calibri" w:hAnsi="Cambria"/>
          <w:sz w:val="21"/>
          <w:szCs w:val="21"/>
          <w:lang w:val="es-ES_tradnl"/>
        </w:rPr>
      </w:pPr>
    </w:p>
    <w:p w14:paraId="4074C0EA" w14:textId="54C8D291" w:rsidR="00FB7903" w:rsidRPr="006C1010" w:rsidRDefault="00281D43" w:rsidP="00A93C9D">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 xml:space="preserve">En relación con el requisito de gravedad, </w:t>
      </w:r>
      <w:r w:rsidR="00BC23F2">
        <w:rPr>
          <w:rFonts w:ascii="Cambria" w:eastAsia="Calibri" w:hAnsi="Cambria"/>
          <w:sz w:val="21"/>
          <w:szCs w:val="21"/>
          <w:lang w:val="es-ES_tradnl"/>
        </w:rPr>
        <w:t xml:space="preserve">la Comisión </w:t>
      </w:r>
      <w:r w:rsidR="003C2C67">
        <w:rPr>
          <w:rFonts w:ascii="Cambria" w:eastAsia="Calibri" w:hAnsi="Cambria"/>
          <w:sz w:val="21"/>
          <w:szCs w:val="21"/>
          <w:lang w:val="es-ES_tradnl"/>
        </w:rPr>
        <w:t xml:space="preserve">recuerda </w:t>
      </w:r>
      <w:r>
        <w:rPr>
          <w:rFonts w:ascii="Cambria" w:eastAsia="Calibri" w:hAnsi="Cambria"/>
          <w:sz w:val="21"/>
          <w:szCs w:val="21"/>
          <w:lang w:val="es-ES_tradnl"/>
        </w:rPr>
        <w:t xml:space="preserve">como elemento contextual </w:t>
      </w:r>
      <w:r w:rsidR="003C2C67">
        <w:rPr>
          <w:rFonts w:ascii="Cambria" w:eastAsia="Calibri" w:hAnsi="Cambria"/>
          <w:sz w:val="21"/>
          <w:szCs w:val="21"/>
          <w:lang w:val="es-ES_tradnl"/>
        </w:rPr>
        <w:t xml:space="preserve">que los pueblos indígenas tienen derecho a tener certeza jurídica sobre la propiedad de sus tierras, y que </w:t>
      </w:r>
      <w:r>
        <w:rPr>
          <w:rFonts w:ascii="Cambria" w:eastAsia="Calibri" w:hAnsi="Cambria"/>
          <w:sz w:val="21"/>
          <w:szCs w:val="21"/>
          <w:lang w:val="es-ES_tradnl"/>
        </w:rPr>
        <w:t xml:space="preserve">dicha </w:t>
      </w:r>
      <w:r w:rsidR="003C2C67">
        <w:rPr>
          <w:rFonts w:ascii="Cambria" w:eastAsia="Calibri" w:hAnsi="Cambria"/>
          <w:sz w:val="21"/>
          <w:szCs w:val="21"/>
          <w:lang w:val="es-ES_tradnl"/>
        </w:rPr>
        <w:t xml:space="preserve">inseguridad los </w:t>
      </w:r>
      <w:r>
        <w:rPr>
          <w:rFonts w:ascii="Cambria" w:eastAsia="Calibri" w:hAnsi="Cambria"/>
          <w:sz w:val="21"/>
          <w:szCs w:val="21"/>
          <w:lang w:val="es-ES_tradnl"/>
        </w:rPr>
        <w:t xml:space="preserve">vuelve </w:t>
      </w:r>
      <w:r w:rsidR="003C2C67">
        <w:rPr>
          <w:rFonts w:ascii="Cambria" w:eastAsia="Calibri" w:hAnsi="Cambria"/>
          <w:sz w:val="21"/>
          <w:szCs w:val="21"/>
          <w:lang w:val="es-ES_tradnl"/>
        </w:rPr>
        <w:t xml:space="preserve">particularmente vulnerables y proclives a </w:t>
      </w:r>
      <w:r>
        <w:rPr>
          <w:rFonts w:ascii="Cambria" w:eastAsia="Calibri" w:hAnsi="Cambria"/>
          <w:sz w:val="21"/>
          <w:szCs w:val="21"/>
          <w:lang w:val="es-ES_tradnl"/>
        </w:rPr>
        <w:t xml:space="preserve">enfrentarse a situaciones </w:t>
      </w:r>
      <w:r w:rsidR="003C2C67">
        <w:rPr>
          <w:rFonts w:ascii="Cambria" w:eastAsia="Calibri" w:hAnsi="Cambria"/>
          <w:sz w:val="21"/>
          <w:szCs w:val="21"/>
          <w:lang w:val="es-ES_tradnl"/>
        </w:rPr>
        <w:t>conflict</w:t>
      </w:r>
      <w:r w:rsidR="00FF1EAF">
        <w:rPr>
          <w:rFonts w:ascii="Cambria" w:eastAsia="Calibri" w:hAnsi="Cambria"/>
          <w:sz w:val="21"/>
          <w:szCs w:val="21"/>
          <w:lang w:val="es-ES_tradnl"/>
        </w:rPr>
        <w:t>iv</w:t>
      </w:r>
      <w:r>
        <w:rPr>
          <w:rFonts w:ascii="Cambria" w:eastAsia="Calibri" w:hAnsi="Cambria"/>
          <w:sz w:val="21"/>
          <w:szCs w:val="21"/>
          <w:lang w:val="es-ES_tradnl"/>
        </w:rPr>
        <w:t>a</w:t>
      </w:r>
      <w:r w:rsidR="003C2C67">
        <w:rPr>
          <w:rFonts w:ascii="Cambria" w:eastAsia="Calibri" w:hAnsi="Cambria"/>
          <w:sz w:val="21"/>
          <w:szCs w:val="21"/>
          <w:lang w:val="es-ES_tradnl"/>
        </w:rPr>
        <w:t>s</w:t>
      </w:r>
      <w:r w:rsidR="003C2C67">
        <w:rPr>
          <w:rStyle w:val="FootnoteReference"/>
          <w:rFonts w:ascii="Cambria" w:eastAsia="Calibri" w:hAnsi="Cambria"/>
          <w:sz w:val="21"/>
          <w:szCs w:val="21"/>
          <w:lang w:val="es-ES_tradnl"/>
        </w:rPr>
        <w:footnoteReference w:id="8"/>
      </w:r>
      <w:r w:rsidR="003C2C67">
        <w:rPr>
          <w:rFonts w:ascii="Cambria" w:eastAsia="Calibri" w:hAnsi="Cambria"/>
          <w:sz w:val="21"/>
          <w:szCs w:val="21"/>
          <w:lang w:val="es-ES_tradnl"/>
        </w:rPr>
        <w:t xml:space="preserve">. </w:t>
      </w:r>
      <w:r>
        <w:rPr>
          <w:rFonts w:ascii="Cambria" w:eastAsia="Calibri" w:hAnsi="Cambria"/>
          <w:sz w:val="21"/>
          <w:szCs w:val="21"/>
          <w:lang w:val="es-ES_tradnl"/>
        </w:rPr>
        <w:t xml:space="preserve">Algunos </w:t>
      </w:r>
      <w:r w:rsidRPr="00CB24CB">
        <w:rPr>
          <w:rFonts w:ascii="Cambria" w:eastAsia="Calibri" w:hAnsi="Cambria"/>
          <w:sz w:val="21"/>
          <w:szCs w:val="21"/>
          <w:lang w:val="es-ES_tradnl"/>
        </w:rPr>
        <w:t xml:space="preserve">de </w:t>
      </w:r>
      <w:r w:rsidR="003C2C67" w:rsidRPr="00CB24CB">
        <w:rPr>
          <w:rFonts w:ascii="Cambria" w:eastAsia="Calibri" w:hAnsi="Cambria"/>
          <w:sz w:val="21"/>
          <w:szCs w:val="21"/>
          <w:lang w:val="es-ES_tradnl"/>
        </w:rPr>
        <w:t xml:space="preserve">los factores </w:t>
      </w:r>
      <w:r w:rsidRPr="00CB24CB">
        <w:rPr>
          <w:rFonts w:ascii="Cambria" w:eastAsia="Calibri" w:hAnsi="Cambria"/>
          <w:sz w:val="21"/>
          <w:szCs w:val="21"/>
          <w:lang w:val="es-ES_tradnl"/>
        </w:rPr>
        <w:t>identificados como posibles fuentes de riesgo consisten en</w:t>
      </w:r>
      <w:r w:rsidR="003C2C67" w:rsidRPr="00CB24CB">
        <w:rPr>
          <w:rFonts w:ascii="Cambria" w:eastAsia="Calibri" w:hAnsi="Cambria"/>
          <w:sz w:val="21"/>
          <w:szCs w:val="21"/>
          <w:lang w:val="es-ES_tradnl"/>
        </w:rPr>
        <w:t>: la posesión de títulos de propiedad no reconocidos por el derecho común</w:t>
      </w:r>
      <w:r w:rsidRPr="00CB24CB">
        <w:rPr>
          <w:rFonts w:ascii="Cambria" w:eastAsia="Calibri" w:hAnsi="Cambria"/>
          <w:sz w:val="21"/>
          <w:szCs w:val="21"/>
          <w:lang w:val="es-ES_tradnl"/>
        </w:rPr>
        <w:t>,</w:t>
      </w:r>
      <w:r w:rsidR="003C2C67" w:rsidRPr="00CB24CB">
        <w:rPr>
          <w:rFonts w:ascii="Cambria" w:eastAsia="Calibri" w:hAnsi="Cambria"/>
          <w:sz w:val="21"/>
          <w:szCs w:val="21"/>
          <w:lang w:val="es-ES_tradnl"/>
        </w:rPr>
        <w:t xml:space="preserve"> </w:t>
      </w:r>
      <w:r w:rsidRPr="00CB24CB">
        <w:rPr>
          <w:rFonts w:ascii="Cambria" w:eastAsia="Calibri" w:hAnsi="Cambria"/>
          <w:sz w:val="21"/>
          <w:szCs w:val="21"/>
          <w:lang w:val="es-ES_tradnl"/>
        </w:rPr>
        <w:t xml:space="preserve">la existencia </w:t>
      </w:r>
      <w:r w:rsidR="003C2C67" w:rsidRPr="00CB24CB">
        <w:rPr>
          <w:rFonts w:ascii="Cambria" w:eastAsia="Calibri" w:hAnsi="Cambria"/>
          <w:sz w:val="21"/>
          <w:szCs w:val="21"/>
          <w:lang w:val="es-ES_tradnl"/>
        </w:rPr>
        <w:t>títulos de propiedad que están en conflicto con otros títulos</w:t>
      </w:r>
      <w:r w:rsidRPr="00CB24CB">
        <w:rPr>
          <w:rFonts w:ascii="Cambria" w:eastAsia="Calibri" w:hAnsi="Cambria"/>
          <w:sz w:val="21"/>
          <w:szCs w:val="21"/>
          <w:lang w:val="es-ES_tradnl"/>
        </w:rPr>
        <w:t>,</w:t>
      </w:r>
      <w:r w:rsidR="003C2C67" w:rsidRPr="00CB24CB">
        <w:rPr>
          <w:rFonts w:ascii="Cambria" w:eastAsia="Calibri" w:hAnsi="Cambria"/>
          <w:sz w:val="21"/>
          <w:szCs w:val="21"/>
          <w:lang w:val="es-ES_tradnl"/>
        </w:rPr>
        <w:t xml:space="preserve"> títulos que no están registrados plenamente o títulos que no están reconocidos</w:t>
      </w:r>
      <w:r w:rsidR="00FB7903" w:rsidRPr="00CB24CB">
        <w:rPr>
          <w:rStyle w:val="FootnoteReference"/>
          <w:rFonts w:ascii="Cambria" w:eastAsia="Calibri" w:hAnsi="Cambria"/>
          <w:sz w:val="21"/>
          <w:szCs w:val="21"/>
          <w:lang w:val="es-ES_tradnl"/>
        </w:rPr>
        <w:footnoteReference w:id="9"/>
      </w:r>
      <w:r w:rsidR="003C2C67" w:rsidRPr="00CB24CB">
        <w:rPr>
          <w:rFonts w:ascii="Cambria" w:eastAsia="Calibri" w:hAnsi="Cambria"/>
          <w:sz w:val="21"/>
          <w:szCs w:val="21"/>
          <w:lang w:val="es-ES_tradnl"/>
        </w:rPr>
        <w:t>.</w:t>
      </w:r>
      <w:r w:rsidR="006109FE">
        <w:rPr>
          <w:rFonts w:ascii="Cambria" w:eastAsia="Calibri" w:hAnsi="Cambria"/>
          <w:sz w:val="21"/>
          <w:szCs w:val="21"/>
          <w:lang w:val="es-ES_tradnl"/>
        </w:rPr>
        <w:t xml:space="preserve"> </w:t>
      </w:r>
      <w:r w:rsidR="00BC53C2">
        <w:rPr>
          <w:rFonts w:ascii="Cambria" w:eastAsia="Calibri" w:hAnsi="Cambria"/>
          <w:sz w:val="21"/>
          <w:szCs w:val="21"/>
          <w:lang w:val="es-ES_tradnl"/>
        </w:rPr>
        <w:t xml:space="preserve">En </w:t>
      </w:r>
      <w:r w:rsidR="006C1010">
        <w:rPr>
          <w:rFonts w:ascii="Cambria" w:eastAsia="Calibri" w:hAnsi="Cambria"/>
          <w:sz w:val="21"/>
          <w:szCs w:val="21"/>
          <w:lang w:val="es-ES_tradnl"/>
        </w:rPr>
        <w:t>medidas cautelares previamente otorgadas</w:t>
      </w:r>
      <w:r w:rsidR="00BC53C2">
        <w:rPr>
          <w:rFonts w:ascii="Cambria" w:eastAsia="Calibri" w:hAnsi="Cambria"/>
          <w:sz w:val="21"/>
          <w:szCs w:val="21"/>
          <w:lang w:val="es-ES_tradnl"/>
        </w:rPr>
        <w:t xml:space="preserve"> enmarcad</w:t>
      </w:r>
      <w:r w:rsidR="006109FE">
        <w:rPr>
          <w:rFonts w:ascii="Cambria" w:eastAsia="Calibri" w:hAnsi="Cambria"/>
          <w:sz w:val="21"/>
          <w:szCs w:val="21"/>
          <w:lang w:val="es-ES_tradnl"/>
        </w:rPr>
        <w:t>a</w:t>
      </w:r>
      <w:r w:rsidR="00BC53C2">
        <w:rPr>
          <w:rFonts w:ascii="Cambria" w:eastAsia="Calibri" w:hAnsi="Cambria"/>
          <w:sz w:val="21"/>
          <w:szCs w:val="21"/>
          <w:lang w:val="es-ES_tradnl"/>
        </w:rPr>
        <w:t>s en contexto</w:t>
      </w:r>
      <w:r w:rsidR="006109FE">
        <w:rPr>
          <w:rFonts w:ascii="Cambria" w:eastAsia="Calibri" w:hAnsi="Cambria"/>
          <w:sz w:val="21"/>
          <w:szCs w:val="21"/>
          <w:lang w:val="es-ES_tradnl"/>
        </w:rPr>
        <w:t>s similares</w:t>
      </w:r>
      <w:r w:rsidR="00BC53C2">
        <w:rPr>
          <w:rFonts w:ascii="Cambria" w:eastAsia="Calibri" w:hAnsi="Cambria"/>
          <w:sz w:val="21"/>
          <w:szCs w:val="21"/>
          <w:lang w:val="es-ES_tradnl"/>
        </w:rPr>
        <w:t xml:space="preserve">, la Comisión </w:t>
      </w:r>
      <w:r w:rsidR="00E72409">
        <w:rPr>
          <w:rFonts w:ascii="Cambria" w:eastAsia="Calibri" w:hAnsi="Cambria"/>
          <w:sz w:val="21"/>
          <w:szCs w:val="21"/>
          <w:lang w:val="es-ES_tradnl"/>
        </w:rPr>
        <w:t xml:space="preserve">ha </w:t>
      </w:r>
      <w:r w:rsidR="00172C34">
        <w:rPr>
          <w:rFonts w:ascii="Cambria" w:eastAsia="Calibri" w:hAnsi="Cambria"/>
          <w:sz w:val="21"/>
          <w:szCs w:val="21"/>
          <w:lang w:val="es-ES_tradnl"/>
        </w:rPr>
        <w:t>considerado tales elementos</w:t>
      </w:r>
      <w:r w:rsidR="006C1010">
        <w:rPr>
          <w:rFonts w:ascii="Cambria" w:eastAsia="Calibri" w:hAnsi="Cambria"/>
          <w:sz w:val="21"/>
          <w:szCs w:val="21"/>
          <w:lang w:val="es-ES_tradnl"/>
        </w:rPr>
        <w:t xml:space="preserve"> </w:t>
      </w:r>
      <w:r w:rsidR="006109FE">
        <w:rPr>
          <w:rFonts w:ascii="Cambria" w:eastAsia="Calibri" w:hAnsi="Cambria"/>
          <w:sz w:val="21"/>
          <w:szCs w:val="21"/>
          <w:lang w:val="es-ES_tradnl"/>
        </w:rPr>
        <w:t>al momento de analizar la situación de riesgo alegada</w:t>
      </w:r>
      <w:r w:rsidR="006109FE">
        <w:rPr>
          <w:rStyle w:val="FootnoteReference"/>
          <w:rFonts w:ascii="Cambria" w:eastAsia="Calibri" w:hAnsi="Cambria"/>
          <w:sz w:val="21"/>
          <w:szCs w:val="21"/>
          <w:lang w:val="es-ES_tradnl"/>
        </w:rPr>
        <w:footnoteReference w:id="10"/>
      </w:r>
      <w:r w:rsidR="006C1010">
        <w:rPr>
          <w:rFonts w:ascii="Cambria" w:eastAsia="Calibri" w:hAnsi="Cambria"/>
          <w:sz w:val="21"/>
          <w:szCs w:val="21"/>
          <w:lang w:val="es-ES_tradnl"/>
        </w:rPr>
        <w:t xml:space="preserve">. </w:t>
      </w:r>
    </w:p>
    <w:p w14:paraId="002E2112" w14:textId="77777777" w:rsidR="00BC23F2" w:rsidRPr="00BC23F2" w:rsidRDefault="00BC23F2" w:rsidP="00A93C9D">
      <w:pPr>
        <w:pStyle w:val="ListParagraph"/>
        <w:rPr>
          <w:rFonts w:ascii="Cambria" w:eastAsia="Calibri" w:hAnsi="Cambria"/>
          <w:sz w:val="21"/>
          <w:szCs w:val="21"/>
          <w:lang w:val="es-ES_tradnl"/>
        </w:rPr>
      </w:pPr>
    </w:p>
    <w:p w14:paraId="651BCA23" w14:textId="7310AC28" w:rsidR="00C83A34" w:rsidRDefault="00C83A34" w:rsidP="00A93C9D">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 xml:space="preserve">En el asunto en concreto, </w:t>
      </w:r>
      <w:r w:rsidR="006F3ED9">
        <w:rPr>
          <w:rFonts w:ascii="Cambria" w:eastAsia="Calibri" w:hAnsi="Cambria"/>
          <w:sz w:val="21"/>
          <w:szCs w:val="21"/>
          <w:lang w:val="es-ES_tradnl"/>
        </w:rPr>
        <w:t>la Comisión advierte que</w:t>
      </w:r>
      <w:r w:rsidR="00FF1EAF">
        <w:rPr>
          <w:rFonts w:ascii="Cambria" w:eastAsia="Calibri" w:hAnsi="Cambria"/>
          <w:sz w:val="21"/>
          <w:szCs w:val="21"/>
          <w:lang w:val="es-ES_tradnl"/>
        </w:rPr>
        <w:t xml:space="preserve"> los propuestos beneficiarios se hallan en una situación </w:t>
      </w:r>
      <w:r w:rsidR="00547532">
        <w:rPr>
          <w:rFonts w:ascii="Cambria" w:eastAsia="Calibri" w:hAnsi="Cambria"/>
          <w:sz w:val="21"/>
          <w:szCs w:val="21"/>
          <w:lang w:val="es-ES_tradnl"/>
        </w:rPr>
        <w:t>equiparable y por ende potencialmente vulnerable, en la medida que</w:t>
      </w:r>
      <w:r w:rsidR="006F3ED9">
        <w:rPr>
          <w:rFonts w:ascii="Cambria" w:eastAsia="Calibri" w:hAnsi="Cambria"/>
          <w:sz w:val="21"/>
          <w:szCs w:val="21"/>
          <w:lang w:val="es-ES_tradnl"/>
        </w:rPr>
        <w:t xml:space="preserve"> los eventos de riesgo </w:t>
      </w:r>
      <w:r w:rsidR="00547532">
        <w:rPr>
          <w:rFonts w:ascii="Cambria" w:eastAsia="Calibri" w:hAnsi="Cambria"/>
          <w:sz w:val="21"/>
          <w:szCs w:val="21"/>
          <w:lang w:val="es-ES_tradnl"/>
        </w:rPr>
        <w:t xml:space="preserve">narrados habrían surgido como consecuencia de la falta de certeza jurídica en torno a la propiedad de su tierra y cuestiones conexas. </w:t>
      </w:r>
      <w:r w:rsidR="00A264D8">
        <w:rPr>
          <w:rFonts w:ascii="Cambria" w:eastAsia="Calibri" w:hAnsi="Cambria"/>
          <w:sz w:val="21"/>
          <w:szCs w:val="21"/>
          <w:lang w:val="es-ES_tradnl"/>
        </w:rPr>
        <w:t>Esta circunstancia en efecto habría dado lugar a la presencia de terceros, según la solicitante desde al menos el año 2006, lo cual refleja el alcance del problema señalado. Como ya se indicó anteriormente, estos terceros no se limitarían a afectar directamente los derechos a la vida e integridad personal de los propuestos beneficiarios, sino que por medio de una serie de acciones judiciales, incluso habrían logrado extinguir la personalidad jurídica de la comunidad hasta que la misma fuera anulada en abril de 2016 por el Gobierno Regional. Como consecuencia de la falta de reconocimiento formal y a pesar de las numerosas intervenciones para recuperar la personalidad jurídica en el año 2018</w:t>
      </w:r>
      <w:r w:rsidR="00FF4865">
        <w:rPr>
          <w:rFonts w:ascii="Cambria" w:eastAsia="Calibri" w:hAnsi="Cambria"/>
          <w:sz w:val="21"/>
          <w:szCs w:val="21"/>
          <w:lang w:val="es-ES_tradnl"/>
        </w:rPr>
        <w:t xml:space="preserve">, hasta un 60% del territorio reclamado por la comunidad habría caído en manos de estos terceros. La Comisión entiende que lo anterior refleja el nivel de </w:t>
      </w:r>
      <w:r w:rsidR="009F2E6D">
        <w:rPr>
          <w:rFonts w:ascii="Cambria" w:eastAsia="Calibri" w:hAnsi="Cambria"/>
          <w:sz w:val="21"/>
          <w:szCs w:val="21"/>
          <w:lang w:val="es-ES_tradnl"/>
        </w:rPr>
        <w:t xml:space="preserve">conflictividad </w:t>
      </w:r>
      <w:r w:rsidR="00FF4865">
        <w:rPr>
          <w:rFonts w:ascii="Cambria" w:eastAsia="Calibri" w:hAnsi="Cambria"/>
          <w:sz w:val="21"/>
          <w:szCs w:val="21"/>
          <w:lang w:val="es-ES_tradnl"/>
        </w:rPr>
        <w:t xml:space="preserve">existente en la zona, en el sentido que mientras no se </w:t>
      </w:r>
      <w:r w:rsidR="00EC7B95">
        <w:rPr>
          <w:rFonts w:ascii="Cambria" w:eastAsia="Calibri" w:hAnsi="Cambria"/>
          <w:sz w:val="21"/>
          <w:szCs w:val="21"/>
          <w:lang w:val="es-ES_tradnl"/>
        </w:rPr>
        <w:t>atienda</w:t>
      </w:r>
      <w:r w:rsidR="00FF4865">
        <w:rPr>
          <w:rFonts w:ascii="Cambria" w:eastAsia="Calibri" w:hAnsi="Cambria"/>
          <w:sz w:val="21"/>
          <w:szCs w:val="21"/>
          <w:lang w:val="es-ES_tradnl"/>
        </w:rPr>
        <w:t xml:space="preserve">, los propuestos beneficiarios son susceptibles de enfrentar mayores afectaciones a sus derechos. </w:t>
      </w:r>
      <w:r w:rsidR="00A264D8">
        <w:rPr>
          <w:rFonts w:ascii="Cambria" w:eastAsia="Calibri" w:hAnsi="Cambria"/>
          <w:sz w:val="21"/>
          <w:szCs w:val="21"/>
          <w:lang w:val="es-ES_tradnl"/>
        </w:rPr>
        <w:t xml:space="preserve"> </w:t>
      </w:r>
    </w:p>
    <w:p w14:paraId="26949957" w14:textId="77777777" w:rsidR="00B82FE5" w:rsidRPr="00B82FE5" w:rsidRDefault="00B82FE5" w:rsidP="00A93C9D">
      <w:pPr>
        <w:pStyle w:val="ListParagraph"/>
        <w:rPr>
          <w:rFonts w:ascii="Cambria" w:eastAsia="Calibri" w:hAnsi="Cambria"/>
          <w:sz w:val="21"/>
          <w:szCs w:val="21"/>
          <w:lang w:val="es-ES_tradnl"/>
        </w:rPr>
      </w:pPr>
    </w:p>
    <w:p w14:paraId="31FA1313" w14:textId="60D930CD" w:rsidR="00EA381B" w:rsidRDefault="00FF4865" w:rsidP="00A93C9D">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Como muestra de la intensidad del riesgo padecido, l</w:t>
      </w:r>
      <w:r w:rsidR="00B82FE5">
        <w:rPr>
          <w:rFonts w:ascii="Cambria" w:eastAsia="Calibri" w:hAnsi="Cambria"/>
          <w:sz w:val="21"/>
          <w:szCs w:val="21"/>
          <w:lang w:val="es-ES_tradnl"/>
        </w:rPr>
        <w:t xml:space="preserve">a Comisión observa que los terceros </w:t>
      </w:r>
      <w:r>
        <w:rPr>
          <w:rFonts w:ascii="Cambria" w:eastAsia="Calibri" w:hAnsi="Cambria"/>
          <w:sz w:val="21"/>
          <w:szCs w:val="21"/>
          <w:lang w:val="es-ES_tradnl"/>
        </w:rPr>
        <w:t xml:space="preserve">estarían llevando a cabo de forma permanente </w:t>
      </w:r>
      <w:r w:rsidR="00B82FE5">
        <w:rPr>
          <w:rFonts w:ascii="Cambria" w:eastAsia="Calibri" w:hAnsi="Cambria"/>
          <w:sz w:val="21"/>
          <w:szCs w:val="21"/>
          <w:lang w:val="es-ES_tradnl"/>
        </w:rPr>
        <w:t>amenaza</w:t>
      </w:r>
      <w:r w:rsidR="00990819">
        <w:rPr>
          <w:rFonts w:ascii="Cambria" w:eastAsia="Calibri" w:hAnsi="Cambria"/>
          <w:sz w:val="21"/>
          <w:szCs w:val="21"/>
          <w:lang w:val="es-ES_tradnl"/>
        </w:rPr>
        <w:t>s, hostigamientos y agresiones</w:t>
      </w:r>
      <w:r w:rsidR="00B82FE5">
        <w:rPr>
          <w:rFonts w:ascii="Cambria" w:eastAsia="Calibri" w:hAnsi="Cambria"/>
          <w:sz w:val="21"/>
          <w:szCs w:val="21"/>
          <w:lang w:val="es-ES_tradnl"/>
        </w:rPr>
        <w:t xml:space="preserve"> en contra de las familias de la comunidad, </w:t>
      </w:r>
      <w:r>
        <w:rPr>
          <w:rFonts w:ascii="Cambria" w:eastAsia="Calibri" w:hAnsi="Cambria"/>
          <w:sz w:val="21"/>
          <w:szCs w:val="21"/>
          <w:lang w:val="es-ES_tradnl"/>
        </w:rPr>
        <w:t>provocando su desplazamiento y una reducción</w:t>
      </w:r>
      <w:r w:rsidR="00B82FE5">
        <w:rPr>
          <w:rFonts w:ascii="Cambria" w:eastAsia="Calibri" w:hAnsi="Cambria"/>
          <w:sz w:val="21"/>
          <w:szCs w:val="21"/>
          <w:lang w:val="es-ES_tradnl"/>
        </w:rPr>
        <w:t xml:space="preserve"> </w:t>
      </w:r>
      <w:r>
        <w:rPr>
          <w:rFonts w:ascii="Cambria" w:eastAsia="Calibri" w:hAnsi="Cambria"/>
          <w:sz w:val="21"/>
          <w:szCs w:val="21"/>
          <w:lang w:val="es-ES_tradnl"/>
        </w:rPr>
        <w:t>significativa de</w:t>
      </w:r>
      <w:r w:rsidR="00B82FE5">
        <w:rPr>
          <w:rFonts w:ascii="Cambria" w:eastAsia="Calibri" w:hAnsi="Cambria"/>
          <w:sz w:val="21"/>
          <w:szCs w:val="21"/>
          <w:lang w:val="es-ES_tradnl"/>
        </w:rPr>
        <w:t xml:space="preserve"> la población, </w:t>
      </w:r>
      <w:r>
        <w:rPr>
          <w:rFonts w:ascii="Cambria" w:eastAsia="Calibri" w:hAnsi="Cambria"/>
          <w:sz w:val="21"/>
          <w:szCs w:val="21"/>
          <w:lang w:val="es-ES_tradnl"/>
        </w:rPr>
        <w:t>pues</w:t>
      </w:r>
      <w:r w:rsidR="00B82FE5">
        <w:rPr>
          <w:rFonts w:ascii="Cambria" w:eastAsia="Calibri" w:hAnsi="Cambria"/>
          <w:sz w:val="21"/>
          <w:szCs w:val="21"/>
          <w:lang w:val="es-ES_tradnl"/>
        </w:rPr>
        <w:t xml:space="preserve"> a la fecha</w:t>
      </w:r>
      <w:r>
        <w:rPr>
          <w:rFonts w:ascii="Cambria" w:eastAsia="Calibri" w:hAnsi="Cambria"/>
          <w:sz w:val="21"/>
          <w:szCs w:val="21"/>
          <w:lang w:val="es-ES_tradnl"/>
        </w:rPr>
        <w:t xml:space="preserve"> solamente</w:t>
      </w:r>
      <w:r w:rsidR="00B82FE5">
        <w:rPr>
          <w:rFonts w:ascii="Cambria" w:eastAsia="Calibri" w:hAnsi="Cambria"/>
          <w:sz w:val="21"/>
          <w:szCs w:val="21"/>
          <w:lang w:val="es-ES_tradnl"/>
        </w:rPr>
        <w:t xml:space="preserve"> </w:t>
      </w:r>
      <w:r w:rsidR="00073AF9">
        <w:rPr>
          <w:rFonts w:ascii="Cambria" w:eastAsia="Calibri" w:hAnsi="Cambria"/>
          <w:sz w:val="21"/>
          <w:szCs w:val="21"/>
          <w:lang w:val="es-ES_tradnl"/>
        </w:rPr>
        <w:t>permanecerían ahí</w:t>
      </w:r>
      <w:r w:rsidR="00B82FE5">
        <w:rPr>
          <w:rFonts w:ascii="Cambria" w:eastAsia="Calibri" w:hAnsi="Cambria"/>
          <w:sz w:val="21"/>
          <w:szCs w:val="21"/>
          <w:lang w:val="es-ES_tradnl"/>
        </w:rPr>
        <w:t xml:space="preserve"> 14 familias. </w:t>
      </w:r>
      <w:r w:rsidR="00073AF9">
        <w:rPr>
          <w:rFonts w:ascii="Cambria" w:eastAsia="Calibri" w:hAnsi="Cambria"/>
          <w:sz w:val="21"/>
          <w:szCs w:val="21"/>
          <w:lang w:val="es-ES_tradnl"/>
        </w:rPr>
        <w:t xml:space="preserve">Según pudo constatarse con base en la información aportada, estos </w:t>
      </w:r>
      <w:r w:rsidR="003640D6">
        <w:rPr>
          <w:rFonts w:ascii="Cambria" w:eastAsia="Calibri" w:hAnsi="Cambria"/>
          <w:sz w:val="21"/>
          <w:szCs w:val="21"/>
          <w:lang w:val="es-ES_tradnl"/>
        </w:rPr>
        <w:t xml:space="preserve">eventos de riesgo estarían </w:t>
      </w:r>
      <w:r w:rsidR="00073AF9">
        <w:rPr>
          <w:rFonts w:ascii="Cambria" w:eastAsia="Calibri" w:hAnsi="Cambria"/>
          <w:sz w:val="21"/>
          <w:szCs w:val="21"/>
          <w:lang w:val="es-ES_tradnl"/>
        </w:rPr>
        <w:t xml:space="preserve">estrechamente </w:t>
      </w:r>
      <w:r w:rsidR="003640D6">
        <w:rPr>
          <w:rFonts w:ascii="Cambria" w:eastAsia="Calibri" w:hAnsi="Cambria"/>
          <w:sz w:val="21"/>
          <w:szCs w:val="21"/>
          <w:lang w:val="es-ES_tradnl"/>
        </w:rPr>
        <w:t>ligados a</w:t>
      </w:r>
      <w:r w:rsidR="004D367B">
        <w:rPr>
          <w:rFonts w:ascii="Cambria" w:eastAsia="Calibri" w:hAnsi="Cambria"/>
          <w:sz w:val="21"/>
          <w:szCs w:val="21"/>
          <w:lang w:val="es-ES_tradnl"/>
        </w:rPr>
        <w:t>l</w:t>
      </w:r>
      <w:r w:rsidR="003640D6">
        <w:rPr>
          <w:rFonts w:ascii="Cambria" w:eastAsia="Calibri" w:hAnsi="Cambria"/>
          <w:sz w:val="21"/>
          <w:szCs w:val="21"/>
          <w:lang w:val="es-ES_tradnl"/>
        </w:rPr>
        <w:t xml:space="preserve"> avance </w:t>
      </w:r>
      <w:r w:rsidR="00073AF9">
        <w:rPr>
          <w:rFonts w:ascii="Cambria" w:eastAsia="Calibri" w:hAnsi="Cambria"/>
          <w:sz w:val="21"/>
          <w:szCs w:val="21"/>
          <w:lang w:val="es-ES_tradnl"/>
        </w:rPr>
        <w:t xml:space="preserve">de las </w:t>
      </w:r>
      <w:r w:rsidR="004D367B">
        <w:rPr>
          <w:rFonts w:ascii="Cambria" w:eastAsia="Calibri" w:hAnsi="Cambria"/>
          <w:sz w:val="21"/>
          <w:szCs w:val="21"/>
          <w:lang w:val="es-ES_tradnl"/>
        </w:rPr>
        <w:t xml:space="preserve">diligencias propias del procedimiento de reconocimiento de la comunidad iniciado en 2018 (vid. </w:t>
      </w:r>
      <w:r w:rsidR="004D367B" w:rsidRPr="004D367B">
        <w:rPr>
          <w:rFonts w:ascii="Cambria" w:eastAsia="Calibri" w:hAnsi="Cambria"/>
          <w:i/>
          <w:sz w:val="21"/>
          <w:szCs w:val="21"/>
          <w:lang w:val="es-ES_tradnl"/>
        </w:rPr>
        <w:t>supra</w:t>
      </w:r>
      <w:r w:rsidR="004D367B">
        <w:rPr>
          <w:rFonts w:ascii="Cambria" w:eastAsia="Calibri" w:hAnsi="Cambria"/>
          <w:sz w:val="21"/>
          <w:szCs w:val="21"/>
          <w:lang w:val="es-ES_tradnl"/>
        </w:rPr>
        <w:t xml:space="preserve"> párr. 12). </w:t>
      </w:r>
      <w:r w:rsidR="00073AF9">
        <w:rPr>
          <w:rFonts w:ascii="Cambria" w:eastAsia="Calibri" w:hAnsi="Cambria"/>
          <w:sz w:val="21"/>
          <w:szCs w:val="21"/>
          <w:lang w:val="es-ES_tradnl"/>
        </w:rPr>
        <w:t>En este sentido, cabe resaltar que</w:t>
      </w:r>
      <w:r w:rsidR="00F06780">
        <w:rPr>
          <w:rFonts w:ascii="Cambria" w:eastAsia="Calibri" w:hAnsi="Cambria"/>
          <w:sz w:val="21"/>
          <w:szCs w:val="21"/>
          <w:lang w:val="es-ES_tradnl"/>
        </w:rPr>
        <w:t xml:space="preserve">, </w:t>
      </w:r>
      <w:r w:rsidR="004D367B" w:rsidRPr="008555DA">
        <w:rPr>
          <w:rFonts w:ascii="Cambria" w:eastAsia="Calibri" w:hAnsi="Cambria"/>
          <w:sz w:val="21"/>
          <w:szCs w:val="21"/>
          <w:lang w:val="es-ES_tradnl"/>
        </w:rPr>
        <w:t>recientemente</w:t>
      </w:r>
      <w:r w:rsidR="00F06780">
        <w:rPr>
          <w:rFonts w:ascii="Cambria" w:eastAsia="Calibri" w:hAnsi="Cambria"/>
          <w:sz w:val="21"/>
          <w:szCs w:val="21"/>
          <w:lang w:val="es-ES_tradnl"/>
        </w:rPr>
        <w:t xml:space="preserve">, </w:t>
      </w:r>
      <w:r w:rsidR="004D367B" w:rsidRPr="008555DA">
        <w:rPr>
          <w:rFonts w:ascii="Cambria" w:eastAsia="Calibri" w:hAnsi="Cambria"/>
          <w:sz w:val="21"/>
          <w:szCs w:val="21"/>
          <w:lang w:val="es-ES_tradnl"/>
        </w:rPr>
        <w:t>el 29 de julio y 9 de septiembre de 2019</w:t>
      </w:r>
      <w:r w:rsidR="008555DA">
        <w:rPr>
          <w:rFonts w:ascii="Cambria" w:eastAsia="Calibri" w:hAnsi="Cambria"/>
          <w:sz w:val="21"/>
          <w:szCs w:val="21"/>
          <w:lang w:val="es-ES_tradnl"/>
        </w:rPr>
        <w:t xml:space="preserve"> (vid. </w:t>
      </w:r>
      <w:r w:rsidR="008555DA" w:rsidRPr="008555DA">
        <w:rPr>
          <w:rFonts w:ascii="Cambria" w:eastAsia="Calibri" w:hAnsi="Cambria"/>
          <w:i/>
          <w:sz w:val="21"/>
          <w:szCs w:val="21"/>
          <w:lang w:val="es-ES_tradnl"/>
        </w:rPr>
        <w:t>supra</w:t>
      </w:r>
      <w:r w:rsidR="008555DA">
        <w:rPr>
          <w:rFonts w:ascii="Cambria" w:eastAsia="Calibri" w:hAnsi="Cambria"/>
          <w:sz w:val="21"/>
          <w:szCs w:val="21"/>
          <w:lang w:val="es-ES_tradnl"/>
        </w:rPr>
        <w:t xml:space="preserve"> párr. 10 y 11), </w:t>
      </w:r>
      <w:r w:rsidR="00073AF9">
        <w:rPr>
          <w:rFonts w:ascii="Cambria" w:eastAsia="Calibri" w:hAnsi="Cambria"/>
          <w:sz w:val="21"/>
          <w:szCs w:val="21"/>
          <w:lang w:val="es-ES_tradnl"/>
        </w:rPr>
        <w:t xml:space="preserve">los niveles de violencia habrían alcanzado índices particularmente preocupantes, pues </w:t>
      </w:r>
      <w:r w:rsidR="008555DA">
        <w:rPr>
          <w:rFonts w:ascii="Cambria" w:eastAsia="Calibri" w:hAnsi="Cambria"/>
          <w:sz w:val="21"/>
          <w:szCs w:val="21"/>
          <w:lang w:val="es-ES_tradnl"/>
        </w:rPr>
        <w:t xml:space="preserve">los terceros </w:t>
      </w:r>
      <w:r w:rsidR="00073AF9">
        <w:rPr>
          <w:rFonts w:ascii="Cambria" w:eastAsia="Calibri" w:hAnsi="Cambria"/>
          <w:sz w:val="21"/>
          <w:szCs w:val="21"/>
          <w:lang w:val="es-ES_tradnl"/>
        </w:rPr>
        <w:t xml:space="preserve">no solo </w:t>
      </w:r>
      <w:r w:rsidR="008555DA">
        <w:rPr>
          <w:rFonts w:ascii="Cambria" w:eastAsia="Calibri" w:hAnsi="Cambria"/>
          <w:sz w:val="21"/>
          <w:szCs w:val="21"/>
          <w:lang w:val="es-ES_tradnl"/>
        </w:rPr>
        <w:t xml:space="preserve">habrían disparado </w:t>
      </w:r>
      <w:r w:rsidR="00073AF9">
        <w:rPr>
          <w:rFonts w:ascii="Cambria" w:eastAsia="Calibri" w:hAnsi="Cambria"/>
          <w:sz w:val="21"/>
          <w:szCs w:val="21"/>
          <w:lang w:val="es-ES_tradnl"/>
        </w:rPr>
        <w:t xml:space="preserve">hasta </w:t>
      </w:r>
      <w:r w:rsidR="008555DA">
        <w:rPr>
          <w:rFonts w:ascii="Cambria" w:eastAsia="Calibri" w:hAnsi="Cambria"/>
          <w:sz w:val="21"/>
          <w:szCs w:val="21"/>
          <w:lang w:val="es-ES_tradnl"/>
        </w:rPr>
        <w:t xml:space="preserve">5 veces contra el cuñado del presidente </w:t>
      </w:r>
      <w:r w:rsidR="008555DA">
        <w:rPr>
          <w:rFonts w:ascii="Cambria" w:eastAsia="Calibri" w:hAnsi="Cambria"/>
          <w:sz w:val="21"/>
          <w:szCs w:val="21"/>
          <w:lang w:val="es-ES_tradnl"/>
        </w:rPr>
        <w:lastRenderedPageBreak/>
        <w:t>de la comunidad, al confundirlo con él en su propia vivienda</w:t>
      </w:r>
      <w:r w:rsidR="00073AF9">
        <w:rPr>
          <w:rFonts w:ascii="Cambria" w:eastAsia="Calibri" w:hAnsi="Cambria"/>
          <w:sz w:val="21"/>
          <w:szCs w:val="21"/>
          <w:lang w:val="es-ES_tradnl"/>
        </w:rPr>
        <w:t>, sino que también</w:t>
      </w:r>
      <w:r w:rsidR="008555DA">
        <w:rPr>
          <w:rFonts w:ascii="Cambria" w:eastAsia="Calibri" w:hAnsi="Cambria"/>
          <w:sz w:val="21"/>
          <w:szCs w:val="21"/>
          <w:lang w:val="es-ES_tradnl"/>
        </w:rPr>
        <w:t xml:space="preserve"> habrían agredido a</w:t>
      </w:r>
      <w:r w:rsidR="00073AF9">
        <w:rPr>
          <w:rFonts w:ascii="Cambria" w:eastAsia="Calibri" w:hAnsi="Cambria"/>
          <w:sz w:val="21"/>
          <w:szCs w:val="21"/>
          <w:lang w:val="es-ES_tradnl"/>
        </w:rPr>
        <w:t xml:space="preserve"> otros</w:t>
      </w:r>
      <w:r w:rsidR="008555DA">
        <w:rPr>
          <w:rFonts w:ascii="Cambria" w:eastAsia="Calibri" w:hAnsi="Cambria"/>
          <w:sz w:val="21"/>
          <w:szCs w:val="21"/>
          <w:lang w:val="es-ES_tradnl"/>
        </w:rPr>
        <w:t xml:space="preserve"> integrantes </w:t>
      </w:r>
      <w:r w:rsidR="00073AF9">
        <w:rPr>
          <w:rFonts w:ascii="Cambria" w:eastAsia="Calibri" w:hAnsi="Cambria"/>
          <w:sz w:val="21"/>
          <w:szCs w:val="21"/>
          <w:lang w:val="es-ES_tradnl"/>
        </w:rPr>
        <w:t>y</w:t>
      </w:r>
      <w:r w:rsidR="008555DA">
        <w:rPr>
          <w:rFonts w:ascii="Cambria" w:eastAsia="Calibri" w:hAnsi="Cambria"/>
          <w:sz w:val="21"/>
          <w:szCs w:val="21"/>
          <w:lang w:val="es-ES_tradnl"/>
        </w:rPr>
        <w:t xml:space="preserve"> secuestrado a</w:t>
      </w:r>
      <w:r w:rsidR="00073AF9">
        <w:rPr>
          <w:rFonts w:ascii="Cambria" w:eastAsia="Calibri" w:hAnsi="Cambria"/>
          <w:sz w:val="21"/>
          <w:szCs w:val="21"/>
          <w:lang w:val="es-ES_tradnl"/>
        </w:rPr>
        <w:t xml:space="preserve"> su</w:t>
      </w:r>
      <w:r w:rsidR="008555DA">
        <w:rPr>
          <w:rFonts w:ascii="Cambria" w:eastAsia="Calibri" w:hAnsi="Cambria"/>
          <w:sz w:val="21"/>
          <w:szCs w:val="21"/>
          <w:lang w:val="es-ES_tradnl"/>
        </w:rPr>
        <w:t xml:space="preserve"> vicepresidente por tres horas. </w:t>
      </w:r>
    </w:p>
    <w:p w14:paraId="4EEDDC97" w14:textId="77777777" w:rsidR="00EA381B" w:rsidRPr="00EA381B" w:rsidRDefault="00EA381B" w:rsidP="00A93C9D">
      <w:pPr>
        <w:pStyle w:val="ListParagraph"/>
        <w:rPr>
          <w:rFonts w:ascii="Cambria" w:eastAsia="Calibri" w:hAnsi="Cambria"/>
          <w:sz w:val="21"/>
          <w:szCs w:val="21"/>
          <w:lang w:val="es-ES_tradnl"/>
        </w:rPr>
      </w:pPr>
    </w:p>
    <w:p w14:paraId="72CA719B" w14:textId="00D60117" w:rsidR="00F63DD3" w:rsidRDefault="004C503B" w:rsidP="00A93C9D">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L</w:t>
      </w:r>
      <w:r w:rsidR="00CC6355" w:rsidRPr="00EA381B">
        <w:rPr>
          <w:rFonts w:ascii="Cambria" w:eastAsia="Calibri" w:hAnsi="Cambria"/>
          <w:sz w:val="21"/>
          <w:szCs w:val="21"/>
          <w:lang w:val="es-ES_tradnl"/>
        </w:rPr>
        <w:t xml:space="preserve">a Comisión toma nota de </w:t>
      </w:r>
      <w:r>
        <w:rPr>
          <w:rFonts w:ascii="Cambria" w:eastAsia="Calibri" w:hAnsi="Cambria"/>
          <w:sz w:val="21"/>
          <w:szCs w:val="21"/>
          <w:lang w:val="es-ES_tradnl"/>
        </w:rPr>
        <w:t xml:space="preserve">la respuesta aportada por el Estado, en la cual se detallaron </w:t>
      </w:r>
      <w:r w:rsidR="00CC6355" w:rsidRPr="00EA381B">
        <w:rPr>
          <w:rFonts w:ascii="Cambria" w:eastAsia="Calibri" w:hAnsi="Cambria"/>
          <w:sz w:val="21"/>
          <w:szCs w:val="21"/>
          <w:lang w:val="es-ES_tradnl"/>
        </w:rPr>
        <w:t xml:space="preserve">las acciones </w:t>
      </w:r>
      <w:r>
        <w:rPr>
          <w:rFonts w:ascii="Cambria" w:eastAsia="Calibri" w:hAnsi="Cambria"/>
          <w:sz w:val="21"/>
          <w:szCs w:val="21"/>
          <w:lang w:val="es-ES_tradnl"/>
        </w:rPr>
        <w:t>implementadas</w:t>
      </w:r>
      <w:r w:rsidR="00CC6355" w:rsidRPr="00EA381B">
        <w:rPr>
          <w:rFonts w:ascii="Cambria" w:eastAsia="Calibri" w:hAnsi="Cambria"/>
          <w:sz w:val="21"/>
          <w:szCs w:val="21"/>
          <w:lang w:val="es-ES_tradnl"/>
        </w:rPr>
        <w:t xml:space="preserve">, </w:t>
      </w:r>
      <w:r>
        <w:rPr>
          <w:rFonts w:ascii="Cambria" w:eastAsia="Calibri" w:hAnsi="Cambria"/>
          <w:sz w:val="21"/>
          <w:szCs w:val="21"/>
          <w:lang w:val="es-ES_tradnl"/>
        </w:rPr>
        <w:t>que</w:t>
      </w:r>
      <w:r w:rsidR="00CC6355" w:rsidRPr="00EA381B">
        <w:rPr>
          <w:rFonts w:ascii="Cambria" w:eastAsia="Calibri" w:hAnsi="Cambria"/>
          <w:sz w:val="21"/>
          <w:szCs w:val="21"/>
          <w:lang w:val="es-ES_tradnl"/>
        </w:rPr>
        <w:t xml:space="preserve"> incluyen el otorgamiento de garantías personal</w:t>
      </w:r>
      <w:r w:rsidR="008E62A1">
        <w:rPr>
          <w:rFonts w:ascii="Cambria" w:eastAsia="Calibri" w:hAnsi="Cambria"/>
          <w:sz w:val="21"/>
          <w:szCs w:val="21"/>
          <w:lang w:val="es-ES_tradnl"/>
        </w:rPr>
        <w:t>es</w:t>
      </w:r>
      <w:r w:rsidR="00CC6355" w:rsidRPr="00EA381B">
        <w:rPr>
          <w:rFonts w:ascii="Cambria" w:eastAsia="Calibri" w:hAnsi="Cambria"/>
          <w:sz w:val="21"/>
          <w:szCs w:val="21"/>
          <w:lang w:val="es-ES_tradnl"/>
        </w:rPr>
        <w:t xml:space="preserve"> el 23 de septiembre de 2019 a favor de 6 personas </w:t>
      </w:r>
      <w:r w:rsidR="00EA381B">
        <w:rPr>
          <w:rFonts w:ascii="Cambria" w:eastAsia="Calibri" w:hAnsi="Cambria"/>
          <w:sz w:val="21"/>
          <w:szCs w:val="21"/>
          <w:lang w:val="es-ES_tradnl"/>
        </w:rPr>
        <w:t xml:space="preserve">de la comunidad </w:t>
      </w:r>
      <w:r>
        <w:rPr>
          <w:rFonts w:ascii="Cambria" w:eastAsia="Calibri" w:hAnsi="Cambria"/>
          <w:sz w:val="21"/>
          <w:szCs w:val="21"/>
          <w:lang w:val="es-ES_tradnl"/>
        </w:rPr>
        <w:t>a cargo</w:t>
      </w:r>
      <w:r w:rsidR="00BF6F4D">
        <w:rPr>
          <w:rFonts w:ascii="Cambria" w:eastAsia="Calibri" w:hAnsi="Cambria"/>
          <w:sz w:val="21"/>
          <w:szCs w:val="21"/>
          <w:lang w:val="es-ES_tradnl"/>
        </w:rPr>
        <w:t xml:space="preserve"> </w:t>
      </w:r>
      <w:r>
        <w:rPr>
          <w:rFonts w:ascii="Cambria" w:eastAsia="Calibri" w:hAnsi="Cambria"/>
          <w:sz w:val="21"/>
          <w:szCs w:val="21"/>
          <w:lang w:val="es-ES_tradnl"/>
        </w:rPr>
        <w:t xml:space="preserve">de </w:t>
      </w:r>
      <w:r w:rsidR="00BF6F4D">
        <w:rPr>
          <w:rFonts w:ascii="Cambria" w:eastAsia="Calibri" w:hAnsi="Cambria"/>
          <w:sz w:val="21"/>
          <w:szCs w:val="21"/>
          <w:lang w:val="es-ES_tradnl"/>
        </w:rPr>
        <w:t xml:space="preserve">la Policía Nacional del Perú </w:t>
      </w:r>
      <w:r w:rsidR="00CC6355" w:rsidRPr="00EA381B">
        <w:rPr>
          <w:rFonts w:ascii="Cambria" w:eastAsia="Calibri" w:hAnsi="Cambria"/>
          <w:sz w:val="21"/>
          <w:szCs w:val="21"/>
          <w:lang w:val="es-ES_tradnl"/>
        </w:rPr>
        <w:t xml:space="preserve">(vid. </w:t>
      </w:r>
      <w:r w:rsidR="00CC6355" w:rsidRPr="00EA381B">
        <w:rPr>
          <w:rFonts w:ascii="Cambria" w:eastAsia="Calibri" w:hAnsi="Cambria"/>
          <w:i/>
          <w:sz w:val="21"/>
          <w:szCs w:val="21"/>
          <w:lang w:val="es-ES_tradnl"/>
        </w:rPr>
        <w:t>supra</w:t>
      </w:r>
      <w:r w:rsidR="00CC6355" w:rsidRPr="00EA381B">
        <w:rPr>
          <w:rFonts w:ascii="Cambria" w:eastAsia="Calibri" w:hAnsi="Cambria"/>
          <w:sz w:val="21"/>
          <w:szCs w:val="21"/>
          <w:lang w:val="es-ES_tradnl"/>
        </w:rPr>
        <w:t xml:space="preserve"> párr. 16); </w:t>
      </w:r>
      <w:r w:rsidR="00EA381B">
        <w:rPr>
          <w:rFonts w:ascii="Cambria" w:eastAsia="Calibri" w:hAnsi="Cambria"/>
          <w:sz w:val="21"/>
          <w:szCs w:val="21"/>
          <w:lang w:val="es-ES_tradnl"/>
        </w:rPr>
        <w:t xml:space="preserve">acciones y coordinaciones </w:t>
      </w:r>
      <w:r w:rsidR="00EA381B" w:rsidRPr="00EA381B">
        <w:rPr>
          <w:rFonts w:ascii="Cambria" w:eastAsia="Calibri" w:hAnsi="Cambria"/>
          <w:sz w:val="21"/>
          <w:szCs w:val="21"/>
          <w:lang w:val="es-ES_tradnl"/>
        </w:rPr>
        <w:t>adoptadas por la Dirección General de Derechos Humanos del Ministerio de Justicia y Der</w:t>
      </w:r>
      <w:r w:rsidR="00EA381B">
        <w:rPr>
          <w:rFonts w:ascii="Cambria" w:eastAsia="Calibri" w:hAnsi="Cambria"/>
          <w:sz w:val="21"/>
          <w:szCs w:val="21"/>
          <w:lang w:val="es-ES_tradnl"/>
        </w:rPr>
        <w:t xml:space="preserve">echos Humanos (vid. </w:t>
      </w:r>
      <w:r w:rsidR="00EA381B" w:rsidRPr="00EA381B">
        <w:rPr>
          <w:rFonts w:ascii="Cambria" w:eastAsia="Calibri" w:hAnsi="Cambria"/>
          <w:i/>
          <w:sz w:val="21"/>
          <w:szCs w:val="21"/>
          <w:lang w:val="es-ES_tradnl"/>
        </w:rPr>
        <w:t>supra</w:t>
      </w:r>
      <w:r w:rsidR="00EA381B">
        <w:rPr>
          <w:rFonts w:ascii="Cambria" w:eastAsia="Calibri" w:hAnsi="Cambria"/>
          <w:sz w:val="21"/>
          <w:szCs w:val="21"/>
          <w:lang w:val="es-ES_tradnl"/>
        </w:rPr>
        <w:t xml:space="preserve"> párr. 16 y 17)</w:t>
      </w:r>
      <w:r w:rsidR="00EA381B" w:rsidRPr="00EA381B">
        <w:rPr>
          <w:rFonts w:ascii="Cambria" w:eastAsia="Calibri" w:hAnsi="Cambria"/>
          <w:sz w:val="21"/>
          <w:szCs w:val="21"/>
          <w:lang w:val="es-ES_tradnl"/>
        </w:rPr>
        <w:t>;</w:t>
      </w:r>
      <w:r w:rsidR="00EA381B">
        <w:rPr>
          <w:rFonts w:ascii="Cambria" w:eastAsia="Calibri" w:hAnsi="Cambria"/>
          <w:sz w:val="21"/>
          <w:szCs w:val="21"/>
          <w:lang w:val="es-ES_tradnl"/>
        </w:rPr>
        <w:t xml:space="preserve"> </w:t>
      </w:r>
      <w:r w:rsidR="00F63DD3">
        <w:rPr>
          <w:rFonts w:ascii="Cambria" w:eastAsia="Calibri" w:hAnsi="Cambria"/>
          <w:sz w:val="21"/>
          <w:szCs w:val="21"/>
          <w:lang w:val="es-ES_tradnl"/>
        </w:rPr>
        <w:t xml:space="preserve">evaluación sobre </w:t>
      </w:r>
      <w:r w:rsidR="00642490">
        <w:rPr>
          <w:rFonts w:ascii="Cambria" w:eastAsia="Calibri" w:hAnsi="Cambria"/>
          <w:sz w:val="21"/>
          <w:szCs w:val="21"/>
          <w:lang w:val="es-ES_tradnl"/>
        </w:rPr>
        <w:t xml:space="preserve">la posibilidad de emitir un pronunciamiento como actuación protectora enmarcada en un Protocolo interno para defensores de derechos humanos (vid. </w:t>
      </w:r>
      <w:r w:rsidR="00642490" w:rsidRPr="00642490">
        <w:rPr>
          <w:rFonts w:ascii="Cambria" w:eastAsia="Calibri" w:hAnsi="Cambria"/>
          <w:i/>
          <w:sz w:val="21"/>
          <w:szCs w:val="21"/>
          <w:lang w:val="es-ES_tradnl"/>
        </w:rPr>
        <w:t>supra</w:t>
      </w:r>
      <w:r w:rsidR="00642490">
        <w:rPr>
          <w:rFonts w:ascii="Cambria" w:eastAsia="Calibri" w:hAnsi="Cambria"/>
          <w:sz w:val="21"/>
          <w:szCs w:val="21"/>
          <w:lang w:val="es-ES_tradnl"/>
        </w:rPr>
        <w:t xml:space="preserve"> párr. 17)</w:t>
      </w:r>
      <w:r w:rsidR="00642490" w:rsidRPr="00642490">
        <w:rPr>
          <w:rFonts w:ascii="Cambria" w:eastAsia="Calibri" w:hAnsi="Cambria"/>
          <w:sz w:val="21"/>
          <w:szCs w:val="21"/>
          <w:lang w:val="es-ES_tradnl"/>
        </w:rPr>
        <w:t xml:space="preserve">; </w:t>
      </w:r>
      <w:r w:rsidR="00EA381B" w:rsidRPr="00642490">
        <w:rPr>
          <w:rFonts w:ascii="Cambria" w:eastAsia="Calibri" w:hAnsi="Cambria"/>
          <w:sz w:val="21"/>
          <w:szCs w:val="21"/>
          <w:lang w:val="es-ES_tradnl"/>
        </w:rPr>
        <w:t xml:space="preserve">coordinaciones y recomendaciones realizadas por la Defensoría del Pueblo en relación a otras entidades estatales para atender la situación presentada (vid. </w:t>
      </w:r>
      <w:r w:rsidR="00EA381B" w:rsidRPr="00642490">
        <w:rPr>
          <w:rFonts w:ascii="Cambria" w:eastAsia="Calibri" w:hAnsi="Cambria"/>
          <w:i/>
          <w:sz w:val="21"/>
          <w:szCs w:val="21"/>
          <w:lang w:val="es-ES_tradnl"/>
        </w:rPr>
        <w:t>supra</w:t>
      </w:r>
      <w:r w:rsidR="00EA381B" w:rsidRPr="00642490">
        <w:rPr>
          <w:rFonts w:ascii="Cambria" w:eastAsia="Calibri" w:hAnsi="Cambria"/>
          <w:sz w:val="21"/>
          <w:szCs w:val="21"/>
          <w:lang w:val="es-ES_tradnl"/>
        </w:rPr>
        <w:t xml:space="preserve"> párr. 18 y 19); investigaciones </w:t>
      </w:r>
      <w:r w:rsidR="008E62A1">
        <w:rPr>
          <w:rFonts w:ascii="Cambria" w:eastAsia="Calibri" w:hAnsi="Cambria"/>
          <w:sz w:val="21"/>
          <w:szCs w:val="21"/>
          <w:lang w:val="es-ES_tradnl"/>
        </w:rPr>
        <w:t xml:space="preserve">particularmente </w:t>
      </w:r>
      <w:r w:rsidR="00EA381B" w:rsidRPr="00642490">
        <w:rPr>
          <w:rFonts w:ascii="Cambria" w:eastAsia="Calibri" w:hAnsi="Cambria"/>
          <w:sz w:val="21"/>
          <w:szCs w:val="21"/>
          <w:lang w:val="es-ES_tradnl"/>
        </w:rPr>
        <w:t>sobre los eventos de julio y septiembre de 2019</w:t>
      </w:r>
      <w:r w:rsidR="00BF6F4D" w:rsidRPr="00642490">
        <w:rPr>
          <w:rFonts w:ascii="Cambria" w:eastAsia="Calibri" w:hAnsi="Cambria"/>
          <w:sz w:val="21"/>
          <w:szCs w:val="21"/>
          <w:lang w:val="es-ES_tradnl"/>
        </w:rPr>
        <w:t xml:space="preserve"> (vid</w:t>
      </w:r>
      <w:r w:rsidR="00A10C5B">
        <w:rPr>
          <w:rFonts w:ascii="Cambria" w:eastAsia="Calibri" w:hAnsi="Cambria"/>
          <w:sz w:val="21"/>
          <w:szCs w:val="21"/>
          <w:lang w:val="es-ES_tradnl"/>
        </w:rPr>
        <w:t>.</w:t>
      </w:r>
      <w:r w:rsidR="00BF6F4D" w:rsidRPr="00642490">
        <w:rPr>
          <w:rFonts w:ascii="Cambria" w:eastAsia="Calibri" w:hAnsi="Cambria"/>
          <w:sz w:val="21"/>
          <w:szCs w:val="21"/>
          <w:lang w:val="es-ES_tradnl"/>
        </w:rPr>
        <w:t xml:space="preserve"> </w:t>
      </w:r>
      <w:r w:rsidR="00BF6F4D" w:rsidRPr="00642490">
        <w:rPr>
          <w:rFonts w:ascii="Cambria" w:eastAsia="Calibri" w:hAnsi="Cambria"/>
          <w:i/>
          <w:sz w:val="21"/>
          <w:szCs w:val="21"/>
          <w:lang w:val="es-ES_tradnl"/>
        </w:rPr>
        <w:t>supra</w:t>
      </w:r>
      <w:r w:rsidR="00BF6F4D" w:rsidRPr="00642490">
        <w:rPr>
          <w:rFonts w:ascii="Cambria" w:eastAsia="Calibri" w:hAnsi="Cambria"/>
          <w:sz w:val="21"/>
          <w:szCs w:val="21"/>
          <w:lang w:val="es-ES_tradnl"/>
        </w:rPr>
        <w:t xml:space="preserve"> párr. 20); y acciones con miras a viabilizar el reconocimiento de la comunidad y la titulación de su territorio, lo que incluiría la paralización en la entrega de títulos individuales</w:t>
      </w:r>
      <w:r w:rsidR="00642490" w:rsidRPr="00642490">
        <w:rPr>
          <w:rFonts w:ascii="Cambria" w:eastAsia="Calibri" w:hAnsi="Cambria"/>
          <w:sz w:val="21"/>
          <w:szCs w:val="21"/>
          <w:lang w:val="es-ES_tradnl"/>
        </w:rPr>
        <w:t xml:space="preserve"> en el 2019</w:t>
      </w:r>
      <w:r w:rsidR="00BF6F4D" w:rsidRPr="00642490">
        <w:rPr>
          <w:rFonts w:ascii="Cambria" w:eastAsia="Calibri" w:hAnsi="Cambria"/>
          <w:sz w:val="21"/>
          <w:szCs w:val="21"/>
          <w:lang w:val="es-ES_tradnl"/>
        </w:rPr>
        <w:t xml:space="preserve"> (vid. </w:t>
      </w:r>
      <w:r w:rsidR="00BF6F4D" w:rsidRPr="00642490">
        <w:rPr>
          <w:rFonts w:ascii="Cambria" w:eastAsia="Calibri" w:hAnsi="Cambria"/>
          <w:i/>
          <w:sz w:val="21"/>
          <w:szCs w:val="21"/>
          <w:lang w:val="es-ES_tradnl"/>
        </w:rPr>
        <w:t>supra</w:t>
      </w:r>
      <w:r w:rsidR="00BF6F4D" w:rsidRPr="00642490">
        <w:rPr>
          <w:rFonts w:ascii="Cambria" w:eastAsia="Calibri" w:hAnsi="Cambria"/>
          <w:sz w:val="21"/>
          <w:szCs w:val="21"/>
          <w:lang w:val="es-ES_tradnl"/>
        </w:rPr>
        <w:t xml:space="preserve"> párr. </w:t>
      </w:r>
      <w:r w:rsidR="00642490" w:rsidRPr="00642490">
        <w:rPr>
          <w:rFonts w:ascii="Cambria" w:eastAsia="Calibri" w:hAnsi="Cambria"/>
          <w:sz w:val="21"/>
          <w:szCs w:val="21"/>
          <w:lang w:val="es-ES_tradnl"/>
        </w:rPr>
        <w:t>21 - 23</w:t>
      </w:r>
      <w:r w:rsidR="00BF6F4D" w:rsidRPr="00642490">
        <w:rPr>
          <w:rFonts w:ascii="Cambria" w:eastAsia="Calibri" w:hAnsi="Cambria"/>
          <w:sz w:val="21"/>
          <w:szCs w:val="21"/>
          <w:lang w:val="es-ES_tradnl"/>
        </w:rPr>
        <w:t>)</w:t>
      </w:r>
      <w:r w:rsidR="008D55C4">
        <w:rPr>
          <w:rFonts w:ascii="Cambria" w:eastAsia="Calibri" w:hAnsi="Cambria"/>
          <w:sz w:val="21"/>
          <w:szCs w:val="21"/>
          <w:lang w:val="es-ES_tradnl"/>
        </w:rPr>
        <w:t xml:space="preserve">, </w:t>
      </w:r>
      <w:r>
        <w:rPr>
          <w:rFonts w:ascii="Cambria" w:eastAsia="Calibri" w:hAnsi="Cambria"/>
          <w:sz w:val="21"/>
          <w:szCs w:val="21"/>
          <w:lang w:val="es-ES_tradnl"/>
        </w:rPr>
        <w:t xml:space="preserve">destacándose que, según fue reportado, no se detectó la participación de agentes estatales en la comisión de los eventos de riesgo </w:t>
      </w:r>
      <w:r w:rsidR="00F63DD3">
        <w:rPr>
          <w:rFonts w:ascii="Cambria" w:eastAsia="Calibri" w:hAnsi="Cambria"/>
          <w:sz w:val="21"/>
          <w:szCs w:val="21"/>
          <w:lang w:val="es-ES_tradnl"/>
        </w:rPr>
        <w:t>(vid</w:t>
      </w:r>
      <w:r w:rsidR="00A10C5B">
        <w:rPr>
          <w:rFonts w:ascii="Cambria" w:eastAsia="Calibri" w:hAnsi="Cambria"/>
          <w:sz w:val="21"/>
          <w:szCs w:val="21"/>
          <w:lang w:val="es-ES_tradnl"/>
        </w:rPr>
        <w:t>.</w:t>
      </w:r>
      <w:r w:rsidR="00F63DD3">
        <w:rPr>
          <w:rFonts w:ascii="Cambria" w:eastAsia="Calibri" w:hAnsi="Cambria"/>
          <w:sz w:val="21"/>
          <w:szCs w:val="21"/>
          <w:lang w:val="es-ES_tradnl"/>
        </w:rPr>
        <w:t xml:space="preserve"> </w:t>
      </w:r>
      <w:r w:rsidR="00F63DD3" w:rsidRPr="00F63DD3">
        <w:rPr>
          <w:rFonts w:ascii="Cambria" w:eastAsia="Calibri" w:hAnsi="Cambria"/>
          <w:i/>
          <w:sz w:val="21"/>
          <w:szCs w:val="21"/>
          <w:lang w:val="es-ES_tradnl"/>
        </w:rPr>
        <w:t>supra</w:t>
      </w:r>
      <w:r w:rsidR="00F63DD3">
        <w:rPr>
          <w:rFonts w:ascii="Cambria" w:eastAsia="Calibri" w:hAnsi="Cambria"/>
          <w:sz w:val="21"/>
          <w:szCs w:val="21"/>
          <w:lang w:val="es-ES_tradnl"/>
        </w:rPr>
        <w:t xml:space="preserve"> párr. 20). </w:t>
      </w:r>
    </w:p>
    <w:p w14:paraId="3A655F72" w14:textId="77777777" w:rsidR="00F63DD3" w:rsidRDefault="00F63DD3" w:rsidP="00A93C9D">
      <w:pPr>
        <w:pStyle w:val="ListParagraph"/>
        <w:ind w:left="360"/>
        <w:jc w:val="both"/>
        <w:rPr>
          <w:rFonts w:ascii="Cambria" w:eastAsia="Calibri" w:hAnsi="Cambria"/>
          <w:sz w:val="21"/>
          <w:szCs w:val="21"/>
          <w:lang w:val="es-ES_tradnl"/>
        </w:rPr>
      </w:pPr>
    </w:p>
    <w:p w14:paraId="261E7EF3" w14:textId="0E4A1E78" w:rsidR="009A6247" w:rsidRPr="008E62A1" w:rsidRDefault="00642490" w:rsidP="00A93C9D">
      <w:pPr>
        <w:pStyle w:val="ListParagraph"/>
        <w:numPr>
          <w:ilvl w:val="0"/>
          <w:numId w:val="1"/>
        </w:numPr>
        <w:ind w:left="0" w:firstLine="360"/>
        <w:jc w:val="both"/>
        <w:rPr>
          <w:rFonts w:ascii="Cambria" w:eastAsia="Calibri" w:hAnsi="Cambria"/>
          <w:sz w:val="21"/>
          <w:szCs w:val="21"/>
          <w:lang w:val="es-ES_tradnl"/>
        </w:rPr>
      </w:pPr>
      <w:r w:rsidRPr="00F63DD3">
        <w:rPr>
          <w:rFonts w:ascii="Cambria" w:eastAsia="Calibri" w:hAnsi="Cambria"/>
          <w:sz w:val="21"/>
          <w:szCs w:val="21"/>
          <w:lang w:val="es-ES_tradnl"/>
        </w:rPr>
        <w:t xml:space="preserve">No </w:t>
      </w:r>
      <w:r w:rsidR="00624741" w:rsidRPr="00F63DD3">
        <w:rPr>
          <w:rFonts w:ascii="Cambria" w:eastAsia="Calibri" w:hAnsi="Cambria"/>
          <w:sz w:val="21"/>
          <w:szCs w:val="21"/>
          <w:lang w:val="es-ES_tradnl"/>
        </w:rPr>
        <w:t>obstante,</w:t>
      </w:r>
      <w:r w:rsidRPr="00F63DD3">
        <w:rPr>
          <w:rFonts w:ascii="Cambria" w:eastAsia="Calibri" w:hAnsi="Cambria"/>
          <w:sz w:val="21"/>
          <w:szCs w:val="21"/>
          <w:lang w:val="es-ES_tradnl"/>
        </w:rPr>
        <w:t xml:space="preserve"> </w:t>
      </w:r>
      <w:r w:rsidR="00F63DD3" w:rsidRPr="00F63DD3">
        <w:rPr>
          <w:rFonts w:ascii="Cambria" w:eastAsia="Calibri" w:hAnsi="Cambria"/>
          <w:sz w:val="21"/>
          <w:szCs w:val="21"/>
          <w:lang w:val="es-ES_tradnl"/>
        </w:rPr>
        <w:t>si bien el Estado indicó que se otorgaron garantías personales a determinados integrantes de la comunidad</w:t>
      </w:r>
      <w:r w:rsidR="00F63DD3">
        <w:rPr>
          <w:rFonts w:ascii="Cambria" w:eastAsia="Calibri" w:hAnsi="Cambria"/>
          <w:sz w:val="21"/>
          <w:szCs w:val="21"/>
          <w:lang w:val="es-ES_tradnl"/>
        </w:rPr>
        <w:t>, la información disponible no permite analizar la idoneidad o efectividad de las mismas en torno a la situación de riesgo alega</w:t>
      </w:r>
      <w:r w:rsidR="00AB5F83">
        <w:rPr>
          <w:rFonts w:ascii="Cambria" w:eastAsia="Calibri" w:hAnsi="Cambria"/>
          <w:sz w:val="21"/>
          <w:szCs w:val="21"/>
          <w:lang w:val="es-ES_tradnl"/>
        </w:rPr>
        <w:t xml:space="preserve">da. </w:t>
      </w:r>
      <w:r w:rsidR="008E62A1">
        <w:rPr>
          <w:rFonts w:ascii="Cambria" w:eastAsia="Calibri" w:hAnsi="Cambria"/>
          <w:sz w:val="21"/>
          <w:szCs w:val="21"/>
          <w:lang w:val="es-ES_tradnl"/>
        </w:rPr>
        <w:t xml:space="preserve">Del mismo modo, pese a </w:t>
      </w:r>
      <w:r w:rsidR="000C591E">
        <w:rPr>
          <w:rFonts w:ascii="Cambria" w:eastAsia="Calibri" w:hAnsi="Cambria"/>
          <w:sz w:val="21"/>
          <w:szCs w:val="21"/>
          <w:lang w:val="es-ES_tradnl"/>
        </w:rPr>
        <w:t xml:space="preserve">haberse ejecutado </w:t>
      </w:r>
      <w:r w:rsidR="008E62A1">
        <w:rPr>
          <w:rFonts w:ascii="Cambria" w:eastAsia="Calibri" w:hAnsi="Cambria"/>
          <w:sz w:val="21"/>
          <w:szCs w:val="21"/>
          <w:lang w:val="es-ES_tradnl"/>
        </w:rPr>
        <w:t xml:space="preserve">diversas </w:t>
      </w:r>
      <w:r w:rsidR="000C591E">
        <w:rPr>
          <w:rFonts w:ascii="Cambria" w:eastAsia="Calibri" w:hAnsi="Cambria"/>
          <w:sz w:val="21"/>
          <w:szCs w:val="21"/>
          <w:lang w:val="es-ES_tradnl"/>
        </w:rPr>
        <w:t xml:space="preserve">estrategias de coordinación entre varias </w:t>
      </w:r>
      <w:r w:rsidR="008E62A1">
        <w:rPr>
          <w:rFonts w:ascii="Cambria" w:eastAsia="Calibri" w:hAnsi="Cambria"/>
          <w:sz w:val="21"/>
          <w:szCs w:val="21"/>
          <w:lang w:val="es-ES_tradnl"/>
        </w:rPr>
        <w:t>entidades estatales</w:t>
      </w:r>
      <w:r w:rsidR="00F63DD3">
        <w:rPr>
          <w:rFonts w:ascii="Cambria" w:eastAsia="Calibri" w:hAnsi="Cambria"/>
          <w:sz w:val="21"/>
          <w:szCs w:val="21"/>
          <w:lang w:val="es-ES_tradnl"/>
        </w:rPr>
        <w:t xml:space="preserve">, la Comisión </w:t>
      </w:r>
      <w:r w:rsidR="000C591E">
        <w:rPr>
          <w:rFonts w:ascii="Cambria" w:eastAsia="Calibri" w:hAnsi="Cambria"/>
          <w:sz w:val="21"/>
          <w:szCs w:val="21"/>
          <w:lang w:val="es-ES_tradnl"/>
        </w:rPr>
        <w:t xml:space="preserve">entiende </w:t>
      </w:r>
      <w:r w:rsidR="00F63DD3">
        <w:rPr>
          <w:rFonts w:ascii="Cambria" w:eastAsia="Calibri" w:hAnsi="Cambria"/>
          <w:sz w:val="21"/>
          <w:szCs w:val="21"/>
          <w:lang w:val="es-ES_tradnl"/>
        </w:rPr>
        <w:t>que</w:t>
      </w:r>
      <w:r w:rsidR="000C591E">
        <w:rPr>
          <w:rFonts w:ascii="Cambria" w:eastAsia="Calibri" w:hAnsi="Cambria"/>
          <w:sz w:val="21"/>
          <w:szCs w:val="21"/>
          <w:lang w:val="es-ES_tradnl"/>
        </w:rPr>
        <w:t xml:space="preserve"> las fuentes de riesgo aún no fueron del todo mitigadas o neutralizadas, pues de acuerdo con los elementos contenidos en la solicitud, es posible apreciar con cierta razonabilidad que los propuestos beneficiarios siguen enfrentando una grave situación de riesgo.</w:t>
      </w:r>
      <w:r w:rsidR="00F63DD3">
        <w:rPr>
          <w:rFonts w:ascii="Cambria" w:eastAsia="Calibri" w:hAnsi="Cambria"/>
          <w:sz w:val="21"/>
          <w:szCs w:val="21"/>
          <w:lang w:val="es-ES_tradnl"/>
        </w:rPr>
        <w:t xml:space="preserve"> </w:t>
      </w:r>
      <w:r w:rsidR="004E6789">
        <w:rPr>
          <w:rFonts w:ascii="Cambria" w:eastAsia="Calibri" w:hAnsi="Cambria"/>
          <w:sz w:val="21"/>
          <w:szCs w:val="21"/>
          <w:lang w:val="es-ES_tradnl"/>
        </w:rPr>
        <w:t>En efecto</w:t>
      </w:r>
      <w:r w:rsidR="00F63DD3">
        <w:rPr>
          <w:rFonts w:ascii="Cambria" w:eastAsia="Calibri" w:hAnsi="Cambria"/>
          <w:sz w:val="21"/>
          <w:szCs w:val="21"/>
          <w:lang w:val="es-ES_tradnl"/>
        </w:rPr>
        <w:t xml:space="preserve">, </w:t>
      </w:r>
      <w:r w:rsidR="00FD1FAF">
        <w:rPr>
          <w:rFonts w:ascii="Cambria" w:eastAsia="Calibri" w:hAnsi="Cambria"/>
          <w:sz w:val="21"/>
          <w:szCs w:val="21"/>
          <w:lang w:val="es-ES_tradnl"/>
        </w:rPr>
        <w:t>se</w:t>
      </w:r>
      <w:r w:rsidR="00F63DD3">
        <w:rPr>
          <w:rFonts w:ascii="Cambria" w:eastAsia="Calibri" w:hAnsi="Cambria"/>
          <w:sz w:val="21"/>
          <w:szCs w:val="21"/>
          <w:lang w:val="es-ES_tradnl"/>
        </w:rPr>
        <w:t xml:space="preserve"> advierte que </w:t>
      </w:r>
      <w:r w:rsidR="00F63DD3" w:rsidRPr="008E62A1">
        <w:rPr>
          <w:rFonts w:ascii="Cambria" w:eastAsia="Calibri" w:hAnsi="Cambria"/>
          <w:sz w:val="21"/>
          <w:szCs w:val="21"/>
          <w:lang w:val="es-ES_tradnl"/>
        </w:rPr>
        <w:t xml:space="preserve">los terceros </w:t>
      </w:r>
      <w:r w:rsidR="004E6789">
        <w:rPr>
          <w:rFonts w:ascii="Cambria" w:eastAsia="Calibri" w:hAnsi="Cambria"/>
          <w:sz w:val="21"/>
          <w:szCs w:val="21"/>
          <w:lang w:val="es-ES_tradnl"/>
        </w:rPr>
        <w:t xml:space="preserve">todavía </w:t>
      </w:r>
      <w:r w:rsidR="009A6247" w:rsidRPr="008E62A1">
        <w:rPr>
          <w:rFonts w:ascii="Cambria" w:eastAsia="Calibri" w:hAnsi="Cambria"/>
          <w:sz w:val="21"/>
          <w:szCs w:val="21"/>
          <w:lang w:val="es-ES_tradnl"/>
        </w:rPr>
        <w:t xml:space="preserve">tendrían una amplia libertad de </w:t>
      </w:r>
      <w:r w:rsidR="004E6789">
        <w:rPr>
          <w:rFonts w:ascii="Cambria" w:eastAsia="Calibri" w:hAnsi="Cambria"/>
          <w:sz w:val="21"/>
          <w:szCs w:val="21"/>
          <w:lang w:val="es-ES_tradnl"/>
        </w:rPr>
        <w:t xml:space="preserve">movimiento en la zona, portando armas de fuego libremente y con la capacidad de perpetrar actos especialmente preocupantes, de los cuales puede resaltarse </w:t>
      </w:r>
      <w:r w:rsidR="00655DC2">
        <w:rPr>
          <w:rFonts w:ascii="Cambria" w:eastAsia="Calibri" w:hAnsi="Cambria"/>
          <w:sz w:val="21"/>
          <w:szCs w:val="21"/>
          <w:lang w:val="es-ES_tradnl"/>
        </w:rPr>
        <w:t>que en su momento buscó atentar contr</w:t>
      </w:r>
      <w:r w:rsidR="004E6789">
        <w:rPr>
          <w:rFonts w:ascii="Cambria" w:eastAsia="Calibri" w:hAnsi="Cambria"/>
          <w:sz w:val="21"/>
          <w:szCs w:val="21"/>
          <w:lang w:val="es-ES_tradnl"/>
        </w:rPr>
        <w:t>a el presidente de la comunidad y otros hechos de similar gravedad (</w:t>
      </w:r>
      <w:r w:rsidR="004E6789" w:rsidRPr="00655DC2">
        <w:rPr>
          <w:rFonts w:ascii="Cambria" w:eastAsia="Calibri" w:hAnsi="Cambria"/>
          <w:i/>
          <w:sz w:val="21"/>
          <w:szCs w:val="21"/>
          <w:lang w:val="es-ES_tradnl"/>
        </w:rPr>
        <w:t>vid</w:t>
      </w:r>
      <w:r w:rsidR="004E6789">
        <w:rPr>
          <w:rFonts w:ascii="Cambria" w:eastAsia="Calibri" w:hAnsi="Cambria"/>
          <w:sz w:val="21"/>
          <w:szCs w:val="21"/>
          <w:lang w:val="es-ES_tradnl"/>
        </w:rPr>
        <w:t xml:space="preserve">. </w:t>
      </w:r>
      <w:r w:rsidR="004E6789" w:rsidRPr="00655DC2">
        <w:rPr>
          <w:rFonts w:ascii="Cambria" w:eastAsia="Calibri" w:hAnsi="Cambria"/>
          <w:i/>
          <w:sz w:val="21"/>
          <w:szCs w:val="21"/>
          <w:lang w:val="es-ES_tradnl"/>
        </w:rPr>
        <w:t>supra</w:t>
      </w:r>
      <w:r w:rsidR="004E6789">
        <w:rPr>
          <w:rFonts w:ascii="Cambria" w:eastAsia="Calibri" w:hAnsi="Cambria"/>
          <w:sz w:val="21"/>
          <w:szCs w:val="21"/>
          <w:lang w:val="es-ES_tradnl"/>
        </w:rPr>
        <w:t xml:space="preserve"> párr. 30). No solo ello, sino que incluso habrían logrado </w:t>
      </w:r>
      <w:r w:rsidR="004E6789" w:rsidRPr="008E62A1">
        <w:rPr>
          <w:rFonts w:ascii="Cambria" w:eastAsia="Calibri" w:hAnsi="Cambria"/>
          <w:sz w:val="21"/>
          <w:szCs w:val="21"/>
          <w:lang w:val="es-ES_tradnl"/>
        </w:rPr>
        <w:t xml:space="preserve"> </w:t>
      </w:r>
      <w:r w:rsidR="004E6789">
        <w:rPr>
          <w:rFonts w:ascii="Cambria" w:eastAsia="Calibri" w:hAnsi="Cambria"/>
          <w:sz w:val="21"/>
          <w:szCs w:val="21"/>
          <w:lang w:val="es-ES_tradnl"/>
        </w:rPr>
        <w:t xml:space="preserve">impedir que se desarrollen diligencias propias de un procedimiento de reconocimiento y titulación ante el Gobierno Regional de Huánuco, imponiéndose así hasta a las mismas autoridades locales. </w:t>
      </w:r>
      <w:r w:rsidR="00ED6469">
        <w:rPr>
          <w:rFonts w:ascii="Cambria" w:eastAsia="Calibri" w:hAnsi="Cambria"/>
          <w:sz w:val="21"/>
          <w:szCs w:val="21"/>
          <w:lang w:val="es-ES_tradnl"/>
        </w:rPr>
        <w:t>En lo que se refiere a la continuidad del riesgo, l</w:t>
      </w:r>
      <w:r w:rsidR="008E62A1">
        <w:rPr>
          <w:rFonts w:ascii="Cambria" w:eastAsia="Calibri" w:hAnsi="Cambria"/>
          <w:sz w:val="21"/>
          <w:szCs w:val="21"/>
          <w:lang w:val="es-ES_tradnl"/>
        </w:rPr>
        <w:t>a Comisión observa además que eventos como los alegados recientemente ya se habrían producido en el 2018</w:t>
      </w:r>
      <w:r w:rsidR="00647841">
        <w:rPr>
          <w:rFonts w:ascii="Cambria" w:eastAsia="Calibri" w:hAnsi="Cambria"/>
          <w:sz w:val="21"/>
          <w:szCs w:val="21"/>
          <w:lang w:val="es-ES_tradnl"/>
        </w:rPr>
        <w:t>, lo que refleja una constancia del actuar de tales terceros hacia los integrantes de la comunidad (</w:t>
      </w:r>
      <w:r w:rsidR="00647841" w:rsidRPr="00655DC2">
        <w:rPr>
          <w:rFonts w:ascii="Cambria" w:eastAsia="Calibri" w:hAnsi="Cambria"/>
          <w:i/>
          <w:sz w:val="21"/>
          <w:szCs w:val="21"/>
          <w:lang w:val="es-ES_tradnl"/>
        </w:rPr>
        <w:t>vid</w:t>
      </w:r>
      <w:r w:rsidR="00647841">
        <w:rPr>
          <w:rFonts w:ascii="Cambria" w:eastAsia="Calibri" w:hAnsi="Cambria"/>
          <w:sz w:val="21"/>
          <w:szCs w:val="21"/>
          <w:lang w:val="es-ES_tradnl"/>
        </w:rPr>
        <w:t xml:space="preserve">. </w:t>
      </w:r>
      <w:r w:rsidR="00647841" w:rsidRPr="00647841">
        <w:rPr>
          <w:rFonts w:ascii="Cambria" w:eastAsia="Calibri" w:hAnsi="Cambria"/>
          <w:i/>
          <w:sz w:val="21"/>
          <w:szCs w:val="21"/>
          <w:lang w:val="es-ES_tradnl"/>
        </w:rPr>
        <w:t>supra</w:t>
      </w:r>
      <w:r w:rsidR="00647841">
        <w:rPr>
          <w:rFonts w:ascii="Cambria" w:eastAsia="Calibri" w:hAnsi="Cambria"/>
          <w:sz w:val="21"/>
          <w:szCs w:val="21"/>
          <w:lang w:val="es-ES_tradnl"/>
        </w:rPr>
        <w:t xml:space="preserve"> párr. 12)</w:t>
      </w:r>
      <w:r w:rsidR="00ED6469">
        <w:rPr>
          <w:rFonts w:ascii="Cambria" w:eastAsia="Calibri" w:hAnsi="Cambria"/>
          <w:sz w:val="21"/>
          <w:szCs w:val="21"/>
          <w:lang w:val="es-ES_tradnl"/>
        </w:rPr>
        <w:t xml:space="preserve"> y la </w:t>
      </w:r>
      <w:r w:rsidR="00655DC2">
        <w:rPr>
          <w:rFonts w:ascii="Cambria" w:eastAsia="Calibri" w:hAnsi="Cambria"/>
          <w:sz w:val="21"/>
          <w:szCs w:val="21"/>
          <w:lang w:val="es-ES_tradnl"/>
        </w:rPr>
        <w:t xml:space="preserve">presunta </w:t>
      </w:r>
      <w:r w:rsidR="00ED6469">
        <w:rPr>
          <w:rFonts w:ascii="Cambria" w:eastAsia="Calibri" w:hAnsi="Cambria"/>
          <w:sz w:val="21"/>
          <w:szCs w:val="21"/>
          <w:lang w:val="es-ES_tradnl"/>
        </w:rPr>
        <w:t>insuficiencia de las medidas de protección implementadas por el Estado</w:t>
      </w:r>
      <w:r w:rsidR="008E62A1">
        <w:rPr>
          <w:rFonts w:ascii="Cambria" w:eastAsia="Calibri" w:hAnsi="Cambria"/>
          <w:sz w:val="21"/>
          <w:szCs w:val="21"/>
          <w:lang w:val="es-ES_tradnl"/>
        </w:rPr>
        <w:t xml:space="preserve">. </w:t>
      </w:r>
    </w:p>
    <w:p w14:paraId="3D51063A" w14:textId="77777777" w:rsidR="009A6247" w:rsidRPr="009A6247" w:rsidRDefault="009A6247" w:rsidP="00A93C9D">
      <w:pPr>
        <w:pStyle w:val="ListParagraph"/>
        <w:rPr>
          <w:rFonts w:ascii="Cambria" w:eastAsia="Calibri" w:hAnsi="Cambria"/>
          <w:sz w:val="21"/>
          <w:szCs w:val="21"/>
          <w:lang w:val="es-ES_tradnl"/>
        </w:rPr>
      </w:pPr>
    </w:p>
    <w:p w14:paraId="6A98BD54" w14:textId="2565A091" w:rsidR="00C17F8E" w:rsidRDefault="00647841" w:rsidP="00A93C9D">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En ese sentido</w:t>
      </w:r>
      <w:r w:rsidR="003D1896" w:rsidRPr="00C17F8E">
        <w:rPr>
          <w:rFonts w:ascii="Cambria" w:eastAsia="Calibri" w:hAnsi="Cambria"/>
          <w:sz w:val="21"/>
          <w:szCs w:val="21"/>
          <w:lang w:val="es-ES_tradnl"/>
        </w:rPr>
        <w:t xml:space="preserve">, </w:t>
      </w:r>
      <w:r w:rsidR="00ED6469">
        <w:rPr>
          <w:rFonts w:ascii="Cambria" w:eastAsia="Calibri" w:hAnsi="Cambria"/>
          <w:sz w:val="21"/>
          <w:szCs w:val="21"/>
          <w:lang w:val="es-ES_tradnl"/>
        </w:rPr>
        <w:t>debe resaltarse</w:t>
      </w:r>
      <w:r w:rsidR="003D1896" w:rsidRPr="00C17F8E">
        <w:rPr>
          <w:rFonts w:ascii="Cambria" w:eastAsia="Calibri" w:hAnsi="Cambria"/>
          <w:sz w:val="21"/>
          <w:szCs w:val="21"/>
          <w:lang w:val="es-ES_tradnl"/>
        </w:rPr>
        <w:t xml:space="preserve"> que</w:t>
      </w:r>
      <w:r w:rsidR="00ED6469">
        <w:rPr>
          <w:rFonts w:ascii="Cambria" w:eastAsia="Calibri" w:hAnsi="Cambria"/>
          <w:sz w:val="21"/>
          <w:szCs w:val="21"/>
          <w:lang w:val="es-ES_tradnl"/>
        </w:rPr>
        <w:t>,</w:t>
      </w:r>
      <w:r w:rsidR="003D1896" w:rsidRPr="00C17F8E">
        <w:rPr>
          <w:rFonts w:ascii="Cambria" w:eastAsia="Calibri" w:hAnsi="Cambria"/>
          <w:sz w:val="21"/>
          <w:szCs w:val="21"/>
          <w:lang w:val="es-ES_tradnl"/>
        </w:rPr>
        <w:t xml:space="preserve"> de acuerdo a la </w:t>
      </w:r>
      <w:r w:rsidR="00C17F8E" w:rsidRPr="00C17F8E">
        <w:rPr>
          <w:rFonts w:ascii="Cambria" w:eastAsia="Calibri" w:hAnsi="Cambria"/>
          <w:sz w:val="21"/>
          <w:szCs w:val="21"/>
          <w:lang w:val="es-ES_tradnl"/>
        </w:rPr>
        <w:t xml:space="preserve">información aportada, no se han </w:t>
      </w:r>
      <w:r w:rsidR="003D1896" w:rsidRPr="00C17F8E">
        <w:rPr>
          <w:rFonts w:ascii="Cambria" w:eastAsia="Calibri" w:hAnsi="Cambria"/>
          <w:sz w:val="21"/>
          <w:szCs w:val="21"/>
          <w:lang w:val="es-ES_tradnl"/>
        </w:rPr>
        <w:t xml:space="preserve">presentado avances sustantivos en la sanción a quienes serían los responsables de los </w:t>
      </w:r>
      <w:r w:rsidR="00ED6469">
        <w:rPr>
          <w:rFonts w:ascii="Cambria" w:eastAsia="Calibri" w:hAnsi="Cambria"/>
          <w:sz w:val="21"/>
          <w:szCs w:val="21"/>
          <w:lang w:val="es-ES_tradnl"/>
        </w:rPr>
        <w:t>hechos denunciados</w:t>
      </w:r>
      <w:r w:rsidR="003D1896" w:rsidRPr="00C17F8E">
        <w:rPr>
          <w:rFonts w:ascii="Cambria" w:eastAsia="Calibri" w:hAnsi="Cambria"/>
          <w:sz w:val="21"/>
          <w:szCs w:val="21"/>
          <w:lang w:val="es-ES_tradnl"/>
        </w:rPr>
        <w:t>,</w:t>
      </w:r>
      <w:r w:rsidR="00C17F8E" w:rsidRPr="00C17F8E">
        <w:rPr>
          <w:rFonts w:ascii="Cambria" w:eastAsia="Calibri" w:hAnsi="Cambria"/>
          <w:sz w:val="21"/>
          <w:szCs w:val="21"/>
          <w:lang w:val="es-ES_tradnl"/>
        </w:rPr>
        <w:t xml:space="preserve"> </w:t>
      </w:r>
      <w:r w:rsidR="003D1896" w:rsidRPr="00C17F8E">
        <w:rPr>
          <w:rFonts w:ascii="Cambria" w:eastAsia="Calibri" w:hAnsi="Cambria"/>
          <w:sz w:val="21"/>
          <w:szCs w:val="21"/>
          <w:lang w:val="es-ES_tradnl"/>
        </w:rPr>
        <w:t>lo cual resulta un aspecto relevante al momento de establecer el riesgo que enfrentaría</w:t>
      </w:r>
      <w:r w:rsidR="00C17F8E" w:rsidRPr="00C17F8E">
        <w:rPr>
          <w:rFonts w:ascii="Cambria" w:eastAsia="Calibri" w:hAnsi="Cambria"/>
          <w:sz w:val="21"/>
          <w:szCs w:val="21"/>
          <w:lang w:val="es-ES_tradnl"/>
        </w:rPr>
        <w:t>n los propuestos beneficiarios</w:t>
      </w:r>
      <w:r w:rsidR="003D1896" w:rsidRPr="00C17F8E">
        <w:rPr>
          <w:rFonts w:ascii="Cambria" w:eastAsia="Calibri" w:hAnsi="Cambria"/>
          <w:sz w:val="21"/>
          <w:szCs w:val="21"/>
          <w:lang w:val="es-ES_tradnl"/>
        </w:rPr>
        <w:t xml:space="preserve"> y las posibilidades de que</w:t>
      </w:r>
      <w:r w:rsidR="00ED6469">
        <w:rPr>
          <w:rFonts w:ascii="Cambria" w:eastAsia="Calibri" w:hAnsi="Cambria"/>
          <w:sz w:val="21"/>
          <w:szCs w:val="21"/>
          <w:lang w:val="es-ES_tradnl"/>
        </w:rPr>
        <w:t xml:space="preserve"> estos</w:t>
      </w:r>
      <w:r w:rsidR="003D1896" w:rsidRPr="00C17F8E">
        <w:rPr>
          <w:rFonts w:ascii="Cambria" w:eastAsia="Calibri" w:hAnsi="Cambria"/>
          <w:sz w:val="21"/>
          <w:szCs w:val="21"/>
          <w:lang w:val="es-ES_tradnl"/>
        </w:rPr>
        <w:t xml:space="preserve"> se vuelvan a repetir. En </w:t>
      </w:r>
      <w:r w:rsidR="00ED6469">
        <w:rPr>
          <w:rFonts w:ascii="Cambria" w:eastAsia="Calibri" w:hAnsi="Cambria"/>
          <w:sz w:val="21"/>
          <w:szCs w:val="21"/>
          <w:lang w:val="es-ES_tradnl"/>
        </w:rPr>
        <w:t>la medida en que su</w:t>
      </w:r>
      <w:r w:rsidR="003D1896" w:rsidRPr="00C17F8E">
        <w:rPr>
          <w:rFonts w:ascii="Cambria" w:eastAsia="Calibri" w:hAnsi="Cambria"/>
          <w:sz w:val="21"/>
          <w:szCs w:val="21"/>
          <w:lang w:val="es-ES_tradnl"/>
        </w:rPr>
        <w:t xml:space="preserve"> situación </w:t>
      </w:r>
      <w:r w:rsidR="00ED6469">
        <w:rPr>
          <w:rFonts w:ascii="Cambria" w:eastAsia="Calibri" w:hAnsi="Cambria"/>
          <w:sz w:val="21"/>
          <w:szCs w:val="21"/>
          <w:lang w:val="es-ES_tradnl"/>
        </w:rPr>
        <w:t xml:space="preserve">se relaciona estrechamente con </w:t>
      </w:r>
      <w:r w:rsidR="00C17F8E">
        <w:rPr>
          <w:rFonts w:ascii="Cambria" w:eastAsia="Calibri" w:hAnsi="Cambria"/>
          <w:sz w:val="21"/>
          <w:szCs w:val="21"/>
          <w:lang w:val="es-ES_tradnl"/>
        </w:rPr>
        <w:t xml:space="preserve">las acciones </w:t>
      </w:r>
      <w:r w:rsidR="00ED6469">
        <w:rPr>
          <w:rFonts w:ascii="Cambria" w:eastAsia="Calibri" w:hAnsi="Cambria"/>
          <w:sz w:val="21"/>
          <w:szCs w:val="21"/>
          <w:lang w:val="es-ES_tradnl"/>
        </w:rPr>
        <w:t>llevadas a cabo por</w:t>
      </w:r>
      <w:r w:rsidR="00C17F8E">
        <w:rPr>
          <w:rFonts w:ascii="Cambria" w:eastAsia="Calibri" w:hAnsi="Cambria"/>
          <w:sz w:val="21"/>
          <w:szCs w:val="21"/>
          <w:lang w:val="es-ES_tradnl"/>
        </w:rPr>
        <w:t xml:space="preserve"> la comunidad para lograr su reconocimiento y</w:t>
      </w:r>
      <w:r w:rsidR="006947C0">
        <w:rPr>
          <w:rFonts w:ascii="Cambria" w:eastAsia="Calibri" w:hAnsi="Cambria"/>
          <w:sz w:val="21"/>
          <w:szCs w:val="21"/>
          <w:lang w:val="es-ES_tradnl"/>
        </w:rPr>
        <w:t xml:space="preserve"> la</w:t>
      </w:r>
      <w:r w:rsidR="00C17F8E">
        <w:rPr>
          <w:rFonts w:ascii="Cambria" w:eastAsia="Calibri" w:hAnsi="Cambria"/>
          <w:sz w:val="21"/>
          <w:szCs w:val="21"/>
          <w:lang w:val="es-ES_tradnl"/>
        </w:rPr>
        <w:t xml:space="preserve"> titulación de su territorio, </w:t>
      </w:r>
      <w:r w:rsidR="00ED6469">
        <w:rPr>
          <w:rFonts w:ascii="Cambria" w:eastAsia="Calibri" w:hAnsi="Cambria"/>
          <w:sz w:val="21"/>
          <w:szCs w:val="21"/>
          <w:lang w:val="es-ES_tradnl"/>
        </w:rPr>
        <w:t xml:space="preserve">la Comisión entiende que mientras </w:t>
      </w:r>
      <w:r w:rsidR="00C17F8E">
        <w:rPr>
          <w:rFonts w:ascii="Cambria" w:eastAsia="Calibri" w:hAnsi="Cambria"/>
          <w:sz w:val="21"/>
          <w:szCs w:val="21"/>
          <w:lang w:val="es-ES_tradnl"/>
        </w:rPr>
        <w:t>qued</w:t>
      </w:r>
      <w:r w:rsidR="00ED6469">
        <w:rPr>
          <w:rFonts w:ascii="Cambria" w:eastAsia="Calibri" w:hAnsi="Cambria"/>
          <w:sz w:val="21"/>
          <w:szCs w:val="21"/>
          <w:lang w:val="es-ES_tradnl"/>
        </w:rPr>
        <w:t>e</w:t>
      </w:r>
      <w:r w:rsidR="00C17F8E">
        <w:rPr>
          <w:rFonts w:ascii="Cambria" w:eastAsia="Calibri" w:hAnsi="Cambria"/>
          <w:sz w:val="21"/>
          <w:szCs w:val="21"/>
          <w:lang w:val="es-ES_tradnl"/>
        </w:rPr>
        <w:t>n pendientes diligencias por realizarse a la fecha</w:t>
      </w:r>
      <w:r w:rsidR="006947C0">
        <w:rPr>
          <w:rFonts w:ascii="Cambria" w:eastAsia="Calibri" w:hAnsi="Cambria"/>
          <w:sz w:val="21"/>
          <w:szCs w:val="21"/>
          <w:lang w:val="es-ES_tradnl"/>
        </w:rPr>
        <w:t>, nuevos eventos de riesgo</w:t>
      </w:r>
      <w:r w:rsidR="00ED6469">
        <w:rPr>
          <w:rFonts w:ascii="Cambria" w:eastAsia="Calibri" w:hAnsi="Cambria"/>
          <w:sz w:val="21"/>
          <w:szCs w:val="21"/>
          <w:lang w:val="es-ES_tradnl"/>
        </w:rPr>
        <w:t xml:space="preserve"> son susceptibles de producirse</w:t>
      </w:r>
      <w:r w:rsidR="00C17F8E">
        <w:rPr>
          <w:rFonts w:ascii="Cambria" w:eastAsia="Calibri" w:hAnsi="Cambria"/>
          <w:sz w:val="21"/>
          <w:szCs w:val="21"/>
          <w:lang w:val="es-ES_tradnl"/>
        </w:rPr>
        <w:t>. En particular, se advierte que</w:t>
      </w:r>
      <w:r w:rsidR="00F06780">
        <w:rPr>
          <w:rFonts w:ascii="Cambria" w:eastAsia="Calibri" w:hAnsi="Cambria"/>
          <w:sz w:val="21"/>
          <w:szCs w:val="21"/>
          <w:lang w:val="es-ES_tradnl"/>
        </w:rPr>
        <w:t xml:space="preserve"> las partes han indicado que</w:t>
      </w:r>
      <w:r w:rsidR="00C17F8E">
        <w:rPr>
          <w:rFonts w:ascii="Cambria" w:eastAsia="Calibri" w:hAnsi="Cambria"/>
          <w:sz w:val="21"/>
          <w:szCs w:val="21"/>
          <w:lang w:val="es-ES_tradnl"/>
        </w:rPr>
        <w:t xml:space="preserve"> la </w:t>
      </w:r>
      <w:r w:rsidR="00F06780">
        <w:rPr>
          <w:rFonts w:ascii="Cambria" w:eastAsia="Calibri" w:hAnsi="Cambria"/>
          <w:sz w:val="21"/>
          <w:szCs w:val="21"/>
          <w:lang w:val="es-ES_tradnl"/>
        </w:rPr>
        <w:t>última</w:t>
      </w:r>
      <w:r w:rsidR="00C17F8E">
        <w:rPr>
          <w:rFonts w:ascii="Cambria" w:eastAsia="Calibri" w:hAnsi="Cambria"/>
          <w:sz w:val="21"/>
          <w:szCs w:val="21"/>
          <w:lang w:val="es-ES_tradnl"/>
        </w:rPr>
        <w:t xml:space="preserve"> diligencia </w:t>
      </w:r>
      <w:r w:rsidR="00F06780">
        <w:rPr>
          <w:rFonts w:ascii="Cambria" w:eastAsia="Calibri" w:hAnsi="Cambria"/>
          <w:sz w:val="21"/>
          <w:szCs w:val="21"/>
          <w:lang w:val="es-ES_tradnl"/>
        </w:rPr>
        <w:t xml:space="preserve">programa en septiembre de 2019 no se habría realizado por la falta de garantías en la zona y tras el secuestro del vicepresidente o vicejefe de la comunidad y </w:t>
      </w:r>
      <w:r w:rsidR="00426CCD">
        <w:rPr>
          <w:rFonts w:ascii="Cambria" w:eastAsia="Calibri" w:hAnsi="Cambria"/>
          <w:sz w:val="21"/>
          <w:szCs w:val="21"/>
          <w:lang w:val="es-ES_tradnl"/>
        </w:rPr>
        <w:t xml:space="preserve">por las </w:t>
      </w:r>
      <w:r w:rsidR="00F06780">
        <w:rPr>
          <w:rFonts w:ascii="Cambria" w:eastAsia="Calibri" w:hAnsi="Cambria"/>
          <w:sz w:val="21"/>
          <w:szCs w:val="21"/>
          <w:lang w:val="es-ES_tradnl"/>
        </w:rPr>
        <w:t xml:space="preserve">agresiones a </w:t>
      </w:r>
      <w:r w:rsidR="00426CCD">
        <w:rPr>
          <w:rFonts w:ascii="Cambria" w:eastAsia="Calibri" w:hAnsi="Cambria"/>
          <w:sz w:val="21"/>
          <w:szCs w:val="21"/>
          <w:lang w:val="es-ES_tradnl"/>
        </w:rPr>
        <w:t xml:space="preserve">otros </w:t>
      </w:r>
      <w:r w:rsidR="00F06780">
        <w:rPr>
          <w:rFonts w:ascii="Cambria" w:eastAsia="Calibri" w:hAnsi="Cambria"/>
          <w:sz w:val="21"/>
          <w:szCs w:val="21"/>
          <w:lang w:val="es-ES_tradnl"/>
        </w:rPr>
        <w:t>integrantes.</w:t>
      </w:r>
    </w:p>
    <w:p w14:paraId="067207CA" w14:textId="77777777" w:rsidR="00C17F8E" w:rsidRDefault="00C17F8E" w:rsidP="00A93C9D">
      <w:pPr>
        <w:pStyle w:val="ListParagraph"/>
        <w:ind w:left="360"/>
        <w:jc w:val="both"/>
        <w:rPr>
          <w:rFonts w:ascii="Cambria" w:eastAsia="Calibri" w:hAnsi="Cambria"/>
          <w:sz w:val="21"/>
          <w:szCs w:val="21"/>
          <w:lang w:val="es-ES_tradnl"/>
        </w:rPr>
      </w:pPr>
    </w:p>
    <w:p w14:paraId="7D0DB7AA" w14:textId="58AD8A80" w:rsidR="00642490" w:rsidRDefault="00722489" w:rsidP="00A93C9D">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 xml:space="preserve">En vista de lo anterior, la Comisión </w:t>
      </w:r>
      <w:r w:rsidR="00426CCD">
        <w:rPr>
          <w:rFonts w:ascii="Cambria" w:eastAsia="Calibri" w:hAnsi="Cambria"/>
          <w:sz w:val="21"/>
          <w:szCs w:val="21"/>
          <w:lang w:val="es-ES_tradnl"/>
        </w:rPr>
        <w:t xml:space="preserve">concluye </w:t>
      </w:r>
      <w:r>
        <w:rPr>
          <w:rFonts w:ascii="Cambria" w:eastAsia="Calibri" w:hAnsi="Cambria"/>
          <w:sz w:val="21"/>
          <w:szCs w:val="21"/>
          <w:lang w:val="es-ES_tradnl"/>
        </w:rPr>
        <w:t xml:space="preserve">que, desde el estándar </w:t>
      </w:r>
      <w:r w:rsidRPr="006F3ED9">
        <w:rPr>
          <w:rFonts w:ascii="Cambria" w:eastAsia="Calibri" w:hAnsi="Cambria"/>
          <w:i/>
          <w:sz w:val="21"/>
          <w:szCs w:val="21"/>
          <w:lang w:val="es-ES_tradnl"/>
        </w:rPr>
        <w:t>prima facie</w:t>
      </w:r>
      <w:r>
        <w:rPr>
          <w:rFonts w:ascii="Cambria" w:eastAsia="Calibri" w:hAnsi="Cambria"/>
          <w:sz w:val="21"/>
          <w:szCs w:val="21"/>
          <w:lang w:val="es-ES_tradnl"/>
        </w:rPr>
        <w:t xml:space="preserve"> aplicable al mecanismo de medidas cautelares, los derechos a la vida y a la integridad personal de las familias </w:t>
      </w:r>
      <w:r w:rsidRPr="00722489">
        <w:rPr>
          <w:rFonts w:ascii="Cambria" w:eastAsia="Calibri" w:hAnsi="Cambria"/>
          <w:sz w:val="21"/>
          <w:szCs w:val="21"/>
          <w:lang w:val="es-ES_tradnl"/>
        </w:rPr>
        <w:t xml:space="preserve">de la Comunidad Nueva Austria del Sira </w:t>
      </w:r>
      <w:r>
        <w:rPr>
          <w:rFonts w:ascii="Cambria" w:eastAsia="Calibri" w:hAnsi="Cambria"/>
          <w:sz w:val="21"/>
          <w:szCs w:val="21"/>
          <w:lang w:val="es-ES_tradnl"/>
        </w:rPr>
        <w:t xml:space="preserve">se encuentran en una situación de grave riesgo. </w:t>
      </w:r>
    </w:p>
    <w:p w14:paraId="079F6C14" w14:textId="77777777" w:rsidR="00642490" w:rsidRDefault="00642490" w:rsidP="00A93C9D">
      <w:pPr>
        <w:pStyle w:val="ListParagraph"/>
        <w:ind w:left="360"/>
        <w:jc w:val="both"/>
        <w:rPr>
          <w:rFonts w:ascii="Cambria" w:eastAsia="Calibri" w:hAnsi="Cambria"/>
          <w:sz w:val="21"/>
          <w:szCs w:val="21"/>
          <w:lang w:val="es-ES_tradnl"/>
        </w:rPr>
      </w:pPr>
    </w:p>
    <w:p w14:paraId="57E185E3" w14:textId="3DB12F98" w:rsidR="006F3ED9" w:rsidRPr="00642490" w:rsidRDefault="00722489" w:rsidP="00A93C9D">
      <w:pPr>
        <w:pStyle w:val="ListParagraph"/>
        <w:numPr>
          <w:ilvl w:val="0"/>
          <w:numId w:val="1"/>
        </w:numPr>
        <w:ind w:left="0" w:firstLine="360"/>
        <w:jc w:val="both"/>
        <w:rPr>
          <w:rFonts w:ascii="Cambria" w:eastAsia="Calibri" w:hAnsi="Cambria"/>
          <w:sz w:val="21"/>
          <w:szCs w:val="21"/>
          <w:lang w:val="es-ES_tradnl"/>
        </w:rPr>
      </w:pPr>
      <w:r w:rsidRPr="00642490">
        <w:rPr>
          <w:rFonts w:ascii="Cambria" w:eastAsia="Calibri" w:hAnsi="Cambria"/>
          <w:sz w:val="21"/>
          <w:szCs w:val="21"/>
          <w:lang w:val="es-ES_tradnl"/>
        </w:rPr>
        <w:lastRenderedPageBreak/>
        <w:t xml:space="preserve">En cuanto al requisito de urgencia, </w:t>
      </w:r>
      <w:r w:rsidR="00642490" w:rsidRPr="00642490">
        <w:rPr>
          <w:rFonts w:ascii="Cambria" w:eastAsia="Calibri" w:hAnsi="Cambria"/>
          <w:sz w:val="21"/>
          <w:szCs w:val="21"/>
          <w:lang w:val="es-ES_tradnl"/>
        </w:rPr>
        <w:t>la Comisión considera que los elementos contenidos en</w:t>
      </w:r>
      <w:r w:rsidR="00642490">
        <w:rPr>
          <w:rFonts w:ascii="Cambria" w:eastAsia="Calibri" w:hAnsi="Cambria"/>
          <w:sz w:val="21"/>
          <w:szCs w:val="21"/>
          <w:lang w:val="es-ES_tradnl"/>
        </w:rPr>
        <w:t xml:space="preserve"> </w:t>
      </w:r>
      <w:r w:rsidR="00642490" w:rsidRPr="00642490">
        <w:rPr>
          <w:rFonts w:ascii="Cambria" w:eastAsia="Calibri" w:hAnsi="Cambria"/>
          <w:sz w:val="21"/>
          <w:szCs w:val="21"/>
          <w:lang w:val="es-ES_tradnl"/>
        </w:rPr>
        <w:t xml:space="preserve">la solicitud sugieren la posibilidad de que </w:t>
      </w:r>
      <w:r w:rsidR="003D1896">
        <w:rPr>
          <w:rFonts w:ascii="Cambria" w:eastAsia="Calibri" w:hAnsi="Cambria"/>
          <w:sz w:val="21"/>
          <w:szCs w:val="21"/>
          <w:lang w:val="es-ES_tradnl"/>
        </w:rPr>
        <w:t xml:space="preserve">los propuestos beneficiarios </w:t>
      </w:r>
      <w:r w:rsidR="00426CCD">
        <w:rPr>
          <w:rFonts w:ascii="Cambria" w:eastAsia="Calibri" w:hAnsi="Cambria"/>
          <w:sz w:val="21"/>
          <w:szCs w:val="21"/>
          <w:lang w:val="es-ES_tradnl"/>
        </w:rPr>
        <w:t xml:space="preserve">puedan </w:t>
      </w:r>
      <w:r w:rsidR="00642490" w:rsidRPr="00642490">
        <w:rPr>
          <w:rFonts w:ascii="Cambria" w:eastAsia="Calibri" w:hAnsi="Cambria"/>
          <w:sz w:val="21"/>
          <w:szCs w:val="21"/>
          <w:lang w:val="es-ES_tradnl"/>
        </w:rPr>
        <w:t>enfrent</w:t>
      </w:r>
      <w:r w:rsidR="003D1896">
        <w:rPr>
          <w:rFonts w:ascii="Cambria" w:eastAsia="Calibri" w:hAnsi="Cambria"/>
          <w:sz w:val="21"/>
          <w:szCs w:val="21"/>
          <w:lang w:val="es-ES_tradnl"/>
        </w:rPr>
        <w:t>a</w:t>
      </w:r>
      <w:r w:rsidR="00426CCD">
        <w:rPr>
          <w:rFonts w:ascii="Cambria" w:eastAsia="Calibri" w:hAnsi="Cambria"/>
          <w:sz w:val="21"/>
          <w:szCs w:val="21"/>
          <w:lang w:val="es-ES_tradnl"/>
        </w:rPr>
        <w:t>r</w:t>
      </w:r>
      <w:r w:rsidR="003D1896">
        <w:rPr>
          <w:rFonts w:ascii="Cambria" w:eastAsia="Calibri" w:hAnsi="Cambria"/>
          <w:sz w:val="21"/>
          <w:szCs w:val="21"/>
          <w:lang w:val="es-ES_tradnl"/>
        </w:rPr>
        <w:t xml:space="preserve"> </w:t>
      </w:r>
      <w:r w:rsidR="00642490" w:rsidRPr="00642490">
        <w:rPr>
          <w:rFonts w:ascii="Cambria" w:eastAsia="Calibri" w:hAnsi="Cambria"/>
          <w:sz w:val="21"/>
          <w:szCs w:val="21"/>
          <w:lang w:val="es-ES_tradnl"/>
        </w:rPr>
        <w:t>la materialización</w:t>
      </w:r>
      <w:r w:rsidR="00642490">
        <w:rPr>
          <w:rFonts w:ascii="Cambria" w:eastAsia="Calibri" w:hAnsi="Cambria"/>
          <w:sz w:val="21"/>
          <w:szCs w:val="21"/>
          <w:lang w:val="es-ES_tradnl"/>
        </w:rPr>
        <w:t xml:space="preserve"> </w:t>
      </w:r>
      <w:r w:rsidR="00642490" w:rsidRPr="00642490">
        <w:rPr>
          <w:rFonts w:ascii="Cambria" w:eastAsia="Calibri" w:hAnsi="Cambria"/>
          <w:sz w:val="21"/>
          <w:szCs w:val="21"/>
          <w:lang w:val="es-ES_tradnl"/>
        </w:rPr>
        <w:t>inminente de un daño a sus derechos. Ello, debido a los indicios sobre la persistencia de la alegada</w:t>
      </w:r>
      <w:r w:rsidR="00642490">
        <w:rPr>
          <w:rFonts w:ascii="Cambria" w:eastAsia="Calibri" w:hAnsi="Cambria"/>
          <w:sz w:val="21"/>
          <w:szCs w:val="21"/>
          <w:lang w:val="es-ES_tradnl"/>
        </w:rPr>
        <w:t xml:space="preserve"> </w:t>
      </w:r>
      <w:r w:rsidR="00642490" w:rsidRPr="00642490">
        <w:rPr>
          <w:rFonts w:ascii="Cambria" w:eastAsia="Calibri" w:hAnsi="Cambria"/>
          <w:sz w:val="21"/>
          <w:szCs w:val="21"/>
          <w:lang w:val="es-ES_tradnl"/>
        </w:rPr>
        <w:t xml:space="preserve">situación de riesgo, </w:t>
      </w:r>
      <w:r w:rsidR="008E62A1">
        <w:rPr>
          <w:rFonts w:ascii="Cambria" w:eastAsia="Calibri" w:hAnsi="Cambria"/>
          <w:sz w:val="21"/>
          <w:szCs w:val="21"/>
          <w:lang w:val="es-ES_tradnl"/>
        </w:rPr>
        <w:t>la seriedad</w:t>
      </w:r>
      <w:r w:rsidR="00642490" w:rsidRPr="00642490">
        <w:rPr>
          <w:rFonts w:ascii="Cambria" w:eastAsia="Calibri" w:hAnsi="Cambria"/>
          <w:sz w:val="21"/>
          <w:szCs w:val="21"/>
          <w:lang w:val="es-ES_tradnl"/>
        </w:rPr>
        <w:t xml:space="preserve"> de </w:t>
      </w:r>
      <w:r w:rsidR="003D1896">
        <w:rPr>
          <w:rFonts w:ascii="Cambria" w:eastAsia="Calibri" w:hAnsi="Cambria"/>
          <w:sz w:val="21"/>
          <w:szCs w:val="21"/>
          <w:lang w:val="es-ES_tradnl"/>
        </w:rPr>
        <w:t>los últimos eventos</w:t>
      </w:r>
      <w:r w:rsidR="003A690E">
        <w:rPr>
          <w:rFonts w:ascii="Cambria" w:eastAsia="Calibri" w:hAnsi="Cambria"/>
          <w:sz w:val="21"/>
          <w:szCs w:val="21"/>
          <w:lang w:val="es-ES_tradnl"/>
        </w:rPr>
        <w:t xml:space="preserve"> </w:t>
      </w:r>
      <w:r w:rsidR="00426CCD">
        <w:rPr>
          <w:rFonts w:ascii="Cambria" w:eastAsia="Calibri" w:hAnsi="Cambria"/>
          <w:sz w:val="21"/>
          <w:szCs w:val="21"/>
          <w:lang w:val="es-ES_tradnl"/>
        </w:rPr>
        <w:t>reportados y</w:t>
      </w:r>
      <w:r w:rsidR="003D1896">
        <w:rPr>
          <w:rFonts w:ascii="Cambria" w:eastAsia="Calibri" w:hAnsi="Cambria"/>
          <w:sz w:val="21"/>
          <w:szCs w:val="21"/>
          <w:lang w:val="es-ES_tradnl"/>
        </w:rPr>
        <w:t xml:space="preserve"> </w:t>
      </w:r>
      <w:r w:rsidR="00642490" w:rsidRPr="00642490">
        <w:rPr>
          <w:rFonts w:ascii="Cambria" w:eastAsia="Calibri" w:hAnsi="Cambria"/>
          <w:sz w:val="21"/>
          <w:szCs w:val="21"/>
          <w:lang w:val="es-ES_tradnl"/>
        </w:rPr>
        <w:t xml:space="preserve">la </w:t>
      </w:r>
      <w:r w:rsidR="003D1896">
        <w:rPr>
          <w:rFonts w:ascii="Cambria" w:eastAsia="Calibri" w:hAnsi="Cambria"/>
          <w:sz w:val="21"/>
          <w:szCs w:val="21"/>
          <w:lang w:val="es-ES_tradnl"/>
        </w:rPr>
        <w:t xml:space="preserve">falta de información sobre la idoneidad y efectividad </w:t>
      </w:r>
      <w:r w:rsidR="00642490" w:rsidRPr="00642490">
        <w:rPr>
          <w:rFonts w:ascii="Cambria" w:eastAsia="Calibri" w:hAnsi="Cambria"/>
          <w:sz w:val="21"/>
          <w:szCs w:val="21"/>
          <w:lang w:val="es-ES_tradnl"/>
        </w:rPr>
        <w:t xml:space="preserve">de </w:t>
      </w:r>
      <w:r w:rsidR="003D1896">
        <w:rPr>
          <w:rFonts w:ascii="Cambria" w:eastAsia="Calibri" w:hAnsi="Cambria"/>
          <w:sz w:val="21"/>
          <w:szCs w:val="21"/>
          <w:lang w:val="es-ES_tradnl"/>
        </w:rPr>
        <w:t xml:space="preserve">las </w:t>
      </w:r>
      <w:r w:rsidR="00642490" w:rsidRPr="00642490">
        <w:rPr>
          <w:rFonts w:ascii="Cambria" w:eastAsia="Calibri" w:hAnsi="Cambria"/>
          <w:sz w:val="21"/>
          <w:szCs w:val="21"/>
          <w:lang w:val="es-ES_tradnl"/>
        </w:rPr>
        <w:t>medidas de</w:t>
      </w:r>
      <w:r w:rsidR="00642490">
        <w:rPr>
          <w:rFonts w:ascii="Cambria" w:eastAsia="Calibri" w:hAnsi="Cambria"/>
          <w:sz w:val="21"/>
          <w:szCs w:val="21"/>
          <w:lang w:val="es-ES_tradnl"/>
        </w:rPr>
        <w:t xml:space="preserve"> </w:t>
      </w:r>
      <w:r w:rsidR="00642490" w:rsidRPr="00642490">
        <w:rPr>
          <w:rFonts w:ascii="Cambria" w:eastAsia="Calibri" w:hAnsi="Cambria"/>
          <w:sz w:val="21"/>
          <w:szCs w:val="21"/>
          <w:lang w:val="es-ES_tradnl"/>
        </w:rPr>
        <w:t>protección,</w:t>
      </w:r>
      <w:r w:rsidR="003A690E">
        <w:rPr>
          <w:rFonts w:ascii="Cambria" w:eastAsia="Calibri" w:hAnsi="Cambria"/>
          <w:sz w:val="21"/>
          <w:szCs w:val="21"/>
          <w:lang w:val="es-ES_tradnl"/>
        </w:rPr>
        <w:t xml:space="preserve"> </w:t>
      </w:r>
      <w:r w:rsidR="00426CCD">
        <w:rPr>
          <w:rFonts w:ascii="Cambria" w:eastAsia="Calibri" w:hAnsi="Cambria"/>
          <w:sz w:val="21"/>
          <w:szCs w:val="21"/>
          <w:lang w:val="es-ES_tradnl"/>
        </w:rPr>
        <w:t>en conjunción con</w:t>
      </w:r>
      <w:r w:rsidR="00642490" w:rsidRPr="00642490">
        <w:rPr>
          <w:rFonts w:ascii="Cambria" w:eastAsia="Calibri" w:hAnsi="Cambria"/>
          <w:sz w:val="21"/>
          <w:szCs w:val="21"/>
          <w:lang w:val="es-ES_tradnl"/>
        </w:rPr>
        <w:t xml:space="preserve"> la continuidad del</w:t>
      </w:r>
      <w:r w:rsidR="003D1896">
        <w:rPr>
          <w:rFonts w:ascii="Cambria" w:eastAsia="Calibri" w:hAnsi="Cambria"/>
          <w:sz w:val="21"/>
          <w:szCs w:val="21"/>
          <w:lang w:val="es-ES_tradnl"/>
        </w:rPr>
        <w:t xml:space="preserve"> impulso </w:t>
      </w:r>
      <w:r w:rsidR="00426CCD">
        <w:rPr>
          <w:rFonts w:ascii="Cambria" w:eastAsia="Calibri" w:hAnsi="Cambria"/>
          <w:sz w:val="21"/>
          <w:szCs w:val="21"/>
          <w:lang w:val="es-ES_tradnl"/>
        </w:rPr>
        <w:t xml:space="preserve">mantenido por </w:t>
      </w:r>
      <w:r w:rsidR="003D1896">
        <w:rPr>
          <w:rFonts w:ascii="Cambria" w:eastAsia="Calibri" w:hAnsi="Cambria"/>
          <w:sz w:val="21"/>
          <w:szCs w:val="21"/>
          <w:lang w:val="es-ES_tradnl"/>
        </w:rPr>
        <w:t>los propuestos beneficiarios para lograr el reconocimiento de su comunidad y titulación de su territorio</w:t>
      </w:r>
      <w:r w:rsidR="006947C0">
        <w:rPr>
          <w:rFonts w:ascii="Cambria" w:eastAsia="Calibri" w:hAnsi="Cambria"/>
          <w:sz w:val="21"/>
          <w:szCs w:val="21"/>
          <w:lang w:val="es-ES_tradnl"/>
        </w:rPr>
        <w:t xml:space="preserve">. </w:t>
      </w:r>
      <w:bookmarkStart w:id="0" w:name="_GoBack"/>
      <w:bookmarkEnd w:id="0"/>
    </w:p>
    <w:p w14:paraId="68577C0A" w14:textId="77777777" w:rsidR="00642490" w:rsidRDefault="00642490" w:rsidP="00A93C9D">
      <w:pPr>
        <w:pStyle w:val="ListParagraph"/>
        <w:ind w:left="360"/>
        <w:jc w:val="both"/>
        <w:rPr>
          <w:rFonts w:ascii="Cambria" w:eastAsia="Calibri" w:hAnsi="Cambria"/>
          <w:sz w:val="21"/>
          <w:szCs w:val="21"/>
          <w:lang w:val="es-ES_tradnl"/>
        </w:rPr>
      </w:pPr>
    </w:p>
    <w:p w14:paraId="7062E34D" w14:textId="517BB029" w:rsidR="00B94EC2" w:rsidRPr="00722489" w:rsidRDefault="00722489" w:rsidP="00A93C9D">
      <w:pPr>
        <w:pStyle w:val="ListParagraph"/>
        <w:numPr>
          <w:ilvl w:val="0"/>
          <w:numId w:val="1"/>
        </w:numPr>
        <w:ind w:left="0" w:firstLine="360"/>
        <w:jc w:val="both"/>
        <w:rPr>
          <w:rFonts w:ascii="Cambria" w:eastAsia="Calibri" w:hAnsi="Cambria"/>
          <w:sz w:val="21"/>
          <w:szCs w:val="21"/>
          <w:lang w:val="es-ES_tradnl"/>
        </w:rPr>
      </w:pPr>
      <w:r w:rsidRPr="00722489">
        <w:rPr>
          <w:rFonts w:ascii="Cambria" w:eastAsia="Calibri" w:hAnsi="Cambria"/>
          <w:sz w:val="21"/>
          <w:szCs w:val="21"/>
          <w:lang w:val="es-ES_tradnl"/>
        </w:rPr>
        <w:t xml:space="preserve">En lo que respecta al requisito de irreparabilidad, la Comisión </w:t>
      </w:r>
      <w:r w:rsidR="00426CCD">
        <w:rPr>
          <w:rFonts w:ascii="Cambria" w:eastAsia="Calibri" w:hAnsi="Cambria"/>
          <w:sz w:val="21"/>
          <w:szCs w:val="21"/>
          <w:lang w:val="es-ES_tradnl"/>
        </w:rPr>
        <w:t>sostiene</w:t>
      </w:r>
      <w:r w:rsidR="00426CCD" w:rsidRPr="00722489">
        <w:rPr>
          <w:rFonts w:ascii="Cambria" w:eastAsia="Calibri" w:hAnsi="Cambria"/>
          <w:sz w:val="21"/>
          <w:szCs w:val="21"/>
          <w:lang w:val="es-ES_tradnl"/>
        </w:rPr>
        <w:t xml:space="preserve"> </w:t>
      </w:r>
      <w:r w:rsidRPr="00722489">
        <w:rPr>
          <w:rFonts w:ascii="Cambria" w:eastAsia="Calibri" w:hAnsi="Cambria"/>
          <w:sz w:val="21"/>
          <w:szCs w:val="21"/>
          <w:lang w:val="es-ES_tradnl"/>
        </w:rPr>
        <w:t xml:space="preserve">que se encuentra cumplido, ya que la posible afectación a los derechos a la vida e integridad personal, por su propia naturaleza, constituyen la máxima situación de irreparabilidad. </w:t>
      </w:r>
    </w:p>
    <w:p w14:paraId="4787BCE3" w14:textId="77777777" w:rsidR="00D35D8B" w:rsidRPr="00830EDD" w:rsidRDefault="00D35D8B" w:rsidP="00A93C9D">
      <w:pPr>
        <w:pStyle w:val="ListParagraph"/>
        <w:ind w:left="360"/>
        <w:jc w:val="both"/>
        <w:rPr>
          <w:rFonts w:ascii="Cambria" w:eastAsia="Calibri" w:hAnsi="Cambria"/>
          <w:sz w:val="21"/>
          <w:szCs w:val="21"/>
          <w:lang w:val="es-ES_tradnl"/>
        </w:rPr>
      </w:pPr>
    </w:p>
    <w:p w14:paraId="32EB11DF" w14:textId="75688DA0" w:rsidR="00007FC4" w:rsidRPr="00830EDD" w:rsidRDefault="00007FC4" w:rsidP="00A93C9D">
      <w:pPr>
        <w:pStyle w:val="ListParagraph"/>
        <w:numPr>
          <w:ilvl w:val="0"/>
          <w:numId w:val="2"/>
        </w:numPr>
        <w:ind w:firstLine="0"/>
        <w:jc w:val="both"/>
        <w:rPr>
          <w:rFonts w:ascii="Cambria" w:hAnsi="Cambria"/>
          <w:b/>
          <w:bCs/>
          <w:sz w:val="21"/>
          <w:szCs w:val="21"/>
          <w:lang w:val="es-AR"/>
        </w:rPr>
      </w:pPr>
      <w:r w:rsidRPr="00830EDD">
        <w:rPr>
          <w:rFonts w:ascii="Cambria" w:eastAsia="Calibri" w:hAnsi="Cambria"/>
          <w:b/>
          <w:sz w:val="21"/>
          <w:szCs w:val="21"/>
          <w:lang w:val="es-ES_tradnl"/>
        </w:rPr>
        <w:t>BENEFICIARI</w:t>
      </w:r>
      <w:r w:rsidR="00D35D8B">
        <w:rPr>
          <w:rFonts w:ascii="Cambria" w:eastAsia="Calibri" w:hAnsi="Cambria"/>
          <w:b/>
          <w:sz w:val="21"/>
          <w:szCs w:val="21"/>
          <w:lang w:val="es-ES_tradnl"/>
        </w:rPr>
        <w:t>OS</w:t>
      </w:r>
    </w:p>
    <w:p w14:paraId="7F196389" w14:textId="77777777" w:rsidR="00007FC4" w:rsidRPr="00830EDD" w:rsidRDefault="00007FC4" w:rsidP="00A93C9D">
      <w:pPr>
        <w:jc w:val="both"/>
        <w:rPr>
          <w:rFonts w:ascii="Cambria" w:hAnsi="Cambria"/>
          <w:sz w:val="21"/>
          <w:szCs w:val="21"/>
          <w:lang w:val="es-AR"/>
        </w:rPr>
      </w:pPr>
    </w:p>
    <w:p w14:paraId="0C0C8292" w14:textId="1121FBD9" w:rsidR="008C714C" w:rsidRPr="00830EDD" w:rsidRDefault="00007FC4" w:rsidP="00A93C9D">
      <w:pPr>
        <w:pStyle w:val="ListParagraph"/>
        <w:numPr>
          <w:ilvl w:val="0"/>
          <w:numId w:val="1"/>
        </w:numPr>
        <w:ind w:left="0" w:firstLine="360"/>
        <w:jc w:val="both"/>
        <w:rPr>
          <w:rFonts w:ascii="Cambria" w:hAnsi="Cambria"/>
          <w:sz w:val="21"/>
          <w:szCs w:val="21"/>
          <w:lang w:val="es-MX"/>
        </w:rPr>
      </w:pPr>
      <w:r w:rsidRPr="00830EDD">
        <w:rPr>
          <w:rFonts w:ascii="Cambria" w:hAnsi="Cambria"/>
          <w:sz w:val="21"/>
          <w:szCs w:val="21"/>
          <w:lang w:val="es-MX"/>
        </w:rPr>
        <w:t xml:space="preserve">La Comisión declara que </w:t>
      </w:r>
      <w:r w:rsidR="00D35D8B">
        <w:rPr>
          <w:rFonts w:ascii="Cambria" w:hAnsi="Cambria"/>
          <w:sz w:val="21"/>
          <w:szCs w:val="21"/>
          <w:lang w:val="es-MX"/>
        </w:rPr>
        <w:t>los beneficiarios de las presentes medidas cautelares son las familias de la Comunidad Nueva Austria del Sira, quienes son susceptibles de identificación en los términos del artículo 25.</w:t>
      </w:r>
      <w:r w:rsidR="00722489">
        <w:rPr>
          <w:rFonts w:ascii="Cambria" w:hAnsi="Cambria"/>
          <w:sz w:val="21"/>
          <w:szCs w:val="21"/>
          <w:lang w:val="es-MX"/>
        </w:rPr>
        <w:t>6.b del Reglamento de la CIDH</w:t>
      </w:r>
      <w:r w:rsidR="00337FCF" w:rsidRPr="00830EDD">
        <w:rPr>
          <w:rFonts w:ascii="Cambria" w:hAnsi="Cambria"/>
          <w:sz w:val="21"/>
          <w:szCs w:val="21"/>
          <w:lang w:val="es-ES_tradnl"/>
        </w:rPr>
        <w:t>.</w:t>
      </w:r>
    </w:p>
    <w:p w14:paraId="56F9E1FF" w14:textId="77777777" w:rsidR="00007FC4" w:rsidRPr="00830EDD" w:rsidRDefault="00007FC4" w:rsidP="00A93C9D">
      <w:pPr>
        <w:jc w:val="both"/>
        <w:rPr>
          <w:rFonts w:ascii="Cambria" w:hAnsi="Cambria"/>
          <w:sz w:val="21"/>
          <w:szCs w:val="21"/>
          <w:lang w:val="es-MX"/>
        </w:rPr>
      </w:pPr>
    </w:p>
    <w:p w14:paraId="4B5FCE00" w14:textId="77777777" w:rsidR="00007FC4" w:rsidRPr="00830EDD" w:rsidRDefault="00007FC4" w:rsidP="00A93C9D">
      <w:pPr>
        <w:pStyle w:val="ListParagraph"/>
        <w:numPr>
          <w:ilvl w:val="0"/>
          <w:numId w:val="2"/>
        </w:numPr>
        <w:ind w:firstLine="0"/>
        <w:jc w:val="both"/>
        <w:rPr>
          <w:rFonts w:ascii="Cambria" w:hAnsi="Cambria"/>
          <w:b/>
          <w:bCs/>
          <w:sz w:val="21"/>
          <w:szCs w:val="21"/>
          <w:lang w:val="es-AR"/>
        </w:rPr>
      </w:pPr>
      <w:r w:rsidRPr="00830EDD">
        <w:rPr>
          <w:rFonts w:ascii="Cambria" w:eastAsia="Calibri" w:hAnsi="Cambria"/>
          <w:b/>
          <w:sz w:val="21"/>
          <w:szCs w:val="21"/>
          <w:lang w:val="es-ES_tradnl"/>
        </w:rPr>
        <w:t>DECISIÓN</w:t>
      </w:r>
    </w:p>
    <w:p w14:paraId="356EB216" w14:textId="77777777" w:rsidR="00007FC4" w:rsidRPr="00830EDD" w:rsidRDefault="00007FC4" w:rsidP="00A93C9D">
      <w:pPr>
        <w:jc w:val="both"/>
        <w:rPr>
          <w:rFonts w:ascii="Cambria" w:hAnsi="Cambria"/>
          <w:sz w:val="21"/>
          <w:szCs w:val="21"/>
          <w:lang w:val="es-AR"/>
        </w:rPr>
      </w:pPr>
    </w:p>
    <w:p w14:paraId="72B2D8E5" w14:textId="03202D5A" w:rsidR="004D4E1B" w:rsidRPr="00830EDD" w:rsidRDefault="00007FC4" w:rsidP="00A93C9D">
      <w:pPr>
        <w:pStyle w:val="ListParagraph"/>
        <w:numPr>
          <w:ilvl w:val="0"/>
          <w:numId w:val="1"/>
        </w:numPr>
        <w:ind w:left="0" w:firstLine="360"/>
        <w:jc w:val="both"/>
        <w:rPr>
          <w:rFonts w:ascii="Cambria" w:hAnsi="Cambria"/>
          <w:sz w:val="21"/>
          <w:szCs w:val="21"/>
          <w:lang w:val="es-MX"/>
        </w:rPr>
      </w:pPr>
      <w:r w:rsidRPr="00830EDD">
        <w:rPr>
          <w:rFonts w:ascii="Cambria" w:hAnsi="Cambria"/>
          <w:sz w:val="21"/>
          <w:szCs w:val="21"/>
          <w:lang w:val="es-MX"/>
        </w:rPr>
        <w:t xml:space="preserve">La Comisión considera que el presente asunto reúne </w:t>
      </w:r>
      <w:r w:rsidRPr="00830EDD">
        <w:rPr>
          <w:rFonts w:ascii="Cambria" w:hAnsi="Cambria"/>
          <w:i/>
          <w:sz w:val="21"/>
          <w:szCs w:val="21"/>
          <w:lang w:val="es-MX"/>
        </w:rPr>
        <w:t>prima facie</w:t>
      </w:r>
      <w:r w:rsidRPr="00830EDD">
        <w:rPr>
          <w:rFonts w:ascii="Cambria" w:hAnsi="Cambria"/>
          <w:sz w:val="21"/>
          <w:szCs w:val="21"/>
          <w:lang w:val="es-MX"/>
        </w:rPr>
        <w:t xml:space="preserve"> los requisitos de gravedad, urgencia e irreparabilidad contenidos en el artículo 25 de su Reglamento. En consecuencia, </w:t>
      </w:r>
      <w:r w:rsidR="00426CCD">
        <w:rPr>
          <w:rFonts w:ascii="Cambria" w:hAnsi="Cambria"/>
          <w:sz w:val="21"/>
          <w:szCs w:val="21"/>
          <w:lang w:val="es-MX"/>
        </w:rPr>
        <w:t>esta</w:t>
      </w:r>
      <w:r w:rsidRPr="00830EDD">
        <w:rPr>
          <w:rFonts w:ascii="Cambria" w:hAnsi="Cambria"/>
          <w:sz w:val="21"/>
          <w:szCs w:val="21"/>
          <w:lang w:val="es-MX"/>
        </w:rPr>
        <w:t xml:space="preserve"> solicita </w:t>
      </w:r>
      <w:r w:rsidR="002A6E25" w:rsidRPr="00830EDD">
        <w:rPr>
          <w:rFonts w:ascii="Cambria" w:hAnsi="Cambria"/>
          <w:sz w:val="21"/>
          <w:szCs w:val="21"/>
          <w:lang w:val="es-MX"/>
        </w:rPr>
        <w:t xml:space="preserve">a </w:t>
      </w:r>
      <w:r w:rsidR="000C31E1" w:rsidRPr="00830EDD">
        <w:rPr>
          <w:rFonts w:ascii="Cambria" w:hAnsi="Cambria"/>
          <w:sz w:val="21"/>
          <w:szCs w:val="21"/>
          <w:lang w:val="es-MX"/>
        </w:rPr>
        <w:t>Perú</w:t>
      </w:r>
      <w:r w:rsidR="00CD1171" w:rsidRPr="00830EDD">
        <w:rPr>
          <w:rFonts w:ascii="Cambria" w:hAnsi="Cambria"/>
          <w:sz w:val="21"/>
          <w:szCs w:val="21"/>
          <w:lang w:val="es-MX"/>
        </w:rPr>
        <w:t xml:space="preserve"> que:</w:t>
      </w:r>
    </w:p>
    <w:p w14:paraId="235AE422" w14:textId="5DE1D1E7" w:rsidR="00337FCF" w:rsidRDefault="00337FCF" w:rsidP="00A93C9D">
      <w:pPr>
        <w:pStyle w:val="ListParagraph"/>
        <w:ind w:left="360"/>
        <w:jc w:val="both"/>
        <w:rPr>
          <w:rFonts w:ascii="Cambria" w:hAnsi="Cambria"/>
          <w:sz w:val="21"/>
          <w:szCs w:val="21"/>
          <w:lang w:val="es-MX"/>
        </w:rPr>
      </w:pPr>
    </w:p>
    <w:p w14:paraId="5FD26122" w14:textId="5C478F3D" w:rsidR="00722489" w:rsidRDefault="00722489" w:rsidP="00A93C9D">
      <w:pPr>
        <w:pStyle w:val="ListParagraph"/>
        <w:numPr>
          <w:ilvl w:val="0"/>
          <w:numId w:val="45"/>
        </w:numPr>
        <w:jc w:val="both"/>
        <w:rPr>
          <w:rFonts w:ascii="Cambria" w:hAnsi="Cambria"/>
          <w:sz w:val="21"/>
          <w:szCs w:val="21"/>
          <w:lang w:val="es-MX"/>
        </w:rPr>
      </w:pPr>
      <w:r>
        <w:rPr>
          <w:rFonts w:ascii="Cambria" w:hAnsi="Cambria"/>
          <w:sz w:val="21"/>
          <w:szCs w:val="21"/>
          <w:lang w:val="es-MX"/>
        </w:rPr>
        <w:t xml:space="preserve">adopte las medidas necesarias para proteger los derechos a la vida e integridad personal de las familias </w:t>
      </w:r>
      <w:r w:rsidRPr="00722489">
        <w:rPr>
          <w:rFonts w:ascii="Cambria" w:hAnsi="Cambria"/>
          <w:sz w:val="21"/>
          <w:szCs w:val="21"/>
          <w:lang w:val="es-MX"/>
        </w:rPr>
        <w:t>de la Comunidad Nueva Austria del Sira</w:t>
      </w:r>
      <w:r>
        <w:rPr>
          <w:rFonts w:ascii="Cambria" w:hAnsi="Cambria"/>
          <w:sz w:val="21"/>
          <w:szCs w:val="21"/>
          <w:lang w:val="es-MX"/>
        </w:rPr>
        <w:t>, y evitar actos de violencia de parte de terceros;</w:t>
      </w:r>
    </w:p>
    <w:p w14:paraId="659FAB3C" w14:textId="77777777" w:rsidR="002A3326" w:rsidRDefault="002A3326" w:rsidP="00A93C9D">
      <w:pPr>
        <w:pStyle w:val="ListParagraph"/>
        <w:jc w:val="both"/>
        <w:rPr>
          <w:rFonts w:ascii="Cambria" w:hAnsi="Cambria"/>
          <w:sz w:val="21"/>
          <w:szCs w:val="21"/>
          <w:lang w:val="es-MX"/>
        </w:rPr>
      </w:pPr>
    </w:p>
    <w:p w14:paraId="3E271C15" w14:textId="1B46C21A" w:rsidR="00ED2666" w:rsidRDefault="00ED2666" w:rsidP="00A93C9D">
      <w:pPr>
        <w:pStyle w:val="ListParagraph"/>
        <w:numPr>
          <w:ilvl w:val="0"/>
          <w:numId w:val="45"/>
        </w:numPr>
        <w:jc w:val="both"/>
        <w:rPr>
          <w:rFonts w:ascii="Cambria" w:hAnsi="Cambria"/>
          <w:sz w:val="21"/>
          <w:szCs w:val="21"/>
          <w:lang w:val="es-MX"/>
        </w:rPr>
      </w:pPr>
      <w:r>
        <w:rPr>
          <w:rFonts w:ascii="Cambria" w:hAnsi="Cambria"/>
          <w:sz w:val="21"/>
          <w:szCs w:val="21"/>
          <w:lang w:val="es-MX"/>
        </w:rPr>
        <w:t>adopte las medidas de protección culturalmente adecuadas para proteger la vida y la integridad personal de las familias de la comunidad identificada;</w:t>
      </w:r>
    </w:p>
    <w:p w14:paraId="7D6D380D" w14:textId="77777777" w:rsidR="00ED2666" w:rsidRPr="00ED2666" w:rsidRDefault="00ED2666" w:rsidP="00A93C9D">
      <w:pPr>
        <w:pStyle w:val="ListParagraph"/>
        <w:rPr>
          <w:rFonts w:ascii="Cambria" w:hAnsi="Cambria"/>
          <w:sz w:val="21"/>
          <w:szCs w:val="21"/>
          <w:lang w:val="es-MX"/>
        </w:rPr>
      </w:pPr>
    </w:p>
    <w:p w14:paraId="06FFD3A8" w14:textId="70593BAE" w:rsidR="00722489" w:rsidRDefault="00722489" w:rsidP="00A93C9D">
      <w:pPr>
        <w:pStyle w:val="ListParagraph"/>
        <w:numPr>
          <w:ilvl w:val="0"/>
          <w:numId w:val="45"/>
        </w:numPr>
        <w:jc w:val="both"/>
        <w:rPr>
          <w:rFonts w:ascii="Cambria" w:hAnsi="Cambria"/>
          <w:sz w:val="21"/>
          <w:szCs w:val="21"/>
          <w:lang w:val="es-MX"/>
        </w:rPr>
      </w:pPr>
      <w:r>
        <w:rPr>
          <w:rFonts w:ascii="Cambria" w:hAnsi="Cambria"/>
          <w:sz w:val="21"/>
          <w:szCs w:val="21"/>
          <w:lang w:val="es-MX"/>
        </w:rPr>
        <w:t>concierte las medidas a adoptarse con las personas beneficiarias y sus representantes;</w:t>
      </w:r>
      <w:r w:rsidR="00ED2666">
        <w:rPr>
          <w:rFonts w:ascii="Cambria" w:hAnsi="Cambria"/>
          <w:sz w:val="21"/>
          <w:szCs w:val="21"/>
          <w:lang w:val="es-MX"/>
        </w:rPr>
        <w:t xml:space="preserve"> y</w:t>
      </w:r>
    </w:p>
    <w:p w14:paraId="397901BA" w14:textId="77777777" w:rsidR="002A3326" w:rsidRDefault="002A3326" w:rsidP="00A93C9D">
      <w:pPr>
        <w:pStyle w:val="ListParagraph"/>
        <w:jc w:val="both"/>
        <w:rPr>
          <w:rFonts w:ascii="Cambria" w:hAnsi="Cambria"/>
          <w:sz w:val="21"/>
          <w:szCs w:val="21"/>
          <w:lang w:val="es-MX"/>
        </w:rPr>
      </w:pPr>
    </w:p>
    <w:p w14:paraId="5F913633" w14:textId="64C3C085" w:rsidR="00722489" w:rsidRPr="00722489" w:rsidRDefault="00722489" w:rsidP="00A93C9D">
      <w:pPr>
        <w:pStyle w:val="ListParagraph"/>
        <w:numPr>
          <w:ilvl w:val="0"/>
          <w:numId w:val="45"/>
        </w:numPr>
        <w:jc w:val="both"/>
        <w:rPr>
          <w:rFonts w:ascii="Cambria" w:hAnsi="Cambria"/>
          <w:sz w:val="21"/>
          <w:szCs w:val="21"/>
          <w:lang w:val="es-MX"/>
        </w:rPr>
      </w:pPr>
      <w:r>
        <w:rPr>
          <w:rFonts w:ascii="Cambria" w:hAnsi="Cambria"/>
          <w:sz w:val="21"/>
          <w:szCs w:val="21"/>
          <w:lang w:val="es-MX"/>
        </w:rPr>
        <w:t xml:space="preserve">informe sobre las acciones implementadas tendientes a investigar los hechos que dieron lugar a la adopción de la presente medidas cautelar y así evitar su repetición. </w:t>
      </w:r>
    </w:p>
    <w:p w14:paraId="70EEB913" w14:textId="77777777" w:rsidR="004D4E1B" w:rsidRPr="00830EDD" w:rsidRDefault="004D4E1B" w:rsidP="00A93C9D">
      <w:pPr>
        <w:jc w:val="both"/>
        <w:rPr>
          <w:rFonts w:ascii="Cambria" w:hAnsi="Cambria"/>
          <w:sz w:val="21"/>
          <w:szCs w:val="21"/>
          <w:lang w:val="es-MX"/>
        </w:rPr>
      </w:pPr>
    </w:p>
    <w:p w14:paraId="113F0E1C" w14:textId="77777777" w:rsidR="00007FC4" w:rsidRPr="00830EDD" w:rsidRDefault="00007FC4" w:rsidP="00A93C9D">
      <w:pPr>
        <w:pStyle w:val="ListParagraph"/>
        <w:numPr>
          <w:ilvl w:val="0"/>
          <w:numId w:val="1"/>
        </w:numPr>
        <w:ind w:left="0" w:firstLine="360"/>
        <w:jc w:val="both"/>
        <w:rPr>
          <w:rFonts w:ascii="Cambria" w:hAnsi="Cambria"/>
          <w:sz w:val="21"/>
          <w:szCs w:val="21"/>
          <w:lang w:val="es-AR"/>
        </w:rPr>
      </w:pPr>
      <w:r w:rsidRPr="00830EDD">
        <w:rPr>
          <w:rFonts w:ascii="Cambria" w:hAnsi="Cambria"/>
          <w:sz w:val="21"/>
          <w:szCs w:val="21"/>
          <w:lang w:val="es-ES"/>
        </w:rPr>
        <w:t xml:space="preserve">La Comisión solicita al Gobierno de </w:t>
      </w:r>
      <w:r w:rsidR="000C31E1" w:rsidRPr="00830EDD">
        <w:rPr>
          <w:rFonts w:ascii="Cambria" w:hAnsi="Cambria"/>
          <w:sz w:val="21"/>
          <w:szCs w:val="21"/>
          <w:lang w:val="es-ES"/>
        </w:rPr>
        <w:t>Perú</w:t>
      </w:r>
      <w:r w:rsidRPr="00830EDD">
        <w:rPr>
          <w:rFonts w:ascii="Cambria" w:hAnsi="Cambria"/>
          <w:sz w:val="21"/>
          <w:szCs w:val="21"/>
          <w:lang w:val="es-ES"/>
        </w:rPr>
        <w:t xml:space="preserve"> que informe, dentro del plazo de </w:t>
      </w:r>
      <w:r w:rsidR="0039006B" w:rsidRPr="00830EDD">
        <w:rPr>
          <w:rFonts w:ascii="Cambria" w:hAnsi="Cambria"/>
          <w:sz w:val="21"/>
          <w:szCs w:val="21"/>
          <w:lang w:val="es-ES"/>
        </w:rPr>
        <w:t>15</w:t>
      </w:r>
      <w:r w:rsidRPr="00830EDD">
        <w:rPr>
          <w:rFonts w:ascii="Cambria" w:hAnsi="Cambria"/>
          <w:sz w:val="21"/>
          <w:szCs w:val="21"/>
          <w:lang w:val="es-ES"/>
        </w:rPr>
        <w:t xml:space="preserve"> días</w:t>
      </w:r>
      <w:r w:rsidR="00F22460" w:rsidRPr="00830EDD">
        <w:rPr>
          <w:rFonts w:ascii="Cambria" w:hAnsi="Cambria"/>
          <w:sz w:val="21"/>
          <w:szCs w:val="21"/>
          <w:lang w:val="es-ES"/>
        </w:rPr>
        <w:t>,</w:t>
      </w:r>
      <w:r w:rsidRPr="00830EDD">
        <w:rPr>
          <w:rFonts w:ascii="Cambria" w:hAnsi="Cambria"/>
          <w:sz w:val="21"/>
          <w:szCs w:val="21"/>
          <w:lang w:val="es-ES"/>
        </w:rPr>
        <w:t xml:space="preserve"> contados a partir de la fecha de la presente resolución, sobre la adopción de las medidas cautelares requeridas y actualizar dicha información en forma periódica. </w:t>
      </w:r>
    </w:p>
    <w:p w14:paraId="3B0CF38E" w14:textId="77777777" w:rsidR="00007FC4" w:rsidRPr="00830EDD" w:rsidRDefault="00007FC4" w:rsidP="00A93C9D">
      <w:pPr>
        <w:ind w:left="360"/>
        <w:jc w:val="both"/>
        <w:rPr>
          <w:rFonts w:ascii="Cambria" w:hAnsi="Cambria"/>
          <w:sz w:val="21"/>
          <w:szCs w:val="21"/>
          <w:lang w:val="es-AR"/>
        </w:rPr>
      </w:pPr>
    </w:p>
    <w:p w14:paraId="7AE86EF1" w14:textId="77777777" w:rsidR="00007FC4" w:rsidRPr="00830EDD" w:rsidRDefault="00007FC4" w:rsidP="00A93C9D">
      <w:pPr>
        <w:pStyle w:val="ListParagraph"/>
        <w:numPr>
          <w:ilvl w:val="0"/>
          <w:numId w:val="1"/>
        </w:numPr>
        <w:ind w:left="0" w:firstLine="360"/>
        <w:jc w:val="both"/>
        <w:rPr>
          <w:rFonts w:ascii="Cambria" w:hAnsi="Cambria"/>
          <w:sz w:val="21"/>
          <w:szCs w:val="21"/>
          <w:lang w:val="es-AR"/>
        </w:rPr>
      </w:pPr>
      <w:r w:rsidRPr="00830EDD">
        <w:rPr>
          <w:rFonts w:ascii="Cambria" w:hAnsi="Cambria"/>
          <w:sz w:val="21"/>
          <w:szCs w:val="21"/>
          <w:lang w:val="es-ES"/>
        </w:rPr>
        <w:t>La Comisión resalta que</w:t>
      </w:r>
      <w:r w:rsidR="00F22460" w:rsidRPr="00830EDD">
        <w:rPr>
          <w:rFonts w:ascii="Cambria" w:hAnsi="Cambria"/>
          <w:sz w:val="21"/>
          <w:szCs w:val="21"/>
          <w:lang w:val="es-ES"/>
        </w:rPr>
        <w:t>,</w:t>
      </w:r>
      <w:r w:rsidRPr="00830EDD">
        <w:rPr>
          <w:rFonts w:ascii="Cambria" w:hAnsi="Cambria"/>
          <w:sz w:val="21"/>
          <w:szCs w:val="21"/>
          <w:lang w:val="es-ES"/>
        </w:rPr>
        <w:t xml:space="preserve"> de acuerdo con el artículo 25 (8) de su Reglamento, el otorgamiento</w:t>
      </w:r>
      <w:r w:rsidR="00F22460" w:rsidRPr="00830EDD">
        <w:rPr>
          <w:rFonts w:ascii="Cambria" w:hAnsi="Cambria"/>
          <w:sz w:val="21"/>
          <w:szCs w:val="21"/>
          <w:lang w:val="es-ES"/>
        </w:rPr>
        <w:t xml:space="preserve"> de la presente medida cautelar</w:t>
      </w:r>
      <w:r w:rsidRPr="00830EDD">
        <w:rPr>
          <w:rFonts w:ascii="Cambria" w:hAnsi="Cambria"/>
          <w:sz w:val="21"/>
          <w:szCs w:val="21"/>
          <w:lang w:val="es-ES"/>
        </w:rPr>
        <w:t xml:space="preserve"> y su adopción por el Estado no constituyen prejuzgamiento sobre violación alguna a los derechos protegidos en</w:t>
      </w:r>
      <w:r w:rsidR="009630A4" w:rsidRPr="00830EDD">
        <w:rPr>
          <w:rFonts w:ascii="Cambria" w:hAnsi="Cambria"/>
          <w:sz w:val="21"/>
          <w:szCs w:val="21"/>
          <w:lang w:val="es-ES"/>
        </w:rPr>
        <w:t xml:space="preserve"> la</w:t>
      </w:r>
      <w:r w:rsidR="009630A4" w:rsidRPr="00830EDD">
        <w:rPr>
          <w:rFonts w:ascii="Cambria" w:hAnsi="Cambria"/>
          <w:color w:val="000000"/>
          <w:sz w:val="21"/>
          <w:szCs w:val="21"/>
          <w:lang w:val="es-ES"/>
        </w:rPr>
        <w:t xml:space="preserve"> Convención Americana y otros instrumentos aplicables</w:t>
      </w:r>
      <w:r w:rsidRPr="00830EDD">
        <w:rPr>
          <w:rFonts w:ascii="Cambria" w:hAnsi="Cambria"/>
          <w:sz w:val="21"/>
          <w:szCs w:val="21"/>
          <w:lang w:val="es-ES"/>
        </w:rPr>
        <w:t xml:space="preserve">. </w:t>
      </w:r>
    </w:p>
    <w:p w14:paraId="41F50405" w14:textId="77777777" w:rsidR="00007FC4" w:rsidRPr="00830EDD" w:rsidRDefault="00007FC4" w:rsidP="00A93C9D">
      <w:pPr>
        <w:ind w:left="360"/>
        <w:jc w:val="both"/>
        <w:rPr>
          <w:rFonts w:ascii="Cambria" w:hAnsi="Cambria"/>
          <w:sz w:val="21"/>
          <w:szCs w:val="21"/>
          <w:lang w:val="es-AR"/>
        </w:rPr>
      </w:pPr>
    </w:p>
    <w:p w14:paraId="6E22BEA8" w14:textId="6293D6F5" w:rsidR="00140E96" w:rsidRDefault="00007FC4" w:rsidP="00A93C9D">
      <w:pPr>
        <w:pStyle w:val="ListParagraph"/>
        <w:numPr>
          <w:ilvl w:val="0"/>
          <w:numId w:val="1"/>
        </w:numPr>
        <w:ind w:left="0" w:firstLine="360"/>
        <w:jc w:val="both"/>
        <w:rPr>
          <w:rFonts w:ascii="Cambria" w:hAnsi="Cambria"/>
          <w:sz w:val="21"/>
          <w:szCs w:val="21"/>
          <w:lang w:val="es-AR"/>
        </w:rPr>
      </w:pPr>
      <w:r w:rsidRPr="00830EDD">
        <w:rPr>
          <w:rFonts w:ascii="Cambria" w:hAnsi="Cambria"/>
          <w:sz w:val="21"/>
          <w:szCs w:val="21"/>
          <w:lang w:val="es-AR"/>
        </w:rPr>
        <w:t xml:space="preserve">La Comisión </w:t>
      </w:r>
      <w:r w:rsidR="002A3326">
        <w:rPr>
          <w:rFonts w:ascii="Cambria" w:hAnsi="Cambria"/>
          <w:sz w:val="21"/>
          <w:szCs w:val="21"/>
          <w:lang w:val="es-AR"/>
        </w:rPr>
        <w:t xml:space="preserve">instruye </w:t>
      </w:r>
      <w:r w:rsidR="003E1AA3">
        <w:rPr>
          <w:rFonts w:ascii="Cambria" w:hAnsi="Cambria"/>
          <w:sz w:val="21"/>
          <w:szCs w:val="21"/>
          <w:lang w:val="es-AR"/>
        </w:rPr>
        <w:t>a</w:t>
      </w:r>
      <w:r w:rsidRPr="00830EDD">
        <w:rPr>
          <w:rFonts w:ascii="Cambria" w:hAnsi="Cambria"/>
          <w:sz w:val="21"/>
          <w:szCs w:val="21"/>
          <w:lang w:val="es-AR"/>
        </w:rPr>
        <w:t xml:space="preserve"> </w:t>
      </w:r>
      <w:r w:rsidR="003E1AA3">
        <w:rPr>
          <w:rFonts w:ascii="Cambria" w:hAnsi="Cambria"/>
          <w:sz w:val="21"/>
          <w:szCs w:val="21"/>
          <w:lang w:val="es-AR"/>
        </w:rPr>
        <w:t>su</w:t>
      </w:r>
      <w:r w:rsidRPr="00830EDD">
        <w:rPr>
          <w:rFonts w:ascii="Cambria" w:hAnsi="Cambria"/>
          <w:sz w:val="21"/>
          <w:szCs w:val="21"/>
          <w:lang w:val="es-AR"/>
        </w:rPr>
        <w:t xml:space="preserve"> Secretaría Ejecutiva </w:t>
      </w:r>
      <w:r w:rsidR="003E1AA3">
        <w:rPr>
          <w:rFonts w:ascii="Cambria" w:hAnsi="Cambria"/>
          <w:sz w:val="21"/>
          <w:szCs w:val="21"/>
          <w:lang w:val="es-AR"/>
        </w:rPr>
        <w:t xml:space="preserve">que </w:t>
      </w:r>
      <w:r w:rsidRPr="00830EDD">
        <w:rPr>
          <w:rFonts w:ascii="Cambria" w:hAnsi="Cambria"/>
          <w:sz w:val="21"/>
          <w:szCs w:val="21"/>
          <w:lang w:val="es-AR"/>
        </w:rPr>
        <w:t>notifique la presente resolución a</w:t>
      </w:r>
      <w:r w:rsidR="008C714C" w:rsidRPr="00830EDD">
        <w:rPr>
          <w:rFonts w:ascii="Cambria" w:hAnsi="Cambria"/>
          <w:sz w:val="21"/>
          <w:szCs w:val="21"/>
          <w:lang w:val="es-AR"/>
        </w:rPr>
        <w:t>l</w:t>
      </w:r>
      <w:r w:rsidRPr="00830EDD">
        <w:rPr>
          <w:rFonts w:ascii="Cambria" w:hAnsi="Cambria"/>
          <w:sz w:val="21"/>
          <w:szCs w:val="21"/>
          <w:lang w:val="es-AR"/>
        </w:rPr>
        <w:t xml:space="preserve"> </w:t>
      </w:r>
      <w:r w:rsidR="008C714C" w:rsidRPr="00830EDD">
        <w:rPr>
          <w:rFonts w:ascii="Cambria" w:hAnsi="Cambria"/>
          <w:sz w:val="21"/>
          <w:szCs w:val="21"/>
          <w:lang w:val="es-ES"/>
        </w:rPr>
        <w:t>Estado de Perú</w:t>
      </w:r>
      <w:r w:rsidR="008C714C" w:rsidRPr="00830EDD">
        <w:rPr>
          <w:rFonts w:ascii="Cambria" w:hAnsi="Cambria"/>
          <w:sz w:val="21"/>
          <w:szCs w:val="21"/>
          <w:lang w:val="es-AR"/>
        </w:rPr>
        <w:t xml:space="preserve"> y a la solicitante</w:t>
      </w:r>
      <w:r w:rsidRPr="00830EDD">
        <w:rPr>
          <w:rFonts w:ascii="Cambria" w:hAnsi="Cambria"/>
          <w:sz w:val="21"/>
          <w:szCs w:val="21"/>
          <w:lang w:val="es-AR"/>
        </w:rPr>
        <w:t>.</w:t>
      </w:r>
    </w:p>
    <w:p w14:paraId="0177B5D8" w14:textId="77777777" w:rsidR="00140E96" w:rsidRDefault="00140E96" w:rsidP="00A93C9D">
      <w:pPr>
        <w:pStyle w:val="ListParagraph"/>
        <w:rPr>
          <w:rFonts w:ascii="Cambria" w:hAnsi="Cambria"/>
          <w:color w:val="000000"/>
          <w:sz w:val="21"/>
          <w:szCs w:val="21"/>
          <w:lang w:val="es-ES"/>
        </w:rPr>
      </w:pPr>
    </w:p>
    <w:p w14:paraId="57B8A25A" w14:textId="77777777" w:rsidR="00A93C9D" w:rsidRDefault="00A93C9D" w:rsidP="00A93C9D">
      <w:pPr>
        <w:pStyle w:val="ListParagraph"/>
        <w:rPr>
          <w:rFonts w:ascii="Cambria" w:hAnsi="Cambria"/>
          <w:color w:val="000000"/>
          <w:sz w:val="21"/>
          <w:szCs w:val="21"/>
          <w:lang w:val="es-ES"/>
        </w:rPr>
      </w:pPr>
    </w:p>
    <w:p w14:paraId="58D6740F" w14:textId="77777777" w:rsidR="00C53DE5" w:rsidRDefault="00C53DE5" w:rsidP="00A93C9D">
      <w:pPr>
        <w:pStyle w:val="ListParagraph"/>
        <w:rPr>
          <w:rFonts w:ascii="Cambria" w:hAnsi="Cambria"/>
          <w:color w:val="000000"/>
          <w:sz w:val="21"/>
          <w:szCs w:val="21"/>
          <w:lang w:val="es-ES"/>
        </w:rPr>
      </w:pPr>
    </w:p>
    <w:p w14:paraId="6139412B" w14:textId="77777777" w:rsidR="00A93C9D" w:rsidRPr="00140E96" w:rsidRDefault="00A93C9D" w:rsidP="00A93C9D">
      <w:pPr>
        <w:pStyle w:val="ListParagraph"/>
        <w:rPr>
          <w:rFonts w:ascii="Cambria" w:hAnsi="Cambria"/>
          <w:color w:val="000000"/>
          <w:sz w:val="21"/>
          <w:szCs w:val="21"/>
          <w:lang w:val="es-ES"/>
        </w:rPr>
      </w:pPr>
    </w:p>
    <w:p w14:paraId="252505AE" w14:textId="32DADD0E" w:rsidR="002E654B" w:rsidRPr="00C53DE5" w:rsidRDefault="00E63345" w:rsidP="00C53DE5">
      <w:pPr>
        <w:pStyle w:val="ListParagraph"/>
        <w:numPr>
          <w:ilvl w:val="0"/>
          <w:numId w:val="1"/>
        </w:numPr>
        <w:ind w:left="0" w:firstLine="360"/>
        <w:jc w:val="both"/>
        <w:rPr>
          <w:rFonts w:ascii="Cambria" w:hAnsi="Cambria"/>
          <w:sz w:val="21"/>
          <w:szCs w:val="21"/>
          <w:lang w:val="es-AR"/>
        </w:rPr>
      </w:pPr>
      <w:r w:rsidRPr="00140E96">
        <w:rPr>
          <w:rFonts w:ascii="Cambria" w:hAnsi="Cambria"/>
          <w:color w:val="000000"/>
          <w:sz w:val="21"/>
          <w:szCs w:val="21"/>
          <w:lang w:val="es-ES"/>
        </w:rPr>
        <w:lastRenderedPageBreak/>
        <w:t>Aprobado el</w:t>
      </w:r>
      <w:r w:rsidR="00D35D8B" w:rsidRPr="00140E96">
        <w:rPr>
          <w:rFonts w:ascii="Cambria" w:hAnsi="Cambria"/>
          <w:color w:val="000000"/>
          <w:sz w:val="21"/>
          <w:szCs w:val="21"/>
          <w:lang w:val="es-ES"/>
        </w:rPr>
        <w:t xml:space="preserve"> </w:t>
      </w:r>
      <w:r w:rsidR="00B015EC" w:rsidRPr="00140E96">
        <w:rPr>
          <w:rFonts w:ascii="Cambria" w:hAnsi="Cambria"/>
          <w:color w:val="000000"/>
          <w:sz w:val="21"/>
          <w:szCs w:val="21"/>
          <w:lang w:val="es-ES"/>
        </w:rPr>
        <w:t xml:space="preserve">6 de </w:t>
      </w:r>
      <w:r w:rsidR="00140E96" w:rsidRPr="00140E96">
        <w:rPr>
          <w:rFonts w:ascii="Cambria" w:hAnsi="Cambria"/>
          <w:color w:val="000000"/>
          <w:sz w:val="21"/>
          <w:szCs w:val="21"/>
          <w:lang w:val="es-ES"/>
        </w:rPr>
        <w:t xml:space="preserve">noviembre de 2019 por: Esmeralda Arosemena de Troitiño, Presidenta; Joel Hernández García, Primer Vicepresidente; Antonia Urrejola Noguera, Segunda Vicepresidenta; </w:t>
      </w:r>
      <w:r w:rsidR="00C53DE5">
        <w:rPr>
          <w:rFonts w:ascii="Cambria" w:hAnsi="Cambria"/>
          <w:color w:val="000000"/>
          <w:sz w:val="21"/>
          <w:szCs w:val="21"/>
          <w:lang w:val="es-ES"/>
        </w:rPr>
        <w:t xml:space="preserve"> </w:t>
      </w:r>
      <w:r w:rsidR="00C53DE5" w:rsidRPr="00C53DE5">
        <w:rPr>
          <w:rFonts w:ascii="Cambria" w:hAnsi="Cambria"/>
          <w:color w:val="000000"/>
          <w:sz w:val="21"/>
          <w:szCs w:val="21"/>
          <w:lang w:val="es-AR"/>
        </w:rPr>
        <w:t xml:space="preserve">Margarette May Macaulay; </w:t>
      </w:r>
      <w:r w:rsidR="00140E96" w:rsidRPr="00C53DE5">
        <w:rPr>
          <w:rFonts w:ascii="Cambria" w:hAnsi="Cambria"/>
          <w:color w:val="000000"/>
          <w:sz w:val="21"/>
          <w:szCs w:val="21"/>
          <w:lang w:val="es-ES"/>
        </w:rPr>
        <w:t>y Flávia Piovesan</w:t>
      </w:r>
      <w:r w:rsidR="003E1AA3" w:rsidRPr="00C53DE5">
        <w:rPr>
          <w:rFonts w:ascii="Cambria" w:hAnsi="Cambria"/>
          <w:color w:val="000000"/>
          <w:sz w:val="21"/>
          <w:szCs w:val="21"/>
          <w:lang w:val="es-ES"/>
        </w:rPr>
        <w:t>, Comisionada</w:t>
      </w:r>
      <w:r w:rsidR="00C53DE5" w:rsidRPr="00C53DE5">
        <w:rPr>
          <w:rFonts w:ascii="Cambria" w:hAnsi="Cambria"/>
          <w:color w:val="000000"/>
          <w:sz w:val="21"/>
          <w:szCs w:val="21"/>
          <w:lang w:val="es-ES"/>
        </w:rPr>
        <w:t>s</w:t>
      </w:r>
      <w:r w:rsidR="00140E96" w:rsidRPr="00C53DE5">
        <w:rPr>
          <w:rFonts w:ascii="Cambria" w:hAnsi="Cambria"/>
          <w:color w:val="000000"/>
          <w:sz w:val="21"/>
          <w:szCs w:val="21"/>
          <w:lang w:val="es-ES"/>
        </w:rPr>
        <w:t>.</w:t>
      </w:r>
    </w:p>
    <w:p w14:paraId="0039C678" w14:textId="77777777" w:rsidR="00140E96" w:rsidRDefault="00140E96" w:rsidP="00A93C9D">
      <w:pPr>
        <w:pStyle w:val="ListParagraph"/>
        <w:rPr>
          <w:rFonts w:ascii="Cambria" w:hAnsi="Cambria"/>
          <w:sz w:val="21"/>
          <w:szCs w:val="21"/>
          <w:lang w:val="es-AR"/>
        </w:rPr>
      </w:pPr>
    </w:p>
    <w:p w14:paraId="6C85ECBB" w14:textId="77777777" w:rsidR="00A93C9D" w:rsidRDefault="00A93C9D" w:rsidP="00A93C9D">
      <w:pPr>
        <w:pStyle w:val="ListParagraph"/>
        <w:rPr>
          <w:rFonts w:ascii="Cambria" w:hAnsi="Cambria"/>
          <w:sz w:val="21"/>
          <w:szCs w:val="21"/>
          <w:lang w:val="es-AR"/>
        </w:rPr>
      </w:pPr>
    </w:p>
    <w:p w14:paraId="68D7A12A" w14:textId="77777777" w:rsidR="00A93C9D" w:rsidRDefault="00A93C9D" w:rsidP="00A93C9D">
      <w:pPr>
        <w:pStyle w:val="ListParagraph"/>
        <w:rPr>
          <w:rFonts w:ascii="Cambria" w:hAnsi="Cambria"/>
          <w:sz w:val="21"/>
          <w:szCs w:val="21"/>
          <w:lang w:val="es-AR"/>
        </w:rPr>
      </w:pPr>
    </w:p>
    <w:p w14:paraId="334EC35E" w14:textId="77777777" w:rsidR="00A93C9D" w:rsidRDefault="00A93C9D" w:rsidP="00A93C9D">
      <w:pPr>
        <w:pStyle w:val="ListParagraph"/>
        <w:rPr>
          <w:rFonts w:ascii="Cambria" w:hAnsi="Cambria"/>
          <w:sz w:val="21"/>
          <w:szCs w:val="21"/>
          <w:lang w:val="es-AR"/>
        </w:rPr>
      </w:pPr>
    </w:p>
    <w:p w14:paraId="6FA9B155" w14:textId="77777777" w:rsidR="00A93C9D" w:rsidRPr="00140E96" w:rsidRDefault="00A93C9D" w:rsidP="00A93C9D">
      <w:pPr>
        <w:pStyle w:val="ListParagraph"/>
        <w:rPr>
          <w:rFonts w:ascii="Cambria" w:hAnsi="Cambria"/>
          <w:sz w:val="21"/>
          <w:szCs w:val="21"/>
          <w:lang w:val="es-AR"/>
        </w:rPr>
      </w:pPr>
    </w:p>
    <w:p w14:paraId="37101D1E" w14:textId="25A0920A" w:rsidR="00140E96" w:rsidRDefault="00A93C9D" w:rsidP="00A93C9D">
      <w:pPr>
        <w:pStyle w:val="ListParagraph"/>
        <w:ind w:left="360"/>
        <w:jc w:val="center"/>
        <w:rPr>
          <w:rFonts w:ascii="Cambria" w:hAnsi="Cambria"/>
          <w:sz w:val="21"/>
          <w:szCs w:val="21"/>
          <w:lang w:val="es-AR"/>
        </w:rPr>
      </w:pPr>
      <w:r w:rsidRPr="00A93C9D">
        <w:rPr>
          <w:rFonts w:ascii="Cambria" w:hAnsi="Cambria"/>
          <w:sz w:val="21"/>
          <w:szCs w:val="21"/>
          <w:lang w:val="es-AR"/>
        </w:rPr>
        <w:t>Mario López-Garelli</w:t>
      </w:r>
    </w:p>
    <w:p w14:paraId="1C0F3EC2" w14:textId="0DADF8AE" w:rsidR="00A93C9D" w:rsidRPr="00140E96" w:rsidRDefault="00A93C9D" w:rsidP="00A93C9D">
      <w:pPr>
        <w:pStyle w:val="ListParagraph"/>
        <w:ind w:left="360"/>
        <w:jc w:val="center"/>
        <w:rPr>
          <w:rFonts w:ascii="Cambria" w:hAnsi="Cambria"/>
          <w:sz w:val="21"/>
          <w:szCs w:val="21"/>
          <w:lang w:val="es-AR"/>
        </w:rPr>
      </w:pPr>
      <w:r>
        <w:rPr>
          <w:rFonts w:ascii="Cambria" w:hAnsi="Cambria"/>
          <w:sz w:val="21"/>
          <w:szCs w:val="21"/>
          <w:lang w:val="es-AR"/>
        </w:rPr>
        <w:t>Por autorización del Secretario Ejecutivo</w:t>
      </w:r>
    </w:p>
    <w:sectPr w:rsidR="00A93C9D" w:rsidRPr="00140E96" w:rsidSect="00603012">
      <w:headerReference w:type="default" r:id="rId9"/>
      <w:footerReference w:type="even" r:id="rId10"/>
      <w:footerReference w:type="default" r:id="rId11"/>
      <w:pgSz w:w="12240" w:h="15840"/>
      <w:pgMar w:top="1296" w:right="1440" w:bottom="1296"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DB9AB" w14:textId="77777777" w:rsidR="00B9264A" w:rsidRDefault="00B9264A" w:rsidP="00BF7D6A">
      <w:r>
        <w:separator/>
      </w:r>
    </w:p>
  </w:endnote>
  <w:endnote w:type="continuationSeparator" w:id="0">
    <w:p w14:paraId="5550D89F" w14:textId="77777777" w:rsidR="00B9264A" w:rsidRDefault="00B9264A"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303D0" w14:textId="77777777" w:rsidR="00642490" w:rsidRDefault="00642490"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4619B5" w14:textId="77777777" w:rsidR="00642490" w:rsidRDefault="00642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B00AE" w14:textId="77777777" w:rsidR="00642490" w:rsidRPr="00C522EB" w:rsidRDefault="00642490"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54547E">
      <w:rPr>
        <w:rStyle w:val="PageNumber"/>
        <w:rFonts w:asciiTheme="majorHAnsi" w:hAnsiTheme="majorHAnsi"/>
        <w:noProof/>
        <w:sz w:val="16"/>
      </w:rPr>
      <w:t>- 9 -</w:t>
    </w:r>
    <w:r w:rsidRPr="00C522EB">
      <w:rPr>
        <w:rStyle w:val="PageNumber"/>
        <w:rFonts w:asciiTheme="majorHAnsi" w:hAnsiTheme="majorHAnsi"/>
        <w:sz w:val="16"/>
      </w:rPr>
      <w:fldChar w:fldCharType="end"/>
    </w:r>
  </w:p>
  <w:p w14:paraId="38E5FA50" w14:textId="77777777" w:rsidR="00642490" w:rsidRDefault="00642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C4388" w14:textId="77777777" w:rsidR="00B9264A" w:rsidRDefault="00B9264A" w:rsidP="00BF7D6A">
      <w:r>
        <w:separator/>
      </w:r>
    </w:p>
  </w:footnote>
  <w:footnote w:type="continuationSeparator" w:id="0">
    <w:p w14:paraId="244B02E1" w14:textId="77777777" w:rsidR="00B9264A" w:rsidRDefault="00B9264A" w:rsidP="00BF7D6A">
      <w:r>
        <w:continuationSeparator/>
      </w:r>
    </w:p>
  </w:footnote>
  <w:footnote w:id="1">
    <w:p w14:paraId="7A4A31DC" w14:textId="77777777" w:rsidR="00642490" w:rsidRPr="00172C34" w:rsidRDefault="00642490" w:rsidP="00172C34">
      <w:pPr>
        <w:pStyle w:val="FootnoteText"/>
        <w:spacing w:after="0" w:line="240" w:lineRule="auto"/>
        <w:jc w:val="both"/>
        <w:rPr>
          <w:rFonts w:asciiTheme="majorHAnsi" w:hAnsiTheme="majorHAnsi" w:cstheme="majorHAnsi"/>
          <w:sz w:val="16"/>
          <w:szCs w:val="16"/>
        </w:rPr>
      </w:pPr>
      <w:r w:rsidRPr="00172C34">
        <w:rPr>
          <w:rStyle w:val="FootnoteReference"/>
          <w:rFonts w:asciiTheme="majorHAnsi" w:hAnsiTheme="majorHAnsi" w:cstheme="majorHAnsi"/>
          <w:sz w:val="16"/>
          <w:szCs w:val="16"/>
        </w:rPr>
        <w:footnoteRef/>
      </w:r>
      <w:r w:rsidRPr="00172C34">
        <w:rPr>
          <w:rFonts w:asciiTheme="majorHAnsi" w:hAnsiTheme="majorHAnsi" w:cstheme="majorHAnsi"/>
          <w:sz w:val="16"/>
          <w:szCs w:val="16"/>
        </w:rPr>
        <w:t xml:space="preserve"> De conformidad con el artículo 17.2.a del Reglamento de la CIDH, el Comisionado Francisco José Eguiguren Praeli, de nacionalidad peruana, no participó en el debate y deliberación del presente asunto.</w:t>
      </w:r>
    </w:p>
  </w:footnote>
  <w:footnote w:id="2">
    <w:p w14:paraId="14BCAA6F" w14:textId="43FB304C" w:rsidR="00642490" w:rsidRPr="00172C34" w:rsidRDefault="00642490" w:rsidP="00172C34">
      <w:pPr>
        <w:pStyle w:val="FootnoteText"/>
        <w:spacing w:after="0" w:line="240" w:lineRule="auto"/>
        <w:jc w:val="both"/>
        <w:rPr>
          <w:rFonts w:asciiTheme="majorHAnsi" w:hAnsiTheme="majorHAnsi" w:cstheme="majorHAnsi"/>
          <w:sz w:val="16"/>
          <w:szCs w:val="16"/>
        </w:rPr>
      </w:pPr>
      <w:r w:rsidRPr="00172C34">
        <w:rPr>
          <w:rStyle w:val="FootnoteReference"/>
          <w:rFonts w:asciiTheme="majorHAnsi" w:hAnsiTheme="majorHAnsi" w:cstheme="majorHAnsi"/>
          <w:sz w:val="16"/>
          <w:szCs w:val="16"/>
        </w:rPr>
        <w:footnoteRef/>
      </w:r>
      <w:r w:rsidRPr="00172C34">
        <w:rPr>
          <w:rFonts w:asciiTheme="majorHAnsi" w:hAnsiTheme="majorHAnsi" w:cstheme="majorHAnsi"/>
          <w:sz w:val="16"/>
          <w:szCs w:val="16"/>
        </w:rPr>
        <w:t xml:space="preserve"> La solicitante realizó diversas solicitudes en torno al territorio que reclaman como suyo las familias de la comunidad. </w:t>
      </w:r>
    </w:p>
  </w:footnote>
  <w:footnote w:id="3">
    <w:p w14:paraId="7690622B" w14:textId="5550CB9E" w:rsidR="00642490" w:rsidRPr="00172C34" w:rsidRDefault="00642490" w:rsidP="00172C34">
      <w:pPr>
        <w:pStyle w:val="FootnoteText"/>
        <w:spacing w:after="0" w:line="240" w:lineRule="auto"/>
        <w:jc w:val="both"/>
        <w:rPr>
          <w:rFonts w:asciiTheme="majorHAnsi" w:hAnsiTheme="majorHAnsi"/>
          <w:sz w:val="16"/>
          <w:szCs w:val="16"/>
        </w:rPr>
      </w:pPr>
      <w:r w:rsidRPr="00172C34">
        <w:rPr>
          <w:rStyle w:val="FootnoteReference"/>
          <w:rFonts w:asciiTheme="majorHAnsi" w:hAnsiTheme="majorHAnsi"/>
          <w:sz w:val="16"/>
          <w:szCs w:val="16"/>
        </w:rPr>
        <w:footnoteRef/>
      </w:r>
      <w:r w:rsidRPr="00172C34">
        <w:rPr>
          <w:rFonts w:asciiTheme="majorHAnsi" w:hAnsiTheme="majorHAnsi"/>
          <w:sz w:val="16"/>
          <w:szCs w:val="16"/>
        </w:rPr>
        <w:t xml:space="preserve"> La solicitante indicó que la comunidad está integrada por 66 personas, de las cuales 33 son niñas y niños. </w:t>
      </w:r>
    </w:p>
  </w:footnote>
  <w:footnote w:id="4">
    <w:p w14:paraId="396E7BDB" w14:textId="1A241B74" w:rsidR="00642490" w:rsidRPr="00172C34" w:rsidRDefault="00642490" w:rsidP="00172C34">
      <w:pPr>
        <w:pStyle w:val="FootnoteText"/>
        <w:spacing w:after="0" w:line="240" w:lineRule="auto"/>
        <w:jc w:val="both"/>
        <w:rPr>
          <w:rFonts w:asciiTheme="majorHAnsi" w:hAnsiTheme="majorHAnsi" w:cstheme="majorHAnsi"/>
          <w:sz w:val="16"/>
          <w:szCs w:val="16"/>
        </w:rPr>
      </w:pPr>
      <w:r w:rsidRPr="00172C34">
        <w:rPr>
          <w:rStyle w:val="FootnoteReference"/>
          <w:rFonts w:asciiTheme="majorHAnsi" w:hAnsiTheme="majorHAnsi" w:cstheme="majorHAnsi"/>
          <w:sz w:val="16"/>
          <w:szCs w:val="16"/>
        </w:rPr>
        <w:footnoteRef/>
      </w:r>
      <w:r w:rsidRPr="00172C34">
        <w:rPr>
          <w:rFonts w:asciiTheme="majorHAnsi" w:hAnsiTheme="majorHAnsi" w:cstheme="majorHAnsi"/>
          <w:sz w:val="16"/>
          <w:szCs w:val="16"/>
        </w:rPr>
        <w:t xml:space="preserve"> En total, la solicitante se refirió a 7 procesos contra los dirigentes de la Comunidad. Polico Díaz Sambache (vicejefe y presidente del Comité de Vigilancia Comunal) y Benjamín Garibay Martínez (segundo Vicejefe) serían los más denunciados, con tres investigaciones cada uno. Por su parte Germán López (jefe) y Eliseo Gavino Chávez Rodríguez (jefe encargado) tendrían dos denuncias.</w:t>
      </w:r>
    </w:p>
  </w:footnote>
  <w:footnote w:id="5">
    <w:p w14:paraId="30C3DC94" w14:textId="793C91FF" w:rsidR="00642490" w:rsidRPr="00172C34" w:rsidRDefault="00642490" w:rsidP="00172C34">
      <w:pPr>
        <w:pStyle w:val="FootnoteText"/>
        <w:spacing w:after="0" w:line="240" w:lineRule="auto"/>
        <w:jc w:val="both"/>
        <w:rPr>
          <w:rFonts w:asciiTheme="majorHAnsi" w:hAnsiTheme="majorHAnsi"/>
          <w:sz w:val="16"/>
          <w:szCs w:val="16"/>
        </w:rPr>
      </w:pPr>
      <w:r w:rsidRPr="00172C34">
        <w:rPr>
          <w:rStyle w:val="FootnoteReference"/>
          <w:rFonts w:asciiTheme="majorHAnsi" w:hAnsiTheme="majorHAnsi"/>
          <w:sz w:val="16"/>
          <w:szCs w:val="16"/>
        </w:rPr>
        <w:footnoteRef/>
      </w:r>
      <w:r w:rsidRPr="00172C34">
        <w:rPr>
          <w:rFonts w:asciiTheme="majorHAnsi" w:hAnsiTheme="majorHAnsi"/>
          <w:sz w:val="16"/>
          <w:szCs w:val="16"/>
        </w:rPr>
        <w:t xml:space="preserve"> El Estado indicó que es una herramienta estratégica, multisectorial e integral destinada a asegurar la gestión de políticas públicas en materia de derechos humanos en el país. </w:t>
      </w:r>
    </w:p>
  </w:footnote>
  <w:footnote w:id="6">
    <w:p w14:paraId="270B67FD" w14:textId="7AF90A39" w:rsidR="00642490" w:rsidRPr="00172C34" w:rsidRDefault="00642490" w:rsidP="00172C34">
      <w:pPr>
        <w:pStyle w:val="FootnoteText"/>
        <w:spacing w:after="0" w:line="240" w:lineRule="auto"/>
        <w:jc w:val="both"/>
        <w:rPr>
          <w:rFonts w:asciiTheme="majorHAnsi" w:hAnsiTheme="majorHAnsi"/>
          <w:sz w:val="16"/>
          <w:szCs w:val="16"/>
        </w:rPr>
      </w:pPr>
      <w:r w:rsidRPr="00172C34">
        <w:rPr>
          <w:rStyle w:val="FootnoteReference"/>
          <w:rFonts w:asciiTheme="majorHAnsi" w:hAnsiTheme="majorHAnsi"/>
          <w:sz w:val="16"/>
          <w:szCs w:val="16"/>
        </w:rPr>
        <w:footnoteRef/>
      </w:r>
      <w:r w:rsidRPr="00172C34">
        <w:rPr>
          <w:rFonts w:asciiTheme="majorHAnsi" w:hAnsiTheme="majorHAnsi"/>
          <w:sz w:val="16"/>
          <w:szCs w:val="16"/>
        </w:rPr>
        <w:t xml:space="preserve"> El Estado indicó que se trata de un mecanismo del Sector Justicia que permite impulsar y articular acciones, con el objeto de dar cumplimiento a la obligación de proteger los derechos de las personas defensoras de derechos humanos en el territorio nacional. </w:t>
      </w:r>
    </w:p>
  </w:footnote>
  <w:footnote w:id="7">
    <w:p w14:paraId="182D6642" w14:textId="77777777" w:rsidR="00642490" w:rsidRPr="00172C34" w:rsidRDefault="00642490" w:rsidP="00172C34">
      <w:pPr>
        <w:pStyle w:val="FootnoteText"/>
        <w:spacing w:after="0" w:line="240" w:lineRule="auto"/>
        <w:jc w:val="both"/>
        <w:rPr>
          <w:rFonts w:asciiTheme="majorHAnsi" w:hAnsiTheme="majorHAnsi" w:cstheme="majorHAnsi"/>
          <w:sz w:val="16"/>
          <w:szCs w:val="16"/>
        </w:rPr>
      </w:pPr>
      <w:r w:rsidRPr="00172C34">
        <w:rPr>
          <w:rStyle w:val="FootnoteReference"/>
          <w:rFonts w:asciiTheme="majorHAnsi" w:hAnsiTheme="majorHAnsi" w:cstheme="majorHAnsi"/>
          <w:sz w:val="16"/>
          <w:szCs w:val="16"/>
        </w:rPr>
        <w:footnoteRef/>
      </w:r>
      <w:r w:rsidRPr="00172C34">
        <w:rPr>
          <w:rFonts w:asciiTheme="majorHAnsi" w:hAnsiTheme="majorHAnsi" w:cstheme="majorHAnsi"/>
          <w:sz w:val="16"/>
          <w:szCs w:val="16"/>
        </w:rPr>
        <w:t xml:space="preserve"> Al respecto, por ejemplo, refiriéndose a las medidas provisionales, la Corte Interamericana ha considerado que tal estándar requiere un mínimo de detalle e información que permitan apreciar </w:t>
      </w:r>
      <w:r w:rsidRPr="00172C34">
        <w:rPr>
          <w:rFonts w:asciiTheme="majorHAnsi" w:hAnsiTheme="majorHAnsi" w:cstheme="majorHAnsi"/>
          <w:i/>
          <w:sz w:val="16"/>
          <w:szCs w:val="16"/>
        </w:rPr>
        <w:t xml:space="preserve">prima facie </w:t>
      </w:r>
      <w:r w:rsidRPr="00172C34">
        <w:rPr>
          <w:rFonts w:asciiTheme="majorHAnsi" w:hAnsiTheme="majorHAnsi" w:cstheme="majorHAnsi"/>
          <w:sz w:val="16"/>
          <w:szCs w:val="16"/>
        </w:rPr>
        <w:t xml:space="preserve">la situación de riesgo y urgencia. Corte IDH, </w:t>
      </w:r>
      <w:r w:rsidRPr="00172C34">
        <w:rPr>
          <w:rFonts w:asciiTheme="majorHAnsi" w:hAnsiTheme="majorHAnsi" w:cstheme="majorHAnsi"/>
          <w:i/>
          <w:sz w:val="16"/>
          <w:szCs w:val="16"/>
        </w:rPr>
        <w:t>Asunto de los niños y adolescentes privados de libertad en el “Complexo do Tatuapé” de la Fundação CASA</w:t>
      </w:r>
      <w:r w:rsidRPr="00172C34">
        <w:rPr>
          <w:rFonts w:asciiTheme="majorHAnsi" w:hAnsiTheme="majorHAnsi" w:cstheme="majorHAnsi"/>
          <w:sz w:val="16"/>
          <w:szCs w:val="16"/>
        </w:rPr>
        <w:t>. Solicitud de ampliación de medidas provisionales. Medidas Provisionales respecto de Brasil. Resolución de la Corte Interamericana de Derechos Humanos de 4 de julio de 2006. Considerando 23.</w:t>
      </w:r>
    </w:p>
  </w:footnote>
  <w:footnote w:id="8">
    <w:p w14:paraId="1E4A3EB1" w14:textId="3E782818" w:rsidR="00642490" w:rsidRPr="00172C34" w:rsidRDefault="00642490" w:rsidP="00172C34">
      <w:pPr>
        <w:pStyle w:val="FootnoteText"/>
        <w:spacing w:after="0" w:line="240" w:lineRule="auto"/>
        <w:jc w:val="both"/>
        <w:rPr>
          <w:rFonts w:asciiTheme="majorHAnsi" w:hAnsiTheme="majorHAnsi"/>
          <w:sz w:val="16"/>
          <w:szCs w:val="16"/>
          <w:lang w:val="es-ES"/>
        </w:rPr>
      </w:pPr>
      <w:r w:rsidRPr="00172C34">
        <w:rPr>
          <w:rStyle w:val="FootnoteReference"/>
          <w:rFonts w:asciiTheme="majorHAnsi" w:hAnsiTheme="majorHAnsi"/>
          <w:sz w:val="16"/>
          <w:szCs w:val="16"/>
        </w:rPr>
        <w:footnoteRef/>
      </w:r>
      <w:r w:rsidRPr="00172C34">
        <w:rPr>
          <w:rFonts w:asciiTheme="majorHAnsi" w:hAnsiTheme="majorHAnsi"/>
          <w:sz w:val="16"/>
          <w:szCs w:val="16"/>
        </w:rPr>
        <w:t xml:space="preserve"> CIDH, Derechos de los Pueblos Indígenas y Tribales sobre sus Tierras Ancestrales y Recursos Naturales. Normas y jurisprudencia del Sistema Interamericano de Derechos Humanos, 30 de diciembre de 2009, párr. 87. Disponible en: </w:t>
      </w:r>
      <w:hyperlink r:id="rId1" w:history="1">
        <w:r w:rsidRPr="00172C34">
          <w:rPr>
            <w:rStyle w:val="Hyperlink"/>
            <w:rFonts w:asciiTheme="majorHAnsi" w:hAnsiTheme="majorHAnsi"/>
            <w:sz w:val="16"/>
            <w:szCs w:val="16"/>
          </w:rPr>
          <w:t>http://www.oas.org/es/cidh/indigenas/docs/pdf/Tierras-Ancestrales.ESP.pdf</w:t>
        </w:r>
      </w:hyperlink>
      <w:r w:rsidRPr="00172C34">
        <w:rPr>
          <w:rFonts w:asciiTheme="majorHAnsi" w:hAnsiTheme="majorHAnsi"/>
          <w:sz w:val="16"/>
          <w:szCs w:val="16"/>
        </w:rPr>
        <w:t xml:space="preserve"> </w:t>
      </w:r>
    </w:p>
  </w:footnote>
  <w:footnote w:id="9">
    <w:p w14:paraId="07E77884" w14:textId="5940BE45" w:rsidR="00FB7903" w:rsidRPr="00172C34" w:rsidRDefault="00FB7903" w:rsidP="00172C34">
      <w:pPr>
        <w:pStyle w:val="FootnoteText"/>
        <w:spacing w:after="0" w:line="240" w:lineRule="auto"/>
        <w:rPr>
          <w:rFonts w:asciiTheme="majorHAnsi" w:hAnsiTheme="majorHAnsi"/>
          <w:sz w:val="16"/>
          <w:szCs w:val="16"/>
          <w:lang w:val="es-ES"/>
        </w:rPr>
      </w:pPr>
      <w:r w:rsidRPr="00172C34">
        <w:rPr>
          <w:rStyle w:val="FootnoteReference"/>
          <w:rFonts w:asciiTheme="majorHAnsi" w:hAnsiTheme="majorHAnsi"/>
          <w:sz w:val="16"/>
          <w:szCs w:val="16"/>
        </w:rPr>
        <w:footnoteRef/>
      </w:r>
      <w:r w:rsidRPr="00172C34">
        <w:rPr>
          <w:rFonts w:asciiTheme="majorHAnsi" w:hAnsiTheme="majorHAnsi"/>
          <w:sz w:val="16"/>
          <w:szCs w:val="16"/>
        </w:rPr>
        <w:t xml:space="preserve"> </w:t>
      </w:r>
      <w:r w:rsidRPr="00172C34">
        <w:rPr>
          <w:rFonts w:asciiTheme="majorHAnsi" w:hAnsiTheme="majorHAnsi"/>
          <w:sz w:val="16"/>
          <w:szCs w:val="16"/>
          <w:lang w:val="es-ES"/>
        </w:rPr>
        <w:t>Ibídem</w:t>
      </w:r>
    </w:p>
  </w:footnote>
  <w:footnote w:id="10">
    <w:p w14:paraId="01BE26BF" w14:textId="0485831A" w:rsidR="006109FE" w:rsidRPr="00172C34" w:rsidRDefault="006109FE" w:rsidP="00172C34">
      <w:pPr>
        <w:pStyle w:val="FootnoteText"/>
        <w:spacing w:after="0" w:line="240" w:lineRule="auto"/>
        <w:rPr>
          <w:rFonts w:asciiTheme="majorHAnsi" w:hAnsiTheme="majorHAnsi"/>
          <w:sz w:val="16"/>
          <w:szCs w:val="16"/>
          <w:lang w:val="es-ES"/>
        </w:rPr>
      </w:pPr>
      <w:r w:rsidRPr="00172C34">
        <w:rPr>
          <w:rStyle w:val="FootnoteReference"/>
          <w:rFonts w:asciiTheme="majorHAnsi" w:hAnsiTheme="majorHAnsi"/>
          <w:sz w:val="16"/>
          <w:szCs w:val="16"/>
        </w:rPr>
        <w:footnoteRef/>
      </w:r>
      <w:r w:rsidRPr="00172C34">
        <w:rPr>
          <w:rFonts w:asciiTheme="majorHAnsi" w:hAnsiTheme="majorHAnsi"/>
          <w:sz w:val="16"/>
          <w:szCs w:val="16"/>
        </w:rPr>
        <w:t xml:space="preserve"> </w:t>
      </w:r>
      <w:r w:rsidRPr="00172C34">
        <w:rPr>
          <w:rFonts w:asciiTheme="majorHAnsi" w:hAnsiTheme="majorHAnsi"/>
          <w:sz w:val="16"/>
          <w:szCs w:val="16"/>
          <w:lang w:val="es-ES"/>
        </w:rPr>
        <w:t xml:space="preserve">Véase por ejemplo: CIDH, MC 505/15 – Miembros de la comunidades indígenas “Esperanza, Santa Clara, Wisconsin y Francia Sirpi” del pueblo Miskitu de Wangki Twi-Tasba Raya, Nicaragua, 14 de octubre de 2015. Disponible en: </w:t>
      </w:r>
      <w:hyperlink r:id="rId2" w:history="1">
        <w:r w:rsidRPr="00172C34">
          <w:rPr>
            <w:rStyle w:val="Hyperlink"/>
            <w:rFonts w:asciiTheme="majorHAnsi" w:hAnsiTheme="majorHAnsi"/>
            <w:sz w:val="16"/>
            <w:szCs w:val="16"/>
            <w:lang w:val="es-ES"/>
          </w:rPr>
          <w:t>http://www.oas.org/es/cidh/decisiones/pdf/2015/MC505-15-ES.pdf</w:t>
        </w:r>
      </w:hyperlink>
      <w:r w:rsidRPr="00172C34">
        <w:rPr>
          <w:rFonts w:asciiTheme="majorHAnsi" w:hAnsiTheme="majorHAnsi"/>
          <w:sz w:val="16"/>
          <w:szCs w:val="16"/>
          <w:lang w:val="es-ES"/>
        </w:rPr>
        <w:t>; y MC 505/15 (Ampliación) – Pueblo Indígena Miskitu de Wangki Twi-Tasba Raya, Nicaragua, 8 de agosto de 2016. Disponible en:</w:t>
      </w:r>
      <w:r w:rsidR="00172C34" w:rsidRPr="00172C34">
        <w:rPr>
          <w:rFonts w:asciiTheme="majorHAnsi" w:hAnsiTheme="majorHAnsi"/>
          <w:sz w:val="16"/>
          <w:szCs w:val="16"/>
          <w:lang w:val="es-ES"/>
        </w:rPr>
        <w:t xml:space="preserve"> </w:t>
      </w:r>
      <w:hyperlink r:id="rId3" w:history="1">
        <w:r w:rsidR="00172C34" w:rsidRPr="00172C34">
          <w:rPr>
            <w:rStyle w:val="Hyperlink"/>
            <w:rFonts w:asciiTheme="majorHAnsi" w:hAnsiTheme="majorHAnsi"/>
            <w:sz w:val="16"/>
            <w:szCs w:val="16"/>
            <w:lang w:val="es-ES"/>
          </w:rPr>
          <w:t>http://www.oas.org/es/cidh/decisiones/pdf/2016/MC505-15-ES-2.pdf</w:t>
        </w:r>
      </w:hyperlink>
      <w:r w:rsidR="00172C34" w:rsidRPr="00172C34">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14EAE" w14:textId="77777777" w:rsidR="00642490" w:rsidRPr="006A2671" w:rsidRDefault="00642490"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lang w:val="en-US"/>
      </w:rPr>
      <w:drawing>
        <wp:inline distT="0" distB="0" distL="0" distR="0" wp14:anchorId="595778BE" wp14:editId="0BBFF9A0">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lang w:val="en-US"/>
      </w:rPr>
      <w:drawing>
        <wp:inline distT="0" distB="0" distL="0" distR="0" wp14:anchorId="5ED8387A" wp14:editId="27FB99DB">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14:paraId="3E2431AB" w14:textId="77777777" w:rsidR="00642490" w:rsidRPr="006A2671" w:rsidRDefault="00642490" w:rsidP="006A2671">
    <w:pPr>
      <w:pBdr>
        <w:bottom w:val="single" w:sz="6" w:space="1" w:color="auto"/>
      </w:pBdr>
      <w:tabs>
        <w:tab w:val="center" w:pos="4680"/>
        <w:tab w:val="right" w:pos="9360"/>
      </w:tabs>
      <w:rPr>
        <w:rFonts w:ascii="Calibri" w:eastAsia="Batang" w:hAnsi="Calibri" w:cs="Times New Roman"/>
        <w:sz w:val="22"/>
        <w:szCs w:val="22"/>
        <w:lang w:val="es-ES"/>
      </w:rPr>
    </w:pPr>
  </w:p>
  <w:p w14:paraId="0D923967" w14:textId="77777777" w:rsidR="00642490" w:rsidRDefault="00642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BBE"/>
    <w:multiLevelType w:val="hybridMultilevel"/>
    <w:tmpl w:val="1D161B22"/>
    <w:lvl w:ilvl="0" w:tplc="0EECEE28">
      <w:start w:val="19"/>
      <w:numFmt w:val="bullet"/>
      <w:lvlText w:val="-"/>
      <w:lvlJc w:val="left"/>
      <w:pPr>
        <w:ind w:left="810" w:hanging="360"/>
      </w:pPr>
      <w:rPr>
        <w:rFonts w:ascii="Cambria" w:eastAsia="Calibri" w:hAnsi="Cambria"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95B69"/>
    <w:multiLevelType w:val="hybridMultilevel"/>
    <w:tmpl w:val="1BB2F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55919"/>
    <w:multiLevelType w:val="hybridMultilevel"/>
    <w:tmpl w:val="8E50105A"/>
    <w:lvl w:ilvl="0" w:tplc="AAA8775C">
      <w:start w:val="1"/>
      <w:numFmt w:val="decimal"/>
      <w:lvlText w:val="%1."/>
      <w:lvlJc w:val="left"/>
      <w:pPr>
        <w:ind w:left="45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CE2E67"/>
    <w:multiLevelType w:val="hybridMultilevel"/>
    <w:tmpl w:val="652A8670"/>
    <w:lvl w:ilvl="0" w:tplc="33046F8A">
      <w:start w:val="1"/>
      <w:numFmt w:val="decimal"/>
      <w:lvlText w:val="%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A3A6B"/>
    <w:multiLevelType w:val="hybridMultilevel"/>
    <w:tmpl w:val="D7F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B6E7B"/>
    <w:multiLevelType w:val="hybridMultilevel"/>
    <w:tmpl w:val="491405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73E95"/>
    <w:multiLevelType w:val="hybridMultilevel"/>
    <w:tmpl w:val="5854F52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1414D8"/>
    <w:multiLevelType w:val="hybridMultilevel"/>
    <w:tmpl w:val="C40ED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B5386C"/>
    <w:multiLevelType w:val="hybridMultilevel"/>
    <w:tmpl w:val="C5389F2C"/>
    <w:lvl w:ilvl="0" w:tplc="D9B21C52">
      <w:start w:val="1"/>
      <w:numFmt w:val="decimal"/>
      <w:lvlText w:val="%1."/>
      <w:lvlJc w:val="center"/>
      <w:pPr>
        <w:ind w:left="720" w:hanging="360"/>
      </w:pPr>
      <w:rPr>
        <w:rFonts w:ascii="Cambria" w:hAnsi="Cambria"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56959"/>
    <w:multiLevelType w:val="hybridMultilevel"/>
    <w:tmpl w:val="6EF64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52583"/>
    <w:multiLevelType w:val="hybridMultilevel"/>
    <w:tmpl w:val="0F0A5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3901B7"/>
    <w:multiLevelType w:val="hybridMultilevel"/>
    <w:tmpl w:val="F3BAC83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F1A8F"/>
    <w:multiLevelType w:val="hybridMultilevel"/>
    <w:tmpl w:val="7BFE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E2F8D"/>
    <w:multiLevelType w:val="hybridMultilevel"/>
    <w:tmpl w:val="C5AAB73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BB4B73"/>
    <w:multiLevelType w:val="hybridMultilevel"/>
    <w:tmpl w:val="7ECCBA6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441E5"/>
    <w:multiLevelType w:val="hybridMultilevel"/>
    <w:tmpl w:val="86248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A5693"/>
    <w:multiLevelType w:val="hybridMultilevel"/>
    <w:tmpl w:val="8E50105A"/>
    <w:lvl w:ilvl="0" w:tplc="AAA8775C">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50CFE"/>
    <w:multiLevelType w:val="hybridMultilevel"/>
    <w:tmpl w:val="B78E73E6"/>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A0C9A"/>
    <w:multiLevelType w:val="hybridMultilevel"/>
    <w:tmpl w:val="65389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555186"/>
    <w:multiLevelType w:val="hybridMultilevel"/>
    <w:tmpl w:val="AB824E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9D156B"/>
    <w:multiLevelType w:val="hybridMultilevel"/>
    <w:tmpl w:val="2C901222"/>
    <w:lvl w:ilvl="0" w:tplc="0AA2348C">
      <w:start w:val="110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4F508C"/>
    <w:multiLevelType w:val="hybridMultilevel"/>
    <w:tmpl w:val="8C3C4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16519F"/>
    <w:multiLevelType w:val="hybridMultilevel"/>
    <w:tmpl w:val="F5CE7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3B371A"/>
    <w:multiLevelType w:val="hybridMultilevel"/>
    <w:tmpl w:val="79F88CE6"/>
    <w:lvl w:ilvl="0" w:tplc="EDEC388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E6FA9"/>
    <w:multiLevelType w:val="hybridMultilevel"/>
    <w:tmpl w:val="A6325E22"/>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72130B23"/>
    <w:multiLevelType w:val="hybridMultilevel"/>
    <w:tmpl w:val="B6CC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F70F2B"/>
    <w:multiLevelType w:val="hybridMultilevel"/>
    <w:tmpl w:val="A370736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8"/>
  </w:num>
  <w:num w:numId="3">
    <w:abstractNumId w:val="39"/>
  </w:num>
  <w:num w:numId="4">
    <w:abstractNumId w:val="17"/>
  </w:num>
  <w:num w:numId="5">
    <w:abstractNumId w:val="3"/>
  </w:num>
  <w:num w:numId="6">
    <w:abstractNumId w:val="14"/>
  </w:num>
  <w:num w:numId="7">
    <w:abstractNumId w:val="40"/>
  </w:num>
  <w:num w:numId="8">
    <w:abstractNumId w:val="35"/>
  </w:num>
  <w:num w:numId="9">
    <w:abstractNumId w:val="21"/>
  </w:num>
  <w:num w:numId="10">
    <w:abstractNumId w:val="19"/>
  </w:num>
  <w:num w:numId="11">
    <w:abstractNumId w:val="37"/>
  </w:num>
  <w:num w:numId="12">
    <w:abstractNumId w:val="41"/>
  </w:num>
  <w:num w:numId="13">
    <w:abstractNumId w:val="44"/>
  </w:num>
  <w:num w:numId="14">
    <w:abstractNumId w:val="43"/>
  </w:num>
  <w:num w:numId="15">
    <w:abstractNumId w:val="28"/>
  </w:num>
  <w:num w:numId="16">
    <w:abstractNumId w:val="1"/>
  </w:num>
  <w:num w:numId="17">
    <w:abstractNumId w:val="29"/>
  </w:num>
  <w:num w:numId="18">
    <w:abstractNumId w:val="33"/>
  </w:num>
  <w:num w:numId="19">
    <w:abstractNumId w:val="22"/>
  </w:num>
  <w:num w:numId="20">
    <w:abstractNumId w:val="18"/>
  </w:num>
  <w:num w:numId="21">
    <w:abstractNumId w:val="25"/>
  </w:num>
  <w:num w:numId="22">
    <w:abstractNumId w:val="11"/>
  </w:num>
  <w:num w:numId="23">
    <w:abstractNumId w:val="16"/>
  </w:num>
  <w:num w:numId="24">
    <w:abstractNumId w:val="30"/>
  </w:num>
  <w:num w:numId="25">
    <w:abstractNumId w:val="9"/>
  </w:num>
  <w:num w:numId="26">
    <w:abstractNumId w:val="42"/>
  </w:num>
  <w:num w:numId="27">
    <w:abstractNumId w:val="26"/>
  </w:num>
  <w:num w:numId="28">
    <w:abstractNumId w:val="13"/>
  </w:num>
  <w:num w:numId="29">
    <w:abstractNumId w:val="5"/>
  </w:num>
  <w:num w:numId="30">
    <w:abstractNumId w:val="36"/>
  </w:num>
  <w:num w:numId="31">
    <w:abstractNumId w:val="10"/>
  </w:num>
  <w:num w:numId="32">
    <w:abstractNumId w:val="12"/>
  </w:num>
  <w:num w:numId="33">
    <w:abstractNumId w:val="34"/>
  </w:num>
  <w:num w:numId="34">
    <w:abstractNumId w:val="8"/>
  </w:num>
  <w:num w:numId="35">
    <w:abstractNumId w:val="7"/>
  </w:num>
  <w:num w:numId="36">
    <w:abstractNumId w:val="27"/>
  </w:num>
  <w:num w:numId="37">
    <w:abstractNumId w:val="32"/>
  </w:num>
  <w:num w:numId="38">
    <w:abstractNumId w:val="20"/>
  </w:num>
  <w:num w:numId="39">
    <w:abstractNumId w:val="24"/>
  </w:num>
  <w:num w:numId="40">
    <w:abstractNumId w:val="31"/>
  </w:num>
  <w:num w:numId="41">
    <w:abstractNumId w:val="23"/>
  </w:num>
  <w:num w:numId="42">
    <w:abstractNumId w:val="15"/>
  </w:num>
  <w:num w:numId="43">
    <w:abstractNumId w:val="2"/>
  </w:num>
  <w:num w:numId="44">
    <w:abstractNumId w:val="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70E1"/>
    <w:rsid w:val="00007A86"/>
    <w:rsid w:val="00007FC4"/>
    <w:rsid w:val="00010DD1"/>
    <w:rsid w:val="000121A7"/>
    <w:rsid w:val="00012F4A"/>
    <w:rsid w:val="0002059F"/>
    <w:rsid w:val="00020632"/>
    <w:rsid w:val="00024D95"/>
    <w:rsid w:val="00025AB4"/>
    <w:rsid w:val="00035058"/>
    <w:rsid w:val="00037B2A"/>
    <w:rsid w:val="00040879"/>
    <w:rsid w:val="0004542F"/>
    <w:rsid w:val="00045E49"/>
    <w:rsid w:val="000505C9"/>
    <w:rsid w:val="000544DF"/>
    <w:rsid w:val="000551C7"/>
    <w:rsid w:val="00055745"/>
    <w:rsid w:val="000562F8"/>
    <w:rsid w:val="0005758B"/>
    <w:rsid w:val="00057A18"/>
    <w:rsid w:val="00066234"/>
    <w:rsid w:val="000710C6"/>
    <w:rsid w:val="0007123C"/>
    <w:rsid w:val="00073AF9"/>
    <w:rsid w:val="000837BC"/>
    <w:rsid w:val="0009178B"/>
    <w:rsid w:val="00096A6C"/>
    <w:rsid w:val="000A0768"/>
    <w:rsid w:val="000A1D59"/>
    <w:rsid w:val="000C1753"/>
    <w:rsid w:val="000C31E1"/>
    <w:rsid w:val="000C526A"/>
    <w:rsid w:val="000C591E"/>
    <w:rsid w:val="000D138E"/>
    <w:rsid w:val="000D43FA"/>
    <w:rsid w:val="000E03EC"/>
    <w:rsid w:val="000E3139"/>
    <w:rsid w:val="000E341D"/>
    <w:rsid w:val="000E485A"/>
    <w:rsid w:val="000F302E"/>
    <w:rsid w:val="0010338C"/>
    <w:rsid w:val="00106A58"/>
    <w:rsid w:val="00106F1B"/>
    <w:rsid w:val="001071AA"/>
    <w:rsid w:val="00111207"/>
    <w:rsid w:val="00116C2C"/>
    <w:rsid w:val="00117626"/>
    <w:rsid w:val="00123EE5"/>
    <w:rsid w:val="001264A5"/>
    <w:rsid w:val="0013479C"/>
    <w:rsid w:val="0013792F"/>
    <w:rsid w:val="00140C93"/>
    <w:rsid w:val="00140E96"/>
    <w:rsid w:val="001410E6"/>
    <w:rsid w:val="001443A5"/>
    <w:rsid w:val="00151BC1"/>
    <w:rsid w:val="001522E5"/>
    <w:rsid w:val="00154B6A"/>
    <w:rsid w:val="00162C89"/>
    <w:rsid w:val="00164519"/>
    <w:rsid w:val="00166B8C"/>
    <w:rsid w:val="00167A44"/>
    <w:rsid w:val="00170F76"/>
    <w:rsid w:val="00172C34"/>
    <w:rsid w:val="0018576B"/>
    <w:rsid w:val="001900C4"/>
    <w:rsid w:val="001934D0"/>
    <w:rsid w:val="00193DD5"/>
    <w:rsid w:val="001A2B2B"/>
    <w:rsid w:val="001A37A6"/>
    <w:rsid w:val="001A565E"/>
    <w:rsid w:val="001A73AE"/>
    <w:rsid w:val="001B1B33"/>
    <w:rsid w:val="001B27C0"/>
    <w:rsid w:val="001C0616"/>
    <w:rsid w:val="001D08C6"/>
    <w:rsid w:val="001F431F"/>
    <w:rsid w:val="001F45D3"/>
    <w:rsid w:val="00201F20"/>
    <w:rsid w:val="00204EE9"/>
    <w:rsid w:val="002051CC"/>
    <w:rsid w:val="002058C7"/>
    <w:rsid w:val="00210F12"/>
    <w:rsid w:val="00215E2E"/>
    <w:rsid w:val="00217C4C"/>
    <w:rsid w:val="00222851"/>
    <w:rsid w:val="00232B64"/>
    <w:rsid w:val="00233D9B"/>
    <w:rsid w:val="00247E1C"/>
    <w:rsid w:val="00250BB1"/>
    <w:rsid w:val="002525F2"/>
    <w:rsid w:val="00252F21"/>
    <w:rsid w:val="00256699"/>
    <w:rsid w:val="00260DC2"/>
    <w:rsid w:val="0026756C"/>
    <w:rsid w:val="002678B2"/>
    <w:rsid w:val="00275904"/>
    <w:rsid w:val="0027606C"/>
    <w:rsid w:val="002776A1"/>
    <w:rsid w:val="002779B6"/>
    <w:rsid w:val="00281D43"/>
    <w:rsid w:val="002834AB"/>
    <w:rsid w:val="002840D0"/>
    <w:rsid w:val="002849CA"/>
    <w:rsid w:val="002855E4"/>
    <w:rsid w:val="0028680F"/>
    <w:rsid w:val="002934AE"/>
    <w:rsid w:val="002A2043"/>
    <w:rsid w:val="002A2528"/>
    <w:rsid w:val="002A2DF3"/>
    <w:rsid w:val="002A3326"/>
    <w:rsid w:val="002A4F5E"/>
    <w:rsid w:val="002A6E25"/>
    <w:rsid w:val="002B212F"/>
    <w:rsid w:val="002B572F"/>
    <w:rsid w:val="002C12BC"/>
    <w:rsid w:val="002C1B38"/>
    <w:rsid w:val="002C269C"/>
    <w:rsid w:val="002C5B4A"/>
    <w:rsid w:val="002C6DA8"/>
    <w:rsid w:val="002D240C"/>
    <w:rsid w:val="002D4ADD"/>
    <w:rsid w:val="002E3965"/>
    <w:rsid w:val="002E50D6"/>
    <w:rsid w:val="002E654B"/>
    <w:rsid w:val="002F07A4"/>
    <w:rsid w:val="002F2562"/>
    <w:rsid w:val="0030583C"/>
    <w:rsid w:val="00306BB2"/>
    <w:rsid w:val="003119A6"/>
    <w:rsid w:val="003150CD"/>
    <w:rsid w:val="00315CC8"/>
    <w:rsid w:val="00315DBF"/>
    <w:rsid w:val="003168E2"/>
    <w:rsid w:val="00323B64"/>
    <w:rsid w:val="00324411"/>
    <w:rsid w:val="00324B25"/>
    <w:rsid w:val="00327E7C"/>
    <w:rsid w:val="00335FB0"/>
    <w:rsid w:val="00337FCF"/>
    <w:rsid w:val="003412A1"/>
    <w:rsid w:val="00347F09"/>
    <w:rsid w:val="003506B1"/>
    <w:rsid w:val="00351328"/>
    <w:rsid w:val="0036134F"/>
    <w:rsid w:val="00361CBD"/>
    <w:rsid w:val="003640D6"/>
    <w:rsid w:val="003646D0"/>
    <w:rsid w:val="003665D5"/>
    <w:rsid w:val="00373416"/>
    <w:rsid w:val="00376A76"/>
    <w:rsid w:val="00377C04"/>
    <w:rsid w:val="00384BB1"/>
    <w:rsid w:val="00385EBF"/>
    <w:rsid w:val="0039006B"/>
    <w:rsid w:val="00393776"/>
    <w:rsid w:val="00396EF1"/>
    <w:rsid w:val="003970C5"/>
    <w:rsid w:val="003A14B5"/>
    <w:rsid w:val="003A690E"/>
    <w:rsid w:val="003B2B56"/>
    <w:rsid w:val="003B2C14"/>
    <w:rsid w:val="003B525E"/>
    <w:rsid w:val="003C1774"/>
    <w:rsid w:val="003C26E2"/>
    <w:rsid w:val="003C2C67"/>
    <w:rsid w:val="003C2E2F"/>
    <w:rsid w:val="003C7353"/>
    <w:rsid w:val="003D1896"/>
    <w:rsid w:val="003D6B59"/>
    <w:rsid w:val="003E0E88"/>
    <w:rsid w:val="003E1AA3"/>
    <w:rsid w:val="003E2E5B"/>
    <w:rsid w:val="003E71E7"/>
    <w:rsid w:val="003E7947"/>
    <w:rsid w:val="003F49D1"/>
    <w:rsid w:val="003F6F63"/>
    <w:rsid w:val="00402226"/>
    <w:rsid w:val="00402839"/>
    <w:rsid w:val="004041A8"/>
    <w:rsid w:val="0041473A"/>
    <w:rsid w:val="00420F65"/>
    <w:rsid w:val="00426CCD"/>
    <w:rsid w:val="0042732A"/>
    <w:rsid w:val="00430F6F"/>
    <w:rsid w:val="004400A8"/>
    <w:rsid w:val="00440145"/>
    <w:rsid w:val="00442881"/>
    <w:rsid w:val="00443CEF"/>
    <w:rsid w:val="004476A7"/>
    <w:rsid w:val="0045657A"/>
    <w:rsid w:val="00462A0A"/>
    <w:rsid w:val="004633CA"/>
    <w:rsid w:val="00465068"/>
    <w:rsid w:val="004705F6"/>
    <w:rsid w:val="00470F1B"/>
    <w:rsid w:val="004726FB"/>
    <w:rsid w:val="0047459E"/>
    <w:rsid w:val="00482F11"/>
    <w:rsid w:val="00492CBA"/>
    <w:rsid w:val="00494B07"/>
    <w:rsid w:val="004951D2"/>
    <w:rsid w:val="004A1671"/>
    <w:rsid w:val="004A3B1F"/>
    <w:rsid w:val="004A4176"/>
    <w:rsid w:val="004A548E"/>
    <w:rsid w:val="004B304A"/>
    <w:rsid w:val="004B33AC"/>
    <w:rsid w:val="004B3480"/>
    <w:rsid w:val="004B3EFE"/>
    <w:rsid w:val="004B56CE"/>
    <w:rsid w:val="004B63CB"/>
    <w:rsid w:val="004C0BD2"/>
    <w:rsid w:val="004C241A"/>
    <w:rsid w:val="004C503B"/>
    <w:rsid w:val="004D367B"/>
    <w:rsid w:val="004D4E1B"/>
    <w:rsid w:val="004D64AA"/>
    <w:rsid w:val="004E1A13"/>
    <w:rsid w:val="004E33D0"/>
    <w:rsid w:val="004E61D7"/>
    <w:rsid w:val="004E6789"/>
    <w:rsid w:val="004F2DC3"/>
    <w:rsid w:val="004F450F"/>
    <w:rsid w:val="00500F43"/>
    <w:rsid w:val="005017AF"/>
    <w:rsid w:val="00502612"/>
    <w:rsid w:val="00503CB9"/>
    <w:rsid w:val="00504CC5"/>
    <w:rsid w:val="0050651A"/>
    <w:rsid w:val="00506A08"/>
    <w:rsid w:val="00512E2A"/>
    <w:rsid w:val="005140DB"/>
    <w:rsid w:val="00515471"/>
    <w:rsid w:val="005232D4"/>
    <w:rsid w:val="00524888"/>
    <w:rsid w:val="005300D7"/>
    <w:rsid w:val="00534DE7"/>
    <w:rsid w:val="0054547E"/>
    <w:rsid w:val="00547532"/>
    <w:rsid w:val="0055086A"/>
    <w:rsid w:val="00550EFF"/>
    <w:rsid w:val="005544F0"/>
    <w:rsid w:val="00560216"/>
    <w:rsid w:val="005649CB"/>
    <w:rsid w:val="00564F1B"/>
    <w:rsid w:val="005676A3"/>
    <w:rsid w:val="00567927"/>
    <w:rsid w:val="00574A24"/>
    <w:rsid w:val="00586786"/>
    <w:rsid w:val="00591283"/>
    <w:rsid w:val="00596C8F"/>
    <w:rsid w:val="005A153B"/>
    <w:rsid w:val="005B1595"/>
    <w:rsid w:val="005B3449"/>
    <w:rsid w:val="005B5BBA"/>
    <w:rsid w:val="005E04CB"/>
    <w:rsid w:val="005E295E"/>
    <w:rsid w:val="005E3B58"/>
    <w:rsid w:val="00603012"/>
    <w:rsid w:val="00603D9D"/>
    <w:rsid w:val="00604BD0"/>
    <w:rsid w:val="006069E0"/>
    <w:rsid w:val="006109FE"/>
    <w:rsid w:val="0061237E"/>
    <w:rsid w:val="0062180D"/>
    <w:rsid w:val="00624741"/>
    <w:rsid w:val="006266D1"/>
    <w:rsid w:val="006378A3"/>
    <w:rsid w:val="006415E6"/>
    <w:rsid w:val="00642490"/>
    <w:rsid w:val="00647841"/>
    <w:rsid w:val="00647B11"/>
    <w:rsid w:val="0065075B"/>
    <w:rsid w:val="006512ED"/>
    <w:rsid w:val="00655DC2"/>
    <w:rsid w:val="00655E97"/>
    <w:rsid w:val="0066116C"/>
    <w:rsid w:val="00661850"/>
    <w:rsid w:val="0066486F"/>
    <w:rsid w:val="00664A4B"/>
    <w:rsid w:val="00673F4C"/>
    <w:rsid w:val="00692807"/>
    <w:rsid w:val="00692B74"/>
    <w:rsid w:val="0069361C"/>
    <w:rsid w:val="00693D8D"/>
    <w:rsid w:val="006947C0"/>
    <w:rsid w:val="00695C33"/>
    <w:rsid w:val="006A2671"/>
    <w:rsid w:val="006A76DB"/>
    <w:rsid w:val="006B2872"/>
    <w:rsid w:val="006B69E7"/>
    <w:rsid w:val="006B6DF8"/>
    <w:rsid w:val="006C08C0"/>
    <w:rsid w:val="006C1010"/>
    <w:rsid w:val="006C13B7"/>
    <w:rsid w:val="006E3A11"/>
    <w:rsid w:val="006E4A92"/>
    <w:rsid w:val="006F3ED9"/>
    <w:rsid w:val="00701D7F"/>
    <w:rsid w:val="007037E7"/>
    <w:rsid w:val="00707168"/>
    <w:rsid w:val="00717EB0"/>
    <w:rsid w:val="00720F4F"/>
    <w:rsid w:val="007212FE"/>
    <w:rsid w:val="00722489"/>
    <w:rsid w:val="00723E9B"/>
    <w:rsid w:val="007242C5"/>
    <w:rsid w:val="00727FC4"/>
    <w:rsid w:val="0073061A"/>
    <w:rsid w:val="007319C8"/>
    <w:rsid w:val="00732085"/>
    <w:rsid w:val="007368DB"/>
    <w:rsid w:val="00741876"/>
    <w:rsid w:val="00747AF6"/>
    <w:rsid w:val="00750048"/>
    <w:rsid w:val="00752BE6"/>
    <w:rsid w:val="00762197"/>
    <w:rsid w:val="007807D0"/>
    <w:rsid w:val="00781FC9"/>
    <w:rsid w:val="00782C9C"/>
    <w:rsid w:val="007908F0"/>
    <w:rsid w:val="00794E2F"/>
    <w:rsid w:val="00796EAC"/>
    <w:rsid w:val="007B4EF4"/>
    <w:rsid w:val="007B6CD5"/>
    <w:rsid w:val="007B74E9"/>
    <w:rsid w:val="007B7BE5"/>
    <w:rsid w:val="007D0F45"/>
    <w:rsid w:val="007D1FE8"/>
    <w:rsid w:val="007D3CD4"/>
    <w:rsid w:val="007E26A9"/>
    <w:rsid w:val="007E3013"/>
    <w:rsid w:val="007E3213"/>
    <w:rsid w:val="007F060B"/>
    <w:rsid w:val="007F0671"/>
    <w:rsid w:val="00810658"/>
    <w:rsid w:val="00817419"/>
    <w:rsid w:val="00823ADA"/>
    <w:rsid w:val="00830EDD"/>
    <w:rsid w:val="008326AC"/>
    <w:rsid w:val="00832BF4"/>
    <w:rsid w:val="00840C90"/>
    <w:rsid w:val="00845537"/>
    <w:rsid w:val="008474B4"/>
    <w:rsid w:val="00852145"/>
    <w:rsid w:val="00853A59"/>
    <w:rsid w:val="008555DA"/>
    <w:rsid w:val="00862069"/>
    <w:rsid w:val="00864549"/>
    <w:rsid w:val="00872A42"/>
    <w:rsid w:val="00895D95"/>
    <w:rsid w:val="008B0B84"/>
    <w:rsid w:val="008B4A81"/>
    <w:rsid w:val="008B53BD"/>
    <w:rsid w:val="008B59B3"/>
    <w:rsid w:val="008B5EAC"/>
    <w:rsid w:val="008B6783"/>
    <w:rsid w:val="008C393C"/>
    <w:rsid w:val="008C3A1F"/>
    <w:rsid w:val="008C4F5B"/>
    <w:rsid w:val="008C714C"/>
    <w:rsid w:val="008D55C4"/>
    <w:rsid w:val="008E1700"/>
    <w:rsid w:val="008E2BB1"/>
    <w:rsid w:val="008E62A1"/>
    <w:rsid w:val="008F10CE"/>
    <w:rsid w:val="008F2F4A"/>
    <w:rsid w:val="008F3AB3"/>
    <w:rsid w:val="008F6632"/>
    <w:rsid w:val="009026C8"/>
    <w:rsid w:val="009163DE"/>
    <w:rsid w:val="00923DFE"/>
    <w:rsid w:val="009248E0"/>
    <w:rsid w:val="00936D53"/>
    <w:rsid w:val="00937659"/>
    <w:rsid w:val="00954493"/>
    <w:rsid w:val="00954BB9"/>
    <w:rsid w:val="009575E3"/>
    <w:rsid w:val="009617D9"/>
    <w:rsid w:val="009621A7"/>
    <w:rsid w:val="00962A14"/>
    <w:rsid w:val="009630A4"/>
    <w:rsid w:val="0097190F"/>
    <w:rsid w:val="00975AA8"/>
    <w:rsid w:val="0098611A"/>
    <w:rsid w:val="00986B69"/>
    <w:rsid w:val="00986F23"/>
    <w:rsid w:val="0099027F"/>
    <w:rsid w:val="00990819"/>
    <w:rsid w:val="009926FE"/>
    <w:rsid w:val="0099605F"/>
    <w:rsid w:val="00997632"/>
    <w:rsid w:val="009A2EF0"/>
    <w:rsid w:val="009A5571"/>
    <w:rsid w:val="009A6247"/>
    <w:rsid w:val="009B1EEC"/>
    <w:rsid w:val="009C1FEF"/>
    <w:rsid w:val="009C28AE"/>
    <w:rsid w:val="009C5881"/>
    <w:rsid w:val="009D0EB7"/>
    <w:rsid w:val="009D533D"/>
    <w:rsid w:val="009D5FF7"/>
    <w:rsid w:val="009D62F6"/>
    <w:rsid w:val="009F1EB6"/>
    <w:rsid w:val="009F2A9B"/>
    <w:rsid w:val="009F2E6D"/>
    <w:rsid w:val="009F3684"/>
    <w:rsid w:val="009F65BF"/>
    <w:rsid w:val="00A01D5F"/>
    <w:rsid w:val="00A0584D"/>
    <w:rsid w:val="00A10C5B"/>
    <w:rsid w:val="00A127A8"/>
    <w:rsid w:val="00A17A82"/>
    <w:rsid w:val="00A216B8"/>
    <w:rsid w:val="00A264D8"/>
    <w:rsid w:val="00A265EE"/>
    <w:rsid w:val="00A27B73"/>
    <w:rsid w:val="00A357DA"/>
    <w:rsid w:val="00A41014"/>
    <w:rsid w:val="00A457F5"/>
    <w:rsid w:val="00A46838"/>
    <w:rsid w:val="00A53FC6"/>
    <w:rsid w:val="00A57B08"/>
    <w:rsid w:val="00A620B6"/>
    <w:rsid w:val="00A62C04"/>
    <w:rsid w:val="00A64FB1"/>
    <w:rsid w:val="00A704A2"/>
    <w:rsid w:val="00A762CE"/>
    <w:rsid w:val="00A77C3E"/>
    <w:rsid w:val="00A858AE"/>
    <w:rsid w:val="00A8596A"/>
    <w:rsid w:val="00A8691F"/>
    <w:rsid w:val="00A8746F"/>
    <w:rsid w:val="00A87F37"/>
    <w:rsid w:val="00A93915"/>
    <w:rsid w:val="00A93C9D"/>
    <w:rsid w:val="00A94D9B"/>
    <w:rsid w:val="00A9768A"/>
    <w:rsid w:val="00AB2A3F"/>
    <w:rsid w:val="00AB5F83"/>
    <w:rsid w:val="00AC75B9"/>
    <w:rsid w:val="00AD16EF"/>
    <w:rsid w:val="00AE13B0"/>
    <w:rsid w:val="00AE1E86"/>
    <w:rsid w:val="00AE40EE"/>
    <w:rsid w:val="00AE6014"/>
    <w:rsid w:val="00AF0C1C"/>
    <w:rsid w:val="00AF66D8"/>
    <w:rsid w:val="00B0018D"/>
    <w:rsid w:val="00B00C66"/>
    <w:rsid w:val="00B015EC"/>
    <w:rsid w:val="00B03F8D"/>
    <w:rsid w:val="00B079E8"/>
    <w:rsid w:val="00B147D9"/>
    <w:rsid w:val="00B157E3"/>
    <w:rsid w:val="00B15DA1"/>
    <w:rsid w:val="00B2177F"/>
    <w:rsid w:val="00B25585"/>
    <w:rsid w:val="00B360C7"/>
    <w:rsid w:val="00B36798"/>
    <w:rsid w:val="00B3735F"/>
    <w:rsid w:val="00B41E46"/>
    <w:rsid w:val="00B41F82"/>
    <w:rsid w:val="00B4432E"/>
    <w:rsid w:val="00B44B4A"/>
    <w:rsid w:val="00B4659F"/>
    <w:rsid w:val="00B53BD4"/>
    <w:rsid w:val="00B701E6"/>
    <w:rsid w:val="00B82FE5"/>
    <w:rsid w:val="00B83018"/>
    <w:rsid w:val="00B8428A"/>
    <w:rsid w:val="00B86A90"/>
    <w:rsid w:val="00B9264A"/>
    <w:rsid w:val="00B927E1"/>
    <w:rsid w:val="00B94429"/>
    <w:rsid w:val="00B94D0D"/>
    <w:rsid w:val="00B94EC2"/>
    <w:rsid w:val="00BA255D"/>
    <w:rsid w:val="00BB3BA6"/>
    <w:rsid w:val="00BB3E11"/>
    <w:rsid w:val="00BB7B00"/>
    <w:rsid w:val="00BC23F2"/>
    <w:rsid w:val="00BC53C2"/>
    <w:rsid w:val="00BC59E5"/>
    <w:rsid w:val="00BC63A9"/>
    <w:rsid w:val="00BC6B3D"/>
    <w:rsid w:val="00BD08CC"/>
    <w:rsid w:val="00BD65E1"/>
    <w:rsid w:val="00BD7EC9"/>
    <w:rsid w:val="00BF6F4D"/>
    <w:rsid w:val="00BF7D6A"/>
    <w:rsid w:val="00C11208"/>
    <w:rsid w:val="00C15036"/>
    <w:rsid w:val="00C162B8"/>
    <w:rsid w:val="00C1673B"/>
    <w:rsid w:val="00C1766F"/>
    <w:rsid w:val="00C17F8E"/>
    <w:rsid w:val="00C2666E"/>
    <w:rsid w:val="00C34F90"/>
    <w:rsid w:val="00C427E9"/>
    <w:rsid w:val="00C428DB"/>
    <w:rsid w:val="00C42D65"/>
    <w:rsid w:val="00C43C6E"/>
    <w:rsid w:val="00C4416D"/>
    <w:rsid w:val="00C468DE"/>
    <w:rsid w:val="00C50FD6"/>
    <w:rsid w:val="00C522EB"/>
    <w:rsid w:val="00C53DE5"/>
    <w:rsid w:val="00C57327"/>
    <w:rsid w:val="00C57CAF"/>
    <w:rsid w:val="00C66B45"/>
    <w:rsid w:val="00C70392"/>
    <w:rsid w:val="00C72005"/>
    <w:rsid w:val="00C75F76"/>
    <w:rsid w:val="00C76A8B"/>
    <w:rsid w:val="00C80267"/>
    <w:rsid w:val="00C83A34"/>
    <w:rsid w:val="00C90985"/>
    <w:rsid w:val="00CB094E"/>
    <w:rsid w:val="00CB24CB"/>
    <w:rsid w:val="00CB28DA"/>
    <w:rsid w:val="00CC3774"/>
    <w:rsid w:val="00CC56E0"/>
    <w:rsid w:val="00CC6355"/>
    <w:rsid w:val="00CC7812"/>
    <w:rsid w:val="00CD1169"/>
    <w:rsid w:val="00CD1171"/>
    <w:rsid w:val="00CD5C1B"/>
    <w:rsid w:val="00CD7F36"/>
    <w:rsid w:val="00CE0F9A"/>
    <w:rsid w:val="00CE4CD2"/>
    <w:rsid w:val="00CE7AA9"/>
    <w:rsid w:val="00CF1745"/>
    <w:rsid w:val="00D03E77"/>
    <w:rsid w:val="00D0446E"/>
    <w:rsid w:val="00D075E3"/>
    <w:rsid w:val="00D10592"/>
    <w:rsid w:val="00D12D88"/>
    <w:rsid w:val="00D12F4E"/>
    <w:rsid w:val="00D13ED9"/>
    <w:rsid w:val="00D14319"/>
    <w:rsid w:val="00D1693B"/>
    <w:rsid w:val="00D30A9F"/>
    <w:rsid w:val="00D35D8B"/>
    <w:rsid w:val="00D425FF"/>
    <w:rsid w:val="00D52A91"/>
    <w:rsid w:val="00D613C4"/>
    <w:rsid w:val="00D66083"/>
    <w:rsid w:val="00D66847"/>
    <w:rsid w:val="00D66EE1"/>
    <w:rsid w:val="00D739FC"/>
    <w:rsid w:val="00D800B7"/>
    <w:rsid w:val="00D8031B"/>
    <w:rsid w:val="00D84EF9"/>
    <w:rsid w:val="00D863D5"/>
    <w:rsid w:val="00D91611"/>
    <w:rsid w:val="00D93AD1"/>
    <w:rsid w:val="00D96FF9"/>
    <w:rsid w:val="00DA1256"/>
    <w:rsid w:val="00DA386A"/>
    <w:rsid w:val="00DA4EDE"/>
    <w:rsid w:val="00DB1B4F"/>
    <w:rsid w:val="00DB3D29"/>
    <w:rsid w:val="00DC048E"/>
    <w:rsid w:val="00DC7AE6"/>
    <w:rsid w:val="00DD58AB"/>
    <w:rsid w:val="00DD696A"/>
    <w:rsid w:val="00DE08D4"/>
    <w:rsid w:val="00DE0DFA"/>
    <w:rsid w:val="00DF73E9"/>
    <w:rsid w:val="00E0173E"/>
    <w:rsid w:val="00E02C3F"/>
    <w:rsid w:val="00E05375"/>
    <w:rsid w:val="00E1071E"/>
    <w:rsid w:val="00E12093"/>
    <w:rsid w:val="00E1467B"/>
    <w:rsid w:val="00E16F18"/>
    <w:rsid w:val="00E254C2"/>
    <w:rsid w:val="00E32071"/>
    <w:rsid w:val="00E3325D"/>
    <w:rsid w:val="00E46201"/>
    <w:rsid w:val="00E52109"/>
    <w:rsid w:val="00E522D9"/>
    <w:rsid w:val="00E62C87"/>
    <w:rsid w:val="00E631E8"/>
    <w:rsid w:val="00E63345"/>
    <w:rsid w:val="00E6656D"/>
    <w:rsid w:val="00E71AD2"/>
    <w:rsid w:val="00E72409"/>
    <w:rsid w:val="00E80805"/>
    <w:rsid w:val="00E83BEC"/>
    <w:rsid w:val="00E87006"/>
    <w:rsid w:val="00E9223C"/>
    <w:rsid w:val="00E96471"/>
    <w:rsid w:val="00E96C80"/>
    <w:rsid w:val="00EA381B"/>
    <w:rsid w:val="00EA3DE7"/>
    <w:rsid w:val="00EA462B"/>
    <w:rsid w:val="00EA63A3"/>
    <w:rsid w:val="00EB1E5E"/>
    <w:rsid w:val="00EB6628"/>
    <w:rsid w:val="00EC710B"/>
    <w:rsid w:val="00EC7B95"/>
    <w:rsid w:val="00ED1516"/>
    <w:rsid w:val="00ED2666"/>
    <w:rsid w:val="00ED413B"/>
    <w:rsid w:val="00ED6093"/>
    <w:rsid w:val="00ED6469"/>
    <w:rsid w:val="00EE0B0E"/>
    <w:rsid w:val="00EE73F5"/>
    <w:rsid w:val="00EF12F9"/>
    <w:rsid w:val="00EF6427"/>
    <w:rsid w:val="00F06780"/>
    <w:rsid w:val="00F0694E"/>
    <w:rsid w:val="00F1008D"/>
    <w:rsid w:val="00F22189"/>
    <w:rsid w:val="00F22460"/>
    <w:rsid w:val="00F2752D"/>
    <w:rsid w:val="00F33264"/>
    <w:rsid w:val="00F43165"/>
    <w:rsid w:val="00F572A3"/>
    <w:rsid w:val="00F628B3"/>
    <w:rsid w:val="00F63AFA"/>
    <w:rsid w:val="00F63DD3"/>
    <w:rsid w:val="00F63E47"/>
    <w:rsid w:val="00F720AC"/>
    <w:rsid w:val="00F720EF"/>
    <w:rsid w:val="00F8317C"/>
    <w:rsid w:val="00F84BA5"/>
    <w:rsid w:val="00F866E1"/>
    <w:rsid w:val="00F900B3"/>
    <w:rsid w:val="00F92B90"/>
    <w:rsid w:val="00F951BB"/>
    <w:rsid w:val="00FB269B"/>
    <w:rsid w:val="00FB7903"/>
    <w:rsid w:val="00FC3049"/>
    <w:rsid w:val="00FC3209"/>
    <w:rsid w:val="00FC4FB9"/>
    <w:rsid w:val="00FD1FAF"/>
    <w:rsid w:val="00FD5F68"/>
    <w:rsid w:val="00FF0391"/>
    <w:rsid w:val="00FF1EAF"/>
    <w:rsid w:val="00FF3C66"/>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E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1264A5"/>
    <w:rPr>
      <w:sz w:val="16"/>
      <w:szCs w:val="16"/>
    </w:rPr>
  </w:style>
  <w:style w:type="paragraph" w:styleId="CommentText">
    <w:name w:val="annotation text"/>
    <w:basedOn w:val="Normal"/>
    <w:link w:val="CommentTextChar"/>
    <w:uiPriority w:val="99"/>
    <w:semiHidden/>
    <w:unhideWhenUsed/>
    <w:rsid w:val="001264A5"/>
    <w:rPr>
      <w:sz w:val="20"/>
      <w:szCs w:val="20"/>
    </w:rPr>
  </w:style>
  <w:style w:type="character" w:customStyle="1" w:styleId="CommentTextChar">
    <w:name w:val="Comment Text Char"/>
    <w:basedOn w:val="DefaultParagraphFont"/>
    <w:link w:val="CommentText"/>
    <w:uiPriority w:val="99"/>
    <w:semiHidden/>
    <w:rsid w:val="001264A5"/>
    <w:rPr>
      <w:sz w:val="20"/>
      <w:szCs w:val="20"/>
    </w:rPr>
  </w:style>
  <w:style w:type="paragraph" w:styleId="CommentSubject">
    <w:name w:val="annotation subject"/>
    <w:basedOn w:val="CommentText"/>
    <w:next w:val="CommentText"/>
    <w:link w:val="CommentSubjectChar"/>
    <w:uiPriority w:val="99"/>
    <w:semiHidden/>
    <w:unhideWhenUsed/>
    <w:rsid w:val="001264A5"/>
    <w:rPr>
      <w:b/>
      <w:bCs/>
    </w:rPr>
  </w:style>
  <w:style w:type="character" w:customStyle="1" w:styleId="CommentSubjectChar">
    <w:name w:val="Comment Subject Char"/>
    <w:basedOn w:val="CommentTextChar"/>
    <w:link w:val="CommentSubject"/>
    <w:uiPriority w:val="99"/>
    <w:semiHidden/>
    <w:rsid w:val="001264A5"/>
    <w:rPr>
      <w:b/>
      <w:bCs/>
      <w:sz w:val="20"/>
      <w:szCs w:val="20"/>
    </w:rPr>
  </w:style>
  <w:style w:type="paragraph" w:styleId="Revision">
    <w:name w:val="Revision"/>
    <w:hidden/>
    <w:uiPriority w:val="99"/>
    <w:semiHidden/>
    <w:rsid w:val="00126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PE"/>
    </w:rPr>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1264A5"/>
    <w:rPr>
      <w:sz w:val="16"/>
      <w:szCs w:val="16"/>
    </w:rPr>
  </w:style>
  <w:style w:type="paragraph" w:styleId="CommentText">
    <w:name w:val="annotation text"/>
    <w:basedOn w:val="Normal"/>
    <w:link w:val="CommentTextChar"/>
    <w:uiPriority w:val="99"/>
    <w:semiHidden/>
    <w:unhideWhenUsed/>
    <w:rsid w:val="001264A5"/>
    <w:rPr>
      <w:sz w:val="20"/>
      <w:szCs w:val="20"/>
    </w:rPr>
  </w:style>
  <w:style w:type="character" w:customStyle="1" w:styleId="CommentTextChar">
    <w:name w:val="Comment Text Char"/>
    <w:basedOn w:val="DefaultParagraphFont"/>
    <w:link w:val="CommentText"/>
    <w:uiPriority w:val="99"/>
    <w:semiHidden/>
    <w:rsid w:val="001264A5"/>
    <w:rPr>
      <w:sz w:val="20"/>
      <w:szCs w:val="20"/>
    </w:rPr>
  </w:style>
  <w:style w:type="paragraph" w:styleId="CommentSubject">
    <w:name w:val="annotation subject"/>
    <w:basedOn w:val="CommentText"/>
    <w:next w:val="CommentText"/>
    <w:link w:val="CommentSubjectChar"/>
    <w:uiPriority w:val="99"/>
    <w:semiHidden/>
    <w:unhideWhenUsed/>
    <w:rsid w:val="001264A5"/>
    <w:rPr>
      <w:b/>
      <w:bCs/>
    </w:rPr>
  </w:style>
  <w:style w:type="character" w:customStyle="1" w:styleId="CommentSubjectChar">
    <w:name w:val="Comment Subject Char"/>
    <w:basedOn w:val="CommentTextChar"/>
    <w:link w:val="CommentSubject"/>
    <w:uiPriority w:val="99"/>
    <w:semiHidden/>
    <w:rsid w:val="001264A5"/>
    <w:rPr>
      <w:b/>
      <w:bCs/>
      <w:sz w:val="20"/>
      <w:szCs w:val="20"/>
    </w:rPr>
  </w:style>
  <w:style w:type="paragraph" w:styleId="Revision">
    <w:name w:val="Revision"/>
    <w:hidden/>
    <w:uiPriority w:val="99"/>
    <w:semiHidden/>
    <w:rsid w:val="0012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735473607">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152726947">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sChild>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758940410">
      <w:bodyDiv w:val="1"/>
      <w:marLeft w:val="0"/>
      <w:marRight w:val="0"/>
      <w:marTop w:val="0"/>
      <w:marBottom w:val="15"/>
      <w:divBdr>
        <w:top w:val="none" w:sz="0" w:space="0" w:color="auto"/>
        <w:left w:val="none" w:sz="0" w:space="0" w:color="auto"/>
        <w:bottom w:val="none" w:sz="0" w:space="0" w:color="auto"/>
        <w:right w:val="none" w:sz="0" w:space="0" w:color="auto"/>
      </w:divBdr>
      <w:divsChild>
        <w:div w:id="1326666921">
          <w:marLeft w:val="0"/>
          <w:marRight w:val="0"/>
          <w:marTop w:val="0"/>
          <w:marBottom w:val="375"/>
          <w:divBdr>
            <w:top w:val="none" w:sz="0" w:space="0" w:color="auto"/>
            <w:left w:val="none" w:sz="0" w:space="0" w:color="auto"/>
            <w:bottom w:val="none" w:sz="0" w:space="0" w:color="auto"/>
            <w:right w:val="none" w:sz="0" w:space="0" w:color="auto"/>
          </w:divBdr>
          <w:divsChild>
            <w:div w:id="1843004428">
              <w:marLeft w:val="0"/>
              <w:marRight w:val="0"/>
              <w:marTop w:val="0"/>
              <w:marBottom w:val="0"/>
              <w:divBdr>
                <w:top w:val="none" w:sz="0" w:space="0" w:color="auto"/>
                <w:left w:val="none" w:sz="0" w:space="0" w:color="auto"/>
                <w:bottom w:val="none" w:sz="0" w:space="0" w:color="auto"/>
                <w:right w:val="none" w:sz="0" w:space="0" w:color="auto"/>
              </w:divBdr>
              <w:divsChild>
                <w:div w:id="107360369">
                  <w:marLeft w:val="0"/>
                  <w:marRight w:val="0"/>
                  <w:marTop w:val="0"/>
                  <w:marBottom w:val="0"/>
                  <w:divBdr>
                    <w:top w:val="none" w:sz="0" w:space="0" w:color="auto"/>
                    <w:left w:val="none" w:sz="0" w:space="0" w:color="auto"/>
                    <w:bottom w:val="none" w:sz="0" w:space="0" w:color="auto"/>
                    <w:right w:val="none" w:sz="0" w:space="0" w:color="auto"/>
                  </w:divBdr>
                  <w:divsChild>
                    <w:div w:id="1879200394">
                      <w:marLeft w:val="0"/>
                      <w:marRight w:val="0"/>
                      <w:marTop w:val="0"/>
                      <w:marBottom w:val="0"/>
                      <w:divBdr>
                        <w:top w:val="none" w:sz="0" w:space="0" w:color="auto"/>
                        <w:left w:val="none" w:sz="0" w:space="0" w:color="auto"/>
                        <w:bottom w:val="none" w:sz="0" w:space="0" w:color="auto"/>
                        <w:right w:val="none" w:sz="0" w:space="0" w:color="auto"/>
                      </w:divBdr>
                      <w:divsChild>
                        <w:div w:id="672074912">
                          <w:marLeft w:val="0"/>
                          <w:marRight w:val="0"/>
                          <w:marTop w:val="0"/>
                          <w:marBottom w:val="0"/>
                          <w:divBdr>
                            <w:top w:val="none" w:sz="0" w:space="0" w:color="auto"/>
                            <w:left w:val="none" w:sz="0" w:space="0" w:color="auto"/>
                            <w:bottom w:val="none" w:sz="0" w:space="0" w:color="auto"/>
                            <w:right w:val="none" w:sz="0" w:space="0" w:color="auto"/>
                          </w:divBdr>
                          <w:divsChild>
                            <w:div w:id="373193754">
                              <w:marLeft w:val="0"/>
                              <w:marRight w:val="0"/>
                              <w:marTop w:val="0"/>
                              <w:marBottom w:val="0"/>
                              <w:divBdr>
                                <w:top w:val="none" w:sz="0" w:space="0" w:color="auto"/>
                                <w:left w:val="none" w:sz="0" w:space="0" w:color="auto"/>
                                <w:bottom w:val="none" w:sz="0" w:space="0" w:color="auto"/>
                                <w:right w:val="none" w:sz="0" w:space="0" w:color="auto"/>
                              </w:divBdr>
                              <w:divsChild>
                                <w:div w:id="100801311">
                                  <w:marLeft w:val="0"/>
                                  <w:marRight w:val="0"/>
                                  <w:marTop w:val="0"/>
                                  <w:marBottom w:val="0"/>
                                  <w:divBdr>
                                    <w:top w:val="none" w:sz="0" w:space="0" w:color="auto"/>
                                    <w:left w:val="none" w:sz="0" w:space="0" w:color="auto"/>
                                    <w:bottom w:val="none" w:sz="0" w:space="0" w:color="auto"/>
                                    <w:right w:val="none" w:sz="0" w:space="0" w:color="auto"/>
                                  </w:divBdr>
                                  <w:divsChild>
                                    <w:div w:id="262962545">
                                      <w:marLeft w:val="150"/>
                                      <w:marRight w:val="150"/>
                                      <w:marTop w:val="150"/>
                                      <w:marBottom w:val="150"/>
                                      <w:divBdr>
                                        <w:top w:val="none" w:sz="0" w:space="0" w:color="auto"/>
                                        <w:left w:val="none" w:sz="0" w:space="0" w:color="auto"/>
                                        <w:bottom w:val="none" w:sz="0" w:space="0" w:color="auto"/>
                                        <w:right w:val="none" w:sz="0" w:space="0" w:color="auto"/>
                                      </w:divBdr>
                                      <w:divsChild>
                                        <w:div w:id="2144107993">
                                          <w:marLeft w:val="0"/>
                                          <w:marRight w:val="0"/>
                                          <w:marTop w:val="0"/>
                                          <w:marBottom w:val="0"/>
                                          <w:divBdr>
                                            <w:top w:val="none" w:sz="0" w:space="0" w:color="auto"/>
                                            <w:left w:val="none" w:sz="0" w:space="0" w:color="auto"/>
                                            <w:bottom w:val="none" w:sz="0" w:space="0" w:color="auto"/>
                                            <w:right w:val="none" w:sz="0" w:space="0" w:color="auto"/>
                                          </w:divBdr>
                                          <w:divsChild>
                                            <w:div w:id="1680958858">
                                              <w:marLeft w:val="0"/>
                                              <w:marRight w:val="0"/>
                                              <w:marTop w:val="0"/>
                                              <w:marBottom w:val="0"/>
                                              <w:divBdr>
                                                <w:top w:val="none" w:sz="0" w:space="0" w:color="auto"/>
                                                <w:left w:val="none" w:sz="0" w:space="0" w:color="auto"/>
                                                <w:bottom w:val="none" w:sz="0" w:space="0" w:color="auto"/>
                                                <w:right w:val="none" w:sz="0" w:space="0" w:color="auto"/>
                                              </w:divBdr>
                                              <w:divsChild>
                                                <w:div w:id="1212307972">
                                                  <w:marLeft w:val="0"/>
                                                  <w:marRight w:val="0"/>
                                                  <w:marTop w:val="0"/>
                                                  <w:marBottom w:val="0"/>
                                                  <w:divBdr>
                                                    <w:top w:val="none" w:sz="0" w:space="0" w:color="auto"/>
                                                    <w:left w:val="none" w:sz="0" w:space="0" w:color="auto"/>
                                                    <w:bottom w:val="none" w:sz="0" w:space="0" w:color="auto"/>
                                                    <w:right w:val="none" w:sz="0" w:space="0" w:color="auto"/>
                                                  </w:divBdr>
                                                  <w:divsChild>
                                                    <w:div w:id="584657184">
                                                      <w:marLeft w:val="0"/>
                                                      <w:marRight w:val="0"/>
                                                      <w:marTop w:val="0"/>
                                                      <w:marBottom w:val="0"/>
                                                      <w:divBdr>
                                                        <w:top w:val="none" w:sz="0" w:space="0" w:color="auto"/>
                                                        <w:left w:val="none" w:sz="0" w:space="0" w:color="auto"/>
                                                        <w:bottom w:val="none" w:sz="0" w:space="0" w:color="auto"/>
                                                        <w:right w:val="none" w:sz="0" w:space="0" w:color="auto"/>
                                                      </w:divBdr>
                                                      <w:divsChild>
                                                        <w:div w:id="1575430087">
                                                          <w:marLeft w:val="0"/>
                                                          <w:marRight w:val="0"/>
                                                          <w:marTop w:val="0"/>
                                                          <w:marBottom w:val="0"/>
                                                          <w:divBdr>
                                                            <w:top w:val="none" w:sz="0" w:space="0" w:color="auto"/>
                                                            <w:left w:val="none" w:sz="0" w:space="0" w:color="auto"/>
                                                            <w:bottom w:val="none" w:sz="0" w:space="0" w:color="auto"/>
                                                            <w:right w:val="none" w:sz="0" w:space="0" w:color="auto"/>
                                                          </w:divBdr>
                                                          <w:divsChild>
                                                            <w:div w:id="1279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ecisiones/pdf/2016/MC505-15-ES-2.pdf" TargetMode="External"/><Relationship Id="rId2" Type="http://schemas.openxmlformats.org/officeDocument/2006/relationships/hyperlink" Target="http://www.oas.org/es/cidh/decisiones/pdf/2015/MC505-15-ES.pdf" TargetMode="External"/><Relationship Id="rId1" Type="http://schemas.openxmlformats.org/officeDocument/2006/relationships/hyperlink" Target="http://www.oas.org/es/cidh/indigenas/docs/pdf/Tierras-Ancestrales.ES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103F3A-C42D-4C27-A669-F9BF47D0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4948</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Furugh Nahib</dc:creator>
  <cp:lastModifiedBy>%username%</cp:lastModifiedBy>
  <cp:revision>2</cp:revision>
  <cp:lastPrinted>2019-11-06T20:40:00Z</cp:lastPrinted>
  <dcterms:created xsi:type="dcterms:W3CDTF">2019-11-06T20:40:00Z</dcterms:created>
  <dcterms:modified xsi:type="dcterms:W3CDTF">2019-11-06T20:40:00Z</dcterms:modified>
</cp:coreProperties>
</file>