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B47" w:rsidRPr="00375BBE" w:rsidRDefault="00E77B47" w:rsidP="00E77B47">
      <w:pPr>
        <w:spacing w:after="0" w:line="240" w:lineRule="auto"/>
        <w:jc w:val="center"/>
        <w:rPr>
          <w:rFonts w:ascii="Cambria" w:eastAsia="Calibri" w:hAnsi="Cambria" w:cs="Times New Roman"/>
          <w:b/>
          <w:lang w:val="es-ES_tradnl"/>
        </w:rPr>
      </w:pPr>
      <w:r w:rsidRPr="00375BBE">
        <w:rPr>
          <w:rFonts w:ascii="Cambria" w:eastAsia="Calibri" w:hAnsi="Cambria" w:cs="Times New Roman"/>
          <w:b/>
          <w:lang w:val="es-ES_tradnl"/>
        </w:rPr>
        <w:t>COMISIÓN INTERAMERICANA DE DERECHOS HUMANOS</w:t>
      </w:r>
    </w:p>
    <w:p w:rsidR="00E77B47" w:rsidRPr="00375BBE" w:rsidRDefault="00E77B47" w:rsidP="00E77B47">
      <w:pPr>
        <w:spacing w:after="0" w:line="240" w:lineRule="auto"/>
        <w:jc w:val="center"/>
        <w:rPr>
          <w:rFonts w:ascii="Cambria" w:eastAsia="Calibri" w:hAnsi="Cambria" w:cs="Times New Roman"/>
          <w:lang w:val="es-ES_tradnl"/>
        </w:rPr>
      </w:pPr>
      <w:r w:rsidRPr="00375BBE">
        <w:rPr>
          <w:rFonts w:ascii="Cambria" w:eastAsia="Calibri" w:hAnsi="Cambria" w:cs="Times New Roman"/>
          <w:b/>
          <w:lang w:val="es-ES_tradnl"/>
        </w:rPr>
        <w:t xml:space="preserve">RESOLUCIÓN </w:t>
      </w:r>
      <w:r w:rsidR="00375BBE" w:rsidRPr="00375BBE">
        <w:rPr>
          <w:rFonts w:ascii="Cambria" w:eastAsia="Calibri" w:hAnsi="Cambria" w:cs="Times New Roman"/>
          <w:b/>
          <w:lang w:val="es-ES_tradnl"/>
        </w:rPr>
        <w:t>54</w:t>
      </w:r>
      <w:r w:rsidRPr="00375BBE">
        <w:rPr>
          <w:rFonts w:ascii="Cambria" w:eastAsia="Calibri" w:hAnsi="Cambria" w:cs="Times New Roman"/>
          <w:b/>
          <w:lang w:val="es-ES_tradnl"/>
        </w:rPr>
        <w:t>/2019</w:t>
      </w:r>
    </w:p>
    <w:p w:rsidR="00E77B47" w:rsidRPr="00375BBE" w:rsidRDefault="00E77B47" w:rsidP="00E77B47">
      <w:pPr>
        <w:spacing w:after="0" w:line="240" w:lineRule="auto"/>
        <w:jc w:val="center"/>
        <w:rPr>
          <w:rFonts w:ascii="Cambria" w:eastAsia="Calibri" w:hAnsi="Cambria" w:cs="Times New Roman"/>
          <w:sz w:val="21"/>
          <w:szCs w:val="21"/>
          <w:lang w:val="es-ES_tradnl"/>
        </w:rPr>
      </w:pPr>
      <w:r w:rsidRPr="00375BBE">
        <w:rPr>
          <w:rFonts w:ascii="Cambria" w:eastAsia="Calibri" w:hAnsi="Cambria" w:cs="Times New Roman"/>
          <w:sz w:val="21"/>
          <w:szCs w:val="21"/>
          <w:lang w:val="es-ES_tradnl"/>
        </w:rPr>
        <w:t xml:space="preserve">Medida cautelar No. </w:t>
      </w:r>
      <w:r w:rsidR="000A108A" w:rsidRPr="00375BBE">
        <w:rPr>
          <w:rFonts w:ascii="Cambria" w:eastAsia="Calibri" w:hAnsi="Cambria" w:cs="Times New Roman"/>
          <w:sz w:val="21"/>
          <w:szCs w:val="21"/>
          <w:lang w:val="es-ES_tradnl"/>
        </w:rPr>
        <w:t>918</w:t>
      </w:r>
      <w:r w:rsidR="00201F29" w:rsidRPr="00375BBE">
        <w:rPr>
          <w:rFonts w:ascii="Cambria" w:eastAsia="Calibri" w:hAnsi="Cambria" w:cs="Times New Roman"/>
          <w:sz w:val="21"/>
          <w:szCs w:val="21"/>
          <w:lang w:val="es-ES_tradnl"/>
        </w:rPr>
        <w:t>-19</w:t>
      </w:r>
    </w:p>
    <w:p w:rsidR="00E77B47" w:rsidRPr="00375BBE" w:rsidRDefault="00E77B47" w:rsidP="00B926D7">
      <w:pPr>
        <w:spacing w:after="0" w:line="240" w:lineRule="auto"/>
        <w:ind w:left="360"/>
        <w:jc w:val="center"/>
        <w:rPr>
          <w:rFonts w:ascii="Cambria" w:eastAsia="Calibri" w:hAnsi="Cambria" w:cs="Times New Roman"/>
          <w:sz w:val="21"/>
          <w:szCs w:val="21"/>
          <w:lang w:val="es-ES_tradnl"/>
        </w:rPr>
      </w:pPr>
    </w:p>
    <w:p w:rsidR="00E77B47" w:rsidRPr="00375BBE" w:rsidRDefault="000A108A" w:rsidP="00E77B47">
      <w:pPr>
        <w:spacing w:after="0" w:line="240" w:lineRule="auto"/>
        <w:jc w:val="center"/>
        <w:rPr>
          <w:rFonts w:ascii="Cambria" w:eastAsia="Calibri" w:hAnsi="Cambria" w:cs="Times New Roman"/>
          <w:sz w:val="26"/>
          <w:szCs w:val="26"/>
          <w:lang w:val="es-ES_tradnl"/>
        </w:rPr>
      </w:pPr>
      <w:r w:rsidRPr="00375BBE">
        <w:rPr>
          <w:rFonts w:ascii="Cambria" w:eastAsia="Calibri" w:hAnsi="Cambria" w:cs="Times New Roman"/>
          <w:sz w:val="26"/>
          <w:szCs w:val="26"/>
          <w:lang w:val="es-ES_tradnl"/>
        </w:rPr>
        <w:t>Hugo Enrique Marino Salas</w:t>
      </w:r>
      <w:r w:rsidR="00201F29" w:rsidRPr="00375BBE">
        <w:rPr>
          <w:rFonts w:ascii="Cambria" w:eastAsia="Calibri" w:hAnsi="Cambria" w:cs="Times New Roman"/>
          <w:sz w:val="26"/>
          <w:szCs w:val="26"/>
          <w:lang w:val="es-ES_tradnl"/>
        </w:rPr>
        <w:t xml:space="preserve"> </w:t>
      </w:r>
      <w:r w:rsidR="00E77B47" w:rsidRPr="00375BBE">
        <w:rPr>
          <w:rFonts w:ascii="Cambria" w:eastAsia="Calibri" w:hAnsi="Cambria" w:cs="Times New Roman"/>
          <w:sz w:val="26"/>
          <w:szCs w:val="26"/>
          <w:lang w:val="es-ES_tradnl"/>
        </w:rPr>
        <w:t>respecto de Venezuela</w:t>
      </w:r>
    </w:p>
    <w:p w:rsidR="00E77B47" w:rsidRPr="00375BBE" w:rsidRDefault="00375BBE" w:rsidP="00E77B47">
      <w:pPr>
        <w:spacing w:after="0" w:line="240" w:lineRule="auto"/>
        <w:jc w:val="center"/>
        <w:rPr>
          <w:rFonts w:ascii="Cambria" w:eastAsia="Calibri" w:hAnsi="Cambria" w:cs="Times New Roman"/>
          <w:sz w:val="21"/>
          <w:szCs w:val="21"/>
          <w:lang w:val="es-ES"/>
        </w:rPr>
      </w:pPr>
      <w:r w:rsidRPr="00375BBE">
        <w:rPr>
          <w:rFonts w:ascii="Cambria" w:eastAsia="Calibri" w:hAnsi="Cambria" w:cs="Times New Roman"/>
          <w:sz w:val="21"/>
          <w:szCs w:val="21"/>
          <w:lang w:val="es-ES"/>
        </w:rPr>
        <w:t>23</w:t>
      </w:r>
      <w:r w:rsidR="00223927" w:rsidRPr="00375BBE">
        <w:rPr>
          <w:rFonts w:ascii="Cambria" w:eastAsia="Calibri" w:hAnsi="Cambria" w:cs="Times New Roman"/>
          <w:sz w:val="21"/>
          <w:szCs w:val="21"/>
          <w:lang w:val="es-ES"/>
        </w:rPr>
        <w:t xml:space="preserve"> de octubre</w:t>
      </w:r>
      <w:r w:rsidR="00E77B47" w:rsidRPr="00375BBE">
        <w:rPr>
          <w:rFonts w:ascii="Cambria" w:eastAsia="Calibri" w:hAnsi="Cambria" w:cs="Times New Roman"/>
          <w:sz w:val="21"/>
          <w:szCs w:val="21"/>
          <w:lang w:val="es-ES"/>
        </w:rPr>
        <w:t xml:space="preserve"> de 2019</w:t>
      </w:r>
    </w:p>
    <w:p w:rsidR="00E77B47" w:rsidRPr="00375BBE" w:rsidRDefault="00E77B47" w:rsidP="00E77B47">
      <w:pPr>
        <w:spacing w:after="0" w:line="240" w:lineRule="auto"/>
        <w:jc w:val="both"/>
        <w:rPr>
          <w:rFonts w:ascii="Cambria" w:eastAsia="Calibri" w:hAnsi="Cambria" w:cs="Times New Roman"/>
          <w:b/>
          <w:sz w:val="21"/>
          <w:szCs w:val="21"/>
          <w:lang w:val="es-ES_tradnl"/>
        </w:rPr>
      </w:pPr>
    </w:p>
    <w:p w:rsidR="00E77B47" w:rsidRPr="00375BBE" w:rsidRDefault="00E77B47" w:rsidP="00FB584D">
      <w:pPr>
        <w:numPr>
          <w:ilvl w:val="0"/>
          <w:numId w:val="3"/>
        </w:numPr>
        <w:spacing w:line="240" w:lineRule="auto"/>
        <w:contextualSpacing/>
        <w:jc w:val="both"/>
        <w:rPr>
          <w:rFonts w:ascii="Cambria" w:eastAsia="Calibri" w:hAnsi="Cambria" w:cs="Times New Roman"/>
          <w:b/>
          <w:sz w:val="21"/>
          <w:szCs w:val="21"/>
          <w:lang w:val="es-ES_tradnl"/>
        </w:rPr>
      </w:pPr>
      <w:r w:rsidRPr="00375BBE">
        <w:rPr>
          <w:rFonts w:ascii="Cambria" w:eastAsia="Calibri" w:hAnsi="Cambria" w:cs="Times New Roman"/>
          <w:b/>
          <w:sz w:val="21"/>
          <w:szCs w:val="21"/>
          <w:lang w:val="es-ES_tradnl"/>
        </w:rPr>
        <w:t>INTRODUCCIÓN</w:t>
      </w:r>
    </w:p>
    <w:p w:rsidR="00FB584D" w:rsidRPr="00375BBE" w:rsidRDefault="00FB584D" w:rsidP="00FB584D">
      <w:pPr>
        <w:spacing w:line="240" w:lineRule="auto"/>
        <w:ind w:left="720"/>
        <w:contextualSpacing/>
        <w:jc w:val="both"/>
        <w:rPr>
          <w:rFonts w:ascii="Cambria" w:eastAsia="Calibri" w:hAnsi="Cambria" w:cs="Times New Roman"/>
          <w:b/>
          <w:sz w:val="21"/>
          <w:szCs w:val="21"/>
          <w:lang w:val="es-ES_tradnl"/>
        </w:rPr>
      </w:pPr>
    </w:p>
    <w:p w:rsidR="00337D6D" w:rsidRPr="00375BBE" w:rsidRDefault="00E77B47" w:rsidP="00FB584D">
      <w:pPr>
        <w:numPr>
          <w:ilvl w:val="0"/>
          <w:numId w:val="1"/>
        </w:numPr>
        <w:spacing w:line="240" w:lineRule="auto"/>
        <w:ind w:left="0" w:firstLine="360"/>
        <w:contextualSpacing/>
        <w:jc w:val="both"/>
        <w:rPr>
          <w:rFonts w:ascii="Cambria" w:eastAsia="Calibri" w:hAnsi="Cambria" w:cs="Times New Roman"/>
          <w:sz w:val="21"/>
          <w:szCs w:val="21"/>
          <w:lang w:val="es-ES_tradnl"/>
        </w:rPr>
      </w:pPr>
      <w:r w:rsidRPr="00375BBE">
        <w:rPr>
          <w:rFonts w:ascii="Cambria" w:eastAsia="Calibri" w:hAnsi="Cambria" w:cs="Times New Roman"/>
          <w:sz w:val="21"/>
          <w:szCs w:val="21"/>
          <w:lang w:val="es-ES_tradnl"/>
        </w:rPr>
        <w:t xml:space="preserve">El </w:t>
      </w:r>
      <w:r w:rsidR="000A108A" w:rsidRPr="00375BBE">
        <w:rPr>
          <w:rFonts w:ascii="Cambria" w:eastAsia="Calibri" w:hAnsi="Cambria" w:cs="Times New Roman"/>
          <w:sz w:val="21"/>
          <w:szCs w:val="21"/>
          <w:lang w:val="es-ES_tradnl"/>
        </w:rPr>
        <w:t>3</w:t>
      </w:r>
      <w:r w:rsidR="00201F29" w:rsidRPr="00375BBE">
        <w:rPr>
          <w:rFonts w:ascii="Cambria" w:eastAsia="Calibri" w:hAnsi="Cambria" w:cs="Times New Roman"/>
          <w:sz w:val="21"/>
          <w:szCs w:val="21"/>
          <w:lang w:val="es-ES_tradnl"/>
        </w:rPr>
        <w:t xml:space="preserve"> de </w:t>
      </w:r>
      <w:r w:rsidR="000A108A" w:rsidRPr="00375BBE">
        <w:rPr>
          <w:rFonts w:ascii="Cambria" w:eastAsia="Calibri" w:hAnsi="Cambria" w:cs="Times New Roman"/>
          <w:sz w:val="21"/>
          <w:szCs w:val="21"/>
          <w:lang w:val="es-ES_tradnl"/>
        </w:rPr>
        <w:t>octubre</w:t>
      </w:r>
      <w:r w:rsidR="00201F29" w:rsidRPr="00375BBE">
        <w:rPr>
          <w:rFonts w:ascii="Cambria" w:eastAsia="Calibri" w:hAnsi="Cambria" w:cs="Times New Roman"/>
          <w:sz w:val="21"/>
          <w:szCs w:val="21"/>
          <w:lang w:val="es-ES_tradnl"/>
        </w:rPr>
        <w:t xml:space="preserve"> de 2019</w:t>
      </w:r>
      <w:r w:rsidRPr="00375BBE">
        <w:rPr>
          <w:rFonts w:ascii="Cambria" w:eastAsia="Calibri" w:hAnsi="Cambria" w:cs="Times New Roman"/>
          <w:sz w:val="21"/>
          <w:szCs w:val="21"/>
          <w:lang w:val="es-ES_tradnl"/>
        </w:rPr>
        <w:t xml:space="preserve">, la Comisión Interamericana de Derechos Humanos (“la Comisión Interamericana”, “la Comisión” o “la CIDH”) recibió una solicitud de medidas cautelares presentada por </w:t>
      </w:r>
      <w:r w:rsidR="00CC2131" w:rsidRPr="00375BBE">
        <w:rPr>
          <w:rFonts w:ascii="Cambria" w:eastAsia="Calibri" w:hAnsi="Cambria" w:cs="Times New Roman"/>
          <w:sz w:val="21"/>
          <w:szCs w:val="21"/>
          <w:lang w:val="es-ES_tradnl"/>
        </w:rPr>
        <w:t xml:space="preserve">Tamara </w:t>
      </w:r>
      <w:proofErr w:type="spellStart"/>
      <w:r w:rsidR="00CC2131" w:rsidRPr="00375BBE">
        <w:rPr>
          <w:rFonts w:ascii="Cambria" w:eastAsia="Calibri" w:hAnsi="Cambria" w:cs="Times New Roman"/>
          <w:sz w:val="21"/>
          <w:szCs w:val="21"/>
          <w:lang w:val="es-ES_tradnl"/>
        </w:rPr>
        <w:t>Suju</w:t>
      </w:r>
      <w:proofErr w:type="spellEnd"/>
      <w:r w:rsidR="00CC2131" w:rsidRPr="00375BBE">
        <w:rPr>
          <w:rFonts w:ascii="Cambria" w:eastAsia="Calibri" w:hAnsi="Cambria" w:cs="Times New Roman"/>
          <w:sz w:val="21"/>
          <w:szCs w:val="21"/>
          <w:lang w:val="es-ES_tradnl"/>
        </w:rPr>
        <w:t xml:space="preserve"> Roa</w:t>
      </w:r>
      <w:r w:rsidR="007D6846" w:rsidRPr="00375BBE">
        <w:rPr>
          <w:rFonts w:ascii="Cambria" w:eastAsia="Calibri" w:hAnsi="Cambria" w:cs="Times New Roman"/>
          <w:sz w:val="21"/>
          <w:szCs w:val="21"/>
          <w:lang w:val="es-ES_tradnl"/>
        </w:rPr>
        <w:t xml:space="preserve"> (“l</w:t>
      </w:r>
      <w:r w:rsidR="00CC2131" w:rsidRPr="00375BBE">
        <w:rPr>
          <w:rFonts w:ascii="Cambria" w:eastAsia="Calibri" w:hAnsi="Cambria" w:cs="Times New Roman"/>
          <w:sz w:val="21"/>
          <w:szCs w:val="21"/>
          <w:lang w:val="es-ES_tradnl"/>
        </w:rPr>
        <w:t>a</w:t>
      </w:r>
      <w:r w:rsidRPr="00375BBE">
        <w:rPr>
          <w:rFonts w:ascii="Cambria" w:eastAsia="Calibri" w:hAnsi="Cambria" w:cs="Times New Roman"/>
          <w:sz w:val="21"/>
          <w:szCs w:val="21"/>
          <w:lang w:val="es-ES_tradnl"/>
        </w:rPr>
        <w:t xml:space="preserve"> solicitante”), instando a la Comisión que requiera a la República Bolivariana de Venezuela (“el Estado” o “Venezuela”) la adopción de las medidas necesaria</w:t>
      </w:r>
      <w:r w:rsidR="000A108A" w:rsidRPr="00375BBE">
        <w:rPr>
          <w:rFonts w:ascii="Cambria" w:eastAsia="Calibri" w:hAnsi="Cambria" w:cs="Times New Roman"/>
          <w:sz w:val="21"/>
          <w:szCs w:val="21"/>
          <w:lang w:val="es-ES_tradnl"/>
        </w:rPr>
        <w:t>s para proteger los derechos del señor Hugo Enrique Marino Salas</w:t>
      </w:r>
      <w:r w:rsidR="004A287A" w:rsidRPr="00375BBE">
        <w:rPr>
          <w:rFonts w:ascii="Cambria" w:eastAsia="Calibri" w:hAnsi="Cambria" w:cs="Times New Roman"/>
          <w:sz w:val="21"/>
          <w:szCs w:val="21"/>
          <w:lang w:val="es-ES_tradnl"/>
        </w:rPr>
        <w:t>. De acuerdo con la información aportada, el propuesto beneficiario habría sido privado de libertad</w:t>
      </w:r>
      <w:r w:rsidR="000A108A" w:rsidRPr="00375BBE">
        <w:rPr>
          <w:rFonts w:ascii="Cambria" w:eastAsia="Calibri" w:hAnsi="Cambria" w:cs="Times New Roman"/>
          <w:sz w:val="21"/>
          <w:szCs w:val="21"/>
          <w:lang w:val="es-ES_tradnl"/>
        </w:rPr>
        <w:t xml:space="preserve"> </w:t>
      </w:r>
      <w:r w:rsidR="004A287A" w:rsidRPr="00375BBE">
        <w:rPr>
          <w:rFonts w:ascii="Cambria" w:eastAsia="Calibri" w:hAnsi="Cambria" w:cs="Times New Roman"/>
          <w:sz w:val="21"/>
          <w:szCs w:val="21"/>
          <w:lang w:val="es-ES_tradnl"/>
        </w:rPr>
        <w:t xml:space="preserve">por agentes estatales </w:t>
      </w:r>
      <w:r w:rsidR="000A108A" w:rsidRPr="00375BBE">
        <w:rPr>
          <w:rFonts w:ascii="Cambria" w:eastAsia="Calibri" w:hAnsi="Cambria" w:cs="Times New Roman"/>
          <w:sz w:val="21"/>
          <w:szCs w:val="21"/>
          <w:lang w:val="es-ES_tradnl"/>
        </w:rPr>
        <w:t xml:space="preserve">el 20 de abril de 2019 </w:t>
      </w:r>
      <w:r w:rsidR="004A287A" w:rsidRPr="00375BBE">
        <w:rPr>
          <w:rFonts w:ascii="Cambria" w:eastAsia="Calibri" w:hAnsi="Cambria" w:cs="Times New Roman"/>
          <w:sz w:val="21"/>
          <w:szCs w:val="21"/>
          <w:lang w:val="es-ES_tradnl"/>
        </w:rPr>
        <w:t>al llegar en un vuelo a Caracas, Venezuela y a la fecha se desconocería su paradero</w:t>
      </w:r>
      <w:r w:rsidR="0041748B" w:rsidRPr="00375BBE">
        <w:rPr>
          <w:rFonts w:ascii="Cambria" w:eastAsia="Calibri" w:hAnsi="Cambria" w:cs="Times New Roman"/>
          <w:sz w:val="21"/>
          <w:szCs w:val="21"/>
          <w:lang w:val="es-ES"/>
        </w:rPr>
        <w:t>.</w:t>
      </w:r>
    </w:p>
    <w:p w:rsidR="00FB584D" w:rsidRPr="00375BBE" w:rsidRDefault="00FB584D" w:rsidP="00FB584D">
      <w:pPr>
        <w:spacing w:line="240" w:lineRule="auto"/>
        <w:ind w:left="360"/>
        <w:contextualSpacing/>
        <w:jc w:val="both"/>
        <w:rPr>
          <w:rFonts w:ascii="Cambria" w:eastAsia="Calibri" w:hAnsi="Cambria" w:cs="Times New Roman"/>
          <w:sz w:val="21"/>
          <w:szCs w:val="21"/>
          <w:lang w:val="es-ES_tradnl"/>
        </w:rPr>
      </w:pPr>
    </w:p>
    <w:p w:rsidR="00E83367" w:rsidRPr="00375BBE" w:rsidRDefault="00337D6D" w:rsidP="00FB584D">
      <w:pPr>
        <w:numPr>
          <w:ilvl w:val="0"/>
          <w:numId w:val="1"/>
        </w:numPr>
        <w:spacing w:line="240" w:lineRule="auto"/>
        <w:ind w:left="0" w:firstLine="360"/>
        <w:contextualSpacing/>
        <w:jc w:val="both"/>
        <w:rPr>
          <w:rFonts w:ascii="Cambria" w:eastAsia="Calibri" w:hAnsi="Cambria" w:cs="Times New Roman"/>
          <w:sz w:val="21"/>
          <w:szCs w:val="21"/>
          <w:lang w:val="es-ES_tradnl"/>
        </w:rPr>
      </w:pPr>
      <w:r w:rsidRPr="00375BBE">
        <w:rPr>
          <w:rFonts w:ascii="Cambria" w:hAnsi="Cambria"/>
          <w:sz w:val="21"/>
          <w:szCs w:val="21"/>
          <w:lang w:val="es-ES_tradnl"/>
        </w:rPr>
        <w:t>La Comisión solicitó información al Estado</w:t>
      </w:r>
      <w:r w:rsidR="009B69B6" w:rsidRPr="00375BBE">
        <w:rPr>
          <w:rFonts w:ascii="Cambria" w:hAnsi="Cambria"/>
          <w:sz w:val="21"/>
          <w:szCs w:val="21"/>
          <w:lang w:val="es-ES_tradnl"/>
        </w:rPr>
        <w:t xml:space="preserve"> </w:t>
      </w:r>
      <w:r w:rsidRPr="00375BBE">
        <w:rPr>
          <w:rFonts w:ascii="Cambria" w:hAnsi="Cambria"/>
          <w:sz w:val="21"/>
          <w:szCs w:val="21"/>
          <w:lang w:val="es-ES_tradnl"/>
        </w:rPr>
        <w:t xml:space="preserve">el 3 de </w:t>
      </w:r>
      <w:r w:rsidR="004E00D0" w:rsidRPr="00375BBE">
        <w:rPr>
          <w:rFonts w:ascii="Cambria" w:hAnsi="Cambria"/>
          <w:sz w:val="21"/>
          <w:szCs w:val="21"/>
          <w:lang w:val="es-ES_tradnl"/>
        </w:rPr>
        <w:t>octubre</w:t>
      </w:r>
      <w:r w:rsidRPr="00375BBE">
        <w:rPr>
          <w:rFonts w:ascii="Cambria" w:hAnsi="Cambria"/>
          <w:sz w:val="21"/>
          <w:szCs w:val="21"/>
          <w:lang w:val="es-ES_tradnl"/>
        </w:rPr>
        <w:t xml:space="preserve"> de 2019 en un término de 72 horas. A la fecha no se ha recibido </w:t>
      </w:r>
      <w:r w:rsidR="009B69B6" w:rsidRPr="00375BBE">
        <w:rPr>
          <w:rFonts w:ascii="Cambria" w:hAnsi="Cambria"/>
          <w:sz w:val="21"/>
          <w:szCs w:val="21"/>
          <w:lang w:val="es-ES_tradnl"/>
        </w:rPr>
        <w:t>respuesta</w:t>
      </w:r>
      <w:r w:rsidRPr="00375BBE">
        <w:rPr>
          <w:rFonts w:ascii="Cambria" w:hAnsi="Cambria"/>
          <w:sz w:val="21"/>
          <w:szCs w:val="21"/>
          <w:lang w:val="es-ES_tradnl"/>
        </w:rPr>
        <w:t xml:space="preserve"> del Estado</w:t>
      </w:r>
      <w:r w:rsidR="004E00D0" w:rsidRPr="00375BBE">
        <w:rPr>
          <w:rFonts w:ascii="Cambria" w:hAnsi="Cambria"/>
          <w:sz w:val="21"/>
          <w:szCs w:val="21"/>
          <w:lang w:val="es-ES_tradnl"/>
        </w:rPr>
        <w:t xml:space="preserve">. </w:t>
      </w:r>
    </w:p>
    <w:p w:rsidR="00FB584D" w:rsidRPr="00375BBE" w:rsidRDefault="00FB584D" w:rsidP="00FB584D">
      <w:pPr>
        <w:spacing w:line="240" w:lineRule="auto"/>
        <w:ind w:left="360"/>
        <w:contextualSpacing/>
        <w:jc w:val="both"/>
        <w:rPr>
          <w:rFonts w:ascii="Cambria" w:eastAsia="Calibri" w:hAnsi="Cambria" w:cs="Times New Roman"/>
          <w:sz w:val="21"/>
          <w:szCs w:val="21"/>
          <w:lang w:val="es-MX"/>
        </w:rPr>
      </w:pPr>
    </w:p>
    <w:p w:rsidR="00E77B47" w:rsidRPr="00375BBE" w:rsidRDefault="00E77B47" w:rsidP="000A299C">
      <w:pPr>
        <w:numPr>
          <w:ilvl w:val="0"/>
          <w:numId w:val="1"/>
        </w:numPr>
        <w:spacing w:line="240" w:lineRule="auto"/>
        <w:ind w:left="0" w:firstLine="360"/>
        <w:contextualSpacing/>
        <w:jc w:val="both"/>
        <w:rPr>
          <w:rFonts w:ascii="Cambria" w:hAnsi="Cambria"/>
          <w:sz w:val="21"/>
          <w:szCs w:val="21"/>
          <w:lang w:val="es-ES_tradnl"/>
        </w:rPr>
      </w:pPr>
      <w:r w:rsidRPr="00375BBE">
        <w:rPr>
          <w:rFonts w:ascii="Cambria" w:eastAsia="Calibri" w:hAnsi="Cambria" w:cs="Times New Roman"/>
          <w:sz w:val="21"/>
          <w:szCs w:val="21"/>
          <w:lang w:val="es-ES_tradnl"/>
        </w:rPr>
        <w:t>Tras analizar las alegaciones de hecho y de derecho aportadas por la solicitante</w:t>
      </w:r>
      <w:r w:rsidRPr="00375BBE">
        <w:rPr>
          <w:rFonts w:ascii="Cambria" w:eastAsia="Calibri" w:hAnsi="Cambria" w:cs="Times New Roman"/>
          <w:sz w:val="21"/>
          <w:szCs w:val="21"/>
          <w:lang w:val="es-ES"/>
        </w:rPr>
        <w:t>,</w:t>
      </w:r>
      <w:r w:rsidRPr="00375BBE">
        <w:rPr>
          <w:rFonts w:ascii="Cambria" w:eastAsia="Calibri" w:hAnsi="Cambria" w:cs="Times New Roman"/>
          <w:sz w:val="21"/>
          <w:szCs w:val="21"/>
          <w:lang w:val="es-ES_tradnl"/>
        </w:rPr>
        <w:t xml:space="preserve"> la Comisión considera, desde el estándar </w:t>
      </w:r>
      <w:r w:rsidRPr="00375BBE">
        <w:rPr>
          <w:rFonts w:ascii="Cambria" w:eastAsia="Calibri" w:hAnsi="Cambria" w:cs="Times New Roman"/>
          <w:i/>
          <w:sz w:val="21"/>
          <w:szCs w:val="21"/>
          <w:lang w:val="es-ES_tradnl"/>
        </w:rPr>
        <w:t xml:space="preserve">prima facie </w:t>
      </w:r>
      <w:r w:rsidR="00451864" w:rsidRPr="00375BBE">
        <w:rPr>
          <w:rFonts w:ascii="Cambria" w:eastAsia="Calibri" w:hAnsi="Cambria" w:cs="Times New Roman"/>
          <w:sz w:val="21"/>
          <w:szCs w:val="21"/>
          <w:lang w:val="es-ES_tradnl"/>
        </w:rPr>
        <w:t xml:space="preserve">aplicable, que </w:t>
      </w:r>
      <w:r w:rsidR="000A108A" w:rsidRPr="00375BBE">
        <w:rPr>
          <w:rFonts w:ascii="Cambria" w:eastAsia="Calibri" w:hAnsi="Cambria" w:cs="Times New Roman"/>
          <w:sz w:val="21"/>
          <w:szCs w:val="21"/>
          <w:lang w:val="es-ES_tradnl"/>
        </w:rPr>
        <w:t>el</w:t>
      </w:r>
      <w:r w:rsidRPr="00375BBE">
        <w:rPr>
          <w:rFonts w:ascii="Cambria" w:eastAsia="Calibri" w:hAnsi="Cambria" w:cs="Times New Roman"/>
          <w:sz w:val="21"/>
          <w:szCs w:val="21"/>
          <w:lang w:val="es-ES_tradnl"/>
        </w:rPr>
        <w:t xml:space="preserve"> </w:t>
      </w:r>
      <w:r w:rsidR="004E00D0" w:rsidRPr="00375BBE">
        <w:rPr>
          <w:rFonts w:ascii="Cambria" w:eastAsia="Calibri" w:hAnsi="Cambria" w:cs="Times New Roman"/>
          <w:sz w:val="21"/>
          <w:szCs w:val="21"/>
          <w:lang w:val="es-ES_tradnl"/>
        </w:rPr>
        <w:t>señor Hugo Enrique Marino Salas</w:t>
      </w:r>
      <w:r w:rsidRPr="00375BBE">
        <w:rPr>
          <w:rFonts w:ascii="Cambria" w:eastAsia="Calibri" w:hAnsi="Cambria" w:cs="Times New Roman"/>
          <w:sz w:val="21"/>
          <w:szCs w:val="21"/>
          <w:lang w:val="es-ES_tradnl"/>
        </w:rPr>
        <w:t xml:space="preserve"> se encuentra en una situación de gravedad y urgencia, toda vez que sus derechos enfrentan un riesgo de daño irreparable. </w:t>
      </w:r>
      <w:r w:rsidR="004E00D0" w:rsidRPr="00375BBE">
        <w:rPr>
          <w:rFonts w:ascii="Cambria" w:hAnsi="Cambria"/>
          <w:sz w:val="21"/>
          <w:szCs w:val="21"/>
          <w:lang w:val="es-ES_tradnl"/>
        </w:rPr>
        <w:t xml:space="preserve">Por consiguiente, con base en el artículo 25 de su Reglamento, la Comisión solicita al Estado de Venezuela </w:t>
      </w:r>
      <w:r w:rsidR="004E00D0" w:rsidRPr="00375BBE">
        <w:rPr>
          <w:rFonts w:ascii="Cambria" w:hAnsi="Cambria"/>
          <w:sz w:val="21"/>
          <w:szCs w:val="21"/>
          <w:lang w:val="es-MX"/>
        </w:rPr>
        <w:t xml:space="preserve">que: a) </w:t>
      </w:r>
      <w:r w:rsidR="000A299C" w:rsidRPr="00375BBE">
        <w:rPr>
          <w:rFonts w:ascii="Cambria" w:hAnsi="Cambria"/>
          <w:sz w:val="21"/>
          <w:szCs w:val="21"/>
          <w:lang w:val="es-MX"/>
        </w:rPr>
        <w:t xml:space="preserve">adopte las medidas necesarias para proteger los derechos a la vida e integridad personal del señor </w:t>
      </w:r>
      <w:r w:rsidR="000A299C" w:rsidRPr="00375BBE">
        <w:rPr>
          <w:rFonts w:ascii="Cambria" w:hAnsi="Cambria"/>
          <w:sz w:val="21"/>
          <w:szCs w:val="21"/>
          <w:lang w:val="es-ES_tradnl"/>
        </w:rPr>
        <w:t xml:space="preserve">Hugo Enrique Marino Salas. En particular, informe si el beneficiario se encontraría bajo custodia del Estado y las </w:t>
      </w:r>
      <w:r w:rsidR="000A299C" w:rsidRPr="00375BBE">
        <w:rPr>
          <w:rFonts w:ascii="Cambria" w:eastAsia="Calibri" w:hAnsi="Cambria" w:cs="Times New Roman"/>
          <w:sz w:val="21"/>
          <w:szCs w:val="21"/>
          <w:lang w:val="es-ES_tradnl"/>
        </w:rPr>
        <w:t>circunstancias en que se encontraría, o bien, de las medidas encaminadas a determinar su paradero o destino</w:t>
      </w:r>
      <w:r w:rsidR="000A299C" w:rsidRPr="00375BBE">
        <w:rPr>
          <w:rFonts w:ascii="Cambria" w:hAnsi="Cambria"/>
          <w:sz w:val="21"/>
          <w:szCs w:val="21"/>
          <w:lang w:val="es-MX"/>
        </w:rPr>
        <w:t>;</w:t>
      </w:r>
      <w:r w:rsidR="000A299C" w:rsidRPr="00375BBE">
        <w:rPr>
          <w:rFonts w:ascii="Cambria" w:hAnsi="Cambria"/>
          <w:sz w:val="21"/>
          <w:szCs w:val="21"/>
          <w:lang w:val="es-ES_tradnl"/>
        </w:rPr>
        <w:t xml:space="preserve"> b) informe sobre las </w:t>
      </w:r>
      <w:r w:rsidR="000A299C" w:rsidRPr="00375BBE">
        <w:rPr>
          <w:rFonts w:ascii="Cambria" w:hAnsi="Cambria"/>
          <w:sz w:val="21"/>
          <w:szCs w:val="21"/>
          <w:lang w:val="es-ES"/>
        </w:rPr>
        <w:t>acciones adoptadas a fin de investigar los hechos alegados que dieron lugar a la adopción de la presente medida cautelar y evitar así su repetición</w:t>
      </w:r>
      <w:r w:rsidRPr="00375BBE">
        <w:rPr>
          <w:rFonts w:ascii="Cambria" w:eastAsia="Calibri" w:hAnsi="Cambria" w:cs="Times New Roman"/>
          <w:sz w:val="21"/>
          <w:szCs w:val="21"/>
          <w:lang w:val="es-ES"/>
        </w:rPr>
        <w:t>.</w:t>
      </w:r>
    </w:p>
    <w:p w:rsidR="00FB584D" w:rsidRPr="00375BBE" w:rsidRDefault="00FB584D" w:rsidP="00FB584D">
      <w:pPr>
        <w:spacing w:line="240" w:lineRule="auto"/>
        <w:ind w:left="360"/>
        <w:contextualSpacing/>
        <w:jc w:val="both"/>
        <w:rPr>
          <w:rFonts w:ascii="Cambria" w:eastAsia="Calibri" w:hAnsi="Cambria" w:cs="Times New Roman"/>
          <w:sz w:val="21"/>
          <w:szCs w:val="21"/>
          <w:lang w:val="es-MX"/>
        </w:rPr>
      </w:pPr>
    </w:p>
    <w:p w:rsidR="00E77B47" w:rsidRPr="00375BBE" w:rsidRDefault="00E77B47" w:rsidP="00FB584D">
      <w:pPr>
        <w:numPr>
          <w:ilvl w:val="0"/>
          <w:numId w:val="3"/>
        </w:numPr>
        <w:spacing w:line="240" w:lineRule="auto"/>
        <w:ind w:left="360" w:firstLine="180"/>
        <w:contextualSpacing/>
        <w:jc w:val="both"/>
        <w:rPr>
          <w:rFonts w:ascii="Cambria" w:eastAsia="Calibri" w:hAnsi="Cambria" w:cs="Times New Roman"/>
          <w:b/>
          <w:sz w:val="21"/>
          <w:szCs w:val="21"/>
          <w:lang w:val="es-ES_tradnl"/>
        </w:rPr>
      </w:pPr>
      <w:r w:rsidRPr="00375BBE">
        <w:rPr>
          <w:rFonts w:ascii="Cambria" w:eastAsia="Calibri" w:hAnsi="Cambria" w:cs="Times New Roman"/>
          <w:b/>
          <w:sz w:val="21"/>
          <w:szCs w:val="21"/>
          <w:lang w:val="es-ES_tradnl"/>
        </w:rPr>
        <w:t xml:space="preserve">RESUMEN DE HECHOS </w:t>
      </w:r>
      <w:r w:rsidR="00F9498B" w:rsidRPr="00375BBE">
        <w:rPr>
          <w:rFonts w:ascii="Cambria" w:eastAsia="Calibri" w:hAnsi="Cambria" w:cs="Times New Roman"/>
          <w:b/>
          <w:sz w:val="21"/>
          <w:szCs w:val="21"/>
          <w:lang w:val="es-ES_tradnl"/>
        </w:rPr>
        <w:t>ALEGADOS POR LA SOLICITANTE</w:t>
      </w:r>
      <w:r w:rsidR="00C15C40" w:rsidRPr="00375BBE">
        <w:rPr>
          <w:rFonts w:ascii="Cambria" w:eastAsia="Calibri" w:hAnsi="Cambria" w:cs="Times New Roman"/>
          <w:b/>
          <w:sz w:val="21"/>
          <w:szCs w:val="21"/>
          <w:lang w:val="es-ES_tradnl"/>
        </w:rPr>
        <w:t xml:space="preserve"> </w:t>
      </w:r>
    </w:p>
    <w:p w:rsidR="00FB584D" w:rsidRPr="00375BBE" w:rsidRDefault="00FB584D" w:rsidP="00FB584D">
      <w:pPr>
        <w:spacing w:line="240" w:lineRule="auto"/>
        <w:contextualSpacing/>
        <w:jc w:val="both"/>
        <w:rPr>
          <w:rFonts w:ascii="Cambria" w:eastAsia="Calibri" w:hAnsi="Cambria" w:cs="Times New Roman"/>
          <w:sz w:val="21"/>
          <w:szCs w:val="21"/>
          <w:lang w:val="es-MX"/>
        </w:rPr>
      </w:pPr>
    </w:p>
    <w:p w:rsidR="004E00D0" w:rsidRPr="00375BBE" w:rsidRDefault="004E00D0" w:rsidP="00FB584D">
      <w:pPr>
        <w:numPr>
          <w:ilvl w:val="0"/>
          <w:numId w:val="1"/>
        </w:numPr>
        <w:spacing w:line="240" w:lineRule="auto"/>
        <w:ind w:left="0" w:firstLine="360"/>
        <w:contextualSpacing/>
        <w:jc w:val="both"/>
        <w:rPr>
          <w:rFonts w:ascii="Cambria" w:eastAsia="Calibri" w:hAnsi="Cambria" w:cs="Times New Roman"/>
          <w:sz w:val="21"/>
          <w:szCs w:val="21"/>
          <w:lang w:val="es-MX"/>
        </w:rPr>
      </w:pPr>
      <w:r w:rsidRPr="00375BBE">
        <w:rPr>
          <w:rFonts w:ascii="Cambria" w:eastAsia="Calibri" w:hAnsi="Cambria" w:cs="Times New Roman"/>
          <w:sz w:val="21"/>
          <w:szCs w:val="21"/>
          <w:lang w:val="es-MX"/>
        </w:rPr>
        <w:t xml:space="preserve">La solicitante indicó que el señor Hugo Enrique Marino Salas llegó a Caracas, Venezuela en un vuelo de Miami, Estados Unidos el 20 de abril de 2019, habiendo comunicado a su esposa por llamada telefónica que había llegado bien. Posteriormente, de acuerdo con la información con que contaría la solicitante, “habría sido arbitrariamente detenido en dicho aeropuerto por funcionarios de la </w:t>
      </w:r>
      <w:r w:rsidR="00B92D98" w:rsidRPr="00375BBE">
        <w:rPr>
          <w:rFonts w:ascii="Cambria" w:eastAsia="Calibri" w:hAnsi="Cambria" w:cs="Times New Roman"/>
          <w:sz w:val="21"/>
          <w:szCs w:val="21"/>
          <w:lang w:val="es-MX"/>
        </w:rPr>
        <w:t xml:space="preserve">División </w:t>
      </w:r>
      <w:r w:rsidRPr="00375BBE">
        <w:rPr>
          <w:rFonts w:ascii="Cambria" w:eastAsia="Calibri" w:hAnsi="Cambria" w:cs="Times New Roman"/>
          <w:sz w:val="21"/>
          <w:szCs w:val="21"/>
          <w:lang w:val="es-MX"/>
        </w:rPr>
        <w:t>de Contra Inteligencia Militar (DGCIM)</w:t>
      </w:r>
      <w:r w:rsidR="00B92D98" w:rsidRPr="00375BBE">
        <w:rPr>
          <w:rFonts w:ascii="Cambria" w:eastAsia="Calibri" w:hAnsi="Cambria" w:cs="Times New Roman"/>
          <w:sz w:val="21"/>
          <w:szCs w:val="21"/>
          <w:lang w:val="es-MX"/>
        </w:rPr>
        <w:t xml:space="preserve"> (sic)</w:t>
      </w:r>
      <w:r w:rsidRPr="00375BBE">
        <w:rPr>
          <w:rFonts w:ascii="Cambria" w:eastAsia="Calibri" w:hAnsi="Cambria" w:cs="Times New Roman"/>
          <w:sz w:val="21"/>
          <w:szCs w:val="21"/>
          <w:lang w:val="es-MX"/>
        </w:rPr>
        <w:t xml:space="preserve"> y, desde entonces, se desconoce su paradero”. </w:t>
      </w:r>
    </w:p>
    <w:p w:rsidR="00FB584D" w:rsidRPr="00375BBE" w:rsidRDefault="00FB584D" w:rsidP="00FB584D">
      <w:pPr>
        <w:spacing w:line="240" w:lineRule="auto"/>
        <w:ind w:left="360"/>
        <w:contextualSpacing/>
        <w:jc w:val="both"/>
        <w:rPr>
          <w:rFonts w:ascii="Cambria" w:eastAsia="Calibri" w:hAnsi="Cambria" w:cs="Times New Roman"/>
          <w:sz w:val="21"/>
          <w:szCs w:val="21"/>
          <w:lang w:val="es-MX"/>
        </w:rPr>
      </w:pPr>
    </w:p>
    <w:p w:rsidR="00FB584D" w:rsidRPr="00375BBE" w:rsidRDefault="004E00D0" w:rsidP="00FB584D">
      <w:pPr>
        <w:numPr>
          <w:ilvl w:val="0"/>
          <w:numId w:val="1"/>
        </w:numPr>
        <w:spacing w:line="240" w:lineRule="auto"/>
        <w:ind w:left="0" w:firstLine="360"/>
        <w:contextualSpacing/>
        <w:jc w:val="both"/>
        <w:rPr>
          <w:rFonts w:ascii="Cambria" w:eastAsia="Calibri" w:hAnsi="Cambria" w:cs="Times New Roman"/>
          <w:sz w:val="21"/>
          <w:szCs w:val="21"/>
          <w:lang w:val="es-MX"/>
        </w:rPr>
      </w:pPr>
      <w:r w:rsidRPr="00375BBE">
        <w:rPr>
          <w:rFonts w:ascii="Cambria" w:eastAsia="Calibri" w:hAnsi="Cambria" w:cs="Times New Roman"/>
          <w:sz w:val="21"/>
          <w:szCs w:val="21"/>
          <w:lang w:val="es-MX"/>
        </w:rPr>
        <w:t xml:space="preserve">El mismo día, amigos del señor Hugo Marino habrían recorrido centros de detención, la Sede de </w:t>
      </w:r>
      <w:proofErr w:type="spellStart"/>
      <w:r w:rsidRPr="00375BBE">
        <w:rPr>
          <w:rFonts w:ascii="Cambria" w:eastAsia="Calibri" w:hAnsi="Cambria" w:cs="Times New Roman"/>
          <w:sz w:val="21"/>
          <w:szCs w:val="21"/>
          <w:lang w:val="es-MX"/>
        </w:rPr>
        <w:t>Me</w:t>
      </w:r>
      <w:r w:rsidR="00B92D98" w:rsidRPr="00375BBE">
        <w:rPr>
          <w:rFonts w:ascii="Cambria" w:eastAsia="Calibri" w:hAnsi="Cambria" w:cs="Times New Roman"/>
          <w:sz w:val="21"/>
          <w:szCs w:val="21"/>
          <w:lang w:val="es-MX"/>
        </w:rPr>
        <w:t>dicatura</w:t>
      </w:r>
      <w:proofErr w:type="spellEnd"/>
      <w:r w:rsidR="00B92D98" w:rsidRPr="00375BBE">
        <w:rPr>
          <w:rFonts w:ascii="Cambria" w:eastAsia="Calibri" w:hAnsi="Cambria" w:cs="Times New Roman"/>
          <w:sz w:val="21"/>
          <w:szCs w:val="21"/>
          <w:lang w:val="es-MX"/>
        </w:rPr>
        <w:t xml:space="preserve"> Forense y el Centro de</w:t>
      </w:r>
      <w:r w:rsidRPr="00375BBE">
        <w:rPr>
          <w:rFonts w:ascii="Cambria" w:eastAsia="Calibri" w:hAnsi="Cambria" w:cs="Times New Roman"/>
          <w:sz w:val="21"/>
          <w:szCs w:val="21"/>
          <w:lang w:val="es-MX"/>
        </w:rPr>
        <w:t xml:space="preserve"> Policía Bolivariana de Miranda, sin tener información sobre el </w:t>
      </w:r>
      <w:r w:rsidR="00B92D98" w:rsidRPr="00375BBE">
        <w:rPr>
          <w:rFonts w:ascii="Cambria" w:eastAsia="Calibri" w:hAnsi="Cambria" w:cs="Times New Roman"/>
          <w:sz w:val="21"/>
          <w:szCs w:val="21"/>
          <w:lang w:val="es-MX"/>
        </w:rPr>
        <w:t>señor Marino Salas</w:t>
      </w:r>
      <w:r w:rsidRPr="00375BBE">
        <w:rPr>
          <w:rFonts w:ascii="Cambria" w:eastAsia="Calibri" w:hAnsi="Cambria" w:cs="Times New Roman"/>
          <w:sz w:val="21"/>
          <w:szCs w:val="21"/>
          <w:lang w:val="es-MX"/>
        </w:rPr>
        <w:t xml:space="preserve">. Posteriormente, una amiga de la familia habría acudido a </w:t>
      </w:r>
      <w:r w:rsidR="00B92D98" w:rsidRPr="00375BBE">
        <w:rPr>
          <w:rFonts w:ascii="Cambria" w:eastAsia="Calibri" w:hAnsi="Cambria" w:cs="Times New Roman"/>
          <w:sz w:val="21"/>
          <w:szCs w:val="21"/>
          <w:lang w:val="es-MX"/>
        </w:rPr>
        <w:t xml:space="preserve">intentar llevar comida al propuesto beneficiario a la sede de la DGCIM </w:t>
      </w:r>
      <w:r w:rsidRPr="00375BBE">
        <w:rPr>
          <w:rFonts w:ascii="Cambria" w:eastAsia="Calibri" w:hAnsi="Cambria" w:cs="Times New Roman"/>
          <w:sz w:val="21"/>
          <w:szCs w:val="21"/>
          <w:lang w:val="es-MX"/>
        </w:rPr>
        <w:t xml:space="preserve">el 12 de mayo de 2019 “solo para ver qué le decían”, habiendo sido informada por el funcionario militar de guardia que “solo podría recibir alimentos para el detenido”. De igual manera, otro amigo de la familia habría intentado llevarle comida el 19 de mayo, pero en esta ocasión el funcionario militar de guardia le habría informado que la persona requerida no se encontraba en dicho lugar. </w:t>
      </w:r>
    </w:p>
    <w:p w:rsidR="00FB584D" w:rsidRPr="00375BBE" w:rsidRDefault="00FB584D" w:rsidP="00FB584D">
      <w:pPr>
        <w:spacing w:line="240" w:lineRule="auto"/>
        <w:ind w:left="360"/>
        <w:contextualSpacing/>
        <w:jc w:val="both"/>
        <w:rPr>
          <w:rFonts w:ascii="Cambria" w:eastAsia="Calibri" w:hAnsi="Cambria" w:cs="Times New Roman"/>
          <w:sz w:val="21"/>
          <w:szCs w:val="21"/>
          <w:lang w:val="es-MX"/>
        </w:rPr>
      </w:pPr>
    </w:p>
    <w:p w:rsidR="004E00D0" w:rsidRPr="00375BBE" w:rsidRDefault="004E00D0" w:rsidP="00FB584D">
      <w:pPr>
        <w:numPr>
          <w:ilvl w:val="0"/>
          <w:numId w:val="1"/>
        </w:numPr>
        <w:spacing w:line="240" w:lineRule="auto"/>
        <w:ind w:left="0" w:firstLine="360"/>
        <w:contextualSpacing/>
        <w:jc w:val="both"/>
        <w:rPr>
          <w:rFonts w:ascii="Cambria" w:eastAsia="Calibri" w:hAnsi="Cambria" w:cs="Times New Roman"/>
          <w:sz w:val="21"/>
          <w:szCs w:val="21"/>
          <w:lang w:val="es-MX"/>
        </w:rPr>
      </w:pPr>
      <w:r w:rsidRPr="00375BBE">
        <w:rPr>
          <w:rFonts w:ascii="Cambria" w:eastAsia="Calibri" w:hAnsi="Cambria" w:cs="Times New Roman"/>
          <w:sz w:val="21"/>
          <w:szCs w:val="21"/>
          <w:lang w:val="es-MX"/>
        </w:rPr>
        <w:t xml:space="preserve">El 29 de mayo de 2019 habría sido presentada una denuncia por desaparición forzada ante la Fiscalía de Derechos Fundamentales por parte de una familiar. A su vez, el 30 de mayo se habría </w:t>
      </w:r>
      <w:r w:rsidRPr="00375BBE">
        <w:rPr>
          <w:rFonts w:ascii="Cambria" w:eastAsia="Calibri" w:hAnsi="Cambria" w:cs="Times New Roman"/>
          <w:sz w:val="21"/>
          <w:szCs w:val="21"/>
          <w:lang w:val="es-MX"/>
        </w:rPr>
        <w:lastRenderedPageBreak/>
        <w:t xml:space="preserve">presentado un </w:t>
      </w:r>
      <w:r w:rsidRPr="00375BBE">
        <w:rPr>
          <w:rFonts w:ascii="Cambria" w:eastAsia="Calibri" w:hAnsi="Cambria" w:cs="Times New Roman"/>
          <w:i/>
          <w:sz w:val="21"/>
          <w:szCs w:val="21"/>
          <w:lang w:val="es-MX"/>
        </w:rPr>
        <w:t>habeas corpus</w:t>
      </w:r>
      <w:r w:rsidRPr="00375BBE">
        <w:rPr>
          <w:rFonts w:ascii="Cambria" w:eastAsia="Calibri" w:hAnsi="Cambria" w:cs="Times New Roman"/>
          <w:sz w:val="21"/>
          <w:szCs w:val="21"/>
          <w:lang w:val="es-MX"/>
        </w:rPr>
        <w:t>. Por otro lado, la solicitante informó que, pese a que no han tenido acceso al expediente, tuvieron conocimiento de que el propuesto beneficiario fue presentado ante el Tribunal 31 de Control de Distrito Capital, donde habría sido imputado con los cargos de conspiración y traición a la patria</w:t>
      </w:r>
      <w:r w:rsidR="00F9498B" w:rsidRPr="00375BBE">
        <w:rPr>
          <w:rFonts w:ascii="Cambria" w:eastAsia="Calibri" w:hAnsi="Cambria" w:cs="Times New Roman"/>
          <w:sz w:val="21"/>
          <w:szCs w:val="21"/>
          <w:lang w:val="es-MX"/>
        </w:rPr>
        <w:t xml:space="preserve">. </w:t>
      </w:r>
      <w:r w:rsidRPr="00375BBE">
        <w:rPr>
          <w:rFonts w:ascii="Cambria" w:eastAsia="Calibri" w:hAnsi="Cambria" w:cs="Times New Roman"/>
          <w:sz w:val="21"/>
          <w:szCs w:val="21"/>
          <w:lang w:val="es-MX"/>
        </w:rPr>
        <w:t xml:space="preserve">La defensa habría solicitado el expediente e indicaron que “esta desparecido”. </w:t>
      </w:r>
    </w:p>
    <w:p w:rsidR="00B92D98" w:rsidRPr="00375BBE" w:rsidRDefault="00B92D98" w:rsidP="00FB584D">
      <w:pPr>
        <w:spacing w:line="240" w:lineRule="auto"/>
        <w:ind w:left="360"/>
        <w:contextualSpacing/>
        <w:jc w:val="both"/>
        <w:rPr>
          <w:rFonts w:ascii="Cambria" w:eastAsia="Calibri" w:hAnsi="Cambria" w:cs="Times New Roman"/>
          <w:sz w:val="21"/>
          <w:szCs w:val="21"/>
          <w:lang w:val="es-MX"/>
        </w:rPr>
      </w:pPr>
    </w:p>
    <w:p w:rsidR="000C0DCC" w:rsidRPr="00375BBE" w:rsidRDefault="004E00D0" w:rsidP="00FB584D">
      <w:pPr>
        <w:numPr>
          <w:ilvl w:val="0"/>
          <w:numId w:val="1"/>
        </w:numPr>
        <w:spacing w:line="240" w:lineRule="auto"/>
        <w:ind w:left="0" w:firstLine="360"/>
        <w:contextualSpacing/>
        <w:jc w:val="both"/>
        <w:rPr>
          <w:rFonts w:ascii="Cambria" w:eastAsia="Calibri" w:hAnsi="Cambria" w:cs="Times New Roman"/>
          <w:sz w:val="21"/>
          <w:szCs w:val="21"/>
          <w:lang w:val="es-ES_tradnl"/>
        </w:rPr>
      </w:pPr>
      <w:r w:rsidRPr="00375BBE">
        <w:rPr>
          <w:rFonts w:ascii="Cambria" w:eastAsia="Calibri" w:hAnsi="Cambria" w:cs="Times New Roman"/>
          <w:sz w:val="21"/>
          <w:szCs w:val="21"/>
          <w:lang w:val="es-MX"/>
        </w:rPr>
        <w:t xml:space="preserve">La solicitante señaló que, a la fecha su defensa no ha tenido más noticias sobre el lugar de detención del señor Hugo Enrique Marino Salas y que desconocen “si esta con vida y </w:t>
      </w:r>
      <w:proofErr w:type="spellStart"/>
      <w:r w:rsidRPr="00375BBE">
        <w:rPr>
          <w:rFonts w:ascii="Cambria" w:eastAsia="Calibri" w:hAnsi="Cambria" w:cs="Times New Roman"/>
          <w:sz w:val="21"/>
          <w:szCs w:val="21"/>
          <w:lang w:val="es-MX"/>
        </w:rPr>
        <w:t>tem</w:t>
      </w:r>
      <w:proofErr w:type="spellEnd"/>
      <w:r w:rsidRPr="00375BBE">
        <w:rPr>
          <w:rFonts w:ascii="Cambria" w:eastAsia="Calibri" w:hAnsi="Cambria" w:cs="Times New Roman"/>
          <w:sz w:val="21"/>
          <w:szCs w:val="21"/>
          <w:lang w:val="es-MX"/>
        </w:rPr>
        <w:t>[en] por su estado físico y mental”, ya que sería enfermo cardíaco con tratamiento estricto. Agregaron que la familia ha hecho llamados públicos de auxilio y que el SG de la OEA exigió su liberación</w:t>
      </w:r>
      <w:r w:rsidR="002C4C23" w:rsidRPr="00375BBE">
        <w:rPr>
          <w:rFonts w:ascii="Cambria" w:eastAsia="Calibri" w:hAnsi="Cambria" w:cs="Times New Roman"/>
          <w:sz w:val="21"/>
          <w:szCs w:val="21"/>
          <w:lang w:val="es-ES_tradnl"/>
        </w:rPr>
        <w:t xml:space="preserve">. </w:t>
      </w:r>
      <w:r w:rsidR="000920AB" w:rsidRPr="00375BBE">
        <w:rPr>
          <w:rFonts w:ascii="Cambria" w:eastAsia="Calibri" w:hAnsi="Cambria" w:cs="Times New Roman"/>
          <w:sz w:val="21"/>
          <w:szCs w:val="21"/>
          <w:lang w:val="es-ES_tradnl"/>
        </w:rPr>
        <w:t xml:space="preserve"> </w:t>
      </w:r>
    </w:p>
    <w:p w:rsidR="00E77B47" w:rsidRPr="00375BBE" w:rsidRDefault="00E77B47" w:rsidP="00E77B47">
      <w:pPr>
        <w:tabs>
          <w:tab w:val="left" w:pos="810"/>
        </w:tabs>
        <w:spacing w:after="0" w:line="240" w:lineRule="auto"/>
        <w:jc w:val="both"/>
        <w:rPr>
          <w:rFonts w:ascii="Cambria" w:eastAsia="Calibri" w:hAnsi="Cambria" w:cs="Times New Roman"/>
          <w:b/>
          <w:sz w:val="21"/>
          <w:szCs w:val="21"/>
          <w:lang w:val="es-MX"/>
        </w:rPr>
      </w:pPr>
    </w:p>
    <w:p w:rsidR="00E77B47" w:rsidRPr="00375BBE" w:rsidRDefault="00E77B47" w:rsidP="00585EBB">
      <w:pPr>
        <w:numPr>
          <w:ilvl w:val="0"/>
          <w:numId w:val="3"/>
        </w:numPr>
        <w:spacing w:after="0" w:line="240" w:lineRule="auto"/>
        <w:ind w:left="360" w:firstLine="180"/>
        <w:contextualSpacing/>
        <w:jc w:val="both"/>
        <w:rPr>
          <w:rFonts w:ascii="Cambria" w:eastAsia="Calibri" w:hAnsi="Cambria" w:cs="Times New Roman"/>
          <w:b/>
          <w:sz w:val="21"/>
          <w:szCs w:val="21"/>
          <w:lang w:val="es-ES_tradnl"/>
        </w:rPr>
      </w:pPr>
      <w:r w:rsidRPr="00375BBE">
        <w:rPr>
          <w:rFonts w:ascii="Cambria" w:eastAsia="Calibri" w:hAnsi="Cambria" w:cs="Times New Roman"/>
          <w:b/>
          <w:sz w:val="21"/>
          <w:szCs w:val="21"/>
          <w:lang w:val="es-ES_tradnl"/>
        </w:rPr>
        <w:t xml:space="preserve">ASPECTOS CONTEXTUALES EN RELACIÓN CON LA PRESENTE SOLICITUD </w:t>
      </w:r>
    </w:p>
    <w:p w:rsidR="00E77B47" w:rsidRPr="00375BBE" w:rsidRDefault="00E77B47" w:rsidP="00E77B47">
      <w:pPr>
        <w:spacing w:after="0" w:line="240" w:lineRule="auto"/>
        <w:ind w:left="1080"/>
        <w:jc w:val="both"/>
        <w:rPr>
          <w:rFonts w:ascii="Cambria" w:eastAsia="Calibri" w:hAnsi="Cambria" w:cs="Times New Roman"/>
          <w:b/>
          <w:sz w:val="21"/>
          <w:szCs w:val="21"/>
          <w:lang w:val="es-MX"/>
        </w:rPr>
      </w:pPr>
    </w:p>
    <w:p w:rsidR="00E77B47" w:rsidRPr="00375BBE" w:rsidRDefault="00E77B47" w:rsidP="00C749D2">
      <w:pPr>
        <w:numPr>
          <w:ilvl w:val="0"/>
          <w:numId w:val="1"/>
        </w:numPr>
        <w:spacing w:after="0" w:line="240" w:lineRule="auto"/>
        <w:ind w:left="0" w:firstLine="360"/>
        <w:contextualSpacing/>
        <w:jc w:val="both"/>
        <w:rPr>
          <w:rFonts w:ascii="Cambria" w:eastAsia="Calibri" w:hAnsi="Cambria" w:cs="Times New Roman"/>
          <w:sz w:val="21"/>
          <w:szCs w:val="21"/>
        </w:rPr>
      </w:pPr>
      <w:r w:rsidRPr="00375BBE">
        <w:rPr>
          <w:rFonts w:ascii="Cambria" w:eastAsia="Calibri" w:hAnsi="Cambria" w:cs="Times New Roman"/>
          <w:sz w:val="21"/>
          <w:szCs w:val="21"/>
        </w:rPr>
        <w:t xml:space="preserve">La Comisión Interamericana, en el marco de sus diversos mecanismos ha venido dando seguimiento a la situación de derechos humanos en Venezuela. La Comisión emitió de manera reciente su Informe sobre </w:t>
      </w:r>
      <w:r w:rsidRPr="00375BBE">
        <w:rPr>
          <w:rFonts w:ascii="Cambria" w:eastAsia="Calibri" w:hAnsi="Cambria" w:cs="Times New Roman"/>
          <w:i/>
          <w:sz w:val="21"/>
          <w:szCs w:val="21"/>
        </w:rPr>
        <w:t>Institucionalidad Democrática, Estado de Derecho y Derechos Humanos en Venezuela</w:t>
      </w:r>
      <w:r w:rsidRPr="00375BBE">
        <w:rPr>
          <w:rFonts w:ascii="Cambria" w:eastAsia="Calibri" w:hAnsi="Cambria" w:cs="Times New Roman"/>
          <w:sz w:val="21"/>
          <w:szCs w:val="21"/>
        </w:rPr>
        <w:t xml:space="preserve"> en el cual hizo referencia al “serio deterioro de la vigencia de los derechos humanos, y la grave crisis política, económica y social que atraviesa el país […]”</w:t>
      </w:r>
      <w:r w:rsidRPr="00375BBE">
        <w:rPr>
          <w:rFonts w:ascii="Cambria" w:eastAsia="Calibri" w:hAnsi="Cambria" w:cs="Times New Roman"/>
          <w:sz w:val="21"/>
          <w:szCs w:val="21"/>
          <w:vertAlign w:val="superscript"/>
        </w:rPr>
        <w:footnoteReference w:id="1"/>
      </w:r>
      <w:r w:rsidRPr="00375BBE">
        <w:rPr>
          <w:rFonts w:ascii="Cambria" w:eastAsia="Calibri" w:hAnsi="Cambria" w:cs="Times New Roman"/>
          <w:sz w:val="21"/>
          <w:szCs w:val="21"/>
        </w:rPr>
        <w:t>.</w:t>
      </w:r>
      <w:r w:rsidR="00C749D2" w:rsidRPr="00375BBE">
        <w:rPr>
          <w:rFonts w:ascii="Cambria" w:eastAsia="Calibri" w:hAnsi="Cambria" w:cs="Times New Roman"/>
          <w:sz w:val="21"/>
          <w:szCs w:val="21"/>
        </w:rPr>
        <w:t xml:space="preserve"> </w:t>
      </w:r>
      <w:r w:rsidRPr="00375BBE">
        <w:rPr>
          <w:rFonts w:ascii="Cambria" w:eastAsia="Calibri" w:hAnsi="Cambria" w:cs="Times New Roman"/>
          <w:sz w:val="21"/>
          <w:szCs w:val="21"/>
        </w:rPr>
        <w:t>Según fue identificado por la Comisión “se trata de una problemática compleja que tiene sus raíces en la injerencia del Poder Ejecutivo en los otros poderes públicos”. La Comisión notó que “[e]</w:t>
      </w:r>
      <w:proofErr w:type="spellStart"/>
      <w:r w:rsidRPr="00375BBE">
        <w:rPr>
          <w:rFonts w:ascii="Cambria" w:eastAsia="Calibri" w:hAnsi="Cambria" w:cs="Times New Roman"/>
          <w:sz w:val="21"/>
          <w:szCs w:val="21"/>
        </w:rPr>
        <w:t>sta</w:t>
      </w:r>
      <w:proofErr w:type="spellEnd"/>
      <w:r w:rsidRPr="00375BBE">
        <w:rPr>
          <w:rFonts w:ascii="Cambria" w:eastAsia="Calibri" w:hAnsi="Cambria" w:cs="Times New Roman"/>
          <w:sz w:val="21"/>
          <w:szCs w:val="21"/>
        </w:rPr>
        <w:t xml:space="preserve"> inobservancia del principio de separación de poderes se refleja de manera particularmente grave en la preocupante actuación del Poder Judicial”. En efecto, el agravamiento de la crisis reciente en Venezuela fue particularmente monitoreada por la Comisión en el año de 2017 tras “una serie de decisiones adoptadas por el Tribunal Supremo de Justicia (TSJ), que representaron injerencias en la Asamblea Nacional (AN) y afectaron el principio de separación de poderes”</w:t>
      </w:r>
      <w:r w:rsidRPr="00375BBE">
        <w:rPr>
          <w:rFonts w:ascii="Cambria" w:eastAsia="Calibri" w:hAnsi="Cambria" w:cs="Times New Roman"/>
          <w:sz w:val="21"/>
          <w:szCs w:val="21"/>
          <w:vertAlign w:val="superscript"/>
        </w:rPr>
        <w:footnoteReference w:id="2"/>
      </w:r>
      <w:r w:rsidRPr="00375BBE">
        <w:rPr>
          <w:rFonts w:ascii="Cambria" w:eastAsia="Calibri" w:hAnsi="Cambria" w:cs="Times New Roman"/>
          <w:sz w:val="21"/>
          <w:szCs w:val="21"/>
        </w:rPr>
        <w:t>.</w:t>
      </w:r>
    </w:p>
    <w:p w:rsidR="00BD2AAB" w:rsidRPr="00375BBE" w:rsidRDefault="00BD2AAB" w:rsidP="00BD2AAB">
      <w:pPr>
        <w:spacing w:after="0" w:line="240" w:lineRule="auto"/>
        <w:contextualSpacing/>
        <w:jc w:val="both"/>
        <w:rPr>
          <w:rFonts w:ascii="Cambria" w:eastAsia="Calibri" w:hAnsi="Cambria" w:cs="Times New Roman"/>
          <w:sz w:val="21"/>
          <w:szCs w:val="21"/>
        </w:rPr>
      </w:pPr>
    </w:p>
    <w:p w:rsidR="00E77B47" w:rsidRPr="00375BBE" w:rsidRDefault="00E77B47" w:rsidP="005D2B14">
      <w:pPr>
        <w:numPr>
          <w:ilvl w:val="0"/>
          <w:numId w:val="1"/>
        </w:numPr>
        <w:spacing w:after="0" w:line="240" w:lineRule="auto"/>
        <w:ind w:left="0" w:firstLine="360"/>
        <w:contextualSpacing/>
        <w:jc w:val="both"/>
        <w:rPr>
          <w:rFonts w:ascii="Cambria" w:eastAsia="Calibri" w:hAnsi="Cambria" w:cs="Times New Roman"/>
          <w:sz w:val="21"/>
          <w:szCs w:val="21"/>
        </w:rPr>
      </w:pPr>
      <w:r w:rsidRPr="00375BBE">
        <w:rPr>
          <w:rFonts w:ascii="Cambria" w:eastAsia="Calibri" w:hAnsi="Cambria" w:cs="Times New Roman"/>
          <w:sz w:val="21"/>
          <w:szCs w:val="21"/>
        </w:rPr>
        <w:t xml:space="preserve">En el marco de los anteriores eventos, la Comisión </w:t>
      </w:r>
      <w:r w:rsidR="00C749D2" w:rsidRPr="00375BBE">
        <w:rPr>
          <w:rFonts w:ascii="Cambria" w:eastAsia="Calibri" w:hAnsi="Cambria" w:cs="Times New Roman"/>
          <w:sz w:val="21"/>
          <w:szCs w:val="21"/>
        </w:rPr>
        <w:t xml:space="preserve">ha expresado </w:t>
      </w:r>
      <w:r w:rsidRPr="00375BBE">
        <w:rPr>
          <w:rFonts w:ascii="Cambria" w:eastAsia="Calibri" w:hAnsi="Cambria" w:cs="Times New Roman"/>
          <w:sz w:val="21"/>
          <w:szCs w:val="21"/>
        </w:rPr>
        <w:t xml:space="preserve">su “profunda preocupación por el agravamiento de la violencia en Venezuela” y </w:t>
      </w:r>
      <w:r w:rsidR="00C749D2" w:rsidRPr="00375BBE">
        <w:rPr>
          <w:rFonts w:ascii="Cambria" w:eastAsia="Calibri" w:hAnsi="Cambria" w:cs="Times New Roman"/>
          <w:sz w:val="21"/>
          <w:szCs w:val="21"/>
        </w:rPr>
        <w:t xml:space="preserve">ha tomado </w:t>
      </w:r>
      <w:r w:rsidRPr="00375BBE">
        <w:rPr>
          <w:rFonts w:ascii="Cambria" w:eastAsia="Calibri" w:hAnsi="Cambria" w:cs="Times New Roman"/>
          <w:sz w:val="21"/>
          <w:szCs w:val="21"/>
        </w:rPr>
        <w:t xml:space="preserve">conocimiento de la represión a la ola de protestas sociales ocurridas entre abril y julio de 2017, </w:t>
      </w:r>
      <w:r w:rsidR="00C749D2" w:rsidRPr="00375BBE">
        <w:rPr>
          <w:rFonts w:ascii="Cambria" w:eastAsia="Calibri" w:hAnsi="Cambria" w:cs="Times New Roman"/>
          <w:sz w:val="21"/>
          <w:szCs w:val="21"/>
        </w:rPr>
        <w:t xml:space="preserve">donde </w:t>
      </w:r>
      <w:r w:rsidRPr="00375BBE">
        <w:rPr>
          <w:rFonts w:ascii="Cambria" w:eastAsia="Calibri" w:hAnsi="Cambria" w:cs="Times New Roman"/>
          <w:sz w:val="21"/>
          <w:szCs w:val="21"/>
        </w:rPr>
        <w:t>se habrían registrado más de un centenar de muertes</w:t>
      </w:r>
      <w:r w:rsidRPr="00375BBE">
        <w:rPr>
          <w:rFonts w:ascii="Cambria" w:eastAsia="Calibri" w:hAnsi="Cambria" w:cs="Times New Roman"/>
          <w:sz w:val="21"/>
          <w:szCs w:val="21"/>
          <w:vertAlign w:val="superscript"/>
        </w:rPr>
        <w:footnoteReference w:id="3"/>
      </w:r>
      <w:r w:rsidRPr="00375BBE">
        <w:rPr>
          <w:rFonts w:ascii="Cambria" w:eastAsia="Calibri" w:hAnsi="Cambria" w:cs="Times New Roman"/>
          <w:sz w:val="21"/>
          <w:szCs w:val="21"/>
        </w:rPr>
        <w:t>, así como detenciones arbitrarias y denuncias sobre actos de tortura y otros tratos crueles, inhumanos o degradantes</w:t>
      </w:r>
      <w:r w:rsidRPr="00375BBE">
        <w:rPr>
          <w:rFonts w:ascii="Cambria" w:eastAsia="Calibri" w:hAnsi="Cambria" w:cs="Times New Roman"/>
          <w:sz w:val="21"/>
          <w:szCs w:val="21"/>
          <w:vertAlign w:val="superscript"/>
        </w:rPr>
        <w:footnoteReference w:id="4"/>
      </w:r>
      <w:r w:rsidRPr="00375BBE">
        <w:rPr>
          <w:rFonts w:ascii="Cambria" w:eastAsia="Calibri" w:hAnsi="Cambria" w:cs="Times New Roman"/>
          <w:sz w:val="21"/>
          <w:szCs w:val="21"/>
        </w:rPr>
        <w:t>.</w:t>
      </w:r>
      <w:r w:rsidR="00C749D2" w:rsidRPr="00375BBE">
        <w:rPr>
          <w:rFonts w:ascii="Cambria" w:eastAsia="Calibri" w:hAnsi="Cambria" w:cs="Times New Roman"/>
          <w:sz w:val="21"/>
          <w:szCs w:val="21"/>
        </w:rPr>
        <w:t xml:space="preserve"> </w:t>
      </w:r>
    </w:p>
    <w:p w:rsidR="00E77B47" w:rsidRPr="00375BBE" w:rsidRDefault="00E77B47" w:rsidP="005D2B14">
      <w:pPr>
        <w:spacing w:after="0" w:line="240" w:lineRule="auto"/>
        <w:ind w:left="360"/>
        <w:contextualSpacing/>
        <w:jc w:val="both"/>
        <w:rPr>
          <w:rFonts w:ascii="Cambria" w:eastAsia="Calibri" w:hAnsi="Cambria" w:cs="Times New Roman"/>
          <w:sz w:val="21"/>
          <w:szCs w:val="21"/>
        </w:rPr>
      </w:pPr>
    </w:p>
    <w:p w:rsidR="00E77B47" w:rsidRPr="00375BBE" w:rsidRDefault="00E77B47" w:rsidP="00C749D2">
      <w:pPr>
        <w:numPr>
          <w:ilvl w:val="0"/>
          <w:numId w:val="1"/>
        </w:numPr>
        <w:spacing w:after="0" w:line="240" w:lineRule="auto"/>
        <w:ind w:left="0" w:firstLine="360"/>
        <w:contextualSpacing/>
        <w:jc w:val="both"/>
        <w:rPr>
          <w:rFonts w:ascii="Cambria" w:eastAsia="Calibri" w:hAnsi="Cambria" w:cs="Times New Roman"/>
          <w:sz w:val="21"/>
          <w:szCs w:val="21"/>
        </w:rPr>
      </w:pPr>
      <w:r w:rsidRPr="00375BBE">
        <w:rPr>
          <w:rFonts w:ascii="Cambria" w:eastAsia="Calibri" w:hAnsi="Cambria" w:cs="Times New Roman"/>
          <w:sz w:val="21"/>
          <w:szCs w:val="21"/>
        </w:rPr>
        <w:t>El 18 de mayo de 2018, la Comisión expresó “su profunda preocupación por la falta de condiciones mínimas necesarias para la realización de elecciones libres, justas y confiables en Venezuela”, llamando a realizar “en un plazo razonable y adecuado, elecciones sobre la base del pleno y efectivo ejercicio de los derechos humanos y los principios democráticos”</w:t>
      </w:r>
      <w:r w:rsidRPr="00375BBE">
        <w:rPr>
          <w:rFonts w:ascii="Cambria" w:eastAsia="Calibri" w:hAnsi="Cambria" w:cs="Times New Roman"/>
          <w:sz w:val="21"/>
          <w:szCs w:val="21"/>
          <w:vertAlign w:val="superscript"/>
        </w:rPr>
        <w:footnoteReference w:id="5"/>
      </w:r>
      <w:r w:rsidR="005D2B14" w:rsidRPr="00375BBE">
        <w:rPr>
          <w:rFonts w:ascii="Cambria" w:eastAsia="Calibri" w:hAnsi="Cambria" w:cs="Times New Roman"/>
          <w:sz w:val="21"/>
          <w:szCs w:val="21"/>
        </w:rPr>
        <w:t xml:space="preserve">. </w:t>
      </w:r>
      <w:r w:rsidRPr="00375BBE">
        <w:rPr>
          <w:rFonts w:ascii="Cambria" w:eastAsia="Calibri" w:hAnsi="Cambria" w:cs="Times New Roman"/>
          <w:sz w:val="21"/>
          <w:szCs w:val="21"/>
        </w:rPr>
        <w:t>El 1 de octubre de 2018, ante la crisis en el sistema sanitario de Venezuela, la Comisión en conjunto con expertos de Naciones Unidas, instaron al gobierno a actuar de manera más urgente para movilizar los recursos necesarios para restaurar el sistema de salud</w:t>
      </w:r>
      <w:r w:rsidRPr="00375BBE">
        <w:rPr>
          <w:rFonts w:ascii="Cambria" w:eastAsia="Calibri" w:hAnsi="Cambria" w:cs="Times New Roman"/>
          <w:sz w:val="21"/>
          <w:szCs w:val="21"/>
          <w:vertAlign w:val="superscript"/>
        </w:rPr>
        <w:footnoteReference w:id="6"/>
      </w:r>
      <w:r w:rsidRPr="00375BBE">
        <w:rPr>
          <w:rFonts w:ascii="Cambria" w:eastAsia="Calibri" w:hAnsi="Cambria" w:cs="Times New Roman"/>
          <w:sz w:val="21"/>
          <w:szCs w:val="21"/>
        </w:rPr>
        <w:t>.</w:t>
      </w:r>
      <w:r w:rsidR="00C749D2" w:rsidRPr="00375BBE">
        <w:rPr>
          <w:rFonts w:ascii="Cambria" w:eastAsia="Calibri" w:hAnsi="Cambria" w:cs="Times New Roman"/>
          <w:sz w:val="21"/>
          <w:szCs w:val="21"/>
        </w:rPr>
        <w:t xml:space="preserve"> </w:t>
      </w:r>
      <w:r w:rsidR="00C749D2" w:rsidRPr="00375BBE">
        <w:rPr>
          <w:rFonts w:ascii="Cambria" w:eastAsia="Calibri" w:hAnsi="Cambria" w:cs="Times New Roman"/>
          <w:sz w:val="21"/>
          <w:szCs w:val="21"/>
        </w:rPr>
        <w:lastRenderedPageBreak/>
        <w:t>T</w:t>
      </w:r>
      <w:r w:rsidRPr="00375BBE">
        <w:rPr>
          <w:rFonts w:ascii="Cambria" w:eastAsia="Calibri" w:hAnsi="Cambria" w:cs="Times New Roman"/>
          <w:sz w:val="21"/>
          <w:szCs w:val="21"/>
        </w:rPr>
        <w:t xml:space="preserve">ras haberse realizado un proceso electoral que no </w:t>
      </w:r>
      <w:r w:rsidR="007825C9" w:rsidRPr="00375BBE">
        <w:rPr>
          <w:rFonts w:ascii="Cambria" w:eastAsia="Calibri" w:hAnsi="Cambria" w:cs="Times New Roman"/>
          <w:sz w:val="21"/>
          <w:szCs w:val="21"/>
        </w:rPr>
        <w:t>contó</w:t>
      </w:r>
      <w:r w:rsidRPr="00375BBE">
        <w:rPr>
          <w:rFonts w:ascii="Cambria" w:eastAsia="Calibri" w:hAnsi="Cambria" w:cs="Times New Roman"/>
          <w:sz w:val="21"/>
          <w:szCs w:val="21"/>
        </w:rPr>
        <w:t xml:space="preserve"> con las mínimas condiciones para la realización de elecciones libres y justas en el país, “la Comisión </w:t>
      </w:r>
      <w:proofErr w:type="spellStart"/>
      <w:r w:rsidRPr="00375BBE">
        <w:rPr>
          <w:rFonts w:ascii="Cambria" w:eastAsia="Calibri" w:hAnsi="Cambria" w:cs="Times New Roman"/>
          <w:sz w:val="21"/>
          <w:szCs w:val="21"/>
        </w:rPr>
        <w:t>alert</w:t>
      </w:r>
      <w:proofErr w:type="spellEnd"/>
      <w:r w:rsidRPr="00375BBE">
        <w:rPr>
          <w:rFonts w:ascii="Cambria" w:eastAsia="Calibri" w:hAnsi="Cambria" w:cs="Times New Roman"/>
          <w:sz w:val="21"/>
          <w:szCs w:val="21"/>
        </w:rPr>
        <w:t>[</w:t>
      </w:r>
      <w:proofErr w:type="spellStart"/>
      <w:r w:rsidRPr="00375BBE">
        <w:rPr>
          <w:rFonts w:ascii="Cambria" w:eastAsia="Calibri" w:hAnsi="Cambria" w:cs="Times New Roman"/>
          <w:sz w:val="21"/>
          <w:szCs w:val="21"/>
        </w:rPr>
        <w:t>ó</w:t>
      </w:r>
      <w:proofErr w:type="spellEnd"/>
      <w:r w:rsidRPr="00375BBE">
        <w:rPr>
          <w:rFonts w:ascii="Cambria" w:eastAsia="Calibri" w:hAnsi="Cambria" w:cs="Times New Roman"/>
          <w:sz w:val="21"/>
          <w:szCs w:val="21"/>
        </w:rPr>
        <w:t>] sobre la profundización del debilitamiento institucional en Venezuela” y asimismo, advirtió sobre “la persistencia de situaciones estructurales que afectan los derechos humanos”, alertando a su vez sobre “las graves consecuencias que ocasionaría el retiro del Estado de la OEA para la población venezolana”</w:t>
      </w:r>
      <w:r w:rsidRPr="00375BBE">
        <w:rPr>
          <w:rFonts w:ascii="Cambria" w:eastAsia="Calibri" w:hAnsi="Cambria" w:cs="Times New Roman"/>
          <w:sz w:val="21"/>
          <w:szCs w:val="21"/>
          <w:vertAlign w:val="superscript"/>
        </w:rPr>
        <w:footnoteReference w:id="7"/>
      </w:r>
      <w:r w:rsidRPr="00375BBE">
        <w:rPr>
          <w:rFonts w:ascii="Cambria" w:eastAsia="Calibri" w:hAnsi="Cambria" w:cs="Times New Roman"/>
          <w:sz w:val="21"/>
          <w:szCs w:val="21"/>
        </w:rPr>
        <w:t>.</w:t>
      </w:r>
    </w:p>
    <w:p w:rsidR="00265385" w:rsidRPr="00375BBE" w:rsidRDefault="00265385" w:rsidP="00265385">
      <w:pPr>
        <w:spacing w:after="0" w:line="240" w:lineRule="auto"/>
        <w:contextualSpacing/>
        <w:jc w:val="both"/>
        <w:rPr>
          <w:rFonts w:ascii="Cambria" w:eastAsia="Calibri" w:hAnsi="Cambria" w:cs="Times New Roman"/>
          <w:sz w:val="21"/>
          <w:szCs w:val="21"/>
        </w:rPr>
      </w:pPr>
    </w:p>
    <w:p w:rsidR="00E77B47" w:rsidRPr="00375BBE" w:rsidRDefault="00E77B47" w:rsidP="005D2B14">
      <w:pPr>
        <w:numPr>
          <w:ilvl w:val="0"/>
          <w:numId w:val="1"/>
        </w:numPr>
        <w:spacing w:after="0" w:line="240" w:lineRule="auto"/>
        <w:ind w:left="0" w:firstLine="360"/>
        <w:contextualSpacing/>
        <w:jc w:val="both"/>
        <w:rPr>
          <w:rFonts w:ascii="Cambria" w:eastAsia="Calibri" w:hAnsi="Cambria" w:cs="Times New Roman"/>
          <w:sz w:val="21"/>
          <w:szCs w:val="21"/>
        </w:rPr>
      </w:pPr>
      <w:r w:rsidRPr="00375BBE">
        <w:rPr>
          <w:rFonts w:ascii="Cambria" w:eastAsia="Calibri" w:hAnsi="Cambria" w:cs="Times New Roman"/>
          <w:sz w:val="21"/>
          <w:szCs w:val="21"/>
        </w:rPr>
        <w:t>El 10 de enero de 2019, el Consejo Permanente de la Organización de Estados Americanos por mayoría acordó “no reconocer la legitimidad del periodo del régimen de Nicolás Maduro”</w:t>
      </w:r>
      <w:r w:rsidRPr="00375BBE">
        <w:rPr>
          <w:rFonts w:ascii="Cambria" w:eastAsia="Calibri" w:hAnsi="Cambria" w:cs="Times New Roman"/>
          <w:sz w:val="21"/>
          <w:szCs w:val="21"/>
          <w:vertAlign w:val="superscript"/>
        </w:rPr>
        <w:footnoteReference w:id="8"/>
      </w:r>
      <w:r w:rsidRPr="00375BBE">
        <w:rPr>
          <w:rFonts w:ascii="Cambria" w:eastAsia="Calibri" w:hAnsi="Cambria" w:cs="Times New Roman"/>
          <w:sz w:val="21"/>
          <w:szCs w:val="21"/>
        </w:rPr>
        <w:t xml:space="preserve">. </w:t>
      </w:r>
      <w:r w:rsidR="0041748B" w:rsidRPr="00375BBE">
        <w:rPr>
          <w:rFonts w:ascii="Cambria" w:eastAsia="Calibri" w:hAnsi="Cambria" w:cs="Times New Roman"/>
          <w:sz w:val="21"/>
          <w:szCs w:val="21"/>
        </w:rPr>
        <w:t>Asimismo</w:t>
      </w:r>
      <w:r w:rsidRPr="00375BBE">
        <w:rPr>
          <w:rFonts w:ascii="Cambria" w:eastAsia="Calibri" w:hAnsi="Cambria" w:cs="Times New Roman"/>
          <w:sz w:val="21"/>
          <w:szCs w:val="21"/>
        </w:rPr>
        <w:t>, frente a la convocatoria de realizar nuevas manifestaciones y los graves hechos de violencia producidos en anteriores movilizaciones, el 23 de enero de 2019 la Comisión hizo un llamado al Estado a garantizar que las movilizaciones sociales se realicen en ejercicio del derecho de reunión y manifestación pacífica y se protejan los derechos a la vida, integridad personal y a la libertad personal de todos y todas quienes se manifiesten</w:t>
      </w:r>
      <w:r w:rsidRPr="00375BBE">
        <w:rPr>
          <w:rFonts w:ascii="Cambria" w:eastAsia="Calibri" w:hAnsi="Cambria" w:cs="Times New Roman"/>
          <w:sz w:val="21"/>
          <w:szCs w:val="21"/>
          <w:vertAlign w:val="superscript"/>
        </w:rPr>
        <w:footnoteReference w:id="9"/>
      </w:r>
      <w:r w:rsidR="005D2B14" w:rsidRPr="00375BBE">
        <w:rPr>
          <w:rFonts w:ascii="Cambria" w:eastAsia="Calibri" w:hAnsi="Cambria" w:cs="Times New Roman"/>
          <w:sz w:val="21"/>
          <w:szCs w:val="21"/>
        </w:rPr>
        <w:t>.</w:t>
      </w:r>
    </w:p>
    <w:p w:rsidR="00E77B47" w:rsidRPr="00375BBE" w:rsidRDefault="00E77B47" w:rsidP="005D2B14">
      <w:pPr>
        <w:spacing w:after="0" w:line="240" w:lineRule="auto"/>
        <w:ind w:left="360"/>
        <w:contextualSpacing/>
        <w:jc w:val="both"/>
        <w:rPr>
          <w:rFonts w:ascii="Cambria" w:eastAsia="Calibri" w:hAnsi="Cambria" w:cs="Times New Roman"/>
          <w:sz w:val="21"/>
          <w:szCs w:val="21"/>
        </w:rPr>
      </w:pPr>
    </w:p>
    <w:p w:rsidR="006E05B2" w:rsidRPr="00375BBE" w:rsidRDefault="006E05B2" w:rsidP="006E05B2">
      <w:pPr>
        <w:numPr>
          <w:ilvl w:val="0"/>
          <w:numId w:val="1"/>
        </w:numPr>
        <w:spacing w:after="0" w:line="240" w:lineRule="auto"/>
        <w:ind w:left="0" w:firstLine="360"/>
        <w:contextualSpacing/>
        <w:jc w:val="both"/>
        <w:rPr>
          <w:rFonts w:ascii="Cambria" w:eastAsia="Calibri" w:hAnsi="Cambria" w:cs="Times New Roman"/>
          <w:sz w:val="21"/>
          <w:szCs w:val="21"/>
        </w:rPr>
      </w:pPr>
      <w:r w:rsidRPr="00375BBE">
        <w:rPr>
          <w:rFonts w:ascii="Cambria" w:eastAsia="Calibri" w:hAnsi="Cambria" w:cs="Times New Roman"/>
          <w:sz w:val="21"/>
          <w:szCs w:val="21"/>
        </w:rPr>
        <w:t>El 25 de enero de 2019, la Comisión fue informada de hechos de violencia y represión en la protesta social, allanamientos ilegales, detenciones arbitrarias, estigmatización y persecución de las personas opositoras registrados en diversas localidades. La situación habría generado violaciones de derechos humanos que aún se continúan relevando y que dan cuenta del agravamiento de la situación</w:t>
      </w:r>
      <w:r w:rsidRPr="00375BBE">
        <w:rPr>
          <w:rFonts w:ascii="Cambria" w:eastAsia="Calibri" w:hAnsi="Cambria" w:cs="Times New Roman"/>
          <w:sz w:val="21"/>
          <w:szCs w:val="21"/>
          <w:vertAlign w:val="superscript"/>
        </w:rPr>
        <w:footnoteReference w:id="10"/>
      </w:r>
      <w:r w:rsidRPr="00375BBE">
        <w:rPr>
          <w:rFonts w:ascii="Cambria" w:eastAsia="Calibri" w:hAnsi="Cambria" w:cs="Times New Roman"/>
          <w:sz w:val="21"/>
          <w:szCs w:val="21"/>
        </w:rPr>
        <w:t>.</w:t>
      </w:r>
    </w:p>
    <w:p w:rsidR="006E05B2" w:rsidRPr="00375BBE" w:rsidRDefault="006E05B2" w:rsidP="006E05B2">
      <w:pPr>
        <w:spacing w:after="0" w:line="240" w:lineRule="auto"/>
        <w:ind w:left="360"/>
        <w:contextualSpacing/>
        <w:jc w:val="both"/>
        <w:rPr>
          <w:rFonts w:ascii="Cambria" w:eastAsia="Calibri" w:hAnsi="Cambria" w:cs="Times New Roman"/>
          <w:sz w:val="21"/>
          <w:szCs w:val="21"/>
        </w:rPr>
      </w:pPr>
    </w:p>
    <w:p w:rsidR="006E05B2" w:rsidRPr="00375BBE" w:rsidRDefault="006E05B2" w:rsidP="006E05B2">
      <w:pPr>
        <w:numPr>
          <w:ilvl w:val="0"/>
          <w:numId w:val="1"/>
        </w:numPr>
        <w:spacing w:after="0" w:line="240" w:lineRule="auto"/>
        <w:ind w:left="0" w:firstLine="360"/>
        <w:contextualSpacing/>
        <w:jc w:val="both"/>
        <w:rPr>
          <w:rFonts w:ascii="Cambria" w:eastAsia="Calibri" w:hAnsi="Cambria" w:cs="Times New Roman"/>
          <w:sz w:val="21"/>
          <w:szCs w:val="21"/>
        </w:rPr>
      </w:pPr>
      <w:r w:rsidRPr="00375BBE">
        <w:rPr>
          <w:rFonts w:ascii="Cambria" w:eastAsia="Calibri" w:hAnsi="Cambria" w:cs="Times New Roman"/>
          <w:sz w:val="21"/>
          <w:szCs w:val="21"/>
        </w:rPr>
        <w:t>El 1 de febrero de 2019, la Comisión manifestó su alarma ante la represión masiva contra manifestantes en Venezuela, así como por las preocupantes cifras de detenciones arbitrarias registradas en el marco de las protestas sociales que han tenido lugar la última semana de enero</w:t>
      </w:r>
      <w:r w:rsidRPr="00375BBE">
        <w:rPr>
          <w:rFonts w:ascii="Cambria" w:eastAsia="Calibri" w:hAnsi="Cambria" w:cs="Times New Roman"/>
          <w:sz w:val="21"/>
          <w:szCs w:val="21"/>
          <w:vertAlign w:val="superscript"/>
        </w:rPr>
        <w:footnoteReference w:id="11"/>
      </w:r>
      <w:r w:rsidRPr="00375BBE">
        <w:rPr>
          <w:rFonts w:ascii="Cambria" w:eastAsia="Calibri" w:hAnsi="Cambria" w:cs="Times New Roman"/>
          <w:sz w:val="21"/>
          <w:szCs w:val="21"/>
        </w:rPr>
        <w:t>. El 22 de febrero de 2019, la Comisión expresó su preocupación por el continuo hostigamiento contra defensoras y defensores de derechos humanos en Venezuela</w:t>
      </w:r>
      <w:r w:rsidRPr="00375BBE">
        <w:rPr>
          <w:rFonts w:ascii="Cambria" w:eastAsia="Calibri" w:hAnsi="Cambria" w:cs="Times New Roman"/>
          <w:sz w:val="21"/>
          <w:szCs w:val="21"/>
          <w:vertAlign w:val="superscript"/>
        </w:rPr>
        <w:footnoteReference w:id="12"/>
      </w:r>
      <w:r w:rsidRPr="00375BBE">
        <w:rPr>
          <w:rFonts w:ascii="Cambria" w:eastAsia="Calibri" w:hAnsi="Cambria" w:cs="Times New Roman"/>
          <w:sz w:val="21"/>
          <w:szCs w:val="21"/>
        </w:rPr>
        <w:t>. La CIDH urgió al Estado de Venezuela a tomar medidas urgentes para garantizar que las personas defensoras de derechos humanos puedan ejercer su labor en el país, libres de intimidación.</w:t>
      </w:r>
    </w:p>
    <w:p w:rsidR="006E05B2" w:rsidRPr="00375BBE" w:rsidRDefault="006E05B2" w:rsidP="006E05B2">
      <w:pPr>
        <w:spacing w:after="0" w:line="240" w:lineRule="auto"/>
        <w:ind w:left="360"/>
        <w:contextualSpacing/>
        <w:jc w:val="both"/>
        <w:rPr>
          <w:rFonts w:ascii="Cambria" w:eastAsia="Calibri" w:hAnsi="Cambria" w:cs="Times New Roman"/>
          <w:sz w:val="21"/>
          <w:szCs w:val="21"/>
        </w:rPr>
      </w:pPr>
    </w:p>
    <w:p w:rsidR="006E05B2" w:rsidRPr="00375BBE" w:rsidRDefault="006E05B2" w:rsidP="006E05B2">
      <w:pPr>
        <w:numPr>
          <w:ilvl w:val="0"/>
          <w:numId w:val="1"/>
        </w:numPr>
        <w:spacing w:after="0" w:line="240" w:lineRule="auto"/>
        <w:ind w:left="0" w:firstLine="360"/>
        <w:contextualSpacing/>
        <w:jc w:val="both"/>
        <w:rPr>
          <w:rFonts w:ascii="Cambria" w:eastAsia="Calibri" w:hAnsi="Cambria" w:cs="Times New Roman"/>
          <w:sz w:val="21"/>
          <w:szCs w:val="21"/>
        </w:rPr>
      </w:pPr>
      <w:r w:rsidRPr="00375BBE">
        <w:rPr>
          <w:rFonts w:ascii="Cambria" w:eastAsia="Calibri" w:hAnsi="Cambria" w:cs="Times New Roman"/>
          <w:sz w:val="21"/>
          <w:szCs w:val="21"/>
        </w:rPr>
        <w:t xml:space="preserve">El 1 de marzo de 2019, </w:t>
      </w:r>
      <w:r w:rsidR="00DA69AA" w:rsidRPr="00375BBE">
        <w:rPr>
          <w:rFonts w:ascii="Cambria" w:eastAsia="Calibri" w:hAnsi="Cambria" w:cs="Times New Roman"/>
          <w:sz w:val="21"/>
          <w:szCs w:val="21"/>
        </w:rPr>
        <w:t>l</w:t>
      </w:r>
      <w:r w:rsidRPr="00375BBE">
        <w:rPr>
          <w:rFonts w:ascii="Cambria" w:eastAsia="Calibri" w:hAnsi="Cambria" w:cs="Times New Roman"/>
          <w:sz w:val="21"/>
          <w:szCs w:val="21"/>
        </w:rPr>
        <w:t xml:space="preserve">a CIDH recabó información sobre la ocurrencia de graves hechos de violencia en Venezuela el 23 de febrero de 2019, en el marco de las acciones dirigidas a intentar ingresar ayuda humanitaria desde distintos puntos fronterizos en Colombia y Brasil. La CIDH expresó su creciente preocupación por la situación de extrema vulnerabilidad que enfrenta el pueblo venezolano, dentro y fuera de las fronteras, debido a la pobreza generalizada y a las profundas restricciones de acceso a derechos tales como la alimentación, la salud, la educación, el trabajo o la vivienda. Además, la Comisión expresó preocupación por la represión y el uso de la fuerza letal en el marco de las manifestaciones, la persecución y estigmatización de personas opositoras y ciudadanos; así como las denuncias de </w:t>
      </w:r>
      <w:hyperlink r:id="rId8" w:tgtFrame="_blank" w:history="1">
        <w:r w:rsidRPr="00375BBE">
          <w:rPr>
            <w:rFonts w:ascii="Cambria" w:eastAsia="Calibri" w:hAnsi="Cambria" w:cs="Times New Roman"/>
            <w:sz w:val="21"/>
            <w:szCs w:val="21"/>
          </w:rPr>
          <w:t>allanamientos sin orden judicial y detenciones arbitrarias efectuados</w:t>
        </w:r>
      </w:hyperlink>
      <w:r w:rsidRPr="00375BBE">
        <w:rPr>
          <w:rFonts w:ascii="Cambria" w:eastAsia="Calibri" w:hAnsi="Cambria" w:cs="Times New Roman"/>
          <w:sz w:val="21"/>
          <w:szCs w:val="21"/>
        </w:rPr>
        <w:t xml:space="preserve"> durante y con posterioridad a las </w:t>
      </w:r>
      <w:r w:rsidRPr="00375BBE">
        <w:rPr>
          <w:rFonts w:ascii="Cambria" w:eastAsia="Calibri" w:hAnsi="Cambria" w:cs="Times New Roman"/>
          <w:sz w:val="21"/>
          <w:szCs w:val="21"/>
        </w:rPr>
        <w:lastRenderedPageBreak/>
        <w:t>protestas</w:t>
      </w:r>
      <w:r w:rsidRPr="00375BBE">
        <w:rPr>
          <w:rFonts w:ascii="Cambria" w:eastAsia="Calibri" w:hAnsi="Cambria" w:cs="Times New Roman"/>
          <w:sz w:val="21"/>
          <w:szCs w:val="21"/>
          <w:vertAlign w:val="superscript"/>
        </w:rPr>
        <w:footnoteReference w:id="13"/>
      </w:r>
      <w:r w:rsidRPr="00375BBE">
        <w:rPr>
          <w:rFonts w:ascii="Cambria" w:eastAsia="Calibri" w:hAnsi="Cambria" w:cs="Times New Roman"/>
          <w:sz w:val="21"/>
          <w:szCs w:val="21"/>
        </w:rPr>
        <w:t>. Por su vez, el 8 de marzo de 2019, los relatores especiales de las Naciones Unidas y de la CIDH sobre la libertad de expresión manifestaron alarma por los mecanismos de censura y bloqueos de plataformas, redes sociales y medios de comunicación en línea, así como por restricciones a la libertad de prensa</w:t>
      </w:r>
      <w:r w:rsidRPr="00375BBE">
        <w:rPr>
          <w:rFonts w:ascii="Cambria" w:eastAsia="Calibri" w:hAnsi="Cambria" w:cs="Times New Roman"/>
          <w:sz w:val="21"/>
          <w:szCs w:val="21"/>
          <w:vertAlign w:val="superscript"/>
        </w:rPr>
        <w:footnoteReference w:id="14"/>
      </w:r>
      <w:r w:rsidRPr="00375BBE">
        <w:rPr>
          <w:rFonts w:ascii="Cambria" w:eastAsia="Calibri" w:hAnsi="Cambria" w:cs="Times New Roman"/>
          <w:sz w:val="21"/>
          <w:szCs w:val="21"/>
        </w:rPr>
        <w:t>.</w:t>
      </w:r>
    </w:p>
    <w:p w:rsidR="006E05B2" w:rsidRPr="00375BBE" w:rsidRDefault="006E05B2" w:rsidP="006E05B2">
      <w:pPr>
        <w:spacing w:after="0" w:line="240" w:lineRule="auto"/>
        <w:ind w:left="360"/>
        <w:contextualSpacing/>
        <w:jc w:val="both"/>
        <w:rPr>
          <w:rFonts w:ascii="Cambria" w:eastAsia="Calibri" w:hAnsi="Cambria" w:cs="Times New Roman"/>
          <w:sz w:val="21"/>
          <w:szCs w:val="21"/>
        </w:rPr>
      </w:pPr>
    </w:p>
    <w:p w:rsidR="006E05B2" w:rsidRPr="00375BBE" w:rsidRDefault="006E05B2" w:rsidP="006E05B2">
      <w:pPr>
        <w:numPr>
          <w:ilvl w:val="0"/>
          <w:numId w:val="1"/>
        </w:numPr>
        <w:spacing w:after="0" w:line="240" w:lineRule="auto"/>
        <w:ind w:left="0" w:firstLine="360"/>
        <w:contextualSpacing/>
        <w:jc w:val="both"/>
        <w:rPr>
          <w:rFonts w:ascii="Cambria" w:eastAsia="Calibri" w:hAnsi="Cambria" w:cs="Times New Roman"/>
          <w:sz w:val="21"/>
          <w:szCs w:val="21"/>
        </w:rPr>
      </w:pPr>
      <w:r w:rsidRPr="00375BBE">
        <w:rPr>
          <w:rFonts w:ascii="Cambria" w:eastAsia="Calibri" w:hAnsi="Cambria" w:cs="Times New Roman"/>
          <w:sz w:val="21"/>
          <w:szCs w:val="21"/>
        </w:rPr>
        <w:t xml:space="preserve">El 5 de abril la Comisión expresó preocupación por la persistencia </w:t>
      </w:r>
      <w:r w:rsidRPr="00375BBE">
        <w:rPr>
          <w:rFonts w:ascii="Cambria" w:eastAsia="Calibri" w:hAnsi="Cambria" w:cs="Times New Roman"/>
          <w:bCs/>
          <w:sz w:val="21"/>
          <w:szCs w:val="21"/>
        </w:rPr>
        <w:t>en afectación a los derechos humanos en Venezuela, particularmente con relación al continuo hostigamiento contra personas defensoras de derechos humanos, organizaciones de la sociedad civil y periodistas que denuncian violaciones a los derechos humanos. La CIDH ha observado nuevamente una intensificación en el patrón de hostigamiento a raíz de declaraciones estigmatizantes por parte de autoridades del Estado, a través de distintos medios de comunicación y redes sociales</w:t>
      </w:r>
      <w:r w:rsidRPr="00375BBE">
        <w:rPr>
          <w:rStyle w:val="FootnoteReference"/>
          <w:rFonts w:ascii="Cambria" w:eastAsia="Calibri" w:hAnsi="Cambria" w:cs="Times New Roman"/>
          <w:bCs/>
          <w:sz w:val="21"/>
          <w:szCs w:val="21"/>
        </w:rPr>
        <w:footnoteReference w:id="15"/>
      </w:r>
      <w:r w:rsidRPr="00375BBE">
        <w:rPr>
          <w:rFonts w:ascii="Cambria" w:eastAsia="Calibri" w:hAnsi="Cambria" w:cs="Times New Roman"/>
          <w:bCs/>
          <w:sz w:val="21"/>
          <w:szCs w:val="21"/>
        </w:rPr>
        <w:t>.</w:t>
      </w:r>
    </w:p>
    <w:p w:rsidR="006E05B2" w:rsidRPr="00375BBE" w:rsidRDefault="006E05B2" w:rsidP="006E05B2">
      <w:pPr>
        <w:spacing w:after="0" w:line="240" w:lineRule="auto"/>
        <w:ind w:left="360"/>
        <w:contextualSpacing/>
        <w:jc w:val="both"/>
        <w:rPr>
          <w:rFonts w:ascii="Cambria" w:eastAsia="Calibri" w:hAnsi="Cambria" w:cs="Times New Roman"/>
          <w:sz w:val="21"/>
          <w:szCs w:val="21"/>
        </w:rPr>
      </w:pPr>
    </w:p>
    <w:p w:rsidR="006E05B2" w:rsidRPr="00375BBE" w:rsidRDefault="006E05B2" w:rsidP="006E05B2">
      <w:pPr>
        <w:numPr>
          <w:ilvl w:val="0"/>
          <w:numId w:val="1"/>
        </w:numPr>
        <w:spacing w:after="0" w:line="240" w:lineRule="auto"/>
        <w:ind w:left="0" w:firstLine="360"/>
        <w:contextualSpacing/>
        <w:jc w:val="both"/>
        <w:rPr>
          <w:rFonts w:ascii="Cambria" w:eastAsia="Calibri" w:hAnsi="Cambria" w:cs="Times New Roman"/>
          <w:sz w:val="21"/>
          <w:szCs w:val="21"/>
        </w:rPr>
      </w:pPr>
      <w:r w:rsidRPr="00375BBE">
        <w:rPr>
          <w:rFonts w:ascii="Cambria" w:eastAsia="Calibri" w:hAnsi="Cambria" w:cs="Times New Roman"/>
          <w:sz w:val="21"/>
          <w:szCs w:val="21"/>
        </w:rPr>
        <w:t xml:space="preserve">El 14 de mayo la CIDH ha condenado </w:t>
      </w:r>
      <w:r w:rsidRPr="00375BBE">
        <w:rPr>
          <w:rFonts w:ascii="Cambria" w:eastAsia="Calibri" w:hAnsi="Cambria" w:cs="Times New Roman"/>
          <w:bCs/>
          <w:sz w:val="21"/>
          <w:szCs w:val="21"/>
        </w:rPr>
        <w:t>el recrudecimiento de ataques contra los miembros de la Asamblea Nacional de Venezuela, llamando a las instituciones del Estado a abstenerse de adoptar decisiones que afecten la separación de poderes y la democracia representativa. En tal oportunidad, la Comisión advirtió que la grave crisis de derechos humanos en el país está enmarcada en un contexto de estado de excepción caracterizado por el ejercicio abusivo de la fuerza pública para reprimir a las voces disidentes al Gobierno; la detención de personas opositoras y manifestantes; y las restricciones a libertad de expresión</w:t>
      </w:r>
      <w:r w:rsidRPr="00375BBE">
        <w:rPr>
          <w:rStyle w:val="FootnoteReference"/>
          <w:rFonts w:ascii="Cambria" w:eastAsia="Calibri" w:hAnsi="Cambria" w:cs="Times New Roman"/>
          <w:bCs/>
          <w:sz w:val="21"/>
          <w:szCs w:val="21"/>
        </w:rPr>
        <w:footnoteReference w:id="16"/>
      </w:r>
      <w:r w:rsidRPr="00375BBE">
        <w:rPr>
          <w:rFonts w:ascii="Cambria" w:eastAsia="Calibri" w:hAnsi="Cambria" w:cs="Times New Roman"/>
          <w:bCs/>
          <w:sz w:val="21"/>
          <w:szCs w:val="21"/>
        </w:rPr>
        <w:t>.</w:t>
      </w:r>
      <w:r w:rsidRPr="00375BBE">
        <w:rPr>
          <w:rFonts w:ascii="Cambria" w:eastAsia="Calibri" w:hAnsi="Cambria" w:cs="Times New Roman"/>
          <w:sz w:val="21"/>
          <w:szCs w:val="21"/>
        </w:rPr>
        <w:t xml:space="preserve"> </w:t>
      </w:r>
    </w:p>
    <w:p w:rsidR="006E05B2" w:rsidRPr="00375BBE" w:rsidRDefault="006E05B2" w:rsidP="006E05B2">
      <w:pPr>
        <w:pStyle w:val="ListParagraph"/>
        <w:spacing w:after="0" w:line="240" w:lineRule="auto"/>
        <w:rPr>
          <w:rFonts w:ascii="Cambria" w:eastAsia="Calibri" w:hAnsi="Cambria" w:cs="Times New Roman"/>
          <w:sz w:val="21"/>
          <w:szCs w:val="21"/>
        </w:rPr>
      </w:pPr>
    </w:p>
    <w:p w:rsidR="006E05B2" w:rsidRPr="00375BBE" w:rsidRDefault="006E05B2" w:rsidP="0011718D">
      <w:pPr>
        <w:numPr>
          <w:ilvl w:val="0"/>
          <w:numId w:val="1"/>
        </w:numPr>
        <w:spacing w:after="0" w:line="240" w:lineRule="auto"/>
        <w:ind w:left="0" w:firstLine="360"/>
        <w:contextualSpacing/>
        <w:jc w:val="both"/>
        <w:rPr>
          <w:rFonts w:ascii="Cambria" w:eastAsia="Calibri" w:hAnsi="Cambria" w:cs="Times New Roman"/>
          <w:sz w:val="21"/>
          <w:szCs w:val="21"/>
        </w:rPr>
      </w:pPr>
      <w:r w:rsidRPr="00375BBE">
        <w:rPr>
          <w:rFonts w:ascii="Cambria" w:eastAsia="Calibri" w:hAnsi="Cambria" w:cs="Times New Roman"/>
          <w:sz w:val="21"/>
          <w:szCs w:val="21"/>
        </w:rPr>
        <w:t xml:space="preserve">De manera reciente, el 3 de julio, la Comisión expresó </w:t>
      </w:r>
      <w:r w:rsidRPr="00375BBE">
        <w:rPr>
          <w:rFonts w:ascii="Cambria" w:eastAsia="Calibri" w:hAnsi="Cambria" w:cs="Times New Roman"/>
          <w:bCs/>
          <w:sz w:val="21"/>
          <w:szCs w:val="21"/>
        </w:rPr>
        <w:t>alarma y preocupación por la muerte del Capitán Rafael Acosta Arévalo baj</w:t>
      </w:r>
      <w:r w:rsidR="007825C9" w:rsidRPr="00375BBE">
        <w:rPr>
          <w:rFonts w:ascii="Cambria" w:eastAsia="Calibri" w:hAnsi="Cambria" w:cs="Times New Roman"/>
          <w:bCs/>
          <w:sz w:val="21"/>
          <w:szCs w:val="21"/>
        </w:rPr>
        <w:t>o custodia en Venezuela, quien</w:t>
      </w:r>
      <w:r w:rsidRPr="00375BBE">
        <w:rPr>
          <w:rFonts w:ascii="Cambria" w:eastAsia="Calibri" w:hAnsi="Cambria" w:cs="Times New Roman"/>
          <w:bCs/>
          <w:sz w:val="21"/>
          <w:szCs w:val="21"/>
        </w:rPr>
        <w:t xml:space="preserve"> falleció por probables actos de tortura</w:t>
      </w:r>
      <w:r w:rsidRPr="00375BBE">
        <w:rPr>
          <w:rStyle w:val="FootnoteReference"/>
          <w:rFonts w:ascii="Cambria" w:eastAsia="Calibri" w:hAnsi="Cambria" w:cs="Times New Roman"/>
          <w:bCs/>
          <w:sz w:val="21"/>
          <w:szCs w:val="21"/>
        </w:rPr>
        <w:footnoteReference w:id="17"/>
      </w:r>
      <w:r w:rsidRPr="00375BBE">
        <w:rPr>
          <w:rFonts w:ascii="Cambria" w:eastAsia="Calibri" w:hAnsi="Cambria" w:cs="Times New Roman"/>
          <w:bCs/>
          <w:sz w:val="21"/>
          <w:szCs w:val="21"/>
        </w:rPr>
        <w:t>.</w:t>
      </w:r>
      <w:r w:rsidR="00DA69AA" w:rsidRPr="00375BBE">
        <w:rPr>
          <w:rFonts w:ascii="Cambria" w:eastAsia="Calibri" w:hAnsi="Cambria" w:cs="Times New Roman"/>
          <w:bCs/>
          <w:sz w:val="21"/>
          <w:szCs w:val="21"/>
        </w:rPr>
        <w:t xml:space="preserve"> </w:t>
      </w:r>
    </w:p>
    <w:p w:rsidR="0011718D" w:rsidRPr="00375BBE" w:rsidRDefault="0011718D" w:rsidP="00AA481A">
      <w:pPr>
        <w:pStyle w:val="ListParagraph"/>
        <w:spacing w:after="0" w:line="240" w:lineRule="auto"/>
        <w:rPr>
          <w:rFonts w:ascii="Cambria" w:eastAsia="Calibri" w:hAnsi="Cambria" w:cs="Times New Roman"/>
          <w:sz w:val="21"/>
          <w:szCs w:val="21"/>
        </w:rPr>
      </w:pPr>
    </w:p>
    <w:p w:rsidR="0011718D" w:rsidRPr="00375BBE" w:rsidRDefault="0011718D" w:rsidP="0011718D">
      <w:pPr>
        <w:numPr>
          <w:ilvl w:val="0"/>
          <w:numId w:val="1"/>
        </w:numPr>
        <w:spacing w:after="0" w:line="240" w:lineRule="auto"/>
        <w:ind w:left="0" w:firstLine="360"/>
        <w:contextualSpacing/>
        <w:jc w:val="both"/>
        <w:rPr>
          <w:rFonts w:ascii="Cambria" w:eastAsia="Calibri" w:hAnsi="Cambria" w:cs="Times New Roman"/>
          <w:sz w:val="21"/>
          <w:szCs w:val="21"/>
        </w:rPr>
      </w:pPr>
      <w:r w:rsidRPr="00375BBE">
        <w:rPr>
          <w:rFonts w:ascii="Cambria" w:eastAsia="Calibri" w:hAnsi="Cambria" w:cs="Times New Roman"/>
          <w:sz w:val="21"/>
          <w:szCs w:val="21"/>
        </w:rPr>
        <w:t xml:space="preserve">Asimismo, el 18 de septiembre la CIDH expresó su preocupación por la prolongada permanencia en prisión de los comunicadores Pedro </w:t>
      </w:r>
      <w:proofErr w:type="spellStart"/>
      <w:r w:rsidRPr="00375BBE">
        <w:rPr>
          <w:rFonts w:ascii="Cambria" w:eastAsia="Calibri" w:hAnsi="Cambria" w:cs="Times New Roman"/>
          <w:sz w:val="21"/>
          <w:szCs w:val="21"/>
        </w:rPr>
        <w:t>Jaimes</w:t>
      </w:r>
      <w:proofErr w:type="spellEnd"/>
      <w:r w:rsidRPr="00375BBE">
        <w:rPr>
          <w:rFonts w:ascii="Cambria" w:eastAsia="Calibri" w:hAnsi="Cambria" w:cs="Times New Roman"/>
          <w:sz w:val="21"/>
          <w:szCs w:val="21"/>
        </w:rPr>
        <w:t xml:space="preserve"> y Jesús Medina en Venezuela en base a normas que criminalizarían en forma arbitraria el ejercicio de la libertad de expresión</w:t>
      </w:r>
      <w:r w:rsidRPr="00375BBE">
        <w:rPr>
          <w:rStyle w:val="FootnoteReference"/>
          <w:rFonts w:ascii="Cambria" w:eastAsia="Calibri" w:hAnsi="Cambria" w:cs="Times New Roman"/>
          <w:sz w:val="21"/>
          <w:szCs w:val="21"/>
        </w:rPr>
        <w:footnoteReference w:id="18"/>
      </w:r>
      <w:r w:rsidRPr="00375BBE">
        <w:rPr>
          <w:rFonts w:ascii="Cambria" w:eastAsia="Calibri" w:hAnsi="Cambria" w:cs="Times New Roman"/>
          <w:sz w:val="21"/>
          <w:szCs w:val="21"/>
        </w:rPr>
        <w:t>.</w:t>
      </w:r>
    </w:p>
    <w:p w:rsidR="00E77B47" w:rsidRPr="00375BBE" w:rsidRDefault="00E77B47" w:rsidP="0011718D">
      <w:pPr>
        <w:spacing w:after="0" w:line="240" w:lineRule="auto"/>
        <w:contextualSpacing/>
        <w:jc w:val="both"/>
        <w:rPr>
          <w:rFonts w:ascii="Cambria" w:eastAsia="Calibri" w:hAnsi="Cambria" w:cs="Times New Roman"/>
          <w:sz w:val="21"/>
          <w:szCs w:val="21"/>
        </w:rPr>
      </w:pPr>
    </w:p>
    <w:p w:rsidR="00E77B47" w:rsidRPr="00375BBE" w:rsidRDefault="00E77B47" w:rsidP="00585EBB">
      <w:pPr>
        <w:numPr>
          <w:ilvl w:val="0"/>
          <w:numId w:val="3"/>
        </w:numPr>
        <w:spacing w:after="0" w:line="240" w:lineRule="auto"/>
        <w:ind w:left="360" w:firstLine="180"/>
        <w:contextualSpacing/>
        <w:jc w:val="both"/>
        <w:rPr>
          <w:rFonts w:ascii="Cambria" w:eastAsia="Calibri" w:hAnsi="Cambria" w:cs="Times New Roman"/>
          <w:b/>
          <w:sz w:val="21"/>
          <w:szCs w:val="21"/>
          <w:lang w:val="es-ES_tradnl"/>
        </w:rPr>
      </w:pPr>
      <w:r w:rsidRPr="00375BBE">
        <w:rPr>
          <w:rFonts w:ascii="Cambria" w:eastAsia="Calibri" w:hAnsi="Cambria" w:cs="Times New Roman"/>
          <w:b/>
          <w:sz w:val="21"/>
          <w:szCs w:val="21"/>
          <w:lang w:val="es-ES_tradnl"/>
        </w:rPr>
        <w:t>ÁNALISIS DE LOS ELEMENTOS DE GRAVEDAD, URGENCIA E IRREPARABILIDAD</w:t>
      </w:r>
    </w:p>
    <w:p w:rsidR="00E77B47" w:rsidRPr="00375BBE" w:rsidRDefault="00E77B47" w:rsidP="00E77B47">
      <w:pPr>
        <w:spacing w:after="0" w:line="240" w:lineRule="auto"/>
        <w:jc w:val="both"/>
        <w:rPr>
          <w:rFonts w:ascii="Cambria" w:eastAsia="Calibri" w:hAnsi="Cambria" w:cs="Times New Roman"/>
          <w:sz w:val="21"/>
          <w:szCs w:val="21"/>
          <w:lang w:val="es-CO"/>
        </w:rPr>
      </w:pPr>
    </w:p>
    <w:p w:rsidR="006C5F74" w:rsidRPr="00375BBE" w:rsidRDefault="00E77B47" w:rsidP="006C5F74">
      <w:pPr>
        <w:numPr>
          <w:ilvl w:val="0"/>
          <w:numId w:val="1"/>
        </w:numPr>
        <w:spacing w:after="0" w:line="240" w:lineRule="auto"/>
        <w:ind w:left="0" w:firstLine="360"/>
        <w:contextualSpacing/>
        <w:jc w:val="both"/>
        <w:rPr>
          <w:rFonts w:ascii="Cambria" w:eastAsia="Calibri" w:hAnsi="Cambria" w:cs="Times New Roman"/>
          <w:sz w:val="21"/>
          <w:szCs w:val="21"/>
        </w:rPr>
      </w:pPr>
      <w:r w:rsidRPr="00375BBE">
        <w:rPr>
          <w:rFonts w:ascii="Cambria" w:eastAsia="Calibri" w:hAnsi="Cambria" w:cs="Times New Roman"/>
          <w:sz w:val="21"/>
          <w:szCs w:val="21"/>
        </w:rPr>
        <w:t xml:space="preserve">El mecanismo de medidas cautelares forma parte de la función de la Comisión de supervisar el cumplimiento con las obligaciones de derechos humanos establecidas en el artículo 106 de la Carta de la Organización de </w:t>
      </w:r>
      <w:r w:rsidR="00BD2AAB" w:rsidRPr="00375BBE">
        <w:rPr>
          <w:rFonts w:ascii="Cambria" w:eastAsia="Calibri" w:hAnsi="Cambria" w:cs="Times New Roman"/>
          <w:sz w:val="21"/>
          <w:szCs w:val="21"/>
        </w:rPr>
        <w:t xml:space="preserve">los </w:t>
      </w:r>
      <w:r w:rsidRPr="00375BBE">
        <w:rPr>
          <w:rFonts w:ascii="Cambria" w:eastAsia="Calibri" w:hAnsi="Cambria" w:cs="Times New Roman"/>
          <w:sz w:val="21"/>
          <w:szCs w:val="21"/>
        </w:rPr>
        <w:t>Estados Americanos. Estas funciones generales de supervisión están a su vez establecidas en el artículo en el artículo 18 (b) del Estatuto de la CIDH,</w:t>
      </w:r>
      <w:r w:rsidR="00EA20AA" w:rsidRPr="00375BBE">
        <w:rPr>
          <w:rFonts w:ascii="Cambria" w:eastAsia="Calibri" w:hAnsi="Cambria" w:cs="Times New Roman"/>
          <w:sz w:val="21"/>
          <w:szCs w:val="21"/>
        </w:rPr>
        <w:t xml:space="preserve"> m</w:t>
      </w:r>
      <w:r w:rsidRPr="00375BBE">
        <w:rPr>
          <w:rFonts w:ascii="Cambria" w:eastAsia="Calibri" w:hAnsi="Cambria" w:cs="Times New Roman"/>
          <w:sz w:val="21"/>
          <w:szCs w:val="21"/>
        </w:rPr>
        <w:t>ientras que el mecanismo de medidas cautelares se encuentra descrito en el artículo 25 del Reglamento de la Comisión. De conformidad con ese artículo, la Comisión otorga medidas cautelares en situaciones que son graves y urgentes, y en cuales tales medidas son necesarias para prevenir un daño irreparable.</w:t>
      </w:r>
    </w:p>
    <w:p w:rsidR="00E77B47" w:rsidRPr="00375BBE" w:rsidRDefault="00E77B47" w:rsidP="008A5FC6">
      <w:pPr>
        <w:spacing w:after="0" w:line="240" w:lineRule="auto"/>
        <w:ind w:left="360"/>
        <w:contextualSpacing/>
        <w:jc w:val="both"/>
        <w:rPr>
          <w:rFonts w:ascii="Cambria" w:eastAsia="Calibri" w:hAnsi="Cambria" w:cs="Times New Roman"/>
          <w:sz w:val="21"/>
          <w:szCs w:val="21"/>
        </w:rPr>
      </w:pPr>
    </w:p>
    <w:p w:rsidR="00E77B47" w:rsidRPr="00375BBE" w:rsidRDefault="00E77B47" w:rsidP="008A5FC6">
      <w:pPr>
        <w:numPr>
          <w:ilvl w:val="0"/>
          <w:numId w:val="1"/>
        </w:numPr>
        <w:spacing w:after="0" w:line="240" w:lineRule="auto"/>
        <w:ind w:left="0" w:firstLine="360"/>
        <w:contextualSpacing/>
        <w:jc w:val="both"/>
        <w:rPr>
          <w:rFonts w:ascii="Cambria" w:eastAsia="Calibri" w:hAnsi="Cambria" w:cs="Times New Roman"/>
          <w:sz w:val="21"/>
          <w:szCs w:val="21"/>
        </w:rPr>
      </w:pPr>
      <w:r w:rsidRPr="00375BBE">
        <w:rPr>
          <w:rFonts w:ascii="Cambria" w:eastAsia="Calibri" w:hAnsi="Cambria" w:cs="Times New Roman"/>
          <w:sz w:val="21"/>
          <w:szCs w:val="21"/>
        </w:rPr>
        <w:lastRenderedPageBreak/>
        <w:t>La Comisión Interamericana y la Corte Interamericana de Derechos Humanos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proofErr w:type="spellStart"/>
      <w:r w:rsidRPr="00375BBE">
        <w:rPr>
          <w:rFonts w:ascii="Cambria" w:eastAsia="Calibri" w:hAnsi="Cambria" w:cs="Times New Roman"/>
          <w:i/>
          <w:sz w:val="21"/>
          <w:szCs w:val="21"/>
        </w:rPr>
        <w:t>effet</w:t>
      </w:r>
      <w:proofErr w:type="spellEnd"/>
      <w:r w:rsidRPr="00375BBE">
        <w:rPr>
          <w:rFonts w:ascii="Cambria" w:eastAsia="Calibri" w:hAnsi="Cambria" w:cs="Times New Roman"/>
          <w:i/>
          <w:sz w:val="21"/>
          <w:szCs w:val="21"/>
        </w:rPr>
        <w:t xml:space="preserve"> </w:t>
      </w:r>
      <w:proofErr w:type="spellStart"/>
      <w:r w:rsidRPr="00375BBE">
        <w:rPr>
          <w:rFonts w:ascii="Cambria" w:eastAsia="Calibri" w:hAnsi="Cambria" w:cs="Times New Roman"/>
          <w:i/>
          <w:sz w:val="21"/>
          <w:szCs w:val="21"/>
        </w:rPr>
        <w:t>utile</w:t>
      </w:r>
      <w:proofErr w:type="spellEnd"/>
      <w:r w:rsidRPr="00375BBE">
        <w:rPr>
          <w:rFonts w:ascii="Cambria" w:eastAsia="Calibri" w:hAnsi="Cambria" w:cs="Times New Roman"/>
          <w:sz w:val="21"/>
          <w:szCs w:val="21"/>
        </w:rPr>
        <w:t>)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w:t>
      </w:r>
      <w:r w:rsidR="004D7495" w:rsidRPr="00375BBE">
        <w:rPr>
          <w:rFonts w:ascii="Cambria" w:eastAsia="Calibri" w:hAnsi="Cambria" w:cs="Times New Roman"/>
          <w:sz w:val="21"/>
          <w:szCs w:val="21"/>
        </w:rPr>
        <w:t>nto, la Comisión considera que:</w:t>
      </w:r>
    </w:p>
    <w:p w:rsidR="00E77B47" w:rsidRPr="00375BBE" w:rsidRDefault="00E77B47" w:rsidP="00E77B47">
      <w:pPr>
        <w:spacing w:after="0" w:line="240" w:lineRule="auto"/>
        <w:jc w:val="both"/>
        <w:rPr>
          <w:rFonts w:ascii="Cambria" w:eastAsia="Calibri" w:hAnsi="Cambria" w:cs="Times New Roman"/>
          <w:sz w:val="21"/>
          <w:szCs w:val="21"/>
          <w:lang w:val="es-MX"/>
        </w:rPr>
      </w:pPr>
    </w:p>
    <w:p w:rsidR="00E77B47" w:rsidRPr="00375BBE" w:rsidRDefault="00E77B47" w:rsidP="008F30D8">
      <w:pPr>
        <w:numPr>
          <w:ilvl w:val="0"/>
          <w:numId w:val="2"/>
        </w:numPr>
        <w:spacing w:after="0" w:line="240" w:lineRule="auto"/>
        <w:ind w:left="1276" w:right="1008"/>
        <w:jc w:val="both"/>
        <w:rPr>
          <w:rFonts w:ascii="Cambria" w:eastAsia="Calibri" w:hAnsi="Cambria" w:cs="Times New Roman"/>
          <w:sz w:val="18"/>
          <w:szCs w:val="21"/>
          <w:lang w:val="es-MX"/>
        </w:rPr>
      </w:pPr>
      <w:r w:rsidRPr="00375BBE">
        <w:rPr>
          <w:rFonts w:ascii="Cambria" w:eastAsia="Calibri" w:hAnsi="Cambria" w:cs="Times New Roman"/>
          <w:sz w:val="18"/>
          <w:szCs w:val="21"/>
          <w:lang w:val="es-MX"/>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E77B47" w:rsidRPr="00375BBE" w:rsidRDefault="00E77B47" w:rsidP="008F30D8">
      <w:pPr>
        <w:spacing w:after="0" w:line="240" w:lineRule="auto"/>
        <w:ind w:left="1276" w:right="1008"/>
        <w:jc w:val="both"/>
        <w:rPr>
          <w:rFonts w:ascii="Cambria" w:eastAsia="Calibri" w:hAnsi="Cambria" w:cs="Times New Roman"/>
          <w:sz w:val="18"/>
          <w:szCs w:val="21"/>
          <w:lang w:val="es-MX"/>
        </w:rPr>
      </w:pPr>
    </w:p>
    <w:p w:rsidR="00E77B47" w:rsidRPr="00375BBE" w:rsidRDefault="00E77B47" w:rsidP="008F30D8">
      <w:pPr>
        <w:numPr>
          <w:ilvl w:val="0"/>
          <w:numId w:val="2"/>
        </w:numPr>
        <w:spacing w:after="0" w:line="240" w:lineRule="auto"/>
        <w:ind w:left="1276" w:right="1008"/>
        <w:jc w:val="both"/>
        <w:rPr>
          <w:rFonts w:ascii="Cambria" w:eastAsia="Calibri" w:hAnsi="Cambria" w:cs="Times New Roman"/>
          <w:sz w:val="18"/>
          <w:szCs w:val="21"/>
          <w:lang w:val="es-MX"/>
        </w:rPr>
      </w:pPr>
      <w:r w:rsidRPr="00375BBE">
        <w:rPr>
          <w:rFonts w:ascii="Cambria" w:eastAsia="Calibri" w:hAnsi="Cambria" w:cs="Times New Roman"/>
          <w:sz w:val="18"/>
          <w:szCs w:val="21"/>
          <w:lang w:val="es-MX"/>
        </w:rPr>
        <w:t xml:space="preserve">La “urgencia de la situación” se determina por medio de la información aportada, indicando el riesgo o la amenaza que puedan ser inminentes y materializarse, requiriendo de esa manera una acción preventiva o tutelar; y </w:t>
      </w:r>
    </w:p>
    <w:p w:rsidR="00E77B47" w:rsidRPr="00375BBE" w:rsidRDefault="00E77B47" w:rsidP="008F30D8">
      <w:pPr>
        <w:spacing w:after="0" w:line="240" w:lineRule="auto"/>
        <w:ind w:left="1276" w:right="1008"/>
        <w:jc w:val="both"/>
        <w:rPr>
          <w:rFonts w:ascii="Cambria" w:eastAsia="Calibri" w:hAnsi="Cambria" w:cs="Times New Roman"/>
          <w:sz w:val="18"/>
          <w:szCs w:val="21"/>
          <w:lang w:val="es-MX"/>
        </w:rPr>
      </w:pPr>
    </w:p>
    <w:p w:rsidR="00E77B47" w:rsidRPr="00375BBE" w:rsidRDefault="00E77B47" w:rsidP="008F30D8">
      <w:pPr>
        <w:numPr>
          <w:ilvl w:val="0"/>
          <w:numId w:val="2"/>
        </w:numPr>
        <w:spacing w:after="0" w:line="240" w:lineRule="auto"/>
        <w:ind w:left="1276" w:right="1008"/>
        <w:jc w:val="both"/>
        <w:rPr>
          <w:rFonts w:ascii="Cambria" w:eastAsia="Calibri" w:hAnsi="Cambria" w:cs="Times New Roman"/>
          <w:sz w:val="18"/>
          <w:szCs w:val="21"/>
          <w:lang w:val="es-MX"/>
        </w:rPr>
      </w:pPr>
      <w:r w:rsidRPr="00375BBE">
        <w:rPr>
          <w:rFonts w:ascii="Cambria" w:eastAsia="Calibri" w:hAnsi="Cambria" w:cs="Times New Roman"/>
          <w:sz w:val="18"/>
          <w:szCs w:val="21"/>
          <w:lang w:val="es-MX"/>
        </w:rPr>
        <w:t>El “daño irreparable” consiste en la afectación sobre derechos que, por su propia naturaleza, no son susceptibles de reparación, restauración o adecuada indemnización.</w:t>
      </w:r>
    </w:p>
    <w:p w:rsidR="00E77B47" w:rsidRPr="00375BBE" w:rsidRDefault="00E77B47" w:rsidP="00E77B47">
      <w:pPr>
        <w:spacing w:after="0" w:line="240" w:lineRule="auto"/>
        <w:jc w:val="both"/>
        <w:rPr>
          <w:rFonts w:ascii="Cambria" w:eastAsia="Calibri" w:hAnsi="Cambria" w:cs="Times New Roman"/>
          <w:sz w:val="21"/>
          <w:szCs w:val="21"/>
          <w:lang w:val="es-MX"/>
        </w:rPr>
      </w:pPr>
    </w:p>
    <w:p w:rsidR="00FC0EF0" w:rsidRPr="00375BBE" w:rsidRDefault="00FC0EF0" w:rsidP="008A5FC6">
      <w:pPr>
        <w:numPr>
          <w:ilvl w:val="0"/>
          <w:numId w:val="1"/>
        </w:numPr>
        <w:spacing w:after="0" w:line="240" w:lineRule="auto"/>
        <w:ind w:left="0" w:firstLine="360"/>
        <w:contextualSpacing/>
        <w:jc w:val="both"/>
        <w:rPr>
          <w:rFonts w:ascii="Cambria" w:eastAsia="Calibri" w:hAnsi="Cambria" w:cs="Times New Roman"/>
          <w:sz w:val="21"/>
          <w:szCs w:val="21"/>
        </w:rPr>
      </w:pPr>
      <w:r w:rsidRPr="00375BBE">
        <w:rPr>
          <w:rFonts w:ascii="Cambria" w:hAnsi="Cambria"/>
          <w:sz w:val="21"/>
          <w:szCs w:val="21"/>
          <w:lang w:val="es-MX"/>
        </w:rPr>
        <w:t>De manera previa al análisis de los requisitos reglamentarios, la Comisión aclara que a través del mecanismo de medidas cautelares no corresponde determinar si existe responsabilidad internacional del Estado de Venezuela en relación con los hechos alegados ni determinar violac</w:t>
      </w:r>
      <w:r w:rsidR="00097DDB" w:rsidRPr="00375BBE">
        <w:rPr>
          <w:rFonts w:ascii="Cambria" w:hAnsi="Cambria"/>
          <w:sz w:val="21"/>
          <w:szCs w:val="21"/>
          <w:lang w:val="es-MX"/>
        </w:rPr>
        <w:t>iones a los derechos humanos del propuesto</w:t>
      </w:r>
      <w:r w:rsidRPr="00375BBE">
        <w:rPr>
          <w:rFonts w:ascii="Cambria" w:hAnsi="Cambria"/>
          <w:sz w:val="21"/>
          <w:szCs w:val="21"/>
          <w:lang w:val="es-MX"/>
        </w:rPr>
        <w:t xml:space="preserve"> beneficiario. En el análisis de los requisitos establecidos en el artículo 25 del Reglamento, la Comisión únicamente está llamada a determinar si existe una situación de gravedad y urgencia de daño irreparable a los derechos humanos de las personas propuestas beneficiarias. Asimismo, la Comisión recuerda que los hechos que motivan una solicitud de medidas de cautelares no requieren estar plenamente comprobados, sino que la información proporcionada debe ser apreciada desde una perspectiva </w:t>
      </w:r>
      <w:r w:rsidRPr="00375BBE">
        <w:rPr>
          <w:rFonts w:ascii="Cambria" w:hAnsi="Cambria"/>
          <w:i/>
          <w:sz w:val="21"/>
          <w:szCs w:val="21"/>
          <w:lang w:val="es-MX"/>
        </w:rPr>
        <w:t>prima facie</w:t>
      </w:r>
      <w:r w:rsidRPr="00375BBE">
        <w:rPr>
          <w:rFonts w:ascii="Cambria" w:hAnsi="Cambria"/>
          <w:sz w:val="21"/>
          <w:szCs w:val="21"/>
          <w:lang w:val="es-MX"/>
        </w:rPr>
        <w:t xml:space="preserve"> que permita identificar una situación de gravedad y urgencia</w:t>
      </w:r>
      <w:r w:rsidRPr="00375BBE">
        <w:rPr>
          <w:rFonts w:ascii="Cambria" w:eastAsia="Calibri" w:hAnsi="Cambria" w:cs="Times New Roman"/>
          <w:sz w:val="21"/>
          <w:szCs w:val="21"/>
          <w:vertAlign w:val="superscript"/>
        </w:rPr>
        <w:footnoteReference w:id="19"/>
      </w:r>
      <w:r w:rsidRPr="00375BBE">
        <w:rPr>
          <w:rFonts w:ascii="Cambria" w:hAnsi="Cambria"/>
          <w:sz w:val="21"/>
          <w:szCs w:val="21"/>
          <w:lang w:val="es-MX"/>
        </w:rPr>
        <w:t>.</w:t>
      </w:r>
    </w:p>
    <w:p w:rsidR="00F72CC6" w:rsidRPr="00375BBE" w:rsidRDefault="00F72CC6" w:rsidP="00F72CC6">
      <w:pPr>
        <w:spacing w:after="0" w:line="240" w:lineRule="auto"/>
        <w:contextualSpacing/>
        <w:jc w:val="both"/>
        <w:rPr>
          <w:rFonts w:ascii="Cambria" w:eastAsia="Calibri" w:hAnsi="Cambria" w:cs="Times New Roman"/>
          <w:sz w:val="21"/>
          <w:szCs w:val="21"/>
        </w:rPr>
      </w:pPr>
    </w:p>
    <w:p w:rsidR="00F72CC6" w:rsidRPr="00375BBE" w:rsidRDefault="00F72CC6" w:rsidP="00F72CC6">
      <w:pPr>
        <w:numPr>
          <w:ilvl w:val="0"/>
          <w:numId w:val="1"/>
        </w:numPr>
        <w:spacing w:after="0" w:line="240" w:lineRule="auto"/>
        <w:ind w:left="0" w:firstLine="360"/>
        <w:contextualSpacing/>
        <w:jc w:val="both"/>
        <w:rPr>
          <w:rFonts w:ascii="Cambria" w:eastAsia="Calibri" w:hAnsi="Cambria" w:cs="Times New Roman"/>
          <w:sz w:val="21"/>
          <w:szCs w:val="21"/>
        </w:rPr>
      </w:pPr>
      <w:r w:rsidRPr="00375BBE">
        <w:rPr>
          <w:rFonts w:ascii="Cambria" w:eastAsia="Calibri" w:hAnsi="Cambria" w:cs="Times New Roman"/>
          <w:sz w:val="21"/>
          <w:szCs w:val="21"/>
        </w:rPr>
        <w:t xml:space="preserve">Entrando en materia del análisis de los requisitos establecidos en el artículo 25 del Reglamento, en lo referente al requisito de gravedad, dadas las circunstancias particulares por las que actualmente atraviesa el Estado de Venezuela, la Comisión considera pertinente evaluar los presuntos hechos descritos con referencia al contexto en el cual </w:t>
      </w:r>
      <w:r w:rsidR="00084763" w:rsidRPr="00375BBE">
        <w:rPr>
          <w:rFonts w:ascii="Cambria" w:eastAsia="Calibri" w:hAnsi="Cambria" w:cs="Times New Roman"/>
          <w:sz w:val="21"/>
          <w:szCs w:val="21"/>
        </w:rPr>
        <w:t>tendrían lugar</w:t>
      </w:r>
      <w:r w:rsidRPr="00375BBE">
        <w:rPr>
          <w:rFonts w:ascii="Cambria" w:eastAsia="Calibri" w:hAnsi="Cambria" w:cs="Times New Roman"/>
          <w:sz w:val="21"/>
          <w:szCs w:val="21"/>
        </w:rPr>
        <w:t>.</w:t>
      </w:r>
    </w:p>
    <w:p w:rsidR="00FC0EF0" w:rsidRPr="00375BBE" w:rsidRDefault="00FC0EF0" w:rsidP="00FC0EF0">
      <w:pPr>
        <w:spacing w:after="0" w:line="240" w:lineRule="auto"/>
        <w:ind w:left="360"/>
        <w:contextualSpacing/>
        <w:jc w:val="both"/>
        <w:rPr>
          <w:rFonts w:ascii="Cambria" w:eastAsia="Calibri" w:hAnsi="Cambria" w:cs="Times New Roman"/>
          <w:sz w:val="21"/>
          <w:szCs w:val="21"/>
        </w:rPr>
      </w:pPr>
    </w:p>
    <w:p w:rsidR="00F10192" w:rsidRPr="00375BBE" w:rsidRDefault="00F72CC6" w:rsidP="00F10192">
      <w:pPr>
        <w:numPr>
          <w:ilvl w:val="0"/>
          <w:numId w:val="1"/>
        </w:numPr>
        <w:spacing w:after="0" w:line="240" w:lineRule="auto"/>
        <w:ind w:left="0" w:firstLine="360"/>
        <w:contextualSpacing/>
        <w:jc w:val="both"/>
        <w:rPr>
          <w:rFonts w:ascii="Cambria" w:eastAsia="Calibri" w:hAnsi="Cambria" w:cs="Times New Roman"/>
          <w:sz w:val="21"/>
          <w:szCs w:val="21"/>
        </w:rPr>
      </w:pPr>
      <w:r w:rsidRPr="00375BBE">
        <w:rPr>
          <w:rFonts w:ascii="Cambria" w:eastAsia="Calibri" w:hAnsi="Cambria" w:cs="Times New Roman"/>
          <w:sz w:val="21"/>
          <w:szCs w:val="21"/>
        </w:rPr>
        <w:t>La Comisión ha dado seguimiento a los hostigamientos y agresiones que enfrentarían algunos miembros y líderes de la oposición política en Venezuela y, en varios asuntos</w:t>
      </w:r>
      <w:r w:rsidR="002B5AE2" w:rsidRPr="00375BBE">
        <w:rPr>
          <w:rFonts w:ascii="Cambria" w:eastAsia="Calibri" w:hAnsi="Cambria" w:cs="Times New Roman"/>
          <w:sz w:val="21"/>
          <w:szCs w:val="21"/>
        </w:rPr>
        <w:t>,</w:t>
      </w:r>
      <w:r w:rsidRPr="00375BBE">
        <w:rPr>
          <w:rFonts w:ascii="Cambria" w:eastAsia="Calibri" w:hAnsi="Cambria" w:cs="Times New Roman"/>
          <w:sz w:val="21"/>
          <w:szCs w:val="21"/>
        </w:rPr>
        <w:t xml:space="preserve"> ha considerado pertinente la adopción de medidas cautelares para salvaguardar</w:t>
      </w:r>
      <w:r w:rsidR="00065BA6" w:rsidRPr="00375BBE">
        <w:rPr>
          <w:rFonts w:ascii="Cambria" w:eastAsia="Calibri" w:hAnsi="Cambria" w:cs="Times New Roman"/>
          <w:sz w:val="21"/>
          <w:szCs w:val="21"/>
        </w:rPr>
        <w:t xml:space="preserve"> sus derechos</w:t>
      </w:r>
      <w:r w:rsidRPr="00375BBE">
        <w:rPr>
          <w:rStyle w:val="FootnoteReference"/>
          <w:rFonts w:ascii="Cambria" w:eastAsia="Calibri" w:hAnsi="Cambria" w:cs="Times New Roman"/>
          <w:sz w:val="21"/>
          <w:szCs w:val="21"/>
        </w:rPr>
        <w:footnoteReference w:id="20"/>
      </w:r>
      <w:r w:rsidR="00065BA6" w:rsidRPr="00375BBE">
        <w:rPr>
          <w:rFonts w:ascii="Cambria" w:eastAsia="Calibri" w:hAnsi="Cambria" w:cs="Times New Roman"/>
          <w:sz w:val="21"/>
          <w:szCs w:val="21"/>
        </w:rPr>
        <w:t>.</w:t>
      </w:r>
      <w:r w:rsidR="002B5AE2" w:rsidRPr="00375BBE">
        <w:rPr>
          <w:rFonts w:ascii="Cambria" w:eastAsia="Calibri" w:hAnsi="Cambria" w:cs="Times New Roman"/>
          <w:sz w:val="21"/>
          <w:szCs w:val="21"/>
        </w:rPr>
        <w:t xml:space="preserve"> </w:t>
      </w:r>
      <w:r w:rsidR="00F10192" w:rsidRPr="00375BBE">
        <w:rPr>
          <w:rFonts w:ascii="Cambria" w:eastAsia="Calibri" w:hAnsi="Cambria" w:cs="Times New Roman"/>
          <w:sz w:val="21"/>
          <w:szCs w:val="21"/>
        </w:rPr>
        <w:t xml:space="preserve">En las resoluciones adoptadas la </w:t>
      </w:r>
      <w:r w:rsidR="00F10192" w:rsidRPr="00375BBE">
        <w:rPr>
          <w:rFonts w:ascii="Cambria" w:eastAsia="Calibri" w:hAnsi="Cambria" w:cs="Times New Roman"/>
          <w:sz w:val="21"/>
          <w:szCs w:val="21"/>
        </w:rPr>
        <w:lastRenderedPageBreak/>
        <w:t xml:space="preserve">Comisión ha valorado las alegaciones </w:t>
      </w:r>
      <w:r w:rsidR="00B92C6F" w:rsidRPr="00375BBE">
        <w:rPr>
          <w:rFonts w:ascii="Cambria" w:eastAsia="Calibri" w:hAnsi="Cambria" w:cs="Times New Roman"/>
          <w:sz w:val="21"/>
          <w:szCs w:val="21"/>
        </w:rPr>
        <w:t>recibidas,</w:t>
      </w:r>
      <w:r w:rsidR="00F10192" w:rsidRPr="00375BBE">
        <w:rPr>
          <w:rFonts w:ascii="Cambria" w:eastAsia="Calibri" w:hAnsi="Cambria" w:cs="Times New Roman"/>
          <w:sz w:val="21"/>
          <w:szCs w:val="21"/>
        </w:rPr>
        <w:t xml:space="preserve"> por ejemplo, en cuanto a alegados malos tratos o torturas en condiciones de detención, declaraciones de deslegitimación y desprestigio por parte de altas autoridades que pueden generar un clima de animadversión en su contra propicio para la afectación a sus derechos, o bien, agresiones y hostigamientos directos en su con</w:t>
      </w:r>
      <w:r w:rsidR="00D60688" w:rsidRPr="00375BBE">
        <w:rPr>
          <w:rFonts w:ascii="Cambria" w:eastAsia="Calibri" w:hAnsi="Cambria" w:cs="Times New Roman"/>
          <w:sz w:val="21"/>
          <w:szCs w:val="21"/>
        </w:rPr>
        <w:t>tra o de sus grupos familiares.</w:t>
      </w:r>
    </w:p>
    <w:p w:rsidR="00C17414" w:rsidRPr="00375BBE" w:rsidRDefault="00C17414" w:rsidP="00C17414">
      <w:pPr>
        <w:spacing w:after="0" w:line="240" w:lineRule="auto"/>
        <w:ind w:left="360"/>
        <w:contextualSpacing/>
        <w:jc w:val="both"/>
        <w:rPr>
          <w:rFonts w:ascii="Cambria" w:hAnsi="Cambria"/>
          <w:sz w:val="21"/>
          <w:szCs w:val="21"/>
        </w:rPr>
      </w:pPr>
    </w:p>
    <w:p w:rsidR="00F10192" w:rsidRPr="00375BBE" w:rsidRDefault="00C17414" w:rsidP="005572CF">
      <w:pPr>
        <w:numPr>
          <w:ilvl w:val="0"/>
          <w:numId w:val="1"/>
        </w:numPr>
        <w:spacing w:after="0" w:line="240" w:lineRule="auto"/>
        <w:ind w:left="0" w:firstLine="360"/>
        <w:contextualSpacing/>
        <w:jc w:val="both"/>
        <w:rPr>
          <w:rFonts w:ascii="Cambria" w:eastAsia="Calibri" w:hAnsi="Cambria" w:cs="Times New Roman"/>
          <w:sz w:val="21"/>
          <w:szCs w:val="21"/>
        </w:rPr>
      </w:pPr>
      <w:r w:rsidRPr="00375BBE">
        <w:rPr>
          <w:rFonts w:ascii="Cambria" w:eastAsia="Calibri" w:hAnsi="Cambria" w:cs="Times New Roman"/>
          <w:sz w:val="21"/>
          <w:szCs w:val="21"/>
        </w:rPr>
        <w:t>Bajo este escenario, la Comisión Interamericana ha urgido al Estado Venezolano a no criminalizar a los líderes políticos de la oposición y a garantizar la participación de todos los sectores en la vida política de Venezuela y los derechos humanos de quienes se identifican con la oposición al gobierno. La Comisión asimismo ha expresado su preocupación por el uso del poder punitivo del Estado para “perseguir penalmente a disidentes políticos e inhabilitar a varios de sus dirigentes”</w:t>
      </w:r>
      <w:r w:rsidRPr="00375BBE">
        <w:rPr>
          <w:rStyle w:val="FootnoteReference"/>
          <w:rFonts w:ascii="Cambria" w:eastAsia="Calibri" w:hAnsi="Cambria" w:cs="Times New Roman"/>
          <w:sz w:val="21"/>
          <w:szCs w:val="21"/>
        </w:rPr>
        <w:footnoteReference w:id="21"/>
      </w:r>
      <w:r w:rsidRPr="00375BBE">
        <w:rPr>
          <w:rFonts w:ascii="Cambria" w:eastAsia="Calibri" w:hAnsi="Cambria" w:cs="Times New Roman"/>
          <w:sz w:val="21"/>
          <w:szCs w:val="21"/>
        </w:rPr>
        <w:t xml:space="preserve"> </w:t>
      </w:r>
      <w:r w:rsidR="00CE7EE0" w:rsidRPr="00375BBE">
        <w:rPr>
          <w:rFonts w:ascii="Cambria" w:eastAsia="Calibri" w:hAnsi="Cambria" w:cs="Times New Roman"/>
          <w:sz w:val="21"/>
          <w:szCs w:val="21"/>
        </w:rPr>
        <w:t xml:space="preserve">e incluso ha identificado denuncias sobre </w:t>
      </w:r>
      <w:r w:rsidRPr="00375BBE">
        <w:rPr>
          <w:rFonts w:ascii="Cambria" w:eastAsia="Calibri" w:hAnsi="Cambria" w:cs="Times New Roman"/>
          <w:sz w:val="21"/>
          <w:szCs w:val="21"/>
        </w:rPr>
        <w:t>“una supuesta tendencia hacia acciones de represalia contra personas que públicamente manifiestan o asumen una postura de disenso frente a las políticas del Gobierno y a alegadas afectaciones sufridas tanto por los dirigentes de la oposición como por ciudadanos que ejercen su derecho a expresar su disconformidad con las políticas adelantadas por el Gobierno”</w:t>
      </w:r>
      <w:r w:rsidR="00CE7EE0" w:rsidRPr="00375BBE">
        <w:rPr>
          <w:rStyle w:val="FootnoteReference"/>
          <w:rFonts w:ascii="Cambria" w:eastAsia="Calibri" w:hAnsi="Cambria" w:cs="Times New Roman"/>
          <w:sz w:val="21"/>
          <w:szCs w:val="21"/>
        </w:rPr>
        <w:footnoteReference w:id="22"/>
      </w:r>
      <w:r w:rsidR="00CE7EE0" w:rsidRPr="00375BBE">
        <w:rPr>
          <w:rFonts w:ascii="Cambria" w:eastAsia="Calibri" w:hAnsi="Cambria" w:cs="Times New Roman"/>
          <w:sz w:val="21"/>
          <w:szCs w:val="21"/>
        </w:rPr>
        <w:t>.</w:t>
      </w:r>
    </w:p>
    <w:p w:rsidR="00F10192" w:rsidRPr="00375BBE" w:rsidRDefault="00F10192" w:rsidP="00CE7EE0">
      <w:pPr>
        <w:spacing w:after="0" w:line="240" w:lineRule="auto"/>
        <w:ind w:left="360"/>
        <w:contextualSpacing/>
        <w:jc w:val="both"/>
        <w:rPr>
          <w:rFonts w:ascii="Cambria" w:eastAsia="Calibri" w:hAnsi="Cambria" w:cs="Times New Roman"/>
          <w:sz w:val="21"/>
          <w:szCs w:val="21"/>
        </w:rPr>
      </w:pPr>
    </w:p>
    <w:p w:rsidR="00446809" w:rsidRPr="00375BBE" w:rsidRDefault="004E50E5" w:rsidP="00446809">
      <w:pPr>
        <w:numPr>
          <w:ilvl w:val="0"/>
          <w:numId w:val="1"/>
        </w:numPr>
        <w:spacing w:after="0" w:line="240" w:lineRule="auto"/>
        <w:ind w:left="0" w:firstLine="360"/>
        <w:contextualSpacing/>
        <w:jc w:val="both"/>
        <w:rPr>
          <w:rFonts w:ascii="Cambria" w:eastAsia="Calibri" w:hAnsi="Cambria" w:cs="Times New Roman"/>
          <w:sz w:val="21"/>
          <w:szCs w:val="21"/>
        </w:rPr>
      </w:pPr>
      <w:r w:rsidRPr="00375BBE">
        <w:rPr>
          <w:rFonts w:ascii="Cambria" w:eastAsia="Calibri" w:hAnsi="Cambria" w:cs="Times New Roman"/>
          <w:sz w:val="21"/>
          <w:szCs w:val="21"/>
        </w:rPr>
        <w:t xml:space="preserve">En lo que se refiere al sector castrense, la Comisión ha recibido  preocupante información sobre militares que se han encontrado en una grave y urgente situación de riesgo de daño irreparable a su vida e integridad personales. </w:t>
      </w:r>
      <w:r w:rsidRPr="00375BBE">
        <w:rPr>
          <w:rFonts w:ascii="Cambria" w:hAnsi="Cambria"/>
          <w:sz w:val="21"/>
          <w:szCs w:val="21"/>
          <w:lang w:val="es-PE"/>
        </w:rPr>
        <w:t xml:space="preserve">Entre las medidas otorgadas en el contexto de la crisis en Venezuela, 7 se refieren a personas provenientes del sector castrense que habrían sido objetos de maltratos y torturas en el contexto de la privación de la libertad. De hecho, dada la seriedad de los alegatos, el 21 de marzo de 2019 la Comisión otorgó una medida cautelar más a favor de todas las personas privadas de libertad (militares y civiles) que se encuentra en la Dirección General de Contrainteligencia Militar en la </w:t>
      </w:r>
      <w:proofErr w:type="spellStart"/>
      <w:r w:rsidRPr="00375BBE">
        <w:rPr>
          <w:rFonts w:ascii="Cambria" w:hAnsi="Cambria"/>
          <w:sz w:val="21"/>
          <w:szCs w:val="21"/>
          <w:lang w:val="es-PE"/>
        </w:rPr>
        <w:t>Boleita</w:t>
      </w:r>
      <w:proofErr w:type="spellEnd"/>
      <w:r w:rsidRPr="00375BBE">
        <w:rPr>
          <w:rFonts w:ascii="Cambria" w:hAnsi="Cambria"/>
          <w:sz w:val="21"/>
          <w:szCs w:val="21"/>
          <w:lang w:val="es-PE"/>
        </w:rPr>
        <w:t xml:space="preserve">, municipio de Sucre. La Comisión notó con preocupación que entre las alegaciones presentadas se indicaba que personas privadas de la libertad en dicho centro serían </w:t>
      </w:r>
      <w:r w:rsidRPr="00375BBE">
        <w:rPr>
          <w:rFonts w:ascii="Cambria" w:hAnsi="Cambria"/>
          <w:color w:val="000000"/>
          <w:sz w:val="21"/>
          <w:szCs w:val="21"/>
          <w:lang w:val="es-CO"/>
        </w:rPr>
        <w:t>encapuchadas y golpeadas, lo que habría producido dislocaciones, fracturas, hematomas, escoriaciones e incluso se les habrían inyectado sustancias desconocidas</w:t>
      </w:r>
      <w:r w:rsidR="002C4134" w:rsidRPr="00375BBE">
        <w:rPr>
          <w:rStyle w:val="FootnoteReference"/>
          <w:rFonts w:ascii="Cambria" w:eastAsia="Calibri" w:hAnsi="Cambria" w:cs="Times New Roman"/>
          <w:sz w:val="21"/>
          <w:szCs w:val="21"/>
        </w:rPr>
        <w:footnoteReference w:id="23"/>
      </w:r>
      <w:r w:rsidRPr="00375BBE">
        <w:rPr>
          <w:rFonts w:ascii="Cambria" w:hAnsi="Cambria"/>
          <w:color w:val="000000"/>
          <w:sz w:val="21"/>
          <w:szCs w:val="21"/>
          <w:lang w:val="es-CO"/>
        </w:rPr>
        <w:t>.</w:t>
      </w:r>
      <w:r w:rsidR="00DA6D43" w:rsidRPr="00375BBE">
        <w:rPr>
          <w:rFonts w:ascii="Cambria" w:hAnsi="Cambria"/>
          <w:color w:val="000000"/>
          <w:sz w:val="21"/>
          <w:szCs w:val="21"/>
          <w:lang w:val="es-CO"/>
        </w:rPr>
        <w:t xml:space="preserve"> </w:t>
      </w:r>
      <w:r w:rsidRPr="00375BBE">
        <w:rPr>
          <w:rFonts w:ascii="Cambria" w:hAnsi="Cambria"/>
          <w:color w:val="000000"/>
          <w:sz w:val="21"/>
          <w:szCs w:val="21"/>
          <w:lang w:val="es-CO"/>
        </w:rPr>
        <w:t xml:space="preserve">Tras haber sido otorgada la medida cautelar, la Comisión recibió información en mayo de 2019 que reflejaba un recrudecimiento de la situación de riesgo informándose entre otros aspectos que los maltratos continuarían; se habría amenazado a algunos privados de la libertad con “suministrarles gas” a través de una tubería, presentándose </w:t>
      </w:r>
      <w:proofErr w:type="spellStart"/>
      <w:r w:rsidRPr="00375BBE">
        <w:rPr>
          <w:rFonts w:ascii="Cambria" w:hAnsi="Cambria"/>
          <w:color w:val="000000"/>
          <w:sz w:val="21"/>
          <w:szCs w:val="21"/>
          <w:lang w:val="es-CO"/>
        </w:rPr>
        <w:t>alegadamente</w:t>
      </w:r>
      <w:proofErr w:type="spellEnd"/>
      <w:r w:rsidRPr="00375BBE">
        <w:rPr>
          <w:rFonts w:ascii="Cambria" w:hAnsi="Cambria"/>
          <w:color w:val="000000"/>
          <w:sz w:val="21"/>
          <w:szCs w:val="21"/>
          <w:lang w:val="es-CO"/>
        </w:rPr>
        <w:t xml:space="preserve"> situaciones de incomunicación prolongada y serias restricciones para el acceso de familiares.</w:t>
      </w:r>
      <w:r w:rsidR="00446809" w:rsidRPr="00375BBE">
        <w:rPr>
          <w:rFonts w:ascii="Cambria" w:eastAsia="Calibri" w:hAnsi="Cambria" w:cs="Times New Roman"/>
          <w:sz w:val="21"/>
          <w:szCs w:val="21"/>
        </w:rPr>
        <w:t xml:space="preserve"> </w:t>
      </w:r>
    </w:p>
    <w:p w:rsidR="00446809" w:rsidRPr="00375BBE" w:rsidRDefault="00446809" w:rsidP="00446809">
      <w:pPr>
        <w:spacing w:after="0" w:line="240" w:lineRule="auto"/>
        <w:ind w:left="360"/>
        <w:contextualSpacing/>
        <w:jc w:val="both"/>
        <w:rPr>
          <w:rFonts w:ascii="Cambria" w:eastAsia="Calibri" w:hAnsi="Cambria" w:cs="Times New Roman"/>
          <w:sz w:val="21"/>
          <w:szCs w:val="21"/>
        </w:rPr>
      </w:pPr>
    </w:p>
    <w:p w:rsidR="00446809" w:rsidRPr="00375BBE" w:rsidRDefault="00446809" w:rsidP="00446809">
      <w:pPr>
        <w:numPr>
          <w:ilvl w:val="0"/>
          <w:numId w:val="1"/>
        </w:numPr>
        <w:spacing w:after="0" w:line="240" w:lineRule="auto"/>
        <w:ind w:left="0" w:firstLine="360"/>
        <w:contextualSpacing/>
        <w:jc w:val="both"/>
        <w:rPr>
          <w:rFonts w:ascii="Cambria" w:eastAsia="Calibri" w:hAnsi="Cambria" w:cs="Times New Roman"/>
          <w:sz w:val="21"/>
          <w:szCs w:val="21"/>
        </w:rPr>
      </w:pPr>
      <w:r w:rsidRPr="00375BBE">
        <w:rPr>
          <w:rFonts w:ascii="Cambria" w:eastAsia="Calibri" w:hAnsi="Cambria" w:cs="Times New Roman"/>
          <w:sz w:val="21"/>
          <w:szCs w:val="21"/>
        </w:rPr>
        <w:lastRenderedPageBreak/>
        <w:t>De manera reciente, la Comisión tuvo conocimiento también de la muerte del Capitán Rafael Acosta Arévalo bajo custodia de la DGCIM, por probables actos de tortura. Según la información recibida, el Ministro de Comunicación indicó en nota que el gobierno ha solicitado una investigación respecto de la muerte del Capitán Arévalo, asimismo, se informó que familiares y abogados no tuvieron acceso al cuerpo</w:t>
      </w:r>
      <w:r w:rsidRPr="00375BBE">
        <w:rPr>
          <w:rStyle w:val="FootnoteReference"/>
          <w:rFonts w:ascii="Cambria" w:eastAsia="Calibri" w:hAnsi="Cambria" w:cs="Times New Roman"/>
          <w:sz w:val="21"/>
          <w:szCs w:val="21"/>
        </w:rPr>
        <w:footnoteReference w:id="24"/>
      </w:r>
      <w:r w:rsidRPr="00375BBE">
        <w:rPr>
          <w:rFonts w:ascii="Cambria" w:eastAsia="Calibri" w:hAnsi="Cambria" w:cs="Times New Roman"/>
          <w:sz w:val="21"/>
          <w:szCs w:val="21"/>
        </w:rPr>
        <w:t xml:space="preserve">. </w:t>
      </w:r>
    </w:p>
    <w:p w:rsidR="004E50E5" w:rsidRPr="00375BBE" w:rsidRDefault="004E50E5" w:rsidP="00446809">
      <w:pPr>
        <w:spacing w:after="0" w:line="240" w:lineRule="auto"/>
        <w:contextualSpacing/>
        <w:jc w:val="both"/>
        <w:rPr>
          <w:rFonts w:ascii="Cambria" w:eastAsia="Calibri" w:hAnsi="Cambria" w:cs="Times New Roman"/>
          <w:sz w:val="21"/>
          <w:szCs w:val="21"/>
        </w:rPr>
      </w:pPr>
    </w:p>
    <w:p w:rsidR="00446809" w:rsidRPr="00375BBE" w:rsidRDefault="009A664D" w:rsidP="00796F91">
      <w:pPr>
        <w:numPr>
          <w:ilvl w:val="0"/>
          <w:numId w:val="1"/>
        </w:numPr>
        <w:spacing w:after="0" w:line="240" w:lineRule="auto"/>
        <w:ind w:left="0" w:firstLine="360"/>
        <w:contextualSpacing/>
        <w:jc w:val="both"/>
        <w:rPr>
          <w:rFonts w:ascii="Cambria" w:eastAsia="Calibri" w:hAnsi="Cambria" w:cs="Times New Roman"/>
          <w:sz w:val="21"/>
          <w:szCs w:val="21"/>
        </w:rPr>
      </w:pPr>
      <w:r w:rsidRPr="00375BBE">
        <w:rPr>
          <w:rFonts w:ascii="Cambria" w:eastAsia="Calibri" w:hAnsi="Cambria" w:cs="Times New Roman"/>
          <w:sz w:val="21"/>
          <w:szCs w:val="21"/>
        </w:rPr>
        <w:t>A luz del referido contexto</w:t>
      </w:r>
      <w:r w:rsidR="00065BA6" w:rsidRPr="00375BBE">
        <w:rPr>
          <w:rFonts w:ascii="Cambria" w:eastAsia="Calibri" w:hAnsi="Cambria" w:cs="Times New Roman"/>
          <w:sz w:val="21"/>
          <w:szCs w:val="21"/>
        </w:rPr>
        <w:t>,</w:t>
      </w:r>
      <w:r w:rsidRPr="00375BBE">
        <w:rPr>
          <w:rFonts w:ascii="Cambria" w:eastAsia="Calibri" w:hAnsi="Cambria" w:cs="Times New Roman"/>
          <w:sz w:val="21"/>
          <w:szCs w:val="21"/>
        </w:rPr>
        <w:t xml:space="preserve"> </w:t>
      </w:r>
      <w:r w:rsidR="00446809" w:rsidRPr="00375BBE">
        <w:rPr>
          <w:rFonts w:ascii="Cambria" w:eastAsia="Calibri" w:hAnsi="Cambria" w:cs="Times New Roman"/>
          <w:sz w:val="21"/>
          <w:szCs w:val="21"/>
        </w:rPr>
        <w:t xml:space="preserve">en el presente asunto se alegó que el señor Hugo Enrique Marino Salas fue privado de libertad por agentes de la DGCIM al llegar a Venezuela el 20 de abril de 2019 y, desde entonces, </w:t>
      </w:r>
      <w:r w:rsidR="000A299C" w:rsidRPr="00375BBE">
        <w:rPr>
          <w:rFonts w:ascii="Cambria" w:eastAsia="Calibri" w:hAnsi="Cambria" w:cs="Times New Roman"/>
          <w:sz w:val="21"/>
          <w:szCs w:val="21"/>
        </w:rPr>
        <w:t>hasta la fecha n</w:t>
      </w:r>
      <w:r w:rsidR="00446809" w:rsidRPr="00375BBE">
        <w:rPr>
          <w:rFonts w:ascii="Cambria" w:eastAsia="Calibri" w:hAnsi="Cambria" w:cs="Times New Roman"/>
          <w:sz w:val="21"/>
          <w:szCs w:val="21"/>
        </w:rPr>
        <w:t xml:space="preserve">o se ha tenido conocimiento de su paradero. </w:t>
      </w:r>
    </w:p>
    <w:p w:rsidR="0022613F" w:rsidRPr="00375BBE" w:rsidRDefault="0022613F" w:rsidP="00796F91">
      <w:pPr>
        <w:spacing w:after="0" w:line="240" w:lineRule="auto"/>
        <w:contextualSpacing/>
        <w:jc w:val="both"/>
        <w:rPr>
          <w:rFonts w:ascii="Cambria" w:eastAsia="Calibri" w:hAnsi="Cambria" w:cs="Times New Roman"/>
          <w:sz w:val="21"/>
          <w:szCs w:val="21"/>
        </w:rPr>
      </w:pPr>
    </w:p>
    <w:p w:rsidR="004163FA" w:rsidRPr="00375BBE" w:rsidRDefault="003D1308" w:rsidP="004163FA">
      <w:pPr>
        <w:numPr>
          <w:ilvl w:val="0"/>
          <w:numId w:val="1"/>
        </w:numPr>
        <w:spacing w:after="0" w:line="240" w:lineRule="auto"/>
        <w:ind w:left="0" w:firstLine="360"/>
        <w:contextualSpacing/>
        <w:jc w:val="both"/>
        <w:rPr>
          <w:rFonts w:ascii="Cambria" w:eastAsia="Calibri" w:hAnsi="Cambria" w:cs="Times New Roman"/>
          <w:sz w:val="21"/>
          <w:szCs w:val="21"/>
        </w:rPr>
      </w:pPr>
      <w:r w:rsidRPr="00375BBE">
        <w:rPr>
          <w:rFonts w:ascii="Cambria" w:eastAsia="Calibri" w:hAnsi="Cambria" w:cs="Times New Roman"/>
          <w:sz w:val="21"/>
          <w:szCs w:val="21"/>
        </w:rPr>
        <w:t>En este sentido</w:t>
      </w:r>
      <w:r w:rsidR="00A92E29" w:rsidRPr="00375BBE">
        <w:rPr>
          <w:rFonts w:ascii="Cambria" w:eastAsia="Calibri" w:hAnsi="Cambria" w:cs="Times New Roman"/>
          <w:sz w:val="21"/>
          <w:szCs w:val="21"/>
        </w:rPr>
        <w:t xml:space="preserve">, la Comisión recuerda que la </w:t>
      </w:r>
      <w:r w:rsidR="00A92E29" w:rsidRPr="00375BBE">
        <w:rPr>
          <w:rFonts w:ascii="Cambria" w:eastAsia="Calibri" w:hAnsi="Cambria" w:cs="Times New Roman"/>
          <w:bCs/>
          <w:sz w:val="21"/>
          <w:szCs w:val="21"/>
        </w:rPr>
        <w:t>Convención Interamericana</w:t>
      </w:r>
      <w:r w:rsidR="00446809" w:rsidRPr="00375BBE">
        <w:rPr>
          <w:rFonts w:ascii="Cambria" w:eastAsia="Calibri" w:hAnsi="Cambria" w:cs="Times New Roman"/>
          <w:bCs/>
          <w:sz w:val="21"/>
          <w:szCs w:val="21"/>
        </w:rPr>
        <w:t xml:space="preserve"> sobre Desaparición Forzada de Personas, a la a la cual e</w:t>
      </w:r>
      <w:r w:rsidR="00446809" w:rsidRPr="00375BBE">
        <w:rPr>
          <w:rFonts w:ascii="Cambria" w:eastAsia="Calibri" w:hAnsi="Cambria" w:cs="Times New Roman"/>
          <w:bCs/>
          <w:sz w:val="21"/>
          <w:szCs w:val="21"/>
          <w:lang w:val="es-MX"/>
        </w:rPr>
        <w:t>l Estado de Venezuela se encuentra vinculado desde su ratificación el 19 de enero de 1992</w:t>
      </w:r>
      <w:r w:rsidR="004163FA" w:rsidRPr="00375BBE">
        <w:rPr>
          <w:rFonts w:ascii="Cambria" w:eastAsia="Calibri" w:hAnsi="Cambria" w:cs="Times New Roman"/>
          <w:bCs/>
          <w:sz w:val="21"/>
          <w:szCs w:val="21"/>
          <w:lang w:val="es-MX"/>
        </w:rPr>
        <w:t>, establece en su artículo II que “</w:t>
      </w:r>
      <w:r w:rsidR="004163FA" w:rsidRPr="00375BBE">
        <w:rPr>
          <w:rFonts w:ascii="Cambria" w:eastAsia="Calibri" w:hAnsi="Cambria" w:cs="Times New Roman"/>
          <w:bCs/>
          <w:sz w:val="21"/>
          <w:szCs w:val="21"/>
        </w:rPr>
        <w:t xml:space="preserve">se considera desaparición forzada la privación de la libertad a una o más personas, cualquiera que fuere su forma, cometida por agentes del Estado o por personas o grupos de personas que actúen con la autorización, el apoyo o la aquiescencia del Estado, seguida de la falta de información o de la negativa a reconocer dicha privación de libertad o de informar sobre el paradero de la persona, con lo cual se impide el ejercicio de los recursos legales y de las garantías procesales pertinentes”. </w:t>
      </w:r>
      <w:r w:rsidR="00C84895" w:rsidRPr="00375BBE">
        <w:rPr>
          <w:rFonts w:ascii="Cambria" w:eastAsia="Calibri" w:hAnsi="Cambria" w:cs="Times New Roman"/>
          <w:bCs/>
          <w:sz w:val="21"/>
          <w:szCs w:val="21"/>
        </w:rPr>
        <w:t>En este sentido, es importante recordar que, de acuerdo con el artículo 1</w:t>
      </w:r>
      <w:r w:rsidR="004163FA" w:rsidRPr="00375BBE">
        <w:rPr>
          <w:rFonts w:ascii="Cambria" w:eastAsia="Calibri" w:hAnsi="Cambria" w:cs="Times New Roman"/>
          <w:bCs/>
          <w:sz w:val="21"/>
          <w:szCs w:val="21"/>
        </w:rPr>
        <w:t>, inciso a)</w:t>
      </w:r>
      <w:r w:rsidR="00C84895" w:rsidRPr="00375BBE">
        <w:rPr>
          <w:rFonts w:ascii="Cambria" w:eastAsia="Calibri" w:hAnsi="Cambria" w:cs="Times New Roman"/>
          <w:bCs/>
          <w:sz w:val="21"/>
          <w:szCs w:val="21"/>
        </w:rPr>
        <w:t xml:space="preserve"> de dicho instrumento interamericano, los Estado</w:t>
      </w:r>
      <w:r w:rsidR="004163FA" w:rsidRPr="00375BBE">
        <w:rPr>
          <w:rFonts w:ascii="Cambria" w:eastAsia="Calibri" w:hAnsi="Cambria" w:cs="Times New Roman"/>
          <w:bCs/>
          <w:sz w:val="21"/>
          <w:szCs w:val="21"/>
        </w:rPr>
        <w:t xml:space="preserve">s partes se encuentran obligados a no practicar, no permitir, ni tolerar la desaparición forzada de personas </w:t>
      </w:r>
      <w:r w:rsidR="00C84895" w:rsidRPr="00375BBE">
        <w:rPr>
          <w:rFonts w:ascii="Cambria" w:eastAsia="Calibri" w:hAnsi="Cambria" w:cs="Times New Roman"/>
          <w:bCs/>
          <w:sz w:val="21"/>
          <w:szCs w:val="21"/>
        </w:rPr>
        <w:t>y, a su vez,</w:t>
      </w:r>
      <w:r w:rsidR="004163FA" w:rsidRPr="00375BBE">
        <w:rPr>
          <w:rFonts w:ascii="Cambria" w:eastAsia="Calibri" w:hAnsi="Cambria" w:cs="Times New Roman"/>
          <w:bCs/>
          <w:sz w:val="21"/>
          <w:szCs w:val="21"/>
        </w:rPr>
        <w:t xml:space="preserve"> los artículos XIII y XIV establecen el trámite de las peticiones y comunicaciones en donde se alega desaparición forzada de personas sometido, </w:t>
      </w:r>
      <w:r w:rsidR="004163FA" w:rsidRPr="00375BBE">
        <w:rPr>
          <w:rFonts w:ascii="Cambria" w:eastAsia="Calibri" w:hAnsi="Cambria" w:cs="Times New Roman"/>
          <w:bCs/>
          <w:i/>
          <w:sz w:val="21"/>
          <w:szCs w:val="21"/>
        </w:rPr>
        <w:t xml:space="preserve">inter </w:t>
      </w:r>
      <w:proofErr w:type="spellStart"/>
      <w:r w:rsidR="004163FA" w:rsidRPr="00375BBE">
        <w:rPr>
          <w:rFonts w:ascii="Cambria" w:eastAsia="Calibri" w:hAnsi="Cambria" w:cs="Times New Roman"/>
          <w:bCs/>
          <w:i/>
          <w:sz w:val="21"/>
          <w:szCs w:val="21"/>
        </w:rPr>
        <w:t>alia</w:t>
      </w:r>
      <w:proofErr w:type="spellEnd"/>
      <w:r w:rsidR="004163FA" w:rsidRPr="00375BBE">
        <w:rPr>
          <w:rFonts w:ascii="Cambria" w:eastAsia="Calibri" w:hAnsi="Cambria" w:cs="Times New Roman"/>
          <w:bCs/>
          <w:i/>
          <w:sz w:val="21"/>
          <w:szCs w:val="21"/>
        </w:rPr>
        <w:t xml:space="preserve">, </w:t>
      </w:r>
      <w:r w:rsidR="004163FA" w:rsidRPr="00375BBE">
        <w:rPr>
          <w:rFonts w:ascii="Cambria" w:eastAsia="Calibri" w:hAnsi="Cambria" w:cs="Times New Roman"/>
          <w:bCs/>
          <w:sz w:val="21"/>
          <w:szCs w:val="21"/>
        </w:rPr>
        <w:t>al mecanismo de medidas cautelares</w:t>
      </w:r>
      <w:r w:rsidR="009D6FDA" w:rsidRPr="00375BBE">
        <w:rPr>
          <w:rFonts w:ascii="Cambria" w:eastAsia="Calibri" w:hAnsi="Cambria" w:cs="Times New Roman"/>
          <w:bCs/>
          <w:sz w:val="21"/>
          <w:szCs w:val="21"/>
        </w:rPr>
        <w:t xml:space="preserve">, así como la facultad para solicitar información de manera urgente a los Estados. </w:t>
      </w:r>
    </w:p>
    <w:p w:rsidR="004163FA" w:rsidRPr="00375BBE" w:rsidRDefault="004163FA" w:rsidP="009D6FDA">
      <w:pPr>
        <w:spacing w:after="0" w:line="240" w:lineRule="auto"/>
        <w:ind w:left="360"/>
        <w:contextualSpacing/>
        <w:jc w:val="both"/>
        <w:rPr>
          <w:rFonts w:ascii="Cambria" w:eastAsia="Calibri" w:hAnsi="Cambria" w:cs="Times New Roman"/>
          <w:sz w:val="21"/>
          <w:szCs w:val="21"/>
        </w:rPr>
      </w:pPr>
    </w:p>
    <w:p w:rsidR="001538C6" w:rsidRPr="00375BBE" w:rsidRDefault="001447EC" w:rsidP="00A92E29">
      <w:pPr>
        <w:numPr>
          <w:ilvl w:val="0"/>
          <w:numId w:val="1"/>
        </w:numPr>
        <w:spacing w:after="0" w:line="240" w:lineRule="auto"/>
        <w:ind w:left="0" w:firstLine="360"/>
        <w:contextualSpacing/>
        <w:jc w:val="both"/>
        <w:rPr>
          <w:rFonts w:ascii="Cambria" w:eastAsia="Calibri" w:hAnsi="Cambria" w:cs="Times New Roman"/>
          <w:sz w:val="21"/>
          <w:szCs w:val="21"/>
        </w:rPr>
      </w:pPr>
      <w:r w:rsidRPr="00375BBE">
        <w:rPr>
          <w:rFonts w:ascii="Cambria" w:eastAsia="Calibri" w:hAnsi="Cambria" w:cs="Times New Roman"/>
          <w:sz w:val="21"/>
          <w:szCs w:val="21"/>
        </w:rPr>
        <w:t xml:space="preserve">Bajo esta lógica, la Comisión reitera como parte de sus atribuciones sobre los Estados, aquellas previstas en el artículo 18 (b) de su Estatuto, consistentes en “formular recomendaciones a los gobiernos de los Estados para que adopten medidas progresivas en favor de los derechos humanos, dentro del marco de sus legislaciones, de sus preceptos constitucionales y de sus compromisos internacionales, y también disposiciones apropiadas para fomentar el respeto a esos derechos”. </w:t>
      </w:r>
      <w:r w:rsidR="00A41DCB" w:rsidRPr="00375BBE">
        <w:rPr>
          <w:rFonts w:ascii="Cambria" w:eastAsia="Calibri" w:hAnsi="Cambria" w:cs="Times New Roman"/>
          <w:sz w:val="21"/>
          <w:szCs w:val="21"/>
        </w:rPr>
        <w:t xml:space="preserve">De esta manera, el mecanismo de medidas cautelares ha tenido un desarrollo progresivo para constituirse como un mecanismo de protección propio del sistema interamericano, en cumplimiento de sus obligaciones convencionales y estatutarias y emanando de la referida función de la CIDH de velar por el cumplimiento de los compromisos internacionales asumidos por los Estados parte. </w:t>
      </w:r>
    </w:p>
    <w:p w:rsidR="00A92E29" w:rsidRPr="00375BBE" w:rsidRDefault="00A92E29" w:rsidP="006C5F74">
      <w:pPr>
        <w:spacing w:after="0" w:line="240" w:lineRule="auto"/>
        <w:contextualSpacing/>
        <w:jc w:val="both"/>
        <w:rPr>
          <w:rFonts w:ascii="Cambria" w:eastAsia="Calibri" w:hAnsi="Cambria" w:cs="Times New Roman"/>
          <w:sz w:val="21"/>
          <w:szCs w:val="21"/>
        </w:rPr>
      </w:pPr>
    </w:p>
    <w:p w:rsidR="003D1308" w:rsidRPr="00375BBE" w:rsidRDefault="009D6FDA" w:rsidP="003D1308">
      <w:pPr>
        <w:numPr>
          <w:ilvl w:val="0"/>
          <w:numId w:val="1"/>
        </w:numPr>
        <w:spacing w:after="0" w:line="240" w:lineRule="auto"/>
        <w:ind w:left="0" w:firstLine="360"/>
        <w:contextualSpacing/>
        <w:jc w:val="both"/>
        <w:rPr>
          <w:rFonts w:ascii="Cambria" w:hAnsi="Cambria"/>
          <w:sz w:val="21"/>
          <w:szCs w:val="21"/>
          <w:lang w:val="es-CO"/>
        </w:rPr>
      </w:pPr>
      <w:r w:rsidRPr="00375BBE">
        <w:rPr>
          <w:rFonts w:ascii="Cambria" w:hAnsi="Cambria"/>
          <w:sz w:val="21"/>
          <w:szCs w:val="21"/>
          <w:lang w:val="es-CO"/>
        </w:rPr>
        <w:t xml:space="preserve">La Comisión considera que el requisito de gravedad se encuentra cumplido, en vista de que desde el 20 de abril de 2019, en que el señor </w:t>
      </w:r>
      <w:r w:rsidRPr="00375BBE">
        <w:rPr>
          <w:rFonts w:ascii="Cambria" w:eastAsia="Calibri" w:hAnsi="Cambria" w:cs="Times New Roman"/>
          <w:sz w:val="21"/>
          <w:szCs w:val="21"/>
        </w:rPr>
        <w:t xml:space="preserve">Hugo Enrique Marino Salas fue </w:t>
      </w:r>
      <w:r w:rsidRPr="00375BBE">
        <w:rPr>
          <w:rFonts w:ascii="Cambria" w:hAnsi="Cambria"/>
          <w:sz w:val="21"/>
          <w:szCs w:val="21"/>
          <w:lang w:val="es-CO"/>
        </w:rPr>
        <w:t>supuestamente detenido por funcionarios de la DGCIM</w:t>
      </w:r>
      <w:r w:rsidR="003D1308" w:rsidRPr="00375BBE">
        <w:rPr>
          <w:rFonts w:ascii="Cambria" w:hAnsi="Cambria"/>
          <w:sz w:val="21"/>
          <w:szCs w:val="21"/>
          <w:lang w:val="es-CO"/>
        </w:rPr>
        <w:t xml:space="preserve"> y</w:t>
      </w:r>
      <w:r w:rsidRPr="00375BBE">
        <w:rPr>
          <w:rFonts w:ascii="Cambria" w:hAnsi="Cambria"/>
          <w:sz w:val="21"/>
          <w:szCs w:val="21"/>
          <w:lang w:val="es-CO"/>
        </w:rPr>
        <w:t xml:space="preserve"> hasta el día de la fecha no se tendría noticias acerca de su destino o paradero. Esta situación es de especial preocupación en vista de que la información aportada indica que habría sido privado de libertad por agentes del Estado y, el</w:t>
      </w:r>
      <w:r w:rsidR="000D200D" w:rsidRPr="00375BBE">
        <w:rPr>
          <w:rFonts w:ascii="Cambria" w:hAnsi="Cambria"/>
          <w:sz w:val="21"/>
          <w:szCs w:val="21"/>
          <w:lang w:val="es-CO"/>
        </w:rPr>
        <w:t xml:space="preserve"> 12 de mayo habr</w:t>
      </w:r>
      <w:r w:rsidR="003D1308" w:rsidRPr="00375BBE">
        <w:rPr>
          <w:rFonts w:ascii="Cambria" w:hAnsi="Cambria"/>
          <w:sz w:val="21"/>
          <w:szCs w:val="21"/>
          <w:lang w:val="es-CO"/>
        </w:rPr>
        <w:t>ía sido recibida</w:t>
      </w:r>
      <w:r w:rsidR="000D200D" w:rsidRPr="00375BBE">
        <w:rPr>
          <w:rFonts w:ascii="Cambria" w:hAnsi="Cambria"/>
          <w:sz w:val="21"/>
          <w:szCs w:val="21"/>
          <w:lang w:val="es-CO"/>
        </w:rPr>
        <w:t xml:space="preserve"> comida dirigida a él en la sede del DGCIM, sin embargo, en una posterior visita, el 19 de mayo </w:t>
      </w:r>
      <w:proofErr w:type="spellStart"/>
      <w:r w:rsidRPr="00375BBE">
        <w:rPr>
          <w:rFonts w:ascii="Cambria" w:hAnsi="Cambria"/>
          <w:sz w:val="21"/>
          <w:szCs w:val="21"/>
          <w:lang w:val="es-CO"/>
        </w:rPr>
        <w:t>alegadamente</w:t>
      </w:r>
      <w:proofErr w:type="spellEnd"/>
      <w:r w:rsidRPr="00375BBE">
        <w:rPr>
          <w:rFonts w:ascii="Cambria" w:hAnsi="Cambria"/>
          <w:sz w:val="21"/>
          <w:szCs w:val="21"/>
          <w:lang w:val="es-CO"/>
        </w:rPr>
        <w:t xml:space="preserve"> los funcionarios habrían negado que se encuentre en dicho lugar. La Comisión observa que  habría información sobre</w:t>
      </w:r>
      <w:r w:rsidR="000D200D" w:rsidRPr="00375BBE">
        <w:rPr>
          <w:rFonts w:ascii="Cambria" w:hAnsi="Cambria"/>
          <w:sz w:val="21"/>
          <w:szCs w:val="21"/>
          <w:lang w:val="es-CO"/>
        </w:rPr>
        <w:t xml:space="preserve"> </w:t>
      </w:r>
      <w:r w:rsidR="003D1308" w:rsidRPr="00375BBE">
        <w:rPr>
          <w:rFonts w:ascii="Cambria" w:hAnsi="Cambria"/>
          <w:sz w:val="21"/>
          <w:szCs w:val="21"/>
          <w:lang w:val="es-CO"/>
        </w:rPr>
        <w:t xml:space="preserve">que </w:t>
      </w:r>
      <w:r w:rsidR="000D200D" w:rsidRPr="00375BBE">
        <w:rPr>
          <w:rFonts w:ascii="Cambria" w:hAnsi="Cambria"/>
          <w:sz w:val="21"/>
          <w:szCs w:val="21"/>
          <w:lang w:val="es-CO"/>
        </w:rPr>
        <w:t xml:space="preserve">presuntamente fue presentado ante </w:t>
      </w:r>
      <w:r w:rsidRPr="00375BBE">
        <w:rPr>
          <w:rFonts w:ascii="Cambria" w:hAnsi="Cambria"/>
          <w:sz w:val="21"/>
          <w:szCs w:val="21"/>
          <w:lang w:val="es-CO"/>
        </w:rPr>
        <w:t>tribunales</w:t>
      </w:r>
      <w:r w:rsidR="000D200D" w:rsidRPr="00375BBE">
        <w:rPr>
          <w:rFonts w:ascii="Cambria" w:hAnsi="Cambria"/>
          <w:sz w:val="21"/>
          <w:szCs w:val="21"/>
          <w:lang w:val="es-CO"/>
        </w:rPr>
        <w:t>, sin embargo, no se daría acceso al expediente a su representación, quienes alegaron que “</w:t>
      </w:r>
      <w:proofErr w:type="spellStart"/>
      <w:r w:rsidR="000D200D" w:rsidRPr="00375BBE">
        <w:rPr>
          <w:rFonts w:ascii="Cambria" w:hAnsi="Cambria"/>
          <w:sz w:val="21"/>
          <w:szCs w:val="21"/>
          <w:lang w:val="es-CO"/>
        </w:rPr>
        <w:t>esta</w:t>
      </w:r>
      <w:proofErr w:type="spellEnd"/>
      <w:r w:rsidR="000D200D" w:rsidRPr="00375BBE">
        <w:rPr>
          <w:rFonts w:ascii="Cambria" w:hAnsi="Cambria"/>
          <w:sz w:val="21"/>
          <w:szCs w:val="21"/>
          <w:lang w:val="es-CO"/>
        </w:rPr>
        <w:t xml:space="preserve"> perdido”</w:t>
      </w:r>
      <w:r w:rsidR="003D1308" w:rsidRPr="00375BBE">
        <w:rPr>
          <w:rFonts w:ascii="Cambria" w:hAnsi="Cambria"/>
          <w:sz w:val="21"/>
          <w:szCs w:val="21"/>
          <w:lang w:val="es-CO"/>
        </w:rPr>
        <w:t>, lo que no permite corroborar su localización o tener más información sobre las condiciones en que se encontraría</w:t>
      </w:r>
      <w:r w:rsidR="000D200D" w:rsidRPr="00375BBE">
        <w:rPr>
          <w:rFonts w:ascii="Cambria" w:hAnsi="Cambria"/>
          <w:sz w:val="21"/>
          <w:szCs w:val="21"/>
          <w:lang w:val="es-CO"/>
        </w:rPr>
        <w:t xml:space="preserve">. De igual manera, </w:t>
      </w:r>
      <w:r w:rsidR="003D1308" w:rsidRPr="00375BBE">
        <w:rPr>
          <w:rFonts w:ascii="Cambria" w:hAnsi="Cambria"/>
          <w:sz w:val="21"/>
          <w:szCs w:val="21"/>
          <w:lang w:val="es-CO"/>
        </w:rPr>
        <w:t>se habrían presentado una</w:t>
      </w:r>
      <w:r w:rsidR="000D200D" w:rsidRPr="00375BBE">
        <w:rPr>
          <w:rFonts w:ascii="Cambria" w:hAnsi="Cambria"/>
          <w:sz w:val="21"/>
          <w:szCs w:val="21"/>
          <w:lang w:val="es-CO"/>
        </w:rPr>
        <w:t xml:space="preserve"> denuncia por desaparición forzada ante Fiscalía y</w:t>
      </w:r>
      <w:r w:rsidRPr="00375BBE">
        <w:rPr>
          <w:rFonts w:ascii="Cambria" w:hAnsi="Cambria"/>
          <w:sz w:val="21"/>
          <w:szCs w:val="21"/>
          <w:lang w:val="es-CO"/>
        </w:rPr>
        <w:t xml:space="preserve"> </w:t>
      </w:r>
      <w:r w:rsidR="003D1308" w:rsidRPr="00375BBE">
        <w:rPr>
          <w:rFonts w:ascii="Cambria" w:hAnsi="Cambria"/>
          <w:sz w:val="21"/>
          <w:szCs w:val="21"/>
          <w:lang w:val="es-CO"/>
        </w:rPr>
        <w:t>un</w:t>
      </w:r>
      <w:r w:rsidRPr="00375BBE">
        <w:rPr>
          <w:rFonts w:ascii="Cambria" w:hAnsi="Cambria"/>
          <w:sz w:val="21"/>
          <w:szCs w:val="21"/>
          <w:lang w:val="es-CO"/>
        </w:rPr>
        <w:t xml:space="preserve"> </w:t>
      </w:r>
      <w:r w:rsidR="003D1308" w:rsidRPr="00375BBE">
        <w:rPr>
          <w:rFonts w:ascii="Cambria" w:hAnsi="Cambria"/>
          <w:i/>
          <w:sz w:val="21"/>
          <w:szCs w:val="21"/>
          <w:lang w:val="es-CO"/>
        </w:rPr>
        <w:t>habeas corpu</w:t>
      </w:r>
      <w:r w:rsidR="0011718D" w:rsidRPr="00375BBE">
        <w:rPr>
          <w:rFonts w:ascii="Cambria" w:hAnsi="Cambria"/>
          <w:i/>
          <w:sz w:val="21"/>
          <w:szCs w:val="21"/>
          <w:lang w:val="es-CO"/>
        </w:rPr>
        <w:t>s</w:t>
      </w:r>
      <w:r w:rsidR="003D1308" w:rsidRPr="00375BBE">
        <w:rPr>
          <w:rFonts w:ascii="Cambria" w:hAnsi="Cambria"/>
          <w:i/>
          <w:sz w:val="21"/>
          <w:szCs w:val="21"/>
          <w:lang w:val="es-CO"/>
        </w:rPr>
        <w:t>,</w:t>
      </w:r>
      <w:r w:rsidR="003D1308" w:rsidRPr="00375BBE">
        <w:rPr>
          <w:rFonts w:ascii="Cambria" w:hAnsi="Cambria"/>
          <w:sz w:val="21"/>
          <w:szCs w:val="21"/>
          <w:lang w:val="es-CO"/>
        </w:rPr>
        <w:t xml:space="preserve"> sin obtener información sobre su paradero o condiciones</w:t>
      </w:r>
      <w:r w:rsidRPr="00375BBE">
        <w:rPr>
          <w:rFonts w:ascii="Cambria" w:hAnsi="Cambria"/>
          <w:sz w:val="21"/>
          <w:szCs w:val="21"/>
          <w:lang w:val="es-CO"/>
        </w:rPr>
        <w:t>.</w:t>
      </w:r>
    </w:p>
    <w:p w:rsidR="003D1308" w:rsidRPr="00375BBE" w:rsidRDefault="003D1308" w:rsidP="003D1308">
      <w:pPr>
        <w:spacing w:after="0" w:line="240" w:lineRule="auto"/>
        <w:ind w:left="360"/>
        <w:contextualSpacing/>
        <w:jc w:val="both"/>
        <w:rPr>
          <w:rFonts w:ascii="Cambria" w:hAnsi="Cambria"/>
          <w:sz w:val="21"/>
          <w:szCs w:val="21"/>
          <w:lang w:val="es-CO"/>
        </w:rPr>
      </w:pPr>
    </w:p>
    <w:p w:rsidR="003D1308" w:rsidRPr="00375BBE" w:rsidRDefault="003D1308" w:rsidP="003D1308">
      <w:pPr>
        <w:numPr>
          <w:ilvl w:val="0"/>
          <w:numId w:val="1"/>
        </w:numPr>
        <w:spacing w:after="0" w:line="240" w:lineRule="auto"/>
        <w:ind w:left="0" w:firstLine="360"/>
        <w:contextualSpacing/>
        <w:jc w:val="both"/>
        <w:rPr>
          <w:rFonts w:ascii="Cambria" w:hAnsi="Cambria"/>
          <w:sz w:val="21"/>
          <w:szCs w:val="21"/>
          <w:lang w:val="es-CO"/>
        </w:rPr>
      </w:pPr>
      <w:r w:rsidRPr="00375BBE">
        <w:rPr>
          <w:rFonts w:ascii="Cambria" w:hAnsi="Cambria"/>
          <w:sz w:val="21"/>
          <w:szCs w:val="21"/>
          <w:lang w:val="es-CO"/>
        </w:rPr>
        <w:lastRenderedPageBreak/>
        <w:t xml:space="preserve">  </w:t>
      </w:r>
      <w:r w:rsidRPr="00375BBE">
        <w:rPr>
          <w:rFonts w:ascii="Cambria" w:hAnsi="Cambria" w:cs="Calibri"/>
          <w:color w:val="000000"/>
          <w:sz w:val="21"/>
          <w:szCs w:val="21"/>
          <w:lang w:val="es-CO"/>
        </w:rPr>
        <w:t xml:space="preserve">La Comisión lamenta la falta de respuesta del Estado de Venezuela a la solicitud de información que le fue realizada. Si bien lo anterior no resulta suficiente </w:t>
      </w:r>
      <w:r w:rsidRPr="00375BBE">
        <w:rPr>
          <w:rFonts w:ascii="Cambria" w:hAnsi="Cambria" w:cs="Calibri"/>
          <w:i/>
          <w:color w:val="000000"/>
          <w:sz w:val="21"/>
          <w:szCs w:val="21"/>
          <w:lang w:val="es-CO"/>
        </w:rPr>
        <w:t>per se</w:t>
      </w:r>
      <w:r w:rsidRPr="00375BBE">
        <w:rPr>
          <w:rFonts w:ascii="Cambria" w:hAnsi="Cambria" w:cs="Calibri"/>
          <w:color w:val="000000"/>
          <w:sz w:val="21"/>
          <w:szCs w:val="21"/>
          <w:lang w:val="es-CO"/>
        </w:rPr>
        <w:t xml:space="preserve"> para justificar el otorgamiento de una medida cautelar, sí impide que la Comisión cuente con observaciones del Estado y por ende analizar si los alegatos de los solicitantes resultan desvirtuados o no. Esto resulta especialmente relevante en una situación cuya gravedad se ve amplificada por el contexto en el cual se encuentra inmersa, y teniendo en cuenta que de acuerdo con las alegaciones, el propuesto beneficiario habría sido privado de libertad por agentes estatales, quienes hoy negarían que se encuentre en su sede. </w:t>
      </w:r>
    </w:p>
    <w:p w:rsidR="003D1308" w:rsidRPr="00375BBE" w:rsidRDefault="003D1308" w:rsidP="003D1308">
      <w:pPr>
        <w:spacing w:after="0" w:line="240" w:lineRule="auto"/>
        <w:contextualSpacing/>
        <w:jc w:val="both"/>
        <w:rPr>
          <w:rFonts w:ascii="Cambria" w:hAnsi="Cambria"/>
          <w:sz w:val="21"/>
          <w:szCs w:val="21"/>
          <w:lang w:val="es-CO"/>
        </w:rPr>
      </w:pPr>
    </w:p>
    <w:p w:rsidR="003D1308" w:rsidRPr="00375BBE" w:rsidRDefault="003D1308" w:rsidP="003D1308">
      <w:pPr>
        <w:numPr>
          <w:ilvl w:val="0"/>
          <w:numId w:val="1"/>
        </w:numPr>
        <w:spacing w:after="0" w:line="240" w:lineRule="auto"/>
        <w:ind w:left="0" w:firstLine="360"/>
        <w:contextualSpacing/>
        <w:jc w:val="both"/>
        <w:rPr>
          <w:rFonts w:ascii="Cambria" w:hAnsi="Cambria"/>
          <w:sz w:val="21"/>
          <w:szCs w:val="21"/>
          <w:lang w:val="es-CO"/>
        </w:rPr>
      </w:pPr>
      <w:r w:rsidRPr="00375BBE">
        <w:rPr>
          <w:rFonts w:ascii="Cambria" w:hAnsi="Cambria" w:cs="Calibri"/>
          <w:color w:val="000000"/>
          <w:sz w:val="21"/>
          <w:szCs w:val="21"/>
          <w:lang w:val="es-PE"/>
        </w:rPr>
        <w:t xml:space="preserve">En estas circunstancias, </w:t>
      </w:r>
      <w:r w:rsidRPr="00375BBE">
        <w:rPr>
          <w:rFonts w:ascii="Cambria" w:hAnsi="Cambria"/>
          <w:sz w:val="21"/>
          <w:szCs w:val="21"/>
          <w:lang w:val="es-ES_tradnl"/>
        </w:rPr>
        <w:t xml:space="preserve">desde el parámetro </w:t>
      </w:r>
      <w:r w:rsidRPr="00375BBE">
        <w:rPr>
          <w:rFonts w:ascii="Cambria" w:hAnsi="Cambria"/>
          <w:i/>
          <w:sz w:val="21"/>
          <w:szCs w:val="21"/>
          <w:lang w:val="es-ES_tradnl"/>
        </w:rPr>
        <w:t xml:space="preserve">prima facie </w:t>
      </w:r>
      <w:r w:rsidRPr="00375BBE">
        <w:rPr>
          <w:rFonts w:ascii="Cambria" w:hAnsi="Cambria"/>
          <w:sz w:val="21"/>
          <w:szCs w:val="21"/>
          <w:lang w:val="es-ES_tradnl"/>
        </w:rPr>
        <w:t>aplicable al mecanismo de medidas cautelares, la Comisión concluye que se halla suficientemente establecida la existencia de una situación de grave riesgo para los derechos a la vida e integridad personal del propuesto beneficiario, en la medida en que no se conoce su paradero o destino.</w:t>
      </w:r>
      <w:r w:rsidR="009D6FDA" w:rsidRPr="00375BBE">
        <w:rPr>
          <w:rFonts w:ascii="Cambria" w:hAnsi="Cambria"/>
          <w:sz w:val="21"/>
          <w:szCs w:val="21"/>
          <w:lang w:val="es-CO"/>
        </w:rPr>
        <w:t xml:space="preserve"> </w:t>
      </w:r>
    </w:p>
    <w:p w:rsidR="009D6FDA" w:rsidRPr="00375BBE" w:rsidRDefault="009D6FDA" w:rsidP="003D1308">
      <w:pPr>
        <w:spacing w:after="0" w:line="240" w:lineRule="auto"/>
        <w:contextualSpacing/>
        <w:jc w:val="both"/>
        <w:rPr>
          <w:rFonts w:ascii="Cambria" w:eastAsia="Calibri" w:hAnsi="Cambria" w:cs="Times New Roman"/>
          <w:sz w:val="21"/>
          <w:szCs w:val="21"/>
        </w:rPr>
      </w:pPr>
    </w:p>
    <w:p w:rsidR="00903883" w:rsidRPr="00375BBE" w:rsidRDefault="003D1308" w:rsidP="003F4869">
      <w:pPr>
        <w:numPr>
          <w:ilvl w:val="0"/>
          <w:numId w:val="1"/>
        </w:numPr>
        <w:spacing w:after="0" w:line="240" w:lineRule="auto"/>
        <w:ind w:left="0" w:firstLine="360"/>
        <w:contextualSpacing/>
        <w:jc w:val="both"/>
        <w:rPr>
          <w:rFonts w:ascii="Cambria" w:hAnsi="Cambria"/>
          <w:color w:val="000000"/>
          <w:sz w:val="21"/>
          <w:szCs w:val="21"/>
          <w:lang w:val="es-MX"/>
        </w:rPr>
      </w:pPr>
      <w:r w:rsidRPr="00375BBE">
        <w:rPr>
          <w:rFonts w:ascii="Cambria" w:hAnsi="Cambria"/>
          <w:color w:val="000000"/>
          <w:sz w:val="21"/>
          <w:szCs w:val="21"/>
          <w:lang w:val="es-MX"/>
        </w:rPr>
        <w:t xml:space="preserve">En cuanto al requisito de urgencia, la Comisión considera que se encuentra cumplido, en la medida que el transcurso del tiempo, a más de </w:t>
      </w:r>
      <w:r w:rsidR="003F4869" w:rsidRPr="00375BBE">
        <w:rPr>
          <w:rFonts w:ascii="Cambria" w:hAnsi="Cambria"/>
          <w:color w:val="000000"/>
          <w:sz w:val="21"/>
          <w:szCs w:val="21"/>
          <w:lang w:val="es-MX"/>
        </w:rPr>
        <w:t>cerca de seis meses</w:t>
      </w:r>
      <w:r w:rsidRPr="00375BBE">
        <w:rPr>
          <w:rFonts w:ascii="Cambria" w:hAnsi="Cambria"/>
          <w:color w:val="000000"/>
          <w:sz w:val="21"/>
          <w:szCs w:val="21"/>
          <w:lang w:val="es-MX"/>
        </w:rPr>
        <w:t xml:space="preserve"> de tenerse noticia de la privación de libertad por agentes estatales del propuesto beneficiario, no se tendría </w:t>
      </w:r>
      <w:r w:rsidRPr="00375BBE">
        <w:rPr>
          <w:rFonts w:ascii="Cambria" w:hAnsi="Cambria"/>
          <w:sz w:val="21"/>
          <w:szCs w:val="21"/>
          <w:lang w:val="es-ES_tradnl"/>
        </w:rPr>
        <w:t>conocimiento</w:t>
      </w:r>
      <w:r w:rsidRPr="00375BBE">
        <w:rPr>
          <w:rFonts w:ascii="Cambria" w:hAnsi="Cambria"/>
          <w:color w:val="000000"/>
          <w:sz w:val="21"/>
          <w:szCs w:val="21"/>
          <w:lang w:val="es-MX"/>
        </w:rPr>
        <w:t xml:space="preserve"> de su paradero o destino. Asimismo, a la fecha no se tendría información</w:t>
      </w:r>
      <w:r w:rsidR="003F4869" w:rsidRPr="00375BBE">
        <w:rPr>
          <w:rFonts w:ascii="Cambria" w:hAnsi="Cambria"/>
          <w:color w:val="000000"/>
          <w:sz w:val="21"/>
          <w:szCs w:val="21"/>
          <w:lang w:val="es-MX"/>
        </w:rPr>
        <w:t xml:space="preserve"> precisa</w:t>
      </w:r>
      <w:r w:rsidRPr="00375BBE">
        <w:rPr>
          <w:rFonts w:ascii="Cambria" w:hAnsi="Cambria"/>
          <w:color w:val="000000"/>
          <w:sz w:val="21"/>
          <w:szCs w:val="21"/>
          <w:lang w:val="es-MX"/>
        </w:rPr>
        <w:t xml:space="preserve"> sobre la presentación </w:t>
      </w:r>
      <w:r w:rsidR="003F4869" w:rsidRPr="00375BBE">
        <w:rPr>
          <w:rFonts w:ascii="Cambria" w:hAnsi="Cambria"/>
          <w:color w:val="000000"/>
          <w:sz w:val="21"/>
          <w:szCs w:val="21"/>
          <w:lang w:val="es-MX"/>
        </w:rPr>
        <w:t>d</w:t>
      </w:r>
      <w:r w:rsidRPr="00375BBE">
        <w:rPr>
          <w:rFonts w:ascii="Cambria" w:hAnsi="Cambria"/>
          <w:color w:val="000000"/>
          <w:sz w:val="21"/>
          <w:szCs w:val="21"/>
          <w:lang w:val="es-MX"/>
        </w:rPr>
        <w:t xml:space="preserve">el propuesto beneficiario ante </w:t>
      </w:r>
      <w:r w:rsidR="003F4869" w:rsidRPr="00375BBE">
        <w:rPr>
          <w:rFonts w:ascii="Cambria" w:hAnsi="Cambria"/>
          <w:color w:val="000000"/>
          <w:sz w:val="21"/>
          <w:szCs w:val="21"/>
          <w:lang w:val="es-MX"/>
        </w:rPr>
        <w:t xml:space="preserve">tribunales </w:t>
      </w:r>
      <w:r w:rsidRPr="00375BBE">
        <w:rPr>
          <w:rFonts w:ascii="Cambria" w:hAnsi="Cambria"/>
          <w:color w:val="000000"/>
          <w:sz w:val="21"/>
          <w:szCs w:val="21"/>
          <w:lang w:val="es-MX"/>
        </w:rPr>
        <w:t>ni se tendría información sobre</w:t>
      </w:r>
      <w:r w:rsidR="003F4869" w:rsidRPr="00375BBE">
        <w:rPr>
          <w:rFonts w:ascii="Cambria" w:hAnsi="Cambria"/>
          <w:color w:val="000000"/>
          <w:sz w:val="21"/>
          <w:szCs w:val="21"/>
          <w:lang w:val="es-MX"/>
        </w:rPr>
        <w:t xml:space="preserve"> la denuncia y</w:t>
      </w:r>
      <w:r w:rsidRPr="00375BBE">
        <w:rPr>
          <w:rFonts w:ascii="Cambria" w:hAnsi="Cambria"/>
          <w:color w:val="000000"/>
          <w:sz w:val="21"/>
          <w:szCs w:val="21"/>
          <w:lang w:val="es-MX"/>
        </w:rPr>
        <w:t xml:space="preserve"> el </w:t>
      </w:r>
      <w:r w:rsidRPr="00375BBE">
        <w:rPr>
          <w:rFonts w:ascii="Cambria" w:hAnsi="Cambria"/>
          <w:i/>
          <w:color w:val="000000"/>
          <w:sz w:val="21"/>
          <w:szCs w:val="21"/>
          <w:lang w:val="es-MX"/>
        </w:rPr>
        <w:t>habeas corpus</w:t>
      </w:r>
      <w:r w:rsidRPr="00375BBE">
        <w:rPr>
          <w:rFonts w:ascii="Cambria" w:hAnsi="Cambria"/>
          <w:color w:val="000000"/>
          <w:sz w:val="21"/>
          <w:szCs w:val="21"/>
          <w:lang w:val="es-MX"/>
        </w:rPr>
        <w:t xml:space="preserve"> interpuesto</w:t>
      </w:r>
      <w:r w:rsidR="003F4869" w:rsidRPr="00375BBE">
        <w:rPr>
          <w:rFonts w:ascii="Cambria" w:hAnsi="Cambria"/>
          <w:color w:val="000000"/>
          <w:sz w:val="21"/>
          <w:szCs w:val="21"/>
          <w:lang w:val="es-MX"/>
        </w:rPr>
        <w:t>s</w:t>
      </w:r>
      <w:r w:rsidRPr="00375BBE">
        <w:rPr>
          <w:rFonts w:ascii="Cambria" w:hAnsi="Cambria"/>
          <w:color w:val="000000"/>
          <w:sz w:val="21"/>
          <w:szCs w:val="21"/>
          <w:lang w:val="es-MX"/>
        </w:rPr>
        <w:t>. En tales circunstancias, el paso del tiempo es susceptible de gen</w:t>
      </w:r>
      <w:r w:rsidR="003F4869" w:rsidRPr="00375BBE">
        <w:rPr>
          <w:rFonts w:ascii="Cambria" w:hAnsi="Cambria"/>
          <w:color w:val="000000"/>
          <w:sz w:val="21"/>
          <w:szCs w:val="21"/>
          <w:lang w:val="es-MX"/>
        </w:rPr>
        <w:t xml:space="preserve">erar mayores afectaciones </w:t>
      </w:r>
      <w:r w:rsidRPr="00375BBE">
        <w:rPr>
          <w:rFonts w:ascii="Cambria" w:hAnsi="Cambria"/>
          <w:color w:val="000000"/>
          <w:sz w:val="21"/>
          <w:szCs w:val="21"/>
          <w:lang w:val="es-MX"/>
        </w:rPr>
        <w:t>a sus derechos a la vida e integridad personal, resultando necesaria la adopción inmediata de medidas para salvaguardarlos.</w:t>
      </w:r>
    </w:p>
    <w:p w:rsidR="003F4869" w:rsidRPr="00375BBE" w:rsidRDefault="003F4869" w:rsidP="003F4869">
      <w:pPr>
        <w:spacing w:after="0" w:line="240" w:lineRule="auto"/>
        <w:ind w:left="360"/>
        <w:contextualSpacing/>
        <w:jc w:val="both"/>
        <w:rPr>
          <w:rFonts w:ascii="Cambria" w:hAnsi="Cambria"/>
          <w:color w:val="000000"/>
          <w:sz w:val="21"/>
          <w:szCs w:val="21"/>
          <w:lang w:val="es-MX"/>
        </w:rPr>
      </w:pPr>
    </w:p>
    <w:p w:rsidR="00E77B47" w:rsidRPr="00375BBE" w:rsidRDefault="00E77B47" w:rsidP="000519A9">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sidRPr="00375BBE">
        <w:rPr>
          <w:rFonts w:ascii="Cambria" w:eastAsia="Calibri" w:hAnsi="Cambria" w:cs="Times New Roman"/>
          <w:sz w:val="21"/>
          <w:szCs w:val="21"/>
          <w:lang w:val="es-ES_tradnl"/>
        </w:rPr>
        <w:t>En cuanto al requisito de irreparabilidad, la Comisión sostiene que se encuentra cumplido, en la medida que la potencial afectación a los derechos a la vida e integridad personal constituye la máxima situación de irreparabilidad.</w:t>
      </w:r>
    </w:p>
    <w:p w:rsidR="00E77B47" w:rsidRPr="00375BBE" w:rsidRDefault="00E77B47" w:rsidP="00E77B47">
      <w:pPr>
        <w:spacing w:after="0" w:line="240" w:lineRule="auto"/>
        <w:contextualSpacing/>
        <w:jc w:val="both"/>
        <w:rPr>
          <w:rFonts w:ascii="Cambria" w:eastAsia="Calibri" w:hAnsi="Cambria" w:cs="Times New Roman"/>
          <w:sz w:val="21"/>
          <w:szCs w:val="21"/>
          <w:lang w:val="es-CO"/>
        </w:rPr>
      </w:pPr>
    </w:p>
    <w:p w:rsidR="00E77B47" w:rsidRPr="00375BBE" w:rsidRDefault="00E731F1" w:rsidP="00585EBB">
      <w:pPr>
        <w:numPr>
          <w:ilvl w:val="0"/>
          <w:numId w:val="3"/>
        </w:numPr>
        <w:spacing w:after="0" w:line="240" w:lineRule="auto"/>
        <w:ind w:left="360" w:firstLine="180"/>
        <w:contextualSpacing/>
        <w:jc w:val="both"/>
        <w:rPr>
          <w:rFonts w:ascii="Cambria" w:eastAsia="Calibri" w:hAnsi="Cambria" w:cs="Times New Roman"/>
          <w:b/>
          <w:sz w:val="21"/>
          <w:szCs w:val="21"/>
          <w:lang w:val="es-ES_tradnl"/>
        </w:rPr>
      </w:pPr>
      <w:r w:rsidRPr="00375BBE">
        <w:rPr>
          <w:rFonts w:ascii="Cambria" w:eastAsia="Calibri" w:hAnsi="Cambria" w:cs="Times New Roman"/>
          <w:b/>
          <w:sz w:val="21"/>
          <w:szCs w:val="21"/>
          <w:lang w:val="es-ES_tradnl"/>
        </w:rPr>
        <w:t>BENEFICIARIOS</w:t>
      </w:r>
    </w:p>
    <w:p w:rsidR="00E77B47" w:rsidRPr="00375BBE" w:rsidRDefault="00E77B47" w:rsidP="00E77B47">
      <w:pPr>
        <w:spacing w:after="0" w:line="240" w:lineRule="auto"/>
        <w:ind w:left="540"/>
        <w:contextualSpacing/>
        <w:jc w:val="both"/>
        <w:rPr>
          <w:rFonts w:ascii="Cambria" w:eastAsia="Calibri" w:hAnsi="Cambria" w:cs="Times New Roman"/>
          <w:b/>
          <w:sz w:val="21"/>
          <w:szCs w:val="21"/>
          <w:lang w:val="es-ES_tradnl"/>
        </w:rPr>
      </w:pPr>
    </w:p>
    <w:p w:rsidR="00E77B47" w:rsidRPr="00375BBE" w:rsidRDefault="0041748B" w:rsidP="00B92C6F">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sidRPr="00375BBE">
        <w:rPr>
          <w:rFonts w:ascii="Cambria" w:eastAsia="Calibri" w:hAnsi="Cambria" w:cs="Times New Roman"/>
          <w:sz w:val="21"/>
          <w:szCs w:val="21"/>
          <w:lang w:val="es-ES_tradnl"/>
        </w:rPr>
        <w:t xml:space="preserve">La Comisión declara que </w:t>
      </w:r>
      <w:r w:rsidR="003F4869" w:rsidRPr="00375BBE">
        <w:rPr>
          <w:rFonts w:ascii="Cambria" w:eastAsia="Calibri" w:hAnsi="Cambria" w:cs="Times New Roman"/>
          <w:sz w:val="21"/>
          <w:szCs w:val="21"/>
          <w:lang w:val="es-ES_tradnl"/>
        </w:rPr>
        <w:t>el beneficiario</w:t>
      </w:r>
      <w:r w:rsidR="00E77B47" w:rsidRPr="00375BBE">
        <w:rPr>
          <w:rFonts w:ascii="Cambria" w:eastAsia="Calibri" w:hAnsi="Cambria" w:cs="Times New Roman"/>
          <w:sz w:val="21"/>
          <w:szCs w:val="21"/>
          <w:lang w:val="es-ES_tradnl"/>
        </w:rPr>
        <w:t xml:space="preserve"> de l</w:t>
      </w:r>
      <w:r w:rsidR="004F34FC" w:rsidRPr="00375BBE">
        <w:rPr>
          <w:rFonts w:ascii="Cambria" w:eastAsia="Calibri" w:hAnsi="Cambria" w:cs="Times New Roman"/>
          <w:sz w:val="21"/>
          <w:szCs w:val="21"/>
          <w:lang w:val="es-ES_tradnl"/>
        </w:rPr>
        <w:t xml:space="preserve">a presente medida cautelar </w:t>
      </w:r>
      <w:r w:rsidR="003F4869" w:rsidRPr="00375BBE">
        <w:rPr>
          <w:rFonts w:ascii="Cambria" w:eastAsia="Calibri" w:hAnsi="Cambria" w:cs="Times New Roman"/>
          <w:sz w:val="21"/>
          <w:szCs w:val="21"/>
          <w:lang w:val="es-ES_tradnl"/>
        </w:rPr>
        <w:t>es el señor</w:t>
      </w:r>
      <w:r w:rsidR="00E731F1" w:rsidRPr="00375BBE">
        <w:rPr>
          <w:rFonts w:ascii="Cambria" w:eastAsia="Calibri" w:hAnsi="Cambria" w:cs="Times New Roman"/>
          <w:sz w:val="21"/>
          <w:szCs w:val="21"/>
          <w:lang w:val="es-ES_tradnl"/>
        </w:rPr>
        <w:t xml:space="preserve"> </w:t>
      </w:r>
      <w:r w:rsidR="003F4869" w:rsidRPr="00375BBE">
        <w:rPr>
          <w:rFonts w:ascii="Cambria" w:eastAsia="Calibri" w:hAnsi="Cambria" w:cs="Times New Roman"/>
          <w:sz w:val="21"/>
          <w:szCs w:val="21"/>
          <w:lang w:val="es-ES_tradnl"/>
        </w:rPr>
        <w:t>Hugo Enrique Marino Salas</w:t>
      </w:r>
      <w:r w:rsidR="00E77B47" w:rsidRPr="00375BBE">
        <w:rPr>
          <w:rFonts w:ascii="Cambria" w:eastAsia="Calibri" w:hAnsi="Cambria" w:cs="Times New Roman"/>
          <w:sz w:val="21"/>
          <w:szCs w:val="21"/>
          <w:lang w:val="es-ES_tradnl"/>
        </w:rPr>
        <w:t>, quien se halla debidamente iden</w:t>
      </w:r>
      <w:r w:rsidR="003F4869" w:rsidRPr="00375BBE">
        <w:rPr>
          <w:rFonts w:ascii="Cambria" w:eastAsia="Calibri" w:hAnsi="Cambria" w:cs="Times New Roman"/>
          <w:sz w:val="21"/>
          <w:szCs w:val="21"/>
          <w:lang w:val="es-ES_tradnl"/>
        </w:rPr>
        <w:t>tificado</w:t>
      </w:r>
      <w:r w:rsidR="004F34FC" w:rsidRPr="00375BBE">
        <w:rPr>
          <w:rFonts w:ascii="Cambria" w:eastAsia="Calibri" w:hAnsi="Cambria" w:cs="Times New Roman"/>
          <w:sz w:val="21"/>
          <w:szCs w:val="21"/>
          <w:lang w:val="es-ES_tradnl"/>
        </w:rPr>
        <w:t xml:space="preserve"> en este procedimiento.</w:t>
      </w:r>
      <w:r w:rsidR="003F4869" w:rsidRPr="00375BBE">
        <w:rPr>
          <w:rFonts w:ascii="Cambria" w:eastAsia="Calibri" w:hAnsi="Cambria" w:cs="Times New Roman"/>
          <w:sz w:val="21"/>
          <w:szCs w:val="21"/>
          <w:lang w:val="es-ES_tradnl"/>
        </w:rPr>
        <w:t xml:space="preserve"> </w:t>
      </w:r>
    </w:p>
    <w:p w:rsidR="00E77B47" w:rsidRPr="00375BBE" w:rsidRDefault="00E77B47" w:rsidP="00E77B47">
      <w:pPr>
        <w:spacing w:after="0" w:line="240" w:lineRule="auto"/>
        <w:contextualSpacing/>
        <w:jc w:val="both"/>
        <w:rPr>
          <w:rFonts w:ascii="Cambria" w:eastAsia="Calibri" w:hAnsi="Cambria" w:cs="Times New Roman"/>
          <w:sz w:val="21"/>
          <w:szCs w:val="21"/>
          <w:lang w:val="es-MX"/>
        </w:rPr>
      </w:pPr>
    </w:p>
    <w:p w:rsidR="00E77B47" w:rsidRPr="00375BBE" w:rsidRDefault="00E77B47" w:rsidP="00796F91">
      <w:pPr>
        <w:numPr>
          <w:ilvl w:val="0"/>
          <w:numId w:val="3"/>
        </w:numPr>
        <w:spacing w:after="0" w:line="240" w:lineRule="auto"/>
        <w:ind w:left="0" w:firstLine="540"/>
        <w:contextualSpacing/>
        <w:jc w:val="both"/>
        <w:rPr>
          <w:rFonts w:ascii="Cambria" w:eastAsia="Calibri" w:hAnsi="Cambria" w:cs="Times New Roman"/>
          <w:b/>
          <w:sz w:val="21"/>
          <w:szCs w:val="21"/>
          <w:lang w:val="es-ES_tradnl"/>
        </w:rPr>
      </w:pPr>
      <w:r w:rsidRPr="00375BBE">
        <w:rPr>
          <w:rFonts w:ascii="Cambria" w:eastAsia="Calibri" w:hAnsi="Cambria" w:cs="Times New Roman"/>
          <w:b/>
          <w:sz w:val="21"/>
          <w:szCs w:val="21"/>
          <w:lang w:val="es-ES_tradnl"/>
        </w:rPr>
        <w:t>DECISIÓN</w:t>
      </w:r>
    </w:p>
    <w:p w:rsidR="00E77B47" w:rsidRPr="00375BBE" w:rsidRDefault="00E77B47" w:rsidP="00E77B47">
      <w:pPr>
        <w:spacing w:after="0" w:line="240" w:lineRule="auto"/>
        <w:ind w:left="360"/>
        <w:contextualSpacing/>
        <w:jc w:val="both"/>
        <w:rPr>
          <w:rFonts w:ascii="Cambria" w:eastAsia="Calibri" w:hAnsi="Cambria" w:cs="Times New Roman"/>
          <w:sz w:val="21"/>
          <w:szCs w:val="21"/>
          <w:lang w:val="es-MX"/>
        </w:rPr>
      </w:pPr>
    </w:p>
    <w:p w:rsidR="00E77B47" w:rsidRPr="00375BBE" w:rsidRDefault="00E77B47" w:rsidP="00B92C6F">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sidRPr="00375BBE">
        <w:rPr>
          <w:rFonts w:ascii="Cambria" w:eastAsia="Calibri" w:hAnsi="Cambria" w:cs="Times New Roman"/>
          <w:sz w:val="21"/>
          <w:szCs w:val="21"/>
          <w:lang w:val="es-ES_tradnl"/>
        </w:rPr>
        <w:t xml:space="preserve">La Comisión considera que el presente asunto reúne </w:t>
      </w:r>
      <w:r w:rsidRPr="00375BBE">
        <w:rPr>
          <w:rFonts w:ascii="Cambria" w:eastAsia="Calibri" w:hAnsi="Cambria" w:cs="Times New Roman"/>
          <w:i/>
          <w:sz w:val="21"/>
          <w:szCs w:val="21"/>
          <w:lang w:val="es-ES_tradnl"/>
        </w:rPr>
        <w:t>prima facie</w:t>
      </w:r>
      <w:r w:rsidRPr="00375BBE">
        <w:rPr>
          <w:rFonts w:ascii="Cambria" w:eastAsia="Calibri" w:hAnsi="Cambria" w:cs="Times New Roman"/>
          <w:sz w:val="21"/>
          <w:szCs w:val="21"/>
          <w:lang w:val="es-ES_tradnl"/>
        </w:rPr>
        <w:t xml:space="preserve"> los requisitos de gravedad, urgencia e irreparabilidad contenidos en el artículo 25 de su Reglamento. En consecuencia, la Comisión solicita al Estado de Venezuela que:</w:t>
      </w:r>
    </w:p>
    <w:p w:rsidR="00E77B47" w:rsidRPr="00375BBE" w:rsidRDefault="00E77B47" w:rsidP="00E77B47">
      <w:pPr>
        <w:spacing w:after="0" w:line="240" w:lineRule="auto"/>
        <w:contextualSpacing/>
        <w:jc w:val="both"/>
        <w:rPr>
          <w:rFonts w:ascii="Cambria" w:eastAsia="Calibri" w:hAnsi="Cambria" w:cs="Times New Roman"/>
          <w:sz w:val="21"/>
          <w:szCs w:val="21"/>
          <w:lang w:val="es-MX"/>
        </w:rPr>
      </w:pPr>
    </w:p>
    <w:p w:rsidR="003F4869" w:rsidRPr="00375BBE" w:rsidRDefault="003F4869" w:rsidP="000A299C">
      <w:pPr>
        <w:numPr>
          <w:ilvl w:val="0"/>
          <w:numId w:val="5"/>
        </w:numPr>
        <w:spacing w:line="240" w:lineRule="auto"/>
        <w:ind w:left="709"/>
        <w:contextualSpacing/>
        <w:jc w:val="both"/>
        <w:rPr>
          <w:rFonts w:ascii="Cambria" w:eastAsia="Calibri" w:hAnsi="Cambria" w:cs="Times New Roman"/>
          <w:sz w:val="21"/>
          <w:szCs w:val="21"/>
          <w:lang w:val="es-ES_tradnl"/>
        </w:rPr>
      </w:pPr>
      <w:r w:rsidRPr="00375BBE">
        <w:rPr>
          <w:rFonts w:ascii="Cambria" w:hAnsi="Cambria"/>
          <w:sz w:val="21"/>
          <w:szCs w:val="21"/>
          <w:lang w:val="es-MX"/>
        </w:rPr>
        <w:t xml:space="preserve">adopte las medidas necesarias para proteger los derechos a la vida e integridad personal del señor </w:t>
      </w:r>
      <w:r w:rsidRPr="00375BBE">
        <w:rPr>
          <w:rFonts w:ascii="Cambria" w:eastAsia="Calibri" w:hAnsi="Cambria" w:cs="Times New Roman"/>
          <w:sz w:val="21"/>
          <w:szCs w:val="21"/>
          <w:lang w:val="es-ES_tradnl"/>
        </w:rPr>
        <w:t>Hugo Enrique Marino Salas. En particular, informe si el beneficiario se encontraría bajo custodia del Estado y las circunstancias en que se encontrar</w:t>
      </w:r>
      <w:r w:rsidR="000A299C" w:rsidRPr="00375BBE">
        <w:rPr>
          <w:rFonts w:ascii="Cambria" w:eastAsia="Calibri" w:hAnsi="Cambria" w:cs="Times New Roman"/>
          <w:sz w:val="21"/>
          <w:szCs w:val="21"/>
          <w:lang w:val="es-ES_tradnl"/>
        </w:rPr>
        <w:t>ía, o bien, de las medidas encaminadas a determinar su paradero o destino</w:t>
      </w:r>
      <w:r w:rsidRPr="00375BBE">
        <w:rPr>
          <w:rFonts w:ascii="Cambria" w:hAnsi="Cambria"/>
          <w:sz w:val="21"/>
          <w:szCs w:val="21"/>
          <w:lang w:val="es-MX"/>
        </w:rPr>
        <w:t>;</w:t>
      </w:r>
    </w:p>
    <w:p w:rsidR="000A299C" w:rsidRPr="00375BBE" w:rsidRDefault="000A299C" w:rsidP="000A299C">
      <w:pPr>
        <w:spacing w:line="240" w:lineRule="auto"/>
        <w:ind w:left="709"/>
        <w:contextualSpacing/>
        <w:jc w:val="both"/>
        <w:rPr>
          <w:rFonts w:ascii="Cambria" w:eastAsia="Calibri" w:hAnsi="Cambria" w:cs="Times New Roman"/>
          <w:sz w:val="21"/>
          <w:szCs w:val="21"/>
          <w:lang w:val="es-ES_tradnl"/>
        </w:rPr>
      </w:pPr>
    </w:p>
    <w:p w:rsidR="00E77B47" w:rsidRPr="00375BBE" w:rsidRDefault="00E77B47" w:rsidP="00E77B47">
      <w:pPr>
        <w:numPr>
          <w:ilvl w:val="0"/>
          <w:numId w:val="5"/>
        </w:numPr>
        <w:spacing w:after="0" w:line="240" w:lineRule="auto"/>
        <w:ind w:left="709"/>
        <w:contextualSpacing/>
        <w:jc w:val="both"/>
        <w:rPr>
          <w:rFonts w:ascii="Cambria" w:eastAsia="Calibri" w:hAnsi="Cambria" w:cs="Times New Roman"/>
          <w:sz w:val="21"/>
          <w:szCs w:val="21"/>
          <w:lang w:val="es-MX"/>
        </w:rPr>
      </w:pPr>
      <w:r w:rsidRPr="00375BBE">
        <w:rPr>
          <w:rFonts w:ascii="Cambria" w:eastAsia="Calibri" w:hAnsi="Cambria" w:cs="Times New Roman"/>
          <w:sz w:val="21"/>
          <w:szCs w:val="21"/>
          <w:lang w:val="es-ES_tradnl"/>
        </w:rPr>
        <w:t xml:space="preserve">informe sobre las </w:t>
      </w:r>
      <w:r w:rsidRPr="00375BBE">
        <w:rPr>
          <w:rFonts w:ascii="Cambria" w:eastAsia="Calibri" w:hAnsi="Cambria" w:cs="Times New Roman"/>
          <w:sz w:val="21"/>
          <w:szCs w:val="21"/>
          <w:lang w:val="es-ES"/>
        </w:rPr>
        <w:t>acciones adoptadas a fin de investigar los hechos alegados que dieron lugar a la adopción de la presente medida cautelar y evitar así su repetición.</w:t>
      </w:r>
    </w:p>
    <w:p w:rsidR="00E77B47" w:rsidRPr="00375BBE" w:rsidRDefault="00E77B47" w:rsidP="00E77B47">
      <w:pPr>
        <w:spacing w:after="0" w:line="240" w:lineRule="auto"/>
        <w:contextualSpacing/>
        <w:jc w:val="both"/>
        <w:rPr>
          <w:rFonts w:ascii="Cambria" w:eastAsia="Calibri" w:hAnsi="Cambria" w:cs="Times New Roman"/>
          <w:sz w:val="21"/>
          <w:szCs w:val="21"/>
          <w:lang w:val="es-AR"/>
        </w:rPr>
      </w:pPr>
    </w:p>
    <w:p w:rsidR="00E77B47" w:rsidRPr="00375BBE" w:rsidRDefault="00E77B47" w:rsidP="00B92C6F">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sidRPr="00375BBE">
        <w:rPr>
          <w:rFonts w:ascii="Cambria" w:eastAsia="Calibri" w:hAnsi="Cambria" w:cs="Times New Roman"/>
          <w:sz w:val="21"/>
          <w:szCs w:val="21"/>
          <w:lang w:val="es-ES_tradnl"/>
        </w:rPr>
        <w:t xml:space="preserve">La Comisión solicita al Estado de Venezuela que informe, dentro del plazo de </w:t>
      </w:r>
      <w:r w:rsidR="000A299C" w:rsidRPr="00375BBE">
        <w:rPr>
          <w:rFonts w:ascii="Cambria" w:eastAsia="Calibri" w:hAnsi="Cambria" w:cs="Times New Roman"/>
          <w:sz w:val="21"/>
          <w:szCs w:val="21"/>
          <w:lang w:val="es-ES_tradnl"/>
        </w:rPr>
        <w:t>7</w:t>
      </w:r>
      <w:r w:rsidRPr="00375BBE">
        <w:rPr>
          <w:rFonts w:ascii="Cambria" w:eastAsia="Calibri" w:hAnsi="Cambria" w:cs="Times New Roman"/>
          <w:sz w:val="21"/>
          <w:szCs w:val="21"/>
          <w:lang w:val="es-ES_tradnl"/>
        </w:rPr>
        <w:t xml:space="preserve"> días, contados a partir de la fecha de la presente resolución, sobre la adopción de las medidas cautelares requeridas y actualizar dicha información en forma periódica. La Comisión valorará oportunamente la información que sea aportada por el Estado para decidir sobre el mantenimiento de la presente medida cautelar.</w:t>
      </w:r>
    </w:p>
    <w:p w:rsidR="00E77B47" w:rsidRPr="00375BBE" w:rsidRDefault="00E77B47" w:rsidP="00B92C6F">
      <w:pPr>
        <w:spacing w:after="0" w:line="240" w:lineRule="auto"/>
        <w:ind w:left="360"/>
        <w:contextualSpacing/>
        <w:jc w:val="both"/>
        <w:rPr>
          <w:rFonts w:ascii="Cambria" w:eastAsia="Calibri" w:hAnsi="Cambria" w:cs="Times New Roman"/>
          <w:sz w:val="21"/>
          <w:szCs w:val="21"/>
          <w:lang w:val="es-ES_tradnl"/>
        </w:rPr>
      </w:pPr>
    </w:p>
    <w:p w:rsidR="00E77B47" w:rsidRPr="00375BBE" w:rsidRDefault="00E77B47" w:rsidP="00B92C6F">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sidRPr="00375BBE">
        <w:rPr>
          <w:rFonts w:ascii="Cambria" w:eastAsia="Calibri" w:hAnsi="Cambria" w:cs="Times New Roman"/>
          <w:sz w:val="21"/>
          <w:szCs w:val="21"/>
          <w:lang w:val="es-ES_tradnl"/>
        </w:rPr>
        <w:lastRenderedPageBreak/>
        <w:t xml:space="preserve">La Comisión resalta que, de acuerdo con el artículo 25 (8) de su Reglamento, el otorgamiento de la presente medida cautelar y su adopción por el Estado no constituyen prejuzgamiento sobre violación alguna a los derechos protegidos </w:t>
      </w:r>
      <w:r w:rsidR="007F4F22" w:rsidRPr="00375BBE">
        <w:rPr>
          <w:rFonts w:ascii="Cambria" w:eastAsia="Calibri" w:hAnsi="Cambria" w:cs="Times New Roman"/>
          <w:sz w:val="21"/>
          <w:szCs w:val="21"/>
          <w:lang w:val="es-ES_tradnl"/>
        </w:rPr>
        <w:t>de acuerdo con los instrumentos aplicables</w:t>
      </w:r>
      <w:r w:rsidRPr="00375BBE">
        <w:rPr>
          <w:rFonts w:ascii="Cambria" w:eastAsia="Calibri" w:hAnsi="Cambria" w:cs="Times New Roman"/>
          <w:sz w:val="21"/>
          <w:szCs w:val="21"/>
          <w:lang w:val="es-ES_tradnl"/>
        </w:rPr>
        <w:t xml:space="preserve">. </w:t>
      </w:r>
    </w:p>
    <w:p w:rsidR="00E77B47" w:rsidRPr="00375BBE" w:rsidRDefault="00E77B47" w:rsidP="000A299C">
      <w:pPr>
        <w:spacing w:after="0" w:line="240" w:lineRule="auto"/>
        <w:contextualSpacing/>
        <w:jc w:val="both"/>
        <w:rPr>
          <w:rFonts w:ascii="Cambria" w:eastAsia="Calibri" w:hAnsi="Cambria" w:cs="Times New Roman"/>
          <w:sz w:val="21"/>
          <w:szCs w:val="21"/>
          <w:lang w:val="es-ES_tradnl"/>
        </w:rPr>
      </w:pPr>
    </w:p>
    <w:p w:rsidR="00C916AB" w:rsidRPr="00375BBE" w:rsidRDefault="00E77B47" w:rsidP="00C916AB">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sidRPr="00375BBE">
        <w:rPr>
          <w:rFonts w:ascii="Cambria" w:eastAsia="Calibri" w:hAnsi="Cambria" w:cs="Times New Roman"/>
          <w:sz w:val="21"/>
          <w:szCs w:val="21"/>
          <w:lang w:val="es-ES_tradnl"/>
        </w:rPr>
        <w:t>La Comisión instruye a su Secretaría Ejecutiva que notifique la pr</w:t>
      </w:r>
      <w:r w:rsidR="001B7038" w:rsidRPr="00375BBE">
        <w:rPr>
          <w:rFonts w:ascii="Cambria" w:eastAsia="Calibri" w:hAnsi="Cambria" w:cs="Times New Roman"/>
          <w:sz w:val="21"/>
          <w:szCs w:val="21"/>
          <w:lang w:val="es-ES_tradnl"/>
        </w:rPr>
        <w:t xml:space="preserve">esente resolución al Estado de </w:t>
      </w:r>
      <w:r w:rsidRPr="00375BBE">
        <w:rPr>
          <w:rFonts w:ascii="Cambria" w:eastAsia="Calibri" w:hAnsi="Cambria" w:cs="Times New Roman"/>
          <w:sz w:val="21"/>
          <w:szCs w:val="21"/>
          <w:lang w:val="es-ES_tradnl"/>
        </w:rPr>
        <w:t>Venezuela</w:t>
      </w:r>
      <w:r w:rsidR="001B7038" w:rsidRPr="00375BBE">
        <w:rPr>
          <w:rFonts w:ascii="Cambria" w:eastAsia="Calibri" w:hAnsi="Cambria" w:cs="Times New Roman"/>
          <w:sz w:val="21"/>
          <w:szCs w:val="21"/>
          <w:lang w:val="es-ES_tradnl"/>
        </w:rPr>
        <w:t xml:space="preserve"> y a l</w:t>
      </w:r>
      <w:r w:rsidR="00585EBB" w:rsidRPr="00375BBE">
        <w:rPr>
          <w:rFonts w:ascii="Cambria" w:eastAsia="Calibri" w:hAnsi="Cambria" w:cs="Times New Roman"/>
          <w:sz w:val="21"/>
          <w:szCs w:val="21"/>
          <w:lang w:val="es-ES_tradnl"/>
        </w:rPr>
        <w:t>a solicitante</w:t>
      </w:r>
      <w:r w:rsidR="001B7038" w:rsidRPr="00375BBE">
        <w:rPr>
          <w:rFonts w:ascii="Cambria" w:eastAsia="Calibri" w:hAnsi="Cambria" w:cs="Times New Roman"/>
          <w:sz w:val="21"/>
          <w:szCs w:val="21"/>
          <w:lang w:val="es-ES_tradnl"/>
        </w:rPr>
        <w:t>.</w:t>
      </w:r>
    </w:p>
    <w:p w:rsidR="00C916AB" w:rsidRPr="00375BBE" w:rsidRDefault="00C916AB" w:rsidP="00C916AB">
      <w:pPr>
        <w:spacing w:after="0" w:line="240" w:lineRule="auto"/>
        <w:ind w:left="360"/>
        <w:contextualSpacing/>
        <w:jc w:val="both"/>
        <w:rPr>
          <w:rFonts w:ascii="Cambria" w:eastAsia="Calibri" w:hAnsi="Cambria" w:cs="Times New Roman"/>
          <w:sz w:val="21"/>
          <w:szCs w:val="21"/>
          <w:lang w:val="es-ES_tradnl"/>
        </w:rPr>
      </w:pPr>
    </w:p>
    <w:p w:rsidR="00E77B47" w:rsidRPr="00720C6C" w:rsidRDefault="00C916AB" w:rsidP="000A299C">
      <w:pPr>
        <w:numPr>
          <w:ilvl w:val="0"/>
          <w:numId w:val="1"/>
        </w:numPr>
        <w:spacing w:after="0" w:line="240" w:lineRule="auto"/>
        <w:ind w:left="0" w:firstLine="360"/>
        <w:contextualSpacing/>
        <w:jc w:val="both"/>
        <w:rPr>
          <w:rFonts w:ascii="Cambria" w:eastAsia="Calibri" w:hAnsi="Cambria" w:cs="Times New Roman"/>
          <w:sz w:val="21"/>
          <w:szCs w:val="21"/>
          <w:lang w:val="es-ES_tradnl"/>
        </w:rPr>
      </w:pPr>
      <w:r w:rsidRPr="00375BBE">
        <w:rPr>
          <w:rFonts w:ascii="Cambria" w:hAnsi="Cambria"/>
          <w:color w:val="000000"/>
          <w:sz w:val="21"/>
          <w:szCs w:val="21"/>
          <w:lang w:val="es-ES"/>
        </w:rPr>
        <w:t xml:space="preserve">Aprobado el </w:t>
      </w:r>
      <w:r w:rsidR="00375BBE">
        <w:rPr>
          <w:rFonts w:ascii="Cambria" w:hAnsi="Cambria"/>
          <w:color w:val="000000"/>
          <w:sz w:val="21"/>
          <w:szCs w:val="21"/>
          <w:lang w:val="es-ES"/>
        </w:rPr>
        <w:t xml:space="preserve">23 </w:t>
      </w:r>
      <w:r w:rsidRPr="00375BBE">
        <w:rPr>
          <w:rFonts w:ascii="Cambria" w:hAnsi="Cambria"/>
          <w:color w:val="000000"/>
          <w:sz w:val="21"/>
          <w:szCs w:val="21"/>
          <w:lang w:val="es-ES"/>
        </w:rPr>
        <w:t xml:space="preserve">de </w:t>
      </w:r>
      <w:r w:rsidR="000A299C" w:rsidRPr="00375BBE">
        <w:rPr>
          <w:rFonts w:ascii="Cambria" w:hAnsi="Cambria"/>
          <w:color w:val="000000"/>
          <w:sz w:val="21"/>
          <w:szCs w:val="21"/>
          <w:lang w:val="es-ES"/>
        </w:rPr>
        <w:t>octubre</w:t>
      </w:r>
      <w:r w:rsidRPr="00375BBE">
        <w:rPr>
          <w:rFonts w:ascii="Cambria" w:hAnsi="Cambria"/>
          <w:color w:val="000000"/>
          <w:sz w:val="21"/>
          <w:szCs w:val="21"/>
          <w:lang w:val="es-ES"/>
        </w:rPr>
        <w:t xml:space="preserve"> de 2019 por: </w:t>
      </w:r>
      <w:r w:rsidR="00A757A8" w:rsidRPr="00A757A8">
        <w:rPr>
          <w:rFonts w:ascii="Cambria" w:hAnsi="Cambria"/>
          <w:color w:val="000000"/>
          <w:sz w:val="21"/>
          <w:szCs w:val="21"/>
          <w:lang w:val="es-ES"/>
        </w:rPr>
        <w:t xml:space="preserve">Esmeralda Arosemena de </w:t>
      </w:r>
      <w:proofErr w:type="spellStart"/>
      <w:r w:rsidR="00A757A8" w:rsidRPr="00A757A8">
        <w:rPr>
          <w:rFonts w:ascii="Cambria" w:hAnsi="Cambria"/>
          <w:color w:val="000000"/>
          <w:sz w:val="21"/>
          <w:szCs w:val="21"/>
          <w:lang w:val="es-ES"/>
        </w:rPr>
        <w:t>Troitiño</w:t>
      </w:r>
      <w:proofErr w:type="spellEnd"/>
      <w:r w:rsidR="00A757A8" w:rsidRPr="00A757A8">
        <w:rPr>
          <w:rFonts w:ascii="Cambria" w:hAnsi="Cambria"/>
          <w:color w:val="000000"/>
          <w:sz w:val="21"/>
          <w:szCs w:val="21"/>
          <w:lang w:val="es-ES"/>
        </w:rPr>
        <w:t xml:space="preserve">, Presidenta; Joel Hernández García, Primer Vicepresidente; Antonia Urrejola </w:t>
      </w:r>
      <w:r w:rsidR="00A757A8">
        <w:rPr>
          <w:rFonts w:ascii="Cambria" w:hAnsi="Cambria"/>
          <w:color w:val="000000"/>
          <w:sz w:val="21"/>
          <w:szCs w:val="21"/>
          <w:lang w:val="es-ES"/>
        </w:rPr>
        <w:t xml:space="preserve">Noguera, Segunda Vicepresidenta; y </w:t>
      </w:r>
      <w:proofErr w:type="spellStart"/>
      <w:r w:rsidR="00A757A8">
        <w:rPr>
          <w:rFonts w:ascii="Cambria" w:hAnsi="Cambria"/>
          <w:color w:val="000000"/>
          <w:sz w:val="21"/>
          <w:szCs w:val="21"/>
          <w:lang w:val="es-ES"/>
        </w:rPr>
        <w:t>Flávia</w:t>
      </w:r>
      <w:proofErr w:type="spellEnd"/>
      <w:r w:rsidR="00A757A8">
        <w:rPr>
          <w:rFonts w:ascii="Cambria" w:hAnsi="Cambria"/>
          <w:color w:val="000000"/>
          <w:sz w:val="21"/>
          <w:szCs w:val="21"/>
          <w:lang w:val="es-ES"/>
        </w:rPr>
        <w:t xml:space="preserve"> </w:t>
      </w:r>
      <w:proofErr w:type="spellStart"/>
      <w:r w:rsidR="00A757A8">
        <w:rPr>
          <w:rFonts w:ascii="Cambria" w:hAnsi="Cambria"/>
          <w:color w:val="000000"/>
          <w:sz w:val="21"/>
          <w:szCs w:val="21"/>
          <w:lang w:val="es-ES"/>
        </w:rPr>
        <w:t>Piovesan</w:t>
      </w:r>
      <w:proofErr w:type="spellEnd"/>
      <w:r w:rsidR="00A757A8">
        <w:rPr>
          <w:rFonts w:ascii="Cambria" w:hAnsi="Cambria"/>
          <w:color w:val="000000"/>
          <w:sz w:val="21"/>
          <w:szCs w:val="21"/>
          <w:lang w:val="es-ES"/>
        </w:rPr>
        <w:t>.</w:t>
      </w:r>
    </w:p>
    <w:p w:rsidR="00720C6C" w:rsidRDefault="00720C6C" w:rsidP="00720C6C">
      <w:pPr>
        <w:pStyle w:val="ListParagraph"/>
        <w:rPr>
          <w:rFonts w:ascii="Cambria" w:eastAsia="Calibri" w:hAnsi="Cambria" w:cs="Times New Roman"/>
          <w:sz w:val="21"/>
          <w:szCs w:val="21"/>
          <w:lang w:val="es-ES_tradnl"/>
        </w:rPr>
      </w:pPr>
    </w:p>
    <w:p w:rsidR="00720C6C" w:rsidRDefault="00720C6C" w:rsidP="00720C6C">
      <w:pPr>
        <w:pStyle w:val="ListParagraph"/>
        <w:rPr>
          <w:rFonts w:ascii="Cambria" w:eastAsia="Calibri" w:hAnsi="Cambria" w:cs="Times New Roman"/>
          <w:sz w:val="21"/>
          <w:szCs w:val="21"/>
          <w:lang w:val="es-ES_tradnl"/>
        </w:rPr>
      </w:pPr>
    </w:p>
    <w:p w:rsidR="00720C6C" w:rsidRDefault="00720C6C" w:rsidP="00720C6C">
      <w:pPr>
        <w:pStyle w:val="ListParagraph"/>
        <w:rPr>
          <w:rFonts w:ascii="Cambria" w:eastAsia="Calibri" w:hAnsi="Cambria" w:cs="Times New Roman"/>
          <w:sz w:val="21"/>
          <w:szCs w:val="21"/>
          <w:lang w:val="es-ES_tradnl"/>
        </w:rPr>
      </w:pPr>
      <w:bookmarkStart w:id="0" w:name="_GoBack"/>
      <w:bookmarkEnd w:id="0"/>
    </w:p>
    <w:p w:rsidR="00720C6C" w:rsidRPr="00720C6C" w:rsidRDefault="00720C6C" w:rsidP="00720C6C">
      <w:pPr>
        <w:spacing w:after="0" w:line="240" w:lineRule="auto"/>
        <w:ind w:left="360"/>
        <w:contextualSpacing/>
        <w:jc w:val="center"/>
        <w:rPr>
          <w:rFonts w:ascii="Cambria" w:eastAsia="Calibri" w:hAnsi="Cambria" w:cs="Times New Roman"/>
          <w:sz w:val="21"/>
          <w:szCs w:val="21"/>
          <w:lang w:val="es-AR"/>
        </w:rPr>
      </w:pPr>
      <w:r w:rsidRPr="00720C6C">
        <w:rPr>
          <w:rFonts w:ascii="Cambria" w:eastAsia="Calibri" w:hAnsi="Cambria" w:cs="Times New Roman"/>
          <w:sz w:val="21"/>
          <w:szCs w:val="21"/>
          <w:lang w:val="es-AR"/>
        </w:rPr>
        <w:t xml:space="preserve">Paulo </w:t>
      </w:r>
      <w:proofErr w:type="spellStart"/>
      <w:r w:rsidRPr="00720C6C">
        <w:rPr>
          <w:rFonts w:ascii="Cambria" w:eastAsia="Calibri" w:hAnsi="Cambria" w:cs="Times New Roman"/>
          <w:sz w:val="21"/>
          <w:szCs w:val="21"/>
          <w:lang w:val="es-AR"/>
        </w:rPr>
        <w:t>Abrão</w:t>
      </w:r>
      <w:proofErr w:type="spellEnd"/>
    </w:p>
    <w:p w:rsidR="00720C6C" w:rsidRPr="00720C6C" w:rsidRDefault="00720C6C" w:rsidP="00720C6C">
      <w:pPr>
        <w:spacing w:after="0" w:line="240" w:lineRule="auto"/>
        <w:ind w:left="360"/>
        <w:contextualSpacing/>
        <w:jc w:val="center"/>
        <w:rPr>
          <w:lang w:val="es-AR"/>
        </w:rPr>
      </w:pPr>
      <w:r w:rsidRPr="00720C6C">
        <w:rPr>
          <w:rFonts w:ascii="Cambria" w:eastAsia="Calibri" w:hAnsi="Cambria" w:cs="Times New Roman"/>
          <w:sz w:val="21"/>
          <w:szCs w:val="21"/>
          <w:lang w:val="es-AR"/>
        </w:rPr>
        <w:t>Secretario Ejecutivo</w:t>
      </w:r>
    </w:p>
    <w:p w:rsidR="00720C6C" w:rsidRPr="00375BBE" w:rsidRDefault="00720C6C" w:rsidP="00720C6C">
      <w:pPr>
        <w:spacing w:after="0" w:line="240" w:lineRule="auto"/>
        <w:contextualSpacing/>
        <w:jc w:val="both"/>
        <w:rPr>
          <w:rFonts w:ascii="Cambria" w:eastAsia="Calibri" w:hAnsi="Cambria" w:cs="Times New Roman"/>
          <w:sz w:val="21"/>
          <w:szCs w:val="21"/>
          <w:lang w:val="es-ES_tradnl"/>
        </w:rPr>
      </w:pPr>
    </w:p>
    <w:sectPr w:rsidR="00720C6C" w:rsidRPr="00375BBE" w:rsidSect="00E82941">
      <w:headerReference w:type="default" r:id="rId9"/>
      <w:footerReference w:type="default" r:id="rId10"/>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B61" w:rsidRDefault="00155B61" w:rsidP="00E77B47">
      <w:pPr>
        <w:spacing w:after="0" w:line="240" w:lineRule="auto"/>
      </w:pPr>
      <w:r>
        <w:separator/>
      </w:r>
    </w:p>
  </w:endnote>
  <w:endnote w:type="continuationSeparator" w:id="0">
    <w:p w:rsidR="00155B61" w:rsidRDefault="00155B61" w:rsidP="00E7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941" w:rsidRPr="00E82941" w:rsidRDefault="00C33AB6" w:rsidP="004D0312">
    <w:pPr>
      <w:pStyle w:val="Footer"/>
      <w:tabs>
        <w:tab w:val="left" w:pos="4440"/>
      </w:tabs>
      <w:rPr>
        <w:rFonts w:ascii="Calibri Light" w:hAnsi="Calibri Light"/>
        <w:sz w:val="16"/>
      </w:rPr>
    </w:pPr>
    <w:r>
      <w:rPr>
        <w:rFonts w:ascii="Calibri Light" w:hAnsi="Calibri Light"/>
        <w:sz w:val="16"/>
      </w:rPr>
      <w:tab/>
    </w:r>
    <w:r>
      <w:rPr>
        <w:rFonts w:ascii="Calibri Light" w:hAnsi="Calibri Light"/>
        <w:sz w:val="16"/>
      </w:rPr>
      <w:tab/>
    </w:r>
    <w:r w:rsidRPr="00E82941">
      <w:rPr>
        <w:rFonts w:ascii="Calibri Light" w:hAnsi="Calibri Light"/>
        <w:sz w:val="16"/>
      </w:rPr>
      <w:fldChar w:fldCharType="begin"/>
    </w:r>
    <w:r w:rsidRPr="00E82941">
      <w:rPr>
        <w:rFonts w:ascii="Calibri Light" w:hAnsi="Calibri Light"/>
        <w:sz w:val="16"/>
      </w:rPr>
      <w:instrText xml:space="preserve"> PAGE   \* MERGEFORMAT </w:instrText>
    </w:r>
    <w:r w:rsidRPr="00E82941">
      <w:rPr>
        <w:rFonts w:ascii="Calibri Light" w:hAnsi="Calibri Light"/>
        <w:sz w:val="16"/>
      </w:rPr>
      <w:fldChar w:fldCharType="separate"/>
    </w:r>
    <w:r w:rsidR="00720C6C">
      <w:rPr>
        <w:rFonts w:ascii="Calibri Light" w:hAnsi="Calibri Light"/>
        <w:noProof/>
        <w:sz w:val="16"/>
      </w:rPr>
      <w:t>- 9 -</w:t>
    </w:r>
    <w:r w:rsidRPr="00E82941">
      <w:rPr>
        <w:rFonts w:ascii="Calibri Light" w:hAnsi="Calibri Light"/>
        <w:noProof/>
        <w:sz w:val="16"/>
      </w:rPr>
      <w:fldChar w:fldCharType="end"/>
    </w:r>
  </w:p>
  <w:p w:rsidR="00E82941" w:rsidRDefault="00155B61" w:rsidP="004D0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B61" w:rsidRDefault="00155B61" w:rsidP="00E77B47">
      <w:pPr>
        <w:spacing w:after="0" w:line="240" w:lineRule="auto"/>
      </w:pPr>
      <w:r>
        <w:separator/>
      </w:r>
    </w:p>
  </w:footnote>
  <w:footnote w:type="continuationSeparator" w:id="0">
    <w:p w:rsidR="00155B61" w:rsidRDefault="00155B61" w:rsidP="00E77B47">
      <w:pPr>
        <w:spacing w:after="0" w:line="240" w:lineRule="auto"/>
      </w:pPr>
      <w:r>
        <w:continuationSeparator/>
      </w:r>
    </w:p>
  </w:footnote>
  <w:footnote w:id="1">
    <w:p w:rsidR="00E77B47" w:rsidRPr="002B7F42" w:rsidRDefault="00E77B47" w:rsidP="00B77594">
      <w:pPr>
        <w:pStyle w:val="FootnoteText"/>
        <w:jc w:val="both"/>
        <w:rPr>
          <w:rFonts w:asciiTheme="majorHAnsi" w:hAnsiTheme="majorHAnsi"/>
          <w:sz w:val="16"/>
          <w:szCs w:val="16"/>
          <w:lang w:val="es-PE"/>
        </w:rPr>
      </w:pPr>
      <w:r w:rsidRPr="002B7F42">
        <w:rPr>
          <w:rStyle w:val="FootnoteReference"/>
          <w:rFonts w:asciiTheme="majorHAnsi" w:hAnsiTheme="majorHAnsi"/>
          <w:sz w:val="16"/>
          <w:szCs w:val="16"/>
        </w:rPr>
        <w:footnoteRef/>
      </w:r>
      <w:r w:rsidRPr="002B7F42">
        <w:rPr>
          <w:rFonts w:asciiTheme="majorHAnsi" w:hAnsiTheme="majorHAnsi"/>
          <w:sz w:val="16"/>
          <w:szCs w:val="16"/>
          <w:lang w:val="es-PE"/>
        </w:rPr>
        <w:t xml:space="preserve"> CIDH, Informe de país. Institucionalidad democrática, Estado de derecho y derechos humanos en Venezuela, 31 de diciembre de 2017, párr. 470. Disponible en: </w:t>
      </w:r>
      <w:hyperlink r:id="rId1" w:history="1">
        <w:r w:rsidRPr="002B7F42">
          <w:rPr>
            <w:rStyle w:val="Hyperlink"/>
            <w:rFonts w:asciiTheme="majorHAnsi" w:hAnsiTheme="majorHAnsi"/>
            <w:sz w:val="16"/>
            <w:szCs w:val="16"/>
            <w:lang w:val="es-PE"/>
          </w:rPr>
          <w:t>http://www.oas.org/es/cidh/informes/pdfs/Venezuela2018-es.pdf</w:t>
        </w:r>
      </w:hyperlink>
      <w:r w:rsidRPr="002B7F42">
        <w:rPr>
          <w:rFonts w:asciiTheme="majorHAnsi" w:hAnsiTheme="majorHAnsi"/>
          <w:sz w:val="16"/>
          <w:szCs w:val="16"/>
          <w:lang w:val="es-PE"/>
        </w:rPr>
        <w:t xml:space="preserve"> </w:t>
      </w:r>
    </w:p>
  </w:footnote>
  <w:footnote w:id="2">
    <w:p w:rsidR="00E77B47" w:rsidRPr="002B7F42" w:rsidRDefault="00E77B47" w:rsidP="00B77594">
      <w:pPr>
        <w:pStyle w:val="FootnoteText"/>
        <w:jc w:val="both"/>
        <w:rPr>
          <w:rFonts w:asciiTheme="majorHAnsi" w:hAnsiTheme="majorHAnsi"/>
          <w:sz w:val="16"/>
          <w:szCs w:val="16"/>
          <w:lang w:val="es-MX"/>
        </w:rPr>
      </w:pPr>
      <w:r w:rsidRPr="002B7F42">
        <w:rPr>
          <w:rStyle w:val="FootnoteReference"/>
          <w:rFonts w:asciiTheme="majorHAnsi" w:hAnsiTheme="majorHAnsi"/>
          <w:sz w:val="16"/>
          <w:szCs w:val="16"/>
        </w:rPr>
        <w:footnoteRef/>
      </w:r>
      <w:r w:rsidRPr="002B7F42">
        <w:rPr>
          <w:rFonts w:asciiTheme="majorHAnsi" w:hAnsiTheme="majorHAnsi"/>
          <w:sz w:val="16"/>
          <w:szCs w:val="16"/>
          <w:lang w:val="es-MX"/>
        </w:rPr>
        <w:t xml:space="preserve"> </w:t>
      </w:r>
      <w:r w:rsidRPr="002B7F42">
        <w:rPr>
          <w:rFonts w:asciiTheme="majorHAnsi" w:eastAsia="Times New Roman" w:hAnsiTheme="majorHAnsi"/>
          <w:sz w:val="16"/>
          <w:szCs w:val="16"/>
          <w:lang w:val="es-MX"/>
        </w:rPr>
        <w:t>Esta situación se agravó al punto de producirse una alteración del orden constitucional con las Sentencias Nº 155 y 156 emitidas por el TSJ el 28 y 29 de marzo, respectivamente, en las cuales levantó las inmunidades parlamentarias a los diputados de la AN, estableció que sus actos constituyen “traición a la patria”, otorgó al Poder Ejecutivo amplios poderes discrecionales, y se arrogó competencias del Poder Legislativo. Como señaló la CIDH en su momento, “tales medidas constituyeron una usurpación de las funciones del Poder Legislativo por parte de los Poderes Judicial y Ejecutivo, así como una anulación de facto del voto popular mediante el cual fueron elegidos los diputados”</w:t>
      </w:r>
      <w:r w:rsidR="0041748B" w:rsidRPr="002B7F42">
        <w:rPr>
          <w:rFonts w:asciiTheme="majorHAnsi" w:eastAsia="Times New Roman" w:hAnsiTheme="majorHAnsi"/>
          <w:sz w:val="16"/>
          <w:szCs w:val="16"/>
          <w:lang w:val="es-MX"/>
        </w:rPr>
        <w:t xml:space="preserve"> </w:t>
      </w:r>
      <w:r w:rsidRPr="002B7F42">
        <w:rPr>
          <w:rFonts w:asciiTheme="majorHAnsi" w:hAnsiTheme="majorHAnsi"/>
          <w:sz w:val="16"/>
          <w:szCs w:val="16"/>
          <w:lang w:val="es-MX"/>
        </w:rPr>
        <w:t>CIDH, Comunicado de Prensa No. 041/17, CIDH condena decisiones del Tribunal Supremo de Justicia y la alteración del orden constitucional y democrático en Venezuela, 31 de marzo de 2017.</w:t>
      </w:r>
    </w:p>
  </w:footnote>
  <w:footnote w:id="3">
    <w:p w:rsidR="00E77B47" w:rsidRPr="002B7F42" w:rsidRDefault="00E77B47" w:rsidP="00B77594">
      <w:pPr>
        <w:pStyle w:val="FootnoteText"/>
        <w:jc w:val="both"/>
        <w:rPr>
          <w:rFonts w:asciiTheme="majorHAnsi" w:hAnsiTheme="majorHAnsi"/>
          <w:sz w:val="16"/>
          <w:szCs w:val="16"/>
          <w:lang w:val="es-MX"/>
        </w:rPr>
      </w:pPr>
      <w:r w:rsidRPr="002B7F42">
        <w:rPr>
          <w:rStyle w:val="FootnoteReference"/>
          <w:rFonts w:asciiTheme="majorHAnsi" w:hAnsiTheme="majorHAnsi"/>
          <w:sz w:val="16"/>
          <w:szCs w:val="16"/>
        </w:rPr>
        <w:footnoteRef/>
      </w:r>
      <w:r w:rsidRPr="002B7F42">
        <w:rPr>
          <w:rFonts w:asciiTheme="majorHAnsi" w:hAnsiTheme="majorHAnsi"/>
          <w:sz w:val="16"/>
          <w:szCs w:val="16"/>
          <w:lang w:val="es-MX"/>
        </w:rPr>
        <w:t xml:space="preserve"> </w:t>
      </w:r>
      <w:r w:rsidRPr="002B7F42">
        <w:rPr>
          <w:rFonts w:asciiTheme="majorHAnsi" w:hAnsiTheme="majorHAnsi"/>
          <w:sz w:val="16"/>
          <w:szCs w:val="16"/>
          <w:lang w:val="es-PE"/>
        </w:rPr>
        <w:t>CIDH, Informe de país. Institucionalidad democrática, Estado de derecho y derechos humanos en Venezuela, 31 de diciembre de 2017, párr. 165.</w:t>
      </w:r>
    </w:p>
  </w:footnote>
  <w:footnote w:id="4">
    <w:p w:rsidR="00E77B47" w:rsidRPr="002B7F42" w:rsidRDefault="00E77B47" w:rsidP="00B77594">
      <w:pPr>
        <w:pStyle w:val="FootnoteText"/>
        <w:jc w:val="both"/>
        <w:rPr>
          <w:rFonts w:asciiTheme="majorHAnsi" w:hAnsiTheme="majorHAnsi"/>
          <w:sz w:val="16"/>
          <w:szCs w:val="16"/>
          <w:lang w:val="es-PE"/>
        </w:rPr>
      </w:pPr>
      <w:r w:rsidRPr="002B7F42">
        <w:rPr>
          <w:rStyle w:val="FootnoteReference"/>
          <w:rFonts w:asciiTheme="majorHAnsi" w:hAnsiTheme="majorHAnsi"/>
          <w:sz w:val="16"/>
          <w:szCs w:val="16"/>
        </w:rPr>
        <w:footnoteRef/>
      </w:r>
      <w:r w:rsidRPr="002B7F42">
        <w:rPr>
          <w:rFonts w:asciiTheme="majorHAnsi" w:hAnsiTheme="majorHAnsi"/>
          <w:sz w:val="16"/>
          <w:szCs w:val="16"/>
          <w:lang w:val="es-PE"/>
        </w:rPr>
        <w:t xml:space="preserve"> CIDH, Informe de país. Institucionalidad democrática, Estado de derecho y derechos humanos en Venezuela, 31 de diciembre de 2017, párr. 165. Disponible en: </w:t>
      </w:r>
      <w:hyperlink r:id="rId2" w:history="1">
        <w:r w:rsidRPr="002B7F42">
          <w:rPr>
            <w:rStyle w:val="Hyperlink"/>
            <w:rFonts w:asciiTheme="majorHAnsi" w:hAnsiTheme="majorHAnsi"/>
            <w:sz w:val="16"/>
            <w:szCs w:val="16"/>
            <w:lang w:val="es-PE"/>
          </w:rPr>
          <w:t>http://www.oas.org/es/cidh/informes/pdfs/Venezuela2018-es.pdf</w:t>
        </w:r>
      </w:hyperlink>
      <w:r w:rsidRPr="002B7F42">
        <w:rPr>
          <w:rFonts w:asciiTheme="majorHAnsi" w:hAnsiTheme="majorHAnsi"/>
          <w:sz w:val="16"/>
          <w:szCs w:val="16"/>
          <w:lang w:val="es-PE"/>
        </w:rPr>
        <w:t xml:space="preserve"> </w:t>
      </w:r>
    </w:p>
  </w:footnote>
  <w:footnote w:id="5">
    <w:p w:rsidR="00E77B47" w:rsidRPr="002B7F42" w:rsidRDefault="00E77B47" w:rsidP="00B77594">
      <w:pPr>
        <w:pStyle w:val="FootnoteText"/>
        <w:jc w:val="both"/>
        <w:rPr>
          <w:rFonts w:asciiTheme="majorHAnsi" w:hAnsiTheme="majorHAnsi"/>
          <w:sz w:val="16"/>
          <w:szCs w:val="16"/>
          <w:lang w:val="es-MX"/>
        </w:rPr>
      </w:pPr>
      <w:r w:rsidRPr="002B7F42">
        <w:rPr>
          <w:rStyle w:val="FootnoteReference"/>
          <w:rFonts w:asciiTheme="majorHAnsi" w:hAnsiTheme="majorHAnsi"/>
          <w:sz w:val="16"/>
          <w:szCs w:val="16"/>
        </w:rPr>
        <w:footnoteRef/>
      </w:r>
      <w:r w:rsidRPr="002B7F42">
        <w:rPr>
          <w:rFonts w:asciiTheme="majorHAnsi" w:hAnsiTheme="majorHAnsi"/>
          <w:sz w:val="16"/>
          <w:szCs w:val="16"/>
          <w:lang w:val="es-MX"/>
        </w:rPr>
        <w:t xml:space="preserve"> CIDH, CIDH advierte sobre la falta de condiciones para la realización de elecciones libres y justas en Venezuela, 18 de mayo de 2018. Disponible en: http://www.oas.org/es/cidh/prensa/comunicados/2018/112.asp</w:t>
      </w:r>
    </w:p>
  </w:footnote>
  <w:footnote w:id="6">
    <w:p w:rsidR="00E77B47" w:rsidRPr="002B7F42" w:rsidRDefault="00E77B47" w:rsidP="00B77594">
      <w:pPr>
        <w:pStyle w:val="FootnoteText"/>
        <w:jc w:val="both"/>
        <w:rPr>
          <w:rFonts w:asciiTheme="majorHAnsi" w:hAnsiTheme="majorHAnsi"/>
          <w:sz w:val="16"/>
          <w:szCs w:val="16"/>
          <w:lang w:val="es-MX"/>
        </w:rPr>
      </w:pPr>
      <w:r w:rsidRPr="002B7F42">
        <w:rPr>
          <w:rStyle w:val="FootnoteReference"/>
          <w:rFonts w:asciiTheme="majorHAnsi" w:hAnsiTheme="majorHAnsi"/>
          <w:sz w:val="16"/>
          <w:szCs w:val="16"/>
        </w:rPr>
        <w:footnoteRef/>
      </w:r>
      <w:r w:rsidRPr="002B7F42">
        <w:rPr>
          <w:rFonts w:asciiTheme="majorHAnsi" w:hAnsiTheme="majorHAnsi"/>
          <w:sz w:val="16"/>
          <w:szCs w:val="16"/>
          <w:lang w:val="es-MX"/>
        </w:rPr>
        <w:t xml:space="preserve"> CIDH, Venezuela: el sistema de salud en crisis, dicen expertos y expertas de derechos humanos, 1 de octubre de 2018. Disponible en: http://www.oas.org/es/cidh/prensa/comunicados/2018/215.asp</w:t>
      </w:r>
    </w:p>
  </w:footnote>
  <w:footnote w:id="7">
    <w:p w:rsidR="00E77B47" w:rsidRPr="002B7F42" w:rsidRDefault="00E77B47" w:rsidP="00B77594">
      <w:pPr>
        <w:pStyle w:val="FootnoteText"/>
        <w:jc w:val="both"/>
        <w:rPr>
          <w:rFonts w:asciiTheme="majorHAnsi" w:hAnsiTheme="majorHAnsi"/>
          <w:sz w:val="16"/>
          <w:szCs w:val="16"/>
          <w:lang w:val="es-MX"/>
        </w:rPr>
      </w:pPr>
      <w:r w:rsidRPr="002B7F42">
        <w:rPr>
          <w:rStyle w:val="FootnoteReference"/>
          <w:rFonts w:asciiTheme="majorHAnsi" w:hAnsiTheme="majorHAnsi"/>
          <w:sz w:val="16"/>
          <w:szCs w:val="16"/>
        </w:rPr>
        <w:footnoteRef/>
      </w:r>
      <w:r w:rsidRPr="002B7F42">
        <w:rPr>
          <w:rFonts w:asciiTheme="majorHAnsi" w:hAnsiTheme="majorHAnsi"/>
          <w:sz w:val="16"/>
          <w:szCs w:val="16"/>
          <w:lang w:val="es-MX"/>
        </w:rPr>
        <w:t xml:space="preserve"> CIDH, Ante la asunción de un nuevo mandato presidencial, la CIDH alerta sobre la profundización del debilitamiento del Estado de Derecho en Venezuela, 9 de enero de 2019. Disponible en: http://www.oas.org/es/cidh/prensa/comunicados/2019/005.asp</w:t>
      </w:r>
    </w:p>
  </w:footnote>
  <w:footnote w:id="8">
    <w:p w:rsidR="00E77B47" w:rsidRPr="002B7F42" w:rsidRDefault="00E77B47" w:rsidP="00B77594">
      <w:pPr>
        <w:pStyle w:val="FootnoteText"/>
        <w:jc w:val="both"/>
        <w:rPr>
          <w:rFonts w:asciiTheme="majorHAnsi" w:hAnsiTheme="majorHAnsi"/>
          <w:sz w:val="16"/>
          <w:szCs w:val="16"/>
          <w:lang w:val="es-PE"/>
        </w:rPr>
      </w:pPr>
      <w:r w:rsidRPr="002B7F42">
        <w:rPr>
          <w:rStyle w:val="FootnoteReference"/>
          <w:rFonts w:asciiTheme="majorHAnsi" w:hAnsiTheme="majorHAnsi"/>
          <w:sz w:val="16"/>
          <w:szCs w:val="16"/>
        </w:rPr>
        <w:footnoteRef/>
      </w:r>
      <w:r w:rsidRPr="002B7F42">
        <w:rPr>
          <w:rFonts w:asciiTheme="majorHAnsi" w:hAnsiTheme="majorHAnsi"/>
          <w:sz w:val="16"/>
          <w:szCs w:val="16"/>
          <w:lang w:val="es-PE"/>
        </w:rPr>
        <w:t xml:space="preserve"> OEA, Consejo Permanente de la OEA acuerda "no reconocer la legitimidad del período del régimen de Nicolás Maduro", 10 de enero de 2019. Disponible en: </w:t>
      </w:r>
      <w:hyperlink r:id="rId3" w:history="1">
        <w:r w:rsidRPr="002B7F42">
          <w:rPr>
            <w:rStyle w:val="Hyperlink"/>
            <w:rFonts w:asciiTheme="majorHAnsi" w:hAnsiTheme="majorHAnsi"/>
            <w:sz w:val="16"/>
            <w:szCs w:val="16"/>
            <w:lang w:val="es-PE"/>
          </w:rPr>
          <w:t>http://www.oas.org/es/centro_noticias/comunicado_prensa.asp?sCodigo=C-001/19</w:t>
        </w:r>
      </w:hyperlink>
      <w:r w:rsidRPr="002B7F42">
        <w:rPr>
          <w:rFonts w:asciiTheme="majorHAnsi" w:hAnsiTheme="majorHAnsi"/>
          <w:sz w:val="16"/>
          <w:szCs w:val="16"/>
          <w:lang w:val="es-PE"/>
        </w:rPr>
        <w:t xml:space="preserve"> </w:t>
      </w:r>
    </w:p>
  </w:footnote>
  <w:footnote w:id="9">
    <w:p w:rsidR="00E77B47" w:rsidRPr="002B7F42" w:rsidRDefault="00E77B47" w:rsidP="00B77594">
      <w:pPr>
        <w:pStyle w:val="FootnoteText"/>
        <w:jc w:val="both"/>
        <w:rPr>
          <w:rFonts w:asciiTheme="majorHAnsi" w:hAnsiTheme="majorHAnsi"/>
          <w:sz w:val="16"/>
          <w:szCs w:val="16"/>
          <w:lang w:val="es-MX"/>
        </w:rPr>
      </w:pPr>
      <w:r w:rsidRPr="002B7F42">
        <w:rPr>
          <w:rStyle w:val="FootnoteReference"/>
          <w:rFonts w:asciiTheme="majorHAnsi" w:hAnsiTheme="majorHAnsi"/>
          <w:sz w:val="16"/>
          <w:szCs w:val="16"/>
        </w:rPr>
        <w:footnoteRef/>
      </w:r>
      <w:r w:rsidRPr="002B7F42">
        <w:rPr>
          <w:rFonts w:asciiTheme="majorHAnsi" w:hAnsiTheme="majorHAnsi"/>
          <w:sz w:val="16"/>
          <w:szCs w:val="16"/>
          <w:lang w:val="es-MX"/>
        </w:rPr>
        <w:t xml:space="preserve"> CIDH, CIDH llama a la República de Venezuela a garantizar el derecho a la protesta y a la manifestación pública, 23 de enero de 2019. Disponible en: http://www.oas.org/es/cidh/prensa/comunicados/2019/012.asp</w:t>
      </w:r>
    </w:p>
  </w:footnote>
  <w:footnote w:id="10">
    <w:p w:rsidR="006E05B2" w:rsidRPr="002B7F42" w:rsidRDefault="006E05B2" w:rsidP="00B77594">
      <w:pPr>
        <w:pStyle w:val="FootnoteText"/>
        <w:jc w:val="both"/>
        <w:rPr>
          <w:rFonts w:asciiTheme="majorHAnsi" w:hAnsiTheme="majorHAnsi"/>
          <w:sz w:val="16"/>
          <w:szCs w:val="16"/>
          <w:lang w:val="es-PE"/>
        </w:rPr>
      </w:pPr>
      <w:r w:rsidRPr="002B7F42">
        <w:rPr>
          <w:rStyle w:val="FootnoteReference"/>
          <w:rFonts w:asciiTheme="majorHAnsi" w:hAnsiTheme="majorHAnsi"/>
          <w:sz w:val="16"/>
          <w:szCs w:val="16"/>
        </w:rPr>
        <w:footnoteRef/>
      </w:r>
      <w:r w:rsidRPr="002B7F42">
        <w:rPr>
          <w:rFonts w:asciiTheme="majorHAnsi" w:hAnsiTheme="majorHAnsi"/>
          <w:sz w:val="16"/>
          <w:szCs w:val="16"/>
          <w:lang w:val="es-PE"/>
        </w:rPr>
        <w:t xml:space="preserve"> CIDH, CIDH condena muertes en protestas y llama a las instituciones del Estado a garantizar los derechos humanos de la población venezolana, 25 de enero de 2019. Disponible en: </w:t>
      </w:r>
      <w:hyperlink r:id="rId4" w:history="1">
        <w:r w:rsidRPr="002B7F42">
          <w:rPr>
            <w:rStyle w:val="Hyperlink"/>
            <w:rFonts w:asciiTheme="majorHAnsi" w:hAnsiTheme="majorHAnsi"/>
            <w:sz w:val="16"/>
            <w:szCs w:val="16"/>
            <w:lang w:val="es-PE"/>
          </w:rPr>
          <w:t>http://www.oas.org/es/cidh/prensa/comunicados/2019/015.asp</w:t>
        </w:r>
      </w:hyperlink>
      <w:r w:rsidRPr="002B7F42">
        <w:rPr>
          <w:rFonts w:asciiTheme="majorHAnsi" w:hAnsiTheme="majorHAnsi"/>
          <w:sz w:val="16"/>
          <w:szCs w:val="16"/>
          <w:lang w:val="es-PE"/>
        </w:rPr>
        <w:t xml:space="preserve"> </w:t>
      </w:r>
    </w:p>
  </w:footnote>
  <w:footnote w:id="11">
    <w:p w:rsidR="006E05B2" w:rsidRPr="002B7F42" w:rsidRDefault="006E05B2" w:rsidP="00B77594">
      <w:pPr>
        <w:pStyle w:val="FootnoteText"/>
        <w:jc w:val="both"/>
        <w:rPr>
          <w:rFonts w:asciiTheme="majorHAnsi" w:hAnsiTheme="majorHAnsi"/>
          <w:sz w:val="16"/>
          <w:szCs w:val="16"/>
          <w:lang w:val="es-PE"/>
        </w:rPr>
      </w:pPr>
      <w:r w:rsidRPr="002B7F42">
        <w:rPr>
          <w:rStyle w:val="FootnoteReference"/>
          <w:rFonts w:asciiTheme="majorHAnsi" w:hAnsiTheme="majorHAnsi"/>
          <w:sz w:val="16"/>
          <w:szCs w:val="16"/>
        </w:rPr>
        <w:footnoteRef/>
      </w:r>
      <w:r w:rsidRPr="002B7F42">
        <w:rPr>
          <w:rFonts w:asciiTheme="majorHAnsi" w:hAnsiTheme="majorHAnsi"/>
          <w:sz w:val="16"/>
          <w:szCs w:val="16"/>
          <w:lang w:val="es-PE"/>
        </w:rPr>
        <w:t xml:space="preserve"> CIDH, CIDH manifiesta su alarma ante las detenciones en el contexto de las protestas en Venezuela, 1 de febrero de 2019. Disponible en: </w:t>
      </w:r>
      <w:hyperlink r:id="rId5" w:history="1">
        <w:r w:rsidRPr="002B7F42">
          <w:rPr>
            <w:rStyle w:val="Hyperlink"/>
            <w:rFonts w:asciiTheme="majorHAnsi" w:hAnsiTheme="majorHAnsi"/>
            <w:sz w:val="16"/>
            <w:szCs w:val="16"/>
            <w:lang w:val="es-PE"/>
          </w:rPr>
          <w:t>http://www.oas.org/es/cidh/prensa/comunicados/2019/022.asp</w:t>
        </w:r>
      </w:hyperlink>
      <w:r w:rsidRPr="002B7F42">
        <w:rPr>
          <w:rFonts w:asciiTheme="majorHAnsi" w:hAnsiTheme="majorHAnsi"/>
          <w:sz w:val="16"/>
          <w:szCs w:val="16"/>
          <w:lang w:val="es-PE"/>
        </w:rPr>
        <w:t xml:space="preserve"> </w:t>
      </w:r>
    </w:p>
  </w:footnote>
  <w:footnote w:id="12">
    <w:p w:rsidR="006E05B2" w:rsidRPr="002B7F42" w:rsidRDefault="006E05B2" w:rsidP="00B77594">
      <w:pPr>
        <w:pStyle w:val="FootnoteText"/>
        <w:jc w:val="both"/>
        <w:rPr>
          <w:rFonts w:asciiTheme="majorHAnsi" w:hAnsiTheme="majorHAnsi"/>
          <w:sz w:val="16"/>
          <w:szCs w:val="16"/>
          <w:lang w:val="es-PE"/>
        </w:rPr>
      </w:pPr>
      <w:r w:rsidRPr="002B7F42">
        <w:rPr>
          <w:rStyle w:val="FootnoteReference"/>
          <w:rFonts w:asciiTheme="majorHAnsi" w:hAnsiTheme="majorHAnsi"/>
          <w:sz w:val="16"/>
          <w:szCs w:val="16"/>
        </w:rPr>
        <w:footnoteRef/>
      </w:r>
      <w:r w:rsidRPr="002B7F42">
        <w:rPr>
          <w:rFonts w:asciiTheme="majorHAnsi" w:hAnsiTheme="majorHAnsi"/>
          <w:sz w:val="16"/>
          <w:szCs w:val="16"/>
          <w:lang w:val="es-PE"/>
        </w:rPr>
        <w:t xml:space="preserve"> CIDH, CIDH expresa su preocupación por continuo hostigamiento contra defensoras y defensores de derechos humanos en Venezuela, 22 de febrero de 2019. Disponible en: </w:t>
      </w:r>
      <w:hyperlink r:id="rId6" w:history="1">
        <w:r w:rsidRPr="002B7F42">
          <w:rPr>
            <w:rStyle w:val="Hyperlink"/>
            <w:rFonts w:asciiTheme="majorHAnsi" w:hAnsiTheme="majorHAnsi"/>
            <w:sz w:val="16"/>
            <w:szCs w:val="16"/>
            <w:lang w:val="es-PE"/>
          </w:rPr>
          <w:t>http://www.oas.org/es/cidh/prensa/comunicados/2019/040.asp</w:t>
        </w:r>
      </w:hyperlink>
      <w:r w:rsidRPr="002B7F42">
        <w:rPr>
          <w:rFonts w:asciiTheme="majorHAnsi" w:hAnsiTheme="majorHAnsi"/>
          <w:sz w:val="16"/>
          <w:szCs w:val="16"/>
          <w:lang w:val="es-PE"/>
        </w:rPr>
        <w:t xml:space="preserve"> </w:t>
      </w:r>
    </w:p>
  </w:footnote>
  <w:footnote w:id="13">
    <w:p w:rsidR="006E05B2" w:rsidRPr="002B7F42" w:rsidRDefault="006E05B2" w:rsidP="00B77594">
      <w:pPr>
        <w:pStyle w:val="Heading1"/>
        <w:shd w:val="clear" w:color="auto" w:fill="FFFFFF"/>
        <w:spacing w:before="0"/>
        <w:jc w:val="both"/>
        <w:rPr>
          <w:color w:val="auto"/>
          <w:sz w:val="16"/>
          <w:szCs w:val="16"/>
          <w:lang w:val="es-MX"/>
        </w:rPr>
      </w:pPr>
      <w:r w:rsidRPr="002B7F42">
        <w:rPr>
          <w:rStyle w:val="FootnoteReference"/>
          <w:rFonts w:eastAsia="Calibri"/>
          <w:bCs/>
          <w:color w:val="auto"/>
          <w:sz w:val="16"/>
          <w:szCs w:val="16"/>
        </w:rPr>
        <w:footnoteRef/>
      </w:r>
      <w:r w:rsidRPr="002B7F42">
        <w:rPr>
          <w:rStyle w:val="FootnoteReference"/>
          <w:rFonts w:eastAsia="Calibri"/>
          <w:bCs/>
          <w:color w:val="auto"/>
          <w:sz w:val="16"/>
          <w:szCs w:val="16"/>
          <w:lang w:val="es-MX"/>
        </w:rPr>
        <w:t xml:space="preserve"> </w:t>
      </w:r>
      <w:r w:rsidRPr="002B7F42">
        <w:rPr>
          <w:rFonts w:eastAsia="Calibri"/>
          <w:bCs/>
          <w:color w:val="auto"/>
          <w:sz w:val="16"/>
          <w:szCs w:val="16"/>
          <w:lang w:val="es-PE"/>
        </w:rPr>
        <w:t>CIDH, CIDH y REDESCA condenan hechos de represión violenta en Venezuela y urgen al Estado venezolano a garantizar los derechos humanos de la población frente a la crisis política, económica y social, 1 de marzo de 2019. Disponible en: http://www.oas.org/es/cidh/prensa/comunicados/2019/022.asp.</w:t>
      </w:r>
    </w:p>
  </w:footnote>
  <w:footnote w:id="14">
    <w:p w:rsidR="006E05B2" w:rsidRPr="002B7F42" w:rsidRDefault="006E05B2" w:rsidP="00B77594">
      <w:pPr>
        <w:pStyle w:val="FootnoteText"/>
        <w:jc w:val="both"/>
        <w:rPr>
          <w:rFonts w:asciiTheme="majorHAnsi" w:hAnsiTheme="majorHAnsi" w:cstheme="majorHAnsi"/>
          <w:sz w:val="16"/>
          <w:szCs w:val="16"/>
        </w:rPr>
      </w:pPr>
      <w:r w:rsidRPr="002B7F42">
        <w:rPr>
          <w:rStyle w:val="FootnoteReference"/>
          <w:rFonts w:asciiTheme="majorHAnsi" w:hAnsiTheme="majorHAnsi" w:cstheme="majorHAnsi"/>
          <w:sz w:val="16"/>
          <w:szCs w:val="16"/>
        </w:rPr>
        <w:footnoteRef/>
      </w:r>
      <w:r w:rsidRPr="002B7F42">
        <w:rPr>
          <w:rFonts w:asciiTheme="majorHAnsi" w:hAnsiTheme="majorHAnsi" w:cstheme="majorHAnsi"/>
          <w:sz w:val="16"/>
          <w:szCs w:val="16"/>
        </w:rPr>
        <w:t xml:space="preserve"> CIDH, Expertos en Libertad de Expresión de UN y CIDH Expresan Alarma por Expansión de Mecanismos de Censura que se Aplican en Venezuela, 8 de marzo de 2019. Disponible en: http://www.oas.org/es/cidh/expresion/showarticle.asp?artID=1133&amp;lID=2.</w:t>
      </w:r>
    </w:p>
  </w:footnote>
  <w:footnote w:id="15">
    <w:p w:rsidR="006E05B2" w:rsidRPr="002B7F42" w:rsidRDefault="006E05B2" w:rsidP="00B77594">
      <w:pPr>
        <w:pStyle w:val="FootnoteText"/>
        <w:jc w:val="both"/>
        <w:rPr>
          <w:rFonts w:asciiTheme="majorHAnsi" w:hAnsiTheme="majorHAnsi" w:cstheme="majorHAnsi"/>
          <w:sz w:val="16"/>
          <w:szCs w:val="16"/>
        </w:rPr>
      </w:pPr>
      <w:r w:rsidRPr="002B7F42">
        <w:rPr>
          <w:rStyle w:val="FootnoteReference"/>
          <w:rFonts w:asciiTheme="majorHAnsi" w:hAnsiTheme="majorHAnsi" w:cstheme="majorHAnsi"/>
          <w:sz w:val="16"/>
          <w:szCs w:val="16"/>
        </w:rPr>
        <w:footnoteRef/>
      </w:r>
      <w:r w:rsidRPr="002B7F42">
        <w:rPr>
          <w:rFonts w:asciiTheme="majorHAnsi" w:hAnsiTheme="majorHAnsi" w:cstheme="majorHAnsi"/>
          <w:sz w:val="16"/>
          <w:szCs w:val="16"/>
        </w:rPr>
        <w:t xml:space="preserve"> CIDH, CIDH observa persistencia en afectación a los derechos humanos en Venezuela, 5 de abril de 2019. Disponible en: http://www.oas.org/es/cidh/prensa/comunicados/2019/091.asp.</w:t>
      </w:r>
    </w:p>
  </w:footnote>
  <w:footnote w:id="16">
    <w:p w:rsidR="006E05B2" w:rsidRPr="002B7F42" w:rsidRDefault="006E05B2" w:rsidP="00B77594">
      <w:pPr>
        <w:pStyle w:val="FootnoteText"/>
        <w:jc w:val="both"/>
        <w:rPr>
          <w:rFonts w:asciiTheme="majorHAnsi" w:hAnsiTheme="majorHAnsi" w:cstheme="majorHAnsi"/>
          <w:sz w:val="16"/>
          <w:szCs w:val="16"/>
        </w:rPr>
      </w:pPr>
      <w:r w:rsidRPr="002B7F42">
        <w:rPr>
          <w:rStyle w:val="FootnoteReference"/>
          <w:rFonts w:asciiTheme="majorHAnsi" w:hAnsiTheme="majorHAnsi" w:cstheme="majorHAnsi"/>
          <w:sz w:val="16"/>
          <w:szCs w:val="16"/>
        </w:rPr>
        <w:footnoteRef/>
      </w:r>
      <w:r w:rsidRPr="002B7F42">
        <w:rPr>
          <w:rFonts w:asciiTheme="majorHAnsi" w:hAnsiTheme="majorHAnsi" w:cstheme="majorHAnsi"/>
          <w:sz w:val="16"/>
          <w:szCs w:val="16"/>
        </w:rPr>
        <w:t xml:space="preserve"> CIDH, CIDH condena el recrudecimiento de ataques contra los miembros de la Asamblea Nacional de Venezuela, 14 de mayo de 2019. Disponible en: http://www.oas.org/es/cidh/prensa/comunicados/2019/115.asp.</w:t>
      </w:r>
    </w:p>
  </w:footnote>
  <w:footnote w:id="17">
    <w:p w:rsidR="006E05B2" w:rsidRPr="002B7F42" w:rsidRDefault="006E05B2" w:rsidP="00B77594">
      <w:pPr>
        <w:pStyle w:val="FootnoteText"/>
        <w:jc w:val="both"/>
        <w:rPr>
          <w:rFonts w:asciiTheme="majorHAnsi" w:hAnsiTheme="majorHAnsi" w:cstheme="majorHAnsi"/>
          <w:sz w:val="16"/>
          <w:szCs w:val="16"/>
        </w:rPr>
      </w:pPr>
      <w:r w:rsidRPr="002B7F42">
        <w:rPr>
          <w:rStyle w:val="FootnoteReference"/>
          <w:rFonts w:asciiTheme="majorHAnsi" w:hAnsiTheme="majorHAnsi" w:cstheme="majorHAnsi"/>
          <w:sz w:val="16"/>
          <w:szCs w:val="16"/>
        </w:rPr>
        <w:footnoteRef/>
      </w:r>
      <w:r w:rsidRPr="002B7F42">
        <w:rPr>
          <w:rFonts w:asciiTheme="majorHAnsi" w:hAnsiTheme="majorHAnsi" w:cstheme="majorHAnsi"/>
          <w:sz w:val="16"/>
          <w:szCs w:val="16"/>
        </w:rPr>
        <w:t xml:space="preserve"> CIDH, CIDH expresa alarma y preocupación por la muerte del Capitán Rafael Acosta Arévalo bajo custodia en Venezuela, 3 de julio de 2019. Disponible en: http://www.oas.org/es/cidh/prensa/comunicados/2019/167.asp.</w:t>
      </w:r>
    </w:p>
  </w:footnote>
  <w:footnote w:id="18">
    <w:p w:rsidR="0011718D" w:rsidRPr="002B7F42" w:rsidRDefault="0011718D" w:rsidP="0011718D">
      <w:pPr>
        <w:pStyle w:val="FootnoteText"/>
        <w:jc w:val="both"/>
        <w:rPr>
          <w:rFonts w:asciiTheme="majorHAnsi" w:hAnsiTheme="majorHAnsi" w:cstheme="majorHAnsi"/>
          <w:sz w:val="16"/>
          <w:szCs w:val="16"/>
        </w:rPr>
      </w:pPr>
      <w:r w:rsidRPr="002B7F42">
        <w:rPr>
          <w:rStyle w:val="FootnoteReference"/>
          <w:rFonts w:asciiTheme="majorHAnsi" w:hAnsiTheme="majorHAnsi" w:cstheme="majorHAnsi"/>
          <w:sz w:val="16"/>
          <w:szCs w:val="16"/>
        </w:rPr>
        <w:footnoteRef/>
      </w:r>
      <w:r w:rsidRPr="002B7F42">
        <w:rPr>
          <w:rFonts w:asciiTheme="majorHAnsi" w:hAnsiTheme="majorHAnsi" w:cstheme="majorHAnsi"/>
          <w:sz w:val="16"/>
          <w:szCs w:val="16"/>
        </w:rPr>
        <w:t xml:space="preserve"> CIDH, Relatoría Especial condena que comunicadores Pedro </w:t>
      </w:r>
      <w:proofErr w:type="spellStart"/>
      <w:r w:rsidRPr="002B7F42">
        <w:rPr>
          <w:rFonts w:asciiTheme="majorHAnsi" w:hAnsiTheme="majorHAnsi" w:cstheme="majorHAnsi"/>
          <w:sz w:val="16"/>
          <w:szCs w:val="16"/>
        </w:rPr>
        <w:t>Jaimes</w:t>
      </w:r>
      <w:proofErr w:type="spellEnd"/>
      <w:r w:rsidRPr="002B7F42">
        <w:rPr>
          <w:rFonts w:asciiTheme="majorHAnsi" w:hAnsiTheme="majorHAnsi" w:cstheme="majorHAnsi"/>
          <w:sz w:val="16"/>
          <w:szCs w:val="16"/>
        </w:rPr>
        <w:t xml:space="preserve"> y Jesús Medina hayan cumplido un año en prisión en Venezuela, sin ser sometidos a juicio, 18 de septiembre de 2019. Disponible en: http://www.oas.org/es/cidh/expresion/showarticle.asp?artID=1155&amp;lID=2.</w:t>
      </w:r>
    </w:p>
  </w:footnote>
  <w:footnote w:id="19">
    <w:p w:rsidR="00FC0EF0" w:rsidRPr="002B7F42" w:rsidRDefault="00FC0EF0" w:rsidP="00B77594">
      <w:pPr>
        <w:pStyle w:val="FootnoteText"/>
        <w:jc w:val="both"/>
        <w:rPr>
          <w:rFonts w:asciiTheme="majorHAnsi" w:hAnsiTheme="majorHAnsi"/>
          <w:sz w:val="16"/>
          <w:szCs w:val="16"/>
          <w:lang w:val="es-MX"/>
        </w:rPr>
      </w:pPr>
      <w:r w:rsidRPr="002B7F42">
        <w:rPr>
          <w:rStyle w:val="FootnoteReference"/>
          <w:rFonts w:asciiTheme="majorHAnsi" w:hAnsiTheme="majorHAnsi"/>
          <w:sz w:val="16"/>
          <w:szCs w:val="16"/>
        </w:rPr>
        <w:footnoteRef/>
      </w:r>
      <w:r w:rsidRPr="002B7F42">
        <w:rPr>
          <w:rFonts w:asciiTheme="majorHAnsi" w:hAnsiTheme="majorHAnsi"/>
          <w:sz w:val="16"/>
          <w:szCs w:val="16"/>
          <w:lang w:val="es-MX"/>
        </w:rPr>
        <w:t xml:space="preserve"> Ver al respecto, Corte IDH. </w:t>
      </w:r>
      <w:r w:rsidRPr="002B7F42">
        <w:rPr>
          <w:rFonts w:asciiTheme="majorHAnsi" w:hAnsiTheme="majorHAnsi"/>
          <w:i/>
          <w:sz w:val="16"/>
          <w:szCs w:val="16"/>
          <w:lang w:val="es-MX"/>
        </w:rPr>
        <w:t xml:space="preserve">Asunto Pobladores de las Comunidades del Pueblo Indígena </w:t>
      </w:r>
      <w:proofErr w:type="spellStart"/>
      <w:r w:rsidRPr="002B7F42">
        <w:rPr>
          <w:rFonts w:asciiTheme="majorHAnsi" w:hAnsiTheme="majorHAnsi"/>
          <w:i/>
          <w:sz w:val="16"/>
          <w:szCs w:val="16"/>
          <w:lang w:val="es-MX"/>
        </w:rPr>
        <w:t>Miskitu</w:t>
      </w:r>
      <w:proofErr w:type="spellEnd"/>
      <w:r w:rsidRPr="002B7F42">
        <w:rPr>
          <w:rFonts w:asciiTheme="majorHAnsi" w:hAnsiTheme="majorHAnsi"/>
          <w:i/>
          <w:sz w:val="16"/>
          <w:szCs w:val="16"/>
          <w:lang w:val="es-MX"/>
        </w:rPr>
        <w:t xml:space="preserve"> de la Región Costa Caribe Norte respecto de Nicaragua</w:t>
      </w:r>
      <w:r w:rsidRPr="002B7F42">
        <w:rPr>
          <w:rFonts w:asciiTheme="majorHAnsi" w:hAnsiTheme="majorHAnsi"/>
          <w:sz w:val="16"/>
          <w:szCs w:val="16"/>
          <w:lang w:val="es-MX"/>
        </w:rPr>
        <w:t xml:space="preserve">. Ampliación de Medidas Provisionales. Resolución de la Corte Interamericana de Derechos Humanos de 23 de agosto de 2018, considerando 13; Corte IDH, </w:t>
      </w:r>
      <w:r w:rsidRPr="002B7F42">
        <w:rPr>
          <w:rFonts w:asciiTheme="majorHAnsi" w:hAnsiTheme="majorHAnsi"/>
          <w:i/>
          <w:sz w:val="16"/>
          <w:szCs w:val="16"/>
          <w:lang w:val="es-MX"/>
        </w:rPr>
        <w:t xml:space="preserve">Asunto de los niños y adolescentes privados de libertad en el “Complexo do </w:t>
      </w:r>
      <w:proofErr w:type="spellStart"/>
      <w:r w:rsidRPr="002B7F42">
        <w:rPr>
          <w:rFonts w:asciiTheme="majorHAnsi" w:hAnsiTheme="majorHAnsi"/>
          <w:i/>
          <w:sz w:val="16"/>
          <w:szCs w:val="16"/>
          <w:lang w:val="es-MX"/>
        </w:rPr>
        <w:t>Tatuapé</w:t>
      </w:r>
      <w:proofErr w:type="spellEnd"/>
      <w:r w:rsidRPr="002B7F42">
        <w:rPr>
          <w:rFonts w:asciiTheme="majorHAnsi" w:hAnsiTheme="majorHAnsi"/>
          <w:i/>
          <w:sz w:val="16"/>
          <w:szCs w:val="16"/>
          <w:lang w:val="es-MX"/>
        </w:rPr>
        <w:t xml:space="preserve">” de la </w:t>
      </w:r>
      <w:proofErr w:type="spellStart"/>
      <w:r w:rsidRPr="002B7F42">
        <w:rPr>
          <w:rFonts w:asciiTheme="majorHAnsi" w:hAnsiTheme="majorHAnsi"/>
          <w:i/>
          <w:sz w:val="16"/>
          <w:szCs w:val="16"/>
          <w:lang w:val="es-MX"/>
        </w:rPr>
        <w:t>Fundação</w:t>
      </w:r>
      <w:proofErr w:type="spellEnd"/>
      <w:r w:rsidRPr="002B7F42">
        <w:rPr>
          <w:rFonts w:asciiTheme="majorHAnsi" w:hAnsiTheme="majorHAnsi"/>
          <w:i/>
          <w:sz w:val="16"/>
          <w:szCs w:val="16"/>
          <w:lang w:val="es-MX"/>
        </w:rPr>
        <w:t xml:space="preserve"> CASA</w:t>
      </w:r>
      <w:r w:rsidRPr="002B7F42">
        <w:rPr>
          <w:rFonts w:asciiTheme="majorHAnsi" w:hAnsiTheme="majorHAnsi"/>
          <w:sz w:val="16"/>
          <w:szCs w:val="16"/>
          <w:lang w:val="es-MX"/>
        </w:rPr>
        <w:t>. Solicitud de ampliación de medidas provisionales. Medidas Provisionales respecto de Brasil. Resolución de la Corte Interamericana de Derechos Humanos de 4 de julio de 2006. Considerando 23. Disponible en: http://www.corteidh.or.cr/docs/medidas/febem_se_03.pdf</w:t>
      </w:r>
    </w:p>
  </w:footnote>
  <w:footnote w:id="20">
    <w:p w:rsidR="00F72CC6" w:rsidRPr="002B7F42" w:rsidRDefault="00F72CC6" w:rsidP="00B77594">
      <w:pPr>
        <w:pStyle w:val="FootnoteText"/>
        <w:jc w:val="both"/>
        <w:rPr>
          <w:rFonts w:asciiTheme="majorHAnsi" w:hAnsiTheme="majorHAnsi" w:cstheme="majorHAnsi"/>
          <w:sz w:val="16"/>
          <w:szCs w:val="16"/>
        </w:rPr>
      </w:pPr>
      <w:r w:rsidRPr="002B7F42">
        <w:rPr>
          <w:rStyle w:val="FootnoteReference"/>
          <w:rFonts w:asciiTheme="majorHAnsi" w:hAnsiTheme="majorHAnsi" w:cstheme="majorHAnsi"/>
          <w:sz w:val="16"/>
          <w:szCs w:val="16"/>
        </w:rPr>
        <w:footnoteRef/>
      </w:r>
      <w:r w:rsidRPr="002B7F42">
        <w:rPr>
          <w:rFonts w:asciiTheme="majorHAnsi" w:hAnsiTheme="majorHAnsi" w:cstheme="majorHAnsi"/>
          <w:sz w:val="16"/>
          <w:szCs w:val="16"/>
        </w:rPr>
        <w:t xml:space="preserve"> CIDH, </w:t>
      </w:r>
      <w:r w:rsidRPr="002B7F42">
        <w:rPr>
          <w:rFonts w:asciiTheme="majorHAnsi" w:hAnsiTheme="majorHAnsi" w:cstheme="majorHAnsi"/>
          <w:i/>
          <w:iCs/>
          <w:sz w:val="16"/>
          <w:szCs w:val="16"/>
        </w:rPr>
        <w:t xml:space="preserve">Leopoldo López y Daniel Ceballos respecto de Venezuela </w:t>
      </w:r>
      <w:r w:rsidR="004F34FC" w:rsidRPr="002B7F42">
        <w:rPr>
          <w:rFonts w:asciiTheme="majorHAnsi" w:hAnsiTheme="majorHAnsi" w:cstheme="majorHAnsi"/>
          <w:sz w:val="16"/>
          <w:szCs w:val="16"/>
        </w:rPr>
        <w:t>(MC 335-14</w:t>
      </w:r>
      <w:r w:rsidRPr="002B7F42">
        <w:rPr>
          <w:rFonts w:asciiTheme="majorHAnsi" w:hAnsiTheme="majorHAnsi" w:cstheme="majorHAnsi"/>
          <w:sz w:val="16"/>
          <w:szCs w:val="16"/>
        </w:rPr>
        <w:t>), Resoluci</w:t>
      </w:r>
      <w:r w:rsidR="00F9269A" w:rsidRPr="002B7F42">
        <w:rPr>
          <w:rFonts w:asciiTheme="majorHAnsi" w:hAnsiTheme="majorHAnsi" w:cstheme="majorHAnsi"/>
          <w:sz w:val="16"/>
          <w:szCs w:val="16"/>
        </w:rPr>
        <w:t xml:space="preserve">ón 12/2015, 20 de abril de 2015; </w:t>
      </w:r>
      <w:r w:rsidRPr="002B7F42">
        <w:rPr>
          <w:rFonts w:asciiTheme="majorHAnsi" w:hAnsiTheme="majorHAnsi" w:cstheme="majorHAnsi"/>
          <w:sz w:val="16"/>
          <w:szCs w:val="16"/>
        </w:rPr>
        <w:t xml:space="preserve">CIDH, </w:t>
      </w:r>
      <w:r w:rsidRPr="002B7F42">
        <w:rPr>
          <w:rFonts w:asciiTheme="majorHAnsi" w:hAnsiTheme="majorHAnsi" w:cstheme="majorHAnsi"/>
          <w:i/>
          <w:iCs/>
          <w:sz w:val="16"/>
          <w:szCs w:val="16"/>
        </w:rPr>
        <w:t xml:space="preserve">Miembros del partido Voluntad Popular respecto de Venezuela </w:t>
      </w:r>
      <w:r w:rsidRPr="002B7F42">
        <w:rPr>
          <w:rFonts w:asciiTheme="majorHAnsi" w:hAnsiTheme="majorHAnsi" w:cstheme="majorHAnsi"/>
          <w:sz w:val="16"/>
          <w:szCs w:val="16"/>
        </w:rPr>
        <w:t>(MC-475-15), Resolución 1/17 de 14 de enero</w:t>
      </w:r>
      <w:r w:rsidR="00F9269A" w:rsidRPr="002B7F42">
        <w:rPr>
          <w:rFonts w:asciiTheme="majorHAnsi" w:hAnsiTheme="majorHAnsi" w:cstheme="majorHAnsi"/>
          <w:sz w:val="16"/>
          <w:szCs w:val="16"/>
        </w:rPr>
        <w:t>.</w:t>
      </w:r>
      <w:r w:rsidR="004F34FC" w:rsidRPr="002B7F42">
        <w:rPr>
          <w:rFonts w:asciiTheme="majorHAnsi" w:hAnsiTheme="majorHAnsi" w:cstheme="majorHAnsi"/>
          <w:sz w:val="16"/>
          <w:szCs w:val="16"/>
        </w:rPr>
        <w:t xml:space="preserve"> </w:t>
      </w:r>
      <w:r w:rsidR="00F9269A" w:rsidRPr="002B7F42">
        <w:rPr>
          <w:rFonts w:asciiTheme="majorHAnsi" w:hAnsiTheme="majorHAnsi" w:cstheme="majorHAnsi"/>
          <w:sz w:val="16"/>
          <w:szCs w:val="16"/>
        </w:rPr>
        <w:t>D</w:t>
      </w:r>
      <w:r w:rsidRPr="002B7F42">
        <w:rPr>
          <w:rFonts w:asciiTheme="majorHAnsi" w:hAnsiTheme="majorHAnsi" w:cstheme="majorHAnsi"/>
          <w:sz w:val="16"/>
          <w:szCs w:val="16"/>
        </w:rPr>
        <w:t>isponible en: http://www.oas.org/es/cidh/decisione</w:t>
      </w:r>
      <w:r w:rsidR="00F9269A" w:rsidRPr="002B7F42">
        <w:rPr>
          <w:rFonts w:asciiTheme="majorHAnsi" w:hAnsiTheme="majorHAnsi" w:cstheme="majorHAnsi"/>
          <w:sz w:val="16"/>
          <w:szCs w:val="16"/>
        </w:rPr>
        <w:t>s/pdf/2017/1-17MC475-15-VE.pdf;</w:t>
      </w:r>
      <w:r w:rsidRPr="002B7F42">
        <w:rPr>
          <w:rFonts w:asciiTheme="majorHAnsi" w:hAnsiTheme="majorHAnsi" w:cstheme="majorHAnsi"/>
          <w:sz w:val="16"/>
          <w:szCs w:val="16"/>
        </w:rPr>
        <w:t xml:space="preserve"> CIDH, </w:t>
      </w:r>
      <w:r w:rsidRPr="002B7F42">
        <w:rPr>
          <w:rFonts w:asciiTheme="majorHAnsi" w:hAnsiTheme="majorHAnsi" w:cstheme="majorHAnsi"/>
          <w:i/>
          <w:iCs/>
          <w:sz w:val="16"/>
          <w:szCs w:val="16"/>
        </w:rPr>
        <w:t xml:space="preserve">Luis Florido respecto de Venezuela, </w:t>
      </w:r>
      <w:r w:rsidRPr="002B7F42">
        <w:rPr>
          <w:rFonts w:asciiTheme="majorHAnsi" w:hAnsiTheme="majorHAnsi" w:cstheme="majorHAnsi"/>
          <w:sz w:val="16"/>
          <w:szCs w:val="16"/>
        </w:rPr>
        <w:t xml:space="preserve">Resolución </w:t>
      </w:r>
      <w:r w:rsidR="00F9269A" w:rsidRPr="002B7F42">
        <w:rPr>
          <w:rFonts w:asciiTheme="majorHAnsi" w:hAnsiTheme="majorHAnsi" w:cstheme="majorHAnsi"/>
          <w:sz w:val="16"/>
          <w:szCs w:val="16"/>
        </w:rPr>
        <w:t>No. 12/17, 7 de abril de 2017;</w:t>
      </w:r>
      <w:r w:rsidRPr="002B7F42">
        <w:rPr>
          <w:rFonts w:asciiTheme="majorHAnsi" w:hAnsiTheme="majorHAnsi" w:cstheme="majorHAnsi"/>
          <w:sz w:val="16"/>
          <w:szCs w:val="16"/>
        </w:rPr>
        <w:t xml:space="preserve"> CIDH, </w:t>
      </w:r>
      <w:r w:rsidRPr="002B7F42">
        <w:rPr>
          <w:rFonts w:asciiTheme="majorHAnsi" w:hAnsiTheme="majorHAnsi" w:cstheme="majorHAnsi"/>
          <w:i/>
          <w:iCs/>
          <w:sz w:val="16"/>
          <w:szCs w:val="16"/>
        </w:rPr>
        <w:t xml:space="preserve">Julio Borges y otros respecto de Venezuela (MC 403-17), </w:t>
      </w:r>
      <w:r w:rsidR="00F9269A" w:rsidRPr="002B7F42">
        <w:rPr>
          <w:rFonts w:asciiTheme="majorHAnsi" w:hAnsiTheme="majorHAnsi" w:cstheme="majorHAnsi"/>
          <w:sz w:val="16"/>
          <w:szCs w:val="16"/>
        </w:rPr>
        <w:t xml:space="preserve">Resolución 24/2017; </w:t>
      </w:r>
      <w:r w:rsidRPr="002B7F42">
        <w:rPr>
          <w:rFonts w:asciiTheme="majorHAnsi" w:hAnsiTheme="majorHAnsi" w:cstheme="majorHAnsi"/>
          <w:sz w:val="16"/>
          <w:szCs w:val="16"/>
        </w:rPr>
        <w:t xml:space="preserve">CIDH, </w:t>
      </w:r>
      <w:r w:rsidRPr="002B7F42">
        <w:rPr>
          <w:rFonts w:asciiTheme="majorHAnsi" w:hAnsiTheme="majorHAnsi" w:cstheme="majorHAnsi"/>
          <w:i/>
          <w:iCs/>
          <w:sz w:val="16"/>
          <w:szCs w:val="16"/>
        </w:rPr>
        <w:t xml:space="preserve">Henrique Capriles </w:t>
      </w:r>
      <w:proofErr w:type="spellStart"/>
      <w:r w:rsidRPr="002B7F42">
        <w:rPr>
          <w:rFonts w:asciiTheme="majorHAnsi" w:hAnsiTheme="majorHAnsi" w:cstheme="majorHAnsi"/>
          <w:i/>
          <w:iCs/>
          <w:sz w:val="16"/>
          <w:szCs w:val="16"/>
        </w:rPr>
        <w:t>Radonski</w:t>
      </w:r>
      <w:proofErr w:type="spellEnd"/>
      <w:r w:rsidRPr="002B7F42">
        <w:rPr>
          <w:rFonts w:asciiTheme="majorHAnsi" w:hAnsiTheme="majorHAnsi" w:cstheme="majorHAnsi"/>
          <w:i/>
          <w:iCs/>
          <w:sz w:val="16"/>
          <w:szCs w:val="16"/>
        </w:rPr>
        <w:t xml:space="preserve"> (MC 248-17), </w:t>
      </w:r>
      <w:r w:rsidRPr="002B7F42">
        <w:rPr>
          <w:rFonts w:asciiTheme="majorHAnsi" w:hAnsiTheme="majorHAnsi" w:cstheme="majorHAnsi"/>
          <w:sz w:val="16"/>
          <w:szCs w:val="16"/>
        </w:rPr>
        <w:t xml:space="preserve">Resolución 15/17, 2 de junio de 2017. Disponible en: </w:t>
      </w:r>
      <w:hyperlink r:id="rId7" w:history="1">
        <w:r w:rsidR="00F9269A" w:rsidRPr="002B7F42">
          <w:rPr>
            <w:rStyle w:val="Hyperlink"/>
            <w:rFonts w:asciiTheme="majorHAnsi" w:hAnsiTheme="majorHAnsi" w:cstheme="majorHAnsi"/>
            <w:sz w:val="16"/>
            <w:szCs w:val="16"/>
          </w:rPr>
          <w:t>http://www.oas.org/es/cidh/decisiones/pdf/2017/15-17MC248-17-VE.pdf</w:t>
        </w:r>
      </w:hyperlink>
      <w:r w:rsidR="00F9269A" w:rsidRPr="002B7F42">
        <w:rPr>
          <w:rFonts w:asciiTheme="majorHAnsi" w:hAnsiTheme="majorHAnsi" w:cstheme="majorHAnsi"/>
          <w:sz w:val="16"/>
          <w:szCs w:val="16"/>
        </w:rPr>
        <w:t xml:space="preserve">; </w:t>
      </w:r>
      <w:r w:rsidRPr="002B7F42">
        <w:rPr>
          <w:rFonts w:asciiTheme="majorHAnsi" w:hAnsiTheme="majorHAnsi" w:cstheme="majorHAnsi"/>
          <w:sz w:val="16"/>
          <w:szCs w:val="16"/>
        </w:rPr>
        <w:t xml:space="preserve">CIDH, </w:t>
      </w:r>
      <w:r w:rsidRPr="002B7F42">
        <w:rPr>
          <w:rFonts w:asciiTheme="majorHAnsi" w:hAnsiTheme="majorHAnsi" w:cstheme="majorHAnsi"/>
          <w:i/>
          <w:iCs/>
          <w:sz w:val="16"/>
          <w:szCs w:val="16"/>
        </w:rPr>
        <w:t xml:space="preserve">Williams Dávila respecto de Venezuela, </w:t>
      </w:r>
      <w:r w:rsidRPr="002B7F42">
        <w:rPr>
          <w:rFonts w:asciiTheme="majorHAnsi" w:hAnsiTheme="majorHAnsi" w:cstheme="majorHAnsi"/>
          <w:sz w:val="16"/>
          <w:szCs w:val="16"/>
        </w:rPr>
        <w:t>6 de septiembre de 2017 (MC 533-17), Resolución 3</w:t>
      </w:r>
      <w:r w:rsidR="00F9269A" w:rsidRPr="002B7F42">
        <w:rPr>
          <w:rFonts w:asciiTheme="majorHAnsi" w:hAnsiTheme="majorHAnsi" w:cstheme="majorHAnsi"/>
          <w:sz w:val="16"/>
          <w:szCs w:val="16"/>
        </w:rPr>
        <w:t>5/2017, 6 de septiembre de 2017,</w:t>
      </w:r>
      <w:r w:rsidRPr="002B7F42">
        <w:rPr>
          <w:rFonts w:asciiTheme="majorHAnsi" w:hAnsiTheme="majorHAnsi" w:cstheme="majorHAnsi"/>
          <w:sz w:val="16"/>
          <w:szCs w:val="16"/>
        </w:rPr>
        <w:t xml:space="preserve"> disponible en: </w:t>
      </w:r>
      <w:hyperlink r:id="rId8" w:history="1">
        <w:r w:rsidR="00F9269A" w:rsidRPr="002B7F42">
          <w:rPr>
            <w:rStyle w:val="Hyperlink"/>
            <w:rFonts w:asciiTheme="majorHAnsi" w:hAnsiTheme="majorHAnsi" w:cstheme="majorHAnsi"/>
            <w:sz w:val="16"/>
            <w:szCs w:val="16"/>
          </w:rPr>
          <w:t>http://www.oas.org/es/cidh/decisiones/pdf/2017/35-17MC533-17-VE.pdf</w:t>
        </w:r>
      </w:hyperlink>
      <w:r w:rsidR="00F9269A" w:rsidRPr="002B7F42">
        <w:rPr>
          <w:rFonts w:asciiTheme="majorHAnsi" w:hAnsiTheme="majorHAnsi" w:cstheme="majorHAnsi"/>
          <w:sz w:val="16"/>
          <w:szCs w:val="16"/>
        </w:rPr>
        <w:t xml:space="preserve">; </w:t>
      </w:r>
      <w:r w:rsidRPr="002B7F42">
        <w:rPr>
          <w:rFonts w:asciiTheme="majorHAnsi" w:hAnsiTheme="majorHAnsi" w:cstheme="majorHAnsi"/>
          <w:sz w:val="16"/>
          <w:szCs w:val="16"/>
        </w:rPr>
        <w:t xml:space="preserve">CIDH, </w:t>
      </w:r>
      <w:r w:rsidRPr="002B7F42">
        <w:rPr>
          <w:rFonts w:asciiTheme="majorHAnsi" w:hAnsiTheme="majorHAnsi" w:cstheme="majorHAnsi"/>
          <w:i/>
          <w:iCs/>
          <w:sz w:val="16"/>
          <w:szCs w:val="16"/>
        </w:rPr>
        <w:t xml:space="preserve">Juan Carlos </w:t>
      </w:r>
      <w:proofErr w:type="spellStart"/>
      <w:r w:rsidRPr="002B7F42">
        <w:rPr>
          <w:rFonts w:asciiTheme="majorHAnsi" w:hAnsiTheme="majorHAnsi" w:cstheme="majorHAnsi"/>
          <w:i/>
          <w:iCs/>
          <w:sz w:val="16"/>
          <w:szCs w:val="16"/>
        </w:rPr>
        <w:t>Requesens</w:t>
      </w:r>
      <w:proofErr w:type="spellEnd"/>
      <w:r w:rsidRPr="002B7F42">
        <w:rPr>
          <w:rFonts w:asciiTheme="majorHAnsi" w:hAnsiTheme="majorHAnsi" w:cstheme="majorHAnsi"/>
          <w:i/>
          <w:iCs/>
          <w:sz w:val="16"/>
          <w:szCs w:val="16"/>
        </w:rPr>
        <w:t xml:space="preserve"> Martínez respecto de Venezuela</w:t>
      </w:r>
      <w:r w:rsidR="00F9269A" w:rsidRPr="002B7F42">
        <w:rPr>
          <w:rFonts w:asciiTheme="majorHAnsi" w:hAnsiTheme="majorHAnsi" w:cstheme="majorHAnsi"/>
          <w:i/>
          <w:iCs/>
          <w:sz w:val="16"/>
          <w:szCs w:val="16"/>
        </w:rPr>
        <w:t xml:space="preserve"> </w:t>
      </w:r>
      <w:r w:rsidR="00F9269A" w:rsidRPr="002B7F42">
        <w:rPr>
          <w:rFonts w:asciiTheme="majorHAnsi" w:hAnsiTheme="majorHAnsi" w:cstheme="majorHAnsi"/>
          <w:iCs/>
          <w:sz w:val="16"/>
          <w:szCs w:val="16"/>
        </w:rPr>
        <w:t>(MC 1039-18), Resolución 79/2018</w:t>
      </w:r>
      <w:r w:rsidRPr="002B7F42">
        <w:rPr>
          <w:rFonts w:asciiTheme="majorHAnsi" w:hAnsiTheme="majorHAnsi" w:cstheme="majorHAnsi"/>
          <w:i/>
          <w:iCs/>
          <w:sz w:val="16"/>
          <w:szCs w:val="16"/>
        </w:rPr>
        <w:t xml:space="preserve">, </w:t>
      </w:r>
      <w:r w:rsidRPr="002B7F42">
        <w:rPr>
          <w:rFonts w:asciiTheme="majorHAnsi" w:hAnsiTheme="majorHAnsi" w:cstheme="majorHAnsi"/>
          <w:sz w:val="16"/>
          <w:szCs w:val="16"/>
        </w:rPr>
        <w:t xml:space="preserve">11 de octubre de 2018, disponible en: </w:t>
      </w:r>
      <w:hyperlink r:id="rId9" w:history="1">
        <w:r w:rsidR="00F9269A" w:rsidRPr="002B7F42">
          <w:rPr>
            <w:rStyle w:val="Hyperlink"/>
            <w:rFonts w:asciiTheme="majorHAnsi" w:hAnsiTheme="majorHAnsi" w:cstheme="majorHAnsi"/>
            <w:sz w:val="16"/>
            <w:szCs w:val="16"/>
          </w:rPr>
          <w:t>http://www.oas.org/es/cidh/decisiones/pdf/2018/79-18MC1039-18-VE.pdf</w:t>
        </w:r>
      </w:hyperlink>
      <w:r w:rsidR="00F9269A" w:rsidRPr="002B7F42">
        <w:rPr>
          <w:rFonts w:asciiTheme="majorHAnsi" w:hAnsiTheme="majorHAnsi" w:cstheme="majorHAnsi"/>
          <w:sz w:val="16"/>
          <w:szCs w:val="16"/>
        </w:rPr>
        <w:t xml:space="preserve">; CIDH, </w:t>
      </w:r>
      <w:r w:rsidR="00F9269A" w:rsidRPr="002B7F42">
        <w:rPr>
          <w:rFonts w:asciiTheme="majorHAnsi" w:hAnsiTheme="majorHAnsi" w:cstheme="majorHAnsi"/>
          <w:i/>
          <w:sz w:val="16"/>
          <w:szCs w:val="16"/>
        </w:rPr>
        <w:t xml:space="preserve">Juan Gerardo </w:t>
      </w:r>
      <w:proofErr w:type="spellStart"/>
      <w:r w:rsidR="00F9269A" w:rsidRPr="002B7F42">
        <w:rPr>
          <w:rFonts w:asciiTheme="majorHAnsi" w:hAnsiTheme="majorHAnsi" w:cstheme="majorHAnsi"/>
          <w:i/>
          <w:sz w:val="16"/>
          <w:szCs w:val="16"/>
        </w:rPr>
        <w:t>Guaidó</w:t>
      </w:r>
      <w:proofErr w:type="spellEnd"/>
      <w:r w:rsidR="00F9269A" w:rsidRPr="002B7F42">
        <w:rPr>
          <w:rFonts w:asciiTheme="majorHAnsi" w:hAnsiTheme="majorHAnsi" w:cstheme="majorHAnsi"/>
          <w:i/>
          <w:sz w:val="16"/>
          <w:szCs w:val="16"/>
        </w:rPr>
        <w:t xml:space="preserve"> Márquez respecto de Venezuela</w:t>
      </w:r>
      <w:r w:rsidR="00F9269A" w:rsidRPr="002B7F42">
        <w:rPr>
          <w:rFonts w:asciiTheme="majorHAnsi" w:hAnsiTheme="majorHAnsi" w:cstheme="majorHAnsi"/>
          <w:sz w:val="16"/>
          <w:szCs w:val="16"/>
        </w:rPr>
        <w:t xml:space="preserve"> (MC 70-19), Resolución 1/2019</w:t>
      </w:r>
      <w:r w:rsidR="00F9269A" w:rsidRPr="002B7F42">
        <w:rPr>
          <w:rFonts w:asciiTheme="majorHAnsi" w:hAnsiTheme="majorHAnsi" w:cstheme="majorHAnsi"/>
          <w:i/>
          <w:sz w:val="16"/>
          <w:szCs w:val="16"/>
        </w:rPr>
        <w:t xml:space="preserve">, </w:t>
      </w:r>
      <w:r w:rsidR="00F9269A" w:rsidRPr="002B7F42">
        <w:rPr>
          <w:rFonts w:asciiTheme="majorHAnsi" w:hAnsiTheme="majorHAnsi" w:cstheme="majorHAnsi"/>
          <w:sz w:val="16"/>
          <w:szCs w:val="16"/>
        </w:rPr>
        <w:t xml:space="preserve">25 de enero de 2019. Disponible en: </w:t>
      </w:r>
      <w:hyperlink r:id="rId10" w:history="1">
        <w:r w:rsidR="00F10192" w:rsidRPr="002B7F42">
          <w:rPr>
            <w:rStyle w:val="Hyperlink"/>
            <w:rFonts w:asciiTheme="majorHAnsi" w:hAnsiTheme="majorHAnsi" w:cstheme="majorHAnsi"/>
            <w:sz w:val="16"/>
            <w:szCs w:val="16"/>
          </w:rPr>
          <w:t>http://www.oas.org/es/cidh/prensa/comunicados/2019/017A.pdf</w:t>
        </w:r>
      </w:hyperlink>
      <w:r w:rsidR="00F10192" w:rsidRPr="002B7F42">
        <w:rPr>
          <w:rFonts w:asciiTheme="majorHAnsi" w:hAnsiTheme="majorHAnsi" w:cstheme="majorHAnsi"/>
          <w:sz w:val="16"/>
          <w:szCs w:val="16"/>
        </w:rPr>
        <w:t xml:space="preserve">; CIDH, Roberto Marrero y Sergio Vergara respecto de Venezuela (Ampliación, MC 70-19), </w:t>
      </w:r>
      <w:r w:rsidR="00446809" w:rsidRPr="002B7F42">
        <w:rPr>
          <w:rFonts w:asciiTheme="majorHAnsi" w:hAnsiTheme="majorHAnsi" w:cstheme="majorHAnsi"/>
          <w:sz w:val="16"/>
          <w:szCs w:val="16"/>
        </w:rPr>
        <w:t>r</w:t>
      </w:r>
      <w:r w:rsidR="00F10192" w:rsidRPr="002B7F42">
        <w:rPr>
          <w:rFonts w:asciiTheme="majorHAnsi" w:hAnsiTheme="majorHAnsi" w:cstheme="majorHAnsi"/>
          <w:sz w:val="16"/>
          <w:szCs w:val="16"/>
        </w:rPr>
        <w:t>esolución 16/2019, 27 de marzo de 2019. Disponible en: http://www.oas.org/es/cidh/decisiones/pdf/2019/16-19MC70-19-VE-Ampliacion.pdf</w:t>
      </w:r>
    </w:p>
  </w:footnote>
  <w:footnote w:id="21">
    <w:p w:rsidR="00C17414" w:rsidRPr="002B7F42" w:rsidRDefault="00C17414" w:rsidP="00B77594">
      <w:pPr>
        <w:pStyle w:val="FootnoteText"/>
        <w:jc w:val="both"/>
        <w:rPr>
          <w:rFonts w:asciiTheme="majorHAnsi" w:hAnsiTheme="majorHAnsi" w:cstheme="majorHAnsi"/>
          <w:sz w:val="16"/>
          <w:szCs w:val="16"/>
        </w:rPr>
      </w:pPr>
      <w:r w:rsidRPr="002B7F42">
        <w:rPr>
          <w:rStyle w:val="FootnoteReference"/>
          <w:rFonts w:asciiTheme="majorHAnsi" w:hAnsiTheme="majorHAnsi" w:cstheme="majorHAnsi"/>
          <w:sz w:val="16"/>
          <w:szCs w:val="16"/>
        </w:rPr>
        <w:footnoteRef/>
      </w:r>
      <w:r w:rsidRPr="002B7F42">
        <w:rPr>
          <w:rFonts w:asciiTheme="majorHAnsi" w:hAnsiTheme="majorHAnsi" w:cstheme="majorHAnsi"/>
          <w:sz w:val="16"/>
          <w:szCs w:val="16"/>
        </w:rPr>
        <w:t xml:space="preserve"> En el mes de julio</w:t>
      </w:r>
      <w:r w:rsidR="00245A17" w:rsidRPr="002B7F42">
        <w:rPr>
          <w:rFonts w:asciiTheme="majorHAnsi" w:hAnsiTheme="majorHAnsi" w:cstheme="majorHAnsi"/>
          <w:sz w:val="16"/>
          <w:szCs w:val="16"/>
        </w:rPr>
        <w:t xml:space="preserve"> de 2016</w:t>
      </w:r>
      <w:r w:rsidRPr="002B7F42">
        <w:rPr>
          <w:rFonts w:asciiTheme="majorHAnsi" w:hAnsiTheme="majorHAnsi" w:cstheme="majorHAnsi"/>
          <w:sz w:val="16"/>
          <w:szCs w:val="16"/>
        </w:rPr>
        <w:t xml:space="preserve">, la Contraloría General de la República emitió una serie de resoluciones administrativas de inhabilitación para ejercer cargos públicos contra dirigentes de la coalición de oposición Mesa de la Unidad Democrática (MUD). Dichas resoluciones fueron dictadas </w:t>
      </w:r>
      <w:r w:rsidR="00245A17" w:rsidRPr="002B7F42">
        <w:rPr>
          <w:rFonts w:asciiTheme="majorHAnsi" w:hAnsiTheme="majorHAnsi" w:cstheme="majorHAnsi"/>
          <w:sz w:val="16"/>
          <w:szCs w:val="16"/>
        </w:rPr>
        <w:t xml:space="preserve">inclusive en </w:t>
      </w:r>
      <w:r w:rsidRPr="002B7F42">
        <w:rPr>
          <w:rFonts w:asciiTheme="majorHAnsi" w:hAnsiTheme="majorHAnsi" w:cstheme="majorHAnsi"/>
          <w:sz w:val="16"/>
          <w:szCs w:val="16"/>
        </w:rPr>
        <w:t>contra</w:t>
      </w:r>
      <w:r w:rsidR="00245A17" w:rsidRPr="002B7F42">
        <w:rPr>
          <w:rFonts w:asciiTheme="majorHAnsi" w:hAnsiTheme="majorHAnsi" w:cstheme="majorHAnsi"/>
          <w:sz w:val="16"/>
          <w:szCs w:val="16"/>
        </w:rPr>
        <w:t xml:space="preserve"> de la propuesta beneficiaria</w:t>
      </w:r>
      <w:r w:rsidRPr="002B7F42">
        <w:rPr>
          <w:rFonts w:asciiTheme="majorHAnsi" w:hAnsiTheme="majorHAnsi" w:cstheme="majorHAnsi"/>
          <w:sz w:val="16"/>
          <w:szCs w:val="16"/>
        </w:rPr>
        <w:t xml:space="preserve"> María Corina Machado,</w:t>
      </w:r>
      <w:r w:rsidR="00245A17" w:rsidRPr="002B7F42">
        <w:rPr>
          <w:rFonts w:asciiTheme="majorHAnsi" w:hAnsiTheme="majorHAnsi" w:cstheme="majorHAnsi"/>
          <w:sz w:val="16"/>
          <w:szCs w:val="16"/>
        </w:rPr>
        <w:t xml:space="preserve"> además de</w:t>
      </w:r>
      <w:r w:rsidR="008C1028" w:rsidRPr="002B7F42">
        <w:rPr>
          <w:rFonts w:asciiTheme="majorHAnsi" w:hAnsiTheme="majorHAnsi" w:cstheme="majorHAnsi"/>
          <w:sz w:val="16"/>
          <w:szCs w:val="16"/>
        </w:rPr>
        <w:t xml:space="preserve"> </w:t>
      </w:r>
      <w:r w:rsidR="00245A17" w:rsidRPr="002B7F42">
        <w:rPr>
          <w:rFonts w:asciiTheme="majorHAnsi" w:hAnsiTheme="majorHAnsi" w:cstheme="majorHAnsi"/>
          <w:sz w:val="16"/>
          <w:szCs w:val="16"/>
        </w:rPr>
        <w:t>l</w:t>
      </w:r>
      <w:r w:rsidR="008C1028" w:rsidRPr="002B7F42">
        <w:rPr>
          <w:rFonts w:asciiTheme="majorHAnsi" w:hAnsiTheme="majorHAnsi" w:cstheme="majorHAnsi"/>
          <w:sz w:val="16"/>
          <w:szCs w:val="16"/>
        </w:rPr>
        <w:t>os</w:t>
      </w:r>
      <w:r w:rsidR="00245A17" w:rsidRPr="002B7F42">
        <w:rPr>
          <w:rFonts w:asciiTheme="majorHAnsi" w:hAnsiTheme="majorHAnsi" w:cstheme="majorHAnsi"/>
          <w:sz w:val="16"/>
          <w:szCs w:val="16"/>
        </w:rPr>
        <w:t xml:space="preserve"> señores</w:t>
      </w:r>
      <w:r w:rsidRPr="002B7F42">
        <w:rPr>
          <w:rFonts w:asciiTheme="majorHAnsi" w:hAnsiTheme="majorHAnsi" w:cstheme="majorHAnsi"/>
          <w:sz w:val="16"/>
          <w:szCs w:val="16"/>
        </w:rPr>
        <w:t xml:space="preserve"> Enzo </w:t>
      </w:r>
      <w:proofErr w:type="spellStart"/>
      <w:r w:rsidRPr="002B7F42">
        <w:rPr>
          <w:rFonts w:asciiTheme="majorHAnsi" w:hAnsiTheme="majorHAnsi" w:cstheme="majorHAnsi"/>
          <w:sz w:val="16"/>
          <w:szCs w:val="16"/>
        </w:rPr>
        <w:t>Scarano</w:t>
      </w:r>
      <w:proofErr w:type="spellEnd"/>
      <w:r w:rsidRPr="002B7F42">
        <w:rPr>
          <w:rFonts w:asciiTheme="majorHAnsi" w:hAnsiTheme="majorHAnsi" w:cstheme="majorHAnsi"/>
          <w:sz w:val="16"/>
          <w:szCs w:val="16"/>
        </w:rPr>
        <w:t xml:space="preserve"> y Daniel Ceballos por 12 meses; y contra </w:t>
      </w:r>
      <w:r w:rsidR="00245A17" w:rsidRPr="002B7F42">
        <w:rPr>
          <w:rFonts w:asciiTheme="majorHAnsi" w:hAnsiTheme="majorHAnsi" w:cstheme="majorHAnsi"/>
          <w:sz w:val="16"/>
          <w:szCs w:val="16"/>
        </w:rPr>
        <w:t xml:space="preserve">el señor </w:t>
      </w:r>
      <w:r w:rsidRPr="002B7F42">
        <w:rPr>
          <w:rFonts w:asciiTheme="majorHAnsi" w:hAnsiTheme="majorHAnsi" w:cstheme="majorHAnsi"/>
          <w:sz w:val="16"/>
          <w:szCs w:val="16"/>
        </w:rPr>
        <w:t>Pablo Pérez por 10 años. En vista de esto, y conforme a las facultades establecidas en el artículo 18 de su Estatuto, el 31 de julio, la Comisión solicitó información al Estado sobre la base legal para la imposición de dichas inhabilitaciones, así como sobre si éstas impedirían la inscripción de los posibles candidatos de oposición en los citados comicios. El Estado no presentó su respuesta. Ver CIDH, Informe Anual 2015, Capítulo IV. Venezuela, 16 de marzo de 2016, párr.1</w:t>
      </w:r>
    </w:p>
  </w:footnote>
  <w:footnote w:id="22">
    <w:p w:rsidR="00CE7EE0" w:rsidRPr="002B7F42" w:rsidRDefault="00CE7EE0" w:rsidP="00B77594">
      <w:pPr>
        <w:pStyle w:val="FootnoteText"/>
        <w:jc w:val="both"/>
        <w:rPr>
          <w:rFonts w:asciiTheme="majorHAnsi" w:hAnsiTheme="majorHAnsi" w:cstheme="majorHAnsi"/>
          <w:sz w:val="16"/>
          <w:szCs w:val="16"/>
        </w:rPr>
      </w:pPr>
      <w:r w:rsidRPr="002B7F42">
        <w:rPr>
          <w:rStyle w:val="FootnoteReference"/>
          <w:rFonts w:asciiTheme="majorHAnsi" w:hAnsiTheme="majorHAnsi" w:cstheme="majorHAnsi"/>
          <w:sz w:val="16"/>
          <w:szCs w:val="16"/>
        </w:rPr>
        <w:footnoteRef/>
      </w:r>
      <w:r w:rsidRPr="002B7F42">
        <w:rPr>
          <w:rFonts w:asciiTheme="majorHAnsi" w:hAnsiTheme="majorHAnsi" w:cstheme="majorHAnsi"/>
          <w:sz w:val="16"/>
          <w:szCs w:val="16"/>
        </w:rPr>
        <w:t xml:space="preserve"> CIDH, Informe Anual 2015, Capítulo IV. Venezuela, 16 de marzo de 2016, párr.76.</w:t>
      </w:r>
    </w:p>
  </w:footnote>
  <w:footnote w:id="23">
    <w:p w:rsidR="002C4134" w:rsidRPr="002B7F42" w:rsidRDefault="002C4134" w:rsidP="00B77594">
      <w:pPr>
        <w:pStyle w:val="FootnoteText"/>
        <w:jc w:val="both"/>
        <w:rPr>
          <w:rFonts w:asciiTheme="majorHAnsi" w:hAnsiTheme="majorHAnsi" w:cstheme="majorHAnsi"/>
          <w:sz w:val="16"/>
          <w:szCs w:val="16"/>
        </w:rPr>
      </w:pPr>
      <w:r w:rsidRPr="002B7F42">
        <w:rPr>
          <w:rStyle w:val="FootnoteReference"/>
          <w:rFonts w:asciiTheme="majorHAnsi" w:hAnsiTheme="majorHAnsi" w:cstheme="majorHAnsi"/>
          <w:sz w:val="16"/>
          <w:szCs w:val="16"/>
        </w:rPr>
        <w:footnoteRef/>
      </w:r>
      <w:r w:rsidRPr="002B7F42">
        <w:rPr>
          <w:rFonts w:asciiTheme="majorHAnsi" w:hAnsiTheme="majorHAnsi" w:cstheme="majorHAnsi"/>
          <w:sz w:val="16"/>
          <w:szCs w:val="16"/>
        </w:rPr>
        <w:t xml:space="preserve"> CIDH, Resolución 3/2019. MC-115-19. Oswaldo García Palomo y otros respecto de Venezuela, 19 de febrero de 2019. Disponible en: http://www.oas.org/es/cidh/decisiones/pdf/2019/3-19MC115-19-VE.pdf; CIDH, Resolución 8/2019. MC-83-19. Luis Alexander </w:t>
      </w:r>
      <w:proofErr w:type="spellStart"/>
      <w:r w:rsidRPr="002B7F42">
        <w:rPr>
          <w:rFonts w:asciiTheme="majorHAnsi" w:hAnsiTheme="majorHAnsi" w:cstheme="majorHAnsi"/>
          <w:sz w:val="16"/>
          <w:szCs w:val="16"/>
        </w:rPr>
        <w:t>Bandres</w:t>
      </w:r>
      <w:proofErr w:type="spellEnd"/>
      <w:r w:rsidRPr="002B7F42">
        <w:rPr>
          <w:rFonts w:asciiTheme="majorHAnsi" w:hAnsiTheme="majorHAnsi" w:cstheme="majorHAnsi"/>
          <w:sz w:val="16"/>
          <w:szCs w:val="16"/>
        </w:rPr>
        <w:t xml:space="preserve"> Figueroa respecto de Venezuela, 28 de febrero de 2019. Disponible en: http://www.oas.org/es/cidh/decisiones/pdf/2019/8-18MC83-19-VE.pdf; CIDH, Resolución 9/2019. MC-1302-18. </w:t>
      </w:r>
      <w:proofErr w:type="spellStart"/>
      <w:r w:rsidRPr="002B7F42">
        <w:rPr>
          <w:rFonts w:asciiTheme="majorHAnsi" w:hAnsiTheme="majorHAnsi" w:cstheme="majorHAnsi"/>
          <w:sz w:val="16"/>
          <w:szCs w:val="16"/>
        </w:rPr>
        <w:t>Isbert</w:t>
      </w:r>
      <w:proofErr w:type="spellEnd"/>
      <w:r w:rsidRPr="002B7F42">
        <w:rPr>
          <w:rFonts w:asciiTheme="majorHAnsi" w:hAnsiTheme="majorHAnsi" w:cstheme="majorHAnsi"/>
          <w:sz w:val="16"/>
          <w:szCs w:val="16"/>
        </w:rPr>
        <w:t xml:space="preserve"> José Marín Chaparro respecto de Venezuela, 4 de marzo de 2019. Disponible en: http://www.oas.org/es/cidh/decisiones/pdf/2019/9-19MC1302-18-VE.pdf.</w:t>
      </w:r>
    </w:p>
  </w:footnote>
  <w:footnote w:id="24">
    <w:p w:rsidR="00446809" w:rsidRPr="002B7F42" w:rsidRDefault="00446809" w:rsidP="00446809">
      <w:pPr>
        <w:pStyle w:val="FootnoteText"/>
        <w:jc w:val="both"/>
        <w:rPr>
          <w:rFonts w:asciiTheme="majorHAnsi" w:hAnsiTheme="majorHAnsi"/>
          <w:sz w:val="16"/>
          <w:szCs w:val="16"/>
        </w:rPr>
      </w:pPr>
      <w:r w:rsidRPr="002B7F42">
        <w:rPr>
          <w:rStyle w:val="FootnoteReference"/>
          <w:rFonts w:asciiTheme="majorHAnsi" w:hAnsiTheme="majorHAnsi"/>
          <w:sz w:val="16"/>
          <w:szCs w:val="16"/>
        </w:rPr>
        <w:footnoteRef/>
      </w:r>
      <w:r w:rsidRPr="002B7F42">
        <w:rPr>
          <w:rFonts w:asciiTheme="majorHAnsi" w:hAnsiTheme="majorHAnsi"/>
          <w:sz w:val="16"/>
          <w:szCs w:val="16"/>
        </w:rPr>
        <w:t xml:space="preserve"> CIDH, CIDH expresa alarma y preocupación por la muerte del Capitán Rafael Acosta Arévalo bajo custodia en Venezuela, comunicado de prensa 167/19 de 3 de julio de 2019, disponible en </w:t>
      </w:r>
      <w:hyperlink r:id="rId11" w:history="1">
        <w:r w:rsidRPr="002B7F42">
          <w:rPr>
            <w:rStyle w:val="Hyperlink"/>
            <w:rFonts w:asciiTheme="majorHAnsi" w:hAnsiTheme="majorHAnsi"/>
            <w:sz w:val="16"/>
            <w:szCs w:val="16"/>
          </w:rPr>
          <w:t>http://www.oas.org/es/cidh/prensa/comunicados/2019/167.asp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FBF" w:rsidRPr="00C7126F" w:rsidRDefault="00C33AB6" w:rsidP="004A4FBF">
    <w:pPr>
      <w:tabs>
        <w:tab w:val="left" w:pos="4040"/>
        <w:tab w:val="left" w:pos="4333"/>
        <w:tab w:val="center" w:pos="4680"/>
        <w:tab w:val="right" w:pos="9360"/>
      </w:tabs>
      <w:spacing w:after="0" w:line="240" w:lineRule="auto"/>
      <w:jc w:val="both"/>
      <w:rPr>
        <w:rFonts w:ascii="Cambria" w:hAnsi="Cambria"/>
        <w:sz w:val="21"/>
        <w:szCs w:val="21"/>
      </w:rPr>
    </w:pPr>
    <w:r w:rsidRPr="00C7126F">
      <w:rPr>
        <w:rFonts w:ascii="Cambria" w:hAnsi="Cambria"/>
        <w:noProof/>
        <w:sz w:val="21"/>
        <w:szCs w:val="21"/>
        <w:lang w:eastAsia="es-US"/>
      </w:rPr>
      <w:drawing>
        <wp:inline distT="0" distB="0" distL="0" distR="0" wp14:anchorId="127D3E3D" wp14:editId="69C973BD">
          <wp:extent cx="2352040" cy="449580"/>
          <wp:effectExtent l="0" t="0" r="0" b="7620"/>
          <wp:docPr id="4" name="Picture 4"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040" cy="449580"/>
                  </a:xfrm>
                  <a:prstGeom prst="rect">
                    <a:avLst/>
                  </a:prstGeom>
                  <a:noFill/>
                  <a:ln>
                    <a:noFill/>
                  </a:ln>
                </pic:spPr>
              </pic:pic>
            </a:graphicData>
          </a:graphic>
        </wp:inline>
      </w:drawing>
    </w:r>
    <w:r w:rsidRPr="00C7126F">
      <w:rPr>
        <w:rFonts w:ascii="Cambria" w:hAnsi="Cambria"/>
        <w:sz w:val="21"/>
        <w:szCs w:val="21"/>
      </w:rPr>
      <w:tab/>
    </w:r>
    <w:r w:rsidRPr="00C7126F">
      <w:rPr>
        <w:rFonts w:ascii="Cambria" w:hAnsi="Cambria"/>
        <w:sz w:val="21"/>
        <w:szCs w:val="21"/>
      </w:rPr>
      <w:tab/>
    </w:r>
    <w:r w:rsidRPr="00C7126F">
      <w:rPr>
        <w:rFonts w:ascii="Cambria" w:hAnsi="Cambria"/>
        <w:sz w:val="21"/>
        <w:szCs w:val="21"/>
      </w:rPr>
      <w:tab/>
    </w:r>
    <w:r w:rsidRPr="00C7126F">
      <w:rPr>
        <w:rFonts w:ascii="Cambria" w:hAnsi="Cambria"/>
        <w:sz w:val="21"/>
        <w:szCs w:val="21"/>
      </w:rPr>
      <w:tab/>
    </w:r>
    <w:r w:rsidRPr="00C7126F">
      <w:rPr>
        <w:rFonts w:ascii="Cambria" w:hAnsi="Cambria"/>
        <w:noProof/>
        <w:sz w:val="21"/>
        <w:szCs w:val="21"/>
        <w:lang w:eastAsia="es-US"/>
      </w:rPr>
      <w:drawing>
        <wp:inline distT="0" distB="0" distL="0" distR="0" wp14:anchorId="706A01BC" wp14:editId="2DD16E9A">
          <wp:extent cx="2103755" cy="539115"/>
          <wp:effectExtent l="0" t="0" r="0" b="0"/>
          <wp:docPr id="3" name="Picture 3"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3755" cy="539115"/>
                  </a:xfrm>
                  <a:prstGeom prst="rect">
                    <a:avLst/>
                  </a:prstGeom>
                  <a:noFill/>
                  <a:ln>
                    <a:noFill/>
                  </a:ln>
                </pic:spPr>
              </pic:pic>
            </a:graphicData>
          </a:graphic>
        </wp:inline>
      </w:drawing>
    </w:r>
  </w:p>
  <w:p w:rsidR="004A4FBF" w:rsidRPr="00C7126F" w:rsidRDefault="00155B61" w:rsidP="004A4FBF">
    <w:pPr>
      <w:pBdr>
        <w:bottom w:val="single" w:sz="6" w:space="1" w:color="auto"/>
      </w:pBdr>
      <w:tabs>
        <w:tab w:val="center" w:pos="4680"/>
        <w:tab w:val="right" w:pos="9360"/>
      </w:tabs>
      <w:spacing w:after="0" w:line="240" w:lineRule="auto"/>
      <w:rPr>
        <w:rFonts w:ascii="Cambria" w:eastAsia="Batang" w:hAnsi="Cambria"/>
        <w:sz w:val="21"/>
        <w:szCs w:val="21"/>
        <w:lang w:val="es-ES"/>
      </w:rPr>
    </w:pPr>
  </w:p>
  <w:p w:rsidR="00C7126F" w:rsidRPr="00C7126F" w:rsidRDefault="00155B61" w:rsidP="004A4FBF">
    <w:pPr>
      <w:spacing w:after="0" w:line="240" w:lineRule="auto"/>
      <w:rPr>
        <w:rFonts w:ascii="Cambria" w:hAnsi="Cambria"/>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5919"/>
    <w:multiLevelType w:val="hybridMultilevel"/>
    <w:tmpl w:val="F34A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75E6C"/>
    <w:multiLevelType w:val="hybridMultilevel"/>
    <w:tmpl w:val="57C47E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B1E3D"/>
    <w:multiLevelType w:val="hybridMultilevel"/>
    <w:tmpl w:val="E6A2837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C3D40"/>
    <w:multiLevelType w:val="hybridMultilevel"/>
    <w:tmpl w:val="56986ACA"/>
    <w:lvl w:ilvl="0" w:tplc="77821C90">
      <w:start w:val="1"/>
      <w:numFmt w:val="decimal"/>
      <w:lvlText w:val="%1."/>
      <w:lvlJc w:val="left"/>
      <w:pPr>
        <w:ind w:left="720" w:hanging="360"/>
      </w:pPr>
      <w:rPr>
        <w:rFonts w:hint="default"/>
      </w:rPr>
    </w:lvl>
    <w:lvl w:ilvl="1" w:tplc="4CD26B6C">
      <w:start w:val="1"/>
      <w:numFmt w:val="upperLetter"/>
      <w:lvlText w:val="%2."/>
      <w:lvlJc w:val="left"/>
      <w:pPr>
        <w:ind w:left="1440" w:hanging="360"/>
      </w:pPr>
      <w:rPr>
        <w:rFonts w:hint="default"/>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15:restartNumberingAfterBreak="0">
    <w:nsid w:val="413C5518"/>
    <w:multiLevelType w:val="hybridMultilevel"/>
    <w:tmpl w:val="F34A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440EFD"/>
    <w:multiLevelType w:val="hybridMultilevel"/>
    <w:tmpl w:val="F34A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D216E"/>
    <w:multiLevelType w:val="hybridMultilevel"/>
    <w:tmpl w:val="F34A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6C447B"/>
    <w:multiLevelType w:val="hybridMultilevel"/>
    <w:tmpl w:val="F34A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980990"/>
    <w:multiLevelType w:val="hybridMultilevel"/>
    <w:tmpl w:val="F34A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A26FB9"/>
    <w:multiLevelType w:val="hybridMultilevel"/>
    <w:tmpl w:val="B7ACC1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BE6FA9"/>
    <w:multiLevelType w:val="hybridMultilevel"/>
    <w:tmpl w:val="404E523E"/>
    <w:lvl w:ilvl="0" w:tplc="7700E102">
      <w:start w:val="1"/>
      <w:numFmt w:val="upperRoman"/>
      <w:lvlText w:val="%1."/>
      <w:lvlJc w:val="right"/>
      <w:pPr>
        <w:ind w:left="720" w:hanging="360"/>
      </w:pPr>
      <w:rPr>
        <w:lang w:val="es-C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2"/>
  </w:num>
  <w:num w:numId="5">
    <w:abstractNumId w:val="1"/>
  </w:num>
  <w:num w:numId="6">
    <w:abstractNumId w:val="7"/>
  </w:num>
  <w:num w:numId="7">
    <w:abstractNumId w:val="6"/>
  </w:num>
  <w:num w:numId="8">
    <w:abstractNumId w:val="8"/>
  </w:num>
  <w:num w:numId="9">
    <w:abstractNumId w:val="4"/>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47"/>
    <w:rsid w:val="00004A09"/>
    <w:rsid w:val="00034E45"/>
    <w:rsid w:val="00035374"/>
    <w:rsid w:val="000519A9"/>
    <w:rsid w:val="00052BE4"/>
    <w:rsid w:val="00065BA6"/>
    <w:rsid w:val="00077925"/>
    <w:rsid w:val="00080731"/>
    <w:rsid w:val="00084763"/>
    <w:rsid w:val="000920AB"/>
    <w:rsid w:val="00094090"/>
    <w:rsid w:val="00097DDB"/>
    <w:rsid w:val="000A108A"/>
    <w:rsid w:val="000A299C"/>
    <w:rsid w:val="000A59CE"/>
    <w:rsid w:val="000C0DCC"/>
    <w:rsid w:val="000C1AF4"/>
    <w:rsid w:val="000C47F6"/>
    <w:rsid w:val="000C7706"/>
    <w:rsid w:val="000D0FC4"/>
    <w:rsid w:val="000D200D"/>
    <w:rsid w:val="000D4BEB"/>
    <w:rsid w:val="000E2402"/>
    <w:rsid w:val="000E4FC1"/>
    <w:rsid w:val="00106769"/>
    <w:rsid w:val="0011718D"/>
    <w:rsid w:val="001329A6"/>
    <w:rsid w:val="001447EC"/>
    <w:rsid w:val="001538C6"/>
    <w:rsid w:val="00155B61"/>
    <w:rsid w:val="0017531D"/>
    <w:rsid w:val="001A3AA0"/>
    <w:rsid w:val="001B57DD"/>
    <w:rsid w:val="001B7038"/>
    <w:rsid w:val="001C2DA3"/>
    <w:rsid w:val="001D11DB"/>
    <w:rsid w:val="001F07D2"/>
    <w:rsid w:val="00201F29"/>
    <w:rsid w:val="0020599F"/>
    <w:rsid w:val="00223927"/>
    <w:rsid w:val="0022613F"/>
    <w:rsid w:val="00245A17"/>
    <w:rsid w:val="002646D3"/>
    <w:rsid w:val="00265385"/>
    <w:rsid w:val="00284408"/>
    <w:rsid w:val="002973BA"/>
    <w:rsid w:val="002A6937"/>
    <w:rsid w:val="002B5AE2"/>
    <w:rsid w:val="002B7F42"/>
    <w:rsid w:val="002C1124"/>
    <w:rsid w:val="002C2A4B"/>
    <w:rsid w:val="002C4134"/>
    <w:rsid w:val="002C4C23"/>
    <w:rsid w:val="002C5E68"/>
    <w:rsid w:val="002F58F4"/>
    <w:rsid w:val="00337D6D"/>
    <w:rsid w:val="00343A54"/>
    <w:rsid w:val="0035237E"/>
    <w:rsid w:val="00375BBE"/>
    <w:rsid w:val="003D1308"/>
    <w:rsid w:val="003F4869"/>
    <w:rsid w:val="00402286"/>
    <w:rsid w:val="004163FA"/>
    <w:rsid w:val="0041748B"/>
    <w:rsid w:val="00423AA9"/>
    <w:rsid w:val="0043492A"/>
    <w:rsid w:val="00446809"/>
    <w:rsid w:val="00451864"/>
    <w:rsid w:val="00496A21"/>
    <w:rsid w:val="004A287A"/>
    <w:rsid w:val="004A70C6"/>
    <w:rsid w:val="004B4CED"/>
    <w:rsid w:val="004D06D3"/>
    <w:rsid w:val="004D3CAC"/>
    <w:rsid w:val="004D7495"/>
    <w:rsid w:val="004E00D0"/>
    <w:rsid w:val="004E50E5"/>
    <w:rsid w:val="004F34FC"/>
    <w:rsid w:val="005170A9"/>
    <w:rsid w:val="00521718"/>
    <w:rsid w:val="00523981"/>
    <w:rsid w:val="00524274"/>
    <w:rsid w:val="005534A3"/>
    <w:rsid w:val="00585EBB"/>
    <w:rsid w:val="00586B92"/>
    <w:rsid w:val="00593F61"/>
    <w:rsid w:val="005955F4"/>
    <w:rsid w:val="005B4111"/>
    <w:rsid w:val="005D2B14"/>
    <w:rsid w:val="00602835"/>
    <w:rsid w:val="00661F5C"/>
    <w:rsid w:val="00670ECD"/>
    <w:rsid w:val="006835CA"/>
    <w:rsid w:val="00692403"/>
    <w:rsid w:val="006C5F74"/>
    <w:rsid w:val="006D2955"/>
    <w:rsid w:val="006E05B2"/>
    <w:rsid w:val="006F2603"/>
    <w:rsid w:val="006F42F9"/>
    <w:rsid w:val="00720C6C"/>
    <w:rsid w:val="0077397C"/>
    <w:rsid w:val="00775044"/>
    <w:rsid w:val="007825C9"/>
    <w:rsid w:val="00796F91"/>
    <w:rsid w:val="007C67B6"/>
    <w:rsid w:val="007D6846"/>
    <w:rsid w:val="007E302A"/>
    <w:rsid w:val="007F4F22"/>
    <w:rsid w:val="007F6C74"/>
    <w:rsid w:val="008165D3"/>
    <w:rsid w:val="00831807"/>
    <w:rsid w:val="00853AB7"/>
    <w:rsid w:val="00861374"/>
    <w:rsid w:val="008747B5"/>
    <w:rsid w:val="00874D97"/>
    <w:rsid w:val="008A5FC6"/>
    <w:rsid w:val="008C1028"/>
    <w:rsid w:val="008F30D8"/>
    <w:rsid w:val="008F559C"/>
    <w:rsid w:val="00903883"/>
    <w:rsid w:val="00922416"/>
    <w:rsid w:val="00943D6E"/>
    <w:rsid w:val="00983C4F"/>
    <w:rsid w:val="009A664D"/>
    <w:rsid w:val="009B69B6"/>
    <w:rsid w:val="009B7495"/>
    <w:rsid w:val="009D6FDA"/>
    <w:rsid w:val="009F0FD8"/>
    <w:rsid w:val="00A10F63"/>
    <w:rsid w:val="00A13A27"/>
    <w:rsid w:val="00A267EB"/>
    <w:rsid w:val="00A41DCB"/>
    <w:rsid w:val="00A518F1"/>
    <w:rsid w:val="00A757A8"/>
    <w:rsid w:val="00A9278D"/>
    <w:rsid w:val="00A92E29"/>
    <w:rsid w:val="00AA481A"/>
    <w:rsid w:val="00AC5605"/>
    <w:rsid w:val="00B064D9"/>
    <w:rsid w:val="00B15283"/>
    <w:rsid w:val="00B522B9"/>
    <w:rsid w:val="00B77594"/>
    <w:rsid w:val="00B8399F"/>
    <w:rsid w:val="00B926D7"/>
    <w:rsid w:val="00B92C6F"/>
    <w:rsid w:val="00B92D98"/>
    <w:rsid w:val="00BB1D72"/>
    <w:rsid w:val="00BB3141"/>
    <w:rsid w:val="00BB4CF1"/>
    <w:rsid w:val="00BC113B"/>
    <w:rsid w:val="00BD2AAB"/>
    <w:rsid w:val="00BD3544"/>
    <w:rsid w:val="00C043EE"/>
    <w:rsid w:val="00C15C40"/>
    <w:rsid w:val="00C17414"/>
    <w:rsid w:val="00C33AB6"/>
    <w:rsid w:val="00C419CB"/>
    <w:rsid w:val="00C43BA0"/>
    <w:rsid w:val="00C576F1"/>
    <w:rsid w:val="00C749D2"/>
    <w:rsid w:val="00C843A5"/>
    <w:rsid w:val="00C84895"/>
    <w:rsid w:val="00C87615"/>
    <w:rsid w:val="00C916AB"/>
    <w:rsid w:val="00CB6B15"/>
    <w:rsid w:val="00CC2131"/>
    <w:rsid w:val="00CD6F3A"/>
    <w:rsid w:val="00CE7CCC"/>
    <w:rsid w:val="00CE7EE0"/>
    <w:rsid w:val="00CF00B0"/>
    <w:rsid w:val="00CF5BF8"/>
    <w:rsid w:val="00D13084"/>
    <w:rsid w:val="00D16CC3"/>
    <w:rsid w:val="00D3612E"/>
    <w:rsid w:val="00D60688"/>
    <w:rsid w:val="00D8304D"/>
    <w:rsid w:val="00DA3C4D"/>
    <w:rsid w:val="00DA69AA"/>
    <w:rsid w:val="00DA6D43"/>
    <w:rsid w:val="00E5011E"/>
    <w:rsid w:val="00E731F1"/>
    <w:rsid w:val="00E773C0"/>
    <w:rsid w:val="00E77B47"/>
    <w:rsid w:val="00E83367"/>
    <w:rsid w:val="00EA20AA"/>
    <w:rsid w:val="00EB127D"/>
    <w:rsid w:val="00EF6F7D"/>
    <w:rsid w:val="00F10192"/>
    <w:rsid w:val="00F20FF7"/>
    <w:rsid w:val="00F22F5B"/>
    <w:rsid w:val="00F24B3B"/>
    <w:rsid w:val="00F41515"/>
    <w:rsid w:val="00F553F4"/>
    <w:rsid w:val="00F5720B"/>
    <w:rsid w:val="00F72CC6"/>
    <w:rsid w:val="00F9269A"/>
    <w:rsid w:val="00F937AC"/>
    <w:rsid w:val="00F93C31"/>
    <w:rsid w:val="00F9498B"/>
    <w:rsid w:val="00FA6942"/>
    <w:rsid w:val="00FB584D"/>
    <w:rsid w:val="00FC0EF0"/>
    <w:rsid w:val="00FE4E50"/>
    <w:rsid w:val="00FF4965"/>
  </w:rsids>
  <m:mathPr>
    <m:mathFont m:val="Cambria Math"/>
    <m:brkBin m:val="before"/>
    <m:brkBinSub m:val="--"/>
    <m:smallFrac m:val="0"/>
    <m:dispDef/>
    <m:lMargin m:val="0"/>
    <m:rMargin m:val="0"/>
    <m:defJc m:val="centerGroup"/>
    <m:wrapIndent m:val="1440"/>
    <m:intLim m:val="subSup"/>
    <m:naryLim m:val="undOvr"/>
  </m:mathPr>
  <w:themeFontLang w:val="es-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9111"/>
  <w15:docId w15:val="{4CED564E-3749-4659-93B7-5F9A8AA5E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99C"/>
  </w:style>
  <w:style w:type="paragraph" w:styleId="Heading1">
    <w:name w:val="heading 1"/>
    <w:basedOn w:val="Normal"/>
    <w:next w:val="Normal"/>
    <w:link w:val="Heading1Char"/>
    <w:uiPriority w:val="9"/>
    <w:qFormat/>
    <w:rsid w:val="00E77B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B47"/>
    <w:rPr>
      <w:rFonts w:asciiTheme="majorHAnsi" w:eastAsiaTheme="majorEastAsia" w:hAnsiTheme="majorHAnsi" w:cstheme="majorBidi"/>
      <w:color w:val="2E74B5" w:themeColor="accent1" w:themeShade="BF"/>
      <w:sz w:val="32"/>
      <w:szCs w:val="32"/>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E77B47"/>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qFormat/>
    <w:rsid w:val="00E77B47"/>
    <w:rPr>
      <w:sz w:val="20"/>
      <w:szCs w:val="20"/>
    </w:rPr>
  </w:style>
  <w:style w:type="paragraph" w:styleId="Footer">
    <w:name w:val="footer"/>
    <w:basedOn w:val="Normal"/>
    <w:link w:val="FooterChar"/>
    <w:uiPriority w:val="99"/>
    <w:semiHidden/>
    <w:unhideWhenUsed/>
    <w:rsid w:val="00E77B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7B47"/>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unhideWhenUsed/>
    <w:qFormat/>
    <w:rsid w:val="00E77B47"/>
    <w:rPr>
      <w:vertAlign w:val="superscript"/>
    </w:rPr>
  </w:style>
  <w:style w:type="paragraph" w:customStyle="1" w:styleId="Appelnotedebasde">
    <w:name w:val="Appel note de bas de..."/>
    <w:basedOn w:val="Normal"/>
    <w:link w:val="FootnoteReference"/>
    <w:uiPriority w:val="99"/>
    <w:rsid w:val="00E77B47"/>
    <w:pPr>
      <w:spacing w:line="240" w:lineRule="exact"/>
    </w:pPr>
    <w:rPr>
      <w:vertAlign w:val="superscript"/>
    </w:rPr>
  </w:style>
  <w:style w:type="character" w:styleId="Hyperlink">
    <w:name w:val="Hyperlink"/>
    <w:uiPriority w:val="99"/>
    <w:unhideWhenUsed/>
    <w:rsid w:val="00E77B47"/>
    <w:rPr>
      <w:color w:val="0000FF"/>
      <w:u w:val="single"/>
    </w:rPr>
  </w:style>
  <w:style w:type="character" w:styleId="CommentReference">
    <w:name w:val="annotation reference"/>
    <w:basedOn w:val="DefaultParagraphFont"/>
    <w:uiPriority w:val="99"/>
    <w:semiHidden/>
    <w:unhideWhenUsed/>
    <w:rsid w:val="00E77B47"/>
    <w:rPr>
      <w:sz w:val="16"/>
      <w:szCs w:val="16"/>
    </w:rPr>
  </w:style>
  <w:style w:type="paragraph" w:styleId="CommentText">
    <w:name w:val="annotation text"/>
    <w:basedOn w:val="Normal"/>
    <w:link w:val="CommentTextChar"/>
    <w:uiPriority w:val="99"/>
    <w:semiHidden/>
    <w:unhideWhenUsed/>
    <w:rsid w:val="00E77B47"/>
    <w:pPr>
      <w:spacing w:line="240" w:lineRule="auto"/>
    </w:pPr>
    <w:rPr>
      <w:sz w:val="20"/>
      <w:szCs w:val="20"/>
    </w:rPr>
  </w:style>
  <w:style w:type="character" w:customStyle="1" w:styleId="CommentTextChar">
    <w:name w:val="Comment Text Char"/>
    <w:basedOn w:val="DefaultParagraphFont"/>
    <w:link w:val="CommentText"/>
    <w:uiPriority w:val="99"/>
    <w:semiHidden/>
    <w:rsid w:val="00E77B47"/>
    <w:rPr>
      <w:sz w:val="20"/>
      <w:szCs w:val="20"/>
    </w:rPr>
  </w:style>
  <w:style w:type="paragraph" w:styleId="BalloonText">
    <w:name w:val="Balloon Text"/>
    <w:basedOn w:val="Normal"/>
    <w:link w:val="BalloonTextChar"/>
    <w:uiPriority w:val="99"/>
    <w:semiHidden/>
    <w:unhideWhenUsed/>
    <w:rsid w:val="00E77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B47"/>
    <w:rPr>
      <w:rFonts w:ascii="Segoe UI" w:hAnsi="Segoe UI" w:cs="Segoe UI"/>
      <w:sz w:val="18"/>
      <w:szCs w:val="18"/>
    </w:rPr>
  </w:style>
  <w:style w:type="paragraph" w:styleId="ListParagraph">
    <w:name w:val="List Paragraph"/>
    <w:basedOn w:val="Normal"/>
    <w:uiPriority w:val="34"/>
    <w:qFormat/>
    <w:rsid w:val="00EF6F7D"/>
    <w:pPr>
      <w:ind w:left="720"/>
      <w:contextualSpacing/>
    </w:pPr>
  </w:style>
  <w:style w:type="paragraph" w:customStyle="1" w:styleId="Default">
    <w:name w:val="Default"/>
    <w:rsid w:val="00F72CC6"/>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F9269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F22F5B"/>
    <w:rPr>
      <w:b/>
      <w:bCs/>
    </w:rPr>
  </w:style>
  <w:style w:type="character" w:customStyle="1" w:styleId="CommentSubjectChar">
    <w:name w:val="Comment Subject Char"/>
    <w:basedOn w:val="CommentTextChar"/>
    <w:link w:val="CommentSubject"/>
    <w:uiPriority w:val="99"/>
    <w:semiHidden/>
    <w:rsid w:val="00F22F5B"/>
    <w:rPr>
      <w:b/>
      <w:bCs/>
      <w:sz w:val="20"/>
      <w:szCs w:val="20"/>
    </w:rPr>
  </w:style>
  <w:style w:type="paragraph" w:styleId="Revision">
    <w:name w:val="Revision"/>
    <w:hidden/>
    <w:uiPriority w:val="99"/>
    <w:semiHidden/>
    <w:rsid w:val="00CB6B15"/>
    <w:pPr>
      <w:spacing w:after="0" w:line="240" w:lineRule="auto"/>
    </w:p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FC0EF0"/>
    <w:pPr>
      <w:spacing w:before="200" w:line="240" w:lineRule="exact"/>
    </w:pPr>
    <w:rPr>
      <w:rFonts w:ascii="Calibri" w:eastAsia="Calibri" w:hAnsi="Calibri" w:cs="Times New Roman"/>
      <w:sz w:val="20"/>
      <w:szCs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551709">
      <w:bodyDiv w:val="1"/>
      <w:marLeft w:val="0"/>
      <w:marRight w:val="0"/>
      <w:marTop w:val="0"/>
      <w:marBottom w:val="0"/>
      <w:divBdr>
        <w:top w:val="none" w:sz="0" w:space="0" w:color="auto"/>
        <w:left w:val="none" w:sz="0" w:space="0" w:color="auto"/>
        <w:bottom w:val="none" w:sz="0" w:space="0" w:color="auto"/>
        <w:right w:val="none" w:sz="0" w:space="0" w:color="auto"/>
      </w:divBdr>
    </w:div>
    <w:div w:id="690839745">
      <w:bodyDiv w:val="1"/>
      <w:marLeft w:val="0"/>
      <w:marRight w:val="0"/>
      <w:marTop w:val="0"/>
      <w:marBottom w:val="0"/>
      <w:divBdr>
        <w:top w:val="none" w:sz="0" w:space="0" w:color="auto"/>
        <w:left w:val="none" w:sz="0" w:space="0" w:color="auto"/>
        <w:bottom w:val="none" w:sz="0" w:space="0" w:color="auto"/>
        <w:right w:val="none" w:sz="0" w:space="0" w:color="auto"/>
      </w:divBdr>
    </w:div>
    <w:div w:id="703483173">
      <w:bodyDiv w:val="1"/>
      <w:marLeft w:val="0"/>
      <w:marRight w:val="0"/>
      <w:marTop w:val="0"/>
      <w:marBottom w:val="0"/>
      <w:divBdr>
        <w:top w:val="none" w:sz="0" w:space="0" w:color="auto"/>
        <w:left w:val="none" w:sz="0" w:space="0" w:color="auto"/>
        <w:bottom w:val="none" w:sz="0" w:space="0" w:color="auto"/>
        <w:right w:val="none" w:sz="0" w:space="0" w:color="auto"/>
      </w:divBdr>
    </w:div>
    <w:div w:id="151240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s/cidh/prensa/comunicados/2019/022.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decisiones/pdf/2017/35-17MC533-17-VE.pdf" TargetMode="External"/><Relationship Id="rId3" Type="http://schemas.openxmlformats.org/officeDocument/2006/relationships/hyperlink" Target="http://www.oas.org/es/centro_noticias/comunicado_prensa.asp?sCodigo=C-001/19" TargetMode="External"/><Relationship Id="rId7" Type="http://schemas.openxmlformats.org/officeDocument/2006/relationships/hyperlink" Target="http://www.oas.org/es/cidh/decisiones/pdf/2017/15-17MC248-17-VE.pdf" TargetMode="External"/><Relationship Id="rId2" Type="http://schemas.openxmlformats.org/officeDocument/2006/relationships/hyperlink" Target="http://www.oas.org/es/cidh/informes/pdfs/Venezuela2018-es.pdf" TargetMode="External"/><Relationship Id="rId1" Type="http://schemas.openxmlformats.org/officeDocument/2006/relationships/hyperlink" Target="http://www.oas.org/es/cidh/informes/pdfs/Venezuela2018-es.pdf" TargetMode="External"/><Relationship Id="rId6" Type="http://schemas.openxmlformats.org/officeDocument/2006/relationships/hyperlink" Target="http://www.oas.org/es/cidh/prensa/comunicados/2019/040.asp" TargetMode="External"/><Relationship Id="rId11" Type="http://schemas.openxmlformats.org/officeDocument/2006/relationships/hyperlink" Target="http://www.oas.org/es/cidh/prensa/comunicados/2019/167.asp" TargetMode="External"/><Relationship Id="rId5" Type="http://schemas.openxmlformats.org/officeDocument/2006/relationships/hyperlink" Target="http://www.oas.org/es/cidh/prensa/comunicados/2019/022.asp" TargetMode="External"/><Relationship Id="rId10" Type="http://schemas.openxmlformats.org/officeDocument/2006/relationships/hyperlink" Target="http://www.oas.org/es/cidh/prensa/comunicados/2019/017A.pdf" TargetMode="External"/><Relationship Id="rId4" Type="http://schemas.openxmlformats.org/officeDocument/2006/relationships/hyperlink" Target="http://www.oas.org/es/cidh/prensa/comunicados/2019/015.asp" TargetMode="External"/><Relationship Id="rId9" Type="http://schemas.openxmlformats.org/officeDocument/2006/relationships/hyperlink" Target="http://www.oas.org/es/cidh/decisiones/pdf/2018/79-18MC1039-18-V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66194-1676-4938-AFD3-34E2CBF35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4056</Words>
  <Characters>22310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 Luisa;JAnaya@oas.org</dc:creator>
  <cp:lastModifiedBy>Silva, Luisa</cp:lastModifiedBy>
  <cp:revision>4</cp:revision>
  <cp:lastPrinted>2019-08-13T22:51:00Z</cp:lastPrinted>
  <dcterms:created xsi:type="dcterms:W3CDTF">2019-10-29T18:04:00Z</dcterms:created>
  <dcterms:modified xsi:type="dcterms:W3CDTF">2019-10-29T18:11:00Z</dcterms:modified>
</cp:coreProperties>
</file>