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50CE5" w14:textId="77777777" w:rsidR="00B6504E" w:rsidRPr="00B6504E" w:rsidRDefault="00B6504E" w:rsidP="00B6504E">
      <w:pPr>
        <w:spacing w:after="0" w:line="240" w:lineRule="auto"/>
        <w:jc w:val="center"/>
        <w:rPr>
          <w:rFonts w:ascii="Cambria" w:eastAsia="Calibri" w:hAnsi="Cambria" w:cs="Times New Roman"/>
          <w:b/>
          <w:szCs w:val="21"/>
          <w:lang w:val="es-ES_tradnl"/>
        </w:rPr>
      </w:pPr>
      <w:r w:rsidRPr="00B6504E">
        <w:rPr>
          <w:rFonts w:ascii="Cambria" w:eastAsia="Calibri" w:hAnsi="Cambria" w:cs="Times New Roman"/>
          <w:b/>
          <w:szCs w:val="21"/>
          <w:lang w:val="es-ES_tradnl"/>
        </w:rPr>
        <w:t>COMISIÓN INTERAMERICANA DE DERECHOS HUMANOS</w:t>
      </w:r>
    </w:p>
    <w:p w14:paraId="30DC8815" w14:textId="681428F8" w:rsidR="00B6504E" w:rsidRPr="00B6504E" w:rsidRDefault="00B6504E" w:rsidP="00B6504E">
      <w:pPr>
        <w:spacing w:after="0" w:line="240" w:lineRule="auto"/>
        <w:jc w:val="center"/>
        <w:rPr>
          <w:rFonts w:ascii="Cambria" w:eastAsia="Calibri" w:hAnsi="Cambria" w:cs="Times New Roman"/>
          <w:szCs w:val="21"/>
          <w:lang w:val="es-ES_tradnl"/>
        </w:rPr>
      </w:pPr>
      <w:r w:rsidRPr="00B6504E">
        <w:rPr>
          <w:rFonts w:ascii="Cambria" w:eastAsia="Calibri" w:hAnsi="Cambria" w:cs="Times New Roman"/>
          <w:b/>
          <w:szCs w:val="21"/>
          <w:lang w:val="es-ES_tradnl"/>
        </w:rPr>
        <w:t xml:space="preserve">RESOLUCIÓN </w:t>
      </w:r>
      <w:r w:rsidR="0011040D">
        <w:rPr>
          <w:rFonts w:ascii="Cambria" w:eastAsia="Calibri" w:hAnsi="Cambria" w:cs="Times New Roman"/>
          <w:b/>
          <w:szCs w:val="21"/>
          <w:lang w:val="es-ES_tradnl"/>
        </w:rPr>
        <w:t>50</w:t>
      </w:r>
      <w:r w:rsidRPr="00B6504E">
        <w:rPr>
          <w:rFonts w:ascii="Cambria" w:eastAsia="Calibri" w:hAnsi="Cambria" w:cs="Times New Roman"/>
          <w:b/>
          <w:szCs w:val="21"/>
          <w:lang w:val="es-ES_tradnl"/>
        </w:rPr>
        <w:t>/2019</w:t>
      </w:r>
    </w:p>
    <w:p w14:paraId="175D4DC5" w14:textId="77777777" w:rsidR="00B6504E" w:rsidRPr="00B6504E" w:rsidRDefault="00B6504E" w:rsidP="00B6504E">
      <w:pPr>
        <w:spacing w:after="0" w:line="240" w:lineRule="auto"/>
        <w:jc w:val="center"/>
        <w:rPr>
          <w:rFonts w:ascii="Cambria" w:eastAsia="Calibri" w:hAnsi="Cambria" w:cs="Times New Roman"/>
          <w:szCs w:val="21"/>
          <w:lang w:val="es-ES_tradnl"/>
        </w:rPr>
      </w:pPr>
      <w:r w:rsidRPr="00B6504E">
        <w:rPr>
          <w:rFonts w:ascii="Cambria" w:eastAsia="Calibri" w:hAnsi="Cambria" w:cs="Times New Roman"/>
          <w:szCs w:val="21"/>
          <w:lang w:val="es-ES_tradnl"/>
        </w:rPr>
        <w:t xml:space="preserve">Medida cautelar No. </w:t>
      </w:r>
      <w:r>
        <w:rPr>
          <w:rFonts w:ascii="Cambria" w:eastAsia="Calibri" w:hAnsi="Cambria" w:cs="Times New Roman"/>
          <w:szCs w:val="21"/>
          <w:lang w:val="es-ES_tradnl"/>
        </w:rPr>
        <w:t>863</w:t>
      </w:r>
      <w:r w:rsidRPr="00B6504E">
        <w:rPr>
          <w:rFonts w:ascii="Cambria" w:eastAsia="Calibri" w:hAnsi="Cambria" w:cs="Times New Roman"/>
          <w:szCs w:val="21"/>
          <w:lang w:val="es-ES_tradnl"/>
        </w:rPr>
        <w:t>-19</w:t>
      </w:r>
    </w:p>
    <w:p w14:paraId="717D449F" w14:textId="77777777" w:rsidR="00B6504E" w:rsidRPr="00B6504E" w:rsidRDefault="00B6504E" w:rsidP="00B6504E">
      <w:pPr>
        <w:spacing w:after="0" w:line="240" w:lineRule="auto"/>
        <w:jc w:val="center"/>
        <w:rPr>
          <w:rFonts w:ascii="Cambria" w:eastAsia="Calibri" w:hAnsi="Cambria" w:cs="Times New Roman"/>
          <w:sz w:val="21"/>
          <w:szCs w:val="21"/>
          <w:lang w:val="es-ES_tradnl"/>
        </w:rPr>
      </w:pPr>
    </w:p>
    <w:p w14:paraId="6DBE8198" w14:textId="77777777" w:rsidR="00B6504E" w:rsidRPr="00B6504E" w:rsidRDefault="00B6504E" w:rsidP="00B6504E">
      <w:pPr>
        <w:spacing w:after="0" w:line="240" w:lineRule="auto"/>
        <w:jc w:val="center"/>
        <w:rPr>
          <w:rFonts w:ascii="Cambria" w:eastAsia="Calibri" w:hAnsi="Cambria" w:cs="Times New Roman"/>
          <w:sz w:val="26"/>
          <w:szCs w:val="26"/>
          <w:lang w:val="es-ES_tradnl"/>
        </w:rPr>
      </w:pPr>
      <w:r w:rsidRPr="00B6504E">
        <w:rPr>
          <w:rFonts w:ascii="Cambria" w:eastAsia="Calibri" w:hAnsi="Cambria" w:cs="Times New Roman"/>
          <w:sz w:val="26"/>
          <w:szCs w:val="26"/>
          <w:lang w:val="es-ES_tradnl"/>
        </w:rPr>
        <w:t>Andrés Rivero Muro</w:t>
      </w:r>
      <w:r>
        <w:rPr>
          <w:rFonts w:ascii="Cambria" w:eastAsia="Calibri" w:hAnsi="Cambria" w:cs="Times New Roman"/>
          <w:sz w:val="26"/>
          <w:szCs w:val="26"/>
          <w:lang w:val="es-ES_tradnl"/>
        </w:rPr>
        <w:t xml:space="preserve"> y otros </w:t>
      </w:r>
      <w:r w:rsidRPr="00B6504E">
        <w:rPr>
          <w:rFonts w:ascii="Cambria" w:eastAsia="Calibri" w:hAnsi="Cambria" w:cs="Times New Roman"/>
          <w:sz w:val="26"/>
          <w:szCs w:val="26"/>
          <w:lang w:val="es-ES_tradnl"/>
        </w:rPr>
        <w:t>respecto de Venezuela</w:t>
      </w:r>
    </w:p>
    <w:p w14:paraId="407E8B8C" w14:textId="5531B312" w:rsidR="00B6504E" w:rsidRPr="00B6504E" w:rsidRDefault="0035705E" w:rsidP="00B6504E">
      <w:pPr>
        <w:spacing w:after="0" w:line="240" w:lineRule="auto"/>
        <w:jc w:val="center"/>
        <w:rPr>
          <w:rFonts w:ascii="Cambria" w:eastAsia="Calibri" w:hAnsi="Cambria" w:cs="Times New Roman"/>
          <w:sz w:val="20"/>
          <w:szCs w:val="21"/>
          <w:lang w:val="es-ES"/>
        </w:rPr>
      </w:pPr>
      <w:r>
        <w:rPr>
          <w:rFonts w:ascii="Cambria" w:eastAsia="Calibri" w:hAnsi="Cambria" w:cs="Times New Roman"/>
          <w:sz w:val="20"/>
          <w:szCs w:val="21"/>
          <w:lang w:val="es-ES"/>
        </w:rPr>
        <w:t>1</w:t>
      </w:r>
      <w:r w:rsidR="00B6504E" w:rsidRPr="00B6504E">
        <w:rPr>
          <w:rFonts w:ascii="Cambria" w:eastAsia="Calibri" w:hAnsi="Cambria" w:cs="Times New Roman"/>
          <w:sz w:val="20"/>
          <w:szCs w:val="21"/>
          <w:lang w:val="es-ES"/>
        </w:rPr>
        <w:t xml:space="preserve"> de </w:t>
      </w:r>
      <w:r>
        <w:rPr>
          <w:rFonts w:ascii="Cambria" w:eastAsia="Calibri" w:hAnsi="Cambria" w:cs="Times New Roman"/>
          <w:sz w:val="20"/>
          <w:szCs w:val="21"/>
          <w:lang w:val="es-ES"/>
        </w:rPr>
        <w:t>octubre</w:t>
      </w:r>
      <w:r w:rsidR="00B6504E" w:rsidRPr="00B6504E">
        <w:rPr>
          <w:rFonts w:ascii="Cambria" w:eastAsia="Calibri" w:hAnsi="Cambria" w:cs="Times New Roman"/>
          <w:sz w:val="20"/>
          <w:szCs w:val="21"/>
          <w:lang w:val="es-ES"/>
        </w:rPr>
        <w:t xml:space="preserve"> de 2019</w:t>
      </w:r>
    </w:p>
    <w:p w14:paraId="51BC3FEB" w14:textId="77777777" w:rsidR="00B6504E" w:rsidRPr="00B6504E" w:rsidRDefault="00B6504E" w:rsidP="00B6504E">
      <w:pPr>
        <w:spacing w:after="0" w:line="240" w:lineRule="auto"/>
        <w:jc w:val="both"/>
        <w:rPr>
          <w:rFonts w:ascii="Cambria" w:eastAsia="Calibri" w:hAnsi="Cambria" w:cs="Times New Roman"/>
          <w:b/>
          <w:sz w:val="21"/>
          <w:szCs w:val="21"/>
          <w:lang w:val="es-ES_tradnl"/>
        </w:rPr>
      </w:pPr>
    </w:p>
    <w:p w14:paraId="3DECEDD7" w14:textId="77777777" w:rsidR="00B6504E" w:rsidRPr="00B6504E" w:rsidRDefault="00B6504E" w:rsidP="00B6504E">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B6504E">
        <w:rPr>
          <w:rFonts w:ascii="Cambria" w:eastAsia="Calibri" w:hAnsi="Cambria" w:cs="Times New Roman"/>
          <w:b/>
          <w:sz w:val="21"/>
          <w:szCs w:val="21"/>
          <w:lang w:val="es-ES_tradnl"/>
        </w:rPr>
        <w:t>INTRODUCCIÓN</w:t>
      </w:r>
    </w:p>
    <w:p w14:paraId="456D3848" w14:textId="77777777" w:rsidR="00B6504E" w:rsidRPr="00B6504E" w:rsidRDefault="00B6504E" w:rsidP="00B6504E">
      <w:pPr>
        <w:spacing w:after="0" w:line="240" w:lineRule="auto"/>
        <w:jc w:val="both"/>
        <w:rPr>
          <w:rFonts w:ascii="Cambria" w:eastAsia="Calibri" w:hAnsi="Cambria" w:cs="Times New Roman"/>
          <w:sz w:val="21"/>
          <w:szCs w:val="21"/>
          <w:lang w:val="es-ES_tradnl"/>
        </w:rPr>
      </w:pPr>
    </w:p>
    <w:p w14:paraId="0A150092" w14:textId="1910CC9A" w:rsidR="00B6504E" w:rsidRPr="00B6504E" w:rsidRDefault="00B6504E" w:rsidP="00D81FCF">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B6504E">
        <w:rPr>
          <w:rFonts w:ascii="Cambria" w:eastAsia="Calibri" w:hAnsi="Cambria" w:cs="Times New Roman"/>
          <w:sz w:val="21"/>
          <w:szCs w:val="21"/>
          <w:lang w:val="es-ES_tradnl"/>
        </w:rPr>
        <w:t xml:space="preserve">El </w:t>
      </w:r>
      <w:r w:rsidR="00824531" w:rsidRPr="00824531">
        <w:rPr>
          <w:rFonts w:ascii="Cambria" w:eastAsia="Calibri" w:hAnsi="Cambria" w:cs="Times New Roman"/>
          <w:sz w:val="21"/>
          <w:szCs w:val="21"/>
          <w:lang w:val="es-ES_tradnl"/>
        </w:rPr>
        <w:t>13</w:t>
      </w:r>
      <w:r w:rsidRPr="00B6504E">
        <w:rPr>
          <w:rFonts w:ascii="Cambria" w:eastAsia="Calibri" w:hAnsi="Cambria" w:cs="Times New Roman"/>
          <w:sz w:val="21"/>
          <w:szCs w:val="21"/>
          <w:lang w:val="es-ES_tradnl"/>
        </w:rPr>
        <w:t xml:space="preserve"> de </w:t>
      </w:r>
      <w:r w:rsidR="00824531" w:rsidRPr="00824531">
        <w:rPr>
          <w:rFonts w:ascii="Cambria" w:eastAsia="Calibri" w:hAnsi="Cambria" w:cs="Times New Roman"/>
          <w:sz w:val="21"/>
          <w:szCs w:val="21"/>
          <w:lang w:val="es-ES_tradnl"/>
        </w:rPr>
        <w:t>septiembre</w:t>
      </w:r>
      <w:r w:rsidRPr="00B6504E">
        <w:rPr>
          <w:rFonts w:ascii="Cambria" w:eastAsia="Calibri" w:hAnsi="Cambria" w:cs="Times New Roman"/>
          <w:sz w:val="21"/>
          <w:szCs w:val="21"/>
          <w:lang w:val="es-ES_tradnl"/>
        </w:rPr>
        <w:t xml:space="preserve"> de 2019, la Comisión Interamericana de Derechos Humanos (“la Comisión Interamericana”, “la Comisión” o “la CIDH”) recibió una solicitud de medidas cautelares presentada por l</w:t>
      </w:r>
      <w:r w:rsidR="00824531" w:rsidRPr="00824531">
        <w:rPr>
          <w:rFonts w:ascii="Cambria" w:eastAsia="Calibri" w:hAnsi="Cambria" w:cs="Times New Roman"/>
          <w:sz w:val="21"/>
          <w:szCs w:val="21"/>
          <w:lang w:val="es-ES_tradnl"/>
        </w:rPr>
        <w:t>a</w:t>
      </w:r>
      <w:r w:rsidRPr="00B6504E">
        <w:rPr>
          <w:rFonts w:ascii="Cambria" w:eastAsia="Calibri" w:hAnsi="Cambria" w:cs="Times New Roman"/>
          <w:sz w:val="21"/>
          <w:szCs w:val="21"/>
          <w:lang w:val="es-ES_tradnl"/>
        </w:rPr>
        <w:t xml:space="preserve"> </w:t>
      </w:r>
      <w:r w:rsidR="00824531" w:rsidRPr="00824531">
        <w:rPr>
          <w:rFonts w:ascii="Cambria" w:eastAsia="Calibri" w:hAnsi="Cambria" w:cs="Times New Roman"/>
          <w:sz w:val="21"/>
          <w:szCs w:val="21"/>
          <w:lang w:val="es-ES_tradnl"/>
        </w:rPr>
        <w:t>abogada Tamara Sujo Roa</w:t>
      </w:r>
      <w:r w:rsidRPr="00B6504E">
        <w:rPr>
          <w:rFonts w:ascii="Cambria" w:eastAsia="Calibri" w:hAnsi="Cambria" w:cs="Times New Roman"/>
          <w:sz w:val="21"/>
          <w:szCs w:val="21"/>
          <w:lang w:val="es-ES_tradnl"/>
        </w:rPr>
        <w:t xml:space="preserve"> (“l</w:t>
      </w:r>
      <w:r w:rsidR="00824531" w:rsidRPr="00824531">
        <w:rPr>
          <w:rFonts w:ascii="Cambria" w:eastAsia="Calibri" w:hAnsi="Cambria" w:cs="Times New Roman"/>
          <w:sz w:val="21"/>
          <w:szCs w:val="21"/>
          <w:lang w:val="es-ES_tradnl"/>
        </w:rPr>
        <w:t>a</w:t>
      </w:r>
      <w:r w:rsidRPr="00B6504E">
        <w:rPr>
          <w:rFonts w:ascii="Cambria" w:eastAsia="Calibri" w:hAnsi="Cambria" w:cs="Times New Roman"/>
          <w:sz w:val="21"/>
          <w:szCs w:val="21"/>
          <w:lang w:val="es-ES_tradnl"/>
        </w:rPr>
        <w:t xml:space="preserve"> solicitante”), instando a la Comisión que requiera a la República Bolivariana de Venezuela (“el Estado” o “Venezuela”) la adopción de las medidas necesaria</w:t>
      </w:r>
      <w:r w:rsidR="00824531" w:rsidRPr="00824531">
        <w:rPr>
          <w:rFonts w:ascii="Cambria" w:eastAsia="Calibri" w:hAnsi="Cambria" w:cs="Times New Roman"/>
          <w:sz w:val="21"/>
          <w:szCs w:val="21"/>
          <w:lang w:val="es-ES_tradnl"/>
        </w:rPr>
        <w:t xml:space="preserve">s para proteger los derechos de </w:t>
      </w:r>
      <w:r w:rsidR="00824531" w:rsidRPr="00824531">
        <w:rPr>
          <w:rFonts w:ascii="Cambria" w:eastAsia="Calibri" w:hAnsi="Cambria" w:cs="Times New Roman"/>
          <w:sz w:val="21"/>
          <w:szCs w:val="21"/>
        </w:rPr>
        <w:t xml:space="preserve">Francisco Arturo </w:t>
      </w:r>
      <w:proofErr w:type="spellStart"/>
      <w:r w:rsidR="00824531" w:rsidRPr="00824531">
        <w:rPr>
          <w:rFonts w:ascii="Cambria" w:eastAsia="Calibri" w:hAnsi="Cambria" w:cs="Times New Roman"/>
          <w:sz w:val="21"/>
          <w:szCs w:val="21"/>
        </w:rPr>
        <w:t>Suju</w:t>
      </w:r>
      <w:proofErr w:type="spellEnd"/>
      <w:r w:rsidR="00824531" w:rsidRPr="00824531">
        <w:rPr>
          <w:rFonts w:ascii="Cambria" w:eastAsia="Calibri" w:hAnsi="Cambria" w:cs="Times New Roman"/>
          <w:sz w:val="21"/>
          <w:szCs w:val="21"/>
        </w:rPr>
        <w:t xml:space="preserve"> </w:t>
      </w:r>
      <w:proofErr w:type="spellStart"/>
      <w:r w:rsidR="00824531" w:rsidRPr="00824531">
        <w:rPr>
          <w:rFonts w:ascii="Cambria" w:eastAsia="Calibri" w:hAnsi="Cambria" w:cs="Times New Roman"/>
          <w:sz w:val="21"/>
          <w:szCs w:val="21"/>
        </w:rPr>
        <w:t>Raffo</w:t>
      </w:r>
      <w:proofErr w:type="spellEnd"/>
      <w:r w:rsidR="00824531" w:rsidRPr="00824531">
        <w:rPr>
          <w:rFonts w:ascii="Cambria" w:eastAsia="Calibri" w:hAnsi="Cambria" w:cs="Times New Roman"/>
          <w:sz w:val="21"/>
          <w:szCs w:val="21"/>
        </w:rPr>
        <w:t xml:space="preserve">, Carmen Cecilia Fuentes de </w:t>
      </w:r>
      <w:proofErr w:type="spellStart"/>
      <w:r w:rsidR="00824531" w:rsidRPr="00824531">
        <w:rPr>
          <w:rFonts w:ascii="Cambria" w:eastAsia="Calibri" w:hAnsi="Cambria" w:cs="Times New Roman"/>
          <w:sz w:val="21"/>
          <w:szCs w:val="21"/>
        </w:rPr>
        <w:t>Suju</w:t>
      </w:r>
      <w:proofErr w:type="spellEnd"/>
      <w:r w:rsidR="00824531" w:rsidRPr="00824531">
        <w:rPr>
          <w:rFonts w:ascii="Cambria" w:eastAsia="Calibri" w:hAnsi="Cambria" w:cs="Times New Roman"/>
          <w:sz w:val="21"/>
          <w:szCs w:val="21"/>
        </w:rPr>
        <w:t xml:space="preserve">, Marisela </w:t>
      </w:r>
      <w:proofErr w:type="spellStart"/>
      <w:r w:rsidR="00824531" w:rsidRPr="00824531">
        <w:rPr>
          <w:rFonts w:ascii="Cambria" w:eastAsia="Calibri" w:hAnsi="Cambria" w:cs="Times New Roman"/>
          <w:sz w:val="21"/>
          <w:szCs w:val="21"/>
        </w:rPr>
        <w:t>Suyen</w:t>
      </w:r>
      <w:proofErr w:type="spellEnd"/>
      <w:r w:rsidR="00824531" w:rsidRPr="00824531">
        <w:rPr>
          <w:rFonts w:ascii="Cambria" w:eastAsia="Calibri" w:hAnsi="Cambria" w:cs="Times New Roman"/>
          <w:sz w:val="21"/>
          <w:szCs w:val="21"/>
        </w:rPr>
        <w:t xml:space="preserve"> </w:t>
      </w:r>
      <w:proofErr w:type="spellStart"/>
      <w:r w:rsidR="00824531" w:rsidRPr="00824531">
        <w:rPr>
          <w:rFonts w:ascii="Cambria" w:eastAsia="Calibri" w:hAnsi="Cambria" w:cs="Times New Roman"/>
          <w:sz w:val="21"/>
          <w:szCs w:val="21"/>
        </w:rPr>
        <w:t>Suju</w:t>
      </w:r>
      <w:proofErr w:type="spellEnd"/>
      <w:r w:rsidR="00824531" w:rsidRPr="00824531">
        <w:rPr>
          <w:rFonts w:ascii="Cambria" w:eastAsia="Calibri" w:hAnsi="Cambria" w:cs="Times New Roman"/>
          <w:sz w:val="21"/>
          <w:szCs w:val="21"/>
        </w:rPr>
        <w:t xml:space="preserve"> de Rivero, Andrés Rivero Muro, Oswaldo Ramón </w:t>
      </w:r>
      <w:proofErr w:type="spellStart"/>
      <w:r w:rsidR="00824531" w:rsidRPr="00824531">
        <w:rPr>
          <w:rFonts w:ascii="Cambria" w:eastAsia="Calibri" w:hAnsi="Cambria" w:cs="Times New Roman"/>
          <w:sz w:val="21"/>
          <w:szCs w:val="21"/>
        </w:rPr>
        <w:t>Suju</w:t>
      </w:r>
      <w:proofErr w:type="spellEnd"/>
      <w:r w:rsidR="00824531" w:rsidRPr="00824531">
        <w:rPr>
          <w:rFonts w:ascii="Cambria" w:eastAsia="Calibri" w:hAnsi="Cambria" w:cs="Times New Roman"/>
          <w:sz w:val="21"/>
          <w:szCs w:val="21"/>
        </w:rPr>
        <w:t xml:space="preserve"> </w:t>
      </w:r>
      <w:proofErr w:type="spellStart"/>
      <w:r w:rsidR="00824531" w:rsidRPr="00824531">
        <w:rPr>
          <w:rFonts w:ascii="Cambria" w:eastAsia="Calibri" w:hAnsi="Cambria" w:cs="Times New Roman"/>
          <w:sz w:val="21"/>
          <w:szCs w:val="21"/>
        </w:rPr>
        <w:t>Raffo</w:t>
      </w:r>
      <w:proofErr w:type="spellEnd"/>
      <w:r w:rsidR="00824531" w:rsidRPr="00824531">
        <w:rPr>
          <w:rFonts w:ascii="Cambria" w:eastAsia="Calibri" w:hAnsi="Cambria" w:cs="Times New Roman"/>
          <w:sz w:val="21"/>
          <w:szCs w:val="21"/>
        </w:rPr>
        <w:t xml:space="preserve">, Elena Torres de </w:t>
      </w:r>
      <w:proofErr w:type="spellStart"/>
      <w:r w:rsidR="00824531" w:rsidRPr="00824531">
        <w:rPr>
          <w:rFonts w:ascii="Cambria" w:eastAsia="Calibri" w:hAnsi="Cambria" w:cs="Times New Roman"/>
          <w:sz w:val="21"/>
          <w:szCs w:val="21"/>
        </w:rPr>
        <w:t>Suju</w:t>
      </w:r>
      <w:proofErr w:type="spellEnd"/>
      <w:r w:rsidR="00824531" w:rsidRPr="00824531">
        <w:rPr>
          <w:rFonts w:ascii="Cambria" w:eastAsia="Calibri" w:hAnsi="Cambria" w:cs="Times New Roman"/>
          <w:sz w:val="21"/>
          <w:szCs w:val="21"/>
        </w:rPr>
        <w:t xml:space="preserve"> y </w:t>
      </w:r>
      <w:proofErr w:type="spellStart"/>
      <w:r w:rsidR="00824531" w:rsidRPr="00824531">
        <w:rPr>
          <w:rFonts w:ascii="Cambria" w:eastAsia="Calibri" w:hAnsi="Cambria" w:cs="Times New Roman"/>
          <w:sz w:val="21"/>
          <w:szCs w:val="21"/>
        </w:rPr>
        <w:t>Sungliying</w:t>
      </w:r>
      <w:proofErr w:type="spellEnd"/>
      <w:r w:rsidR="00824531" w:rsidRPr="00824531">
        <w:rPr>
          <w:rFonts w:ascii="Cambria" w:eastAsia="Calibri" w:hAnsi="Cambria" w:cs="Times New Roman"/>
          <w:sz w:val="21"/>
          <w:szCs w:val="21"/>
        </w:rPr>
        <w:t xml:space="preserve"> Helena </w:t>
      </w:r>
      <w:proofErr w:type="spellStart"/>
      <w:r w:rsidR="00824531" w:rsidRPr="00824531">
        <w:rPr>
          <w:rFonts w:ascii="Cambria" w:eastAsia="Calibri" w:hAnsi="Cambria" w:cs="Times New Roman"/>
          <w:sz w:val="21"/>
          <w:szCs w:val="21"/>
        </w:rPr>
        <w:t>Suju</w:t>
      </w:r>
      <w:proofErr w:type="spellEnd"/>
      <w:r w:rsidR="00824531" w:rsidRPr="00824531">
        <w:rPr>
          <w:rFonts w:ascii="Cambria" w:eastAsia="Calibri" w:hAnsi="Cambria" w:cs="Times New Roman"/>
          <w:sz w:val="21"/>
          <w:szCs w:val="21"/>
        </w:rPr>
        <w:t xml:space="preserve"> Torres, </w:t>
      </w:r>
      <w:r w:rsidR="00824531">
        <w:rPr>
          <w:rFonts w:ascii="Cambria" w:eastAsia="Calibri" w:hAnsi="Cambria" w:cs="Times New Roman"/>
          <w:sz w:val="21"/>
          <w:szCs w:val="21"/>
          <w:lang w:val="es-ES_tradnl"/>
        </w:rPr>
        <w:t>quienes serían parte de su núcleo familiar y</w:t>
      </w:r>
      <w:r w:rsidRPr="00B6504E">
        <w:rPr>
          <w:rFonts w:ascii="Cambria" w:eastAsia="Calibri" w:hAnsi="Cambria" w:cs="Times New Roman"/>
          <w:sz w:val="21"/>
          <w:szCs w:val="21"/>
          <w:lang w:val="es-ES_tradnl"/>
        </w:rPr>
        <w:t xml:space="preserve"> </w:t>
      </w:r>
      <w:r w:rsidRPr="00B6504E">
        <w:rPr>
          <w:rFonts w:ascii="Cambria" w:eastAsia="Calibri" w:hAnsi="Cambria" w:cs="Times New Roman"/>
          <w:sz w:val="21"/>
          <w:szCs w:val="21"/>
          <w:lang w:val="es-ES"/>
        </w:rPr>
        <w:t>se encontraría</w:t>
      </w:r>
      <w:r w:rsidR="00BB5FA2">
        <w:rPr>
          <w:rFonts w:ascii="Cambria" w:eastAsia="Calibri" w:hAnsi="Cambria" w:cs="Times New Roman"/>
          <w:sz w:val="21"/>
          <w:szCs w:val="21"/>
          <w:lang w:val="es-ES"/>
        </w:rPr>
        <w:t>n</w:t>
      </w:r>
      <w:r w:rsidRPr="00B6504E">
        <w:rPr>
          <w:rFonts w:ascii="Cambria" w:eastAsia="Calibri" w:hAnsi="Cambria" w:cs="Times New Roman"/>
          <w:sz w:val="21"/>
          <w:szCs w:val="21"/>
          <w:lang w:val="es-ES"/>
        </w:rPr>
        <w:t xml:space="preserve"> en una situación de riesgo tras </w:t>
      </w:r>
      <w:r w:rsidR="00824531">
        <w:rPr>
          <w:rFonts w:ascii="Cambria" w:eastAsia="Calibri" w:hAnsi="Cambria" w:cs="Times New Roman"/>
          <w:sz w:val="21"/>
          <w:szCs w:val="21"/>
          <w:lang w:val="es-ES"/>
        </w:rPr>
        <w:t xml:space="preserve">ser objetos de acosos y </w:t>
      </w:r>
      <w:r w:rsidRPr="00B6504E">
        <w:rPr>
          <w:rFonts w:ascii="Cambria" w:eastAsia="Calibri" w:hAnsi="Cambria" w:cs="Times New Roman"/>
          <w:sz w:val="21"/>
          <w:szCs w:val="21"/>
          <w:lang w:val="es-ES"/>
        </w:rPr>
        <w:t xml:space="preserve">hostigamientos </w:t>
      </w:r>
      <w:r w:rsidR="00824531">
        <w:rPr>
          <w:rFonts w:ascii="Cambria" w:eastAsia="Calibri" w:hAnsi="Cambria" w:cs="Times New Roman"/>
          <w:sz w:val="21"/>
          <w:szCs w:val="21"/>
          <w:lang w:val="es-ES"/>
        </w:rPr>
        <w:t>por parte de aut</w:t>
      </w:r>
      <w:r w:rsidR="00E30D56">
        <w:rPr>
          <w:rFonts w:ascii="Cambria" w:eastAsia="Calibri" w:hAnsi="Cambria" w:cs="Times New Roman"/>
          <w:sz w:val="21"/>
          <w:szCs w:val="21"/>
          <w:lang w:val="es-ES"/>
        </w:rPr>
        <w:t>oridades estatales venezolanas.</w:t>
      </w:r>
    </w:p>
    <w:p w14:paraId="62C38F6B" w14:textId="77777777" w:rsidR="00B6504E" w:rsidRPr="00B6504E" w:rsidRDefault="00B6504E" w:rsidP="00B155FA">
      <w:pPr>
        <w:spacing w:after="0" w:line="240" w:lineRule="auto"/>
        <w:contextualSpacing/>
        <w:jc w:val="right"/>
        <w:rPr>
          <w:rFonts w:ascii="Cambria" w:eastAsia="Calibri" w:hAnsi="Cambria" w:cs="Times New Roman"/>
          <w:sz w:val="21"/>
          <w:szCs w:val="21"/>
          <w:lang w:val="es-ES_tradnl"/>
        </w:rPr>
      </w:pPr>
    </w:p>
    <w:p w14:paraId="0361E66C" w14:textId="2AF6DB88" w:rsidR="00B6504E" w:rsidRPr="00B6504E" w:rsidRDefault="00B6504E" w:rsidP="00824531">
      <w:pPr>
        <w:numPr>
          <w:ilvl w:val="0"/>
          <w:numId w:val="1"/>
        </w:numPr>
        <w:spacing w:after="0" w:line="240" w:lineRule="auto"/>
        <w:ind w:left="0" w:firstLine="360"/>
        <w:contextualSpacing/>
        <w:jc w:val="both"/>
        <w:rPr>
          <w:rFonts w:ascii="Cambria" w:eastAsia="Calibri" w:hAnsi="Cambria" w:cs="Times New Roman"/>
          <w:sz w:val="21"/>
          <w:szCs w:val="21"/>
          <w:lang w:val="es-MX"/>
        </w:rPr>
      </w:pPr>
      <w:r w:rsidRPr="00B6504E">
        <w:rPr>
          <w:rFonts w:ascii="Cambria" w:eastAsia="Calibri" w:hAnsi="Cambria" w:cs="Times New Roman"/>
          <w:sz w:val="21"/>
          <w:szCs w:val="21"/>
          <w:lang w:val="es-ES_tradnl"/>
        </w:rPr>
        <w:t>Tras analizar las alegaciones de hecho y de derecho aportadas por la solicitante</w:t>
      </w:r>
      <w:r w:rsidRPr="00B6504E">
        <w:rPr>
          <w:rFonts w:ascii="Cambria" w:eastAsia="Calibri" w:hAnsi="Cambria" w:cs="Times New Roman"/>
          <w:sz w:val="21"/>
          <w:szCs w:val="21"/>
          <w:lang w:val="es-ES"/>
        </w:rPr>
        <w:t>,</w:t>
      </w:r>
      <w:r w:rsidRPr="00B6504E">
        <w:rPr>
          <w:rFonts w:ascii="Cambria" w:eastAsia="Calibri" w:hAnsi="Cambria" w:cs="Times New Roman"/>
          <w:sz w:val="21"/>
          <w:szCs w:val="21"/>
          <w:lang w:val="es-ES_tradnl"/>
        </w:rPr>
        <w:t xml:space="preserve"> la Comisión considera, desde el estándar </w:t>
      </w:r>
      <w:r w:rsidRPr="00B6504E">
        <w:rPr>
          <w:rFonts w:ascii="Cambria" w:eastAsia="Calibri" w:hAnsi="Cambria" w:cs="Times New Roman"/>
          <w:i/>
          <w:sz w:val="21"/>
          <w:szCs w:val="21"/>
          <w:lang w:val="es-ES_tradnl"/>
        </w:rPr>
        <w:t xml:space="preserve">prima facie </w:t>
      </w:r>
      <w:r w:rsidRPr="00B6504E">
        <w:rPr>
          <w:rFonts w:ascii="Cambria" w:eastAsia="Calibri" w:hAnsi="Cambria" w:cs="Times New Roman"/>
          <w:sz w:val="21"/>
          <w:szCs w:val="21"/>
          <w:lang w:val="es-ES_tradnl"/>
        </w:rPr>
        <w:t xml:space="preserve">aplicable, que las personas propuestas beneficiarias se encuentran en una situación de gravedad y urgencia, toda vez que sus derechos enfrentan un riesgo de daño irreparable. Por consiguiente, con base en el artículo 25 de su Reglamento, la Comisión solicita al Estado de Venezuela </w:t>
      </w:r>
      <w:r w:rsidRPr="00B6504E">
        <w:rPr>
          <w:rFonts w:ascii="Cambria" w:eastAsia="Calibri" w:hAnsi="Cambria" w:cs="Times New Roman"/>
          <w:sz w:val="21"/>
          <w:szCs w:val="21"/>
          <w:lang w:val="es-MX"/>
        </w:rPr>
        <w:t xml:space="preserve">que: a) adopte las medidas necesarias para proteger los derechos a </w:t>
      </w:r>
      <w:r w:rsidR="0032649D">
        <w:rPr>
          <w:rFonts w:ascii="Cambria" w:eastAsia="Calibri" w:hAnsi="Cambria" w:cs="Times New Roman"/>
          <w:sz w:val="21"/>
          <w:szCs w:val="21"/>
          <w:lang w:val="es-MX"/>
        </w:rPr>
        <w:t xml:space="preserve">la </w:t>
      </w:r>
      <w:r w:rsidRPr="00B6504E">
        <w:rPr>
          <w:rFonts w:ascii="Cambria" w:eastAsia="Calibri" w:hAnsi="Cambria" w:cs="Times New Roman"/>
          <w:sz w:val="21"/>
          <w:szCs w:val="21"/>
          <w:lang w:val="es-MX"/>
        </w:rPr>
        <w:t xml:space="preserve">vida e integridad personal </w:t>
      </w:r>
      <w:r w:rsidRPr="00B6504E">
        <w:rPr>
          <w:rFonts w:ascii="Cambria" w:eastAsia="Calibri" w:hAnsi="Cambria" w:cs="Times New Roman"/>
          <w:sz w:val="21"/>
          <w:szCs w:val="21"/>
          <w:lang w:val="es-ES_tradnl"/>
        </w:rPr>
        <w:t xml:space="preserve">de </w:t>
      </w:r>
      <w:r w:rsidR="00824531" w:rsidRPr="00824531">
        <w:rPr>
          <w:rFonts w:ascii="Cambria" w:eastAsia="Calibri" w:hAnsi="Cambria" w:cs="Times New Roman"/>
          <w:sz w:val="21"/>
          <w:szCs w:val="21"/>
        </w:rPr>
        <w:t xml:space="preserve">Francisco Arturo </w:t>
      </w:r>
      <w:proofErr w:type="spellStart"/>
      <w:r w:rsidR="00824531" w:rsidRPr="00824531">
        <w:rPr>
          <w:rFonts w:ascii="Cambria" w:eastAsia="Calibri" w:hAnsi="Cambria" w:cs="Times New Roman"/>
          <w:sz w:val="21"/>
          <w:szCs w:val="21"/>
        </w:rPr>
        <w:t>Suju</w:t>
      </w:r>
      <w:proofErr w:type="spellEnd"/>
      <w:r w:rsidR="00824531" w:rsidRPr="00824531">
        <w:rPr>
          <w:rFonts w:ascii="Cambria" w:eastAsia="Calibri" w:hAnsi="Cambria" w:cs="Times New Roman"/>
          <w:sz w:val="21"/>
          <w:szCs w:val="21"/>
        </w:rPr>
        <w:t xml:space="preserve"> </w:t>
      </w:r>
      <w:proofErr w:type="spellStart"/>
      <w:r w:rsidR="00824531" w:rsidRPr="00824531">
        <w:rPr>
          <w:rFonts w:ascii="Cambria" w:eastAsia="Calibri" w:hAnsi="Cambria" w:cs="Times New Roman"/>
          <w:sz w:val="21"/>
          <w:szCs w:val="21"/>
        </w:rPr>
        <w:t>Raffo</w:t>
      </w:r>
      <w:proofErr w:type="spellEnd"/>
      <w:r w:rsidR="00824531" w:rsidRPr="00824531">
        <w:rPr>
          <w:rFonts w:ascii="Cambria" w:eastAsia="Calibri" w:hAnsi="Cambria" w:cs="Times New Roman"/>
          <w:sz w:val="21"/>
          <w:szCs w:val="21"/>
        </w:rPr>
        <w:t xml:space="preserve">, Carmen Cecilia Fuentes de </w:t>
      </w:r>
      <w:proofErr w:type="spellStart"/>
      <w:r w:rsidR="00824531" w:rsidRPr="00824531">
        <w:rPr>
          <w:rFonts w:ascii="Cambria" w:eastAsia="Calibri" w:hAnsi="Cambria" w:cs="Times New Roman"/>
          <w:sz w:val="21"/>
          <w:szCs w:val="21"/>
        </w:rPr>
        <w:t>Suju</w:t>
      </w:r>
      <w:proofErr w:type="spellEnd"/>
      <w:r w:rsidR="00824531" w:rsidRPr="00824531">
        <w:rPr>
          <w:rFonts w:ascii="Cambria" w:eastAsia="Calibri" w:hAnsi="Cambria" w:cs="Times New Roman"/>
          <w:sz w:val="21"/>
          <w:szCs w:val="21"/>
        </w:rPr>
        <w:t xml:space="preserve">, Marisela </w:t>
      </w:r>
      <w:proofErr w:type="spellStart"/>
      <w:r w:rsidR="00824531" w:rsidRPr="00824531">
        <w:rPr>
          <w:rFonts w:ascii="Cambria" w:eastAsia="Calibri" w:hAnsi="Cambria" w:cs="Times New Roman"/>
          <w:sz w:val="21"/>
          <w:szCs w:val="21"/>
        </w:rPr>
        <w:t>Suyen</w:t>
      </w:r>
      <w:proofErr w:type="spellEnd"/>
      <w:r w:rsidR="00824531" w:rsidRPr="00824531">
        <w:rPr>
          <w:rFonts w:ascii="Cambria" w:eastAsia="Calibri" w:hAnsi="Cambria" w:cs="Times New Roman"/>
          <w:sz w:val="21"/>
          <w:szCs w:val="21"/>
        </w:rPr>
        <w:t xml:space="preserve"> </w:t>
      </w:r>
      <w:proofErr w:type="spellStart"/>
      <w:r w:rsidR="00824531" w:rsidRPr="00824531">
        <w:rPr>
          <w:rFonts w:ascii="Cambria" w:eastAsia="Calibri" w:hAnsi="Cambria" w:cs="Times New Roman"/>
          <w:sz w:val="21"/>
          <w:szCs w:val="21"/>
        </w:rPr>
        <w:t>Suju</w:t>
      </w:r>
      <w:proofErr w:type="spellEnd"/>
      <w:r w:rsidR="00824531" w:rsidRPr="00824531">
        <w:rPr>
          <w:rFonts w:ascii="Cambria" w:eastAsia="Calibri" w:hAnsi="Cambria" w:cs="Times New Roman"/>
          <w:sz w:val="21"/>
          <w:szCs w:val="21"/>
        </w:rPr>
        <w:t xml:space="preserve"> de Rivero, Andrés Rivero Muro, Oswaldo Ramón </w:t>
      </w:r>
      <w:proofErr w:type="spellStart"/>
      <w:r w:rsidR="00824531" w:rsidRPr="00824531">
        <w:rPr>
          <w:rFonts w:ascii="Cambria" w:eastAsia="Calibri" w:hAnsi="Cambria" w:cs="Times New Roman"/>
          <w:sz w:val="21"/>
          <w:szCs w:val="21"/>
        </w:rPr>
        <w:t>Suju</w:t>
      </w:r>
      <w:proofErr w:type="spellEnd"/>
      <w:r w:rsidR="00824531" w:rsidRPr="00824531">
        <w:rPr>
          <w:rFonts w:ascii="Cambria" w:eastAsia="Calibri" w:hAnsi="Cambria" w:cs="Times New Roman"/>
          <w:sz w:val="21"/>
          <w:szCs w:val="21"/>
        </w:rPr>
        <w:t xml:space="preserve"> </w:t>
      </w:r>
      <w:proofErr w:type="spellStart"/>
      <w:r w:rsidR="00824531" w:rsidRPr="00824531">
        <w:rPr>
          <w:rFonts w:ascii="Cambria" w:eastAsia="Calibri" w:hAnsi="Cambria" w:cs="Times New Roman"/>
          <w:sz w:val="21"/>
          <w:szCs w:val="21"/>
        </w:rPr>
        <w:t>Raffo</w:t>
      </w:r>
      <w:proofErr w:type="spellEnd"/>
      <w:r w:rsidR="00824531" w:rsidRPr="00824531">
        <w:rPr>
          <w:rFonts w:ascii="Cambria" w:eastAsia="Calibri" w:hAnsi="Cambria" w:cs="Times New Roman"/>
          <w:sz w:val="21"/>
          <w:szCs w:val="21"/>
        </w:rPr>
        <w:t xml:space="preserve">, Elena Torres de </w:t>
      </w:r>
      <w:proofErr w:type="spellStart"/>
      <w:r w:rsidR="00824531" w:rsidRPr="00824531">
        <w:rPr>
          <w:rFonts w:ascii="Cambria" w:eastAsia="Calibri" w:hAnsi="Cambria" w:cs="Times New Roman"/>
          <w:sz w:val="21"/>
          <w:szCs w:val="21"/>
        </w:rPr>
        <w:t>Suju</w:t>
      </w:r>
      <w:proofErr w:type="spellEnd"/>
      <w:r w:rsidR="00824531" w:rsidRPr="00824531">
        <w:rPr>
          <w:rFonts w:ascii="Cambria" w:eastAsia="Calibri" w:hAnsi="Cambria" w:cs="Times New Roman"/>
          <w:sz w:val="21"/>
          <w:szCs w:val="21"/>
        </w:rPr>
        <w:t xml:space="preserve"> y </w:t>
      </w:r>
      <w:proofErr w:type="spellStart"/>
      <w:r w:rsidR="00824531" w:rsidRPr="00824531">
        <w:rPr>
          <w:rFonts w:ascii="Cambria" w:eastAsia="Calibri" w:hAnsi="Cambria" w:cs="Times New Roman"/>
          <w:sz w:val="21"/>
          <w:szCs w:val="21"/>
        </w:rPr>
        <w:t>Sungliying</w:t>
      </w:r>
      <w:proofErr w:type="spellEnd"/>
      <w:r w:rsidR="00824531" w:rsidRPr="00824531">
        <w:rPr>
          <w:rFonts w:ascii="Cambria" w:eastAsia="Calibri" w:hAnsi="Cambria" w:cs="Times New Roman"/>
          <w:sz w:val="21"/>
          <w:szCs w:val="21"/>
        </w:rPr>
        <w:t xml:space="preserve"> Helena </w:t>
      </w:r>
      <w:proofErr w:type="spellStart"/>
      <w:r w:rsidR="00824531" w:rsidRPr="00824531">
        <w:rPr>
          <w:rFonts w:ascii="Cambria" w:eastAsia="Calibri" w:hAnsi="Cambria" w:cs="Times New Roman"/>
          <w:sz w:val="21"/>
          <w:szCs w:val="21"/>
        </w:rPr>
        <w:t>Suju</w:t>
      </w:r>
      <w:proofErr w:type="spellEnd"/>
      <w:r w:rsidR="00824531" w:rsidRPr="00824531">
        <w:rPr>
          <w:rFonts w:ascii="Cambria" w:eastAsia="Calibri" w:hAnsi="Cambria" w:cs="Times New Roman"/>
          <w:sz w:val="21"/>
          <w:szCs w:val="21"/>
        </w:rPr>
        <w:t xml:space="preserve"> Torres</w:t>
      </w:r>
      <w:r w:rsidRPr="00B6504E">
        <w:rPr>
          <w:rFonts w:ascii="Cambria" w:eastAsia="Calibri" w:hAnsi="Cambria" w:cs="Times New Roman"/>
          <w:sz w:val="21"/>
          <w:szCs w:val="21"/>
          <w:lang w:val="es-ES_tradnl"/>
        </w:rPr>
        <w:t xml:space="preserve">; </w:t>
      </w:r>
      <w:r w:rsidR="00824531">
        <w:rPr>
          <w:rFonts w:ascii="Cambria" w:eastAsia="Calibri" w:hAnsi="Cambria" w:cs="Times New Roman"/>
          <w:sz w:val="21"/>
          <w:szCs w:val="21"/>
        </w:rPr>
        <w:t>b</w:t>
      </w:r>
      <w:r w:rsidRPr="00B6504E">
        <w:rPr>
          <w:rFonts w:ascii="Cambria" w:eastAsia="Calibri" w:hAnsi="Cambria" w:cs="Times New Roman"/>
          <w:sz w:val="21"/>
          <w:szCs w:val="21"/>
        </w:rPr>
        <w:t xml:space="preserve">) </w:t>
      </w:r>
      <w:r w:rsidRPr="00B6504E">
        <w:rPr>
          <w:rFonts w:ascii="Cambria" w:eastAsia="Calibri" w:hAnsi="Cambria" w:cs="Times New Roman"/>
          <w:sz w:val="21"/>
          <w:szCs w:val="21"/>
          <w:lang w:val="es-ES"/>
        </w:rPr>
        <w:t>concierte las medidas a adoptarse con la</w:t>
      </w:r>
      <w:r w:rsidR="00824531">
        <w:rPr>
          <w:rFonts w:ascii="Cambria" w:eastAsia="Calibri" w:hAnsi="Cambria" w:cs="Times New Roman"/>
          <w:sz w:val="21"/>
          <w:szCs w:val="21"/>
          <w:lang w:val="es-ES"/>
        </w:rPr>
        <w:t>s personas</w:t>
      </w:r>
      <w:r w:rsidRPr="00B6504E">
        <w:rPr>
          <w:rFonts w:ascii="Cambria" w:eastAsia="Calibri" w:hAnsi="Cambria" w:cs="Times New Roman"/>
          <w:sz w:val="21"/>
          <w:szCs w:val="21"/>
          <w:lang w:val="es-ES"/>
        </w:rPr>
        <w:t xml:space="preserve"> beneficiaria</w:t>
      </w:r>
      <w:r w:rsidR="00824531">
        <w:rPr>
          <w:rFonts w:ascii="Cambria" w:eastAsia="Calibri" w:hAnsi="Cambria" w:cs="Times New Roman"/>
          <w:sz w:val="21"/>
          <w:szCs w:val="21"/>
          <w:lang w:val="es-ES"/>
        </w:rPr>
        <w:t>s</w:t>
      </w:r>
      <w:r w:rsidRPr="00B6504E">
        <w:rPr>
          <w:rFonts w:ascii="Cambria" w:eastAsia="Calibri" w:hAnsi="Cambria" w:cs="Times New Roman"/>
          <w:sz w:val="21"/>
          <w:szCs w:val="21"/>
          <w:lang w:val="es-ES_tradnl"/>
        </w:rPr>
        <w:t>;</w:t>
      </w:r>
      <w:r w:rsidR="00824531">
        <w:rPr>
          <w:rFonts w:ascii="Cambria" w:eastAsia="Calibri" w:hAnsi="Cambria" w:cs="Times New Roman"/>
          <w:sz w:val="21"/>
          <w:szCs w:val="21"/>
          <w:lang w:val="es-ES_tradnl"/>
        </w:rPr>
        <w:t xml:space="preserve"> y c</w:t>
      </w:r>
      <w:r w:rsidRPr="00B6504E">
        <w:rPr>
          <w:rFonts w:ascii="Cambria" w:eastAsia="Calibri" w:hAnsi="Cambria" w:cs="Times New Roman"/>
          <w:sz w:val="21"/>
          <w:szCs w:val="21"/>
          <w:lang w:val="es-ES_tradnl"/>
        </w:rPr>
        <w:t xml:space="preserve">) informe sobre las </w:t>
      </w:r>
      <w:r w:rsidRPr="00B6504E">
        <w:rPr>
          <w:rFonts w:ascii="Cambria" w:eastAsia="Calibri" w:hAnsi="Cambria" w:cs="Times New Roman"/>
          <w:sz w:val="21"/>
          <w:szCs w:val="21"/>
          <w:lang w:val="es-ES"/>
        </w:rPr>
        <w:t>acciones adoptadas a fin de investigar los hechos alegados que dieron lugar a la adopción de la presente medida cautelar y evitar su repetición.</w:t>
      </w:r>
    </w:p>
    <w:p w14:paraId="5DD17BF3" w14:textId="77777777" w:rsidR="00B6504E" w:rsidRPr="00B6504E" w:rsidRDefault="00B6504E" w:rsidP="00B6504E">
      <w:pPr>
        <w:spacing w:after="0" w:line="240" w:lineRule="auto"/>
        <w:contextualSpacing/>
        <w:jc w:val="both"/>
        <w:rPr>
          <w:rFonts w:ascii="Cambria" w:eastAsia="Calibri" w:hAnsi="Cambria" w:cs="Times New Roman"/>
          <w:sz w:val="21"/>
          <w:szCs w:val="21"/>
          <w:lang w:val="es-MX"/>
        </w:rPr>
      </w:pPr>
    </w:p>
    <w:p w14:paraId="488CF464" w14:textId="77777777" w:rsidR="00B6504E" w:rsidRPr="00B6504E" w:rsidRDefault="00B6504E" w:rsidP="00B6504E">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B6504E">
        <w:rPr>
          <w:rFonts w:ascii="Cambria" w:eastAsia="Calibri" w:hAnsi="Cambria" w:cs="Times New Roman"/>
          <w:b/>
          <w:sz w:val="21"/>
          <w:szCs w:val="21"/>
          <w:lang w:val="es-ES_tradnl"/>
        </w:rPr>
        <w:t xml:space="preserve">RESUMEN DE HECHOS Y ARGUMENTOS </w:t>
      </w:r>
    </w:p>
    <w:p w14:paraId="6288755F" w14:textId="77777777" w:rsidR="00B6504E" w:rsidRPr="00B6504E" w:rsidRDefault="00B6504E" w:rsidP="00B6504E">
      <w:pPr>
        <w:spacing w:after="0" w:line="240" w:lineRule="auto"/>
        <w:jc w:val="both"/>
        <w:rPr>
          <w:rFonts w:ascii="Cambria" w:eastAsia="Calibri" w:hAnsi="Cambria" w:cs="Times New Roman"/>
          <w:sz w:val="21"/>
          <w:szCs w:val="21"/>
          <w:lang w:val="es-MX"/>
        </w:rPr>
      </w:pPr>
    </w:p>
    <w:p w14:paraId="280B9D92" w14:textId="77777777" w:rsidR="00B6504E" w:rsidRPr="00B6504E" w:rsidRDefault="00B6504E" w:rsidP="00B6504E">
      <w:pPr>
        <w:numPr>
          <w:ilvl w:val="0"/>
          <w:numId w:val="4"/>
        </w:numPr>
        <w:spacing w:after="0" w:line="240" w:lineRule="auto"/>
        <w:contextualSpacing/>
        <w:jc w:val="both"/>
        <w:rPr>
          <w:rFonts w:ascii="Cambria" w:eastAsia="Calibri" w:hAnsi="Cambria" w:cs="Times New Roman"/>
          <w:b/>
          <w:sz w:val="21"/>
          <w:szCs w:val="21"/>
          <w:lang w:val="es-MX"/>
        </w:rPr>
      </w:pPr>
      <w:r w:rsidRPr="00B6504E">
        <w:rPr>
          <w:rFonts w:ascii="Cambria" w:eastAsia="Calibri" w:hAnsi="Cambria" w:cs="Times New Roman"/>
          <w:b/>
          <w:sz w:val="21"/>
          <w:szCs w:val="21"/>
          <w:lang w:val="es-MX"/>
        </w:rPr>
        <w:t>Información aportada por los solicitantes</w:t>
      </w:r>
    </w:p>
    <w:p w14:paraId="60A8BEA2" w14:textId="77777777" w:rsidR="00B6504E" w:rsidRPr="00B6504E" w:rsidRDefault="00B6504E" w:rsidP="00B6504E">
      <w:pPr>
        <w:spacing w:after="0" w:line="240" w:lineRule="auto"/>
        <w:contextualSpacing/>
        <w:jc w:val="both"/>
        <w:rPr>
          <w:rFonts w:ascii="Cambria" w:eastAsia="Calibri" w:hAnsi="Cambria" w:cs="Times New Roman"/>
          <w:sz w:val="21"/>
          <w:szCs w:val="21"/>
          <w:lang w:val="es-ES_tradnl"/>
        </w:rPr>
      </w:pPr>
    </w:p>
    <w:p w14:paraId="44A62977" w14:textId="77777777" w:rsidR="00B6504E" w:rsidRDefault="00B6504E" w:rsidP="00824531">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B6504E">
        <w:rPr>
          <w:rFonts w:ascii="Cambria" w:eastAsia="Calibri" w:hAnsi="Cambria" w:cs="Times New Roman"/>
          <w:sz w:val="21"/>
          <w:szCs w:val="21"/>
          <w:lang w:val="es-ES_tradnl"/>
        </w:rPr>
        <w:t xml:space="preserve">La </w:t>
      </w:r>
      <w:r w:rsidR="0085267F">
        <w:rPr>
          <w:rFonts w:ascii="Cambria" w:eastAsia="Calibri" w:hAnsi="Cambria" w:cs="Times New Roman"/>
          <w:sz w:val="21"/>
          <w:szCs w:val="21"/>
          <w:lang w:val="es-ES_tradnl"/>
        </w:rPr>
        <w:t xml:space="preserve">solicitante, Tamara </w:t>
      </w:r>
      <w:proofErr w:type="spellStart"/>
      <w:r w:rsidR="0085267F">
        <w:rPr>
          <w:rFonts w:ascii="Cambria" w:eastAsia="Calibri" w:hAnsi="Cambria" w:cs="Times New Roman"/>
          <w:sz w:val="21"/>
          <w:szCs w:val="21"/>
          <w:lang w:val="es-ES_tradnl"/>
        </w:rPr>
        <w:t>Suju</w:t>
      </w:r>
      <w:proofErr w:type="spellEnd"/>
      <w:r w:rsidR="0085267F">
        <w:rPr>
          <w:rFonts w:ascii="Cambria" w:eastAsia="Calibri" w:hAnsi="Cambria" w:cs="Times New Roman"/>
          <w:sz w:val="21"/>
          <w:szCs w:val="21"/>
          <w:lang w:val="es-ES_tradnl"/>
        </w:rPr>
        <w:t xml:space="preserve"> Roa, es </w:t>
      </w:r>
      <w:r w:rsidR="0085267F" w:rsidRPr="0085267F">
        <w:rPr>
          <w:rFonts w:ascii="Cambria" w:eastAsia="Calibri" w:hAnsi="Cambria" w:cs="Times New Roman"/>
          <w:sz w:val="21"/>
          <w:szCs w:val="21"/>
          <w:lang w:val="es-MX"/>
        </w:rPr>
        <w:t>abogada y defensora de derechos humanos en Venezuela</w:t>
      </w:r>
      <w:r w:rsidR="0085267F">
        <w:rPr>
          <w:rFonts w:ascii="Cambria" w:eastAsia="Calibri" w:hAnsi="Cambria" w:cs="Times New Roman"/>
          <w:sz w:val="21"/>
          <w:szCs w:val="21"/>
          <w:lang w:val="es-MX"/>
        </w:rPr>
        <w:t>. Según la solicitud,</w:t>
      </w:r>
      <w:r w:rsidR="0085267F" w:rsidRPr="0085267F">
        <w:rPr>
          <w:rFonts w:ascii="Cambria" w:eastAsia="Calibri" w:hAnsi="Cambria" w:cs="Times New Roman"/>
          <w:sz w:val="21"/>
          <w:szCs w:val="21"/>
          <w:lang w:val="es-ES_tradnl"/>
        </w:rPr>
        <w:t xml:space="preserve"> </w:t>
      </w:r>
      <w:r w:rsidR="00A620F4">
        <w:rPr>
          <w:rFonts w:ascii="Cambria" w:eastAsia="Calibri" w:hAnsi="Cambria" w:cs="Times New Roman"/>
          <w:sz w:val="21"/>
          <w:szCs w:val="21"/>
          <w:lang w:val="es-ES_tradnl"/>
        </w:rPr>
        <w:t xml:space="preserve">en los últimos 18 años la solicitante habría sido perseguida y hostigada por los gobiernos venezolanos debido a su labor como abogada y defensora de derechos humanos, por medio del cual habría denunciado “persecución, detenciones arbitrarias, torturas y otras violaciones de DDHH” </w:t>
      </w:r>
      <w:r w:rsidR="0032649D">
        <w:rPr>
          <w:rFonts w:ascii="Cambria" w:eastAsia="Calibri" w:hAnsi="Cambria" w:cs="Times New Roman"/>
          <w:sz w:val="21"/>
          <w:szCs w:val="21"/>
          <w:lang w:val="es-ES_tradnl"/>
        </w:rPr>
        <w:t xml:space="preserve">en el país </w:t>
      </w:r>
      <w:r w:rsidR="00A620F4">
        <w:rPr>
          <w:rFonts w:ascii="Cambria" w:eastAsia="Calibri" w:hAnsi="Cambria" w:cs="Times New Roman"/>
          <w:sz w:val="21"/>
          <w:szCs w:val="21"/>
          <w:lang w:val="es-ES_tradnl"/>
        </w:rPr>
        <w:t>y hecho oposición al gobierno.</w:t>
      </w:r>
    </w:p>
    <w:p w14:paraId="35918130" w14:textId="77777777" w:rsidR="00A620F4" w:rsidRDefault="00A620F4" w:rsidP="00A620F4">
      <w:pPr>
        <w:spacing w:after="0" w:line="240" w:lineRule="auto"/>
        <w:ind w:left="360"/>
        <w:contextualSpacing/>
        <w:jc w:val="both"/>
        <w:rPr>
          <w:rFonts w:ascii="Cambria" w:eastAsia="Calibri" w:hAnsi="Cambria" w:cs="Times New Roman"/>
          <w:sz w:val="21"/>
          <w:szCs w:val="21"/>
          <w:lang w:val="es-ES_tradnl"/>
        </w:rPr>
      </w:pPr>
    </w:p>
    <w:p w14:paraId="2A15E8CD" w14:textId="77777777" w:rsidR="00A620F4" w:rsidRDefault="00A620F4" w:rsidP="00824531">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Pr>
          <w:rFonts w:ascii="Cambria" w:eastAsia="Calibri" w:hAnsi="Cambria" w:cs="Times New Roman"/>
          <w:sz w:val="21"/>
          <w:szCs w:val="21"/>
          <w:lang w:val="es-ES_tradnl"/>
        </w:rPr>
        <w:t xml:space="preserve">Debido a la alegada situación de persecución y hostigamiento, la solicitante habría dejado el país en agosto de 2014, actuando externamente en denuncias de supuestas violaciones de derechos humanos. En la actualidad, la solicitante habría </w:t>
      </w:r>
      <w:r w:rsidR="007475AE">
        <w:rPr>
          <w:rFonts w:ascii="Cambria" w:eastAsia="Calibri" w:hAnsi="Cambria" w:cs="Times New Roman"/>
          <w:sz w:val="21"/>
          <w:szCs w:val="21"/>
          <w:lang w:val="es-ES_tradnl"/>
        </w:rPr>
        <w:t xml:space="preserve">contribuido para </w:t>
      </w:r>
      <w:r>
        <w:rPr>
          <w:rFonts w:ascii="Cambria" w:eastAsia="Calibri" w:hAnsi="Cambria" w:cs="Times New Roman"/>
          <w:sz w:val="21"/>
          <w:szCs w:val="21"/>
          <w:lang w:val="es-ES_tradnl"/>
        </w:rPr>
        <w:t>impulsa</w:t>
      </w:r>
      <w:r w:rsidR="007475AE">
        <w:rPr>
          <w:rFonts w:ascii="Cambria" w:eastAsia="Calibri" w:hAnsi="Cambria" w:cs="Times New Roman"/>
          <w:sz w:val="21"/>
          <w:szCs w:val="21"/>
          <w:lang w:val="es-ES_tradnl"/>
        </w:rPr>
        <w:t>r</w:t>
      </w:r>
      <w:r>
        <w:rPr>
          <w:rFonts w:ascii="Cambria" w:eastAsia="Calibri" w:hAnsi="Cambria" w:cs="Times New Roman"/>
          <w:sz w:val="21"/>
          <w:szCs w:val="21"/>
          <w:lang w:val="es-ES_tradnl"/>
        </w:rPr>
        <w:t xml:space="preserve"> una denuncia en la Corte Penal Internacional en contra de autoridades venezolanas, </w:t>
      </w:r>
      <w:r w:rsidR="007475AE">
        <w:rPr>
          <w:rFonts w:ascii="Cambria" w:eastAsia="Calibri" w:hAnsi="Cambria" w:cs="Times New Roman"/>
          <w:sz w:val="21"/>
          <w:szCs w:val="21"/>
          <w:lang w:val="es-ES_tradnl"/>
        </w:rPr>
        <w:t>la cual estaría en fase de estudio preliminar</w:t>
      </w:r>
      <w:r w:rsidR="007475AE">
        <w:rPr>
          <w:rStyle w:val="FootnoteReference"/>
          <w:rFonts w:ascii="Cambria" w:eastAsia="Calibri" w:hAnsi="Cambria" w:cs="Times New Roman"/>
          <w:sz w:val="21"/>
          <w:szCs w:val="21"/>
          <w:lang w:val="es-ES_tradnl"/>
        </w:rPr>
        <w:footnoteReference w:id="1"/>
      </w:r>
      <w:r w:rsidR="007475AE">
        <w:rPr>
          <w:rFonts w:ascii="Cambria" w:eastAsia="Calibri" w:hAnsi="Cambria" w:cs="Times New Roman"/>
          <w:sz w:val="21"/>
          <w:szCs w:val="21"/>
          <w:lang w:val="es-ES_tradnl"/>
        </w:rPr>
        <w:t xml:space="preserve">, y actuaría como vocera en ámbito internacional, habiendo recientemente denunciado la situación en </w:t>
      </w:r>
      <w:r w:rsidR="007475AE">
        <w:rPr>
          <w:rFonts w:ascii="Cambria" w:eastAsia="Calibri" w:hAnsi="Cambria" w:cs="Times New Roman"/>
          <w:sz w:val="21"/>
          <w:szCs w:val="21"/>
          <w:lang w:val="es-ES_tradnl"/>
        </w:rPr>
        <w:lastRenderedPageBreak/>
        <w:t>Venezuela en la OEA</w:t>
      </w:r>
      <w:r w:rsidR="007475AE">
        <w:rPr>
          <w:rStyle w:val="FootnoteReference"/>
          <w:rFonts w:ascii="Cambria" w:eastAsia="Calibri" w:hAnsi="Cambria" w:cs="Times New Roman"/>
          <w:sz w:val="21"/>
          <w:szCs w:val="21"/>
          <w:lang w:val="es-ES_tradnl"/>
        </w:rPr>
        <w:footnoteReference w:id="2"/>
      </w:r>
      <w:r w:rsidR="007475AE">
        <w:rPr>
          <w:rFonts w:ascii="Cambria" w:eastAsia="Calibri" w:hAnsi="Cambria" w:cs="Times New Roman"/>
          <w:sz w:val="21"/>
          <w:szCs w:val="21"/>
          <w:lang w:val="es-ES_tradnl"/>
        </w:rPr>
        <w:t xml:space="preserve"> y las Naciones Unidas</w:t>
      </w:r>
      <w:r w:rsidR="007475AE">
        <w:rPr>
          <w:rStyle w:val="FootnoteReference"/>
          <w:rFonts w:ascii="Cambria" w:eastAsia="Calibri" w:hAnsi="Cambria" w:cs="Times New Roman"/>
          <w:sz w:val="21"/>
          <w:szCs w:val="21"/>
          <w:lang w:val="es-ES_tradnl"/>
        </w:rPr>
        <w:footnoteReference w:id="3"/>
      </w:r>
      <w:r w:rsidR="007475AE">
        <w:rPr>
          <w:rFonts w:ascii="Cambria" w:eastAsia="Calibri" w:hAnsi="Cambria" w:cs="Times New Roman"/>
          <w:sz w:val="21"/>
          <w:szCs w:val="21"/>
          <w:lang w:val="es-ES_tradnl"/>
        </w:rPr>
        <w:t>.</w:t>
      </w:r>
      <w:r w:rsidR="0027051A">
        <w:rPr>
          <w:rFonts w:ascii="Cambria" w:eastAsia="Calibri" w:hAnsi="Cambria" w:cs="Times New Roman"/>
          <w:sz w:val="21"/>
          <w:szCs w:val="21"/>
          <w:lang w:val="es-ES_tradnl"/>
        </w:rPr>
        <w:t xml:space="preserve"> Asimismo, la </w:t>
      </w:r>
      <w:r w:rsidR="002112DF">
        <w:rPr>
          <w:rFonts w:ascii="Cambria" w:eastAsia="Calibri" w:hAnsi="Cambria" w:cs="Times New Roman"/>
          <w:sz w:val="21"/>
          <w:szCs w:val="21"/>
          <w:lang w:val="es-ES_tradnl"/>
        </w:rPr>
        <w:t xml:space="preserve">solicitante es Directora Ejecutiva del </w:t>
      </w:r>
      <w:r w:rsidR="002112DF" w:rsidRPr="002112DF">
        <w:rPr>
          <w:rFonts w:ascii="Cambria" w:eastAsia="Calibri" w:hAnsi="Cambria" w:cs="Times New Roman"/>
          <w:sz w:val="21"/>
          <w:szCs w:val="21"/>
        </w:rPr>
        <w:t>Instituto Centro de Estudios para América Latina (Casla)</w:t>
      </w:r>
      <w:r w:rsidR="002112DF">
        <w:rPr>
          <w:rFonts w:ascii="Cambria" w:eastAsia="Calibri" w:hAnsi="Cambria" w:cs="Times New Roman"/>
          <w:sz w:val="21"/>
          <w:szCs w:val="21"/>
        </w:rPr>
        <w:t>, el cual, en acción junto con la OEA, trabaja en un sistema de “alerta temprano” para la prevención de crímenes de lesa humanidad.</w:t>
      </w:r>
      <w:r w:rsidR="002112DF">
        <w:rPr>
          <w:rStyle w:val="FootnoteReference"/>
          <w:rFonts w:ascii="Cambria" w:eastAsia="Calibri" w:hAnsi="Cambria" w:cs="Times New Roman"/>
          <w:sz w:val="21"/>
          <w:szCs w:val="21"/>
        </w:rPr>
        <w:footnoteReference w:id="4"/>
      </w:r>
    </w:p>
    <w:p w14:paraId="2590DC90" w14:textId="77777777" w:rsidR="007475AE" w:rsidRDefault="007475AE" w:rsidP="007475AE">
      <w:pPr>
        <w:spacing w:after="0" w:line="240" w:lineRule="auto"/>
        <w:ind w:left="360"/>
        <w:contextualSpacing/>
        <w:jc w:val="both"/>
        <w:rPr>
          <w:rFonts w:ascii="Cambria" w:eastAsia="Calibri" w:hAnsi="Cambria" w:cs="Times New Roman"/>
          <w:sz w:val="21"/>
          <w:szCs w:val="21"/>
          <w:lang w:val="es-ES_tradnl"/>
        </w:rPr>
      </w:pPr>
    </w:p>
    <w:p w14:paraId="416A3CDB" w14:textId="620DEBEC" w:rsidR="007475AE" w:rsidRDefault="007475AE" w:rsidP="00824531">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Pr>
          <w:rFonts w:ascii="Cambria" w:eastAsia="Calibri" w:hAnsi="Cambria" w:cs="Times New Roman"/>
          <w:sz w:val="21"/>
          <w:szCs w:val="21"/>
          <w:lang w:val="es-ES_tradnl"/>
        </w:rPr>
        <w:t xml:space="preserve">A raíz de la labor de la solicitante, su núcleo familiar, </w:t>
      </w:r>
      <w:r w:rsidR="009C498E">
        <w:rPr>
          <w:rFonts w:ascii="Cambria" w:eastAsia="Calibri" w:hAnsi="Cambria" w:cs="Times New Roman"/>
          <w:sz w:val="21"/>
          <w:szCs w:val="21"/>
          <w:lang w:val="es-ES_tradnl"/>
        </w:rPr>
        <w:t xml:space="preserve">compuesto por </w:t>
      </w:r>
      <w:r>
        <w:rPr>
          <w:rFonts w:ascii="Cambria" w:eastAsia="Calibri" w:hAnsi="Cambria" w:cs="Times New Roman"/>
          <w:sz w:val="21"/>
          <w:szCs w:val="21"/>
          <w:lang w:val="es-ES_tradnl"/>
        </w:rPr>
        <w:t xml:space="preserve">las personas propuestas beneficiarias, </w:t>
      </w:r>
      <w:r w:rsidR="009C498E">
        <w:rPr>
          <w:rFonts w:ascii="Cambria" w:eastAsia="Calibri" w:hAnsi="Cambria" w:cs="Times New Roman"/>
          <w:sz w:val="21"/>
          <w:szCs w:val="21"/>
          <w:lang w:val="es-ES_tradnl"/>
        </w:rPr>
        <w:t>quienes</w:t>
      </w:r>
      <w:r>
        <w:rPr>
          <w:rFonts w:ascii="Cambria" w:eastAsia="Calibri" w:hAnsi="Cambria" w:cs="Times New Roman"/>
          <w:sz w:val="21"/>
          <w:szCs w:val="21"/>
          <w:lang w:val="es-ES_tradnl"/>
        </w:rPr>
        <w:t xml:space="preserve"> se encuentran en Venezuela, estaría sufriendo acosos y hostigamiento. La solicitante destacó que, particularmente después de que</w:t>
      </w:r>
      <w:r w:rsidR="002E793D">
        <w:rPr>
          <w:rFonts w:ascii="Cambria" w:eastAsia="Calibri" w:hAnsi="Cambria" w:cs="Times New Roman"/>
          <w:sz w:val="21"/>
          <w:szCs w:val="21"/>
          <w:lang w:val="es-ES_tradnl"/>
        </w:rPr>
        <w:t xml:space="preserve"> habría</w:t>
      </w:r>
      <w:r>
        <w:rPr>
          <w:rFonts w:ascii="Cambria" w:eastAsia="Calibri" w:hAnsi="Cambria" w:cs="Times New Roman"/>
          <w:sz w:val="21"/>
          <w:szCs w:val="21"/>
          <w:lang w:val="es-ES_tradnl"/>
        </w:rPr>
        <w:t xml:space="preserve"> </w:t>
      </w:r>
      <w:r w:rsidR="002E793D">
        <w:rPr>
          <w:rFonts w:ascii="Cambria" w:eastAsia="Calibri" w:hAnsi="Cambria" w:cs="Times New Roman"/>
          <w:sz w:val="21"/>
          <w:szCs w:val="21"/>
          <w:lang w:val="es-ES_tradnl"/>
        </w:rPr>
        <w:t>acept</w:t>
      </w:r>
      <w:r w:rsidR="009C498E">
        <w:rPr>
          <w:rFonts w:ascii="Cambria" w:eastAsia="Calibri" w:hAnsi="Cambria" w:cs="Times New Roman"/>
          <w:sz w:val="21"/>
          <w:szCs w:val="21"/>
          <w:lang w:val="es-ES_tradnl"/>
        </w:rPr>
        <w:t>ad</w:t>
      </w:r>
      <w:r w:rsidR="002E793D">
        <w:rPr>
          <w:rFonts w:ascii="Cambria" w:eastAsia="Calibri" w:hAnsi="Cambria" w:cs="Times New Roman"/>
          <w:sz w:val="21"/>
          <w:szCs w:val="21"/>
          <w:lang w:val="es-ES_tradnl"/>
        </w:rPr>
        <w:t>o</w:t>
      </w:r>
      <w:r>
        <w:rPr>
          <w:rFonts w:ascii="Cambria" w:eastAsia="Calibri" w:hAnsi="Cambria" w:cs="Times New Roman"/>
          <w:sz w:val="21"/>
          <w:szCs w:val="21"/>
          <w:lang w:val="es-ES_tradnl"/>
        </w:rPr>
        <w:t xml:space="preserve"> </w:t>
      </w:r>
      <w:r w:rsidR="002E793D">
        <w:rPr>
          <w:rFonts w:ascii="Cambria" w:eastAsia="Calibri" w:hAnsi="Cambria" w:cs="Times New Roman"/>
          <w:sz w:val="21"/>
          <w:szCs w:val="21"/>
          <w:lang w:val="es-ES_tradnl"/>
        </w:rPr>
        <w:t xml:space="preserve">el cargo de Representante Diplomática de Juan </w:t>
      </w:r>
      <w:proofErr w:type="spellStart"/>
      <w:r w:rsidR="002E793D">
        <w:rPr>
          <w:rFonts w:ascii="Cambria" w:eastAsia="Calibri" w:hAnsi="Cambria" w:cs="Times New Roman"/>
          <w:sz w:val="21"/>
          <w:szCs w:val="21"/>
          <w:lang w:val="es-ES_tradnl"/>
        </w:rPr>
        <w:t>Guaidó</w:t>
      </w:r>
      <w:proofErr w:type="spellEnd"/>
      <w:r w:rsidR="002E793D">
        <w:rPr>
          <w:rFonts w:ascii="Cambria" w:eastAsia="Calibri" w:hAnsi="Cambria" w:cs="Times New Roman"/>
          <w:sz w:val="21"/>
          <w:szCs w:val="21"/>
          <w:lang w:val="es-ES_tradnl"/>
        </w:rPr>
        <w:t xml:space="preserve"> en República Checa, </w:t>
      </w:r>
      <w:r w:rsidR="009C498E">
        <w:rPr>
          <w:rFonts w:ascii="Cambria" w:eastAsia="Calibri" w:hAnsi="Cambria" w:cs="Times New Roman"/>
          <w:sz w:val="21"/>
          <w:szCs w:val="21"/>
          <w:lang w:val="es-ES_tradnl"/>
        </w:rPr>
        <w:t>a</w:t>
      </w:r>
      <w:r w:rsidR="002E793D">
        <w:rPr>
          <w:rFonts w:ascii="Cambria" w:eastAsia="Calibri" w:hAnsi="Cambria" w:cs="Times New Roman"/>
          <w:sz w:val="21"/>
          <w:szCs w:val="21"/>
          <w:lang w:val="es-ES_tradnl"/>
        </w:rPr>
        <w:t>l cual habría renunciado en principios de agosto de 2019, la persecución en contra de su familia habría empeorado.</w:t>
      </w:r>
    </w:p>
    <w:p w14:paraId="23AD6E69" w14:textId="0792F64F" w:rsidR="000C2345" w:rsidRPr="009C498E" w:rsidRDefault="000C2345" w:rsidP="009C498E">
      <w:pPr>
        <w:spacing w:after="0" w:line="240" w:lineRule="auto"/>
        <w:ind w:left="360"/>
        <w:contextualSpacing/>
        <w:jc w:val="both"/>
        <w:rPr>
          <w:rFonts w:ascii="Cambria" w:eastAsia="Calibri" w:hAnsi="Cambria" w:cs="Times New Roman"/>
          <w:sz w:val="21"/>
          <w:szCs w:val="21"/>
          <w:lang w:val="es-ES_tradnl"/>
        </w:rPr>
      </w:pPr>
    </w:p>
    <w:p w14:paraId="4F71653F" w14:textId="77777777" w:rsidR="00B6504E" w:rsidRPr="00BB4221" w:rsidRDefault="000C2345" w:rsidP="000C2345">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0C2345">
        <w:rPr>
          <w:rFonts w:ascii="Cambria" w:eastAsia="Calibri" w:hAnsi="Cambria" w:cs="Times New Roman"/>
          <w:sz w:val="21"/>
          <w:szCs w:val="21"/>
          <w:lang w:val="es-MX"/>
        </w:rPr>
        <w:t xml:space="preserve">En ese contexto, la solicitante alegó que el 19 de agosto de 2019, el </w:t>
      </w:r>
      <w:r w:rsidRPr="000C2345">
        <w:rPr>
          <w:rFonts w:ascii="Cambria" w:eastAsia="Calibri" w:hAnsi="Cambria" w:cs="Times New Roman"/>
          <w:sz w:val="21"/>
          <w:szCs w:val="21"/>
        </w:rPr>
        <w:t>Cuerpo de Investigaciones Científicas, Penales y Criminalísticas (CICPC) se habría</w:t>
      </w:r>
      <w:r>
        <w:rPr>
          <w:rFonts w:ascii="Cambria" w:eastAsia="Calibri" w:hAnsi="Cambria" w:cs="Times New Roman"/>
          <w:sz w:val="21"/>
          <w:szCs w:val="21"/>
        </w:rPr>
        <w:t xml:space="preserve"> presentado en la residencia del propuesto beneficiario </w:t>
      </w:r>
      <w:r w:rsidRPr="000C2345">
        <w:rPr>
          <w:rFonts w:ascii="Cambria" w:eastAsia="Calibri" w:hAnsi="Cambria" w:cs="Times New Roman"/>
          <w:sz w:val="21"/>
          <w:szCs w:val="21"/>
        </w:rPr>
        <w:t xml:space="preserve">Oswaldo Sujo </w:t>
      </w:r>
      <w:proofErr w:type="spellStart"/>
      <w:r w:rsidRPr="000C2345">
        <w:rPr>
          <w:rFonts w:ascii="Cambria" w:eastAsia="Calibri" w:hAnsi="Cambria" w:cs="Times New Roman"/>
          <w:sz w:val="21"/>
          <w:szCs w:val="21"/>
        </w:rPr>
        <w:t>Raffo</w:t>
      </w:r>
      <w:proofErr w:type="spellEnd"/>
      <w:r w:rsidRPr="000C2345">
        <w:rPr>
          <w:rFonts w:ascii="Cambria" w:eastAsia="Calibri" w:hAnsi="Cambria" w:cs="Times New Roman"/>
          <w:sz w:val="21"/>
          <w:szCs w:val="21"/>
        </w:rPr>
        <w:t xml:space="preserve"> </w:t>
      </w:r>
      <w:r w:rsidR="008A60B9">
        <w:rPr>
          <w:rFonts w:ascii="Cambria" w:eastAsia="Calibri" w:hAnsi="Cambria" w:cs="Times New Roman"/>
          <w:sz w:val="21"/>
          <w:szCs w:val="21"/>
          <w:lang w:val="es-ES_tradnl"/>
        </w:rPr>
        <w:t xml:space="preserve">(tío de la solicitante) </w:t>
      </w:r>
      <w:r>
        <w:rPr>
          <w:rFonts w:ascii="Cambria" w:eastAsia="Calibri" w:hAnsi="Cambria" w:cs="Times New Roman"/>
          <w:sz w:val="21"/>
          <w:szCs w:val="21"/>
        </w:rPr>
        <w:t>demandando</w:t>
      </w:r>
      <w:r w:rsidRPr="000C2345">
        <w:rPr>
          <w:rFonts w:ascii="Cambria" w:eastAsia="Calibri" w:hAnsi="Cambria" w:cs="Times New Roman"/>
          <w:sz w:val="21"/>
          <w:szCs w:val="21"/>
        </w:rPr>
        <w:t xml:space="preserve"> llevar a </w:t>
      </w:r>
      <w:proofErr w:type="spellStart"/>
      <w:r w:rsidRPr="000C2345">
        <w:rPr>
          <w:rFonts w:ascii="Cambria" w:eastAsia="Calibri" w:hAnsi="Cambria" w:cs="Times New Roman"/>
          <w:sz w:val="21"/>
          <w:szCs w:val="21"/>
        </w:rPr>
        <w:t>Sungliying</w:t>
      </w:r>
      <w:proofErr w:type="spellEnd"/>
      <w:r w:rsidRPr="000C2345">
        <w:rPr>
          <w:rFonts w:ascii="Cambria" w:eastAsia="Calibri" w:hAnsi="Cambria" w:cs="Times New Roman"/>
          <w:sz w:val="21"/>
          <w:szCs w:val="21"/>
        </w:rPr>
        <w:t xml:space="preserve"> Sujo Torres (prima de la solicitante) a una citación, </w:t>
      </w:r>
      <w:r>
        <w:rPr>
          <w:rFonts w:ascii="Cambria" w:eastAsia="Calibri" w:hAnsi="Cambria" w:cs="Times New Roman"/>
          <w:sz w:val="21"/>
          <w:szCs w:val="21"/>
        </w:rPr>
        <w:t xml:space="preserve">presuntamente </w:t>
      </w:r>
      <w:r w:rsidRPr="000C2345">
        <w:rPr>
          <w:rFonts w:ascii="Cambria" w:eastAsia="Calibri" w:hAnsi="Cambria" w:cs="Times New Roman"/>
          <w:sz w:val="21"/>
          <w:szCs w:val="21"/>
        </w:rPr>
        <w:t>impidiendo que se conociese el motivo de la citación</w:t>
      </w:r>
      <w:r w:rsidR="00BB4221">
        <w:rPr>
          <w:rFonts w:ascii="Cambria" w:eastAsia="Calibri" w:hAnsi="Cambria" w:cs="Times New Roman"/>
          <w:sz w:val="21"/>
          <w:szCs w:val="21"/>
        </w:rPr>
        <w:t>, mismo tras la requisición de una abogada</w:t>
      </w:r>
      <w:r w:rsidRPr="000C2345">
        <w:rPr>
          <w:rFonts w:ascii="Cambria" w:eastAsia="Calibri" w:hAnsi="Cambria" w:cs="Times New Roman"/>
          <w:sz w:val="21"/>
          <w:szCs w:val="21"/>
        </w:rPr>
        <w:t xml:space="preserve">. </w:t>
      </w:r>
      <w:r w:rsidR="00BB4221">
        <w:rPr>
          <w:rFonts w:ascii="Cambria" w:eastAsia="Calibri" w:hAnsi="Cambria" w:cs="Times New Roman"/>
          <w:sz w:val="21"/>
          <w:szCs w:val="21"/>
        </w:rPr>
        <w:t xml:space="preserve">El CICPC </w:t>
      </w:r>
      <w:r w:rsidRPr="000C2345">
        <w:rPr>
          <w:rFonts w:ascii="Cambria" w:eastAsia="Calibri" w:hAnsi="Cambria" w:cs="Times New Roman"/>
          <w:sz w:val="21"/>
          <w:szCs w:val="21"/>
        </w:rPr>
        <w:t>se habría retirado</w:t>
      </w:r>
      <w:r w:rsidR="00BB4221">
        <w:rPr>
          <w:rFonts w:ascii="Cambria" w:eastAsia="Calibri" w:hAnsi="Cambria" w:cs="Times New Roman"/>
          <w:sz w:val="21"/>
          <w:szCs w:val="21"/>
        </w:rPr>
        <w:t xml:space="preserve"> tras quedarse por más de tres horas en la residencia, pues </w:t>
      </w:r>
      <w:r w:rsidR="00BB4221" w:rsidRPr="00BB4221">
        <w:rPr>
          <w:rFonts w:ascii="Cambria" w:eastAsia="Calibri" w:hAnsi="Cambria" w:cs="Times New Roman"/>
          <w:sz w:val="21"/>
          <w:szCs w:val="21"/>
        </w:rPr>
        <w:t>la señora Sujo Torres no se encontraba en la casa</w:t>
      </w:r>
      <w:r w:rsidR="00BB4221">
        <w:rPr>
          <w:rFonts w:ascii="Cambria" w:eastAsia="Calibri" w:hAnsi="Cambria" w:cs="Times New Roman"/>
          <w:sz w:val="21"/>
          <w:szCs w:val="21"/>
        </w:rPr>
        <w:t>.</w:t>
      </w:r>
    </w:p>
    <w:p w14:paraId="4C45F714" w14:textId="77777777" w:rsidR="00BB4221" w:rsidRDefault="00BB4221" w:rsidP="00BB4221">
      <w:pPr>
        <w:spacing w:after="0" w:line="240" w:lineRule="auto"/>
        <w:ind w:left="360"/>
        <w:contextualSpacing/>
        <w:jc w:val="both"/>
        <w:rPr>
          <w:rFonts w:ascii="Cambria" w:eastAsia="Calibri" w:hAnsi="Cambria" w:cs="Times New Roman"/>
          <w:sz w:val="21"/>
          <w:szCs w:val="21"/>
          <w:lang w:val="es-ES_tradnl"/>
        </w:rPr>
      </w:pPr>
    </w:p>
    <w:p w14:paraId="3324A843" w14:textId="2ACBC6C2" w:rsidR="008A60B9" w:rsidRDefault="00BB4221" w:rsidP="008A60B9">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Pr>
          <w:rFonts w:ascii="Cambria" w:eastAsia="Calibri" w:hAnsi="Cambria" w:cs="Times New Roman"/>
          <w:sz w:val="21"/>
          <w:szCs w:val="21"/>
          <w:lang w:val="es-ES_tradnl"/>
        </w:rPr>
        <w:t xml:space="preserve">El 6 de septiembre de 2019, el CICPC habría allanado </w:t>
      </w:r>
      <w:r w:rsidRPr="00F560FC">
        <w:rPr>
          <w:rFonts w:ascii="Cambria" w:eastAsia="Calibri" w:hAnsi="Cambria" w:cs="Times New Roman"/>
          <w:sz w:val="21"/>
          <w:szCs w:val="21"/>
          <w:lang w:val="es-ES_tradnl"/>
        </w:rPr>
        <w:t xml:space="preserve">la casa </w:t>
      </w:r>
      <w:r w:rsidR="00B1303F" w:rsidRPr="00F560FC">
        <w:rPr>
          <w:rFonts w:ascii="Cambria" w:eastAsia="Calibri" w:hAnsi="Cambria" w:cs="Times New Roman"/>
          <w:sz w:val="21"/>
          <w:szCs w:val="21"/>
          <w:lang w:val="es-ES_tradnl"/>
        </w:rPr>
        <w:t>que</w:t>
      </w:r>
      <w:r w:rsidRPr="00F560FC">
        <w:rPr>
          <w:rFonts w:ascii="Cambria" w:eastAsia="Calibri" w:hAnsi="Cambria" w:cs="Times New Roman"/>
          <w:sz w:val="21"/>
          <w:szCs w:val="21"/>
          <w:lang w:val="es-ES_tradnl"/>
        </w:rPr>
        <w:t xml:space="preserve"> la solicitante </w:t>
      </w:r>
      <w:r w:rsidR="00B1303F" w:rsidRPr="00F560FC">
        <w:rPr>
          <w:rFonts w:ascii="Cambria" w:eastAsia="Calibri" w:hAnsi="Cambria" w:cs="Times New Roman"/>
          <w:sz w:val="21"/>
          <w:szCs w:val="21"/>
          <w:lang w:val="es-ES_tradnl"/>
        </w:rPr>
        <w:t xml:space="preserve">mantendría </w:t>
      </w:r>
      <w:r w:rsidRPr="00F560FC">
        <w:rPr>
          <w:rFonts w:ascii="Cambria" w:eastAsia="Calibri" w:hAnsi="Cambria" w:cs="Times New Roman"/>
          <w:sz w:val="21"/>
          <w:szCs w:val="21"/>
          <w:lang w:val="es-ES_tradnl"/>
        </w:rPr>
        <w:t>en Caracas y la residencia de su hermano, llevándose del departam</w:t>
      </w:r>
      <w:r>
        <w:rPr>
          <w:rFonts w:ascii="Cambria" w:eastAsia="Calibri" w:hAnsi="Cambria" w:cs="Times New Roman"/>
          <w:sz w:val="21"/>
          <w:szCs w:val="21"/>
          <w:lang w:val="es-ES_tradnl"/>
        </w:rPr>
        <w:t>ento de él fotocopia de los pas</w:t>
      </w:r>
      <w:r w:rsidR="00E50497">
        <w:rPr>
          <w:rFonts w:ascii="Cambria" w:eastAsia="Calibri" w:hAnsi="Cambria" w:cs="Times New Roman"/>
          <w:sz w:val="21"/>
          <w:szCs w:val="21"/>
          <w:lang w:val="es-ES_tradnl"/>
        </w:rPr>
        <w:t xml:space="preserve">aportes de sus hijos y </w:t>
      </w:r>
      <w:r w:rsidR="008A60B9">
        <w:rPr>
          <w:rFonts w:ascii="Cambria" w:eastAsia="Calibri" w:hAnsi="Cambria" w:cs="Times New Roman"/>
          <w:sz w:val="21"/>
          <w:szCs w:val="21"/>
          <w:lang w:val="es-ES_tradnl"/>
        </w:rPr>
        <w:t xml:space="preserve">algunas </w:t>
      </w:r>
      <w:r w:rsidR="00E50497">
        <w:rPr>
          <w:rFonts w:ascii="Cambria" w:eastAsia="Calibri" w:hAnsi="Cambria" w:cs="Times New Roman"/>
          <w:sz w:val="21"/>
          <w:szCs w:val="21"/>
          <w:lang w:val="es-ES_tradnl"/>
        </w:rPr>
        <w:t>facturas</w:t>
      </w:r>
      <w:r w:rsidR="008A60B9">
        <w:rPr>
          <w:rFonts w:ascii="Cambria" w:eastAsia="Calibri" w:hAnsi="Cambria" w:cs="Times New Roman"/>
          <w:sz w:val="21"/>
          <w:szCs w:val="21"/>
          <w:lang w:val="es-ES_tradnl"/>
        </w:rPr>
        <w:t xml:space="preserve"> encontradas</w:t>
      </w:r>
      <w:r w:rsidR="00CA72DC">
        <w:rPr>
          <w:rFonts w:ascii="Cambria" w:eastAsia="Calibri" w:hAnsi="Cambria" w:cs="Times New Roman"/>
          <w:sz w:val="21"/>
          <w:szCs w:val="21"/>
          <w:lang w:val="es-ES_tradnl"/>
        </w:rPr>
        <w:t>.</w:t>
      </w:r>
    </w:p>
    <w:p w14:paraId="2057DEB2" w14:textId="77777777" w:rsidR="008A60B9" w:rsidRDefault="008A60B9" w:rsidP="008A60B9">
      <w:pPr>
        <w:pStyle w:val="ListParagraph"/>
        <w:spacing w:after="0" w:line="240" w:lineRule="auto"/>
        <w:rPr>
          <w:rFonts w:ascii="Cambria" w:eastAsia="Calibri" w:hAnsi="Cambria" w:cs="Times New Roman"/>
          <w:sz w:val="21"/>
          <w:szCs w:val="21"/>
          <w:lang w:val="es-ES_tradnl"/>
        </w:rPr>
      </w:pPr>
    </w:p>
    <w:p w14:paraId="660709A9" w14:textId="424C64BD" w:rsidR="008A60B9" w:rsidRPr="008A60B9" w:rsidRDefault="008A60B9" w:rsidP="008A60B9">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Pr>
          <w:rFonts w:ascii="Cambria" w:eastAsia="Calibri" w:hAnsi="Cambria" w:cs="Times New Roman"/>
          <w:sz w:val="21"/>
          <w:szCs w:val="21"/>
          <w:lang w:val="es-ES_tradnl"/>
        </w:rPr>
        <w:t>E</w:t>
      </w:r>
      <w:r w:rsidR="00BB4221">
        <w:rPr>
          <w:rFonts w:ascii="Cambria" w:eastAsia="Calibri" w:hAnsi="Cambria" w:cs="Times New Roman"/>
          <w:sz w:val="21"/>
          <w:szCs w:val="21"/>
          <w:lang w:val="es-ES_tradnl"/>
        </w:rPr>
        <w:t xml:space="preserve">l 12 de septiembre, habrían intentado allanar nuevamente la residencia de la solicitante, </w:t>
      </w:r>
      <w:r w:rsidR="005965EA">
        <w:rPr>
          <w:rFonts w:ascii="Cambria" w:eastAsia="Calibri" w:hAnsi="Cambria" w:cs="Times New Roman"/>
          <w:sz w:val="21"/>
          <w:szCs w:val="21"/>
          <w:lang w:val="es-ES_tradnl"/>
        </w:rPr>
        <w:t>esa vez con</w:t>
      </w:r>
      <w:r w:rsidR="00BB4221">
        <w:rPr>
          <w:rFonts w:ascii="Cambria" w:eastAsia="Calibri" w:hAnsi="Cambria" w:cs="Times New Roman"/>
          <w:sz w:val="21"/>
          <w:szCs w:val="21"/>
          <w:lang w:val="es-ES_tradnl"/>
        </w:rPr>
        <w:t xml:space="preserve"> el </w:t>
      </w:r>
      <w:r w:rsidR="00BB4221" w:rsidRPr="00BB4221">
        <w:rPr>
          <w:rFonts w:ascii="Cambria" w:eastAsia="Calibri" w:hAnsi="Cambria" w:cs="Times New Roman"/>
          <w:sz w:val="21"/>
          <w:szCs w:val="21"/>
        </w:rPr>
        <w:t>Servicio Bolivariano de Inteligencia Nacional (SEBIN)</w:t>
      </w:r>
      <w:r w:rsidR="00BB4221">
        <w:rPr>
          <w:rFonts w:ascii="Cambria" w:eastAsia="Calibri" w:hAnsi="Cambria" w:cs="Times New Roman"/>
          <w:sz w:val="21"/>
          <w:szCs w:val="21"/>
        </w:rPr>
        <w:t xml:space="preserve">, el cual no habría </w:t>
      </w:r>
      <w:r w:rsidR="00BB5FA2">
        <w:rPr>
          <w:rFonts w:ascii="Cambria" w:eastAsia="Calibri" w:hAnsi="Cambria" w:cs="Times New Roman"/>
          <w:sz w:val="21"/>
          <w:szCs w:val="21"/>
        </w:rPr>
        <w:t>sido permitido</w:t>
      </w:r>
      <w:r w:rsidR="00BB4221">
        <w:rPr>
          <w:rFonts w:ascii="Cambria" w:eastAsia="Calibri" w:hAnsi="Cambria" w:cs="Times New Roman"/>
          <w:sz w:val="21"/>
          <w:szCs w:val="21"/>
        </w:rPr>
        <w:t xml:space="preserve"> entrar por n</w:t>
      </w:r>
      <w:r w:rsidR="00CA72DC">
        <w:rPr>
          <w:rFonts w:ascii="Cambria" w:eastAsia="Calibri" w:hAnsi="Cambria" w:cs="Times New Roman"/>
          <w:sz w:val="21"/>
          <w:szCs w:val="21"/>
        </w:rPr>
        <w:t>o poseer orden de allanamiento.</w:t>
      </w:r>
    </w:p>
    <w:p w14:paraId="370A7EAC" w14:textId="77777777" w:rsidR="008A60B9" w:rsidRDefault="008A60B9" w:rsidP="008A60B9">
      <w:pPr>
        <w:pStyle w:val="ListParagraph"/>
        <w:spacing w:after="0" w:line="240" w:lineRule="auto"/>
        <w:rPr>
          <w:rFonts w:ascii="Cambria" w:eastAsia="Calibri" w:hAnsi="Cambria" w:cs="Times New Roman"/>
          <w:sz w:val="21"/>
          <w:szCs w:val="21"/>
        </w:rPr>
      </w:pPr>
    </w:p>
    <w:p w14:paraId="28AA6401" w14:textId="42318F33" w:rsidR="00BB4221" w:rsidRPr="009C498E" w:rsidRDefault="008A60B9" w:rsidP="008A60B9">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Pr>
          <w:rFonts w:ascii="Cambria" w:eastAsia="Calibri" w:hAnsi="Cambria" w:cs="Times New Roman"/>
          <w:sz w:val="21"/>
          <w:szCs w:val="21"/>
        </w:rPr>
        <w:t>E</w:t>
      </w:r>
      <w:r w:rsidR="0027051A">
        <w:rPr>
          <w:rFonts w:ascii="Cambria" w:eastAsia="Calibri" w:hAnsi="Cambria" w:cs="Times New Roman"/>
          <w:sz w:val="21"/>
          <w:szCs w:val="21"/>
        </w:rPr>
        <w:t xml:space="preserve">l 13 de septiembre, </w:t>
      </w:r>
      <w:r w:rsidR="00BB4221">
        <w:rPr>
          <w:rFonts w:ascii="Cambria" w:eastAsia="Calibri" w:hAnsi="Cambria" w:cs="Times New Roman"/>
          <w:sz w:val="21"/>
          <w:szCs w:val="21"/>
        </w:rPr>
        <w:t xml:space="preserve">el CICPC se habría presentado nuevamente a la casa del propuesto beneficiario Oswaldo </w:t>
      </w:r>
      <w:proofErr w:type="spellStart"/>
      <w:r w:rsidR="00BB4221">
        <w:rPr>
          <w:rFonts w:ascii="Cambria" w:eastAsia="Calibri" w:hAnsi="Cambria" w:cs="Times New Roman"/>
          <w:sz w:val="21"/>
          <w:szCs w:val="21"/>
        </w:rPr>
        <w:t>Suju</w:t>
      </w:r>
      <w:proofErr w:type="spellEnd"/>
      <w:r w:rsidR="00BB4221">
        <w:rPr>
          <w:rFonts w:ascii="Cambria" w:eastAsia="Calibri" w:hAnsi="Cambria" w:cs="Times New Roman"/>
          <w:sz w:val="21"/>
          <w:szCs w:val="21"/>
        </w:rPr>
        <w:t xml:space="preserve">, </w:t>
      </w:r>
      <w:r w:rsidR="00BB4221" w:rsidRPr="00BB4221">
        <w:rPr>
          <w:rFonts w:ascii="Cambria" w:eastAsia="Calibri" w:hAnsi="Cambria" w:cs="Times New Roman"/>
          <w:sz w:val="21"/>
          <w:szCs w:val="21"/>
        </w:rPr>
        <w:t>buscando llevar a</w:t>
      </w:r>
      <w:r w:rsidR="005965EA">
        <w:rPr>
          <w:rFonts w:ascii="Cambria" w:eastAsia="Calibri" w:hAnsi="Cambria" w:cs="Times New Roman"/>
          <w:sz w:val="21"/>
          <w:szCs w:val="21"/>
        </w:rPr>
        <w:t xml:space="preserve"> la propuesta beneficiaria</w:t>
      </w:r>
      <w:r w:rsidR="00BB4221" w:rsidRPr="00BB4221">
        <w:rPr>
          <w:rFonts w:ascii="Cambria" w:eastAsia="Calibri" w:hAnsi="Cambria" w:cs="Times New Roman"/>
          <w:sz w:val="21"/>
          <w:szCs w:val="21"/>
        </w:rPr>
        <w:t xml:space="preserve"> </w:t>
      </w:r>
      <w:proofErr w:type="spellStart"/>
      <w:r w:rsidR="00BB4221" w:rsidRPr="00BB4221">
        <w:rPr>
          <w:rFonts w:ascii="Cambria" w:eastAsia="Calibri" w:hAnsi="Cambria" w:cs="Times New Roman"/>
          <w:sz w:val="21"/>
          <w:szCs w:val="21"/>
        </w:rPr>
        <w:t>Sungliying</w:t>
      </w:r>
      <w:proofErr w:type="spellEnd"/>
      <w:r w:rsidR="00BB4221" w:rsidRPr="00BB4221">
        <w:rPr>
          <w:rFonts w:ascii="Cambria" w:eastAsia="Calibri" w:hAnsi="Cambria" w:cs="Times New Roman"/>
          <w:sz w:val="21"/>
          <w:szCs w:val="21"/>
        </w:rPr>
        <w:t xml:space="preserve"> Sujo Torres a una citación</w:t>
      </w:r>
      <w:r w:rsidR="005965EA">
        <w:rPr>
          <w:rFonts w:ascii="Cambria" w:eastAsia="Calibri" w:hAnsi="Cambria" w:cs="Times New Roman"/>
          <w:sz w:val="21"/>
          <w:szCs w:val="21"/>
        </w:rPr>
        <w:t xml:space="preserve">. </w:t>
      </w:r>
      <w:r w:rsidR="009B6151">
        <w:rPr>
          <w:rFonts w:ascii="Cambria" w:eastAsia="Calibri" w:hAnsi="Cambria" w:cs="Times New Roman"/>
          <w:sz w:val="21"/>
          <w:szCs w:val="21"/>
        </w:rPr>
        <w:t>La solicitante alegó que, así como el 19 de agosto, las autoridades no habrían dejado que se conociera la supuesta orden de citaci</w:t>
      </w:r>
      <w:r w:rsidR="0027051A">
        <w:rPr>
          <w:rFonts w:ascii="Cambria" w:eastAsia="Calibri" w:hAnsi="Cambria" w:cs="Times New Roman"/>
          <w:sz w:val="21"/>
          <w:szCs w:val="21"/>
        </w:rPr>
        <w:t xml:space="preserve">ón. Asimismo, en el segundo intento, el CICPC habría amenazado entrar a la residencia a fuerza y llevar también a los tíos </w:t>
      </w:r>
      <w:r w:rsidR="00BB5FA2">
        <w:rPr>
          <w:rFonts w:ascii="Cambria" w:eastAsia="Calibri" w:hAnsi="Cambria" w:cs="Times New Roman"/>
          <w:sz w:val="21"/>
          <w:szCs w:val="21"/>
        </w:rPr>
        <w:t xml:space="preserve">de la solicitante </w:t>
      </w:r>
      <w:r w:rsidR="0027051A">
        <w:rPr>
          <w:rFonts w:ascii="Cambria" w:eastAsia="Calibri" w:hAnsi="Cambria" w:cs="Times New Roman"/>
          <w:sz w:val="21"/>
          <w:szCs w:val="21"/>
        </w:rPr>
        <w:t>(propuestos beneficiarios), habiendo supuestamente más de 15 funcionarios del CICPC en la operación. Después de tres horas el CICPC se habría retirado del lugar.</w:t>
      </w:r>
    </w:p>
    <w:p w14:paraId="2BCB33D6" w14:textId="77777777" w:rsidR="009C498E" w:rsidRDefault="009C498E" w:rsidP="008A60B9">
      <w:pPr>
        <w:pStyle w:val="ListParagraph"/>
        <w:spacing w:after="0" w:line="240" w:lineRule="auto"/>
        <w:rPr>
          <w:rFonts w:ascii="Cambria" w:eastAsia="Calibri" w:hAnsi="Cambria" w:cs="Times New Roman"/>
          <w:sz w:val="21"/>
          <w:szCs w:val="21"/>
          <w:lang w:val="es-ES_tradnl"/>
        </w:rPr>
      </w:pPr>
    </w:p>
    <w:p w14:paraId="2D90586F" w14:textId="15382432" w:rsidR="009C498E" w:rsidRPr="00B6504E" w:rsidRDefault="009C498E" w:rsidP="009C498E">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Pr>
          <w:rFonts w:ascii="Cambria" w:eastAsia="Calibri" w:hAnsi="Cambria" w:cs="Times New Roman"/>
          <w:sz w:val="21"/>
          <w:szCs w:val="21"/>
          <w:lang w:val="es-ES_tradnl"/>
        </w:rPr>
        <w:t xml:space="preserve">Finalmente, la solicitante alegó que, desde las cadenas de TV, se hubiera hecho “exposiciones” en contra de ella y sus familiares de forma “interminable e intimidatoria para ellos, que viven en Venezuela”. A modo de ejemplo, la solicitante alegó, aportando video, que el 11 de septiembre de 2019, el señor </w:t>
      </w:r>
      <w:proofErr w:type="spellStart"/>
      <w:r>
        <w:rPr>
          <w:rFonts w:ascii="Cambria" w:eastAsia="Calibri" w:hAnsi="Cambria" w:cs="Times New Roman"/>
          <w:sz w:val="21"/>
          <w:szCs w:val="21"/>
          <w:lang w:val="es-ES_tradnl"/>
        </w:rPr>
        <w:t>Diosdado</w:t>
      </w:r>
      <w:proofErr w:type="spellEnd"/>
      <w:r>
        <w:rPr>
          <w:rFonts w:ascii="Cambria" w:eastAsia="Calibri" w:hAnsi="Cambria" w:cs="Times New Roman"/>
          <w:sz w:val="21"/>
          <w:szCs w:val="21"/>
          <w:lang w:val="es-ES_tradnl"/>
        </w:rPr>
        <w:t xml:space="preserve"> Cabello se refirió a la solicitante y al propuesto beneficiario Oswaldo </w:t>
      </w:r>
      <w:proofErr w:type="spellStart"/>
      <w:r>
        <w:rPr>
          <w:rFonts w:ascii="Cambria" w:eastAsia="Calibri" w:hAnsi="Cambria" w:cs="Times New Roman"/>
          <w:sz w:val="21"/>
          <w:szCs w:val="21"/>
          <w:lang w:val="es-ES_tradnl"/>
        </w:rPr>
        <w:t>Suju</w:t>
      </w:r>
      <w:proofErr w:type="spellEnd"/>
      <w:r>
        <w:rPr>
          <w:rFonts w:ascii="Cambria" w:eastAsia="Calibri" w:hAnsi="Cambria" w:cs="Times New Roman"/>
          <w:sz w:val="21"/>
          <w:szCs w:val="21"/>
          <w:lang w:val="es-ES_tradnl"/>
        </w:rPr>
        <w:t xml:space="preserve"> </w:t>
      </w:r>
      <w:proofErr w:type="spellStart"/>
      <w:r>
        <w:rPr>
          <w:rFonts w:ascii="Cambria" w:eastAsia="Calibri" w:hAnsi="Cambria" w:cs="Times New Roman"/>
          <w:sz w:val="21"/>
          <w:szCs w:val="21"/>
          <w:lang w:val="es-ES_tradnl"/>
        </w:rPr>
        <w:t>Raffo</w:t>
      </w:r>
      <w:proofErr w:type="spellEnd"/>
      <w:r>
        <w:rPr>
          <w:rFonts w:ascii="Cambria" w:eastAsia="Calibri" w:hAnsi="Cambria" w:cs="Times New Roman"/>
          <w:sz w:val="21"/>
          <w:szCs w:val="21"/>
          <w:lang w:val="es-ES_tradnl"/>
        </w:rPr>
        <w:t xml:space="preserve"> de manera despreciativa por la vía televisiva.</w:t>
      </w:r>
    </w:p>
    <w:p w14:paraId="159D5CF0" w14:textId="77777777" w:rsidR="00B6504E" w:rsidRPr="00B6504E" w:rsidRDefault="00B6504E" w:rsidP="00B6504E">
      <w:pPr>
        <w:tabs>
          <w:tab w:val="left" w:pos="810"/>
        </w:tabs>
        <w:spacing w:after="0" w:line="240" w:lineRule="auto"/>
        <w:jc w:val="both"/>
        <w:rPr>
          <w:rFonts w:ascii="Cambria" w:eastAsia="Calibri" w:hAnsi="Cambria" w:cs="Times New Roman"/>
          <w:b/>
          <w:sz w:val="21"/>
          <w:szCs w:val="21"/>
          <w:lang w:val="es-MX"/>
        </w:rPr>
      </w:pPr>
    </w:p>
    <w:p w14:paraId="51032905" w14:textId="77777777" w:rsidR="00B6504E" w:rsidRPr="00B6504E" w:rsidRDefault="00B6504E" w:rsidP="00B6504E">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B6504E">
        <w:rPr>
          <w:rFonts w:ascii="Cambria" w:eastAsia="Calibri" w:hAnsi="Cambria" w:cs="Times New Roman"/>
          <w:b/>
          <w:sz w:val="21"/>
          <w:szCs w:val="21"/>
          <w:lang w:val="es-ES_tradnl"/>
        </w:rPr>
        <w:t xml:space="preserve">ASPECTOS CONTEXTUALES EN RELACIÓN CON LA PRESENTE SOLICITUD </w:t>
      </w:r>
    </w:p>
    <w:p w14:paraId="014989C0" w14:textId="77777777" w:rsidR="00B6504E" w:rsidRPr="00B6504E" w:rsidRDefault="00B6504E" w:rsidP="00B6504E">
      <w:pPr>
        <w:spacing w:after="0" w:line="240" w:lineRule="auto"/>
        <w:ind w:left="1080"/>
        <w:jc w:val="both"/>
        <w:rPr>
          <w:rFonts w:ascii="Cambria" w:eastAsia="Calibri" w:hAnsi="Cambria" w:cs="Times New Roman"/>
          <w:b/>
          <w:sz w:val="21"/>
          <w:szCs w:val="21"/>
          <w:lang w:val="es-MX"/>
        </w:rPr>
      </w:pPr>
    </w:p>
    <w:p w14:paraId="7D36318F" w14:textId="77777777" w:rsidR="00B6504E" w:rsidRPr="00B6504E" w:rsidRDefault="00B6504E" w:rsidP="00E50497">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 xml:space="preserve">La Comisión Interamericana, en el marco de sus diversos mecanismos ha venido dando seguimiento a la situación de derechos humanos en Venezuela. La Comisión emitió de manera reciente su </w:t>
      </w:r>
      <w:r w:rsidRPr="00B6504E">
        <w:rPr>
          <w:rFonts w:ascii="Cambria" w:eastAsia="Calibri" w:hAnsi="Cambria" w:cs="Times New Roman"/>
          <w:sz w:val="21"/>
          <w:szCs w:val="21"/>
        </w:rPr>
        <w:lastRenderedPageBreak/>
        <w:t xml:space="preserve">Informe sobre </w:t>
      </w:r>
      <w:r w:rsidRPr="00B6504E">
        <w:rPr>
          <w:rFonts w:ascii="Cambria" w:eastAsia="Calibri" w:hAnsi="Cambria" w:cs="Times New Roman"/>
          <w:i/>
          <w:sz w:val="21"/>
          <w:szCs w:val="21"/>
        </w:rPr>
        <w:t>Institucionalidad Democrática, Estado de Derecho y Derechos Humanos en Venezuela</w:t>
      </w:r>
      <w:r w:rsidRPr="00B6504E">
        <w:rPr>
          <w:rFonts w:ascii="Cambria" w:eastAsia="Calibri" w:hAnsi="Cambria" w:cs="Times New Roman"/>
          <w:sz w:val="21"/>
          <w:szCs w:val="21"/>
        </w:rPr>
        <w:t xml:space="preserve"> en el cual hizo referencia al “serio deterioro de la vigencia de los derechos humanos, y la grave crisis política, económica y social que atraviesa el país […]”</w:t>
      </w:r>
      <w:r w:rsidRPr="00B6504E">
        <w:rPr>
          <w:rFonts w:ascii="Cambria" w:eastAsia="Calibri" w:hAnsi="Cambria" w:cs="Times New Roman"/>
          <w:sz w:val="21"/>
          <w:szCs w:val="21"/>
          <w:vertAlign w:val="superscript"/>
        </w:rPr>
        <w:footnoteReference w:id="5"/>
      </w:r>
      <w:r w:rsidRPr="00B6504E">
        <w:rPr>
          <w:rFonts w:ascii="Cambria" w:eastAsia="Calibri" w:hAnsi="Cambria" w:cs="Times New Roman"/>
          <w:sz w:val="21"/>
          <w:szCs w:val="21"/>
        </w:rPr>
        <w:t>.</w:t>
      </w:r>
    </w:p>
    <w:p w14:paraId="23183E9A"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rPr>
      </w:pPr>
    </w:p>
    <w:p w14:paraId="74265E80" w14:textId="77777777" w:rsidR="00B6504E" w:rsidRPr="00B6504E" w:rsidRDefault="00B6504E" w:rsidP="00E50497">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Según fue identificado por la Comisión “se trata de una problemática compleja que tiene sus raíces en la injerencia del Poder Ejecutivo en los otros poderes públicos”. La Comisión notó que “[e]</w:t>
      </w:r>
      <w:proofErr w:type="spellStart"/>
      <w:r w:rsidRPr="00B6504E">
        <w:rPr>
          <w:rFonts w:ascii="Cambria" w:eastAsia="Calibri" w:hAnsi="Cambria" w:cs="Times New Roman"/>
          <w:sz w:val="21"/>
          <w:szCs w:val="21"/>
        </w:rPr>
        <w:t>sta</w:t>
      </w:r>
      <w:proofErr w:type="spellEnd"/>
      <w:r w:rsidRPr="00B6504E">
        <w:rPr>
          <w:rFonts w:ascii="Cambria" w:eastAsia="Calibri" w:hAnsi="Cambria" w:cs="Times New Roman"/>
          <w:sz w:val="21"/>
          <w:szCs w:val="21"/>
        </w:rPr>
        <w:t xml:space="preserve"> inobservancia del principio de separación de poderes se refleja de manera particularmente grave en la preocupante actuación del Poder Judicial”. En efecto, el agravamiento de la crisis reciente en Venezuela fue particularmente monitoreada por la Comisión en el año de 2017 tras “una serie de decisiones adoptadas por el Tribunal Supremo de Justicia (TSJ), que representaron injerencias en la Asamblea Nacional (AN) y afectaron el principio de separación de poderes”</w:t>
      </w:r>
      <w:r w:rsidRPr="00B6504E">
        <w:rPr>
          <w:rFonts w:ascii="Cambria" w:eastAsia="Calibri" w:hAnsi="Cambria" w:cs="Times New Roman"/>
          <w:sz w:val="21"/>
          <w:szCs w:val="21"/>
          <w:vertAlign w:val="superscript"/>
        </w:rPr>
        <w:footnoteReference w:id="6"/>
      </w:r>
      <w:r w:rsidRPr="00B6504E">
        <w:rPr>
          <w:rFonts w:ascii="Cambria" w:eastAsia="Calibri" w:hAnsi="Cambria" w:cs="Times New Roman"/>
          <w:sz w:val="21"/>
          <w:szCs w:val="21"/>
        </w:rPr>
        <w:t>.</w:t>
      </w:r>
    </w:p>
    <w:p w14:paraId="7F045C6B" w14:textId="77777777" w:rsidR="00B6504E" w:rsidRPr="00B6504E" w:rsidRDefault="00B6504E" w:rsidP="00B6504E">
      <w:pPr>
        <w:spacing w:after="0" w:line="240" w:lineRule="auto"/>
        <w:contextualSpacing/>
        <w:jc w:val="both"/>
        <w:rPr>
          <w:rFonts w:ascii="Cambria" w:eastAsia="Calibri" w:hAnsi="Cambria" w:cs="Times New Roman"/>
          <w:sz w:val="21"/>
          <w:szCs w:val="21"/>
        </w:rPr>
      </w:pPr>
    </w:p>
    <w:p w14:paraId="655A61E4" w14:textId="77777777" w:rsidR="00B6504E" w:rsidRPr="00B6504E" w:rsidRDefault="00B6504E" w:rsidP="00E50497">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En el marco de los anteriores eventos, la Comisión expresó su “profunda preocupación por el agravamiento de la violencia en Venezuela” y tomó conocimiento en su momento de que en el contexto de la represión a la ola de protestas sociales ocurridas entre abril y julio de 2017, se habrían registrado más de un centenar de muertes</w:t>
      </w:r>
      <w:r w:rsidRPr="00B6504E">
        <w:rPr>
          <w:rFonts w:ascii="Cambria" w:eastAsia="Calibri" w:hAnsi="Cambria" w:cs="Times New Roman"/>
          <w:sz w:val="21"/>
          <w:szCs w:val="21"/>
          <w:vertAlign w:val="superscript"/>
        </w:rPr>
        <w:footnoteReference w:id="7"/>
      </w:r>
      <w:r w:rsidRPr="00B6504E">
        <w:rPr>
          <w:rFonts w:ascii="Cambria" w:eastAsia="Calibri" w:hAnsi="Cambria" w:cs="Times New Roman"/>
          <w:sz w:val="21"/>
          <w:szCs w:val="21"/>
        </w:rPr>
        <w:t>, así como detenciones arbitrarias y denuncias sobre actos de tortura y otros tratos crueles, inhumanos o degradantes</w:t>
      </w:r>
      <w:r w:rsidRPr="00B6504E">
        <w:rPr>
          <w:rFonts w:ascii="Cambria" w:eastAsia="Calibri" w:hAnsi="Cambria" w:cs="Times New Roman"/>
          <w:sz w:val="21"/>
          <w:szCs w:val="21"/>
          <w:vertAlign w:val="superscript"/>
        </w:rPr>
        <w:footnoteReference w:id="8"/>
      </w:r>
      <w:r w:rsidRPr="00B6504E">
        <w:rPr>
          <w:rFonts w:ascii="Cambria" w:eastAsia="Calibri" w:hAnsi="Cambria" w:cs="Times New Roman"/>
          <w:sz w:val="21"/>
          <w:szCs w:val="21"/>
        </w:rPr>
        <w:t>.</w:t>
      </w:r>
    </w:p>
    <w:p w14:paraId="576A4CC1"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rPr>
      </w:pPr>
    </w:p>
    <w:p w14:paraId="240F7BA8" w14:textId="02E1955C" w:rsidR="00B6504E" w:rsidRPr="00B6504E" w:rsidRDefault="00B6504E" w:rsidP="00E50497">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El 2 de marzo de 2018 la Comisión emitió su Resolución 2/2018 “Migración Forzada de Personas Venezolanas”, en la cual señaló recomendaciones a los Estados Miembros de la OEA en vista de que la “grave crisis alimentaria y sanitaria que viene enfrentando Venezuela, como consecuencia de la escasez de alimentos y medicamentos” habría ocasionado el crecimiento exponencial de cientos de miles de personas venezolanas a migrar hacia otros países como una “estrategia de supervivencia”</w:t>
      </w:r>
      <w:r w:rsidRPr="00B6504E">
        <w:rPr>
          <w:rFonts w:ascii="Cambria" w:eastAsia="Calibri" w:hAnsi="Cambria" w:cs="Times New Roman"/>
          <w:sz w:val="21"/>
          <w:szCs w:val="21"/>
          <w:vertAlign w:val="superscript"/>
        </w:rPr>
        <w:footnoteReference w:id="9"/>
      </w:r>
      <w:r w:rsidR="00470DB8">
        <w:rPr>
          <w:rFonts w:ascii="Cambria" w:eastAsia="Calibri" w:hAnsi="Cambria" w:cs="Times New Roman"/>
          <w:sz w:val="21"/>
          <w:szCs w:val="21"/>
          <w:vertAlign w:val="subscript"/>
        </w:rPr>
        <w:t>.</w:t>
      </w:r>
    </w:p>
    <w:p w14:paraId="010792F5"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rPr>
      </w:pPr>
    </w:p>
    <w:p w14:paraId="1A9D79F4" w14:textId="77777777" w:rsidR="00B6504E" w:rsidRPr="00B6504E" w:rsidRDefault="00B6504E" w:rsidP="00E50497">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El 18 de mayo de 2018, la Comisión expresó “su profunda preocupación por la falta de condiciones mínimas necesarias para la realización de elecciones libres, justas y confiables en Venezuela”, llamando a realizar “en un plazo razonable y adecuado, elecciones sobre la base del pleno y efectivo ejercicio de los derechos humanos y los principios democráticos”</w:t>
      </w:r>
      <w:r w:rsidRPr="00B6504E">
        <w:rPr>
          <w:rFonts w:ascii="Cambria" w:eastAsia="Calibri" w:hAnsi="Cambria" w:cs="Times New Roman"/>
          <w:sz w:val="21"/>
          <w:szCs w:val="21"/>
          <w:vertAlign w:val="superscript"/>
        </w:rPr>
        <w:footnoteReference w:id="10"/>
      </w:r>
      <w:r w:rsidRPr="00B6504E">
        <w:rPr>
          <w:rFonts w:ascii="Cambria" w:eastAsia="Calibri" w:hAnsi="Cambria" w:cs="Times New Roman"/>
          <w:sz w:val="21"/>
          <w:szCs w:val="21"/>
        </w:rPr>
        <w:t>. El 1 de octubre de 2018, ante la crisis en el sistema sanitario de Venezuela, la Comisión en conjunto con expertos de Naciones Unidas, instaron al gobierno a actuar de manera más urgente para movilizar los recursos necesarios para restaurar el sistema de salud</w:t>
      </w:r>
      <w:r w:rsidRPr="00B6504E">
        <w:rPr>
          <w:rFonts w:ascii="Cambria" w:eastAsia="Calibri" w:hAnsi="Cambria" w:cs="Times New Roman"/>
          <w:sz w:val="21"/>
          <w:szCs w:val="21"/>
          <w:vertAlign w:val="superscript"/>
        </w:rPr>
        <w:footnoteReference w:id="11"/>
      </w:r>
      <w:r w:rsidRPr="00B6504E">
        <w:rPr>
          <w:rFonts w:ascii="Cambria" w:eastAsia="Calibri" w:hAnsi="Cambria" w:cs="Times New Roman"/>
          <w:sz w:val="21"/>
          <w:szCs w:val="21"/>
        </w:rPr>
        <w:t>.</w:t>
      </w:r>
    </w:p>
    <w:p w14:paraId="265C3AEB"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rPr>
      </w:pPr>
    </w:p>
    <w:p w14:paraId="3B4D0DF8" w14:textId="21EBC7D5" w:rsidR="00B6504E" w:rsidRPr="00B6504E" w:rsidRDefault="00B6504E" w:rsidP="00E50497">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 xml:space="preserve">El 9 de enero de 2019 la Comisión emitió un nuevo comunicado de prensa, en el cual tras haberse realizado un proceso </w:t>
      </w:r>
      <w:r w:rsidR="00470DB8">
        <w:rPr>
          <w:rFonts w:ascii="Cambria" w:eastAsia="Calibri" w:hAnsi="Cambria" w:cs="Times New Roman"/>
          <w:sz w:val="21"/>
          <w:szCs w:val="21"/>
        </w:rPr>
        <w:t xml:space="preserve">sin </w:t>
      </w:r>
      <w:r w:rsidRPr="00B6504E">
        <w:rPr>
          <w:rFonts w:ascii="Cambria" w:eastAsia="Calibri" w:hAnsi="Cambria" w:cs="Times New Roman"/>
          <w:sz w:val="21"/>
          <w:szCs w:val="21"/>
        </w:rPr>
        <w:t>las condiciones para la realización de elecciones libres y justas en el país, “</w:t>
      </w:r>
      <w:proofErr w:type="spellStart"/>
      <w:r w:rsidRPr="00B6504E">
        <w:rPr>
          <w:rFonts w:ascii="Cambria" w:eastAsia="Calibri" w:hAnsi="Cambria" w:cs="Times New Roman"/>
          <w:sz w:val="21"/>
          <w:szCs w:val="21"/>
        </w:rPr>
        <w:t>alert</w:t>
      </w:r>
      <w:proofErr w:type="spellEnd"/>
      <w:r w:rsidRPr="00B6504E">
        <w:rPr>
          <w:rFonts w:ascii="Cambria" w:eastAsia="Calibri" w:hAnsi="Cambria" w:cs="Times New Roman"/>
          <w:sz w:val="21"/>
          <w:szCs w:val="21"/>
        </w:rPr>
        <w:t>[</w:t>
      </w:r>
      <w:proofErr w:type="spellStart"/>
      <w:r w:rsidRPr="00B6504E">
        <w:rPr>
          <w:rFonts w:ascii="Cambria" w:eastAsia="Calibri" w:hAnsi="Cambria" w:cs="Times New Roman"/>
          <w:sz w:val="21"/>
          <w:szCs w:val="21"/>
        </w:rPr>
        <w:t>ó</w:t>
      </w:r>
      <w:proofErr w:type="spellEnd"/>
      <w:r w:rsidRPr="00B6504E">
        <w:rPr>
          <w:rFonts w:ascii="Cambria" w:eastAsia="Calibri" w:hAnsi="Cambria" w:cs="Times New Roman"/>
          <w:sz w:val="21"/>
          <w:szCs w:val="21"/>
        </w:rPr>
        <w:t xml:space="preserve">] sobre la profundización del debilitamiento institucional en Venezuela” y asimismo, advirtió sobre “la </w:t>
      </w:r>
      <w:r w:rsidRPr="00B6504E">
        <w:rPr>
          <w:rFonts w:ascii="Cambria" w:eastAsia="Calibri" w:hAnsi="Cambria" w:cs="Times New Roman"/>
          <w:sz w:val="21"/>
          <w:szCs w:val="21"/>
        </w:rPr>
        <w:lastRenderedPageBreak/>
        <w:t xml:space="preserve">persistencia de situaciones estructurales que afectan </w:t>
      </w:r>
      <w:r w:rsidR="00470DB8">
        <w:rPr>
          <w:rFonts w:ascii="Cambria" w:eastAsia="Calibri" w:hAnsi="Cambria" w:cs="Times New Roman"/>
          <w:sz w:val="21"/>
          <w:szCs w:val="21"/>
        </w:rPr>
        <w:t xml:space="preserve">a </w:t>
      </w:r>
      <w:r w:rsidRPr="00B6504E">
        <w:rPr>
          <w:rFonts w:ascii="Cambria" w:eastAsia="Calibri" w:hAnsi="Cambria" w:cs="Times New Roman"/>
          <w:sz w:val="21"/>
          <w:szCs w:val="21"/>
        </w:rPr>
        <w:t>los derechos humanos”, alertando a su vez sobre “las graves consecuencias que ocasionaría el retiro del Estado de la OEA para la población venezolana”</w:t>
      </w:r>
      <w:r w:rsidRPr="00B6504E">
        <w:rPr>
          <w:rFonts w:ascii="Cambria" w:eastAsia="Calibri" w:hAnsi="Cambria" w:cs="Times New Roman"/>
          <w:sz w:val="21"/>
          <w:szCs w:val="21"/>
          <w:vertAlign w:val="superscript"/>
        </w:rPr>
        <w:footnoteReference w:id="12"/>
      </w:r>
      <w:r w:rsidRPr="00B6504E">
        <w:rPr>
          <w:rFonts w:ascii="Cambria" w:eastAsia="Calibri" w:hAnsi="Cambria" w:cs="Times New Roman"/>
          <w:sz w:val="21"/>
          <w:szCs w:val="21"/>
        </w:rPr>
        <w:t>.</w:t>
      </w:r>
    </w:p>
    <w:p w14:paraId="161DB4F5" w14:textId="77777777" w:rsidR="00B6504E" w:rsidRPr="00B6504E" w:rsidRDefault="00B6504E" w:rsidP="00B6504E">
      <w:pPr>
        <w:spacing w:after="0" w:line="240" w:lineRule="auto"/>
        <w:contextualSpacing/>
        <w:jc w:val="both"/>
        <w:rPr>
          <w:rFonts w:ascii="Cambria" w:eastAsia="Calibri" w:hAnsi="Cambria" w:cs="Times New Roman"/>
          <w:sz w:val="21"/>
          <w:szCs w:val="21"/>
        </w:rPr>
      </w:pPr>
    </w:p>
    <w:p w14:paraId="0CB3CC4F" w14:textId="04AE5872" w:rsidR="00B6504E" w:rsidRPr="00B6504E" w:rsidRDefault="00B6504E" w:rsidP="00E50497">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El 10 de enero de 2019, el Consejo Permanente de la Organización de Estados Americanos por mayoría acordó “no reconocer la legitimidad del periodo del régimen de Nicolás Maduro”</w:t>
      </w:r>
      <w:r w:rsidRPr="00B6504E">
        <w:rPr>
          <w:rFonts w:ascii="Cambria" w:eastAsia="Calibri" w:hAnsi="Cambria" w:cs="Times New Roman"/>
          <w:sz w:val="21"/>
          <w:szCs w:val="21"/>
          <w:vertAlign w:val="superscript"/>
        </w:rPr>
        <w:footnoteReference w:id="13"/>
      </w:r>
      <w:r w:rsidRPr="00B6504E">
        <w:rPr>
          <w:rFonts w:ascii="Cambria" w:eastAsia="Calibri" w:hAnsi="Cambria" w:cs="Times New Roman"/>
          <w:sz w:val="21"/>
          <w:szCs w:val="21"/>
        </w:rPr>
        <w:t xml:space="preserve">. Asimismo, frente a la convocatoria de nuevas manifestaciones y los graves hechos de violencia producidos en anteriores movilizaciones, el 23 de enero de 2019 la Comisión hizo un llamado al Estado a garantizar que las </w:t>
      </w:r>
      <w:r w:rsidR="00050457">
        <w:rPr>
          <w:rFonts w:ascii="Cambria" w:eastAsia="Calibri" w:hAnsi="Cambria" w:cs="Times New Roman"/>
          <w:sz w:val="21"/>
          <w:szCs w:val="21"/>
        </w:rPr>
        <w:t>protestas</w:t>
      </w:r>
      <w:r w:rsidR="00050457" w:rsidRPr="00B6504E">
        <w:rPr>
          <w:rFonts w:ascii="Cambria" w:eastAsia="Calibri" w:hAnsi="Cambria" w:cs="Times New Roman"/>
          <w:sz w:val="21"/>
          <w:szCs w:val="21"/>
        </w:rPr>
        <w:t xml:space="preserve"> </w:t>
      </w:r>
      <w:r w:rsidRPr="00B6504E">
        <w:rPr>
          <w:rFonts w:ascii="Cambria" w:eastAsia="Calibri" w:hAnsi="Cambria" w:cs="Times New Roman"/>
          <w:sz w:val="21"/>
          <w:szCs w:val="21"/>
        </w:rPr>
        <w:t>sociales se realicen en ejercicio del derecho de reunión y manifestación pacífica y se protejan los derechos a la vida, integridad y a la libertad personal de todos y todas quienes se manifiesten</w:t>
      </w:r>
      <w:r w:rsidRPr="00B6504E">
        <w:rPr>
          <w:rFonts w:ascii="Cambria" w:eastAsia="Calibri" w:hAnsi="Cambria" w:cs="Times New Roman"/>
          <w:sz w:val="21"/>
          <w:szCs w:val="21"/>
          <w:vertAlign w:val="superscript"/>
        </w:rPr>
        <w:footnoteReference w:id="14"/>
      </w:r>
      <w:r w:rsidRPr="00B6504E">
        <w:rPr>
          <w:rFonts w:ascii="Cambria" w:eastAsia="Calibri" w:hAnsi="Cambria" w:cs="Times New Roman"/>
          <w:sz w:val="21"/>
          <w:szCs w:val="21"/>
        </w:rPr>
        <w:t>.</w:t>
      </w:r>
    </w:p>
    <w:p w14:paraId="68B1BA1B"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rPr>
      </w:pPr>
    </w:p>
    <w:p w14:paraId="053D7B9F" w14:textId="4D190C38" w:rsidR="00B6504E" w:rsidRPr="00B6504E" w:rsidRDefault="00B6504E" w:rsidP="00E50497">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 xml:space="preserve">El 25 de enero de 2019, la Comisión fue informada </w:t>
      </w:r>
      <w:r w:rsidR="00050457">
        <w:rPr>
          <w:rFonts w:ascii="Cambria" w:eastAsia="Calibri" w:hAnsi="Cambria" w:cs="Times New Roman"/>
          <w:sz w:val="21"/>
          <w:szCs w:val="21"/>
        </w:rPr>
        <w:t xml:space="preserve">de </w:t>
      </w:r>
      <w:r w:rsidRPr="00B6504E">
        <w:rPr>
          <w:rFonts w:ascii="Cambria" w:eastAsia="Calibri" w:hAnsi="Cambria" w:cs="Times New Roman"/>
          <w:sz w:val="21"/>
          <w:szCs w:val="21"/>
        </w:rPr>
        <w:t>hechos de violencia y represión e</w:t>
      </w:r>
      <w:r w:rsidR="00050457">
        <w:rPr>
          <w:rFonts w:ascii="Cambria" w:eastAsia="Calibri" w:hAnsi="Cambria" w:cs="Times New Roman"/>
          <w:sz w:val="21"/>
          <w:szCs w:val="21"/>
        </w:rPr>
        <w:t>n</w:t>
      </w:r>
      <w:r w:rsidRPr="00B6504E">
        <w:rPr>
          <w:rFonts w:ascii="Cambria" w:eastAsia="Calibri" w:hAnsi="Cambria" w:cs="Times New Roman"/>
          <w:sz w:val="21"/>
          <w:szCs w:val="21"/>
        </w:rPr>
        <w:t xml:space="preserve"> la protesta social, allanamientos ilegales, detenciones arbitrarias, estigmatización y persecución de las personas opositoras registra</w:t>
      </w:r>
      <w:r w:rsidR="00050457">
        <w:rPr>
          <w:rFonts w:ascii="Cambria" w:eastAsia="Calibri" w:hAnsi="Cambria" w:cs="Times New Roman"/>
          <w:sz w:val="21"/>
          <w:szCs w:val="21"/>
        </w:rPr>
        <w:t>dos</w:t>
      </w:r>
      <w:r w:rsidRPr="00B6504E">
        <w:rPr>
          <w:rFonts w:ascii="Cambria" w:eastAsia="Calibri" w:hAnsi="Cambria" w:cs="Times New Roman"/>
          <w:sz w:val="21"/>
          <w:szCs w:val="21"/>
        </w:rPr>
        <w:t xml:space="preserve"> en diversas localidades</w:t>
      </w:r>
      <w:r w:rsidR="00050457">
        <w:rPr>
          <w:rFonts w:ascii="Cambria" w:eastAsia="Calibri" w:hAnsi="Cambria" w:cs="Times New Roman"/>
          <w:sz w:val="21"/>
          <w:szCs w:val="21"/>
        </w:rPr>
        <w:t xml:space="preserve">. La situación habría </w:t>
      </w:r>
      <w:r w:rsidRPr="00B6504E">
        <w:rPr>
          <w:rFonts w:ascii="Cambria" w:eastAsia="Calibri" w:hAnsi="Cambria" w:cs="Times New Roman"/>
          <w:sz w:val="21"/>
          <w:szCs w:val="21"/>
        </w:rPr>
        <w:t>generado violaciones de derechos humanos que aún se continúan relevando y que dan cuenta del agravamiento de la situación</w:t>
      </w:r>
      <w:r w:rsidRPr="00B6504E">
        <w:rPr>
          <w:rFonts w:ascii="Cambria" w:eastAsia="Calibri" w:hAnsi="Cambria" w:cs="Times New Roman"/>
          <w:sz w:val="21"/>
          <w:szCs w:val="21"/>
          <w:vertAlign w:val="superscript"/>
        </w:rPr>
        <w:footnoteReference w:id="15"/>
      </w:r>
      <w:r w:rsidRPr="00B6504E">
        <w:rPr>
          <w:rFonts w:ascii="Cambria" w:eastAsia="Calibri" w:hAnsi="Cambria" w:cs="Times New Roman"/>
          <w:sz w:val="21"/>
          <w:szCs w:val="21"/>
        </w:rPr>
        <w:t>.</w:t>
      </w:r>
    </w:p>
    <w:p w14:paraId="22BC4620"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rPr>
      </w:pPr>
    </w:p>
    <w:p w14:paraId="2BDAF86B" w14:textId="77777777" w:rsidR="00B6504E" w:rsidRPr="00B6504E" w:rsidRDefault="00B6504E" w:rsidP="00E50497">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El 1 de febrero de 2019, la Comisión manifestó su alarma ante la represión masiva contra manifestantes en Venezuela, así como por las preocupantes cifras de detenciones arbitrarias registradas en el marco de las protestas sociales que han tenido lugar la última semana de enero</w:t>
      </w:r>
      <w:r w:rsidRPr="00B6504E">
        <w:rPr>
          <w:rFonts w:ascii="Cambria" w:eastAsia="Calibri" w:hAnsi="Cambria" w:cs="Times New Roman"/>
          <w:sz w:val="21"/>
          <w:szCs w:val="21"/>
          <w:vertAlign w:val="superscript"/>
        </w:rPr>
        <w:footnoteReference w:id="16"/>
      </w:r>
      <w:r w:rsidRPr="00B6504E">
        <w:rPr>
          <w:rFonts w:ascii="Cambria" w:eastAsia="Calibri" w:hAnsi="Cambria" w:cs="Times New Roman"/>
          <w:sz w:val="21"/>
          <w:szCs w:val="21"/>
        </w:rPr>
        <w:t>. El 22 de febrero de 2019, la Comisión expresó su preocupación por el continuo hostigamiento contra defensoras y defensores de derechos humanos en Venezuela</w:t>
      </w:r>
      <w:r w:rsidRPr="00B6504E">
        <w:rPr>
          <w:rFonts w:ascii="Cambria" w:eastAsia="Calibri" w:hAnsi="Cambria" w:cs="Times New Roman"/>
          <w:sz w:val="21"/>
          <w:szCs w:val="21"/>
          <w:vertAlign w:val="superscript"/>
        </w:rPr>
        <w:footnoteReference w:id="17"/>
      </w:r>
      <w:r w:rsidRPr="00B6504E">
        <w:rPr>
          <w:rFonts w:ascii="Cambria" w:eastAsia="Calibri" w:hAnsi="Cambria" w:cs="Times New Roman"/>
          <w:sz w:val="21"/>
          <w:szCs w:val="21"/>
        </w:rPr>
        <w:t>. La CIDH urgió al Estado de Venezuela a tomar medidas urgentes para garantizar que las personas defensoras de derechos humanos puedan ejercer su labor en el país, libres de intimidación.</w:t>
      </w:r>
    </w:p>
    <w:p w14:paraId="0A78DC98"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rPr>
      </w:pPr>
    </w:p>
    <w:p w14:paraId="59B35DC7" w14:textId="347E7850" w:rsidR="00B6504E" w:rsidRDefault="00B6504E" w:rsidP="00D81FCF">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 xml:space="preserve">El 1 de marzo de 2019, </w:t>
      </w:r>
      <w:r w:rsidR="00986A7B">
        <w:rPr>
          <w:rFonts w:ascii="Cambria" w:eastAsia="Calibri" w:hAnsi="Cambria" w:cs="Times New Roman"/>
          <w:sz w:val="21"/>
          <w:szCs w:val="21"/>
        </w:rPr>
        <w:t>l</w:t>
      </w:r>
      <w:r w:rsidRPr="00B6504E">
        <w:rPr>
          <w:rFonts w:ascii="Cambria" w:eastAsia="Calibri" w:hAnsi="Cambria" w:cs="Times New Roman"/>
          <w:sz w:val="21"/>
          <w:szCs w:val="21"/>
        </w:rPr>
        <w:t xml:space="preserve">a CIDH recabó información sobre la ocurrencia de graves hechos de violencia en Venezuela el 23 de febrero de 2019, en el marco de las acciones dirigidas a intentar ingresar ayuda humanitaria desde distintos puntos fronterizos en Colombia y Brasil. La CIDH expresó su creciente preocupación por la situación de extrema vulnerabilidad que enfrenta el pueblo venezolano, dentro y fuera de las fronteras, debido a la pobreza generalizada y a las profundas restricciones de acceso a derechos tales como la alimentación, la salud, la educación, el trabajo o la vivienda. Además, la Comisión expresó preocupación por la represión y el uso de la fuerza letal en el marco de las manifestaciones, la persecución y estigmatización de personas opositoras y ciudadanos; así como las denuncias de </w:t>
      </w:r>
      <w:hyperlink r:id="rId8" w:tgtFrame="_blank" w:history="1">
        <w:r w:rsidRPr="00E50497">
          <w:rPr>
            <w:rFonts w:ascii="Cambria" w:eastAsia="Calibri" w:hAnsi="Cambria" w:cs="Times New Roman"/>
            <w:sz w:val="21"/>
            <w:szCs w:val="21"/>
          </w:rPr>
          <w:t>allanamientos sin orden judicial y detenciones arbitrarias efectuados</w:t>
        </w:r>
      </w:hyperlink>
      <w:r w:rsidRPr="00B6504E">
        <w:rPr>
          <w:rFonts w:ascii="Cambria" w:eastAsia="Calibri" w:hAnsi="Cambria" w:cs="Times New Roman"/>
          <w:sz w:val="21"/>
          <w:szCs w:val="21"/>
        </w:rPr>
        <w:t xml:space="preserve"> durante y con posterioridad a las protestas</w:t>
      </w:r>
      <w:r w:rsidRPr="00B6504E">
        <w:rPr>
          <w:rFonts w:ascii="Cambria" w:eastAsia="Calibri" w:hAnsi="Cambria" w:cs="Times New Roman"/>
          <w:sz w:val="21"/>
          <w:szCs w:val="21"/>
          <w:vertAlign w:val="superscript"/>
        </w:rPr>
        <w:footnoteReference w:id="18"/>
      </w:r>
      <w:r w:rsidRPr="00B6504E">
        <w:rPr>
          <w:rFonts w:ascii="Cambria" w:eastAsia="Calibri" w:hAnsi="Cambria" w:cs="Times New Roman"/>
          <w:sz w:val="21"/>
          <w:szCs w:val="21"/>
        </w:rPr>
        <w:t>.</w:t>
      </w:r>
      <w:r w:rsidR="00E50497" w:rsidRPr="00E50497">
        <w:rPr>
          <w:rFonts w:ascii="Cambria" w:eastAsia="Calibri" w:hAnsi="Cambria" w:cs="Times New Roman"/>
          <w:sz w:val="21"/>
          <w:szCs w:val="21"/>
        </w:rPr>
        <w:t xml:space="preserve"> Por su vez,</w:t>
      </w:r>
      <w:r w:rsidR="00E50497">
        <w:rPr>
          <w:rFonts w:ascii="Cambria" w:eastAsia="Calibri" w:hAnsi="Cambria" w:cs="Times New Roman"/>
          <w:sz w:val="21"/>
          <w:szCs w:val="21"/>
        </w:rPr>
        <w:t xml:space="preserve"> e</w:t>
      </w:r>
      <w:r w:rsidRPr="00B6504E">
        <w:rPr>
          <w:rFonts w:ascii="Cambria" w:eastAsia="Calibri" w:hAnsi="Cambria" w:cs="Times New Roman"/>
          <w:sz w:val="21"/>
          <w:szCs w:val="21"/>
        </w:rPr>
        <w:t xml:space="preserve">l 8 de marzo de 2019, los relatores especiales de las Naciones Unidas y de la CIDH sobre la libertad de expresión manifestaron alarma por los mecanismos de censura y bloqueos de </w:t>
      </w:r>
      <w:r w:rsidRPr="00B6504E">
        <w:rPr>
          <w:rFonts w:ascii="Cambria" w:eastAsia="Calibri" w:hAnsi="Cambria" w:cs="Times New Roman"/>
          <w:sz w:val="21"/>
          <w:szCs w:val="21"/>
        </w:rPr>
        <w:lastRenderedPageBreak/>
        <w:t>plataformas, redes sociales y medios de comunicación en línea, así como por restricciones a la libertad de prensa</w:t>
      </w:r>
      <w:r w:rsidRPr="00B6504E">
        <w:rPr>
          <w:rFonts w:ascii="Cambria" w:eastAsia="Calibri" w:hAnsi="Cambria" w:cs="Times New Roman"/>
          <w:sz w:val="21"/>
          <w:szCs w:val="21"/>
          <w:vertAlign w:val="superscript"/>
        </w:rPr>
        <w:footnoteReference w:id="19"/>
      </w:r>
      <w:r w:rsidRPr="00B6504E">
        <w:rPr>
          <w:rFonts w:ascii="Cambria" w:eastAsia="Calibri" w:hAnsi="Cambria" w:cs="Times New Roman"/>
          <w:sz w:val="21"/>
          <w:szCs w:val="21"/>
        </w:rPr>
        <w:t>.</w:t>
      </w:r>
    </w:p>
    <w:p w14:paraId="51217BBA" w14:textId="77777777" w:rsidR="00E50497" w:rsidRDefault="00E50497" w:rsidP="00E50497">
      <w:pPr>
        <w:spacing w:after="0" w:line="240" w:lineRule="auto"/>
        <w:ind w:left="360"/>
        <w:contextualSpacing/>
        <w:jc w:val="both"/>
        <w:rPr>
          <w:rFonts w:ascii="Cambria" w:eastAsia="Calibri" w:hAnsi="Cambria" w:cs="Times New Roman"/>
          <w:sz w:val="21"/>
          <w:szCs w:val="21"/>
        </w:rPr>
      </w:pPr>
    </w:p>
    <w:p w14:paraId="0C945FA5" w14:textId="54F6B0F6" w:rsidR="00E50497" w:rsidRPr="00172B8D" w:rsidRDefault="00E50497" w:rsidP="00D81FCF">
      <w:pPr>
        <w:numPr>
          <w:ilvl w:val="0"/>
          <w:numId w:val="1"/>
        </w:numPr>
        <w:spacing w:after="0" w:line="240" w:lineRule="auto"/>
        <w:ind w:left="0" w:firstLine="360"/>
        <w:contextualSpacing/>
        <w:jc w:val="both"/>
        <w:rPr>
          <w:rFonts w:ascii="Cambria" w:eastAsia="Calibri" w:hAnsi="Cambria" w:cs="Times New Roman"/>
          <w:sz w:val="21"/>
          <w:szCs w:val="21"/>
        </w:rPr>
      </w:pPr>
      <w:r>
        <w:rPr>
          <w:rFonts w:ascii="Cambria" w:eastAsia="Calibri" w:hAnsi="Cambria" w:cs="Times New Roman"/>
          <w:sz w:val="21"/>
          <w:szCs w:val="21"/>
        </w:rPr>
        <w:t xml:space="preserve">El 5 de abril la Comisión expresó preocupación por la </w:t>
      </w:r>
      <w:r w:rsidRPr="00E50497">
        <w:rPr>
          <w:rFonts w:ascii="Cambria" w:eastAsia="Calibri" w:hAnsi="Cambria" w:cs="Times New Roman"/>
          <w:sz w:val="21"/>
          <w:szCs w:val="21"/>
        </w:rPr>
        <w:t xml:space="preserve">persistencia </w:t>
      </w:r>
      <w:r w:rsidRPr="00E50497">
        <w:rPr>
          <w:rFonts w:ascii="Cambria" w:eastAsia="Calibri" w:hAnsi="Cambria" w:cs="Times New Roman"/>
          <w:bCs/>
          <w:sz w:val="21"/>
          <w:szCs w:val="21"/>
        </w:rPr>
        <w:t>en afectación a los derechos humanos en Venezuela</w:t>
      </w:r>
      <w:r>
        <w:rPr>
          <w:rFonts w:ascii="Cambria" w:eastAsia="Calibri" w:hAnsi="Cambria" w:cs="Times New Roman"/>
          <w:bCs/>
          <w:sz w:val="21"/>
          <w:szCs w:val="21"/>
        </w:rPr>
        <w:t xml:space="preserve">, particularmente con relación al </w:t>
      </w:r>
      <w:r w:rsidRPr="00E50497">
        <w:rPr>
          <w:rFonts w:ascii="Cambria" w:eastAsia="Calibri" w:hAnsi="Cambria" w:cs="Times New Roman"/>
          <w:bCs/>
          <w:sz w:val="21"/>
          <w:szCs w:val="21"/>
        </w:rPr>
        <w:t xml:space="preserve">continuo hostigamiento contra </w:t>
      </w:r>
      <w:r w:rsidR="00050457">
        <w:rPr>
          <w:rFonts w:ascii="Cambria" w:eastAsia="Calibri" w:hAnsi="Cambria" w:cs="Times New Roman"/>
          <w:bCs/>
          <w:sz w:val="21"/>
          <w:szCs w:val="21"/>
        </w:rPr>
        <w:t xml:space="preserve">personas </w:t>
      </w:r>
      <w:r w:rsidRPr="00E50497">
        <w:rPr>
          <w:rFonts w:ascii="Cambria" w:eastAsia="Calibri" w:hAnsi="Cambria" w:cs="Times New Roman"/>
          <w:bCs/>
          <w:sz w:val="21"/>
          <w:szCs w:val="21"/>
        </w:rPr>
        <w:t>defensoras de derechos humanos, organizaciones de la sociedad civil y periodistas que denuncian violaciones a los derechos humanos</w:t>
      </w:r>
      <w:r w:rsidR="00172B8D">
        <w:rPr>
          <w:rFonts w:ascii="Cambria" w:eastAsia="Calibri" w:hAnsi="Cambria" w:cs="Times New Roman"/>
          <w:bCs/>
          <w:sz w:val="21"/>
          <w:szCs w:val="21"/>
        </w:rPr>
        <w:t>. La CIDH</w:t>
      </w:r>
      <w:r w:rsidR="00172B8D" w:rsidRPr="00172B8D">
        <w:rPr>
          <w:rFonts w:ascii="Cambria" w:eastAsia="Calibri" w:hAnsi="Cambria" w:cs="Times New Roman"/>
          <w:bCs/>
          <w:sz w:val="21"/>
          <w:szCs w:val="21"/>
        </w:rPr>
        <w:t xml:space="preserve"> ha observado nuevamente una intensificación en el patrón de hostigamiento a raíz de declaraciones </w:t>
      </w:r>
      <w:proofErr w:type="spellStart"/>
      <w:r w:rsidR="00172B8D" w:rsidRPr="00172B8D">
        <w:rPr>
          <w:rFonts w:ascii="Cambria" w:eastAsia="Calibri" w:hAnsi="Cambria" w:cs="Times New Roman"/>
          <w:bCs/>
          <w:sz w:val="21"/>
          <w:szCs w:val="21"/>
        </w:rPr>
        <w:t>estigmatizantes</w:t>
      </w:r>
      <w:proofErr w:type="spellEnd"/>
      <w:r w:rsidR="00172B8D" w:rsidRPr="00172B8D">
        <w:rPr>
          <w:rFonts w:ascii="Cambria" w:eastAsia="Calibri" w:hAnsi="Cambria" w:cs="Times New Roman"/>
          <w:bCs/>
          <w:sz w:val="21"/>
          <w:szCs w:val="21"/>
        </w:rPr>
        <w:t xml:space="preserve"> por parte de autoridades del Estado, a través </w:t>
      </w:r>
      <w:r w:rsidR="00050457">
        <w:rPr>
          <w:rFonts w:ascii="Cambria" w:eastAsia="Calibri" w:hAnsi="Cambria" w:cs="Times New Roman"/>
          <w:bCs/>
          <w:sz w:val="21"/>
          <w:szCs w:val="21"/>
        </w:rPr>
        <w:t xml:space="preserve">de </w:t>
      </w:r>
      <w:r w:rsidR="00172B8D" w:rsidRPr="00172B8D">
        <w:rPr>
          <w:rFonts w:ascii="Cambria" w:eastAsia="Calibri" w:hAnsi="Cambria" w:cs="Times New Roman"/>
          <w:bCs/>
          <w:sz w:val="21"/>
          <w:szCs w:val="21"/>
        </w:rPr>
        <w:t>distintos medios d</w:t>
      </w:r>
      <w:r w:rsidR="00172B8D">
        <w:rPr>
          <w:rFonts w:ascii="Cambria" w:eastAsia="Calibri" w:hAnsi="Cambria" w:cs="Times New Roman"/>
          <w:bCs/>
          <w:sz w:val="21"/>
          <w:szCs w:val="21"/>
        </w:rPr>
        <w:t>e comunicación y redes sociales</w:t>
      </w:r>
      <w:r w:rsidR="00172B8D">
        <w:rPr>
          <w:rStyle w:val="FootnoteReference"/>
          <w:rFonts w:ascii="Cambria" w:eastAsia="Calibri" w:hAnsi="Cambria" w:cs="Times New Roman"/>
          <w:bCs/>
          <w:sz w:val="21"/>
          <w:szCs w:val="21"/>
        </w:rPr>
        <w:footnoteReference w:id="20"/>
      </w:r>
      <w:r w:rsidR="00172B8D">
        <w:rPr>
          <w:rFonts w:ascii="Cambria" w:eastAsia="Calibri" w:hAnsi="Cambria" w:cs="Times New Roman"/>
          <w:bCs/>
          <w:sz w:val="21"/>
          <w:szCs w:val="21"/>
        </w:rPr>
        <w:t>.</w:t>
      </w:r>
    </w:p>
    <w:p w14:paraId="332604F3" w14:textId="77777777" w:rsidR="00172B8D" w:rsidRDefault="00172B8D" w:rsidP="00172B8D">
      <w:pPr>
        <w:spacing w:after="0" w:line="240" w:lineRule="auto"/>
        <w:ind w:left="360"/>
        <w:contextualSpacing/>
        <w:jc w:val="both"/>
        <w:rPr>
          <w:rFonts w:ascii="Cambria" w:eastAsia="Calibri" w:hAnsi="Cambria" w:cs="Times New Roman"/>
          <w:sz w:val="21"/>
          <w:szCs w:val="21"/>
        </w:rPr>
      </w:pPr>
    </w:p>
    <w:p w14:paraId="5FBB9F59" w14:textId="77777777" w:rsidR="00050457" w:rsidRDefault="00172B8D" w:rsidP="00050457">
      <w:pPr>
        <w:numPr>
          <w:ilvl w:val="0"/>
          <w:numId w:val="1"/>
        </w:numPr>
        <w:spacing w:after="0" w:line="240" w:lineRule="auto"/>
        <w:ind w:left="0" w:firstLine="360"/>
        <w:contextualSpacing/>
        <w:jc w:val="both"/>
        <w:rPr>
          <w:rFonts w:ascii="Cambria" w:eastAsia="Calibri" w:hAnsi="Cambria" w:cs="Times New Roman"/>
          <w:sz w:val="21"/>
          <w:szCs w:val="21"/>
        </w:rPr>
      </w:pPr>
      <w:r>
        <w:rPr>
          <w:rFonts w:ascii="Cambria" w:eastAsia="Calibri" w:hAnsi="Cambria" w:cs="Times New Roman"/>
          <w:sz w:val="21"/>
          <w:szCs w:val="21"/>
        </w:rPr>
        <w:t>El 14 de mayo la CIDH ha conden</w:t>
      </w:r>
      <w:r w:rsidRPr="00172B8D">
        <w:rPr>
          <w:rFonts w:ascii="Cambria" w:eastAsia="Calibri" w:hAnsi="Cambria" w:cs="Times New Roman"/>
          <w:sz w:val="21"/>
          <w:szCs w:val="21"/>
        </w:rPr>
        <w:t xml:space="preserve">ado </w:t>
      </w:r>
      <w:r w:rsidRPr="00172B8D">
        <w:rPr>
          <w:rFonts w:ascii="Cambria" w:eastAsia="Calibri" w:hAnsi="Cambria" w:cs="Times New Roman"/>
          <w:bCs/>
          <w:sz w:val="21"/>
          <w:szCs w:val="21"/>
        </w:rPr>
        <w:t>el recrudecimiento de ataques contra los miembros de la Asamblea Nacional de Venezuela</w:t>
      </w:r>
      <w:r>
        <w:rPr>
          <w:rFonts w:ascii="Cambria" w:eastAsia="Calibri" w:hAnsi="Cambria" w:cs="Times New Roman"/>
          <w:bCs/>
          <w:sz w:val="21"/>
          <w:szCs w:val="21"/>
        </w:rPr>
        <w:t xml:space="preserve">, </w:t>
      </w:r>
      <w:r w:rsidRPr="00172B8D">
        <w:rPr>
          <w:rFonts w:ascii="Cambria" w:eastAsia="Calibri" w:hAnsi="Cambria" w:cs="Times New Roman"/>
          <w:bCs/>
          <w:sz w:val="21"/>
          <w:szCs w:val="21"/>
        </w:rPr>
        <w:t>llama</w:t>
      </w:r>
      <w:r>
        <w:rPr>
          <w:rFonts w:ascii="Cambria" w:eastAsia="Calibri" w:hAnsi="Cambria" w:cs="Times New Roman"/>
          <w:bCs/>
          <w:sz w:val="21"/>
          <w:szCs w:val="21"/>
        </w:rPr>
        <w:t>ndo</w:t>
      </w:r>
      <w:r w:rsidRPr="00172B8D">
        <w:rPr>
          <w:rFonts w:ascii="Cambria" w:eastAsia="Calibri" w:hAnsi="Cambria" w:cs="Times New Roman"/>
          <w:bCs/>
          <w:sz w:val="21"/>
          <w:szCs w:val="21"/>
        </w:rPr>
        <w:t xml:space="preserve"> a las instituciones del Estado a abstenerse de adoptar decisiones que afecten la separación de poderes y la democracia representativa.</w:t>
      </w:r>
      <w:r>
        <w:rPr>
          <w:rFonts w:ascii="Cambria" w:eastAsia="Calibri" w:hAnsi="Cambria" w:cs="Times New Roman"/>
          <w:bCs/>
          <w:sz w:val="21"/>
          <w:szCs w:val="21"/>
        </w:rPr>
        <w:t xml:space="preserve"> En tal oportunidad, la Comisión advirtió que </w:t>
      </w:r>
      <w:r w:rsidRPr="00172B8D">
        <w:rPr>
          <w:rFonts w:ascii="Cambria" w:eastAsia="Calibri" w:hAnsi="Cambria" w:cs="Times New Roman"/>
          <w:bCs/>
          <w:sz w:val="21"/>
          <w:szCs w:val="21"/>
        </w:rPr>
        <w:t>la grave crisis de derechos humanos en el país está enmarcada en un contexto de estado de excepción caracterizado por el ejercicio abusivo de la fuerza pública para reprimir a las voces disidentes al Gobierno; la detención de personas opositoras y manifestantes; y las restricciones a libertad de expresión</w:t>
      </w:r>
      <w:r>
        <w:rPr>
          <w:rStyle w:val="FootnoteReference"/>
          <w:rFonts w:ascii="Cambria" w:eastAsia="Calibri" w:hAnsi="Cambria" w:cs="Times New Roman"/>
          <w:bCs/>
          <w:sz w:val="21"/>
          <w:szCs w:val="21"/>
        </w:rPr>
        <w:footnoteReference w:id="21"/>
      </w:r>
      <w:r w:rsidRPr="00172B8D">
        <w:rPr>
          <w:rFonts w:ascii="Cambria" w:eastAsia="Calibri" w:hAnsi="Cambria" w:cs="Times New Roman"/>
          <w:bCs/>
          <w:sz w:val="21"/>
          <w:szCs w:val="21"/>
        </w:rPr>
        <w:t>.</w:t>
      </w:r>
      <w:r w:rsidR="00E94280">
        <w:rPr>
          <w:rFonts w:ascii="Cambria" w:eastAsia="Calibri" w:hAnsi="Cambria" w:cs="Times New Roman"/>
          <w:sz w:val="21"/>
          <w:szCs w:val="21"/>
        </w:rPr>
        <w:t xml:space="preserve"> </w:t>
      </w:r>
    </w:p>
    <w:p w14:paraId="3BDD11BE" w14:textId="77777777" w:rsidR="00050457" w:rsidRDefault="00050457" w:rsidP="00050457">
      <w:pPr>
        <w:pStyle w:val="ListParagraph"/>
        <w:spacing w:after="0" w:line="240" w:lineRule="auto"/>
        <w:rPr>
          <w:rFonts w:ascii="Cambria" w:eastAsia="Calibri" w:hAnsi="Cambria" w:cs="Times New Roman"/>
          <w:sz w:val="21"/>
          <w:szCs w:val="21"/>
        </w:rPr>
      </w:pPr>
    </w:p>
    <w:p w14:paraId="5498A71B" w14:textId="5CB9D20A" w:rsidR="00245A75" w:rsidRPr="00B6504E" w:rsidRDefault="00245A75" w:rsidP="00050457">
      <w:pPr>
        <w:numPr>
          <w:ilvl w:val="0"/>
          <w:numId w:val="1"/>
        </w:numPr>
        <w:spacing w:after="0" w:line="240" w:lineRule="auto"/>
        <w:ind w:left="0" w:firstLine="360"/>
        <w:contextualSpacing/>
        <w:jc w:val="both"/>
        <w:rPr>
          <w:rFonts w:ascii="Cambria" w:eastAsia="Calibri" w:hAnsi="Cambria" w:cs="Times New Roman"/>
          <w:sz w:val="21"/>
          <w:szCs w:val="21"/>
        </w:rPr>
      </w:pPr>
      <w:r w:rsidRPr="00E94280">
        <w:rPr>
          <w:rFonts w:ascii="Cambria" w:eastAsia="Calibri" w:hAnsi="Cambria" w:cs="Times New Roman"/>
          <w:sz w:val="21"/>
          <w:szCs w:val="21"/>
        </w:rPr>
        <w:t xml:space="preserve">De manera reciente, el 3 de julio, la Comisión </w:t>
      </w:r>
      <w:r w:rsidR="00E94280" w:rsidRPr="00E94280">
        <w:rPr>
          <w:rFonts w:ascii="Cambria" w:eastAsia="Calibri" w:hAnsi="Cambria" w:cs="Times New Roman"/>
          <w:sz w:val="21"/>
          <w:szCs w:val="21"/>
        </w:rPr>
        <w:t xml:space="preserve">expresó </w:t>
      </w:r>
      <w:r w:rsidR="00E94280" w:rsidRPr="00E94280">
        <w:rPr>
          <w:rFonts w:ascii="Cambria" w:eastAsia="Calibri" w:hAnsi="Cambria" w:cs="Times New Roman"/>
          <w:bCs/>
          <w:sz w:val="21"/>
          <w:szCs w:val="21"/>
        </w:rPr>
        <w:t>alarma y preocupación por la muerte del Capitán Rafael Acosta Arévalo bajo custodia en Venezuela, quienes falleció por probables actos de tortura</w:t>
      </w:r>
      <w:r w:rsidR="008E5C62">
        <w:rPr>
          <w:rStyle w:val="FootnoteReference"/>
          <w:rFonts w:ascii="Cambria" w:eastAsia="Calibri" w:hAnsi="Cambria" w:cs="Times New Roman"/>
          <w:bCs/>
          <w:sz w:val="21"/>
          <w:szCs w:val="21"/>
        </w:rPr>
        <w:footnoteReference w:id="22"/>
      </w:r>
      <w:r w:rsidR="00E94280" w:rsidRPr="00E94280">
        <w:rPr>
          <w:rFonts w:ascii="Cambria" w:eastAsia="Calibri" w:hAnsi="Cambria" w:cs="Times New Roman"/>
          <w:bCs/>
          <w:sz w:val="21"/>
          <w:szCs w:val="21"/>
        </w:rPr>
        <w:t>.</w:t>
      </w:r>
    </w:p>
    <w:p w14:paraId="7F4FA5EC" w14:textId="77777777" w:rsidR="00B6504E" w:rsidRPr="00B6504E" w:rsidRDefault="00B6504E" w:rsidP="00B6504E">
      <w:pPr>
        <w:spacing w:after="0" w:line="240" w:lineRule="auto"/>
        <w:contextualSpacing/>
        <w:jc w:val="both"/>
        <w:rPr>
          <w:rFonts w:ascii="Cambria" w:eastAsia="Calibri" w:hAnsi="Cambria" w:cs="Times New Roman"/>
          <w:sz w:val="21"/>
          <w:szCs w:val="21"/>
        </w:rPr>
      </w:pPr>
    </w:p>
    <w:p w14:paraId="2D9D5D40" w14:textId="77777777" w:rsidR="00B6504E" w:rsidRPr="00B6504E" w:rsidRDefault="00B6504E" w:rsidP="00B6504E">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B6504E">
        <w:rPr>
          <w:rFonts w:ascii="Cambria" w:eastAsia="Calibri" w:hAnsi="Cambria" w:cs="Times New Roman"/>
          <w:b/>
          <w:sz w:val="21"/>
          <w:szCs w:val="21"/>
          <w:lang w:val="es-ES_tradnl"/>
        </w:rPr>
        <w:t>ÁNALISIS DE LOS ELEMENTOS DE GRAVEDAD, URGENCIA E IRREPARABILIDAD</w:t>
      </w:r>
    </w:p>
    <w:p w14:paraId="090F2650" w14:textId="77777777" w:rsidR="00B6504E" w:rsidRPr="00B6504E" w:rsidRDefault="00B6504E" w:rsidP="00B6504E">
      <w:pPr>
        <w:spacing w:after="0" w:line="240" w:lineRule="auto"/>
        <w:jc w:val="both"/>
        <w:rPr>
          <w:rFonts w:ascii="Cambria" w:eastAsia="Calibri" w:hAnsi="Cambria" w:cs="Times New Roman"/>
          <w:sz w:val="21"/>
          <w:szCs w:val="21"/>
          <w:lang w:val="es-CO"/>
        </w:rPr>
      </w:pPr>
    </w:p>
    <w:p w14:paraId="253D782C" w14:textId="77777777" w:rsidR="00B6504E" w:rsidRPr="00B6504E" w:rsidRDefault="00B6504E" w:rsidP="00FD157F">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El mecanismo de medidas cautelares forma parte de la función de la Comisión de supervisar el cumplimiento con las obligaciones de derechos humanos establecidas en el artículo 106 de la Carta de la Organización de los Estados Americanos. Estas funciones generales de supervisión están a su vez establecidas en el artículo 41 (b) de la Convención Americana sobre Derechos Humanos, recogido también en el artículo 18 (b) del Estatuto de la CIDH, mientras que el mecanismo de medidas cautelares se encuentra descrito en el artículo 25 del Reglamento de la Comisión. De conformidad con ese artículo, la Comisión otorga medidas cautelares en situaciones que son graves y urgentes, y en cuales tales medidas son necesarias para prevenir un daño irreparable.</w:t>
      </w:r>
    </w:p>
    <w:p w14:paraId="4237F0CC"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rPr>
      </w:pPr>
    </w:p>
    <w:p w14:paraId="771DA084" w14:textId="77777777" w:rsidR="00B6504E" w:rsidRPr="00B6504E" w:rsidRDefault="00B6504E" w:rsidP="00FD157F">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 xml:space="preserve">La Comisión Interamericana y la Corte Interamericana de Derechos Humanos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w:t>
      </w:r>
      <w:r w:rsidRPr="00B6504E">
        <w:rPr>
          <w:rFonts w:ascii="Cambria" w:eastAsia="Calibri" w:hAnsi="Cambria" w:cs="Times New Roman"/>
          <w:sz w:val="21"/>
          <w:szCs w:val="21"/>
        </w:rPr>
        <w:lastRenderedPageBreak/>
        <w:t>o desvirtuar el efecto útil (</w:t>
      </w:r>
      <w:proofErr w:type="spellStart"/>
      <w:r w:rsidRPr="00B6504E">
        <w:rPr>
          <w:rFonts w:ascii="Cambria" w:eastAsia="Calibri" w:hAnsi="Cambria" w:cs="Times New Roman"/>
          <w:i/>
          <w:sz w:val="21"/>
          <w:szCs w:val="21"/>
        </w:rPr>
        <w:t>effet</w:t>
      </w:r>
      <w:proofErr w:type="spellEnd"/>
      <w:r w:rsidRPr="00B6504E">
        <w:rPr>
          <w:rFonts w:ascii="Cambria" w:eastAsia="Calibri" w:hAnsi="Cambria" w:cs="Times New Roman"/>
          <w:i/>
          <w:sz w:val="21"/>
          <w:szCs w:val="21"/>
        </w:rPr>
        <w:t xml:space="preserve"> </w:t>
      </w:r>
      <w:proofErr w:type="spellStart"/>
      <w:r w:rsidRPr="00B6504E">
        <w:rPr>
          <w:rFonts w:ascii="Cambria" w:eastAsia="Calibri" w:hAnsi="Cambria" w:cs="Times New Roman"/>
          <w:i/>
          <w:sz w:val="21"/>
          <w:szCs w:val="21"/>
        </w:rPr>
        <w:t>utile</w:t>
      </w:r>
      <w:proofErr w:type="spellEnd"/>
      <w:r w:rsidRPr="00B6504E">
        <w:rPr>
          <w:rFonts w:ascii="Cambria" w:eastAsia="Calibri" w:hAnsi="Cambria" w:cs="Times New Roman"/>
          <w:sz w:val="21"/>
          <w:szCs w:val="21"/>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w:t>
      </w:r>
    </w:p>
    <w:p w14:paraId="46A3E30F" w14:textId="77777777" w:rsidR="00B6504E" w:rsidRPr="00B6504E" w:rsidRDefault="00B6504E" w:rsidP="00B6504E">
      <w:pPr>
        <w:spacing w:after="0" w:line="240" w:lineRule="auto"/>
        <w:jc w:val="both"/>
        <w:rPr>
          <w:rFonts w:ascii="Cambria" w:eastAsia="Calibri" w:hAnsi="Cambria" w:cs="Times New Roman"/>
          <w:sz w:val="21"/>
          <w:szCs w:val="21"/>
          <w:lang w:val="es-MX"/>
        </w:rPr>
      </w:pPr>
    </w:p>
    <w:p w14:paraId="184AA113" w14:textId="77777777" w:rsidR="00B6504E" w:rsidRPr="00B6504E" w:rsidRDefault="00B6504E" w:rsidP="00B6504E">
      <w:pPr>
        <w:numPr>
          <w:ilvl w:val="0"/>
          <w:numId w:val="2"/>
        </w:numPr>
        <w:spacing w:after="0" w:line="240" w:lineRule="auto"/>
        <w:ind w:left="1276" w:right="1008"/>
        <w:jc w:val="both"/>
        <w:rPr>
          <w:rFonts w:ascii="Cambria" w:eastAsia="Calibri" w:hAnsi="Cambria" w:cs="Times New Roman"/>
          <w:sz w:val="18"/>
          <w:szCs w:val="21"/>
          <w:lang w:val="es-MX"/>
        </w:rPr>
      </w:pPr>
      <w:r w:rsidRPr="00B6504E">
        <w:rPr>
          <w:rFonts w:ascii="Cambria" w:eastAsia="Calibri" w:hAnsi="Cambria" w:cs="Times New Roman"/>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02121B97" w14:textId="77777777" w:rsidR="00B6504E" w:rsidRPr="00B6504E" w:rsidRDefault="00B6504E" w:rsidP="00B6504E">
      <w:pPr>
        <w:spacing w:after="0" w:line="240" w:lineRule="auto"/>
        <w:ind w:left="1276" w:right="1008"/>
        <w:jc w:val="both"/>
        <w:rPr>
          <w:rFonts w:ascii="Cambria" w:eastAsia="Calibri" w:hAnsi="Cambria" w:cs="Times New Roman"/>
          <w:sz w:val="18"/>
          <w:szCs w:val="21"/>
          <w:lang w:val="es-MX"/>
        </w:rPr>
      </w:pPr>
    </w:p>
    <w:p w14:paraId="0BB9207D" w14:textId="77777777" w:rsidR="00B6504E" w:rsidRPr="00B6504E" w:rsidRDefault="00B6504E" w:rsidP="00B6504E">
      <w:pPr>
        <w:numPr>
          <w:ilvl w:val="0"/>
          <w:numId w:val="2"/>
        </w:numPr>
        <w:spacing w:after="0" w:line="240" w:lineRule="auto"/>
        <w:ind w:left="1276" w:right="1008"/>
        <w:jc w:val="both"/>
        <w:rPr>
          <w:rFonts w:ascii="Cambria" w:eastAsia="Calibri" w:hAnsi="Cambria" w:cs="Times New Roman"/>
          <w:sz w:val="18"/>
          <w:szCs w:val="21"/>
          <w:lang w:val="es-MX"/>
        </w:rPr>
      </w:pPr>
      <w:r w:rsidRPr="00B6504E">
        <w:rPr>
          <w:rFonts w:ascii="Cambria" w:eastAsia="Calibri" w:hAnsi="Cambria" w:cs="Times New Roman"/>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14:paraId="58200A77" w14:textId="77777777" w:rsidR="00B6504E" w:rsidRPr="00B6504E" w:rsidRDefault="00B6504E" w:rsidP="00B6504E">
      <w:pPr>
        <w:spacing w:after="0" w:line="240" w:lineRule="auto"/>
        <w:ind w:left="1276" w:right="1008"/>
        <w:jc w:val="both"/>
        <w:rPr>
          <w:rFonts w:ascii="Cambria" w:eastAsia="Calibri" w:hAnsi="Cambria" w:cs="Times New Roman"/>
          <w:sz w:val="18"/>
          <w:szCs w:val="21"/>
          <w:lang w:val="es-MX"/>
        </w:rPr>
      </w:pPr>
    </w:p>
    <w:p w14:paraId="603E6AC2" w14:textId="77777777" w:rsidR="00B6504E" w:rsidRPr="00B6504E" w:rsidRDefault="00B6504E" w:rsidP="00B6504E">
      <w:pPr>
        <w:numPr>
          <w:ilvl w:val="0"/>
          <w:numId w:val="2"/>
        </w:numPr>
        <w:spacing w:after="0" w:line="240" w:lineRule="auto"/>
        <w:ind w:left="1276" w:right="1008"/>
        <w:jc w:val="both"/>
        <w:rPr>
          <w:rFonts w:ascii="Cambria" w:eastAsia="Calibri" w:hAnsi="Cambria" w:cs="Times New Roman"/>
          <w:sz w:val="18"/>
          <w:szCs w:val="21"/>
          <w:lang w:val="es-MX"/>
        </w:rPr>
      </w:pPr>
      <w:r w:rsidRPr="00B6504E">
        <w:rPr>
          <w:rFonts w:ascii="Cambria" w:eastAsia="Calibri" w:hAnsi="Cambria" w:cs="Times New Roman"/>
          <w:sz w:val="18"/>
          <w:szCs w:val="21"/>
          <w:lang w:val="es-MX"/>
        </w:rPr>
        <w:t>El “daño irreparable” consiste en la afectación sobre derechos que, por su propia naturaleza, no son susceptibles de reparación, restauración o adecuada indemnización.</w:t>
      </w:r>
    </w:p>
    <w:p w14:paraId="559288D7" w14:textId="77777777" w:rsidR="00B6504E" w:rsidRPr="00B6504E" w:rsidRDefault="00B6504E" w:rsidP="00B6504E">
      <w:pPr>
        <w:spacing w:after="0" w:line="240" w:lineRule="auto"/>
        <w:jc w:val="both"/>
        <w:rPr>
          <w:rFonts w:ascii="Cambria" w:eastAsia="Calibri" w:hAnsi="Cambria" w:cs="Times New Roman"/>
          <w:sz w:val="21"/>
          <w:szCs w:val="21"/>
          <w:lang w:val="es-MX"/>
        </w:rPr>
      </w:pPr>
    </w:p>
    <w:p w14:paraId="71987D50" w14:textId="77777777" w:rsidR="00B6504E" w:rsidRPr="00B6504E" w:rsidRDefault="00B6504E" w:rsidP="00FD157F">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 xml:space="preserve">En el análisis de los mencionados requisitos, la Comisión reitera que los hechos que motivan una solicitud de medidas cautelares no requieren estar plenamente comprobados. Sin embargo, se requiere un mínimo de detalle e información que permitan apreciar </w:t>
      </w:r>
      <w:r w:rsidRPr="00B6504E">
        <w:rPr>
          <w:rFonts w:ascii="Cambria" w:eastAsia="Calibri" w:hAnsi="Cambria" w:cs="Times New Roman"/>
          <w:i/>
          <w:sz w:val="21"/>
          <w:szCs w:val="21"/>
        </w:rPr>
        <w:t>prima facie</w:t>
      </w:r>
      <w:r w:rsidRPr="00B6504E">
        <w:rPr>
          <w:rFonts w:ascii="Cambria" w:eastAsia="Calibri" w:hAnsi="Cambria" w:cs="Times New Roman"/>
          <w:sz w:val="21"/>
          <w:szCs w:val="21"/>
        </w:rPr>
        <w:t xml:space="preserve"> una situación de extrema gravedad y urgencia</w:t>
      </w:r>
      <w:r w:rsidRPr="00B6504E">
        <w:rPr>
          <w:rFonts w:ascii="Cambria" w:eastAsia="Calibri" w:hAnsi="Cambria" w:cs="Times New Roman"/>
          <w:sz w:val="21"/>
          <w:szCs w:val="21"/>
          <w:vertAlign w:val="superscript"/>
        </w:rPr>
        <w:footnoteReference w:id="23"/>
      </w:r>
      <w:r w:rsidRPr="00B6504E">
        <w:rPr>
          <w:rFonts w:ascii="Cambria" w:eastAsia="Calibri" w:hAnsi="Cambria" w:cs="Times New Roman"/>
          <w:sz w:val="21"/>
          <w:szCs w:val="21"/>
        </w:rPr>
        <w:t>.</w:t>
      </w:r>
    </w:p>
    <w:p w14:paraId="020C64C5" w14:textId="77777777" w:rsidR="00B6504E" w:rsidRPr="00B6504E" w:rsidRDefault="00B6504E" w:rsidP="00B6504E">
      <w:pPr>
        <w:spacing w:after="0" w:line="240" w:lineRule="auto"/>
        <w:contextualSpacing/>
        <w:jc w:val="both"/>
        <w:rPr>
          <w:rFonts w:ascii="Cambria" w:eastAsia="Calibri" w:hAnsi="Cambria" w:cs="Times New Roman"/>
          <w:sz w:val="21"/>
          <w:szCs w:val="21"/>
        </w:rPr>
      </w:pPr>
    </w:p>
    <w:p w14:paraId="3082930A" w14:textId="77777777" w:rsidR="00B6504E" w:rsidRPr="00B6504E" w:rsidRDefault="00B6504E" w:rsidP="0040244E">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Entrando en materia del análisis de los requisitos establecidos en el artículo 25 del Reglamento, en lo referente al requisito de gravedad, dadas las circunstancias particulares por las que actualmente atraviesa el Estado de Venezuela, la Comisión considera pertinente evaluar los presuntos hechos descritos con referencia al contexto en el cual tendrían lugar.</w:t>
      </w:r>
    </w:p>
    <w:p w14:paraId="1C4FA654" w14:textId="77777777" w:rsidR="00B6504E" w:rsidRPr="00B6504E" w:rsidRDefault="00B6504E" w:rsidP="00B6504E">
      <w:pPr>
        <w:autoSpaceDE w:val="0"/>
        <w:autoSpaceDN w:val="0"/>
        <w:adjustRightInd w:val="0"/>
        <w:spacing w:after="0" w:line="240" w:lineRule="auto"/>
        <w:ind w:left="720"/>
        <w:rPr>
          <w:rFonts w:ascii="Cambria" w:hAnsi="Cambria" w:cs="Cambria"/>
          <w:color w:val="000000"/>
          <w:sz w:val="24"/>
          <w:szCs w:val="24"/>
        </w:rPr>
      </w:pPr>
    </w:p>
    <w:p w14:paraId="36AC97C4" w14:textId="77777777" w:rsidR="00B6504E" w:rsidRPr="00B6504E" w:rsidRDefault="00B6504E" w:rsidP="0040244E">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La Comisión ha dado seguimiento a los hostigamientos y agresiones que enfrentarían algunos miembros y líderes de la oposición política en Venezuela y, en varios asuntos, ha considerado pertinente la adopción de medidas cautelares para salvaguardar sus derechos</w:t>
      </w:r>
      <w:r w:rsidRPr="00B6504E">
        <w:rPr>
          <w:rFonts w:ascii="Cambria" w:eastAsia="Calibri" w:hAnsi="Cambria" w:cs="Times New Roman"/>
          <w:sz w:val="21"/>
          <w:szCs w:val="21"/>
          <w:vertAlign w:val="superscript"/>
        </w:rPr>
        <w:footnoteReference w:id="24"/>
      </w:r>
      <w:r w:rsidRPr="00B6504E">
        <w:rPr>
          <w:rFonts w:ascii="Cambria" w:eastAsia="Calibri" w:hAnsi="Cambria" w:cs="Times New Roman"/>
          <w:sz w:val="21"/>
          <w:szCs w:val="21"/>
        </w:rPr>
        <w:t>. En las resoluciones adoptadas la Comisión ha valorado las alegaciones recibidas, por ejemplo, en cuanto a alegados malos tratos o torturas en condiciones de detención, declaraciones de deslegitimación y desprestigio por parte de altas autoridades que pueden generar un clima de animadversión en su contra propicio para la afectación a sus derechos, o bien, agresiones y hostigamientos directos en su contra o de sus grupos familiares.</w:t>
      </w:r>
    </w:p>
    <w:p w14:paraId="16471D56" w14:textId="77777777" w:rsidR="00B6504E" w:rsidRPr="00B6504E" w:rsidRDefault="00B6504E" w:rsidP="00B6504E">
      <w:pPr>
        <w:spacing w:after="0" w:line="240" w:lineRule="auto"/>
        <w:ind w:left="360"/>
        <w:contextualSpacing/>
        <w:jc w:val="both"/>
      </w:pPr>
    </w:p>
    <w:p w14:paraId="413D2BA2" w14:textId="77777777" w:rsidR="00B6504E" w:rsidRDefault="00B6504E" w:rsidP="0040244E">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 xml:space="preserve">Bajo este escenario, la Comisión Interamericana ha urgido al Estado Venezolano a no criminalizar a los líderes políticos de la oposición y a garantizar la participación de todos los sectores en la vida política </w:t>
      </w:r>
      <w:r w:rsidRPr="00B6504E">
        <w:rPr>
          <w:rFonts w:ascii="Cambria" w:eastAsia="Calibri" w:hAnsi="Cambria" w:cs="Times New Roman"/>
          <w:sz w:val="21"/>
          <w:szCs w:val="21"/>
        </w:rPr>
        <w:lastRenderedPageBreak/>
        <w:t>de Venezuela y los derechos humanos de quienes se identifican con la oposición al gobierno. La Comisión asimismo ha expresado su preocupación por el uso del poder punitivo del Estado para “perseguir penalmente a disidentes políticos e inhabilitar a varios de sus dirigentes”</w:t>
      </w:r>
      <w:r w:rsidRPr="00B6504E">
        <w:rPr>
          <w:rFonts w:ascii="Cambria" w:eastAsia="Calibri" w:hAnsi="Cambria" w:cs="Times New Roman"/>
          <w:sz w:val="21"/>
          <w:szCs w:val="21"/>
          <w:vertAlign w:val="superscript"/>
        </w:rPr>
        <w:footnoteReference w:id="25"/>
      </w:r>
      <w:r w:rsidRPr="00B6504E">
        <w:rPr>
          <w:rFonts w:ascii="Cambria" w:eastAsia="Calibri" w:hAnsi="Cambria" w:cs="Times New Roman"/>
          <w:sz w:val="21"/>
          <w:szCs w:val="21"/>
        </w:rPr>
        <w:t xml:space="preserve"> e incluso ha identificado denuncias sobre “una supuesta tendencia hacia acciones de represalia contra personas que públicamente manifiestan o asumen una postura de disenso frente a las políticas del Gobierno y a alegadas afectaciones sufridas tanto por los dirigentes de la oposición como por ciudadanos que ejercen su derecho a expresar su disconformidad con las políticas adelantadas por el Gobierno”</w:t>
      </w:r>
      <w:r w:rsidRPr="00B6504E">
        <w:rPr>
          <w:rFonts w:ascii="Cambria" w:eastAsia="Calibri" w:hAnsi="Cambria" w:cs="Times New Roman"/>
          <w:sz w:val="21"/>
          <w:szCs w:val="21"/>
          <w:vertAlign w:val="superscript"/>
        </w:rPr>
        <w:footnoteReference w:id="26"/>
      </w:r>
      <w:r w:rsidRPr="00B6504E">
        <w:rPr>
          <w:rFonts w:ascii="Cambria" w:eastAsia="Calibri" w:hAnsi="Cambria" w:cs="Times New Roman"/>
          <w:sz w:val="21"/>
          <w:szCs w:val="21"/>
        </w:rPr>
        <w:t>.</w:t>
      </w:r>
    </w:p>
    <w:p w14:paraId="62BFB2F3" w14:textId="77777777" w:rsidR="0040244E" w:rsidRDefault="0040244E" w:rsidP="0040244E">
      <w:pPr>
        <w:spacing w:after="0" w:line="240" w:lineRule="auto"/>
        <w:ind w:left="360"/>
        <w:contextualSpacing/>
        <w:jc w:val="both"/>
        <w:rPr>
          <w:rFonts w:ascii="Cambria" w:eastAsia="Calibri" w:hAnsi="Cambria" w:cs="Times New Roman"/>
          <w:sz w:val="21"/>
          <w:szCs w:val="21"/>
        </w:rPr>
      </w:pPr>
    </w:p>
    <w:p w14:paraId="6F4110F5" w14:textId="77777777" w:rsidR="0040244E" w:rsidRPr="00B6504E" w:rsidRDefault="0040244E" w:rsidP="0040244E">
      <w:pPr>
        <w:numPr>
          <w:ilvl w:val="0"/>
          <w:numId w:val="1"/>
        </w:numPr>
        <w:spacing w:after="0" w:line="240" w:lineRule="auto"/>
        <w:ind w:left="0" w:firstLine="360"/>
        <w:contextualSpacing/>
        <w:jc w:val="both"/>
        <w:rPr>
          <w:rFonts w:ascii="Cambria" w:eastAsia="Calibri" w:hAnsi="Cambria" w:cs="Times New Roman"/>
          <w:sz w:val="21"/>
          <w:szCs w:val="21"/>
        </w:rPr>
      </w:pPr>
      <w:r>
        <w:rPr>
          <w:rFonts w:ascii="Cambria" w:eastAsia="Calibri" w:hAnsi="Cambria" w:cs="Times New Roman"/>
          <w:sz w:val="21"/>
          <w:szCs w:val="21"/>
        </w:rPr>
        <w:t xml:space="preserve">Asimismo, la Comisión ha recibido información de forma reiterada </w:t>
      </w:r>
      <w:r w:rsidR="008E5C62">
        <w:rPr>
          <w:rFonts w:ascii="Cambria" w:eastAsia="Calibri" w:hAnsi="Cambria" w:cs="Times New Roman"/>
          <w:sz w:val="21"/>
          <w:szCs w:val="21"/>
        </w:rPr>
        <w:t xml:space="preserve">de hechos de represión a personas opositoras por medio de allanamientos ilegales y detenciones arbitrarias, así como se ha observado </w:t>
      </w:r>
      <w:r w:rsidR="008E5C62" w:rsidRPr="008E5C62">
        <w:rPr>
          <w:rFonts w:ascii="Cambria" w:eastAsia="Calibri" w:hAnsi="Cambria" w:cs="Times New Roman"/>
          <w:bCs/>
          <w:sz w:val="21"/>
          <w:szCs w:val="21"/>
        </w:rPr>
        <w:t xml:space="preserve">una intensificación en el patrón de hostigamiento a raíz de declaraciones </w:t>
      </w:r>
      <w:proofErr w:type="spellStart"/>
      <w:r w:rsidR="008E5C62" w:rsidRPr="008E5C62">
        <w:rPr>
          <w:rFonts w:ascii="Cambria" w:eastAsia="Calibri" w:hAnsi="Cambria" w:cs="Times New Roman"/>
          <w:bCs/>
          <w:sz w:val="21"/>
          <w:szCs w:val="21"/>
        </w:rPr>
        <w:t>estigmatizantes</w:t>
      </w:r>
      <w:proofErr w:type="spellEnd"/>
      <w:r w:rsidR="008E5C62" w:rsidRPr="008E5C62">
        <w:rPr>
          <w:rFonts w:ascii="Cambria" w:eastAsia="Calibri" w:hAnsi="Cambria" w:cs="Times New Roman"/>
          <w:bCs/>
          <w:sz w:val="21"/>
          <w:szCs w:val="21"/>
        </w:rPr>
        <w:t xml:space="preserve"> por parte de autoridades del Estado, a través distintos medios de comunicación y redes sociales</w:t>
      </w:r>
      <w:r w:rsidR="008E5C62">
        <w:rPr>
          <w:rStyle w:val="FootnoteReference"/>
          <w:rFonts w:ascii="Cambria" w:eastAsia="Calibri" w:hAnsi="Cambria" w:cs="Times New Roman"/>
          <w:bCs/>
          <w:sz w:val="21"/>
          <w:szCs w:val="21"/>
        </w:rPr>
        <w:footnoteReference w:id="27"/>
      </w:r>
      <w:r w:rsidR="008E5C62">
        <w:rPr>
          <w:rFonts w:ascii="Cambria" w:eastAsia="Calibri" w:hAnsi="Cambria" w:cs="Times New Roman"/>
          <w:sz w:val="21"/>
          <w:szCs w:val="21"/>
        </w:rPr>
        <w:t>.</w:t>
      </w:r>
    </w:p>
    <w:p w14:paraId="2E346A6F"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rPr>
      </w:pPr>
    </w:p>
    <w:p w14:paraId="2BE3FFAA" w14:textId="77777777" w:rsidR="00515453" w:rsidRDefault="00B6504E" w:rsidP="00515453">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 xml:space="preserve">A luz del referido contexto, la Comisión nota que </w:t>
      </w:r>
      <w:r w:rsidR="00515453">
        <w:rPr>
          <w:rFonts w:ascii="Cambria" w:eastAsia="Calibri" w:hAnsi="Cambria" w:cs="Times New Roman"/>
          <w:sz w:val="21"/>
          <w:szCs w:val="21"/>
        </w:rPr>
        <w:t>la solicitante alegó que altas autoridades del E</w:t>
      </w:r>
      <w:r w:rsidR="00A93A62">
        <w:rPr>
          <w:rFonts w:ascii="Cambria" w:eastAsia="Calibri" w:hAnsi="Cambria" w:cs="Times New Roman"/>
          <w:sz w:val="21"/>
          <w:szCs w:val="21"/>
        </w:rPr>
        <w:t>stado</w:t>
      </w:r>
      <w:r w:rsidR="00515453">
        <w:rPr>
          <w:rFonts w:ascii="Cambria" w:eastAsia="Calibri" w:hAnsi="Cambria" w:cs="Times New Roman"/>
          <w:sz w:val="21"/>
          <w:szCs w:val="21"/>
        </w:rPr>
        <w:t xml:space="preserve"> </w:t>
      </w:r>
      <w:r w:rsidR="00A93A62">
        <w:rPr>
          <w:rFonts w:ascii="Cambria" w:eastAsia="Calibri" w:hAnsi="Cambria" w:cs="Times New Roman"/>
          <w:sz w:val="21"/>
          <w:szCs w:val="21"/>
        </w:rPr>
        <w:t xml:space="preserve">harían “exposiciones” en contra de ella y sus familiares </w:t>
      </w:r>
      <w:r w:rsidR="00A93A62" w:rsidRPr="00A93A62">
        <w:rPr>
          <w:rFonts w:ascii="Cambria" w:eastAsia="Calibri" w:hAnsi="Cambria" w:cs="Times New Roman"/>
          <w:sz w:val="21"/>
          <w:szCs w:val="21"/>
        </w:rPr>
        <w:t>de forma “interminable e intimidatoria</w:t>
      </w:r>
      <w:r w:rsidR="00A93A62">
        <w:rPr>
          <w:rFonts w:ascii="Cambria" w:eastAsia="Calibri" w:hAnsi="Cambria" w:cs="Times New Roman"/>
          <w:sz w:val="21"/>
          <w:szCs w:val="21"/>
        </w:rPr>
        <w:t xml:space="preserve">”, aportando copia de video en donde el señor </w:t>
      </w:r>
      <w:proofErr w:type="spellStart"/>
      <w:r w:rsidR="00A93A62">
        <w:rPr>
          <w:rFonts w:ascii="Cambria" w:eastAsia="Calibri" w:hAnsi="Cambria" w:cs="Times New Roman"/>
          <w:sz w:val="21"/>
          <w:szCs w:val="21"/>
        </w:rPr>
        <w:t>Diosdado</w:t>
      </w:r>
      <w:proofErr w:type="spellEnd"/>
      <w:r w:rsidR="00A93A62">
        <w:rPr>
          <w:rFonts w:ascii="Cambria" w:eastAsia="Calibri" w:hAnsi="Cambria" w:cs="Times New Roman"/>
          <w:sz w:val="21"/>
          <w:szCs w:val="21"/>
        </w:rPr>
        <w:t xml:space="preserve"> Cabello, el 11 de septiembre de 2019, se refiere a ella y al propuesto beneficiario Oswaldo </w:t>
      </w:r>
      <w:proofErr w:type="spellStart"/>
      <w:r w:rsidR="00A93A62">
        <w:rPr>
          <w:rFonts w:ascii="Cambria" w:eastAsia="Calibri" w:hAnsi="Cambria" w:cs="Times New Roman"/>
          <w:sz w:val="21"/>
          <w:szCs w:val="21"/>
        </w:rPr>
        <w:t>Suju</w:t>
      </w:r>
      <w:proofErr w:type="spellEnd"/>
      <w:r w:rsidR="00A93A62">
        <w:rPr>
          <w:rFonts w:ascii="Cambria" w:eastAsia="Calibri" w:hAnsi="Cambria" w:cs="Times New Roman"/>
          <w:sz w:val="21"/>
          <w:szCs w:val="21"/>
        </w:rPr>
        <w:t xml:space="preserve"> de forma despreciativa. Sobre lo anterior, l</w:t>
      </w:r>
      <w:r w:rsidR="00A93A62" w:rsidRPr="00A93A62">
        <w:rPr>
          <w:rFonts w:ascii="Cambria" w:eastAsia="Calibri" w:hAnsi="Cambria" w:cs="Times New Roman"/>
          <w:sz w:val="21"/>
          <w:szCs w:val="21"/>
        </w:rPr>
        <w:t xml:space="preserve">a Comisión recuerda que las declaraciones </w:t>
      </w:r>
      <w:proofErr w:type="spellStart"/>
      <w:r w:rsidR="00A93A62" w:rsidRPr="00A93A62">
        <w:rPr>
          <w:rFonts w:ascii="Cambria" w:eastAsia="Calibri" w:hAnsi="Cambria" w:cs="Times New Roman"/>
          <w:sz w:val="21"/>
          <w:szCs w:val="21"/>
        </w:rPr>
        <w:t>estigmatizantes</w:t>
      </w:r>
      <w:proofErr w:type="spellEnd"/>
      <w:r w:rsidR="00A93A62" w:rsidRPr="00A93A62">
        <w:rPr>
          <w:rFonts w:ascii="Cambria" w:eastAsia="Calibri" w:hAnsi="Cambria" w:cs="Times New Roman"/>
          <w:sz w:val="21"/>
          <w:szCs w:val="21"/>
        </w:rPr>
        <w:t xml:space="preserve"> pueden contribuir a exacerbar el clima de hostilidad e intolerancia por parte de distintos sectores de la población, lo que puede acarrear una afectación a la vida e integridad personal </w:t>
      </w:r>
      <w:r w:rsidR="00A93A62">
        <w:rPr>
          <w:rFonts w:ascii="Cambria" w:eastAsia="Calibri" w:hAnsi="Cambria" w:cs="Times New Roman"/>
          <w:sz w:val="21"/>
          <w:szCs w:val="21"/>
        </w:rPr>
        <w:t>de las personas afectadas</w:t>
      </w:r>
      <w:r w:rsidR="00D81FCF">
        <w:rPr>
          <w:rFonts w:ascii="Cambria" w:eastAsia="Calibri" w:hAnsi="Cambria" w:cs="Times New Roman"/>
          <w:sz w:val="21"/>
          <w:szCs w:val="21"/>
        </w:rPr>
        <w:t>, aumentando su vulnerabilidad.</w:t>
      </w:r>
    </w:p>
    <w:p w14:paraId="64D3E057" w14:textId="77777777" w:rsidR="00D81FCF" w:rsidRDefault="00D81FCF" w:rsidP="00D81FCF">
      <w:pPr>
        <w:spacing w:after="0" w:line="240" w:lineRule="auto"/>
        <w:ind w:left="360"/>
        <w:contextualSpacing/>
        <w:jc w:val="both"/>
        <w:rPr>
          <w:rFonts w:ascii="Cambria" w:eastAsia="Calibri" w:hAnsi="Cambria" w:cs="Times New Roman"/>
          <w:sz w:val="21"/>
          <w:szCs w:val="21"/>
        </w:rPr>
      </w:pPr>
    </w:p>
    <w:p w14:paraId="2F5263AA" w14:textId="4A1E747D" w:rsidR="00D81FCF" w:rsidRDefault="00D81FCF" w:rsidP="00515453">
      <w:pPr>
        <w:numPr>
          <w:ilvl w:val="0"/>
          <w:numId w:val="1"/>
        </w:numPr>
        <w:spacing w:after="0" w:line="240" w:lineRule="auto"/>
        <w:ind w:left="0" w:firstLine="360"/>
        <w:contextualSpacing/>
        <w:jc w:val="both"/>
        <w:rPr>
          <w:rFonts w:ascii="Cambria" w:eastAsia="Calibri" w:hAnsi="Cambria" w:cs="Times New Roman"/>
          <w:sz w:val="21"/>
          <w:szCs w:val="21"/>
        </w:rPr>
      </w:pPr>
      <w:r>
        <w:rPr>
          <w:rFonts w:ascii="Cambria" w:eastAsia="Calibri" w:hAnsi="Cambria" w:cs="Times New Roman"/>
          <w:sz w:val="21"/>
          <w:szCs w:val="21"/>
        </w:rPr>
        <w:t xml:space="preserve">La CIDH observa que la solicitante también alegó que su núcleo familiar habría sido blanco de allanamientos por lo menos 5 veces en un periodo inferior a un mes. Según la solicitud, tales allanamientos constituirían actos de hostigamiento en contra de las personas propuestas beneficiarias como forma de intimidación tras la solicitante haber acepto el cargo de </w:t>
      </w:r>
      <w:r w:rsidR="00CA7D20" w:rsidRPr="00CA7D20">
        <w:rPr>
          <w:rFonts w:ascii="Cambria" w:eastAsia="Calibri" w:hAnsi="Cambria" w:cs="Times New Roman"/>
          <w:sz w:val="21"/>
          <w:szCs w:val="21"/>
          <w:lang w:val="es-ES_tradnl"/>
        </w:rPr>
        <w:t xml:space="preserve">Representante Diplomática de Juan </w:t>
      </w:r>
      <w:proofErr w:type="spellStart"/>
      <w:r w:rsidR="00CA7D20" w:rsidRPr="00CA7D20">
        <w:rPr>
          <w:rFonts w:ascii="Cambria" w:eastAsia="Calibri" w:hAnsi="Cambria" w:cs="Times New Roman"/>
          <w:sz w:val="21"/>
          <w:szCs w:val="21"/>
          <w:lang w:val="es-ES_tradnl"/>
        </w:rPr>
        <w:t>Guaidó</w:t>
      </w:r>
      <w:proofErr w:type="spellEnd"/>
      <w:r w:rsidR="00CA7D20" w:rsidRPr="00CA7D20">
        <w:rPr>
          <w:rFonts w:ascii="Cambria" w:eastAsia="Calibri" w:hAnsi="Cambria" w:cs="Times New Roman"/>
          <w:sz w:val="21"/>
          <w:szCs w:val="21"/>
          <w:lang w:val="es-ES_tradnl"/>
        </w:rPr>
        <w:t xml:space="preserve"> en República Checa</w:t>
      </w:r>
      <w:r w:rsidR="00CA7D20">
        <w:rPr>
          <w:rFonts w:ascii="Cambria" w:eastAsia="Calibri" w:hAnsi="Cambria" w:cs="Times New Roman"/>
          <w:sz w:val="21"/>
          <w:szCs w:val="21"/>
          <w:lang w:val="es-ES_tradnl"/>
        </w:rPr>
        <w:t xml:space="preserve">. La solicitante destacó que las autoridades no aportaron orden de allanamiento en la segunda tentativa de allanar a su casa en Caracas y no dejaron que se conociera las órdenes de citación en contra de la propuesta beneficiaria </w:t>
      </w:r>
      <w:proofErr w:type="spellStart"/>
      <w:r w:rsidR="00CA7D20" w:rsidRPr="00CA7D20">
        <w:rPr>
          <w:rFonts w:ascii="Cambria" w:eastAsia="Calibri" w:hAnsi="Cambria" w:cs="Times New Roman"/>
          <w:sz w:val="21"/>
          <w:szCs w:val="21"/>
        </w:rPr>
        <w:t>Sungliying</w:t>
      </w:r>
      <w:proofErr w:type="spellEnd"/>
      <w:r w:rsidR="00CA7D20" w:rsidRPr="00CA7D20">
        <w:rPr>
          <w:rFonts w:ascii="Cambria" w:eastAsia="Calibri" w:hAnsi="Cambria" w:cs="Times New Roman"/>
          <w:sz w:val="21"/>
          <w:szCs w:val="21"/>
        </w:rPr>
        <w:t xml:space="preserve"> Sujo Torres</w:t>
      </w:r>
      <w:r w:rsidR="00CA7D20">
        <w:rPr>
          <w:rFonts w:ascii="Cambria" w:eastAsia="Calibri" w:hAnsi="Cambria" w:cs="Times New Roman"/>
          <w:sz w:val="21"/>
          <w:szCs w:val="21"/>
        </w:rPr>
        <w:t>.</w:t>
      </w:r>
    </w:p>
    <w:p w14:paraId="06C6467B" w14:textId="77777777" w:rsidR="00CA7D20" w:rsidRDefault="00CA7D20" w:rsidP="00CA7D20">
      <w:pPr>
        <w:spacing w:after="0" w:line="240" w:lineRule="auto"/>
        <w:ind w:left="360"/>
        <w:contextualSpacing/>
        <w:jc w:val="both"/>
        <w:rPr>
          <w:rFonts w:ascii="Cambria" w:eastAsia="Calibri" w:hAnsi="Cambria" w:cs="Times New Roman"/>
          <w:sz w:val="21"/>
          <w:szCs w:val="21"/>
        </w:rPr>
      </w:pPr>
    </w:p>
    <w:p w14:paraId="7F8A885D" w14:textId="31259D99" w:rsidR="00CA7D20" w:rsidRDefault="00CA7D20" w:rsidP="00515453">
      <w:pPr>
        <w:numPr>
          <w:ilvl w:val="0"/>
          <w:numId w:val="1"/>
        </w:numPr>
        <w:spacing w:after="0" w:line="240" w:lineRule="auto"/>
        <w:ind w:left="0" w:firstLine="360"/>
        <w:contextualSpacing/>
        <w:jc w:val="both"/>
        <w:rPr>
          <w:rFonts w:ascii="Cambria" w:eastAsia="Calibri" w:hAnsi="Cambria" w:cs="Times New Roman"/>
          <w:sz w:val="21"/>
          <w:szCs w:val="21"/>
        </w:rPr>
      </w:pPr>
      <w:r>
        <w:rPr>
          <w:rFonts w:ascii="Cambria" w:eastAsia="Calibri" w:hAnsi="Cambria" w:cs="Times New Roman"/>
          <w:sz w:val="21"/>
          <w:szCs w:val="21"/>
        </w:rPr>
        <w:t xml:space="preserve">La Comisión ha recibido información que, en el actual contexto que atraviesa Venezuela, se estaría utilizando de allanamientos como forma de hostigamiento e intimidación de personas que se identifican como oposición del gobierno (ver </w:t>
      </w:r>
      <w:r>
        <w:rPr>
          <w:rFonts w:ascii="Cambria" w:eastAsia="Calibri" w:hAnsi="Cambria" w:cs="Times New Roman"/>
          <w:i/>
          <w:sz w:val="21"/>
          <w:szCs w:val="21"/>
        </w:rPr>
        <w:t xml:space="preserve">supra </w:t>
      </w:r>
      <w:r>
        <w:rPr>
          <w:rFonts w:ascii="Cambria" w:eastAsia="Calibri" w:hAnsi="Cambria" w:cs="Times New Roman"/>
          <w:sz w:val="21"/>
          <w:szCs w:val="21"/>
        </w:rPr>
        <w:t xml:space="preserve">párr. 16, 18 y 27). En ese sentido, se toma particularmente en consideración que, el 13 de septiembre, </w:t>
      </w:r>
      <w:r w:rsidR="00FF6125">
        <w:rPr>
          <w:rFonts w:ascii="Cambria" w:eastAsia="Calibri" w:hAnsi="Cambria" w:cs="Times New Roman"/>
          <w:sz w:val="21"/>
          <w:szCs w:val="21"/>
        </w:rPr>
        <w:t xml:space="preserve">el CICPC se habría presentado por la segunda vez en la casa de personas propuestas beneficiarias, con un grupo de más de 15 funcionarios, amenazando entrar en la casa a fuerza y llevar no solo </w:t>
      </w:r>
      <w:proofErr w:type="spellStart"/>
      <w:r w:rsidR="00FF6125" w:rsidRPr="00FF6125">
        <w:rPr>
          <w:rFonts w:ascii="Cambria" w:eastAsia="Calibri" w:hAnsi="Cambria" w:cs="Times New Roman"/>
          <w:sz w:val="21"/>
          <w:szCs w:val="21"/>
        </w:rPr>
        <w:t>Sungliying</w:t>
      </w:r>
      <w:proofErr w:type="spellEnd"/>
      <w:r w:rsidR="00FF6125" w:rsidRPr="00FF6125">
        <w:rPr>
          <w:rFonts w:ascii="Cambria" w:eastAsia="Calibri" w:hAnsi="Cambria" w:cs="Times New Roman"/>
          <w:sz w:val="21"/>
          <w:szCs w:val="21"/>
        </w:rPr>
        <w:t xml:space="preserve"> Sujo Torres</w:t>
      </w:r>
      <w:r w:rsidR="00FF6125">
        <w:rPr>
          <w:rFonts w:ascii="Cambria" w:eastAsia="Calibri" w:hAnsi="Cambria" w:cs="Times New Roman"/>
          <w:sz w:val="21"/>
          <w:szCs w:val="21"/>
        </w:rPr>
        <w:t xml:space="preserve">, que habría sido supuestamente citada, sino que </w:t>
      </w:r>
      <w:r w:rsidR="00C24B3C">
        <w:rPr>
          <w:rFonts w:ascii="Cambria" w:eastAsia="Calibri" w:hAnsi="Cambria" w:cs="Times New Roman"/>
          <w:sz w:val="21"/>
          <w:szCs w:val="21"/>
        </w:rPr>
        <w:t xml:space="preserve">también a </w:t>
      </w:r>
      <w:r w:rsidR="00FF6125">
        <w:rPr>
          <w:rFonts w:ascii="Cambria" w:eastAsia="Calibri" w:hAnsi="Cambria" w:cs="Times New Roman"/>
          <w:sz w:val="21"/>
          <w:szCs w:val="21"/>
        </w:rPr>
        <w:t>los tíos de la solicitante que habitarían allí, presuntamente sin que se diera a conocer la orden de citación.</w:t>
      </w:r>
    </w:p>
    <w:p w14:paraId="009E5405" w14:textId="77777777" w:rsidR="00B6504E" w:rsidRPr="00B6504E" w:rsidRDefault="00B6504E" w:rsidP="00980430">
      <w:pPr>
        <w:spacing w:after="0" w:line="240" w:lineRule="auto"/>
        <w:ind w:left="360"/>
        <w:contextualSpacing/>
        <w:jc w:val="both"/>
      </w:pPr>
    </w:p>
    <w:p w14:paraId="5509FD96" w14:textId="12E904F9" w:rsidR="00B6504E" w:rsidRPr="00B6504E" w:rsidRDefault="008A1F14" w:rsidP="004A336E">
      <w:pPr>
        <w:numPr>
          <w:ilvl w:val="0"/>
          <w:numId w:val="1"/>
        </w:numPr>
        <w:spacing w:after="0" w:line="240" w:lineRule="auto"/>
        <w:ind w:left="0" w:firstLine="360"/>
        <w:contextualSpacing/>
        <w:jc w:val="both"/>
        <w:rPr>
          <w:rFonts w:ascii="Cambria" w:eastAsia="Calibri" w:hAnsi="Cambria" w:cs="Times New Roman"/>
          <w:sz w:val="21"/>
          <w:szCs w:val="21"/>
        </w:rPr>
      </w:pPr>
      <w:r w:rsidRPr="00FF40D0">
        <w:rPr>
          <w:rFonts w:ascii="Cambria" w:eastAsia="Calibri" w:hAnsi="Cambria" w:cs="Times New Roman"/>
          <w:sz w:val="21"/>
          <w:szCs w:val="21"/>
        </w:rPr>
        <w:lastRenderedPageBreak/>
        <w:t>Asimismo, l</w:t>
      </w:r>
      <w:r w:rsidR="00B6504E" w:rsidRPr="00FF40D0">
        <w:rPr>
          <w:rFonts w:ascii="Cambria" w:eastAsia="Calibri" w:hAnsi="Cambria" w:cs="Times New Roman"/>
          <w:sz w:val="21"/>
          <w:szCs w:val="21"/>
        </w:rPr>
        <w:t>a</w:t>
      </w:r>
      <w:r w:rsidR="00B6504E" w:rsidRPr="00B6504E">
        <w:rPr>
          <w:rFonts w:ascii="Cambria" w:eastAsia="Calibri" w:hAnsi="Cambria" w:cs="Times New Roman"/>
          <w:sz w:val="21"/>
          <w:szCs w:val="21"/>
        </w:rPr>
        <w:t xml:space="preserve"> Comisión observa que el referido contexto en contra de la oposición continuaría vigente, siendo que tras el otorgamiento de medidas cautelares a favor del señor Juan </w:t>
      </w:r>
      <w:proofErr w:type="spellStart"/>
      <w:r w:rsidR="00B6504E" w:rsidRPr="00B6504E">
        <w:rPr>
          <w:rFonts w:ascii="Cambria" w:eastAsia="Calibri" w:hAnsi="Cambria" w:cs="Times New Roman"/>
          <w:sz w:val="21"/>
          <w:szCs w:val="21"/>
        </w:rPr>
        <w:t>Guaidó</w:t>
      </w:r>
      <w:proofErr w:type="spellEnd"/>
      <w:r w:rsidR="00B6504E" w:rsidRPr="00B6504E">
        <w:rPr>
          <w:rFonts w:ascii="Cambria" w:eastAsia="Calibri" w:hAnsi="Cambria" w:cs="Times New Roman"/>
          <w:sz w:val="21"/>
          <w:szCs w:val="21"/>
        </w:rPr>
        <w:t xml:space="preserve"> en enero de 2019, habría aument</w:t>
      </w:r>
      <w:r w:rsidR="00C24B3C">
        <w:rPr>
          <w:rFonts w:ascii="Cambria" w:eastAsia="Calibri" w:hAnsi="Cambria" w:cs="Times New Roman"/>
          <w:sz w:val="21"/>
          <w:szCs w:val="21"/>
        </w:rPr>
        <w:t>ad</w:t>
      </w:r>
      <w:r w:rsidR="00B6504E" w:rsidRPr="00B6504E">
        <w:rPr>
          <w:rFonts w:ascii="Cambria" w:eastAsia="Calibri" w:hAnsi="Cambria" w:cs="Times New Roman"/>
          <w:sz w:val="21"/>
          <w:szCs w:val="21"/>
        </w:rPr>
        <w:t>o en contra de personas que se manifiestan en oposición al gobierno de Nicolás Maduro. A ese respecto, la Comisión ha identificado situaciones de riesgo que ameritaron el otorgamiento de medidas cautelares a favor de personas del sector castrense de Venezuela, quienes tras ser privados de su libertad por presuntas acciones en oposición al gobierno de Nicolás Maduro, se encontrarían en una situación de riesgo en sus derechos por las condiciones de detención en las que se encontrarían</w:t>
      </w:r>
      <w:r w:rsidR="00B6504E" w:rsidRPr="00B6504E">
        <w:rPr>
          <w:rFonts w:ascii="Cambria" w:eastAsia="Calibri" w:hAnsi="Cambria" w:cs="Times New Roman"/>
          <w:sz w:val="21"/>
          <w:szCs w:val="21"/>
          <w:vertAlign w:val="superscript"/>
        </w:rPr>
        <w:footnoteReference w:id="28"/>
      </w:r>
      <w:r w:rsidR="004A336E">
        <w:rPr>
          <w:rFonts w:ascii="Cambria" w:eastAsia="Calibri" w:hAnsi="Cambria" w:cs="Times New Roman"/>
          <w:sz w:val="21"/>
          <w:szCs w:val="21"/>
        </w:rPr>
        <w:t xml:space="preserve">; y a líderes de oposición política, como </w:t>
      </w:r>
      <w:r w:rsidR="004A336E" w:rsidRPr="004A336E">
        <w:rPr>
          <w:rFonts w:ascii="Cambria" w:eastAsia="Calibri" w:hAnsi="Cambria" w:cs="Times New Roman"/>
          <w:sz w:val="21"/>
          <w:szCs w:val="21"/>
          <w:lang w:val="es-ES_tradnl"/>
        </w:rPr>
        <w:t xml:space="preserve">María Corina Machado </w:t>
      </w:r>
      <w:proofErr w:type="spellStart"/>
      <w:r w:rsidR="004A336E" w:rsidRPr="004A336E">
        <w:rPr>
          <w:rFonts w:ascii="Cambria" w:eastAsia="Calibri" w:hAnsi="Cambria" w:cs="Times New Roman"/>
          <w:sz w:val="21"/>
          <w:szCs w:val="21"/>
          <w:lang w:val="es-ES_tradnl"/>
        </w:rPr>
        <w:t>Parisca</w:t>
      </w:r>
      <w:proofErr w:type="spellEnd"/>
      <w:r w:rsidR="004A336E">
        <w:rPr>
          <w:rFonts w:ascii="Cambria" w:eastAsia="Calibri" w:hAnsi="Cambria" w:cs="Times New Roman"/>
          <w:sz w:val="21"/>
          <w:szCs w:val="21"/>
          <w:lang w:val="es-ES_tradnl"/>
        </w:rPr>
        <w:t xml:space="preserve">, quién habría recibido </w:t>
      </w:r>
      <w:r w:rsidR="004A336E" w:rsidRPr="004A336E">
        <w:rPr>
          <w:rFonts w:ascii="Cambria" w:eastAsia="Calibri" w:hAnsi="Cambria" w:cs="Times New Roman"/>
          <w:sz w:val="21"/>
          <w:szCs w:val="21"/>
          <w:lang w:val="es-ES"/>
        </w:rPr>
        <w:t>una serie de amenazas y hostigamientos presuntamente relacionados con su participación política</w:t>
      </w:r>
      <w:r w:rsidR="004A336E">
        <w:rPr>
          <w:rFonts w:ascii="Cambria" w:eastAsia="Calibri" w:hAnsi="Cambria" w:cs="Times New Roman"/>
          <w:sz w:val="21"/>
          <w:szCs w:val="21"/>
          <w:lang w:val="es-ES"/>
        </w:rPr>
        <w:t xml:space="preserve"> en Venezuela</w:t>
      </w:r>
      <w:r w:rsidR="00B1303F">
        <w:rPr>
          <w:rStyle w:val="FootnoteReference"/>
          <w:rFonts w:ascii="Cambria" w:eastAsia="Calibri" w:hAnsi="Cambria" w:cs="Times New Roman"/>
          <w:sz w:val="21"/>
          <w:szCs w:val="21"/>
          <w:lang w:val="es-ES"/>
        </w:rPr>
        <w:footnoteReference w:id="29"/>
      </w:r>
      <w:r w:rsidR="004A336E">
        <w:rPr>
          <w:rFonts w:ascii="Cambria" w:eastAsia="Calibri" w:hAnsi="Cambria" w:cs="Times New Roman"/>
          <w:sz w:val="21"/>
          <w:szCs w:val="21"/>
          <w:lang w:val="es-ES"/>
        </w:rPr>
        <w:t>.</w:t>
      </w:r>
    </w:p>
    <w:p w14:paraId="7B523F0D" w14:textId="77777777" w:rsidR="00B6504E" w:rsidRPr="00B6504E" w:rsidRDefault="00B6504E" w:rsidP="00980430">
      <w:pPr>
        <w:spacing w:after="0" w:line="240" w:lineRule="auto"/>
        <w:contextualSpacing/>
        <w:jc w:val="both"/>
        <w:rPr>
          <w:rFonts w:ascii="Cambria" w:eastAsia="Calibri" w:hAnsi="Cambria" w:cs="Times New Roman"/>
          <w:sz w:val="21"/>
          <w:szCs w:val="21"/>
          <w:lang w:val="es-CO"/>
        </w:rPr>
      </w:pPr>
    </w:p>
    <w:p w14:paraId="1D49E00B" w14:textId="63F1C154" w:rsidR="00B6504E" w:rsidRPr="00B6504E" w:rsidRDefault="00B6504E" w:rsidP="00980430">
      <w:pPr>
        <w:numPr>
          <w:ilvl w:val="0"/>
          <w:numId w:val="1"/>
        </w:numPr>
        <w:spacing w:after="0" w:line="240" w:lineRule="auto"/>
        <w:ind w:left="0" w:firstLine="360"/>
        <w:contextualSpacing/>
        <w:jc w:val="both"/>
        <w:rPr>
          <w:rFonts w:ascii="Cambria" w:eastAsia="Calibri" w:hAnsi="Cambria" w:cs="Times New Roman"/>
          <w:sz w:val="21"/>
          <w:szCs w:val="21"/>
        </w:rPr>
      </w:pPr>
      <w:r w:rsidRPr="00B6504E">
        <w:rPr>
          <w:rFonts w:ascii="Cambria" w:eastAsia="Calibri" w:hAnsi="Cambria" w:cs="Times New Roman"/>
          <w:sz w:val="21"/>
          <w:szCs w:val="21"/>
        </w:rPr>
        <w:t xml:space="preserve">Finalmente, </w:t>
      </w:r>
      <w:r w:rsidR="00980430">
        <w:rPr>
          <w:rFonts w:ascii="Cambria" w:eastAsia="Calibri" w:hAnsi="Cambria" w:cs="Times New Roman"/>
          <w:sz w:val="21"/>
          <w:szCs w:val="21"/>
        </w:rPr>
        <w:t>tomando en cuenta que, según la solicitante</w:t>
      </w:r>
      <w:r w:rsidRPr="00B6504E">
        <w:rPr>
          <w:rFonts w:ascii="Cambria" w:eastAsia="Calibri" w:hAnsi="Cambria" w:cs="Times New Roman"/>
          <w:sz w:val="21"/>
          <w:szCs w:val="21"/>
        </w:rPr>
        <w:t xml:space="preserve">, la situación de riesgo de </w:t>
      </w:r>
      <w:r w:rsidR="00980430">
        <w:rPr>
          <w:rFonts w:ascii="Cambria" w:eastAsia="Calibri" w:hAnsi="Cambria" w:cs="Times New Roman"/>
          <w:sz w:val="21"/>
          <w:szCs w:val="21"/>
        </w:rPr>
        <w:t xml:space="preserve">las personas propuestas beneficiarias está conectada a su actuación </w:t>
      </w:r>
      <w:r w:rsidR="00DC43BB">
        <w:rPr>
          <w:rFonts w:ascii="Cambria" w:eastAsia="Calibri" w:hAnsi="Cambria" w:cs="Times New Roman"/>
          <w:sz w:val="21"/>
          <w:szCs w:val="21"/>
        </w:rPr>
        <w:t xml:space="preserve">como </w:t>
      </w:r>
      <w:r w:rsidR="00980430">
        <w:rPr>
          <w:rFonts w:ascii="Cambria" w:eastAsia="Calibri" w:hAnsi="Cambria" w:cs="Times New Roman"/>
          <w:sz w:val="21"/>
          <w:szCs w:val="21"/>
        </w:rPr>
        <w:t>defensora de derechos humanos</w:t>
      </w:r>
      <w:r w:rsidRPr="00B6504E">
        <w:rPr>
          <w:rFonts w:ascii="Cambria" w:eastAsia="Calibri" w:hAnsi="Cambria" w:cs="Times New Roman"/>
          <w:sz w:val="21"/>
          <w:szCs w:val="21"/>
        </w:rPr>
        <w:t xml:space="preserve">, </w:t>
      </w:r>
      <w:r w:rsidR="00DC43BB">
        <w:rPr>
          <w:rFonts w:ascii="Cambria" w:eastAsia="Calibri" w:hAnsi="Cambria" w:cs="Times New Roman"/>
          <w:sz w:val="21"/>
          <w:szCs w:val="21"/>
        </w:rPr>
        <w:t xml:space="preserve">en oposición al gobierno, </w:t>
      </w:r>
      <w:r w:rsidRPr="00B6504E">
        <w:rPr>
          <w:rFonts w:ascii="Cambria" w:eastAsia="Calibri" w:hAnsi="Cambria" w:cs="Times New Roman"/>
          <w:sz w:val="21"/>
          <w:szCs w:val="21"/>
        </w:rPr>
        <w:t>la Comisión resalta que las voces de oposición resultan imprescindibles para una sociedad democrática, sin las cuales no es posible el logro de acuerdos que atiendan a las diferentes visiones que prevalecen en una sociedad. Por ello, la participación efectiva de personas, grupos, organizaciones y partidos políticos de oposición en una sociedad democrática debe ser garantizada por los Estados mediante normas y prácticas adecuadas que posibiliten su acceso real y efectivo a los diferentes espacios deliberativos en términos igualitarios, y también mediante la adopción de medidas para garantizar su pleno ejercicio</w:t>
      </w:r>
      <w:r w:rsidRPr="00B6504E">
        <w:rPr>
          <w:rFonts w:ascii="Cambria" w:eastAsia="Calibri" w:hAnsi="Cambria" w:cs="Times New Roman"/>
          <w:sz w:val="21"/>
          <w:szCs w:val="21"/>
          <w:vertAlign w:val="superscript"/>
        </w:rPr>
        <w:footnoteReference w:id="30"/>
      </w:r>
      <w:r w:rsidRPr="00B6504E">
        <w:rPr>
          <w:rFonts w:ascii="Cambria" w:eastAsia="Calibri" w:hAnsi="Cambria" w:cs="Times New Roman"/>
          <w:sz w:val="21"/>
          <w:szCs w:val="21"/>
        </w:rPr>
        <w:t>.</w:t>
      </w:r>
    </w:p>
    <w:p w14:paraId="3624C576"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rPr>
      </w:pPr>
    </w:p>
    <w:p w14:paraId="3BB813F0" w14:textId="77777777" w:rsidR="00B6504E" w:rsidRPr="00B6504E" w:rsidRDefault="00B6504E" w:rsidP="00980430">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B6504E">
        <w:rPr>
          <w:rFonts w:ascii="Cambria" w:eastAsia="Calibri" w:hAnsi="Cambria" w:cs="Times New Roman"/>
          <w:sz w:val="21"/>
          <w:szCs w:val="21"/>
          <w:lang w:val="es-ES_tradnl"/>
        </w:rPr>
        <w:t xml:space="preserve">En vista de lo anterior, teniendo en cuenta el contexto específico que atraviesa el Estado y desde el parámetro </w:t>
      </w:r>
      <w:r w:rsidRPr="00B6504E">
        <w:rPr>
          <w:rFonts w:ascii="Cambria" w:eastAsia="Calibri" w:hAnsi="Cambria" w:cs="Times New Roman"/>
          <w:i/>
          <w:sz w:val="21"/>
          <w:szCs w:val="21"/>
          <w:lang w:val="es-ES_tradnl"/>
        </w:rPr>
        <w:t>prima facie</w:t>
      </w:r>
      <w:r w:rsidRPr="00B6504E">
        <w:rPr>
          <w:rFonts w:ascii="Cambria" w:eastAsia="Calibri" w:hAnsi="Cambria" w:cs="Times New Roman"/>
          <w:sz w:val="21"/>
          <w:szCs w:val="21"/>
          <w:lang w:val="es-ES_tradnl"/>
        </w:rPr>
        <w:t xml:space="preserve"> </w:t>
      </w:r>
      <w:r w:rsidRPr="00980430">
        <w:rPr>
          <w:rFonts w:ascii="Cambria" w:eastAsia="Calibri" w:hAnsi="Cambria" w:cs="Times New Roman"/>
          <w:sz w:val="21"/>
          <w:szCs w:val="21"/>
        </w:rPr>
        <w:t>aplicable</w:t>
      </w:r>
      <w:r w:rsidRPr="00B6504E">
        <w:rPr>
          <w:rFonts w:ascii="Cambria" w:eastAsia="Calibri" w:hAnsi="Cambria" w:cs="Times New Roman"/>
          <w:sz w:val="21"/>
          <w:szCs w:val="21"/>
          <w:lang w:val="es-ES_tradnl"/>
        </w:rPr>
        <w:t xml:space="preserve"> al mecanismo de medidas cautelares, la Comisión concluye que se halla suficientemente establecida la existencia de una situación de grave riesgo para los derechos a l</w:t>
      </w:r>
      <w:r w:rsidR="00980430">
        <w:rPr>
          <w:rFonts w:ascii="Cambria" w:eastAsia="Calibri" w:hAnsi="Cambria" w:cs="Times New Roman"/>
          <w:sz w:val="21"/>
          <w:szCs w:val="21"/>
          <w:lang w:val="es-ES_tradnl"/>
        </w:rPr>
        <w:t xml:space="preserve">a vida e integridad personal del núcleo familiar </w:t>
      </w:r>
      <w:r w:rsidR="00980430" w:rsidRPr="00980430">
        <w:rPr>
          <w:rFonts w:ascii="Cambria" w:eastAsia="Calibri" w:hAnsi="Cambria" w:cs="Times New Roman"/>
          <w:sz w:val="21"/>
          <w:szCs w:val="21"/>
          <w:lang w:val="es-ES_tradnl"/>
        </w:rPr>
        <w:t>propuesto beneficiario</w:t>
      </w:r>
      <w:r w:rsidR="00980430">
        <w:rPr>
          <w:rFonts w:ascii="Cambria" w:eastAsia="Calibri" w:hAnsi="Cambria" w:cs="Times New Roman"/>
          <w:sz w:val="21"/>
          <w:szCs w:val="21"/>
          <w:lang w:val="es-ES_tradnl"/>
        </w:rPr>
        <w:t xml:space="preserve"> de Tamara Sujo</w:t>
      </w:r>
      <w:r w:rsidRPr="00B6504E">
        <w:rPr>
          <w:rFonts w:ascii="Cambria" w:eastAsia="Calibri" w:hAnsi="Cambria" w:cs="Times New Roman"/>
          <w:sz w:val="21"/>
          <w:szCs w:val="21"/>
          <w:lang w:val="es-ES_tradnl"/>
        </w:rPr>
        <w:t>.</w:t>
      </w:r>
    </w:p>
    <w:p w14:paraId="1FE1B063"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lang w:val="es-ES_tradnl"/>
        </w:rPr>
      </w:pPr>
    </w:p>
    <w:p w14:paraId="30388368" w14:textId="77777777" w:rsidR="00B6504E" w:rsidRPr="00B6504E" w:rsidRDefault="00B6504E" w:rsidP="00AD7CFB">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B6504E">
        <w:rPr>
          <w:rFonts w:ascii="Cambria" w:eastAsia="Calibri" w:hAnsi="Cambria" w:cs="Times New Roman"/>
          <w:sz w:val="21"/>
          <w:szCs w:val="21"/>
          <w:lang w:val="es-ES_tradnl"/>
        </w:rPr>
        <w:t xml:space="preserve">Respecto al requisito de urgencia, a la luz del análisis previamente realizado, la Comisión considera que </w:t>
      </w:r>
      <w:r w:rsidR="00AD7CFB">
        <w:rPr>
          <w:rFonts w:ascii="Cambria" w:eastAsia="Calibri" w:hAnsi="Cambria" w:cs="Times New Roman"/>
          <w:sz w:val="21"/>
          <w:szCs w:val="21"/>
          <w:lang w:val="es-ES_tradnl"/>
        </w:rPr>
        <w:t>las personas propuestas beneficiarias</w:t>
      </w:r>
      <w:r w:rsidRPr="00B6504E">
        <w:rPr>
          <w:rFonts w:ascii="Cambria" w:eastAsia="Calibri" w:hAnsi="Cambria" w:cs="Times New Roman"/>
          <w:sz w:val="21"/>
          <w:szCs w:val="21"/>
          <w:lang w:val="es-ES_tradnl"/>
        </w:rPr>
        <w:t xml:space="preserve"> podría</w:t>
      </w:r>
      <w:r w:rsidR="00AD7CFB">
        <w:rPr>
          <w:rFonts w:ascii="Cambria" w:eastAsia="Calibri" w:hAnsi="Cambria" w:cs="Times New Roman"/>
          <w:sz w:val="21"/>
          <w:szCs w:val="21"/>
          <w:lang w:val="es-ES_tradnl"/>
        </w:rPr>
        <w:t>n</w:t>
      </w:r>
      <w:r w:rsidRPr="00B6504E">
        <w:rPr>
          <w:rFonts w:ascii="Cambria" w:eastAsia="Calibri" w:hAnsi="Cambria" w:cs="Times New Roman"/>
          <w:sz w:val="21"/>
          <w:szCs w:val="21"/>
          <w:lang w:val="es-ES_tradnl"/>
        </w:rPr>
        <w:t xml:space="preserve"> verse expuesta</w:t>
      </w:r>
      <w:r w:rsidR="00AD7CFB">
        <w:rPr>
          <w:rFonts w:ascii="Cambria" w:eastAsia="Calibri" w:hAnsi="Cambria" w:cs="Times New Roman"/>
          <w:sz w:val="21"/>
          <w:szCs w:val="21"/>
          <w:lang w:val="es-ES_tradnl"/>
        </w:rPr>
        <w:t>s</w:t>
      </w:r>
      <w:r w:rsidRPr="00B6504E">
        <w:rPr>
          <w:rFonts w:ascii="Cambria" w:eastAsia="Calibri" w:hAnsi="Cambria" w:cs="Times New Roman"/>
          <w:sz w:val="21"/>
          <w:szCs w:val="21"/>
          <w:lang w:val="es-ES_tradnl"/>
        </w:rPr>
        <w:t xml:space="preserve"> a una posibilidad latente de ser sometido a actos de </w:t>
      </w:r>
      <w:r w:rsidR="00AD7CFB">
        <w:rPr>
          <w:rFonts w:ascii="Cambria" w:eastAsia="Calibri" w:hAnsi="Cambria" w:cs="Times New Roman"/>
          <w:sz w:val="21"/>
          <w:szCs w:val="21"/>
          <w:lang w:val="es-ES_tradnl"/>
        </w:rPr>
        <w:t>acoso y hostigamiento</w:t>
      </w:r>
      <w:r w:rsidRPr="00B6504E">
        <w:rPr>
          <w:rFonts w:ascii="Cambria" w:eastAsia="Calibri" w:hAnsi="Cambria" w:cs="Times New Roman"/>
          <w:sz w:val="21"/>
          <w:szCs w:val="21"/>
          <w:lang w:val="es-ES_tradnl"/>
        </w:rPr>
        <w:t xml:space="preserve">, máxime teniendo en cuenta </w:t>
      </w:r>
      <w:r w:rsidR="00AD7CFB">
        <w:rPr>
          <w:rFonts w:ascii="Cambria" w:eastAsia="Calibri" w:hAnsi="Cambria" w:cs="Times New Roman"/>
          <w:sz w:val="21"/>
          <w:szCs w:val="21"/>
          <w:lang w:val="es-ES_tradnl"/>
        </w:rPr>
        <w:t>el clima de animadversión impulsado por las presuntas frecuentes declaraciones de desprestigio por parte de altas autoridades en contra de la solicitant</w:t>
      </w:r>
      <w:r w:rsidR="002C1651">
        <w:rPr>
          <w:rFonts w:ascii="Cambria" w:eastAsia="Calibri" w:hAnsi="Cambria" w:cs="Times New Roman"/>
          <w:sz w:val="21"/>
          <w:szCs w:val="21"/>
          <w:lang w:val="es-ES_tradnl"/>
        </w:rPr>
        <w:t xml:space="preserve">e y su familia, </w:t>
      </w:r>
      <w:r w:rsidR="00AD7CFB">
        <w:rPr>
          <w:rFonts w:ascii="Cambria" w:eastAsia="Calibri" w:hAnsi="Cambria" w:cs="Times New Roman"/>
          <w:sz w:val="21"/>
          <w:szCs w:val="21"/>
          <w:lang w:val="es-ES_tradnl"/>
        </w:rPr>
        <w:t xml:space="preserve">los recientes allanamientos a sus residencias </w:t>
      </w:r>
      <w:r w:rsidRPr="00B6504E">
        <w:rPr>
          <w:rFonts w:ascii="Cambria" w:eastAsia="Calibri" w:hAnsi="Cambria" w:cs="Times New Roman"/>
          <w:sz w:val="21"/>
          <w:szCs w:val="21"/>
          <w:lang w:val="es-ES_tradnl"/>
        </w:rPr>
        <w:t xml:space="preserve">y que </w:t>
      </w:r>
      <w:r w:rsidR="00BB5FA2">
        <w:rPr>
          <w:rFonts w:ascii="Cambria" w:eastAsia="Calibri" w:hAnsi="Cambria" w:cs="Times New Roman"/>
          <w:sz w:val="21"/>
          <w:szCs w:val="21"/>
          <w:lang w:val="es-ES_tradnl"/>
        </w:rPr>
        <w:t xml:space="preserve">en la </w:t>
      </w:r>
      <w:r w:rsidRPr="00B6504E">
        <w:rPr>
          <w:rFonts w:ascii="Cambria" w:eastAsia="Calibri" w:hAnsi="Cambria" w:cs="Times New Roman"/>
          <w:sz w:val="21"/>
          <w:szCs w:val="21"/>
          <w:lang w:val="es-ES_tradnl"/>
        </w:rPr>
        <w:t xml:space="preserve">actualidad la </w:t>
      </w:r>
      <w:r w:rsidR="002C1651">
        <w:rPr>
          <w:rFonts w:ascii="Cambria" w:eastAsia="Calibri" w:hAnsi="Cambria" w:cs="Times New Roman"/>
          <w:sz w:val="21"/>
          <w:szCs w:val="21"/>
          <w:lang w:val="es-ES_tradnl"/>
        </w:rPr>
        <w:t>solicitante</w:t>
      </w:r>
      <w:r w:rsidRPr="00B6504E">
        <w:rPr>
          <w:rFonts w:ascii="Cambria" w:eastAsia="Calibri" w:hAnsi="Cambria" w:cs="Times New Roman"/>
          <w:sz w:val="21"/>
          <w:szCs w:val="21"/>
          <w:lang w:val="es-ES_tradnl"/>
        </w:rPr>
        <w:t xml:space="preserve"> continuaría desempeñando sus trabajos de </w:t>
      </w:r>
      <w:r w:rsidR="002C1651">
        <w:rPr>
          <w:rFonts w:ascii="Cambria" w:eastAsia="Calibri" w:hAnsi="Cambria" w:cs="Times New Roman"/>
          <w:sz w:val="21"/>
          <w:szCs w:val="21"/>
          <w:lang w:val="es-ES_tradnl"/>
        </w:rPr>
        <w:t xml:space="preserve">defensora de derechos humanos y </w:t>
      </w:r>
      <w:r w:rsidRPr="00B6504E">
        <w:rPr>
          <w:rFonts w:ascii="Cambria" w:eastAsia="Calibri" w:hAnsi="Cambria" w:cs="Times New Roman"/>
          <w:sz w:val="21"/>
          <w:szCs w:val="21"/>
          <w:lang w:val="es-ES_tradnl"/>
        </w:rPr>
        <w:t>oposición política</w:t>
      </w:r>
      <w:r w:rsidR="002C1651">
        <w:rPr>
          <w:rFonts w:ascii="Cambria" w:eastAsia="Calibri" w:hAnsi="Cambria" w:cs="Times New Roman"/>
          <w:sz w:val="21"/>
          <w:szCs w:val="21"/>
          <w:lang w:val="es-ES_tradnl"/>
        </w:rPr>
        <w:t xml:space="preserve"> en el escenario internacional</w:t>
      </w:r>
      <w:r w:rsidRPr="00B6504E">
        <w:rPr>
          <w:rFonts w:ascii="Cambria" w:eastAsia="Calibri" w:hAnsi="Cambria" w:cs="Times New Roman"/>
          <w:sz w:val="21"/>
          <w:szCs w:val="21"/>
          <w:lang w:val="es-ES_tradnl"/>
        </w:rPr>
        <w:t xml:space="preserve">, requiriéndose así la adopción de medidas inmediatas para salvaguardar </w:t>
      </w:r>
      <w:r w:rsidR="00BB5FA2">
        <w:rPr>
          <w:rFonts w:ascii="Cambria" w:eastAsia="Calibri" w:hAnsi="Cambria" w:cs="Times New Roman"/>
          <w:sz w:val="21"/>
          <w:szCs w:val="21"/>
          <w:lang w:val="es-ES_tradnl"/>
        </w:rPr>
        <w:t>los</w:t>
      </w:r>
      <w:r w:rsidRPr="00B6504E">
        <w:rPr>
          <w:rFonts w:ascii="Cambria" w:eastAsia="Calibri" w:hAnsi="Cambria" w:cs="Times New Roman"/>
          <w:sz w:val="21"/>
          <w:szCs w:val="21"/>
          <w:lang w:val="es-ES_tradnl"/>
        </w:rPr>
        <w:t xml:space="preserve"> derechos</w:t>
      </w:r>
      <w:r w:rsidR="00BB5FA2">
        <w:rPr>
          <w:rFonts w:ascii="Cambria" w:eastAsia="Calibri" w:hAnsi="Cambria" w:cs="Times New Roman"/>
          <w:sz w:val="21"/>
          <w:szCs w:val="21"/>
          <w:lang w:val="es-ES_tradnl"/>
        </w:rPr>
        <w:t xml:space="preserve"> de su núcleo familiar en Venezuela</w:t>
      </w:r>
      <w:r w:rsidRPr="00B6504E">
        <w:rPr>
          <w:rFonts w:ascii="Cambria" w:eastAsia="Calibri" w:hAnsi="Cambria" w:cs="Times New Roman"/>
          <w:sz w:val="21"/>
          <w:szCs w:val="21"/>
          <w:lang w:val="es-ES_tradnl"/>
        </w:rPr>
        <w:t>.</w:t>
      </w:r>
    </w:p>
    <w:p w14:paraId="03160487"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lang w:val="es-ES_tradnl"/>
        </w:rPr>
      </w:pPr>
    </w:p>
    <w:p w14:paraId="7EB8570D" w14:textId="2448493A" w:rsidR="00B6504E" w:rsidRPr="00B6504E" w:rsidRDefault="00B6504E" w:rsidP="002C1651">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B6504E">
        <w:rPr>
          <w:rFonts w:ascii="Cambria" w:eastAsia="Calibri" w:hAnsi="Cambria" w:cs="Times New Roman"/>
          <w:sz w:val="21"/>
          <w:szCs w:val="21"/>
          <w:lang w:val="es-ES_tradnl"/>
        </w:rPr>
        <w:t xml:space="preserve">En cuanto al requisito de </w:t>
      </w:r>
      <w:proofErr w:type="spellStart"/>
      <w:r w:rsidRPr="00B6504E">
        <w:rPr>
          <w:rFonts w:ascii="Cambria" w:eastAsia="Calibri" w:hAnsi="Cambria" w:cs="Times New Roman"/>
          <w:sz w:val="21"/>
          <w:szCs w:val="21"/>
          <w:lang w:val="es-ES_tradnl"/>
        </w:rPr>
        <w:t>irreparabilidad</w:t>
      </w:r>
      <w:proofErr w:type="spellEnd"/>
      <w:r w:rsidRPr="00B6504E">
        <w:rPr>
          <w:rFonts w:ascii="Cambria" w:eastAsia="Calibri" w:hAnsi="Cambria" w:cs="Times New Roman"/>
          <w:sz w:val="21"/>
          <w:szCs w:val="21"/>
          <w:lang w:val="es-ES_tradnl"/>
        </w:rPr>
        <w:t>, la Comisión sostiene que se encuentra cumplido, en la medida que la potencial afectación a los derechos a la vida e integridad personal</w:t>
      </w:r>
      <w:r w:rsidR="002C1651">
        <w:rPr>
          <w:rFonts w:ascii="Cambria" w:eastAsia="Calibri" w:hAnsi="Cambria" w:cs="Times New Roman"/>
          <w:sz w:val="21"/>
          <w:szCs w:val="21"/>
          <w:lang w:val="es-ES_tradnl"/>
        </w:rPr>
        <w:t>, por su propia naturaleza</w:t>
      </w:r>
      <w:r w:rsidR="00A57B76">
        <w:rPr>
          <w:rFonts w:ascii="Cambria" w:eastAsia="Calibri" w:hAnsi="Cambria" w:cs="Times New Roman"/>
          <w:sz w:val="21"/>
          <w:szCs w:val="21"/>
          <w:lang w:val="es-ES_tradnl"/>
        </w:rPr>
        <w:t>,</w:t>
      </w:r>
      <w:r w:rsidRPr="00B6504E">
        <w:rPr>
          <w:rFonts w:ascii="Cambria" w:eastAsia="Calibri" w:hAnsi="Cambria" w:cs="Times New Roman"/>
          <w:sz w:val="21"/>
          <w:szCs w:val="21"/>
          <w:lang w:val="es-ES_tradnl"/>
        </w:rPr>
        <w:t xml:space="preserve"> constituye la máxima situación de </w:t>
      </w:r>
      <w:proofErr w:type="spellStart"/>
      <w:r w:rsidRPr="00B6504E">
        <w:rPr>
          <w:rFonts w:ascii="Cambria" w:eastAsia="Calibri" w:hAnsi="Cambria" w:cs="Times New Roman"/>
          <w:sz w:val="21"/>
          <w:szCs w:val="21"/>
          <w:lang w:val="es-ES_tradnl"/>
        </w:rPr>
        <w:t>irreparabilidad</w:t>
      </w:r>
      <w:proofErr w:type="spellEnd"/>
      <w:r w:rsidRPr="00B6504E">
        <w:rPr>
          <w:rFonts w:ascii="Cambria" w:eastAsia="Calibri" w:hAnsi="Cambria" w:cs="Times New Roman"/>
          <w:sz w:val="21"/>
          <w:szCs w:val="21"/>
          <w:lang w:val="es-ES_tradnl"/>
        </w:rPr>
        <w:t>.</w:t>
      </w:r>
    </w:p>
    <w:p w14:paraId="00F08DC8" w14:textId="77777777" w:rsidR="00B6504E" w:rsidRPr="00B6504E" w:rsidRDefault="00B6504E" w:rsidP="00B6504E">
      <w:pPr>
        <w:spacing w:after="0" w:line="240" w:lineRule="auto"/>
        <w:contextualSpacing/>
        <w:jc w:val="both"/>
        <w:rPr>
          <w:rFonts w:ascii="Cambria" w:eastAsia="Calibri" w:hAnsi="Cambria" w:cs="Times New Roman"/>
          <w:lang w:val="es-CO"/>
        </w:rPr>
      </w:pPr>
    </w:p>
    <w:p w14:paraId="277BE608" w14:textId="77777777" w:rsidR="00B6504E" w:rsidRPr="00B6504E" w:rsidRDefault="002C1651" w:rsidP="00B6504E">
      <w:pPr>
        <w:numPr>
          <w:ilvl w:val="0"/>
          <w:numId w:val="3"/>
        </w:numPr>
        <w:spacing w:after="0" w:line="240" w:lineRule="auto"/>
        <w:ind w:firstLine="540"/>
        <w:contextualSpacing/>
        <w:jc w:val="both"/>
        <w:rPr>
          <w:rFonts w:ascii="Cambria" w:eastAsia="Calibri" w:hAnsi="Cambria" w:cs="Times New Roman"/>
          <w:b/>
          <w:lang w:val="es-ES_tradnl"/>
        </w:rPr>
      </w:pPr>
      <w:r>
        <w:rPr>
          <w:rFonts w:ascii="Cambria" w:eastAsia="Calibri" w:hAnsi="Cambria" w:cs="Times New Roman"/>
          <w:b/>
          <w:lang w:val="es-ES_tradnl"/>
        </w:rPr>
        <w:t xml:space="preserve">PERSONAS </w:t>
      </w:r>
      <w:r w:rsidR="00B6504E" w:rsidRPr="00B6504E">
        <w:rPr>
          <w:rFonts w:ascii="Cambria" w:eastAsia="Calibri" w:hAnsi="Cambria" w:cs="Times New Roman"/>
          <w:b/>
          <w:lang w:val="es-ES_tradnl"/>
        </w:rPr>
        <w:t>BENEFICIARIA</w:t>
      </w:r>
      <w:r>
        <w:rPr>
          <w:rFonts w:ascii="Cambria" w:eastAsia="Calibri" w:hAnsi="Cambria" w:cs="Times New Roman"/>
          <w:b/>
          <w:lang w:val="es-ES_tradnl"/>
        </w:rPr>
        <w:t>S</w:t>
      </w:r>
    </w:p>
    <w:p w14:paraId="57349979" w14:textId="77777777" w:rsidR="00B6504E" w:rsidRPr="00B6504E" w:rsidRDefault="00B6504E" w:rsidP="00B6504E">
      <w:pPr>
        <w:spacing w:after="0" w:line="240" w:lineRule="auto"/>
        <w:ind w:left="540"/>
        <w:contextualSpacing/>
        <w:jc w:val="both"/>
        <w:rPr>
          <w:rFonts w:ascii="Cambria" w:eastAsia="Calibri" w:hAnsi="Cambria" w:cs="Times New Roman"/>
          <w:b/>
          <w:lang w:val="es-ES_tradnl"/>
        </w:rPr>
      </w:pPr>
    </w:p>
    <w:p w14:paraId="17F090C3" w14:textId="77777777" w:rsidR="00B6504E" w:rsidRPr="00B6504E" w:rsidRDefault="00B6504E" w:rsidP="002C1651">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B6504E">
        <w:rPr>
          <w:rFonts w:ascii="Cambria" w:eastAsia="Calibri" w:hAnsi="Cambria" w:cs="Times New Roman"/>
          <w:sz w:val="21"/>
          <w:szCs w:val="21"/>
          <w:lang w:val="es-ES_tradnl"/>
        </w:rPr>
        <w:lastRenderedPageBreak/>
        <w:t xml:space="preserve">La Comisión declara que </w:t>
      </w:r>
      <w:r w:rsidR="002C1651">
        <w:rPr>
          <w:rFonts w:ascii="Cambria" w:eastAsia="Calibri" w:hAnsi="Cambria" w:cs="Times New Roman"/>
          <w:sz w:val="21"/>
          <w:szCs w:val="21"/>
          <w:lang w:val="es-ES_tradnl"/>
        </w:rPr>
        <w:t xml:space="preserve">las personas beneficiarias </w:t>
      </w:r>
      <w:r w:rsidRPr="00B6504E">
        <w:rPr>
          <w:rFonts w:ascii="Cambria" w:eastAsia="Calibri" w:hAnsi="Cambria" w:cs="Times New Roman"/>
          <w:sz w:val="21"/>
          <w:szCs w:val="21"/>
          <w:lang w:val="es-ES_tradnl"/>
        </w:rPr>
        <w:t xml:space="preserve">de la presente medida cautelar </w:t>
      </w:r>
      <w:r w:rsidR="002C1651">
        <w:rPr>
          <w:rFonts w:ascii="Cambria" w:eastAsia="Calibri" w:hAnsi="Cambria" w:cs="Times New Roman"/>
          <w:sz w:val="21"/>
          <w:szCs w:val="21"/>
          <w:lang w:val="es-ES_tradnl"/>
        </w:rPr>
        <w:t>son</w:t>
      </w:r>
      <w:r w:rsidRPr="00B6504E">
        <w:rPr>
          <w:rFonts w:ascii="Cambria" w:eastAsia="Calibri" w:hAnsi="Cambria" w:cs="Times New Roman"/>
          <w:sz w:val="21"/>
          <w:szCs w:val="21"/>
          <w:lang w:val="es-ES_tradnl"/>
        </w:rPr>
        <w:t xml:space="preserve"> </w:t>
      </w:r>
      <w:r w:rsidR="008756A1" w:rsidRPr="008756A1">
        <w:rPr>
          <w:rFonts w:ascii="Cambria" w:eastAsia="Calibri" w:hAnsi="Cambria" w:cs="Times New Roman"/>
          <w:sz w:val="21"/>
          <w:szCs w:val="21"/>
        </w:rPr>
        <w:t xml:space="preserve">Francisco Arturo </w:t>
      </w:r>
      <w:proofErr w:type="spellStart"/>
      <w:r w:rsidR="008756A1" w:rsidRPr="008756A1">
        <w:rPr>
          <w:rFonts w:ascii="Cambria" w:eastAsia="Calibri" w:hAnsi="Cambria" w:cs="Times New Roman"/>
          <w:sz w:val="21"/>
          <w:szCs w:val="21"/>
        </w:rPr>
        <w:t>Suju</w:t>
      </w:r>
      <w:proofErr w:type="spellEnd"/>
      <w:r w:rsidR="008756A1" w:rsidRPr="008756A1">
        <w:rPr>
          <w:rFonts w:ascii="Cambria" w:eastAsia="Calibri" w:hAnsi="Cambria" w:cs="Times New Roman"/>
          <w:sz w:val="21"/>
          <w:szCs w:val="21"/>
        </w:rPr>
        <w:t xml:space="preserve"> </w:t>
      </w:r>
      <w:proofErr w:type="spellStart"/>
      <w:r w:rsidR="008756A1" w:rsidRPr="008756A1">
        <w:rPr>
          <w:rFonts w:ascii="Cambria" w:eastAsia="Calibri" w:hAnsi="Cambria" w:cs="Times New Roman"/>
          <w:sz w:val="21"/>
          <w:szCs w:val="21"/>
        </w:rPr>
        <w:t>Raffo</w:t>
      </w:r>
      <w:proofErr w:type="spellEnd"/>
      <w:r w:rsidR="008756A1" w:rsidRPr="008756A1">
        <w:rPr>
          <w:rFonts w:ascii="Cambria" w:eastAsia="Calibri" w:hAnsi="Cambria" w:cs="Times New Roman"/>
          <w:sz w:val="21"/>
          <w:szCs w:val="21"/>
        </w:rPr>
        <w:t xml:space="preserve">, Carmen Cecilia Fuentes de </w:t>
      </w:r>
      <w:proofErr w:type="spellStart"/>
      <w:r w:rsidR="008756A1" w:rsidRPr="008756A1">
        <w:rPr>
          <w:rFonts w:ascii="Cambria" w:eastAsia="Calibri" w:hAnsi="Cambria" w:cs="Times New Roman"/>
          <w:sz w:val="21"/>
          <w:szCs w:val="21"/>
        </w:rPr>
        <w:t>Suju</w:t>
      </w:r>
      <w:proofErr w:type="spellEnd"/>
      <w:r w:rsidR="008756A1" w:rsidRPr="008756A1">
        <w:rPr>
          <w:rFonts w:ascii="Cambria" w:eastAsia="Calibri" w:hAnsi="Cambria" w:cs="Times New Roman"/>
          <w:sz w:val="21"/>
          <w:szCs w:val="21"/>
        </w:rPr>
        <w:t xml:space="preserve">, Marisela </w:t>
      </w:r>
      <w:proofErr w:type="spellStart"/>
      <w:r w:rsidR="008756A1" w:rsidRPr="008756A1">
        <w:rPr>
          <w:rFonts w:ascii="Cambria" w:eastAsia="Calibri" w:hAnsi="Cambria" w:cs="Times New Roman"/>
          <w:sz w:val="21"/>
          <w:szCs w:val="21"/>
        </w:rPr>
        <w:t>Suyen</w:t>
      </w:r>
      <w:proofErr w:type="spellEnd"/>
      <w:r w:rsidR="008756A1" w:rsidRPr="008756A1">
        <w:rPr>
          <w:rFonts w:ascii="Cambria" w:eastAsia="Calibri" w:hAnsi="Cambria" w:cs="Times New Roman"/>
          <w:sz w:val="21"/>
          <w:szCs w:val="21"/>
        </w:rPr>
        <w:t xml:space="preserve"> </w:t>
      </w:r>
      <w:proofErr w:type="spellStart"/>
      <w:r w:rsidR="008756A1" w:rsidRPr="008756A1">
        <w:rPr>
          <w:rFonts w:ascii="Cambria" w:eastAsia="Calibri" w:hAnsi="Cambria" w:cs="Times New Roman"/>
          <w:sz w:val="21"/>
          <w:szCs w:val="21"/>
        </w:rPr>
        <w:t>Suju</w:t>
      </w:r>
      <w:proofErr w:type="spellEnd"/>
      <w:r w:rsidR="008756A1" w:rsidRPr="008756A1">
        <w:rPr>
          <w:rFonts w:ascii="Cambria" w:eastAsia="Calibri" w:hAnsi="Cambria" w:cs="Times New Roman"/>
          <w:sz w:val="21"/>
          <w:szCs w:val="21"/>
        </w:rPr>
        <w:t xml:space="preserve"> de Rivero, Andrés Rivero Muro, Oswaldo Ramón </w:t>
      </w:r>
      <w:proofErr w:type="spellStart"/>
      <w:r w:rsidR="008756A1" w:rsidRPr="008756A1">
        <w:rPr>
          <w:rFonts w:ascii="Cambria" w:eastAsia="Calibri" w:hAnsi="Cambria" w:cs="Times New Roman"/>
          <w:sz w:val="21"/>
          <w:szCs w:val="21"/>
        </w:rPr>
        <w:t>Suju</w:t>
      </w:r>
      <w:proofErr w:type="spellEnd"/>
      <w:r w:rsidR="008756A1" w:rsidRPr="008756A1">
        <w:rPr>
          <w:rFonts w:ascii="Cambria" w:eastAsia="Calibri" w:hAnsi="Cambria" w:cs="Times New Roman"/>
          <w:sz w:val="21"/>
          <w:szCs w:val="21"/>
        </w:rPr>
        <w:t xml:space="preserve"> </w:t>
      </w:r>
      <w:proofErr w:type="spellStart"/>
      <w:r w:rsidR="008756A1" w:rsidRPr="008756A1">
        <w:rPr>
          <w:rFonts w:ascii="Cambria" w:eastAsia="Calibri" w:hAnsi="Cambria" w:cs="Times New Roman"/>
          <w:sz w:val="21"/>
          <w:szCs w:val="21"/>
        </w:rPr>
        <w:t>Raffo</w:t>
      </w:r>
      <w:proofErr w:type="spellEnd"/>
      <w:r w:rsidR="008756A1" w:rsidRPr="008756A1">
        <w:rPr>
          <w:rFonts w:ascii="Cambria" w:eastAsia="Calibri" w:hAnsi="Cambria" w:cs="Times New Roman"/>
          <w:sz w:val="21"/>
          <w:szCs w:val="21"/>
        </w:rPr>
        <w:t xml:space="preserve">, Elena Torres de </w:t>
      </w:r>
      <w:proofErr w:type="spellStart"/>
      <w:r w:rsidR="008756A1" w:rsidRPr="008756A1">
        <w:rPr>
          <w:rFonts w:ascii="Cambria" w:eastAsia="Calibri" w:hAnsi="Cambria" w:cs="Times New Roman"/>
          <w:sz w:val="21"/>
          <w:szCs w:val="21"/>
        </w:rPr>
        <w:t>Suju</w:t>
      </w:r>
      <w:proofErr w:type="spellEnd"/>
      <w:r w:rsidR="008756A1" w:rsidRPr="008756A1">
        <w:rPr>
          <w:rFonts w:ascii="Cambria" w:eastAsia="Calibri" w:hAnsi="Cambria" w:cs="Times New Roman"/>
          <w:sz w:val="21"/>
          <w:szCs w:val="21"/>
        </w:rPr>
        <w:t xml:space="preserve"> y </w:t>
      </w:r>
      <w:proofErr w:type="spellStart"/>
      <w:r w:rsidR="008756A1" w:rsidRPr="008756A1">
        <w:rPr>
          <w:rFonts w:ascii="Cambria" w:eastAsia="Calibri" w:hAnsi="Cambria" w:cs="Times New Roman"/>
          <w:sz w:val="21"/>
          <w:szCs w:val="21"/>
        </w:rPr>
        <w:t>Sungliying</w:t>
      </w:r>
      <w:proofErr w:type="spellEnd"/>
      <w:r w:rsidR="008756A1" w:rsidRPr="008756A1">
        <w:rPr>
          <w:rFonts w:ascii="Cambria" w:eastAsia="Calibri" w:hAnsi="Cambria" w:cs="Times New Roman"/>
          <w:sz w:val="21"/>
          <w:szCs w:val="21"/>
        </w:rPr>
        <w:t xml:space="preserve"> Helena </w:t>
      </w:r>
      <w:proofErr w:type="spellStart"/>
      <w:r w:rsidR="008756A1" w:rsidRPr="008756A1">
        <w:rPr>
          <w:rFonts w:ascii="Cambria" w:eastAsia="Calibri" w:hAnsi="Cambria" w:cs="Times New Roman"/>
          <w:sz w:val="21"/>
          <w:szCs w:val="21"/>
        </w:rPr>
        <w:t>Suju</w:t>
      </w:r>
      <w:proofErr w:type="spellEnd"/>
      <w:r w:rsidR="008756A1" w:rsidRPr="008756A1">
        <w:rPr>
          <w:rFonts w:ascii="Cambria" w:eastAsia="Calibri" w:hAnsi="Cambria" w:cs="Times New Roman"/>
          <w:sz w:val="21"/>
          <w:szCs w:val="21"/>
        </w:rPr>
        <w:t xml:space="preserve"> Torres</w:t>
      </w:r>
      <w:r w:rsidRPr="00B6504E">
        <w:rPr>
          <w:rFonts w:ascii="Cambria" w:eastAsia="Calibri" w:hAnsi="Cambria" w:cs="Times New Roman"/>
          <w:sz w:val="21"/>
          <w:szCs w:val="21"/>
          <w:lang w:val="es-ES_tradnl"/>
        </w:rPr>
        <w:t>, quien</w:t>
      </w:r>
      <w:r w:rsidR="008756A1">
        <w:rPr>
          <w:rFonts w:ascii="Cambria" w:eastAsia="Calibri" w:hAnsi="Cambria" w:cs="Times New Roman"/>
          <w:sz w:val="21"/>
          <w:szCs w:val="21"/>
          <w:lang w:val="es-ES_tradnl"/>
        </w:rPr>
        <w:t xml:space="preserve">es son el núcleo familiar de Tamara </w:t>
      </w:r>
      <w:proofErr w:type="spellStart"/>
      <w:r w:rsidR="008756A1">
        <w:rPr>
          <w:rFonts w:ascii="Cambria" w:eastAsia="Calibri" w:hAnsi="Cambria" w:cs="Times New Roman"/>
          <w:sz w:val="21"/>
          <w:szCs w:val="21"/>
          <w:lang w:val="es-ES_tradnl"/>
        </w:rPr>
        <w:t>Suju</w:t>
      </w:r>
      <w:proofErr w:type="spellEnd"/>
      <w:r w:rsidR="008756A1">
        <w:rPr>
          <w:rFonts w:ascii="Cambria" w:eastAsia="Calibri" w:hAnsi="Cambria" w:cs="Times New Roman"/>
          <w:sz w:val="21"/>
          <w:szCs w:val="21"/>
          <w:lang w:val="es-ES_tradnl"/>
        </w:rPr>
        <w:t xml:space="preserve"> </w:t>
      </w:r>
      <w:r w:rsidRPr="00B6504E">
        <w:rPr>
          <w:rFonts w:ascii="Cambria" w:eastAsia="Calibri" w:hAnsi="Cambria" w:cs="Times New Roman"/>
          <w:sz w:val="21"/>
          <w:szCs w:val="21"/>
          <w:lang w:val="es-ES_tradnl"/>
        </w:rPr>
        <w:t>debidamente identificado en este procedimiento.</w:t>
      </w:r>
    </w:p>
    <w:p w14:paraId="02EE43E3" w14:textId="77777777" w:rsidR="00B6504E" w:rsidRPr="00B6504E" w:rsidRDefault="00B6504E" w:rsidP="00B6504E">
      <w:pPr>
        <w:spacing w:after="0" w:line="240" w:lineRule="auto"/>
        <w:contextualSpacing/>
        <w:jc w:val="both"/>
        <w:rPr>
          <w:rFonts w:ascii="Cambria" w:eastAsia="Calibri" w:hAnsi="Cambria" w:cs="Times New Roman"/>
          <w:sz w:val="21"/>
          <w:szCs w:val="21"/>
          <w:lang w:val="es-MX"/>
        </w:rPr>
      </w:pPr>
    </w:p>
    <w:p w14:paraId="09AF140A" w14:textId="77777777" w:rsidR="00B6504E" w:rsidRPr="00B6504E" w:rsidRDefault="00B6504E" w:rsidP="00B6504E">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B6504E">
        <w:rPr>
          <w:rFonts w:ascii="Cambria" w:eastAsia="Calibri" w:hAnsi="Cambria" w:cs="Times New Roman"/>
          <w:b/>
          <w:sz w:val="21"/>
          <w:szCs w:val="21"/>
          <w:lang w:val="es-ES_tradnl"/>
        </w:rPr>
        <w:t>DECISIÓN</w:t>
      </w:r>
    </w:p>
    <w:p w14:paraId="1CA07C6F"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lang w:val="es-MX"/>
        </w:rPr>
      </w:pPr>
    </w:p>
    <w:p w14:paraId="53D26CA8" w14:textId="4F0F1C06" w:rsidR="00B6504E" w:rsidRPr="00B6504E" w:rsidRDefault="00B6504E" w:rsidP="008756A1">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B6504E">
        <w:rPr>
          <w:rFonts w:ascii="Cambria" w:eastAsia="Calibri" w:hAnsi="Cambria" w:cs="Times New Roman"/>
          <w:sz w:val="21"/>
          <w:szCs w:val="21"/>
          <w:lang w:val="es-ES_tradnl"/>
        </w:rPr>
        <w:t xml:space="preserve">La Comisión considera que el presente asunto reúne </w:t>
      </w:r>
      <w:r w:rsidRPr="00B6504E">
        <w:rPr>
          <w:rFonts w:ascii="Cambria" w:eastAsia="Calibri" w:hAnsi="Cambria" w:cs="Times New Roman"/>
          <w:i/>
          <w:sz w:val="21"/>
          <w:szCs w:val="21"/>
          <w:lang w:val="es-ES_tradnl"/>
        </w:rPr>
        <w:t>prima facie</w:t>
      </w:r>
      <w:r w:rsidRPr="00B6504E">
        <w:rPr>
          <w:rFonts w:ascii="Cambria" w:eastAsia="Calibri" w:hAnsi="Cambria" w:cs="Times New Roman"/>
          <w:sz w:val="21"/>
          <w:szCs w:val="21"/>
          <w:lang w:val="es-ES_tradnl"/>
        </w:rPr>
        <w:t xml:space="preserve"> los requisitos de gravedad, urgencia e </w:t>
      </w:r>
      <w:proofErr w:type="spellStart"/>
      <w:r w:rsidRPr="00B6504E">
        <w:rPr>
          <w:rFonts w:ascii="Cambria" w:eastAsia="Calibri" w:hAnsi="Cambria" w:cs="Times New Roman"/>
          <w:sz w:val="21"/>
          <w:szCs w:val="21"/>
          <w:lang w:val="es-ES_tradnl"/>
        </w:rPr>
        <w:t>irreparabilidad</w:t>
      </w:r>
      <w:proofErr w:type="spellEnd"/>
      <w:r w:rsidRPr="00B6504E">
        <w:rPr>
          <w:rFonts w:ascii="Cambria" w:eastAsia="Calibri" w:hAnsi="Cambria" w:cs="Times New Roman"/>
          <w:sz w:val="21"/>
          <w:szCs w:val="21"/>
          <w:lang w:val="es-ES_tradnl"/>
        </w:rPr>
        <w:t xml:space="preserve"> </w:t>
      </w:r>
      <w:r w:rsidR="00A57B76">
        <w:rPr>
          <w:rFonts w:ascii="Cambria" w:eastAsia="Calibri" w:hAnsi="Cambria" w:cs="Times New Roman"/>
          <w:sz w:val="21"/>
          <w:szCs w:val="21"/>
          <w:lang w:val="es-ES_tradnl"/>
        </w:rPr>
        <w:t>previstos</w:t>
      </w:r>
      <w:r w:rsidR="00A57B76" w:rsidRPr="00B6504E">
        <w:rPr>
          <w:rFonts w:ascii="Cambria" w:eastAsia="Calibri" w:hAnsi="Cambria" w:cs="Times New Roman"/>
          <w:sz w:val="21"/>
          <w:szCs w:val="21"/>
          <w:lang w:val="es-ES_tradnl"/>
        </w:rPr>
        <w:t xml:space="preserve"> </w:t>
      </w:r>
      <w:r w:rsidRPr="00B6504E">
        <w:rPr>
          <w:rFonts w:ascii="Cambria" w:eastAsia="Calibri" w:hAnsi="Cambria" w:cs="Times New Roman"/>
          <w:sz w:val="21"/>
          <w:szCs w:val="21"/>
          <w:lang w:val="es-ES_tradnl"/>
        </w:rPr>
        <w:t>en el artículo 25 de su Reglamento. En consecuencia, la Comisión solicita al Estado de Venezuela que:</w:t>
      </w:r>
    </w:p>
    <w:p w14:paraId="4A9F386B" w14:textId="77777777" w:rsidR="00B6504E" w:rsidRPr="006B5D83" w:rsidRDefault="00B6504E" w:rsidP="00B6504E">
      <w:pPr>
        <w:spacing w:after="0" w:line="240" w:lineRule="auto"/>
        <w:contextualSpacing/>
        <w:jc w:val="both"/>
        <w:rPr>
          <w:rFonts w:ascii="Cambria" w:eastAsia="Calibri" w:hAnsi="Cambria" w:cs="Times New Roman"/>
          <w:sz w:val="21"/>
          <w:szCs w:val="21"/>
          <w:lang w:val="es-MX"/>
        </w:rPr>
      </w:pPr>
    </w:p>
    <w:p w14:paraId="594438B0" w14:textId="77777777" w:rsidR="008756A1" w:rsidRPr="006B5D83" w:rsidRDefault="008756A1" w:rsidP="008756A1">
      <w:pPr>
        <w:pStyle w:val="ListParagraph"/>
        <w:numPr>
          <w:ilvl w:val="0"/>
          <w:numId w:val="6"/>
        </w:numPr>
        <w:spacing w:after="0" w:line="240" w:lineRule="auto"/>
        <w:jc w:val="both"/>
        <w:rPr>
          <w:rFonts w:ascii="Cambria" w:eastAsia="Calibri" w:hAnsi="Cambria" w:cs="Times New Roman"/>
          <w:sz w:val="21"/>
          <w:szCs w:val="21"/>
          <w:lang w:val="es-ES_tradnl"/>
        </w:rPr>
      </w:pPr>
      <w:r w:rsidRPr="006B5D83">
        <w:rPr>
          <w:rFonts w:ascii="Cambria" w:eastAsia="Calibri" w:hAnsi="Cambria" w:cs="Times New Roman"/>
          <w:sz w:val="21"/>
          <w:szCs w:val="21"/>
          <w:lang w:val="es-MX"/>
        </w:rPr>
        <w:t xml:space="preserve">adopte las medidas necesarias para proteger los derechos a vida e integridad personal </w:t>
      </w:r>
      <w:r w:rsidRPr="006B5D83">
        <w:rPr>
          <w:rFonts w:ascii="Cambria" w:eastAsia="Calibri" w:hAnsi="Cambria" w:cs="Times New Roman"/>
          <w:sz w:val="21"/>
          <w:szCs w:val="21"/>
          <w:lang w:val="es-ES_tradnl"/>
        </w:rPr>
        <w:t xml:space="preserve">de </w:t>
      </w:r>
      <w:r w:rsidRPr="006B5D83">
        <w:rPr>
          <w:rFonts w:ascii="Cambria" w:eastAsia="Calibri" w:hAnsi="Cambria" w:cs="Times New Roman"/>
          <w:sz w:val="21"/>
          <w:szCs w:val="21"/>
        </w:rPr>
        <w:t xml:space="preserve">Francisco Arturo </w:t>
      </w:r>
      <w:proofErr w:type="spellStart"/>
      <w:r w:rsidRPr="006B5D83">
        <w:rPr>
          <w:rFonts w:ascii="Cambria" w:eastAsia="Calibri" w:hAnsi="Cambria" w:cs="Times New Roman"/>
          <w:sz w:val="21"/>
          <w:szCs w:val="21"/>
        </w:rPr>
        <w:t>Suju</w:t>
      </w:r>
      <w:proofErr w:type="spellEnd"/>
      <w:r w:rsidRPr="006B5D83">
        <w:rPr>
          <w:rFonts w:ascii="Cambria" w:eastAsia="Calibri" w:hAnsi="Cambria" w:cs="Times New Roman"/>
          <w:sz w:val="21"/>
          <w:szCs w:val="21"/>
        </w:rPr>
        <w:t xml:space="preserve"> </w:t>
      </w:r>
      <w:proofErr w:type="spellStart"/>
      <w:r w:rsidRPr="006B5D83">
        <w:rPr>
          <w:rFonts w:ascii="Cambria" w:eastAsia="Calibri" w:hAnsi="Cambria" w:cs="Times New Roman"/>
          <w:sz w:val="21"/>
          <w:szCs w:val="21"/>
        </w:rPr>
        <w:t>Raffo</w:t>
      </w:r>
      <w:proofErr w:type="spellEnd"/>
      <w:r w:rsidRPr="006B5D83">
        <w:rPr>
          <w:rFonts w:ascii="Cambria" w:eastAsia="Calibri" w:hAnsi="Cambria" w:cs="Times New Roman"/>
          <w:sz w:val="21"/>
          <w:szCs w:val="21"/>
        </w:rPr>
        <w:t xml:space="preserve">, Carmen Cecilia Fuentes de </w:t>
      </w:r>
      <w:proofErr w:type="spellStart"/>
      <w:r w:rsidRPr="006B5D83">
        <w:rPr>
          <w:rFonts w:ascii="Cambria" w:eastAsia="Calibri" w:hAnsi="Cambria" w:cs="Times New Roman"/>
          <w:sz w:val="21"/>
          <w:szCs w:val="21"/>
        </w:rPr>
        <w:t>Suju</w:t>
      </w:r>
      <w:proofErr w:type="spellEnd"/>
      <w:r w:rsidRPr="006B5D83">
        <w:rPr>
          <w:rFonts w:ascii="Cambria" w:eastAsia="Calibri" w:hAnsi="Cambria" w:cs="Times New Roman"/>
          <w:sz w:val="21"/>
          <w:szCs w:val="21"/>
        </w:rPr>
        <w:t xml:space="preserve">, Marisela </w:t>
      </w:r>
      <w:proofErr w:type="spellStart"/>
      <w:r w:rsidRPr="006B5D83">
        <w:rPr>
          <w:rFonts w:ascii="Cambria" w:eastAsia="Calibri" w:hAnsi="Cambria" w:cs="Times New Roman"/>
          <w:sz w:val="21"/>
          <w:szCs w:val="21"/>
        </w:rPr>
        <w:t>Suyen</w:t>
      </w:r>
      <w:proofErr w:type="spellEnd"/>
      <w:r w:rsidRPr="006B5D83">
        <w:rPr>
          <w:rFonts w:ascii="Cambria" w:eastAsia="Calibri" w:hAnsi="Cambria" w:cs="Times New Roman"/>
          <w:sz w:val="21"/>
          <w:szCs w:val="21"/>
        </w:rPr>
        <w:t xml:space="preserve"> </w:t>
      </w:r>
      <w:proofErr w:type="spellStart"/>
      <w:r w:rsidRPr="006B5D83">
        <w:rPr>
          <w:rFonts w:ascii="Cambria" w:eastAsia="Calibri" w:hAnsi="Cambria" w:cs="Times New Roman"/>
          <w:sz w:val="21"/>
          <w:szCs w:val="21"/>
        </w:rPr>
        <w:t>Suju</w:t>
      </w:r>
      <w:proofErr w:type="spellEnd"/>
      <w:r w:rsidRPr="006B5D83">
        <w:rPr>
          <w:rFonts w:ascii="Cambria" w:eastAsia="Calibri" w:hAnsi="Cambria" w:cs="Times New Roman"/>
          <w:sz w:val="21"/>
          <w:szCs w:val="21"/>
        </w:rPr>
        <w:t xml:space="preserve"> de Rivero, Andrés Rivero Muro, Oswaldo Ramón </w:t>
      </w:r>
      <w:proofErr w:type="spellStart"/>
      <w:r w:rsidRPr="006B5D83">
        <w:rPr>
          <w:rFonts w:ascii="Cambria" w:eastAsia="Calibri" w:hAnsi="Cambria" w:cs="Times New Roman"/>
          <w:sz w:val="21"/>
          <w:szCs w:val="21"/>
        </w:rPr>
        <w:t>Suju</w:t>
      </w:r>
      <w:proofErr w:type="spellEnd"/>
      <w:r w:rsidRPr="006B5D83">
        <w:rPr>
          <w:rFonts w:ascii="Cambria" w:eastAsia="Calibri" w:hAnsi="Cambria" w:cs="Times New Roman"/>
          <w:sz w:val="21"/>
          <w:szCs w:val="21"/>
        </w:rPr>
        <w:t xml:space="preserve"> </w:t>
      </w:r>
      <w:proofErr w:type="spellStart"/>
      <w:r w:rsidRPr="006B5D83">
        <w:rPr>
          <w:rFonts w:ascii="Cambria" w:eastAsia="Calibri" w:hAnsi="Cambria" w:cs="Times New Roman"/>
          <w:sz w:val="21"/>
          <w:szCs w:val="21"/>
        </w:rPr>
        <w:t>Raffo</w:t>
      </w:r>
      <w:proofErr w:type="spellEnd"/>
      <w:r w:rsidRPr="006B5D83">
        <w:rPr>
          <w:rFonts w:ascii="Cambria" w:eastAsia="Calibri" w:hAnsi="Cambria" w:cs="Times New Roman"/>
          <w:sz w:val="21"/>
          <w:szCs w:val="21"/>
        </w:rPr>
        <w:t xml:space="preserve">, Elena Torres de </w:t>
      </w:r>
      <w:proofErr w:type="spellStart"/>
      <w:r w:rsidRPr="006B5D83">
        <w:rPr>
          <w:rFonts w:ascii="Cambria" w:eastAsia="Calibri" w:hAnsi="Cambria" w:cs="Times New Roman"/>
          <w:sz w:val="21"/>
          <w:szCs w:val="21"/>
        </w:rPr>
        <w:t>Suju</w:t>
      </w:r>
      <w:proofErr w:type="spellEnd"/>
      <w:r w:rsidRPr="006B5D83">
        <w:rPr>
          <w:rFonts w:ascii="Cambria" w:eastAsia="Calibri" w:hAnsi="Cambria" w:cs="Times New Roman"/>
          <w:sz w:val="21"/>
          <w:szCs w:val="21"/>
        </w:rPr>
        <w:t xml:space="preserve"> y </w:t>
      </w:r>
      <w:proofErr w:type="spellStart"/>
      <w:r w:rsidRPr="006B5D83">
        <w:rPr>
          <w:rFonts w:ascii="Cambria" w:eastAsia="Calibri" w:hAnsi="Cambria" w:cs="Times New Roman"/>
          <w:sz w:val="21"/>
          <w:szCs w:val="21"/>
        </w:rPr>
        <w:t>Sungliying</w:t>
      </w:r>
      <w:proofErr w:type="spellEnd"/>
      <w:r w:rsidRPr="006B5D83">
        <w:rPr>
          <w:rFonts w:ascii="Cambria" w:eastAsia="Calibri" w:hAnsi="Cambria" w:cs="Times New Roman"/>
          <w:sz w:val="21"/>
          <w:szCs w:val="21"/>
        </w:rPr>
        <w:t xml:space="preserve"> Helena </w:t>
      </w:r>
      <w:proofErr w:type="spellStart"/>
      <w:r w:rsidRPr="006B5D83">
        <w:rPr>
          <w:rFonts w:ascii="Cambria" w:eastAsia="Calibri" w:hAnsi="Cambria" w:cs="Times New Roman"/>
          <w:sz w:val="21"/>
          <w:szCs w:val="21"/>
        </w:rPr>
        <w:t>Suju</w:t>
      </w:r>
      <w:proofErr w:type="spellEnd"/>
      <w:r w:rsidRPr="006B5D83">
        <w:rPr>
          <w:rFonts w:ascii="Cambria" w:eastAsia="Calibri" w:hAnsi="Cambria" w:cs="Times New Roman"/>
          <w:sz w:val="21"/>
          <w:szCs w:val="21"/>
        </w:rPr>
        <w:t xml:space="preserve"> Torres</w:t>
      </w:r>
      <w:r w:rsidRPr="006B5D83">
        <w:rPr>
          <w:rFonts w:ascii="Cambria" w:eastAsia="Calibri" w:hAnsi="Cambria" w:cs="Times New Roman"/>
          <w:sz w:val="21"/>
          <w:szCs w:val="21"/>
          <w:lang w:val="es-ES_tradnl"/>
        </w:rPr>
        <w:t>;</w:t>
      </w:r>
    </w:p>
    <w:p w14:paraId="293F8D48" w14:textId="77777777" w:rsidR="008756A1" w:rsidRPr="006B5D83" w:rsidRDefault="008756A1" w:rsidP="008756A1">
      <w:pPr>
        <w:pStyle w:val="ListParagraph"/>
        <w:spacing w:after="0" w:line="240" w:lineRule="auto"/>
        <w:jc w:val="both"/>
        <w:rPr>
          <w:rFonts w:ascii="Cambria" w:eastAsia="Calibri" w:hAnsi="Cambria" w:cs="Times New Roman"/>
          <w:sz w:val="21"/>
          <w:szCs w:val="21"/>
          <w:lang w:val="es-ES_tradnl"/>
        </w:rPr>
      </w:pPr>
    </w:p>
    <w:p w14:paraId="061BD8BA" w14:textId="77777777" w:rsidR="008756A1" w:rsidRPr="006B5D83" w:rsidRDefault="008756A1" w:rsidP="008756A1">
      <w:pPr>
        <w:pStyle w:val="ListParagraph"/>
        <w:numPr>
          <w:ilvl w:val="0"/>
          <w:numId w:val="6"/>
        </w:numPr>
        <w:spacing w:after="0" w:line="240" w:lineRule="auto"/>
        <w:jc w:val="both"/>
        <w:rPr>
          <w:rFonts w:ascii="Cambria" w:eastAsia="Calibri" w:hAnsi="Cambria" w:cs="Times New Roman"/>
          <w:sz w:val="21"/>
          <w:szCs w:val="21"/>
          <w:lang w:val="es-ES_tradnl"/>
        </w:rPr>
      </w:pPr>
      <w:r w:rsidRPr="006B5D83">
        <w:rPr>
          <w:rFonts w:ascii="Cambria" w:eastAsia="Calibri" w:hAnsi="Cambria" w:cs="Times New Roman"/>
          <w:sz w:val="21"/>
          <w:szCs w:val="21"/>
          <w:lang w:val="es-ES"/>
        </w:rPr>
        <w:t>concierte las medidas a adoptarse con las personas beneficiarias</w:t>
      </w:r>
      <w:r w:rsidRPr="006B5D83">
        <w:rPr>
          <w:rFonts w:ascii="Cambria" w:eastAsia="Calibri" w:hAnsi="Cambria" w:cs="Times New Roman"/>
          <w:sz w:val="21"/>
          <w:szCs w:val="21"/>
          <w:lang w:val="es-ES_tradnl"/>
        </w:rPr>
        <w:t xml:space="preserve">; y </w:t>
      </w:r>
    </w:p>
    <w:p w14:paraId="75561BAD" w14:textId="77777777" w:rsidR="008756A1" w:rsidRPr="006B5D83" w:rsidRDefault="008756A1" w:rsidP="008756A1">
      <w:pPr>
        <w:spacing w:after="0" w:line="240" w:lineRule="auto"/>
        <w:jc w:val="both"/>
        <w:rPr>
          <w:rFonts w:ascii="Cambria" w:eastAsia="Calibri" w:hAnsi="Cambria" w:cs="Times New Roman"/>
          <w:sz w:val="21"/>
          <w:szCs w:val="21"/>
          <w:lang w:val="es-ES_tradnl"/>
        </w:rPr>
      </w:pPr>
    </w:p>
    <w:p w14:paraId="0370C053" w14:textId="77777777" w:rsidR="00B6504E" w:rsidRPr="006B5D83" w:rsidRDefault="008756A1" w:rsidP="008756A1">
      <w:pPr>
        <w:pStyle w:val="ListParagraph"/>
        <w:numPr>
          <w:ilvl w:val="0"/>
          <w:numId w:val="6"/>
        </w:numPr>
        <w:spacing w:after="0" w:line="240" w:lineRule="auto"/>
        <w:jc w:val="both"/>
        <w:rPr>
          <w:rFonts w:ascii="Cambria" w:eastAsia="Calibri" w:hAnsi="Cambria" w:cs="Times New Roman"/>
          <w:sz w:val="21"/>
          <w:szCs w:val="21"/>
          <w:lang w:val="es-AR"/>
        </w:rPr>
      </w:pPr>
      <w:r w:rsidRPr="006B5D83">
        <w:rPr>
          <w:rFonts w:ascii="Cambria" w:eastAsia="Calibri" w:hAnsi="Cambria" w:cs="Times New Roman"/>
          <w:sz w:val="21"/>
          <w:szCs w:val="21"/>
          <w:lang w:val="es-ES_tradnl"/>
        </w:rPr>
        <w:t xml:space="preserve">informe sobre las </w:t>
      </w:r>
      <w:r w:rsidRPr="006B5D83">
        <w:rPr>
          <w:rFonts w:ascii="Cambria" w:eastAsia="Calibri" w:hAnsi="Cambria" w:cs="Times New Roman"/>
          <w:sz w:val="21"/>
          <w:szCs w:val="21"/>
          <w:lang w:val="es-ES"/>
        </w:rPr>
        <w:t>acciones adoptadas a fin de investigar los hechos alegados que dieron lugar a la adopción de la presente medida cautelar y evitar así su repetición.</w:t>
      </w:r>
    </w:p>
    <w:p w14:paraId="178EE907" w14:textId="77777777" w:rsidR="008756A1" w:rsidRPr="008756A1" w:rsidRDefault="008756A1" w:rsidP="008756A1">
      <w:pPr>
        <w:spacing w:after="0" w:line="240" w:lineRule="auto"/>
        <w:jc w:val="both"/>
        <w:rPr>
          <w:rFonts w:ascii="Cambria" w:eastAsia="Calibri" w:hAnsi="Cambria" w:cs="Times New Roman"/>
          <w:lang w:val="es-AR"/>
        </w:rPr>
      </w:pPr>
    </w:p>
    <w:p w14:paraId="608E5FD9" w14:textId="77777777" w:rsidR="00B6504E" w:rsidRPr="00B6504E" w:rsidRDefault="00B6504E" w:rsidP="008756A1">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B6504E">
        <w:rPr>
          <w:rFonts w:ascii="Cambria" w:eastAsia="Calibri" w:hAnsi="Cambria" w:cs="Times New Roman"/>
          <w:sz w:val="21"/>
          <w:szCs w:val="21"/>
          <w:lang w:val="es-ES_tradnl"/>
        </w:rPr>
        <w:t>La Comisión solicita al Estado de Venezuela que informe, dentro del plazo de 15 días, contados a partir de la fecha de la presente resolución, sobre la adopción de las medidas cautelares requeridas y actualizar dicha información en forma periódica. La Comisión valorará oportunamente la información que sea aportada por el Estado para decidir sobre el mantenimiento de la presente medida cautelar.</w:t>
      </w:r>
    </w:p>
    <w:p w14:paraId="50FFEB69"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lang w:val="es-ES_tradnl"/>
        </w:rPr>
      </w:pPr>
    </w:p>
    <w:p w14:paraId="04F70459" w14:textId="448B5D6F" w:rsidR="008756A1" w:rsidRDefault="00B6504E" w:rsidP="008756A1">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B6504E">
        <w:rPr>
          <w:rFonts w:ascii="Cambria" w:eastAsia="Calibri" w:hAnsi="Cambria" w:cs="Times New Roman"/>
          <w:sz w:val="21"/>
          <w:szCs w:val="21"/>
          <w:lang w:val="es-ES_tradnl"/>
        </w:rPr>
        <w:t xml:space="preserve">La Comisión resalta que, de acuerdo con el artículo 25 (8) de su Reglamento, el otorgamiento de </w:t>
      </w:r>
      <w:r w:rsidRPr="0035705E">
        <w:rPr>
          <w:rFonts w:ascii="Cambria" w:eastAsia="Calibri" w:hAnsi="Cambria" w:cs="Times New Roman"/>
          <w:sz w:val="21"/>
          <w:szCs w:val="21"/>
          <w:lang w:val="es-ES_tradnl"/>
        </w:rPr>
        <w:t xml:space="preserve">la presente medida cautelar y su adopción por el Estado no constituyen prejuzgamiento sobre violación alguna a los derechos protegidos </w:t>
      </w:r>
      <w:r w:rsidR="00326840" w:rsidRPr="0035705E">
        <w:rPr>
          <w:rFonts w:ascii="Cambria" w:eastAsia="Calibri" w:hAnsi="Cambria" w:cs="Times New Roman"/>
          <w:sz w:val="21"/>
          <w:szCs w:val="21"/>
          <w:lang w:val="es-ES_tradnl"/>
        </w:rPr>
        <w:t xml:space="preserve">de acuerdo con los </w:t>
      </w:r>
      <w:r w:rsidR="008756A1" w:rsidRPr="0035705E">
        <w:rPr>
          <w:rFonts w:ascii="Cambria" w:eastAsia="Calibri" w:hAnsi="Cambria" w:cs="Times New Roman"/>
          <w:sz w:val="21"/>
          <w:szCs w:val="21"/>
          <w:lang w:val="es-ES_tradnl"/>
        </w:rPr>
        <w:t>instrumentos aplicables.</w:t>
      </w:r>
    </w:p>
    <w:p w14:paraId="136E7EB6" w14:textId="77777777" w:rsidR="008756A1" w:rsidRPr="008756A1" w:rsidRDefault="008756A1" w:rsidP="008756A1">
      <w:pPr>
        <w:spacing w:after="0" w:line="240" w:lineRule="auto"/>
        <w:contextualSpacing/>
        <w:jc w:val="both"/>
        <w:rPr>
          <w:rFonts w:ascii="Cambria" w:eastAsia="Calibri" w:hAnsi="Cambria" w:cs="Times New Roman"/>
          <w:sz w:val="21"/>
          <w:szCs w:val="21"/>
          <w:lang w:val="es-ES_tradnl"/>
        </w:rPr>
      </w:pPr>
    </w:p>
    <w:p w14:paraId="10FFBE53" w14:textId="77777777" w:rsidR="008756A1" w:rsidRPr="008756A1" w:rsidRDefault="008756A1" w:rsidP="008756A1">
      <w:pPr>
        <w:numPr>
          <w:ilvl w:val="0"/>
          <w:numId w:val="1"/>
        </w:numPr>
        <w:spacing w:after="0" w:line="240" w:lineRule="auto"/>
        <w:ind w:left="0" w:firstLine="360"/>
        <w:contextualSpacing/>
        <w:jc w:val="both"/>
        <w:rPr>
          <w:rFonts w:ascii="Cambria" w:eastAsia="Calibri" w:hAnsi="Cambria" w:cs="Times New Roman"/>
          <w:sz w:val="21"/>
          <w:szCs w:val="21"/>
          <w:lang w:val="es-PE"/>
        </w:rPr>
      </w:pPr>
      <w:r w:rsidRPr="0039542A">
        <w:rPr>
          <w:rFonts w:ascii="Cambria" w:eastAsia="Calibri" w:hAnsi="Cambria" w:cs="Times New Roman"/>
          <w:sz w:val="21"/>
          <w:szCs w:val="21"/>
          <w:lang w:val="es-PE"/>
        </w:rPr>
        <w:t xml:space="preserve">La Comisión de conformidad con el artículo 25.5 del Reglamento revisará la pertinencia de mantener </w:t>
      </w:r>
      <w:r w:rsidRPr="008756A1">
        <w:rPr>
          <w:rFonts w:ascii="Cambria" w:eastAsia="Calibri" w:hAnsi="Cambria" w:cs="Times New Roman"/>
          <w:sz w:val="21"/>
          <w:szCs w:val="21"/>
          <w:lang w:val="es-ES_tradnl"/>
        </w:rPr>
        <w:t>vigente</w:t>
      </w:r>
      <w:r w:rsidRPr="0039542A">
        <w:rPr>
          <w:rFonts w:ascii="Cambria" w:eastAsia="Calibri" w:hAnsi="Cambria" w:cs="Times New Roman"/>
          <w:sz w:val="21"/>
          <w:szCs w:val="21"/>
          <w:lang w:val="es-PE"/>
        </w:rPr>
        <w:t xml:space="preserve"> la presente medida cautelar o bien proceder a su levantamiento</w:t>
      </w:r>
      <w:r w:rsidRPr="008516F0">
        <w:rPr>
          <w:rFonts w:ascii="Cambria" w:eastAsia="Calibri" w:hAnsi="Cambria" w:cs="Times New Roman"/>
          <w:sz w:val="21"/>
          <w:szCs w:val="21"/>
          <w:lang w:val="es-PE"/>
        </w:rPr>
        <w:t xml:space="preserve">. Para ello, la Comisión tendrá en cuenta la información que sea aportada por el Estado de </w:t>
      </w:r>
      <w:r>
        <w:rPr>
          <w:rFonts w:ascii="Cambria" w:eastAsia="Calibri" w:hAnsi="Cambria" w:cs="Times New Roman"/>
          <w:sz w:val="21"/>
          <w:szCs w:val="21"/>
          <w:lang w:val="es-PE"/>
        </w:rPr>
        <w:t>Venezuela</w:t>
      </w:r>
      <w:r w:rsidRPr="008516F0">
        <w:rPr>
          <w:rFonts w:ascii="Cambria" w:eastAsia="Calibri" w:hAnsi="Cambria" w:cs="Times New Roman"/>
          <w:sz w:val="21"/>
          <w:szCs w:val="21"/>
          <w:lang w:val="es-PE"/>
        </w:rPr>
        <w:t>.</w:t>
      </w:r>
    </w:p>
    <w:p w14:paraId="3E351E17"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lang w:val="es-ES_tradnl"/>
        </w:rPr>
      </w:pPr>
    </w:p>
    <w:p w14:paraId="16D02B14" w14:textId="77777777" w:rsidR="00B6504E" w:rsidRPr="00B6504E" w:rsidRDefault="00B6504E" w:rsidP="008756A1">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B6504E">
        <w:rPr>
          <w:rFonts w:ascii="Cambria" w:eastAsia="Calibri" w:hAnsi="Cambria" w:cs="Times New Roman"/>
          <w:sz w:val="21"/>
          <w:szCs w:val="21"/>
          <w:lang w:val="es-ES_tradnl"/>
        </w:rPr>
        <w:t>La Comisión instruye a su Secretaría Ejecutiva que notifique la presente resolución al Estado de Venezuela y a los solicitantes.</w:t>
      </w:r>
    </w:p>
    <w:p w14:paraId="4B11661F"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lang w:val="es-ES_tradnl"/>
        </w:rPr>
      </w:pPr>
    </w:p>
    <w:p w14:paraId="75879484" w14:textId="5359509F" w:rsidR="00B6504E" w:rsidRPr="00B6504E" w:rsidRDefault="00B6504E" w:rsidP="008756A1">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B6504E">
        <w:rPr>
          <w:rFonts w:ascii="Cambria" w:eastAsia="Calibri" w:hAnsi="Cambria" w:cs="Times New Roman"/>
          <w:sz w:val="21"/>
          <w:szCs w:val="21"/>
          <w:lang w:val="es-ES_tradnl"/>
        </w:rPr>
        <w:t xml:space="preserve">Aprobado el </w:t>
      </w:r>
      <w:r w:rsidR="0035705E">
        <w:rPr>
          <w:rFonts w:ascii="Cambria" w:eastAsia="Calibri" w:hAnsi="Cambria" w:cs="Times New Roman"/>
          <w:sz w:val="21"/>
          <w:szCs w:val="21"/>
          <w:lang w:val="es-ES_tradnl"/>
        </w:rPr>
        <w:t>1</w:t>
      </w:r>
      <w:r w:rsidRPr="00B6504E">
        <w:rPr>
          <w:rFonts w:ascii="Cambria" w:eastAsia="Calibri" w:hAnsi="Cambria" w:cs="Times New Roman"/>
          <w:sz w:val="21"/>
          <w:szCs w:val="21"/>
          <w:lang w:val="es-ES_tradnl"/>
        </w:rPr>
        <w:t xml:space="preserve"> de </w:t>
      </w:r>
      <w:r w:rsidR="0035705E">
        <w:rPr>
          <w:rFonts w:ascii="Cambria" w:eastAsia="Calibri" w:hAnsi="Cambria" w:cs="Times New Roman"/>
          <w:sz w:val="21"/>
          <w:szCs w:val="21"/>
          <w:lang w:val="es-ES_tradnl"/>
        </w:rPr>
        <w:t xml:space="preserve">octubre </w:t>
      </w:r>
      <w:r w:rsidRPr="00B6504E">
        <w:rPr>
          <w:rFonts w:ascii="Cambria" w:eastAsia="Calibri" w:hAnsi="Cambria" w:cs="Times New Roman"/>
          <w:sz w:val="21"/>
          <w:szCs w:val="21"/>
          <w:lang w:val="es-ES_tradnl"/>
        </w:rPr>
        <w:t xml:space="preserve">de 2019, por: </w:t>
      </w:r>
      <w:r w:rsidR="00A36456" w:rsidRPr="00A36456">
        <w:rPr>
          <w:rFonts w:ascii="Cambria" w:eastAsia="Calibri" w:hAnsi="Cambria" w:cs="Times New Roman"/>
          <w:sz w:val="21"/>
          <w:szCs w:val="21"/>
          <w:lang w:val="es-ES"/>
        </w:rPr>
        <w:t xml:space="preserve">Esmeralda Arosemena de </w:t>
      </w:r>
      <w:proofErr w:type="spellStart"/>
      <w:r w:rsidR="00A36456" w:rsidRPr="00A36456">
        <w:rPr>
          <w:rFonts w:ascii="Cambria" w:eastAsia="Calibri" w:hAnsi="Cambria" w:cs="Times New Roman"/>
          <w:sz w:val="21"/>
          <w:szCs w:val="21"/>
          <w:lang w:val="es-ES"/>
        </w:rPr>
        <w:t>Troitiño</w:t>
      </w:r>
      <w:proofErr w:type="spellEnd"/>
      <w:r w:rsidR="00A36456" w:rsidRPr="00A36456">
        <w:rPr>
          <w:rFonts w:ascii="Cambria" w:eastAsia="Calibri" w:hAnsi="Cambria" w:cs="Times New Roman"/>
          <w:sz w:val="21"/>
          <w:szCs w:val="21"/>
          <w:lang w:val="es-ES"/>
        </w:rPr>
        <w:t>, Presidenta; Joel Hernández García, Primer</w:t>
      </w:r>
      <w:r w:rsidR="00A36456">
        <w:rPr>
          <w:rFonts w:ascii="Cambria" w:eastAsia="Calibri" w:hAnsi="Cambria" w:cs="Times New Roman"/>
          <w:sz w:val="21"/>
          <w:szCs w:val="21"/>
          <w:lang w:val="es-ES"/>
        </w:rPr>
        <w:t xml:space="preserve"> Vicep</w:t>
      </w:r>
      <w:r w:rsidR="00A36456" w:rsidRPr="00A36456">
        <w:rPr>
          <w:rFonts w:ascii="Cambria" w:eastAsia="Calibri" w:hAnsi="Cambria" w:cs="Times New Roman"/>
          <w:sz w:val="21"/>
          <w:szCs w:val="21"/>
          <w:lang w:val="es-ES"/>
        </w:rPr>
        <w:t>residente; Antonia</w:t>
      </w:r>
      <w:r w:rsidR="00A36456">
        <w:rPr>
          <w:rFonts w:ascii="Cambria" w:eastAsia="Calibri" w:hAnsi="Cambria" w:cs="Times New Roman"/>
          <w:sz w:val="21"/>
          <w:szCs w:val="21"/>
          <w:lang w:val="es-ES"/>
        </w:rPr>
        <w:t xml:space="preserve"> Urrejola Noguera, Segunda Vicep</w:t>
      </w:r>
      <w:r w:rsidR="00A36456" w:rsidRPr="00A36456">
        <w:rPr>
          <w:rFonts w:ascii="Cambria" w:eastAsia="Calibri" w:hAnsi="Cambria" w:cs="Times New Roman"/>
          <w:sz w:val="21"/>
          <w:szCs w:val="21"/>
          <w:lang w:val="es-ES"/>
        </w:rPr>
        <w:t xml:space="preserve">residenta; Margarette May Macaulay; Francisco José </w:t>
      </w:r>
      <w:proofErr w:type="spellStart"/>
      <w:r w:rsidR="00A36456" w:rsidRPr="00A36456">
        <w:rPr>
          <w:rFonts w:ascii="Cambria" w:eastAsia="Calibri" w:hAnsi="Cambria" w:cs="Times New Roman"/>
          <w:sz w:val="21"/>
          <w:szCs w:val="21"/>
          <w:lang w:val="es-ES"/>
        </w:rPr>
        <w:t>Eguiguren</w:t>
      </w:r>
      <w:proofErr w:type="spellEnd"/>
      <w:r w:rsidR="00A36456" w:rsidRPr="00A36456">
        <w:rPr>
          <w:rFonts w:ascii="Cambria" w:eastAsia="Calibri" w:hAnsi="Cambria" w:cs="Times New Roman"/>
          <w:sz w:val="21"/>
          <w:szCs w:val="21"/>
          <w:lang w:val="es-ES"/>
        </w:rPr>
        <w:t xml:space="preserve"> </w:t>
      </w:r>
      <w:proofErr w:type="spellStart"/>
      <w:r w:rsidR="00A36456" w:rsidRPr="00A36456">
        <w:rPr>
          <w:rFonts w:ascii="Cambria" w:eastAsia="Calibri" w:hAnsi="Cambria" w:cs="Times New Roman"/>
          <w:sz w:val="21"/>
          <w:szCs w:val="21"/>
          <w:lang w:val="es-ES"/>
        </w:rPr>
        <w:t>Praeli</w:t>
      </w:r>
      <w:proofErr w:type="spellEnd"/>
      <w:r w:rsidR="00A36456" w:rsidRPr="00A36456">
        <w:rPr>
          <w:rFonts w:ascii="Cambria" w:eastAsia="Calibri" w:hAnsi="Cambria" w:cs="Times New Roman"/>
          <w:sz w:val="21"/>
          <w:szCs w:val="21"/>
          <w:lang w:val="es-ES"/>
        </w:rPr>
        <w:t xml:space="preserve">; y </w:t>
      </w:r>
      <w:proofErr w:type="spellStart"/>
      <w:r w:rsidR="00A36456">
        <w:rPr>
          <w:rFonts w:ascii="Cambria" w:eastAsia="Calibri" w:hAnsi="Cambria" w:cs="Times New Roman"/>
          <w:sz w:val="21"/>
          <w:szCs w:val="21"/>
          <w:lang w:val="es-ES"/>
        </w:rPr>
        <w:t>Flávia</w:t>
      </w:r>
      <w:proofErr w:type="spellEnd"/>
      <w:r w:rsidR="00A36456">
        <w:rPr>
          <w:rFonts w:ascii="Cambria" w:eastAsia="Calibri" w:hAnsi="Cambria" w:cs="Times New Roman"/>
          <w:sz w:val="21"/>
          <w:szCs w:val="21"/>
          <w:lang w:val="es-ES"/>
        </w:rPr>
        <w:t xml:space="preserve"> </w:t>
      </w:r>
      <w:proofErr w:type="spellStart"/>
      <w:r w:rsidR="00A36456">
        <w:rPr>
          <w:rFonts w:ascii="Cambria" w:eastAsia="Calibri" w:hAnsi="Cambria" w:cs="Times New Roman"/>
          <w:sz w:val="21"/>
          <w:szCs w:val="21"/>
          <w:lang w:val="es-ES"/>
        </w:rPr>
        <w:t>Piovesan</w:t>
      </w:r>
      <w:proofErr w:type="spellEnd"/>
      <w:r w:rsidR="00A36456" w:rsidRPr="00A36456">
        <w:rPr>
          <w:rFonts w:ascii="Cambria" w:eastAsia="Calibri" w:hAnsi="Cambria" w:cs="Times New Roman"/>
          <w:sz w:val="21"/>
          <w:szCs w:val="21"/>
          <w:lang w:val="es-ES"/>
        </w:rPr>
        <w:t>.</w:t>
      </w:r>
    </w:p>
    <w:p w14:paraId="6D598350"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lang w:val="es-AR"/>
        </w:rPr>
      </w:pPr>
    </w:p>
    <w:p w14:paraId="1E0F7B8A"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lang w:val="es-AR"/>
        </w:rPr>
      </w:pPr>
    </w:p>
    <w:p w14:paraId="1ACA52E6" w14:textId="5E8ECB2E" w:rsidR="00B6504E" w:rsidRPr="00B6504E" w:rsidRDefault="00B6504E" w:rsidP="003E5EB9">
      <w:pPr>
        <w:spacing w:after="0" w:line="240" w:lineRule="auto"/>
        <w:contextualSpacing/>
        <w:jc w:val="both"/>
        <w:rPr>
          <w:rFonts w:ascii="Cambria" w:eastAsia="Calibri" w:hAnsi="Cambria" w:cs="Times New Roman"/>
          <w:sz w:val="21"/>
          <w:szCs w:val="21"/>
          <w:lang w:val="es-AR"/>
        </w:rPr>
      </w:pPr>
    </w:p>
    <w:p w14:paraId="5EDB0A62" w14:textId="77777777" w:rsidR="00B6504E" w:rsidRPr="00B6504E" w:rsidRDefault="00B6504E" w:rsidP="00B6504E">
      <w:pPr>
        <w:spacing w:after="0" w:line="240" w:lineRule="auto"/>
        <w:ind w:left="360"/>
        <w:contextualSpacing/>
        <w:jc w:val="both"/>
        <w:rPr>
          <w:rFonts w:ascii="Cambria" w:eastAsia="Calibri" w:hAnsi="Cambria" w:cs="Times New Roman"/>
          <w:sz w:val="21"/>
          <w:szCs w:val="21"/>
          <w:lang w:val="es-AR"/>
        </w:rPr>
      </w:pPr>
    </w:p>
    <w:p w14:paraId="142A40B9" w14:textId="77777777" w:rsidR="00B6504E" w:rsidRPr="00B6504E" w:rsidRDefault="00B6504E" w:rsidP="00B6504E">
      <w:pPr>
        <w:spacing w:after="0" w:line="240" w:lineRule="auto"/>
        <w:ind w:left="360"/>
        <w:contextualSpacing/>
        <w:jc w:val="center"/>
        <w:rPr>
          <w:rFonts w:ascii="Cambria" w:eastAsia="Calibri" w:hAnsi="Cambria" w:cs="Times New Roman"/>
          <w:sz w:val="21"/>
          <w:szCs w:val="21"/>
          <w:lang w:val="es-AR"/>
        </w:rPr>
      </w:pPr>
      <w:r w:rsidRPr="00B6504E">
        <w:rPr>
          <w:rFonts w:ascii="Cambria" w:eastAsia="Calibri" w:hAnsi="Cambria" w:cs="Times New Roman"/>
          <w:sz w:val="21"/>
          <w:szCs w:val="21"/>
          <w:lang w:val="es-AR"/>
        </w:rPr>
        <w:t xml:space="preserve">Paulo </w:t>
      </w:r>
      <w:proofErr w:type="spellStart"/>
      <w:r w:rsidRPr="00B6504E">
        <w:rPr>
          <w:rFonts w:ascii="Cambria" w:eastAsia="Calibri" w:hAnsi="Cambria" w:cs="Times New Roman"/>
          <w:sz w:val="21"/>
          <w:szCs w:val="21"/>
          <w:lang w:val="es-AR"/>
        </w:rPr>
        <w:t>Abrão</w:t>
      </w:r>
      <w:proofErr w:type="spellEnd"/>
    </w:p>
    <w:p w14:paraId="3401BAFF" w14:textId="77777777" w:rsidR="00B6504E" w:rsidRPr="00B6504E" w:rsidRDefault="00B6504E" w:rsidP="00B6504E">
      <w:pPr>
        <w:spacing w:after="0" w:line="240" w:lineRule="auto"/>
        <w:ind w:left="360"/>
        <w:contextualSpacing/>
        <w:jc w:val="center"/>
        <w:rPr>
          <w:rFonts w:ascii="Cambria" w:eastAsia="Calibri" w:hAnsi="Cambria" w:cs="Times New Roman"/>
          <w:sz w:val="21"/>
          <w:szCs w:val="21"/>
          <w:lang w:val="es-AR"/>
        </w:rPr>
      </w:pPr>
      <w:r w:rsidRPr="00B6504E">
        <w:rPr>
          <w:rFonts w:ascii="Cambria" w:eastAsia="Calibri" w:hAnsi="Cambria" w:cs="Times New Roman"/>
          <w:sz w:val="21"/>
          <w:szCs w:val="21"/>
          <w:lang w:val="es-AR"/>
        </w:rPr>
        <w:t>Secretario Ejecutivo</w:t>
      </w:r>
    </w:p>
    <w:p w14:paraId="6FBC5664" w14:textId="7DE28907" w:rsidR="00D81FCF" w:rsidRDefault="00D81FCF"/>
    <w:sectPr w:rsidR="00D81FCF" w:rsidSect="00D81FCF">
      <w:headerReference w:type="default" r:id="rId9"/>
      <w:footerReference w:type="default" r:id="rId10"/>
      <w:pgSz w:w="12240" w:h="15840"/>
      <w:pgMar w:top="1440" w:right="1440" w:bottom="1440" w:left="1440" w:header="720" w:footer="720" w:gutter="0"/>
      <w:pgNumType w:fmt="numberInDash"/>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989F7" w16cid:durableId="21292648"/>
  <w16cid:commentId w16cid:paraId="3A7C8462" w16cid:durableId="21292C3A"/>
  <w16cid:commentId w16cid:paraId="651271FA" w16cid:durableId="2128A4A3"/>
  <w16cid:commentId w16cid:paraId="6827CE57" w16cid:durableId="212927B9"/>
  <w16cid:commentId w16cid:paraId="1F5D09EA" w16cid:durableId="2128C2EC"/>
  <w16cid:commentId w16cid:paraId="24040648" w16cid:durableId="21292B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834F6" w14:textId="77777777" w:rsidR="00F654C0" w:rsidRDefault="00F654C0" w:rsidP="00B6504E">
      <w:pPr>
        <w:spacing w:after="0" w:line="240" w:lineRule="auto"/>
      </w:pPr>
      <w:r>
        <w:separator/>
      </w:r>
    </w:p>
  </w:endnote>
  <w:endnote w:type="continuationSeparator" w:id="0">
    <w:p w14:paraId="0AF3FA22" w14:textId="77777777" w:rsidR="00F654C0" w:rsidRDefault="00F654C0" w:rsidP="00B6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4D97" w14:textId="78B7EA99" w:rsidR="00DC43BB" w:rsidRPr="00E82941" w:rsidRDefault="00DC43BB" w:rsidP="00D81FCF">
    <w:pPr>
      <w:pStyle w:val="Footer"/>
      <w:tabs>
        <w:tab w:val="left" w:pos="4440"/>
      </w:tabs>
      <w:rPr>
        <w:rFonts w:ascii="Calibri Light" w:hAnsi="Calibri Light"/>
        <w:sz w:val="16"/>
      </w:rPr>
    </w:pPr>
    <w:r>
      <w:rPr>
        <w:rFonts w:ascii="Calibri Light" w:hAnsi="Calibri Light"/>
        <w:sz w:val="16"/>
      </w:rPr>
      <w:tab/>
    </w:r>
    <w:r>
      <w:rPr>
        <w:rFonts w:ascii="Calibri Light" w:hAnsi="Calibri Light"/>
        <w:sz w:val="16"/>
      </w:rPr>
      <w:tab/>
    </w:r>
    <w:r w:rsidRPr="00E82941">
      <w:rPr>
        <w:rFonts w:ascii="Calibri Light" w:hAnsi="Calibri Light"/>
        <w:sz w:val="16"/>
      </w:rPr>
      <w:fldChar w:fldCharType="begin"/>
    </w:r>
    <w:r w:rsidRPr="00E82941">
      <w:rPr>
        <w:rFonts w:ascii="Calibri Light" w:hAnsi="Calibri Light"/>
        <w:sz w:val="16"/>
      </w:rPr>
      <w:instrText xml:space="preserve"> PAGE   \* MERGEFORMAT </w:instrText>
    </w:r>
    <w:r w:rsidRPr="00E82941">
      <w:rPr>
        <w:rFonts w:ascii="Calibri Light" w:hAnsi="Calibri Light"/>
        <w:sz w:val="16"/>
      </w:rPr>
      <w:fldChar w:fldCharType="separate"/>
    </w:r>
    <w:r w:rsidR="0091240F">
      <w:rPr>
        <w:rFonts w:ascii="Calibri Light" w:hAnsi="Calibri Light"/>
        <w:noProof/>
        <w:sz w:val="16"/>
      </w:rPr>
      <w:t>- 9 -</w:t>
    </w:r>
    <w:r w:rsidRPr="00E82941">
      <w:rPr>
        <w:rFonts w:ascii="Calibri Light" w:hAnsi="Calibri Light"/>
        <w:noProof/>
        <w:sz w:val="16"/>
      </w:rPr>
      <w:fldChar w:fldCharType="end"/>
    </w:r>
  </w:p>
  <w:p w14:paraId="330BA00E" w14:textId="77777777" w:rsidR="00DC43BB" w:rsidRDefault="00DC43BB" w:rsidP="00D81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E29D7" w14:textId="77777777" w:rsidR="00F654C0" w:rsidRDefault="00F654C0" w:rsidP="00B6504E">
      <w:pPr>
        <w:spacing w:after="0" w:line="240" w:lineRule="auto"/>
      </w:pPr>
      <w:r>
        <w:separator/>
      </w:r>
    </w:p>
  </w:footnote>
  <w:footnote w:type="continuationSeparator" w:id="0">
    <w:p w14:paraId="182F0DF9" w14:textId="77777777" w:rsidR="00F654C0" w:rsidRDefault="00F654C0" w:rsidP="00B6504E">
      <w:pPr>
        <w:spacing w:after="0" w:line="240" w:lineRule="auto"/>
      </w:pPr>
      <w:r>
        <w:continuationSeparator/>
      </w:r>
    </w:p>
  </w:footnote>
  <w:footnote w:id="1">
    <w:p w14:paraId="7CE93BA3" w14:textId="77777777" w:rsidR="00DC43BB" w:rsidRPr="007475AE" w:rsidRDefault="00DC43BB" w:rsidP="007475AE">
      <w:pPr>
        <w:pStyle w:val="FootnoteText"/>
        <w:jc w:val="both"/>
        <w:rPr>
          <w:rFonts w:asciiTheme="majorHAnsi" w:hAnsiTheme="majorHAnsi" w:cstheme="majorHAnsi"/>
          <w:sz w:val="16"/>
          <w:szCs w:val="16"/>
        </w:rPr>
      </w:pPr>
      <w:r w:rsidRPr="007475AE">
        <w:rPr>
          <w:rStyle w:val="FootnoteReference"/>
          <w:rFonts w:asciiTheme="majorHAnsi" w:hAnsiTheme="majorHAnsi" w:cstheme="majorHAnsi"/>
          <w:sz w:val="16"/>
          <w:szCs w:val="16"/>
        </w:rPr>
        <w:footnoteRef/>
      </w:r>
      <w:r w:rsidRPr="007475AE">
        <w:rPr>
          <w:rFonts w:asciiTheme="majorHAnsi" w:hAnsiTheme="majorHAnsi" w:cstheme="majorHAnsi"/>
          <w:sz w:val="16"/>
          <w:szCs w:val="16"/>
        </w:rPr>
        <w:t xml:space="preserve"> ICC, </w:t>
      </w:r>
      <w:proofErr w:type="spellStart"/>
      <w:r w:rsidRPr="007475AE">
        <w:rPr>
          <w:rFonts w:asciiTheme="majorHAnsi" w:hAnsiTheme="majorHAnsi" w:cstheme="majorHAnsi"/>
          <w:sz w:val="16"/>
          <w:szCs w:val="16"/>
        </w:rPr>
        <w:t>Preliminary</w:t>
      </w:r>
      <w:proofErr w:type="spellEnd"/>
      <w:r w:rsidRPr="007475AE">
        <w:rPr>
          <w:rFonts w:asciiTheme="majorHAnsi" w:hAnsiTheme="majorHAnsi" w:cstheme="majorHAnsi"/>
          <w:sz w:val="16"/>
          <w:szCs w:val="16"/>
        </w:rPr>
        <w:t xml:space="preserve"> </w:t>
      </w:r>
      <w:proofErr w:type="spellStart"/>
      <w:r w:rsidRPr="007475AE">
        <w:rPr>
          <w:rFonts w:asciiTheme="majorHAnsi" w:hAnsiTheme="majorHAnsi" w:cstheme="majorHAnsi"/>
          <w:sz w:val="16"/>
          <w:szCs w:val="16"/>
        </w:rPr>
        <w:t>Examination</w:t>
      </w:r>
      <w:proofErr w:type="spellEnd"/>
      <w:r w:rsidRPr="007475AE">
        <w:rPr>
          <w:rFonts w:asciiTheme="majorHAnsi" w:hAnsiTheme="majorHAnsi" w:cstheme="majorHAnsi"/>
          <w:sz w:val="16"/>
          <w:szCs w:val="16"/>
        </w:rPr>
        <w:t xml:space="preserve"> – Venezuela. Disponible en: https://www.icc-cpi.int/venezuela.</w:t>
      </w:r>
    </w:p>
  </w:footnote>
  <w:footnote w:id="2">
    <w:p w14:paraId="1AA1CC9C" w14:textId="77777777" w:rsidR="00DC43BB" w:rsidRPr="007475AE" w:rsidRDefault="00DC43BB" w:rsidP="007475AE">
      <w:pPr>
        <w:pStyle w:val="FootnoteText"/>
        <w:jc w:val="both"/>
      </w:pPr>
      <w:r w:rsidRPr="007475AE">
        <w:rPr>
          <w:rStyle w:val="FootnoteReference"/>
          <w:rFonts w:asciiTheme="majorHAnsi" w:hAnsiTheme="majorHAnsi" w:cstheme="majorHAnsi"/>
          <w:sz w:val="16"/>
          <w:szCs w:val="16"/>
        </w:rPr>
        <w:footnoteRef/>
      </w:r>
      <w:r w:rsidRPr="007475AE">
        <w:rPr>
          <w:rFonts w:asciiTheme="majorHAnsi" w:hAnsiTheme="majorHAnsi" w:cstheme="majorHAnsi"/>
          <w:sz w:val="16"/>
          <w:szCs w:val="16"/>
        </w:rPr>
        <w:t xml:space="preserve"> </w:t>
      </w:r>
      <w:proofErr w:type="spellStart"/>
      <w:r w:rsidRPr="007475AE">
        <w:rPr>
          <w:rFonts w:asciiTheme="majorHAnsi" w:hAnsiTheme="majorHAnsi" w:cstheme="majorHAnsi"/>
          <w:sz w:val="16"/>
          <w:szCs w:val="16"/>
        </w:rPr>
        <w:t>Infobae</w:t>
      </w:r>
      <w:proofErr w:type="spellEnd"/>
      <w:r w:rsidRPr="007475AE">
        <w:rPr>
          <w:rFonts w:asciiTheme="majorHAnsi" w:hAnsiTheme="majorHAnsi" w:cstheme="majorHAnsi"/>
          <w:sz w:val="16"/>
          <w:szCs w:val="16"/>
        </w:rPr>
        <w:t xml:space="preserve">, La abogada Tamara </w:t>
      </w:r>
      <w:proofErr w:type="spellStart"/>
      <w:r w:rsidRPr="007475AE">
        <w:rPr>
          <w:rFonts w:asciiTheme="majorHAnsi" w:hAnsiTheme="majorHAnsi" w:cstheme="majorHAnsi"/>
          <w:sz w:val="16"/>
          <w:szCs w:val="16"/>
        </w:rPr>
        <w:t>Suju</w:t>
      </w:r>
      <w:proofErr w:type="spellEnd"/>
      <w:r w:rsidRPr="007475AE">
        <w:rPr>
          <w:rFonts w:asciiTheme="majorHAnsi" w:hAnsiTheme="majorHAnsi" w:cstheme="majorHAnsi"/>
          <w:sz w:val="16"/>
          <w:szCs w:val="16"/>
        </w:rPr>
        <w:t xml:space="preserve"> denunció ante la OEA las violaciones a los DDHH en Venezuela: "Al capitán Rafael Acosta Arévalo lo asesinaron en cámara lenta", 17 de julio de 2019. Disponible en: </w:t>
      </w:r>
      <w:hyperlink r:id="rId1" w:history="1">
        <w:r w:rsidRPr="007475AE">
          <w:rPr>
            <w:rStyle w:val="Hyperlink"/>
            <w:rFonts w:asciiTheme="majorHAnsi" w:hAnsiTheme="majorHAnsi" w:cstheme="majorHAnsi"/>
            <w:sz w:val="16"/>
            <w:szCs w:val="16"/>
          </w:rPr>
          <w:t>https://www.infobae.com/america/venezuela/2019/07/17/la-oea-se-reune-para-abordar-las-violaciones-de-los-derechos-humanos-en-venezuela/</w:t>
        </w:r>
      </w:hyperlink>
      <w:r>
        <w:rPr>
          <w:rFonts w:asciiTheme="majorHAnsi" w:hAnsiTheme="majorHAnsi" w:cstheme="majorHAnsi"/>
          <w:sz w:val="16"/>
          <w:szCs w:val="16"/>
        </w:rPr>
        <w:t>.</w:t>
      </w:r>
    </w:p>
  </w:footnote>
  <w:footnote w:id="3">
    <w:p w14:paraId="4C3341D5" w14:textId="77777777" w:rsidR="00DC43BB" w:rsidRPr="007475AE" w:rsidRDefault="00DC43BB" w:rsidP="007475AE">
      <w:pPr>
        <w:pStyle w:val="FootnoteText"/>
        <w:jc w:val="both"/>
        <w:rPr>
          <w:rFonts w:asciiTheme="majorHAnsi" w:hAnsiTheme="majorHAnsi" w:cstheme="majorHAnsi"/>
          <w:sz w:val="16"/>
          <w:szCs w:val="16"/>
        </w:rPr>
      </w:pPr>
      <w:r w:rsidRPr="007475AE">
        <w:rPr>
          <w:rStyle w:val="FootnoteReference"/>
          <w:rFonts w:asciiTheme="majorHAnsi" w:hAnsiTheme="majorHAnsi" w:cstheme="majorHAnsi"/>
          <w:sz w:val="16"/>
          <w:szCs w:val="16"/>
        </w:rPr>
        <w:footnoteRef/>
      </w:r>
      <w:r w:rsidRPr="007475AE">
        <w:rPr>
          <w:rFonts w:asciiTheme="majorHAnsi" w:hAnsiTheme="majorHAnsi" w:cstheme="majorHAnsi"/>
          <w:sz w:val="16"/>
          <w:szCs w:val="16"/>
        </w:rPr>
        <w:t xml:space="preserve"> El Carabobeño, Tamara </w:t>
      </w:r>
      <w:proofErr w:type="spellStart"/>
      <w:r w:rsidRPr="007475AE">
        <w:rPr>
          <w:rFonts w:asciiTheme="majorHAnsi" w:hAnsiTheme="majorHAnsi" w:cstheme="majorHAnsi"/>
          <w:sz w:val="16"/>
          <w:szCs w:val="16"/>
        </w:rPr>
        <w:t>Suju</w:t>
      </w:r>
      <w:proofErr w:type="spellEnd"/>
      <w:r w:rsidRPr="007475AE">
        <w:rPr>
          <w:rFonts w:asciiTheme="majorHAnsi" w:hAnsiTheme="majorHAnsi" w:cstheme="majorHAnsi"/>
          <w:sz w:val="16"/>
          <w:szCs w:val="16"/>
        </w:rPr>
        <w:t xml:space="preserve"> enumeró lo que Bachelet no dijo de la grave situación de Venezuela, 9 de septiembre de 2019. Disponible en: https://www.el-carabobeno.com/tamara-suju-enumero-lo-que-bachelet-no-dijo-de-la-grave-situacion-de-venezuela/.</w:t>
      </w:r>
    </w:p>
  </w:footnote>
  <w:footnote w:id="4">
    <w:p w14:paraId="657154F4" w14:textId="77777777" w:rsidR="00DC43BB" w:rsidRPr="002112DF" w:rsidRDefault="00DC43BB" w:rsidP="002112DF">
      <w:pPr>
        <w:pStyle w:val="FootnoteText"/>
        <w:jc w:val="both"/>
        <w:rPr>
          <w:rFonts w:asciiTheme="majorHAnsi" w:hAnsiTheme="majorHAnsi" w:cstheme="majorHAnsi"/>
          <w:sz w:val="16"/>
          <w:szCs w:val="16"/>
        </w:rPr>
      </w:pPr>
      <w:r w:rsidRPr="002112DF">
        <w:rPr>
          <w:rStyle w:val="FootnoteReference"/>
          <w:rFonts w:asciiTheme="majorHAnsi" w:hAnsiTheme="majorHAnsi" w:cstheme="majorHAnsi"/>
          <w:sz w:val="16"/>
          <w:szCs w:val="16"/>
        </w:rPr>
        <w:footnoteRef/>
      </w:r>
      <w:r w:rsidRPr="002112DF">
        <w:rPr>
          <w:rFonts w:asciiTheme="majorHAnsi" w:hAnsiTheme="majorHAnsi" w:cstheme="majorHAnsi"/>
          <w:sz w:val="16"/>
          <w:szCs w:val="16"/>
        </w:rPr>
        <w:t xml:space="preserve"> OEA, OEA e Instituto Casla crearán un sistema de alerta temprana sobre crímenes de lesa humanidad, 20 de marzo de 2019. Disponible en: http://www.oas.org/es/centro_noticias/fotonoticia.asp?sCodigo=FNC-96115.</w:t>
      </w:r>
    </w:p>
  </w:footnote>
  <w:footnote w:id="5">
    <w:p w14:paraId="47D506E8" w14:textId="77777777" w:rsidR="00DC43BB" w:rsidRDefault="00DC43BB" w:rsidP="00B6504E">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CIDH, Informe de país. Institucionalidad democrática, Estado de derecho y derechos humanos en Venezuela, 31 de diciembre de 2017, párr. 470. Disponible en: </w:t>
      </w:r>
      <w:hyperlink r:id="rId2" w:history="1">
        <w:r>
          <w:rPr>
            <w:rStyle w:val="Hyperlink"/>
            <w:rFonts w:ascii="Calibri Light" w:hAnsi="Calibri Light"/>
            <w:sz w:val="16"/>
            <w:szCs w:val="16"/>
            <w:lang w:val="es-PE"/>
          </w:rPr>
          <w:t>http://www.oas.org/es/cidh/informes/pdfs/Venezuela2018-es.pdf</w:t>
        </w:r>
      </w:hyperlink>
      <w:r>
        <w:rPr>
          <w:rFonts w:ascii="Calibri Light" w:hAnsi="Calibri Light"/>
          <w:sz w:val="16"/>
          <w:szCs w:val="16"/>
          <w:lang w:val="es-PE"/>
        </w:rPr>
        <w:t xml:space="preserve"> </w:t>
      </w:r>
    </w:p>
  </w:footnote>
  <w:footnote w:id="6">
    <w:p w14:paraId="5276CC32" w14:textId="77777777" w:rsidR="00DC43BB" w:rsidRDefault="00DC43BB" w:rsidP="00B6504E">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w:t>
      </w:r>
      <w:r>
        <w:rPr>
          <w:rFonts w:ascii="Calibri Light" w:eastAsia="Times New Roman" w:hAnsi="Calibri Light"/>
          <w:sz w:val="16"/>
          <w:szCs w:val="16"/>
          <w:lang w:val="es-MX"/>
        </w:rPr>
        <w:t xml:space="preserve">Esta situación se agravó al punto de producirse una alteración del orden constitucional con las Sentencias Nº 155 y 156 emitidas por el TSJ el 28 y 29 de marzo, respectivamente, en las cuales levantó las inmunidades parlamentarias a los diputados de la AN, estableció que sus actos constituyen “traición a la patria”, otorgó al Poder Ejecutivo amplios poderes discrecionales, y se arrogó competencias del Poder Legislativo. Como señaló la CIDH en su momento, “tales medidas constituyeron una usurpación de las funciones del Poder Legislativo por parte de los Poderes Judicial y Ejecutivo, así como una anulación de facto del voto popular mediante el cual fueron elegidos los diputados” </w:t>
      </w:r>
      <w:r>
        <w:rPr>
          <w:rFonts w:ascii="Calibri Light" w:hAnsi="Calibri Light"/>
          <w:sz w:val="16"/>
          <w:szCs w:val="16"/>
          <w:lang w:val="es-MX"/>
        </w:rPr>
        <w:t>CIDH, Comunicado de Prensa No. 041/17, CIDH condena decisiones del Tribunal Supremo de Justicia y la alteración del orden constitucional y democrático en Venezuela, 31 de marzo de 2017.</w:t>
      </w:r>
    </w:p>
  </w:footnote>
  <w:footnote w:id="7">
    <w:p w14:paraId="328472CE" w14:textId="77777777" w:rsidR="00DC43BB" w:rsidRDefault="00DC43BB" w:rsidP="00B6504E">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w:t>
      </w:r>
      <w:r>
        <w:rPr>
          <w:rFonts w:ascii="Calibri Light" w:hAnsi="Calibri Light"/>
          <w:sz w:val="16"/>
          <w:szCs w:val="16"/>
          <w:lang w:val="es-PE"/>
        </w:rPr>
        <w:t>CIDH, Informe de país. Institucionalidad democrática, Estado de derecho y derechos humanos en Venezuela, 31 de diciembre de 2017, párr. 165.</w:t>
      </w:r>
    </w:p>
  </w:footnote>
  <w:footnote w:id="8">
    <w:p w14:paraId="1E351E1B" w14:textId="77777777" w:rsidR="00DC43BB" w:rsidRDefault="00DC43BB" w:rsidP="00B6504E">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CIDH, Informe de país. Institucionalidad democrática, Estado de derecho y derechos humanos en Venezuela, 31 de diciembre de 2017, párr. 165. Disponible en: </w:t>
      </w:r>
      <w:hyperlink r:id="rId3" w:history="1">
        <w:r>
          <w:rPr>
            <w:rStyle w:val="Hyperlink"/>
            <w:rFonts w:ascii="Calibri Light" w:hAnsi="Calibri Light"/>
            <w:sz w:val="16"/>
            <w:szCs w:val="16"/>
            <w:lang w:val="es-PE"/>
          </w:rPr>
          <w:t>http://www.oas.org/es/cidh/informes/pdfs/Venezuela2018-es.pdf</w:t>
        </w:r>
      </w:hyperlink>
      <w:r>
        <w:rPr>
          <w:rFonts w:ascii="Calibri Light" w:hAnsi="Calibri Light"/>
          <w:sz w:val="16"/>
          <w:szCs w:val="16"/>
          <w:lang w:val="es-PE"/>
        </w:rPr>
        <w:t xml:space="preserve"> </w:t>
      </w:r>
    </w:p>
  </w:footnote>
  <w:footnote w:id="9">
    <w:p w14:paraId="76D0C068" w14:textId="77777777" w:rsidR="00DC43BB" w:rsidRDefault="00DC43BB" w:rsidP="00B6504E">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CIDH, Resolución 2/2018 “Migración Forzada de Personas Venezolanas”, aprobada en Bogotá, Colombia en el marco de su 167 período de sesiones, 2 de marzo de 2018. Disponible en: http://www.oas.org/es/cidh/decisiones/pdf/Resolucion-2-18-es.pdf</w:t>
      </w:r>
    </w:p>
  </w:footnote>
  <w:footnote w:id="10">
    <w:p w14:paraId="41724460" w14:textId="77777777" w:rsidR="00DC43BB" w:rsidRDefault="00DC43BB" w:rsidP="00B6504E">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CIDH, CIDH advierte sobre la falta de condiciones para la realización de elecciones libres y justas en Venezuela, 18 de mayo de 2018. Disponible en: http://www.oas.org/es/cidh/prensa/comunicados/2018/112.asp</w:t>
      </w:r>
    </w:p>
  </w:footnote>
  <w:footnote w:id="11">
    <w:p w14:paraId="57B5F49C" w14:textId="77777777" w:rsidR="00DC43BB" w:rsidRDefault="00DC43BB" w:rsidP="00B6504E">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CIDH, </w:t>
      </w:r>
      <w:r w:rsidRPr="00B0510C">
        <w:rPr>
          <w:rFonts w:ascii="Calibri Light" w:hAnsi="Calibri Light"/>
          <w:sz w:val="16"/>
          <w:szCs w:val="16"/>
          <w:lang w:val="es-MX"/>
        </w:rPr>
        <w:t xml:space="preserve">Venezuela: el sistema de salud en crisis, dicen expertos y expertas de derechos humanos, </w:t>
      </w:r>
      <w:r>
        <w:rPr>
          <w:rFonts w:ascii="Calibri Light" w:hAnsi="Calibri Light"/>
          <w:sz w:val="16"/>
          <w:szCs w:val="16"/>
          <w:lang w:val="es-MX"/>
        </w:rPr>
        <w:t>1 de octubre de 2018. Disponible en: http://www.oas.org/es/cidh/prensa/comunicados/2018/215.asp</w:t>
      </w:r>
    </w:p>
  </w:footnote>
  <w:footnote w:id="12">
    <w:p w14:paraId="7A75E76D" w14:textId="77777777" w:rsidR="00DC43BB" w:rsidRDefault="00DC43BB" w:rsidP="00B6504E">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CIDH, Ante la asunción de un nuevo mandato presidencial, la CIDH alerta sobre la profundización del debilitamiento del Estado de Derecho en Venezuela, 9 de enero de 2019. Disponible en: http://www.oas.org/es/cidh/prensa/comunicados/2019/005.asp</w:t>
      </w:r>
    </w:p>
  </w:footnote>
  <w:footnote w:id="13">
    <w:p w14:paraId="183C29E0" w14:textId="77777777" w:rsidR="00DC43BB" w:rsidRDefault="00DC43BB" w:rsidP="00B6504E">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OEA, Consejo Permanente de la OEA acuerda "no reconocer la legitimidad del período del régimen de Nicolás Maduro", 10 de enero de 2019. Disponible en: </w:t>
      </w:r>
      <w:hyperlink r:id="rId4" w:history="1">
        <w:r>
          <w:rPr>
            <w:rStyle w:val="Hyperlink"/>
            <w:rFonts w:ascii="Calibri Light" w:hAnsi="Calibri Light"/>
            <w:sz w:val="16"/>
            <w:szCs w:val="16"/>
            <w:lang w:val="es-PE"/>
          </w:rPr>
          <w:t>http://www.oas.org/es/centro_noticias/comunicado_prensa.asp?sCodigo=C-001/19</w:t>
        </w:r>
      </w:hyperlink>
      <w:r>
        <w:rPr>
          <w:rFonts w:ascii="Calibri Light" w:hAnsi="Calibri Light"/>
          <w:sz w:val="16"/>
          <w:szCs w:val="16"/>
          <w:lang w:val="es-PE"/>
        </w:rPr>
        <w:t xml:space="preserve"> </w:t>
      </w:r>
    </w:p>
  </w:footnote>
  <w:footnote w:id="14">
    <w:p w14:paraId="571F31CB" w14:textId="77777777" w:rsidR="00DC43BB" w:rsidRDefault="00DC43BB" w:rsidP="00B6504E">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CIDH, CIDH llama a la República de Venezuela a garantizar el derecho a la protesta y a la manifestación pública, 23 de enero de 2019. Disponible en: http://www.oas.org/es/cidh/prensa/comunicados/2019/012.asp</w:t>
      </w:r>
    </w:p>
  </w:footnote>
  <w:footnote w:id="15">
    <w:p w14:paraId="62C61428" w14:textId="77777777" w:rsidR="00DC43BB" w:rsidRDefault="00DC43BB" w:rsidP="00B6504E">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CIDH, CIDH condena muertes en protestas y llama a las instituciones del Estado a garantizar los derechos humanos de la población venezolana, 25 de enero de 2019. Disponible en: </w:t>
      </w:r>
      <w:hyperlink r:id="rId5" w:history="1">
        <w:r>
          <w:rPr>
            <w:rStyle w:val="Hyperlink"/>
            <w:rFonts w:ascii="Calibri Light" w:hAnsi="Calibri Light"/>
            <w:sz w:val="16"/>
            <w:szCs w:val="16"/>
            <w:lang w:val="es-PE"/>
          </w:rPr>
          <w:t>http://www.oas.org/es/cidh/prensa/comunicados/2019/015.asp</w:t>
        </w:r>
      </w:hyperlink>
      <w:r>
        <w:rPr>
          <w:rFonts w:ascii="Calibri Light" w:hAnsi="Calibri Light"/>
          <w:sz w:val="16"/>
          <w:szCs w:val="16"/>
          <w:lang w:val="es-PE"/>
        </w:rPr>
        <w:t xml:space="preserve"> </w:t>
      </w:r>
    </w:p>
  </w:footnote>
  <w:footnote w:id="16">
    <w:p w14:paraId="64003372" w14:textId="77777777" w:rsidR="00DC43BB" w:rsidRDefault="00DC43BB" w:rsidP="00B6504E">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CIDH, CIDH manifiesta su alarma ante las detenciones en el contexto de las protestas en Venezuela, 1 de febrero de 2019. Disponible en: </w:t>
      </w:r>
      <w:hyperlink r:id="rId6" w:history="1">
        <w:r>
          <w:rPr>
            <w:rStyle w:val="Hyperlink"/>
            <w:rFonts w:ascii="Calibri Light" w:hAnsi="Calibri Light"/>
            <w:sz w:val="16"/>
            <w:szCs w:val="16"/>
            <w:lang w:val="es-PE"/>
          </w:rPr>
          <w:t>http://www.oas.org/es/cidh/prensa/comunicados/2019/022.asp</w:t>
        </w:r>
      </w:hyperlink>
      <w:r>
        <w:rPr>
          <w:rFonts w:ascii="Calibri Light" w:hAnsi="Calibri Light"/>
          <w:sz w:val="16"/>
          <w:szCs w:val="16"/>
          <w:lang w:val="es-PE"/>
        </w:rPr>
        <w:t xml:space="preserve"> </w:t>
      </w:r>
    </w:p>
  </w:footnote>
  <w:footnote w:id="17">
    <w:p w14:paraId="76C29259" w14:textId="77777777" w:rsidR="00DC43BB" w:rsidRDefault="00DC43BB" w:rsidP="00B6504E">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CIDH, CIDH expresa su preocupación por continuo hostigamiento contra defensoras y defensores de derechos humanos en Venezuela, 22 de febrero de 2019. Disponible en: </w:t>
      </w:r>
      <w:hyperlink r:id="rId7" w:history="1">
        <w:r>
          <w:rPr>
            <w:rStyle w:val="Hyperlink"/>
            <w:rFonts w:ascii="Calibri Light" w:hAnsi="Calibri Light"/>
            <w:sz w:val="16"/>
            <w:szCs w:val="16"/>
            <w:lang w:val="es-PE"/>
          </w:rPr>
          <w:t>http://www.oas.org/es/cidh/prensa/comunicados/2019/040.asp</w:t>
        </w:r>
      </w:hyperlink>
      <w:r>
        <w:rPr>
          <w:rFonts w:ascii="Calibri Light" w:hAnsi="Calibri Light"/>
          <w:sz w:val="16"/>
          <w:szCs w:val="16"/>
          <w:lang w:val="es-PE"/>
        </w:rPr>
        <w:t xml:space="preserve"> </w:t>
      </w:r>
    </w:p>
  </w:footnote>
  <w:footnote w:id="18">
    <w:p w14:paraId="21755CCA" w14:textId="77777777" w:rsidR="00DC43BB" w:rsidRPr="00065BA6" w:rsidRDefault="00DC43BB" w:rsidP="00B6504E">
      <w:pPr>
        <w:pStyle w:val="Heading1"/>
        <w:shd w:val="clear" w:color="auto" w:fill="FFFFFF"/>
        <w:spacing w:before="0"/>
        <w:jc w:val="both"/>
        <w:rPr>
          <w:color w:val="auto"/>
          <w:sz w:val="29"/>
          <w:szCs w:val="29"/>
          <w:lang w:val="es-MX"/>
        </w:rPr>
      </w:pPr>
      <w:r w:rsidRPr="00B0510C">
        <w:rPr>
          <w:rStyle w:val="FootnoteReference"/>
          <w:rFonts w:eastAsia="Calibri"/>
          <w:bCs/>
          <w:color w:val="auto"/>
          <w:sz w:val="16"/>
          <w:szCs w:val="16"/>
        </w:rPr>
        <w:footnoteRef/>
      </w:r>
      <w:r w:rsidRPr="00B0510C">
        <w:rPr>
          <w:rStyle w:val="FootnoteReference"/>
          <w:rFonts w:eastAsia="Calibri"/>
          <w:bCs/>
          <w:color w:val="auto"/>
          <w:sz w:val="16"/>
          <w:szCs w:val="16"/>
          <w:lang w:val="es-MX"/>
        </w:rPr>
        <w:t xml:space="preserve"> </w:t>
      </w:r>
      <w:r w:rsidRPr="00B0510C">
        <w:rPr>
          <w:rFonts w:eastAsia="Calibri"/>
          <w:bCs/>
          <w:color w:val="auto"/>
          <w:sz w:val="16"/>
          <w:szCs w:val="16"/>
          <w:lang w:val="es-PE"/>
        </w:rPr>
        <w:t>CIDH, CIDH y REDESCA condenan hechos de represión violenta en Venezuela y urgen al Estado venezolano a garantizar los derechos humanos de la población frente a la crisis política, económica y social, 1 de marzo de 2019.</w:t>
      </w:r>
      <w:r>
        <w:rPr>
          <w:rFonts w:eastAsia="Calibri"/>
          <w:bCs/>
          <w:color w:val="auto"/>
          <w:sz w:val="16"/>
          <w:szCs w:val="16"/>
          <w:lang w:val="es-PE"/>
        </w:rPr>
        <w:t xml:space="preserve"> Disponible en: </w:t>
      </w:r>
      <w:r w:rsidRPr="001B57DD">
        <w:rPr>
          <w:rFonts w:eastAsia="Calibri"/>
          <w:bCs/>
          <w:color w:val="auto"/>
          <w:sz w:val="16"/>
          <w:szCs w:val="16"/>
          <w:lang w:val="es-PE"/>
        </w:rPr>
        <w:t>http://www.oas.org/es/cidh/prensa/comunicados/2019/022.asp</w:t>
      </w:r>
      <w:r>
        <w:rPr>
          <w:rFonts w:eastAsia="Calibri"/>
          <w:bCs/>
          <w:color w:val="auto"/>
          <w:sz w:val="16"/>
          <w:szCs w:val="16"/>
          <w:lang w:val="es-PE"/>
        </w:rPr>
        <w:t>.</w:t>
      </w:r>
    </w:p>
  </w:footnote>
  <w:footnote w:id="19">
    <w:p w14:paraId="2E757FFC" w14:textId="77777777" w:rsidR="00DC43BB" w:rsidRPr="004D7495" w:rsidRDefault="00DC43BB" w:rsidP="00B6504E">
      <w:pPr>
        <w:pStyle w:val="FootnoteText"/>
        <w:jc w:val="both"/>
        <w:rPr>
          <w:rFonts w:asciiTheme="majorHAnsi" w:hAnsiTheme="majorHAnsi" w:cstheme="majorHAnsi"/>
          <w:sz w:val="16"/>
          <w:szCs w:val="16"/>
        </w:rPr>
      </w:pPr>
      <w:r w:rsidRPr="004D7495">
        <w:rPr>
          <w:rStyle w:val="FootnoteReference"/>
          <w:rFonts w:asciiTheme="majorHAnsi" w:hAnsiTheme="majorHAnsi" w:cstheme="majorHAnsi"/>
          <w:sz w:val="16"/>
          <w:szCs w:val="16"/>
        </w:rPr>
        <w:footnoteRef/>
      </w:r>
      <w:r w:rsidRPr="004D7495">
        <w:rPr>
          <w:rFonts w:asciiTheme="majorHAnsi" w:hAnsiTheme="majorHAnsi" w:cstheme="majorHAnsi"/>
          <w:sz w:val="16"/>
          <w:szCs w:val="16"/>
        </w:rPr>
        <w:t xml:space="preserve"> CIDH, Expertos en Libertad de Expresión de UN y CIDH Expresan Alarma por Expansión de Mecanismos de Censura que se Aplican en Venezuela, 8 de marzo de 2019. Disponible en: http://www.oas.org/es/cidh/expresion/showarticle.asp?artID=1133&amp;lID=2.</w:t>
      </w:r>
    </w:p>
  </w:footnote>
  <w:footnote w:id="20">
    <w:p w14:paraId="6CBBAEC6" w14:textId="77777777" w:rsidR="00DC43BB" w:rsidRPr="00172B8D" w:rsidRDefault="00DC43BB" w:rsidP="00172B8D">
      <w:pPr>
        <w:pStyle w:val="FootnoteText"/>
        <w:jc w:val="both"/>
        <w:rPr>
          <w:rFonts w:asciiTheme="majorHAnsi" w:hAnsiTheme="majorHAnsi" w:cstheme="majorHAnsi"/>
          <w:sz w:val="16"/>
          <w:szCs w:val="16"/>
        </w:rPr>
      </w:pPr>
      <w:r w:rsidRPr="00172B8D">
        <w:rPr>
          <w:rStyle w:val="FootnoteReference"/>
          <w:rFonts w:asciiTheme="majorHAnsi" w:hAnsiTheme="majorHAnsi" w:cstheme="majorHAnsi"/>
          <w:sz w:val="16"/>
          <w:szCs w:val="16"/>
        </w:rPr>
        <w:footnoteRef/>
      </w:r>
      <w:r w:rsidRPr="00172B8D">
        <w:rPr>
          <w:rFonts w:asciiTheme="majorHAnsi" w:hAnsiTheme="majorHAnsi" w:cstheme="majorHAnsi"/>
          <w:sz w:val="16"/>
          <w:szCs w:val="16"/>
        </w:rPr>
        <w:t xml:space="preserve"> CIDH, CIDH observa persistencia en afectación a los derechos humanos en Venezuela, 5 de abril de 2019. Disponible en: http://www.oas.org/es/cidh/prensa/comunicados/2019/091.asp.</w:t>
      </w:r>
    </w:p>
  </w:footnote>
  <w:footnote w:id="21">
    <w:p w14:paraId="772CE606" w14:textId="77777777" w:rsidR="00DC43BB" w:rsidRPr="00172B8D" w:rsidRDefault="00DC43BB" w:rsidP="00172B8D">
      <w:pPr>
        <w:pStyle w:val="FootnoteText"/>
        <w:jc w:val="both"/>
        <w:rPr>
          <w:rFonts w:asciiTheme="majorHAnsi" w:hAnsiTheme="majorHAnsi" w:cstheme="majorHAnsi"/>
          <w:sz w:val="16"/>
          <w:szCs w:val="16"/>
        </w:rPr>
      </w:pPr>
      <w:r w:rsidRPr="00172B8D">
        <w:rPr>
          <w:rStyle w:val="FootnoteReference"/>
          <w:rFonts w:asciiTheme="majorHAnsi" w:hAnsiTheme="majorHAnsi" w:cstheme="majorHAnsi"/>
          <w:sz w:val="16"/>
          <w:szCs w:val="16"/>
        </w:rPr>
        <w:footnoteRef/>
      </w:r>
      <w:r w:rsidRPr="00172B8D">
        <w:rPr>
          <w:rFonts w:asciiTheme="majorHAnsi" w:hAnsiTheme="majorHAnsi" w:cstheme="majorHAnsi"/>
          <w:sz w:val="16"/>
          <w:szCs w:val="16"/>
        </w:rPr>
        <w:t xml:space="preserve"> CIDH, CIDH condena el recrudecimiento de ataques contra los miembros de la Asamblea Nacional de Venezuela, 14 de mayo de 2019. Disponible en: http://www.oas.org/es/cidh/prensa/comunicados/2019/115.asp.</w:t>
      </w:r>
    </w:p>
  </w:footnote>
  <w:footnote w:id="22">
    <w:p w14:paraId="10817D60" w14:textId="77777777" w:rsidR="00DC43BB" w:rsidRPr="00515453" w:rsidRDefault="00DC43BB" w:rsidP="00515453">
      <w:pPr>
        <w:pStyle w:val="FootnoteText"/>
        <w:jc w:val="both"/>
        <w:rPr>
          <w:rFonts w:asciiTheme="majorHAnsi" w:hAnsiTheme="majorHAnsi" w:cstheme="majorHAnsi"/>
          <w:sz w:val="16"/>
          <w:szCs w:val="16"/>
        </w:rPr>
      </w:pPr>
      <w:r w:rsidRPr="00515453">
        <w:rPr>
          <w:rStyle w:val="FootnoteReference"/>
          <w:rFonts w:asciiTheme="majorHAnsi" w:hAnsiTheme="majorHAnsi" w:cstheme="majorHAnsi"/>
          <w:sz w:val="16"/>
          <w:szCs w:val="16"/>
        </w:rPr>
        <w:footnoteRef/>
      </w:r>
      <w:r w:rsidRPr="00515453">
        <w:rPr>
          <w:rFonts w:asciiTheme="majorHAnsi" w:hAnsiTheme="majorHAnsi" w:cstheme="majorHAnsi"/>
          <w:sz w:val="16"/>
          <w:szCs w:val="16"/>
        </w:rPr>
        <w:t xml:space="preserve"> CIDH, CIDH expresa alarma y preocupación por la muerte del Capitán Rafael Acosta Arévalo bajo custodia en Venezuela, 3 de julio de 2019. Disponible en: http://www.oas.org/es/cidh/prensa/comunicados/2019/167.asp.</w:t>
      </w:r>
    </w:p>
  </w:footnote>
  <w:footnote w:id="23">
    <w:p w14:paraId="52B395D4" w14:textId="77777777" w:rsidR="00DC43BB" w:rsidRPr="00746902" w:rsidRDefault="00DC43BB" w:rsidP="00B6504E">
      <w:pPr>
        <w:pStyle w:val="FootnoteText"/>
        <w:jc w:val="both"/>
        <w:rPr>
          <w:rFonts w:ascii="Calibri Light" w:hAnsi="Calibri Light"/>
          <w:sz w:val="16"/>
          <w:szCs w:val="16"/>
          <w:lang w:val="es-MX"/>
        </w:rPr>
      </w:pPr>
      <w:r w:rsidRPr="00746902">
        <w:rPr>
          <w:rStyle w:val="FootnoteReference"/>
          <w:rFonts w:ascii="Calibri Light" w:hAnsi="Calibri Light"/>
          <w:sz w:val="16"/>
          <w:szCs w:val="16"/>
        </w:rPr>
        <w:footnoteRef/>
      </w:r>
      <w:r w:rsidRPr="00746902">
        <w:rPr>
          <w:rFonts w:ascii="Calibri Light" w:hAnsi="Calibri Light"/>
          <w:sz w:val="16"/>
          <w:szCs w:val="16"/>
          <w:lang w:val="es-MX"/>
        </w:rPr>
        <w:t xml:space="preserve"> Ver al respecto, Corte IDH. Asunto Pobladores de las Comunidades del Pueblo Indígena </w:t>
      </w:r>
      <w:proofErr w:type="spellStart"/>
      <w:r w:rsidRPr="00746902">
        <w:rPr>
          <w:rFonts w:ascii="Calibri Light" w:hAnsi="Calibri Light"/>
          <w:sz w:val="16"/>
          <w:szCs w:val="16"/>
          <w:lang w:val="es-MX"/>
        </w:rPr>
        <w:t>Miskitu</w:t>
      </w:r>
      <w:proofErr w:type="spellEnd"/>
      <w:r w:rsidRPr="00746902">
        <w:rPr>
          <w:rFonts w:ascii="Calibri Light" w:hAnsi="Calibri Light"/>
          <w:sz w:val="16"/>
          <w:szCs w:val="16"/>
          <w:lang w:val="es-MX"/>
        </w:rPr>
        <w:t xml:space="preserve"> de la Región Costa Caribe Norte respecto de Nicaragua. Ampliación de Medidas Provisionales. Resolución de la Corte Interamericana de Derechos Humanos de 23 de agosto de 2018, considerando 13; Corte IDH, </w:t>
      </w:r>
      <w:r w:rsidRPr="00746902">
        <w:rPr>
          <w:rFonts w:ascii="Calibri Light" w:hAnsi="Calibri Light"/>
          <w:i/>
          <w:sz w:val="16"/>
          <w:szCs w:val="16"/>
          <w:lang w:val="es-MX"/>
        </w:rPr>
        <w:t xml:space="preserve">Asunto de los niños y adolescentes privados de libertad en el “Complexo do </w:t>
      </w:r>
      <w:proofErr w:type="spellStart"/>
      <w:r w:rsidRPr="00746902">
        <w:rPr>
          <w:rFonts w:ascii="Calibri Light" w:hAnsi="Calibri Light"/>
          <w:i/>
          <w:sz w:val="16"/>
          <w:szCs w:val="16"/>
          <w:lang w:val="es-MX"/>
        </w:rPr>
        <w:t>Tatuapé</w:t>
      </w:r>
      <w:proofErr w:type="spellEnd"/>
      <w:r w:rsidRPr="00746902">
        <w:rPr>
          <w:rFonts w:ascii="Calibri Light" w:hAnsi="Calibri Light"/>
          <w:i/>
          <w:sz w:val="16"/>
          <w:szCs w:val="16"/>
          <w:lang w:val="es-MX"/>
        </w:rPr>
        <w:t xml:space="preserve">” de la </w:t>
      </w:r>
      <w:proofErr w:type="spellStart"/>
      <w:r w:rsidRPr="00746902">
        <w:rPr>
          <w:rFonts w:ascii="Calibri Light" w:hAnsi="Calibri Light"/>
          <w:i/>
          <w:sz w:val="16"/>
          <w:szCs w:val="16"/>
          <w:lang w:val="es-MX"/>
        </w:rPr>
        <w:t>Fundação</w:t>
      </w:r>
      <w:proofErr w:type="spellEnd"/>
      <w:r w:rsidRPr="00746902">
        <w:rPr>
          <w:rFonts w:ascii="Calibri Light" w:hAnsi="Calibri Light"/>
          <w:i/>
          <w:sz w:val="16"/>
          <w:szCs w:val="16"/>
          <w:lang w:val="es-MX"/>
        </w:rPr>
        <w:t xml:space="preserve"> CASA</w:t>
      </w:r>
      <w:r w:rsidRPr="00746902">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 Disponible en: http://www.corteidh.or.</w:t>
      </w:r>
      <w:r>
        <w:rPr>
          <w:rFonts w:ascii="Calibri Light" w:hAnsi="Calibri Light"/>
          <w:sz w:val="16"/>
          <w:szCs w:val="16"/>
          <w:lang w:val="es-MX"/>
        </w:rPr>
        <w:t>cr/docs/medidas/febem_se_03.pdf</w:t>
      </w:r>
    </w:p>
  </w:footnote>
  <w:footnote w:id="24">
    <w:p w14:paraId="4E87CA92" w14:textId="77777777" w:rsidR="00DC43BB" w:rsidRPr="00F9269A" w:rsidRDefault="00DC43BB" w:rsidP="00B6504E">
      <w:pPr>
        <w:pStyle w:val="FootnoteText"/>
        <w:jc w:val="both"/>
        <w:rPr>
          <w:rFonts w:asciiTheme="majorHAnsi" w:hAnsiTheme="majorHAnsi" w:cstheme="majorHAnsi"/>
          <w:sz w:val="16"/>
          <w:szCs w:val="16"/>
        </w:rPr>
      </w:pPr>
      <w:r w:rsidRPr="00F9269A">
        <w:rPr>
          <w:rStyle w:val="FootnoteReference"/>
          <w:rFonts w:asciiTheme="majorHAnsi" w:hAnsiTheme="majorHAnsi" w:cstheme="majorHAnsi"/>
          <w:sz w:val="16"/>
          <w:szCs w:val="16"/>
        </w:rPr>
        <w:footnoteRef/>
      </w:r>
      <w:r w:rsidRPr="00F9269A">
        <w:rPr>
          <w:rFonts w:asciiTheme="majorHAnsi" w:hAnsiTheme="majorHAnsi" w:cstheme="majorHAnsi"/>
          <w:sz w:val="16"/>
          <w:szCs w:val="16"/>
        </w:rPr>
        <w:t xml:space="preserve"> CIDH, </w:t>
      </w:r>
      <w:r w:rsidRPr="00F9269A">
        <w:rPr>
          <w:rFonts w:asciiTheme="majorHAnsi" w:hAnsiTheme="majorHAnsi" w:cstheme="majorHAnsi"/>
          <w:i/>
          <w:iCs/>
          <w:sz w:val="16"/>
          <w:szCs w:val="16"/>
        </w:rPr>
        <w:t xml:space="preserve">Leopoldo López y Daniel Ceballos respecto de Venezuela </w:t>
      </w:r>
      <w:r>
        <w:rPr>
          <w:rFonts w:asciiTheme="majorHAnsi" w:hAnsiTheme="majorHAnsi" w:cstheme="majorHAnsi"/>
          <w:sz w:val="16"/>
          <w:szCs w:val="16"/>
        </w:rPr>
        <w:t>(MC 335-14</w:t>
      </w:r>
      <w:r w:rsidRPr="00F9269A">
        <w:rPr>
          <w:rFonts w:asciiTheme="majorHAnsi" w:hAnsiTheme="majorHAnsi" w:cstheme="majorHAnsi"/>
          <w:sz w:val="16"/>
          <w:szCs w:val="16"/>
        </w:rPr>
        <w:t xml:space="preserve">), Resolución 12/2015, 20 de abril de 2015; CIDH, </w:t>
      </w:r>
      <w:r w:rsidRPr="00F9269A">
        <w:rPr>
          <w:rFonts w:asciiTheme="majorHAnsi" w:hAnsiTheme="majorHAnsi" w:cstheme="majorHAnsi"/>
          <w:i/>
          <w:iCs/>
          <w:sz w:val="16"/>
          <w:szCs w:val="16"/>
        </w:rPr>
        <w:t xml:space="preserve">Miembros del partido Voluntad Popular respecto de Venezuela </w:t>
      </w:r>
      <w:r w:rsidRPr="00F9269A">
        <w:rPr>
          <w:rFonts w:asciiTheme="majorHAnsi" w:hAnsiTheme="majorHAnsi" w:cstheme="majorHAnsi"/>
          <w:sz w:val="16"/>
          <w:szCs w:val="16"/>
        </w:rPr>
        <w:t>(MC-475-15), Resolución 1/17 de 14 de enero.</w:t>
      </w:r>
      <w:r>
        <w:rPr>
          <w:rFonts w:asciiTheme="majorHAnsi" w:hAnsiTheme="majorHAnsi" w:cstheme="majorHAnsi"/>
          <w:sz w:val="16"/>
          <w:szCs w:val="16"/>
        </w:rPr>
        <w:t xml:space="preserve"> </w:t>
      </w:r>
      <w:r w:rsidRPr="00F9269A">
        <w:rPr>
          <w:rFonts w:asciiTheme="majorHAnsi" w:hAnsiTheme="majorHAnsi" w:cstheme="majorHAnsi"/>
          <w:sz w:val="16"/>
          <w:szCs w:val="16"/>
        </w:rPr>
        <w:t xml:space="preserve">Disponible en: http://www.oas.org/es/cidh/decisiones/pdf/2017/1-17MC475-15-VE.pdf; CIDH, </w:t>
      </w:r>
      <w:r w:rsidRPr="00F9269A">
        <w:rPr>
          <w:rFonts w:asciiTheme="majorHAnsi" w:hAnsiTheme="majorHAnsi" w:cstheme="majorHAnsi"/>
          <w:i/>
          <w:iCs/>
          <w:sz w:val="16"/>
          <w:szCs w:val="16"/>
        </w:rPr>
        <w:t xml:space="preserve">Luis Florido respecto de Venezuela, </w:t>
      </w:r>
      <w:r w:rsidRPr="00F9269A">
        <w:rPr>
          <w:rFonts w:asciiTheme="majorHAnsi" w:hAnsiTheme="majorHAnsi" w:cstheme="majorHAnsi"/>
          <w:sz w:val="16"/>
          <w:szCs w:val="16"/>
        </w:rPr>
        <w:t xml:space="preserve">Resolución No. 12/17, 7 de abril de 2017; CIDH, </w:t>
      </w:r>
      <w:r w:rsidRPr="00F9269A">
        <w:rPr>
          <w:rFonts w:asciiTheme="majorHAnsi" w:hAnsiTheme="majorHAnsi" w:cstheme="majorHAnsi"/>
          <w:i/>
          <w:iCs/>
          <w:sz w:val="16"/>
          <w:szCs w:val="16"/>
        </w:rPr>
        <w:t xml:space="preserve">Julio Borges y otros respecto de Venezuela (MC 403-17), </w:t>
      </w:r>
      <w:r w:rsidRPr="00F9269A">
        <w:rPr>
          <w:rFonts w:asciiTheme="majorHAnsi" w:hAnsiTheme="majorHAnsi" w:cstheme="majorHAnsi"/>
          <w:sz w:val="16"/>
          <w:szCs w:val="16"/>
        </w:rPr>
        <w:t xml:space="preserve">Resolución 24/2017; CIDH, </w:t>
      </w:r>
      <w:r w:rsidRPr="00F9269A">
        <w:rPr>
          <w:rFonts w:asciiTheme="majorHAnsi" w:hAnsiTheme="majorHAnsi" w:cstheme="majorHAnsi"/>
          <w:i/>
          <w:iCs/>
          <w:sz w:val="16"/>
          <w:szCs w:val="16"/>
        </w:rPr>
        <w:t xml:space="preserve">Henrique Capriles </w:t>
      </w:r>
      <w:proofErr w:type="spellStart"/>
      <w:r w:rsidRPr="00F9269A">
        <w:rPr>
          <w:rFonts w:asciiTheme="majorHAnsi" w:hAnsiTheme="majorHAnsi" w:cstheme="majorHAnsi"/>
          <w:i/>
          <w:iCs/>
          <w:sz w:val="16"/>
          <w:szCs w:val="16"/>
        </w:rPr>
        <w:t>Radonski</w:t>
      </w:r>
      <w:proofErr w:type="spellEnd"/>
      <w:r w:rsidRPr="00F9269A">
        <w:rPr>
          <w:rFonts w:asciiTheme="majorHAnsi" w:hAnsiTheme="majorHAnsi" w:cstheme="majorHAnsi"/>
          <w:i/>
          <w:iCs/>
          <w:sz w:val="16"/>
          <w:szCs w:val="16"/>
        </w:rPr>
        <w:t xml:space="preserve"> (MC 248-17), </w:t>
      </w:r>
      <w:r w:rsidRPr="00F9269A">
        <w:rPr>
          <w:rFonts w:asciiTheme="majorHAnsi" w:hAnsiTheme="majorHAnsi" w:cstheme="majorHAnsi"/>
          <w:sz w:val="16"/>
          <w:szCs w:val="16"/>
        </w:rPr>
        <w:t xml:space="preserve">Resolución 15/17, 2 de junio de 2017. Disponible en: </w:t>
      </w:r>
      <w:hyperlink r:id="rId8" w:history="1">
        <w:r w:rsidRPr="00F9269A">
          <w:rPr>
            <w:rStyle w:val="Hyperlink"/>
            <w:rFonts w:asciiTheme="majorHAnsi" w:hAnsiTheme="majorHAnsi" w:cstheme="majorHAnsi"/>
            <w:sz w:val="16"/>
            <w:szCs w:val="16"/>
          </w:rPr>
          <w:t>http://www.oas.org/es/cidh/decisiones/pdf/2017/15-17MC248-17-VE.pdf</w:t>
        </w:r>
      </w:hyperlink>
      <w:r w:rsidRPr="00F9269A">
        <w:rPr>
          <w:rFonts w:asciiTheme="majorHAnsi" w:hAnsiTheme="majorHAnsi" w:cstheme="majorHAnsi"/>
          <w:sz w:val="16"/>
          <w:szCs w:val="16"/>
        </w:rPr>
        <w:t xml:space="preserve">; CIDH, </w:t>
      </w:r>
      <w:r w:rsidRPr="00F9269A">
        <w:rPr>
          <w:rFonts w:asciiTheme="majorHAnsi" w:hAnsiTheme="majorHAnsi" w:cstheme="majorHAnsi"/>
          <w:i/>
          <w:iCs/>
          <w:sz w:val="16"/>
          <w:szCs w:val="16"/>
        </w:rPr>
        <w:t xml:space="preserve">Williams Dávila respecto de Venezuela, </w:t>
      </w:r>
      <w:r w:rsidRPr="00F9269A">
        <w:rPr>
          <w:rFonts w:asciiTheme="majorHAnsi" w:hAnsiTheme="majorHAnsi" w:cstheme="majorHAnsi"/>
          <w:sz w:val="16"/>
          <w:szCs w:val="16"/>
        </w:rPr>
        <w:t xml:space="preserve">6 de septiembre de 2017 (MC 533-17), Resolución 35/2017, 6 de septiembre de 2017, disponible en: </w:t>
      </w:r>
      <w:hyperlink r:id="rId9" w:history="1">
        <w:r w:rsidRPr="00F9269A">
          <w:rPr>
            <w:rStyle w:val="Hyperlink"/>
            <w:rFonts w:asciiTheme="majorHAnsi" w:hAnsiTheme="majorHAnsi" w:cstheme="majorHAnsi"/>
            <w:sz w:val="16"/>
            <w:szCs w:val="16"/>
          </w:rPr>
          <w:t>http://www.oas.org/es/cidh/decisiones/pdf/2017/35-17MC533-17-VE.pdf</w:t>
        </w:r>
      </w:hyperlink>
      <w:r w:rsidRPr="00F9269A">
        <w:rPr>
          <w:rFonts w:asciiTheme="majorHAnsi" w:hAnsiTheme="majorHAnsi" w:cstheme="majorHAnsi"/>
          <w:sz w:val="16"/>
          <w:szCs w:val="16"/>
        </w:rPr>
        <w:t xml:space="preserve">; CIDH, </w:t>
      </w:r>
      <w:r w:rsidRPr="00F9269A">
        <w:rPr>
          <w:rFonts w:asciiTheme="majorHAnsi" w:hAnsiTheme="majorHAnsi" w:cstheme="majorHAnsi"/>
          <w:i/>
          <w:iCs/>
          <w:sz w:val="16"/>
          <w:szCs w:val="16"/>
        </w:rPr>
        <w:t xml:space="preserve">Juan Carlos </w:t>
      </w:r>
      <w:proofErr w:type="spellStart"/>
      <w:r w:rsidRPr="00F9269A">
        <w:rPr>
          <w:rFonts w:asciiTheme="majorHAnsi" w:hAnsiTheme="majorHAnsi" w:cstheme="majorHAnsi"/>
          <w:i/>
          <w:iCs/>
          <w:sz w:val="16"/>
          <w:szCs w:val="16"/>
        </w:rPr>
        <w:t>Requesens</w:t>
      </w:r>
      <w:proofErr w:type="spellEnd"/>
      <w:r w:rsidRPr="00F9269A">
        <w:rPr>
          <w:rFonts w:asciiTheme="majorHAnsi" w:hAnsiTheme="majorHAnsi" w:cstheme="majorHAnsi"/>
          <w:i/>
          <w:iCs/>
          <w:sz w:val="16"/>
          <w:szCs w:val="16"/>
        </w:rPr>
        <w:t xml:space="preserve"> Martínez respecto de Venezuela </w:t>
      </w:r>
      <w:r w:rsidRPr="00F9269A">
        <w:rPr>
          <w:rFonts w:asciiTheme="majorHAnsi" w:hAnsiTheme="majorHAnsi" w:cstheme="majorHAnsi"/>
          <w:iCs/>
          <w:sz w:val="16"/>
          <w:szCs w:val="16"/>
        </w:rPr>
        <w:t>(MC 1039-18), Resolución 79/2018</w:t>
      </w:r>
      <w:r w:rsidRPr="00F9269A">
        <w:rPr>
          <w:rFonts w:asciiTheme="majorHAnsi" w:hAnsiTheme="majorHAnsi" w:cstheme="majorHAnsi"/>
          <w:i/>
          <w:iCs/>
          <w:sz w:val="16"/>
          <w:szCs w:val="16"/>
        </w:rPr>
        <w:t xml:space="preserve">, </w:t>
      </w:r>
      <w:r w:rsidRPr="00F9269A">
        <w:rPr>
          <w:rFonts w:asciiTheme="majorHAnsi" w:hAnsiTheme="majorHAnsi" w:cstheme="majorHAnsi"/>
          <w:sz w:val="16"/>
          <w:szCs w:val="16"/>
        </w:rPr>
        <w:t xml:space="preserve">11 de octubre de 2018, disponible en: </w:t>
      </w:r>
      <w:hyperlink r:id="rId10" w:history="1">
        <w:r w:rsidRPr="00F9269A">
          <w:rPr>
            <w:rStyle w:val="Hyperlink"/>
            <w:rFonts w:asciiTheme="majorHAnsi" w:hAnsiTheme="majorHAnsi" w:cstheme="majorHAnsi"/>
            <w:sz w:val="16"/>
            <w:szCs w:val="16"/>
          </w:rPr>
          <w:t>http://www.oas.org/es/cidh/decisiones/pdf/2018/79-18MC1039-18-VE.pdf</w:t>
        </w:r>
      </w:hyperlink>
      <w:r w:rsidRPr="00F9269A">
        <w:rPr>
          <w:rFonts w:asciiTheme="majorHAnsi" w:hAnsiTheme="majorHAnsi" w:cstheme="majorHAnsi"/>
          <w:sz w:val="16"/>
          <w:szCs w:val="16"/>
        </w:rPr>
        <w:t xml:space="preserve">; CIDH, </w:t>
      </w:r>
      <w:r w:rsidRPr="00F9269A">
        <w:rPr>
          <w:rFonts w:asciiTheme="majorHAnsi" w:hAnsiTheme="majorHAnsi" w:cstheme="majorHAnsi"/>
          <w:i/>
          <w:sz w:val="16"/>
          <w:szCs w:val="16"/>
        </w:rPr>
        <w:t xml:space="preserve">Juan Gerardo </w:t>
      </w:r>
      <w:proofErr w:type="spellStart"/>
      <w:r w:rsidRPr="00F9269A">
        <w:rPr>
          <w:rFonts w:asciiTheme="majorHAnsi" w:hAnsiTheme="majorHAnsi" w:cstheme="majorHAnsi"/>
          <w:i/>
          <w:sz w:val="16"/>
          <w:szCs w:val="16"/>
        </w:rPr>
        <w:t>Guaidó</w:t>
      </w:r>
      <w:proofErr w:type="spellEnd"/>
      <w:r w:rsidRPr="00F9269A">
        <w:rPr>
          <w:rFonts w:asciiTheme="majorHAnsi" w:hAnsiTheme="majorHAnsi" w:cstheme="majorHAnsi"/>
          <w:i/>
          <w:sz w:val="16"/>
          <w:szCs w:val="16"/>
        </w:rPr>
        <w:t xml:space="preserve"> Márquez respecto de Venezuela</w:t>
      </w:r>
      <w:r w:rsidRPr="00F9269A">
        <w:rPr>
          <w:rFonts w:asciiTheme="majorHAnsi" w:hAnsiTheme="majorHAnsi" w:cstheme="majorHAnsi"/>
          <w:sz w:val="16"/>
          <w:szCs w:val="16"/>
        </w:rPr>
        <w:t xml:space="preserve"> (MC 70-19), Resolución 1/2019</w:t>
      </w:r>
      <w:r w:rsidRPr="00F9269A">
        <w:rPr>
          <w:rFonts w:asciiTheme="majorHAnsi" w:hAnsiTheme="majorHAnsi" w:cstheme="majorHAnsi"/>
          <w:i/>
          <w:sz w:val="16"/>
          <w:szCs w:val="16"/>
        </w:rPr>
        <w:t xml:space="preserve">, </w:t>
      </w:r>
      <w:r w:rsidRPr="00F9269A">
        <w:rPr>
          <w:rFonts w:asciiTheme="majorHAnsi" w:hAnsiTheme="majorHAnsi" w:cstheme="majorHAnsi"/>
          <w:sz w:val="16"/>
          <w:szCs w:val="16"/>
        </w:rPr>
        <w:t xml:space="preserve">25 de enero de 2019. Disponible en: </w:t>
      </w:r>
      <w:hyperlink r:id="rId11" w:history="1">
        <w:r w:rsidRPr="00232310">
          <w:rPr>
            <w:rStyle w:val="Hyperlink"/>
            <w:rFonts w:asciiTheme="majorHAnsi" w:hAnsiTheme="majorHAnsi" w:cstheme="majorHAnsi"/>
            <w:sz w:val="16"/>
            <w:szCs w:val="16"/>
          </w:rPr>
          <w:t>http://www.oas.org/es/cidh/prensa/comunicados/2019/017A.pdf</w:t>
        </w:r>
      </w:hyperlink>
      <w:r>
        <w:rPr>
          <w:rFonts w:asciiTheme="majorHAnsi" w:hAnsiTheme="majorHAnsi" w:cstheme="majorHAnsi"/>
          <w:sz w:val="16"/>
          <w:szCs w:val="16"/>
        </w:rPr>
        <w:t xml:space="preserve">; CIDH, </w:t>
      </w:r>
      <w:r w:rsidRPr="00F10192">
        <w:rPr>
          <w:rFonts w:asciiTheme="majorHAnsi" w:hAnsiTheme="majorHAnsi" w:cstheme="majorHAnsi"/>
          <w:sz w:val="16"/>
          <w:szCs w:val="16"/>
        </w:rPr>
        <w:t>Roberto Marrero y Sergio Vergara respecto de Venezuela</w:t>
      </w:r>
      <w:r>
        <w:rPr>
          <w:rFonts w:asciiTheme="majorHAnsi" w:hAnsiTheme="majorHAnsi" w:cstheme="majorHAnsi"/>
          <w:sz w:val="16"/>
          <w:szCs w:val="16"/>
        </w:rPr>
        <w:t xml:space="preserve"> (Ampliación, MC 70-19), Resolución 16/2019, 27 de marzo de 2019. Disponible en: </w:t>
      </w:r>
      <w:r w:rsidRPr="00F10192">
        <w:rPr>
          <w:rFonts w:asciiTheme="majorHAnsi" w:hAnsiTheme="majorHAnsi" w:cstheme="majorHAnsi"/>
          <w:sz w:val="16"/>
          <w:szCs w:val="16"/>
        </w:rPr>
        <w:t>http://www.oas.org/es/cidh/decisiones/pdf/2019/16-19MC70-19-VE-Ampliacion.pdf</w:t>
      </w:r>
    </w:p>
  </w:footnote>
  <w:footnote w:id="25">
    <w:p w14:paraId="4A7313BD" w14:textId="054BF9B9" w:rsidR="00DC43BB" w:rsidRPr="00CE7EE0" w:rsidRDefault="00DC43BB" w:rsidP="00B6504E">
      <w:pPr>
        <w:pStyle w:val="FootnoteText"/>
        <w:jc w:val="both"/>
        <w:rPr>
          <w:rFonts w:asciiTheme="majorHAnsi" w:hAnsiTheme="majorHAnsi" w:cstheme="majorHAnsi"/>
          <w:sz w:val="16"/>
          <w:szCs w:val="16"/>
        </w:rPr>
      </w:pPr>
      <w:r w:rsidRPr="00C17414">
        <w:rPr>
          <w:rStyle w:val="FootnoteReference"/>
          <w:rFonts w:asciiTheme="majorHAnsi" w:hAnsiTheme="majorHAnsi" w:cstheme="majorHAnsi"/>
          <w:sz w:val="16"/>
          <w:szCs w:val="16"/>
        </w:rPr>
        <w:footnoteRef/>
      </w:r>
      <w:r w:rsidRPr="00C17414">
        <w:rPr>
          <w:rFonts w:asciiTheme="majorHAnsi" w:hAnsiTheme="majorHAnsi" w:cstheme="majorHAnsi"/>
          <w:sz w:val="16"/>
          <w:szCs w:val="16"/>
        </w:rPr>
        <w:t xml:space="preserve"> En el mes de julio</w:t>
      </w:r>
      <w:r>
        <w:rPr>
          <w:rFonts w:asciiTheme="majorHAnsi" w:hAnsiTheme="majorHAnsi" w:cstheme="majorHAnsi"/>
          <w:sz w:val="16"/>
          <w:szCs w:val="16"/>
        </w:rPr>
        <w:t xml:space="preserve"> de 2016</w:t>
      </w:r>
      <w:r w:rsidRPr="00C17414">
        <w:rPr>
          <w:rFonts w:asciiTheme="majorHAnsi" w:hAnsiTheme="majorHAnsi" w:cstheme="majorHAnsi"/>
          <w:sz w:val="16"/>
          <w:szCs w:val="16"/>
        </w:rPr>
        <w:t>, la Contraloría General de la República em</w:t>
      </w:r>
      <w:bookmarkStart w:id="0" w:name="_GoBack"/>
      <w:bookmarkEnd w:id="0"/>
      <w:r w:rsidRPr="00C17414">
        <w:rPr>
          <w:rFonts w:asciiTheme="majorHAnsi" w:hAnsiTheme="majorHAnsi" w:cstheme="majorHAnsi"/>
          <w:sz w:val="16"/>
          <w:szCs w:val="16"/>
        </w:rPr>
        <w:t xml:space="preserve">itió una serie de resoluciones administrativas de inhabilitación para ejercer cargos públicos contra dirigentes de la coalición de oposición Mesa de la Unidad Democrática (MUD). Dichas resoluciones fueron dictadas </w:t>
      </w:r>
      <w:r>
        <w:rPr>
          <w:rFonts w:asciiTheme="majorHAnsi" w:hAnsiTheme="majorHAnsi" w:cstheme="majorHAnsi"/>
          <w:sz w:val="16"/>
          <w:szCs w:val="16"/>
        </w:rPr>
        <w:t xml:space="preserve">inclusive en </w:t>
      </w:r>
      <w:r w:rsidRPr="00C17414">
        <w:rPr>
          <w:rFonts w:asciiTheme="majorHAnsi" w:hAnsiTheme="majorHAnsi" w:cstheme="majorHAnsi"/>
          <w:sz w:val="16"/>
          <w:szCs w:val="16"/>
        </w:rPr>
        <w:t>contra</w:t>
      </w:r>
      <w:r w:rsidR="0091240F">
        <w:rPr>
          <w:rFonts w:asciiTheme="majorHAnsi" w:hAnsiTheme="majorHAnsi" w:cstheme="majorHAnsi"/>
          <w:sz w:val="16"/>
          <w:szCs w:val="16"/>
        </w:rPr>
        <w:t xml:space="preserve"> de </w:t>
      </w:r>
      <w:r w:rsidRPr="008C1028">
        <w:rPr>
          <w:rFonts w:asciiTheme="majorHAnsi" w:hAnsiTheme="majorHAnsi" w:cstheme="majorHAnsi"/>
          <w:sz w:val="16"/>
          <w:szCs w:val="16"/>
        </w:rPr>
        <w:t>María Corina Machado,</w:t>
      </w:r>
      <w:r>
        <w:rPr>
          <w:rFonts w:asciiTheme="majorHAnsi" w:hAnsiTheme="majorHAnsi" w:cstheme="majorHAnsi"/>
          <w:sz w:val="16"/>
          <w:szCs w:val="16"/>
        </w:rPr>
        <w:t xml:space="preserve"> además de los señores</w:t>
      </w:r>
      <w:r w:rsidRPr="00C17414">
        <w:rPr>
          <w:rFonts w:asciiTheme="majorHAnsi" w:hAnsiTheme="majorHAnsi" w:cstheme="majorHAnsi"/>
          <w:sz w:val="16"/>
          <w:szCs w:val="16"/>
        </w:rPr>
        <w:t xml:space="preserve"> Enzo </w:t>
      </w:r>
      <w:proofErr w:type="spellStart"/>
      <w:r w:rsidRPr="00C17414">
        <w:rPr>
          <w:rFonts w:asciiTheme="majorHAnsi" w:hAnsiTheme="majorHAnsi" w:cstheme="majorHAnsi"/>
          <w:sz w:val="16"/>
          <w:szCs w:val="16"/>
        </w:rPr>
        <w:t>Scarano</w:t>
      </w:r>
      <w:proofErr w:type="spellEnd"/>
      <w:r w:rsidRPr="00C17414">
        <w:rPr>
          <w:rFonts w:asciiTheme="majorHAnsi" w:hAnsiTheme="majorHAnsi" w:cstheme="majorHAnsi"/>
          <w:sz w:val="16"/>
          <w:szCs w:val="16"/>
        </w:rPr>
        <w:t xml:space="preserve"> y Daniel Ceballos por 12 meses; y contra </w:t>
      </w:r>
      <w:r>
        <w:rPr>
          <w:rFonts w:asciiTheme="majorHAnsi" w:hAnsiTheme="majorHAnsi" w:cstheme="majorHAnsi"/>
          <w:sz w:val="16"/>
          <w:szCs w:val="16"/>
        </w:rPr>
        <w:t xml:space="preserve">el señor </w:t>
      </w:r>
      <w:r w:rsidRPr="00C17414">
        <w:rPr>
          <w:rFonts w:asciiTheme="majorHAnsi" w:hAnsiTheme="majorHAnsi" w:cstheme="majorHAnsi"/>
          <w:sz w:val="16"/>
          <w:szCs w:val="16"/>
        </w:rPr>
        <w:t>Pablo Pérez por 10 años. En vista de esto, y conforme a las facultades establecidas en el artículo 18 de su Estatuto, el 31 de julio, la Comisión solicitó información al Estado sobre la base legal para la imposición de dichas inhabilitaciones, así como sobre si éstas impedirían la inscripción de los posibles candidatos de oposición en los citados comicios. El Estado no presentó su respuesta. Ver CIDH, Informe Anual 2015, Capítulo IV. Venezuela, 16 de marzo de 2016, párr.1</w:t>
      </w:r>
    </w:p>
  </w:footnote>
  <w:footnote w:id="26">
    <w:p w14:paraId="3BC90530" w14:textId="77777777" w:rsidR="00DC43BB" w:rsidRPr="00CE7EE0" w:rsidRDefault="00DC43BB" w:rsidP="00B6504E">
      <w:pPr>
        <w:pStyle w:val="FootnoteText"/>
        <w:rPr>
          <w:rFonts w:asciiTheme="majorHAnsi" w:hAnsiTheme="majorHAnsi" w:cstheme="majorHAnsi"/>
          <w:sz w:val="16"/>
          <w:szCs w:val="16"/>
        </w:rPr>
      </w:pPr>
      <w:r w:rsidRPr="00CE7EE0">
        <w:rPr>
          <w:rStyle w:val="FootnoteReference"/>
          <w:rFonts w:asciiTheme="majorHAnsi" w:hAnsiTheme="majorHAnsi" w:cstheme="majorHAnsi"/>
          <w:sz w:val="16"/>
          <w:szCs w:val="16"/>
        </w:rPr>
        <w:footnoteRef/>
      </w:r>
      <w:r w:rsidRPr="00CE7EE0">
        <w:rPr>
          <w:rFonts w:asciiTheme="majorHAnsi" w:hAnsiTheme="majorHAnsi" w:cstheme="majorHAnsi"/>
          <w:sz w:val="16"/>
          <w:szCs w:val="16"/>
        </w:rPr>
        <w:t xml:space="preserve"> CIDH, Informe Anual 2015, Capítulo IV. Venezuela, 16 de marzo de 2016, párr.76.</w:t>
      </w:r>
    </w:p>
  </w:footnote>
  <w:footnote w:id="27">
    <w:p w14:paraId="29D8DFE0" w14:textId="77777777" w:rsidR="00DC43BB" w:rsidRPr="00515453" w:rsidRDefault="00DC43BB" w:rsidP="00515453">
      <w:pPr>
        <w:pStyle w:val="FootnoteText"/>
        <w:jc w:val="both"/>
        <w:rPr>
          <w:rFonts w:asciiTheme="majorHAnsi" w:hAnsiTheme="majorHAnsi" w:cstheme="majorHAnsi"/>
          <w:sz w:val="16"/>
          <w:szCs w:val="16"/>
        </w:rPr>
      </w:pPr>
      <w:r w:rsidRPr="00515453">
        <w:rPr>
          <w:rStyle w:val="FootnoteReference"/>
          <w:rFonts w:asciiTheme="majorHAnsi" w:hAnsiTheme="majorHAnsi" w:cstheme="majorHAnsi"/>
          <w:sz w:val="16"/>
          <w:szCs w:val="16"/>
        </w:rPr>
        <w:footnoteRef/>
      </w:r>
      <w:r w:rsidRPr="00515453">
        <w:rPr>
          <w:rFonts w:asciiTheme="majorHAnsi" w:hAnsiTheme="majorHAnsi" w:cstheme="majorHAnsi"/>
          <w:sz w:val="16"/>
          <w:szCs w:val="16"/>
        </w:rPr>
        <w:t xml:space="preserve"> CIDH, CIDH condena muertes en protestas y llama a las instituciones del Estado a garantizar los derechos humanos de la población venezolana, 25 de enero de 2019. Disponible en: </w:t>
      </w:r>
      <w:hyperlink r:id="rId12" w:history="1">
        <w:r w:rsidRPr="00515453">
          <w:rPr>
            <w:rStyle w:val="Hyperlink"/>
            <w:rFonts w:asciiTheme="majorHAnsi" w:hAnsiTheme="majorHAnsi" w:cstheme="majorHAnsi"/>
            <w:sz w:val="16"/>
            <w:szCs w:val="16"/>
          </w:rPr>
          <w:t>http://www.oas.org/es/cidh/prensa/comunicados/2019/015.asp</w:t>
        </w:r>
      </w:hyperlink>
      <w:r w:rsidRPr="00515453">
        <w:rPr>
          <w:rFonts w:asciiTheme="majorHAnsi" w:hAnsiTheme="majorHAnsi" w:cstheme="majorHAnsi"/>
          <w:sz w:val="16"/>
          <w:szCs w:val="16"/>
        </w:rPr>
        <w:t xml:space="preserve">; CIDH, CIDH y REDESCA condenan hechos de represión violenta en Venezuela y urgen al Estado venezolano a garantizar los derechos humanos de la población frente a la crisis política, económica y social, 1 de marzo de 2019. Disponible en: </w:t>
      </w:r>
      <w:hyperlink r:id="rId13" w:history="1">
        <w:r w:rsidRPr="00515453">
          <w:rPr>
            <w:rStyle w:val="Hyperlink"/>
            <w:rFonts w:asciiTheme="majorHAnsi" w:hAnsiTheme="majorHAnsi" w:cstheme="majorHAnsi"/>
            <w:sz w:val="16"/>
            <w:szCs w:val="16"/>
          </w:rPr>
          <w:t>http://www.oas.org/es/cidh/prensa/comunicados/2019/022.asp</w:t>
        </w:r>
      </w:hyperlink>
      <w:r w:rsidRPr="00515453">
        <w:rPr>
          <w:rFonts w:asciiTheme="majorHAnsi" w:hAnsiTheme="majorHAnsi" w:cstheme="majorHAnsi"/>
          <w:sz w:val="16"/>
          <w:szCs w:val="16"/>
        </w:rPr>
        <w:t>; CIDH, CIDH observa persistencia en afectación a los derechos humanos en Venezuela, 5 de abril de 2019. Disponible en: http://www.oas.org/es/cidh/prensa/comunicados/2019/091.asp.</w:t>
      </w:r>
    </w:p>
  </w:footnote>
  <w:footnote w:id="28">
    <w:p w14:paraId="00115B43" w14:textId="77777777" w:rsidR="00DC43BB" w:rsidRPr="0020599F" w:rsidRDefault="00DC43BB" w:rsidP="00B6504E">
      <w:pPr>
        <w:pStyle w:val="FootnoteText"/>
        <w:jc w:val="both"/>
        <w:rPr>
          <w:rFonts w:asciiTheme="majorHAnsi" w:hAnsiTheme="majorHAnsi" w:cstheme="majorHAnsi"/>
          <w:sz w:val="16"/>
          <w:szCs w:val="16"/>
        </w:rPr>
      </w:pPr>
      <w:r w:rsidRPr="0020599F">
        <w:rPr>
          <w:rStyle w:val="FootnoteReference"/>
          <w:rFonts w:asciiTheme="majorHAnsi" w:hAnsiTheme="majorHAnsi" w:cstheme="majorHAnsi"/>
          <w:sz w:val="16"/>
          <w:szCs w:val="16"/>
        </w:rPr>
        <w:footnoteRef/>
      </w:r>
      <w:r w:rsidRPr="0020599F">
        <w:rPr>
          <w:rFonts w:asciiTheme="majorHAnsi" w:hAnsiTheme="majorHAnsi" w:cstheme="majorHAnsi"/>
          <w:sz w:val="16"/>
          <w:szCs w:val="16"/>
        </w:rPr>
        <w:t xml:space="preserve"> CIDH, Resolución 3/2019. MC-115-19. Oswaldo García Palomo y otros respecto de Venezuela, 19 de febrero de 2019. Disponible en: http://www.oas.org/es/cidh/decisiones/pdf/2019/3-19MC115-19-VE.pdf; CIDH, Resolución 8/2019. MC-83-19. Luis Alexander </w:t>
      </w:r>
      <w:proofErr w:type="spellStart"/>
      <w:r w:rsidRPr="0020599F">
        <w:rPr>
          <w:rFonts w:asciiTheme="majorHAnsi" w:hAnsiTheme="majorHAnsi" w:cstheme="majorHAnsi"/>
          <w:sz w:val="16"/>
          <w:szCs w:val="16"/>
        </w:rPr>
        <w:t>Bandres</w:t>
      </w:r>
      <w:proofErr w:type="spellEnd"/>
      <w:r w:rsidRPr="0020599F">
        <w:rPr>
          <w:rFonts w:asciiTheme="majorHAnsi" w:hAnsiTheme="majorHAnsi" w:cstheme="majorHAnsi"/>
          <w:sz w:val="16"/>
          <w:szCs w:val="16"/>
        </w:rPr>
        <w:t xml:space="preserve"> Figueroa respecto de Venezuela, 28 de febrero de 2019. Disponible en: http://www.oas.org/es/cidh/decisiones/pdf/2019/8-18MC83-19-VE.pdf; CIDH, Resolución 9/2019. MC-1302-18. </w:t>
      </w:r>
      <w:proofErr w:type="spellStart"/>
      <w:r w:rsidRPr="0020599F">
        <w:rPr>
          <w:rFonts w:asciiTheme="majorHAnsi" w:hAnsiTheme="majorHAnsi" w:cstheme="majorHAnsi"/>
          <w:sz w:val="16"/>
          <w:szCs w:val="16"/>
        </w:rPr>
        <w:t>Isbert</w:t>
      </w:r>
      <w:proofErr w:type="spellEnd"/>
      <w:r w:rsidRPr="0020599F">
        <w:rPr>
          <w:rFonts w:asciiTheme="majorHAnsi" w:hAnsiTheme="majorHAnsi" w:cstheme="majorHAnsi"/>
          <w:sz w:val="16"/>
          <w:szCs w:val="16"/>
        </w:rPr>
        <w:t xml:space="preserve"> José Marín Chaparro respecto de Venezuela, 4 de marzo de 2019. Disponible en: http://www.oas.org/es/cidh/decisiones/pdf/2019/9-19MC1302-18-VE.pdf.</w:t>
      </w:r>
    </w:p>
  </w:footnote>
  <w:footnote w:id="29">
    <w:p w14:paraId="731B35FB" w14:textId="3AFF2C5F" w:rsidR="00B1303F" w:rsidRPr="00B1303F" w:rsidRDefault="00B1303F" w:rsidP="00B1303F">
      <w:pPr>
        <w:pStyle w:val="FootnoteText"/>
        <w:jc w:val="both"/>
        <w:rPr>
          <w:rFonts w:asciiTheme="majorHAnsi" w:hAnsiTheme="majorHAnsi" w:cstheme="majorHAnsi"/>
          <w:sz w:val="16"/>
          <w:szCs w:val="16"/>
        </w:rPr>
      </w:pPr>
      <w:r w:rsidRPr="00B1303F">
        <w:rPr>
          <w:rStyle w:val="FootnoteReference"/>
          <w:rFonts w:asciiTheme="majorHAnsi" w:hAnsiTheme="majorHAnsi" w:cstheme="majorHAnsi"/>
          <w:sz w:val="16"/>
          <w:szCs w:val="16"/>
        </w:rPr>
        <w:footnoteRef/>
      </w:r>
      <w:r w:rsidRPr="00B1303F">
        <w:rPr>
          <w:rFonts w:asciiTheme="majorHAnsi" w:hAnsiTheme="majorHAnsi" w:cstheme="majorHAnsi"/>
          <w:sz w:val="16"/>
          <w:szCs w:val="16"/>
        </w:rPr>
        <w:t xml:space="preserve"> CIDH, María Corina Machado </w:t>
      </w:r>
      <w:proofErr w:type="spellStart"/>
      <w:r w:rsidRPr="00B1303F">
        <w:rPr>
          <w:rFonts w:asciiTheme="majorHAnsi" w:hAnsiTheme="majorHAnsi" w:cstheme="majorHAnsi"/>
          <w:sz w:val="16"/>
          <w:szCs w:val="16"/>
        </w:rPr>
        <w:t>Parisca</w:t>
      </w:r>
      <w:proofErr w:type="spellEnd"/>
      <w:r w:rsidRPr="00B1303F">
        <w:rPr>
          <w:rFonts w:asciiTheme="majorHAnsi" w:hAnsiTheme="majorHAnsi" w:cstheme="majorHAnsi"/>
          <w:sz w:val="16"/>
          <w:szCs w:val="16"/>
        </w:rPr>
        <w:t xml:space="preserve"> respecto de Venezuela, 12 de abril de 2019. Disponible en: www.oas.org/es/cidh/decisiones/pdf/2019/22-19MC125-19-VE.pdf</w:t>
      </w:r>
    </w:p>
  </w:footnote>
  <w:footnote w:id="30">
    <w:p w14:paraId="34E6C65F" w14:textId="77777777" w:rsidR="00DC43BB" w:rsidRPr="004F34FC" w:rsidRDefault="00DC43BB" w:rsidP="00B6504E">
      <w:pPr>
        <w:pStyle w:val="FootnoteText"/>
        <w:jc w:val="both"/>
        <w:rPr>
          <w:rFonts w:asciiTheme="majorHAnsi" w:hAnsiTheme="majorHAnsi" w:cstheme="majorHAnsi"/>
          <w:sz w:val="16"/>
          <w:szCs w:val="16"/>
        </w:rPr>
      </w:pPr>
      <w:r w:rsidRPr="004F34FC">
        <w:rPr>
          <w:rStyle w:val="FootnoteReference"/>
          <w:rFonts w:asciiTheme="majorHAnsi" w:hAnsiTheme="majorHAnsi" w:cstheme="majorHAnsi"/>
          <w:sz w:val="16"/>
          <w:szCs w:val="16"/>
        </w:rPr>
        <w:footnoteRef/>
      </w:r>
      <w:r w:rsidRPr="004F34FC">
        <w:rPr>
          <w:rFonts w:asciiTheme="majorHAnsi" w:hAnsiTheme="majorHAnsi" w:cstheme="majorHAnsi"/>
          <w:sz w:val="16"/>
          <w:szCs w:val="16"/>
        </w:rPr>
        <w:t xml:space="preserve"> CIDH, </w:t>
      </w:r>
      <w:r w:rsidRPr="0041748B">
        <w:rPr>
          <w:rFonts w:asciiTheme="majorHAnsi" w:hAnsiTheme="majorHAnsi" w:cstheme="majorHAnsi"/>
          <w:i/>
          <w:sz w:val="16"/>
          <w:szCs w:val="16"/>
        </w:rPr>
        <w:t>Julio Borges y otros respecto de Venezuela</w:t>
      </w:r>
      <w:r w:rsidRPr="004F34FC">
        <w:rPr>
          <w:rFonts w:asciiTheme="majorHAnsi" w:hAnsiTheme="majorHAnsi" w:cstheme="majorHAnsi"/>
          <w:sz w:val="16"/>
          <w:szCs w:val="16"/>
        </w:rPr>
        <w:t xml:space="preserve"> (MC 403-17), Resolución 24/2017, 28 de julio de 2017, párr. 38. Disponible en: http://www.oas.org/es/cidh/decisiones/pdf/2017/24-17MC403-17-VE.pdf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03C2" w14:textId="77777777" w:rsidR="00DC43BB" w:rsidRPr="00C7126F" w:rsidRDefault="00DC43BB" w:rsidP="00D81FCF">
    <w:pPr>
      <w:tabs>
        <w:tab w:val="left" w:pos="4040"/>
        <w:tab w:val="left" w:pos="4333"/>
        <w:tab w:val="center" w:pos="4680"/>
        <w:tab w:val="right" w:pos="9360"/>
      </w:tabs>
      <w:spacing w:after="0" w:line="240" w:lineRule="auto"/>
      <w:jc w:val="both"/>
      <w:rPr>
        <w:rFonts w:ascii="Cambria" w:hAnsi="Cambria"/>
        <w:sz w:val="21"/>
        <w:szCs w:val="21"/>
      </w:rPr>
    </w:pPr>
    <w:r w:rsidRPr="00C7126F">
      <w:rPr>
        <w:rFonts w:ascii="Cambria" w:hAnsi="Cambria"/>
        <w:noProof/>
        <w:sz w:val="21"/>
        <w:szCs w:val="21"/>
        <w:lang w:eastAsia="es-US"/>
      </w:rPr>
      <w:drawing>
        <wp:inline distT="0" distB="0" distL="0" distR="0" wp14:anchorId="0A3F7002" wp14:editId="3EB8BBAB">
          <wp:extent cx="2352040" cy="449580"/>
          <wp:effectExtent l="0" t="0" r="0" b="7620"/>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040" cy="449580"/>
                  </a:xfrm>
                  <a:prstGeom prst="rect">
                    <a:avLst/>
                  </a:prstGeom>
                  <a:noFill/>
                  <a:ln>
                    <a:noFill/>
                  </a:ln>
                </pic:spPr>
              </pic:pic>
            </a:graphicData>
          </a:graphic>
        </wp:inline>
      </w:drawing>
    </w:r>
    <w:r w:rsidRPr="00C7126F">
      <w:rPr>
        <w:rFonts w:ascii="Cambria" w:hAnsi="Cambria"/>
        <w:sz w:val="21"/>
        <w:szCs w:val="21"/>
      </w:rPr>
      <w:tab/>
    </w:r>
    <w:r w:rsidRPr="00C7126F">
      <w:rPr>
        <w:rFonts w:ascii="Cambria" w:hAnsi="Cambria"/>
        <w:sz w:val="21"/>
        <w:szCs w:val="21"/>
      </w:rPr>
      <w:tab/>
    </w:r>
    <w:r w:rsidRPr="00C7126F">
      <w:rPr>
        <w:rFonts w:ascii="Cambria" w:hAnsi="Cambria"/>
        <w:sz w:val="21"/>
        <w:szCs w:val="21"/>
      </w:rPr>
      <w:tab/>
    </w:r>
    <w:r w:rsidRPr="00C7126F">
      <w:rPr>
        <w:rFonts w:ascii="Cambria" w:hAnsi="Cambria"/>
        <w:sz w:val="21"/>
        <w:szCs w:val="21"/>
      </w:rPr>
      <w:tab/>
    </w:r>
    <w:r w:rsidRPr="00C7126F">
      <w:rPr>
        <w:rFonts w:ascii="Cambria" w:hAnsi="Cambria"/>
        <w:noProof/>
        <w:sz w:val="21"/>
        <w:szCs w:val="21"/>
        <w:lang w:eastAsia="es-US"/>
      </w:rPr>
      <w:drawing>
        <wp:inline distT="0" distB="0" distL="0" distR="0" wp14:anchorId="500458C6" wp14:editId="51CE92F9">
          <wp:extent cx="2103755" cy="539115"/>
          <wp:effectExtent l="0" t="0" r="0" b="0"/>
          <wp:docPr id="3" name="Picture 3"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755" cy="539115"/>
                  </a:xfrm>
                  <a:prstGeom prst="rect">
                    <a:avLst/>
                  </a:prstGeom>
                  <a:noFill/>
                  <a:ln>
                    <a:noFill/>
                  </a:ln>
                </pic:spPr>
              </pic:pic>
            </a:graphicData>
          </a:graphic>
        </wp:inline>
      </w:drawing>
    </w:r>
  </w:p>
  <w:p w14:paraId="64A42C86" w14:textId="77777777" w:rsidR="00DC43BB" w:rsidRPr="00C7126F" w:rsidRDefault="00DC43BB" w:rsidP="00D81FCF">
    <w:pPr>
      <w:pBdr>
        <w:bottom w:val="single" w:sz="6" w:space="1" w:color="auto"/>
      </w:pBdr>
      <w:tabs>
        <w:tab w:val="center" w:pos="4680"/>
        <w:tab w:val="right" w:pos="9360"/>
      </w:tabs>
      <w:spacing w:after="0" w:line="240" w:lineRule="auto"/>
      <w:rPr>
        <w:rFonts w:ascii="Cambria" w:eastAsia="Batang" w:hAnsi="Cambria"/>
        <w:sz w:val="21"/>
        <w:szCs w:val="21"/>
        <w:lang w:val="es-ES"/>
      </w:rPr>
    </w:pPr>
  </w:p>
  <w:p w14:paraId="094D050C" w14:textId="77777777" w:rsidR="00DC43BB" w:rsidRPr="00C7126F" w:rsidRDefault="00DC43BB" w:rsidP="00D81FCF">
    <w:pPr>
      <w:spacing w:after="0" w:line="240" w:lineRule="auto"/>
      <w:rPr>
        <w:rFonts w:ascii="Cambria" w:hAnsi="Cambr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919"/>
    <w:multiLevelType w:val="hybridMultilevel"/>
    <w:tmpl w:val="C1902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75E6C"/>
    <w:multiLevelType w:val="hybridMultilevel"/>
    <w:tmpl w:val="57C47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B1E3D"/>
    <w:multiLevelType w:val="hybridMultilevel"/>
    <w:tmpl w:val="E6A2837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9681F"/>
    <w:multiLevelType w:val="hybridMultilevel"/>
    <w:tmpl w:val="9D62442C"/>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60C531B7"/>
    <w:multiLevelType w:val="hybridMultilevel"/>
    <w:tmpl w:val="89CCBEAA"/>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BE6FA9"/>
    <w:multiLevelType w:val="hybridMultilevel"/>
    <w:tmpl w:val="0624DB50"/>
    <w:lvl w:ilvl="0" w:tplc="2808108C">
      <w:start w:val="1"/>
      <w:numFmt w:val="upperRoman"/>
      <w:lvlText w:val="%1."/>
      <w:lvlJc w:val="right"/>
      <w:pPr>
        <w:ind w:left="720" w:hanging="360"/>
      </w:pPr>
      <w:rPr>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4E"/>
    <w:rsid w:val="00050457"/>
    <w:rsid w:val="000555CC"/>
    <w:rsid w:val="000C2345"/>
    <w:rsid w:val="0011040D"/>
    <w:rsid w:val="0016117F"/>
    <w:rsid w:val="00172B8D"/>
    <w:rsid w:val="001F513F"/>
    <w:rsid w:val="002112DF"/>
    <w:rsid w:val="00235331"/>
    <w:rsid w:val="00245A75"/>
    <w:rsid w:val="0027051A"/>
    <w:rsid w:val="00287BCF"/>
    <w:rsid w:val="002C1651"/>
    <w:rsid w:val="002E793D"/>
    <w:rsid w:val="0032649D"/>
    <w:rsid w:val="00326840"/>
    <w:rsid w:val="0035705E"/>
    <w:rsid w:val="00380716"/>
    <w:rsid w:val="003E5EB9"/>
    <w:rsid w:val="0040244E"/>
    <w:rsid w:val="00445ABE"/>
    <w:rsid w:val="00451690"/>
    <w:rsid w:val="00470DB8"/>
    <w:rsid w:val="004A336E"/>
    <w:rsid w:val="00515453"/>
    <w:rsid w:val="005965EA"/>
    <w:rsid w:val="005A3D5C"/>
    <w:rsid w:val="006770AD"/>
    <w:rsid w:val="006A7079"/>
    <w:rsid w:val="006B5D83"/>
    <w:rsid w:val="006C2BB7"/>
    <w:rsid w:val="006F28FC"/>
    <w:rsid w:val="006F3424"/>
    <w:rsid w:val="007475AE"/>
    <w:rsid w:val="0076023F"/>
    <w:rsid w:val="00775044"/>
    <w:rsid w:val="00824531"/>
    <w:rsid w:val="0085267F"/>
    <w:rsid w:val="008756A1"/>
    <w:rsid w:val="008841A2"/>
    <w:rsid w:val="008A1F14"/>
    <w:rsid w:val="008A60B9"/>
    <w:rsid w:val="008B27B1"/>
    <w:rsid w:val="008B60F9"/>
    <w:rsid w:val="008D2154"/>
    <w:rsid w:val="008E5C62"/>
    <w:rsid w:val="0091240F"/>
    <w:rsid w:val="00963D63"/>
    <w:rsid w:val="00980430"/>
    <w:rsid w:val="00986A7B"/>
    <w:rsid w:val="009B6151"/>
    <w:rsid w:val="009C498E"/>
    <w:rsid w:val="00A36456"/>
    <w:rsid w:val="00A57B76"/>
    <w:rsid w:val="00A620F4"/>
    <w:rsid w:val="00A75FF0"/>
    <w:rsid w:val="00A93A62"/>
    <w:rsid w:val="00AD7CFB"/>
    <w:rsid w:val="00B1303F"/>
    <w:rsid w:val="00B155FA"/>
    <w:rsid w:val="00B2143E"/>
    <w:rsid w:val="00B41127"/>
    <w:rsid w:val="00B44A4C"/>
    <w:rsid w:val="00B54B06"/>
    <w:rsid w:val="00B6504E"/>
    <w:rsid w:val="00B66A2E"/>
    <w:rsid w:val="00B91AFB"/>
    <w:rsid w:val="00BB4221"/>
    <w:rsid w:val="00BB5FA2"/>
    <w:rsid w:val="00C24B3C"/>
    <w:rsid w:val="00C47481"/>
    <w:rsid w:val="00C959E4"/>
    <w:rsid w:val="00CA72DC"/>
    <w:rsid w:val="00CA7D20"/>
    <w:rsid w:val="00CE7CCC"/>
    <w:rsid w:val="00CF2265"/>
    <w:rsid w:val="00D54B1B"/>
    <w:rsid w:val="00D81FCF"/>
    <w:rsid w:val="00DC43BB"/>
    <w:rsid w:val="00DD190A"/>
    <w:rsid w:val="00E17C22"/>
    <w:rsid w:val="00E30D56"/>
    <w:rsid w:val="00E50497"/>
    <w:rsid w:val="00E94280"/>
    <w:rsid w:val="00EA06D0"/>
    <w:rsid w:val="00F100C0"/>
    <w:rsid w:val="00F560FC"/>
    <w:rsid w:val="00F654C0"/>
    <w:rsid w:val="00FC11CE"/>
    <w:rsid w:val="00FD157F"/>
    <w:rsid w:val="00FF40D0"/>
    <w:rsid w:val="00FF612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BAB5"/>
  <w15:docId w15:val="{AE7CDCD7-6227-40BB-B00B-AE7FEA2E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50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04E"/>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B6504E"/>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B6504E"/>
    <w:rPr>
      <w:sz w:val="20"/>
      <w:szCs w:val="20"/>
    </w:rPr>
  </w:style>
  <w:style w:type="paragraph" w:styleId="Footer">
    <w:name w:val="footer"/>
    <w:basedOn w:val="Normal"/>
    <w:link w:val="FooterChar"/>
    <w:uiPriority w:val="99"/>
    <w:semiHidden/>
    <w:unhideWhenUsed/>
    <w:rsid w:val="00B650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504E"/>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B6504E"/>
    <w:rPr>
      <w:vertAlign w:val="superscript"/>
    </w:rPr>
  </w:style>
  <w:style w:type="paragraph" w:customStyle="1" w:styleId="Appelnotedebasde">
    <w:name w:val="Appel note de bas de..."/>
    <w:basedOn w:val="Normal"/>
    <w:link w:val="FootnoteReference"/>
    <w:uiPriority w:val="99"/>
    <w:rsid w:val="00B6504E"/>
    <w:pPr>
      <w:spacing w:line="240" w:lineRule="exact"/>
    </w:pPr>
    <w:rPr>
      <w:vertAlign w:val="superscript"/>
    </w:rPr>
  </w:style>
  <w:style w:type="character" w:styleId="Hyperlink">
    <w:name w:val="Hyperlink"/>
    <w:uiPriority w:val="99"/>
    <w:unhideWhenUsed/>
    <w:rsid w:val="00B6504E"/>
    <w:rPr>
      <w:color w:val="0000FF"/>
      <w:u w:val="single"/>
    </w:rPr>
  </w:style>
  <w:style w:type="paragraph" w:styleId="ListParagraph">
    <w:name w:val="List Paragraph"/>
    <w:basedOn w:val="Normal"/>
    <w:uiPriority w:val="34"/>
    <w:qFormat/>
    <w:rsid w:val="007475AE"/>
    <w:pPr>
      <w:ind w:left="720"/>
      <w:contextualSpacing/>
    </w:pPr>
  </w:style>
  <w:style w:type="paragraph" w:styleId="BalloonText">
    <w:name w:val="Balloon Text"/>
    <w:basedOn w:val="Normal"/>
    <w:link w:val="BalloonTextChar"/>
    <w:uiPriority w:val="99"/>
    <w:semiHidden/>
    <w:unhideWhenUsed/>
    <w:rsid w:val="00BB5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FA2"/>
    <w:rPr>
      <w:rFonts w:ascii="Segoe UI" w:hAnsi="Segoe UI" w:cs="Segoe UI"/>
      <w:sz w:val="18"/>
      <w:szCs w:val="18"/>
    </w:rPr>
  </w:style>
  <w:style w:type="character" w:styleId="CommentReference">
    <w:name w:val="annotation reference"/>
    <w:basedOn w:val="DefaultParagraphFont"/>
    <w:uiPriority w:val="99"/>
    <w:semiHidden/>
    <w:unhideWhenUsed/>
    <w:rsid w:val="008A60B9"/>
    <w:rPr>
      <w:sz w:val="16"/>
      <w:szCs w:val="16"/>
    </w:rPr>
  </w:style>
  <w:style w:type="paragraph" w:styleId="CommentText">
    <w:name w:val="annotation text"/>
    <w:basedOn w:val="Normal"/>
    <w:link w:val="CommentTextChar"/>
    <w:uiPriority w:val="99"/>
    <w:semiHidden/>
    <w:unhideWhenUsed/>
    <w:rsid w:val="008A60B9"/>
    <w:pPr>
      <w:spacing w:line="240" w:lineRule="auto"/>
    </w:pPr>
    <w:rPr>
      <w:sz w:val="20"/>
      <w:szCs w:val="20"/>
    </w:rPr>
  </w:style>
  <w:style w:type="character" w:customStyle="1" w:styleId="CommentTextChar">
    <w:name w:val="Comment Text Char"/>
    <w:basedOn w:val="DefaultParagraphFont"/>
    <w:link w:val="CommentText"/>
    <w:uiPriority w:val="99"/>
    <w:semiHidden/>
    <w:rsid w:val="008A60B9"/>
    <w:rPr>
      <w:sz w:val="20"/>
      <w:szCs w:val="20"/>
    </w:rPr>
  </w:style>
  <w:style w:type="paragraph" w:styleId="CommentSubject">
    <w:name w:val="annotation subject"/>
    <w:basedOn w:val="CommentText"/>
    <w:next w:val="CommentText"/>
    <w:link w:val="CommentSubjectChar"/>
    <w:uiPriority w:val="99"/>
    <w:semiHidden/>
    <w:unhideWhenUsed/>
    <w:rsid w:val="008A60B9"/>
    <w:rPr>
      <w:b/>
      <w:bCs/>
    </w:rPr>
  </w:style>
  <w:style w:type="character" w:customStyle="1" w:styleId="CommentSubjectChar">
    <w:name w:val="Comment Subject Char"/>
    <w:basedOn w:val="CommentTextChar"/>
    <w:link w:val="CommentSubject"/>
    <w:uiPriority w:val="99"/>
    <w:semiHidden/>
    <w:rsid w:val="008A60B9"/>
    <w:rPr>
      <w:b/>
      <w:bCs/>
      <w:sz w:val="20"/>
      <w:szCs w:val="20"/>
    </w:rPr>
  </w:style>
  <w:style w:type="paragraph" w:styleId="Revision">
    <w:name w:val="Revision"/>
    <w:hidden/>
    <w:uiPriority w:val="99"/>
    <w:semiHidden/>
    <w:rsid w:val="008A60B9"/>
    <w:pPr>
      <w:spacing w:after="0" w:line="240" w:lineRule="auto"/>
    </w:pPr>
  </w:style>
  <w:style w:type="character" w:styleId="FollowedHyperlink">
    <w:name w:val="FollowedHyperlink"/>
    <w:basedOn w:val="DefaultParagraphFont"/>
    <w:uiPriority w:val="99"/>
    <w:semiHidden/>
    <w:unhideWhenUsed/>
    <w:rsid w:val="009124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prensa/comunicados/2019/022.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pdf/2017/15-17MC248-17-VE.pdf" TargetMode="External"/><Relationship Id="rId13" Type="http://schemas.openxmlformats.org/officeDocument/2006/relationships/hyperlink" Target="http://www.oas.org/es/cidh/prensa/comunicados/2019/022.asp" TargetMode="External"/><Relationship Id="rId3" Type="http://schemas.openxmlformats.org/officeDocument/2006/relationships/hyperlink" Target="http://www.oas.org/es/cidh/informes/pdfs/Venezuela2018-es.pdf" TargetMode="External"/><Relationship Id="rId7" Type="http://schemas.openxmlformats.org/officeDocument/2006/relationships/hyperlink" Target="http://www.oas.org/es/cidh/prensa/comunicados/2019/040.asp" TargetMode="External"/><Relationship Id="rId12" Type="http://schemas.openxmlformats.org/officeDocument/2006/relationships/hyperlink" Target="http://www.oas.org/es/cidh/prensa/comunicados/2019/015.asp" TargetMode="External"/><Relationship Id="rId2" Type="http://schemas.openxmlformats.org/officeDocument/2006/relationships/hyperlink" Target="http://www.oas.org/es/cidh/informes/pdfs/Venezuela2018-es.pdf" TargetMode="External"/><Relationship Id="rId1" Type="http://schemas.openxmlformats.org/officeDocument/2006/relationships/hyperlink" Target="https://www.infobae.com/america/venezuela/2019/07/17/la-oea-se-reune-para-abordar-las-violaciones-de-los-derechos-humanos-en-venezuela/" TargetMode="External"/><Relationship Id="rId6" Type="http://schemas.openxmlformats.org/officeDocument/2006/relationships/hyperlink" Target="http://www.oas.org/es/cidh/prensa/comunicados/2019/022.asp" TargetMode="External"/><Relationship Id="rId11" Type="http://schemas.openxmlformats.org/officeDocument/2006/relationships/hyperlink" Target="http://www.oas.org/es/cidh/prensa/comunicados/2019/017A.pdf" TargetMode="External"/><Relationship Id="rId5" Type="http://schemas.openxmlformats.org/officeDocument/2006/relationships/hyperlink" Target="http://www.oas.org/es/cidh/prensa/comunicados/2019/015.asp" TargetMode="External"/><Relationship Id="rId10" Type="http://schemas.openxmlformats.org/officeDocument/2006/relationships/hyperlink" Target="http://www.oas.org/es/cidh/decisiones/pdf/2018/79-18MC1039-18-VE.pdf" TargetMode="External"/><Relationship Id="rId4" Type="http://schemas.openxmlformats.org/officeDocument/2006/relationships/hyperlink" Target="http://www.oas.org/es/centro_noticias/comunicado_prensa.asp?sCodigo=C-001/19" TargetMode="External"/><Relationship Id="rId9" Type="http://schemas.openxmlformats.org/officeDocument/2006/relationships/hyperlink" Target="http://www.oas.org/es/cidh/decisiones/pdf/2017/35-17MC533-17-V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0CB3-710D-4676-A441-977068FC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4083</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Luisa</dc:creator>
  <cp:lastModifiedBy>Silva, Luisa</cp:lastModifiedBy>
  <cp:revision>4</cp:revision>
  <cp:lastPrinted>2019-09-13T22:35:00Z</cp:lastPrinted>
  <dcterms:created xsi:type="dcterms:W3CDTF">2019-10-02T20:09:00Z</dcterms:created>
  <dcterms:modified xsi:type="dcterms:W3CDTF">2019-10-03T16:26:00Z</dcterms:modified>
</cp:coreProperties>
</file>