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50" w:rsidRPr="009838AB" w:rsidRDefault="00EB2B50" w:rsidP="00245A1E">
      <w:pPr>
        <w:widowControl w:val="0"/>
        <w:spacing w:after="0" w:line="240" w:lineRule="auto"/>
        <w:jc w:val="center"/>
        <w:rPr>
          <w:rFonts w:asciiTheme="majorHAnsi" w:eastAsia="Calibri" w:hAnsiTheme="majorHAnsi" w:cs="Calibri"/>
          <w:b/>
          <w:szCs w:val="21"/>
          <w:lang w:val="es-PE"/>
        </w:rPr>
      </w:pPr>
      <w:r w:rsidRPr="009838AB">
        <w:rPr>
          <w:rFonts w:asciiTheme="majorHAnsi" w:eastAsia="Calibri" w:hAnsiTheme="majorHAnsi" w:cs="Calibri"/>
          <w:b/>
          <w:szCs w:val="21"/>
          <w:lang w:val="es-PE"/>
        </w:rPr>
        <w:t>COMISIÓN INTERAMERICANA DE DERECHOS HUMANOS</w:t>
      </w:r>
    </w:p>
    <w:p w:rsidR="00EB2B50" w:rsidRPr="009838AB" w:rsidRDefault="00EB2B50" w:rsidP="00245A1E">
      <w:pPr>
        <w:widowControl w:val="0"/>
        <w:spacing w:after="0" w:line="240" w:lineRule="auto"/>
        <w:jc w:val="center"/>
        <w:rPr>
          <w:rFonts w:asciiTheme="majorHAnsi" w:eastAsia="Calibri" w:hAnsiTheme="majorHAnsi" w:cs="Calibri"/>
          <w:b/>
          <w:color w:val="000000"/>
          <w:szCs w:val="21"/>
          <w:lang w:val="es-PE"/>
        </w:rPr>
      </w:pPr>
      <w:r w:rsidRPr="009838AB">
        <w:rPr>
          <w:rFonts w:asciiTheme="majorHAnsi" w:eastAsia="Calibri" w:hAnsiTheme="majorHAnsi" w:cs="Calibri"/>
          <w:b/>
          <w:color w:val="000000"/>
          <w:szCs w:val="21"/>
          <w:lang w:val="es-PE"/>
        </w:rPr>
        <w:t xml:space="preserve">RESOLUCIÓN </w:t>
      </w:r>
      <w:r w:rsidR="00550EC3">
        <w:rPr>
          <w:rFonts w:asciiTheme="majorHAnsi" w:eastAsia="Calibri" w:hAnsiTheme="majorHAnsi" w:cs="Calibri"/>
          <w:b/>
          <w:color w:val="000000"/>
          <w:szCs w:val="21"/>
          <w:lang w:val="es-PE"/>
        </w:rPr>
        <w:t>2/</w:t>
      </w:r>
      <w:r w:rsidRPr="009838AB">
        <w:rPr>
          <w:rFonts w:asciiTheme="majorHAnsi" w:eastAsia="Calibri" w:hAnsiTheme="majorHAnsi" w:cs="Calibri"/>
          <w:b/>
          <w:color w:val="000000"/>
          <w:szCs w:val="21"/>
          <w:lang w:val="es-PE"/>
        </w:rPr>
        <w:t>201</w:t>
      </w:r>
      <w:r w:rsidR="00815515">
        <w:rPr>
          <w:rFonts w:asciiTheme="majorHAnsi" w:eastAsia="Calibri" w:hAnsiTheme="majorHAnsi" w:cs="Calibri"/>
          <w:b/>
          <w:color w:val="000000"/>
          <w:szCs w:val="21"/>
          <w:lang w:val="es-PE"/>
        </w:rPr>
        <w:t>9</w:t>
      </w:r>
    </w:p>
    <w:p w:rsidR="00815515" w:rsidRDefault="00815515" w:rsidP="00245A1E">
      <w:pPr>
        <w:widowControl w:val="0"/>
        <w:spacing w:after="0" w:line="240" w:lineRule="auto"/>
        <w:jc w:val="center"/>
        <w:rPr>
          <w:rFonts w:asciiTheme="majorHAnsi" w:eastAsia="Calibri" w:hAnsiTheme="majorHAnsi" w:cs="Calibri"/>
          <w:color w:val="000000"/>
          <w:szCs w:val="21"/>
          <w:lang w:val="es-PE"/>
        </w:rPr>
      </w:pPr>
    </w:p>
    <w:p w:rsidR="00EB2B50" w:rsidRPr="003C00A6" w:rsidRDefault="00EB2B50" w:rsidP="00245A1E">
      <w:pPr>
        <w:widowControl w:val="0"/>
        <w:spacing w:after="0" w:line="240" w:lineRule="auto"/>
        <w:jc w:val="center"/>
        <w:rPr>
          <w:rFonts w:asciiTheme="majorHAnsi" w:eastAsia="Calibri" w:hAnsiTheme="majorHAnsi" w:cs="Calibri"/>
          <w:color w:val="000000"/>
          <w:sz w:val="21"/>
          <w:szCs w:val="21"/>
          <w:lang w:val="pt-BR"/>
        </w:rPr>
      </w:pPr>
      <w:r w:rsidRPr="003C00A6">
        <w:rPr>
          <w:rFonts w:asciiTheme="majorHAnsi" w:eastAsia="Calibri" w:hAnsiTheme="majorHAnsi" w:cs="Calibri"/>
          <w:color w:val="000000"/>
          <w:szCs w:val="21"/>
          <w:lang w:val="pt-BR"/>
        </w:rPr>
        <w:t>Medidas cautelares No.</w:t>
      </w:r>
      <w:r w:rsidR="0059333C" w:rsidRPr="003C00A6">
        <w:rPr>
          <w:rFonts w:asciiTheme="majorHAnsi" w:eastAsia="Calibri" w:hAnsiTheme="majorHAnsi" w:cs="Calibri"/>
          <w:color w:val="000000"/>
          <w:szCs w:val="21"/>
          <w:lang w:val="pt-BR"/>
        </w:rPr>
        <w:t xml:space="preserve"> </w:t>
      </w:r>
      <w:r w:rsidR="00815515" w:rsidRPr="003C00A6">
        <w:rPr>
          <w:rFonts w:asciiTheme="majorHAnsi" w:eastAsia="Calibri" w:hAnsiTheme="majorHAnsi" w:cs="Calibri"/>
          <w:color w:val="000000"/>
          <w:szCs w:val="21"/>
          <w:lang w:val="pt-BR"/>
        </w:rPr>
        <w:t>84-19</w:t>
      </w:r>
    </w:p>
    <w:p w:rsidR="00EB2B50" w:rsidRPr="003C00A6" w:rsidRDefault="00815515" w:rsidP="00245A1E">
      <w:pPr>
        <w:widowControl w:val="0"/>
        <w:spacing w:after="0" w:line="240" w:lineRule="auto"/>
        <w:contextualSpacing/>
        <w:jc w:val="center"/>
        <w:rPr>
          <w:rFonts w:asciiTheme="majorHAnsi" w:eastAsia="Calibri" w:hAnsiTheme="majorHAnsi" w:cs="Calibri"/>
          <w:color w:val="000000"/>
          <w:sz w:val="26"/>
          <w:szCs w:val="26"/>
          <w:lang w:val="pt-BR"/>
        </w:rPr>
      </w:pPr>
      <w:r w:rsidRPr="003C00A6">
        <w:rPr>
          <w:rFonts w:asciiTheme="majorHAnsi" w:eastAsia="Calibri" w:hAnsiTheme="majorHAnsi" w:cs="Calibri"/>
          <w:color w:val="000000"/>
          <w:sz w:val="26"/>
          <w:szCs w:val="26"/>
          <w:lang w:val="pt-BR"/>
        </w:rPr>
        <w:t xml:space="preserve">Ruth Esther Matute Valdivia </w:t>
      </w:r>
      <w:r w:rsidR="00EB2B50" w:rsidRPr="003C00A6">
        <w:rPr>
          <w:rFonts w:asciiTheme="majorHAnsi" w:eastAsia="Calibri" w:hAnsiTheme="majorHAnsi" w:cs="Calibri"/>
          <w:color w:val="000000"/>
          <w:sz w:val="26"/>
          <w:szCs w:val="26"/>
          <w:lang w:val="pt-BR"/>
        </w:rPr>
        <w:t>respecto de Nicaragua</w:t>
      </w:r>
    </w:p>
    <w:p w:rsidR="00EB2B50" w:rsidRPr="009838AB" w:rsidRDefault="00550EC3" w:rsidP="00245A1E">
      <w:pPr>
        <w:widowControl w:val="0"/>
        <w:spacing w:after="0" w:line="240" w:lineRule="auto"/>
        <w:jc w:val="center"/>
        <w:rPr>
          <w:rFonts w:asciiTheme="majorHAnsi" w:eastAsia="Calibri" w:hAnsiTheme="majorHAnsi" w:cs="Calibri"/>
          <w:color w:val="000000"/>
          <w:sz w:val="20"/>
          <w:szCs w:val="21"/>
          <w:lang w:val="es-PE"/>
        </w:rPr>
      </w:pPr>
      <w:r>
        <w:rPr>
          <w:rFonts w:asciiTheme="majorHAnsi" w:eastAsia="Calibri" w:hAnsiTheme="majorHAnsi" w:cs="Calibri"/>
          <w:color w:val="000000"/>
          <w:sz w:val="20"/>
          <w:szCs w:val="21"/>
          <w:lang w:val="es-PE"/>
        </w:rPr>
        <w:t xml:space="preserve">31 de enero </w:t>
      </w:r>
      <w:r w:rsidR="00815515">
        <w:rPr>
          <w:rFonts w:asciiTheme="majorHAnsi" w:eastAsia="Calibri" w:hAnsiTheme="majorHAnsi" w:cs="Calibri"/>
          <w:color w:val="000000"/>
          <w:sz w:val="20"/>
          <w:szCs w:val="21"/>
          <w:lang w:val="es-PE"/>
        </w:rPr>
        <w:t>de 2019</w:t>
      </w:r>
    </w:p>
    <w:p w:rsidR="00AF3207" w:rsidRPr="009838AB" w:rsidRDefault="00AF3207" w:rsidP="00245A1E">
      <w:pPr>
        <w:widowControl w:val="0"/>
        <w:spacing w:after="0" w:line="240" w:lineRule="auto"/>
        <w:ind w:left="810"/>
        <w:jc w:val="both"/>
        <w:rPr>
          <w:rFonts w:asciiTheme="majorHAnsi" w:eastAsia="Calibri" w:hAnsiTheme="majorHAnsi" w:cs="Calibri"/>
          <w:b/>
          <w:color w:val="000000"/>
          <w:sz w:val="21"/>
          <w:szCs w:val="21"/>
          <w:lang w:val="es-PE"/>
        </w:rPr>
      </w:pPr>
    </w:p>
    <w:p w:rsidR="00EB2B50" w:rsidRPr="009838AB" w:rsidRDefault="00EB2B50" w:rsidP="00245A1E">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9838AB">
        <w:rPr>
          <w:rFonts w:asciiTheme="majorHAnsi" w:eastAsia="Calibri" w:hAnsiTheme="majorHAnsi" w:cs="Calibri"/>
          <w:b/>
          <w:color w:val="000000"/>
          <w:sz w:val="21"/>
          <w:szCs w:val="21"/>
          <w:lang w:val="es-PE"/>
        </w:rPr>
        <w:t>INTRODUCCIÓN</w:t>
      </w:r>
    </w:p>
    <w:p w:rsidR="00EB2B50" w:rsidRPr="009838AB" w:rsidRDefault="00EB2B50" w:rsidP="00245A1E">
      <w:pPr>
        <w:widowControl w:val="0"/>
        <w:spacing w:after="0" w:line="240" w:lineRule="auto"/>
        <w:ind w:left="720"/>
        <w:jc w:val="both"/>
        <w:rPr>
          <w:rFonts w:asciiTheme="majorHAnsi" w:eastAsia="Calibri" w:hAnsiTheme="majorHAnsi" w:cs="Calibri"/>
          <w:b/>
          <w:color w:val="000000"/>
          <w:sz w:val="21"/>
          <w:szCs w:val="21"/>
          <w:lang w:val="es-PE"/>
        </w:rPr>
      </w:pPr>
    </w:p>
    <w:p w:rsidR="00815515" w:rsidRDefault="005560F8" w:rsidP="00245A1E">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Durante la visita de trabajo realizada por la Comisión Interamericana de Derechos Humanos (en lo sucesivo “la Comisión Interamericana”, “la Comisión” o “la CIDH”), entre el 17 al 21 de mayo de 2018, recibió diversas solicitudes de medidas cautelares, instando a que requiera al Estado de Nicaragua (en adelante “el Estado”), la protección de la vida e integridad personal de personas que se encontrarían en una situación de riesgo como resultado de los hechos de violencia que tendrían lugar desde el 18 de abril de 2018. La Comisión ha continuado dando seguimiento a la situación y solicitudes de medidas cautelares recibidas durante y después de la visita</w:t>
      </w:r>
      <w:r w:rsidR="0059333C" w:rsidRPr="009838AB">
        <w:rPr>
          <w:rFonts w:asciiTheme="majorHAnsi" w:eastAsia="Calibri" w:hAnsiTheme="majorHAnsi" w:cs="Calibri"/>
          <w:color w:val="000000"/>
          <w:sz w:val="21"/>
          <w:szCs w:val="21"/>
          <w:lang w:val="es-PE"/>
        </w:rPr>
        <w:t xml:space="preserve">. </w:t>
      </w:r>
      <w:r w:rsidRPr="009838AB">
        <w:rPr>
          <w:rFonts w:asciiTheme="majorHAnsi" w:eastAsia="Calibri" w:hAnsiTheme="majorHAnsi" w:cs="Calibri"/>
          <w:color w:val="000000"/>
          <w:sz w:val="21"/>
          <w:szCs w:val="21"/>
          <w:lang w:val="es-PE"/>
        </w:rPr>
        <w:t>Según la solicitud recibida</w:t>
      </w:r>
      <w:r w:rsidR="002B2BA3">
        <w:rPr>
          <w:rFonts w:asciiTheme="majorHAnsi" w:eastAsia="Calibri" w:hAnsiTheme="majorHAnsi" w:cs="Calibri"/>
          <w:color w:val="000000"/>
          <w:sz w:val="21"/>
          <w:szCs w:val="21"/>
          <w:lang w:val="es-PE"/>
        </w:rPr>
        <w:t xml:space="preserve"> el 18 de enero de 201</w:t>
      </w:r>
      <w:r w:rsidR="00EB6A3C">
        <w:rPr>
          <w:rFonts w:asciiTheme="majorHAnsi" w:eastAsia="Calibri" w:hAnsiTheme="majorHAnsi" w:cs="Calibri"/>
          <w:color w:val="000000"/>
          <w:sz w:val="21"/>
          <w:szCs w:val="21"/>
          <w:lang w:val="es-PE"/>
        </w:rPr>
        <w:t>9</w:t>
      </w:r>
      <w:r w:rsidR="007107F2" w:rsidRPr="009838AB">
        <w:rPr>
          <w:rStyle w:val="FootnoteReference"/>
          <w:rFonts w:asciiTheme="majorHAnsi" w:eastAsia="Calibri" w:hAnsiTheme="majorHAnsi" w:cs="Calibri"/>
          <w:color w:val="000000"/>
          <w:sz w:val="21"/>
          <w:szCs w:val="21"/>
          <w:lang w:val="es-PE"/>
        </w:rPr>
        <w:footnoteReference w:id="1"/>
      </w:r>
      <w:r w:rsidR="007F7C36" w:rsidRPr="009838AB">
        <w:rPr>
          <w:rFonts w:asciiTheme="majorHAnsi" w:eastAsia="Calibri" w:hAnsiTheme="majorHAnsi" w:cs="Calibri"/>
          <w:color w:val="000000"/>
          <w:sz w:val="21"/>
          <w:szCs w:val="21"/>
          <w:lang w:val="es-PE"/>
        </w:rPr>
        <w:t>,</w:t>
      </w:r>
      <w:r w:rsidRPr="009838AB">
        <w:rPr>
          <w:rFonts w:asciiTheme="majorHAnsi" w:eastAsia="Calibri" w:hAnsiTheme="majorHAnsi" w:cs="Calibri"/>
          <w:color w:val="000000"/>
          <w:sz w:val="21"/>
          <w:szCs w:val="21"/>
          <w:lang w:val="es-PE"/>
        </w:rPr>
        <w:t xml:space="preserve"> </w:t>
      </w:r>
      <w:r w:rsidR="00815515">
        <w:rPr>
          <w:rFonts w:asciiTheme="majorHAnsi" w:eastAsia="Calibri" w:hAnsiTheme="majorHAnsi" w:cs="Calibri"/>
          <w:color w:val="000000"/>
          <w:sz w:val="21"/>
          <w:szCs w:val="21"/>
          <w:lang w:val="es-PE"/>
        </w:rPr>
        <w:t xml:space="preserve">la propuesta beneficiaria </w:t>
      </w:r>
      <w:r w:rsidR="00734BBC">
        <w:rPr>
          <w:rFonts w:asciiTheme="majorHAnsi" w:eastAsia="Calibri" w:hAnsiTheme="majorHAnsi" w:cs="Calibri"/>
          <w:color w:val="000000"/>
          <w:sz w:val="21"/>
          <w:szCs w:val="21"/>
          <w:lang w:val="es-PE"/>
        </w:rPr>
        <w:t xml:space="preserve">se encuentra en una </w:t>
      </w:r>
      <w:r w:rsidR="00B90764">
        <w:rPr>
          <w:rFonts w:asciiTheme="majorHAnsi" w:eastAsia="Calibri" w:hAnsiTheme="majorHAnsi" w:cs="Calibri"/>
          <w:color w:val="000000"/>
          <w:sz w:val="21"/>
          <w:szCs w:val="21"/>
          <w:lang w:val="es-PE"/>
        </w:rPr>
        <w:t>situación</w:t>
      </w:r>
      <w:r w:rsidR="00734BBC">
        <w:rPr>
          <w:rFonts w:asciiTheme="majorHAnsi" w:eastAsia="Calibri" w:hAnsiTheme="majorHAnsi" w:cs="Calibri"/>
          <w:color w:val="000000"/>
          <w:sz w:val="21"/>
          <w:szCs w:val="21"/>
          <w:lang w:val="es-PE"/>
        </w:rPr>
        <w:t xml:space="preserve"> de riesgo ante la falta de </w:t>
      </w:r>
      <w:r w:rsidR="00B90764">
        <w:rPr>
          <w:rFonts w:asciiTheme="majorHAnsi" w:eastAsia="Calibri" w:hAnsiTheme="majorHAnsi" w:cs="Calibri"/>
          <w:color w:val="000000"/>
          <w:sz w:val="21"/>
          <w:szCs w:val="21"/>
          <w:lang w:val="es-PE"/>
        </w:rPr>
        <w:t>atención</w:t>
      </w:r>
      <w:r w:rsidR="00734BBC">
        <w:rPr>
          <w:rFonts w:asciiTheme="majorHAnsi" w:eastAsia="Calibri" w:hAnsiTheme="majorHAnsi" w:cs="Calibri"/>
          <w:color w:val="000000"/>
          <w:sz w:val="21"/>
          <w:szCs w:val="21"/>
          <w:lang w:val="es-PE"/>
        </w:rPr>
        <w:t xml:space="preserve"> </w:t>
      </w:r>
      <w:r w:rsidR="00B90764">
        <w:rPr>
          <w:rFonts w:asciiTheme="majorHAnsi" w:eastAsia="Calibri" w:hAnsiTheme="majorHAnsi" w:cs="Calibri"/>
          <w:color w:val="000000"/>
          <w:sz w:val="21"/>
          <w:szCs w:val="21"/>
          <w:lang w:val="es-PE"/>
        </w:rPr>
        <w:t>médica</w:t>
      </w:r>
      <w:r w:rsidR="00734BBC">
        <w:rPr>
          <w:rFonts w:asciiTheme="majorHAnsi" w:eastAsia="Calibri" w:hAnsiTheme="majorHAnsi" w:cs="Calibri"/>
          <w:color w:val="000000"/>
          <w:sz w:val="21"/>
          <w:szCs w:val="21"/>
          <w:lang w:val="es-PE"/>
        </w:rPr>
        <w:t xml:space="preserve"> adecuada para atender su </w:t>
      </w:r>
      <w:r w:rsidR="00B90764">
        <w:rPr>
          <w:rFonts w:asciiTheme="majorHAnsi" w:eastAsia="Calibri" w:hAnsiTheme="majorHAnsi" w:cs="Calibri"/>
          <w:color w:val="000000"/>
          <w:sz w:val="21"/>
          <w:szCs w:val="21"/>
          <w:lang w:val="es-PE"/>
        </w:rPr>
        <w:t>situación</w:t>
      </w:r>
      <w:r w:rsidR="00734BBC">
        <w:rPr>
          <w:rFonts w:asciiTheme="majorHAnsi" w:eastAsia="Calibri" w:hAnsiTheme="majorHAnsi" w:cs="Calibri"/>
          <w:color w:val="000000"/>
          <w:sz w:val="21"/>
          <w:szCs w:val="21"/>
          <w:lang w:val="es-PE"/>
        </w:rPr>
        <w:t xml:space="preserve"> de salud. </w:t>
      </w:r>
    </w:p>
    <w:p w:rsidR="00815515" w:rsidRDefault="00815515" w:rsidP="00245A1E">
      <w:pPr>
        <w:widowControl w:val="0"/>
        <w:spacing w:after="0" w:line="240" w:lineRule="auto"/>
        <w:ind w:left="360"/>
        <w:jc w:val="both"/>
        <w:rPr>
          <w:rFonts w:asciiTheme="majorHAnsi" w:eastAsia="Calibri" w:hAnsiTheme="majorHAnsi" w:cs="Calibri"/>
          <w:color w:val="000000"/>
          <w:sz w:val="21"/>
          <w:szCs w:val="21"/>
          <w:lang w:val="es-PE"/>
        </w:rPr>
      </w:pPr>
    </w:p>
    <w:p w:rsidR="00550EC3" w:rsidRPr="00550EC3" w:rsidRDefault="00EB2B50" w:rsidP="00245A1E">
      <w:pPr>
        <w:widowControl w:val="0"/>
        <w:numPr>
          <w:ilvl w:val="0"/>
          <w:numId w:val="4"/>
        </w:numPr>
        <w:spacing w:after="0" w:line="240" w:lineRule="auto"/>
        <w:ind w:left="0" w:firstLine="360"/>
        <w:jc w:val="both"/>
        <w:rPr>
          <w:rFonts w:asciiTheme="majorHAnsi" w:hAnsiTheme="majorHAnsi"/>
          <w:sz w:val="21"/>
          <w:szCs w:val="21"/>
          <w:lang w:val="es-PE"/>
        </w:rPr>
      </w:pPr>
      <w:r w:rsidRPr="00550EC3">
        <w:rPr>
          <w:rFonts w:asciiTheme="majorHAnsi" w:eastAsia="Calibri" w:hAnsiTheme="majorHAnsi" w:cs="Calibri"/>
          <w:color w:val="000000"/>
          <w:sz w:val="21"/>
          <w:szCs w:val="21"/>
          <w:lang w:val="es-PE"/>
        </w:rPr>
        <w:t xml:space="preserve">Tras analizar la información disponible, </w:t>
      </w:r>
      <w:r w:rsidR="005F7A9A" w:rsidRPr="00550EC3">
        <w:rPr>
          <w:rFonts w:asciiTheme="majorHAnsi" w:eastAsia="Calibri" w:hAnsiTheme="majorHAnsi" w:cs="Calibri"/>
          <w:color w:val="000000"/>
          <w:sz w:val="21"/>
          <w:szCs w:val="21"/>
          <w:lang w:val="es-PE"/>
        </w:rPr>
        <w:t xml:space="preserve">a la luz del contexto aplicable y las constataciones realizadas, la </w:t>
      </w:r>
      <w:r w:rsidRPr="00550EC3">
        <w:rPr>
          <w:rFonts w:asciiTheme="majorHAnsi" w:eastAsia="Calibri" w:hAnsiTheme="majorHAnsi" w:cs="Calibri"/>
          <w:color w:val="000000"/>
          <w:sz w:val="21"/>
          <w:szCs w:val="21"/>
          <w:lang w:val="es-PE"/>
        </w:rPr>
        <w:t xml:space="preserve">Comisión considera que la información presentada demuestra </w:t>
      </w:r>
      <w:r w:rsidRPr="00550EC3">
        <w:rPr>
          <w:rFonts w:asciiTheme="majorHAnsi" w:eastAsia="Calibri" w:hAnsiTheme="majorHAnsi" w:cs="Calibri"/>
          <w:i/>
          <w:color w:val="000000"/>
          <w:sz w:val="21"/>
          <w:szCs w:val="21"/>
          <w:lang w:val="es-PE"/>
        </w:rPr>
        <w:t xml:space="preserve">prima facie </w:t>
      </w:r>
      <w:r w:rsidRPr="00550EC3">
        <w:rPr>
          <w:rFonts w:asciiTheme="majorHAnsi" w:eastAsia="Calibri" w:hAnsiTheme="majorHAnsi" w:cs="Calibri"/>
          <w:color w:val="000000"/>
          <w:sz w:val="21"/>
          <w:szCs w:val="21"/>
          <w:lang w:val="es-PE"/>
        </w:rPr>
        <w:t xml:space="preserve">que los derechos a la </w:t>
      </w:r>
      <w:r w:rsidR="003C7CA3" w:rsidRPr="00550EC3">
        <w:rPr>
          <w:rFonts w:asciiTheme="majorHAnsi" w:eastAsia="Calibri" w:hAnsiTheme="majorHAnsi" w:cs="Calibri"/>
          <w:color w:val="000000"/>
          <w:sz w:val="21"/>
          <w:szCs w:val="21"/>
          <w:lang w:val="es-PE"/>
        </w:rPr>
        <w:t xml:space="preserve">vida, </w:t>
      </w:r>
      <w:r w:rsidRPr="00550EC3">
        <w:rPr>
          <w:rFonts w:asciiTheme="majorHAnsi" w:eastAsia="Calibri" w:hAnsiTheme="majorHAnsi" w:cs="Calibri"/>
          <w:color w:val="000000"/>
          <w:sz w:val="21"/>
          <w:szCs w:val="21"/>
          <w:lang w:val="es-PE"/>
        </w:rPr>
        <w:t xml:space="preserve">integridad personal </w:t>
      </w:r>
      <w:r w:rsidR="003C7CA3" w:rsidRPr="00550EC3">
        <w:rPr>
          <w:rFonts w:asciiTheme="majorHAnsi" w:eastAsia="Calibri" w:hAnsiTheme="majorHAnsi" w:cs="Calibri"/>
          <w:color w:val="000000"/>
          <w:sz w:val="21"/>
          <w:szCs w:val="21"/>
          <w:lang w:val="es-PE"/>
        </w:rPr>
        <w:t xml:space="preserve">y salud </w:t>
      </w:r>
      <w:r w:rsidR="003B7C3D" w:rsidRPr="00550EC3">
        <w:rPr>
          <w:rFonts w:asciiTheme="majorHAnsi" w:eastAsia="Calibri" w:hAnsiTheme="majorHAnsi" w:cs="Calibri"/>
          <w:color w:val="000000"/>
          <w:sz w:val="21"/>
          <w:szCs w:val="21"/>
          <w:lang w:val="es-PE"/>
        </w:rPr>
        <w:t>de</w:t>
      </w:r>
      <w:r w:rsidR="00915736" w:rsidRPr="00550EC3">
        <w:rPr>
          <w:rFonts w:asciiTheme="majorHAnsi" w:eastAsia="Calibri" w:hAnsiTheme="majorHAnsi" w:cs="Calibri"/>
          <w:color w:val="000000"/>
          <w:sz w:val="21"/>
          <w:szCs w:val="21"/>
          <w:lang w:val="es-PE"/>
        </w:rPr>
        <w:t xml:space="preserve"> </w:t>
      </w:r>
      <w:r w:rsidR="00815515" w:rsidRPr="00550EC3">
        <w:rPr>
          <w:rFonts w:asciiTheme="majorHAnsi" w:eastAsia="Calibri" w:hAnsiTheme="majorHAnsi" w:cs="Calibri"/>
          <w:color w:val="000000"/>
          <w:sz w:val="21"/>
          <w:szCs w:val="21"/>
          <w:lang w:val="es-PE"/>
        </w:rPr>
        <w:t xml:space="preserve">Ruth Esther Matute Valdivia </w:t>
      </w:r>
      <w:r w:rsidRPr="00550EC3">
        <w:rPr>
          <w:rFonts w:asciiTheme="majorHAnsi" w:eastAsia="Calibri" w:hAnsiTheme="majorHAnsi" w:cs="Calibri"/>
          <w:color w:val="000000"/>
          <w:sz w:val="21"/>
          <w:szCs w:val="21"/>
          <w:lang w:val="es-PE"/>
        </w:rPr>
        <w:t xml:space="preserve">se encuentran en una situación de </w:t>
      </w:r>
      <w:r w:rsidR="002B7483" w:rsidRPr="00550EC3">
        <w:rPr>
          <w:rFonts w:asciiTheme="majorHAnsi" w:eastAsia="Calibri" w:hAnsiTheme="majorHAnsi" w:cs="Calibri"/>
          <w:color w:val="000000"/>
          <w:sz w:val="21"/>
          <w:szCs w:val="21"/>
          <w:lang w:val="es-PE"/>
        </w:rPr>
        <w:t>gravedad y urgencia</w:t>
      </w:r>
      <w:r w:rsidRPr="00550EC3">
        <w:rPr>
          <w:rFonts w:asciiTheme="majorHAnsi" w:eastAsia="Calibri" w:hAnsiTheme="majorHAnsi" w:cs="Calibri"/>
          <w:color w:val="000000"/>
          <w:sz w:val="21"/>
          <w:szCs w:val="21"/>
          <w:lang w:val="es-PE"/>
        </w:rPr>
        <w:t>. En consecuencia, de acuerdo con el artículo 25 del Reglamento</w:t>
      </w:r>
      <w:r w:rsidR="00246FEE" w:rsidRPr="00550EC3">
        <w:rPr>
          <w:rFonts w:asciiTheme="majorHAnsi" w:eastAsia="Calibri" w:hAnsiTheme="majorHAnsi" w:cs="Calibri"/>
          <w:color w:val="000000"/>
          <w:sz w:val="21"/>
          <w:szCs w:val="21"/>
          <w:lang w:val="es-PE"/>
        </w:rPr>
        <w:t xml:space="preserve">, la Comisión solicita al Estado de Nicaragua que: </w:t>
      </w:r>
      <w:r w:rsidR="00550EC3" w:rsidRPr="00550EC3">
        <w:rPr>
          <w:rFonts w:asciiTheme="majorHAnsi" w:hAnsiTheme="majorHAnsi"/>
          <w:sz w:val="21"/>
          <w:szCs w:val="21"/>
          <w:lang w:val="es-PE"/>
        </w:rPr>
        <w:t>a) adopte las medidas necesarias para garantizar los derechos a la vida, integridad personal y salud de la señora Ruth Esther Matute Valdivia. En particular, el Estado debe tanto asegurar que sus agentes respeten los derechos de la beneficiaria de conformidad con los estándares establecidos por el derecho internacional de los derechos humanos, como en relación con actos de riesgo atribuibles a terceros; b) asegure que la señora Ruth Esther Matute Valdivia tenga acceso a un tratamiento médico adecuado atendiendo a su condición de salud y de conformidad con las recomendaciones dadas por los especialistas correspondientes. Asimismo, con el fin de verificar las circunstancias en que se encuentra la beneficiaria, facilite el acceso a la señora Ruth Esther Matute Valdivia a sus representantes legales y a sus visitas familiares de conformidad con los estándares aplicables; c) concierte las medidas a adoptarse con la beneficiaria y sus representantes; y</w:t>
      </w:r>
      <w:r w:rsidR="00550EC3">
        <w:rPr>
          <w:rFonts w:asciiTheme="majorHAnsi" w:hAnsiTheme="majorHAnsi"/>
          <w:sz w:val="21"/>
          <w:szCs w:val="21"/>
          <w:lang w:val="es-PE"/>
        </w:rPr>
        <w:t xml:space="preserve"> </w:t>
      </w:r>
      <w:r w:rsidR="00550EC3" w:rsidRPr="00550EC3">
        <w:rPr>
          <w:rFonts w:asciiTheme="majorHAnsi" w:hAnsiTheme="majorHAnsi"/>
          <w:sz w:val="21"/>
          <w:szCs w:val="21"/>
          <w:lang w:val="es-PE"/>
        </w:rPr>
        <w:t>d)</w:t>
      </w:r>
      <w:r w:rsidR="00245A1E">
        <w:rPr>
          <w:rFonts w:asciiTheme="majorHAnsi" w:hAnsiTheme="majorHAnsi"/>
          <w:sz w:val="21"/>
          <w:szCs w:val="21"/>
          <w:lang w:val="es-PE"/>
        </w:rPr>
        <w:t xml:space="preserve"> </w:t>
      </w:r>
      <w:r w:rsidR="00550EC3">
        <w:rPr>
          <w:rFonts w:asciiTheme="majorHAnsi" w:hAnsiTheme="majorHAnsi"/>
          <w:sz w:val="21"/>
          <w:szCs w:val="21"/>
          <w:lang w:val="es-PE"/>
        </w:rPr>
        <w:t>i</w:t>
      </w:r>
      <w:r w:rsidR="00550EC3" w:rsidRPr="00550EC3">
        <w:rPr>
          <w:rFonts w:asciiTheme="majorHAnsi" w:hAnsiTheme="majorHAnsi"/>
          <w:sz w:val="21"/>
          <w:szCs w:val="21"/>
          <w:lang w:val="es-PE"/>
        </w:rPr>
        <w:t>nforme sobre las acciones adoptadas a fin de investigar los presuntos hechos que dieron lugar a la adopción de la presente cautelar.</w:t>
      </w:r>
    </w:p>
    <w:p w:rsidR="00815515" w:rsidRPr="00815515" w:rsidRDefault="00815515" w:rsidP="00245A1E">
      <w:pPr>
        <w:widowControl w:val="0"/>
        <w:spacing w:after="0" w:line="240" w:lineRule="auto"/>
        <w:jc w:val="both"/>
        <w:rPr>
          <w:rFonts w:asciiTheme="majorHAnsi" w:hAnsiTheme="majorHAnsi"/>
          <w:sz w:val="21"/>
          <w:szCs w:val="21"/>
          <w:lang w:val="es-PE"/>
        </w:rPr>
      </w:pPr>
    </w:p>
    <w:p w:rsidR="008D2A75" w:rsidRPr="009838AB" w:rsidRDefault="008D2A75" w:rsidP="00245A1E">
      <w:pPr>
        <w:widowControl w:val="0"/>
        <w:numPr>
          <w:ilvl w:val="0"/>
          <w:numId w:val="3"/>
        </w:numPr>
        <w:spacing w:after="0" w:line="240" w:lineRule="auto"/>
        <w:ind w:left="810"/>
        <w:jc w:val="both"/>
        <w:rPr>
          <w:rFonts w:asciiTheme="majorHAnsi" w:hAnsiTheme="majorHAnsi"/>
          <w:b/>
          <w:sz w:val="21"/>
          <w:szCs w:val="21"/>
          <w:lang w:val="es-PE"/>
        </w:rPr>
      </w:pPr>
      <w:r w:rsidRPr="009838AB">
        <w:rPr>
          <w:rFonts w:asciiTheme="majorHAnsi" w:hAnsiTheme="majorHAnsi"/>
          <w:b/>
          <w:sz w:val="21"/>
          <w:szCs w:val="21"/>
          <w:lang w:val="es-PE"/>
        </w:rPr>
        <w:t>ANTECEDENTES</w:t>
      </w:r>
    </w:p>
    <w:p w:rsidR="00E354E6" w:rsidRPr="009838AB" w:rsidRDefault="00E354E6" w:rsidP="00245A1E">
      <w:pPr>
        <w:widowControl w:val="0"/>
        <w:spacing w:after="0" w:line="240" w:lineRule="auto"/>
        <w:jc w:val="both"/>
        <w:rPr>
          <w:rFonts w:asciiTheme="majorHAnsi" w:hAnsiTheme="majorHAnsi"/>
          <w:sz w:val="21"/>
          <w:szCs w:val="21"/>
          <w:lang w:val="es-PE"/>
        </w:rPr>
      </w:pPr>
    </w:p>
    <w:p w:rsidR="00465530" w:rsidRPr="009838AB" w:rsidRDefault="00465530" w:rsidP="00245A1E">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La Comisión tomó conocimiento sobre protestas realizadas durante el mes de abril de 2018 en rechazo al anuncio de reformas al sistema de seguridad social en Nicaragua, las cuales ocurrieron con posterioridad a una protesta que se realizó por un incendio que tuvo lugar en la reserva “Indio Maíz”. Tras conocer sobre la represión realizada contra las protestas y la muerte de al menos 20 personas, la Comisión emitió un comunicado de prensa condenando los hechos y haciendo un llamado a las autoridades, entre otros aspectos, a investigar de forma pronta y exhaustiva la conducta policial durante estas manifestaciones, y establecer las sanciones correspondientes</w:t>
      </w:r>
      <w:r w:rsidRPr="009838AB">
        <w:rPr>
          <w:rFonts w:asciiTheme="majorHAnsi" w:eastAsia="Calibri" w:hAnsiTheme="majorHAnsi" w:cs="Calibri"/>
          <w:color w:val="000000"/>
          <w:sz w:val="21"/>
          <w:szCs w:val="21"/>
          <w:vertAlign w:val="superscript"/>
          <w:lang w:val="es-PE"/>
        </w:rPr>
        <w:footnoteReference w:id="2"/>
      </w:r>
      <w:r w:rsidRPr="009838AB">
        <w:rPr>
          <w:rFonts w:asciiTheme="majorHAnsi" w:eastAsia="Calibri" w:hAnsiTheme="majorHAnsi" w:cs="Calibri"/>
          <w:color w:val="000000"/>
          <w:sz w:val="21"/>
          <w:szCs w:val="21"/>
          <w:lang w:val="es-PE"/>
        </w:rPr>
        <w:t xml:space="preserve">. Por su parte, el 20 de abril la Secretaría General de la Organización de los Estados Americanos expresó su condena contra la violencia </w:t>
      </w:r>
      <w:r w:rsidRPr="009838AB">
        <w:rPr>
          <w:rFonts w:asciiTheme="majorHAnsi" w:eastAsia="Calibri" w:hAnsiTheme="majorHAnsi" w:cs="Calibri"/>
          <w:color w:val="000000"/>
          <w:sz w:val="21"/>
          <w:szCs w:val="21"/>
          <w:lang w:val="es-PE"/>
        </w:rPr>
        <w:lastRenderedPageBreak/>
        <w:t>llamando a la paz, al respeto a la institucionalidad y a esclarecer los crímenes cometidos</w:t>
      </w:r>
      <w:r w:rsidRPr="009838AB">
        <w:rPr>
          <w:rFonts w:asciiTheme="majorHAnsi" w:eastAsia="Calibri" w:hAnsiTheme="majorHAnsi" w:cs="Calibri"/>
          <w:color w:val="000000"/>
          <w:sz w:val="21"/>
          <w:szCs w:val="21"/>
          <w:vertAlign w:val="superscript"/>
          <w:lang w:val="es-PE"/>
        </w:rPr>
        <w:footnoteReference w:id="3"/>
      </w:r>
      <w:r w:rsidRPr="009838AB">
        <w:rPr>
          <w:rFonts w:asciiTheme="majorHAnsi" w:eastAsia="Calibri" w:hAnsiTheme="majorHAnsi" w:cs="Calibri"/>
          <w:color w:val="000000"/>
          <w:sz w:val="21"/>
          <w:szCs w:val="21"/>
          <w:lang w:val="es-PE"/>
        </w:rPr>
        <w:t>. La  Oficina del Alto Comisionado de Derechos Humanos de la ONU expresó asimismo su preocupación por la muerte de personas y decenas habrían resultado heridas en Nicaragua durante las protestas</w:t>
      </w:r>
      <w:r w:rsidRPr="009838AB">
        <w:rPr>
          <w:rFonts w:asciiTheme="majorHAnsi" w:eastAsia="Calibri" w:hAnsiTheme="majorHAnsi" w:cs="Calibri"/>
          <w:color w:val="000000"/>
          <w:sz w:val="21"/>
          <w:szCs w:val="21"/>
          <w:vertAlign w:val="superscript"/>
          <w:lang w:val="es-PE"/>
        </w:rPr>
        <w:footnoteReference w:id="4"/>
      </w:r>
      <w:r w:rsidRPr="009838AB">
        <w:rPr>
          <w:rFonts w:asciiTheme="majorHAnsi" w:eastAsia="Calibri" w:hAnsiTheme="majorHAnsi" w:cs="Calibri"/>
          <w:color w:val="000000"/>
          <w:sz w:val="21"/>
          <w:szCs w:val="21"/>
          <w:lang w:val="es-PE"/>
        </w:rPr>
        <w:t xml:space="preserve">. </w:t>
      </w:r>
    </w:p>
    <w:p w:rsidR="00465530" w:rsidRPr="009838AB" w:rsidRDefault="00465530" w:rsidP="00245A1E">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245A1E">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Luego de que la Comisión recibiera información que indicaba numerosas muertes, cientos de personas heridas y detenciones presuntamente arbitrarias como resultado del presunto uso excesivo de la fuerza por parte de la fuerza policial y la actuación de diversos grupos armados parapoliciales o terceros armados, la Comisión decidió conformar una Sala de Coordinación y Respuesta Oportuna e Integrada el 3 de mayo de 2018 para dar seguimiento a los hechos denunciados</w:t>
      </w:r>
      <w:r w:rsidRPr="009838AB">
        <w:rPr>
          <w:rFonts w:asciiTheme="majorHAnsi" w:eastAsia="Calibri" w:hAnsiTheme="majorHAnsi" w:cs="Calibri"/>
          <w:color w:val="000000"/>
          <w:sz w:val="21"/>
          <w:szCs w:val="21"/>
          <w:vertAlign w:val="superscript"/>
          <w:lang w:val="es-PE"/>
        </w:rPr>
        <w:footnoteReference w:id="5"/>
      </w:r>
      <w:r w:rsidRPr="009838AB">
        <w:rPr>
          <w:rFonts w:asciiTheme="majorHAnsi" w:eastAsia="Calibri" w:hAnsiTheme="majorHAnsi" w:cs="Calibri"/>
          <w:color w:val="000000"/>
          <w:sz w:val="21"/>
          <w:szCs w:val="21"/>
          <w:lang w:val="es-PE"/>
        </w:rPr>
        <w:t>.  En este contexto, la Comisión identificó que diversos grupos de personas se encontrarían en una especial situación de vulnerabilidad, en particular, personas defensoras de derechos humanos</w:t>
      </w:r>
      <w:r w:rsidRPr="009838AB">
        <w:rPr>
          <w:rFonts w:asciiTheme="majorHAnsi" w:eastAsia="Calibri" w:hAnsiTheme="majorHAnsi" w:cs="Calibri"/>
          <w:color w:val="000000"/>
          <w:sz w:val="21"/>
          <w:szCs w:val="21"/>
          <w:vertAlign w:val="superscript"/>
          <w:lang w:val="es-PE"/>
        </w:rPr>
        <w:footnoteReference w:id="6"/>
      </w:r>
      <w:r w:rsidRPr="009838AB">
        <w:rPr>
          <w:rFonts w:asciiTheme="majorHAnsi" w:eastAsia="Calibri" w:hAnsiTheme="majorHAnsi" w:cs="Calibri"/>
          <w:color w:val="000000"/>
          <w:sz w:val="21"/>
          <w:szCs w:val="21"/>
          <w:lang w:val="es-PE"/>
        </w:rPr>
        <w:t>; periodistas</w:t>
      </w:r>
      <w:r w:rsidRPr="009838AB">
        <w:rPr>
          <w:rFonts w:asciiTheme="majorHAnsi" w:eastAsia="Calibri" w:hAnsiTheme="majorHAnsi" w:cs="Calibri"/>
          <w:i/>
          <w:color w:val="000000"/>
          <w:sz w:val="21"/>
          <w:szCs w:val="21"/>
          <w:vertAlign w:val="superscript"/>
          <w:lang w:val="es-PE"/>
        </w:rPr>
        <w:footnoteReference w:id="7"/>
      </w:r>
      <w:r w:rsidRPr="009838AB">
        <w:rPr>
          <w:rFonts w:asciiTheme="majorHAnsi" w:eastAsia="Calibri" w:hAnsiTheme="majorHAnsi" w:cs="Calibri"/>
          <w:color w:val="000000"/>
          <w:sz w:val="21"/>
          <w:szCs w:val="21"/>
          <w:lang w:val="es-PE"/>
        </w:rPr>
        <w:t>; familiares de víctimas personas fallecidas</w:t>
      </w:r>
      <w:r w:rsidRPr="009838AB">
        <w:rPr>
          <w:rFonts w:asciiTheme="majorHAnsi" w:eastAsia="Calibri" w:hAnsiTheme="majorHAnsi" w:cs="Calibri"/>
          <w:color w:val="000000"/>
          <w:sz w:val="21"/>
          <w:szCs w:val="21"/>
          <w:vertAlign w:val="superscript"/>
          <w:lang w:val="es-PE"/>
        </w:rPr>
        <w:footnoteReference w:id="8"/>
      </w:r>
      <w:r w:rsidRPr="009838AB">
        <w:rPr>
          <w:rFonts w:asciiTheme="majorHAnsi" w:eastAsia="Calibri" w:hAnsiTheme="majorHAnsi" w:cs="Calibri"/>
          <w:color w:val="000000"/>
          <w:sz w:val="21"/>
          <w:szCs w:val="21"/>
          <w:lang w:val="es-PE"/>
        </w:rPr>
        <w:t xml:space="preserve"> y estudiantes que estarían teniendo un rol central en las protestas. La Comisión solicitó la anuencia del Estado para visitar el país, la cual fue aceptada por el Estado el 13 de mayo de 2018</w:t>
      </w:r>
      <w:r w:rsidRPr="009838AB">
        <w:rPr>
          <w:rFonts w:asciiTheme="majorHAnsi" w:eastAsia="Calibri" w:hAnsiTheme="majorHAnsi" w:cs="Calibri"/>
          <w:color w:val="000000"/>
          <w:sz w:val="21"/>
          <w:szCs w:val="21"/>
          <w:vertAlign w:val="superscript"/>
          <w:lang w:val="es-PE"/>
        </w:rPr>
        <w:footnoteReference w:id="9"/>
      </w:r>
      <w:r w:rsidRPr="009838AB">
        <w:rPr>
          <w:rFonts w:asciiTheme="majorHAnsi" w:eastAsia="Calibri" w:hAnsiTheme="majorHAnsi" w:cs="Calibri"/>
          <w:color w:val="000000"/>
          <w:sz w:val="21"/>
          <w:szCs w:val="21"/>
          <w:lang w:val="es-PE"/>
        </w:rPr>
        <w:t xml:space="preserve">. </w:t>
      </w:r>
    </w:p>
    <w:p w:rsidR="00465530" w:rsidRPr="009838AB" w:rsidRDefault="00465530" w:rsidP="00245A1E">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245A1E">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Tras realizar su visita entre el 17 y 21 de mayo de 2018, la Comisión reunió información documental, audiovisual y escuchó centenares de testimonios que evidencian graves violaciones de derechos humanos durante un mes de protestas, caracterizadas por el uso excesivo de la fuerza por parte de cuerpos de seguridad del Estado y de terceros armados. Lo anterior, dio como resultado decenas de muertos y centenares de personas heridas; detenciones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9838AB">
        <w:rPr>
          <w:rFonts w:asciiTheme="majorHAnsi" w:eastAsia="Calibri" w:hAnsiTheme="majorHAnsi" w:cs="Calibri"/>
          <w:color w:val="000000"/>
          <w:sz w:val="21"/>
          <w:szCs w:val="21"/>
          <w:vertAlign w:val="superscript"/>
          <w:lang w:val="es-PE"/>
        </w:rPr>
        <w:footnoteReference w:id="10"/>
      </w:r>
      <w:r w:rsidRPr="009838AB">
        <w:rPr>
          <w:rFonts w:asciiTheme="majorHAnsi" w:eastAsia="Calibri" w:hAnsiTheme="majorHAnsi" w:cs="Calibri"/>
          <w:color w:val="000000"/>
          <w:sz w:val="21"/>
          <w:szCs w:val="21"/>
          <w:lang w:val="es-PE"/>
        </w:rPr>
        <w:t>. La CIDH “</w:t>
      </w:r>
      <w:proofErr w:type="spellStart"/>
      <w:r w:rsidRPr="009838AB">
        <w:rPr>
          <w:rFonts w:asciiTheme="majorHAnsi" w:eastAsia="Calibri" w:hAnsiTheme="majorHAnsi" w:cs="Calibri"/>
          <w:color w:val="000000"/>
          <w:sz w:val="21"/>
          <w:szCs w:val="21"/>
          <w:lang w:val="es-PE"/>
        </w:rPr>
        <w:t>conden</w:t>
      </w:r>
      <w:proofErr w:type="spellEnd"/>
      <w:r w:rsidRPr="009838AB">
        <w:rPr>
          <w:rFonts w:asciiTheme="majorHAnsi" w:eastAsia="Calibri" w:hAnsiTheme="majorHAnsi" w:cs="Calibri"/>
          <w:color w:val="000000"/>
          <w:sz w:val="21"/>
          <w:szCs w:val="21"/>
          <w:lang w:val="es-PE"/>
        </w:rPr>
        <w:t>[</w:t>
      </w:r>
      <w:proofErr w:type="spellStart"/>
      <w:r w:rsidRPr="009838AB">
        <w:rPr>
          <w:rFonts w:asciiTheme="majorHAnsi" w:eastAsia="Calibri" w:hAnsiTheme="majorHAnsi" w:cs="Calibri"/>
          <w:color w:val="000000"/>
          <w:sz w:val="21"/>
          <w:szCs w:val="21"/>
          <w:lang w:val="es-PE"/>
        </w:rPr>
        <w:t>ó</w:t>
      </w:r>
      <w:proofErr w:type="spellEnd"/>
      <w:r w:rsidRPr="009838AB">
        <w:rPr>
          <w:rFonts w:asciiTheme="majorHAnsi" w:eastAsia="Calibri" w:hAnsiTheme="majorHAnsi" w:cs="Calibri"/>
          <w:color w:val="000000"/>
          <w:sz w:val="21"/>
          <w:szCs w:val="21"/>
          <w:lang w:val="es-PE"/>
        </w:rPr>
        <w:t>] enfáticamente las muertes, agresiones y detenciones arbitrarias de las y los estudiantes, manifestantes, periodistas y otros ciudadanos que se han registrado en el país desde el inicio de las protestas y que continúan hasta la fecha”</w:t>
      </w:r>
      <w:r w:rsidRPr="009838AB">
        <w:rPr>
          <w:rFonts w:asciiTheme="majorHAnsi" w:eastAsia="Calibri" w:hAnsiTheme="majorHAnsi" w:cs="Calibri"/>
          <w:color w:val="000000"/>
          <w:sz w:val="21"/>
          <w:szCs w:val="21"/>
          <w:vertAlign w:val="superscript"/>
          <w:lang w:val="es-PE"/>
        </w:rPr>
        <w:footnoteReference w:id="11"/>
      </w:r>
      <w:r w:rsidRPr="009838AB">
        <w:rPr>
          <w:rFonts w:asciiTheme="majorHAnsi" w:eastAsia="Calibri" w:hAnsiTheme="majorHAnsi" w:cs="Calibri"/>
          <w:color w:val="000000"/>
          <w:sz w:val="21"/>
          <w:szCs w:val="21"/>
          <w:lang w:val="es-PE"/>
        </w:rPr>
        <w:t>.</w:t>
      </w:r>
    </w:p>
    <w:p w:rsidR="00465530" w:rsidRPr="009838AB" w:rsidRDefault="00465530" w:rsidP="00245A1E">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245A1E">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 xml:space="preserve">Con posterioridad, la Comisión ha condenado los hechos de violencia que continúan ocurriendo en Nicaragua. En particular, mediante comunicado de prensa de 25 de mayo de 2018 la CIDH tras tomar conocimiento de los hechos ocurridos en Managua, León y Chinandega, en los que perdieron la vida tres </w:t>
      </w:r>
      <w:r w:rsidRPr="009838AB">
        <w:rPr>
          <w:rFonts w:asciiTheme="majorHAnsi" w:eastAsia="Calibri" w:hAnsiTheme="majorHAnsi" w:cs="Calibri"/>
          <w:color w:val="000000"/>
          <w:sz w:val="21"/>
          <w:szCs w:val="21"/>
          <w:lang w:val="es-PE"/>
        </w:rPr>
        <w:lastRenderedPageBreak/>
        <w:t>personas y resultaron heridas decenas de otras, urgió al Estado a “cesar inmediatamente la represión a los manifestantes y la detención arbitraria de quienes participan de las protestas"</w:t>
      </w:r>
      <w:r w:rsidRPr="009838AB">
        <w:rPr>
          <w:rFonts w:asciiTheme="majorHAnsi" w:eastAsia="Calibri" w:hAnsiTheme="majorHAnsi" w:cs="Calibri"/>
          <w:color w:val="000000"/>
          <w:sz w:val="21"/>
          <w:szCs w:val="21"/>
          <w:vertAlign w:val="superscript"/>
          <w:lang w:val="es-PE"/>
        </w:rPr>
        <w:footnoteReference w:id="12"/>
      </w:r>
      <w:r w:rsidRPr="009838AB">
        <w:rPr>
          <w:rFonts w:asciiTheme="majorHAnsi" w:eastAsia="Calibri" w:hAnsiTheme="majorHAnsi" w:cs="Calibri"/>
          <w:color w:val="000000"/>
          <w:sz w:val="21"/>
          <w:szCs w:val="21"/>
          <w:lang w:val="es-PE"/>
        </w:rPr>
        <w:t>. Asimismo, mediante comunicado de 1 junio de 2018, la CIDH condenó los nuevos hechos sucedidos el 30 de mayo de 2018 en la marcha pacífica en apoyo a las Madres de Abril que se realizó en el Día de las Madres en Nicaragua</w:t>
      </w:r>
      <w:r w:rsidRPr="009838AB">
        <w:rPr>
          <w:rFonts w:asciiTheme="majorHAnsi" w:eastAsia="Calibri" w:hAnsiTheme="majorHAnsi" w:cs="Calibri"/>
          <w:color w:val="000000"/>
          <w:sz w:val="21"/>
          <w:szCs w:val="21"/>
          <w:vertAlign w:val="superscript"/>
          <w:lang w:val="es-PE"/>
        </w:rPr>
        <w:footnoteReference w:id="13"/>
      </w:r>
      <w:r w:rsidRPr="009838AB">
        <w:rPr>
          <w:rFonts w:asciiTheme="majorHAnsi" w:eastAsia="Calibri" w:hAnsiTheme="majorHAnsi" w:cs="Calibri"/>
          <w:color w:val="000000"/>
          <w:sz w:val="21"/>
          <w:szCs w:val="21"/>
          <w:lang w:val="es-PE"/>
        </w:rPr>
        <w:t>.</w:t>
      </w:r>
    </w:p>
    <w:p w:rsidR="00465530" w:rsidRPr="009838AB" w:rsidRDefault="00465530" w:rsidP="00245A1E">
      <w:pPr>
        <w:widowControl w:val="0"/>
        <w:spacing w:after="0" w:line="240" w:lineRule="auto"/>
        <w:jc w:val="both"/>
        <w:rPr>
          <w:rFonts w:asciiTheme="majorHAnsi" w:eastAsia="Calibri" w:hAnsiTheme="majorHAnsi" w:cs="Calibri"/>
          <w:color w:val="000000"/>
          <w:sz w:val="21"/>
          <w:szCs w:val="21"/>
          <w:lang w:val="es-PE"/>
        </w:rPr>
      </w:pPr>
    </w:p>
    <w:p w:rsidR="00465530" w:rsidRPr="009838AB" w:rsidRDefault="00465530" w:rsidP="00245A1E">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El 22 de junio de 2018, la CIDH presentó su informe sobre la grave situación de los derechos humanos en Nicaragua en el cual señaló que según las cifras relevadas “la acción represiva del Estado ha dejado al menos 212 personas muertas hasta el 19 de junio, 1.337 personas heridas y 507 personas privadas de la libertad registradas hasta el 6 de junio, así como cientos de personas en situación de riesgo tras ser víctimas de ataques, hostigamientos, amenazas y otras formas de intimidación”. En su informe, entre otros aspectos, la CIDH reiteró su llamado al cese inmediato de la represión y urgió a que todos los actos de violencia estatal sean investigados de manera inmediata, con autonomía e independencia, y en estricto apego a las normas y los estándares internacionales sobre la materia para asegurar el derecho a la verdad. De igual forma, recordó la obligación en cabeza del Estado de garantizar una reparación adecuada a las víctimas y sus familiares</w:t>
      </w:r>
      <w:r w:rsidRPr="009838AB">
        <w:rPr>
          <w:rFonts w:asciiTheme="majorHAnsi" w:eastAsia="Calibri" w:hAnsiTheme="majorHAnsi" w:cs="Calibri"/>
          <w:color w:val="000000"/>
          <w:sz w:val="21"/>
          <w:szCs w:val="21"/>
          <w:vertAlign w:val="superscript"/>
          <w:lang w:val="es-PE"/>
        </w:rPr>
        <w:footnoteReference w:id="14"/>
      </w:r>
      <w:r w:rsidRPr="009838AB">
        <w:rPr>
          <w:rFonts w:asciiTheme="majorHAnsi" w:eastAsia="Calibri" w:hAnsiTheme="majorHAnsi" w:cs="Calibri"/>
          <w:color w:val="000000"/>
          <w:sz w:val="21"/>
          <w:szCs w:val="21"/>
          <w:lang w:val="es-PE"/>
        </w:rPr>
        <w:t xml:space="preserve">. </w:t>
      </w:r>
    </w:p>
    <w:p w:rsidR="00465530" w:rsidRPr="009838AB" w:rsidRDefault="00465530" w:rsidP="00245A1E">
      <w:pPr>
        <w:widowControl w:val="0"/>
        <w:spacing w:after="0" w:line="240" w:lineRule="auto"/>
        <w:ind w:left="720"/>
        <w:contextualSpacing/>
        <w:jc w:val="both"/>
        <w:rPr>
          <w:rFonts w:asciiTheme="majorHAnsi" w:eastAsia="Calibri" w:hAnsiTheme="majorHAnsi" w:cs="Calibri"/>
          <w:color w:val="000000"/>
          <w:sz w:val="21"/>
          <w:szCs w:val="21"/>
          <w:lang w:val="es-PE"/>
        </w:rPr>
      </w:pPr>
    </w:p>
    <w:p w:rsidR="00465530" w:rsidRPr="009838AB" w:rsidRDefault="00465530" w:rsidP="00245A1E">
      <w:pPr>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El 24 de junio de 2018, la Comisión anunció la instalación del MESENI y el envío de su equipo técnico, el cual permanecerá en el país mientras la situación lo requiera</w:t>
      </w:r>
      <w:r w:rsidRPr="009838AB">
        <w:rPr>
          <w:rFonts w:asciiTheme="majorHAnsi" w:eastAsia="Calibri" w:hAnsiTheme="majorHAnsi" w:cs="Calibri"/>
          <w:color w:val="000000"/>
          <w:sz w:val="21"/>
          <w:szCs w:val="21"/>
          <w:vertAlign w:val="superscript"/>
          <w:lang w:val="es-PE"/>
        </w:rPr>
        <w:footnoteReference w:id="15"/>
      </w:r>
      <w:r w:rsidRPr="009838AB">
        <w:rPr>
          <w:rFonts w:asciiTheme="majorHAnsi" w:eastAsia="Calibri" w:hAnsiTheme="majorHAnsi" w:cs="Calibri"/>
          <w:color w:val="000000"/>
          <w:sz w:val="21"/>
          <w:szCs w:val="21"/>
          <w:lang w:val="es-PE"/>
        </w:rPr>
        <w:t xml:space="preserve">. El objetivo del MESENI es dar seguimiento a las recomendaciones realizadas por la CIDH derivadas de su visita al país, como las Observaciones Preliminares y el Informe “Graves violaciones a los derechos humanos en el contexto de las protestas sociales en Nicaragua”. Asimismo, entre otras actividades, dará seguimiento al cumplimiento de las medidas cautelares otorgadas en este contexto para las personas con grave riesgo a sus vida o integridad física y mantendrá el monitoreo de la situación de los derechos humanos en Nicaragua para los fines pertinentes al mandato de la CIDH.   </w:t>
      </w:r>
    </w:p>
    <w:p w:rsidR="00465530" w:rsidRPr="009838AB" w:rsidRDefault="00465530" w:rsidP="00245A1E">
      <w:pPr>
        <w:widowControl w:val="0"/>
        <w:spacing w:after="0" w:line="240" w:lineRule="auto"/>
        <w:ind w:left="360"/>
        <w:jc w:val="both"/>
        <w:rPr>
          <w:rFonts w:asciiTheme="majorHAnsi" w:eastAsia="Calibri" w:hAnsiTheme="majorHAnsi" w:cs="Calibri"/>
          <w:color w:val="000000"/>
          <w:sz w:val="21"/>
          <w:szCs w:val="21"/>
          <w:lang w:val="es-PE"/>
        </w:rPr>
      </w:pPr>
    </w:p>
    <w:p w:rsidR="00D60526" w:rsidRDefault="002C0393" w:rsidP="00D60526">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3839F4">
        <w:rPr>
          <w:rFonts w:asciiTheme="majorHAnsi" w:eastAsia="Calibri" w:hAnsiTheme="majorHAnsi" w:cs="Calibri"/>
          <w:color w:val="000000"/>
          <w:sz w:val="21"/>
          <w:szCs w:val="21"/>
          <w:lang w:val="es-PE"/>
        </w:rPr>
        <w:t>Durante su estancia en el país el MESENI ha constatado “en terreno la intensificación de la represión y los operativos desplegados en todo el país por agentes de la policía nacional y grupos parapoliciales” con el objetivo de desmantelar los tranques que estaban ubicados en diversas ciudades</w:t>
      </w:r>
      <w:r w:rsidRPr="009838AB">
        <w:rPr>
          <w:rFonts w:asciiTheme="majorHAnsi" w:eastAsia="Calibri" w:hAnsiTheme="majorHAnsi" w:cs="Calibri"/>
          <w:color w:val="000000"/>
          <w:sz w:val="21"/>
          <w:szCs w:val="21"/>
          <w:vertAlign w:val="superscript"/>
          <w:lang w:val="es-PE"/>
        </w:rPr>
        <w:footnoteReference w:id="16"/>
      </w:r>
      <w:r w:rsidRPr="003839F4">
        <w:rPr>
          <w:rFonts w:asciiTheme="majorHAnsi" w:eastAsia="Calibri" w:hAnsiTheme="majorHAnsi" w:cs="Calibri"/>
          <w:color w:val="000000"/>
          <w:sz w:val="21"/>
          <w:szCs w:val="21"/>
          <w:lang w:val="es-PE"/>
        </w:rPr>
        <w:t>, Asimismo, ha registrado una “estrategia de criminalización y estigmatización” tendiente a estigmatizar a manifestantes, opositores, líderes sociales y defensoras y defensores de derechos humanos. El MESENI también ha constatado, sin embargo, “persistencia de la violencia en la represión de la protesta social, que sigue provocando muertes y heridos”</w:t>
      </w:r>
      <w:r w:rsidRPr="009838AB">
        <w:rPr>
          <w:rFonts w:asciiTheme="majorHAnsi" w:eastAsia="Calibri" w:hAnsiTheme="majorHAnsi" w:cs="Times New Roman"/>
          <w:vertAlign w:val="superscript"/>
        </w:rPr>
        <w:footnoteReference w:id="17"/>
      </w:r>
      <w:r w:rsidRPr="003839F4">
        <w:rPr>
          <w:rFonts w:asciiTheme="majorHAnsi" w:eastAsia="Calibri" w:hAnsiTheme="majorHAnsi" w:cs="Calibri"/>
          <w:color w:val="000000"/>
          <w:sz w:val="21"/>
          <w:szCs w:val="21"/>
          <w:lang w:val="es-PE"/>
        </w:rPr>
        <w:t xml:space="preserve">. Según el último pronunciamiento de la CIDH, </w:t>
      </w:r>
      <w:r w:rsidR="004A6CF3">
        <w:rPr>
          <w:rFonts w:ascii="Cambria" w:hAnsi="Cambria" w:cs="Calibri"/>
          <w:color w:val="000000"/>
          <w:sz w:val="21"/>
          <w:szCs w:val="21"/>
          <w:lang w:val="es-PE"/>
        </w:rPr>
        <w:t>al 19 de diciembre de 2018 la cifra de víctimas mortales desde el 18 de abril pasado habría existido “un progresivo e incesante deterioro de la situación de los derechos humanos en Nicaragua y del propio Estado de Derecho como consecuencia de la represión estatal a las protestas”. A ocho meses de iniciada la crisis en el país, la Comisión ha reiterado su condena en relación con la muerte de 325 personas y más de 2000 heridas; más de 550 personas detenidas y enjuiciadas</w:t>
      </w:r>
      <w:r w:rsidR="003839F4" w:rsidRPr="00367266">
        <w:rPr>
          <w:rFonts w:ascii="Cambria" w:eastAsia="Calibri" w:hAnsi="Cambria" w:cs="Calibri"/>
          <w:color w:val="000000"/>
          <w:sz w:val="21"/>
          <w:szCs w:val="21"/>
          <w:lang w:val="es-PE"/>
        </w:rPr>
        <w:t>”</w:t>
      </w:r>
      <w:r w:rsidR="003839F4" w:rsidRPr="00367266">
        <w:rPr>
          <w:rFonts w:ascii="Cambria" w:eastAsia="Calibri" w:hAnsi="Cambria" w:cs="Calibri"/>
          <w:color w:val="000000"/>
          <w:sz w:val="21"/>
          <w:szCs w:val="21"/>
          <w:vertAlign w:val="superscript"/>
          <w:lang w:val="es-PE"/>
        </w:rPr>
        <w:footnoteReference w:id="18"/>
      </w:r>
      <w:r w:rsidR="003839F4" w:rsidRPr="00367266">
        <w:rPr>
          <w:rFonts w:ascii="Cambria" w:eastAsia="Calibri" w:hAnsi="Cambria" w:cs="Calibri"/>
          <w:color w:val="000000"/>
          <w:sz w:val="21"/>
          <w:szCs w:val="21"/>
          <w:lang w:val="es-PE"/>
        </w:rPr>
        <w:t>.</w:t>
      </w:r>
    </w:p>
    <w:p w:rsidR="00E8620E" w:rsidRPr="00D60526" w:rsidRDefault="00AF5807" w:rsidP="00D60526">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D60526">
        <w:rPr>
          <w:rFonts w:ascii="Cambria" w:eastAsia="Calibri" w:hAnsi="Cambria" w:cs="Calibri"/>
          <w:color w:val="000000"/>
          <w:sz w:val="21"/>
          <w:szCs w:val="21"/>
          <w:lang w:val="es-PE"/>
        </w:rPr>
        <w:lastRenderedPageBreak/>
        <w:t>El 19 de diciembre de 2018 el Estado de Nicaragua comunicó la decisión de suspender temporalmente la presencia del MESENI y de visitas de la CIDH a partir de esa fecha. La Comisión lamentó la decisión del Estado de Nicaragua mediante comunicado de prensa de dicha fecha</w:t>
      </w:r>
      <w:r>
        <w:rPr>
          <w:rStyle w:val="FootnoteReference"/>
          <w:rFonts w:ascii="Cambria" w:eastAsia="Calibri" w:hAnsi="Cambria" w:cs="Calibri"/>
          <w:color w:val="000000"/>
          <w:sz w:val="21"/>
          <w:szCs w:val="21"/>
          <w:lang w:val="es-PE"/>
        </w:rPr>
        <w:footnoteReference w:id="19"/>
      </w:r>
      <w:r w:rsidRPr="00D60526">
        <w:rPr>
          <w:rFonts w:ascii="Cambria" w:eastAsia="Calibri" w:hAnsi="Cambria" w:cs="Calibri"/>
          <w:color w:val="000000"/>
          <w:sz w:val="21"/>
          <w:szCs w:val="21"/>
          <w:lang w:val="es-PE"/>
        </w:rPr>
        <w:t xml:space="preserve"> y anunció que el MESENI seguirá funcionando desde su sede en Washington, Estados Unidos. Para ello continuará en contacto permanente con las organizaciones de la sociedad civil, movimientos sociales, actores estatales y con las víctimas de violaciones a derechos humanos. </w:t>
      </w:r>
    </w:p>
    <w:p w:rsidR="00D60526" w:rsidRDefault="00D60526" w:rsidP="00D60526">
      <w:pPr>
        <w:widowControl w:val="0"/>
        <w:spacing w:after="0" w:line="240" w:lineRule="auto"/>
        <w:ind w:left="360"/>
        <w:jc w:val="both"/>
        <w:rPr>
          <w:rFonts w:ascii="Cambria" w:eastAsia="Calibri" w:hAnsi="Cambria" w:cs="Calibri"/>
          <w:color w:val="000000"/>
          <w:sz w:val="21"/>
          <w:szCs w:val="21"/>
          <w:lang w:val="es-PE"/>
        </w:rPr>
      </w:pPr>
    </w:p>
    <w:p w:rsidR="00E8620E" w:rsidRPr="00D60526" w:rsidRDefault="00E8620E" w:rsidP="00245A1E">
      <w:pPr>
        <w:widowControl w:val="0"/>
        <w:numPr>
          <w:ilvl w:val="0"/>
          <w:numId w:val="4"/>
        </w:numPr>
        <w:spacing w:after="0" w:line="240" w:lineRule="auto"/>
        <w:ind w:left="0" w:firstLine="360"/>
        <w:jc w:val="both"/>
        <w:rPr>
          <w:rFonts w:ascii="Cambria" w:eastAsia="Calibri" w:hAnsi="Cambria" w:cs="Calibri"/>
          <w:color w:val="000000"/>
          <w:sz w:val="21"/>
          <w:szCs w:val="21"/>
          <w:lang w:val="es-PE"/>
        </w:rPr>
      </w:pPr>
      <w:r w:rsidRPr="00D60526">
        <w:rPr>
          <w:rFonts w:ascii="Cambria" w:eastAsia="Calibri" w:hAnsi="Cambria" w:cs="Calibri"/>
          <w:color w:val="000000"/>
          <w:sz w:val="21"/>
          <w:szCs w:val="21"/>
          <w:lang w:val="es-PE"/>
        </w:rPr>
        <w:t>El 21 de diciembre el Grupo Interdisciplinario de Expertos Independientes (GIEI) instalado por la CIDH presentó su “</w:t>
      </w:r>
      <w:hyperlink r:id="rId9" w:tgtFrame="_blank" w:history="1">
        <w:r w:rsidRPr="00D60526">
          <w:rPr>
            <w:rFonts w:ascii="Cambria" w:eastAsia="Calibri" w:hAnsi="Cambria" w:cs="Calibri"/>
            <w:color w:val="000000"/>
            <w:sz w:val="21"/>
            <w:szCs w:val="21"/>
            <w:lang w:val="es-PE"/>
          </w:rPr>
          <w:t>Informe final sobre los hechos de violencia ocurridos entre el 18 de abril y el 30 de mayo de 2018</w:t>
        </w:r>
      </w:hyperlink>
      <w:r w:rsidRPr="00D60526">
        <w:rPr>
          <w:rFonts w:ascii="Cambria" w:eastAsia="Calibri" w:hAnsi="Cambria" w:cs="Calibri"/>
          <w:color w:val="000000"/>
          <w:sz w:val="21"/>
          <w:szCs w:val="21"/>
          <w:lang w:val="es-PE"/>
        </w:rPr>
        <w:t>”</w:t>
      </w:r>
      <w:r w:rsidRPr="00270017">
        <w:rPr>
          <w:rStyle w:val="FootnoteReference"/>
          <w:rFonts w:ascii="Cambria" w:eastAsia="Calibri" w:hAnsi="Cambria" w:cs="Calibri"/>
          <w:color w:val="000000"/>
          <w:sz w:val="21"/>
          <w:szCs w:val="21"/>
          <w:lang w:val="es-PE"/>
        </w:rPr>
        <w:footnoteReference w:id="20"/>
      </w:r>
      <w:r w:rsidRPr="00D60526">
        <w:rPr>
          <w:rFonts w:ascii="Cambria" w:eastAsia="Calibri" w:hAnsi="Cambria" w:cs="Calibri"/>
          <w:color w:val="000000"/>
          <w:sz w:val="21"/>
          <w:szCs w:val="21"/>
          <w:lang w:val="es-PE"/>
        </w:rPr>
        <w:t xml:space="preserve">. En el mismo, confirmó los hallazgos de la visita de trabajo realizada por la Comisión entre el 17 y el 21 de mayo. </w:t>
      </w:r>
      <w:r w:rsidR="00D60526" w:rsidRPr="00D60526">
        <w:rPr>
          <w:rFonts w:ascii="Cambria" w:eastAsia="Calibri" w:hAnsi="Cambria" w:cs="Calibri"/>
          <w:color w:val="000000"/>
          <w:sz w:val="21"/>
          <w:szCs w:val="21"/>
          <w:lang w:val="es-PE"/>
        </w:rPr>
        <w:t>El 27 de diciembre de 2018 la CIDH realizó una presentación al respecto al Consejo Permanente de la Organización de Estados Americanos en una sesión dedicada a analizar la crisis de derechos humanos en Nicaragua.</w:t>
      </w:r>
      <w:r w:rsidR="00D60526">
        <w:rPr>
          <w:rFonts w:ascii="Cambria" w:eastAsia="Calibri" w:hAnsi="Cambria" w:cs="Calibri"/>
          <w:color w:val="000000"/>
          <w:sz w:val="21"/>
          <w:szCs w:val="21"/>
          <w:lang w:val="es-PE"/>
        </w:rPr>
        <w:t xml:space="preserve"> </w:t>
      </w:r>
      <w:r w:rsidRPr="00D60526">
        <w:rPr>
          <w:rFonts w:ascii="Cambria" w:eastAsia="Calibri" w:hAnsi="Cambria" w:cs="Calibri"/>
          <w:color w:val="000000"/>
          <w:sz w:val="21"/>
          <w:szCs w:val="21"/>
          <w:lang w:val="es-PE"/>
        </w:rPr>
        <w:t>El 10 de enero de 2019 la Comisión emitió un nuevo comunicado de prensa mediante el cual continuó denunciando el debilitamiento del Estado de derecho ante la grave crisis de derechos humanos. Según las cifras recabadas por el MESENI a partir de abril de 2018 habrían  325 personas muertas y más de 2000 heridas; 550 personas detenidas y enjuiciadas; 300 profesionales de la salud habrían sido despedido y; al menos, 144 estudiantes de la Universidad Nacional Autónoma de Nicaragua habrían sido expulsados</w:t>
      </w:r>
      <w:r w:rsidRPr="00270017">
        <w:rPr>
          <w:rStyle w:val="FootnoteReference"/>
          <w:rFonts w:ascii="Cambria" w:eastAsia="Calibri" w:hAnsi="Cambria" w:cs="Calibri"/>
          <w:color w:val="000000"/>
          <w:sz w:val="21"/>
          <w:szCs w:val="21"/>
          <w:lang w:val="es-PE"/>
        </w:rPr>
        <w:footnoteReference w:id="21"/>
      </w:r>
      <w:r w:rsidRPr="00D60526">
        <w:rPr>
          <w:rFonts w:ascii="Cambria" w:eastAsia="Calibri" w:hAnsi="Cambria" w:cs="Calibri"/>
          <w:color w:val="000000"/>
          <w:sz w:val="21"/>
          <w:szCs w:val="21"/>
          <w:lang w:val="es-PE"/>
        </w:rPr>
        <w:t>.</w:t>
      </w:r>
    </w:p>
    <w:p w:rsidR="00465530" w:rsidRPr="003839F4" w:rsidRDefault="00465530" w:rsidP="00245A1E">
      <w:pPr>
        <w:widowControl w:val="0"/>
        <w:spacing w:after="0" w:line="240" w:lineRule="auto"/>
        <w:ind w:left="1170"/>
        <w:jc w:val="both"/>
        <w:rPr>
          <w:rFonts w:asciiTheme="majorHAnsi" w:hAnsiTheme="majorHAnsi"/>
          <w:b/>
          <w:sz w:val="21"/>
          <w:szCs w:val="21"/>
          <w:lang w:val="es-PE"/>
        </w:rPr>
      </w:pPr>
    </w:p>
    <w:p w:rsidR="00EB2B50" w:rsidRPr="009838AB" w:rsidRDefault="002B6D39" w:rsidP="00245A1E">
      <w:pPr>
        <w:widowControl w:val="0"/>
        <w:numPr>
          <w:ilvl w:val="0"/>
          <w:numId w:val="3"/>
        </w:numPr>
        <w:spacing w:after="0" w:line="240" w:lineRule="auto"/>
        <w:ind w:left="810"/>
        <w:jc w:val="both"/>
        <w:rPr>
          <w:rFonts w:asciiTheme="majorHAnsi" w:hAnsiTheme="majorHAnsi"/>
          <w:b/>
          <w:sz w:val="21"/>
          <w:szCs w:val="21"/>
          <w:lang w:val="es-PE"/>
        </w:rPr>
      </w:pPr>
      <w:r w:rsidRPr="009838AB">
        <w:rPr>
          <w:rFonts w:asciiTheme="majorHAnsi" w:hAnsiTheme="majorHAnsi"/>
          <w:b/>
          <w:sz w:val="21"/>
          <w:szCs w:val="21"/>
          <w:lang w:val="es-PE"/>
        </w:rPr>
        <w:t xml:space="preserve">RESUMEN DE HECHOS Y ARGUMENTOS APORTADOS POR </w:t>
      </w:r>
      <w:r w:rsidR="00BF4A9A" w:rsidRPr="009838AB">
        <w:rPr>
          <w:rFonts w:asciiTheme="majorHAnsi" w:hAnsiTheme="majorHAnsi"/>
          <w:b/>
          <w:sz w:val="21"/>
          <w:szCs w:val="21"/>
          <w:lang w:val="es-PE"/>
        </w:rPr>
        <w:t>LOS SOLICITANTES</w:t>
      </w:r>
    </w:p>
    <w:p w:rsidR="007F64DA" w:rsidRDefault="007F64DA" w:rsidP="00245A1E">
      <w:pPr>
        <w:widowControl w:val="0"/>
        <w:spacing w:after="0" w:line="240" w:lineRule="auto"/>
        <w:jc w:val="both"/>
        <w:rPr>
          <w:rFonts w:asciiTheme="majorHAnsi" w:eastAsia="Calibri" w:hAnsiTheme="majorHAnsi" w:cs="Times New Roman"/>
          <w:sz w:val="21"/>
          <w:szCs w:val="21"/>
          <w:lang w:val="es-PE"/>
        </w:rPr>
      </w:pPr>
    </w:p>
    <w:p w:rsidR="00DD6E57" w:rsidRPr="00672B78" w:rsidRDefault="003C00A6"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 xml:space="preserve">De acuerdo </w:t>
      </w:r>
      <w:r w:rsidR="008C305C">
        <w:rPr>
          <w:rFonts w:asciiTheme="majorHAnsi" w:eastAsia="Calibri" w:hAnsiTheme="majorHAnsi" w:cs="Times New Roman"/>
          <w:sz w:val="21"/>
          <w:szCs w:val="21"/>
          <w:lang w:val="es-PE"/>
        </w:rPr>
        <w:t xml:space="preserve">con la solicitud, </w:t>
      </w:r>
      <w:r w:rsidR="0004578B" w:rsidRPr="007F64DA">
        <w:rPr>
          <w:rFonts w:asciiTheme="majorHAnsi" w:eastAsia="Calibri" w:hAnsiTheme="majorHAnsi" w:cs="Times New Roman"/>
          <w:sz w:val="21"/>
          <w:szCs w:val="21"/>
          <w:lang w:val="es-PE"/>
        </w:rPr>
        <w:t xml:space="preserve">Ruth Esther Matute Valdivia </w:t>
      </w:r>
      <w:r>
        <w:rPr>
          <w:rFonts w:asciiTheme="majorHAnsi" w:eastAsia="Calibri" w:hAnsiTheme="majorHAnsi" w:cs="Times New Roman"/>
          <w:sz w:val="21"/>
          <w:szCs w:val="21"/>
          <w:lang w:val="es-PE"/>
        </w:rPr>
        <w:t>vive a</w:t>
      </w:r>
      <w:r w:rsidRPr="007F64DA">
        <w:rPr>
          <w:rFonts w:asciiTheme="majorHAnsi" w:eastAsia="Calibri" w:hAnsiTheme="majorHAnsi" w:cs="Times New Roman"/>
          <w:sz w:val="21"/>
          <w:szCs w:val="21"/>
          <w:lang w:val="es-PE"/>
        </w:rPr>
        <w:t xml:space="preserve">l </w:t>
      </w:r>
      <w:r w:rsidR="00DD5215" w:rsidRPr="007F64DA">
        <w:rPr>
          <w:rFonts w:asciiTheme="majorHAnsi" w:eastAsia="Calibri" w:hAnsiTheme="majorHAnsi" w:cs="Times New Roman"/>
          <w:sz w:val="21"/>
          <w:szCs w:val="21"/>
          <w:lang w:val="es-PE"/>
        </w:rPr>
        <w:t xml:space="preserve">Barrio Indígena de </w:t>
      </w:r>
      <w:proofErr w:type="spellStart"/>
      <w:r w:rsidR="00DD5215" w:rsidRPr="007F64DA">
        <w:rPr>
          <w:rFonts w:asciiTheme="majorHAnsi" w:eastAsia="Calibri" w:hAnsiTheme="majorHAnsi" w:cs="Times New Roman"/>
          <w:sz w:val="21"/>
          <w:szCs w:val="21"/>
          <w:lang w:val="es-PE"/>
        </w:rPr>
        <w:t>Monimbo</w:t>
      </w:r>
      <w:proofErr w:type="spellEnd"/>
      <w:r w:rsidR="00DD5215" w:rsidRPr="007F64DA">
        <w:rPr>
          <w:rFonts w:asciiTheme="majorHAnsi" w:eastAsia="Calibri" w:hAnsiTheme="majorHAnsi" w:cs="Times New Roman"/>
          <w:sz w:val="21"/>
          <w:szCs w:val="21"/>
          <w:lang w:val="es-PE"/>
        </w:rPr>
        <w:t xml:space="preserve">, Masaya, </w:t>
      </w:r>
      <w:r w:rsidR="00171E06">
        <w:rPr>
          <w:rFonts w:asciiTheme="majorHAnsi" w:eastAsia="Calibri" w:hAnsiTheme="majorHAnsi" w:cs="Times New Roman"/>
          <w:sz w:val="21"/>
          <w:szCs w:val="21"/>
          <w:lang w:val="es-PE"/>
        </w:rPr>
        <w:t xml:space="preserve">y </w:t>
      </w:r>
      <w:r w:rsidR="00F53326">
        <w:rPr>
          <w:rFonts w:asciiTheme="majorHAnsi" w:eastAsia="Calibri" w:hAnsiTheme="majorHAnsi" w:cs="Times New Roman"/>
          <w:sz w:val="21"/>
          <w:szCs w:val="21"/>
          <w:lang w:val="es-PE"/>
        </w:rPr>
        <w:t>habría</w:t>
      </w:r>
      <w:r w:rsidR="00171E06">
        <w:rPr>
          <w:rFonts w:asciiTheme="majorHAnsi" w:eastAsia="Calibri" w:hAnsiTheme="majorHAnsi" w:cs="Times New Roman"/>
          <w:sz w:val="21"/>
          <w:szCs w:val="21"/>
          <w:lang w:val="es-PE"/>
        </w:rPr>
        <w:t xml:space="preserve"> ayudado</w:t>
      </w:r>
      <w:r w:rsidR="007F64DA">
        <w:rPr>
          <w:rFonts w:asciiTheme="majorHAnsi" w:eastAsia="Calibri" w:hAnsiTheme="majorHAnsi" w:cs="Times New Roman"/>
          <w:sz w:val="21"/>
          <w:szCs w:val="21"/>
          <w:lang w:val="es-PE"/>
        </w:rPr>
        <w:t xml:space="preserve"> </w:t>
      </w:r>
      <w:r w:rsidR="0004578B" w:rsidRPr="007F64DA">
        <w:rPr>
          <w:rFonts w:asciiTheme="majorHAnsi" w:eastAsia="Calibri" w:hAnsiTheme="majorHAnsi" w:cs="Times New Roman"/>
          <w:sz w:val="21"/>
          <w:szCs w:val="21"/>
          <w:lang w:val="es-PE"/>
        </w:rPr>
        <w:t xml:space="preserve">a su esposo en </w:t>
      </w:r>
      <w:r w:rsidR="008C305C">
        <w:rPr>
          <w:rFonts w:asciiTheme="majorHAnsi" w:eastAsia="Calibri" w:hAnsiTheme="majorHAnsi" w:cs="Times New Roman"/>
          <w:sz w:val="21"/>
          <w:szCs w:val="21"/>
          <w:lang w:val="es-PE"/>
        </w:rPr>
        <w:t xml:space="preserve">un </w:t>
      </w:r>
      <w:r w:rsidR="008C305C" w:rsidRPr="007F64DA">
        <w:rPr>
          <w:rFonts w:asciiTheme="majorHAnsi" w:eastAsia="Calibri" w:hAnsiTheme="majorHAnsi" w:cs="Times New Roman"/>
          <w:sz w:val="21"/>
          <w:szCs w:val="21"/>
          <w:lang w:val="es-PE"/>
        </w:rPr>
        <w:t xml:space="preserve"> </w:t>
      </w:r>
      <w:r w:rsidR="0004578B" w:rsidRPr="007F64DA">
        <w:rPr>
          <w:rFonts w:asciiTheme="majorHAnsi" w:eastAsia="Calibri" w:hAnsiTheme="majorHAnsi" w:cs="Times New Roman"/>
          <w:sz w:val="21"/>
          <w:szCs w:val="21"/>
          <w:lang w:val="es-PE"/>
        </w:rPr>
        <w:t xml:space="preserve">taller artesanal de pólvora </w:t>
      </w:r>
      <w:r w:rsidR="007F64DA" w:rsidRPr="007F64DA">
        <w:rPr>
          <w:rFonts w:asciiTheme="majorHAnsi" w:eastAsia="Calibri" w:hAnsiTheme="majorHAnsi" w:cs="Times New Roman"/>
          <w:sz w:val="21"/>
          <w:szCs w:val="21"/>
          <w:lang w:val="es-PE"/>
        </w:rPr>
        <w:t>de la familia</w:t>
      </w:r>
      <w:r w:rsidR="00DD5215" w:rsidRPr="007F64DA">
        <w:rPr>
          <w:rFonts w:asciiTheme="majorHAnsi" w:eastAsia="Calibri" w:hAnsiTheme="majorHAnsi" w:cs="Times New Roman"/>
          <w:sz w:val="21"/>
          <w:szCs w:val="21"/>
          <w:lang w:val="es-PE"/>
        </w:rPr>
        <w:t xml:space="preserve">. El 6 de octubre de 2018, su esposo </w:t>
      </w:r>
      <w:r w:rsidR="00F53326">
        <w:rPr>
          <w:rFonts w:asciiTheme="majorHAnsi" w:eastAsia="Calibri" w:hAnsiTheme="majorHAnsi" w:cs="Times New Roman"/>
          <w:sz w:val="21"/>
          <w:szCs w:val="21"/>
          <w:lang w:val="es-PE"/>
        </w:rPr>
        <w:t>habría sido detenido como</w:t>
      </w:r>
      <w:r w:rsidR="00DD5215" w:rsidRPr="007F64DA">
        <w:rPr>
          <w:rFonts w:asciiTheme="majorHAnsi" w:eastAsia="Calibri" w:hAnsiTheme="majorHAnsi" w:cs="Times New Roman"/>
          <w:sz w:val="21"/>
          <w:szCs w:val="21"/>
          <w:lang w:val="es-PE"/>
        </w:rPr>
        <w:t xml:space="preserve"> presunto </w:t>
      </w:r>
      <w:r w:rsidR="0004578B" w:rsidRPr="007F64DA">
        <w:rPr>
          <w:rFonts w:asciiTheme="majorHAnsi" w:eastAsia="Calibri" w:hAnsiTheme="majorHAnsi" w:cs="Times New Roman"/>
          <w:sz w:val="21"/>
          <w:szCs w:val="21"/>
          <w:lang w:val="es-PE"/>
        </w:rPr>
        <w:t>responsable de la fabricación de bombas de contacto para ser utilizadas en las protestas.</w:t>
      </w:r>
      <w:r w:rsidR="007F64DA" w:rsidRPr="007F64DA">
        <w:rPr>
          <w:rFonts w:asciiTheme="majorHAnsi" w:eastAsia="Calibri" w:hAnsiTheme="majorHAnsi" w:cs="Times New Roman"/>
          <w:sz w:val="21"/>
          <w:szCs w:val="21"/>
          <w:lang w:val="es-PE"/>
        </w:rPr>
        <w:t xml:space="preserve"> </w:t>
      </w:r>
      <w:r w:rsidR="00C519DB">
        <w:rPr>
          <w:rFonts w:asciiTheme="majorHAnsi" w:eastAsia="Calibri" w:hAnsiTheme="majorHAnsi" w:cs="Times New Roman"/>
          <w:sz w:val="21"/>
          <w:szCs w:val="21"/>
          <w:lang w:val="es-PE"/>
        </w:rPr>
        <w:t>A</w:t>
      </w:r>
      <w:r w:rsidR="0004578B" w:rsidRPr="007F64DA">
        <w:rPr>
          <w:rFonts w:asciiTheme="majorHAnsi" w:eastAsia="Calibri" w:hAnsiTheme="majorHAnsi" w:cs="Times New Roman"/>
          <w:sz w:val="21"/>
          <w:szCs w:val="21"/>
          <w:lang w:val="es-PE"/>
        </w:rPr>
        <w:t>l día siguiente</w:t>
      </w:r>
      <w:r w:rsidR="00C519DB">
        <w:rPr>
          <w:rFonts w:asciiTheme="majorHAnsi" w:eastAsia="Calibri" w:hAnsiTheme="majorHAnsi" w:cs="Times New Roman"/>
          <w:sz w:val="21"/>
          <w:szCs w:val="21"/>
          <w:lang w:val="es-PE"/>
        </w:rPr>
        <w:t>, la señora Matu</w:t>
      </w:r>
      <w:r w:rsidR="008C305C">
        <w:rPr>
          <w:rFonts w:asciiTheme="majorHAnsi" w:eastAsia="Calibri" w:hAnsiTheme="majorHAnsi" w:cs="Times New Roman"/>
          <w:sz w:val="21"/>
          <w:szCs w:val="21"/>
          <w:lang w:val="es-PE"/>
        </w:rPr>
        <w:t>te</w:t>
      </w:r>
      <w:r w:rsidR="00C519DB">
        <w:rPr>
          <w:rFonts w:asciiTheme="majorHAnsi" w:eastAsia="Calibri" w:hAnsiTheme="majorHAnsi" w:cs="Times New Roman"/>
          <w:sz w:val="21"/>
          <w:szCs w:val="21"/>
          <w:lang w:val="es-PE"/>
        </w:rPr>
        <w:t xml:space="preserve"> </w:t>
      </w:r>
      <w:r w:rsidR="00171E06">
        <w:rPr>
          <w:rFonts w:asciiTheme="majorHAnsi" w:eastAsia="Calibri" w:hAnsiTheme="majorHAnsi" w:cs="Times New Roman"/>
          <w:sz w:val="21"/>
          <w:szCs w:val="21"/>
          <w:lang w:val="es-PE"/>
        </w:rPr>
        <w:t xml:space="preserve">habría sido </w:t>
      </w:r>
      <w:r w:rsidR="0004578B" w:rsidRPr="007F64DA">
        <w:rPr>
          <w:rFonts w:asciiTheme="majorHAnsi" w:eastAsia="Calibri" w:hAnsiTheme="majorHAnsi" w:cs="Times New Roman"/>
          <w:sz w:val="21"/>
          <w:szCs w:val="21"/>
          <w:lang w:val="es-PE"/>
        </w:rPr>
        <w:t>detenida</w:t>
      </w:r>
      <w:r w:rsidR="00DD6E57">
        <w:rPr>
          <w:rFonts w:asciiTheme="majorHAnsi" w:eastAsia="Calibri" w:hAnsiTheme="majorHAnsi" w:cs="Times New Roman"/>
          <w:sz w:val="21"/>
          <w:szCs w:val="21"/>
          <w:lang w:val="es-PE"/>
        </w:rPr>
        <w:t xml:space="preserve"> por la policía y llevada a “El Chipote”</w:t>
      </w:r>
      <w:r w:rsidR="00DD5215" w:rsidRPr="007F64DA">
        <w:rPr>
          <w:rFonts w:asciiTheme="majorHAnsi" w:eastAsia="Calibri" w:hAnsiTheme="majorHAnsi" w:cs="Times New Roman"/>
          <w:sz w:val="21"/>
          <w:szCs w:val="21"/>
          <w:lang w:val="es-PE"/>
        </w:rPr>
        <w:t xml:space="preserve">. </w:t>
      </w:r>
    </w:p>
    <w:p w:rsidR="00672B78" w:rsidRDefault="00672B78" w:rsidP="00245A1E">
      <w:pPr>
        <w:pStyle w:val="ListParagraph"/>
        <w:widowControl w:val="0"/>
        <w:spacing w:after="0" w:line="240" w:lineRule="auto"/>
        <w:ind w:left="360"/>
        <w:jc w:val="both"/>
        <w:rPr>
          <w:rFonts w:asciiTheme="majorHAnsi" w:eastAsia="Calibri" w:hAnsiTheme="majorHAnsi" w:cs="Times New Roman"/>
          <w:sz w:val="21"/>
          <w:szCs w:val="21"/>
          <w:lang w:val="es-PE"/>
        </w:rPr>
      </w:pPr>
    </w:p>
    <w:p w:rsidR="00672B78" w:rsidRDefault="008C305C"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L</w:t>
      </w:r>
      <w:r w:rsidR="00DD6E57">
        <w:rPr>
          <w:rFonts w:asciiTheme="majorHAnsi" w:eastAsia="Calibri" w:hAnsiTheme="majorHAnsi" w:cs="Times New Roman"/>
          <w:sz w:val="21"/>
          <w:szCs w:val="21"/>
          <w:lang w:val="es-PE"/>
        </w:rPr>
        <w:t xml:space="preserve">a señora </w:t>
      </w:r>
      <w:r w:rsidR="007F64DA" w:rsidRPr="00DD6E57">
        <w:rPr>
          <w:rFonts w:asciiTheme="majorHAnsi" w:eastAsia="Calibri" w:hAnsiTheme="majorHAnsi" w:cs="Times New Roman"/>
          <w:sz w:val="21"/>
          <w:szCs w:val="21"/>
          <w:lang w:val="es-PE"/>
        </w:rPr>
        <w:t>Matute</w:t>
      </w:r>
      <w:r w:rsidR="00DD6E57">
        <w:rPr>
          <w:rFonts w:asciiTheme="majorHAnsi" w:eastAsia="Calibri" w:hAnsiTheme="majorHAnsi" w:cs="Times New Roman"/>
          <w:sz w:val="21"/>
          <w:szCs w:val="21"/>
          <w:lang w:val="es-PE"/>
        </w:rPr>
        <w:t xml:space="preserve"> padecería </w:t>
      </w:r>
      <w:r w:rsidR="007F64DA" w:rsidRPr="00DD6E57">
        <w:rPr>
          <w:rFonts w:asciiTheme="majorHAnsi" w:eastAsia="Calibri" w:hAnsiTheme="majorHAnsi" w:cs="Times New Roman"/>
          <w:sz w:val="21"/>
          <w:szCs w:val="21"/>
          <w:lang w:val="es-PE"/>
        </w:rPr>
        <w:t xml:space="preserve">de una deficiencia cardiaca diagnosticada como “bloqueo </w:t>
      </w:r>
      <w:proofErr w:type="spellStart"/>
      <w:r w:rsidR="007F64DA" w:rsidRPr="00DD6E57">
        <w:rPr>
          <w:rFonts w:asciiTheme="majorHAnsi" w:eastAsia="Calibri" w:hAnsiTheme="majorHAnsi" w:cs="Times New Roman"/>
          <w:sz w:val="21"/>
          <w:szCs w:val="21"/>
          <w:lang w:val="es-PE"/>
        </w:rPr>
        <w:t>auriculoventricular</w:t>
      </w:r>
      <w:proofErr w:type="spellEnd"/>
      <w:r w:rsidR="007F64DA" w:rsidRPr="00DD6E57">
        <w:rPr>
          <w:rFonts w:asciiTheme="majorHAnsi" w:eastAsia="Calibri" w:hAnsiTheme="majorHAnsi" w:cs="Times New Roman"/>
          <w:sz w:val="21"/>
          <w:szCs w:val="21"/>
          <w:lang w:val="es-PE"/>
        </w:rPr>
        <w:t xml:space="preserve"> completo congénito”, </w:t>
      </w:r>
      <w:r w:rsidR="00F53326">
        <w:rPr>
          <w:rFonts w:asciiTheme="majorHAnsi" w:eastAsia="Calibri" w:hAnsiTheme="majorHAnsi" w:cs="Times New Roman"/>
          <w:sz w:val="21"/>
          <w:szCs w:val="21"/>
          <w:lang w:val="es-PE"/>
        </w:rPr>
        <w:t>con</w:t>
      </w:r>
      <w:r w:rsidR="007F64DA" w:rsidRPr="00DD6E57">
        <w:rPr>
          <w:rFonts w:asciiTheme="majorHAnsi" w:eastAsia="Calibri" w:hAnsiTheme="majorHAnsi" w:cs="Times New Roman"/>
          <w:sz w:val="21"/>
          <w:szCs w:val="21"/>
          <w:lang w:val="es-PE"/>
        </w:rPr>
        <w:t xml:space="preserve"> marcapasos </w:t>
      </w:r>
      <w:r w:rsidR="00DD6E57">
        <w:rPr>
          <w:rFonts w:asciiTheme="majorHAnsi" w:eastAsia="Calibri" w:hAnsiTheme="majorHAnsi" w:cs="Times New Roman"/>
          <w:sz w:val="21"/>
          <w:szCs w:val="21"/>
          <w:lang w:val="es-PE"/>
        </w:rPr>
        <w:t xml:space="preserve">desde el 2012 </w:t>
      </w:r>
      <w:r w:rsidR="007F64DA" w:rsidRPr="00DD6E57">
        <w:rPr>
          <w:rFonts w:asciiTheme="majorHAnsi" w:eastAsia="Calibri" w:hAnsiTheme="majorHAnsi" w:cs="Times New Roman"/>
          <w:sz w:val="21"/>
          <w:szCs w:val="21"/>
          <w:lang w:val="es-PE"/>
        </w:rPr>
        <w:t xml:space="preserve">y </w:t>
      </w:r>
      <w:r>
        <w:rPr>
          <w:rFonts w:asciiTheme="majorHAnsi" w:eastAsia="Calibri" w:hAnsiTheme="majorHAnsi" w:cs="Times New Roman"/>
          <w:sz w:val="21"/>
          <w:szCs w:val="21"/>
          <w:lang w:val="es-PE"/>
        </w:rPr>
        <w:t xml:space="preserve">requeriría una </w:t>
      </w:r>
      <w:r w:rsidR="00DD6E57">
        <w:rPr>
          <w:rFonts w:asciiTheme="majorHAnsi" w:eastAsia="Calibri" w:hAnsiTheme="majorHAnsi" w:cs="Times New Roman"/>
          <w:sz w:val="21"/>
          <w:szCs w:val="21"/>
          <w:lang w:val="es-PE"/>
        </w:rPr>
        <w:t>revisión médica constante</w:t>
      </w:r>
      <w:r w:rsidR="007F64DA" w:rsidRPr="00DD6E57">
        <w:rPr>
          <w:rFonts w:asciiTheme="majorHAnsi" w:eastAsia="Calibri" w:hAnsiTheme="majorHAnsi" w:cs="Times New Roman"/>
          <w:sz w:val="21"/>
          <w:szCs w:val="21"/>
          <w:lang w:val="es-PE"/>
        </w:rPr>
        <w:t>.</w:t>
      </w:r>
      <w:r w:rsidR="00B90764">
        <w:rPr>
          <w:rFonts w:asciiTheme="majorHAnsi" w:eastAsia="Calibri" w:hAnsiTheme="majorHAnsi" w:cs="Times New Roman"/>
          <w:sz w:val="21"/>
          <w:szCs w:val="21"/>
          <w:lang w:val="es-PE"/>
        </w:rPr>
        <w:t xml:space="preserve"> </w:t>
      </w:r>
      <w:r w:rsidR="00DD6E57" w:rsidRPr="00B90764">
        <w:rPr>
          <w:rFonts w:asciiTheme="majorHAnsi" w:eastAsia="Calibri" w:hAnsiTheme="majorHAnsi" w:cs="Times New Roman"/>
          <w:sz w:val="21"/>
          <w:szCs w:val="21"/>
          <w:lang w:val="es-PE"/>
        </w:rPr>
        <w:t>Tras su detención</w:t>
      </w:r>
      <w:r w:rsidR="00B90764" w:rsidRPr="00B90764">
        <w:rPr>
          <w:rFonts w:asciiTheme="majorHAnsi" w:eastAsia="Calibri" w:hAnsiTheme="majorHAnsi" w:cs="Times New Roman"/>
          <w:sz w:val="21"/>
          <w:szCs w:val="21"/>
          <w:lang w:val="es-PE"/>
        </w:rPr>
        <w:t xml:space="preserve">, familiares habrían informado a </w:t>
      </w:r>
      <w:r w:rsidR="003C00A6">
        <w:rPr>
          <w:rFonts w:asciiTheme="majorHAnsi" w:eastAsia="Calibri" w:hAnsiTheme="majorHAnsi" w:cs="Times New Roman"/>
          <w:sz w:val="21"/>
          <w:szCs w:val="21"/>
          <w:lang w:val="es-PE"/>
        </w:rPr>
        <w:t xml:space="preserve">la </w:t>
      </w:r>
      <w:r w:rsidR="00F53326">
        <w:rPr>
          <w:rFonts w:asciiTheme="majorHAnsi" w:eastAsia="Calibri" w:hAnsiTheme="majorHAnsi" w:cs="Times New Roman"/>
          <w:sz w:val="21"/>
          <w:szCs w:val="21"/>
          <w:lang w:val="es-PE"/>
        </w:rPr>
        <w:t>polic</w:t>
      </w:r>
      <w:r w:rsidR="003C00A6">
        <w:rPr>
          <w:rFonts w:asciiTheme="majorHAnsi" w:eastAsia="Calibri" w:hAnsiTheme="majorHAnsi" w:cs="Times New Roman"/>
          <w:sz w:val="21"/>
          <w:szCs w:val="21"/>
          <w:lang w:val="es-PE"/>
        </w:rPr>
        <w:t>í</w:t>
      </w:r>
      <w:r w:rsidR="00F53326">
        <w:rPr>
          <w:rFonts w:asciiTheme="majorHAnsi" w:eastAsia="Calibri" w:hAnsiTheme="majorHAnsi" w:cs="Times New Roman"/>
          <w:sz w:val="21"/>
          <w:szCs w:val="21"/>
          <w:lang w:val="es-PE"/>
        </w:rPr>
        <w:t>a</w:t>
      </w:r>
      <w:r w:rsidR="00B90764" w:rsidRPr="00B90764">
        <w:rPr>
          <w:rFonts w:asciiTheme="majorHAnsi" w:eastAsia="Calibri" w:hAnsiTheme="majorHAnsi" w:cs="Times New Roman"/>
          <w:sz w:val="21"/>
          <w:szCs w:val="21"/>
          <w:lang w:val="es-PE"/>
        </w:rPr>
        <w:t xml:space="preserve"> de la condición médica que tendría.</w:t>
      </w:r>
      <w:r w:rsidR="002E5D81">
        <w:rPr>
          <w:rFonts w:asciiTheme="majorHAnsi" w:eastAsia="Calibri" w:hAnsiTheme="majorHAnsi" w:cs="Times New Roman"/>
          <w:sz w:val="21"/>
          <w:szCs w:val="21"/>
          <w:lang w:val="es-PE"/>
        </w:rPr>
        <w:t xml:space="preserve"> </w:t>
      </w:r>
      <w:r w:rsidR="00B90764" w:rsidRPr="00B90764">
        <w:rPr>
          <w:rFonts w:asciiTheme="majorHAnsi" w:eastAsia="Calibri" w:hAnsiTheme="majorHAnsi" w:cs="Times New Roman"/>
          <w:sz w:val="21"/>
          <w:szCs w:val="21"/>
          <w:lang w:val="es-PE"/>
        </w:rPr>
        <w:t xml:space="preserve">Sin embargo, no </w:t>
      </w:r>
      <w:r w:rsidR="00B90764">
        <w:rPr>
          <w:rFonts w:asciiTheme="majorHAnsi" w:eastAsia="Calibri" w:hAnsiTheme="majorHAnsi" w:cs="Times New Roman"/>
          <w:sz w:val="21"/>
          <w:szCs w:val="21"/>
          <w:lang w:val="es-PE"/>
        </w:rPr>
        <w:t xml:space="preserve">se </w:t>
      </w:r>
      <w:r w:rsidR="00B90764" w:rsidRPr="00B90764">
        <w:rPr>
          <w:rFonts w:asciiTheme="majorHAnsi" w:eastAsia="Calibri" w:hAnsiTheme="majorHAnsi" w:cs="Times New Roman"/>
          <w:sz w:val="21"/>
          <w:szCs w:val="21"/>
          <w:lang w:val="es-PE"/>
        </w:rPr>
        <w:t>habría prestado atención médica</w:t>
      </w:r>
      <w:r w:rsidR="00B90764">
        <w:rPr>
          <w:rFonts w:asciiTheme="majorHAnsi" w:eastAsia="Calibri" w:hAnsiTheme="majorHAnsi" w:cs="Times New Roman"/>
          <w:sz w:val="21"/>
          <w:szCs w:val="21"/>
          <w:lang w:val="es-PE"/>
        </w:rPr>
        <w:t xml:space="preserve">, calificando las condiciones de detención en “El Chipote” como </w:t>
      </w:r>
      <w:r>
        <w:rPr>
          <w:rFonts w:asciiTheme="majorHAnsi" w:eastAsia="Calibri" w:hAnsiTheme="majorHAnsi" w:cs="Times New Roman"/>
          <w:sz w:val="21"/>
          <w:szCs w:val="21"/>
          <w:lang w:val="es-PE"/>
        </w:rPr>
        <w:t>“</w:t>
      </w:r>
      <w:r w:rsidR="00B90764">
        <w:rPr>
          <w:rFonts w:asciiTheme="majorHAnsi" w:eastAsia="Calibri" w:hAnsiTheme="majorHAnsi" w:cs="Times New Roman"/>
          <w:sz w:val="21"/>
          <w:szCs w:val="21"/>
          <w:lang w:val="es-PE"/>
        </w:rPr>
        <w:t>infrahumanas</w:t>
      </w:r>
      <w:r>
        <w:rPr>
          <w:rFonts w:asciiTheme="majorHAnsi" w:eastAsia="Calibri" w:hAnsiTheme="majorHAnsi" w:cs="Times New Roman"/>
          <w:sz w:val="21"/>
          <w:szCs w:val="21"/>
          <w:lang w:val="es-PE"/>
        </w:rPr>
        <w:t>”</w:t>
      </w:r>
      <w:r w:rsidR="00B90764" w:rsidRPr="00B90764">
        <w:rPr>
          <w:rFonts w:asciiTheme="majorHAnsi" w:eastAsia="Calibri" w:hAnsiTheme="majorHAnsi" w:cs="Times New Roman"/>
          <w:sz w:val="21"/>
          <w:szCs w:val="21"/>
          <w:lang w:val="es-PE"/>
        </w:rPr>
        <w:t xml:space="preserve">. </w:t>
      </w:r>
      <w:r w:rsidR="00672B78">
        <w:rPr>
          <w:rFonts w:asciiTheme="majorHAnsi" w:eastAsia="Calibri" w:hAnsiTheme="majorHAnsi" w:cs="Times New Roman"/>
          <w:sz w:val="21"/>
          <w:szCs w:val="21"/>
          <w:lang w:val="es-PE"/>
        </w:rPr>
        <w:t xml:space="preserve">El 5 de enero de 2018, la defensa de la beneficiaria habría presentado </w:t>
      </w:r>
      <w:r w:rsidR="007F64DA" w:rsidRPr="00672B78">
        <w:rPr>
          <w:rFonts w:asciiTheme="majorHAnsi" w:eastAsia="Calibri" w:hAnsiTheme="majorHAnsi" w:cs="Times New Roman"/>
          <w:sz w:val="21"/>
          <w:szCs w:val="21"/>
          <w:lang w:val="es-PE"/>
        </w:rPr>
        <w:t>docum</w:t>
      </w:r>
      <w:r w:rsidR="00672B78">
        <w:rPr>
          <w:rFonts w:asciiTheme="majorHAnsi" w:eastAsia="Calibri" w:hAnsiTheme="majorHAnsi" w:cs="Times New Roman"/>
          <w:sz w:val="21"/>
          <w:szCs w:val="21"/>
          <w:lang w:val="es-PE"/>
        </w:rPr>
        <w:t xml:space="preserve">entos de sus riesgos cardiacos, requiriendo </w:t>
      </w:r>
      <w:r w:rsidR="007F45B7">
        <w:rPr>
          <w:rFonts w:asciiTheme="majorHAnsi" w:eastAsia="Calibri" w:hAnsiTheme="majorHAnsi" w:cs="Times New Roman"/>
          <w:sz w:val="21"/>
          <w:szCs w:val="21"/>
          <w:lang w:val="es-PE"/>
        </w:rPr>
        <w:t xml:space="preserve">al juez </w:t>
      </w:r>
      <w:r w:rsidR="007F64DA" w:rsidRPr="00672B78">
        <w:rPr>
          <w:rFonts w:asciiTheme="majorHAnsi" w:eastAsia="Calibri" w:hAnsiTheme="majorHAnsi" w:cs="Times New Roman"/>
          <w:sz w:val="21"/>
          <w:szCs w:val="21"/>
          <w:lang w:val="es-PE"/>
        </w:rPr>
        <w:t>la sustitución de la medida de prisión por arresto domiciliar</w:t>
      </w:r>
      <w:r w:rsidR="00F53326">
        <w:rPr>
          <w:rFonts w:asciiTheme="majorHAnsi" w:eastAsia="Calibri" w:hAnsiTheme="majorHAnsi" w:cs="Times New Roman"/>
          <w:sz w:val="21"/>
          <w:szCs w:val="21"/>
          <w:lang w:val="es-PE"/>
        </w:rPr>
        <w:t>io</w:t>
      </w:r>
      <w:r w:rsidR="007F64DA" w:rsidRPr="00672B78">
        <w:rPr>
          <w:rFonts w:asciiTheme="majorHAnsi" w:eastAsia="Calibri" w:hAnsiTheme="majorHAnsi" w:cs="Times New Roman"/>
          <w:sz w:val="21"/>
          <w:szCs w:val="21"/>
          <w:lang w:val="es-PE"/>
        </w:rPr>
        <w:t xml:space="preserve">, junto con una valoración del médico forense. Sin embargo, </w:t>
      </w:r>
      <w:r w:rsidR="00672B78" w:rsidRPr="00672B78">
        <w:rPr>
          <w:rFonts w:asciiTheme="majorHAnsi" w:eastAsia="Calibri" w:hAnsiTheme="majorHAnsi" w:cs="Times New Roman"/>
          <w:sz w:val="21"/>
          <w:szCs w:val="21"/>
          <w:lang w:val="es-PE"/>
        </w:rPr>
        <w:t>la propuesta beneficiaria habría sido traslada al S</w:t>
      </w:r>
      <w:r w:rsidR="007F45B7">
        <w:rPr>
          <w:rFonts w:asciiTheme="majorHAnsi" w:eastAsia="Calibri" w:hAnsiTheme="majorHAnsi" w:cs="Times New Roman"/>
          <w:sz w:val="21"/>
          <w:szCs w:val="21"/>
          <w:lang w:val="es-PE"/>
        </w:rPr>
        <w:t xml:space="preserve">istema Penitenciario de Mujeres, </w:t>
      </w:r>
      <w:r w:rsidR="00672B78" w:rsidRPr="00672B78">
        <w:rPr>
          <w:rFonts w:asciiTheme="majorHAnsi" w:eastAsia="Calibri" w:hAnsiTheme="majorHAnsi" w:cs="Times New Roman"/>
          <w:sz w:val="21"/>
          <w:szCs w:val="21"/>
          <w:lang w:val="es-PE"/>
        </w:rPr>
        <w:t>siendo acusada</w:t>
      </w:r>
      <w:r w:rsidR="00672B78">
        <w:rPr>
          <w:rFonts w:asciiTheme="majorHAnsi" w:eastAsia="Calibri" w:hAnsiTheme="majorHAnsi" w:cs="Times New Roman"/>
          <w:sz w:val="21"/>
          <w:szCs w:val="21"/>
          <w:lang w:val="es-PE"/>
        </w:rPr>
        <w:t xml:space="preserve"> </w:t>
      </w:r>
      <w:r w:rsidR="00672B78" w:rsidRPr="00672B78">
        <w:rPr>
          <w:rFonts w:asciiTheme="majorHAnsi" w:eastAsia="Calibri" w:hAnsiTheme="majorHAnsi" w:cs="Times New Roman"/>
          <w:sz w:val="21"/>
          <w:szCs w:val="21"/>
          <w:lang w:val="es-PE"/>
        </w:rPr>
        <w:t xml:space="preserve">por </w:t>
      </w:r>
      <w:r w:rsidR="00171E06">
        <w:rPr>
          <w:rFonts w:asciiTheme="majorHAnsi" w:eastAsia="Calibri" w:hAnsiTheme="majorHAnsi" w:cs="Times New Roman"/>
          <w:sz w:val="21"/>
          <w:szCs w:val="21"/>
          <w:lang w:val="es-PE"/>
        </w:rPr>
        <w:t>diversos delitos</w:t>
      </w:r>
      <w:r w:rsidR="00672B78" w:rsidRPr="00672B78">
        <w:rPr>
          <w:rFonts w:asciiTheme="majorHAnsi" w:eastAsia="Calibri" w:hAnsiTheme="majorHAnsi" w:cs="Times New Roman"/>
          <w:sz w:val="21"/>
          <w:szCs w:val="21"/>
          <w:lang w:val="es-PE"/>
        </w:rPr>
        <w:t>.</w:t>
      </w:r>
    </w:p>
    <w:p w:rsidR="00672B78" w:rsidRPr="00672B78" w:rsidRDefault="00672B78" w:rsidP="00245A1E">
      <w:pPr>
        <w:pStyle w:val="ListParagraph"/>
        <w:widowControl w:val="0"/>
        <w:spacing w:after="0" w:line="240" w:lineRule="auto"/>
        <w:rPr>
          <w:rFonts w:asciiTheme="majorHAnsi" w:eastAsia="Calibri" w:hAnsiTheme="majorHAnsi" w:cs="Times New Roman"/>
          <w:sz w:val="21"/>
          <w:szCs w:val="21"/>
          <w:lang w:val="es-PE"/>
        </w:rPr>
      </w:pPr>
    </w:p>
    <w:p w:rsidR="00932B74" w:rsidRDefault="00F53326"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Pr>
          <w:rFonts w:asciiTheme="majorHAnsi" w:eastAsia="Calibri" w:hAnsiTheme="majorHAnsi" w:cs="Times New Roman"/>
          <w:sz w:val="21"/>
          <w:szCs w:val="21"/>
          <w:lang w:val="es-PE"/>
        </w:rPr>
        <w:t>L</w:t>
      </w:r>
      <w:r w:rsidR="00672B78">
        <w:rPr>
          <w:rFonts w:asciiTheme="majorHAnsi" w:eastAsia="Calibri" w:hAnsiTheme="majorHAnsi" w:cs="Times New Roman"/>
          <w:sz w:val="21"/>
          <w:szCs w:val="21"/>
          <w:lang w:val="es-PE"/>
        </w:rPr>
        <w:t xml:space="preserve">a señora Matute </w:t>
      </w:r>
      <w:r>
        <w:rPr>
          <w:rFonts w:asciiTheme="majorHAnsi" w:eastAsia="Calibri" w:hAnsiTheme="majorHAnsi" w:cs="Times New Roman"/>
          <w:sz w:val="21"/>
          <w:szCs w:val="21"/>
          <w:lang w:val="es-PE"/>
        </w:rPr>
        <w:t xml:space="preserve">habría </w:t>
      </w:r>
      <w:r w:rsidR="008C305C">
        <w:rPr>
          <w:rFonts w:asciiTheme="majorHAnsi" w:eastAsia="Calibri" w:hAnsiTheme="majorHAnsi" w:cs="Times New Roman"/>
          <w:sz w:val="21"/>
          <w:szCs w:val="21"/>
          <w:lang w:val="es-PE"/>
        </w:rPr>
        <w:t xml:space="preserve">compartido </w:t>
      </w:r>
      <w:r w:rsidR="00672B78">
        <w:rPr>
          <w:rFonts w:asciiTheme="majorHAnsi" w:eastAsia="Calibri" w:hAnsiTheme="majorHAnsi" w:cs="Times New Roman"/>
          <w:sz w:val="21"/>
          <w:szCs w:val="21"/>
          <w:lang w:val="es-PE"/>
        </w:rPr>
        <w:t>u</w:t>
      </w:r>
      <w:r w:rsidR="007F64DA" w:rsidRPr="00672B78">
        <w:rPr>
          <w:rFonts w:asciiTheme="majorHAnsi" w:eastAsia="Calibri" w:hAnsiTheme="majorHAnsi" w:cs="Times New Roman"/>
          <w:sz w:val="21"/>
          <w:szCs w:val="21"/>
          <w:lang w:val="es-PE"/>
        </w:rPr>
        <w:t xml:space="preserve">na </w:t>
      </w:r>
      <w:r w:rsidR="00672B78">
        <w:rPr>
          <w:rFonts w:asciiTheme="majorHAnsi" w:eastAsia="Calibri" w:hAnsiTheme="majorHAnsi" w:cs="Times New Roman"/>
          <w:sz w:val="21"/>
          <w:szCs w:val="21"/>
          <w:lang w:val="es-PE"/>
        </w:rPr>
        <w:t xml:space="preserve">celda </w:t>
      </w:r>
      <w:r w:rsidR="00115575" w:rsidRPr="00115575">
        <w:rPr>
          <w:rFonts w:asciiTheme="majorHAnsi" w:eastAsia="Calibri" w:hAnsiTheme="majorHAnsi" w:cs="Times New Roman"/>
          <w:sz w:val="21"/>
          <w:szCs w:val="21"/>
          <w:lang w:val="es-PE"/>
        </w:rPr>
        <w:t xml:space="preserve">de espacio reducido de aproximadamente 4 por 8 metros, con 15 presas pese a que el mismo </w:t>
      </w:r>
      <w:r w:rsidR="00115575">
        <w:rPr>
          <w:rFonts w:asciiTheme="majorHAnsi" w:eastAsia="Calibri" w:hAnsiTheme="majorHAnsi" w:cs="Times New Roman"/>
          <w:sz w:val="21"/>
          <w:szCs w:val="21"/>
          <w:lang w:val="es-PE"/>
        </w:rPr>
        <w:t xml:space="preserve">estaría </w:t>
      </w:r>
      <w:r w:rsidR="00115575" w:rsidRPr="00115575">
        <w:rPr>
          <w:rFonts w:asciiTheme="majorHAnsi" w:eastAsia="Calibri" w:hAnsiTheme="majorHAnsi" w:cs="Times New Roman"/>
          <w:sz w:val="21"/>
          <w:szCs w:val="21"/>
          <w:lang w:val="es-PE"/>
        </w:rPr>
        <w:t xml:space="preserve">habilitado para 8 personas, en </w:t>
      </w:r>
      <w:r w:rsidR="00115575">
        <w:rPr>
          <w:rFonts w:asciiTheme="majorHAnsi" w:eastAsia="Calibri" w:hAnsiTheme="majorHAnsi" w:cs="Times New Roman"/>
          <w:sz w:val="21"/>
          <w:szCs w:val="21"/>
          <w:lang w:val="es-PE"/>
        </w:rPr>
        <w:t xml:space="preserve">presuntas </w:t>
      </w:r>
      <w:r w:rsidR="00115575" w:rsidRPr="00115575">
        <w:rPr>
          <w:rFonts w:asciiTheme="majorHAnsi" w:eastAsia="Calibri" w:hAnsiTheme="majorHAnsi" w:cs="Times New Roman"/>
          <w:sz w:val="21"/>
          <w:szCs w:val="21"/>
          <w:lang w:val="es-PE"/>
        </w:rPr>
        <w:t>condiciones de hacinamiento e insalubridad</w:t>
      </w:r>
      <w:r w:rsidR="00115575">
        <w:rPr>
          <w:rFonts w:asciiTheme="majorHAnsi" w:eastAsia="Calibri" w:hAnsiTheme="majorHAnsi" w:cs="Times New Roman"/>
          <w:sz w:val="21"/>
          <w:szCs w:val="21"/>
          <w:lang w:val="es-PE"/>
        </w:rPr>
        <w:t xml:space="preserve">. </w:t>
      </w:r>
      <w:r>
        <w:rPr>
          <w:rFonts w:asciiTheme="majorHAnsi" w:eastAsia="Calibri" w:hAnsiTheme="majorHAnsi" w:cs="Times New Roman"/>
          <w:sz w:val="21"/>
          <w:szCs w:val="21"/>
          <w:lang w:val="es-PE"/>
        </w:rPr>
        <w:t>L</w:t>
      </w:r>
      <w:r w:rsidR="00115575">
        <w:rPr>
          <w:rFonts w:asciiTheme="majorHAnsi" w:eastAsia="Calibri" w:hAnsiTheme="majorHAnsi" w:cs="Times New Roman"/>
          <w:sz w:val="21"/>
          <w:szCs w:val="21"/>
          <w:lang w:val="es-PE"/>
        </w:rPr>
        <w:t>a señora Matute hab</w:t>
      </w:r>
      <w:r w:rsidR="00932B74">
        <w:rPr>
          <w:rFonts w:asciiTheme="majorHAnsi" w:eastAsia="Calibri" w:hAnsiTheme="majorHAnsi" w:cs="Times New Roman"/>
          <w:sz w:val="21"/>
          <w:szCs w:val="21"/>
          <w:lang w:val="es-PE"/>
        </w:rPr>
        <w:t>r</w:t>
      </w:r>
      <w:r w:rsidR="00115575">
        <w:rPr>
          <w:rFonts w:asciiTheme="majorHAnsi" w:eastAsia="Calibri" w:hAnsiTheme="majorHAnsi" w:cs="Times New Roman"/>
          <w:sz w:val="21"/>
          <w:szCs w:val="21"/>
          <w:lang w:val="es-PE"/>
        </w:rPr>
        <w:t xml:space="preserve">ía indicado que solicitó atención médica en varias </w:t>
      </w:r>
      <w:r w:rsidR="00115575" w:rsidRPr="00115575">
        <w:rPr>
          <w:rFonts w:asciiTheme="majorHAnsi" w:eastAsia="Calibri" w:hAnsiTheme="majorHAnsi" w:cs="Times New Roman"/>
          <w:sz w:val="21"/>
          <w:szCs w:val="21"/>
          <w:lang w:val="es-PE"/>
        </w:rPr>
        <w:t xml:space="preserve">ocasiones, ya que le faltaba la respiración </w:t>
      </w:r>
      <w:r>
        <w:rPr>
          <w:rFonts w:asciiTheme="majorHAnsi" w:eastAsia="Calibri" w:hAnsiTheme="majorHAnsi" w:cs="Times New Roman"/>
          <w:sz w:val="21"/>
          <w:szCs w:val="21"/>
          <w:lang w:val="es-PE"/>
        </w:rPr>
        <w:t>y</w:t>
      </w:r>
      <w:r w:rsidR="00115575" w:rsidRPr="00115575">
        <w:rPr>
          <w:rFonts w:asciiTheme="majorHAnsi" w:eastAsia="Calibri" w:hAnsiTheme="majorHAnsi" w:cs="Times New Roman"/>
          <w:sz w:val="21"/>
          <w:szCs w:val="21"/>
          <w:lang w:val="es-PE"/>
        </w:rPr>
        <w:t xml:space="preserve"> hab</w:t>
      </w:r>
      <w:r w:rsidR="00932B74">
        <w:rPr>
          <w:rFonts w:asciiTheme="majorHAnsi" w:eastAsia="Calibri" w:hAnsiTheme="majorHAnsi" w:cs="Times New Roman"/>
          <w:sz w:val="21"/>
          <w:szCs w:val="21"/>
          <w:lang w:val="es-PE"/>
        </w:rPr>
        <w:t>r</w:t>
      </w:r>
      <w:r w:rsidR="00115575" w:rsidRPr="00115575">
        <w:rPr>
          <w:rFonts w:asciiTheme="majorHAnsi" w:eastAsia="Calibri" w:hAnsiTheme="majorHAnsi" w:cs="Times New Roman"/>
          <w:sz w:val="21"/>
          <w:szCs w:val="21"/>
          <w:lang w:val="es-PE"/>
        </w:rPr>
        <w:t>ía llegado a perder el conocimiento</w:t>
      </w:r>
      <w:r w:rsidR="00115575">
        <w:rPr>
          <w:rFonts w:asciiTheme="majorHAnsi" w:eastAsia="Calibri" w:hAnsiTheme="majorHAnsi" w:cs="Times New Roman"/>
          <w:sz w:val="21"/>
          <w:szCs w:val="21"/>
          <w:lang w:val="es-PE"/>
        </w:rPr>
        <w:t xml:space="preserve">. </w:t>
      </w:r>
      <w:r w:rsidR="00932B74">
        <w:rPr>
          <w:rFonts w:asciiTheme="majorHAnsi" w:eastAsia="Calibri" w:hAnsiTheme="majorHAnsi" w:cs="Times New Roman"/>
          <w:sz w:val="21"/>
          <w:szCs w:val="21"/>
          <w:lang w:val="es-PE"/>
        </w:rPr>
        <w:t>L</w:t>
      </w:r>
      <w:r w:rsidR="00115575" w:rsidRPr="00115575">
        <w:rPr>
          <w:rFonts w:asciiTheme="majorHAnsi" w:eastAsia="Calibri" w:hAnsiTheme="majorHAnsi" w:cs="Times New Roman"/>
          <w:sz w:val="21"/>
          <w:szCs w:val="21"/>
          <w:lang w:val="es-PE"/>
        </w:rPr>
        <w:t xml:space="preserve">as custodias </w:t>
      </w:r>
      <w:r w:rsidR="00115575">
        <w:rPr>
          <w:rFonts w:asciiTheme="majorHAnsi" w:eastAsia="Calibri" w:hAnsiTheme="majorHAnsi" w:cs="Times New Roman"/>
          <w:sz w:val="21"/>
          <w:szCs w:val="21"/>
          <w:lang w:val="es-PE"/>
        </w:rPr>
        <w:t>la habría tratado como “m</w:t>
      </w:r>
      <w:r w:rsidR="00115575" w:rsidRPr="00115575">
        <w:rPr>
          <w:rFonts w:asciiTheme="majorHAnsi" w:eastAsia="Calibri" w:hAnsiTheme="majorHAnsi" w:cs="Times New Roman"/>
          <w:sz w:val="21"/>
          <w:szCs w:val="21"/>
          <w:lang w:val="es-PE"/>
        </w:rPr>
        <w:t xml:space="preserve">entirosa” y </w:t>
      </w:r>
      <w:r w:rsidR="00115575">
        <w:rPr>
          <w:rFonts w:asciiTheme="majorHAnsi" w:eastAsia="Calibri" w:hAnsiTheme="majorHAnsi" w:cs="Times New Roman"/>
          <w:sz w:val="21"/>
          <w:szCs w:val="21"/>
          <w:lang w:val="es-PE"/>
        </w:rPr>
        <w:t xml:space="preserve">no habría recibido </w:t>
      </w:r>
      <w:r w:rsidR="00115575" w:rsidRPr="00115575">
        <w:rPr>
          <w:rFonts w:asciiTheme="majorHAnsi" w:eastAsia="Calibri" w:hAnsiTheme="majorHAnsi" w:cs="Times New Roman"/>
          <w:sz w:val="21"/>
          <w:szCs w:val="21"/>
          <w:lang w:val="es-PE"/>
        </w:rPr>
        <w:t>valoración médica especializada.</w:t>
      </w:r>
    </w:p>
    <w:p w:rsidR="00932B74" w:rsidRPr="00932B74" w:rsidRDefault="00932B74" w:rsidP="00245A1E">
      <w:pPr>
        <w:pStyle w:val="ListParagraph"/>
        <w:widowControl w:val="0"/>
        <w:spacing w:after="0" w:line="240" w:lineRule="auto"/>
        <w:rPr>
          <w:rFonts w:asciiTheme="majorHAnsi" w:eastAsia="Calibri" w:hAnsiTheme="majorHAnsi" w:cs="Times New Roman"/>
          <w:sz w:val="21"/>
          <w:szCs w:val="21"/>
          <w:lang w:val="es-PE"/>
        </w:rPr>
      </w:pPr>
    </w:p>
    <w:p w:rsidR="005424E9" w:rsidRDefault="00115575"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932B74">
        <w:rPr>
          <w:rFonts w:asciiTheme="majorHAnsi" w:eastAsia="Calibri" w:hAnsiTheme="majorHAnsi" w:cs="Times New Roman"/>
          <w:sz w:val="21"/>
          <w:szCs w:val="21"/>
          <w:lang w:val="es-PE"/>
        </w:rPr>
        <w:t xml:space="preserve">El 4 de enero 2019, </w:t>
      </w:r>
      <w:r w:rsidR="00AD2355" w:rsidRPr="00932B74">
        <w:rPr>
          <w:rFonts w:asciiTheme="majorHAnsi" w:eastAsia="Calibri" w:hAnsiTheme="majorHAnsi" w:cs="Times New Roman"/>
          <w:sz w:val="21"/>
          <w:szCs w:val="21"/>
          <w:lang w:val="es-PE"/>
        </w:rPr>
        <w:t xml:space="preserve">la señora </w:t>
      </w:r>
      <w:r w:rsidRPr="00932B74">
        <w:rPr>
          <w:rFonts w:asciiTheme="majorHAnsi" w:eastAsia="Calibri" w:hAnsiTheme="majorHAnsi" w:cs="Times New Roman"/>
          <w:sz w:val="21"/>
          <w:szCs w:val="21"/>
          <w:lang w:val="es-PE"/>
        </w:rPr>
        <w:t xml:space="preserve">Matute </w:t>
      </w:r>
      <w:r w:rsidR="00AD2355" w:rsidRPr="00932B74">
        <w:rPr>
          <w:rFonts w:asciiTheme="majorHAnsi" w:eastAsia="Calibri" w:hAnsiTheme="majorHAnsi" w:cs="Times New Roman"/>
          <w:sz w:val="21"/>
          <w:szCs w:val="21"/>
          <w:lang w:val="es-PE"/>
        </w:rPr>
        <w:t xml:space="preserve">habría pedido </w:t>
      </w:r>
      <w:r w:rsidRPr="00932B74">
        <w:rPr>
          <w:rFonts w:asciiTheme="majorHAnsi" w:eastAsia="Calibri" w:hAnsiTheme="majorHAnsi" w:cs="Times New Roman"/>
          <w:sz w:val="21"/>
          <w:szCs w:val="21"/>
          <w:lang w:val="es-PE"/>
        </w:rPr>
        <w:t xml:space="preserve">atención médica desde </w:t>
      </w:r>
      <w:r w:rsidR="00AD2355" w:rsidRPr="00932B74">
        <w:rPr>
          <w:rFonts w:asciiTheme="majorHAnsi" w:eastAsia="Calibri" w:hAnsiTheme="majorHAnsi" w:cs="Times New Roman"/>
          <w:sz w:val="21"/>
          <w:szCs w:val="21"/>
          <w:lang w:val="es-PE"/>
        </w:rPr>
        <w:t xml:space="preserve">temprano ante </w:t>
      </w:r>
      <w:r w:rsidRPr="00932B74">
        <w:rPr>
          <w:rFonts w:asciiTheme="majorHAnsi" w:eastAsia="Calibri" w:hAnsiTheme="majorHAnsi" w:cs="Times New Roman"/>
          <w:sz w:val="21"/>
          <w:szCs w:val="21"/>
          <w:lang w:val="es-PE"/>
        </w:rPr>
        <w:t xml:space="preserve">graves dificultades para respirar y un fuerte dolor en el pecho. </w:t>
      </w:r>
      <w:r w:rsidR="00932B74" w:rsidRPr="00932B74">
        <w:rPr>
          <w:rFonts w:asciiTheme="majorHAnsi" w:eastAsia="Calibri" w:hAnsiTheme="majorHAnsi" w:cs="Times New Roman"/>
          <w:sz w:val="21"/>
          <w:szCs w:val="21"/>
          <w:lang w:val="es-PE"/>
        </w:rPr>
        <w:t>Según los solicitantes, n</w:t>
      </w:r>
      <w:r w:rsidRPr="00932B74">
        <w:rPr>
          <w:rFonts w:asciiTheme="majorHAnsi" w:eastAsia="Calibri" w:hAnsiTheme="majorHAnsi" w:cs="Times New Roman"/>
          <w:sz w:val="21"/>
          <w:szCs w:val="21"/>
          <w:lang w:val="es-PE"/>
        </w:rPr>
        <w:t xml:space="preserve">o fue </w:t>
      </w:r>
      <w:r w:rsidR="00AD2355" w:rsidRPr="00932B74">
        <w:rPr>
          <w:rFonts w:asciiTheme="majorHAnsi" w:eastAsia="Calibri" w:hAnsiTheme="majorHAnsi" w:cs="Times New Roman"/>
          <w:sz w:val="21"/>
          <w:szCs w:val="21"/>
          <w:lang w:val="es-PE"/>
        </w:rPr>
        <w:t xml:space="preserve">sino hasta </w:t>
      </w:r>
      <w:r w:rsidR="00AD2355" w:rsidRPr="00932B74">
        <w:rPr>
          <w:rFonts w:asciiTheme="majorHAnsi" w:eastAsia="Calibri" w:hAnsiTheme="majorHAnsi" w:cs="Times New Roman"/>
          <w:sz w:val="21"/>
          <w:szCs w:val="21"/>
          <w:lang w:val="es-PE"/>
        </w:rPr>
        <w:lastRenderedPageBreak/>
        <w:t xml:space="preserve">que </w:t>
      </w:r>
      <w:r w:rsidR="00932B74" w:rsidRPr="00932B74">
        <w:rPr>
          <w:rFonts w:asciiTheme="majorHAnsi" w:eastAsia="Calibri" w:hAnsiTheme="majorHAnsi" w:cs="Times New Roman"/>
          <w:sz w:val="21"/>
          <w:szCs w:val="21"/>
          <w:lang w:val="es-PE"/>
        </w:rPr>
        <w:t>habría perdido</w:t>
      </w:r>
      <w:r w:rsidR="00AD2355" w:rsidRPr="00932B74">
        <w:rPr>
          <w:rFonts w:asciiTheme="majorHAnsi" w:eastAsia="Calibri" w:hAnsiTheme="majorHAnsi" w:cs="Times New Roman"/>
          <w:sz w:val="21"/>
          <w:szCs w:val="21"/>
          <w:lang w:val="es-PE"/>
        </w:rPr>
        <w:t xml:space="preserve"> </w:t>
      </w:r>
      <w:r w:rsidRPr="00932B74">
        <w:rPr>
          <w:rFonts w:asciiTheme="majorHAnsi" w:eastAsia="Calibri" w:hAnsiTheme="majorHAnsi" w:cs="Times New Roman"/>
          <w:sz w:val="21"/>
          <w:szCs w:val="21"/>
          <w:lang w:val="es-PE"/>
        </w:rPr>
        <w:t xml:space="preserve">el conocimiento y </w:t>
      </w:r>
      <w:r w:rsidR="00AD2355" w:rsidRPr="00932B74">
        <w:rPr>
          <w:rFonts w:asciiTheme="majorHAnsi" w:eastAsia="Calibri" w:hAnsiTheme="majorHAnsi" w:cs="Times New Roman"/>
          <w:sz w:val="21"/>
          <w:szCs w:val="21"/>
          <w:lang w:val="es-PE"/>
        </w:rPr>
        <w:t xml:space="preserve">que </w:t>
      </w:r>
      <w:r w:rsidRPr="00932B74">
        <w:rPr>
          <w:rFonts w:asciiTheme="majorHAnsi" w:eastAsia="Calibri" w:hAnsiTheme="majorHAnsi" w:cs="Times New Roman"/>
          <w:sz w:val="21"/>
          <w:szCs w:val="21"/>
          <w:lang w:val="es-PE"/>
        </w:rPr>
        <w:t xml:space="preserve">las mujeres </w:t>
      </w:r>
      <w:r w:rsidR="00AD2355" w:rsidRPr="00932B74">
        <w:rPr>
          <w:rFonts w:asciiTheme="majorHAnsi" w:eastAsia="Calibri" w:hAnsiTheme="majorHAnsi" w:cs="Times New Roman"/>
          <w:sz w:val="21"/>
          <w:szCs w:val="21"/>
          <w:lang w:val="es-PE"/>
        </w:rPr>
        <w:t>de su</w:t>
      </w:r>
      <w:r w:rsidRPr="00932B74">
        <w:rPr>
          <w:rFonts w:asciiTheme="majorHAnsi" w:eastAsia="Calibri" w:hAnsiTheme="majorHAnsi" w:cs="Times New Roman"/>
          <w:sz w:val="21"/>
          <w:szCs w:val="21"/>
          <w:lang w:val="es-PE"/>
        </w:rPr>
        <w:t xml:space="preserve"> celda pidieron auxilio, </w:t>
      </w:r>
      <w:r w:rsidR="00932B74" w:rsidRPr="00932B74">
        <w:rPr>
          <w:rFonts w:asciiTheme="majorHAnsi" w:eastAsia="Calibri" w:hAnsiTheme="majorHAnsi" w:cs="Times New Roman"/>
          <w:sz w:val="21"/>
          <w:szCs w:val="21"/>
          <w:lang w:val="es-PE"/>
        </w:rPr>
        <w:t>que la señora Matute fue trasladada a un puesto médico, donde se registraron sus</w:t>
      </w:r>
      <w:r w:rsidRPr="00932B74">
        <w:rPr>
          <w:rFonts w:asciiTheme="majorHAnsi" w:eastAsia="Calibri" w:hAnsiTheme="majorHAnsi" w:cs="Times New Roman"/>
          <w:sz w:val="21"/>
          <w:szCs w:val="21"/>
          <w:lang w:val="es-PE"/>
        </w:rPr>
        <w:t xml:space="preserve"> signos vitales </w:t>
      </w:r>
      <w:r w:rsidR="00932B74" w:rsidRPr="00932B74">
        <w:rPr>
          <w:rFonts w:asciiTheme="majorHAnsi" w:eastAsia="Calibri" w:hAnsiTheme="majorHAnsi" w:cs="Times New Roman"/>
          <w:sz w:val="21"/>
          <w:szCs w:val="21"/>
          <w:lang w:val="es-PE"/>
        </w:rPr>
        <w:t xml:space="preserve">como </w:t>
      </w:r>
      <w:r w:rsidRPr="00932B74">
        <w:rPr>
          <w:rFonts w:asciiTheme="majorHAnsi" w:eastAsia="Calibri" w:hAnsiTheme="majorHAnsi" w:cs="Times New Roman"/>
          <w:sz w:val="21"/>
          <w:szCs w:val="21"/>
          <w:lang w:val="es-PE"/>
        </w:rPr>
        <w:t xml:space="preserve">muy bajos, </w:t>
      </w:r>
      <w:r w:rsidR="00932B74" w:rsidRPr="00932B74">
        <w:rPr>
          <w:rFonts w:asciiTheme="majorHAnsi" w:eastAsia="Calibri" w:hAnsiTheme="majorHAnsi" w:cs="Times New Roman"/>
          <w:sz w:val="21"/>
          <w:szCs w:val="21"/>
          <w:lang w:val="es-PE"/>
        </w:rPr>
        <w:t xml:space="preserve">siendo </w:t>
      </w:r>
      <w:r w:rsidRPr="00932B74">
        <w:rPr>
          <w:rFonts w:asciiTheme="majorHAnsi" w:eastAsia="Calibri" w:hAnsiTheme="majorHAnsi" w:cs="Times New Roman"/>
          <w:sz w:val="21"/>
          <w:szCs w:val="21"/>
          <w:lang w:val="es-PE"/>
        </w:rPr>
        <w:t xml:space="preserve">trasladada al </w:t>
      </w:r>
      <w:r w:rsidR="00F53326">
        <w:rPr>
          <w:rFonts w:asciiTheme="majorHAnsi" w:eastAsia="Calibri" w:hAnsiTheme="majorHAnsi" w:cs="Times New Roman"/>
          <w:sz w:val="21"/>
          <w:szCs w:val="21"/>
          <w:lang w:val="es-PE"/>
        </w:rPr>
        <w:t>H</w:t>
      </w:r>
      <w:r w:rsidRPr="00932B74">
        <w:rPr>
          <w:rFonts w:asciiTheme="majorHAnsi" w:eastAsia="Calibri" w:hAnsiTheme="majorHAnsi" w:cs="Times New Roman"/>
          <w:sz w:val="21"/>
          <w:szCs w:val="21"/>
          <w:lang w:val="es-PE"/>
        </w:rPr>
        <w:t>ospital de la Policía Nacional.</w:t>
      </w:r>
    </w:p>
    <w:p w:rsidR="005424E9" w:rsidRPr="005424E9" w:rsidRDefault="005424E9" w:rsidP="00245A1E">
      <w:pPr>
        <w:pStyle w:val="ListParagraph"/>
        <w:widowControl w:val="0"/>
        <w:spacing w:after="0" w:line="240" w:lineRule="auto"/>
        <w:rPr>
          <w:rFonts w:asciiTheme="majorHAnsi" w:eastAsia="Calibri" w:hAnsiTheme="majorHAnsi" w:cs="Times New Roman"/>
          <w:sz w:val="21"/>
          <w:szCs w:val="21"/>
          <w:lang w:val="es-PE"/>
        </w:rPr>
      </w:pPr>
    </w:p>
    <w:p w:rsidR="005424E9" w:rsidRDefault="00115575"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5424E9">
        <w:rPr>
          <w:rFonts w:asciiTheme="majorHAnsi" w:eastAsia="Calibri" w:hAnsiTheme="majorHAnsi" w:cs="Times New Roman"/>
          <w:sz w:val="21"/>
          <w:szCs w:val="21"/>
          <w:lang w:val="es-PE"/>
        </w:rPr>
        <w:t xml:space="preserve">En el </w:t>
      </w:r>
      <w:r w:rsidR="00932B74" w:rsidRPr="005424E9">
        <w:rPr>
          <w:rFonts w:asciiTheme="majorHAnsi" w:eastAsia="Calibri" w:hAnsiTheme="majorHAnsi" w:cs="Times New Roman"/>
          <w:sz w:val="21"/>
          <w:szCs w:val="21"/>
          <w:lang w:val="es-PE"/>
        </w:rPr>
        <w:t>H</w:t>
      </w:r>
      <w:r w:rsidRPr="005424E9">
        <w:rPr>
          <w:rFonts w:asciiTheme="majorHAnsi" w:eastAsia="Calibri" w:hAnsiTheme="majorHAnsi" w:cs="Times New Roman"/>
          <w:sz w:val="21"/>
          <w:szCs w:val="21"/>
          <w:lang w:val="es-PE"/>
        </w:rPr>
        <w:t xml:space="preserve">ospital, los médicos </w:t>
      </w:r>
      <w:r w:rsidR="00932B74" w:rsidRPr="005424E9">
        <w:rPr>
          <w:rFonts w:asciiTheme="majorHAnsi" w:eastAsia="Calibri" w:hAnsiTheme="majorHAnsi" w:cs="Times New Roman"/>
          <w:sz w:val="21"/>
          <w:szCs w:val="21"/>
          <w:lang w:val="es-PE"/>
        </w:rPr>
        <w:t>habrían indicado que la señora p</w:t>
      </w:r>
      <w:r w:rsidRPr="005424E9">
        <w:rPr>
          <w:rFonts w:asciiTheme="majorHAnsi" w:eastAsia="Calibri" w:hAnsiTheme="majorHAnsi" w:cs="Times New Roman"/>
          <w:sz w:val="21"/>
          <w:szCs w:val="21"/>
          <w:lang w:val="es-PE"/>
        </w:rPr>
        <w:t>resentaba un cuadro clínico grave, que el marcapasos había dejado de funcionar y que sin él los r</w:t>
      </w:r>
      <w:r w:rsidR="00932B74" w:rsidRPr="005424E9">
        <w:rPr>
          <w:rFonts w:asciiTheme="majorHAnsi" w:eastAsia="Calibri" w:hAnsiTheme="majorHAnsi" w:cs="Times New Roman"/>
          <w:sz w:val="21"/>
          <w:szCs w:val="21"/>
          <w:lang w:val="es-PE"/>
        </w:rPr>
        <w:t xml:space="preserve">iesgos de muerte eran altísimos, siendo trasladada 24 horas después a un hospital privado. En el hospital privado, </w:t>
      </w:r>
      <w:r w:rsidR="00BC3B97" w:rsidRPr="005424E9">
        <w:rPr>
          <w:rFonts w:asciiTheme="majorHAnsi" w:eastAsia="Calibri" w:hAnsiTheme="majorHAnsi" w:cs="Times New Roman"/>
          <w:sz w:val="21"/>
          <w:szCs w:val="21"/>
          <w:lang w:val="es-PE"/>
        </w:rPr>
        <w:t>ella habría</w:t>
      </w:r>
      <w:r w:rsidR="00932B74" w:rsidRPr="005424E9">
        <w:rPr>
          <w:rFonts w:asciiTheme="majorHAnsi" w:eastAsia="Calibri" w:hAnsiTheme="majorHAnsi" w:cs="Times New Roman"/>
          <w:sz w:val="21"/>
          <w:szCs w:val="21"/>
          <w:lang w:val="es-PE"/>
        </w:rPr>
        <w:t xml:space="preserve"> sido </w:t>
      </w:r>
      <w:r w:rsidRPr="005424E9">
        <w:rPr>
          <w:rFonts w:asciiTheme="majorHAnsi" w:eastAsia="Calibri" w:hAnsiTheme="majorHAnsi" w:cs="Times New Roman"/>
          <w:sz w:val="21"/>
          <w:szCs w:val="21"/>
          <w:lang w:val="es-PE"/>
        </w:rPr>
        <w:t>valorada por especialistas de cardiología quienes, en un primer momento, lograron que el marcapasos funcionara</w:t>
      </w:r>
      <w:r w:rsidR="00932B74" w:rsidRPr="005424E9">
        <w:rPr>
          <w:rFonts w:asciiTheme="majorHAnsi" w:eastAsia="Calibri" w:hAnsiTheme="majorHAnsi" w:cs="Times New Roman"/>
          <w:sz w:val="21"/>
          <w:szCs w:val="21"/>
          <w:lang w:val="es-PE"/>
        </w:rPr>
        <w:t xml:space="preserve">. Sin embargo, </w:t>
      </w:r>
      <w:r w:rsidRPr="005424E9">
        <w:rPr>
          <w:rFonts w:asciiTheme="majorHAnsi" w:eastAsia="Calibri" w:hAnsiTheme="majorHAnsi" w:cs="Times New Roman"/>
          <w:sz w:val="21"/>
          <w:szCs w:val="21"/>
          <w:lang w:val="es-PE"/>
        </w:rPr>
        <w:t xml:space="preserve">al día siguiente, </w:t>
      </w:r>
      <w:r w:rsidR="00932B74" w:rsidRPr="005424E9">
        <w:rPr>
          <w:rFonts w:asciiTheme="majorHAnsi" w:eastAsia="Calibri" w:hAnsiTheme="majorHAnsi" w:cs="Times New Roman"/>
          <w:sz w:val="21"/>
          <w:szCs w:val="21"/>
          <w:lang w:val="es-PE"/>
        </w:rPr>
        <w:t xml:space="preserve">la </w:t>
      </w:r>
      <w:r w:rsidR="00BC3B97" w:rsidRPr="005424E9">
        <w:rPr>
          <w:rFonts w:asciiTheme="majorHAnsi" w:eastAsia="Calibri" w:hAnsiTheme="majorHAnsi" w:cs="Times New Roman"/>
          <w:sz w:val="21"/>
          <w:szCs w:val="21"/>
          <w:lang w:val="es-PE"/>
        </w:rPr>
        <w:t>señora</w:t>
      </w:r>
      <w:r w:rsidR="00932B74" w:rsidRPr="005424E9">
        <w:rPr>
          <w:rFonts w:asciiTheme="majorHAnsi" w:eastAsia="Calibri" w:hAnsiTheme="majorHAnsi" w:cs="Times New Roman"/>
          <w:sz w:val="21"/>
          <w:szCs w:val="21"/>
          <w:lang w:val="es-PE"/>
        </w:rPr>
        <w:t xml:space="preserve"> </w:t>
      </w:r>
      <w:r w:rsidRPr="005424E9">
        <w:rPr>
          <w:rFonts w:asciiTheme="majorHAnsi" w:eastAsia="Calibri" w:hAnsiTheme="majorHAnsi" w:cs="Times New Roman"/>
          <w:sz w:val="21"/>
          <w:szCs w:val="21"/>
          <w:lang w:val="es-PE"/>
        </w:rPr>
        <w:t xml:space="preserve">Matute </w:t>
      </w:r>
      <w:r w:rsidR="00BC3B97" w:rsidRPr="005424E9">
        <w:rPr>
          <w:rFonts w:asciiTheme="majorHAnsi" w:eastAsia="Calibri" w:hAnsiTheme="majorHAnsi" w:cs="Times New Roman"/>
          <w:sz w:val="21"/>
          <w:szCs w:val="21"/>
          <w:lang w:val="es-PE"/>
        </w:rPr>
        <w:t>habría</w:t>
      </w:r>
      <w:r w:rsidR="00932B74" w:rsidRPr="005424E9">
        <w:rPr>
          <w:rFonts w:asciiTheme="majorHAnsi" w:eastAsia="Calibri" w:hAnsiTheme="majorHAnsi" w:cs="Times New Roman"/>
          <w:sz w:val="21"/>
          <w:szCs w:val="21"/>
          <w:lang w:val="es-PE"/>
        </w:rPr>
        <w:t xml:space="preserve"> presentado </w:t>
      </w:r>
      <w:r w:rsidRPr="005424E9">
        <w:rPr>
          <w:rFonts w:asciiTheme="majorHAnsi" w:eastAsia="Calibri" w:hAnsiTheme="majorHAnsi" w:cs="Times New Roman"/>
          <w:sz w:val="21"/>
          <w:szCs w:val="21"/>
          <w:lang w:val="es-PE"/>
        </w:rPr>
        <w:t xml:space="preserve">dos crisis, </w:t>
      </w:r>
      <w:r w:rsidR="00932B74" w:rsidRPr="005424E9">
        <w:rPr>
          <w:rFonts w:asciiTheme="majorHAnsi" w:eastAsia="Calibri" w:hAnsiTheme="majorHAnsi" w:cs="Times New Roman"/>
          <w:sz w:val="21"/>
          <w:szCs w:val="21"/>
          <w:lang w:val="es-PE"/>
        </w:rPr>
        <w:t xml:space="preserve">siendo </w:t>
      </w:r>
      <w:r w:rsidRPr="005424E9">
        <w:rPr>
          <w:rFonts w:asciiTheme="majorHAnsi" w:eastAsia="Calibri" w:hAnsiTheme="majorHAnsi" w:cs="Times New Roman"/>
          <w:sz w:val="21"/>
          <w:szCs w:val="21"/>
          <w:lang w:val="es-PE"/>
        </w:rPr>
        <w:t>opera</w:t>
      </w:r>
      <w:r w:rsidR="00932B74" w:rsidRPr="005424E9">
        <w:rPr>
          <w:rFonts w:asciiTheme="majorHAnsi" w:eastAsia="Calibri" w:hAnsiTheme="majorHAnsi" w:cs="Times New Roman"/>
          <w:sz w:val="21"/>
          <w:szCs w:val="21"/>
          <w:lang w:val="es-PE"/>
        </w:rPr>
        <w:t xml:space="preserve">da </w:t>
      </w:r>
      <w:r w:rsidRPr="005424E9">
        <w:rPr>
          <w:rFonts w:asciiTheme="majorHAnsi" w:eastAsia="Calibri" w:hAnsiTheme="majorHAnsi" w:cs="Times New Roman"/>
          <w:sz w:val="21"/>
          <w:szCs w:val="21"/>
          <w:lang w:val="es-PE"/>
        </w:rPr>
        <w:t>de urgencia el 6 de enero</w:t>
      </w:r>
      <w:r w:rsidR="00932B74" w:rsidRPr="005424E9">
        <w:rPr>
          <w:rFonts w:asciiTheme="majorHAnsi" w:eastAsia="Calibri" w:hAnsiTheme="majorHAnsi" w:cs="Times New Roman"/>
          <w:sz w:val="21"/>
          <w:szCs w:val="21"/>
          <w:lang w:val="es-PE"/>
        </w:rPr>
        <w:t xml:space="preserve"> de 2019 </w:t>
      </w:r>
      <w:r w:rsidR="00BC3B97" w:rsidRPr="005424E9">
        <w:rPr>
          <w:rFonts w:asciiTheme="majorHAnsi" w:eastAsia="Calibri" w:hAnsiTheme="majorHAnsi" w:cs="Times New Roman"/>
          <w:sz w:val="21"/>
          <w:szCs w:val="21"/>
          <w:lang w:val="es-PE"/>
        </w:rPr>
        <w:t>colocándole</w:t>
      </w:r>
      <w:r w:rsidR="00932B74" w:rsidRPr="005424E9">
        <w:rPr>
          <w:rFonts w:asciiTheme="majorHAnsi" w:eastAsia="Calibri" w:hAnsiTheme="majorHAnsi" w:cs="Times New Roman"/>
          <w:sz w:val="21"/>
          <w:szCs w:val="21"/>
          <w:lang w:val="es-PE"/>
        </w:rPr>
        <w:t xml:space="preserve"> un nuevo marcapasos</w:t>
      </w:r>
      <w:r w:rsidRPr="005424E9">
        <w:rPr>
          <w:rFonts w:asciiTheme="majorHAnsi" w:eastAsia="Calibri" w:hAnsiTheme="majorHAnsi" w:cs="Times New Roman"/>
          <w:sz w:val="21"/>
          <w:szCs w:val="21"/>
          <w:lang w:val="es-PE"/>
        </w:rPr>
        <w:t>.</w:t>
      </w:r>
      <w:r w:rsidR="00BC3B97" w:rsidRPr="005424E9">
        <w:rPr>
          <w:rFonts w:asciiTheme="majorHAnsi" w:eastAsia="Calibri" w:hAnsiTheme="majorHAnsi" w:cs="Times New Roman"/>
          <w:sz w:val="21"/>
          <w:szCs w:val="21"/>
          <w:lang w:val="es-PE"/>
        </w:rPr>
        <w:t xml:space="preserve"> L</w:t>
      </w:r>
      <w:r w:rsidR="00932B74" w:rsidRPr="005424E9">
        <w:rPr>
          <w:rFonts w:asciiTheme="majorHAnsi" w:eastAsia="Calibri" w:hAnsiTheme="majorHAnsi" w:cs="Times New Roman"/>
          <w:sz w:val="21"/>
          <w:szCs w:val="21"/>
          <w:lang w:val="es-PE"/>
        </w:rPr>
        <w:t xml:space="preserve">a defensa de la </w:t>
      </w:r>
      <w:r w:rsidR="00BC3B97" w:rsidRPr="005424E9">
        <w:rPr>
          <w:rFonts w:asciiTheme="majorHAnsi" w:eastAsia="Calibri" w:hAnsiTheme="majorHAnsi" w:cs="Times New Roman"/>
          <w:sz w:val="21"/>
          <w:szCs w:val="21"/>
          <w:lang w:val="es-PE"/>
        </w:rPr>
        <w:t>señora</w:t>
      </w:r>
      <w:r w:rsidR="00932B74" w:rsidRPr="005424E9">
        <w:rPr>
          <w:rFonts w:asciiTheme="majorHAnsi" w:eastAsia="Calibri" w:hAnsiTheme="majorHAnsi" w:cs="Times New Roman"/>
          <w:sz w:val="21"/>
          <w:szCs w:val="21"/>
          <w:lang w:val="es-PE"/>
        </w:rPr>
        <w:t xml:space="preserve"> Matute </w:t>
      </w:r>
      <w:r w:rsidR="00BC3B97" w:rsidRPr="005424E9">
        <w:rPr>
          <w:rFonts w:asciiTheme="majorHAnsi" w:eastAsia="Calibri" w:hAnsiTheme="majorHAnsi" w:cs="Times New Roman"/>
          <w:sz w:val="21"/>
          <w:szCs w:val="21"/>
          <w:lang w:val="es-PE"/>
        </w:rPr>
        <w:t>habría</w:t>
      </w:r>
      <w:r w:rsidR="00932B74" w:rsidRPr="005424E9">
        <w:rPr>
          <w:rFonts w:asciiTheme="majorHAnsi" w:eastAsia="Calibri" w:hAnsiTheme="majorHAnsi" w:cs="Times New Roman"/>
          <w:sz w:val="21"/>
          <w:szCs w:val="21"/>
          <w:lang w:val="es-PE"/>
        </w:rPr>
        <w:t xml:space="preserve"> solicitado a una jueza </w:t>
      </w:r>
      <w:r w:rsidR="00BC3B97" w:rsidRPr="005424E9">
        <w:rPr>
          <w:rFonts w:asciiTheme="majorHAnsi" w:eastAsia="Calibri" w:hAnsiTheme="majorHAnsi" w:cs="Times New Roman"/>
          <w:sz w:val="21"/>
          <w:szCs w:val="21"/>
          <w:lang w:val="es-PE"/>
        </w:rPr>
        <w:t>que se le otorgue arresto domiciliario</w:t>
      </w:r>
      <w:r w:rsidR="00C609A3">
        <w:rPr>
          <w:rFonts w:asciiTheme="majorHAnsi" w:eastAsia="Calibri" w:hAnsiTheme="majorHAnsi" w:cs="Times New Roman"/>
          <w:sz w:val="21"/>
          <w:szCs w:val="21"/>
          <w:lang w:val="es-PE"/>
        </w:rPr>
        <w:t>, quien h</w:t>
      </w:r>
      <w:r w:rsidR="00BC3B97" w:rsidRPr="005424E9">
        <w:rPr>
          <w:rFonts w:asciiTheme="majorHAnsi" w:eastAsia="Calibri" w:hAnsiTheme="majorHAnsi" w:cs="Times New Roman"/>
          <w:sz w:val="21"/>
          <w:szCs w:val="21"/>
          <w:lang w:val="es-PE"/>
        </w:rPr>
        <w:t>abría</w:t>
      </w:r>
      <w:r w:rsidR="00C609A3">
        <w:rPr>
          <w:rFonts w:asciiTheme="majorHAnsi" w:eastAsia="Calibri" w:hAnsiTheme="majorHAnsi" w:cs="Times New Roman"/>
          <w:sz w:val="21"/>
          <w:szCs w:val="21"/>
          <w:lang w:val="es-PE"/>
        </w:rPr>
        <w:t xml:space="preserve"> decidido que se mantenga en </w:t>
      </w:r>
      <w:r w:rsidRPr="005424E9">
        <w:rPr>
          <w:rFonts w:asciiTheme="majorHAnsi" w:eastAsia="Calibri" w:hAnsiTheme="majorHAnsi" w:cs="Times New Roman"/>
          <w:sz w:val="21"/>
          <w:szCs w:val="21"/>
          <w:lang w:val="es-PE"/>
        </w:rPr>
        <w:t>prisión.</w:t>
      </w:r>
    </w:p>
    <w:p w:rsidR="005424E9" w:rsidRPr="005424E9" w:rsidRDefault="005424E9" w:rsidP="00245A1E">
      <w:pPr>
        <w:pStyle w:val="ListParagraph"/>
        <w:widowControl w:val="0"/>
        <w:spacing w:after="0" w:line="240" w:lineRule="auto"/>
        <w:rPr>
          <w:rFonts w:asciiTheme="majorHAnsi" w:eastAsia="Calibri" w:hAnsiTheme="majorHAnsi" w:cs="Times New Roman"/>
          <w:sz w:val="21"/>
          <w:szCs w:val="21"/>
          <w:lang w:val="es-PE"/>
        </w:rPr>
      </w:pPr>
    </w:p>
    <w:p w:rsidR="005424E9" w:rsidRDefault="00BC3B97"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5424E9">
        <w:rPr>
          <w:rFonts w:asciiTheme="majorHAnsi" w:eastAsia="Calibri" w:hAnsiTheme="majorHAnsi" w:cs="Times New Roman"/>
          <w:sz w:val="21"/>
          <w:szCs w:val="21"/>
          <w:lang w:val="es-PE"/>
        </w:rPr>
        <w:t>El</w:t>
      </w:r>
      <w:r w:rsidR="00115575" w:rsidRPr="005424E9">
        <w:rPr>
          <w:rFonts w:asciiTheme="majorHAnsi" w:eastAsia="Calibri" w:hAnsiTheme="majorHAnsi" w:cs="Times New Roman"/>
          <w:sz w:val="21"/>
          <w:szCs w:val="21"/>
          <w:lang w:val="es-PE"/>
        </w:rPr>
        <w:t xml:space="preserve"> 9 de enero</w:t>
      </w:r>
      <w:r w:rsidRPr="005424E9">
        <w:rPr>
          <w:rFonts w:asciiTheme="majorHAnsi" w:eastAsia="Calibri" w:hAnsiTheme="majorHAnsi" w:cs="Times New Roman"/>
          <w:sz w:val="21"/>
          <w:szCs w:val="21"/>
          <w:lang w:val="es-PE"/>
        </w:rPr>
        <w:t xml:space="preserve"> de 2019</w:t>
      </w:r>
      <w:r w:rsidR="00115575" w:rsidRPr="005424E9">
        <w:rPr>
          <w:rFonts w:asciiTheme="majorHAnsi" w:eastAsia="Calibri" w:hAnsiTheme="majorHAnsi" w:cs="Times New Roman"/>
          <w:sz w:val="21"/>
          <w:szCs w:val="21"/>
          <w:lang w:val="es-PE"/>
        </w:rPr>
        <w:t xml:space="preserve">, las autoridades </w:t>
      </w:r>
      <w:r w:rsidRPr="005424E9">
        <w:rPr>
          <w:rFonts w:asciiTheme="majorHAnsi" w:eastAsia="Calibri" w:hAnsiTheme="majorHAnsi" w:cs="Times New Roman"/>
          <w:sz w:val="21"/>
          <w:szCs w:val="21"/>
          <w:lang w:val="es-PE"/>
        </w:rPr>
        <w:t>penitenciarias habrían trasladado a la propuesta beneficiaria al Hospital de la Policía Nacional</w:t>
      </w:r>
      <w:r w:rsidR="00115575" w:rsidRPr="005424E9">
        <w:rPr>
          <w:rFonts w:asciiTheme="majorHAnsi" w:eastAsia="Calibri" w:hAnsiTheme="majorHAnsi" w:cs="Times New Roman"/>
          <w:sz w:val="21"/>
          <w:szCs w:val="21"/>
          <w:lang w:val="es-PE"/>
        </w:rPr>
        <w:t xml:space="preserve">, </w:t>
      </w:r>
      <w:r w:rsidRPr="005424E9">
        <w:rPr>
          <w:rFonts w:asciiTheme="majorHAnsi" w:eastAsia="Calibri" w:hAnsiTheme="majorHAnsi" w:cs="Times New Roman"/>
          <w:sz w:val="21"/>
          <w:szCs w:val="21"/>
          <w:lang w:val="es-PE"/>
        </w:rPr>
        <w:t xml:space="preserve">donde no habría </w:t>
      </w:r>
      <w:r w:rsidR="00115575" w:rsidRPr="005424E9">
        <w:rPr>
          <w:rFonts w:asciiTheme="majorHAnsi" w:eastAsia="Calibri" w:hAnsiTheme="majorHAnsi" w:cs="Times New Roman"/>
          <w:sz w:val="21"/>
          <w:szCs w:val="21"/>
          <w:lang w:val="es-PE"/>
        </w:rPr>
        <w:t>personal médico especializado.</w:t>
      </w:r>
      <w:r w:rsidR="004042D6" w:rsidRPr="005424E9">
        <w:rPr>
          <w:rFonts w:asciiTheme="majorHAnsi" w:eastAsia="Calibri" w:hAnsiTheme="majorHAnsi" w:cs="Times New Roman"/>
          <w:sz w:val="21"/>
          <w:szCs w:val="21"/>
          <w:lang w:val="es-PE"/>
        </w:rPr>
        <w:t xml:space="preserve"> En Hospital, la señora Matu</w:t>
      </w:r>
      <w:r w:rsidR="008C305C">
        <w:rPr>
          <w:rFonts w:asciiTheme="majorHAnsi" w:eastAsia="Calibri" w:hAnsiTheme="majorHAnsi" w:cs="Times New Roman"/>
          <w:sz w:val="21"/>
          <w:szCs w:val="21"/>
          <w:lang w:val="es-PE"/>
        </w:rPr>
        <w:t>te</w:t>
      </w:r>
      <w:r w:rsidR="004042D6" w:rsidRPr="005424E9">
        <w:rPr>
          <w:rFonts w:asciiTheme="majorHAnsi" w:eastAsia="Calibri" w:hAnsiTheme="majorHAnsi" w:cs="Times New Roman"/>
          <w:sz w:val="21"/>
          <w:szCs w:val="21"/>
          <w:lang w:val="es-PE"/>
        </w:rPr>
        <w:t xml:space="preserve"> estaría </w:t>
      </w:r>
      <w:r w:rsidR="00115575" w:rsidRPr="005424E9">
        <w:rPr>
          <w:rFonts w:asciiTheme="majorHAnsi" w:eastAsia="Calibri" w:hAnsiTheme="majorHAnsi" w:cs="Times New Roman"/>
          <w:sz w:val="21"/>
          <w:szCs w:val="21"/>
          <w:lang w:val="es-PE"/>
        </w:rPr>
        <w:t xml:space="preserve">vigilada por 8 custodias. </w:t>
      </w:r>
      <w:r w:rsidR="008C305C">
        <w:rPr>
          <w:rFonts w:asciiTheme="majorHAnsi" w:eastAsia="Calibri" w:hAnsiTheme="majorHAnsi" w:cs="Times New Roman"/>
          <w:sz w:val="21"/>
          <w:szCs w:val="21"/>
          <w:lang w:val="es-PE"/>
        </w:rPr>
        <w:t>L</w:t>
      </w:r>
      <w:r w:rsidR="00115575" w:rsidRPr="005424E9">
        <w:rPr>
          <w:rFonts w:asciiTheme="majorHAnsi" w:eastAsia="Calibri" w:hAnsiTheme="majorHAnsi" w:cs="Times New Roman"/>
          <w:sz w:val="21"/>
          <w:szCs w:val="21"/>
          <w:lang w:val="es-PE"/>
        </w:rPr>
        <w:t xml:space="preserve">os médicos </w:t>
      </w:r>
      <w:r w:rsidR="008C305C">
        <w:rPr>
          <w:rFonts w:asciiTheme="majorHAnsi" w:eastAsia="Calibri" w:hAnsiTheme="majorHAnsi" w:cs="Times New Roman"/>
          <w:sz w:val="21"/>
          <w:szCs w:val="21"/>
          <w:lang w:val="es-PE"/>
        </w:rPr>
        <w:t xml:space="preserve">tendrían </w:t>
      </w:r>
      <w:r w:rsidR="00115575" w:rsidRPr="005424E9">
        <w:rPr>
          <w:rFonts w:asciiTheme="majorHAnsi" w:eastAsia="Calibri" w:hAnsiTheme="majorHAnsi" w:cs="Times New Roman"/>
          <w:sz w:val="21"/>
          <w:szCs w:val="21"/>
          <w:lang w:val="es-PE"/>
        </w:rPr>
        <w:t xml:space="preserve">prohibido suministrarle información </w:t>
      </w:r>
      <w:r w:rsidR="004042D6" w:rsidRPr="005424E9">
        <w:rPr>
          <w:rFonts w:asciiTheme="majorHAnsi" w:eastAsia="Calibri" w:hAnsiTheme="majorHAnsi" w:cs="Times New Roman"/>
          <w:sz w:val="21"/>
          <w:szCs w:val="21"/>
          <w:lang w:val="es-PE"/>
        </w:rPr>
        <w:t xml:space="preserve">a sus familiares </w:t>
      </w:r>
      <w:r w:rsidR="00115575" w:rsidRPr="005424E9">
        <w:rPr>
          <w:rFonts w:asciiTheme="majorHAnsi" w:eastAsia="Calibri" w:hAnsiTheme="majorHAnsi" w:cs="Times New Roman"/>
          <w:sz w:val="21"/>
          <w:szCs w:val="21"/>
          <w:lang w:val="es-PE"/>
        </w:rPr>
        <w:t>sobre su estado de salud.</w:t>
      </w:r>
      <w:r w:rsidR="004042D6" w:rsidRPr="005424E9">
        <w:rPr>
          <w:rFonts w:asciiTheme="majorHAnsi" w:eastAsia="Calibri" w:hAnsiTheme="majorHAnsi" w:cs="Times New Roman"/>
          <w:sz w:val="21"/>
          <w:szCs w:val="21"/>
          <w:lang w:val="es-PE"/>
        </w:rPr>
        <w:t xml:space="preserve"> </w:t>
      </w:r>
      <w:r w:rsidR="00115575" w:rsidRPr="005424E9">
        <w:rPr>
          <w:rFonts w:asciiTheme="majorHAnsi" w:eastAsia="Calibri" w:hAnsiTheme="majorHAnsi" w:cs="Times New Roman"/>
          <w:sz w:val="21"/>
          <w:szCs w:val="21"/>
          <w:lang w:val="es-PE"/>
        </w:rPr>
        <w:t xml:space="preserve">El 10 de enero de 2019, la </w:t>
      </w:r>
      <w:r w:rsidR="004042D6" w:rsidRPr="005424E9">
        <w:rPr>
          <w:rFonts w:asciiTheme="majorHAnsi" w:eastAsia="Calibri" w:hAnsiTheme="majorHAnsi" w:cs="Times New Roman"/>
          <w:sz w:val="21"/>
          <w:szCs w:val="21"/>
          <w:lang w:val="es-PE"/>
        </w:rPr>
        <w:t xml:space="preserve">defensa de la señora </w:t>
      </w:r>
      <w:r w:rsidR="008C305C">
        <w:rPr>
          <w:rFonts w:asciiTheme="majorHAnsi" w:eastAsia="Calibri" w:hAnsiTheme="majorHAnsi" w:cs="Times New Roman"/>
          <w:sz w:val="21"/>
          <w:szCs w:val="21"/>
          <w:lang w:val="es-PE"/>
        </w:rPr>
        <w:t xml:space="preserve">Matute </w:t>
      </w:r>
      <w:r w:rsidR="004042D6" w:rsidRPr="005424E9">
        <w:rPr>
          <w:rFonts w:asciiTheme="majorHAnsi" w:eastAsia="Calibri" w:hAnsiTheme="majorHAnsi" w:cs="Times New Roman"/>
          <w:sz w:val="21"/>
          <w:szCs w:val="21"/>
          <w:lang w:val="es-PE"/>
        </w:rPr>
        <w:t>habr</w:t>
      </w:r>
      <w:r w:rsidR="00171E06">
        <w:rPr>
          <w:rFonts w:asciiTheme="majorHAnsi" w:eastAsia="Calibri" w:hAnsiTheme="majorHAnsi" w:cs="Times New Roman"/>
          <w:sz w:val="21"/>
          <w:szCs w:val="21"/>
          <w:lang w:val="es-PE"/>
        </w:rPr>
        <w:t>ía vuelto a solicitar audiencia</w:t>
      </w:r>
      <w:r w:rsidR="00115575" w:rsidRPr="005424E9">
        <w:rPr>
          <w:rFonts w:asciiTheme="majorHAnsi" w:eastAsia="Calibri" w:hAnsiTheme="majorHAnsi" w:cs="Times New Roman"/>
          <w:sz w:val="21"/>
          <w:szCs w:val="21"/>
          <w:lang w:val="es-PE"/>
        </w:rPr>
        <w:t>.</w:t>
      </w:r>
    </w:p>
    <w:p w:rsidR="005424E9" w:rsidRPr="005424E9" w:rsidRDefault="005424E9" w:rsidP="00245A1E">
      <w:pPr>
        <w:pStyle w:val="ListParagraph"/>
        <w:widowControl w:val="0"/>
        <w:spacing w:after="0" w:line="240" w:lineRule="auto"/>
        <w:rPr>
          <w:rFonts w:asciiTheme="majorHAnsi" w:eastAsia="Calibri" w:hAnsiTheme="majorHAnsi" w:cs="Times New Roman"/>
          <w:sz w:val="21"/>
          <w:szCs w:val="21"/>
          <w:lang w:val="es-PE"/>
        </w:rPr>
      </w:pPr>
    </w:p>
    <w:p w:rsidR="00C519DB" w:rsidRDefault="004042D6"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5424E9">
        <w:rPr>
          <w:rFonts w:asciiTheme="majorHAnsi" w:eastAsia="Calibri" w:hAnsiTheme="majorHAnsi" w:cs="Times New Roman"/>
          <w:sz w:val="21"/>
          <w:szCs w:val="21"/>
          <w:lang w:val="es-PE"/>
        </w:rPr>
        <w:t xml:space="preserve">La señora </w:t>
      </w:r>
      <w:r w:rsidR="008C305C">
        <w:rPr>
          <w:rFonts w:asciiTheme="majorHAnsi" w:eastAsia="Calibri" w:hAnsiTheme="majorHAnsi" w:cs="Times New Roman"/>
          <w:sz w:val="21"/>
          <w:szCs w:val="21"/>
          <w:lang w:val="es-PE"/>
        </w:rPr>
        <w:t xml:space="preserve">propuesta beneficiaria </w:t>
      </w:r>
      <w:r w:rsidRPr="005424E9">
        <w:rPr>
          <w:rFonts w:asciiTheme="majorHAnsi" w:eastAsia="Calibri" w:hAnsiTheme="majorHAnsi" w:cs="Times New Roman"/>
          <w:sz w:val="21"/>
          <w:szCs w:val="21"/>
          <w:lang w:val="es-PE"/>
        </w:rPr>
        <w:t xml:space="preserve">permanecería </w:t>
      </w:r>
      <w:r w:rsidR="00115575" w:rsidRPr="005424E9">
        <w:rPr>
          <w:rFonts w:asciiTheme="majorHAnsi" w:eastAsia="Calibri" w:hAnsiTheme="majorHAnsi" w:cs="Times New Roman"/>
          <w:sz w:val="21"/>
          <w:szCs w:val="21"/>
          <w:lang w:val="es-PE"/>
        </w:rPr>
        <w:t xml:space="preserve">hospitalizada, </w:t>
      </w:r>
      <w:r w:rsidRPr="005424E9">
        <w:rPr>
          <w:rFonts w:asciiTheme="majorHAnsi" w:eastAsia="Calibri" w:hAnsiTheme="majorHAnsi" w:cs="Times New Roman"/>
          <w:sz w:val="21"/>
          <w:szCs w:val="21"/>
          <w:lang w:val="es-PE"/>
        </w:rPr>
        <w:t>habiéndosele retirado l</w:t>
      </w:r>
      <w:r w:rsidR="00115575" w:rsidRPr="005424E9">
        <w:rPr>
          <w:rFonts w:asciiTheme="majorHAnsi" w:eastAsia="Calibri" w:hAnsiTheme="majorHAnsi" w:cs="Times New Roman"/>
          <w:sz w:val="21"/>
          <w:szCs w:val="21"/>
          <w:lang w:val="es-PE"/>
        </w:rPr>
        <w:t xml:space="preserve">os aparatos de monitoreo de ritmo cardiaco y </w:t>
      </w:r>
      <w:r w:rsidRPr="005424E9">
        <w:rPr>
          <w:rFonts w:asciiTheme="majorHAnsi" w:eastAsia="Calibri" w:hAnsiTheme="majorHAnsi" w:cs="Times New Roman"/>
          <w:sz w:val="21"/>
          <w:szCs w:val="21"/>
          <w:lang w:val="es-PE"/>
        </w:rPr>
        <w:t xml:space="preserve">portando </w:t>
      </w:r>
      <w:r w:rsidR="00115575" w:rsidRPr="005424E9">
        <w:rPr>
          <w:rFonts w:asciiTheme="majorHAnsi" w:eastAsia="Calibri" w:hAnsiTheme="majorHAnsi" w:cs="Times New Roman"/>
          <w:sz w:val="21"/>
          <w:szCs w:val="21"/>
          <w:lang w:val="es-PE"/>
        </w:rPr>
        <w:t xml:space="preserve">nuevamente el uniforme </w:t>
      </w:r>
      <w:r w:rsidRPr="005424E9">
        <w:rPr>
          <w:rFonts w:asciiTheme="majorHAnsi" w:eastAsia="Calibri" w:hAnsiTheme="majorHAnsi" w:cs="Times New Roman"/>
          <w:sz w:val="21"/>
          <w:szCs w:val="21"/>
          <w:lang w:val="es-PE"/>
        </w:rPr>
        <w:t>penitenciario</w:t>
      </w:r>
      <w:r w:rsidR="00115575" w:rsidRPr="005424E9">
        <w:rPr>
          <w:rFonts w:asciiTheme="majorHAnsi" w:eastAsia="Calibri" w:hAnsiTheme="majorHAnsi" w:cs="Times New Roman"/>
          <w:sz w:val="21"/>
          <w:szCs w:val="21"/>
          <w:lang w:val="es-PE"/>
        </w:rPr>
        <w:t>.</w:t>
      </w:r>
      <w:r w:rsidRPr="005424E9">
        <w:rPr>
          <w:rFonts w:asciiTheme="majorHAnsi" w:eastAsia="Calibri" w:hAnsiTheme="majorHAnsi" w:cs="Times New Roman"/>
          <w:sz w:val="21"/>
          <w:szCs w:val="21"/>
          <w:lang w:val="es-PE"/>
        </w:rPr>
        <w:t xml:space="preserve"> E</w:t>
      </w:r>
      <w:r w:rsidR="00115575" w:rsidRPr="005424E9">
        <w:rPr>
          <w:rFonts w:asciiTheme="majorHAnsi" w:eastAsia="Calibri" w:hAnsiTheme="majorHAnsi" w:cs="Times New Roman"/>
          <w:sz w:val="21"/>
          <w:szCs w:val="21"/>
          <w:lang w:val="es-PE"/>
        </w:rPr>
        <w:t>l 25 de enero</w:t>
      </w:r>
      <w:r w:rsidRPr="005424E9">
        <w:rPr>
          <w:rFonts w:asciiTheme="majorHAnsi" w:eastAsia="Calibri" w:hAnsiTheme="majorHAnsi" w:cs="Times New Roman"/>
          <w:sz w:val="21"/>
          <w:szCs w:val="21"/>
          <w:lang w:val="es-PE"/>
        </w:rPr>
        <w:t xml:space="preserve"> de 2019</w:t>
      </w:r>
      <w:r w:rsidR="00115575" w:rsidRPr="005424E9">
        <w:rPr>
          <w:rFonts w:asciiTheme="majorHAnsi" w:eastAsia="Calibri" w:hAnsiTheme="majorHAnsi" w:cs="Times New Roman"/>
          <w:sz w:val="21"/>
          <w:szCs w:val="21"/>
          <w:lang w:val="es-PE"/>
        </w:rPr>
        <w:t xml:space="preserve">, </w:t>
      </w:r>
      <w:r w:rsidRPr="005424E9">
        <w:rPr>
          <w:rFonts w:asciiTheme="majorHAnsi" w:eastAsia="Calibri" w:hAnsiTheme="majorHAnsi" w:cs="Times New Roman"/>
          <w:sz w:val="21"/>
          <w:szCs w:val="21"/>
          <w:lang w:val="es-PE"/>
        </w:rPr>
        <w:t>un Juzgado habría indicado que</w:t>
      </w:r>
      <w:r w:rsidR="00115575" w:rsidRPr="005424E9">
        <w:rPr>
          <w:rFonts w:asciiTheme="majorHAnsi" w:eastAsia="Calibri" w:hAnsiTheme="majorHAnsi" w:cs="Times New Roman"/>
          <w:sz w:val="21"/>
          <w:szCs w:val="21"/>
          <w:lang w:val="es-PE"/>
        </w:rPr>
        <w:t xml:space="preserve"> no existen motivos suficientes “que ameriten modificar la medida cautelar de prisión preventiva”</w:t>
      </w:r>
      <w:r w:rsidRPr="005424E9">
        <w:rPr>
          <w:rFonts w:asciiTheme="majorHAnsi" w:eastAsia="Calibri" w:hAnsiTheme="majorHAnsi" w:cs="Times New Roman"/>
          <w:sz w:val="21"/>
          <w:szCs w:val="21"/>
          <w:lang w:val="es-PE"/>
        </w:rPr>
        <w:t xml:space="preserve"> de la propuesta beneficiaria</w:t>
      </w:r>
      <w:r w:rsidR="00115575" w:rsidRPr="005424E9">
        <w:rPr>
          <w:rFonts w:asciiTheme="majorHAnsi" w:eastAsia="Calibri" w:hAnsiTheme="majorHAnsi" w:cs="Times New Roman"/>
          <w:sz w:val="21"/>
          <w:szCs w:val="21"/>
          <w:lang w:val="es-PE"/>
        </w:rPr>
        <w:t>.</w:t>
      </w:r>
      <w:r w:rsidR="00BB41AD">
        <w:rPr>
          <w:rFonts w:asciiTheme="majorHAnsi" w:eastAsia="Calibri" w:hAnsiTheme="majorHAnsi" w:cs="Times New Roman"/>
          <w:sz w:val="21"/>
          <w:szCs w:val="21"/>
          <w:lang w:val="es-PE"/>
        </w:rPr>
        <w:t xml:space="preserve"> </w:t>
      </w:r>
      <w:r w:rsidR="00171E06">
        <w:rPr>
          <w:rFonts w:asciiTheme="majorHAnsi" w:eastAsia="Calibri" w:hAnsiTheme="majorHAnsi" w:cs="Times New Roman"/>
          <w:sz w:val="21"/>
          <w:szCs w:val="21"/>
          <w:lang w:val="es-PE"/>
        </w:rPr>
        <w:t>L</w:t>
      </w:r>
      <w:r w:rsidR="0027128D">
        <w:rPr>
          <w:rFonts w:asciiTheme="majorHAnsi" w:eastAsia="Calibri" w:hAnsiTheme="majorHAnsi" w:cs="Times New Roman"/>
          <w:sz w:val="21"/>
          <w:szCs w:val="21"/>
          <w:lang w:val="es-PE"/>
        </w:rPr>
        <w:t>a posibilidad de regresar</w:t>
      </w:r>
      <w:r w:rsidR="005424E9" w:rsidRPr="005424E9">
        <w:rPr>
          <w:rFonts w:asciiTheme="majorHAnsi" w:eastAsia="Calibri" w:hAnsiTheme="majorHAnsi" w:cs="Times New Roman"/>
          <w:sz w:val="21"/>
          <w:szCs w:val="21"/>
          <w:lang w:val="es-PE"/>
        </w:rPr>
        <w:t xml:space="preserve"> al Sistema Penitenciaria generaría fuertes condiciones de estrés y angustia a la señora Matute. </w:t>
      </w:r>
      <w:r w:rsidR="00C519DB" w:rsidRPr="00C519DB">
        <w:rPr>
          <w:rFonts w:asciiTheme="majorHAnsi" w:eastAsia="Calibri" w:hAnsiTheme="majorHAnsi" w:cs="Times New Roman"/>
          <w:sz w:val="21"/>
          <w:szCs w:val="21"/>
          <w:lang w:val="es-PE"/>
        </w:rPr>
        <w:t>Al</w:t>
      </w:r>
      <w:r w:rsidR="005424E9" w:rsidRPr="00C519DB">
        <w:rPr>
          <w:rFonts w:asciiTheme="majorHAnsi" w:eastAsia="Calibri" w:hAnsiTheme="majorHAnsi" w:cs="Times New Roman"/>
          <w:sz w:val="21"/>
          <w:szCs w:val="21"/>
          <w:lang w:val="es-PE"/>
        </w:rPr>
        <w:t xml:space="preserve"> 29 de enero</w:t>
      </w:r>
      <w:r w:rsidR="00C519DB">
        <w:rPr>
          <w:rFonts w:asciiTheme="majorHAnsi" w:eastAsia="Calibri" w:hAnsiTheme="majorHAnsi" w:cs="Times New Roman"/>
          <w:sz w:val="21"/>
          <w:szCs w:val="21"/>
          <w:lang w:val="es-PE"/>
        </w:rPr>
        <w:t xml:space="preserve"> de 2019</w:t>
      </w:r>
      <w:r w:rsidR="005424E9" w:rsidRPr="00C519DB">
        <w:rPr>
          <w:rFonts w:asciiTheme="majorHAnsi" w:eastAsia="Calibri" w:hAnsiTheme="majorHAnsi" w:cs="Times New Roman"/>
          <w:sz w:val="21"/>
          <w:szCs w:val="21"/>
          <w:lang w:val="es-PE"/>
        </w:rPr>
        <w:t xml:space="preserve">, </w:t>
      </w:r>
      <w:r w:rsidR="00171E06">
        <w:rPr>
          <w:rFonts w:asciiTheme="majorHAnsi" w:eastAsia="Calibri" w:hAnsiTheme="majorHAnsi" w:cs="Times New Roman"/>
          <w:sz w:val="21"/>
          <w:szCs w:val="21"/>
          <w:lang w:val="es-PE"/>
        </w:rPr>
        <w:t xml:space="preserve">ella </w:t>
      </w:r>
      <w:r w:rsidR="00C519DB">
        <w:rPr>
          <w:rFonts w:asciiTheme="majorHAnsi" w:eastAsia="Calibri" w:hAnsiTheme="majorHAnsi" w:cs="Times New Roman"/>
          <w:sz w:val="21"/>
          <w:szCs w:val="21"/>
          <w:lang w:val="es-PE"/>
        </w:rPr>
        <w:t xml:space="preserve">seguiría </w:t>
      </w:r>
      <w:r w:rsidR="008C305C">
        <w:rPr>
          <w:rFonts w:asciiTheme="majorHAnsi" w:eastAsia="Calibri" w:hAnsiTheme="majorHAnsi" w:cs="Times New Roman"/>
          <w:sz w:val="21"/>
          <w:szCs w:val="21"/>
          <w:lang w:val="es-PE"/>
        </w:rPr>
        <w:t>“</w:t>
      </w:r>
      <w:r w:rsidR="005424E9" w:rsidRPr="00C519DB">
        <w:rPr>
          <w:rFonts w:asciiTheme="majorHAnsi" w:eastAsia="Calibri" w:hAnsiTheme="majorHAnsi" w:cs="Times New Roman"/>
          <w:sz w:val="21"/>
          <w:szCs w:val="21"/>
          <w:lang w:val="es-PE"/>
        </w:rPr>
        <w:t>delicada</w:t>
      </w:r>
      <w:r w:rsidR="008C305C">
        <w:rPr>
          <w:rFonts w:asciiTheme="majorHAnsi" w:eastAsia="Calibri" w:hAnsiTheme="majorHAnsi" w:cs="Times New Roman"/>
          <w:sz w:val="21"/>
          <w:szCs w:val="21"/>
          <w:lang w:val="es-PE"/>
        </w:rPr>
        <w:t>”</w:t>
      </w:r>
      <w:r w:rsidR="005424E9" w:rsidRPr="00C519DB">
        <w:rPr>
          <w:rFonts w:asciiTheme="majorHAnsi" w:eastAsia="Calibri" w:hAnsiTheme="majorHAnsi" w:cs="Times New Roman"/>
          <w:sz w:val="21"/>
          <w:szCs w:val="21"/>
          <w:lang w:val="es-PE"/>
        </w:rPr>
        <w:t xml:space="preserve">, </w:t>
      </w:r>
      <w:r w:rsidR="00171E06">
        <w:rPr>
          <w:rFonts w:asciiTheme="majorHAnsi" w:eastAsia="Calibri" w:hAnsiTheme="majorHAnsi" w:cs="Times New Roman"/>
          <w:sz w:val="21"/>
          <w:szCs w:val="21"/>
          <w:lang w:val="es-PE"/>
        </w:rPr>
        <w:t>con</w:t>
      </w:r>
      <w:r w:rsidR="005424E9" w:rsidRPr="00C519DB">
        <w:rPr>
          <w:rFonts w:asciiTheme="majorHAnsi" w:eastAsia="Calibri" w:hAnsiTheme="majorHAnsi" w:cs="Times New Roman"/>
          <w:sz w:val="21"/>
          <w:szCs w:val="21"/>
          <w:lang w:val="es-PE"/>
        </w:rPr>
        <w:t xml:space="preserve"> fiebres y una crisis de </w:t>
      </w:r>
      <w:r w:rsidR="008C305C">
        <w:rPr>
          <w:rFonts w:asciiTheme="majorHAnsi" w:eastAsia="Calibri" w:hAnsiTheme="majorHAnsi" w:cs="Times New Roman"/>
          <w:sz w:val="21"/>
          <w:szCs w:val="21"/>
          <w:lang w:val="es-PE"/>
        </w:rPr>
        <w:t>“</w:t>
      </w:r>
      <w:r w:rsidR="005424E9" w:rsidRPr="00C519DB">
        <w:rPr>
          <w:rFonts w:asciiTheme="majorHAnsi" w:eastAsia="Calibri" w:hAnsiTheme="majorHAnsi" w:cs="Times New Roman"/>
          <w:sz w:val="21"/>
          <w:szCs w:val="21"/>
          <w:lang w:val="es-PE"/>
        </w:rPr>
        <w:t>bradicardia</w:t>
      </w:r>
      <w:r w:rsidR="008C305C">
        <w:rPr>
          <w:rFonts w:asciiTheme="majorHAnsi" w:eastAsia="Calibri" w:hAnsiTheme="majorHAnsi" w:cs="Times New Roman"/>
          <w:sz w:val="21"/>
          <w:szCs w:val="21"/>
          <w:lang w:val="es-PE"/>
        </w:rPr>
        <w:t>”</w:t>
      </w:r>
      <w:r w:rsidR="005424E9" w:rsidRPr="00C519DB">
        <w:rPr>
          <w:rFonts w:asciiTheme="majorHAnsi" w:eastAsia="Calibri" w:hAnsiTheme="majorHAnsi" w:cs="Times New Roman"/>
          <w:sz w:val="21"/>
          <w:szCs w:val="21"/>
          <w:lang w:val="es-PE"/>
        </w:rPr>
        <w:t xml:space="preserve">, es decir, </w:t>
      </w:r>
      <w:r w:rsidR="00C519DB">
        <w:rPr>
          <w:rFonts w:asciiTheme="majorHAnsi" w:eastAsia="Calibri" w:hAnsiTheme="majorHAnsi" w:cs="Times New Roman"/>
          <w:sz w:val="21"/>
          <w:szCs w:val="21"/>
          <w:lang w:val="es-PE"/>
        </w:rPr>
        <w:t xml:space="preserve">con frecuencia cardíaca </w:t>
      </w:r>
      <w:r w:rsidR="005424E9" w:rsidRPr="00C519DB">
        <w:rPr>
          <w:rFonts w:asciiTheme="majorHAnsi" w:eastAsia="Calibri" w:hAnsiTheme="majorHAnsi" w:cs="Times New Roman"/>
          <w:sz w:val="21"/>
          <w:szCs w:val="21"/>
          <w:lang w:val="es-PE"/>
        </w:rPr>
        <w:t>en descenso.</w:t>
      </w:r>
    </w:p>
    <w:p w:rsidR="00C519DB" w:rsidRPr="00C519DB" w:rsidRDefault="00C519DB" w:rsidP="00245A1E">
      <w:pPr>
        <w:pStyle w:val="ListParagraph"/>
        <w:widowControl w:val="0"/>
        <w:spacing w:after="0" w:line="240" w:lineRule="auto"/>
        <w:rPr>
          <w:rFonts w:asciiTheme="majorHAnsi" w:eastAsia="Calibri" w:hAnsiTheme="majorHAnsi" w:cs="Times New Roman"/>
          <w:sz w:val="21"/>
          <w:szCs w:val="21"/>
          <w:lang w:val="es-PE"/>
        </w:rPr>
      </w:pPr>
    </w:p>
    <w:p w:rsidR="00BD21AB" w:rsidRPr="00C519DB" w:rsidRDefault="00C519DB" w:rsidP="00245A1E">
      <w:pPr>
        <w:pStyle w:val="ListParagraph"/>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C519DB">
        <w:rPr>
          <w:rFonts w:asciiTheme="majorHAnsi" w:eastAsia="Calibri" w:hAnsiTheme="majorHAnsi" w:cs="Times New Roman"/>
          <w:sz w:val="21"/>
          <w:szCs w:val="21"/>
          <w:lang w:val="es-PE"/>
        </w:rPr>
        <w:t>El</w:t>
      </w:r>
      <w:r w:rsidR="005424E9" w:rsidRPr="00C519DB">
        <w:rPr>
          <w:rFonts w:asciiTheme="majorHAnsi" w:eastAsia="Calibri" w:hAnsiTheme="majorHAnsi" w:cs="Times New Roman"/>
          <w:sz w:val="21"/>
          <w:szCs w:val="21"/>
          <w:lang w:val="es-PE"/>
        </w:rPr>
        <w:t xml:space="preserve"> 30 de enero de 2019, la propuesta beneficiaria y sus familiares </w:t>
      </w:r>
      <w:r w:rsidRPr="00C519DB">
        <w:rPr>
          <w:rFonts w:asciiTheme="majorHAnsi" w:eastAsia="Calibri" w:hAnsiTheme="majorHAnsi" w:cs="Times New Roman"/>
          <w:sz w:val="21"/>
          <w:szCs w:val="21"/>
          <w:lang w:val="es-PE"/>
        </w:rPr>
        <w:t>habrían sido</w:t>
      </w:r>
      <w:r w:rsidR="005424E9" w:rsidRPr="00C519DB">
        <w:rPr>
          <w:rFonts w:asciiTheme="majorHAnsi" w:eastAsia="Calibri" w:hAnsiTheme="majorHAnsi" w:cs="Times New Roman"/>
          <w:sz w:val="21"/>
          <w:szCs w:val="21"/>
          <w:lang w:val="es-PE"/>
        </w:rPr>
        <w:t xml:space="preserve"> notificad</w:t>
      </w:r>
      <w:r w:rsidRPr="00C519DB">
        <w:rPr>
          <w:rFonts w:asciiTheme="majorHAnsi" w:eastAsia="Calibri" w:hAnsiTheme="majorHAnsi" w:cs="Times New Roman"/>
          <w:sz w:val="21"/>
          <w:szCs w:val="21"/>
          <w:lang w:val="es-PE"/>
        </w:rPr>
        <w:t>o</w:t>
      </w:r>
      <w:r w:rsidR="005424E9" w:rsidRPr="00C519DB">
        <w:rPr>
          <w:rFonts w:asciiTheme="majorHAnsi" w:eastAsia="Calibri" w:hAnsiTheme="majorHAnsi" w:cs="Times New Roman"/>
          <w:sz w:val="21"/>
          <w:szCs w:val="21"/>
          <w:lang w:val="es-PE"/>
        </w:rPr>
        <w:t xml:space="preserve">s verbalmente de la decisión de dar de alta a </w:t>
      </w:r>
      <w:r w:rsidR="007F45B7">
        <w:rPr>
          <w:rFonts w:asciiTheme="majorHAnsi" w:eastAsia="Calibri" w:hAnsiTheme="majorHAnsi" w:cs="Times New Roman"/>
          <w:sz w:val="21"/>
          <w:szCs w:val="21"/>
          <w:lang w:val="es-PE"/>
        </w:rPr>
        <w:t>la señora Matute</w:t>
      </w:r>
      <w:r w:rsidR="005424E9" w:rsidRPr="00C519DB">
        <w:rPr>
          <w:rFonts w:asciiTheme="majorHAnsi" w:eastAsia="Calibri" w:hAnsiTheme="majorHAnsi" w:cs="Times New Roman"/>
          <w:sz w:val="21"/>
          <w:szCs w:val="21"/>
          <w:lang w:val="es-PE"/>
        </w:rPr>
        <w:t xml:space="preserve">, por lo que sería trasladada al centro penitenciario. </w:t>
      </w:r>
      <w:r w:rsidRPr="00C519DB">
        <w:rPr>
          <w:rFonts w:asciiTheme="majorHAnsi" w:eastAsia="Calibri" w:hAnsiTheme="majorHAnsi" w:cs="Times New Roman"/>
          <w:sz w:val="21"/>
          <w:szCs w:val="21"/>
          <w:lang w:val="es-PE"/>
        </w:rPr>
        <w:t xml:space="preserve">Para los solicitantes, </w:t>
      </w:r>
      <w:r w:rsidR="00672B78" w:rsidRPr="00C519DB">
        <w:rPr>
          <w:rFonts w:asciiTheme="majorHAnsi" w:eastAsia="Calibri" w:hAnsiTheme="majorHAnsi" w:cs="Times New Roman"/>
          <w:sz w:val="21"/>
          <w:szCs w:val="21"/>
          <w:lang w:val="es-PE"/>
        </w:rPr>
        <w:t xml:space="preserve">la falta de atención médica adecuada y especializada de la cual </w:t>
      </w:r>
      <w:r w:rsidR="002E5D81">
        <w:rPr>
          <w:rFonts w:asciiTheme="majorHAnsi" w:eastAsia="Calibri" w:hAnsiTheme="majorHAnsi" w:cs="Times New Roman"/>
          <w:sz w:val="21"/>
          <w:szCs w:val="21"/>
          <w:lang w:val="es-PE"/>
        </w:rPr>
        <w:t xml:space="preserve">se </w:t>
      </w:r>
      <w:r w:rsidR="00672B78" w:rsidRPr="00C519DB">
        <w:rPr>
          <w:rFonts w:asciiTheme="majorHAnsi" w:eastAsia="Calibri" w:hAnsiTheme="majorHAnsi" w:cs="Times New Roman"/>
          <w:sz w:val="21"/>
          <w:szCs w:val="21"/>
          <w:lang w:val="es-PE"/>
        </w:rPr>
        <w:t>carecería en el centro penitenciario</w:t>
      </w:r>
      <w:r w:rsidRPr="00C519DB">
        <w:rPr>
          <w:rFonts w:asciiTheme="majorHAnsi" w:eastAsia="Calibri" w:hAnsiTheme="majorHAnsi" w:cs="Times New Roman"/>
          <w:sz w:val="21"/>
          <w:szCs w:val="21"/>
          <w:lang w:val="es-PE"/>
        </w:rPr>
        <w:t xml:space="preserve"> </w:t>
      </w:r>
      <w:r w:rsidR="00672B78" w:rsidRPr="00C519DB">
        <w:rPr>
          <w:rFonts w:asciiTheme="majorHAnsi" w:eastAsia="Calibri" w:hAnsiTheme="majorHAnsi" w:cs="Times New Roman"/>
          <w:sz w:val="21"/>
          <w:szCs w:val="21"/>
          <w:lang w:val="es-PE"/>
        </w:rPr>
        <w:t xml:space="preserve">no </w:t>
      </w:r>
      <w:r w:rsidRPr="00C519DB">
        <w:rPr>
          <w:rFonts w:asciiTheme="majorHAnsi" w:eastAsia="Calibri" w:hAnsiTheme="majorHAnsi" w:cs="Times New Roman"/>
          <w:sz w:val="21"/>
          <w:szCs w:val="21"/>
          <w:lang w:val="es-PE"/>
        </w:rPr>
        <w:t xml:space="preserve">sería </w:t>
      </w:r>
      <w:r w:rsidR="00672B78" w:rsidRPr="00C519DB">
        <w:rPr>
          <w:rFonts w:asciiTheme="majorHAnsi" w:eastAsia="Calibri" w:hAnsiTheme="majorHAnsi" w:cs="Times New Roman"/>
          <w:sz w:val="21"/>
          <w:szCs w:val="21"/>
          <w:lang w:val="es-PE"/>
        </w:rPr>
        <w:t>adecuad</w:t>
      </w:r>
      <w:r w:rsidR="008C305C">
        <w:rPr>
          <w:rFonts w:asciiTheme="majorHAnsi" w:eastAsia="Calibri" w:hAnsiTheme="majorHAnsi" w:cs="Times New Roman"/>
          <w:sz w:val="21"/>
          <w:szCs w:val="21"/>
          <w:lang w:val="es-PE"/>
        </w:rPr>
        <w:t>a</w:t>
      </w:r>
      <w:r w:rsidR="00672B78" w:rsidRPr="00C519DB">
        <w:rPr>
          <w:rFonts w:asciiTheme="majorHAnsi" w:eastAsia="Calibri" w:hAnsiTheme="majorHAnsi" w:cs="Times New Roman"/>
          <w:sz w:val="21"/>
          <w:szCs w:val="21"/>
          <w:lang w:val="es-PE"/>
        </w:rPr>
        <w:t xml:space="preserve"> para </w:t>
      </w:r>
      <w:r w:rsidR="002E5D81">
        <w:rPr>
          <w:rFonts w:asciiTheme="majorHAnsi" w:eastAsia="Calibri" w:hAnsiTheme="majorHAnsi" w:cs="Times New Roman"/>
          <w:sz w:val="21"/>
          <w:szCs w:val="21"/>
          <w:lang w:val="es-PE"/>
        </w:rPr>
        <w:t>su</w:t>
      </w:r>
      <w:r w:rsidR="00672B78" w:rsidRPr="00C519DB">
        <w:rPr>
          <w:rFonts w:asciiTheme="majorHAnsi" w:eastAsia="Calibri" w:hAnsiTheme="majorHAnsi" w:cs="Times New Roman"/>
          <w:sz w:val="21"/>
          <w:szCs w:val="21"/>
          <w:lang w:val="es-PE"/>
        </w:rPr>
        <w:t xml:space="preserve"> recuperación</w:t>
      </w:r>
      <w:r w:rsidRPr="00C519DB">
        <w:rPr>
          <w:rFonts w:asciiTheme="majorHAnsi" w:eastAsia="Calibri" w:hAnsiTheme="majorHAnsi" w:cs="Times New Roman"/>
          <w:sz w:val="21"/>
          <w:szCs w:val="21"/>
          <w:lang w:val="es-PE"/>
        </w:rPr>
        <w:t>, por lo que considera</w:t>
      </w:r>
      <w:r w:rsidR="008C305C">
        <w:rPr>
          <w:rFonts w:asciiTheme="majorHAnsi" w:eastAsia="Calibri" w:hAnsiTheme="majorHAnsi" w:cs="Times New Roman"/>
          <w:sz w:val="21"/>
          <w:szCs w:val="21"/>
          <w:lang w:val="es-PE"/>
        </w:rPr>
        <w:t>n</w:t>
      </w:r>
      <w:r w:rsidRPr="00C519DB">
        <w:rPr>
          <w:rFonts w:asciiTheme="majorHAnsi" w:eastAsia="Calibri" w:hAnsiTheme="majorHAnsi" w:cs="Times New Roman"/>
          <w:sz w:val="21"/>
          <w:szCs w:val="21"/>
          <w:lang w:val="es-PE"/>
        </w:rPr>
        <w:t xml:space="preserve"> que los riesgo</w:t>
      </w:r>
      <w:r>
        <w:rPr>
          <w:rFonts w:asciiTheme="majorHAnsi" w:eastAsia="Calibri" w:hAnsiTheme="majorHAnsi" w:cs="Times New Roman"/>
          <w:sz w:val="21"/>
          <w:szCs w:val="21"/>
          <w:lang w:val="es-PE"/>
        </w:rPr>
        <w:t xml:space="preserve">s de una nueva crisis son altos. </w:t>
      </w:r>
    </w:p>
    <w:p w:rsidR="00815515" w:rsidRPr="009838AB" w:rsidRDefault="00815515" w:rsidP="00245A1E">
      <w:pPr>
        <w:widowControl w:val="0"/>
        <w:spacing w:after="0" w:line="240" w:lineRule="auto"/>
        <w:jc w:val="both"/>
        <w:rPr>
          <w:rFonts w:asciiTheme="majorHAnsi" w:eastAsia="Calibri" w:hAnsiTheme="majorHAnsi" w:cs="Times New Roman"/>
          <w:sz w:val="21"/>
          <w:szCs w:val="21"/>
          <w:lang w:val="es-PE"/>
        </w:rPr>
      </w:pPr>
    </w:p>
    <w:p w:rsidR="00F30F7A" w:rsidRPr="009838AB" w:rsidRDefault="00F30F7A" w:rsidP="00245A1E">
      <w:pPr>
        <w:widowControl w:val="0"/>
        <w:numPr>
          <w:ilvl w:val="0"/>
          <w:numId w:val="3"/>
        </w:numPr>
        <w:spacing w:after="0" w:line="240" w:lineRule="auto"/>
        <w:ind w:left="810"/>
        <w:jc w:val="both"/>
        <w:rPr>
          <w:rFonts w:asciiTheme="majorHAnsi" w:eastAsia="Calibri" w:hAnsiTheme="majorHAnsi" w:cs="Calibri"/>
          <w:b/>
          <w:color w:val="000000"/>
          <w:sz w:val="21"/>
          <w:szCs w:val="21"/>
          <w:lang w:val="es-PE"/>
        </w:rPr>
      </w:pPr>
      <w:r w:rsidRPr="009838AB">
        <w:rPr>
          <w:rFonts w:asciiTheme="majorHAnsi" w:eastAsia="Calibri" w:hAnsiTheme="majorHAnsi" w:cs="Calibri"/>
          <w:b/>
          <w:color w:val="000000"/>
          <w:sz w:val="21"/>
          <w:szCs w:val="21"/>
          <w:lang w:val="es-PE"/>
        </w:rPr>
        <w:t>ANÁLISIS SOBRE LOS ELEMENTOS DE GRAVEDAD, URGENCIA E IRREPARABILIDAD</w:t>
      </w:r>
    </w:p>
    <w:p w:rsidR="00F30F7A" w:rsidRPr="009838AB" w:rsidRDefault="00F30F7A" w:rsidP="00245A1E">
      <w:pPr>
        <w:widowControl w:val="0"/>
        <w:spacing w:after="0" w:line="240" w:lineRule="auto"/>
        <w:jc w:val="both"/>
        <w:rPr>
          <w:rFonts w:asciiTheme="majorHAnsi" w:eastAsia="Calibri" w:hAnsiTheme="majorHAnsi" w:cs="Calibri"/>
          <w:b/>
          <w:color w:val="000000"/>
          <w:sz w:val="21"/>
          <w:szCs w:val="21"/>
          <w:lang w:val="es-PE"/>
        </w:rPr>
      </w:pPr>
    </w:p>
    <w:p w:rsidR="00C37B56" w:rsidRPr="00D0128E" w:rsidRDefault="00F30F7A" w:rsidP="00245A1E">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D0128E">
        <w:rPr>
          <w:rFonts w:asciiTheme="majorHAnsi" w:eastAsia="Calibri" w:hAnsiTheme="majorHAnsi" w:cs="Calibri"/>
          <w:color w:val="000000"/>
          <w:sz w:val="21"/>
          <w:szCs w:val="21"/>
          <w:lang w:val="es-PE"/>
        </w:rPr>
        <w:t>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w:t>
      </w:r>
      <w:r w:rsidR="00091976" w:rsidRPr="00D0128E">
        <w:rPr>
          <w:rFonts w:asciiTheme="majorHAnsi" w:eastAsia="Calibri" w:hAnsiTheme="majorHAnsi" w:cs="Calibri"/>
          <w:color w:val="000000"/>
          <w:sz w:val="21"/>
          <w:szCs w:val="21"/>
          <w:lang w:val="es-PE"/>
        </w:rPr>
        <w:t>das en el artículo 41 (b) de la</w:t>
      </w:r>
      <w:r w:rsidRPr="00D0128E">
        <w:rPr>
          <w:rFonts w:asciiTheme="majorHAnsi" w:eastAsia="Calibri" w:hAnsiTheme="majorHAnsi" w:cs="Calibri"/>
          <w:color w:val="000000"/>
          <w:sz w:val="21"/>
          <w:szCs w:val="21"/>
          <w:lang w:val="es-PE"/>
        </w:rPr>
        <w:t xml:space="preserve"> Interamericana “a iniciativa propia o a solicitud de parte”.</w:t>
      </w:r>
    </w:p>
    <w:p w:rsidR="00C37B56" w:rsidRPr="009838AB" w:rsidRDefault="00C37B56" w:rsidP="00245A1E">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F30F7A" w:rsidRPr="009838AB" w:rsidRDefault="00F30F7A" w:rsidP="00245A1E">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Para los efectos de tomar una decisión, y de acuerdo con el artículo 25.2 de su Reglamento, la Comisión considera que: </w:t>
      </w:r>
    </w:p>
    <w:p w:rsidR="00F30F7A" w:rsidRPr="009838AB" w:rsidRDefault="00F30F7A" w:rsidP="00245A1E">
      <w:pPr>
        <w:widowControl w:val="0"/>
        <w:spacing w:after="0" w:line="240" w:lineRule="auto"/>
        <w:ind w:firstLine="360"/>
        <w:jc w:val="both"/>
        <w:rPr>
          <w:rFonts w:asciiTheme="majorHAnsi" w:eastAsia="Calibri" w:hAnsiTheme="majorHAnsi" w:cs="Calibri"/>
          <w:color w:val="000000"/>
          <w:sz w:val="21"/>
          <w:szCs w:val="21"/>
          <w:lang w:val="es-PE"/>
        </w:rPr>
      </w:pPr>
    </w:p>
    <w:p w:rsidR="00F30F7A" w:rsidRPr="009838AB" w:rsidRDefault="00F30F7A" w:rsidP="00245A1E">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F30F7A" w:rsidRPr="009838AB" w:rsidRDefault="00F30F7A" w:rsidP="00245A1E">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 xml:space="preserve">la “urgencia de la situación” se determina por medio de la información aportada, indicando el riesgo o </w:t>
      </w:r>
      <w:r w:rsidRPr="009838AB">
        <w:rPr>
          <w:rFonts w:asciiTheme="majorHAnsi" w:eastAsia="Calibri" w:hAnsiTheme="majorHAnsi" w:cs="Calibri"/>
          <w:color w:val="000000"/>
          <w:sz w:val="18"/>
          <w:szCs w:val="21"/>
          <w:lang w:val="es-PE"/>
        </w:rPr>
        <w:lastRenderedPageBreak/>
        <w:t xml:space="preserve">la amenaza que puedan ser inminentes y materializarse, requiriendo de esa manera una acción preventiva o tutelar; y </w:t>
      </w:r>
    </w:p>
    <w:p w:rsidR="00F30F7A" w:rsidRPr="009838AB" w:rsidRDefault="00F30F7A" w:rsidP="00245A1E">
      <w:pPr>
        <w:widowControl w:val="0"/>
        <w:numPr>
          <w:ilvl w:val="0"/>
          <w:numId w:val="5"/>
        </w:numPr>
        <w:spacing w:after="0" w:line="240" w:lineRule="auto"/>
        <w:ind w:left="360" w:right="720" w:firstLine="0"/>
        <w:jc w:val="both"/>
        <w:rPr>
          <w:rFonts w:asciiTheme="majorHAnsi" w:eastAsia="Calibri" w:hAnsiTheme="majorHAnsi" w:cs="Calibri"/>
          <w:color w:val="000000"/>
          <w:sz w:val="18"/>
          <w:szCs w:val="21"/>
          <w:lang w:val="es-PE"/>
        </w:rPr>
      </w:pPr>
      <w:r w:rsidRPr="009838AB">
        <w:rPr>
          <w:rFonts w:asciiTheme="majorHAnsi" w:eastAsia="Calibri" w:hAnsiTheme="majorHAnsi" w:cs="Calibri"/>
          <w:color w:val="000000"/>
          <w:sz w:val="18"/>
          <w:szCs w:val="21"/>
          <w:lang w:val="es-PE"/>
        </w:rPr>
        <w:t>el “daño irreparable” consiste en la afectación sobre derechos que, por su propia naturaleza, no son susceptibles de reparación, restauración o adecuada indemnización.</w:t>
      </w:r>
    </w:p>
    <w:p w:rsidR="00F30F7A" w:rsidRPr="009838AB" w:rsidRDefault="00F30F7A" w:rsidP="00245A1E">
      <w:pPr>
        <w:widowControl w:val="0"/>
        <w:spacing w:after="0" w:line="240" w:lineRule="auto"/>
        <w:ind w:firstLine="360"/>
        <w:jc w:val="both"/>
        <w:rPr>
          <w:rFonts w:asciiTheme="majorHAnsi" w:eastAsia="Calibri" w:hAnsiTheme="majorHAnsi" w:cs="Calibri"/>
          <w:color w:val="000000"/>
          <w:sz w:val="21"/>
          <w:szCs w:val="21"/>
          <w:lang w:val="es-PE"/>
        </w:rPr>
      </w:pPr>
    </w:p>
    <w:p w:rsidR="00D0128E" w:rsidRDefault="00091976" w:rsidP="00245A1E">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9838AB">
        <w:rPr>
          <w:rFonts w:asciiTheme="majorHAnsi" w:eastAsia="Calibri" w:hAnsiTheme="majorHAnsi" w:cs="Calibri"/>
          <w:color w:val="000000"/>
          <w:sz w:val="21"/>
          <w:szCs w:val="21"/>
          <w:lang w:val="es-PE"/>
        </w:rPr>
        <w:t>L</w:t>
      </w:r>
      <w:r w:rsidR="00F30F7A" w:rsidRPr="009838AB">
        <w:rPr>
          <w:rFonts w:asciiTheme="majorHAnsi" w:eastAsia="Calibri" w:hAnsiTheme="majorHAnsi" w:cs="Calibri"/>
          <w:color w:val="000000"/>
          <w:sz w:val="21"/>
          <w:szCs w:val="21"/>
          <w:lang w:val="es-PE"/>
        </w:rPr>
        <w:t xml:space="preserve">a Comisión recuerda que los hechos alegados que motivan una solicitud de medidas cautelares no requieren estar plenamente comprobados, sino que la información proporcionada debe ser apreciada desde una perspectiva </w:t>
      </w:r>
      <w:r w:rsidR="00F30F7A" w:rsidRPr="009838AB">
        <w:rPr>
          <w:rFonts w:asciiTheme="majorHAnsi" w:eastAsia="Calibri" w:hAnsiTheme="majorHAnsi" w:cs="Calibri"/>
          <w:i/>
          <w:color w:val="000000"/>
          <w:sz w:val="21"/>
          <w:szCs w:val="21"/>
          <w:lang w:val="es-PE"/>
        </w:rPr>
        <w:t>prima facie</w:t>
      </w:r>
      <w:r w:rsidR="00F30F7A" w:rsidRPr="009838AB">
        <w:rPr>
          <w:rFonts w:asciiTheme="majorHAnsi" w:eastAsia="Calibri" w:hAnsiTheme="majorHAnsi" w:cs="Calibri"/>
          <w:color w:val="000000"/>
          <w:sz w:val="21"/>
          <w:szCs w:val="21"/>
          <w:lang w:val="es-PE"/>
        </w:rPr>
        <w:t xml:space="preserve"> que permita identificar una situación de gravedad y urgencia</w:t>
      </w:r>
      <w:r w:rsidR="00F30F7A" w:rsidRPr="009838AB">
        <w:rPr>
          <w:rFonts w:asciiTheme="majorHAnsi" w:hAnsiTheme="majorHAnsi"/>
          <w:vertAlign w:val="superscript"/>
          <w:lang w:val="es-PE"/>
        </w:rPr>
        <w:footnoteReference w:id="22"/>
      </w:r>
      <w:r w:rsidR="00F30F7A" w:rsidRPr="009838AB">
        <w:rPr>
          <w:rFonts w:asciiTheme="majorHAnsi" w:eastAsia="Calibri" w:hAnsiTheme="majorHAnsi" w:cs="Calibri"/>
          <w:color w:val="000000"/>
          <w:sz w:val="21"/>
          <w:szCs w:val="21"/>
          <w:lang w:val="es-PE"/>
        </w:rPr>
        <w:t>.</w:t>
      </w:r>
    </w:p>
    <w:p w:rsidR="00D0128E" w:rsidRDefault="00D0128E" w:rsidP="00245A1E">
      <w:pPr>
        <w:pStyle w:val="ListParagraph"/>
        <w:widowControl w:val="0"/>
        <w:spacing w:after="0" w:line="240" w:lineRule="auto"/>
        <w:ind w:left="360"/>
        <w:jc w:val="both"/>
        <w:rPr>
          <w:rFonts w:asciiTheme="majorHAnsi" w:eastAsia="Calibri" w:hAnsiTheme="majorHAnsi" w:cs="Calibri"/>
          <w:color w:val="000000"/>
          <w:sz w:val="21"/>
          <w:szCs w:val="21"/>
          <w:lang w:val="es-PE"/>
        </w:rPr>
      </w:pPr>
    </w:p>
    <w:p w:rsidR="00D0128E" w:rsidRDefault="00D0128E" w:rsidP="00245A1E">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D0128E">
        <w:rPr>
          <w:rFonts w:asciiTheme="majorHAnsi" w:eastAsia="Calibri" w:hAnsiTheme="majorHAnsi" w:cs="Calibri"/>
          <w:color w:val="000000"/>
          <w:sz w:val="21"/>
          <w:szCs w:val="21"/>
          <w:lang w:val="es-PE"/>
        </w:rPr>
        <w:t>Como un aspecto preliminar, la Comisión considera pertinente aclarar que no le corresponde</w:t>
      </w:r>
      <w:r>
        <w:rPr>
          <w:rFonts w:asciiTheme="majorHAnsi" w:eastAsia="Calibri" w:hAnsiTheme="majorHAnsi" w:cs="Calibri"/>
          <w:color w:val="000000"/>
          <w:sz w:val="21"/>
          <w:szCs w:val="21"/>
          <w:lang w:val="es-PE"/>
        </w:rPr>
        <w:t xml:space="preserve"> </w:t>
      </w:r>
      <w:r w:rsidRPr="00D0128E">
        <w:rPr>
          <w:rFonts w:asciiTheme="majorHAnsi" w:eastAsia="Calibri" w:hAnsiTheme="majorHAnsi" w:cs="Calibri"/>
          <w:color w:val="000000"/>
          <w:sz w:val="21"/>
          <w:szCs w:val="21"/>
          <w:lang w:val="es-PE"/>
        </w:rPr>
        <w:t xml:space="preserve">pronunciarse sobre la </w:t>
      </w:r>
      <w:r w:rsidR="004549F2">
        <w:rPr>
          <w:rFonts w:asciiTheme="majorHAnsi" w:eastAsia="Calibri" w:hAnsiTheme="majorHAnsi" w:cs="Calibri"/>
          <w:color w:val="000000"/>
          <w:sz w:val="21"/>
          <w:szCs w:val="21"/>
          <w:lang w:val="es-PE"/>
        </w:rPr>
        <w:t xml:space="preserve">probable </w:t>
      </w:r>
      <w:r w:rsidRPr="00D0128E">
        <w:rPr>
          <w:rFonts w:asciiTheme="majorHAnsi" w:eastAsia="Calibri" w:hAnsiTheme="majorHAnsi" w:cs="Calibri"/>
          <w:color w:val="000000"/>
          <w:sz w:val="21"/>
          <w:szCs w:val="21"/>
          <w:lang w:val="es-PE"/>
        </w:rPr>
        <w:t>responsabilidad penal de la propuesta beneficiaria, y tampoco está llamada a</w:t>
      </w:r>
      <w:r>
        <w:rPr>
          <w:rFonts w:asciiTheme="majorHAnsi" w:eastAsia="Calibri" w:hAnsiTheme="majorHAnsi" w:cs="Calibri"/>
          <w:color w:val="000000"/>
          <w:sz w:val="21"/>
          <w:szCs w:val="21"/>
          <w:lang w:val="es-PE"/>
        </w:rPr>
        <w:t xml:space="preserve"> </w:t>
      </w:r>
      <w:r w:rsidRPr="00D0128E">
        <w:rPr>
          <w:rFonts w:asciiTheme="majorHAnsi" w:eastAsia="Calibri" w:hAnsiTheme="majorHAnsi" w:cs="Calibri"/>
          <w:color w:val="000000"/>
          <w:sz w:val="21"/>
          <w:szCs w:val="21"/>
          <w:lang w:val="es-PE"/>
        </w:rPr>
        <w:t>determinar en esta oportunidad si se han producido violaciones al debido proceso en el marco de las</w:t>
      </w:r>
      <w:r>
        <w:rPr>
          <w:rFonts w:asciiTheme="majorHAnsi" w:eastAsia="Calibri" w:hAnsiTheme="majorHAnsi" w:cs="Calibri"/>
          <w:color w:val="000000"/>
          <w:sz w:val="21"/>
          <w:szCs w:val="21"/>
          <w:lang w:val="es-PE"/>
        </w:rPr>
        <w:t xml:space="preserve"> </w:t>
      </w:r>
      <w:r w:rsidRPr="00D0128E">
        <w:rPr>
          <w:rFonts w:asciiTheme="majorHAnsi" w:eastAsia="Calibri" w:hAnsiTheme="majorHAnsi" w:cs="Calibri"/>
          <w:color w:val="000000"/>
          <w:sz w:val="21"/>
          <w:szCs w:val="21"/>
          <w:lang w:val="es-PE"/>
        </w:rPr>
        <w:t xml:space="preserve">causas seguidas en su contra o a favor de </w:t>
      </w:r>
      <w:r w:rsidR="004549F2">
        <w:rPr>
          <w:rFonts w:asciiTheme="majorHAnsi" w:eastAsia="Calibri" w:hAnsiTheme="majorHAnsi" w:cs="Calibri"/>
          <w:color w:val="000000"/>
          <w:sz w:val="21"/>
          <w:szCs w:val="21"/>
          <w:lang w:val="es-PE"/>
        </w:rPr>
        <w:t xml:space="preserve">las mismas, ni tampoco sobre una posible </w:t>
      </w:r>
      <w:r w:rsidRPr="00D0128E">
        <w:rPr>
          <w:rFonts w:asciiTheme="majorHAnsi" w:eastAsia="Calibri" w:hAnsiTheme="majorHAnsi" w:cs="Calibri"/>
          <w:color w:val="000000"/>
          <w:sz w:val="21"/>
          <w:szCs w:val="21"/>
          <w:lang w:val="es-PE"/>
        </w:rPr>
        <w:t>violación al derecho</w:t>
      </w:r>
      <w:r>
        <w:rPr>
          <w:rFonts w:asciiTheme="majorHAnsi" w:eastAsia="Calibri" w:hAnsiTheme="majorHAnsi" w:cs="Calibri"/>
          <w:color w:val="000000"/>
          <w:sz w:val="21"/>
          <w:szCs w:val="21"/>
          <w:lang w:val="es-PE"/>
        </w:rPr>
        <w:t xml:space="preserve"> </w:t>
      </w:r>
      <w:r w:rsidRPr="00D0128E">
        <w:rPr>
          <w:rFonts w:asciiTheme="majorHAnsi" w:eastAsia="Calibri" w:hAnsiTheme="majorHAnsi" w:cs="Calibri"/>
          <w:color w:val="000000"/>
          <w:sz w:val="21"/>
          <w:szCs w:val="21"/>
          <w:lang w:val="es-PE"/>
        </w:rPr>
        <w:t>a la libertad personal. El análisis que la Comisión efectúa a continuación se relaciona exclusivamente con</w:t>
      </w:r>
      <w:r>
        <w:rPr>
          <w:rFonts w:asciiTheme="majorHAnsi" w:eastAsia="Calibri" w:hAnsiTheme="majorHAnsi" w:cs="Calibri"/>
          <w:color w:val="000000"/>
          <w:sz w:val="21"/>
          <w:szCs w:val="21"/>
          <w:lang w:val="es-PE"/>
        </w:rPr>
        <w:t xml:space="preserve"> </w:t>
      </w:r>
      <w:r w:rsidRPr="00D0128E">
        <w:rPr>
          <w:rFonts w:asciiTheme="majorHAnsi" w:eastAsia="Calibri" w:hAnsiTheme="majorHAnsi" w:cs="Calibri"/>
          <w:color w:val="000000"/>
          <w:sz w:val="21"/>
          <w:szCs w:val="21"/>
          <w:lang w:val="es-PE"/>
        </w:rPr>
        <w:t>los requisitos de gravedad, urgencia y riesgo de daño irreparable establecidos en el artículo 25 de su</w:t>
      </w:r>
      <w:r>
        <w:rPr>
          <w:rFonts w:asciiTheme="majorHAnsi" w:eastAsia="Calibri" w:hAnsiTheme="majorHAnsi" w:cs="Calibri"/>
          <w:color w:val="000000"/>
          <w:sz w:val="21"/>
          <w:szCs w:val="21"/>
          <w:lang w:val="es-PE"/>
        </w:rPr>
        <w:t xml:space="preserve"> </w:t>
      </w:r>
      <w:r w:rsidRPr="00D0128E">
        <w:rPr>
          <w:rFonts w:asciiTheme="majorHAnsi" w:eastAsia="Calibri" w:hAnsiTheme="majorHAnsi" w:cs="Calibri"/>
          <w:color w:val="000000"/>
          <w:sz w:val="21"/>
          <w:szCs w:val="21"/>
          <w:lang w:val="es-PE"/>
        </w:rPr>
        <w:t>Reglamento, los cuales pueden resolverse sin entrar en determinaciones de fondo.</w:t>
      </w:r>
    </w:p>
    <w:p w:rsidR="00800185" w:rsidRPr="00800185" w:rsidRDefault="00800185" w:rsidP="00245A1E">
      <w:pPr>
        <w:pStyle w:val="ListParagraph"/>
        <w:widowControl w:val="0"/>
        <w:spacing w:after="0" w:line="240" w:lineRule="auto"/>
        <w:rPr>
          <w:rFonts w:asciiTheme="majorHAnsi" w:eastAsia="Calibri" w:hAnsiTheme="majorHAnsi" w:cs="Calibri"/>
          <w:color w:val="000000"/>
          <w:sz w:val="21"/>
          <w:szCs w:val="21"/>
          <w:lang w:val="es-PE"/>
        </w:rPr>
      </w:pPr>
    </w:p>
    <w:p w:rsidR="0004578B" w:rsidRDefault="00800185" w:rsidP="00245A1E">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 xml:space="preserve">Al momento de valorar los requisitos reglamentarios, la </w:t>
      </w:r>
      <w:r w:rsidR="0027128D">
        <w:rPr>
          <w:rFonts w:asciiTheme="majorHAnsi" w:eastAsia="Calibri" w:hAnsiTheme="majorHAnsi" w:cs="Calibri"/>
          <w:color w:val="000000"/>
          <w:sz w:val="21"/>
          <w:szCs w:val="21"/>
          <w:lang w:val="es-PE"/>
        </w:rPr>
        <w:t>Comisión</w:t>
      </w:r>
      <w:r>
        <w:rPr>
          <w:rFonts w:asciiTheme="majorHAnsi" w:eastAsia="Calibri" w:hAnsiTheme="majorHAnsi" w:cs="Calibri"/>
          <w:color w:val="000000"/>
          <w:sz w:val="21"/>
          <w:szCs w:val="21"/>
          <w:lang w:val="es-PE"/>
        </w:rPr>
        <w:t xml:space="preserve"> toma en cuenta que, en </w:t>
      </w:r>
      <w:r w:rsidR="0027128D">
        <w:rPr>
          <w:rFonts w:asciiTheme="majorHAnsi" w:eastAsia="Calibri" w:hAnsiTheme="majorHAnsi" w:cs="Calibri"/>
          <w:color w:val="000000"/>
          <w:sz w:val="21"/>
          <w:szCs w:val="21"/>
          <w:lang w:val="es-PE"/>
        </w:rPr>
        <w:t>relación</w:t>
      </w:r>
      <w:r>
        <w:rPr>
          <w:rFonts w:asciiTheme="majorHAnsi" w:eastAsia="Calibri" w:hAnsiTheme="majorHAnsi" w:cs="Calibri"/>
          <w:color w:val="000000"/>
          <w:sz w:val="21"/>
          <w:szCs w:val="21"/>
          <w:lang w:val="es-PE"/>
        </w:rPr>
        <w:t xml:space="preserve"> con las personas que han sido privadas de su libertad, el Estado se encuentra </w:t>
      </w:r>
      <w:r w:rsidR="0027128D">
        <w:rPr>
          <w:rFonts w:asciiTheme="majorHAnsi" w:eastAsia="Calibri" w:hAnsiTheme="majorHAnsi" w:cs="Calibri"/>
          <w:color w:val="000000"/>
          <w:sz w:val="21"/>
          <w:szCs w:val="21"/>
          <w:lang w:val="es-PE"/>
        </w:rPr>
        <w:t>en una posición especial de garante en tanto las autoridades penitenciarias ejercen un fuerte control o dominio sobre las personas que se encuentran sujetas a su custodia</w:t>
      </w:r>
      <w:r w:rsidR="0027128D">
        <w:rPr>
          <w:rStyle w:val="FootnoteReference"/>
          <w:rFonts w:asciiTheme="majorHAnsi" w:eastAsia="Calibri" w:hAnsiTheme="majorHAnsi" w:cs="Calibri"/>
          <w:color w:val="000000"/>
          <w:sz w:val="21"/>
          <w:szCs w:val="21"/>
          <w:lang w:val="es-PE"/>
        </w:rPr>
        <w:footnoteReference w:id="23"/>
      </w:r>
      <w:r w:rsidR="0027128D">
        <w:rPr>
          <w:rFonts w:asciiTheme="majorHAnsi" w:eastAsia="Calibri" w:hAnsiTheme="majorHAnsi" w:cs="Calibri"/>
          <w:color w:val="000000"/>
          <w:sz w:val="21"/>
          <w:szCs w:val="21"/>
          <w:lang w:val="es-PE"/>
        </w:rPr>
        <w:t>. Ello</w:t>
      </w:r>
      <w:r w:rsidR="004549F2">
        <w:rPr>
          <w:rFonts w:asciiTheme="majorHAnsi" w:eastAsia="Calibri" w:hAnsiTheme="majorHAnsi" w:cs="Calibri"/>
          <w:color w:val="000000"/>
          <w:sz w:val="21"/>
          <w:szCs w:val="21"/>
          <w:lang w:val="es-PE"/>
        </w:rPr>
        <w:t>,</w:t>
      </w:r>
      <w:r w:rsidR="0027128D">
        <w:rPr>
          <w:rFonts w:asciiTheme="majorHAnsi" w:eastAsia="Calibri" w:hAnsiTheme="majorHAnsi" w:cs="Calibri"/>
          <w:color w:val="000000"/>
          <w:sz w:val="21"/>
          <w:szCs w:val="21"/>
          <w:lang w:val="es-PE"/>
        </w:rPr>
        <w:t xml:space="preserve"> se presenta como resultado de la relación e interacción especial de sujeción entre la persona privada de libertad y el Estado, caracterizada por la particular intensidad con que el Estado puede regular sus derechos y obligaciones, y por las circunstancias propias del encierro, en donde al recluso se le impide satisfacer por cuenta propia una serie de necesidades básicas esenciales para el desarrollo de una vida digna</w:t>
      </w:r>
      <w:r w:rsidR="0027128D">
        <w:rPr>
          <w:rStyle w:val="FootnoteReference"/>
          <w:rFonts w:asciiTheme="majorHAnsi" w:eastAsia="Calibri" w:hAnsiTheme="majorHAnsi" w:cs="Calibri"/>
          <w:color w:val="000000"/>
          <w:sz w:val="21"/>
          <w:szCs w:val="21"/>
          <w:lang w:val="es-PE"/>
        </w:rPr>
        <w:footnoteReference w:id="24"/>
      </w:r>
      <w:r w:rsidR="00BB41AD">
        <w:rPr>
          <w:rFonts w:asciiTheme="majorHAnsi" w:eastAsia="Calibri" w:hAnsiTheme="majorHAnsi" w:cs="Calibri"/>
          <w:color w:val="000000"/>
          <w:sz w:val="21"/>
          <w:szCs w:val="21"/>
          <w:lang w:val="es-PE"/>
        </w:rPr>
        <w:t>.</w:t>
      </w:r>
    </w:p>
    <w:p w:rsidR="001907C8" w:rsidRPr="0001239D" w:rsidRDefault="001907C8" w:rsidP="00245A1E">
      <w:pPr>
        <w:pStyle w:val="ListParagraph"/>
        <w:spacing w:line="240" w:lineRule="auto"/>
        <w:rPr>
          <w:rFonts w:asciiTheme="majorHAnsi" w:eastAsia="Calibri" w:hAnsiTheme="majorHAnsi" w:cs="Calibri"/>
          <w:color w:val="000000"/>
          <w:sz w:val="21"/>
          <w:szCs w:val="21"/>
          <w:lang w:val="es-PE"/>
        </w:rPr>
      </w:pPr>
    </w:p>
    <w:p w:rsidR="001907C8" w:rsidRDefault="001907C8" w:rsidP="00245A1E">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sidRPr="0001239D">
        <w:rPr>
          <w:rFonts w:asciiTheme="majorHAnsi" w:eastAsia="Calibri" w:hAnsiTheme="majorHAnsi" w:cs="Calibri"/>
          <w:color w:val="000000"/>
          <w:sz w:val="21"/>
          <w:szCs w:val="21"/>
          <w:lang w:val="es-PE"/>
        </w:rPr>
        <w:t xml:space="preserve">La Comisión </w:t>
      </w:r>
      <w:r w:rsidR="004549F2">
        <w:rPr>
          <w:rFonts w:asciiTheme="majorHAnsi" w:eastAsia="Calibri" w:hAnsiTheme="majorHAnsi" w:cs="Calibri"/>
          <w:color w:val="000000"/>
          <w:sz w:val="21"/>
          <w:szCs w:val="21"/>
          <w:lang w:val="es-PE"/>
        </w:rPr>
        <w:t xml:space="preserve">también considera relevante tomar en cuenta </w:t>
      </w:r>
      <w:r w:rsidRPr="0001239D">
        <w:rPr>
          <w:rFonts w:asciiTheme="majorHAnsi" w:eastAsia="Calibri" w:hAnsiTheme="majorHAnsi" w:cs="Calibri"/>
          <w:color w:val="000000"/>
          <w:sz w:val="21"/>
          <w:szCs w:val="21"/>
          <w:lang w:val="es-PE"/>
        </w:rPr>
        <w:t>que “las mujeres han sufrido un cuadro de discriminación histórica y estereotipos, que resultan en forma de desventaja sistemática e incrementan la exposición […] a ser objeto de actos de violencia física, sexual y psicológica, y de otro tipos de abusos. Estos riesgos se acentúan en muchas ocasiones cuando las mujeres se encuentran bajo el control de las autoridades del Estado, en contextos de privación de la libertad</w:t>
      </w:r>
      <w:r>
        <w:rPr>
          <w:rStyle w:val="FootnoteReference"/>
          <w:rFonts w:asciiTheme="majorHAnsi" w:eastAsia="Calibri" w:hAnsiTheme="majorHAnsi" w:cs="Calibri"/>
          <w:color w:val="000000"/>
          <w:sz w:val="21"/>
          <w:szCs w:val="21"/>
          <w:lang w:val="es-PE"/>
        </w:rPr>
        <w:footnoteReference w:id="25"/>
      </w:r>
      <w:r w:rsidRPr="0001239D">
        <w:rPr>
          <w:rFonts w:asciiTheme="majorHAnsi" w:eastAsia="Calibri" w:hAnsiTheme="majorHAnsi" w:cs="Calibri"/>
          <w:color w:val="000000"/>
          <w:sz w:val="21"/>
          <w:szCs w:val="21"/>
          <w:lang w:val="es-PE"/>
        </w:rPr>
        <w:t>.</w:t>
      </w:r>
    </w:p>
    <w:p w:rsidR="00975A78" w:rsidRPr="0001239D" w:rsidRDefault="00975A78" w:rsidP="00245A1E">
      <w:pPr>
        <w:pStyle w:val="ListParagraph"/>
        <w:spacing w:line="240" w:lineRule="auto"/>
        <w:rPr>
          <w:rFonts w:asciiTheme="majorHAnsi" w:eastAsia="Calibri" w:hAnsiTheme="majorHAnsi" w:cs="Calibri"/>
          <w:color w:val="000000"/>
          <w:sz w:val="21"/>
          <w:szCs w:val="21"/>
          <w:lang w:val="es-PE"/>
        </w:rPr>
      </w:pPr>
    </w:p>
    <w:p w:rsidR="00400C6A" w:rsidRPr="00660B9D" w:rsidRDefault="00BB41AD" w:rsidP="00245A1E">
      <w:pPr>
        <w:pStyle w:val="ListParagraph"/>
        <w:widowControl w:val="0"/>
        <w:numPr>
          <w:ilvl w:val="0"/>
          <w:numId w:val="4"/>
        </w:numPr>
        <w:spacing w:after="0" w:line="240" w:lineRule="auto"/>
        <w:ind w:left="0" w:firstLine="360"/>
        <w:jc w:val="both"/>
        <w:rPr>
          <w:rFonts w:asciiTheme="majorHAnsi" w:eastAsia="Calibri" w:hAnsiTheme="majorHAnsi" w:cs="Calibri"/>
          <w:color w:val="000000"/>
          <w:sz w:val="21"/>
          <w:szCs w:val="21"/>
          <w:lang w:val="es-PE"/>
        </w:rPr>
      </w:pPr>
      <w:r>
        <w:rPr>
          <w:rFonts w:asciiTheme="majorHAnsi" w:eastAsia="Calibri" w:hAnsiTheme="majorHAnsi" w:cs="Calibri"/>
          <w:color w:val="000000"/>
          <w:sz w:val="21"/>
          <w:szCs w:val="21"/>
          <w:lang w:val="es-PE"/>
        </w:rPr>
        <w:t xml:space="preserve">En lo que se refiere al requisito de gravedad en el presente asunto, la Comisión observa que la propuesta beneficiaria tendría un deficiencia cardiaca que la obligaría a llevar un marcapasos desde el 2012 y </w:t>
      </w:r>
      <w:r w:rsidR="00A75906">
        <w:rPr>
          <w:rFonts w:asciiTheme="majorHAnsi" w:eastAsia="Calibri" w:hAnsiTheme="majorHAnsi" w:cs="Calibri"/>
          <w:color w:val="000000"/>
          <w:sz w:val="21"/>
          <w:szCs w:val="21"/>
          <w:lang w:val="es-PE"/>
        </w:rPr>
        <w:t xml:space="preserve">a requerir </w:t>
      </w:r>
      <w:r>
        <w:rPr>
          <w:rFonts w:asciiTheme="majorHAnsi" w:eastAsia="Calibri" w:hAnsiTheme="majorHAnsi" w:cs="Calibri"/>
          <w:color w:val="000000"/>
          <w:sz w:val="21"/>
          <w:szCs w:val="21"/>
          <w:lang w:val="es-PE"/>
        </w:rPr>
        <w:t xml:space="preserve">revisión médica constante (vid. </w:t>
      </w:r>
      <w:r w:rsidRPr="00BB41AD">
        <w:rPr>
          <w:rFonts w:asciiTheme="majorHAnsi" w:eastAsia="Calibri" w:hAnsiTheme="majorHAnsi" w:cs="Calibri"/>
          <w:i/>
          <w:color w:val="000000"/>
          <w:sz w:val="21"/>
          <w:szCs w:val="21"/>
          <w:lang w:val="es-PE"/>
        </w:rPr>
        <w:t>supra</w:t>
      </w:r>
      <w:r>
        <w:rPr>
          <w:rFonts w:asciiTheme="majorHAnsi" w:eastAsia="Calibri" w:hAnsiTheme="majorHAnsi" w:cs="Calibri"/>
          <w:color w:val="000000"/>
          <w:sz w:val="21"/>
          <w:szCs w:val="21"/>
          <w:lang w:val="es-PE"/>
        </w:rPr>
        <w:t xml:space="preserve"> párr. </w:t>
      </w:r>
      <w:r w:rsidR="00526257">
        <w:rPr>
          <w:rFonts w:asciiTheme="majorHAnsi" w:eastAsia="Calibri" w:hAnsiTheme="majorHAnsi" w:cs="Calibri"/>
          <w:color w:val="000000"/>
          <w:sz w:val="21"/>
          <w:szCs w:val="21"/>
          <w:lang w:val="es-PE"/>
        </w:rPr>
        <w:t>13</w:t>
      </w:r>
      <w:r>
        <w:rPr>
          <w:rFonts w:asciiTheme="majorHAnsi" w:eastAsia="Calibri" w:hAnsiTheme="majorHAnsi" w:cs="Calibri"/>
          <w:color w:val="000000"/>
          <w:sz w:val="21"/>
          <w:szCs w:val="21"/>
          <w:lang w:val="es-PE"/>
        </w:rPr>
        <w:t xml:space="preserve">). En ese sentido, tras la privación de su libertad, tanto ella como sus familiares y representantes legales </w:t>
      </w:r>
      <w:r w:rsidR="00A75906">
        <w:rPr>
          <w:rFonts w:asciiTheme="majorHAnsi" w:eastAsia="Calibri" w:hAnsiTheme="majorHAnsi" w:cs="Calibri"/>
          <w:color w:val="000000"/>
          <w:sz w:val="21"/>
          <w:szCs w:val="21"/>
          <w:lang w:val="es-PE"/>
        </w:rPr>
        <w:t>habrían</w:t>
      </w:r>
      <w:r>
        <w:rPr>
          <w:rFonts w:asciiTheme="majorHAnsi" w:eastAsia="Calibri" w:hAnsiTheme="majorHAnsi" w:cs="Calibri"/>
          <w:color w:val="000000"/>
          <w:sz w:val="21"/>
          <w:szCs w:val="21"/>
          <w:lang w:val="es-PE"/>
        </w:rPr>
        <w:t xml:space="preserve"> informado a diversas autoridades su </w:t>
      </w:r>
      <w:r w:rsidR="00A75906">
        <w:rPr>
          <w:rFonts w:asciiTheme="majorHAnsi" w:eastAsia="Calibri" w:hAnsiTheme="majorHAnsi" w:cs="Calibri"/>
          <w:color w:val="000000"/>
          <w:sz w:val="21"/>
          <w:szCs w:val="21"/>
          <w:lang w:val="es-PE"/>
        </w:rPr>
        <w:t>situación</w:t>
      </w:r>
      <w:r>
        <w:rPr>
          <w:rFonts w:asciiTheme="majorHAnsi" w:eastAsia="Calibri" w:hAnsiTheme="majorHAnsi" w:cs="Calibri"/>
          <w:color w:val="000000"/>
          <w:sz w:val="21"/>
          <w:szCs w:val="21"/>
          <w:lang w:val="es-PE"/>
        </w:rPr>
        <w:t xml:space="preserve"> de salud, requiriendo la </w:t>
      </w:r>
      <w:r w:rsidR="00A75906">
        <w:rPr>
          <w:rFonts w:asciiTheme="majorHAnsi" w:eastAsia="Calibri" w:hAnsiTheme="majorHAnsi" w:cs="Calibri"/>
          <w:color w:val="000000"/>
          <w:sz w:val="21"/>
          <w:szCs w:val="21"/>
          <w:lang w:val="es-PE"/>
        </w:rPr>
        <w:t>atención</w:t>
      </w:r>
      <w:r>
        <w:rPr>
          <w:rFonts w:asciiTheme="majorHAnsi" w:eastAsia="Calibri" w:hAnsiTheme="majorHAnsi" w:cs="Calibri"/>
          <w:color w:val="000000"/>
          <w:sz w:val="21"/>
          <w:szCs w:val="21"/>
          <w:lang w:val="es-PE"/>
        </w:rPr>
        <w:t xml:space="preserve"> </w:t>
      </w:r>
      <w:r w:rsidR="00270017">
        <w:rPr>
          <w:rFonts w:asciiTheme="majorHAnsi" w:eastAsia="Calibri" w:hAnsiTheme="majorHAnsi" w:cs="Calibri"/>
          <w:color w:val="000000"/>
          <w:sz w:val="21"/>
          <w:szCs w:val="21"/>
          <w:lang w:val="es-PE"/>
        </w:rPr>
        <w:t>médica</w:t>
      </w:r>
      <w:r>
        <w:rPr>
          <w:rFonts w:asciiTheme="majorHAnsi" w:eastAsia="Calibri" w:hAnsiTheme="majorHAnsi" w:cs="Calibri"/>
          <w:color w:val="000000"/>
          <w:sz w:val="21"/>
          <w:szCs w:val="21"/>
          <w:lang w:val="es-PE"/>
        </w:rPr>
        <w:t xml:space="preserve"> correspondiente</w:t>
      </w:r>
      <w:r w:rsidR="00A75906">
        <w:rPr>
          <w:rFonts w:asciiTheme="majorHAnsi" w:eastAsia="Calibri" w:hAnsiTheme="majorHAnsi" w:cs="Calibri"/>
          <w:color w:val="000000"/>
          <w:sz w:val="21"/>
          <w:szCs w:val="21"/>
          <w:lang w:val="es-PE"/>
        </w:rPr>
        <w:t xml:space="preserve"> (vid. </w:t>
      </w:r>
      <w:r w:rsidR="00A75906" w:rsidRPr="00A75906">
        <w:rPr>
          <w:rFonts w:asciiTheme="majorHAnsi" w:eastAsia="Calibri" w:hAnsiTheme="majorHAnsi" w:cs="Calibri"/>
          <w:i/>
          <w:color w:val="000000"/>
          <w:sz w:val="21"/>
          <w:szCs w:val="21"/>
          <w:lang w:val="es-PE"/>
        </w:rPr>
        <w:t>supra</w:t>
      </w:r>
      <w:r w:rsidR="00A75906">
        <w:rPr>
          <w:rFonts w:asciiTheme="majorHAnsi" w:eastAsia="Calibri" w:hAnsiTheme="majorHAnsi" w:cs="Calibri"/>
          <w:color w:val="000000"/>
          <w:sz w:val="21"/>
          <w:szCs w:val="21"/>
          <w:lang w:val="es-PE"/>
        </w:rPr>
        <w:t xml:space="preserve"> párr. </w:t>
      </w:r>
      <w:r w:rsidR="00526257">
        <w:rPr>
          <w:rFonts w:asciiTheme="majorHAnsi" w:eastAsia="Calibri" w:hAnsiTheme="majorHAnsi" w:cs="Calibri"/>
          <w:color w:val="000000"/>
          <w:sz w:val="21"/>
          <w:szCs w:val="21"/>
          <w:lang w:val="es-PE"/>
        </w:rPr>
        <w:t>13-15</w:t>
      </w:r>
      <w:r w:rsidR="00A75906">
        <w:rPr>
          <w:rFonts w:asciiTheme="majorHAnsi" w:eastAsia="Calibri" w:hAnsiTheme="majorHAnsi" w:cs="Calibri"/>
          <w:color w:val="000000"/>
          <w:sz w:val="21"/>
          <w:szCs w:val="21"/>
          <w:lang w:val="es-PE"/>
        </w:rPr>
        <w:t>)</w:t>
      </w:r>
      <w:r>
        <w:rPr>
          <w:rFonts w:asciiTheme="majorHAnsi" w:eastAsia="Calibri" w:hAnsiTheme="majorHAnsi" w:cs="Calibri"/>
          <w:color w:val="000000"/>
          <w:sz w:val="21"/>
          <w:szCs w:val="21"/>
          <w:lang w:val="es-PE"/>
        </w:rPr>
        <w:t xml:space="preserve">. </w:t>
      </w:r>
      <w:r w:rsidR="00975A78">
        <w:rPr>
          <w:rFonts w:asciiTheme="majorHAnsi" w:eastAsia="Calibri" w:hAnsiTheme="majorHAnsi" w:cs="Calibri"/>
          <w:color w:val="000000"/>
          <w:sz w:val="21"/>
          <w:szCs w:val="21"/>
          <w:lang w:val="es-PE"/>
        </w:rPr>
        <w:t>Sin embargo</w:t>
      </w:r>
      <w:r w:rsidR="00400C6A">
        <w:rPr>
          <w:rFonts w:asciiTheme="majorHAnsi" w:eastAsia="Calibri" w:hAnsiTheme="majorHAnsi" w:cs="Calibri"/>
          <w:color w:val="000000"/>
          <w:sz w:val="21"/>
          <w:szCs w:val="21"/>
          <w:lang w:val="es-PE"/>
        </w:rPr>
        <w:t xml:space="preserve">, </w:t>
      </w:r>
      <w:r w:rsidR="00A75906">
        <w:rPr>
          <w:rFonts w:asciiTheme="majorHAnsi" w:eastAsia="Calibri" w:hAnsiTheme="majorHAnsi" w:cs="Calibri"/>
          <w:color w:val="000000"/>
          <w:sz w:val="21"/>
          <w:szCs w:val="21"/>
          <w:lang w:val="es-PE"/>
        </w:rPr>
        <w:t xml:space="preserve">la </w:t>
      </w:r>
      <w:r w:rsidR="00400C6A">
        <w:rPr>
          <w:rFonts w:asciiTheme="majorHAnsi" w:eastAsia="Calibri" w:hAnsiTheme="majorHAnsi" w:cs="Calibri"/>
          <w:color w:val="000000"/>
          <w:sz w:val="21"/>
          <w:szCs w:val="21"/>
          <w:lang w:val="es-PE"/>
        </w:rPr>
        <w:t>Comisión</w:t>
      </w:r>
      <w:r w:rsidR="00A75906">
        <w:rPr>
          <w:rFonts w:asciiTheme="majorHAnsi" w:eastAsia="Calibri" w:hAnsiTheme="majorHAnsi" w:cs="Calibri"/>
          <w:color w:val="000000"/>
          <w:sz w:val="21"/>
          <w:szCs w:val="21"/>
          <w:lang w:val="es-PE"/>
        </w:rPr>
        <w:t xml:space="preserve"> identifica que </w:t>
      </w:r>
      <w:r w:rsidR="00400C6A">
        <w:rPr>
          <w:rFonts w:asciiTheme="majorHAnsi" w:eastAsia="Calibri" w:hAnsiTheme="majorHAnsi" w:cs="Calibri"/>
          <w:color w:val="000000"/>
          <w:sz w:val="21"/>
          <w:szCs w:val="21"/>
          <w:lang w:val="es-PE"/>
        </w:rPr>
        <w:t xml:space="preserve">la propuesta beneficiaria no habría recibido atención médica especializada hasta el 4 de enero de 2019 cuando se le habrían presentado “graves dificultades para respirar” y “un fuerte dolor en el pecho”, lo que habría requerido que </w:t>
      </w:r>
      <w:r w:rsidR="00975A78">
        <w:rPr>
          <w:rFonts w:asciiTheme="majorHAnsi" w:eastAsia="Calibri" w:hAnsiTheme="majorHAnsi" w:cs="Calibri"/>
          <w:color w:val="000000"/>
          <w:sz w:val="21"/>
          <w:szCs w:val="21"/>
          <w:lang w:val="es-PE"/>
        </w:rPr>
        <w:t xml:space="preserve">fuera </w:t>
      </w:r>
      <w:r w:rsidR="00400C6A">
        <w:rPr>
          <w:rFonts w:asciiTheme="majorHAnsi" w:eastAsia="Calibri" w:hAnsiTheme="majorHAnsi" w:cs="Calibri"/>
          <w:color w:val="000000"/>
          <w:sz w:val="21"/>
          <w:szCs w:val="21"/>
          <w:lang w:val="es-PE"/>
        </w:rPr>
        <w:t xml:space="preserve">trasladada a un hospital privado para su atención y posterior operación para colocarle un nuevo marcapasos (vid. </w:t>
      </w:r>
      <w:r w:rsidR="00400C6A" w:rsidRPr="00400C6A">
        <w:rPr>
          <w:rFonts w:asciiTheme="majorHAnsi" w:eastAsia="Calibri" w:hAnsiTheme="majorHAnsi" w:cs="Calibri"/>
          <w:i/>
          <w:color w:val="000000"/>
          <w:sz w:val="21"/>
          <w:szCs w:val="21"/>
          <w:lang w:val="es-PE"/>
        </w:rPr>
        <w:t>supra</w:t>
      </w:r>
      <w:r w:rsidR="00400C6A">
        <w:rPr>
          <w:rFonts w:asciiTheme="majorHAnsi" w:eastAsia="Calibri" w:hAnsiTheme="majorHAnsi" w:cs="Calibri"/>
          <w:color w:val="000000"/>
          <w:sz w:val="21"/>
          <w:szCs w:val="21"/>
          <w:lang w:val="es-PE"/>
        </w:rPr>
        <w:t xml:space="preserve"> párr. </w:t>
      </w:r>
      <w:r w:rsidR="00526257">
        <w:rPr>
          <w:rFonts w:asciiTheme="majorHAnsi" w:eastAsia="Calibri" w:hAnsiTheme="majorHAnsi" w:cs="Calibri"/>
          <w:color w:val="000000"/>
          <w:sz w:val="21"/>
          <w:szCs w:val="21"/>
          <w:lang w:val="es-PE"/>
        </w:rPr>
        <w:t>16</w:t>
      </w:r>
      <w:r w:rsidR="00400C6A">
        <w:rPr>
          <w:rFonts w:asciiTheme="majorHAnsi" w:eastAsia="Calibri" w:hAnsiTheme="majorHAnsi" w:cs="Calibri"/>
          <w:color w:val="000000"/>
          <w:sz w:val="21"/>
          <w:szCs w:val="21"/>
          <w:lang w:val="es-PE"/>
        </w:rPr>
        <w:t xml:space="preserve">). </w:t>
      </w:r>
      <w:r w:rsidR="00975A78">
        <w:rPr>
          <w:rFonts w:asciiTheme="majorHAnsi" w:hAnsiTheme="majorHAnsi"/>
          <w:sz w:val="21"/>
          <w:szCs w:val="21"/>
          <w:lang w:val="es-ES_tradnl"/>
        </w:rPr>
        <w:t>S</w:t>
      </w:r>
      <w:r w:rsidR="00400C6A" w:rsidRPr="00660B9D">
        <w:rPr>
          <w:rFonts w:asciiTheme="majorHAnsi" w:hAnsiTheme="majorHAnsi"/>
          <w:sz w:val="21"/>
          <w:szCs w:val="21"/>
          <w:lang w:val="es-ES_tradnl"/>
        </w:rPr>
        <w:t xml:space="preserve">egún </w:t>
      </w:r>
      <w:r w:rsidR="009C7B8D">
        <w:rPr>
          <w:rFonts w:asciiTheme="majorHAnsi" w:hAnsiTheme="majorHAnsi"/>
          <w:sz w:val="21"/>
          <w:szCs w:val="21"/>
          <w:lang w:val="es-ES_tradnl"/>
        </w:rPr>
        <w:t>los solicitantes</w:t>
      </w:r>
      <w:r w:rsidR="00400C6A" w:rsidRPr="00660B9D">
        <w:rPr>
          <w:rFonts w:asciiTheme="majorHAnsi" w:hAnsiTheme="majorHAnsi"/>
          <w:sz w:val="21"/>
          <w:szCs w:val="21"/>
          <w:lang w:val="es-ES_tradnl"/>
        </w:rPr>
        <w:t>,</w:t>
      </w:r>
      <w:r w:rsidR="00660B9D">
        <w:rPr>
          <w:rFonts w:asciiTheme="majorHAnsi" w:hAnsiTheme="majorHAnsi"/>
          <w:sz w:val="21"/>
          <w:szCs w:val="21"/>
          <w:lang w:val="es-ES_tradnl"/>
        </w:rPr>
        <w:t xml:space="preserve"> el centro penitenciario a</w:t>
      </w:r>
      <w:r w:rsidR="00400C6A" w:rsidRPr="00660B9D">
        <w:rPr>
          <w:rFonts w:asciiTheme="majorHAnsi" w:hAnsiTheme="majorHAnsi"/>
          <w:sz w:val="21"/>
          <w:szCs w:val="21"/>
          <w:lang w:val="es-ES_tradnl"/>
        </w:rPr>
        <w:t>l</w:t>
      </w:r>
      <w:r w:rsidR="00660B9D">
        <w:rPr>
          <w:rFonts w:asciiTheme="majorHAnsi" w:hAnsiTheme="majorHAnsi"/>
          <w:sz w:val="21"/>
          <w:szCs w:val="21"/>
          <w:lang w:val="es-ES_tradnl"/>
        </w:rPr>
        <w:t xml:space="preserve"> </w:t>
      </w:r>
      <w:r w:rsidR="00400C6A" w:rsidRPr="00660B9D">
        <w:rPr>
          <w:rFonts w:asciiTheme="majorHAnsi" w:hAnsiTheme="majorHAnsi"/>
          <w:sz w:val="21"/>
          <w:szCs w:val="21"/>
          <w:lang w:val="es-ES_tradnl"/>
        </w:rPr>
        <w:t xml:space="preserve">que regresaría la propuesta beneficiaria no sería </w:t>
      </w:r>
      <w:r w:rsidR="00660B9D">
        <w:rPr>
          <w:rFonts w:asciiTheme="majorHAnsi" w:hAnsiTheme="majorHAnsi"/>
          <w:sz w:val="21"/>
          <w:szCs w:val="21"/>
          <w:lang w:val="es-ES_tradnl"/>
        </w:rPr>
        <w:t>el</w:t>
      </w:r>
      <w:r w:rsidR="00400C6A" w:rsidRPr="00660B9D">
        <w:rPr>
          <w:rFonts w:asciiTheme="majorHAnsi" w:hAnsiTheme="majorHAnsi"/>
          <w:sz w:val="21"/>
          <w:szCs w:val="21"/>
          <w:lang w:val="es-ES_tradnl"/>
        </w:rPr>
        <w:t xml:space="preserve"> adecuad</w:t>
      </w:r>
      <w:r w:rsidR="00660B9D">
        <w:rPr>
          <w:rFonts w:asciiTheme="majorHAnsi" w:hAnsiTheme="majorHAnsi"/>
          <w:sz w:val="21"/>
          <w:szCs w:val="21"/>
          <w:lang w:val="es-ES_tradnl"/>
        </w:rPr>
        <w:t>o</w:t>
      </w:r>
      <w:r w:rsidR="00400C6A" w:rsidRPr="00660B9D">
        <w:rPr>
          <w:rFonts w:asciiTheme="majorHAnsi" w:hAnsiTheme="majorHAnsi"/>
          <w:sz w:val="21"/>
          <w:szCs w:val="21"/>
          <w:lang w:val="es-ES_tradnl"/>
        </w:rPr>
        <w:t xml:space="preserve"> considerando su condición </w:t>
      </w:r>
      <w:r w:rsidR="00660B9D" w:rsidRPr="00660B9D">
        <w:rPr>
          <w:rFonts w:asciiTheme="majorHAnsi" w:hAnsiTheme="majorHAnsi"/>
          <w:sz w:val="21"/>
          <w:szCs w:val="21"/>
          <w:lang w:val="es-ES_tradnl"/>
        </w:rPr>
        <w:t>médica</w:t>
      </w:r>
      <w:r w:rsidR="00400C6A" w:rsidRPr="00660B9D">
        <w:rPr>
          <w:rFonts w:asciiTheme="majorHAnsi" w:hAnsiTheme="majorHAnsi"/>
          <w:sz w:val="21"/>
          <w:szCs w:val="21"/>
          <w:lang w:val="es-ES_tradnl"/>
        </w:rPr>
        <w:t xml:space="preserve"> </w:t>
      </w:r>
      <w:r w:rsidR="00660B9D">
        <w:rPr>
          <w:rFonts w:asciiTheme="majorHAnsi" w:hAnsiTheme="majorHAnsi"/>
          <w:sz w:val="21"/>
          <w:szCs w:val="21"/>
          <w:lang w:val="es-ES_tradnl"/>
        </w:rPr>
        <w:t>actual,</w:t>
      </w:r>
      <w:r w:rsidR="0059214B">
        <w:rPr>
          <w:rFonts w:asciiTheme="majorHAnsi" w:hAnsiTheme="majorHAnsi"/>
          <w:sz w:val="21"/>
          <w:szCs w:val="21"/>
          <w:lang w:val="es-ES_tradnl"/>
        </w:rPr>
        <w:t xml:space="preserve"> </w:t>
      </w:r>
      <w:r w:rsidR="00660B9D">
        <w:rPr>
          <w:rFonts w:asciiTheme="majorHAnsi" w:hAnsiTheme="majorHAnsi"/>
          <w:sz w:val="21"/>
          <w:szCs w:val="21"/>
          <w:lang w:val="es-ES_tradnl"/>
        </w:rPr>
        <w:t xml:space="preserve">encontrándose delicada, con fiebres </w:t>
      </w:r>
      <w:r w:rsidR="009C7B8D">
        <w:rPr>
          <w:rFonts w:asciiTheme="majorHAnsi" w:hAnsiTheme="majorHAnsi"/>
          <w:sz w:val="21"/>
          <w:szCs w:val="21"/>
          <w:lang w:val="es-ES_tradnl"/>
        </w:rPr>
        <w:t xml:space="preserve">y con una crisis </w:t>
      </w:r>
      <w:r w:rsidR="009C7B8D">
        <w:rPr>
          <w:rFonts w:asciiTheme="majorHAnsi" w:hAnsiTheme="majorHAnsi"/>
          <w:sz w:val="21"/>
          <w:szCs w:val="21"/>
          <w:lang w:val="es-ES_tradnl"/>
        </w:rPr>
        <w:lastRenderedPageBreak/>
        <w:t xml:space="preserve">de bradicardia tras una cirugía </w:t>
      </w:r>
      <w:r w:rsidR="00400C6A" w:rsidRPr="00660B9D">
        <w:rPr>
          <w:rFonts w:asciiTheme="majorHAnsi" w:hAnsiTheme="majorHAnsi"/>
          <w:sz w:val="21"/>
          <w:szCs w:val="21"/>
          <w:lang w:val="es-ES_tradnl"/>
        </w:rPr>
        <w:t xml:space="preserve">(vid. </w:t>
      </w:r>
      <w:r w:rsidR="00400C6A" w:rsidRPr="00660B9D">
        <w:rPr>
          <w:rFonts w:asciiTheme="majorHAnsi" w:hAnsiTheme="majorHAnsi"/>
          <w:i/>
          <w:sz w:val="21"/>
          <w:szCs w:val="21"/>
          <w:lang w:val="es-ES_tradnl"/>
        </w:rPr>
        <w:t>supra</w:t>
      </w:r>
      <w:r w:rsidR="00400C6A" w:rsidRPr="00660B9D">
        <w:rPr>
          <w:rFonts w:asciiTheme="majorHAnsi" w:hAnsiTheme="majorHAnsi"/>
          <w:sz w:val="21"/>
          <w:szCs w:val="21"/>
          <w:lang w:val="es-ES_tradnl"/>
        </w:rPr>
        <w:t xml:space="preserve"> párr. </w:t>
      </w:r>
      <w:r w:rsidR="00526257">
        <w:rPr>
          <w:rFonts w:asciiTheme="majorHAnsi" w:hAnsiTheme="majorHAnsi"/>
          <w:sz w:val="21"/>
          <w:szCs w:val="21"/>
          <w:lang w:val="es-ES_tradnl"/>
        </w:rPr>
        <w:t>18</w:t>
      </w:r>
      <w:r w:rsidR="00400C6A" w:rsidRPr="00660B9D">
        <w:rPr>
          <w:rFonts w:asciiTheme="majorHAnsi" w:hAnsiTheme="majorHAnsi"/>
          <w:sz w:val="21"/>
          <w:szCs w:val="21"/>
          <w:lang w:val="es-ES_tradnl"/>
        </w:rPr>
        <w:t>)</w:t>
      </w:r>
      <w:r w:rsidR="0059214B">
        <w:rPr>
          <w:rFonts w:asciiTheme="majorHAnsi" w:hAnsiTheme="majorHAnsi"/>
          <w:sz w:val="21"/>
          <w:szCs w:val="21"/>
          <w:lang w:val="es-ES_tradnl"/>
        </w:rPr>
        <w:t>.</w:t>
      </w:r>
    </w:p>
    <w:p w:rsidR="00660B9D" w:rsidRPr="00400C6A" w:rsidRDefault="00660B9D" w:rsidP="00245A1E">
      <w:pPr>
        <w:pStyle w:val="ListParagraph"/>
        <w:widowControl w:val="0"/>
        <w:spacing w:after="0" w:line="240" w:lineRule="auto"/>
        <w:rPr>
          <w:rFonts w:asciiTheme="majorHAnsi" w:hAnsiTheme="majorHAnsi"/>
          <w:sz w:val="21"/>
          <w:szCs w:val="21"/>
          <w:lang w:val="es-ES_tradnl"/>
        </w:rPr>
      </w:pPr>
    </w:p>
    <w:p w:rsidR="00660B9D" w:rsidRDefault="009C7B8D" w:rsidP="00245A1E">
      <w:pPr>
        <w:pStyle w:val="ListParagraph"/>
        <w:widowControl w:val="0"/>
        <w:numPr>
          <w:ilvl w:val="0"/>
          <w:numId w:val="4"/>
        </w:numPr>
        <w:spacing w:after="0" w:line="240" w:lineRule="auto"/>
        <w:ind w:left="0" w:firstLine="360"/>
        <w:jc w:val="both"/>
        <w:rPr>
          <w:rFonts w:asciiTheme="majorHAnsi" w:hAnsiTheme="majorHAnsi"/>
          <w:sz w:val="21"/>
          <w:szCs w:val="21"/>
          <w:lang w:val="es-ES_tradnl"/>
        </w:rPr>
      </w:pPr>
      <w:r>
        <w:rPr>
          <w:rFonts w:asciiTheme="majorHAnsi" w:hAnsiTheme="majorHAnsi"/>
          <w:sz w:val="21"/>
          <w:szCs w:val="21"/>
          <w:lang w:val="es-ES_tradnl"/>
        </w:rPr>
        <w:t xml:space="preserve">La </w:t>
      </w:r>
      <w:r w:rsidR="00831EA3">
        <w:rPr>
          <w:rFonts w:asciiTheme="majorHAnsi" w:hAnsiTheme="majorHAnsi"/>
          <w:sz w:val="21"/>
          <w:szCs w:val="21"/>
          <w:lang w:val="es-ES_tradnl"/>
        </w:rPr>
        <w:t>Comisión</w:t>
      </w:r>
      <w:r>
        <w:rPr>
          <w:rFonts w:asciiTheme="majorHAnsi" w:hAnsiTheme="majorHAnsi"/>
          <w:sz w:val="21"/>
          <w:szCs w:val="21"/>
          <w:lang w:val="es-ES_tradnl"/>
        </w:rPr>
        <w:t xml:space="preserve"> advierte </w:t>
      </w:r>
      <w:r w:rsidR="00831EA3">
        <w:rPr>
          <w:rFonts w:asciiTheme="majorHAnsi" w:hAnsiTheme="majorHAnsi"/>
          <w:sz w:val="21"/>
          <w:szCs w:val="21"/>
          <w:lang w:val="es-ES_tradnl"/>
        </w:rPr>
        <w:t xml:space="preserve">que diversos agentes del Estado </w:t>
      </w:r>
      <w:r w:rsidR="00975A78">
        <w:rPr>
          <w:rFonts w:asciiTheme="majorHAnsi" w:hAnsiTheme="majorHAnsi"/>
          <w:sz w:val="21"/>
          <w:szCs w:val="21"/>
          <w:lang w:val="es-ES_tradnl"/>
        </w:rPr>
        <w:t xml:space="preserve">habrían tenido </w:t>
      </w:r>
      <w:r w:rsidR="00831EA3">
        <w:rPr>
          <w:rFonts w:asciiTheme="majorHAnsi" w:hAnsiTheme="majorHAnsi"/>
          <w:sz w:val="21"/>
          <w:szCs w:val="21"/>
          <w:lang w:val="es-ES_tradnl"/>
        </w:rPr>
        <w:t xml:space="preserve">conocimiento de la situación de salud de la propuesta beneficiaria tras su detención (vid. </w:t>
      </w:r>
      <w:r w:rsidR="00831EA3" w:rsidRPr="00831EA3">
        <w:rPr>
          <w:rFonts w:asciiTheme="majorHAnsi" w:hAnsiTheme="majorHAnsi"/>
          <w:i/>
          <w:sz w:val="21"/>
          <w:szCs w:val="21"/>
          <w:lang w:val="es-ES_tradnl"/>
        </w:rPr>
        <w:t>supra</w:t>
      </w:r>
      <w:r w:rsidR="00831EA3">
        <w:rPr>
          <w:rFonts w:asciiTheme="majorHAnsi" w:hAnsiTheme="majorHAnsi"/>
          <w:sz w:val="21"/>
          <w:szCs w:val="21"/>
          <w:lang w:val="es-ES_tradnl"/>
        </w:rPr>
        <w:t xml:space="preserve"> párr. </w:t>
      </w:r>
      <w:r w:rsidR="00526257">
        <w:rPr>
          <w:rFonts w:asciiTheme="majorHAnsi" w:hAnsiTheme="majorHAnsi"/>
          <w:sz w:val="21"/>
          <w:szCs w:val="21"/>
          <w:lang w:val="es-ES_tradnl"/>
        </w:rPr>
        <w:t>13-17</w:t>
      </w:r>
      <w:r w:rsidR="00831EA3">
        <w:rPr>
          <w:rFonts w:asciiTheme="majorHAnsi" w:hAnsiTheme="majorHAnsi"/>
          <w:sz w:val="21"/>
          <w:szCs w:val="21"/>
          <w:lang w:val="es-ES_tradnl"/>
        </w:rPr>
        <w:t>),</w:t>
      </w:r>
      <w:r w:rsidR="0059214B">
        <w:rPr>
          <w:rFonts w:asciiTheme="majorHAnsi" w:hAnsiTheme="majorHAnsi"/>
          <w:sz w:val="21"/>
          <w:szCs w:val="21"/>
          <w:lang w:val="es-ES_tradnl"/>
        </w:rPr>
        <w:t xml:space="preserve"> </w:t>
      </w:r>
      <w:r w:rsidR="00975A78">
        <w:rPr>
          <w:rFonts w:asciiTheme="majorHAnsi" w:hAnsiTheme="majorHAnsi"/>
          <w:sz w:val="21"/>
          <w:szCs w:val="21"/>
          <w:lang w:val="es-ES_tradnl"/>
        </w:rPr>
        <w:t xml:space="preserve">presuntamente </w:t>
      </w:r>
      <w:r w:rsidR="00831EA3">
        <w:rPr>
          <w:rFonts w:asciiTheme="majorHAnsi" w:hAnsiTheme="majorHAnsi"/>
          <w:sz w:val="21"/>
          <w:szCs w:val="21"/>
          <w:lang w:val="es-ES_tradnl"/>
        </w:rPr>
        <w:t xml:space="preserve">sin adoptarse acciones concretas </w:t>
      </w:r>
      <w:r w:rsidR="00171E06">
        <w:rPr>
          <w:rFonts w:asciiTheme="majorHAnsi" w:hAnsiTheme="majorHAnsi"/>
          <w:sz w:val="21"/>
          <w:szCs w:val="21"/>
          <w:lang w:val="es-ES_tradnl"/>
        </w:rPr>
        <w:t xml:space="preserve">preventivas </w:t>
      </w:r>
      <w:r w:rsidR="00831EA3">
        <w:rPr>
          <w:rFonts w:asciiTheme="majorHAnsi" w:hAnsiTheme="majorHAnsi"/>
          <w:sz w:val="21"/>
          <w:szCs w:val="21"/>
          <w:lang w:val="es-ES_tradnl"/>
        </w:rPr>
        <w:t>al respecto</w:t>
      </w:r>
      <w:r w:rsidR="00171E06">
        <w:rPr>
          <w:rFonts w:asciiTheme="majorHAnsi" w:hAnsiTheme="majorHAnsi"/>
          <w:sz w:val="21"/>
          <w:szCs w:val="21"/>
          <w:lang w:val="es-ES_tradnl"/>
        </w:rPr>
        <w:t>, anteriores a su hospitalización</w:t>
      </w:r>
      <w:r w:rsidR="00831EA3">
        <w:rPr>
          <w:rFonts w:asciiTheme="majorHAnsi" w:hAnsiTheme="majorHAnsi"/>
          <w:sz w:val="21"/>
          <w:szCs w:val="21"/>
          <w:lang w:val="es-ES_tradnl"/>
        </w:rPr>
        <w:t>.</w:t>
      </w:r>
      <w:r w:rsidR="0059214B">
        <w:rPr>
          <w:rFonts w:asciiTheme="majorHAnsi" w:hAnsiTheme="majorHAnsi"/>
          <w:sz w:val="21"/>
          <w:szCs w:val="21"/>
          <w:lang w:val="es-ES_tradnl"/>
        </w:rPr>
        <w:t xml:space="preserve"> </w:t>
      </w:r>
      <w:r w:rsidR="00831EA3">
        <w:rPr>
          <w:rFonts w:asciiTheme="majorHAnsi" w:hAnsiTheme="majorHAnsi"/>
          <w:sz w:val="21"/>
          <w:szCs w:val="21"/>
          <w:lang w:val="es-ES_tradnl"/>
        </w:rPr>
        <w:t>Si bien no le corresponde a la Comisión determinar la responsabilidad de tales agentes, si toma en cuenta la seriedad de la información alegada en tanto la propuesta beneficiaria se encontraba bajo custodia del Estado</w:t>
      </w:r>
      <w:r w:rsidR="0059214B">
        <w:rPr>
          <w:rFonts w:asciiTheme="majorHAnsi" w:hAnsiTheme="majorHAnsi"/>
          <w:sz w:val="21"/>
          <w:szCs w:val="21"/>
          <w:lang w:val="es-ES_tradnl"/>
        </w:rPr>
        <w:t xml:space="preserve"> y habrían tenido conocimiento de su situación de salud. </w:t>
      </w:r>
      <w:r w:rsidR="00831EA3">
        <w:rPr>
          <w:rFonts w:asciiTheme="majorHAnsi" w:hAnsiTheme="majorHAnsi"/>
          <w:sz w:val="21"/>
          <w:szCs w:val="21"/>
          <w:lang w:val="es-ES_tradnl"/>
        </w:rPr>
        <w:t xml:space="preserve"> </w:t>
      </w:r>
      <w:r w:rsidR="001907C8">
        <w:rPr>
          <w:rFonts w:asciiTheme="majorHAnsi" w:hAnsiTheme="majorHAnsi"/>
          <w:sz w:val="21"/>
          <w:szCs w:val="21"/>
          <w:lang w:val="es-ES_tradnl"/>
        </w:rPr>
        <w:t xml:space="preserve">En relación con este punto, la Comisión observa que ha recibido anteriormente información sobre situaciones de riesgo ocurridas </w:t>
      </w:r>
      <w:r w:rsidR="00B13F00">
        <w:rPr>
          <w:rFonts w:asciiTheme="majorHAnsi" w:hAnsiTheme="majorHAnsi"/>
          <w:sz w:val="21"/>
          <w:szCs w:val="21"/>
          <w:lang w:val="es-ES_tradnl"/>
        </w:rPr>
        <w:t xml:space="preserve">para mujeres </w:t>
      </w:r>
      <w:r w:rsidR="001907C8">
        <w:rPr>
          <w:rFonts w:asciiTheme="majorHAnsi" w:hAnsiTheme="majorHAnsi"/>
          <w:sz w:val="21"/>
          <w:szCs w:val="21"/>
          <w:lang w:val="es-ES_tradnl"/>
        </w:rPr>
        <w:t xml:space="preserve">en </w:t>
      </w:r>
      <w:r w:rsidR="00B13F00">
        <w:rPr>
          <w:rFonts w:asciiTheme="majorHAnsi" w:hAnsiTheme="majorHAnsi"/>
          <w:sz w:val="21"/>
          <w:szCs w:val="21"/>
          <w:lang w:val="es-ES_tradnl"/>
        </w:rPr>
        <w:t>el contexto de la privación de la libertad</w:t>
      </w:r>
      <w:r w:rsidR="001907C8">
        <w:rPr>
          <w:rFonts w:asciiTheme="majorHAnsi" w:hAnsiTheme="majorHAnsi"/>
          <w:sz w:val="21"/>
          <w:szCs w:val="21"/>
          <w:lang w:val="es-ES_tradnl"/>
        </w:rPr>
        <w:t>, considerando procedente la adopción de medidas cautelares teniendo en cuenta las presuntas agresiones y hostigamientos recibidos por parte de agentes del Estado</w:t>
      </w:r>
      <w:r w:rsidR="004549F2">
        <w:rPr>
          <w:rFonts w:asciiTheme="majorHAnsi" w:hAnsiTheme="majorHAnsi"/>
          <w:sz w:val="21"/>
          <w:szCs w:val="21"/>
          <w:lang w:val="es-ES_tradnl"/>
        </w:rPr>
        <w:t xml:space="preserve"> </w:t>
      </w:r>
      <w:r w:rsidR="001907C8">
        <w:rPr>
          <w:rFonts w:asciiTheme="majorHAnsi" w:hAnsiTheme="majorHAnsi"/>
          <w:sz w:val="21"/>
          <w:szCs w:val="21"/>
          <w:lang w:val="es-ES_tradnl"/>
        </w:rPr>
        <w:t xml:space="preserve"> </w:t>
      </w:r>
      <w:r w:rsidR="004549F2">
        <w:rPr>
          <w:rFonts w:asciiTheme="majorHAnsi" w:hAnsiTheme="majorHAnsi"/>
          <w:sz w:val="21"/>
          <w:szCs w:val="21"/>
          <w:lang w:val="es-ES_tradnl"/>
        </w:rPr>
        <w:t xml:space="preserve">con </w:t>
      </w:r>
      <w:r w:rsidR="001907C8">
        <w:rPr>
          <w:rFonts w:asciiTheme="majorHAnsi" w:hAnsiTheme="majorHAnsi"/>
          <w:sz w:val="21"/>
          <w:szCs w:val="21"/>
          <w:lang w:val="es-ES_tradnl"/>
        </w:rPr>
        <w:t>un riesgo de carácter diferenciado al tratarse de mujeres que tendrían una mayor exposición a ser víctimas de violencia en el contexto de la privación de la libertad</w:t>
      </w:r>
      <w:r w:rsidR="001907C8">
        <w:rPr>
          <w:rStyle w:val="FootnoteReference"/>
          <w:rFonts w:asciiTheme="majorHAnsi" w:hAnsiTheme="majorHAnsi"/>
          <w:sz w:val="21"/>
          <w:szCs w:val="21"/>
          <w:lang w:val="es-ES_tradnl"/>
        </w:rPr>
        <w:footnoteReference w:id="26"/>
      </w:r>
      <w:r w:rsidR="001907C8">
        <w:rPr>
          <w:rFonts w:asciiTheme="majorHAnsi" w:hAnsiTheme="majorHAnsi"/>
          <w:sz w:val="21"/>
          <w:szCs w:val="21"/>
          <w:lang w:val="es-ES_tradnl"/>
        </w:rPr>
        <w:t>.</w:t>
      </w:r>
    </w:p>
    <w:p w:rsidR="00975A78" w:rsidRPr="0001239D" w:rsidRDefault="00975A78" w:rsidP="00245A1E">
      <w:pPr>
        <w:pStyle w:val="ListParagraph"/>
        <w:spacing w:line="240" w:lineRule="auto"/>
        <w:rPr>
          <w:rFonts w:asciiTheme="majorHAnsi" w:hAnsiTheme="majorHAnsi"/>
          <w:sz w:val="21"/>
          <w:szCs w:val="21"/>
          <w:lang w:val="es-ES_tradnl"/>
        </w:rPr>
      </w:pPr>
    </w:p>
    <w:p w:rsidR="00D0128E" w:rsidRPr="008C3B55"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ES_tradnl"/>
        </w:rPr>
      </w:pPr>
      <w:r w:rsidRPr="008C3B55">
        <w:rPr>
          <w:rFonts w:asciiTheme="majorHAnsi" w:hAnsiTheme="majorHAnsi"/>
          <w:sz w:val="21"/>
          <w:szCs w:val="21"/>
          <w:lang w:val="es-ES_tradnl"/>
        </w:rPr>
        <w:t>En vista de lo indicado, teniendo en cuenta que la información presentada</w:t>
      </w:r>
      <w:r w:rsidR="00B13F00">
        <w:rPr>
          <w:rFonts w:asciiTheme="majorHAnsi" w:hAnsiTheme="majorHAnsi"/>
          <w:sz w:val="21"/>
          <w:szCs w:val="21"/>
          <w:lang w:val="es-ES_tradnl"/>
        </w:rPr>
        <w:t xml:space="preserve"> a la luz del contexto indicado,</w:t>
      </w:r>
      <w:r w:rsidR="0059214B">
        <w:rPr>
          <w:rFonts w:asciiTheme="majorHAnsi" w:hAnsiTheme="majorHAnsi"/>
          <w:sz w:val="21"/>
          <w:szCs w:val="21"/>
          <w:lang w:val="es-ES_tradnl"/>
        </w:rPr>
        <w:t xml:space="preserve"> </w:t>
      </w:r>
      <w:r w:rsidRPr="008C3B55">
        <w:rPr>
          <w:rFonts w:asciiTheme="majorHAnsi" w:hAnsiTheme="majorHAnsi"/>
          <w:sz w:val="21"/>
          <w:szCs w:val="21"/>
          <w:lang w:val="es-ES_tradnl"/>
        </w:rPr>
        <w:t xml:space="preserve">la Comisión observa que bajo el estándar </w:t>
      </w:r>
      <w:r w:rsidRPr="008C3B55">
        <w:rPr>
          <w:rFonts w:asciiTheme="majorHAnsi" w:hAnsiTheme="majorHAnsi"/>
          <w:i/>
          <w:sz w:val="21"/>
          <w:szCs w:val="21"/>
          <w:lang w:val="es-ES_tradnl"/>
        </w:rPr>
        <w:t>prima facie</w:t>
      </w:r>
      <w:r w:rsidRPr="008C3B55">
        <w:rPr>
          <w:rFonts w:asciiTheme="majorHAnsi" w:hAnsiTheme="majorHAnsi"/>
          <w:sz w:val="21"/>
          <w:szCs w:val="21"/>
          <w:lang w:val="es-ES_tradnl"/>
        </w:rPr>
        <w:t xml:space="preserve"> aplicable, la información disponible sugiere que la </w:t>
      </w:r>
      <w:r w:rsidR="000212DF">
        <w:rPr>
          <w:rFonts w:asciiTheme="majorHAnsi" w:hAnsiTheme="majorHAnsi"/>
          <w:sz w:val="21"/>
          <w:szCs w:val="21"/>
          <w:lang w:val="es-ES_tradnl"/>
        </w:rPr>
        <w:t xml:space="preserve">salud, </w:t>
      </w:r>
      <w:r w:rsidRPr="008C3B55">
        <w:rPr>
          <w:rFonts w:asciiTheme="majorHAnsi" w:hAnsiTheme="majorHAnsi"/>
          <w:sz w:val="21"/>
          <w:szCs w:val="21"/>
          <w:lang w:val="es-ES_tradnl"/>
        </w:rPr>
        <w:t xml:space="preserve">vida e integridad de la propuesta beneficiaria se encuentra en una situación de grave riesgo. </w:t>
      </w:r>
      <w:r w:rsidR="00975A78">
        <w:rPr>
          <w:rFonts w:asciiTheme="majorHAnsi" w:hAnsiTheme="majorHAnsi"/>
          <w:sz w:val="21"/>
          <w:szCs w:val="21"/>
          <w:lang w:val="es-ES_tradnl"/>
        </w:rPr>
        <w:t xml:space="preserve"> </w:t>
      </w:r>
    </w:p>
    <w:p w:rsidR="0004578B" w:rsidRDefault="0004578B" w:rsidP="00245A1E">
      <w:pPr>
        <w:widowControl w:val="0"/>
        <w:spacing w:after="0" w:line="240" w:lineRule="auto"/>
        <w:jc w:val="both"/>
        <w:rPr>
          <w:rFonts w:asciiTheme="majorHAnsi" w:hAnsiTheme="majorHAnsi"/>
          <w:sz w:val="21"/>
          <w:szCs w:val="21"/>
          <w:lang w:val="es-ES_tradnl"/>
        </w:rPr>
      </w:pPr>
    </w:p>
    <w:p w:rsidR="0004578B" w:rsidRPr="008C3B55"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ES_tradnl"/>
        </w:rPr>
      </w:pPr>
      <w:r w:rsidRPr="008C3B55">
        <w:rPr>
          <w:rFonts w:asciiTheme="majorHAnsi" w:hAnsiTheme="majorHAnsi"/>
          <w:sz w:val="21"/>
          <w:szCs w:val="21"/>
          <w:lang w:val="es-ES_tradnl"/>
        </w:rPr>
        <w:t>En lo que se refiere al requisito de urgencia, la Comisión considera que igualmente se encuentra cumplido, ya que los hechos descritos sugieren que la situación de riesgo es susceptible de continuar y exacerbarse con el tiempo</w:t>
      </w:r>
      <w:r w:rsidR="0059214B">
        <w:rPr>
          <w:rFonts w:asciiTheme="majorHAnsi" w:hAnsiTheme="majorHAnsi"/>
          <w:sz w:val="21"/>
          <w:szCs w:val="21"/>
          <w:lang w:val="es-ES_tradnl"/>
        </w:rPr>
        <w:t xml:space="preserve"> de no adoptarse medidas concretas para atender la situación de salud de la propuesta beneficiaria</w:t>
      </w:r>
      <w:r w:rsidRPr="008C3B55">
        <w:rPr>
          <w:rFonts w:asciiTheme="majorHAnsi" w:hAnsiTheme="majorHAnsi"/>
          <w:sz w:val="21"/>
          <w:szCs w:val="21"/>
          <w:lang w:val="es-ES_tradnl"/>
        </w:rPr>
        <w:t xml:space="preserve">, de tal forma que ante la inminencia de materialización del riesgo resulta necesario de manera inmediata adoptar medidas para salvaguardar sus derechos a la salud, vida e integridad personal. </w:t>
      </w:r>
    </w:p>
    <w:p w:rsidR="0004578B" w:rsidRDefault="0004578B" w:rsidP="00245A1E">
      <w:pPr>
        <w:widowControl w:val="0"/>
        <w:spacing w:after="0" w:line="240" w:lineRule="auto"/>
        <w:jc w:val="both"/>
        <w:rPr>
          <w:rFonts w:asciiTheme="majorHAnsi" w:hAnsiTheme="majorHAnsi"/>
          <w:sz w:val="21"/>
          <w:szCs w:val="21"/>
          <w:lang w:val="es-ES_tradnl"/>
        </w:rPr>
      </w:pPr>
    </w:p>
    <w:p w:rsidR="0004578B" w:rsidRPr="008C3B55"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ES_tradnl"/>
        </w:rPr>
      </w:pPr>
      <w:r w:rsidRPr="008C3B55">
        <w:rPr>
          <w:rFonts w:asciiTheme="majorHAnsi" w:hAnsiTheme="majorHAnsi"/>
          <w:sz w:val="21"/>
          <w:szCs w:val="21"/>
          <w:lang w:val="es-ES_tradnl"/>
        </w:rPr>
        <w:t xml:space="preserve">En lo que se refiere al requisito de </w:t>
      </w:r>
      <w:proofErr w:type="spellStart"/>
      <w:r w:rsidRPr="008C3B55">
        <w:rPr>
          <w:rFonts w:asciiTheme="majorHAnsi" w:hAnsiTheme="majorHAnsi"/>
          <w:sz w:val="21"/>
          <w:szCs w:val="21"/>
          <w:lang w:val="es-ES_tradnl"/>
        </w:rPr>
        <w:t>irreparabilidad</w:t>
      </w:r>
      <w:proofErr w:type="spellEnd"/>
      <w:r w:rsidRPr="008C3B55">
        <w:rPr>
          <w:rFonts w:asciiTheme="majorHAnsi" w:hAnsiTheme="majorHAnsi"/>
          <w:sz w:val="21"/>
          <w:szCs w:val="21"/>
          <w:lang w:val="es-ES_tradnl"/>
        </w:rPr>
        <w:t xml:space="preserve">, la Comisión considera que se encuentra cumplido, ya que la posible afectación de los derechos </w:t>
      </w:r>
      <w:r w:rsidR="008C3B55" w:rsidRPr="008C3B55">
        <w:rPr>
          <w:rFonts w:asciiTheme="majorHAnsi" w:hAnsiTheme="majorHAnsi"/>
          <w:sz w:val="21"/>
          <w:szCs w:val="21"/>
          <w:lang w:val="es-ES_tradnl"/>
        </w:rPr>
        <w:t xml:space="preserve">a la </w:t>
      </w:r>
      <w:r w:rsidR="000870D6">
        <w:rPr>
          <w:rFonts w:asciiTheme="majorHAnsi" w:hAnsiTheme="majorHAnsi"/>
          <w:sz w:val="21"/>
          <w:szCs w:val="21"/>
          <w:lang w:val="es-ES_tradnl"/>
        </w:rPr>
        <w:t xml:space="preserve">salud, </w:t>
      </w:r>
      <w:r w:rsidR="008C3B55" w:rsidRPr="008C3B55">
        <w:rPr>
          <w:rFonts w:asciiTheme="majorHAnsi" w:hAnsiTheme="majorHAnsi"/>
          <w:sz w:val="21"/>
          <w:szCs w:val="21"/>
          <w:lang w:val="es-ES_tradnl"/>
        </w:rPr>
        <w:t>vida e integridad personal</w:t>
      </w:r>
      <w:r w:rsidR="00270017">
        <w:rPr>
          <w:rFonts w:asciiTheme="majorHAnsi" w:hAnsiTheme="majorHAnsi"/>
          <w:sz w:val="21"/>
          <w:szCs w:val="21"/>
          <w:lang w:val="es-ES_tradnl"/>
        </w:rPr>
        <w:t xml:space="preserve"> </w:t>
      </w:r>
      <w:r w:rsidRPr="008C3B55">
        <w:rPr>
          <w:rFonts w:asciiTheme="majorHAnsi" w:hAnsiTheme="majorHAnsi"/>
          <w:sz w:val="21"/>
          <w:szCs w:val="21"/>
          <w:lang w:val="es-ES_tradnl"/>
        </w:rPr>
        <w:t xml:space="preserve">constituye una máxima situación de </w:t>
      </w:r>
      <w:proofErr w:type="spellStart"/>
      <w:r w:rsidRPr="008C3B55">
        <w:rPr>
          <w:rFonts w:asciiTheme="majorHAnsi" w:hAnsiTheme="majorHAnsi"/>
          <w:sz w:val="21"/>
          <w:szCs w:val="21"/>
          <w:lang w:val="es-ES_tradnl"/>
        </w:rPr>
        <w:t>irreparabilidad</w:t>
      </w:r>
      <w:proofErr w:type="spellEnd"/>
      <w:r w:rsidRPr="008C3B55">
        <w:rPr>
          <w:rFonts w:asciiTheme="majorHAnsi" w:hAnsiTheme="majorHAnsi"/>
          <w:sz w:val="21"/>
          <w:szCs w:val="21"/>
          <w:lang w:val="es-ES_tradnl"/>
        </w:rPr>
        <w:t xml:space="preserve">. </w:t>
      </w:r>
    </w:p>
    <w:p w:rsidR="0004578B" w:rsidRDefault="0004578B" w:rsidP="00245A1E">
      <w:pPr>
        <w:widowControl w:val="0"/>
        <w:spacing w:after="0" w:line="240" w:lineRule="auto"/>
        <w:jc w:val="both"/>
        <w:rPr>
          <w:rFonts w:asciiTheme="majorHAnsi" w:hAnsiTheme="majorHAnsi"/>
          <w:sz w:val="21"/>
          <w:szCs w:val="21"/>
          <w:lang w:val="es-ES_tradnl"/>
        </w:rPr>
      </w:pPr>
    </w:p>
    <w:p w:rsidR="0004578B" w:rsidRPr="008C3B55"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ES_tradnl"/>
        </w:rPr>
      </w:pPr>
      <w:r w:rsidRPr="008C3B55">
        <w:rPr>
          <w:rFonts w:asciiTheme="majorHAnsi" w:hAnsiTheme="majorHAnsi"/>
          <w:sz w:val="21"/>
          <w:szCs w:val="21"/>
          <w:lang w:val="es-ES_tradnl"/>
        </w:rPr>
        <w:t>Finalmente, la Comisión desea recordar que de acuerdo con el artículo 25.5 de su Reglamento</w:t>
      </w:r>
      <w:r w:rsidR="008C3B55" w:rsidRPr="008C3B55">
        <w:rPr>
          <w:rFonts w:asciiTheme="majorHAnsi" w:hAnsiTheme="majorHAnsi"/>
          <w:sz w:val="21"/>
          <w:szCs w:val="21"/>
          <w:lang w:val="es-ES_tradnl"/>
        </w:rPr>
        <w:t xml:space="preserve"> </w:t>
      </w:r>
      <w:r w:rsidRPr="008C3B55">
        <w:rPr>
          <w:rFonts w:asciiTheme="majorHAnsi" w:hAnsiTheme="majorHAnsi"/>
          <w:sz w:val="21"/>
          <w:szCs w:val="21"/>
          <w:lang w:val="es-ES_tradnl"/>
        </w:rPr>
        <w:t>“antes de tomar una decisión sobre la solicitud de medidas cautelares, la Comisión requerirá al Estado</w:t>
      </w:r>
      <w:r w:rsidR="008C3B55" w:rsidRPr="008C3B55">
        <w:rPr>
          <w:rFonts w:asciiTheme="majorHAnsi" w:hAnsiTheme="majorHAnsi"/>
          <w:sz w:val="21"/>
          <w:szCs w:val="21"/>
          <w:lang w:val="es-ES_tradnl"/>
        </w:rPr>
        <w:t xml:space="preserve"> </w:t>
      </w:r>
      <w:r w:rsidRPr="008C3B55">
        <w:rPr>
          <w:rFonts w:asciiTheme="majorHAnsi" w:hAnsiTheme="majorHAnsi"/>
          <w:sz w:val="21"/>
          <w:szCs w:val="21"/>
          <w:lang w:val="es-ES_tradnl"/>
        </w:rPr>
        <w:t>involucrado información relevante, salvo cuando la inmediatez del daño potencial no admita demora”.</w:t>
      </w:r>
      <w:r w:rsidR="008C3B55" w:rsidRPr="008C3B55">
        <w:rPr>
          <w:rFonts w:asciiTheme="majorHAnsi" w:hAnsiTheme="majorHAnsi"/>
          <w:sz w:val="21"/>
          <w:szCs w:val="21"/>
          <w:lang w:val="es-ES_tradnl"/>
        </w:rPr>
        <w:t xml:space="preserve"> </w:t>
      </w:r>
      <w:r w:rsidRPr="008C3B55">
        <w:rPr>
          <w:rFonts w:asciiTheme="majorHAnsi" w:hAnsiTheme="majorHAnsi"/>
          <w:sz w:val="21"/>
          <w:szCs w:val="21"/>
          <w:lang w:val="es-ES_tradnl"/>
        </w:rPr>
        <w:t>En el presente asunto, en vista de las constataciones realizadas directamente por la CIDH en el marco de</w:t>
      </w:r>
      <w:r w:rsidR="008C3B55" w:rsidRPr="008C3B55">
        <w:rPr>
          <w:rFonts w:asciiTheme="majorHAnsi" w:hAnsiTheme="majorHAnsi"/>
          <w:sz w:val="21"/>
          <w:szCs w:val="21"/>
          <w:lang w:val="es-ES_tradnl"/>
        </w:rPr>
        <w:t xml:space="preserve"> </w:t>
      </w:r>
      <w:r w:rsidRPr="008C3B55">
        <w:rPr>
          <w:rFonts w:asciiTheme="majorHAnsi" w:hAnsiTheme="majorHAnsi"/>
          <w:sz w:val="21"/>
          <w:szCs w:val="21"/>
          <w:lang w:val="es-ES_tradnl"/>
        </w:rPr>
        <w:t xml:space="preserve">sus mecanismos en Nicaragua y, en particular, que </w:t>
      </w:r>
      <w:r w:rsidR="008C3B55" w:rsidRPr="008C3B55">
        <w:rPr>
          <w:rFonts w:asciiTheme="majorHAnsi" w:hAnsiTheme="majorHAnsi"/>
          <w:sz w:val="21"/>
          <w:szCs w:val="21"/>
          <w:lang w:val="es-ES_tradnl"/>
        </w:rPr>
        <w:t xml:space="preserve">los factores de riesgo informados se habrían presentado </w:t>
      </w:r>
      <w:r w:rsidRPr="008C3B55">
        <w:rPr>
          <w:rFonts w:asciiTheme="majorHAnsi" w:hAnsiTheme="majorHAnsi"/>
          <w:sz w:val="21"/>
          <w:szCs w:val="21"/>
          <w:lang w:val="es-ES_tradnl"/>
        </w:rPr>
        <w:t>bajo la custodia del Estado, la Comisión no considera necesario solicitar información</w:t>
      </w:r>
      <w:r w:rsidR="008C3B55" w:rsidRPr="008C3B55">
        <w:rPr>
          <w:rFonts w:asciiTheme="majorHAnsi" w:hAnsiTheme="majorHAnsi"/>
          <w:sz w:val="21"/>
          <w:szCs w:val="21"/>
          <w:lang w:val="es-ES_tradnl"/>
        </w:rPr>
        <w:t xml:space="preserve"> </w:t>
      </w:r>
      <w:r w:rsidRPr="008C3B55">
        <w:rPr>
          <w:rFonts w:asciiTheme="majorHAnsi" w:hAnsiTheme="majorHAnsi"/>
          <w:sz w:val="21"/>
          <w:szCs w:val="21"/>
          <w:lang w:val="es-ES_tradnl"/>
        </w:rPr>
        <w:t>adicional.</w:t>
      </w:r>
    </w:p>
    <w:p w:rsidR="0004578B" w:rsidRPr="009838AB" w:rsidRDefault="0004578B" w:rsidP="00245A1E">
      <w:pPr>
        <w:widowControl w:val="0"/>
        <w:spacing w:after="0" w:line="240" w:lineRule="auto"/>
        <w:jc w:val="both"/>
        <w:rPr>
          <w:rFonts w:asciiTheme="majorHAnsi" w:hAnsiTheme="majorHAnsi"/>
          <w:sz w:val="21"/>
          <w:szCs w:val="21"/>
          <w:lang w:val="es-ES_tradnl"/>
        </w:rPr>
      </w:pPr>
    </w:p>
    <w:p w:rsidR="00F30F7A" w:rsidRPr="009838AB" w:rsidRDefault="00600DA8" w:rsidP="00245A1E">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9838AB">
        <w:rPr>
          <w:rFonts w:asciiTheme="majorHAnsi" w:eastAsia="Calibri" w:hAnsiTheme="majorHAnsi" w:cs="Times New Roman"/>
          <w:b/>
          <w:bCs/>
          <w:sz w:val="21"/>
          <w:szCs w:val="21"/>
          <w:lang w:val="es-PE"/>
        </w:rPr>
        <w:t>BENEFICIARI</w:t>
      </w:r>
      <w:r w:rsidR="00815515">
        <w:rPr>
          <w:rFonts w:asciiTheme="majorHAnsi" w:eastAsia="Calibri" w:hAnsiTheme="majorHAnsi" w:cs="Times New Roman"/>
          <w:b/>
          <w:bCs/>
          <w:sz w:val="21"/>
          <w:szCs w:val="21"/>
          <w:lang w:val="es-PE"/>
        </w:rPr>
        <w:t>A</w:t>
      </w:r>
    </w:p>
    <w:p w:rsidR="00F30F7A" w:rsidRPr="009838AB" w:rsidRDefault="00F30F7A" w:rsidP="00245A1E">
      <w:pPr>
        <w:widowControl w:val="0"/>
        <w:spacing w:after="0" w:line="240" w:lineRule="auto"/>
        <w:ind w:left="360"/>
        <w:jc w:val="both"/>
        <w:rPr>
          <w:rFonts w:asciiTheme="majorHAnsi" w:eastAsia="Calibri" w:hAnsiTheme="majorHAnsi" w:cs="Times New Roman"/>
          <w:sz w:val="21"/>
          <w:szCs w:val="21"/>
          <w:lang w:val="es-PE"/>
        </w:rPr>
      </w:pPr>
    </w:p>
    <w:p w:rsidR="0004578B" w:rsidRPr="0004578B" w:rsidRDefault="00F30F7A" w:rsidP="00245A1E">
      <w:pPr>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04578B">
        <w:rPr>
          <w:rFonts w:asciiTheme="majorHAnsi" w:eastAsia="Calibri" w:hAnsiTheme="majorHAnsi" w:cs="Times New Roman"/>
          <w:sz w:val="21"/>
          <w:szCs w:val="21"/>
          <w:lang w:val="es-PE"/>
        </w:rPr>
        <w:t>La Comis</w:t>
      </w:r>
      <w:r w:rsidR="00915736" w:rsidRPr="0004578B">
        <w:rPr>
          <w:rFonts w:asciiTheme="majorHAnsi" w:eastAsia="Calibri" w:hAnsiTheme="majorHAnsi" w:cs="Times New Roman"/>
          <w:sz w:val="21"/>
          <w:szCs w:val="21"/>
          <w:lang w:val="es-PE"/>
        </w:rPr>
        <w:t>ión declara que</w:t>
      </w:r>
      <w:r w:rsidR="00815515" w:rsidRPr="0004578B">
        <w:rPr>
          <w:rFonts w:asciiTheme="majorHAnsi" w:eastAsia="Calibri" w:hAnsiTheme="majorHAnsi" w:cs="Times New Roman"/>
          <w:sz w:val="21"/>
          <w:szCs w:val="21"/>
          <w:lang w:val="es-PE"/>
        </w:rPr>
        <w:t xml:space="preserve"> la beneficiaria de esta medida cautelar es </w:t>
      </w:r>
      <w:r w:rsidR="008C3B55">
        <w:rPr>
          <w:rFonts w:asciiTheme="majorHAnsi" w:eastAsia="Calibri" w:hAnsiTheme="majorHAnsi" w:cs="Times New Roman"/>
          <w:sz w:val="21"/>
          <w:szCs w:val="21"/>
          <w:lang w:val="es-PE"/>
        </w:rPr>
        <w:t xml:space="preserve">la señora </w:t>
      </w:r>
      <w:r w:rsidR="0004578B" w:rsidRPr="0004578B">
        <w:rPr>
          <w:rFonts w:asciiTheme="majorHAnsi" w:eastAsia="Calibri" w:hAnsiTheme="majorHAnsi" w:cs="Times New Roman"/>
          <w:sz w:val="21"/>
          <w:szCs w:val="21"/>
          <w:lang w:val="es-PE"/>
        </w:rPr>
        <w:t>Ruth Esther Matute Valdivia, quien se encuentra plenamente identificada en el presente asunto.</w:t>
      </w:r>
    </w:p>
    <w:p w:rsidR="000477B8" w:rsidRDefault="000477B8" w:rsidP="00245A1E">
      <w:pPr>
        <w:widowControl w:val="0"/>
        <w:spacing w:after="0" w:line="240" w:lineRule="auto"/>
        <w:ind w:left="720"/>
        <w:jc w:val="both"/>
        <w:rPr>
          <w:rFonts w:asciiTheme="majorHAnsi" w:eastAsia="Calibri" w:hAnsiTheme="majorHAnsi" w:cs="Times New Roman"/>
          <w:sz w:val="21"/>
          <w:szCs w:val="21"/>
          <w:lang w:val="es-PE"/>
        </w:rPr>
      </w:pPr>
    </w:p>
    <w:p w:rsidR="00245A1E" w:rsidRDefault="00245A1E" w:rsidP="00245A1E">
      <w:pPr>
        <w:widowControl w:val="0"/>
        <w:spacing w:after="0" w:line="240" w:lineRule="auto"/>
        <w:ind w:left="720"/>
        <w:jc w:val="both"/>
        <w:rPr>
          <w:rFonts w:asciiTheme="majorHAnsi" w:eastAsia="Calibri" w:hAnsiTheme="majorHAnsi" w:cs="Times New Roman"/>
          <w:sz w:val="21"/>
          <w:szCs w:val="21"/>
          <w:lang w:val="es-PE"/>
        </w:rPr>
      </w:pPr>
    </w:p>
    <w:p w:rsidR="00245A1E" w:rsidRPr="009838AB" w:rsidRDefault="00245A1E" w:rsidP="00245A1E">
      <w:pPr>
        <w:widowControl w:val="0"/>
        <w:spacing w:after="0" w:line="240" w:lineRule="auto"/>
        <w:ind w:left="720"/>
        <w:jc w:val="both"/>
        <w:rPr>
          <w:rFonts w:asciiTheme="majorHAnsi" w:eastAsia="Calibri" w:hAnsiTheme="majorHAnsi" w:cs="Times New Roman"/>
          <w:sz w:val="21"/>
          <w:szCs w:val="21"/>
          <w:lang w:val="es-PE"/>
        </w:rPr>
      </w:pPr>
    </w:p>
    <w:p w:rsidR="00F30F7A" w:rsidRPr="009838AB" w:rsidRDefault="00F30F7A" w:rsidP="00245A1E">
      <w:pPr>
        <w:widowControl w:val="0"/>
        <w:numPr>
          <w:ilvl w:val="0"/>
          <w:numId w:val="6"/>
        </w:numPr>
        <w:spacing w:after="0" w:line="240" w:lineRule="auto"/>
        <w:ind w:left="1350" w:hanging="810"/>
        <w:jc w:val="both"/>
        <w:rPr>
          <w:rFonts w:asciiTheme="majorHAnsi" w:eastAsia="Calibri" w:hAnsiTheme="majorHAnsi" w:cs="Times New Roman"/>
          <w:b/>
          <w:bCs/>
          <w:sz w:val="21"/>
          <w:szCs w:val="21"/>
          <w:lang w:val="es-PE"/>
        </w:rPr>
      </w:pPr>
      <w:r w:rsidRPr="009838AB">
        <w:rPr>
          <w:rFonts w:asciiTheme="majorHAnsi" w:eastAsia="Calibri" w:hAnsiTheme="majorHAnsi" w:cs="Times New Roman"/>
          <w:b/>
          <w:bCs/>
          <w:sz w:val="21"/>
          <w:szCs w:val="21"/>
          <w:lang w:val="es-PE"/>
        </w:rPr>
        <w:t>DECISIÓN</w:t>
      </w:r>
    </w:p>
    <w:p w:rsidR="00F30F7A" w:rsidRPr="009838AB" w:rsidRDefault="00F30F7A" w:rsidP="00245A1E">
      <w:pPr>
        <w:widowControl w:val="0"/>
        <w:spacing w:after="0" w:line="240" w:lineRule="auto"/>
        <w:ind w:left="360"/>
        <w:jc w:val="both"/>
        <w:rPr>
          <w:rFonts w:asciiTheme="majorHAnsi" w:eastAsia="Calibri" w:hAnsiTheme="majorHAnsi" w:cs="Times New Roman"/>
          <w:sz w:val="21"/>
          <w:szCs w:val="21"/>
          <w:lang w:val="es-PE"/>
        </w:rPr>
      </w:pPr>
    </w:p>
    <w:p w:rsidR="00D0128E" w:rsidRDefault="00F30F7A" w:rsidP="00245A1E">
      <w:pPr>
        <w:widowControl w:val="0"/>
        <w:numPr>
          <w:ilvl w:val="0"/>
          <w:numId w:val="4"/>
        </w:numPr>
        <w:spacing w:after="0" w:line="240" w:lineRule="auto"/>
        <w:ind w:left="0" w:firstLine="360"/>
        <w:jc w:val="both"/>
        <w:rPr>
          <w:rFonts w:asciiTheme="majorHAnsi" w:eastAsia="Calibri" w:hAnsiTheme="majorHAnsi" w:cs="Times New Roman"/>
          <w:sz w:val="21"/>
          <w:szCs w:val="21"/>
          <w:lang w:val="es-PE"/>
        </w:rPr>
      </w:pPr>
      <w:r w:rsidRPr="009838AB">
        <w:rPr>
          <w:rFonts w:asciiTheme="majorHAnsi" w:eastAsia="Calibri" w:hAnsiTheme="majorHAnsi" w:cs="Times New Roman"/>
          <w:sz w:val="21"/>
          <w:szCs w:val="21"/>
          <w:lang w:val="es-PE"/>
        </w:rPr>
        <w:t xml:space="preserve">La Comisión considera que el presente asunto reúne </w:t>
      </w:r>
      <w:r w:rsidRPr="009838AB">
        <w:rPr>
          <w:rFonts w:asciiTheme="majorHAnsi" w:eastAsia="Calibri" w:hAnsiTheme="majorHAnsi" w:cs="Times New Roman"/>
          <w:i/>
          <w:sz w:val="21"/>
          <w:szCs w:val="21"/>
          <w:lang w:val="es-PE"/>
        </w:rPr>
        <w:t>prima facie</w:t>
      </w:r>
      <w:r w:rsidRPr="009838AB">
        <w:rPr>
          <w:rFonts w:asciiTheme="majorHAnsi" w:eastAsia="Calibri" w:hAnsiTheme="majorHAnsi" w:cs="Times New Roman"/>
          <w:sz w:val="21"/>
          <w:szCs w:val="21"/>
          <w:lang w:val="es-PE"/>
        </w:rPr>
        <w:t xml:space="preserve"> los requisitos de gravedad, </w:t>
      </w:r>
      <w:r w:rsidRPr="009838AB">
        <w:rPr>
          <w:rFonts w:asciiTheme="majorHAnsi" w:eastAsia="Calibri" w:hAnsiTheme="majorHAnsi" w:cs="Times New Roman"/>
          <w:sz w:val="21"/>
          <w:szCs w:val="21"/>
          <w:lang w:val="es-PE"/>
        </w:rPr>
        <w:lastRenderedPageBreak/>
        <w:t xml:space="preserve">urgencia e </w:t>
      </w:r>
      <w:proofErr w:type="spellStart"/>
      <w:r w:rsidRPr="009838AB">
        <w:rPr>
          <w:rFonts w:asciiTheme="majorHAnsi" w:eastAsia="Calibri" w:hAnsiTheme="majorHAnsi" w:cs="Times New Roman"/>
          <w:sz w:val="21"/>
          <w:szCs w:val="21"/>
          <w:lang w:val="es-PE"/>
        </w:rPr>
        <w:t>irreparabilidad</w:t>
      </w:r>
      <w:proofErr w:type="spellEnd"/>
      <w:r w:rsidRPr="009838AB">
        <w:rPr>
          <w:rFonts w:asciiTheme="majorHAnsi" w:eastAsia="Calibri" w:hAnsiTheme="majorHAnsi" w:cs="Times New Roman"/>
          <w:sz w:val="21"/>
          <w:szCs w:val="21"/>
          <w:lang w:val="es-PE"/>
        </w:rPr>
        <w:t xml:space="preserve"> contenidos en el artículo 25 de su Reglamento. En consecuencia, la Comisión solicita al Estado de Nicaragua que:</w:t>
      </w:r>
    </w:p>
    <w:p w:rsidR="00D0128E" w:rsidRDefault="00D0128E" w:rsidP="00245A1E">
      <w:pPr>
        <w:widowControl w:val="0"/>
        <w:spacing w:after="0" w:line="240" w:lineRule="auto"/>
        <w:ind w:left="360"/>
        <w:jc w:val="both"/>
        <w:rPr>
          <w:rFonts w:asciiTheme="majorHAnsi" w:eastAsia="Calibri" w:hAnsiTheme="majorHAnsi" w:cs="Times New Roman"/>
          <w:sz w:val="21"/>
          <w:szCs w:val="21"/>
          <w:lang w:val="es-PE"/>
        </w:rPr>
      </w:pPr>
    </w:p>
    <w:p w:rsidR="004C6F16" w:rsidRDefault="008C3B55" w:rsidP="00245A1E">
      <w:pPr>
        <w:pStyle w:val="ListParagraph"/>
        <w:widowControl w:val="0"/>
        <w:numPr>
          <w:ilvl w:val="0"/>
          <w:numId w:val="40"/>
        </w:numPr>
        <w:spacing w:after="0" w:line="240" w:lineRule="auto"/>
        <w:jc w:val="both"/>
        <w:rPr>
          <w:rFonts w:asciiTheme="majorHAnsi" w:eastAsia="Calibri" w:hAnsiTheme="majorHAnsi" w:cs="Times New Roman"/>
          <w:sz w:val="21"/>
          <w:szCs w:val="21"/>
          <w:lang w:val="es-PE"/>
        </w:rPr>
      </w:pPr>
      <w:r w:rsidRPr="004C6F16">
        <w:rPr>
          <w:rFonts w:asciiTheme="majorHAnsi" w:eastAsia="Calibri" w:hAnsiTheme="majorHAnsi" w:cs="Times New Roman"/>
          <w:sz w:val="21"/>
          <w:szCs w:val="21"/>
          <w:lang w:val="es-PE"/>
        </w:rPr>
        <w:t>Adopte las medidas necesarias para gara</w:t>
      </w:r>
      <w:r w:rsidR="000212DF">
        <w:rPr>
          <w:rFonts w:asciiTheme="majorHAnsi" w:eastAsia="Calibri" w:hAnsiTheme="majorHAnsi" w:cs="Times New Roman"/>
          <w:sz w:val="21"/>
          <w:szCs w:val="21"/>
          <w:lang w:val="es-PE"/>
        </w:rPr>
        <w:t xml:space="preserve">ntizar los derechos a la vida, </w:t>
      </w:r>
      <w:r w:rsidRPr="004C6F16">
        <w:rPr>
          <w:rFonts w:asciiTheme="majorHAnsi" w:eastAsia="Calibri" w:hAnsiTheme="majorHAnsi" w:cs="Times New Roman"/>
          <w:sz w:val="21"/>
          <w:szCs w:val="21"/>
          <w:lang w:val="es-PE"/>
        </w:rPr>
        <w:t xml:space="preserve">integridad personal </w:t>
      </w:r>
      <w:r w:rsidR="000212DF">
        <w:rPr>
          <w:rFonts w:asciiTheme="majorHAnsi" w:eastAsia="Calibri" w:hAnsiTheme="majorHAnsi" w:cs="Times New Roman"/>
          <w:sz w:val="21"/>
          <w:szCs w:val="21"/>
          <w:lang w:val="es-PE"/>
        </w:rPr>
        <w:t xml:space="preserve">y salud </w:t>
      </w:r>
      <w:r w:rsidRPr="004C6F16">
        <w:rPr>
          <w:rFonts w:asciiTheme="majorHAnsi" w:eastAsia="Calibri" w:hAnsiTheme="majorHAnsi" w:cs="Times New Roman"/>
          <w:sz w:val="21"/>
          <w:szCs w:val="21"/>
          <w:lang w:val="es-PE"/>
        </w:rPr>
        <w:t>de la señora Ruth Esther Matu</w:t>
      </w:r>
      <w:r w:rsidR="004C6F16">
        <w:rPr>
          <w:rFonts w:asciiTheme="majorHAnsi" w:eastAsia="Calibri" w:hAnsiTheme="majorHAnsi" w:cs="Times New Roman"/>
          <w:sz w:val="21"/>
          <w:szCs w:val="21"/>
          <w:lang w:val="es-PE"/>
        </w:rPr>
        <w:t>t</w:t>
      </w:r>
      <w:r w:rsidRPr="004C6F16">
        <w:rPr>
          <w:rFonts w:asciiTheme="majorHAnsi" w:eastAsia="Calibri" w:hAnsiTheme="majorHAnsi" w:cs="Times New Roman"/>
          <w:sz w:val="21"/>
          <w:szCs w:val="21"/>
          <w:lang w:val="es-PE"/>
        </w:rPr>
        <w:t>e Valdivia</w:t>
      </w:r>
      <w:r w:rsidR="004C6F16" w:rsidRPr="004C6F16">
        <w:rPr>
          <w:rFonts w:asciiTheme="majorHAnsi" w:eastAsia="Calibri" w:hAnsiTheme="majorHAnsi" w:cs="Times New Roman"/>
          <w:sz w:val="21"/>
          <w:szCs w:val="21"/>
          <w:lang w:val="es-PE"/>
        </w:rPr>
        <w:t xml:space="preserve">. En particular, el Estado debe tanto asegurar que sus agentes respeten los derechos de </w:t>
      </w:r>
      <w:r w:rsidR="003C7CA3">
        <w:rPr>
          <w:rFonts w:asciiTheme="majorHAnsi" w:eastAsia="Calibri" w:hAnsiTheme="majorHAnsi" w:cs="Times New Roman"/>
          <w:sz w:val="21"/>
          <w:szCs w:val="21"/>
          <w:lang w:val="es-PE"/>
        </w:rPr>
        <w:t xml:space="preserve">la beneficiaria </w:t>
      </w:r>
      <w:r w:rsidR="004C6F16" w:rsidRPr="004C6F16">
        <w:rPr>
          <w:rFonts w:asciiTheme="majorHAnsi" w:eastAsia="Calibri" w:hAnsiTheme="majorHAnsi" w:cs="Times New Roman"/>
          <w:sz w:val="21"/>
          <w:szCs w:val="21"/>
          <w:lang w:val="es-PE"/>
        </w:rPr>
        <w:t>de conformidad con los estándares establecidos por el derecho internacional de los derechos humanos, como en relación con actos de riesgo atribuibles a terceros;</w:t>
      </w:r>
    </w:p>
    <w:p w:rsidR="0001239D" w:rsidRPr="0001239D" w:rsidRDefault="0001239D" w:rsidP="00245A1E">
      <w:pPr>
        <w:pStyle w:val="ListParagraph"/>
        <w:widowControl w:val="0"/>
        <w:numPr>
          <w:ilvl w:val="0"/>
          <w:numId w:val="40"/>
        </w:numPr>
        <w:spacing w:after="0" w:line="240" w:lineRule="auto"/>
        <w:jc w:val="both"/>
        <w:rPr>
          <w:rFonts w:asciiTheme="majorHAnsi" w:eastAsia="Calibri" w:hAnsiTheme="majorHAnsi" w:cs="Times New Roman"/>
          <w:sz w:val="21"/>
          <w:szCs w:val="21"/>
          <w:lang w:val="es-PE"/>
        </w:rPr>
      </w:pPr>
      <w:r w:rsidRPr="0001239D">
        <w:rPr>
          <w:rFonts w:asciiTheme="majorHAnsi" w:hAnsiTheme="majorHAnsi"/>
          <w:sz w:val="21"/>
          <w:szCs w:val="21"/>
          <w:lang w:val="es-PE"/>
        </w:rPr>
        <w:t>asegure que la señora Ruth Esther Matute Valdivia tenga acceso a un tratamiento médico adecuado atendiendo a su condición de salud y de conformidad con las recomendaciones dadas por los especialistas correspondientes. Asimismo, con el fin de verificar las circunstancias en que se encuentra la beneficiaria, facilite el acceso a la señora Ruth Esther Matute Valdivia a sus representantes legales y a sus visitas familiares de conformidad con los estándares aplicables;</w:t>
      </w:r>
    </w:p>
    <w:p w:rsidR="004C6F16" w:rsidRDefault="008C3B55" w:rsidP="00245A1E">
      <w:pPr>
        <w:pStyle w:val="ListParagraph"/>
        <w:widowControl w:val="0"/>
        <w:numPr>
          <w:ilvl w:val="0"/>
          <w:numId w:val="40"/>
        </w:numPr>
        <w:spacing w:after="0" w:line="240" w:lineRule="auto"/>
        <w:jc w:val="both"/>
        <w:rPr>
          <w:rFonts w:asciiTheme="majorHAnsi" w:eastAsia="Calibri" w:hAnsiTheme="majorHAnsi" w:cs="Times New Roman"/>
          <w:sz w:val="21"/>
          <w:szCs w:val="21"/>
          <w:lang w:val="es-PE"/>
        </w:rPr>
      </w:pPr>
      <w:r w:rsidRPr="004C6F16">
        <w:rPr>
          <w:rFonts w:asciiTheme="majorHAnsi" w:eastAsia="Calibri" w:hAnsiTheme="majorHAnsi" w:cs="Times New Roman"/>
          <w:sz w:val="21"/>
          <w:szCs w:val="21"/>
          <w:lang w:val="es-PE"/>
        </w:rPr>
        <w:t>Concierte las medidas a adoptarse con la beneficiaria y sus representantes; y</w:t>
      </w:r>
    </w:p>
    <w:p w:rsidR="008C3B55" w:rsidRPr="004C6F16" w:rsidRDefault="008C3B55" w:rsidP="00245A1E">
      <w:pPr>
        <w:pStyle w:val="ListParagraph"/>
        <w:widowControl w:val="0"/>
        <w:numPr>
          <w:ilvl w:val="0"/>
          <w:numId w:val="40"/>
        </w:numPr>
        <w:spacing w:after="0" w:line="240" w:lineRule="auto"/>
        <w:jc w:val="both"/>
        <w:rPr>
          <w:rFonts w:asciiTheme="majorHAnsi" w:eastAsia="Calibri" w:hAnsiTheme="majorHAnsi" w:cs="Times New Roman"/>
          <w:sz w:val="21"/>
          <w:szCs w:val="21"/>
          <w:lang w:val="es-PE"/>
        </w:rPr>
      </w:pPr>
      <w:r w:rsidRPr="004C6F16">
        <w:rPr>
          <w:rFonts w:asciiTheme="majorHAnsi" w:eastAsia="Calibri" w:hAnsiTheme="majorHAnsi" w:cs="Times New Roman"/>
          <w:sz w:val="21"/>
          <w:szCs w:val="21"/>
          <w:lang w:val="es-PE"/>
        </w:rPr>
        <w:t>Informe sobre las acciones adoptadas a fin de investigar los presuntos hechos que dieron lugar a la adopción de la presente cautelar.</w:t>
      </w:r>
    </w:p>
    <w:p w:rsidR="00D0128E" w:rsidRDefault="00D0128E" w:rsidP="00245A1E">
      <w:pPr>
        <w:widowControl w:val="0"/>
        <w:spacing w:after="0" w:line="240" w:lineRule="auto"/>
        <w:jc w:val="both"/>
        <w:rPr>
          <w:rFonts w:asciiTheme="majorHAnsi" w:eastAsia="Calibri" w:hAnsiTheme="majorHAnsi" w:cs="Times New Roman"/>
          <w:sz w:val="21"/>
          <w:szCs w:val="21"/>
          <w:lang w:val="es-PE"/>
        </w:rPr>
      </w:pPr>
    </w:p>
    <w:p w:rsidR="00D0128E" w:rsidRPr="008C3B55"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t>La Comisión también solicita al Gobierno de Nicaragua tenga a bien informar a la Comisión</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dentro del plazo de 15 días contados a partir de la fecha de la presente comunicación, sobre la adopción</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de las medidas cautelares acordadas y actualizar dicha información en forma periódica.</w:t>
      </w:r>
    </w:p>
    <w:p w:rsidR="008C3B55" w:rsidRDefault="008C3B55" w:rsidP="00245A1E">
      <w:pPr>
        <w:pStyle w:val="ListParagraph"/>
        <w:widowControl w:val="0"/>
        <w:spacing w:after="0" w:line="240" w:lineRule="auto"/>
        <w:ind w:left="360"/>
        <w:jc w:val="both"/>
        <w:rPr>
          <w:rFonts w:asciiTheme="majorHAnsi" w:hAnsiTheme="majorHAnsi"/>
          <w:sz w:val="21"/>
          <w:szCs w:val="21"/>
          <w:lang w:val="es-PE"/>
        </w:rPr>
      </w:pPr>
    </w:p>
    <w:p w:rsidR="00D0128E" w:rsidRPr="008C3B55"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t>La Comisión resalta que, de conformidad con el artículo 25(8) del Reglamento de la Comisión, el</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otorgamiento de medidas cautelares y su adopción por el Estado no constituye prejuzgamiento sobre la</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posible violación de los derechos protegidos en la Convención Americana y otros instrumentos</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aplicables.</w:t>
      </w:r>
    </w:p>
    <w:p w:rsidR="008C3B55" w:rsidRDefault="008C3B55" w:rsidP="00245A1E">
      <w:pPr>
        <w:pStyle w:val="ListParagraph"/>
        <w:widowControl w:val="0"/>
        <w:spacing w:after="0" w:line="240" w:lineRule="auto"/>
        <w:ind w:left="360"/>
        <w:jc w:val="both"/>
        <w:rPr>
          <w:rFonts w:asciiTheme="majorHAnsi" w:hAnsiTheme="majorHAnsi"/>
          <w:sz w:val="21"/>
          <w:szCs w:val="21"/>
          <w:lang w:val="es-PE"/>
        </w:rPr>
      </w:pPr>
    </w:p>
    <w:p w:rsidR="00D0128E" w:rsidRPr="008C3B55"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t>La Comisión de conformidad con el artículo 25.5 del Reglamento revisará la pertinencia de</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mantener vigente la presente medida cautelar, o bien proceder a su levantamiento, en su próximo</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período de sesiones. Para ello, la Comisión tendrá en cuenta la información que sea aportada por el</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Estado de Nicaragua.</w:t>
      </w:r>
    </w:p>
    <w:p w:rsidR="008C3B55" w:rsidRDefault="008C3B55" w:rsidP="00245A1E">
      <w:pPr>
        <w:pStyle w:val="ListParagraph"/>
        <w:widowControl w:val="0"/>
        <w:spacing w:after="0" w:line="240" w:lineRule="auto"/>
        <w:ind w:left="360"/>
        <w:jc w:val="both"/>
        <w:rPr>
          <w:rFonts w:asciiTheme="majorHAnsi" w:hAnsiTheme="majorHAnsi"/>
          <w:sz w:val="21"/>
          <w:szCs w:val="21"/>
          <w:lang w:val="es-PE"/>
        </w:rPr>
      </w:pPr>
    </w:p>
    <w:p w:rsidR="00557692"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8C3B55">
        <w:rPr>
          <w:rFonts w:asciiTheme="majorHAnsi" w:hAnsiTheme="majorHAnsi"/>
          <w:sz w:val="21"/>
          <w:szCs w:val="21"/>
          <w:lang w:val="es-PE"/>
        </w:rPr>
        <w:t>La Comisión requiere a la Secretaría de la Comisión Interamericana que notifique la presente</w:t>
      </w:r>
      <w:r w:rsidR="008C3B55" w:rsidRPr="008C3B55">
        <w:rPr>
          <w:rFonts w:asciiTheme="majorHAnsi" w:hAnsiTheme="majorHAnsi"/>
          <w:sz w:val="21"/>
          <w:szCs w:val="21"/>
          <w:lang w:val="es-PE"/>
        </w:rPr>
        <w:t xml:space="preserve"> </w:t>
      </w:r>
      <w:r w:rsidRPr="008C3B55">
        <w:rPr>
          <w:rFonts w:asciiTheme="majorHAnsi" w:hAnsiTheme="majorHAnsi"/>
          <w:sz w:val="21"/>
          <w:szCs w:val="21"/>
          <w:lang w:val="es-PE"/>
        </w:rPr>
        <w:t>Resolución al Estado de Nicaragua y a los solicitantes.</w:t>
      </w:r>
    </w:p>
    <w:p w:rsidR="00557692" w:rsidRPr="00557692" w:rsidRDefault="00557692" w:rsidP="00245A1E">
      <w:pPr>
        <w:pStyle w:val="ListParagraph"/>
        <w:spacing w:line="240" w:lineRule="auto"/>
        <w:rPr>
          <w:rFonts w:asciiTheme="majorHAnsi" w:hAnsiTheme="majorHAnsi"/>
          <w:sz w:val="21"/>
          <w:szCs w:val="21"/>
          <w:lang w:val="es-PE"/>
        </w:rPr>
      </w:pPr>
    </w:p>
    <w:p w:rsidR="00550EC3" w:rsidRPr="00557692" w:rsidRDefault="00D0128E" w:rsidP="00245A1E">
      <w:pPr>
        <w:pStyle w:val="ListParagraph"/>
        <w:widowControl w:val="0"/>
        <w:numPr>
          <w:ilvl w:val="0"/>
          <w:numId w:val="4"/>
        </w:numPr>
        <w:spacing w:after="0" w:line="240" w:lineRule="auto"/>
        <w:ind w:left="0" w:firstLine="360"/>
        <w:jc w:val="both"/>
        <w:rPr>
          <w:rFonts w:asciiTheme="majorHAnsi" w:hAnsiTheme="majorHAnsi"/>
          <w:sz w:val="21"/>
          <w:szCs w:val="21"/>
          <w:lang w:val="es-PE"/>
        </w:rPr>
      </w:pPr>
      <w:r w:rsidRPr="00557692">
        <w:rPr>
          <w:rFonts w:asciiTheme="majorHAnsi" w:hAnsiTheme="majorHAnsi"/>
          <w:sz w:val="21"/>
          <w:szCs w:val="21"/>
          <w:lang w:val="es-PE"/>
        </w:rPr>
        <w:t xml:space="preserve">Aprobado el </w:t>
      </w:r>
      <w:r w:rsidR="00550EC3" w:rsidRPr="00557692">
        <w:rPr>
          <w:rFonts w:asciiTheme="majorHAnsi" w:hAnsiTheme="majorHAnsi"/>
          <w:sz w:val="21"/>
          <w:szCs w:val="21"/>
          <w:lang w:val="es-PE"/>
        </w:rPr>
        <w:t xml:space="preserve">31 de enero </w:t>
      </w:r>
      <w:r w:rsidRPr="00557692">
        <w:rPr>
          <w:rFonts w:asciiTheme="majorHAnsi" w:hAnsiTheme="majorHAnsi"/>
          <w:sz w:val="21"/>
          <w:szCs w:val="21"/>
          <w:lang w:val="es-PE"/>
        </w:rPr>
        <w:t>de 201</w:t>
      </w:r>
      <w:r w:rsidR="008C3B55" w:rsidRPr="00557692">
        <w:rPr>
          <w:rFonts w:asciiTheme="majorHAnsi" w:hAnsiTheme="majorHAnsi"/>
          <w:sz w:val="21"/>
          <w:szCs w:val="21"/>
          <w:lang w:val="es-PE"/>
        </w:rPr>
        <w:t>9</w:t>
      </w:r>
      <w:r w:rsidRPr="00557692">
        <w:rPr>
          <w:rFonts w:asciiTheme="majorHAnsi" w:hAnsiTheme="majorHAnsi"/>
          <w:sz w:val="21"/>
          <w:szCs w:val="21"/>
          <w:lang w:val="es-PE"/>
        </w:rPr>
        <w:t xml:space="preserve"> por:</w:t>
      </w:r>
      <w:r w:rsidR="008C3B55" w:rsidRPr="00557692">
        <w:rPr>
          <w:rFonts w:asciiTheme="majorHAnsi" w:hAnsiTheme="majorHAnsi"/>
          <w:sz w:val="21"/>
          <w:szCs w:val="21"/>
          <w:lang w:val="es-PE"/>
        </w:rPr>
        <w:t xml:space="preserve"> </w:t>
      </w:r>
      <w:r w:rsidR="00557692" w:rsidRPr="00557692">
        <w:rPr>
          <w:rFonts w:asciiTheme="majorHAnsi" w:hAnsiTheme="majorHAnsi"/>
          <w:sz w:val="21"/>
          <w:szCs w:val="21"/>
          <w:lang w:val="es-PE"/>
        </w:rPr>
        <w:t xml:space="preserve">Esmeralda Arosemena de </w:t>
      </w:r>
      <w:proofErr w:type="spellStart"/>
      <w:r w:rsidR="00557692" w:rsidRPr="00557692">
        <w:rPr>
          <w:rFonts w:asciiTheme="majorHAnsi" w:hAnsiTheme="majorHAnsi"/>
          <w:sz w:val="21"/>
          <w:szCs w:val="21"/>
          <w:lang w:val="es-PE"/>
        </w:rPr>
        <w:t>Troitiño</w:t>
      </w:r>
      <w:proofErr w:type="spellEnd"/>
      <w:r w:rsidR="00557692" w:rsidRPr="00557692">
        <w:rPr>
          <w:rFonts w:asciiTheme="majorHAnsi" w:hAnsiTheme="majorHAnsi"/>
          <w:sz w:val="21"/>
          <w:szCs w:val="21"/>
          <w:lang w:val="es-PE"/>
        </w:rPr>
        <w:t xml:space="preserve">, Primera Vicepresidenta; Francisco Eguiguren; Joel Hernández García; Antonia Urrejola; y </w:t>
      </w:r>
      <w:proofErr w:type="spellStart"/>
      <w:r w:rsidR="00557692" w:rsidRPr="00557692">
        <w:rPr>
          <w:rFonts w:asciiTheme="majorHAnsi" w:hAnsiTheme="majorHAnsi"/>
          <w:sz w:val="21"/>
          <w:szCs w:val="21"/>
          <w:lang w:val="es-PE"/>
        </w:rPr>
        <w:t>Flávia</w:t>
      </w:r>
      <w:proofErr w:type="spellEnd"/>
      <w:r w:rsidR="00557692" w:rsidRPr="00557692">
        <w:rPr>
          <w:rFonts w:asciiTheme="majorHAnsi" w:hAnsiTheme="majorHAnsi"/>
          <w:sz w:val="21"/>
          <w:szCs w:val="21"/>
          <w:lang w:val="es-PE"/>
        </w:rPr>
        <w:t xml:space="preserve"> Piovesan, miembros de la CIDH.</w:t>
      </w:r>
    </w:p>
    <w:p w:rsidR="00557692" w:rsidRDefault="00557692" w:rsidP="00245A1E">
      <w:pPr>
        <w:pStyle w:val="ListParagraph"/>
        <w:widowControl w:val="0"/>
        <w:spacing w:after="0" w:line="240" w:lineRule="auto"/>
        <w:ind w:left="360"/>
        <w:jc w:val="both"/>
        <w:rPr>
          <w:rFonts w:asciiTheme="majorHAnsi" w:hAnsiTheme="majorHAnsi"/>
          <w:sz w:val="21"/>
          <w:szCs w:val="21"/>
          <w:lang w:val="es-PE"/>
        </w:rPr>
      </w:pPr>
    </w:p>
    <w:p w:rsidR="00557692" w:rsidRDefault="00557692" w:rsidP="00245A1E">
      <w:pPr>
        <w:pStyle w:val="ListParagraph"/>
        <w:widowControl w:val="0"/>
        <w:spacing w:after="0" w:line="240" w:lineRule="auto"/>
        <w:ind w:left="360"/>
        <w:jc w:val="both"/>
        <w:rPr>
          <w:rFonts w:asciiTheme="majorHAnsi" w:hAnsiTheme="majorHAnsi"/>
          <w:sz w:val="21"/>
          <w:szCs w:val="21"/>
          <w:lang w:val="es-PE"/>
        </w:rPr>
      </w:pPr>
    </w:p>
    <w:p w:rsidR="00245A1E" w:rsidRDefault="00245A1E" w:rsidP="00245A1E">
      <w:pPr>
        <w:pStyle w:val="ListParagraph"/>
        <w:widowControl w:val="0"/>
        <w:spacing w:after="0" w:line="240" w:lineRule="auto"/>
        <w:ind w:left="360"/>
        <w:jc w:val="center"/>
        <w:rPr>
          <w:rFonts w:asciiTheme="majorHAnsi" w:hAnsiTheme="majorHAnsi"/>
          <w:sz w:val="21"/>
          <w:szCs w:val="21"/>
          <w:lang w:val="es-PE"/>
        </w:rPr>
      </w:pPr>
    </w:p>
    <w:p w:rsidR="00245A1E" w:rsidRDefault="00245A1E" w:rsidP="00245A1E">
      <w:pPr>
        <w:pStyle w:val="ListParagraph"/>
        <w:widowControl w:val="0"/>
        <w:spacing w:after="0" w:line="240" w:lineRule="auto"/>
        <w:ind w:left="360"/>
        <w:jc w:val="center"/>
        <w:rPr>
          <w:rFonts w:asciiTheme="majorHAnsi" w:hAnsiTheme="majorHAnsi"/>
          <w:sz w:val="21"/>
          <w:szCs w:val="21"/>
          <w:lang w:val="es-PE"/>
        </w:rPr>
      </w:pPr>
    </w:p>
    <w:p w:rsidR="00245A1E" w:rsidRDefault="00245A1E" w:rsidP="00245A1E">
      <w:pPr>
        <w:pStyle w:val="ListParagraph"/>
        <w:widowControl w:val="0"/>
        <w:spacing w:after="0" w:line="240" w:lineRule="auto"/>
        <w:ind w:left="360"/>
        <w:jc w:val="center"/>
        <w:rPr>
          <w:rFonts w:asciiTheme="majorHAnsi" w:hAnsiTheme="majorHAnsi"/>
          <w:sz w:val="21"/>
          <w:szCs w:val="21"/>
          <w:lang w:val="es-PE"/>
        </w:rPr>
      </w:pPr>
    </w:p>
    <w:p w:rsidR="00245A1E" w:rsidRDefault="00245A1E" w:rsidP="00245A1E">
      <w:pPr>
        <w:pStyle w:val="ListParagraph"/>
        <w:widowControl w:val="0"/>
        <w:spacing w:after="0" w:line="240" w:lineRule="auto"/>
        <w:ind w:left="360"/>
        <w:jc w:val="center"/>
        <w:rPr>
          <w:rFonts w:asciiTheme="majorHAnsi" w:hAnsiTheme="majorHAnsi"/>
          <w:sz w:val="21"/>
          <w:szCs w:val="21"/>
          <w:lang w:val="es-PE"/>
        </w:rPr>
      </w:pPr>
    </w:p>
    <w:p w:rsidR="00557692" w:rsidRDefault="00557692" w:rsidP="00245A1E">
      <w:pPr>
        <w:pStyle w:val="ListParagraph"/>
        <w:widowControl w:val="0"/>
        <w:spacing w:after="0" w:line="240" w:lineRule="auto"/>
        <w:ind w:left="360"/>
        <w:jc w:val="center"/>
        <w:rPr>
          <w:rFonts w:asciiTheme="majorHAnsi" w:hAnsiTheme="majorHAnsi"/>
          <w:sz w:val="21"/>
          <w:szCs w:val="21"/>
          <w:lang w:val="es-PE"/>
        </w:rPr>
      </w:pPr>
      <w:r w:rsidRPr="00557692">
        <w:rPr>
          <w:rFonts w:asciiTheme="majorHAnsi" w:hAnsiTheme="majorHAnsi"/>
          <w:sz w:val="21"/>
          <w:szCs w:val="21"/>
          <w:lang w:val="es-PE"/>
        </w:rPr>
        <w:t xml:space="preserve">Paulo </w:t>
      </w:r>
      <w:proofErr w:type="spellStart"/>
      <w:r w:rsidRPr="00557692">
        <w:rPr>
          <w:rFonts w:asciiTheme="majorHAnsi" w:hAnsiTheme="majorHAnsi"/>
          <w:sz w:val="21"/>
          <w:szCs w:val="21"/>
          <w:lang w:val="es-PE"/>
        </w:rPr>
        <w:t>Abrão</w:t>
      </w:r>
      <w:proofErr w:type="spellEnd"/>
    </w:p>
    <w:p w:rsidR="00557692" w:rsidRDefault="00557692" w:rsidP="00245A1E">
      <w:pPr>
        <w:pStyle w:val="ListParagraph"/>
        <w:widowControl w:val="0"/>
        <w:spacing w:after="0" w:line="240" w:lineRule="auto"/>
        <w:ind w:left="360"/>
        <w:jc w:val="center"/>
        <w:rPr>
          <w:rFonts w:asciiTheme="majorHAnsi" w:hAnsiTheme="majorHAnsi"/>
          <w:sz w:val="21"/>
          <w:szCs w:val="21"/>
          <w:lang w:val="es-PE"/>
        </w:rPr>
      </w:pPr>
      <w:r>
        <w:rPr>
          <w:rFonts w:asciiTheme="majorHAnsi" w:hAnsiTheme="majorHAnsi"/>
          <w:sz w:val="21"/>
          <w:szCs w:val="21"/>
          <w:lang w:val="es-PE"/>
        </w:rPr>
        <w:t>Secretario Ejecutivo</w:t>
      </w:r>
    </w:p>
    <w:sectPr w:rsidR="00557692" w:rsidSect="00245A1E">
      <w:headerReference w:type="default" r:id="rId10"/>
      <w:footerReference w:type="default" r:id="rId11"/>
      <w:pgSz w:w="12240" w:h="15840"/>
      <w:pgMar w:top="1440" w:right="1440" w:bottom="117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74B" w:rsidRDefault="0079274B" w:rsidP="00CD7245">
      <w:pPr>
        <w:spacing w:after="0" w:line="240" w:lineRule="auto"/>
      </w:pPr>
      <w:r>
        <w:separator/>
      </w:r>
    </w:p>
  </w:endnote>
  <w:endnote w:type="continuationSeparator" w:id="0">
    <w:p w:rsidR="0079274B" w:rsidRDefault="0079274B" w:rsidP="00CD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rsidR="00A75906" w:rsidRPr="00F30F7A" w:rsidRDefault="00A75906">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EB6A3C">
          <w:rPr>
            <w:rFonts w:ascii="Calibri Light" w:hAnsi="Calibri Light"/>
            <w:noProof/>
            <w:sz w:val="16"/>
          </w:rPr>
          <w:t>- 2 -</w:t>
        </w:r>
        <w:r w:rsidRPr="00F30F7A">
          <w:rPr>
            <w:rFonts w:ascii="Calibri Light" w:hAnsi="Calibri Light"/>
            <w:noProof/>
            <w:sz w:val="16"/>
          </w:rPr>
          <w:fldChar w:fldCharType="end"/>
        </w:r>
      </w:p>
    </w:sdtContent>
  </w:sdt>
  <w:p w:rsidR="00A75906" w:rsidRDefault="00A75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74B" w:rsidRDefault="0079274B" w:rsidP="00CD7245">
      <w:pPr>
        <w:spacing w:after="0" w:line="240" w:lineRule="auto"/>
      </w:pPr>
      <w:r>
        <w:separator/>
      </w:r>
    </w:p>
  </w:footnote>
  <w:footnote w:type="continuationSeparator" w:id="0">
    <w:p w:rsidR="0079274B" w:rsidRDefault="0079274B" w:rsidP="00CD7245">
      <w:pPr>
        <w:spacing w:after="0" w:line="240" w:lineRule="auto"/>
      </w:pPr>
      <w:r>
        <w:continuationSeparator/>
      </w:r>
    </w:p>
  </w:footnote>
  <w:footnote w:id="1">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La solicitud fue presentada por la Iniciativa Nicaragüense de Defensoras de Derechos Humanos (IND) y el Centro por la Justicia y el Derecho Internacional (CEJIL). </w:t>
      </w:r>
    </w:p>
  </w:footnote>
  <w:footnote w:id="2">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CIDH, CIDH expresa preocupación por muertes en el contexto de protestas en Nicaragua, </w:t>
      </w:r>
      <w:bookmarkStart w:id="0" w:name="_GoBack"/>
      <w:bookmarkEnd w:id="0"/>
      <w:r w:rsidRPr="00E8620E">
        <w:rPr>
          <w:rFonts w:ascii="Calibri Light" w:hAnsi="Calibri Light" w:cs="Calibri Light"/>
          <w:sz w:val="16"/>
          <w:szCs w:val="16"/>
          <w:lang w:val="es-MX"/>
        </w:rPr>
        <w:t>24 de abril de 2018.</w:t>
      </w:r>
    </w:p>
  </w:footnote>
  <w:footnote w:id="3">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OEA, Comunicado de prensa sobre violencia en Nicaragua, comunicado C-023/18 de 10 de abril de 2018, disponible en </w:t>
      </w:r>
      <w:r w:rsidR="0079274B">
        <w:fldChar w:fldCharType="begin"/>
      </w:r>
      <w:r w:rsidR="0079274B" w:rsidRPr="00EB6A3C">
        <w:rPr>
          <w:lang w:val="es-MX"/>
        </w:rPr>
        <w:instrText xml:space="preserve"> HYPERLINK "http://www.oas.org</w:instrText>
      </w:r>
      <w:r w:rsidR="0079274B" w:rsidRPr="00EB6A3C">
        <w:rPr>
          <w:lang w:val="es-MX"/>
        </w:rPr>
        <w:instrText xml:space="preserve">/es/centro_noticias/comunicado_prensa.asp?sCodigo=C-023/18" </w:instrText>
      </w:r>
      <w:r w:rsidR="0079274B">
        <w:fldChar w:fldCharType="separate"/>
      </w:r>
      <w:r w:rsidRPr="00E8620E">
        <w:rPr>
          <w:rStyle w:val="Hyperlink"/>
          <w:rFonts w:ascii="Calibri Light" w:hAnsi="Calibri Light" w:cs="Calibri Light"/>
          <w:sz w:val="16"/>
          <w:szCs w:val="16"/>
          <w:lang w:val="es-MX"/>
        </w:rPr>
        <w:t>http://www.oas.org/es/centro_noticias/comunicado_prensa.asp?sCodigo=C-023/18</w:t>
      </w:r>
      <w:r w:rsidR="0079274B">
        <w:rPr>
          <w:rStyle w:val="Hyperlink"/>
          <w:rFonts w:ascii="Calibri Light" w:hAnsi="Calibri Light" w:cs="Calibri Light"/>
          <w:sz w:val="16"/>
          <w:szCs w:val="16"/>
          <w:lang w:val="es-MX"/>
        </w:rPr>
        <w:fldChar w:fldCharType="end"/>
      </w:r>
      <w:r w:rsidRPr="00E8620E">
        <w:rPr>
          <w:rFonts w:ascii="Calibri Light" w:hAnsi="Calibri Light" w:cs="Calibri Light"/>
          <w:sz w:val="16"/>
          <w:szCs w:val="16"/>
          <w:lang w:val="es-MX"/>
        </w:rPr>
        <w:t xml:space="preserve"> </w:t>
      </w:r>
    </w:p>
  </w:footnote>
  <w:footnote w:id="4">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Naciones Unidas, El Gobierno de Nicaragua debe evitar los ataques contra manifestantes y medios de comunicación, 20 de abril de 2018, disponible en </w:t>
      </w:r>
      <w:r w:rsidR="0079274B">
        <w:fldChar w:fldCharType="begin"/>
      </w:r>
      <w:r w:rsidR="0079274B" w:rsidRPr="00EB6A3C">
        <w:rPr>
          <w:lang w:val="es-PE"/>
        </w:rPr>
        <w:instrText xml:space="preserve"> HYPERLINK "https://news.un.org/es/story/2018/04/1431632" </w:instrText>
      </w:r>
      <w:r w:rsidR="0079274B">
        <w:fldChar w:fldCharType="separate"/>
      </w:r>
      <w:r w:rsidRPr="00E8620E">
        <w:rPr>
          <w:rStyle w:val="Hyperlink"/>
          <w:rFonts w:ascii="Calibri Light" w:hAnsi="Calibri Light" w:cs="Calibri Light"/>
          <w:sz w:val="16"/>
          <w:szCs w:val="16"/>
          <w:lang w:val="es-MX"/>
        </w:rPr>
        <w:t>https://news.un.org/es/story/2018/04/1431632</w:t>
      </w:r>
      <w:r w:rsidR="0079274B">
        <w:rPr>
          <w:rStyle w:val="Hyperlink"/>
          <w:rFonts w:ascii="Calibri Light" w:hAnsi="Calibri Light" w:cs="Calibri Light"/>
          <w:sz w:val="16"/>
          <w:szCs w:val="16"/>
          <w:lang w:val="es-MX"/>
        </w:rPr>
        <w:fldChar w:fldCharType="end"/>
      </w:r>
      <w:r w:rsidRPr="00E8620E">
        <w:rPr>
          <w:rFonts w:ascii="Calibri Light" w:hAnsi="Calibri Light" w:cs="Calibri Light"/>
          <w:sz w:val="16"/>
          <w:szCs w:val="16"/>
          <w:lang w:val="es-MX"/>
        </w:rPr>
        <w:t xml:space="preserve">   </w:t>
      </w:r>
    </w:p>
  </w:footnote>
  <w:footnote w:id="5">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CIDH, CIDH anuncia instalación de Sala de Coordinación para monitorear la situación en Nicaragua, 3 de mayo de 2018, disponible en </w:t>
      </w:r>
      <w:r w:rsidR="0079274B">
        <w:fldChar w:fldCharType="begin"/>
      </w:r>
      <w:r w:rsidR="0079274B" w:rsidRPr="00EB6A3C">
        <w:rPr>
          <w:lang w:val="es-PE"/>
        </w:rPr>
        <w:instrText xml:space="preserve"> HYPERLINK "http://www.oas.org/es/cidh/prensa/comunicados/2018/094.asp" </w:instrText>
      </w:r>
      <w:r w:rsidR="0079274B">
        <w:fldChar w:fldCharType="separate"/>
      </w:r>
      <w:r w:rsidRPr="00E8620E">
        <w:rPr>
          <w:rStyle w:val="Hyperlink"/>
          <w:rFonts w:ascii="Calibri Light" w:hAnsi="Calibri Light" w:cs="Calibri Light"/>
          <w:sz w:val="16"/>
          <w:szCs w:val="16"/>
          <w:lang w:val="es-MX"/>
        </w:rPr>
        <w:t>http://www.oas.org/es/cidh/prensa/comunicados/2018/094.asp</w:t>
      </w:r>
      <w:r w:rsidR="0079274B">
        <w:rPr>
          <w:rStyle w:val="Hyperlink"/>
          <w:rFonts w:ascii="Calibri Light" w:hAnsi="Calibri Light" w:cs="Calibri Light"/>
          <w:sz w:val="16"/>
          <w:szCs w:val="16"/>
          <w:lang w:val="es-MX"/>
        </w:rPr>
        <w:fldChar w:fldCharType="end"/>
      </w:r>
      <w:r w:rsidRPr="00E8620E">
        <w:rPr>
          <w:rFonts w:ascii="Calibri Light" w:hAnsi="Calibri Light" w:cs="Calibri Light"/>
          <w:sz w:val="16"/>
          <w:szCs w:val="16"/>
          <w:lang w:val="es-MX"/>
        </w:rPr>
        <w:t xml:space="preserve">  </w:t>
      </w:r>
    </w:p>
  </w:footnote>
  <w:footnote w:id="6">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Sobre los cuales ha tenido conocimiento que están siendo objeto de agresiones, amenazas y hostigamientos. CIDH, CIDH anuncia instalación de Sala de Coordinación para monitorear la situación en Nicaragua, 3 de mayo de 2018, disponible en </w:t>
      </w:r>
      <w:r w:rsidR="0079274B">
        <w:fldChar w:fldCharType="begin"/>
      </w:r>
      <w:r w:rsidR="0079274B" w:rsidRPr="00EB6A3C">
        <w:rPr>
          <w:lang w:val="es-PE"/>
        </w:rPr>
        <w:instrText xml:space="preserve"> HYPERLINK "http://www.oas.org/es/cidh/prensa/comunicados/2018/094.asp" </w:instrText>
      </w:r>
      <w:r w:rsidR="0079274B">
        <w:fldChar w:fldCharType="separate"/>
      </w:r>
      <w:r w:rsidRPr="00E8620E">
        <w:rPr>
          <w:rStyle w:val="Hyperlink"/>
          <w:rFonts w:ascii="Calibri Light" w:hAnsi="Calibri Light" w:cs="Calibri Light"/>
          <w:sz w:val="16"/>
          <w:szCs w:val="16"/>
          <w:lang w:val="es-MX"/>
        </w:rPr>
        <w:t>http://www.oas.org/es/cidh/prensa/comunicados/2018/094.asp</w:t>
      </w:r>
      <w:r w:rsidR="0079274B">
        <w:rPr>
          <w:rStyle w:val="Hyperlink"/>
          <w:rFonts w:ascii="Calibri Light" w:hAnsi="Calibri Light" w:cs="Calibri Light"/>
          <w:sz w:val="16"/>
          <w:szCs w:val="16"/>
          <w:lang w:val="es-MX"/>
        </w:rPr>
        <w:fldChar w:fldCharType="end"/>
      </w:r>
      <w:r w:rsidRPr="00E8620E">
        <w:rPr>
          <w:rFonts w:ascii="Calibri Light" w:hAnsi="Calibri Light" w:cs="Calibri Light"/>
          <w:sz w:val="16"/>
          <w:szCs w:val="16"/>
          <w:lang w:val="es-MX"/>
        </w:rPr>
        <w:t xml:space="preserve">  </w:t>
      </w:r>
    </w:p>
  </w:footnote>
  <w:footnote w:id="7">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La Comisión tuvo conocimiento de la muerte del periodista Miguel Ángel Gahona, asesinado por arma de fuego en la cabeza el 21 de abril mientras transmitía en vivo vía red social la jornada de protestas en la ciudad de Bluefields, así como de que al menos cuatro canales privados salieron del aire cuando transmitían información sobre las protestas, por orden del Instituto Nicaragüense de Telecomunicaciones (</w:t>
      </w:r>
      <w:proofErr w:type="spellStart"/>
      <w:r w:rsidRPr="00E8620E">
        <w:rPr>
          <w:rFonts w:ascii="Calibri Light" w:hAnsi="Calibri Light" w:cs="Calibri Light"/>
          <w:sz w:val="16"/>
          <w:szCs w:val="16"/>
          <w:lang w:val="es-MX"/>
        </w:rPr>
        <w:t>Telecor</w:t>
      </w:r>
      <w:proofErr w:type="spellEnd"/>
      <w:r w:rsidRPr="00E8620E">
        <w:rPr>
          <w:rFonts w:ascii="Calibri Light" w:hAnsi="Calibri Light" w:cs="Calibri Light"/>
          <w:sz w:val="16"/>
          <w:szCs w:val="16"/>
          <w:lang w:val="es-MX"/>
        </w:rPr>
        <w:t xml:space="preserve">) que habría sido dada a los canales </w:t>
      </w:r>
      <w:r w:rsidRPr="00E8620E">
        <w:rPr>
          <w:rFonts w:ascii="Calibri Light" w:hAnsi="Calibri Light" w:cs="Calibri Light"/>
          <w:i/>
          <w:sz w:val="16"/>
          <w:szCs w:val="16"/>
          <w:lang w:val="es-MX"/>
        </w:rPr>
        <w:t>15</w:t>
      </w:r>
      <w:r w:rsidRPr="00E8620E">
        <w:rPr>
          <w:rFonts w:ascii="Calibri Light" w:hAnsi="Calibri Light" w:cs="Calibri Light"/>
          <w:sz w:val="16"/>
          <w:szCs w:val="16"/>
          <w:lang w:val="es-MX"/>
        </w:rPr>
        <w:t xml:space="preserve">, </w:t>
      </w:r>
      <w:r w:rsidRPr="00E8620E">
        <w:rPr>
          <w:rFonts w:ascii="Calibri Light" w:hAnsi="Calibri Light" w:cs="Calibri Light"/>
          <w:i/>
          <w:sz w:val="16"/>
          <w:szCs w:val="16"/>
          <w:lang w:val="es-MX"/>
        </w:rPr>
        <w:t>12</w:t>
      </w:r>
      <w:r w:rsidRPr="00E8620E">
        <w:rPr>
          <w:rFonts w:ascii="Calibri Light" w:hAnsi="Calibri Light" w:cs="Calibri Light"/>
          <w:sz w:val="16"/>
          <w:szCs w:val="16"/>
          <w:lang w:val="es-MX"/>
        </w:rPr>
        <w:t xml:space="preserve">, </w:t>
      </w:r>
      <w:r w:rsidRPr="00E8620E">
        <w:rPr>
          <w:rFonts w:ascii="Calibri Light" w:hAnsi="Calibri Light" w:cs="Calibri Light"/>
          <w:i/>
          <w:sz w:val="16"/>
          <w:szCs w:val="16"/>
          <w:lang w:val="es-MX"/>
        </w:rPr>
        <w:t>23</w:t>
      </w:r>
      <w:r w:rsidRPr="00E8620E">
        <w:rPr>
          <w:rFonts w:ascii="Calibri Light" w:hAnsi="Calibri Light" w:cs="Calibri Light"/>
          <w:sz w:val="16"/>
          <w:szCs w:val="16"/>
          <w:lang w:val="es-MX"/>
        </w:rPr>
        <w:t xml:space="preserve"> y </w:t>
      </w:r>
      <w:r w:rsidRPr="00E8620E">
        <w:rPr>
          <w:rFonts w:ascii="Calibri Light" w:hAnsi="Calibri Light" w:cs="Calibri Light"/>
          <w:i/>
          <w:sz w:val="16"/>
          <w:szCs w:val="16"/>
          <w:lang w:val="es-MX"/>
        </w:rPr>
        <w:t xml:space="preserve">100% noticias. </w:t>
      </w:r>
      <w:r w:rsidRPr="00E8620E">
        <w:rPr>
          <w:rFonts w:ascii="Calibri Light" w:hAnsi="Calibri Light" w:cs="Calibri Light"/>
          <w:sz w:val="16"/>
          <w:szCs w:val="16"/>
          <w:lang w:val="es-MX"/>
        </w:rPr>
        <w:t xml:space="preserve">CIDH, CIDH expresa preocupación por muertes en el contexto de protestas en Nicaragua, 24 de abril de 2018, disponible en </w:t>
      </w:r>
      <w:r w:rsidR="0079274B">
        <w:fldChar w:fldCharType="begin"/>
      </w:r>
      <w:r w:rsidR="0079274B" w:rsidRPr="00EB6A3C">
        <w:rPr>
          <w:lang w:val="es-PE"/>
        </w:rPr>
        <w:instrText xml:space="preserve"> HYPERLINK "http://www.oas.org/es/cidh/prensa/comunicados/2018/090.asp" </w:instrText>
      </w:r>
      <w:r w:rsidR="0079274B">
        <w:fldChar w:fldCharType="separate"/>
      </w:r>
      <w:r w:rsidRPr="00E8620E">
        <w:rPr>
          <w:rStyle w:val="Hyperlink"/>
          <w:rFonts w:ascii="Calibri Light" w:hAnsi="Calibri Light" w:cs="Calibri Light"/>
          <w:sz w:val="16"/>
          <w:szCs w:val="16"/>
          <w:lang w:val="es-MX"/>
        </w:rPr>
        <w:t>http://www.oas.org/es/cidh/prensa/comunicados/2018/090.asp</w:t>
      </w:r>
      <w:r w:rsidR="0079274B">
        <w:rPr>
          <w:rStyle w:val="Hyperlink"/>
          <w:rFonts w:ascii="Calibri Light" w:hAnsi="Calibri Light" w:cs="Calibri Light"/>
          <w:sz w:val="16"/>
          <w:szCs w:val="16"/>
          <w:lang w:val="es-MX"/>
        </w:rPr>
        <w:fldChar w:fldCharType="end"/>
      </w:r>
      <w:r w:rsidRPr="00E8620E">
        <w:rPr>
          <w:rFonts w:ascii="Calibri Light" w:hAnsi="Calibri Light" w:cs="Calibri Light"/>
          <w:sz w:val="16"/>
          <w:szCs w:val="16"/>
          <w:lang w:val="es-MX"/>
        </w:rPr>
        <w:t xml:space="preserve"> </w:t>
      </w:r>
    </w:p>
  </w:footnote>
  <w:footnote w:id="8">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La CIDH recibió información que indica que algunos de los familiares de las personas fallecidas durante las protestas fueron obligados a no presentar denuncias para que les entreguen los cuerpos. CIDH, CIDH anuncia instalación de Sala de Coordinación para monitorear la situación en Nicaragua, 3 de mayo de 2018, disponible en </w:t>
      </w:r>
      <w:r w:rsidR="0079274B">
        <w:fldChar w:fldCharType="begin"/>
      </w:r>
      <w:r w:rsidR="0079274B" w:rsidRPr="00EB6A3C">
        <w:rPr>
          <w:lang w:val="es-PE"/>
        </w:rPr>
        <w:instrText xml:space="preserve"> HYPERLINK "http://www.oas.org/es/cidh/prensa/comunicados/2018/094.asp" </w:instrText>
      </w:r>
      <w:r w:rsidR="0079274B">
        <w:fldChar w:fldCharType="separate"/>
      </w:r>
      <w:r w:rsidRPr="00E8620E">
        <w:rPr>
          <w:rStyle w:val="Hyperlink"/>
          <w:rFonts w:ascii="Calibri Light" w:hAnsi="Calibri Light" w:cs="Calibri Light"/>
          <w:sz w:val="16"/>
          <w:szCs w:val="16"/>
          <w:lang w:val="es-MX"/>
        </w:rPr>
        <w:t>http://www.oas.org/es/cidh/prensa/comunicados/2018/094.asp</w:t>
      </w:r>
      <w:r w:rsidR="0079274B">
        <w:rPr>
          <w:rStyle w:val="Hyperlink"/>
          <w:rFonts w:ascii="Calibri Light" w:hAnsi="Calibri Light" w:cs="Calibri Light"/>
          <w:sz w:val="16"/>
          <w:szCs w:val="16"/>
          <w:lang w:val="es-MX"/>
        </w:rPr>
        <w:fldChar w:fldCharType="end"/>
      </w:r>
      <w:r w:rsidRPr="00E8620E">
        <w:rPr>
          <w:rFonts w:ascii="Calibri Light" w:hAnsi="Calibri Light" w:cs="Calibri Light"/>
          <w:sz w:val="16"/>
          <w:szCs w:val="16"/>
          <w:lang w:val="es-MX"/>
        </w:rPr>
        <w:t xml:space="preserve"> </w:t>
      </w:r>
    </w:p>
  </w:footnote>
  <w:footnote w:id="9">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CIDH: CIDH expresa preocupación por muertes en el contexto de protestas en Nicaragua, 24 de abril de 2018; CIDH anuncia instalación de Sala de Coordinación para monitorear la situación en Nicaragua, 3 de mayo de 2018; CIDH insiste en solicitud de anuencia de Nicaragua para visitar el país, 11 de mayo de 2018; CIDH realizará visita a Nicaragua, 14 de mayo de 2018; CIDH anuncia fechas y alcance de su visita a Nicaragua, 17 de mayo de 2018; todos estos disponibles en </w:t>
      </w:r>
      <w:r w:rsidR="0079274B">
        <w:fldChar w:fldCharType="begin"/>
      </w:r>
      <w:r w:rsidR="0079274B" w:rsidRPr="00EB6A3C">
        <w:rPr>
          <w:lang w:val="es-PE"/>
        </w:rPr>
        <w:instrText xml:space="preserve"> HYPERLINK "http://www.oas.org/es/cidh/prensa/comunicad</w:instrText>
      </w:r>
      <w:r w:rsidR="0079274B" w:rsidRPr="00EB6A3C">
        <w:rPr>
          <w:lang w:val="es-PE"/>
        </w:rPr>
        <w:instrText xml:space="preserve">os.asp" </w:instrText>
      </w:r>
      <w:r w:rsidR="0079274B">
        <w:fldChar w:fldCharType="separate"/>
      </w:r>
      <w:r w:rsidRPr="00E8620E">
        <w:rPr>
          <w:rStyle w:val="Hyperlink"/>
          <w:rFonts w:ascii="Calibri Light" w:hAnsi="Calibri Light" w:cs="Calibri Light"/>
          <w:sz w:val="16"/>
          <w:szCs w:val="16"/>
          <w:lang w:val="es-MX"/>
        </w:rPr>
        <w:t>http://www.oas.org/es/cidh/prensa/comunicados.asp</w:t>
      </w:r>
      <w:r w:rsidR="0079274B">
        <w:rPr>
          <w:rStyle w:val="Hyperlink"/>
          <w:rFonts w:ascii="Calibri Light" w:hAnsi="Calibri Light" w:cs="Calibri Light"/>
          <w:sz w:val="16"/>
          <w:szCs w:val="16"/>
          <w:lang w:val="es-MX"/>
        </w:rPr>
        <w:fldChar w:fldCharType="end"/>
      </w:r>
      <w:r w:rsidRPr="00E8620E">
        <w:rPr>
          <w:rFonts w:ascii="Calibri Light" w:hAnsi="Calibri Light" w:cs="Calibri Light"/>
          <w:sz w:val="16"/>
          <w:szCs w:val="16"/>
          <w:lang w:val="es-MX"/>
        </w:rPr>
        <w:t xml:space="preserve"> </w:t>
      </w:r>
    </w:p>
  </w:footnote>
  <w:footnote w:id="10">
    <w:p w:rsidR="00A75906" w:rsidRPr="00E8620E" w:rsidRDefault="00A75906" w:rsidP="00270017">
      <w:pPr>
        <w:pStyle w:val="FootnoteText"/>
        <w:jc w:val="both"/>
        <w:rPr>
          <w:rFonts w:ascii="Calibri Light" w:hAnsi="Calibri Light" w:cs="Calibri Light"/>
          <w:sz w:val="16"/>
          <w:szCs w:val="16"/>
          <w:lang w:val="es-ES_tradnl"/>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ES_tradnl"/>
        </w:rPr>
        <w:t xml:space="preserve"> CIDH, Observaciones preliminares de la visita de trabajo de la CIDH a Nicaragua, 21 de mayo de 2018. Disponible en: </w:t>
      </w:r>
      <w:r w:rsidR="0079274B">
        <w:fldChar w:fldCharType="begin"/>
      </w:r>
      <w:r w:rsidR="0079274B" w:rsidRPr="00EB6A3C">
        <w:rPr>
          <w:lang w:val="es-PE"/>
        </w:rPr>
        <w:instrText xml:space="preserve"> HYPERLINK "http://www.oas.org/es/cidh/prensa/comunicados/2018/113.asp" </w:instrText>
      </w:r>
      <w:r w:rsidR="0079274B">
        <w:fldChar w:fldCharType="separate"/>
      </w:r>
      <w:r w:rsidRPr="00E8620E">
        <w:rPr>
          <w:rStyle w:val="Hyperlink"/>
          <w:rFonts w:ascii="Calibri Light" w:hAnsi="Calibri Light" w:cs="Calibri Light"/>
          <w:sz w:val="16"/>
          <w:szCs w:val="16"/>
          <w:lang w:val="es-ES_tradnl"/>
        </w:rPr>
        <w:t>http://www.oas.org/es/cidh/prensa/comunicados/2018/113.asp</w:t>
      </w:r>
      <w:r w:rsidR="0079274B">
        <w:rPr>
          <w:rStyle w:val="Hyperlink"/>
          <w:rFonts w:ascii="Calibri Light" w:hAnsi="Calibri Light" w:cs="Calibri Light"/>
          <w:sz w:val="16"/>
          <w:szCs w:val="16"/>
          <w:lang w:val="es-ES_tradnl"/>
        </w:rPr>
        <w:fldChar w:fldCharType="end"/>
      </w:r>
      <w:r w:rsidRPr="00E8620E">
        <w:rPr>
          <w:rFonts w:ascii="Calibri Light" w:hAnsi="Calibri Light" w:cs="Calibri Light"/>
          <w:sz w:val="16"/>
          <w:szCs w:val="16"/>
          <w:lang w:val="es-ES_tradnl"/>
        </w:rPr>
        <w:t xml:space="preserve">  </w:t>
      </w:r>
    </w:p>
  </w:footnote>
  <w:footnote w:id="11">
    <w:p w:rsidR="00A75906" w:rsidRPr="00E8620E" w:rsidRDefault="00A75906" w:rsidP="00270017">
      <w:pPr>
        <w:pStyle w:val="FootnoteText"/>
        <w:jc w:val="both"/>
        <w:rPr>
          <w:rFonts w:ascii="Calibri Light" w:hAnsi="Calibri Light" w:cs="Calibri Light"/>
          <w:sz w:val="16"/>
          <w:szCs w:val="16"/>
          <w:lang w:val="es-ES_tradnl"/>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ES_tradnl"/>
        </w:rPr>
        <w:t xml:space="preserve"> CIDH, Observaciones preliminares de la visita de trabajo de la CIDH a Nicaragua, 21 de mayo de 2018. Disponible en: </w:t>
      </w:r>
      <w:r w:rsidR="0079274B">
        <w:fldChar w:fldCharType="begin"/>
      </w:r>
      <w:r w:rsidR="0079274B" w:rsidRPr="00EB6A3C">
        <w:rPr>
          <w:lang w:val="es-PE"/>
        </w:rPr>
        <w:instrText xml:space="preserve"> HYPERLINK "http://www.oas.org/es/cidh/prensa/comunicados/2018/113.asp" </w:instrText>
      </w:r>
      <w:r w:rsidR="0079274B">
        <w:fldChar w:fldCharType="separate"/>
      </w:r>
      <w:r w:rsidRPr="00E8620E">
        <w:rPr>
          <w:rStyle w:val="Hyperlink"/>
          <w:rFonts w:ascii="Calibri Light" w:hAnsi="Calibri Light" w:cs="Calibri Light"/>
          <w:sz w:val="16"/>
          <w:szCs w:val="16"/>
          <w:lang w:val="es-ES_tradnl"/>
        </w:rPr>
        <w:t>http://www.oas.org/es/cidh/prensa/comunicados/2018/113.asp</w:t>
      </w:r>
      <w:r w:rsidR="0079274B">
        <w:rPr>
          <w:rStyle w:val="Hyperlink"/>
          <w:rFonts w:ascii="Calibri Light" w:hAnsi="Calibri Light" w:cs="Calibri Light"/>
          <w:sz w:val="16"/>
          <w:szCs w:val="16"/>
          <w:lang w:val="es-ES_tradnl"/>
        </w:rPr>
        <w:fldChar w:fldCharType="end"/>
      </w:r>
      <w:r w:rsidRPr="00E8620E">
        <w:rPr>
          <w:rFonts w:ascii="Calibri Light" w:hAnsi="Calibri Light" w:cs="Calibri Light"/>
          <w:sz w:val="16"/>
          <w:szCs w:val="16"/>
          <w:lang w:val="es-ES_tradnl"/>
        </w:rPr>
        <w:t xml:space="preserve"> </w:t>
      </w:r>
    </w:p>
  </w:footnote>
  <w:footnote w:id="12">
    <w:p w:rsidR="00A75906" w:rsidRPr="00E8620E" w:rsidRDefault="00A75906" w:rsidP="00270017">
      <w:pPr>
        <w:pStyle w:val="FootnoteText"/>
        <w:jc w:val="both"/>
        <w:rPr>
          <w:rFonts w:ascii="Calibri Light" w:hAnsi="Calibri Light" w:cs="Calibri Light"/>
          <w:sz w:val="16"/>
          <w:szCs w:val="16"/>
          <w:lang w:val="es-ES_tradnl"/>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ES_tradnl"/>
        </w:rPr>
        <w:t xml:space="preserve"> CIDH, CIDH condena nuevos hechos de violencia en Nicaragua, 25 de mayo de 2018. Disponible en: </w:t>
      </w:r>
      <w:r w:rsidR="0079274B">
        <w:fldChar w:fldCharType="begin"/>
      </w:r>
      <w:r w:rsidR="0079274B" w:rsidRPr="00EB6A3C">
        <w:rPr>
          <w:lang w:val="es-PE"/>
        </w:rPr>
        <w:instrText xml:space="preserve"> HYPERLINK "http://www.oas.org/es/cidh/prensa/comunicados/2018/118.asp" </w:instrText>
      </w:r>
      <w:r w:rsidR="0079274B">
        <w:fldChar w:fldCharType="separate"/>
      </w:r>
      <w:r w:rsidRPr="00E8620E">
        <w:rPr>
          <w:rStyle w:val="Hyperlink"/>
          <w:rFonts w:ascii="Calibri Light" w:hAnsi="Calibri Light" w:cs="Calibri Light"/>
          <w:sz w:val="16"/>
          <w:szCs w:val="16"/>
          <w:lang w:val="es-ES_tradnl"/>
        </w:rPr>
        <w:t>http://www.oas.org/es/cidh/prensa/comunicados/2018/118.asp</w:t>
      </w:r>
      <w:r w:rsidR="0079274B">
        <w:rPr>
          <w:rStyle w:val="Hyperlink"/>
          <w:rFonts w:ascii="Calibri Light" w:hAnsi="Calibri Light" w:cs="Calibri Light"/>
          <w:sz w:val="16"/>
          <w:szCs w:val="16"/>
          <w:lang w:val="es-ES_tradnl"/>
        </w:rPr>
        <w:fldChar w:fldCharType="end"/>
      </w:r>
      <w:r w:rsidRPr="00E8620E">
        <w:rPr>
          <w:rFonts w:ascii="Calibri Light" w:hAnsi="Calibri Light" w:cs="Calibri Light"/>
          <w:sz w:val="16"/>
          <w:szCs w:val="16"/>
          <w:lang w:val="es-ES_tradnl"/>
        </w:rPr>
        <w:t xml:space="preserve">  </w:t>
      </w:r>
    </w:p>
  </w:footnote>
  <w:footnote w:id="13">
    <w:p w:rsidR="00A75906" w:rsidRPr="00E8620E" w:rsidRDefault="00A75906" w:rsidP="00270017">
      <w:pPr>
        <w:pStyle w:val="FootnoteText"/>
        <w:jc w:val="both"/>
        <w:rPr>
          <w:rFonts w:ascii="Calibri Light" w:hAnsi="Calibri Light" w:cs="Calibri Light"/>
          <w:sz w:val="16"/>
          <w:szCs w:val="16"/>
          <w:lang w:val="es-ES_tradnl"/>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ES_tradnl"/>
        </w:rPr>
        <w:t xml:space="preserve"> CIDH, CIDH urge a desmantelar grupos parapoliciales y proteger derecho a protesta pacífica, 1 de junio de 2018. Disponible en: </w:t>
      </w:r>
      <w:r w:rsidR="0079274B">
        <w:fldChar w:fldCharType="begin"/>
      </w:r>
      <w:r w:rsidR="0079274B" w:rsidRPr="00EB6A3C">
        <w:rPr>
          <w:lang w:val="es-PE"/>
        </w:rPr>
        <w:instrText xml:space="preserve"> HYPERLINK "http://www.oas.org/es/cidh/prensa/comunicados/2018/1</w:instrText>
      </w:r>
      <w:r w:rsidR="0079274B" w:rsidRPr="00EB6A3C">
        <w:rPr>
          <w:lang w:val="es-PE"/>
        </w:rPr>
        <w:instrText xml:space="preserve">24.asp" </w:instrText>
      </w:r>
      <w:r w:rsidR="0079274B">
        <w:fldChar w:fldCharType="separate"/>
      </w:r>
      <w:r w:rsidRPr="00E8620E">
        <w:rPr>
          <w:rStyle w:val="Hyperlink"/>
          <w:rFonts w:ascii="Calibri Light" w:hAnsi="Calibri Light" w:cs="Calibri Light"/>
          <w:sz w:val="16"/>
          <w:szCs w:val="16"/>
          <w:lang w:val="es-ES_tradnl"/>
        </w:rPr>
        <w:t>http://www.oas.org/es/cidh/prensa/comunicados/2018/124.asp</w:t>
      </w:r>
      <w:r w:rsidR="0079274B">
        <w:rPr>
          <w:rStyle w:val="Hyperlink"/>
          <w:rFonts w:ascii="Calibri Light" w:hAnsi="Calibri Light" w:cs="Calibri Light"/>
          <w:sz w:val="16"/>
          <w:szCs w:val="16"/>
          <w:lang w:val="es-ES_tradnl"/>
        </w:rPr>
        <w:fldChar w:fldCharType="end"/>
      </w:r>
      <w:r w:rsidRPr="00E8620E">
        <w:rPr>
          <w:rFonts w:ascii="Calibri Light" w:hAnsi="Calibri Light" w:cs="Calibri Light"/>
          <w:sz w:val="16"/>
          <w:szCs w:val="16"/>
          <w:lang w:val="es-ES_tradnl"/>
        </w:rPr>
        <w:t xml:space="preserve">  </w:t>
      </w:r>
    </w:p>
  </w:footnote>
  <w:footnote w:id="14">
    <w:p w:rsidR="00A75906" w:rsidRPr="00E8620E" w:rsidRDefault="00A75906" w:rsidP="00270017">
      <w:pPr>
        <w:pStyle w:val="FootnoteText"/>
        <w:jc w:val="both"/>
        <w:rPr>
          <w:rFonts w:ascii="Calibri Light" w:hAnsi="Calibri Light" w:cs="Calibri Light"/>
          <w:sz w:val="16"/>
          <w:szCs w:val="16"/>
          <w:lang w:val="es-ES_tradnl"/>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ES_tradnl"/>
        </w:rPr>
        <w:t xml:space="preserve"> CIDH, CIDH presenta informe sobre grave situación de derechos humanos en Nicaragua, 22 de junio de 2018. Disponible en: </w:t>
      </w:r>
      <w:r w:rsidR="0079274B">
        <w:fldChar w:fldCharType="begin"/>
      </w:r>
      <w:r w:rsidR="0079274B" w:rsidRPr="00EB6A3C">
        <w:rPr>
          <w:lang w:val="es-PE"/>
        </w:rPr>
        <w:instrText xml:space="preserve"> HYPERLINK "http://www.oas.org/es/cidh/prensa/comunicados/2018</w:instrText>
      </w:r>
      <w:r w:rsidR="0079274B" w:rsidRPr="00EB6A3C">
        <w:rPr>
          <w:lang w:val="es-PE"/>
        </w:rPr>
        <w:instrText xml:space="preserve">/134.asp" </w:instrText>
      </w:r>
      <w:r w:rsidR="0079274B">
        <w:fldChar w:fldCharType="separate"/>
      </w:r>
      <w:r w:rsidRPr="00E8620E">
        <w:rPr>
          <w:rStyle w:val="Hyperlink"/>
          <w:rFonts w:ascii="Calibri Light" w:hAnsi="Calibri Light" w:cs="Calibri Light"/>
          <w:sz w:val="16"/>
          <w:szCs w:val="16"/>
          <w:lang w:val="es-ES_tradnl"/>
        </w:rPr>
        <w:t>http://www.oas.org/es/cidh/prensa/comunicados/2018/134.asp</w:t>
      </w:r>
      <w:r w:rsidR="0079274B">
        <w:rPr>
          <w:rStyle w:val="Hyperlink"/>
          <w:rFonts w:ascii="Calibri Light" w:hAnsi="Calibri Light" w:cs="Calibri Light"/>
          <w:sz w:val="16"/>
          <w:szCs w:val="16"/>
          <w:lang w:val="es-ES_tradnl"/>
        </w:rPr>
        <w:fldChar w:fldCharType="end"/>
      </w:r>
      <w:r w:rsidRPr="00E8620E">
        <w:rPr>
          <w:rFonts w:ascii="Calibri Light" w:hAnsi="Calibri Light" w:cs="Calibri Light"/>
          <w:sz w:val="16"/>
          <w:szCs w:val="16"/>
          <w:lang w:val="es-ES_tradnl"/>
        </w:rPr>
        <w:t xml:space="preserve">  </w:t>
      </w:r>
    </w:p>
  </w:footnote>
  <w:footnote w:id="15">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CIDH, “</w:t>
      </w:r>
      <w:r w:rsidRPr="00E8620E">
        <w:rPr>
          <w:rFonts w:ascii="Calibri Light" w:hAnsi="Calibri Light" w:cs="Calibri Light"/>
          <w:bCs/>
          <w:sz w:val="16"/>
          <w:szCs w:val="16"/>
          <w:lang w:val="es-MX"/>
        </w:rPr>
        <w:t xml:space="preserve">CIDH instala el Mecanismo Especial de Seguimiento para Nicaragua (MESENI)”, comunicado de prensa de 24 de junio de 2018. Disponible en: </w:t>
      </w:r>
      <w:r w:rsidR="0079274B">
        <w:fldChar w:fldCharType="begin"/>
      </w:r>
      <w:r w:rsidR="0079274B" w:rsidRPr="00EB6A3C">
        <w:rPr>
          <w:lang w:val="es-PE"/>
        </w:rPr>
        <w:instrText xml:space="preserve"> HYPERLINK "http://www.oas.org/es/cid</w:instrText>
      </w:r>
      <w:r w:rsidR="0079274B" w:rsidRPr="00EB6A3C">
        <w:rPr>
          <w:lang w:val="es-PE"/>
        </w:rPr>
        <w:instrText xml:space="preserve">h/prensa/Comunicados/2018/135.asp" </w:instrText>
      </w:r>
      <w:r w:rsidR="0079274B">
        <w:fldChar w:fldCharType="separate"/>
      </w:r>
      <w:r w:rsidRPr="00E8620E">
        <w:rPr>
          <w:rStyle w:val="Hyperlink"/>
          <w:rFonts w:ascii="Calibri Light" w:hAnsi="Calibri Light" w:cs="Calibri Light"/>
          <w:bCs/>
          <w:sz w:val="16"/>
          <w:szCs w:val="16"/>
          <w:lang w:val="es-MX"/>
        </w:rPr>
        <w:t>http://www.oas.org/es/cidh/prensa/Comunicados/2018/135.asp</w:t>
      </w:r>
      <w:r w:rsidR="0079274B">
        <w:rPr>
          <w:rStyle w:val="Hyperlink"/>
          <w:rFonts w:ascii="Calibri Light" w:hAnsi="Calibri Light" w:cs="Calibri Light"/>
          <w:bCs/>
          <w:sz w:val="16"/>
          <w:szCs w:val="16"/>
          <w:lang w:val="es-MX"/>
        </w:rPr>
        <w:fldChar w:fldCharType="end"/>
      </w:r>
      <w:r w:rsidRPr="00E8620E">
        <w:rPr>
          <w:rFonts w:ascii="Calibri Light" w:hAnsi="Calibri Light" w:cs="Calibri Light"/>
          <w:bCs/>
          <w:sz w:val="16"/>
          <w:szCs w:val="16"/>
          <w:lang w:val="es-MX"/>
        </w:rPr>
        <w:t xml:space="preserve">  </w:t>
      </w:r>
    </w:p>
  </w:footnote>
  <w:footnote w:id="16">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CIDH, Mecanismo Especial de Seguimiento para Nicaragua (MESENI) completa tercera semana de trabajo y constata intensificación de represión y operativos por la policía y grupos parapoliciales”, 19 de julio de 2018.</w:t>
      </w:r>
    </w:p>
  </w:footnote>
  <w:footnote w:id="17">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CIDH, CIDH urge al Estado de Nicaragua a cesar la criminalización de la protesta y a respetar a las personas privadas de la libertad y sus familias, 24 de agosto de 2018. </w:t>
      </w:r>
    </w:p>
  </w:footnote>
  <w:footnote w:id="18">
    <w:p w:rsidR="00A75906" w:rsidRPr="00E8620E" w:rsidRDefault="00A75906" w:rsidP="00270017">
      <w:pPr>
        <w:pStyle w:val="FootnoteText"/>
        <w:jc w:val="both"/>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CIDH, CIDH urge al Estado de Nicaragua a cesar la criminalización de la protesta y a respetar a las personas privadas de la libertad y sus familias, 24 de agosto de 2018. </w:t>
      </w:r>
    </w:p>
  </w:footnote>
  <w:footnote w:id="19">
    <w:p w:rsidR="00A75906" w:rsidRPr="00E8620E" w:rsidRDefault="00A75906" w:rsidP="00270017">
      <w:pPr>
        <w:pStyle w:val="FootnoteText"/>
        <w:jc w:val="both"/>
        <w:rPr>
          <w:rFonts w:ascii="Calibri Light" w:hAnsi="Calibri Light" w:cs="Calibri Light"/>
          <w:sz w:val="16"/>
          <w:szCs w:val="16"/>
          <w:lang w:val="es-CR"/>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CR"/>
        </w:rPr>
        <w:t xml:space="preserve"> CIDH, Comunicado sobre Nicaragua, 19 de diciembre de 2018. Disponible en: </w:t>
      </w:r>
      <w:r w:rsidR="0079274B">
        <w:fldChar w:fldCharType="begin"/>
      </w:r>
      <w:r w:rsidR="0079274B" w:rsidRPr="00EB6A3C">
        <w:rPr>
          <w:lang w:val="es-PE"/>
        </w:rPr>
        <w:instrText xml:space="preserve"> HYPERLINK "http://www.oas.org/es/cidh/prensa/comunicados/2018/274.asp" </w:instrText>
      </w:r>
      <w:r w:rsidR="0079274B">
        <w:fldChar w:fldCharType="separate"/>
      </w:r>
      <w:r w:rsidR="00550EC3" w:rsidRPr="00FD61D9">
        <w:rPr>
          <w:rStyle w:val="Hyperlink"/>
          <w:rFonts w:ascii="Calibri Light" w:hAnsi="Calibri Light" w:cs="Calibri Light"/>
          <w:sz w:val="16"/>
          <w:szCs w:val="16"/>
          <w:lang w:val="es-CR"/>
        </w:rPr>
        <w:t>http://www.oas.org/es/cidh/prensa/comunicados/2018/274.asp</w:t>
      </w:r>
      <w:r w:rsidR="0079274B">
        <w:rPr>
          <w:rStyle w:val="Hyperlink"/>
          <w:rFonts w:ascii="Calibri Light" w:hAnsi="Calibri Light" w:cs="Calibri Light"/>
          <w:sz w:val="16"/>
          <w:szCs w:val="16"/>
          <w:lang w:val="es-CR"/>
        </w:rPr>
        <w:fldChar w:fldCharType="end"/>
      </w:r>
      <w:r w:rsidR="00550EC3">
        <w:rPr>
          <w:rFonts w:ascii="Calibri Light" w:hAnsi="Calibri Light" w:cs="Calibri Light"/>
          <w:sz w:val="16"/>
          <w:szCs w:val="16"/>
          <w:lang w:val="es-CR"/>
        </w:rPr>
        <w:t xml:space="preserve"> </w:t>
      </w:r>
    </w:p>
  </w:footnote>
  <w:footnote w:id="20">
    <w:p w:rsidR="00E8620E" w:rsidRPr="00E8620E" w:rsidRDefault="00E8620E" w:rsidP="00270017">
      <w:pPr>
        <w:pStyle w:val="FootnoteText"/>
        <w:rPr>
          <w:rFonts w:ascii="Calibri Light" w:hAnsi="Calibri Light" w:cs="Calibri Light"/>
          <w:sz w:val="16"/>
          <w:szCs w:val="16"/>
          <w:lang w:val="es-UY"/>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UY"/>
        </w:rPr>
        <w:t xml:space="preserve"> GIEI, Informe sobre los hechos de violencia ocurridos entre el 18 de abril y el 30 de mayo de 2018. Diciembre de 2018. Disponible en: </w:t>
      </w:r>
      <w:r w:rsidR="0079274B">
        <w:fldChar w:fldCharType="begin"/>
      </w:r>
      <w:r w:rsidR="0079274B" w:rsidRPr="00EB6A3C">
        <w:rPr>
          <w:lang w:val="es-PE"/>
        </w:rPr>
        <w:instrText xml:space="preserve"> HYPERLINK "http://gieinicaragua.org/giei-content/uploads/2018/12/GIEI_INFORME_DIGITAL.pdf" </w:instrText>
      </w:r>
      <w:r w:rsidR="0079274B">
        <w:fldChar w:fldCharType="separate"/>
      </w:r>
      <w:r w:rsidR="00550EC3" w:rsidRPr="00FD61D9">
        <w:rPr>
          <w:rStyle w:val="Hyperlink"/>
          <w:rFonts w:ascii="Calibri Light" w:hAnsi="Calibri Light" w:cs="Calibri Light"/>
          <w:sz w:val="16"/>
          <w:szCs w:val="16"/>
          <w:lang w:val="es-UY"/>
        </w:rPr>
        <w:t>http://gieinicaragua.org/giei-content/uploads/2018/12/GIEI_INFORME_DIGITAL.pdf</w:t>
      </w:r>
      <w:r w:rsidR="0079274B">
        <w:rPr>
          <w:rStyle w:val="Hyperlink"/>
          <w:rFonts w:ascii="Calibri Light" w:hAnsi="Calibri Light" w:cs="Calibri Light"/>
          <w:sz w:val="16"/>
          <w:szCs w:val="16"/>
          <w:lang w:val="es-UY"/>
        </w:rPr>
        <w:fldChar w:fldCharType="end"/>
      </w:r>
      <w:r w:rsidR="00550EC3">
        <w:rPr>
          <w:rFonts w:ascii="Calibri Light" w:hAnsi="Calibri Light" w:cs="Calibri Light"/>
          <w:sz w:val="16"/>
          <w:szCs w:val="16"/>
          <w:lang w:val="es-UY"/>
        </w:rPr>
        <w:t xml:space="preserve"> </w:t>
      </w:r>
    </w:p>
  </w:footnote>
  <w:footnote w:id="21">
    <w:p w:rsidR="00E8620E" w:rsidRPr="00E8620E" w:rsidRDefault="00E8620E" w:rsidP="00270017">
      <w:pPr>
        <w:pStyle w:val="FootnoteText"/>
        <w:rPr>
          <w:rFonts w:ascii="Calibri Light" w:hAnsi="Calibri Light" w:cs="Calibri Light"/>
          <w:sz w:val="16"/>
          <w:szCs w:val="16"/>
          <w:lang w:val="es-UY"/>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UY"/>
        </w:rPr>
        <w:t xml:space="preserve"> CIDH, </w:t>
      </w:r>
      <w:r w:rsidRPr="00E8620E">
        <w:rPr>
          <w:rFonts w:ascii="Calibri Light" w:hAnsi="Calibri Light" w:cs="Calibri Light"/>
          <w:bCs/>
          <w:color w:val="333333"/>
          <w:kern w:val="36"/>
          <w:sz w:val="16"/>
          <w:szCs w:val="16"/>
          <w:lang w:val="es-UY"/>
        </w:rPr>
        <w:t>CIDH denuncia el debilitamiento del Estado de Derecho ante las graves violaciones de derechos humanos y crímenes contra la humanidad en Nicaragua, 10 de enero</w:t>
      </w:r>
      <w:r w:rsidR="00550EC3">
        <w:rPr>
          <w:rFonts w:ascii="Calibri Light" w:hAnsi="Calibri Light" w:cs="Calibri Light"/>
          <w:bCs/>
          <w:color w:val="333333"/>
          <w:kern w:val="36"/>
          <w:sz w:val="16"/>
          <w:szCs w:val="16"/>
          <w:lang w:val="es-UY"/>
        </w:rPr>
        <w:t xml:space="preserve"> </w:t>
      </w:r>
      <w:r w:rsidRPr="00E8620E">
        <w:rPr>
          <w:rFonts w:ascii="Calibri Light" w:hAnsi="Calibri Light" w:cs="Calibri Light"/>
          <w:bCs/>
          <w:color w:val="333333"/>
          <w:kern w:val="36"/>
          <w:sz w:val="16"/>
          <w:szCs w:val="16"/>
          <w:lang w:val="es-UY"/>
        </w:rPr>
        <w:t>de 2019.</w:t>
      </w:r>
    </w:p>
  </w:footnote>
  <w:footnote w:id="22">
    <w:p w:rsidR="00A75906" w:rsidRPr="00E8620E" w:rsidRDefault="00A75906" w:rsidP="00270017">
      <w:pPr>
        <w:pStyle w:val="FootnoteText"/>
        <w:jc w:val="both"/>
        <w:rPr>
          <w:rFonts w:ascii="Calibri Light" w:hAnsi="Calibri Light" w:cs="Calibri Light"/>
          <w:sz w:val="16"/>
          <w:szCs w:val="16"/>
          <w:lang w:val="es-CO"/>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CO"/>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w:t>
      </w:r>
      <w:proofErr w:type="spellStart"/>
      <w:r w:rsidRPr="00E8620E">
        <w:rPr>
          <w:rFonts w:ascii="Calibri Light" w:hAnsi="Calibri Light" w:cs="Calibri Light"/>
          <w:sz w:val="16"/>
          <w:szCs w:val="16"/>
          <w:lang w:val="es-CO"/>
        </w:rPr>
        <w:t>Tatuapé</w:t>
      </w:r>
      <w:proofErr w:type="spellEnd"/>
      <w:r w:rsidRPr="00E8620E">
        <w:rPr>
          <w:rFonts w:ascii="Calibri Light" w:hAnsi="Calibri Light" w:cs="Calibri Light"/>
          <w:sz w:val="16"/>
          <w:szCs w:val="16"/>
          <w:lang w:val="es-CO"/>
        </w:rPr>
        <w:t xml:space="preserve">” de la </w:t>
      </w:r>
      <w:proofErr w:type="spellStart"/>
      <w:r w:rsidRPr="00E8620E">
        <w:rPr>
          <w:rFonts w:ascii="Calibri Light" w:hAnsi="Calibri Light" w:cs="Calibri Light"/>
          <w:sz w:val="16"/>
          <w:szCs w:val="16"/>
          <w:lang w:val="es-CO"/>
        </w:rPr>
        <w:t>Fundação</w:t>
      </w:r>
      <w:proofErr w:type="spellEnd"/>
      <w:r w:rsidRPr="00E8620E">
        <w:rPr>
          <w:rFonts w:ascii="Calibri Light" w:hAnsi="Calibri Light" w:cs="Calibri Light"/>
          <w:sz w:val="16"/>
          <w:szCs w:val="16"/>
          <w:lang w:val="es-CO"/>
        </w:rPr>
        <w:t xml:space="preserve"> CASA. Solicitud de ampliación de medidas provisionales. Medidas Provisionales respecto de Brasil. Resolución de la Corte Interamericana de Derechos Humanos de 4 de julio de 2006. Considerando 23.</w:t>
      </w:r>
    </w:p>
  </w:footnote>
  <w:footnote w:id="23">
    <w:p w:rsidR="00A75906" w:rsidRPr="00E8620E" w:rsidRDefault="00A75906" w:rsidP="00270017">
      <w:pPr>
        <w:pStyle w:val="FootnoteText"/>
        <w:jc w:val="both"/>
        <w:rPr>
          <w:rFonts w:ascii="Calibri Light" w:hAnsi="Calibri Light" w:cs="Calibri Light"/>
          <w:sz w:val="16"/>
          <w:szCs w:val="16"/>
          <w:lang w:val="es-PE"/>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PE"/>
        </w:rPr>
        <w:t xml:space="preserve"> Corte IDH. Caso Mendoza y otros Vs. Argentina. Excepciones Preliminares, Fondo y Reparaciones. Sentencia de 14 de mayo de 2013. Serie C No. 260, párr. 188. Asimismo, véase: CIDH, Informe sobre los derechos humanos de las personas privadas de libertad en las Américas, 31 de diciembre 2011, párr. 49</w:t>
      </w:r>
    </w:p>
  </w:footnote>
  <w:footnote w:id="24">
    <w:p w:rsidR="00A75906" w:rsidRPr="00E8620E" w:rsidRDefault="00A75906" w:rsidP="00270017">
      <w:pPr>
        <w:pStyle w:val="FootnoteText"/>
        <w:jc w:val="both"/>
        <w:rPr>
          <w:rFonts w:ascii="Calibri Light" w:hAnsi="Calibri Light" w:cs="Calibri Light"/>
          <w:sz w:val="16"/>
          <w:szCs w:val="16"/>
          <w:lang w:val="es-PE"/>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PE"/>
        </w:rPr>
        <w:t xml:space="preserve"> CIDH, Informe sobre los Derechos Humanos de las Personas Privadas de la Libertad en las Américas, 31 de diciembre de 2011, párr. 49 y ss.</w:t>
      </w:r>
    </w:p>
  </w:footnote>
  <w:footnote w:id="25">
    <w:p w:rsidR="001907C8" w:rsidRPr="00E8620E" w:rsidRDefault="001907C8" w:rsidP="00270017">
      <w:pPr>
        <w:pStyle w:val="FootnoteText"/>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w:t>
      </w:r>
      <w:r w:rsidR="00B13F00" w:rsidRPr="00E8620E">
        <w:rPr>
          <w:rFonts w:ascii="Calibri Light" w:hAnsi="Calibri Light" w:cs="Calibri Light"/>
          <w:sz w:val="16"/>
          <w:szCs w:val="16"/>
          <w:lang w:val="es-MX"/>
        </w:rPr>
        <w:t>CIDH, Medidas para reducir la prisión preventiva, 3 de julio de 2017, párr. 195</w:t>
      </w:r>
    </w:p>
  </w:footnote>
  <w:footnote w:id="26">
    <w:p w:rsidR="001907C8" w:rsidRPr="00E8620E" w:rsidRDefault="001907C8" w:rsidP="00270017">
      <w:pPr>
        <w:pStyle w:val="FootnoteText"/>
        <w:rPr>
          <w:rFonts w:ascii="Calibri Light" w:hAnsi="Calibri Light" w:cs="Calibri Light"/>
          <w:sz w:val="16"/>
          <w:szCs w:val="16"/>
          <w:lang w:val="es-MX"/>
        </w:rPr>
      </w:pPr>
      <w:r w:rsidRPr="00E8620E">
        <w:rPr>
          <w:rStyle w:val="FootnoteReference"/>
          <w:rFonts w:ascii="Calibri Light" w:hAnsi="Calibri Light" w:cs="Calibri Light"/>
          <w:sz w:val="16"/>
          <w:szCs w:val="16"/>
        </w:rPr>
        <w:footnoteRef/>
      </w:r>
      <w:r w:rsidRPr="00E8620E">
        <w:rPr>
          <w:rFonts w:ascii="Calibri Light" w:hAnsi="Calibri Light" w:cs="Calibri Light"/>
          <w:sz w:val="16"/>
          <w:szCs w:val="16"/>
          <w:lang w:val="es-MX"/>
        </w:rPr>
        <w:t xml:space="preserve"> CIDH, Resolución 84/2018, </w:t>
      </w:r>
      <w:r w:rsidRPr="00E8620E">
        <w:rPr>
          <w:rFonts w:ascii="Calibri Light" w:hAnsi="Calibri Light" w:cs="Calibri Light"/>
          <w:i/>
          <w:sz w:val="16"/>
          <w:szCs w:val="16"/>
          <w:lang w:val="es-MX"/>
        </w:rPr>
        <w:t xml:space="preserve">Amaya Eva </w:t>
      </w:r>
      <w:proofErr w:type="spellStart"/>
      <w:r w:rsidRPr="00E8620E">
        <w:rPr>
          <w:rFonts w:ascii="Calibri Light" w:hAnsi="Calibri Light" w:cs="Calibri Light"/>
          <w:i/>
          <w:sz w:val="16"/>
          <w:szCs w:val="16"/>
          <w:lang w:val="es-MX"/>
        </w:rPr>
        <w:t>Coppens</w:t>
      </w:r>
      <w:proofErr w:type="spellEnd"/>
      <w:r w:rsidRPr="00E8620E">
        <w:rPr>
          <w:rFonts w:ascii="Calibri Light" w:hAnsi="Calibri Light" w:cs="Calibri Light"/>
          <w:i/>
          <w:sz w:val="16"/>
          <w:szCs w:val="16"/>
          <w:lang w:val="es-MX"/>
        </w:rPr>
        <w:t xml:space="preserve"> Zamora y otras (</w:t>
      </w:r>
      <w:r w:rsidRPr="00E8620E">
        <w:rPr>
          <w:rFonts w:ascii="Calibri Light" w:hAnsi="Calibri Light" w:cs="Calibri Light"/>
          <w:sz w:val="16"/>
          <w:szCs w:val="16"/>
          <w:lang w:val="es-MX"/>
        </w:rPr>
        <w:t xml:space="preserve">Privadas a la Libertad en el Centro Penitenciario “La Esperanza”), 11 de noviembre de 2018. Disponible en: </w:t>
      </w:r>
      <w:hyperlink r:id="rId1" w:history="1">
        <w:r w:rsidR="00526257" w:rsidRPr="00FD61D9">
          <w:rPr>
            <w:rStyle w:val="Hyperlink"/>
            <w:rFonts w:ascii="Calibri Light" w:hAnsi="Calibri Light" w:cs="Calibri Light"/>
            <w:sz w:val="16"/>
            <w:szCs w:val="16"/>
            <w:lang w:val="es-MX"/>
          </w:rPr>
          <w:t>http://www.oas.org/es/cidh/decisiones/pdf/2018/84-2018MC-1133-18-NI.pdf</w:t>
        </w:r>
      </w:hyperlink>
      <w:r w:rsidR="00526257">
        <w:rPr>
          <w:rFonts w:ascii="Calibri Light" w:hAnsi="Calibri Light" w:cs="Calibri Light"/>
          <w:sz w:val="16"/>
          <w:szCs w:val="16"/>
          <w:lang w:val="es-MX"/>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06" w:rsidRPr="00EB2B50" w:rsidRDefault="00A75906"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r>
      <w:rPr>
        <w:rFonts w:ascii="Calibri" w:eastAsia="Calibri" w:hAnsi="Calibri" w:cs="Times New Roman"/>
        <w:noProof/>
      </w:rPr>
      <w:drawing>
        <wp:inline distT="0" distB="0" distL="0" distR="0" wp14:anchorId="5DF017A4" wp14:editId="5EC7D8AD">
          <wp:extent cx="2353310" cy="453390"/>
          <wp:effectExtent l="0" t="0" r="8890" b="381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rPr>
      <w:drawing>
        <wp:inline distT="0" distB="0" distL="0" distR="0" wp14:anchorId="33D0467B" wp14:editId="582CAA29">
          <wp:extent cx="2106930" cy="540385"/>
          <wp:effectExtent l="0" t="0" r="7620" b="0"/>
          <wp:docPr id="4" name="Picture 4"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A75906" w:rsidRPr="00EB2B50" w:rsidRDefault="00A75906" w:rsidP="00EB2B50">
    <w:pPr>
      <w:pBdr>
        <w:bottom w:val="single" w:sz="6" w:space="1" w:color="auto"/>
      </w:pBdr>
      <w:tabs>
        <w:tab w:val="left" w:pos="4040"/>
        <w:tab w:val="left" w:pos="4333"/>
        <w:tab w:val="center" w:pos="4680"/>
        <w:tab w:val="right" w:pos="9360"/>
      </w:tabs>
      <w:spacing w:after="0" w:line="240" w:lineRule="auto"/>
      <w:jc w:val="both"/>
      <w:rPr>
        <w:rFonts w:ascii="Calibri" w:eastAsia="Calibri" w:hAnsi="Calibri" w:cs="Times New Roman"/>
        <w:noProof/>
      </w:rPr>
    </w:pPr>
  </w:p>
  <w:p w:rsidR="00A75906" w:rsidRDefault="00A75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6ADF"/>
    <w:multiLevelType w:val="hybridMultilevel"/>
    <w:tmpl w:val="F230E2DC"/>
    <w:lvl w:ilvl="0" w:tplc="43048468">
      <w:start w:val="1"/>
      <w:numFmt w:val="bullet"/>
      <w:lvlText w:val="-"/>
      <w:lvlJc w:val="left"/>
      <w:pPr>
        <w:ind w:left="720" w:hanging="360"/>
      </w:pPr>
      <w:rPr>
        <w:rFonts w:ascii="Cambria" w:eastAsiaTheme="minorHAnsi" w:hAnsi="Cambria"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8093CEC"/>
    <w:multiLevelType w:val="hybridMultilevel"/>
    <w:tmpl w:val="BC7439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A43B1"/>
    <w:multiLevelType w:val="hybridMultilevel"/>
    <w:tmpl w:val="19D8E4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38118C"/>
    <w:multiLevelType w:val="hybridMultilevel"/>
    <w:tmpl w:val="83D29AA8"/>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0B7"/>
    <w:multiLevelType w:val="hybridMultilevel"/>
    <w:tmpl w:val="63BC8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20B16"/>
    <w:multiLevelType w:val="hybridMultilevel"/>
    <w:tmpl w:val="36525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F37B5"/>
    <w:multiLevelType w:val="hybridMultilevel"/>
    <w:tmpl w:val="4F4A39E6"/>
    <w:lvl w:ilvl="0" w:tplc="688E8CCE">
      <w:start w:val="949"/>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C0B8B"/>
    <w:multiLevelType w:val="hybridMultilevel"/>
    <w:tmpl w:val="836A16AA"/>
    <w:lvl w:ilvl="0" w:tplc="51F0C53E">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EA7493"/>
    <w:multiLevelType w:val="hybridMultilevel"/>
    <w:tmpl w:val="FCA0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C51E9F"/>
    <w:multiLevelType w:val="hybridMultilevel"/>
    <w:tmpl w:val="C8DAD15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B9A4D62"/>
    <w:multiLevelType w:val="hybridMultilevel"/>
    <w:tmpl w:val="75BC2D94"/>
    <w:lvl w:ilvl="0" w:tplc="4E325D30">
      <w:start w:val="8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83076E"/>
    <w:multiLevelType w:val="hybridMultilevel"/>
    <w:tmpl w:val="D6DA1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85A8E"/>
    <w:multiLevelType w:val="hybridMultilevel"/>
    <w:tmpl w:val="95267A94"/>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4">
    <w:nsid w:val="402049E6"/>
    <w:multiLevelType w:val="hybridMultilevel"/>
    <w:tmpl w:val="199E4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41825"/>
    <w:multiLevelType w:val="hybridMultilevel"/>
    <w:tmpl w:val="DD769346"/>
    <w:lvl w:ilvl="0" w:tplc="01F6B298">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7081C"/>
    <w:multiLevelType w:val="hybridMultilevel"/>
    <w:tmpl w:val="5FEA268A"/>
    <w:lvl w:ilvl="0" w:tplc="CE6A359E">
      <w:start w:val="4"/>
      <w:numFmt w:val="bullet"/>
      <w:lvlText w:val="-"/>
      <w:lvlJc w:val="left"/>
      <w:pPr>
        <w:ind w:left="720" w:hanging="360"/>
      </w:pPr>
      <w:rPr>
        <w:rFonts w:ascii="Cambria" w:eastAsia="Calibri"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40A03"/>
    <w:multiLevelType w:val="hybridMultilevel"/>
    <w:tmpl w:val="1836585C"/>
    <w:lvl w:ilvl="0" w:tplc="700E2A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F36BA2"/>
    <w:multiLevelType w:val="hybridMultilevel"/>
    <w:tmpl w:val="BAD8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1B7322"/>
    <w:multiLevelType w:val="hybridMultilevel"/>
    <w:tmpl w:val="E7FC2D08"/>
    <w:lvl w:ilvl="0" w:tplc="58F89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7125CF"/>
    <w:multiLevelType w:val="hybridMultilevel"/>
    <w:tmpl w:val="433A55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77B53C3"/>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E4B3D"/>
    <w:multiLevelType w:val="hybridMultilevel"/>
    <w:tmpl w:val="64DCDD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59EE5911"/>
    <w:multiLevelType w:val="hybridMultilevel"/>
    <w:tmpl w:val="C428CADA"/>
    <w:lvl w:ilvl="0" w:tplc="8B8025BA">
      <w:start w:val="110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A7CE1"/>
    <w:multiLevelType w:val="hybridMultilevel"/>
    <w:tmpl w:val="EA7AF8D6"/>
    <w:lvl w:ilvl="0" w:tplc="B0B004EC">
      <w:start w:val="1"/>
      <w:numFmt w:val="decimal"/>
      <w:lvlText w:val="%1."/>
      <w:lvlJc w:val="left"/>
      <w:pPr>
        <w:ind w:left="720" w:hanging="360"/>
      </w:pPr>
      <w:rPr>
        <w:b/>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5BAE9A82">
      <w:start w:val="1"/>
      <w:numFmt w:val="decimal"/>
      <w:lvlText w:val="%4."/>
      <w:lvlJc w:val="left"/>
      <w:pPr>
        <w:ind w:left="2880" w:hanging="360"/>
      </w:pPr>
      <w:rPr>
        <w:b w:val="0"/>
      </w:r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5">
    <w:nsid w:val="6046231C"/>
    <w:multiLevelType w:val="hybridMultilevel"/>
    <w:tmpl w:val="5C9AF24C"/>
    <w:lvl w:ilvl="0" w:tplc="0486EF50">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531B7"/>
    <w:multiLevelType w:val="hybridMultilevel"/>
    <w:tmpl w:val="70A85864"/>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A74A5"/>
    <w:multiLevelType w:val="hybridMultilevel"/>
    <w:tmpl w:val="44EC6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D7E69"/>
    <w:multiLevelType w:val="hybridMultilevel"/>
    <w:tmpl w:val="C3B44D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27D91"/>
    <w:multiLevelType w:val="hybridMultilevel"/>
    <w:tmpl w:val="F5B49F5A"/>
    <w:lvl w:ilvl="0" w:tplc="581EEE50">
      <w:start w:val="1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D59C6"/>
    <w:multiLevelType w:val="hybridMultilevel"/>
    <w:tmpl w:val="BAEED78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C6D630C"/>
    <w:multiLevelType w:val="hybridMultilevel"/>
    <w:tmpl w:val="6E1A4AF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BD59AB"/>
    <w:multiLevelType w:val="hybridMultilevel"/>
    <w:tmpl w:val="6B36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483E3C"/>
    <w:multiLevelType w:val="hybridMultilevel"/>
    <w:tmpl w:val="7284A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EE2AEC"/>
    <w:multiLevelType w:val="hybridMultilevel"/>
    <w:tmpl w:val="E696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57765C"/>
    <w:multiLevelType w:val="hybridMultilevel"/>
    <w:tmpl w:val="DC6CAC24"/>
    <w:lvl w:ilvl="0" w:tplc="1480D696">
      <w:numFmt w:val="bullet"/>
      <w:lvlText w:val="-"/>
      <w:lvlJc w:val="left"/>
      <w:pPr>
        <w:ind w:left="720" w:hanging="360"/>
      </w:pPr>
      <w:rPr>
        <w:rFonts w:ascii="Cambria" w:eastAsia="Calibri" w:hAnsi="Cambria"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D004CCF"/>
    <w:multiLevelType w:val="hybridMultilevel"/>
    <w:tmpl w:val="9D2C1BA0"/>
    <w:lvl w:ilvl="0" w:tplc="53DA36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8B1D54"/>
    <w:multiLevelType w:val="hybridMultilevel"/>
    <w:tmpl w:val="B23E6CE2"/>
    <w:lvl w:ilvl="0" w:tplc="9666494A">
      <w:start w:val="1"/>
      <w:numFmt w:val="decimal"/>
      <w:lvlText w:val="%1."/>
      <w:lvlJc w:val="center"/>
      <w:pPr>
        <w:ind w:left="720" w:hanging="360"/>
      </w:pPr>
      <w:rPr>
        <w:rFonts w:hint="default"/>
        <w:lang w:val="es-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7"/>
  </w:num>
  <w:num w:numId="4">
    <w:abstractNumId w:val="26"/>
  </w:num>
  <w:num w:numId="5">
    <w:abstractNumId w:val="5"/>
  </w:num>
  <w:num w:numId="6">
    <w:abstractNumId w:val="35"/>
  </w:num>
  <w:num w:numId="7">
    <w:abstractNumId w:val="19"/>
  </w:num>
  <w:num w:numId="8">
    <w:abstractNumId w:val="4"/>
  </w:num>
  <w:num w:numId="9">
    <w:abstractNumId w:val="34"/>
  </w:num>
  <w:num w:numId="10">
    <w:abstractNumId w:val="1"/>
  </w:num>
  <w:num w:numId="11">
    <w:abstractNumId w:val="13"/>
  </w:num>
  <w:num w:numId="12">
    <w:abstractNumId w:val="38"/>
  </w:num>
  <w:num w:numId="13">
    <w:abstractNumId w:val="23"/>
  </w:num>
  <w:num w:numId="14">
    <w:abstractNumId w:val="39"/>
  </w:num>
  <w:num w:numId="15">
    <w:abstractNumId w:val="30"/>
  </w:num>
  <w:num w:numId="16">
    <w:abstractNumId w:val="3"/>
  </w:num>
  <w:num w:numId="17">
    <w:abstractNumId w:val="18"/>
  </w:num>
  <w:num w:numId="18">
    <w:abstractNumId w:val="32"/>
  </w:num>
  <w:num w:numId="19">
    <w:abstractNumId w:val="16"/>
  </w:num>
  <w:num w:numId="20">
    <w:abstractNumId w:val="8"/>
  </w:num>
  <w:num w:numId="21">
    <w:abstractNumId w:val="36"/>
  </w:num>
  <w:num w:numId="22">
    <w:abstractNumId w:val="10"/>
  </w:num>
  <w:num w:numId="23">
    <w:abstractNumId w:val="20"/>
  </w:num>
  <w:num w:numId="24">
    <w:abstractNumId w:val="15"/>
  </w:num>
  <w:num w:numId="25">
    <w:abstractNumId w:val="28"/>
  </w:num>
  <w:num w:numId="26">
    <w:abstractNumId w:val="25"/>
  </w:num>
  <w:num w:numId="27">
    <w:abstractNumId w:val="17"/>
  </w:num>
  <w:num w:numId="28">
    <w:abstractNumId w:val="33"/>
  </w:num>
  <w:num w:numId="29">
    <w:abstractNumId w:val="11"/>
  </w:num>
  <w:num w:numId="30">
    <w:abstractNumId w:val="31"/>
  </w:num>
  <w:num w:numId="31">
    <w:abstractNumId w:val="2"/>
  </w:num>
  <w:num w:numId="32">
    <w:abstractNumId w:val="0"/>
  </w:num>
  <w:num w:numId="33">
    <w:abstractNumId w:val="29"/>
  </w:num>
  <w:num w:numId="34">
    <w:abstractNumId w:val="12"/>
  </w:num>
  <w:num w:numId="35">
    <w:abstractNumId w:val="7"/>
  </w:num>
  <w:num w:numId="36">
    <w:abstractNumId w:val="14"/>
  </w:num>
  <w:num w:numId="37">
    <w:abstractNumId w:val="22"/>
  </w:num>
  <w:num w:numId="38">
    <w:abstractNumId w:val="37"/>
  </w:num>
  <w:num w:numId="39">
    <w:abstractNumId w:val="2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5"/>
    <w:rsid w:val="00002334"/>
    <w:rsid w:val="000046FB"/>
    <w:rsid w:val="0001239D"/>
    <w:rsid w:val="0001331D"/>
    <w:rsid w:val="00014EFF"/>
    <w:rsid w:val="00016D17"/>
    <w:rsid w:val="000177C5"/>
    <w:rsid w:val="000212DF"/>
    <w:rsid w:val="0002276D"/>
    <w:rsid w:val="000232B4"/>
    <w:rsid w:val="000257B7"/>
    <w:rsid w:val="000313A1"/>
    <w:rsid w:val="00033997"/>
    <w:rsid w:val="000410ED"/>
    <w:rsid w:val="000420A1"/>
    <w:rsid w:val="00042A32"/>
    <w:rsid w:val="00044439"/>
    <w:rsid w:val="0004578B"/>
    <w:rsid w:val="000477B8"/>
    <w:rsid w:val="00051F30"/>
    <w:rsid w:val="0005596F"/>
    <w:rsid w:val="00055CA1"/>
    <w:rsid w:val="00060488"/>
    <w:rsid w:val="00063C74"/>
    <w:rsid w:val="0006588B"/>
    <w:rsid w:val="00071F45"/>
    <w:rsid w:val="000772B1"/>
    <w:rsid w:val="000774EE"/>
    <w:rsid w:val="0008518F"/>
    <w:rsid w:val="000870D6"/>
    <w:rsid w:val="00091976"/>
    <w:rsid w:val="000928A4"/>
    <w:rsid w:val="000A32C9"/>
    <w:rsid w:val="000B000D"/>
    <w:rsid w:val="000B0A33"/>
    <w:rsid w:val="000B6E76"/>
    <w:rsid w:val="000C477B"/>
    <w:rsid w:val="000C6F0B"/>
    <w:rsid w:val="000C7ACF"/>
    <w:rsid w:val="000E08CF"/>
    <w:rsid w:val="000E6D98"/>
    <w:rsid w:val="000F3EA8"/>
    <w:rsid w:val="000F5651"/>
    <w:rsid w:val="000F71C7"/>
    <w:rsid w:val="0010259D"/>
    <w:rsid w:val="00103606"/>
    <w:rsid w:val="00103A49"/>
    <w:rsid w:val="0010544B"/>
    <w:rsid w:val="00115575"/>
    <w:rsid w:val="00116930"/>
    <w:rsid w:val="00117085"/>
    <w:rsid w:val="00120A20"/>
    <w:rsid w:val="00121B32"/>
    <w:rsid w:val="00123514"/>
    <w:rsid w:val="001243C4"/>
    <w:rsid w:val="00127DAC"/>
    <w:rsid w:val="00134D7F"/>
    <w:rsid w:val="00134EAB"/>
    <w:rsid w:val="00135BD2"/>
    <w:rsid w:val="001360C3"/>
    <w:rsid w:val="00141FB3"/>
    <w:rsid w:val="00143137"/>
    <w:rsid w:val="00152570"/>
    <w:rsid w:val="00157D25"/>
    <w:rsid w:val="0016494C"/>
    <w:rsid w:val="00166873"/>
    <w:rsid w:val="00171E06"/>
    <w:rsid w:val="00172CE3"/>
    <w:rsid w:val="00186867"/>
    <w:rsid w:val="00187CAF"/>
    <w:rsid w:val="001907C8"/>
    <w:rsid w:val="001A3A0D"/>
    <w:rsid w:val="001A4E46"/>
    <w:rsid w:val="001B1360"/>
    <w:rsid w:val="001B1EED"/>
    <w:rsid w:val="001B61F3"/>
    <w:rsid w:val="001B7C2F"/>
    <w:rsid w:val="001C2A8B"/>
    <w:rsid w:val="001C2C7B"/>
    <w:rsid w:val="001C4659"/>
    <w:rsid w:val="001D1AF4"/>
    <w:rsid w:val="001E009A"/>
    <w:rsid w:val="002003DF"/>
    <w:rsid w:val="00200DCA"/>
    <w:rsid w:val="00201451"/>
    <w:rsid w:val="00201BA3"/>
    <w:rsid w:val="00203E35"/>
    <w:rsid w:val="002067D1"/>
    <w:rsid w:val="0021052C"/>
    <w:rsid w:val="00211779"/>
    <w:rsid w:val="00216EE8"/>
    <w:rsid w:val="00222468"/>
    <w:rsid w:val="00222609"/>
    <w:rsid w:val="00222B03"/>
    <w:rsid w:val="00231A97"/>
    <w:rsid w:val="0023649E"/>
    <w:rsid w:val="00237D5D"/>
    <w:rsid w:val="00237DF9"/>
    <w:rsid w:val="00242ED7"/>
    <w:rsid w:val="00245A1E"/>
    <w:rsid w:val="00246FEE"/>
    <w:rsid w:val="002572FF"/>
    <w:rsid w:val="002603DF"/>
    <w:rsid w:val="00270017"/>
    <w:rsid w:val="002700D7"/>
    <w:rsid w:val="002707AC"/>
    <w:rsid w:val="0027128D"/>
    <w:rsid w:val="002751C9"/>
    <w:rsid w:val="00280756"/>
    <w:rsid w:val="002829A4"/>
    <w:rsid w:val="00290CD7"/>
    <w:rsid w:val="002949F5"/>
    <w:rsid w:val="00296062"/>
    <w:rsid w:val="002A14E2"/>
    <w:rsid w:val="002A6588"/>
    <w:rsid w:val="002B27B9"/>
    <w:rsid w:val="002B2BA3"/>
    <w:rsid w:val="002B6D39"/>
    <w:rsid w:val="002B6D49"/>
    <w:rsid w:val="002B7483"/>
    <w:rsid w:val="002B765C"/>
    <w:rsid w:val="002C0393"/>
    <w:rsid w:val="002C065D"/>
    <w:rsid w:val="002C65CC"/>
    <w:rsid w:val="002D06A7"/>
    <w:rsid w:val="002D5F79"/>
    <w:rsid w:val="002E1496"/>
    <w:rsid w:val="002E3B53"/>
    <w:rsid w:val="002E5D81"/>
    <w:rsid w:val="002E6AD5"/>
    <w:rsid w:val="002F2145"/>
    <w:rsid w:val="002F2851"/>
    <w:rsid w:val="002F3EE8"/>
    <w:rsid w:val="002F6D80"/>
    <w:rsid w:val="002F7DC8"/>
    <w:rsid w:val="00300A8F"/>
    <w:rsid w:val="00301A15"/>
    <w:rsid w:val="00304CD8"/>
    <w:rsid w:val="003074F0"/>
    <w:rsid w:val="0031002F"/>
    <w:rsid w:val="00311B10"/>
    <w:rsid w:val="003145FB"/>
    <w:rsid w:val="003149F4"/>
    <w:rsid w:val="00315DBE"/>
    <w:rsid w:val="00320A54"/>
    <w:rsid w:val="003256D7"/>
    <w:rsid w:val="00325FD1"/>
    <w:rsid w:val="003327A9"/>
    <w:rsid w:val="00336317"/>
    <w:rsid w:val="00341E50"/>
    <w:rsid w:val="0034453E"/>
    <w:rsid w:val="00344A74"/>
    <w:rsid w:val="00347322"/>
    <w:rsid w:val="00350B90"/>
    <w:rsid w:val="0036201B"/>
    <w:rsid w:val="0036572F"/>
    <w:rsid w:val="00375BEC"/>
    <w:rsid w:val="003839F4"/>
    <w:rsid w:val="003867F8"/>
    <w:rsid w:val="00392A4D"/>
    <w:rsid w:val="00394F14"/>
    <w:rsid w:val="003A037C"/>
    <w:rsid w:val="003B249B"/>
    <w:rsid w:val="003B4224"/>
    <w:rsid w:val="003B5DA7"/>
    <w:rsid w:val="003B5F38"/>
    <w:rsid w:val="003B7286"/>
    <w:rsid w:val="003B7C3D"/>
    <w:rsid w:val="003C00A6"/>
    <w:rsid w:val="003C7CA3"/>
    <w:rsid w:val="003D4E62"/>
    <w:rsid w:val="003D7B39"/>
    <w:rsid w:val="003F0EAF"/>
    <w:rsid w:val="003F219E"/>
    <w:rsid w:val="003F461F"/>
    <w:rsid w:val="003F662A"/>
    <w:rsid w:val="003F7DF1"/>
    <w:rsid w:val="00400C6A"/>
    <w:rsid w:val="004042D6"/>
    <w:rsid w:val="00407470"/>
    <w:rsid w:val="0041045D"/>
    <w:rsid w:val="0041180A"/>
    <w:rsid w:val="00412773"/>
    <w:rsid w:val="00413480"/>
    <w:rsid w:val="00417A7E"/>
    <w:rsid w:val="0042492E"/>
    <w:rsid w:val="00427214"/>
    <w:rsid w:val="00430D17"/>
    <w:rsid w:val="0043575A"/>
    <w:rsid w:val="00436048"/>
    <w:rsid w:val="00440C57"/>
    <w:rsid w:val="00442669"/>
    <w:rsid w:val="004439B0"/>
    <w:rsid w:val="00445B4E"/>
    <w:rsid w:val="0044697C"/>
    <w:rsid w:val="00447CC2"/>
    <w:rsid w:val="004504C1"/>
    <w:rsid w:val="00450AE5"/>
    <w:rsid w:val="00452298"/>
    <w:rsid w:val="00453C10"/>
    <w:rsid w:val="004549F2"/>
    <w:rsid w:val="00460121"/>
    <w:rsid w:val="004606E7"/>
    <w:rsid w:val="004611C7"/>
    <w:rsid w:val="00465530"/>
    <w:rsid w:val="00476D39"/>
    <w:rsid w:val="00477A23"/>
    <w:rsid w:val="0048293A"/>
    <w:rsid w:val="004859CE"/>
    <w:rsid w:val="004917F2"/>
    <w:rsid w:val="00492079"/>
    <w:rsid w:val="004929F0"/>
    <w:rsid w:val="0049457F"/>
    <w:rsid w:val="00494D5F"/>
    <w:rsid w:val="004A0489"/>
    <w:rsid w:val="004A35E0"/>
    <w:rsid w:val="004A368D"/>
    <w:rsid w:val="004A6CF3"/>
    <w:rsid w:val="004B4FA3"/>
    <w:rsid w:val="004C14C0"/>
    <w:rsid w:val="004C631D"/>
    <w:rsid w:val="004C6AD2"/>
    <w:rsid w:val="004C6F16"/>
    <w:rsid w:val="004D77B3"/>
    <w:rsid w:val="004E415D"/>
    <w:rsid w:val="004E4495"/>
    <w:rsid w:val="004E6051"/>
    <w:rsid w:val="004F6741"/>
    <w:rsid w:val="004F77F5"/>
    <w:rsid w:val="005136FE"/>
    <w:rsid w:val="00514BE4"/>
    <w:rsid w:val="00516CD7"/>
    <w:rsid w:val="00517C92"/>
    <w:rsid w:val="00526257"/>
    <w:rsid w:val="00527499"/>
    <w:rsid w:val="0053160E"/>
    <w:rsid w:val="005343F9"/>
    <w:rsid w:val="00534DF9"/>
    <w:rsid w:val="00541499"/>
    <w:rsid w:val="005417B4"/>
    <w:rsid w:val="005424E9"/>
    <w:rsid w:val="00550EC3"/>
    <w:rsid w:val="0055350B"/>
    <w:rsid w:val="00553BD4"/>
    <w:rsid w:val="005548D4"/>
    <w:rsid w:val="005560F8"/>
    <w:rsid w:val="00557692"/>
    <w:rsid w:val="005619F9"/>
    <w:rsid w:val="00563A4F"/>
    <w:rsid w:val="00564FA8"/>
    <w:rsid w:val="005739A2"/>
    <w:rsid w:val="00574281"/>
    <w:rsid w:val="00580374"/>
    <w:rsid w:val="00581ED4"/>
    <w:rsid w:val="00591592"/>
    <w:rsid w:val="005917FF"/>
    <w:rsid w:val="0059214B"/>
    <w:rsid w:val="00592CEE"/>
    <w:rsid w:val="0059333C"/>
    <w:rsid w:val="00597788"/>
    <w:rsid w:val="00597B44"/>
    <w:rsid w:val="005A7D3E"/>
    <w:rsid w:val="005B1A92"/>
    <w:rsid w:val="005B4379"/>
    <w:rsid w:val="005C02C3"/>
    <w:rsid w:val="005C0BEC"/>
    <w:rsid w:val="005C1AFE"/>
    <w:rsid w:val="005C30E7"/>
    <w:rsid w:val="005C5DD7"/>
    <w:rsid w:val="005D44DD"/>
    <w:rsid w:val="005D6270"/>
    <w:rsid w:val="005E17FF"/>
    <w:rsid w:val="005F7A9A"/>
    <w:rsid w:val="00600DA8"/>
    <w:rsid w:val="00602F20"/>
    <w:rsid w:val="0061551E"/>
    <w:rsid w:val="0061648C"/>
    <w:rsid w:val="00617B71"/>
    <w:rsid w:val="00621F4E"/>
    <w:rsid w:val="0062583B"/>
    <w:rsid w:val="00630446"/>
    <w:rsid w:val="006313AD"/>
    <w:rsid w:val="00633054"/>
    <w:rsid w:val="006474AC"/>
    <w:rsid w:val="0065034F"/>
    <w:rsid w:val="006511B3"/>
    <w:rsid w:val="00653676"/>
    <w:rsid w:val="00660B9D"/>
    <w:rsid w:val="00661D93"/>
    <w:rsid w:val="00670F30"/>
    <w:rsid w:val="0067205D"/>
    <w:rsid w:val="00672B78"/>
    <w:rsid w:val="00672FB9"/>
    <w:rsid w:val="00685FE1"/>
    <w:rsid w:val="00695193"/>
    <w:rsid w:val="006A0331"/>
    <w:rsid w:val="006A68D4"/>
    <w:rsid w:val="006A6D93"/>
    <w:rsid w:val="006B018A"/>
    <w:rsid w:val="006B147D"/>
    <w:rsid w:val="006C4041"/>
    <w:rsid w:val="006C7934"/>
    <w:rsid w:val="006C7CC0"/>
    <w:rsid w:val="006D3774"/>
    <w:rsid w:val="006D4ACB"/>
    <w:rsid w:val="006D65E5"/>
    <w:rsid w:val="006D6C4C"/>
    <w:rsid w:val="006D7DD5"/>
    <w:rsid w:val="006E488D"/>
    <w:rsid w:val="006E5092"/>
    <w:rsid w:val="006F05F0"/>
    <w:rsid w:val="006F19A7"/>
    <w:rsid w:val="006F5994"/>
    <w:rsid w:val="006F6308"/>
    <w:rsid w:val="007012E6"/>
    <w:rsid w:val="0070166E"/>
    <w:rsid w:val="00701C6E"/>
    <w:rsid w:val="00706ED5"/>
    <w:rsid w:val="007107F2"/>
    <w:rsid w:val="00710F35"/>
    <w:rsid w:val="0071391F"/>
    <w:rsid w:val="00717AAA"/>
    <w:rsid w:val="00734BBC"/>
    <w:rsid w:val="0074456F"/>
    <w:rsid w:val="00746642"/>
    <w:rsid w:val="00746ABC"/>
    <w:rsid w:val="00753A48"/>
    <w:rsid w:val="0075627A"/>
    <w:rsid w:val="0079274B"/>
    <w:rsid w:val="00792DC7"/>
    <w:rsid w:val="00794473"/>
    <w:rsid w:val="00794CD0"/>
    <w:rsid w:val="00796926"/>
    <w:rsid w:val="007A47FB"/>
    <w:rsid w:val="007A6085"/>
    <w:rsid w:val="007A68CC"/>
    <w:rsid w:val="007B0045"/>
    <w:rsid w:val="007C14F3"/>
    <w:rsid w:val="007C6367"/>
    <w:rsid w:val="007C71CE"/>
    <w:rsid w:val="007D5F92"/>
    <w:rsid w:val="007D6FBE"/>
    <w:rsid w:val="007E61AF"/>
    <w:rsid w:val="007E7AF8"/>
    <w:rsid w:val="007F0E6C"/>
    <w:rsid w:val="007F2903"/>
    <w:rsid w:val="007F391C"/>
    <w:rsid w:val="007F45B7"/>
    <w:rsid w:val="007F5133"/>
    <w:rsid w:val="007F64DA"/>
    <w:rsid w:val="007F7C36"/>
    <w:rsid w:val="00800185"/>
    <w:rsid w:val="00813C0E"/>
    <w:rsid w:val="00815515"/>
    <w:rsid w:val="0082096C"/>
    <w:rsid w:val="00821AB1"/>
    <w:rsid w:val="00823803"/>
    <w:rsid w:val="00831934"/>
    <w:rsid w:val="00831EA3"/>
    <w:rsid w:val="00833694"/>
    <w:rsid w:val="00834A40"/>
    <w:rsid w:val="00837E77"/>
    <w:rsid w:val="00847CDD"/>
    <w:rsid w:val="00853F6D"/>
    <w:rsid w:val="00857DF6"/>
    <w:rsid w:val="00865AB8"/>
    <w:rsid w:val="008705D5"/>
    <w:rsid w:val="00876FBB"/>
    <w:rsid w:val="008814CC"/>
    <w:rsid w:val="0088535F"/>
    <w:rsid w:val="0088571A"/>
    <w:rsid w:val="008858B3"/>
    <w:rsid w:val="0088615C"/>
    <w:rsid w:val="00896D77"/>
    <w:rsid w:val="00897E1E"/>
    <w:rsid w:val="008A250A"/>
    <w:rsid w:val="008A6670"/>
    <w:rsid w:val="008C147D"/>
    <w:rsid w:val="008C2039"/>
    <w:rsid w:val="008C305C"/>
    <w:rsid w:val="008C3B55"/>
    <w:rsid w:val="008C510A"/>
    <w:rsid w:val="008C539C"/>
    <w:rsid w:val="008D2A75"/>
    <w:rsid w:val="008E4BCC"/>
    <w:rsid w:val="008F0705"/>
    <w:rsid w:val="008F165A"/>
    <w:rsid w:val="008F1867"/>
    <w:rsid w:val="008F49E0"/>
    <w:rsid w:val="00915736"/>
    <w:rsid w:val="00915CF4"/>
    <w:rsid w:val="009319DC"/>
    <w:rsid w:val="009319FF"/>
    <w:rsid w:val="00932B74"/>
    <w:rsid w:val="00941A26"/>
    <w:rsid w:val="009500A0"/>
    <w:rsid w:val="0095218C"/>
    <w:rsid w:val="0095221C"/>
    <w:rsid w:val="00956654"/>
    <w:rsid w:val="00956926"/>
    <w:rsid w:val="00957290"/>
    <w:rsid w:val="00957794"/>
    <w:rsid w:val="0096202E"/>
    <w:rsid w:val="00962873"/>
    <w:rsid w:val="0096668E"/>
    <w:rsid w:val="00972798"/>
    <w:rsid w:val="0097433A"/>
    <w:rsid w:val="00975A78"/>
    <w:rsid w:val="00982963"/>
    <w:rsid w:val="00982A64"/>
    <w:rsid w:val="00982B18"/>
    <w:rsid w:val="009838AB"/>
    <w:rsid w:val="0099110E"/>
    <w:rsid w:val="00994629"/>
    <w:rsid w:val="00996830"/>
    <w:rsid w:val="00996DAB"/>
    <w:rsid w:val="00997E07"/>
    <w:rsid w:val="009A29BA"/>
    <w:rsid w:val="009A2EAD"/>
    <w:rsid w:val="009A54E6"/>
    <w:rsid w:val="009B1065"/>
    <w:rsid w:val="009B277A"/>
    <w:rsid w:val="009C692F"/>
    <w:rsid w:val="009C7B8D"/>
    <w:rsid w:val="009E04D7"/>
    <w:rsid w:val="009F1129"/>
    <w:rsid w:val="009F4F71"/>
    <w:rsid w:val="00A03413"/>
    <w:rsid w:val="00A04454"/>
    <w:rsid w:val="00A10B6D"/>
    <w:rsid w:val="00A112C8"/>
    <w:rsid w:val="00A11C65"/>
    <w:rsid w:val="00A13336"/>
    <w:rsid w:val="00A15983"/>
    <w:rsid w:val="00A1600C"/>
    <w:rsid w:val="00A16F24"/>
    <w:rsid w:val="00A253CD"/>
    <w:rsid w:val="00A26044"/>
    <w:rsid w:val="00A26AF3"/>
    <w:rsid w:val="00A31CC7"/>
    <w:rsid w:val="00A400F2"/>
    <w:rsid w:val="00A41286"/>
    <w:rsid w:val="00A43B04"/>
    <w:rsid w:val="00A472E6"/>
    <w:rsid w:val="00A5415F"/>
    <w:rsid w:val="00A61632"/>
    <w:rsid w:val="00A625D6"/>
    <w:rsid w:val="00A64608"/>
    <w:rsid w:val="00A66E19"/>
    <w:rsid w:val="00A66ED7"/>
    <w:rsid w:val="00A75874"/>
    <w:rsid w:val="00A75906"/>
    <w:rsid w:val="00A770DE"/>
    <w:rsid w:val="00A812E2"/>
    <w:rsid w:val="00A82909"/>
    <w:rsid w:val="00A92086"/>
    <w:rsid w:val="00AA11F8"/>
    <w:rsid w:val="00AA3DBB"/>
    <w:rsid w:val="00AB16C7"/>
    <w:rsid w:val="00AC1CF8"/>
    <w:rsid w:val="00AC24A2"/>
    <w:rsid w:val="00AC66CA"/>
    <w:rsid w:val="00AC7645"/>
    <w:rsid w:val="00AD2355"/>
    <w:rsid w:val="00AD4E0E"/>
    <w:rsid w:val="00AD58EC"/>
    <w:rsid w:val="00AD715C"/>
    <w:rsid w:val="00AE34CF"/>
    <w:rsid w:val="00AE686F"/>
    <w:rsid w:val="00AF0377"/>
    <w:rsid w:val="00AF3207"/>
    <w:rsid w:val="00AF5807"/>
    <w:rsid w:val="00AF65D7"/>
    <w:rsid w:val="00B02F64"/>
    <w:rsid w:val="00B13F00"/>
    <w:rsid w:val="00B2079C"/>
    <w:rsid w:val="00B24306"/>
    <w:rsid w:val="00B24481"/>
    <w:rsid w:val="00B27492"/>
    <w:rsid w:val="00B358D7"/>
    <w:rsid w:val="00B36DF1"/>
    <w:rsid w:val="00B37542"/>
    <w:rsid w:val="00B42720"/>
    <w:rsid w:val="00B44179"/>
    <w:rsid w:val="00B54269"/>
    <w:rsid w:val="00B5461A"/>
    <w:rsid w:val="00B62D38"/>
    <w:rsid w:val="00B645BC"/>
    <w:rsid w:val="00B67F5A"/>
    <w:rsid w:val="00B757E0"/>
    <w:rsid w:val="00B86D01"/>
    <w:rsid w:val="00B90764"/>
    <w:rsid w:val="00B93273"/>
    <w:rsid w:val="00B93B04"/>
    <w:rsid w:val="00B94358"/>
    <w:rsid w:val="00B96D20"/>
    <w:rsid w:val="00BA1676"/>
    <w:rsid w:val="00BA2DD0"/>
    <w:rsid w:val="00BA37B9"/>
    <w:rsid w:val="00BB41AD"/>
    <w:rsid w:val="00BB4F80"/>
    <w:rsid w:val="00BB7EE0"/>
    <w:rsid w:val="00BC3B97"/>
    <w:rsid w:val="00BC7E9F"/>
    <w:rsid w:val="00BD21AB"/>
    <w:rsid w:val="00BD2F74"/>
    <w:rsid w:val="00BD3736"/>
    <w:rsid w:val="00BD7202"/>
    <w:rsid w:val="00BE3064"/>
    <w:rsid w:val="00BF2297"/>
    <w:rsid w:val="00BF493A"/>
    <w:rsid w:val="00BF4A9A"/>
    <w:rsid w:val="00BF4D1F"/>
    <w:rsid w:val="00BF6117"/>
    <w:rsid w:val="00C01155"/>
    <w:rsid w:val="00C03ECD"/>
    <w:rsid w:val="00C070B1"/>
    <w:rsid w:val="00C10393"/>
    <w:rsid w:val="00C13E85"/>
    <w:rsid w:val="00C17769"/>
    <w:rsid w:val="00C202D5"/>
    <w:rsid w:val="00C248AF"/>
    <w:rsid w:val="00C337F1"/>
    <w:rsid w:val="00C3656E"/>
    <w:rsid w:val="00C37B56"/>
    <w:rsid w:val="00C47663"/>
    <w:rsid w:val="00C50B5F"/>
    <w:rsid w:val="00C519DB"/>
    <w:rsid w:val="00C52E0D"/>
    <w:rsid w:val="00C5513F"/>
    <w:rsid w:val="00C579DC"/>
    <w:rsid w:val="00C609A3"/>
    <w:rsid w:val="00C72035"/>
    <w:rsid w:val="00C72EBD"/>
    <w:rsid w:val="00C7773C"/>
    <w:rsid w:val="00C80036"/>
    <w:rsid w:val="00C80E8C"/>
    <w:rsid w:val="00C8176F"/>
    <w:rsid w:val="00C82EE9"/>
    <w:rsid w:val="00C85524"/>
    <w:rsid w:val="00C86A91"/>
    <w:rsid w:val="00C92997"/>
    <w:rsid w:val="00C93338"/>
    <w:rsid w:val="00C941E4"/>
    <w:rsid w:val="00CB683E"/>
    <w:rsid w:val="00CD0EB4"/>
    <w:rsid w:val="00CD44A5"/>
    <w:rsid w:val="00CD6FF2"/>
    <w:rsid w:val="00CD7245"/>
    <w:rsid w:val="00CE04A1"/>
    <w:rsid w:val="00CE2824"/>
    <w:rsid w:val="00CE479C"/>
    <w:rsid w:val="00CF471A"/>
    <w:rsid w:val="00CF6818"/>
    <w:rsid w:val="00CF795E"/>
    <w:rsid w:val="00D0128E"/>
    <w:rsid w:val="00D03160"/>
    <w:rsid w:val="00D1004F"/>
    <w:rsid w:val="00D17FBF"/>
    <w:rsid w:val="00D30A65"/>
    <w:rsid w:val="00D36B94"/>
    <w:rsid w:val="00D51506"/>
    <w:rsid w:val="00D5587B"/>
    <w:rsid w:val="00D57042"/>
    <w:rsid w:val="00D60526"/>
    <w:rsid w:val="00D614C0"/>
    <w:rsid w:val="00D65F92"/>
    <w:rsid w:val="00D6768E"/>
    <w:rsid w:val="00D70F42"/>
    <w:rsid w:val="00D7667F"/>
    <w:rsid w:val="00D80562"/>
    <w:rsid w:val="00D817DE"/>
    <w:rsid w:val="00D82EB6"/>
    <w:rsid w:val="00D85507"/>
    <w:rsid w:val="00D86DC8"/>
    <w:rsid w:val="00D90487"/>
    <w:rsid w:val="00D94DA3"/>
    <w:rsid w:val="00D9725F"/>
    <w:rsid w:val="00DA74E0"/>
    <w:rsid w:val="00DA7DE0"/>
    <w:rsid w:val="00DC29FB"/>
    <w:rsid w:val="00DC5140"/>
    <w:rsid w:val="00DC79F5"/>
    <w:rsid w:val="00DD0D13"/>
    <w:rsid w:val="00DD0E4E"/>
    <w:rsid w:val="00DD5215"/>
    <w:rsid w:val="00DD6247"/>
    <w:rsid w:val="00DD6899"/>
    <w:rsid w:val="00DD6E57"/>
    <w:rsid w:val="00DD71A6"/>
    <w:rsid w:val="00DE3CE9"/>
    <w:rsid w:val="00DE3DB4"/>
    <w:rsid w:val="00DE40C1"/>
    <w:rsid w:val="00DF33DA"/>
    <w:rsid w:val="00DF6497"/>
    <w:rsid w:val="00E07B4C"/>
    <w:rsid w:val="00E104E2"/>
    <w:rsid w:val="00E17506"/>
    <w:rsid w:val="00E3013C"/>
    <w:rsid w:val="00E32F82"/>
    <w:rsid w:val="00E33790"/>
    <w:rsid w:val="00E354E6"/>
    <w:rsid w:val="00E3593F"/>
    <w:rsid w:val="00E53216"/>
    <w:rsid w:val="00E658BA"/>
    <w:rsid w:val="00E73E5C"/>
    <w:rsid w:val="00E74C15"/>
    <w:rsid w:val="00E77A8F"/>
    <w:rsid w:val="00E8334D"/>
    <w:rsid w:val="00E83B06"/>
    <w:rsid w:val="00E8620E"/>
    <w:rsid w:val="00E874E2"/>
    <w:rsid w:val="00E90ADF"/>
    <w:rsid w:val="00E94934"/>
    <w:rsid w:val="00E94AA7"/>
    <w:rsid w:val="00E974DD"/>
    <w:rsid w:val="00EA1DFE"/>
    <w:rsid w:val="00EA4016"/>
    <w:rsid w:val="00EA45AB"/>
    <w:rsid w:val="00EA4BCD"/>
    <w:rsid w:val="00EA71F8"/>
    <w:rsid w:val="00EB0B46"/>
    <w:rsid w:val="00EB1BF2"/>
    <w:rsid w:val="00EB225A"/>
    <w:rsid w:val="00EB2B50"/>
    <w:rsid w:val="00EB2BF3"/>
    <w:rsid w:val="00EB6A3C"/>
    <w:rsid w:val="00EC1442"/>
    <w:rsid w:val="00EC145D"/>
    <w:rsid w:val="00EC41B1"/>
    <w:rsid w:val="00EC77CE"/>
    <w:rsid w:val="00ED094D"/>
    <w:rsid w:val="00ED1623"/>
    <w:rsid w:val="00ED66F2"/>
    <w:rsid w:val="00EE0AC8"/>
    <w:rsid w:val="00EF0860"/>
    <w:rsid w:val="00EF2EDC"/>
    <w:rsid w:val="00EF4EB6"/>
    <w:rsid w:val="00EF7E16"/>
    <w:rsid w:val="00F01D7F"/>
    <w:rsid w:val="00F02BD3"/>
    <w:rsid w:val="00F04679"/>
    <w:rsid w:val="00F2671A"/>
    <w:rsid w:val="00F26E9B"/>
    <w:rsid w:val="00F27486"/>
    <w:rsid w:val="00F279D9"/>
    <w:rsid w:val="00F30F7A"/>
    <w:rsid w:val="00F33621"/>
    <w:rsid w:val="00F35D99"/>
    <w:rsid w:val="00F447DA"/>
    <w:rsid w:val="00F53326"/>
    <w:rsid w:val="00F53947"/>
    <w:rsid w:val="00F54727"/>
    <w:rsid w:val="00F554C7"/>
    <w:rsid w:val="00F5620A"/>
    <w:rsid w:val="00F6166B"/>
    <w:rsid w:val="00F65907"/>
    <w:rsid w:val="00F66715"/>
    <w:rsid w:val="00F66ED2"/>
    <w:rsid w:val="00F744D4"/>
    <w:rsid w:val="00F74EC5"/>
    <w:rsid w:val="00F76EE4"/>
    <w:rsid w:val="00F82C8A"/>
    <w:rsid w:val="00F870CE"/>
    <w:rsid w:val="00F92C02"/>
    <w:rsid w:val="00F93418"/>
    <w:rsid w:val="00F93B5F"/>
    <w:rsid w:val="00FA0AB4"/>
    <w:rsid w:val="00FA3E6B"/>
    <w:rsid w:val="00FA5178"/>
    <w:rsid w:val="00FA77F4"/>
    <w:rsid w:val="00FA7AED"/>
    <w:rsid w:val="00FB70C1"/>
    <w:rsid w:val="00FC2D1D"/>
    <w:rsid w:val="00FC460C"/>
    <w:rsid w:val="00FC4E79"/>
    <w:rsid w:val="00FC5AE6"/>
    <w:rsid w:val="00FC62C5"/>
    <w:rsid w:val="00FD2B81"/>
    <w:rsid w:val="00FD53E7"/>
    <w:rsid w:val="00FE0E34"/>
    <w:rsid w:val="00FE2904"/>
    <w:rsid w:val="00FF28F3"/>
    <w:rsid w:val="00FF3474"/>
    <w:rsid w:val="00FF4AAE"/>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245"/>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CD72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CD7245"/>
    <w:rPr>
      <w:sz w:val="20"/>
      <w:szCs w:val="20"/>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iPriority w:val="99"/>
    <w:unhideWhenUsed/>
    <w:qFormat/>
    <w:rsid w:val="00CD7245"/>
    <w:rPr>
      <w:vertAlign w:val="superscript"/>
    </w:rPr>
  </w:style>
  <w:style w:type="paragraph" w:styleId="Header">
    <w:name w:val="header"/>
    <w:basedOn w:val="Normal"/>
    <w:link w:val="HeaderChar"/>
    <w:uiPriority w:val="99"/>
    <w:unhideWhenUsed/>
    <w:rsid w:val="00EB2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50"/>
  </w:style>
  <w:style w:type="paragraph" w:styleId="Footer">
    <w:name w:val="footer"/>
    <w:basedOn w:val="Normal"/>
    <w:link w:val="FooterChar"/>
    <w:uiPriority w:val="99"/>
    <w:unhideWhenUsed/>
    <w:rsid w:val="00EB2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50"/>
  </w:style>
  <w:style w:type="paragraph" w:styleId="BalloonText">
    <w:name w:val="Balloon Text"/>
    <w:basedOn w:val="Normal"/>
    <w:link w:val="BalloonTextChar"/>
    <w:uiPriority w:val="99"/>
    <w:semiHidden/>
    <w:unhideWhenUsed/>
    <w:rsid w:val="00EB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50"/>
    <w:rPr>
      <w:rFonts w:ascii="Tahoma" w:hAnsi="Tahoma" w:cs="Tahoma"/>
      <w:sz w:val="16"/>
      <w:szCs w:val="16"/>
    </w:rPr>
  </w:style>
  <w:style w:type="character" w:styleId="Hyperlink">
    <w:name w:val="Hyperlink"/>
    <w:unhideWhenUsed/>
    <w:rsid w:val="008D2A75"/>
    <w:rPr>
      <w:color w:val="0000FF"/>
      <w:u w:val="single"/>
    </w:rPr>
  </w:style>
  <w:style w:type="paragraph" w:customStyle="1" w:styleId="Appelnotedebasde">
    <w:name w:val="Appel note de bas de..."/>
    <w:basedOn w:val="Normal"/>
    <w:link w:val="FootnoteReference"/>
    <w:uiPriority w:val="99"/>
    <w:rsid w:val="008D2A75"/>
    <w:pPr>
      <w:spacing w:after="160" w:line="240" w:lineRule="exact"/>
    </w:pPr>
    <w:rPr>
      <w:vertAlign w:val="superscript"/>
    </w:rPr>
  </w:style>
  <w:style w:type="character" w:styleId="CommentReference">
    <w:name w:val="annotation reference"/>
    <w:basedOn w:val="DefaultParagraphFont"/>
    <w:uiPriority w:val="99"/>
    <w:semiHidden/>
    <w:unhideWhenUsed/>
    <w:rsid w:val="00EF2EDC"/>
    <w:rPr>
      <w:sz w:val="16"/>
      <w:szCs w:val="16"/>
    </w:rPr>
  </w:style>
  <w:style w:type="paragraph" w:styleId="CommentText">
    <w:name w:val="annotation text"/>
    <w:basedOn w:val="Normal"/>
    <w:link w:val="CommentTextChar"/>
    <w:uiPriority w:val="99"/>
    <w:semiHidden/>
    <w:unhideWhenUsed/>
    <w:rsid w:val="00EF2EDC"/>
    <w:pPr>
      <w:spacing w:line="240" w:lineRule="auto"/>
    </w:pPr>
    <w:rPr>
      <w:sz w:val="20"/>
      <w:szCs w:val="20"/>
    </w:rPr>
  </w:style>
  <w:style w:type="character" w:customStyle="1" w:styleId="CommentTextChar">
    <w:name w:val="Comment Text Char"/>
    <w:basedOn w:val="DefaultParagraphFont"/>
    <w:link w:val="CommentText"/>
    <w:uiPriority w:val="99"/>
    <w:semiHidden/>
    <w:rsid w:val="00EF2EDC"/>
    <w:rPr>
      <w:sz w:val="20"/>
      <w:szCs w:val="20"/>
    </w:rPr>
  </w:style>
  <w:style w:type="paragraph" w:styleId="CommentSubject">
    <w:name w:val="annotation subject"/>
    <w:basedOn w:val="CommentText"/>
    <w:next w:val="CommentText"/>
    <w:link w:val="CommentSubjectChar"/>
    <w:uiPriority w:val="99"/>
    <w:semiHidden/>
    <w:unhideWhenUsed/>
    <w:rsid w:val="00EF2EDC"/>
    <w:rPr>
      <w:b/>
      <w:bCs/>
    </w:rPr>
  </w:style>
  <w:style w:type="character" w:customStyle="1" w:styleId="CommentSubjectChar">
    <w:name w:val="Comment Subject Char"/>
    <w:basedOn w:val="CommentTextChar"/>
    <w:link w:val="CommentSubject"/>
    <w:uiPriority w:val="99"/>
    <w:semiHidden/>
    <w:rsid w:val="00EF2EDC"/>
    <w:rPr>
      <w:b/>
      <w:bCs/>
      <w:sz w:val="20"/>
      <w:szCs w:val="20"/>
    </w:rPr>
  </w:style>
  <w:style w:type="character" w:customStyle="1" w:styleId="fontstyle01">
    <w:name w:val="fontstyle01"/>
    <w:basedOn w:val="DefaultParagraphFont"/>
    <w:rsid w:val="000772B1"/>
    <w:rPr>
      <w:rFonts w:ascii="Calibri" w:hAnsi="Calibri" w:hint="default"/>
      <w:b w:val="0"/>
      <w:bCs w:val="0"/>
      <w:i w:val="0"/>
      <w:iCs w:val="0"/>
      <w:color w:val="000000"/>
      <w:sz w:val="22"/>
      <w:szCs w:val="22"/>
    </w:rPr>
  </w:style>
  <w:style w:type="paragraph" w:styleId="Revision">
    <w:name w:val="Revision"/>
    <w:hidden/>
    <w:uiPriority w:val="99"/>
    <w:semiHidden/>
    <w:rsid w:val="00C13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3549">
      <w:bodyDiv w:val="1"/>
      <w:marLeft w:val="0"/>
      <w:marRight w:val="0"/>
      <w:marTop w:val="0"/>
      <w:marBottom w:val="0"/>
      <w:divBdr>
        <w:top w:val="none" w:sz="0" w:space="0" w:color="auto"/>
        <w:left w:val="none" w:sz="0" w:space="0" w:color="auto"/>
        <w:bottom w:val="none" w:sz="0" w:space="0" w:color="auto"/>
        <w:right w:val="none" w:sz="0" w:space="0" w:color="auto"/>
      </w:divBdr>
    </w:div>
    <w:div w:id="1594321006">
      <w:bodyDiv w:val="1"/>
      <w:marLeft w:val="0"/>
      <w:marRight w:val="0"/>
      <w:marTop w:val="0"/>
      <w:marBottom w:val="0"/>
      <w:divBdr>
        <w:top w:val="none" w:sz="0" w:space="0" w:color="auto"/>
        <w:left w:val="none" w:sz="0" w:space="0" w:color="auto"/>
        <w:bottom w:val="none" w:sz="0" w:space="0" w:color="auto"/>
        <w:right w:val="none" w:sz="0" w:space="0" w:color="auto"/>
      </w:divBdr>
      <w:divsChild>
        <w:div w:id="299001298">
          <w:marLeft w:val="0"/>
          <w:marRight w:val="0"/>
          <w:marTop w:val="0"/>
          <w:marBottom w:val="0"/>
          <w:divBdr>
            <w:top w:val="none" w:sz="0" w:space="0" w:color="auto"/>
            <w:left w:val="none" w:sz="0" w:space="0" w:color="auto"/>
            <w:bottom w:val="none" w:sz="0" w:space="0" w:color="auto"/>
            <w:right w:val="none" w:sz="0" w:space="0" w:color="auto"/>
          </w:divBdr>
          <w:divsChild>
            <w:div w:id="2048018120">
              <w:marLeft w:val="0"/>
              <w:marRight w:val="0"/>
              <w:marTop w:val="0"/>
              <w:marBottom w:val="0"/>
              <w:divBdr>
                <w:top w:val="none" w:sz="0" w:space="0" w:color="auto"/>
                <w:left w:val="none" w:sz="0" w:space="0" w:color="auto"/>
                <w:bottom w:val="none" w:sz="0" w:space="0" w:color="auto"/>
                <w:right w:val="none" w:sz="0" w:space="0" w:color="auto"/>
              </w:divBdr>
              <w:divsChild>
                <w:div w:id="79642481">
                  <w:marLeft w:val="0"/>
                  <w:marRight w:val="0"/>
                  <w:marTop w:val="0"/>
                  <w:marBottom w:val="0"/>
                  <w:divBdr>
                    <w:top w:val="none" w:sz="0" w:space="0" w:color="auto"/>
                    <w:left w:val="none" w:sz="0" w:space="0" w:color="auto"/>
                    <w:bottom w:val="none" w:sz="0" w:space="0" w:color="auto"/>
                    <w:right w:val="none" w:sz="0" w:space="0" w:color="auto"/>
                  </w:divBdr>
                  <w:divsChild>
                    <w:div w:id="104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ieinicaragua.org/giei-content/uploads/2018/12/GIEI_INFORME_DIGIT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pdf/2018/84-2018MC-1133-18-NI.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C645-5506-46E7-B0A7-79F31953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3888</Words>
  <Characters>22162</Characters>
  <Application>Microsoft Office Word</Application>
  <DocSecurity>0</DocSecurity>
  <Lines>184</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6</cp:revision>
  <cp:lastPrinted>2019-02-01T20:05:00Z</cp:lastPrinted>
  <dcterms:created xsi:type="dcterms:W3CDTF">2019-02-01T15:31:00Z</dcterms:created>
  <dcterms:modified xsi:type="dcterms:W3CDTF">2019-02-01T20:12:00Z</dcterms:modified>
</cp:coreProperties>
</file>