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060488" w:rsidRDefault="00EB2B50" w:rsidP="00E2162A">
      <w:pPr>
        <w:widowControl w:val="0"/>
        <w:spacing w:after="0" w:line="240" w:lineRule="auto"/>
        <w:jc w:val="center"/>
        <w:rPr>
          <w:rFonts w:ascii="Cambria" w:eastAsia="Calibri" w:hAnsi="Cambria" w:cs="Calibri"/>
          <w:b/>
          <w:szCs w:val="21"/>
          <w:lang w:val="es-PE"/>
        </w:rPr>
      </w:pPr>
      <w:r w:rsidRPr="00060488">
        <w:rPr>
          <w:rFonts w:ascii="Cambria" w:eastAsia="Calibri" w:hAnsi="Cambria" w:cs="Calibri"/>
          <w:b/>
          <w:szCs w:val="21"/>
          <w:lang w:val="es-PE"/>
        </w:rPr>
        <w:t>COMISIÓN INTERAMERICANA DE DERECHOS HUMANOS</w:t>
      </w:r>
    </w:p>
    <w:p w:rsidR="00EB2B50" w:rsidRPr="002B765C" w:rsidRDefault="00EB2B50" w:rsidP="00E2162A">
      <w:pPr>
        <w:widowControl w:val="0"/>
        <w:spacing w:after="0" w:line="240" w:lineRule="auto"/>
        <w:jc w:val="center"/>
        <w:rPr>
          <w:rFonts w:ascii="Cambria" w:eastAsia="Calibri" w:hAnsi="Cambria" w:cs="Calibri"/>
          <w:b/>
          <w:color w:val="000000"/>
          <w:szCs w:val="21"/>
          <w:lang w:val="es-PE"/>
        </w:rPr>
      </w:pPr>
      <w:r w:rsidRPr="002B765C">
        <w:rPr>
          <w:rFonts w:ascii="Cambria" w:eastAsia="Calibri" w:hAnsi="Cambria" w:cs="Calibri"/>
          <w:b/>
          <w:color w:val="000000"/>
          <w:szCs w:val="21"/>
          <w:lang w:val="es-PE"/>
        </w:rPr>
        <w:t xml:space="preserve">RESOLUCIÓN </w:t>
      </w:r>
      <w:r w:rsidR="00561771">
        <w:rPr>
          <w:rFonts w:ascii="Cambria" w:eastAsia="Calibri" w:hAnsi="Cambria" w:cs="Calibri"/>
          <w:b/>
          <w:color w:val="000000"/>
          <w:szCs w:val="21"/>
          <w:lang w:val="es-PE"/>
        </w:rPr>
        <w:t>74</w:t>
      </w:r>
      <w:r w:rsidR="003B5DA7" w:rsidRPr="002B765C">
        <w:rPr>
          <w:rFonts w:ascii="Cambria" w:eastAsia="Calibri" w:hAnsi="Cambria" w:cs="Calibri"/>
          <w:b/>
          <w:color w:val="000000"/>
          <w:szCs w:val="21"/>
          <w:lang w:val="es-PE"/>
        </w:rPr>
        <w:t>/</w:t>
      </w:r>
      <w:r w:rsidRPr="002B765C">
        <w:rPr>
          <w:rFonts w:ascii="Cambria" w:eastAsia="Calibri" w:hAnsi="Cambria" w:cs="Calibri"/>
          <w:b/>
          <w:color w:val="000000"/>
          <w:szCs w:val="21"/>
          <w:lang w:val="es-PE"/>
        </w:rPr>
        <w:t>2018</w:t>
      </w:r>
    </w:p>
    <w:p w:rsidR="00EB2B50" w:rsidRPr="002B765C" w:rsidRDefault="00EB2B50" w:rsidP="00E2162A">
      <w:pPr>
        <w:widowControl w:val="0"/>
        <w:spacing w:after="0" w:line="240" w:lineRule="auto"/>
        <w:jc w:val="center"/>
        <w:rPr>
          <w:rFonts w:ascii="Cambria" w:eastAsia="Calibri" w:hAnsi="Cambria" w:cs="Calibri"/>
          <w:color w:val="000000"/>
          <w:szCs w:val="21"/>
          <w:lang w:val="es-PE"/>
        </w:rPr>
      </w:pPr>
    </w:p>
    <w:p w:rsidR="00EB2B50" w:rsidRPr="00881272" w:rsidRDefault="00EB2B50" w:rsidP="00E2162A">
      <w:pPr>
        <w:widowControl w:val="0"/>
        <w:spacing w:after="0" w:line="240" w:lineRule="auto"/>
        <w:jc w:val="center"/>
        <w:rPr>
          <w:rFonts w:ascii="Cambria" w:eastAsia="Calibri" w:hAnsi="Cambria" w:cs="Calibri"/>
          <w:color w:val="000000"/>
          <w:sz w:val="21"/>
          <w:szCs w:val="21"/>
          <w:lang w:val="pt-BR"/>
        </w:rPr>
      </w:pPr>
      <w:r w:rsidRPr="00881272">
        <w:rPr>
          <w:rFonts w:ascii="Cambria" w:eastAsia="Calibri" w:hAnsi="Cambria" w:cs="Calibri"/>
          <w:color w:val="000000"/>
          <w:szCs w:val="21"/>
          <w:lang w:val="pt-BR"/>
        </w:rPr>
        <w:t>Medidas cautelares No.</w:t>
      </w:r>
      <w:r w:rsidR="0059333C" w:rsidRPr="00881272">
        <w:rPr>
          <w:rFonts w:ascii="Cambria" w:eastAsia="Calibri" w:hAnsi="Cambria" w:cs="Calibri"/>
          <w:color w:val="000000"/>
          <w:szCs w:val="21"/>
          <w:lang w:val="pt-BR"/>
        </w:rPr>
        <w:t xml:space="preserve"> </w:t>
      </w:r>
      <w:r w:rsidR="00262DEA">
        <w:rPr>
          <w:rFonts w:ascii="Cambria" w:eastAsia="Calibri" w:hAnsi="Cambria" w:cs="Calibri"/>
          <w:color w:val="000000"/>
          <w:szCs w:val="21"/>
          <w:lang w:val="pt-BR"/>
        </w:rPr>
        <w:t>469-18</w:t>
      </w:r>
    </w:p>
    <w:p w:rsidR="00EB2B50" w:rsidRPr="00881272" w:rsidRDefault="00334B6E" w:rsidP="00E2162A">
      <w:pPr>
        <w:widowControl w:val="0"/>
        <w:spacing w:after="0" w:line="240" w:lineRule="auto"/>
        <w:contextualSpacing/>
        <w:jc w:val="center"/>
        <w:rPr>
          <w:rFonts w:ascii="Cambria" w:eastAsia="Calibri" w:hAnsi="Cambria" w:cs="Calibri"/>
          <w:color w:val="000000"/>
          <w:sz w:val="26"/>
          <w:szCs w:val="26"/>
          <w:lang w:val="pt-BR"/>
        </w:rPr>
      </w:pPr>
      <w:r w:rsidRPr="00334B6E">
        <w:rPr>
          <w:rFonts w:ascii="Cambria" w:eastAsia="Calibri" w:hAnsi="Cambria" w:cs="Calibri"/>
          <w:color w:val="000000"/>
          <w:sz w:val="26"/>
          <w:szCs w:val="26"/>
          <w:lang w:val="pt-BR"/>
        </w:rPr>
        <w:t xml:space="preserve">Edwin José Carcache Dávila </w:t>
      </w:r>
      <w:r w:rsidR="00EB2B50" w:rsidRPr="00881272">
        <w:rPr>
          <w:rFonts w:ascii="Cambria" w:eastAsia="Calibri" w:hAnsi="Cambria" w:cs="Calibri"/>
          <w:color w:val="000000"/>
          <w:sz w:val="26"/>
          <w:szCs w:val="26"/>
          <w:lang w:val="pt-BR"/>
        </w:rPr>
        <w:t>respecto de Nicaragua</w:t>
      </w:r>
    </w:p>
    <w:p w:rsidR="00EB2B50" w:rsidRPr="00915736" w:rsidRDefault="00CF31B5" w:rsidP="00E2162A">
      <w:pPr>
        <w:widowControl w:val="0"/>
        <w:spacing w:after="0" w:line="240" w:lineRule="auto"/>
        <w:jc w:val="center"/>
        <w:rPr>
          <w:rFonts w:ascii="Cambria" w:eastAsia="Calibri" w:hAnsi="Cambria" w:cs="Calibri"/>
          <w:color w:val="000000"/>
          <w:sz w:val="20"/>
          <w:szCs w:val="21"/>
          <w:lang w:val="pt-BR"/>
        </w:rPr>
      </w:pPr>
      <w:r>
        <w:rPr>
          <w:rFonts w:ascii="Cambria" w:eastAsia="Calibri" w:hAnsi="Cambria" w:cs="Calibri"/>
          <w:color w:val="000000"/>
          <w:sz w:val="20"/>
          <w:szCs w:val="21"/>
          <w:lang w:val="pt-BR"/>
        </w:rPr>
        <w:t>27</w:t>
      </w:r>
      <w:r w:rsidR="00EB2B50" w:rsidRPr="00375BEC">
        <w:rPr>
          <w:rFonts w:ascii="Cambria" w:eastAsia="Calibri" w:hAnsi="Cambria" w:cs="Calibri"/>
          <w:color w:val="000000"/>
          <w:sz w:val="20"/>
          <w:szCs w:val="21"/>
          <w:lang w:val="pt-BR"/>
        </w:rPr>
        <w:t xml:space="preserve"> de </w:t>
      </w:r>
      <w:r>
        <w:rPr>
          <w:rFonts w:ascii="Cambria" w:eastAsia="Calibri" w:hAnsi="Cambria" w:cs="Calibri"/>
          <w:color w:val="000000"/>
          <w:sz w:val="20"/>
          <w:szCs w:val="21"/>
          <w:lang w:val="pt-BR"/>
        </w:rPr>
        <w:t xml:space="preserve">septiembre </w:t>
      </w:r>
      <w:r w:rsidR="00EB2B50" w:rsidRPr="00375BEC">
        <w:rPr>
          <w:rFonts w:ascii="Cambria" w:eastAsia="Calibri" w:hAnsi="Cambria" w:cs="Calibri"/>
          <w:color w:val="000000"/>
          <w:sz w:val="20"/>
          <w:szCs w:val="21"/>
          <w:lang w:val="pt-BR"/>
        </w:rPr>
        <w:t>de 2018</w:t>
      </w:r>
    </w:p>
    <w:p w:rsidR="00AF3207" w:rsidRDefault="00AF3207" w:rsidP="00E2162A">
      <w:pPr>
        <w:widowControl w:val="0"/>
        <w:spacing w:after="0" w:line="240" w:lineRule="auto"/>
        <w:ind w:left="810"/>
        <w:jc w:val="both"/>
        <w:rPr>
          <w:rFonts w:ascii="Cambria" w:eastAsia="Calibri" w:hAnsi="Cambria" w:cs="Calibri"/>
          <w:b/>
          <w:color w:val="000000"/>
          <w:sz w:val="21"/>
          <w:szCs w:val="21"/>
          <w:lang w:val="es-PE"/>
        </w:rPr>
      </w:pPr>
    </w:p>
    <w:p w:rsidR="00EB2B50" w:rsidRPr="00060488" w:rsidRDefault="00EB2B50" w:rsidP="00E2162A">
      <w:pPr>
        <w:widowControl w:val="0"/>
        <w:numPr>
          <w:ilvl w:val="0"/>
          <w:numId w:val="3"/>
        </w:numPr>
        <w:spacing w:after="0" w:line="240" w:lineRule="auto"/>
        <w:ind w:left="810"/>
        <w:jc w:val="both"/>
        <w:rPr>
          <w:rFonts w:ascii="Cambria" w:eastAsia="Calibri" w:hAnsi="Cambria" w:cs="Calibri"/>
          <w:b/>
          <w:color w:val="000000"/>
          <w:sz w:val="21"/>
          <w:szCs w:val="21"/>
          <w:lang w:val="es-PE"/>
        </w:rPr>
      </w:pPr>
      <w:r w:rsidRPr="00060488">
        <w:rPr>
          <w:rFonts w:ascii="Cambria" w:eastAsia="Calibri" w:hAnsi="Cambria" w:cs="Calibri"/>
          <w:b/>
          <w:color w:val="000000"/>
          <w:sz w:val="21"/>
          <w:szCs w:val="21"/>
          <w:lang w:val="es-PE"/>
        </w:rPr>
        <w:t>INTRODUCCIÓN</w:t>
      </w:r>
    </w:p>
    <w:p w:rsidR="00EB2B50" w:rsidRPr="00060488" w:rsidRDefault="00EB2B50" w:rsidP="00E2162A">
      <w:pPr>
        <w:widowControl w:val="0"/>
        <w:spacing w:after="0" w:line="240" w:lineRule="auto"/>
        <w:ind w:left="720"/>
        <w:jc w:val="both"/>
        <w:rPr>
          <w:rFonts w:ascii="Cambria" w:eastAsia="Calibri" w:hAnsi="Cambria" w:cs="Calibri"/>
          <w:b/>
          <w:color w:val="000000"/>
          <w:sz w:val="21"/>
          <w:szCs w:val="21"/>
          <w:lang w:val="es-PE"/>
        </w:rPr>
      </w:pPr>
    </w:p>
    <w:p w:rsidR="00F93418" w:rsidRPr="00D576DC" w:rsidRDefault="005560F8" w:rsidP="00E2162A">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 xml:space="preserve">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w:t>
      </w:r>
      <w:r w:rsidRPr="00D576DC">
        <w:rPr>
          <w:rFonts w:ascii="Cambria" w:eastAsia="Calibri" w:hAnsi="Cambria" w:cs="Calibri"/>
          <w:color w:val="000000"/>
          <w:sz w:val="21"/>
          <w:szCs w:val="21"/>
          <w:lang w:val="es-PE"/>
        </w:rPr>
        <w:t>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D576DC">
        <w:rPr>
          <w:rFonts w:ascii="Cambria" w:eastAsia="Calibri" w:hAnsi="Cambria" w:cs="Calibri"/>
          <w:color w:val="000000"/>
          <w:sz w:val="21"/>
          <w:szCs w:val="21"/>
          <w:lang w:val="es-PE"/>
        </w:rPr>
        <w:t>.</w:t>
      </w:r>
      <w:r w:rsidR="00AC3610">
        <w:rPr>
          <w:rFonts w:ascii="Cambria" w:eastAsia="Calibri" w:hAnsi="Cambria" w:cs="Calibri"/>
          <w:color w:val="000000"/>
          <w:sz w:val="21"/>
          <w:szCs w:val="21"/>
          <w:lang w:val="es-PE"/>
        </w:rPr>
        <w:t xml:space="preserve"> </w:t>
      </w:r>
      <w:r w:rsidRPr="00D576DC">
        <w:rPr>
          <w:rFonts w:ascii="Cambria" w:eastAsia="Calibri" w:hAnsi="Cambria" w:cs="Calibri"/>
          <w:color w:val="000000"/>
          <w:sz w:val="21"/>
          <w:szCs w:val="21"/>
          <w:lang w:val="es-PE"/>
        </w:rPr>
        <w:t>Según la solicitud</w:t>
      </w:r>
      <w:r w:rsidR="00334B6E" w:rsidRPr="00D576DC">
        <w:rPr>
          <w:rFonts w:ascii="Cambria" w:eastAsia="Calibri" w:hAnsi="Cambria" w:cs="Calibri"/>
          <w:color w:val="000000"/>
          <w:sz w:val="21"/>
          <w:szCs w:val="21"/>
          <w:lang w:val="es-PE"/>
        </w:rPr>
        <w:t>,</w:t>
      </w:r>
      <w:r w:rsidR="00FE030B">
        <w:rPr>
          <w:rFonts w:ascii="Cambria" w:eastAsia="Calibri" w:hAnsi="Cambria" w:cs="Calibri"/>
          <w:color w:val="000000"/>
          <w:sz w:val="21"/>
          <w:szCs w:val="21"/>
          <w:lang w:val="es-PE"/>
        </w:rPr>
        <w:t xml:space="preserve"> </w:t>
      </w:r>
      <w:r w:rsidR="00334B6E" w:rsidRPr="00D576DC">
        <w:rPr>
          <w:rFonts w:ascii="Cambria" w:eastAsia="Calibri" w:hAnsi="Cambria" w:cs="Calibri"/>
          <w:color w:val="000000"/>
          <w:sz w:val="21"/>
          <w:szCs w:val="21"/>
          <w:lang w:val="es-PE"/>
        </w:rPr>
        <w:t xml:space="preserve">el propuesto beneficiario se encontraría en una situación de riesgo dado el rol que cumpliría en el seno del movimiento estudiantil en el actual contexto que atraviesa Nicaragua, y tras haber sido privado de su libertad el 4 de septiembre de 2018. </w:t>
      </w:r>
    </w:p>
    <w:p w:rsidR="00F93418" w:rsidRPr="00D576DC" w:rsidRDefault="00F93418" w:rsidP="00E2162A">
      <w:pPr>
        <w:widowControl w:val="0"/>
        <w:spacing w:after="0" w:line="240" w:lineRule="auto"/>
        <w:ind w:left="360"/>
        <w:jc w:val="both"/>
        <w:rPr>
          <w:rFonts w:ascii="Cambria" w:eastAsia="Calibri" w:hAnsi="Cambria" w:cs="Calibri"/>
          <w:color w:val="000000"/>
          <w:sz w:val="21"/>
          <w:szCs w:val="21"/>
          <w:lang w:val="es-PE"/>
        </w:rPr>
      </w:pPr>
    </w:p>
    <w:p w:rsidR="00E0433C" w:rsidRPr="00E0433C" w:rsidRDefault="00E0433C" w:rsidP="00E2162A">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Pr>
          <w:rFonts w:ascii="Cambria" w:eastAsia="Calibri" w:hAnsi="Cambria" w:cs="Times New Roman"/>
          <w:sz w:val="21"/>
          <w:szCs w:val="21"/>
          <w:lang w:val="es-PE"/>
        </w:rPr>
        <w:t>L</w:t>
      </w:r>
      <w:r w:rsidRPr="00E0433C">
        <w:rPr>
          <w:rFonts w:ascii="Cambria" w:eastAsia="Calibri" w:hAnsi="Cambria" w:cs="Times New Roman"/>
          <w:sz w:val="21"/>
          <w:szCs w:val="21"/>
          <w:lang w:val="es-PE"/>
        </w:rPr>
        <w:t xml:space="preserve">a Comisión solicitó información al Estado </w:t>
      </w:r>
      <w:r>
        <w:rPr>
          <w:rFonts w:ascii="Cambria" w:eastAsia="Calibri" w:hAnsi="Cambria" w:cs="Times New Roman"/>
          <w:sz w:val="21"/>
          <w:szCs w:val="21"/>
          <w:lang w:val="es-PE"/>
        </w:rPr>
        <w:t xml:space="preserve">de Nicaragua </w:t>
      </w:r>
      <w:r w:rsidRPr="00E0433C">
        <w:rPr>
          <w:rFonts w:ascii="Cambria" w:eastAsia="Calibri" w:hAnsi="Cambria" w:cs="Times New Roman"/>
          <w:sz w:val="21"/>
          <w:szCs w:val="21"/>
          <w:lang w:val="es-PE"/>
        </w:rPr>
        <w:t>el 3 de agosto de 2018, en particular sobre la situación de Edwin</w:t>
      </w:r>
      <w:r w:rsidR="00FE030B">
        <w:rPr>
          <w:rFonts w:ascii="Cambria" w:eastAsia="Calibri" w:hAnsi="Cambria" w:cs="Times New Roman"/>
          <w:sz w:val="21"/>
          <w:szCs w:val="21"/>
          <w:lang w:val="es-PE"/>
        </w:rPr>
        <w:t xml:space="preserve"> </w:t>
      </w:r>
      <w:r w:rsidRPr="00E0433C">
        <w:rPr>
          <w:rFonts w:ascii="Cambria" w:eastAsia="Calibri" w:hAnsi="Cambria" w:cs="Times New Roman"/>
          <w:sz w:val="21"/>
          <w:szCs w:val="21"/>
          <w:lang w:val="es-PE"/>
        </w:rPr>
        <w:t xml:space="preserve">José </w:t>
      </w:r>
      <w:proofErr w:type="spellStart"/>
      <w:r w:rsidRPr="00E0433C">
        <w:rPr>
          <w:rFonts w:ascii="Cambria" w:eastAsia="Calibri" w:hAnsi="Cambria" w:cs="Times New Roman"/>
          <w:sz w:val="21"/>
          <w:szCs w:val="21"/>
          <w:lang w:val="es-PE"/>
        </w:rPr>
        <w:t>Carcache</w:t>
      </w:r>
      <w:proofErr w:type="spellEnd"/>
      <w:r w:rsidRPr="00E0433C">
        <w:rPr>
          <w:rFonts w:ascii="Cambria" w:eastAsia="Calibri" w:hAnsi="Cambria" w:cs="Times New Roman"/>
          <w:sz w:val="21"/>
          <w:szCs w:val="21"/>
          <w:lang w:val="es-PE"/>
        </w:rPr>
        <w:t xml:space="preserve"> Dávila. Mediante comunicación del 7 de agosto de 2018 que se refiere a diversas solicitudes de medidas cautelares, el Estado informó de manera general que </w:t>
      </w:r>
      <w:r>
        <w:rPr>
          <w:rFonts w:ascii="Cambria" w:eastAsia="Calibri" w:hAnsi="Cambria" w:cs="Times New Roman"/>
          <w:sz w:val="21"/>
          <w:szCs w:val="21"/>
          <w:lang w:val="es-PE"/>
        </w:rPr>
        <w:t>“</w:t>
      </w:r>
      <w:r w:rsidRPr="00E0433C">
        <w:rPr>
          <w:rFonts w:ascii="Cambria" w:eastAsia="Calibri" w:hAnsi="Cambria" w:cs="Times New Roman"/>
          <w:sz w:val="21"/>
          <w:szCs w:val="21"/>
          <w:lang w:val="es-PE"/>
        </w:rPr>
        <w:t>ha brindado y brind</w:t>
      </w:r>
      <w:r w:rsidR="00FE030B">
        <w:rPr>
          <w:rFonts w:ascii="Cambria" w:eastAsia="Calibri" w:hAnsi="Cambria" w:cs="Times New Roman"/>
          <w:sz w:val="21"/>
          <w:szCs w:val="21"/>
          <w:lang w:val="es-PE"/>
        </w:rPr>
        <w:t xml:space="preserve">a </w:t>
      </w:r>
      <w:r w:rsidRPr="00E0433C">
        <w:rPr>
          <w:rFonts w:ascii="Cambria" w:eastAsia="Calibri" w:hAnsi="Cambria" w:cs="Times New Roman"/>
          <w:sz w:val="21"/>
          <w:szCs w:val="21"/>
          <w:lang w:val="es-PE"/>
        </w:rPr>
        <w:t>protección</w:t>
      </w:r>
      <w:r>
        <w:rPr>
          <w:rFonts w:ascii="Cambria" w:eastAsia="Calibri" w:hAnsi="Cambria" w:cs="Times New Roman"/>
          <w:sz w:val="21"/>
          <w:szCs w:val="21"/>
          <w:lang w:val="es-PE"/>
        </w:rPr>
        <w:t>”</w:t>
      </w:r>
      <w:r w:rsidRPr="00E0433C">
        <w:rPr>
          <w:rFonts w:ascii="Cambria" w:eastAsia="Calibri" w:hAnsi="Cambria" w:cs="Times New Roman"/>
          <w:sz w:val="21"/>
          <w:szCs w:val="21"/>
          <w:lang w:val="es-PE"/>
        </w:rPr>
        <w:t xml:space="preserve"> al propuesto beneficiario. </w:t>
      </w:r>
      <w:r w:rsidR="00FE030B">
        <w:rPr>
          <w:rFonts w:ascii="Cambria" w:eastAsia="Calibri" w:hAnsi="Cambria" w:cs="Times New Roman"/>
          <w:sz w:val="21"/>
          <w:szCs w:val="21"/>
          <w:lang w:val="es-PE"/>
        </w:rPr>
        <w:t xml:space="preserve">La Comisión recibió información posterior a través del MESENI durante el mes de septiembre de 2018.  </w:t>
      </w:r>
    </w:p>
    <w:p w:rsidR="00E0433C" w:rsidRDefault="00E0433C" w:rsidP="00E2162A">
      <w:pPr>
        <w:widowControl w:val="0"/>
        <w:spacing w:after="0" w:line="240" w:lineRule="auto"/>
        <w:ind w:left="360"/>
        <w:jc w:val="both"/>
        <w:rPr>
          <w:rFonts w:ascii="Cambria" w:eastAsia="Calibri" w:hAnsi="Cambria" w:cs="Calibri"/>
          <w:color w:val="000000"/>
          <w:sz w:val="21"/>
          <w:szCs w:val="21"/>
          <w:lang w:val="es-PE"/>
        </w:rPr>
      </w:pPr>
    </w:p>
    <w:p w:rsidR="00561771" w:rsidRPr="00561771" w:rsidRDefault="00EB2B50" w:rsidP="00561771">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61771">
        <w:rPr>
          <w:rFonts w:ascii="Cambria" w:eastAsia="Calibri" w:hAnsi="Cambria" w:cs="Calibri"/>
          <w:color w:val="000000"/>
          <w:sz w:val="21"/>
          <w:szCs w:val="21"/>
          <w:lang w:val="es-PE"/>
        </w:rPr>
        <w:t xml:space="preserve">Tras analizar la información disponible, </w:t>
      </w:r>
      <w:r w:rsidR="005F7A9A" w:rsidRPr="00561771">
        <w:rPr>
          <w:rFonts w:ascii="Cambria" w:eastAsia="Calibri" w:hAnsi="Cambria" w:cs="Calibri"/>
          <w:color w:val="000000"/>
          <w:sz w:val="21"/>
          <w:szCs w:val="21"/>
          <w:lang w:val="es-PE"/>
        </w:rPr>
        <w:t xml:space="preserve">a la luz del contexto aplicable, la </w:t>
      </w:r>
      <w:r w:rsidRPr="00561771">
        <w:rPr>
          <w:rFonts w:ascii="Cambria" w:eastAsia="Calibri" w:hAnsi="Cambria" w:cs="Calibri"/>
          <w:color w:val="000000"/>
          <w:sz w:val="21"/>
          <w:szCs w:val="21"/>
          <w:lang w:val="es-PE"/>
        </w:rPr>
        <w:t xml:space="preserve">Comisión considera que la información presentada demuestra </w:t>
      </w:r>
      <w:r w:rsidRPr="00561771">
        <w:rPr>
          <w:rFonts w:ascii="Cambria" w:eastAsia="Calibri" w:hAnsi="Cambria" w:cs="Calibri"/>
          <w:i/>
          <w:color w:val="000000"/>
          <w:sz w:val="21"/>
          <w:szCs w:val="21"/>
          <w:lang w:val="es-PE"/>
        </w:rPr>
        <w:t xml:space="preserve">prima facie </w:t>
      </w:r>
      <w:r w:rsidRPr="00561771">
        <w:rPr>
          <w:rFonts w:ascii="Cambria" w:eastAsia="Calibri" w:hAnsi="Cambria" w:cs="Calibri"/>
          <w:color w:val="000000"/>
          <w:sz w:val="21"/>
          <w:szCs w:val="21"/>
          <w:lang w:val="es-PE"/>
        </w:rPr>
        <w:t xml:space="preserve">que los derechos a la vida e integridad personal </w:t>
      </w:r>
      <w:r w:rsidR="003B7C3D" w:rsidRPr="00561771">
        <w:rPr>
          <w:rFonts w:ascii="Cambria" w:eastAsia="Calibri" w:hAnsi="Cambria" w:cs="Calibri"/>
          <w:color w:val="000000"/>
          <w:sz w:val="21"/>
          <w:szCs w:val="21"/>
          <w:lang w:val="es-PE"/>
        </w:rPr>
        <w:t>de</w:t>
      </w:r>
      <w:r w:rsidR="00915736" w:rsidRPr="00561771">
        <w:rPr>
          <w:rFonts w:ascii="Cambria" w:eastAsia="Calibri" w:hAnsi="Cambria" w:cs="Calibri"/>
          <w:color w:val="000000"/>
          <w:sz w:val="21"/>
          <w:szCs w:val="21"/>
          <w:lang w:val="es-PE"/>
        </w:rPr>
        <w:t xml:space="preserve"> </w:t>
      </w:r>
      <w:r w:rsidR="00334B6E" w:rsidRPr="00561771">
        <w:rPr>
          <w:rFonts w:ascii="Cambria" w:eastAsia="Calibri" w:hAnsi="Cambria" w:cs="Calibri"/>
          <w:color w:val="000000"/>
          <w:sz w:val="21"/>
          <w:szCs w:val="21"/>
          <w:lang w:val="es-PE"/>
        </w:rPr>
        <w:t xml:space="preserve">Edwin José </w:t>
      </w:r>
      <w:proofErr w:type="spellStart"/>
      <w:r w:rsidR="00334B6E" w:rsidRPr="00561771">
        <w:rPr>
          <w:rFonts w:ascii="Cambria" w:eastAsia="Calibri" w:hAnsi="Cambria" w:cs="Calibri"/>
          <w:color w:val="000000"/>
          <w:sz w:val="21"/>
          <w:szCs w:val="21"/>
          <w:lang w:val="es-PE"/>
        </w:rPr>
        <w:t>Carcache</w:t>
      </w:r>
      <w:proofErr w:type="spellEnd"/>
      <w:r w:rsidR="00334B6E" w:rsidRPr="00561771">
        <w:rPr>
          <w:rFonts w:ascii="Cambria" w:eastAsia="Calibri" w:hAnsi="Cambria" w:cs="Calibri"/>
          <w:color w:val="000000"/>
          <w:sz w:val="21"/>
          <w:szCs w:val="21"/>
          <w:lang w:val="es-PE"/>
        </w:rPr>
        <w:t xml:space="preserve"> Dávila </w:t>
      </w:r>
      <w:r w:rsidRPr="00561771">
        <w:rPr>
          <w:rFonts w:ascii="Cambria" w:eastAsia="Calibri" w:hAnsi="Cambria" w:cs="Calibri"/>
          <w:color w:val="000000"/>
          <w:sz w:val="21"/>
          <w:szCs w:val="21"/>
          <w:lang w:val="es-PE"/>
        </w:rPr>
        <w:t xml:space="preserve">se encuentran en una situación de </w:t>
      </w:r>
      <w:r w:rsidR="002B7483" w:rsidRPr="00561771">
        <w:rPr>
          <w:rFonts w:ascii="Cambria" w:eastAsia="Calibri" w:hAnsi="Cambria" w:cs="Calibri"/>
          <w:color w:val="000000"/>
          <w:sz w:val="21"/>
          <w:szCs w:val="21"/>
          <w:lang w:val="es-PE"/>
        </w:rPr>
        <w:t>gravedad y urgencia</w:t>
      </w:r>
      <w:r w:rsidRPr="00561771">
        <w:rPr>
          <w:rFonts w:ascii="Cambria" w:eastAsia="Calibri" w:hAnsi="Cambria" w:cs="Calibri"/>
          <w:color w:val="000000"/>
          <w:sz w:val="21"/>
          <w:szCs w:val="21"/>
          <w:lang w:val="es-PE"/>
        </w:rPr>
        <w:t>. En consecuencia, de acuerdo con el artículo 25 del Reglamento</w:t>
      </w:r>
      <w:r w:rsidR="00246FEE" w:rsidRPr="00561771">
        <w:rPr>
          <w:rFonts w:ascii="Cambria" w:eastAsia="Calibri" w:hAnsi="Cambria" w:cs="Calibri"/>
          <w:color w:val="000000"/>
          <w:sz w:val="21"/>
          <w:szCs w:val="21"/>
          <w:lang w:val="es-PE"/>
        </w:rPr>
        <w:t xml:space="preserve">, la Comisión solicita al Estado de Nicaragua que: </w:t>
      </w:r>
      <w:r w:rsidR="00561771" w:rsidRPr="00561771">
        <w:rPr>
          <w:rFonts w:ascii="Cambria" w:eastAsia="Calibri" w:hAnsi="Cambria" w:cs="Calibri"/>
          <w:color w:val="000000"/>
          <w:sz w:val="21"/>
          <w:szCs w:val="21"/>
          <w:lang w:val="es-PE"/>
        </w:rPr>
        <w:t xml:space="preserve">a) adopte las medidas necesarias para garantizar los derechos a la vida e integridad personal de Edwin José </w:t>
      </w:r>
      <w:proofErr w:type="spellStart"/>
      <w:r w:rsidR="00561771" w:rsidRPr="00561771">
        <w:rPr>
          <w:rFonts w:ascii="Cambria" w:eastAsia="Calibri" w:hAnsi="Cambria" w:cs="Calibri"/>
          <w:color w:val="000000"/>
          <w:sz w:val="21"/>
          <w:szCs w:val="21"/>
          <w:lang w:val="es-PE"/>
        </w:rPr>
        <w:t>Carcache</w:t>
      </w:r>
      <w:proofErr w:type="spellEnd"/>
      <w:r w:rsidR="00561771" w:rsidRPr="00561771">
        <w:rPr>
          <w:rFonts w:ascii="Cambria" w:eastAsia="Calibri" w:hAnsi="Cambria" w:cs="Calibri"/>
          <w:color w:val="000000"/>
          <w:sz w:val="21"/>
          <w:szCs w:val="21"/>
          <w:lang w:val="es-PE"/>
        </w:rPr>
        <w:t xml:space="preserve"> Dávila, y su núcleo familiar, susceptible de identificación. En particular, el Estado debe tanto asegurar que sus agentes respeten los derechos de l</w:t>
      </w:r>
      <w:r w:rsidR="001A538E">
        <w:rPr>
          <w:rFonts w:ascii="Cambria" w:eastAsia="Calibri" w:hAnsi="Cambria" w:cs="Calibri"/>
          <w:color w:val="000000"/>
          <w:sz w:val="21"/>
          <w:szCs w:val="21"/>
          <w:lang w:val="es-PE"/>
        </w:rPr>
        <w:t>os beneficiario</w:t>
      </w:r>
      <w:r w:rsidR="00561771" w:rsidRPr="00561771">
        <w:rPr>
          <w:rFonts w:ascii="Cambria" w:eastAsia="Calibri" w:hAnsi="Cambria" w:cs="Calibri"/>
          <w:color w:val="000000"/>
          <w:sz w:val="21"/>
          <w:szCs w:val="21"/>
          <w:lang w:val="es-PE"/>
        </w:rPr>
        <w:t>s de conformidad con los estándares establecidos por el derecho internacional de los derechos humanos, como en relación con actos de riesgo atribuibles a terceros; b)</w:t>
      </w:r>
      <w:r w:rsidR="00117494">
        <w:rPr>
          <w:rFonts w:ascii="Cambria" w:eastAsia="Calibri" w:hAnsi="Cambria" w:cs="Calibri"/>
          <w:color w:val="000000"/>
          <w:sz w:val="21"/>
          <w:szCs w:val="21"/>
          <w:lang w:val="es-PE"/>
        </w:rPr>
        <w:t xml:space="preserve"> </w:t>
      </w:r>
      <w:r w:rsidR="00561771" w:rsidRPr="00561771">
        <w:rPr>
          <w:rFonts w:ascii="Cambria" w:eastAsia="Calibri" w:hAnsi="Cambria" w:cs="Calibri"/>
          <w:color w:val="000000"/>
          <w:sz w:val="21"/>
          <w:szCs w:val="21"/>
          <w:lang w:val="es-PE"/>
        </w:rPr>
        <w:tab/>
        <w:t xml:space="preserve">asegure que las condiciones de detención de Edwin José </w:t>
      </w:r>
      <w:proofErr w:type="spellStart"/>
      <w:r w:rsidR="00561771" w:rsidRPr="00561771">
        <w:rPr>
          <w:rFonts w:ascii="Cambria" w:eastAsia="Calibri" w:hAnsi="Cambria" w:cs="Calibri"/>
          <w:color w:val="000000"/>
          <w:sz w:val="21"/>
          <w:szCs w:val="21"/>
          <w:lang w:val="es-PE"/>
        </w:rPr>
        <w:t>Carcache</w:t>
      </w:r>
      <w:proofErr w:type="spellEnd"/>
      <w:r w:rsidR="00561771" w:rsidRPr="00561771">
        <w:rPr>
          <w:rFonts w:ascii="Cambria" w:eastAsia="Calibri" w:hAnsi="Cambria" w:cs="Calibri"/>
          <w:color w:val="000000"/>
          <w:sz w:val="21"/>
          <w:szCs w:val="21"/>
          <w:lang w:val="es-PE"/>
        </w:rPr>
        <w:t xml:space="preserve"> Dávila se adecuen a los estándares internacionales aplicables. En particular, adopte las medidas necesarias que posibiliten la atención médica necesaria de Edwin José </w:t>
      </w:r>
      <w:proofErr w:type="spellStart"/>
      <w:r w:rsidR="00561771" w:rsidRPr="00561771">
        <w:rPr>
          <w:rFonts w:ascii="Cambria" w:eastAsia="Calibri" w:hAnsi="Cambria" w:cs="Calibri"/>
          <w:color w:val="000000"/>
          <w:sz w:val="21"/>
          <w:szCs w:val="21"/>
          <w:lang w:val="es-PE"/>
        </w:rPr>
        <w:t>Carcache</w:t>
      </w:r>
      <w:proofErr w:type="spellEnd"/>
      <w:r w:rsidR="00561771" w:rsidRPr="00561771">
        <w:rPr>
          <w:rFonts w:ascii="Cambria" w:eastAsia="Calibri" w:hAnsi="Cambria" w:cs="Calibri"/>
          <w:color w:val="000000"/>
          <w:sz w:val="21"/>
          <w:szCs w:val="21"/>
          <w:lang w:val="es-PE"/>
        </w:rPr>
        <w:t xml:space="preserve"> Dávila atendiendo a su condición de salud y de conformidad con los recomendaciones dadas por los especialistas correspondientes. Asimismo, con el fin de verificar las circunstancias en que se encuentra el beneficiario, facilite el acceso del señor Edwin José </w:t>
      </w:r>
      <w:proofErr w:type="spellStart"/>
      <w:r w:rsidR="00561771" w:rsidRPr="00561771">
        <w:rPr>
          <w:rFonts w:ascii="Cambria" w:eastAsia="Calibri" w:hAnsi="Cambria" w:cs="Calibri"/>
          <w:color w:val="000000"/>
          <w:sz w:val="21"/>
          <w:szCs w:val="21"/>
          <w:lang w:val="es-PE"/>
        </w:rPr>
        <w:t>Carcache</w:t>
      </w:r>
      <w:proofErr w:type="spellEnd"/>
      <w:r w:rsidR="00561771" w:rsidRPr="00561771">
        <w:rPr>
          <w:rFonts w:ascii="Cambria" w:eastAsia="Calibri" w:hAnsi="Cambria" w:cs="Calibri"/>
          <w:color w:val="000000"/>
          <w:sz w:val="21"/>
          <w:szCs w:val="21"/>
          <w:lang w:val="es-PE"/>
        </w:rPr>
        <w:t xml:space="preserve"> Dávila a sus representantes legales y a sus visitas familiares de conformidad con los estándares aplicables; c) concierte las medidas a adoptarse con las beneficiarias y sus representantes; y d)</w:t>
      </w:r>
      <w:r w:rsidR="00561771">
        <w:rPr>
          <w:rFonts w:ascii="Cambria" w:eastAsia="Calibri" w:hAnsi="Cambria" w:cs="Calibri"/>
          <w:color w:val="000000"/>
          <w:sz w:val="21"/>
          <w:szCs w:val="21"/>
          <w:lang w:val="es-PE"/>
        </w:rPr>
        <w:t xml:space="preserve"> i</w:t>
      </w:r>
      <w:r w:rsidR="00561771" w:rsidRPr="00561771">
        <w:rPr>
          <w:rFonts w:ascii="Cambria" w:eastAsia="Calibri" w:hAnsi="Cambria" w:cs="Calibri"/>
          <w:color w:val="000000"/>
          <w:sz w:val="21"/>
          <w:szCs w:val="21"/>
          <w:lang w:val="es-PE"/>
        </w:rPr>
        <w:t>nforme sobre las acciones adoptadas a fin de investigar los presuntos hechos que dieron lugar a la adopción de la presente medida cautelar y evitar así su repetición.</w:t>
      </w:r>
    </w:p>
    <w:p w:rsidR="00AF3207" w:rsidRPr="00D576DC" w:rsidRDefault="00AF3207" w:rsidP="00E2162A">
      <w:pPr>
        <w:widowControl w:val="0"/>
        <w:spacing w:after="0" w:line="240" w:lineRule="auto"/>
        <w:jc w:val="both"/>
        <w:rPr>
          <w:rFonts w:asciiTheme="majorHAnsi" w:hAnsiTheme="majorHAnsi"/>
          <w:sz w:val="21"/>
          <w:szCs w:val="21"/>
          <w:lang w:val="es-PE"/>
        </w:rPr>
      </w:pPr>
    </w:p>
    <w:p w:rsidR="008D2A75" w:rsidRPr="00D576DC" w:rsidRDefault="008D2A75" w:rsidP="00E2162A">
      <w:pPr>
        <w:widowControl w:val="0"/>
        <w:numPr>
          <w:ilvl w:val="0"/>
          <w:numId w:val="3"/>
        </w:numPr>
        <w:spacing w:after="0" w:line="240" w:lineRule="auto"/>
        <w:ind w:left="810"/>
        <w:jc w:val="both"/>
        <w:rPr>
          <w:rFonts w:asciiTheme="majorHAnsi" w:hAnsiTheme="majorHAnsi"/>
          <w:b/>
          <w:sz w:val="21"/>
          <w:szCs w:val="21"/>
          <w:lang w:val="es-PE"/>
        </w:rPr>
      </w:pPr>
      <w:r w:rsidRPr="00D576DC">
        <w:rPr>
          <w:rFonts w:asciiTheme="majorHAnsi" w:hAnsiTheme="majorHAnsi"/>
          <w:b/>
          <w:sz w:val="21"/>
          <w:szCs w:val="21"/>
          <w:lang w:val="es-PE"/>
        </w:rPr>
        <w:t>ANTECEDENTES</w:t>
      </w:r>
    </w:p>
    <w:p w:rsidR="008D2A75" w:rsidRPr="00D576DC" w:rsidRDefault="008D2A75" w:rsidP="00E2162A">
      <w:pPr>
        <w:widowControl w:val="0"/>
        <w:spacing w:after="0" w:line="240" w:lineRule="auto"/>
        <w:jc w:val="both"/>
        <w:rPr>
          <w:rFonts w:asciiTheme="majorHAnsi" w:hAnsiTheme="majorHAnsi"/>
          <w:b/>
          <w:sz w:val="21"/>
          <w:szCs w:val="21"/>
          <w:lang w:val="es-PE"/>
        </w:rPr>
      </w:pPr>
      <w:bookmarkStart w:id="0" w:name="_GoBack"/>
      <w:bookmarkEnd w:id="0"/>
    </w:p>
    <w:p w:rsidR="00367266" w:rsidRPr="00367266" w:rsidRDefault="00367266" w:rsidP="0036726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67266">
        <w:rPr>
          <w:rFonts w:ascii="Cambria" w:eastAsia="Calibri" w:hAnsi="Cambria" w:cs="Calibri"/>
          <w:color w:val="000000"/>
          <w:sz w:val="21"/>
          <w:szCs w:val="21"/>
          <w:lang w:val="es-PE"/>
        </w:rPr>
        <w:t xml:space="preserve">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w:t>
      </w:r>
      <w:r w:rsidRPr="00367266">
        <w:rPr>
          <w:rFonts w:ascii="Cambria" w:eastAsia="Calibri" w:hAnsi="Cambria" w:cs="Calibri"/>
          <w:color w:val="000000"/>
          <w:sz w:val="21"/>
          <w:szCs w:val="21"/>
          <w:lang w:val="es-PE"/>
        </w:rPr>
        <w:lastRenderedPageBreak/>
        <w:t>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367266">
        <w:rPr>
          <w:rFonts w:ascii="Cambria" w:eastAsia="Calibri" w:hAnsi="Cambria" w:cs="Calibri"/>
          <w:color w:val="000000"/>
          <w:sz w:val="21"/>
          <w:szCs w:val="21"/>
          <w:vertAlign w:val="superscript"/>
          <w:lang w:val="es-PE"/>
        </w:rPr>
        <w:footnoteReference w:id="1"/>
      </w:r>
      <w:r w:rsidRPr="00367266">
        <w:rPr>
          <w:rFonts w:ascii="Cambria" w:eastAsia="Calibri" w:hAnsi="Cambria" w:cs="Calibri"/>
          <w:color w:val="000000"/>
          <w:sz w:val="21"/>
          <w:szCs w:val="21"/>
          <w:lang w:val="es-PE"/>
        </w:rPr>
        <w:t>. Por su parte, el 20 de abril la Secretaría General de la Organización de los Estados Americanos expresó su condena contra la violencia llamando a la paz, al respeto a la institucionalidad y a esclarecer los crímenes cometidos</w:t>
      </w:r>
      <w:r w:rsidRPr="00367266">
        <w:rPr>
          <w:rFonts w:ascii="Cambria" w:eastAsia="Calibri" w:hAnsi="Cambria" w:cs="Calibri"/>
          <w:color w:val="000000"/>
          <w:sz w:val="21"/>
          <w:szCs w:val="21"/>
          <w:vertAlign w:val="superscript"/>
          <w:lang w:val="es-PE"/>
        </w:rPr>
        <w:footnoteReference w:id="2"/>
      </w:r>
      <w:r w:rsidRPr="00367266">
        <w:rPr>
          <w:rFonts w:ascii="Cambria" w:eastAsia="Calibri" w:hAnsi="Cambria" w:cs="Calibri"/>
          <w:color w:val="000000"/>
          <w:sz w:val="21"/>
          <w:szCs w:val="21"/>
          <w:lang w:val="es-PE"/>
        </w:rPr>
        <w:t>. La  Oficina del Alto Comisionado de Derechos Humanos de la ONU expresó asimismo su preocupación por la muerte de personas y decenas habrían resultado heridas en Nicaragua durante las protestas</w:t>
      </w:r>
      <w:r w:rsidRPr="00367266">
        <w:rPr>
          <w:rFonts w:ascii="Cambria" w:eastAsia="Calibri" w:hAnsi="Cambria" w:cs="Calibri"/>
          <w:color w:val="000000"/>
          <w:sz w:val="21"/>
          <w:szCs w:val="21"/>
          <w:vertAlign w:val="superscript"/>
          <w:lang w:val="es-PE"/>
        </w:rPr>
        <w:footnoteReference w:id="3"/>
      </w:r>
      <w:r w:rsidRPr="00367266">
        <w:rPr>
          <w:rFonts w:ascii="Cambria" w:eastAsia="Calibri" w:hAnsi="Cambria" w:cs="Calibri"/>
          <w:color w:val="000000"/>
          <w:sz w:val="21"/>
          <w:szCs w:val="21"/>
          <w:lang w:val="es-PE"/>
        </w:rPr>
        <w:t xml:space="preserve">. </w:t>
      </w:r>
    </w:p>
    <w:p w:rsidR="00367266" w:rsidRPr="00367266" w:rsidRDefault="00367266" w:rsidP="00367266">
      <w:pPr>
        <w:widowControl w:val="0"/>
        <w:spacing w:after="0" w:line="240" w:lineRule="auto"/>
        <w:jc w:val="both"/>
        <w:rPr>
          <w:rFonts w:ascii="Cambria" w:eastAsia="Calibri" w:hAnsi="Cambria" w:cs="Calibri"/>
          <w:color w:val="000000"/>
          <w:sz w:val="21"/>
          <w:szCs w:val="21"/>
          <w:lang w:val="es-PE"/>
        </w:rPr>
      </w:pPr>
    </w:p>
    <w:p w:rsidR="00367266" w:rsidRPr="00367266" w:rsidRDefault="00367266" w:rsidP="0036726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67266">
        <w:rPr>
          <w:rFonts w:ascii="Cambria" w:eastAsia="Calibri" w:hAnsi="Cambria" w:cs="Calibri"/>
          <w:color w:val="000000"/>
          <w:sz w:val="21"/>
          <w:szCs w:val="21"/>
          <w:lang w:val="es-PE"/>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367266">
        <w:rPr>
          <w:rFonts w:ascii="Cambria" w:eastAsia="Calibri" w:hAnsi="Cambria" w:cs="Calibri"/>
          <w:color w:val="000000"/>
          <w:sz w:val="21"/>
          <w:szCs w:val="21"/>
          <w:vertAlign w:val="superscript"/>
          <w:lang w:val="es-PE"/>
        </w:rPr>
        <w:footnoteReference w:id="4"/>
      </w:r>
      <w:r w:rsidRPr="00367266">
        <w:rPr>
          <w:rFonts w:ascii="Cambria" w:eastAsia="Calibri" w:hAnsi="Cambria" w:cs="Calibri"/>
          <w:color w:val="000000"/>
          <w:sz w:val="21"/>
          <w:szCs w:val="21"/>
          <w:lang w:val="es-PE"/>
        </w:rPr>
        <w:t>.  En este contexto, la Comisión identificó que diversos grupos de personas se encontrarían en una especial situación de vulnerabilidad, en particular, personas defensoras de derechos humanos</w:t>
      </w:r>
      <w:r w:rsidRPr="00367266">
        <w:rPr>
          <w:rFonts w:ascii="Cambria" w:eastAsia="Calibri" w:hAnsi="Cambria" w:cs="Calibri"/>
          <w:color w:val="000000"/>
          <w:sz w:val="21"/>
          <w:szCs w:val="21"/>
          <w:vertAlign w:val="superscript"/>
          <w:lang w:val="es-PE"/>
        </w:rPr>
        <w:footnoteReference w:id="5"/>
      </w:r>
      <w:r w:rsidRPr="00367266">
        <w:rPr>
          <w:rFonts w:ascii="Cambria" w:eastAsia="Calibri" w:hAnsi="Cambria" w:cs="Calibri"/>
          <w:color w:val="000000"/>
          <w:sz w:val="21"/>
          <w:szCs w:val="21"/>
          <w:lang w:val="es-PE"/>
        </w:rPr>
        <w:t>; periodistas</w:t>
      </w:r>
      <w:r w:rsidRPr="00367266">
        <w:rPr>
          <w:rFonts w:ascii="Cambria" w:eastAsia="Calibri" w:hAnsi="Cambria" w:cs="Calibri"/>
          <w:i/>
          <w:color w:val="000000"/>
          <w:sz w:val="21"/>
          <w:szCs w:val="21"/>
          <w:vertAlign w:val="superscript"/>
          <w:lang w:val="es-PE"/>
        </w:rPr>
        <w:footnoteReference w:id="6"/>
      </w:r>
      <w:r w:rsidRPr="00367266">
        <w:rPr>
          <w:rFonts w:ascii="Cambria" w:eastAsia="Calibri" w:hAnsi="Cambria" w:cs="Calibri"/>
          <w:color w:val="000000"/>
          <w:sz w:val="21"/>
          <w:szCs w:val="21"/>
          <w:lang w:val="es-PE"/>
        </w:rPr>
        <w:t>; familiares de víctimas personas fallecidas</w:t>
      </w:r>
      <w:r w:rsidRPr="00367266">
        <w:rPr>
          <w:rFonts w:ascii="Cambria" w:eastAsia="Calibri" w:hAnsi="Cambria" w:cs="Calibri"/>
          <w:color w:val="000000"/>
          <w:sz w:val="21"/>
          <w:szCs w:val="21"/>
          <w:vertAlign w:val="superscript"/>
          <w:lang w:val="es-PE"/>
        </w:rPr>
        <w:footnoteReference w:id="7"/>
      </w:r>
      <w:r w:rsidRPr="00367266">
        <w:rPr>
          <w:rFonts w:ascii="Cambria" w:eastAsia="Calibri" w:hAnsi="Cambria" w:cs="Calibri"/>
          <w:color w:val="000000"/>
          <w:sz w:val="21"/>
          <w:szCs w:val="21"/>
          <w:lang w:val="es-PE"/>
        </w:rPr>
        <w:t xml:space="preserve"> y estudiantes que estarían teniendo un rol central en las protestas. La Comisión solicitó la anuencia del Estado para visitar el país, la cual fue aceptada por el Estado el 13 de mayo de 2018</w:t>
      </w:r>
      <w:r w:rsidRPr="00367266">
        <w:rPr>
          <w:rFonts w:ascii="Cambria" w:eastAsia="Calibri" w:hAnsi="Cambria" w:cs="Calibri"/>
          <w:color w:val="000000"/>
          <w:sz w:val="21"/>
          <w:szCs w:val="21"/>
          <w:vertAlign w:val="superscript"/>
          <w:lang w:val="es-PE"/>
        </w:rPr>
        <w:footnoteReference w:id="8"/>
      </w:r>
      <w:r w:rsidRPr="00367266">
        <w:rPr>
          <w:rFonts w:ascii="Cambria" w:eastAsia="Calibri" w:hAnsi="Cambria" w:cs="Calibri"/>
          <w:color w:val="000000"/>
          <w:sz w:val="21"/>
          <w:szCs w:val="21"/>
          <w:lang w:val="es-PE"/>
        </w:rPr>
        <w:t xml:space="preserve">. </w:t>
      </w:r>
    </w:p>
    <w:p w:rsidR="00367266" w:rsidRPr="00367266" w:rsidRDefault="00367266" w:rsidP="00367266">
      <w:pPr>
        <w:widowControl w:val="0"/>
        <w:spacing w:after="0" w:line="240" w:lineRule="auto"/>
        <w:jc w:val="both"/>
        <w:rPr>
          <w:rFonts w:ascii="Cambria" w:eastAsia="Calibri" w:hAnsi="Cambria" w:cs="Calibri"/>
          <w:color w:val="000000"/>
          <w:sz w:val="21"/>
          <w:szCs w:val="21"/>
          <w:lang w:val="es-PE"/>
        </w:rPr>
      </w:pPr>
    </w:p>
    <w:p w:rsidR="00367266" w:rsidRPr="00367266" w:rsidRDefault="00367266" w:rsidP="0036726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67266">
        <w:rPr>
          <w:rFonts w:ascii="Cambria" w:eastAsia="Calibri" w:hAnsi="Cambria" w:cs="Calibri"/>
          <w:color w:val="000000"/>
          <w:sz w:val="21"/>
          <w:szCs w:val="21"/>
          <w:lang w:val="es-PE"/>
        </w:rPr>
        <w:t>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367266">
        <w:rPr>
          <w:rFonts w:ascii="Cambria" w:eastAsia="Calibri" w:hAnsi="Cambria" w:cs="Calibri"/>
          <w:color w:val="000000"/>
          <w:sz w:val="21"/>
          <w:szCs w:val="21"/>
          <w:vertAlign w:val="superscript"/>
          <w:lang w:val="es-PE"/>
        </w:rPr>
        <w:footnoteReference w:id="9"/>
      </w:r>
      <w:r w:rsidRPr="00367266">
        <w:rPr>
          <w:rFonts w:ascii="Cambria" w:eastAsia="Calibri" w:hAnsi="Cambria" w:cs="Calibri"/>
          <w:color w:val="000000"/>
          <w:sz w:val="21"/>
          <w:szCs w:val="21"/>
          <w:lang w:val="es-PE"/>
        </w:rPr>
        <w:t>. La CIDH “</w:t>
      </w:r>
      <w:proofErr w:type="spellStart"/>
      <w:r w:rsidRPr="00367266">
        <w:rPr>
          <w:rFonts w:ascii="Cambria" w:eastAsia="Calibri" w:hAnsi="Cambria" w:cs="Calibri"/>
          <w:color w:val="000000"/>
          <w:sz w:val="21"/>
          <w:szCs w:val="21"/>
          <w:lang w:val="es-PE"/>
        </w:rPr>
        <w:t>conden</w:t>
      </w:r>
      <w:proofErr w:type="spellEnd"/>
      <w:r w:rsidRPr="00367266">
        <w:rPr>
          <w:rFonts w:ascii="Cambria" w:eastAsia="Calibri" w:hAnsi="Cambria" w:cs="Calibri"/>
          <w:color w:val="000000"/>
          <w:sz w:val="21"/>
          <w:szCs w:val="21"/>
          <w:lang w:val="es-PE"/>
        </w:rPr>
        <w:t>[</w:t>
      </w:r>
      <w:proofErr w:type="spellStart"/>
      <w:r w:rsidRPr="00367266">
        <w:rPr>
          <w:rFonts w:ascii="Cambria" w:eastAsia="Calibri" w:hAnsi="Cambria" w:cs="Calibri"/>
          <w:color w:val="000000"/>
          <w:sz w:val="21"/>
          <w:szCs w:val="21"/>
          <w:lang w:val="es-PE"/>
        </w:rPr>
        <w:t>ó</w:t>
      </w:r>
      <w:proofErr w:type="spellEnd"/>
      <w:r w:rsidRPr="00367266">
        <w:rPr>
          <w:rFonts w:ascii="Cambria" w:eastAsia="Calibri" w:hAnsi="Cambria" w:cs="Calibri"/>
          <w:color w:val="000000"/>
          <w:sz w:val="21"/>
          <w:szCs w:val="21"/>
          <w:lang w:val="es-PE"/>
        </w:rPr>
        <w:t xml:space="preserve">] enfáticamente las muertes, agresiones y detenciones arbitrarias de las y los estudiantes, manifestantes, periodistas y otros ciudadanos que se </w:t>
      </w:r>
      <w:r w:rsidRPr="00367266">
        <w:rPr>
          <w:rFonts w:ascii="Cambria" w:eastAsia="Calibri" w:hAnsi="Cambria" w:cs="Calibri"/>
          <w:color w:val="000000"/>
          <w:sz w:val="21"/>
          <w:szCs w:val="21"/>
          <w:lang w:val="es-PE"/>
        </w:rPr>
        <w:lastRenderedPageBreak/>
        <w:t>han registrado en el país desde el inicio de las protestas y que continúan hasta la fecha”</w:t>
      </w:r>
      <w:r w:rsidRPr="00367266">
        <w:rPr>
          <w:rFonts w:ascii="Cambria" w:eastAsia="Calibri" w:hAnsi="Cambria" w:cs="Calibri"/>
          <w:color w:val="000000"/>
          <w:sz w:val="21"/>
          <w:szCs w:val="21"/>
          <w:vertAlign w:val="superscript"/>
          <w:lang w:val="es-PE"/>
        </w:rPr>
        <w:footnoteReference w:id="10"/>
      </w:r>
      <w:r w:rsidRPr="00367266">
        <w:rPr>
          <w:rFonts w:ascii="Cambria" w:eastAsia="Calibri" w:hAnsi="Cambria" w:cs="Calibri"/>
          <w:color w:val="000000"/>
          <w:sz w:val="21"/>
          <w:szCs w:val="21"/>
          <w:lang w:val="es-PE"/>
        </w:rPr>
        <w:t>.</w:t>
      </w:r>
    </w:p>
    <w:p w:rsidR="00367266" w:rsidRPr="00367266" w:rsidRDefault="00367266" w:rsidP="00367266">
      <w:pPr>
        <w:widowControl w:val="0"/>
        <w:spacing w:after="0" w:line="240" w:lineRule="auto"/>
        <w:jc w:val="both"/>
        <w:rPr>
          <w:rFonts w:ascii="Cambria" w:eastAsia="Calibri" w:hAnsi="Cambria" w:cs="Calibri"/>
          <w:color w:val="000000"/>
          <w:sz w:val="21"/>
          <w:szCs w:val="21"/>
          <w:lang w:val="es-PE"/>
        </w:rPr>
      </w:pPr>
    </w:p>
    <w:p w:rsidR="00367266" w:rsidRPr="00367266" w:rsidRDefault="00367266" w:rsidP="0036726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67266">
        <w:rPr>
          <w:rFonts w:ascii="Cambria" w:eastAsia="Calibri" w:hAnsi="Cambria" w:cs="Calibri"/>
          <w:color w:val="000000"/>
          <w:sz w:val="21"/>
          <w:szCs w:val="21"/>
          <w:lang w:val="es-PE"/>
        </w:rPr>
        <w:t>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personas y resultaron heridas decenas de otras, urgió al Estado a “cesar inmediatamente la represión a los manifestantes y la detención arbitraria de quienes participan de las protestas"</w:t>
      </w:r>
      <w:r w:rsidRPr="00367266">
        <w:rPr>
          <w:rFonts w:ascii="Cambria" w:eastAsia="Calibri" w:hAnsi="Cambria" w:cs="Calibri"/>
          <w:color w:val="000000"/>
          <w:sz w:val="21"/>
          <w:szCs w:val="21"/>
          <w:vertAlign w:val="superscript"/>
          <w:lang w:val="es-PE"/>
        </w:rPr>
        <w:footnoteReference w:id="11"/>
      </w:r>
      <w:r w:rsidRPr="00367266">
        <w:rPr>
          <w:rFonts w:ascii="Cambria" w:eastAsia="Calibri" w:hAnsi="Cambria" w:cs="Calibri"/>
          <w:color w:val="000000"/>
          <w:sz w:val="21"/>
          <w:szCs w:val="21"/>
          <w:lang w:val="es-PE"/>
        </w:rPr>
        <w:t>. Asimismo, mediante comunicado de 1 junio de 2018, la CIDH condenó los nuevos hechos sucedidos el 30 de mayo de 2018 en la marcha pacífica en apoyo a las Madres de Abril que se realizó en el Día de las Madres en Nicaragua</w:t>
      </w:r>
      <w:r w:rsidRPr="00367266">
        <w:rPr>
          <w:rFonts w:ascii="Cambria" w:eastAsia="Calibri" w:hAnsi="Cambria" w:cs="Calibri"/>
          <w:color w:val="000000"/>
          <w:sz w:val="21"/>
          <w:szCs w:val="21"/>
          <w:vertAlign w:val="superscript"/>
          <w:lang w:val="es-PE"/>
        </w:rPr>
        <w:footnoteReference w:id="12"/>
      </w:r>
      <w:r w:rsidRPr="00367266">
        <w:rPr>
          <w:rFonts w:ascii="Cambria" w:eastAsia="Calibri" w:hAnsi="Cambria" w:cs="Calibri"/>
          <w:color w:val="000000"/>
          <w:sz w:val="21"/>
          <w:szCs w:val="21"/>
          <w:lang w:val="es-PE"/>
        </w:rPr>
        <w:t>.</w:t>
      </w:r>
    </w:p>
    <w:p w:rsidR="00367266" w:rsidRPr="00367266" w:rsidRDefault="00367266" w:rsidP="00367266">
      <w:pPr>
        <w:widowControl w:val="0"/>
        <w:spacing w:after="0" w:line="240" w:lineRule="auto"/>
        <w:jc w:val="both"/>
        <w:rPr>
          <w:rFonts w:ascii="Cambria" w:eastAsia="Calibri" w:hAnsi="Cambria" w:cs="Calibri"/>
          <w:color w:val="000000"/>
          <w:sz w:val="21"/>
          <w:szCs w:val="21"/>
          <w:lang w:val="es-PE"/>
        </w:rPr>
      </w:pPr>
    </w:p>
    <w:p w:rsidR="00367266" w:rsidRPr="00367266" w:rsidRDefault="00367266" w:rsidP="0036726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67266">
        <w:rPr>
          <w:rFonts w:ascii="Cambria" w:eastAsia="Calibri" w:hAnsi="Cambria" w:cs="Calibri"/>
          <w:color w:val="000000"/>
          <w:sz w:val="21"/>
          <w:szCs w:val="21"/>
          <w:lang w:val="es-PE"/>
        </w:rPr>
        <w:t>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y urgió a que todos los actos de violencia estatal sean investigados de manera inmediata, con autonomía e independencia, y en estricto apego a las normas y los estándares internacionales sobre la materia para asegurar el derecho a la verdad. De igual forma, recordó la obligación en cabeza del Estado de garantizar una reparación adecuada a las víctimas y sus familiares</w:t>
      </w:r>
      <w:r w:rsidRPr="00367266">
        <w:rPr>
          <w:rFonts w:ascii="Cambria" w:eastAsia="Calibri" w:hAnsi="Cambria" w:cs="Calibri"/>
          <w:color w:val="000000"/>
          <w:sz w:val="21"/>
          <w:szCs w:val="21"/>
          <w:vertAlign w:val="superscript"/>
          <w:lang w:val="es-PE"/>
        </w:rPr>
        <w:footnoteReference w:id="13"/>
      </w:r>
      <w:r w:rsidRPr="00367266">
        <w:rPr>
          <w:rFonts w:ascii="Cambria" w:eastAsia="Calibri" w:hAnsi="Cambria" w:cs="Calibri"/>
          <w:color w:val="000000"/>
          <w:sz w:val="21"/>
          <w:szCs w:val="21"/>
          <w:lang w:val="es-PE"/>
        </w:rPr>
        <w:t xml:space="preserve">. </w:t>
      </w:r>
    </w:p>
    <w:p w:rsidR="00367266" w:rsidRPr="00367266" w:rsidRDefault="00367266" w:rsidP="00367266">
      <w:pPr>
        <w:widowControl w:val="0"/>
        <w:spacing w:after="0" w:line="240" w:lineRule="auto"/>
        <w:ind w:left="720"/>
        <w:contextualSpacing/>
        <w:jc w:val="both"/>
        <w:rPr>
          <w:rFonts w:ascii="Cambria" w:eastAsia="Calibri" w:hAnsi="Cambria" w:cs="Calibri"/>
          <w:color w:val="000000"/>
          <w:sz w:val="21"/>
          <w:szCs w:val="21"/>
          <w:lang w:val="es-PE"/>
        </w:rPr>
      </w:pPr>
    </w:p>
    <w:p w:rsidR="00367266" w:rsidRPr="00367266" w:rsidRDefault="00367266" w:rsidP="0036726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67266">
        <w:rPr>
          <w:rFonts w:ascii="Cambria" w:eastAsia="Calibri" w:hAnsi="Cambria" w:cs="Calibri"/>
          <w:color w:val="000000"/>
          <w:sz w:val="21"/>
          <w:szCs w:val="21"/>
          <w:lang w:val="es-PE"/>
        </w:rPr>
        <w:t>El 24 de junio de 2018, la Comisión anunció la instalación del MESENI y el envío de su equipo técnico, el cual permanecerá en el país mientras la situación lo requiera</w:t>
      </w:r>
      <w:r w:rsidRPr="00367266">
        <w:rPr>
          <w:rFonts w:ascii="Cambria" w:eastAsia="Calibri" w:hAnsi="Cambria" w:cs="Calibri"/>
          <w:color w:val="000000"/>
          <w:sz w:val="21"/>
          <w:szCs w:val="21"/>
          <w:vertAlign w:val="superscript"/>
          <w:lang w:val="es-PE"/>
        </w:rPr>
        <w:footnoteReference w:id="14"/>
      </w:r>
      <w:r w:rsidRPr="00367266">
        <w:rPr>
          <w:rFonts w:ascii="Cambria" w:eastAsia="Calibri" w:hAnsi="Cambria" w:cs="Calibri"/>
          <w:color w:val="000000"/>
          <w:sz w:val="21"/>
          <w:szCs w:val="21"/>
          <w:lang w:val="es-PE"/>
        </w:rPr>
        <w:t xml:space="preserve">. El objetivo del MESENI es dar seguimiento a las recomendaciones realizadas por la CIDH derivadas de su visita al país, como las Observaciones Preliminares y el Informe “Graves violaciones a los derechos humanos en el contexto de las protestas sociales en Nicaragua”. Asimismo, entre otras actividades, dará seguimiento al cumplimiento de las medidas cautelares otorgadas en este contexto para las personas con grave riesgo a sus vida o integridad física y mantendrá el monitoreo de la situación de los derechos humanos en Nicaragua para los fines pertinentes al mandato de la CIDH.   </w:t>
      </w:r>
    </w:p>
    <w:p w:rsidR="00367266" w:rsidRPr="00367266" w:rsidRDefault="00367266" w:rsidP="00367266">
      <w:pPr>
        <w:widowControl w:val="0"/>
        <w:spacing w:after="0" w:line="240" w:lineRule="auto"/>
        <w:ind w:left="360"/>
        <w:jc w:val="both"/>
        <w:rPr>
          <w:rFonts w:ascii="Cambria" w:eastAsia="Calibri" w:hAnsi="Cambria" w:cs="Calibri"/>
          <w:color w:val="000000"/>
          <w:sz w:val="21"/>
          <w:szCs w:val="21"/>
          <w:lang w:val="es-PE"/>
        </w:rPr>
      </w:pPr>
    </w:p>
    <w:p w:rsidR="00367266" w:rsidRPr="00367266" w:rsidRDefault="00367266" w:rsidP="0036726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67266">
        <w:rPr>
          <w:rFonts w:ascii="Cambria" w:eastAsia="Calibri" w:hAnsi="Cambria" w:cs="Calibri"/>
          <w:color w:val="000000"/>
          <w:sz w:val="21"/>
          <w:szCs w:val="21"/>
          <w:lang w:val="es-PE"/>
        </w:rPr>
        <w:t>Durante su estancia en el país el MESENI ha constatado “en terreno la intensificación de la represión y los operativos desplegados en todo el país por agentes de la policía nacional y grupos parapoliciales” con el objetivo de desmantelar los tranques que estaban ubicados en diversas ciudades</w:t>
      </w:r>
      <w:r w:rsidRPr="00367266">
        <w:rPr>
          <w:rFonts w:ascii="Cambria" w:eastAsia="Calibri" w:hAnsi="Cambria" w:cs="Calibri"/>
          <w:color w:val="000000"/>
          <w:sz w:val="21"/>
          <w:szCs w:val="21"/>
          <w:vertAlign w:val="superscript"/>
          <w:lang w:val="es-PE"/>
        </w:rPr>
        <w:footnoteReference w:id="15"/>
      </w:r>
      <w:r w:rsidRPr="00367266">
        <w:rPr>
          <w:rFonts w:ascii="Cambria" w:eastAsia="Calibri" w:hAnsi="Cambria" w:cs="Calibri"/>
          <w:color w:val="000000"/>
          <w:sz w:val="21"/>
          <w:szCs w:val="21"/>
          <w:lang w:val="es-PE"/>
        </w:rPr>
        <w:t>, Asimismo, ha registrado una “estrategia de criminalización y estigmatización” tendiente a estigmatizar a manifestantes, opositores, líderes sociales y defensoras y defensores de derechos humanos. El MESENI también ha constatado, sin embargo, “persistencia de la violencia en la represión de la protesta social, que sigue provocando muertes y heridos”</w:t>
      </w:r>
      <w:r w:rsidRPr="00367266">
        <w:rPr>
          <w:rFonts w:ascii="Calibri" w:eastAsia="Calibri" w:hAnsi="Calibri" w:cs="Times New Roman"/>
          <w:vertAlign w:val="superscript"/>
        </w:rPr>
        <w:footnoteReference w:id="16"/>
      </w:r>
      <w:r w:rsidRPr="00367266">
        <w:rPr>
          <w:rFonts w:ascii="Cambria" w:eastAsia="Calibri" w:hAnsi="Cambria" w:cs="Calibri"/>
          <w:color w:val="000000"/>
          <w:sz w:val="21"/>
          <w:szCs w:val="21"/>
          <w:lang w:val="es-PE"/>
        </w:rPr>
        <w:t xml:space="preserve">. Según el último pronunciamiento de la CIDH, al 24 de agosto </w:t>
      </w:r>
      <w:r w:rsidRPr="00367266">
        <w:rPr>
          <w:rFonts w:ascii="Cambria" w:eastAsia="Calibri" w:hAnsi="Cambria" w:cs="Calibri"/>
          <w:color w:val="000000"/>
          <w:sz w:val="21"/>
          <w:szCs w:val="21"/>
          <w:lang w:val="es-PE"/>
        </w:rPr>
        <w:lastRenderedPageBreak/>
        <w:t>de 2018 la cifra de personas fallecidas desde el 18 de abril pasado habría llegado al menos “a 322 personas de las cuales 21 personas serían policías y 23 niñas, niños y adolescentes. Adicionalmente, según la información recibida por el MESENI, cientos de personas estarían detenidas”</w:t>
      </w:r>
      <w:r w:rsidRPr="00367266">
        <w:rPr>
          <w:rFonts w:ascii="Cambria" w:eastAsia="Calibri" w:hAnsi="Cambria" w:cs="Calibri"/>
          <w:color w:val="000000"/>
          <w:sz w:val="21"/>
          <w:szCs w:val="21"/>
          <w:vertAlign w:val="superscript"/>
          <w:lang w:val="es-PE"/>
        </w:rPr>
        <w:footnoteReference w:id="17"/>
      </w:r>
      <w:r w:rsidRPr="00367266">
        <w:rPr>
          <w:rFonts w:ascii="Cambria" w:eastAsia="Calibri" w:hAnsi="Cambria" w:cs="Calibri"/>
          <w:color w:val="000000"/>
          <w:sz w:val="21"/>
          <w:szCs w:val="21"/>
          <w:lang w:val="es-PE"/>
        </w:rPr>
        <w:t>.</w:t>
      </w:r>
    </w:p>
    <w:p w:rsidR="00561771" w:rsidRDefault="00561771" w:rsidP="00561771">
      <w:pPr>
        <w:widowControl w:val="0"/>
        <w:spacing w:after="0" w:line="240" w:lineRule="auto"/>
        <w:ind w:left="810"/>
        <w:jc w:val="both"/>
        <w:rPr>
          <w:rFonts w:asciiTheme="majorHAnsi" w:hAnsiTheme="majorHAnsi"/>
          <w:b/>
          <w:sz w:val="21"/>
          <w:szCs w:val="21"/>
          <w:lang w:val="es-PE"/>
        </w:rPr>
      </w:pPr>
    </w:p>
    <w:p w:rsidR="00EB2B50" w:rsidRPr="00060488" w:rsidRDefault="002B6D39" w:rsidP="00E2162A">
      <w:pPr>
        <w:widowControl w:val="0"/>
        <w:numPr>
          <w:ilvl w:val="0"/>
          <w:numId w:val="3"/>
        </w:numPr>
        <w:spacing w:after="0" w:line="240" w:lineRule="auto"/>
        <w:ind w:left="810"/>
        <w:jc w:val="both"/>
        <w:rPr>
          <w:rFonts w:asciiTheme="majorHAnsi" w:hAnsiTheme="majorHAnsi"/>
          <w:b/>
          <w:sz w:val="21"/>
          <w:szCs w:val="21"/>
          <w:lang w:val="es-PE"/>
        </w:rPr>
      </w:pPr>
      <w:r w:rsidRPr="00060488">
        <w:rPr>
          <w:rFonts w:asciiTheme="majorHAnsi" w:hAnsiTheme="majorHAnsi"/>
          <w:b/>
          <w:sz w:val="21"/>
          <w:szCs w:val="21"/>
          <w:lang w:val="es-PE"/>
        </w:rPr>
        <w:t xml:space="preserve">RESUMEN DE HECHOS Y ARGUMENTOS APORTADOS POR </w:t>
      </w:r>
      <w:r w:rsidR="00881272">
        <w:rPr>
          <w:rFonts w:asciiTheme="majorHAnsi" w:hAnsiTheme="majorHAnsi"/>
          <w:b/>
          <w:sz w:val="21"/>
          <w:szCs w:val="21"/>
          <w:lang w:val="es-PE"/>
        </w:rPr>
        <w:t>LAS PARTES</w:t>
      </w:r>
    </w:p>
    <w:p w:rsidR="000C6F0B" w:rsidRDefault="000C6F0B" w:rsidP="00E2162A">
      <w:pPr>
        <w:widowControl w:val="0"/>
        <w:spacing w:after="0" w:line="240" w:lineRule="auto"/>
        <w:jc w:val="both"/>
        <w:rPr>
          <w:rFonts w:ascii="Cambria" w:eastAsia="Calibri" w:hAnsi="Cambria" w:cs="Times New Roman"/>
          <w:sz w:val="21"/>
          <w:szCs w:val="21"/>
          <w:lang w:val="es-PE"/>
        </w:rPr>
      </w:pPr>
    </w:p>
    <w:p w:rsidR="00262DEA" w:rsidRPr="00262DEA" w:rsidRDefault="00262DEA" w:rsidP="00E2162A">
      <w:pPr>
        <w:pStyle w:val="ListParagraph"/>
        <w:widowControl w:val="0"/>
        <w:numPr>
          <w:ilvl w:val="0"/>
          <w:numId w:val="36"/>
        </w:numPr>
        <w:spacing w:after="0" w:line="240" w:lineRule="auto"/>
        <w:jc w:val="both"/>
        <w:rPr>
          <w:rFonts w:ascii="Cambria" w:eastAsia="Calibri" w:hAnsi="Cambria" w:cs="Times New Roman"/>
          <w:b/>
          <w:sz w:val="21"/>
          <w:szCs w:val="21"/>
          <w:lang w:val="es-PE"/>
        </w:rPr>
      </w:pPr>
      <w:r w:rsidRPr="00262DEA">
        <w:rPr>
          <w:rFonts w:ascii="Cambria" w:eastAsia="Calibri" w:hAnsi="Cambria" w:cs="Times New Roman"/>
          <w:b/>
          <w:sz w:val="21"/>
          <w:szCs w:val="21"/>
          <w:lang w:val="es-PE"/>
        </w:rPr>
        <w:t xml:space="preserve">Información aportada por </w:t>
      </w:r>
      <w:r w:rsidR="00334B6E">
        <w:rPr>
          <w:rFonts w:ascii="Cambria" w:eastAsia="Calibri" w:hAnsi="Cambria" w:cs="Times New Roman"/>
          <w:b/>
          <w:sz w:val="21"/>
          <w:szCs w:val="21"/>
          <w:lang w:val="es-PE"/>
        </w:rPr>
        <w:t>el solicitante</w:t>
      </w:r>
    </w:p>
    <w:p w:rsidR="00262DEA" w:rsidRDefault="00262DEA" w:rsidP="00E2162A">
      <w:pPr>
        <w:widowControl w:val="0"/>
        <w:spacing w:after="0" w:line="240" w:lineRule="auto"/>
        <w:jc w:val="both"/>
        <w:rPr>
          <w:rFonts w:ascii="Cambria" w:eastAsia="Calibri" w:hAnsi="Cambria" w:cs="Times New Roman"/>
          <w:sz w:val="21"/>
          <w:szCs w:val="21"/>
          <w:lang w:val="es-PE"/>
        </w:rPr>
      </w:pPr>
    </w:p>
    <w:p w:rsidR="00262DEA" w:rsidRPr="00262DEA" w:rsidRDefault="00262DEA" w:rsidP="00E2162A">
      <w:pPr>
        <w:pStyle w:val="ListParagraph"/>
        <w:numPr>
          <w:ilvl w:val="0"/>
          <w:numId w:val="4"/>
        </w:numPr>
        <w:spacing w:after="0" w:line="240" w:lineRule="auto"/>
        <w:ind w:left="0" w:firstLine="360"/>
        <w:jc w:val="both"/>
        <w:rPr>
          <w:rFonts w:ascii="Cambria" w:eastAsia="Calibri" w:hAnsi="Cambria" w:cs="Times New Roman"/>
          <w:sz w:val="21"/>
          <w:szCs w:val="21"/>
          <w:lang w:val="es-MX"/>
        </w:rPr>
      </w:pPr>
      <w:r w:rsidRPr="00262DEA">
        <w:rPr>
          <w:rFonts w:ascii="Cambria" w:eastAsia="Calibri" w:hAnsi="Cambria" w:cs="Times New Roman"/>
          <w:sz w:val="21"/>
          <w:szCs w:val="21"/>
          <w:lang w:val="es-MX"/>
        </w:rPr>
        <w:t xml:space="preserve">Edwin José </w:t>
      </w:r>
      <w:proofErr w:type="spellStart"/>
      <w:r w:rsidRPr="00262DEA">
        <w:rPr>
          <w:rFonts w:ascii="Cambria" w:eastAsia="Calibri" w:hAnsi="Cambria" w:cs="Times New Roman"/>
          <w:sz w:val="21"/>
          <w:szCs w:val="21"/>
          <w:lang w:val="es-MX"/>
        </w:rPr>
        <w:t>Carcache</w:t>
      </w:r>
      <w:proofErr w:type="spellEnd"/>
      <w:r w:rsidRPr="00262DEA">
        <w:rPr>
          <w:rFonts w:ascii="Cambria" w:eastAsia="Calibri" w:hAnsi="Cambria" w:cs="Times New Roman"/>
          <w:sz w:val="21"/>
          <w:szCs w:val="21"/>
          <w:lang w:val="es-MX"/>
        </w:rPr>
        <w:t xml:space="preserve"> Dávila formaría parte del movimiento estudiantil. A manera de antecedente indicó que el 19 de abril de 2018 se encontraba en una protesta en la Universidad Centroamericana, cuando grupos de “choque” habrían llegado y empezado a golpearlos, huyendo a la Universidad de Ingeniería. Según el solicitante, ayudó a hacer barricadas de forma que tuvieran seguridad y se expusieran a los menores ataques posibles ataques. Ese mismo día, en un estadio la policía habría disparado incluso a un niño de 15 niños que andaba regalando agua. </w:t>
      </w:r>
    </w:p>
    <w:p w:rsidR="00262DEA" w:rsidRPr="00262DEA" w:rsidRDefault="00262DEA" w:rsidP="00E2162A">
      <w:pPr>
        <w:spacing w:after="0" w:line="240" w:lineRule="auto"/>
        <w:ind w:firstLine="360"/>
        <w:jc w:val="both"/>
        <w:rPr>
          <w:rFonts w:ascii="Cambria" w:eastAsia="Calibri" w:hAnsi="Cambria" w:cs="Times New Roman"/>
          <w:sz w:val="21"/>
          <w:szCs w:val="21"/>
          <w:lang w:val="es-MX"/>
        </w:rPr>
      </w:pPr>
    </w:p>
    <w:p w:rsidR="00262DEA" w:rsidRPr="00262DEA" w:rsidRDefault="00262DEA" w:rsidP="00E2162A">
      <w:pPr>
        <w:numPr>
          <w:ilvl w:val="0"/>
          <w:numId w:val="35"/>
        </w:numPr>
        <w:spacing w:after="0" w:line="240" w:lineRule="auto"/>
        <w:ind w:left="0" w:firstLine="360"/>
        <w:jc w:val="both"/>
        <w:rPr>
          <w:rFonts w:ascii="Cambria" w:eastAsia="Calibri" w:hAnsi="Cambria" w:cs="Times New Roman"/>
          <w:sz w:val="21"/>
          <w:szCs w:val="21"/>
          <w:lang w:val="es-MX"/>
        </w:rPr>
      </w:pPr>
      <w:r w:rsidRPr="00262DEA">
        <w:rPr>
          <w:rFonts w:ascii="Cambria" w:eastAsia="Calibri" w:hAnsi="Cambria" w:cs="Times New Roman"/>
          <w:sz w:val="21"/>
          <w:szCs w:val="21"/>
          <w:lang w:val="es-MX"/>
        </w:rPr>
        <w:t xml:space="preserve">El solicitante indicó que la policía y la juventud sandinista eran muchos más que ellos por lo que habrían sido desalojados del recinto teniendo que correr por la calle. En ese momento, el solicitante indicó que escuchó que la UPOLI estaría siendo atacada, por lo que habría ido apoyarles, quedándose algunos días allí, dándoles agua a los estudiantes. </w:t>
      </w:r>
    </w:p>
    <w:p w:rsidR="00262DEA" w:rsidRPr="00262DEA" w:rsidRDefault="00262DEA" w:rsidP="00E2162A">
      <w:pPr>
        <w:spacing w:after="0" w:line="240" w:lineRule="auto"/>
        <w:ind w:firstLine="360"/>
        <w:jc w:val="both"/>
        <w:rPr>
          <w:rFonts w:ascii="Cambria" w:eastAsia="Calibri" w:hAnsi="Cambria" w:cs="Times New Roman"/>
          <w:sz w:val="21"/>
          <w:szCs w:val="21"/>
          <w:lang w:val="es-MX"/>
        </w:rPr>
      </w:pPr>
    </w:p>
    <w:p w:rsidR="00262DEA" w:rsidRPr="00262DEA" w:rsidRDefault="00262DEA" w:rsidP="00E2162A">
      <w:pPr>
        <w:numPr>
          <w:ilvl w:val="0"/>
          <w:numId w:val="35"/>
        </w:numPr>
        <w:spacing w:after="0" w:line="240" w:lineRule="auto"/>
        <w:ind w:left="0" w:firstLine="360"/>
        <w:jc w:val="both"/>
        <w:rPr>
          <w:rFonts w:ascii="Cambria" w:eastAsia="Calibri" w:hAnsi="Cambria" w:cs="Times New Roman"/>
          <w:sz w:val="21"/>
          <w:szCs w:val="21"/>
          <w:lang w:val="es-MX"/>
        </w:rPr>
      </w:pPr>
      <w:r w:rsidRPr="00262DEA">
        <w:rPr>
          <w:rFonts w:ascii="Cambria" w:eastAsia="Calibri" w:hAnsi="Cambria" w:cs="Times New Roman"/>
          <w:sz w:val="21"/>
          <w:szCs w:val="21"/>
          <w:lang w:val="es-MX"/>
        </w:rPr>
        <w:t xml:space="preserve">El solicitante indicó que muchos medios de comunicación habrían difundido su imagen y a partir de ese momento habría recibido múltiples amenazas que incluyen a su madre y a su hija. Por ejemplo, en la red </w:t>
      </w:r>
      <w:r w:rsidRPr="00262DEA">
        <w:rPr>
          <w:rFonts w:ascii="Cambria" w:eastAsia="Calibri" w:hAnsi="Cambria" w:cs="Times New Roman"/>
          <w:i/>
          <w:iCs/>
          <w:sz w:val="21"/>
          <w:szCs w:val="21"/>
          <w:lang w:val="es-MX"/>
        </w:rPr>
        <w:t xml:space="preserve">Facebook </w:t>
      </w:r>
      <w:r w:rsidRPr="00262DEA">
        <w:rPr>
          <w:rFonts w:ascii="Cambria" w:eastAsia="Calibri" w:hAnsi="Cambria" w:cs="Times New Roman"/>
          <w:sz w:val="21"/>
          <w:szCs w:val="21"/>
          <w:lang w:val="es-MX"/>
        </w:rPr>
        <w:t xml:space="preserve">habrían colocado imágenes que dicen “qué triste sería que no vieras crecer a tu hija, y ella crecer sin su inútil padre por payaso manipulado, sabemos en donde </w:t>
      </w:r>
      <w:proofErr w:type="spellStart"/>
      <w:r w:rsidRPr="00262DEA">
        <w:rPr>
          <w:rFonts w:ascii="Cambria" w:eastAsia="Calibri" w:hAnsi="Cambria" w:cs="Times New Roman"/>
          <w:sz w:val="21"/>
          <w:szCs w:val="21"/>
          <w:lang w:val="es-MX"/>
        </w:rPr>
        <w:t>vivis</w:t>
      </w:r>
      <w:proofErr w:type="spellEnd"/>
      <w:r w:rsidRPr="00262DEA">
        <w:rPr>
          <w:rFonts w:ascii="Cambria" w:eastAsia="Calibri" w:hAnsi="Cambria" w:cs="Times New Roman"/>
          <w:sz w:val="21"/>
          <w:szCs w:val="21"/>
          <w:lang w:val="es-MX"/>
        </w:rPr>
        <w:t>… no está lejos el día que amanezca con los ojos hormigosos como las muertes que han provocado”. Asimismo, el solicitante habría recibido mensajes que señalarían que su madre iba a “llorar lágrimas de sangre”, “</w:t>
      </w:r>
      <w:r w:rsidR="00655693" w:rsidRPr="00262DEA">
        <w:rPr>
          <w:rFonts w:ascii="Cambria" w:eastAsia="Calibri" w:hAnsi="Cambria" w:cs="Times New Roman"/>
          <w:sz w:val="21"/>
          <w:szCs w:val="21"/>
          <w:lang w:val="es-MX"/>
        </w:rPr>
        <w:t>tú</w:t>
      </w:r>
      <w:r w:rsidRPr="00262DEA">
        <w:rPr>
          <w:rFonts w:ascii="Cambria" w:eastAsia="Calibri" w:hAnsi="Cambria" w:cs="Times New Roman"/>
          <w:sz w:val="21"/>
          <w:szCs w:val="21"/>
          <w:lang w:val="es-MX"/>
        </w:rPr>
        <w:t xml:space="preserve"> también serás uno de la lista, mal parido, vete a la sombrita ya tenemos todo de ti”. El solicitante agregó que una radio estaría asimismo, difundiendo una imagen indicando que es el “rostro del caos” y que, a través de medios de comunicación “oficialistas”, se habría empezado a difundir que era una persona que dirige agresiones para periodistas”. Tales medios habrían revelado su nombre, número de cédula, el nombre de su madre, padre, así como imágenes de su hija. </w:t>
      </w:r>
    </w:p>
    <w:p w:rsidR="00262DEA" w:rsidRPr="00262DEA" w:rsidRDefault="00262DEA" w:rsidP="00E2162A">
      <w:pPr>
        <w:spacing w:after="0" w:line="240" w:lineRule="auto"/>
        <w:ind w:firstLine="360"/>
        <w:jc w:val="both"/>
        <w:rPr>
          <w:rFonts w:ascii="Cambria" w:eastAsia="Calibri" w:hAnsi="Cambria" w:cs="Times New Roman"/>
          <w:sz w:val="21"/>
          <w:szCs w:val="21"/>
          <w:lang w:val="es-MX"/>
        </w:rPr>
      </w:pPr>
    </w:p>
    <w:p w:rsidR="00262DEA" w:rsidRPr="00262DEA" w:rsidRDefault="00262DEA" w:rsidP="00E2162A">
      <w:pPr>
        <w:numPr>
          <w:ilvl w:val="0"/>
          <w:numId w:val="35"/>
        </w:numPr>
        <w:spacing w:after="0" w:line="240" w:lineRule="auto"/>
        <w:ind w:left="0" w:firstLine="360"/>
        <w:jc w:val="both"/>
        <w:rPr>
          <w:rFonts w:ascii="Cambria" w:eastAsia="Calibri" w:hAnsi="Cambria" w:cs="Times New Roman"/>
          <w:sz w:val="21"/>
          <w:szCs w:val="21"/>
          <w:lang w:val="es-MX"/>
        </w:rPr>
      </w:pPr>
      <w:r w:rsidRPr="00262DEA">
        <w:rPr>
          <w:rFonts w:ascii="Cambria" w:eastAsia="Calibri" w:hAnsi="Cambria" w:cs="Times New Roman"/>
          <w:sz w:val="21"/>
          <w:szCs w:val="21"/>
          <w:lang w:val="es-MX"/>
        </w:rPr>
        <w:t xml:space="preserve">Según el solicitante, su situación de riesgo se habría exacerbado a partir del 15 de mayo cuando recibió llamadas anónimas que le decían que se cuidara, que estaba en el ojo del huracán y que su familia corría riesgo. Indicó que había personas “infiltradas” que querían asimismo hacerle daño, especialmente cuando participa en las protestas. </w:t>
      </w:r>
      <w:r w:rsidRPr="00262DEA">
        <w:rPr>
          <w:rFonts w:ascii="Cambria" w:eastAsia="Calibri" w:hAnsi="Cambria" w:cs="Times New Roman"/>
          <w:sz w:val="21"/>
          <w:szCs w:val="21"/>
          <w:lang w:val="es-PE"/>
        </w:rPr>
        <w:t xml:space="preserve">Según el solicitante, se indicó que motorizados tirarían piedras contra su casa. </w:t>
      </w:r>
    </w:p>
    <w:p w:rsidR="00262DEA" w:rsidRPr="00262DEA" w:rsidRDefault="00262DEA" w:rsidP="00E2162A">
      <w:pPr>
        <w:spacing w:after="0" w:line="240" w:lineRule="auto"/>
        <w:ind w:left="360"/>
        <w:jc w:val="both"/>
        <w:rPr>
          <w:rFonts w:ascii="Cambria" w:eastAsia="Calibri" w:hAnsi="Cambria" w:cs="Times New Roman"/>
          <w:sz w:val="21"/>
          <w:szCs w:val="21"/>
          <w:lang w:val="es-MX"/>
        </w:rPr>
      </w:pPr>
    </w:p>
    <w:p w:rsidR="00262DEA" w:rsidRPr="00262DEA" w:rsidRDefault="005276A2" w:rsidP="00E2162A">
      <w:pPr>
        <w:numPr>
          <w:ilvl w:val="0"/>
          <w:numId w:val="35"/>
        </w:numPr>
        <w:spacing w:after="0" w:line="240" w:lineRule="auto"/>
        <w:ind w:left="0" w:firstLine="360"/>
        <w:jc w:val="both"/>
        <w:rPr>
          <w:rFonts w:ascii="Cambria" w:eastAsia="Calibri" w:hAnsi="Cambria" w:cs="Times New Roman"/>
          <w:sz w:val="21"/>
          <w:szCs w:val="21"/>
          <w:lang w:val="es-MX"/>
        </w:rPr>
      </w:pPr>
      <w:r>
        <w:rPr>
          <w:rFonts w:ascii="Cambria" w:eastAsia="Calibri" w:hAnsi="Cambria" w:cs="Times New Roman"/>
          <w:sz w:val="21"/>
          <w:szCs w:val="21"/>
          <w:lang w:val="es-MX"/>
        </w:rPr>
        <w:t>De acuerdo con la solicitud, e</w:t>
      </w:r>
      <w:r w:rsidR="00262DEA" w:rsidRPr="00262DEA">
        <w:rPr>
          <w:rFonts w:ascii="Cambria" w:eastAsia="Calibri" w:hAnsi="Cambria" w:cs="Times New Roman"/>
          <w:sz w:val="21"/>
          <w:szCs w:val="21"/>
          <w:lang w:val="es-MX"/>
        </w:rPr>
        <w:t xml:space="preserve">l 16 de mayo de 2018 </w:t>
      </w:r>
      <w:r>
        <w:rPr>
          <w:rFonts w:ascii="Cambria" w:eastAsia="Calibri" w:hAnsi="Cambria" w:cs="Times New Roman"/>
          <w:sz w:val="21"/>
          <w:szCs w:val="21"/>
          <w:lang w:val="es-MX"/>
        </w:rPr>
        <w:t xml:space="preserve">el propuesto beneficiario </w:t>
      </w:r>
      <w:r w:rsidR="00707CD5">
        <w:rPr>
          <w:rFonts w:ascii="Cambria" w:eastAsia="Calibri" w:hAnsi="Cambria" w:cs="Times New Roman"/>
          <w:sz w:val="21"/>
          <w:szCs w:val="21"/>
          <w:lang w:val="es-MX"/>
        </w:rPr>
        <w:t xml:space="preserve">habría </w:t>
      </w:r>
      <w:r w:rsidR="00262DEA" w:rsidRPr="00262DEA">
        <w:rPr>
          <w:rFonts w:ascii="Cambria" w:eastAsia="Calibri" w:hAnsi="Cambria" w:cs="Times New Roman"/>
          <w:sz w:val="21"/>
          <w:szCs w:val="21"/>
          <w:lang w:val="es-MX"/>
        </w:rPr>
        <w:t>empez</w:t>
      </w:r>
      <w:r w:rsidR="00707CD5">
        <w:rPr>
          <w:rFonts w:ascii="Cambria" w:eastAsia="Calibri" w:hAnsi="Cambria" w:cs="Times New Roman"/>
          <w:sz w:val="21"/>
          <w:szCs w:val="21"/>
          <w:lang w:val="es-MX"/>
        </w:rPr>
        <w:t>ado</w:t>
      </w:r>
      <w:r w:rsidR="00262DEA" w:rsidRPr="00262DEA">
        <w:rPr>
          <w:rFonts w:ascii="Cambria" w:eastAsia="Calibri" w:hAnsi="Cambria" w:cs="Times New Roman"/>
          <w:sz w:val="21"/>
          <w:szCs w:val="21"/>
          <w:lang w:val="es-MX"/>
        </w:rPr>
        <w:t xml:space="preserve"> a recibir amenazas y ataques a su persona por medios </w:t>
      </w:r>
      <w:r>
        <w:rPr>
          <w:rFonts w:ascii="Cambria" w:eastAsia="Calibri" w:hAnsi="Cambria" w:cs="Times New Roman"/>
          <w:sz w:val="21"/>
          <w:szCs w:val="21"/>
          <w:lang w:val="es-MX"/>
        </w:rPr>
        <w:t xml:space="preserve">que identificó como  </w:t>
      </w:r>
      <w:r w:rsidR="00262DEA" w:rsidRPr="00262DEA">
        <w:rPr>
          <w:rFonts w:ascii="Cambria" w:eastAsia="Calibri" w:hAnsi="Cambria" w:cs="Times New Roman"/>
          <w:sz w:val="21"/>
          <w:szCs w:val="21"/>
          <w:lang w:val="es-MX"/>
        </w:rPr>
        <w:t>afines al Gobierno. También, se habría intentado quema</w:t>
      </w:r>
      <w:r w:rsidR="00707CD5">
        <w:rPr>
          <w:rFonts w:ascii="Cambria" w:eastAsia="Calibri" w:hAnsi="Cambria" w:cs="Times New Roman"/>
          <w:sz w:val="21"/>
          <w:szCs w:val="21"/>
          <w:lang w:val="es-MX"/>
        </w:rPr>
        <w:t>r</w:t>
      </w:r>
      <w:r w:rsidR="00262DEA" w:rsidRPr="00262DEA">
        <w:rPr>
          <w:rFonts w:ascii="Cambria" w:eastAsia="Calibri" w:hAnsi="Cambria" w:cs="Times New Roman"/>
          <w:sz w:val="21"/>
          <w:szCs w:val="21"/>
          <w:lang w:val="es-MX"/>
        </w:rPr>
        <w:t xml:space="preserve"> su casa</w:t>
      </w:r>
      <w:r>
        <w:rPr>
          <w:rFonts w:ascii="Cambria" w:eastAsia="Calibri" w:hAnsi="Cambria" w:cs="Times New Roman"/>
          <w:sz w:val="21"/>
          <w:szCs w:val="21"/>
          <w:lang w:val="es-MX"/>
        </w:rPr>
        <w:t>, lo cual habría llevado a</w:t>
      </w:r>
      <w:r w:rsidR="00262DEA" w:rsidRPr="00262DEA">
        <w:rPr>
          <w:rFonts w:ascii="Cambria" w:eastAsia="Calibri" w:hAnsi="Cambria" w:cs="Times New Roman"/>
          <w:sz w:val="21"/>
          <w:szCs w:val="21"/>
          <w:lang w:val="es-MX"/>
        </w:rPr>
        <w:t xml:space="preserve"> </w:t>
      </w:r>
      <w:r>
        <w:rPr>
          <w:rFonts w:ascii="Cambria" w:eastAsia="Calibri" w:hAnsi="Cambria" w:cs="Times New Roman"/>
          <w:sz w:val="21"/>
          <w:szCs w:val="21"/>
          <w:lang w:val="es-MX"/>
        </w:rPr>
        <w:t>l</w:t>
      </w:r>
      <w:r w:rsidR="00262DEA" w:rsidRPr="00262DEA">
        <w:rPr>
          <w:rFonts w:ascii="Cambria" w:eastAsia="Calibri" w:hAnsi="Cambria" w:cs="Times New Roman"/>
          <w:sz w:val="21"/>
          <w:szCs w:val="21"/>
          <w:lang w:val="es-MX"/>
        </w:rPr>
        <w:t xml:space="preserve">a </w:t>
      </w:r>
      <w:r>
        <w:rPr>
          <w:rFonts w:ascii="Cambria" w:eastAsia="Calibri" w:hAnsi="Cambria" w:cs="Times New Roman"/>
          <w:sz w:val="21"/>
          <w:szCs w:val="21"/>
          <w:lang w:val="es-MX"/>
        </w:rPr>
        <w:t xml:space="preserve">madre </w:t>
      </w:r>
      <w:r w:rsidR="00262DEA" w:rsidRPr="00262DEA">
        <w:rPr>
          <w:rFonts w:ascii="Cambria" w:eastAsia="Calibri" w:hAnsi="Cambria" w:cs="Times New Roman"/>
          <w:sz w:val="21"/>
          <w:szCs w:val="21"/>
          <w:lang w:val="es-MX"/>
        </w:rPr>
        <w:t xml:space="preserve">del propuesto beneficiario </w:t>
      </w:r>
      <w:r>
        <w:rPr>
          <w:rFonts w:ascii="Cambria" w:eastAsia="Calibri" w:hAnsi="Cambria" w:cs="Times New Roman"/>
          <w:sz w:val="21"/>
          <w:szCs w:val="21"/>
          <w:lang w:val="es-MX"/>
        </w:rPr>
        <w:t xml:space="preserve">a </w:t>
      </w:r>
      <w:r w:rsidR="00262DEA" w:rsidRPr="00262DEA">
        <w:rPr>
          <w:rFonts w:ascii="Cambria" w:eastAsia="Calibri" w:hAnsi="Cambria" w:cs="Times New Roman"/>
          <w:sz w:val="21"/>
          <w:szCs w:val="21"/>
          <w:lang w:val="es-MX"/>
        </w:rPr>
        <w:t xml:space="preserve">salir de la casa de habitación a otros sitios a esconderse. En redes se brindó información sobre la carrera de comunicaciones que estudió y el lugar donde viviría. Del mismo modo, </w:t>
      </w:r>
      <w:r>
        <w:rPr>
          <w:rFonts w:ascii="Cambria" w:eastAsia="Calibri" w:hAnsi="Cambria" w:cs="Times New Roman"/>
          <w:sz w:val="21"/>
          <w:szCs w:val="21"/>
          <w:lang w:val="es-MX"/>
        </w:rPr>
        <w:t xml:space="preserve">el solicitante alegó que en una oportunidad un  medio de comunicación que identifica como oficialista lo </w:t>
      </w:r>
      <w:r w:rsidR="00262DEA" w:rsidRPr="00262DEA">
        <w:rPr>
          <w:rFonts w:ascii="Cambria" w:eastAsia="Calibri" w:hAnsi="Cambria" w:cs="Times New Roman"/>
          <w:sz w:val="21"/>
          <w:szCs w:val="21"/>
          <w:lang w:val="es-MX"/>
        </w:rPr>
        <w:t xml:space="preserve">habría calificado como “persona [que] dirige agresiones contra periodistas”. </w:t>
      </w:r>
    </w:p>
    <w:p w:rsidR="00262DEA" w:rsidRPr="00262DEA" w:rsidRDefault="00262DEA" w:rsidP="00E2162A">
      <w:pPr>
        <w:spacing w:after="0" w:line="240" w:lineRule="auto"/>
        <w:ind w:left="360"/>
        <w:jc w:val="both"/>
        <w:rPr>
          <w:rFonts w:ascii="Cambria" w:eastAsia="Calibri" w:hAnsi="Cambria" w:cs="Times New Roman"/>
          <w:sz w:val="21"/>
          <w:szCs w:val="21"/>
          <w:lang w:val="es-MX"/>
        </w:rPr>
      </w:pPr>
    </w:p>
    <w:p w:rsidR="00262DEA" w:rsidRPr="00262DEA" w:rsidRDefault="00262DEA" w:rsidP="00E2162A">
      <w:pPr>
        <w:numPr>
          <w:ilvl w:val="0"/>
          <w:numId w:val="35"/>
        </w:numPr>
        <w:spacing w:after="0" w:line="240" w:lineRule="auto"/>
        <w:ind w:left="0" w:firstLine="360"/>
        <w:jc w:val="both"/>
        <w:rPr>
          <w:rFonts w:ascii="Cambria" w:eastAsia="Calibri" w:hAnsi="Cambria" w:cs="Times New Roman"/>
          <w:sz w:val="21"/>
          <w:szCs w:val="21"/>
          <w:lang w:val="es-MX"/>
        </w:rPr>
      </w:pPr>
      <w:r w:rsidRPr="00262DEA">
        <w:rPr>
          <w:rFonts w:ascii="Cambria" w:eastAsia="Calibri" w:hAnsi="Cambria" w:cs="Times New Roman"/>
          <w:sz w:val="21"/>
          <w:szCs w:val="21"/>
          <w:lang w:val="es-MX"/>
        </w:rPr>
        <w:lastRenderedPageBreak/>
        <w:t xml:space="preserve">El 9 de junio de 2018 el propuesto beneficiario habría sido acusado de ordenar quemar la universidad </w:t>
      </w:r>
      <w:r w:rsidR="005276A2">
        <w:rPr>
          <w:rFonts w:ascii="Cambria" w:eastAsia="Calibri" w:hAnsi="Cambria" w:cs="Times New Roman"/>
          <w:sz w:val="21"/>
          <w:szCs w:val="21"/>
          <w:lang w:val="es-MX"/>
        </w:rPr>
        <w:t>“</w:t>
      </w:r>
      <w:r w:rsidRPr="00262DEA">
        <w:rPr>
          <w:rFonts w:ascii="Cambria" w:eastAsia="Calibri" w:hAnsi="Cambria" w:cs="Times New Roman"/>
          <w:sz w:val="21"/>
          <w:szCs w:val="21"/>
          <w:lang w:val="es-MX"/>
        </w:rPr>
        <w:t>UPOLI</w:t>
      </w:r>
      <w:r w:rsidR="005276A2">
        <w:rPr>
          <w:rFonts w:ascii="Cambria" w:eastAsia="Calibri" w:hAnsi="Cambria" w:cs="Times New Roman"/>
          <w:sz w:val="21"/>
          <w:szCs w:val="21"/>
          <w:lang w:val="es-MX"/>
        </w:rPr>
        <w:t>”, así como portación de armas</w:t>
      </w:r>
      <w:r w:rsidRPr="00262DEA">
        <w:rPr>
          <w:rFonts w:ascii="Cambria" w:eastAsia="Calibri" w:hAnsi="Cambria" w:cs="Times New Roman"/>
          <w:sz w:val="21"/>
          <w:szCs w:val="21"/>
          <w:lang w:val="es-MX"/>
        </w:rPr>
        <w:t xml:space="preserve">, lo que considera falso. </w:t>
      </w:r>
      <w:r w:rsidR="005276A2">
        <w:rPr>
          <w:rFonts w:ascii="Cambria" w:eastAsia="Calibri" w:hAnsi="Cambria" w:cs="Times New Roman"/>
          <w:sz w:val="21"/>
          <w:szCs w:val="21"/>
          <w:lang w:val="es-MX"/>
        </w:rPr>
        <w:t>Según el solicitante, d</w:t>
      </w:r>
      <w:r w:rsidRPr="00262DEA">
        <w:rPr>
          <w:rFonts w:ascii="Cambria" w:eastAsia="Calibri" w:hAnsi="Cambria" w:cs="Times New Roman"/>
          <w:sz w:val="21"/>
          <w:szCs w:val="21"/>
          <w:lang w:val="es-MX"/>
        </w:rPr>
        <w:t xml:space="preserve">el 11 de junio al 2 de agosto de 2018 </w:t>
      </w:r>
      <w:r w:rsidR="005276A2">
        <w:rPr>
          <w:rFonts w:ascii="Cambria" w:eastAsia="Calibri" w:hAnsi="Cambria" w:cs="Times New Roman"/>
          <w:sz w:val="21"/>
          <w:szCs w:val="21"/>
          <w:lang w:val="es-MX"/>
        </w:rPr>
        <w:t>se habría desplegado una campañ</w:t>
      </w:r>
      <w:r w:rsidRPr="00262DEA">
        <w:rPr>
          <w:rFonts w:ascii="Cambria" w:eastAsia="Calibri" w:hAnsi="Cambria" w:cs="Times New Roman"/>
          <w:sz w:val="21"/>
          <w:szCs w:val="21"/>
          <w:lang w:val="es-MX"/>
        </w:rPr>
        <w:t>a intimidatoria a través d</w:t>
      </w:r>
      <w:r w:rsidR="005276A2">
        <w:rPr>
          <w:rFonts w:ascii="Cambria" w:eastAsia="Calibri" w:hAnsi="Cambria" w:cs="Times New Roman"/>
          <w:sz w:val="21"/>
          <w:szCs w:val="21"/>
          <w:lang w:val="es-MX"/>
        </w:rPr>
        <w:t>e</w:t>
      </w:r>
      <w:r w:rsidRPr="00262DEA">
        <w:rPr>
          <w:rFonts w:ascii="Cambria" w:eastAsia="Calibri" w:hAnsi="Cambria" w:cs="Times New Roman"/>
          <w:sz w:val="21"/>
          <w:szCs w:val="21"/>
          <w:lang w:val="es-MX"/>
        </w:rPr>
        <w:t xml:space="preserve"> redes sociales </w:t>
      </w:r>
      <w:r w:rsidR="005276A2">
        <w:rPr>
          <w:rFonts w:ascii="Cambria" w:eastAsia="Calibri" w:hAnsi="Cambria" w:cs="Times New Roman"/>
          <w:sz w:val="21"/>
          <w:szCs w:val="21"/>
          <w:lang w:val="es-MX"/>
        </w:rPr>
        <w:t xml:space="preserve">en contra del propuesto beneficiario </w:t>
      </w:r>
      <w:r w:rsidRPr="00262DEA">
        <w:rPr>
          <w:rFonts w:ascii="Cambria" w:eastAsia="Calibri" w:hAnsi="Cambria" w:cs="Times New Roman"/>
          <w:sz w:val="21"/>
          <w:szCs w:val="21"/>
          <w:lang w:val="es-MX"/>
        </w:rPr>
        <w:t xml:space="preserve">calificándolo de terrorista, asesino del M19, “tapa de caballo”, “asesino”, “vos hp”, “rata”, “golpista”, “consumidor de cocaína”, “vas preso perro”, entre otros. El propuesto beneficiario habría recibido llamadas anónimas </w:t>
      </w:r>
      <w:r w:rsidR="005276A2">
        <w:rPr>
          <w:rFonts w:ascii="Cambria" w:eastAsia="Calibri" w:hAnsi="Cambria" w:cs="Times New Roman"/>
          <w:sz w:val="21"/>
          <w:szCs w:val="21"/>
          <w:lang w:val="es-MX"/>
        </w:rPr>
        <w:t xml:space="preserve">nuevamente </w:t>
      </w:r>
      <w:r w:rsidRPr="00262DEA">
        <w:rPr>
          <w:rFonts w:ascii="Cambria" w:eastAsia="Calibri" w:hAnsi="Cambria" w:cs="Times New Roman"/>
          <w:sz w:val="21"/>
          <w:szCs w:val="21"/>
          <w:lang w:val="es-MX"/>
        </w:rPr>
        <w:t xml:space="preserve">amenazándolo a él y su familia. El 3 de agosto de 2018, el propuesto beneficiario indicó haberse enterado que existe una orden de captura en su contra por homicidio. Sin embargo, indicó considerarse inocente.  </w:t>
      </w:r>
    </w:p>
    <w:p w:rsidR="00262DEA" w:rsidRPr="00262DEA" w:rsidRDefault="00262DEA" w:rsidP="00E2162A">
      <w:pPr>
        <w:spacing w:after="0" w:line="240" w:lineRule="auto"/>
        <w:ind w:left="360"/>
        <w:jc w:val="both"/>
        <w:rPr>
          <w:rFonts w:ascii="Cambria" w:eastAsia="Calibri" w:hAnsi="Cambria" w:cs="Times New Roman"/>
          <w:sz w:val="21"/>
          <w:szCs w:val="21"/>
          <w:lang w:val="es-MX"/>
        </w:rPr>
      </w:pPr>
    </w:p>
    <w:p w:rsidR="00262DEA" w:rsidRPr="00262DEA" w:rsidRDefault="00262DEA" w:rsidP="00E2162A">
      <w:pPr>
        <w:numPr>
          <w:ilvl w:val="0"/>
          <w:numId w:val="35"/>
        </w:numPr>
        <w:spacing w:after="0" w:line="240" w:lineRule="auto"/>
        <w:ind w:left="0" w:firstLine="360"/>
        <w:jc w:val="both"/>
        <w:rPr>
          <w:rFonts w:ascii="Cambria" w:eastAsia="Calibri" w:hAnsi="Cambria" w:cs="Times New Roman"/>
          <w:sz w:val="21"/>
          <w:szCs w:val="21"/>
          <w:lang w:val="es-MX"/>
        </w:rPr>
      </w:pPr>
      <w:r w:rsidRPr="00262DEA">
        <w:rPr>
          <w:rFonts w:ascii="Cambria" w:eastAsia="Calibri" w:hAnsi="Cambria" w:cs="Times New Roman"/>
          <w:sz w:val="21"/>
          <w:szCs w:val="21"/>
          <w:lang w:val="es-MX"/>
        </w:rPr>
        <w:t>El 4 de agosto de 2018, mientras se movilizaba</w:t>
      </w:r>
      <w:r w:rsidR="00707CD5">
        <w:rPr>
          <w:rFonts w:ascii="Cambria" w:eastAsia="Calibri" w:hAnsi="Cambria" w:cs="Times New Roman"/>
          <w:sz w:val="21"/>
          <w:szCs w:val="21"/>
          <w:lang w:val="es-MX"/>
        </w:rPr>
        <w:t xml:space="preserve"> a una marcha</w:t>
      </w:r>
      <w:r w:rsidRPr="00262DEA">
        <w:rPr>
          <w:rFonts w:ascii="Cambria" w:eastAsia="Calibri" w:hAnsi="Cambria" w:cs="Times New Roman"/>
          <w:sz w:val="21"/>
          <w:szCs w:val="21"/>
          <w:lang w:val="es-MX"/>
        </w:rPr>
        <w:t xml:space="preserve">, un grupo de personas encapuchadas con la policía no habría dejado pasar </w:t>
      </w:r>
      <w:r w:rsidR="00707CD5">
        <w:rPr>
          <w:rFonts w:ascii="Cambria" w:eastAsia="Calibri" w:hAnsi="Cambria" w:cs="Times New Roman"/>
          <w:sz w:val="21"/>
          <w:szCs w:val="21"/>
          <w:lang w:val="es-MX"/>
        </w:rPr>
        <w:t>a</w:t>
      </w:r>
      <w:r w:rsidRPr="00262DEA">
        <w:rPr>
          <w:rFonts w:ascii="Cambria" w:eastAsia="Calibri" w:hAnsi="Cambria" w:cs="Times New Roman"/>
          <w:sz w:val="21"/>
          <w:szCs w:val="21"/>
          <w:lang w:val="es-MX"/>
        </w:rPr>
        <w:t>l vehículo en el que se encontraba de manera anónima.</w:t>
      </w:r>
      <w:r w:rsidR="00707CD5">
        <w:rPr>
          <w:rFonts w:ascii="Cambria" w:eastAsia="Calibri" w:hAnsi="Cambria" w:cs="Times New Roman"/>
          <w:sz w:val="21"/>
          <w:szCs w:val="21"/>
          <w:lang w:val="es-MX"/>
        </w:rPr>
        <w:t xml:space="preserve"> </w:t>
      </w:r>
      <w:r w:rsidRPr="00262DEA">
        <w:rPr>
          <w:rFonts w:ascii="Cambria" w:eastAsia="Calibri" w:hAnsi="Cambria" w:cs="Times New Roman"/>
          <w:sz w:val="21"/>
          <w:szCs w:val="21"/>
          <w:lang w:val="es-MX"/>
        </w:rPr>
        <w:t xml:space="preserve">Por la tarde de ese mismo día, un grupo de policías acompañados de militares encapuchados con armas de alto calibre habrían intentado detenerlo, pero los habrían evadido. </w:t>
      </w:r>
      <w:r w:rsidR="005276A2">
        <w:rPr>
          <w:rFonts w:ascii="Cambria" w:eastAsia="Calibri" w:hAnsi="Cambria" w:cs="Times New Roman"/>
          <w:sz w:val="21"/>
          <w:szCs w:val="21"/>
          <w:lang w:val="es-MX"/>
        </w:rPr>
        <w:t xml:space="preserve">Asimismo, el </w:t>
      </w:r>
      <w:r w:rsidRPr="00262DEA">
        <w:rPr>
          <w:rFonts w:ascii="Cambria" w:eastAsia="Calibri" w:hAnsi="Cambria" w:cs="Times New Roman"/>
          <w:sz w:val="21"/>
          <w:szCs w:val="21"/>
          <w:lang w:val="es-MX"/>
        </w:rPr>
        <w:t xml:space="preserve">5 de agosto de 2018, mientras el propuesto beneficiario se encontraba en un supermercado, una patrulla de la policía con encapuchados habría estado dando vueltas en los alrededores, por lo que habría tenido que evacuar e irse a un lugar más seguro. </w:t>
      </w:r>
    </w:p>
    <w:p w:rsidR="00262DEA" w:rsidRPr="00262DEA" w:rsidRDefault="00262DEA" w:rsidP="00E2162A">
      <w:pPr>
        <w:spacing w:after="0" w:line="240" w:lineRule="auto"/>
        <w:ind w:left="360"/>
        <w:jc w:val="both"/>
        <w:rPr>
          <w:rFonts w:ascii="Cambria" w:eastAsia="Calibri" w:hAnsi="Cambria" w:cs="Times New Roman"/>
          <w:sz w:val="21"/>
          <w:szCs w:val="21"/>
          <w:lang w:val="es-MX"/>
        </w:rPr>
      </w:pPr>
    </w:p>
    <w:p w:rsidR="00715D5E" w:rsidRDefault="00262DEA" w:rsidP="00E2162A">
      <w:pPr>
        <w:numPr>
          <w:ilvl w:val="0"/>
          <w:numId w:val="35"/>
        </w:numPr>
        <w:spacing w:after="0" w:line="240" w:lineRule="auto"/>
        <w:ind w:left="0" w:firstLine="360"/>
        <w:jc w:val="both"/>
        <w:rPr>
          <w:rFonts w:ascii="Cambria" w:eastAsia="Calibri" w:hAnsi="Cambria" w:cs="Times New Roman"/>
          <w:sz w:val="21"/>
          <w:szCs w:val="21"/>
          <w:lang w:val="es-MX"/>
        </w:rPr>
      </w:pPr>
      <w:r w:rsidRPr="00262DEA">
        <w:rPr>
          <w:rFonts w:ascii="Cambria" w:eastAsia="Calibri" w:hAnsi="Cambria" w:cs="Times New Roman"/>
          <w:sz w:val="21"/>
          <w:szCs w:val="21"/>
          <w:lang w:val="es-MX"/>
        </w:rPr>
        <w:t>El 4 de septiembre de 2018 el propuesto beneficiario habría sido de</w:t>
      </w:r>
      <w:r w:rsidR="00562D24">
        <w:rPr>
          <w:rFonts w:ascii="Cambria" w:eastAsia="Calibri" w:hAnsi="Cambria" w:cs="Times New Roman"/>
          <w:sz w:val="21"/>
          <w:szCs w:val="21"/>
          <w:lang w:val="es-MX"/>
        </w:rPr>
        <w:t>tenido por la policí</w:t>
      </w:r>
      <w:r w:rsidR="00A46026">
        <w:rPr>
          <w:rFonts w:ascii="Cambria" w:eastAsia="Calibri" w:hAnsi="Cambria" w:cs="Times New Roman"/>
          <w:sz w:val="21"/>
          <w:szCs w:val="21"/>
          <w:lang w:val="es-MX"/>
        </w:rPr>
        <w:t>a nacional por el delito de terrorismo, entorpecimiento de servicios públicos, homicidio frustrado, entre otros</w:t>
      </w:r>
      <w:r w:rsidR="00E0433C">
        <w:rPr>
          <w:rFonts w:ascii="Cambria" w:eastAsia="Calibri" w:hAnsi="Cambria" w:cs="Times New Roman"/>
          <w:sz w:val="21"/>
          <w:szCs w:val="21"/>
          <w:lang w:val="es-MX"/>
        </w:rPr>
        <w:t xml:space="preserve"> delitos</w:t>
      </w:r>
      <w:r w:rsidR="00A46026">
        <w:rPr>
          <w:rFonts w:ascii="Cambria" w:eastAsia="Calibri" w:hAnsi="Cambria" w:cs="Times New Roman"/>
          <w:sz w:val="21"/>
          <w:szCs w:val="21"/>
          <w:lang w:val="es-MX"/>
        </w:rPr>
        <w:t xml:space="preserve">. </w:t>
      </w:r>
      <w:r w:rsidR="000F4803">
        <w:rPr>
          <w:rFonts w:ascii="Cambria" w:eastAsia="Calibri" w:hAnsi="Cambria" w:cs="Times New Roman"/>
          <w:sz w:val="21"/>
          <w:szCs w:val="21"/>
          <w:lang w:val="es-MX"/>
        </w:rPr>
        <w:t xml:space="preserve">El propuesto beneficiario habría sido traslado al centro denominado “El Chipote” donde habría estado aproximadamente 8 días, siendo posteriormente trasladado a “La Modelo”. Según la </w:t>
      </w:r>
      <w:r w:rsidR="00D36421">
        <w:rPr>
          <w:rFonts w:ascii="Cambria" w:eastAsia="Calibri" w:hAnsi="Cambria" w:cs="Times New Roman"/>
          <w:sz w:val="21"/>
          <w:szCs w:val="21"/>
          <w:lang w:val="es-MX"/>
        </w:rPr>
        <w:t>información</w:t>
      </w:r>
      <w:r w:rsidR="000F4803">
        <w:rPr>
          <w:rFonts w:ascii="Cambria" w:eastAsia="Calibri" w:hAnsi="Cambria" w:cs="Times New Roman"/>
          <w:sz w:val="21"/>
          <w:szCs w:val="21"/>
          <w:lang w:val="es-MX"/>
        </w:rPr>
        <w:t xml:space="preserve"> recibida, mientras el propuesto beneficiario se encontraba en </w:t>
      </w:r>
      <w:r w:rsidR="00D36421">
        <w:rPr>
          <w:rFonts w:ascii="Cambria" w:eastAsia="Calibri" w:hAnsi="Cambria" w:cs="Times New Roman"/>
          <w:sz w:val="21"/>
          <w:szCs w:val="21"/>
          <w:lang w:val="es-MX"/>
        </w:rPr>
        <w:t>“</w:t>
      </w:r>
      <w:r w:rsidR="000F4803">
        <w:rPr>
          <w:rFonts w:ascii="Cambria" w:eastAsia="Calibri" w:hAnsi="Cambria" w:cs="Times New Roman"/>
          <w:sz w:val="21"/>
          <w:szCs w:val="21"/>
          <w:lang w:val="es-MX"/>
        </w:rPr>
        <w:t>El Chipote</w:t>
      </w:r>
      <w:r w:rsidR="00D36421">
        <w:rPr>
          <w:rFonts w:ascii="Cambria" w:eastAsia="Calibri" w:hAnsi="Cambria" w:cs="Times New Roman"/>
          <w:sz w:val="21"/>
          <w:szCs w:val="21"/>
          <w:lang w:val="es-MX"/>
        </w:rPr>
        <w:t xml:space="preserve">” habría permanecido en calzoncillos y </w:t>
      </w:r>
      <w:r w:rsidR="00E0433C">
        <w:rPr>
          <w:rFonts w:ascii="Cambria" w:eastAsia="Calibri" w:hAnsi="Cambria" w:cs="Times New Roman"/>
          <w:sz w:val="21"/>
          <w:szCs w:val="21"/>
          <w:lang w:val="es-MX"/>
        </w:rPr>
        <w:t xml:space="preserve">bóxer </w:t>
      </w:r>
      <w:r w:rsidR="00D36421">
        <w:rPr>
          <w:rFonts w:ascii="Cambria" w:eastAsia="Calibri" w:hAnsi="Cambria" w:cs="Times New Roman"/>
          <w:sz w:val="21"/>
          <w:szCs w:val="21"/>
          <w:lang w:val="es-MX"/>
        </w:rPr>
        <w:t xml:space="preserve">de manera permanente y se la habría hecho no menos de 26 entrevistas </w:t>
      </w:r>
      <w:r w:rsidR="00A769FE">
        <w:rPr>
          <w:rFonts w:ascii="Cambria" w:eastAsia="Calibri" w:hAnsi="Cambria" w:cs="Times New Roman"/>
          <w:sz w:val="21"/>
          <w:szCs w:val="21"/>
          <w:lang w:val="es-MX"/>
        </w:rPr>
        <w:t xml:space="preserve">policiales </w:t>
      </w:r>
      <w:r w:rsidR="00D36421">
        <w:rPr>
          <w:rFonts w:ascii="Cambria" w:eastAsia="Calibri" w:hAnsi="Cambria" w:cs="Times New Roman"/>
          <w:sz w:val="21"/>
          <w:szCs w:val="21"/>
          <w:lang w:val="es-MX"/>
        </w:rPr>
        <w:t>o procesamientos. En estas entrevistas, según la información recibida, el propuesto beneficiario habría recibido g</w:t>
      </w:r>
      <w:r w:rsidR="00D36421" w:rsidRPr="00D36421">
        <w:rPr>
          <w:rFonts w:ascii="Cambria" w:eastAsia="Calibri" w:hAnsi="Cambria" w:cs="Times New Roman"/>
          <w:sz w:val="21"/>
          <w:szCs w:val="21"/>
          <w:lang w:val="es-MX"/>
        </w:rPr>
        <w:t xml:space="preserve">olpes en la cabeza, espalda y el </w:t>
      </w:r>
      <w:r w:rsidR="008437FB" w:rsidRPr="00D36421">
        <w:rPr>
          <w:rFonts w:ascii="Cambria" w:eastAsia="Calibri" w:hAnsi="Cambria" w:cs="Times New Roman"/>
          <w:sz w:val="21"/>
          <w:szCs w:val="21"/>
          <w:lang w:val="es-MX"/>
        </w:rPr>
        <w:t>estómago</w:t>
      </w:r>
      <w:r w:rsidR="008437FB">
        <w:rPr>
          <w:rFonts w:ascii="Cambria" w:eastAsia="Calibri" w:hAnsi="Cambria" w:cs="Times New Roman"/>
          <w:sz w:val="21"/>
          <w:szCs w:val="21"/>
          <w:lang w:val="es-MX"/>
        </w:rPr>
        <w:t xml:space="preserve">. </w:t>
      </w:r>
      <w:r w:rsidR="004A3135">
        <w:rPr>
          <w:rFonts w:ascii="Cambria" w:eastAsia="Calibri" w:hAnsi="Cambria" w:cs="Times New Roman"/>
          <w:sz w:val="21"/>
          <w:szCs w:val="21"/>
          <w:lang w:val="es-MX"/>
        </w:rPr>
        <w:t xml:space="preserve">El defensor legal </w:t>
      </w:r>
      <w:r w:rsidR="00E0433C">
        <w:rPr>
          <w:rFonts w:ascii="Cambria" w:eastAsia="Calibri" w:hAnsi="Cambria" w:cs="Times New Roman"/>
          <w:sz w:val="21"/>
          <w:szCs w:val="21"/>
          <w:lang w:val="es-MX"/>
        </w:rPr>
        <w:t xml:space="preserve">alegó </w:t>
      </w:r>
      <w:r w:rsidR="004A3135">
        <w:rPr>
          <w:rFonts w:ascii="Cambria" w:eastAsia="Calibri" w:hAnsi="Cambria" w:cs="Times New Roman"/>
          <w:sz w:val="21"/>
          <w:szCs w:val="21"/>
          <w:lang w:val="es-MX"/>
        </w:rPr>
        <w:t>que se ha</w:t>
      </w:r>
      <w:r w:rsidR="00E0433C">
        <w:rPr>
          <w:rFonts w:ascii="Cambria" w:eastAsia="Calibri" w:hAnsi="Cambria" w:cs="Times New Roman"/>
          <w:sz w:val="21"/>
          <w:szCs w:val="21"/>
          <w:lang w:val="es-MX"/>
        </w:rPr>
        <w:t>brían asimismo</w:t>
      </w:r>
      <w:r w:rsidR="004A3135">
        <w:rPr>
          <w:rFonts w:ascii="Cambria" w:eastAsia="Calibri" w:hAnsi="Cambria" w:cs="Times New Roman"/>
          <w:sz w:val="21"/>
          <w:szCs w:val="21"/>
          <w:lang w:val="es-MX"/>
        </w:rPr>
        <w:t xml:space="preserve"> presentado diversas dificultades para poder llevar adelante una defensa procesal adecuada. </w:t>
      </w:r>
    </w:p>
    <w:p w:rsidR="00715D5E" w:rsidRDefault="00715D5E" w:rsidP="00E2162A">
      <w:pPr>
        <w:spacing w:after="0" w:line="240" w:lineRule="auto"/>
        <w:ind w:left="360"/>
        <w:jc w:val="both"/>
        <w:rPr>
          <w:rFonts w:ascii="Cambria" w:eastAsia="Calibri" w:hAnsi="Cambria" w:cs="Times New Roman"/>
          <w:sz w:val="21"/>
          <w:szCs w:val="21"/>
          <w:lang w:val="es-MX"/>
        </w:rPr>
      </w:pPr>
    </w:p>
    <w:p w:rsidR="004A3135" w:rsidRDefault="00E0433C" w:rsidP="00E2162A">
      <w:pPr>
        <w:numPr>
          <w:ilvl w:val="0"/>
          <w:numId w:val="35"/>
        </w:numPr>
        <w:spacing w:after="0" w:line="240" w:lineRule="auto"/>
        <w:ind w:left="0" w:firstLine="360"/>
        <w:jc w:val="both"/>
        <w:rPr>
          <w:rFonts w:ascii="Cambria" w:eastAsia="Calibri" w:hAnsi="Cambria" w:cs="Times New Roman"/>
          <w:sz w:val="21"/>
          <w:szCs w:val="21"/>
          <w:lang w:val="es-MX"/>
        </w:rPr>
      </w:pPr>
      <w:r>
        <w:rPr>
          <w:rFonts w:ascii="Cambria" w:eastAsia="Calibri" w:hAnsi="Cambria" w:cs="Times New Roman"/>
          <w:sz w:val="21"/>
          <w:szCs w:val="21"/>
          <w:lang w:val="es-MX"/>
        </w:rPr>
        <w:t>De acuerdo con e</w:t>
      </w:r>
      <w:r w:rsidR="008437FB" w:rsidRPr="00715D5E">
        <w:rPr>
          <w:rFonts w:ascii="Cambria" w:eastAsia="Calibri" w:hAnsi="Cambria" w:cs="Times New Roman"/>
          <w:sz w:val="21"/>
          <w:szCs w:val="21"/>
          <w:lang w:val="es-MX"/>
        </w:rPr>
        <w:t xml:space="preserve">l defensor legal del propuesto beneficiario las condiciones del propuesto beneficiario </w:t>
      </w:r>
      <w:r>
        <w:rPr>
          <w:rFonts w:ascii="Cambria" w:eastAsia="Calibri" w:hAnsi="Cambria" w:cs="Times New Roman"/>
          <w:sz w:val="21"/>
          <w:szCs w:val="21"/>
          <w:lang w:val="es-MX"/>
        </w:rPr>
        <w:t>“</w:t>
      </w:r>
      <w:r w:rsidR="008437FB" w:rsidRPr="00715D5E">
        <w:rPr>
          <w:rFonts w:ascii="Cambria" w:eastAsia="Calibri" w:hAnsi="Cambria" w:cs="Times New Roman"/>
          <w:sz w:val="21"/>
          <w:szCs w:val="21"/>
          <w:lang w:val="es-MX"/>
        </w:rPr>
        <w:t>no serían las mejores</w:t>
      </w:r>
      <w:r>
        <w:rPr>
          <w:rFonts w:ascii="Cambria" w:eastAsia="Calibri" w:hAnsi="Cambria" w:cs="Times New Roman"/>
          <w:sz w:val="21"/>
          <w:szCs w:val="21"/>
          <w:lang w:val="es-MX"/>
        </w:rPr>
        <w:t>”</w:t>
      </w:r>
      <w:r w:rsidR="00715D5E">
        <w:rPr>
          <w:rFonts w:ascii="Cambria" w:eastAsia="Calibri" w:hAnsi="Cambria" w:cs="Times New Roman"/>
          <w:sz w:val="21"/>
          <w:szCs w:val="21"/>
          <w:lang w:val="es-MX"/>
        </w:rPr>
        <w:t>, especialmente en lo que se refiere a sus condiciones psicológicas</w:t>
      </w:r>
      <w:r w:rsidR="008437FB" w:rsidRPr="00715D5E">
        <w:rPr>
          <w:rFonts w:ascii="Cambria" w:eastAsia="Calibri" w:hAnsi="Cambria" w:cs="Times New Roman"/>
          <w:sz w:val="21"/>
          <w:szCs w:val="21"/>
          <w:lang w:val="es-MX"/>
        </w:rPr>
        <w:t xml:space="preserve">. </w:t>
      </w:r>
      <w:r w:rsidR="00715D5E" w:rsidRPr="00715D5E">
        <w:rPr>
          <w:rFonts w:ascii="Cambria" w:eastAsia="Calibri" w:hAnsi="Cambria" w:cs="Times New Roman"/>
          <w:sz w:val="21"/>
          <w:szCs w:val="21"/>
          <w:lang w:val="es-MX"/>
        </w:rPr>
        <w:t xml:space="preserve">En un </w:t>
      </w:r>
      <w:r>
        <w:rPr>
          <w:rFonts w:ascii="Cambria" w:eastAsia="Calibri" w:hAnsi="Cambria" w:cs="Times New Roman"/>
          <w:sz w:val="21"/>
          <w:szCs w:val="21"/>
          <w:lang w:val="es-MX"/>
        </w:rPr>
        <w:t xml:space="preserve">período </w:t>
      </w:r>
      <w:r w:rsidR="00715D5E" w:rsidRPr="00715D5E">
        <w:rPr>
          <w:rFonts w:ascii="Cambria" w:eastAsia="Calibri" w:hAnsi="Cambria" w:cs="Times New Roman"/>
          <w:sz w:val="21"/>
          <w:szCs w:val="21"/>
          <w:lang w:val="es-MX"/>
        </w:rPr>
        <w:t xml:space="preserve">de aproximadamente 20 minutos que </w:t>
      </w:r>
      <w:r>
        <w:rPr>
          <w:rFonts w:ascii="Cambria" w:eastAsia="Calibri" w:hAnsi="Cambria" w:cs="Times New Roman"/>
          <w:sz w:val="21"/>
          <w:szCs w:val="21"/>
          <w:lang w:val="es-MX"/>
        </w:rPr>
        <w:t xml:space="preserve">habría tenido </w:t>
      </w:r>
      <w:r w:rsidR="00715D5E" w:rsidRPr="00715D5E">
        <w:rPr>
          <w:rFonts w:ascii="Cambria" w:eastAsia="Calibri" w:hAnsi="Cambria" w:cs="Times New Roman"/>
          <w:sz w:val="21"/>
          <w:szCs w:val="21"/>
          <w:lang w:val="es-MX"/>
        </w:rPr>
        <w:t xml:space="preserve">para verlo, el propuesto beneficiario habría llorado </w:t>
      </w:r>
      <w:r w:rsidR="004A3135">
        <w:rPr>
          <w:rFonts w:ascii="Cambria" w:eastAsia="Calibri" w:hAnsi="Cambria" w:cs="Times New Roman"/>
          <w:sz w:val="21"/>
          <w:szCs w:val="21"/>
          <w:lang w:val="es-MX"/>
        </w:rPr>
        <w:t xml:space="preserve">en </w:t>
      </w:r>
      <w:r w:rsidR="00715D5E" w:rsidRPr="00715D5E">
        <w:rPr>
          <w:rFonts w:ascii="Cambria" w:eastAsia="Calibri" w:hAnsi="Cambria" w:cs="Times New Roman"/>
          <w:sz w:val="21"/>
          <w:szCs w:val="21"/>
          <w:lang w:val="es-MX"/>
        </w:rPr>
        <w:t xml:space="preserve">por lo menos 6 ocasiones. </w:t>
      </w:r>
      <w:r w:rsidR="00715D5E">
        <w:rPr>
          <w:rFonts w:ascii="Cambria" w:eastAsia="Calibri" w:hAnsi="Cambria" w:cs="Times New Roman"/>
          <w:sz w:val="21"/>
          <w:szCs w:val="21"/>
          <w:lang w:val="es-MX"/>
        </w:rPr>
        <w:t xml:space="preserve">Según el defensor legal, no sería posible determinar si se encontraba en ese momento bajo efecto de alguna sustancia por lo que se requieren estudios para ello. </w:t>
      </w:r>
    </w:p>
    <w:p w:rsidR="000D5FA0" w:rsidRDefault="000D5FA0" w:rsidP="00E2162A">
      <w:pPr>
        <w:spacing w:after="0" w:line="240" w:lineRule="auto"/>
        <w:ind w:left="360"/>
        <w:jc w:val="both"/>
        <w:rPr>
          <w:rFonts w:ascii="Cambria" w:eastAsia="Calibri" w:hAnsi="Cambria" w:cs="Times New Roman"/>
          <w:sz w:val="21"/>
          <w:szCs w:val="21"/>
          <w:lang w:val="es-MX"/>
        </w:rPr>
      </w:pPr>
    </w:p>
    <w:p w:rsidR="004A3135" w:rsidRPr="004A3135" w:rsidRDefault="000D5FA0" w:rsidP="00E2162A">
      <w:pPr>
        <w:numPr>
          <w:ilvl w:val="0"/>
          <w:numId w:val="35"/>
        </w:numPr>
        <w:spacing w:after="0" w:line="240" w:lineRule="auto"/>
        <w:ind w:left="0" w:firstLine="360"/>
        <w:jc w:val="both"/>
        <w:rPr>
          <w:rFonts w:ascii="Cambria" w:eastAsia="Calibri" w:hAnsi="Cambria" w:cs="Times New Roman"/>
          <w:sz w:val="21"/>
          <w:szCs w:val="21"/>
          <w:lang w:val="es-MX"/>
        </w:rPr>
      </w:pPr>
      <w:r>
        <w:rPr>
          <w:rFonts w:ascii="Cambria" w:eastAsia="Calibri" w:hAnsi="Cambria" w:cs="Times New Roman"/>
          <w:sz w:val="21"/>
          <w:szCs w:val="21"/>
          <w:lang w:val="es-MX"/>
        </w:rPr>
        <w:t>En el marco del proceso, e</w:t>
      </w:r>
      <w:r w:rsidR="004A3135">
        <w:rPr>
          <w:rFonts w:ascii="Cambria" w:eastAsia="Calibri" w:hAnsi="Cambria" w:cs="Times New Roman"/>
          <w:sz w:val="21"/>
          <w:szCs w:val="21"/>
          <w:lang w:val="es-MX"/>
        </w:rPr>
        <w:t xml:space="preserve">l defensor legal </w:t>
      </w:r>
      <w:r>
        <w:rPr>
          <w:rFonts w:ascii="Cambria" w:eastAsia="Calibri" w:hAnsi="Cambria" w:cs="Times New Roman"/>
          <w:sz w:val="21"/>
          <w:szCs w:val="21"/>
          <w:lang w:val="es-MX"/>
        </w:rPr>
        <w:t>indicó</w:t>
      </w:r>
      <w:r w:rsidR="004A3135">
        <w:rPr>
          <w:rFonts w:ascii="Cambria" w:eastAsia="Calibri" w:hAnsi="Cambria" w:cs="Times New Roman"/>
          <w:sz w:val="21"/>
          <w:szCs w:val="21"/>
          <w:lang w:val="es-MX"/>
        </w:rPr>
        <w:t xml:space="preserve"> que </w:t>
      </w:r>
      <w:r>
        <w:rPr>
          <w:rFonts w:ascii="Cambria" w:eastAsia="Calibri" w:hAnsi="Cambria" w:cs="Times New Roman"/>
          <w:sz w:val="21"/>
          <w:szCs w:val="21"/>
          <w:lang w:val="es-MX"/>
        </w:rPr>
        <w:t>solicitó</w:t>
      </w:r>
      <w:r w:rsidR="004A3135">
        <w:rPr>
          <w:rFonts w:ascii="Cambria" w:eastAsia="Calibri" w:hAnsi="Cambria" w:cs="Times New Roman"/>
          <w:sz w:val="21"/>
          <w:szCs w:val="21"/>
          <w:lang w:val="es-MX"/>
        </w:rPr>
        <w:t xml:space="preserve"> al juez que se remitiera al Instituto de Medicina Legal para saber el estado de salud </w:t>
      </w:r>
      <w:r w:rsidR="00E0433C">
        <w:rPr>
          <w:rFonts w:ascii="Cambria" w:eastAsia="Calibri" w:hAnsi="Cambria" w:cs="Times New Roman"/>
          <w:sz w:val="21"/>
          <w:szCs w:val="21"/>
          <w:lang w:val="es-MX"/>
        </w:rPr>
        <w:t xml:space="preserve">del propuesto beneficiario y conocer </w:t>
      </w:r>
      <w:r w:rsidR="004A3135">
        <w:rPr>
          <w:rFonts w:ascii="Cambria" w:eastAsia="Calibri" w:hAnsi="Cambria" w:cs="Times New Roman"/>
          <w:sz w:val="21"/>
          <w:szCs w:val="21"/>
          <w:lang w:val="es-MX"/>
        </w:rPr>
        <w:t>si ha sido objeto de tortura o de un trato cruel</w:t>
      </w:r>
      <w:r w:rsidR="00A769FE">
        <w:rPr>
          <w:rFonts w:ascii="Cambria" w:eastAsia="Calibri" w:hAnsi="Cambria" w:cs="Times New Roman"/>
          <w:sz w:val="21"/>
          <w:szCs w:val="21"/>
          <w:lang w:val="es-MX"/>
        </w:rPr>
        <w:t>, inhumano o degradante</w:t>
      </w:r>
      <w:r w:rsidR="004A3135">
        <w:rPr>
          <w:rFonts w:ascii="Cambria" w:eastAsia="Calibri" w:hAnsi="Cambria" w:cs="Times New Roman"/>
          <w:sz w:val="21"/>
          <w:szCs w:val="21"/>
          <w:lang w:val="es-MX"/>
        </w:rPr>
        <w:t xml:space="preserve">, </w:t>
      </w:r>
      <w:r w:rsidR="00E0433C">
        <w:rPr>
          <w:rFonts w:ascii="Cambria" w:eastAsia="Calibri" w:hAnsi="Cambria" w:cs="Times New Roman"/>
          <w:sz w:val="21"/>
          <w:szCs w:val="21"/>
          <w:lang w:val="es-MX"/>
        </w:rPr>
        <w:t xml:space="preserve">solicitando </w:t>
      </w:r>
      <w:r w:rsidR="004A3135">
        <w:rPr>
          <w:rFonts w:ascii="Cambria" w:eastAsia="Calibri" w:hAnsi="Cambria" w:cs="Times New Roman"/>
          <w:sz w:val="21"/>
          <w:szCs w:val="21"/>
          <w:lang w:val="es-MX"/>
        </w:rPr>
        <w:t xml:space="preserve">que se le haga un examen de </w:t>
      </w:r>
      <w:r>
        <w:rPr>
          <w:rFonts w:ascii="Cambria" w:eastAsia="Calibri" w:hAnsi="Cambria" w:cs="Times New Roman"/>
          <w:sz w:val="21"/>
          <w:szCs w:val="21"/>
          <w:lang w:val="es-MX"/>
        </w:rPr>
        <w:t xml:space="preserve">psiquiatría. </w:t>
      </w:r>
    </w:p>
    <w:p w:rsidR="00D36421" w:rsidRDefault="00D36421" w:rsidP="00E2162A">
      <w:pPr>
        <w:spacing w:after="0" w:line="240" w:lineRule="auto"/>
        <w:ind w:left="360"/>
        <w:jc w:val="both"/>
        <w:rPr>
          <w:rFonts w:ascii="Cambria" w:eastAsia="Calibri" w:hAnsi="Cambria" w:cs="Times New Roman"/>
          <w:sz w:val="21"/>
          <w:szCs w:val="21"/>
          <w:lang w:val="es-MX"/>
        </w:rPr>
      </w:pPr>
    </w:p>
    <w:p w:rsidR="00881272" w:rsidRPr="00262DEA" w:rsidRDefault="00262DEA" w:rsidP="00E2162A">
      <w:pPr>
        <w:pStyle w:val="ListParagraph"/>
        <w:widowControl w:val="0"/>
        <w:numPr>
          <w:ilvl w:val="0"/>
          <w:numId w:val="36"/>
        </w:numPr>
        <w:spacing w:after="0" w:line="240" w:lineRule="auto"/>
        <w:jc w:val="both"/>
        <w:rPr>
          <w:rFonts w:ascii="Cambria" w:eastAsia="Calibri" w:hAnsi="Cambria" w:cs="Times New Roman"/>
          <w:b/>
          <w:sz w:val="21"/>
          <w:szCs w:val="21"/>
          <w:lang w:val="es-PE"/>
        </w:rPr>
      </w:pPr>
      <w:r w:rsidRPr="00262DEA">
        <w:rPr>
          <w:rFonts w:ascii="Cambria" w:eastAsia="Calibri" w:hAnsi="Cambria" w:cs="Times New Roman"/>
          <w:b/>
          <w:sz w:val="21"/>
          <w:szCs w:val="21"/>
          <w:lang w:val="es-PE"/>
        </w:rPr>
        <w:t>Respuesta del Estado</w:t>
      </w:r>
    </w:p>
    <w:p w:rsidR="00881272" w:rsidRDefault="00881272" w:rsidP="00E2162A">
      <w:pPr>
        <w:widowControl w:val="0"/>
        <w:spacing w:after="0" w:line="240" w:lineRule="auto"/>
        <w:jc w:val="both"/>
        <w:rPr>
          <w:rFonts w:ascii="Cambria" w:eastAsia="Calibri" w:hAnsi="Cambria" w:cs="Times New Roman"/>
          <w:sz w:val="21"/>
          <w:szCs w:val="21"/>
          <w:lang w:val="es-PE"/>
        </w:rPr>
      </w:pPr>
    </w:p>
    <w:p w:rsidR="00881272" w:rsidRPr="00334B6E" w:rsidRDefault="00E0433C" w:rsidP="00E2162A">
      <w:pPr>
        <w:pStyle w:val="ListParagraph"/>
        <w:widowControl w:val="0"/>
        <w:numPr>
          <w:ilvl w:val="0"/>
          <w:numId w:val="35"/>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 xml:space="preserve">De conformidad con </w:t>
      </w:r>
      <w:r w:rsidR="00675E9E">
        <w:rPr>
          <w:rFonts w:ascii="Cambria" w:eastAsia="Calibri" w:hAnsi="Cambria" w:cs="Times New Roman"/>
          <w:sz w:val="21"/>
          <w:szCs w:val="21"/>
          <w:lang w:val="es-PE"/>
        </w:rPr>
        <w:t>el artículo 25</w:t>
      </w:r>
      <w:r w:rsidR="00987815">
        <w:rPr>
          <w:rFonts w:ascii="Cambria" w:eastAsia="Calibri" w:hAnsi="Cambria" w:cs="Times New Roman"/>
          <w:sz w:val="21"/>
          <w:szCs w:val="21"/>
          <w:lang w:val="es-PE"/>
        </w:rPr>
        <w:t>.5</w:t>
      </w:r>
      <w:r w:rsidR="00675E9E">
        <w:rPr>
          <w:rFonts w:ascii="Cambria" w:eastAsia="Calibri" w:hAnsi="Cambria" w:cs="Times New Roman"/>
          <w:sz w:val="21"/>
          <w:szCs w:val="21"/>
          <w:lang w:val="es-PE"/>
        </w:rPr>
        <w:t xml:space="preserve"> de su Reglamento, l</w:t>
      </w:r>
      <w:r w:rsidR="00334B6E">
        <w:rPr>
          <w:rFonts w:ascii="Cambria" w:eastAsia="Calibri" w:hAnsi="Cambria" w:cs="Times New Roman"/>
          <w:sz w:val="21"/>
          <w:szCs w:val="21"/>
          <w:lang w:val="es-PE"/>
        </w:rPr>
        <w:t>a Comisión solicitó información</w:t>
      </w:r>
      <w:r w:rsidR="00675E9E">
        <w:rPr>
          <w:rFonts w:ascii="Cambria" w:eastAsia="Calibri" w:hAnsi="Cambria" w:cs="Times New Roman"/>
          <w:sz w:val="21"/>
          <w:szCs w:val="21"/>
          <w:lang w:val="es-PE"/>
        </w:rPr>
        <w:t xml:space="preserve"> al Estado el 3 de agosto de 2018, en particular sobre la situación de Edwin José </w:t>
      </w:r>
      <w:proofErr w:type="spellStart"/>
      <w:r w:rsidR="00675E9E">
        <w:rPr>
          <w:rFonts w:ascii="Cambria" w:eastAsia="Calibri" w:hAnsi="Cambria" w:cs="Times New Roman"/>
          <w:sz w:val="21"/>
          <w:szCs w:val="21"/>
          <w:lang w:val="es-PE"/>
        </w:rPr>
        <w:t>Carcache</w:t>
      </w:r>
      <w:proofErr w:type="spellEnd"/>
      <w:r w:rsidR="00675E9E">
        <w:rPr>
          <w:rFonts w:ascii="Cambria" w:eastAsia="Calibri" w:hAnsi="Cambria" w:cs="Times New Roman"/>
          <w:sz w:val="21"/>
          <w:szCs w:val="21"/>
          <w:lang w:val="es-PE"/>
        </w:rPr>
        <w:t xml:space="preserve"> Dávila. </w:t>
      </w:r>
      <w:r w:rsidR="00833FEC">
        <w:rPr>
          <w:rFonts w:ascii="Cambria" w:eastAsia="Calibri" w:hAnsi="Cambria" w:cs="Times New Roman"/>
          <w:sz w:val="21"/>
          <w:szCs w:val="21"/>
          <w:lang w:val="es-PE"/>
        </w:rPr>
        <w:t xml:space="preserve">Mediante comunicación del 7 de agosto de 2018 que se refiere a diversas solicitudes de medidas cautelares, el Estado informó de manera general que ha brindado y brinda protección </w:t>
      </w:r>
      <w:r>
        <w:rPr>
          <w:rFonts w:ascii="Cambria" w:eastAsia="Calibri" w:hAnsi="Cambria" w:cs="Times New Roman"/>
          <w:sz w:val="21"/>
          <w:szCs w:val="21"/>
          <w:lang w:val="es-PE"/>
        </w:rPr>
        <w:t>al propuesto beneficiario</w:t>
      </w:r>
      <w:r w:rsidR="00833FEC">
        <w:rPr>
          <w:rFonts w:ascii="Cambria" w:eastAsia="Calibri" w:hAnsi="Cambria" w:cs="Times New Roman"/>
          <w:sz w:val="21"/>
          <w:szCs w:val="21"/>
          <w:lang w:val="es-PE"/>
        </w:rPr>
        <w:t xml:space="preserve">. </w:t>
      </w:r>
    </w:p>
    <w:p w:rsidR="00881272" w:rsidRDefault="00881272" w:rsidP="00E2162A">
      <w:pPr>
        <w:widowControl w:val="0"/>
        <w:spacing w:after="0" w:line="240" w:lineRule="auto"/>
        <w:jc w:val="both"/>
        <w:rPr>
          <w:rFonts w:ascii="Cambria" w:eastAsia="Calibri" w:hAnsi="Cambria" w:cs="Times New Roman"/>
          <w:sz w:val="21"/>
          <w:szCs w:val="21"/>
          <w:lang w:val="es-PE"/>
        </w:rPr>
      </w:pPr>
    </w:p>
    <w:p w:rsidR="00F30F7A" w:rsidRPr="00060488" w:rsidRDefault="00F30F7A" w:rsidP="00E2162A">
      <w:pPr>
        <w:widowControl w:val="0"/>
        <w:numPr>
          <w:ilvl w:val="0"/>
          <w:numId w:val="3"/>
        </w:numPr>
        <w:spacing w:after="0" w:line="240" w:lineRule="auto"/>
        <w:ind w:left="810"/>
        <w:jc w:val="both"/>
        <w:rPr>
          <w:rFonts w:ascii="Cambria" w:eastAsia="Calibri" w:hAnsi="Cambria" w:cs="Calibri"/>
          <w:b/>
          <w:color w:val="000000"/>
          <w:sz w:val="21"/>
          <w:szCs w:val="21"/>
          <w:lang w:val="es-PE"/>
        </w:rPr>
      </w:pPr>
      <w:r w:rsidRPr="00060488">
        <w:rPr>
          <w:rFonts w:ascii="Cambria" w:eastAsia="Calibri" w:hAnsi="Cambria" w:cs="Calibri"/>
          <w:b/>
          <w:color w:val="000000"/>
          <w:sz w:val="21"/>
          <w:szCs w:val="21"/>
          <w:lang w:val="es-PE"/>
        </w:rPr>
        <w:t>ANÁLISIS SOBRE LOS ELEMENTOS DE GRAVEDAD, URGENCIA E IRREPARABILIDAD</w:t>
      </w:r>
    </w:p>
    <w:p w:rsidR="00F30F7A" w:rsidRPr="00060488" w:rsidRDefault="00F30F7A" w:rsidP="00E2162A">
      <w:pPr>
        <w:widowControl w:val="0"/>
        <w:spacing w:after="0" w:line="240" w:lineRule="auto"/>
        <w:jc w:val="both"/>
        <w:rPr>
          <w:rFonts w:ascii="Cambria" w:eastAsia="Calibri" w:hAnsi="Cambria" w:cs="Calibri"/>
          <w:b/>
          <w:color w:val="000000"/>
          <w:sz w:val="21"/>
          <w:szCs w:val="21"/>
          <w:lang w:val="es-PE"/>
        </w:rPr>
      </w:pPr>
    </w:p>
    <w:p w:rsidR="00C37B56" w:rsidRPr="00060488" w:rsidRDefault="00F30F7A" w:rsidP="00E2162A">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w:t>
      </w:r>
      <w:r w:rsidR="00091976">
        <w:rPr>
          <w:rFonts w:ascii="Cambria" w:eastAsia="Calibri" w:hAnsi="Cambria" w:cs="Calibri"/>
          <w:color w:val="000000"/>
          <w:sz w:val="21"/>
          <w:szCs w:val="21"/>
          <w:lang w:val="es-PE"/>
        </w:rPr>
        <w:t xml:space="preserve">das en el </w:t>
      </w:r>
      <w:r w:rsidR="00091976">
        <w:rPr>
          <w:rFonts w:ascii="Cambria" w:eastAsia="Calibri" w:hAnsi="Cambria" w:cs="Calibri"/>
          <w:color w:val="000000"/>
          <w:sz w:val="21"/>
          <w:szCs w:val="21"/>
          <w:lang w:val="es-PE"/>
        </w:rPr>
        <w:lastRenderedPageBreak/>
        <w:t>artículo 41 (b) de la</w:t>
      </w:r>
      <w:r w:rsidRPr="00060488">
        <w:rPr>
          <w:rFonts w:ascii="Cambria" w:eastAsia="Calibri" w:hAnsi="Cambria" w:cs="Calibri"/>
          <w:color w:val="000000"/>
          <w:sz w:val="21"/>
          <w:szCs w:val="21"/>
          <w:lang w:val="es-PE"/>
        </w:rPr>
        <w:t xml:space="preserve"> Interamericana “a iniciativa propia o a solicitud de parte”.</w:t>
      </w:r>
    </w:p>
    <w:p w:rsidR="00C37B56" w:rsidRPr="00060488" w:rsidRDefault="00C37B56" w:rsidP="00E2162A">
      <w:pPr>
        <w:pStyle w:val="ListParagraph"/>
        <w:widowControl w:val="0"/>
        <w:spacing w:after="0" w:line="240" w:lineRule="auto"/>
        <w:ind w:left="360"/>
        <w:jc w:val="both"/>
        <w:rPr>
          <w:rFonts w:ascii="Cambria" w:eastAsia="Calibri" w:hAnsi="Cambria" w:cs="Calibri"/>
          <w:color w:val="000000"/>
          <w:sz w:val="21"/>
          <w:szCs w:val="21"/>
          <w:lang w:val="es-PE"/>
        </w:rPr>
      </w:pPr>
    </w:p>
    <w:p w:rsidR="00F30F7A" w:rsidRPr="00060488" w:rsidRDefault="00F30F7A" w:rsidP="00E2162A">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Para los efectos de tomar una decisión, y de acuerdo con el artículo 25.2 de su Reglamento, la Comisión considera que: </w:t>
      </w:r>
    </w:p>
    <w:p w:rsidR="00F30F7A" w:rsidRPr="00060488" w:rsidRDefault="00F30F7A" w:rsidP="00E2162A">
      <w:pPr>
        <w:widowControl w:val="0"/>
        <w:spacing w:after="0" w:line="240" w:lineRule="auto"/>
        <w:ind w:firstLine="360"/>
        <w:jc w:val="both"/>
        <w:rPr>
          <w:rFonts w:ascii="Cambria" w:eastAsia="Calibri" w:hAnsi="Cambria" w:cs="Calibri"/>
          <w:color w:val="000000"/>
          <w:sz w:val="21"/>
          <w:szCs w:val="21"/>
          <w:lang w:val="es-PE"/>
        </w:rPr>
      </w:pPr>
    </w:p>
    <w:p w:rsidR="00F30F7A" w:rsidRPr="00060488" w:rsidRDefault="00F30F7A" w:rsidP="00E2162A">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060488">
        <w:rPr>
          <w:rFonts w:ascii="Cambria" w:eastAsia="Calibri" w:hAnsi="Cambria"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F30F7A" w:rsidRPr="00060488" w:rsidRDefault="00F30F7A" w:rsidP="00E2162A">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060488">
        <w:rPr>
          <w:rFonts w:ascii="Cambria" w:eastAsia="Calibri" w:hAnsi="Cambria" w:cs="Calibri"/>
          <w:color w:val="000000"/>
          <w:sz w:val="18"/>
          <w:szCs w:val="21"/>
          <w:lang w:val="es-PE"/>
        </w:rPr>
        <w:t xml:space="preserve">la “urgencia de la situación” se determina por medio de la información aportada, indicando el riesgo o la amenaza que puedan ser inminentes y materializarse, requiriendo de esa manera una acción preventiva o tutelar; y </w:t>
      </w:r>
    </w:p>
    <w:p w:rsidR="00F30F7A" w:rsidRPr="00060488" w:rsidRDefault="00F30F7A" w:rsidP="00E2162A">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060488">
        <w:rPr>
          <w:rFonts w:ascii="Cambria" w:eastAsia="Calibri" w:hAnsi="Cambria" w:cs="Calibri"/>
          <w:color w:val="000000"/>
          <w:sz w:val="18"/>
          <w:szCs w:val="21"/>
          <w:lang w:val="es-PE"/>
        </w:rPr>
        <w:t>el “daño irreparable” consiste en la afectación sobre derechos que, por su propia naturaleza, no son susceptibles de reparación, restauración o adecuada indemnización.</w:t>
      </w:r>
    </w:p>
    <w:p w:rsidR="00F30F7A" w:rsidRPr="00060488" w:rsidRDefault="00F30F7A" w:rsidP="00E2162A">
      <w:pPr>
        <w:widowControl w:val="0"/>
        <w:spacing w:after="0" w:line="240" w:lineRule="auto"/>
        <w:ind w:firstLine="360"/>
        <w:jc w:val="both"/>
        <w:rPr>
          <w:rFonts w:ascii="Cambria" w:eastAsia="Calibri" w:hAnsi="Cambria" w:cs="Calibri"/>
          <w:color w:val="000000"/>
          <w:sz w:val="21"/>
          <w:szCs w:val="21"/>
          <w:lang w:val="es-PE"/>
        </w:rPr>
      </w:pPr>
    </w:p>
    <w:p w:rsidR="00B91F1F" w:rsidRPr="00B91F1F" w:rsidRDefault="00091976" w:rsidP="00E2162A">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Pr>
          <w:rFonts w:ascii="Cambria" w:eastAsia="Calibri" w:hAnsi="Cambria" w:cs="Calibri"/>
          <w:color w:val="000000"/>
          <w:sz w:val="21"/>
          <w:szCs w:val="21"/>
          <w:lang w:val="es-PE"/>
        </w:rPr>
        <w:t>L</w:t>
      </w:r>
      <w:r w:rsidR="00F30F7A" w:rsidRPr="00060488">
        <w:rPr>
          <w:rFonts w:ascii="Cambria" w:eastAsia="Calibri" w:hAnsi="Cambria"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060488">
        <w:rPr>
          <w:rFonts w:ascii="Cambria" w:eastAsia="Calibri" w:hAnsi="Cambria" w:cs="Calibri"/>
          <w:i/>
          <w:color w:val="000000"/>
          <w:sz w:val="21"/>
          <w:szCs w:val="21"/>
          <w:lang w:val="es-PE"/>
        </w:rPr>
        <w:t>prima facie</w:t>
      </w:r>
      <w:r w:rsidR="00F30F7A" w:rsidRPr="00060488">
        <w:rPr>
          <w:rFonts w:ascii="Cambria" w:eastAsia="Calibri" w:hAnsi="Cambria" w:cs="Calibri"/>
          <w:color w:val="000000"/>
          <w:sz w:val="21"/>
          <w:szCs w:val="21"/>
          <w:lang w:val="es-PE"/>
        </w:rPr>
        <w:t xml:space="preserve"> que permita identificar una situación de gravedad y urgencia</w:t>
      </w:r>
      <w:r w:rsidR="00F30F7A" w:rsidRPr="00060488">
        <w:rPr>
          <w:vertAlign w:val="superscript"/>
          <w:lang w:val="es-PE"/>
        </w:rPr>
        <w:footnoteReference w:id="18"/>
      </w:r>
      <w:r w:rsidR="00F30F7A" w:rsidRPr="00060488">
        <w:rPr>
          <w:rFonts w:ascii="Cambria" w:eastAsia="Calibri" w:hAnsi="Cambria" w:cs="Calibri"/>
          <w:color w:val="000000"/>
          <w:sz w:val="21"/>
          <w:szCs w:val="21"/>
          <w:lang w:val="es-PE"/>
        </w:rPr>
        <w:t>.</w:t>
      </w:r>
      <w:r w:rsidR="00DC298F">
        <w:rPr>
          <w:rFonts w:ascii="Cambria" w:eastAsia="Calibri" w:hAnsi="Cambria" w:cs="Calibri"/>
          <w:color w:val="000000"/>
          <w:sz w:val="21"/>
          <w:szCs w:val="21"/>
          <w:lang w:val="es-PE"/>
        </w:rPr>
        <w:t xml:space="preserve"> </w:t>
      </w:r>
      <w:r w:rsidR="00B91F1F">
        <w:rPr>
          <w:rFonts w:ascii="Cambria" w:eastAsia="Calibri" w:hAnsi="Cambria" w:cs="Calibri"/>
          <w:color w:val="000000"/>
          <w:sz w:val="21"/>
          <w:szCs w:val="21"/>
          <w:lang w:val="es-PE"/>
        </w:rPr>
        <w:t>Asimi</w:t>
      </w:r>
      <w:r w:rsidR="00B91F1F" w:rsidRPr="00B91F1F">
        <w:rPr>
          <w:rFonts w:ascii="Cambria" w:eastAsia="Calibri" w:hAnsi="Cambria" w:cs="Calibri"/>
          <w:color w:val="000000"/>
          <w:sz w:val="21"/>
          <w:szCs w:val="21"/>
          <w:lang w:val="es-PE"/>
        </w:rPr>
        <w:t>smo, la Comisión resalta que el mecanismo de medidas cautelares no tiene por objeto determinar la posible responsabilidad de un Estado</w:t>
      </w:r>
      <w:r w:rsidR="00B87A9F">
        <w:rPr>
          <w:rFonts w:ascii="Cambria" w:eastAsia="Calibri" w:hAnsi="Cambria" w:cs="Calibri"/>
          <w:color w:val="000000"/>
          <w:sz w:val="21"/>
          <w:szCs w:val="21"/>
          <w:lang w:val="es-PE"/>
        </w:rPr>
        <w:t xml:space="preserve"> en relación con los hechos alegados</w:t>
      </w:r>
      <w:r w:rsidR="00B91F1F" w:rsidRPr="00B91F1F">
        <w:rPr>
          <w:rFonts w:ascii="Cambria" w:eastAsia="Calibri" w:hAnsi="Cambria" w:cs="Calibri"/>
          <w:color w:val="000000"/>
          <w:sz w:val="21"/>
          <w:szCs w:val="21"/>
          <w:lang w:val="es-PE"/>
        </w:rPr>
        <w:t>, sino que el análisis que se efectúa a continuación se relaciona exclusivamente con los elementos establecidos en el artículo 25 del Reglamento de la CIDH, los cuales pueden resolverse sin entrar en determinaciones de fondo que son propias de un caso.</w:t>
      </w:r>
    </w:p>
    <w:p w:rsidR="00B91F1F" w:rsidRPr="00B91F1F" w:rsidRDefault="00B91F1F" w:rsidP="00E2162A">
      <w:pPr>
        <w:spacing w:after="0" w:line="240" w:lineRule="auto"/>
        <w:ind w:left="360"/>
        <w:contextualSpacing/>
        <w:jc w:val="both"/>
        <w:rPr>
          <w:rFonts w:ascii="Cambria" w:eastAsia="Calibri" w:hAnsi="Cambria" w:cs="Calibri"/>
          <w:color w:val="000000"/>
          <w:sz w:val="21"/>
          <w:szCs w:val="21"/>
          <w:lang w:val="es-PE"/>
        </w:rPr>
      </w:pPr>
    </w:p>
    <w:p w:rsidR="00987815" w:rsidRDefault="00DC298F" w:rsidP="00E2162A">
      <w:pPr>
        <w:numPr>
          <w:ilvl w:val="0"/>
          <w:numId w:val="4"/>
        </w:numPr>
        <w:spacing w:after="0" w:line="240" w:lineRule="auto"/>
        <w:ind w:left="0" w:firstLine="360"/>
        <w:contextualSpacing/>
        <w:jc w:val="both"/>
        <w:rPr>
          <w:rFonts w:ascii="Cambria" w:hAnsi="Cambria"/>
          <w:sz w:val="21"/>
          <w:szCs w:val="21"/>
          <w:lang w:val="es-ES_tradnl"/>
        </w:rPr>
      </w:pPr>
      <w:r w:rsidRPr="00D936C1">
        <w:rPr>
          <w:rFonts w:ascii="Cambria" w:hAnsi="Cambria"/>
          <w:sz w:val="21"/>
          <w:szCs w:val="21"/>
          <w:lang w:val="es-ES_tradnl"/>
        </w:rPr>
        <w:t>En relación con el requisito de gravedad, la Comisión</w:t>
      </w:r>
      <w:r w:rsidR="00987815">
        <w:rPr>
          <w:rFonts w:ascii="Cambria" w:hAnsi="Cambria"/>
          <w:sz w:val="21"/>
          <w:szCs w:val="21"/>
          <w:lang w:val="es-ES_tradnl"/>
        </w:rPr>
        <w:t xml:space="preserve"> observa </w:t>
      </w:r>
      <w:r w:rsidR="00987815" w:rsidRPr="00987815">
        <w:rPr>
          <w:rFonts w:ascii="Cambria" w:hAnsi="Cambria"/>
          <w:sz w:val="21"/>
          <w:szCs w:val="21"/>
          <w:lang w:val="es-ES_tradnl"/>
        </w:rPr>
        <w:t xml:space="preserve">que la privación de la libertad del propuesto beneficiario, </w:t>
      </w:r>
      <w:r w:rsidR="00987815">
        <w:rPr>
          <w:rFonts w:ascii="Cambria" w:hAnsi="Cambria"/>
          <w:sz w:val="21"/>
          <w:szCs w:val="21"/>
          <w:lang w:val="es-ES_tradnl"/>
        </w:rPr>
        <w:t xml:space="preserve">habría sido </w:t>
      </w:r>
      <w:r w:rsidR="00987815" w:rsidRPr="00987815">
        <w:rPr>
          <w:rFonts w:ascii="Cambria" w:hAnsi="Cambria"/>
          <w:sz w:val="21"/>
          <w:szCs w:val="21"/>
          <w:lang w:val="es-ES_tradnl"/>
        </w:rPr>
        <w:t xml:space="preserve">antecedida por una serie de amenazas y hostigamientos que </w:t>
      </w:r>
      <w:r w:rsidR="00B87A9F">
        <w:rPr>
          <w:rFonts w:ascii="Cambria" w:hAnsi="Cambria"/>
          <w:sz w:val="21"/>
          <w:szCs w:val="21"/>
          <w:lang w:val="es-ES_tradnl"/>
        </w:rPr>
        <w:t xml:space="preserve">habrían tenido </w:t>
      </w:r>
      <w:r w:rsidR="00987815" w:rsidRPr="00987815">
        <w:rPr>
          <w:rFonts w:ascii="Cambria" w:hAnsi="Cambria"/>
          <w:sz w:val="21"/>
          <w:szCs w:val="21"/>
          <w:lang w:val="es-ES_tradnl"/>
        </w:rPr>
        <w:t>lugar desde abril de 2018</w:t>
      </w:r>
      <w:r w:rsidR="00987815">
        <w:rPr>
          <w:rFonts w:ascii="Cambria" w:hAnsi="Cambria"/>
          <w:sz w:val="21"/>
          <w:szCs w:val="21"/>
          <w:lang w:val="es-ES_tradnl"/>
        </w:rPr>
        <w:t xml:space="preserve"> como resultado de la participación del propuesto beneficiario dentro del movimiento estudiantil y las protestas realizadas en ese entonces</w:t>
      </w:r>
      <w:r w:rsidR="00987815" w:rsidRPr="00987815">
        <w:rPr>
          <w:rFonts w:ascii="Cambria" w:hAnsi="Cambria"/>
          <w:sz w:val="21"/>
          <w:szCs w:val="21"/>
          <w:lang w:val="es-ES_tradnl"/>
        </w:rPr>
        <w:t xml:space="preserve">. En particular, </w:t>
      </w:r>
      <w:r w:rsidR="00987815">
        <w:rPr>
          <w:rFonts w:ascii="Cambria" w:hAnsi="Cambria"/>
          <w:sz w:val="21"/>
          <w:szCs w:val="21"/>
          <w:lang w:val="es-ES_tradnl"/>
        </w:rPr>
        <w:t xml:space="preserve">el propuesto beneficiario habría recibido </w:t>
      </w:r>
      <w:r w:rsidR="00987815" w:rsidRPr="00987815">
        <w:rPr>
          <w:rFonts w:ascii="Cambria" w:hAnsi="Cambria"/>
          <w:sz w:val="21"/>
          <w:szCs w:val="21"/>
          <w:lang w:val="es-ES_tradnl"/>
        </w:rPr>
        <w:t xml:space="preserve">amenazas de muerte por diversos medios de comunicación o redes sociales, las cuales incluían también a diversos integrantes de su familia, principalmente a su hija (vid. </w:t>
      </w:r>
      <w:r w:rsidR="00987815" w:rsidRPr="00987815">
        <w:rPr>
          <w:rFonts w:ascii="Cambria" w:hAnsi="Cambria"/>
          <w:i/>
          <w:sz w:val="21"/>
          <w:szCs w:val="21"/>
          <w:lang w:val="es-ES_tradnl"/>
        </w:rPr>
        <w:t>supra</w:t>
      </w:r>
      <w:r w:rsidR="00987815">
        <w:rPr>
          <w:rFonts w:ascii="Cambria" w:hAnsi="Cambria"/>
          <w:sz w:val="21"/>
          <w:szCs w:val="21"/>
          <w:lang w:val="es-ES_tradnl"/>
        </w:rPr>
        <w:t xml:space="preserve"> párr. </w:t>
      </w:r>
      <w:r w:rsidR="00E2162A">
        <w:rPr>
          <w:rFonts w:ascii="Cambria" w:hAnsi="Cambria"/>
          <w:sz w:val="21"/>
          <w:szCs w:val="21"/>
          <w:lang w:val="es-ES_tradnl"/>
        </w:rPr>
        <w:t>1</w:t>
      </w:r>
      <w:r w:rsidR="000B7FD7">
        <w:rPr>
          <w:rFonts w:ascii="Cambria" w:hAnsi="Cambria"/>
          <w:sz w:val="21"/>
          <w:szCs w:val="21"/>
          <w:lang w:val="es-ES_tradnl"/>
        </w:rPr>
        <w:t>3</w:t>
      </w:r>
      <w:r w:rsidR="00E2162A">
        <w:rPr>
          <w:rFonts w:ascii="Cambria" w:hAnsi="Cambria"/>
          <w:sz w:val="21"/>
          <w:szCs w:val="21"/>
          <w:lang w:val="es-ES_tradnl"/>
        </w:rPr>
        <w:t>, 1</w:t>
      </w:r>
      <w:r w:rsidR="000B7FD7">
        <w:rPr>
          <w:rFonts w:ascii="Cambria" w:hAnsi="Cambria"/>
          <w:sz w:val="21"/>
          <w:szCs w:val="21"/>
          <w:lang w:val="es-ES_tradnl"/>
        </w:rPr>
        <w:t>4</w:t>
      </w:r>
      <w:r w:rsidR="00E2162A">
        <w:rPr>
          <w:rFonts w:ascii="Cambria" w:hAnsi="Cambria"/>
          <w:sz w:val="21"/>
          <w:szCs w:val="21"/>
          <w:lang w:val="es-ES_tradnl"/>
        </w:rPr>
        <w:t>, y 1</w:t>
      </w:r>
      <w:r w:rsidR="000B7FD7">
        <w:rPr>
          <w:rFonts w:ascii="Cambria" w:hAnsi="Cambria"/>
          <w:sz w:val="21"/>
          <w:szCs w:val="21"/>
          <w:lang w:val="es-ES_tradnl"/>
        </w:rPr>
        <w:t>5</w:t>
      </w:r>
      <w:r w:rsidR="00987815">
        <w:rPr>
          <w:rFonts w:ascii="Cambria" w:hAnsi="Cambria"/>
          <w:sz w:val="21"/>
          <w:szCs w:val="21"/>
          <w:lang w:val="es-ES_tradnl"/>
        </w:rPr>
        <w:t>). Asimismo, habría</w:t>
      </w:r>
      <w:r w:rsidR="00987815" w:rsidRPr="00987815">
        <w:rPr>
          <w:rFonts w:ascii="Cambria" w:hAnsi="Cambria"/>
          <w:sz w:val="21"/>
          <w:szCs w:val="21"/>
          <w:lang w:val="es-ES_tradnl"/>
        </w:rPr>
        <w:t xml:space="preserve"> </w:t>
      </w:r>
      <w:r w:rsidR="00987815">
        <w:rPr>
          <w:rFonts w:ascii="Cambria" w:hAnsi="Cambria"/>
          <w:sz w:val="21"/>
          <w:szCs w:val="21"/>
          <w:lang w:val="es-ES_tradnl"/>
        </w:rPr>
        <w:t xml:space="preserve">enfrentado </w:t>
      </w:r>
      <w:r w:rsidR="00987815" w:rsidRPr="00987815">
        <w:rPr>
          <w:rFonts w:ascii="Cambria" w:hAnsi="Cambria"/>
          <w:sz w:val="21"/>
          <w:szCs w:val="21"/>
          <w:lang w:val="es-ES_tradnl"/>
        </w:rPr>
        <w:t xml:space="preserve">seguimientos en sus desplazamientos (vid. </w:t>
      </w:r>
      <w:r w:rsidR="00987815" w:rsidRPr="00987815">
        <w:rPr>
          <w:rFonts w:ascii="Cambria" w:hAnsi="Cambria"/>
          <w:i/>
          <w:sz w:val="21"/>
          <w:szCs w:val="21"/>
          <w:lang w:val="es-ES_tradnl"/>
        </w:rPr>
        <w:t>supra</w:t>
      </w:r>
      <w:r w:rsidR="00987815" w:rsidRPr="00987815">
        <w:rPr>
          <w:rFonts w:ascii="Cambria" w:hAnsi="Cambria"/>
          <w:sz w:val="21"/>
          <w:szCs w:val="21"/>
          <w:lang w:val="es-ES_tradnl"/>
        </w:rPr>
        <w:t xml:space="preserve"> párr. </w:t>
      </w:r>
      <w:r w:rsidR="00E2162A">
        <w:rPr>
          <w:rFonts w:ascii="Cambria" w:hAnsi="Cambria"/>
          <w:sz w:val="21"/>
          <w:szCs w:val="21"/>
          <w:lang w:val="es-ES_tradnl"/>
        </w:rPr>
        <w:t>1</w:t>
      </w:r>
      <w:r w:rsidR="000B7FD7">
        <w:rPr>
          <w:rFonts w:ascii="Cambria" w:hAnsi="Cambria"/>
          <w:sz w:val="21"/>
          <w:szCs w:val="21"/>
          <w:lang w:val="es-ES_tradnl"/>
        </w:rPr>
        <w:t>5</w:t>
      </w:r>
      <w:r w:rsidR="00E2162A">
        <w:rPr>
          <w:rFonts w:ascii="Cambria" w:hAnsi="Cambria"/>
          <w:sz w:val="21"/>
          <w:szCs w:val="21"/>
          <w:lang w:val="es-ES_tradnl"/>
        </w:rPr>
        <w:t xml:space="preserve"> y 1</w:t>
      </w:r>
      <w:r w:rsidR="000B7FD7">
        <w:rPr>
          <w:rFonts w:ascii="Cambria" w:hAnsi="Cambria"/>
          <w:sz w:val="21"/>
          <w:szCs w:val="21"/>
          <w:lang w:val="es-ES_tradnl"/>
        </w:rPr>
        <w:t>7</w:t>
      </w:r>
      <w:r w:rsidR="00987815" w:rsidRPr="00987815">
        <w:rPr>
          <w:rFonts w:ascii="Cambria" w:hAnsi="Cambria"/>
          <w:sz w:val="21"/>
          <w:szCs w:val="21"/>
          <w:lang w:val="es-ES_tradnl"/>
        </w:rPr>
        <w:t xml:space="preserve">); y </w:t>
      </w:r>
      <w:r w:rsidR="00987815">
        <w:rPr>
          <w:rFonts w:ascii="Cambria" w:hAnsi="Cambria"/>
          <w:sz w:val="21"/>
          <w:szCs w:val="21"/>
          <w:lang w:val="es-ES_tradnl"/>
        </w:rPr>
        <w:t xml:space="preserve">una </w:t>
      </w:r>
      <w:r w:rsidR="00987815" w:rsidRPr="00987815">
        <w:rPr>
          <w:rFonts w:ascii="Cambria" w:hAnsi="Cambria"/>
          <w:sz w:val="21"/>
          <w:szCs w:val="21"/>
          <w:lang w:val="es-ES_tradnl"/>
        </w:rPr>
        <w:t xml:space="preserve">presunta campaña de desprestigio en torno a su persona, siendo calificado de </w:t>
      </w:r>
      <w:r w:rsidR="00AC3610">
        <w:rPr>
          <w:rFonts w:ascii="Cambria" w:hAnsi="Cambria"/>
          <w:sz w:val="21"/>
          <w:szCs w:val="21"/>
          <w:lang w:val="es-ES_tradnl"/>
        </w:rPr>
        <w:t xml:space="preserve">“terrorista”, </w:t>
      </w:r>
      <w:r w:rsidR="00987815" w:rsidRPr="00987815">
        <w:rPr>
          <w:rFonts w:ascii="Cambria" w:hAnsi="Cambria"/>
          <w:sz w:val="21"/>
          <w:szCs w:val="21"/>
          <w:lang w:val="es-ES_tradnl"/>
        </w:rPr>
        <w:t xml:space="preserve">“asesino”. “golpista”, “hp”, “rata”, entre otros (vid. </w:t>
      </w:r>
      <w:r w:rsidR="00987815" w:rsidRPr="00987815">
        <w:rPr>
          <w:rFonts w:ascii="Cambria" w:hAnsi="Cambria"/>
          <w:i/>
          <w:sz w:val="21"/>
          <w:szCs w:val="21"/>
          <w:lang w:val="es-ES_tradnl"/>
        </w:rPr>
        <w:t>supra</w:t>
      </w:r>
      <w:r w:rsidR="00987815" w:rsidRPr="00987815">
        <w:rPr>
          <w:rFonts w:ascii="Cambria" w:hAnsi="Cambria"/>
          <w:sz w:val="21"/>
          <w:szCs w:val="21"/>
          <w:lang w:val="es-ES_tradnl"/>
        </w:rPr>
        <w:t xml:space="preserve"> párr. </w:t>
      </w:r>
      <w:r w:rsidR="000B7FD7">
        <w:rPr>
          <w:rFonts w:ascii="Cambria" w:hAnsi="Cambria"/>
          <w:sz w:val="21"/>
          <w:szCs w:val="21"/>
          <w:lang w:val="es-ES_tradnl"/>
        </w:rPr>
        <w:t>16</w:t>
      </w:r>
      <w:r w:rsidR="00987815" w:rsidRPr="00987815">
        <w:rPr>
          <w:rFonts w:ascii="Cambria" w:hAnsi="Cambria"/>
          <w:sz w:val="21"/>
          <w:szCs w:val="21"/>
          <w:lang w:val="es-ES_tradnl"/>
        </w:rPr>
        <w:t xml:space="preserve">). </w:t>
      </w:r>
    </w:p>
    <w:p w:rsidR="00987815" w:rsidRPr="00987815" w:rsidRDefault="00987815" w:rsidP="00E2162A">
      <w:pPr>
        <w:spacing w:after="0" w:line="240" w:lineRule="auto"/>
        <w:ind w:left="360"/>
        <w:contextualSpacing/>
        <w:jc w:val="both"/>
        <w:rPr>
          <w:rFonts w:ascii="Cambria" w:hAnsi="Cambria"/>
          <w:sz w:val="21"/>
          <w:szCs w:val="21"/>
          <w:lang w:val="es-ES_tradnl"/>
        </w:rPr>
      </w:pPr>
    </w:p>
    <w:p w:rsidR="00987815" w:rsidRPr="00987815" w:rsidRDefault="00987815" w:rsidP="00E2162A">
      <w:pPr>
        <w:numPr>
          <w:ilvl w:val="0"/>
          <w:numId w:val="4"/>
        </w:numPr>
        <w:spacing w:after="0" w:line="240" w:lineRule="auto"/>
        <w:ind w:left="0" w:firstLine="360"/>
        <w:contextualSpacing/>
        <w:jc w:val="both"/>
        <w:rPr>
          <w:rFonts w:ascii="Cambria" w:hAnsi="Cambria"/>
          <w:sz w:val="21"/>
          <w:szCs w:val="21"/>
          <w:lang w:val="es-ES_tradnl"/>
        </w:rPr>
      </w:pPr>
      <w:r w:rsidRPr="00987815">
        <w:rPr>
          <w:rFonts w:ascii="Cambria" w:eastAsia="Calibri" w:hAnsi="Cambria" w:cs="Times New Roman"/>
          <w:sz w:val="21"/>
          <w:szCs w:val="21"/>
          <w:lang w:val="es-PE"/>
        </w:rPr>
        <w:t>En respuesta a la solicitud de información</w:t>
      </w:r>
      <w:r>
        <w:rPr>
          <w:rFonts w:ascii="Cambria" w:eastAsia="Calibri" w:hAnsi="Cambria" w:cs="Times New Roman"/>
          <w:sz w:val="21"/>
          <w:szCs w:val="21"/>
          <w:lang w:val="es-PE"/>
        </w:rPr>
        <w:t xml:space="preserve"> realizada en su oportunidad al Estado de Nicaragua</w:t>
      </w:r>
      <w:r w:rsidRPr="00987815">
        <w:rPr>
          <w:rFonts w:ascii="Cambria" w:eastAsia="Calibri" w:hAnsi="Cambria" w:cs="Times New Roman"/>
          <w:sz w:val="21"/>
          <w:szCs w:val="21"/>
          <w:lang w:val="es-PE"/>
        </w:rPr>
        <w:t xml:space="preserve">, </w:t>
      </w:r>
      <w:r>
        <w:rPr>
          <w:rFonts w:ascii="Cambria" w:eastAsia="Calibri" w:hAnsi="Cambria" w:cs="Times New Roman"/>
          <w:sz w:val="21"/>
          <w:szCs w:val="21"/>
          <w:lang w:val="es-PE"/>
        </w:rPr>
        <w:t xml:space="preserve">la Comisión observa que </w:t>
      </w:r>
      <w:r w:rsidRPr="00987815">
        <w:rPr>
          <w:rFonts w:ascii="Cambria" w:eastAsia="Calibri" w:hAnsi="Cambria" w:cs="Times New Roman"/>
          <w:sz w:val="21"/>
          <w:szCs w:val="21"/>
          <w:lang w:val="es-PE"/>
        </w:rPr>
        <w:t xml:space="preserve">informó de manera general que brinda protección. No obstante ello, la Comisión no cuenta con información concreta de parte del Estado de Nicaragua </w:t>
      </w:r>
      <w:r>
        <w:rPr>
          <w:rFonts w:ascii="Cambria" w:eastAsia="Calibri" w:hAnsi="Cambria" w:cs="Times New Roman"/>
          <w:sz w:val="21"/>
          <w:szCs w:val="21"/>
          <w:lang w:val="es-PE"/>
        </w:rPr>
        <w:t>que se refiriera a la situación de riesgo específica del propuesto beneficiario, o bien</w:t>
      </w:r>
      <w:r w:rsidR="00B87A9F">
        <w:rPr>
          <w:rFonts w:ascii="Cambria" w:eastAsia="Calibri" w:hAnsi="Cambria" w:cs="Times New Roman"/>
          <w:sz w:val="21"/>
          <w:szCs w:val="21"/>
          <w:lang w:val="es-PE"/>
        </w:rPr>
        <w:t>,</w:t>
      </w:r>
      <w:r>
        <w:rPr>
          <w:rFonts w:ascii="Cambria" w:eastAsia="Calibri" w:hAnsi="Cambria" w:cs="Times New Roman"/>
          <w:sz w:val="21"/>
          <w:szCs w:val="21"/>
          <w:lang w:val="es-PE"/>
        </w:rPr>
        <w:t xml:space="preserve"> de las medidas concretas que supuestamente habrían sido adoptadas para protegerle.</w:t>
      </w:r>
      <w:r w:rsidRPr="00987815">
        <w:rPr>
          <w:rFonts w:ascii="Cambria" w:eastAsia="Calibri" w:hAnsi="Cambria" w:cs="Times New Roman"/>
          <w:sz w:val="21"/>
          <w:szCs w:val="21"/>
          <w:lang w:val="es-PE"/>
        </w:rPr>
        <w:t xml:space="preserve"> </w:t>
      </w:r>
    </w:p>
    <w:p w:rsidR="00987815" w:rsidRDefault="00987815" w:rsidP="00E2162A">
      <w:pPr>
        <w:spacing w:after="0" w:line="240" w:lineRule="auto"/>
        <w:ind w:left="360"/>
        <w:contextualSpacing/>
        <w:jc w:val="both"/>
        <w:rPr>
          <w:rFonts w:ascii="Cambria" w:hAnsi="Cambria"/>
          <w:sz w:val="21"/>
          <w:szCs w:val="21"/>
          <w:lang w:val="es-ES_tradnl"/>
        </w:rPr>
      </w:pPr>
    </w:p>
    <w:p w:rsidR="00B00DE5" w:rsidRPr="00987815" w:rsidRDefault="00987815" w:rsidP="00E2162A">
      <w:pPr>
        <w:pStyle w:val="ListParagraph"/>
        <w:numPr>
          <w:ilvl w:val="0"/>
          <w:numId w:val="4"/>
        </w:numPr>
        <w:spacing w:after="0" w:line="240" w:lineRule="auto"/>
        <w:ind w:left="0" w:firstLine="360"/>
        <w:jc w:val="both"/>
        <w:rPr>
          <w:rFonts w:ascii="Cambria" w:hAnsi="Cambria"/>
          <w:sz w:val="21"/>
          <w:szCs w:val="21"/>
          <w:lang w:val="es-ES_tradnl"/>
        </w:rPr>
      </w:pPr>
      <w:r>
        <w:rPr>
          <w:rFonts w:ascii="Cambria" w:hAnsi="Cambria"/>
          <w:sz w:val="21"/>
          <w:szCs w:val="21"/>
          <w:lang w:val="es-ES_tradnl"/>
        </w:rPr>
        <w:t xml:space="preserve">La Comisión observa que una vez encontrándose privado de la libertad, de acuerdo a las alegaciones del solicitante, </w:t>
      </w:r>
      <w:r w:rsidR="00976F76" w:rsidRPr="00976F76">
        <w:rPr>
          <w:rFonts w:ascii="Cambria" w:hAnsi="Cambria"/>
          <w:sz w:val="21"/>
          <w:szCs w:val="21"/>
          <w:lang w:val="es-ES_tradnl"/>
        </w:rPr>
        <w:t>el propuesto beneficiario habría recibido golpes en la cabeza, espalda y el estómago.</w:t>
      </w:r>
      <w:r w:rsidR="00976F76">
        <w:rPr>
          <w:rFonts w:ascii="Cambria" w:hAnsi="Cambria"/>
          <w:sz w:val="21"/>
          <w:szCs w:val="21"/>
          <w:lang w:val="es-ES_tradnl"/>
        </w:rPr>
        <w:t xml:space="preserve"> </w:t>
      </w:r>
      <w:r w:rsidR="00B91F1F">
        <w:rPr>
          <w:rFonts w:ascii="Cambria" w:hAnsi="Cambria"/>
          <w:sz w:val="21"/>
          <w:szCs w:val="21"/>
          <w:lang w:val="es-ES_tradnl"/>
        </w:rPr>
        <w:t>E</w:t>
      </w:r>
      <w:r w:rsidR="00A769FE">
        <w:rPr>
          <w:rFonts w:ascii="Cambria" w:hAnsi="Cambria"/>
          <w:sz w:val="21"/>
          <w:szCs w:val="21"/>
          <w:lang w:val="es-ES_tradnl"/>
        </w:rPr>
        <w:t xml:space="preserve">l defensor legal indicó que </w:t>
      </w:r>
      <w:r>
        <w:rPr>
          <w:rFonts w:ascii="Cambria" w:hAnsi="Cambria"/>
          <w:sz w:val="21"/>
          <w:szCs w:val="21"/>
          <w:lang w:val="es-ES_tradnl"/>
        </w:rPr>
        <w:t xml:space="preserve">en sus encuentros con el propuesto beneficiario, </w:t>
      </w:r>
      <w:r w:rsidR="00A769FE" w:rsidRPr="00A769FE">
        <w:rPr>
          <w:rFonts w:ascii="Cambria" w:hAnsi="Cambria"/>
          <w:sz w:val="21"/>
          <w:szCs w:val="21"/>
          <w:lang w:val="es-ES_tradnl"/>
        </w:rPr>
        <w:t xml:space="preserve">habría llorado </w:t>
      </w:r>
      <w:r w:rsidR="00A769FE" w:rsidRPr="00A769FE">
        <w:rPr>
          <w:rFonts w:ascii="Cambria" w:hAnsi="Cambria"/>
          <w:sz w:val="21"/>
          <w:szCs w:val="21"/>
          <w:lang w:val="es-ES_tradnl"/>
        </w:rPr>
        <w:lastRenderedPageBreak/>
        <w:t>en por lo menos 6 ocasiones</w:t>
      </w:r>
      <w:r w:rsidR="00A769FE">
        <w:rPr>
          <w:rFonts w:ascii="Cambria" w:hAnsi="Cambria"/>
          <w:sz w:val="21"/>
          <w:szCs w:val="21"/>
          <w:lang w:val="es-ES_tradnl"/>
        </w:rPr>
        <w:t>, lo que revelaría que no estaría en mejores condiciones</w:t>
      </w:r>
      <w:r w:rsidR="00B00DE5">
        <w:rPr>
          <w:rFonts w:ascii="Cambria" w:hAnsi="Cambria"/>
          <w:sz w:val="21"/>
          <w:szCs w:val="21"/>
          <w:lang w:val="es-ES_tradnl"/>
        </w:rPr>
        <w:t xml:space="preserve">. Según lo informado, y ante </w:t>
      </w:r>
      <w:r w:rsidR="00A769FE">
        <w:rPr>
          <w:rFonts w:ascii="Cambria" w:hAnsi="Cambria"/>
          <w:sz w:val="21"/>
          <w:szCs w:val="21"/>
          <w:lang w:val="es-ES_tradnl"/>
        </w:rPr>
        <w:t xml:space="preserve">el posible impacto en su salud mental, el defensor legal habría solicitado una serie de análisis médicos (vid. </w:t>
      </w:r>
      <w:r w:rsidR="00A769FE" w:rsidRPr="00A769FE">
        <w:rPr>
          <w:rFonts w:ascii="Cambria" w:hAnsi="Cambria"/>
          <w:i/>
          <w:sz w:val="21"/>
          <w:szCs w:val="21"/>
          <w:lang w:val="es-ES_tradnl"/>
        </w:rPr>
        <w:t>supra</w:t>
      </w:r>
      <w:r w:rsidR="00A769FE">
        <w:rPr>
          <w:rFonts w:ascii="Cambria" w:hAnsi="Cambria"/>
          <w:sz w:val="21"/>
          <w:szCs w:val="21"/>
          <w:lang w:val="es-ES_tradnl"/>
        </w:rPr>
        <w:t xml:space="preserve"> párr. </w:t>
      </w:r>
      <w:r w:rsidR="00E2162A">
        <w:rPr>
          <w:rFonts w:ascii="Cambria" w:hAnsi="Cambria"/>
          <w:sz w:val="21"/>
          <w:szCs w:val="21"/>
          <w:lang w:val="es-ES_tradnl"/>
        </w:rPr>
        <w:t>2</w:t>
      </w:r>
      <w:r w:rsidR="00CE06CE">
        <w:rPr>
          <w:rFonts w:ascii="Cambria" w:hAnsi="Cambria"/>
          <w:sz w:val="21"/>
          <w:szCs w:val="21"/>
          <w:lang w:val="es-ES_tradnl"/>
        </w:rPr>
        <w:t>0</w:t>
      </w:r>
      <w:r w:rsidR="00A769FE">
        <w:rPr>
          <w:rFonts w:ascii="Cambria" w:hAnsi="Cambria"/>
          <w:sz w:val="21"/>
          <w:szCs w:val="21"/>
          <w:lang w:val="es-ES_tradnl"/>
        </w:rPr>
        <w:t xml:space="preserve">). </w:t>
      </w:r>
      <w:r w:rsidR="00B00DE5">
        <w:rPr>
          <w:rFonts w:ascii="Cambria" w:hAnsi="Cambria"/>
          <w:sz w:val="21"/>
          <w:szCs w:val="21"/>
          <w:lang w:val="es-ES_tradnl"/>
        </w:rPr>
        <w:t>L</w:t>
      </w:r>
      <w:r w:rsidR="00B00DE5" w:rsidRPr="00B00DE5">
        <w:rPr>
          <w:rFonts w:ascii="Cambria" w:hAnsi="Cambria"/>
          <w:sz w:val="21"/>
          <w:szCs w:val="21"/>
          <w:lang w:val="es-ES_tradnl"/>
        </w:rPr>
        <w:t xml:space="preserve">a Comisión considera que las </w:t>
      </w:r>
      <w:r w:rsidR="00B00DE5">
        <w:rPr>
          <w:rFonts w:ascii="Cambria" w:hAnsi="Cambria"/>
          <w:sz w:val="21"/>
          <w:szCs w:val="21"/>
          <w:lang w:val="es-ES_tradnl"/>
        </w:rPr>
        <w:t xml:space="preserve">anteriores </w:t>
      </w:r>
      <w:r w:rsidR="00B00DE5" w:rsidRPr="00B00DE5">
        <w:rPr>
          <w:rFonts w:ascii="Cambria" w:hAnsi="Cambria"/>
          <w:sz w:val="21"/>
          <w:szCs w:val="21"/>
          <w:lang w:val="es-ES_tradnl"/>
        </w:rPr>
        <w:t xml:space="preserve">alegaciones de posible participación estatal </w:t>
      </w:r>
      <w:r w:rsidR="00B00DE5">
        <w:rPr>
          <w:rFonts w:ascii="Cambria" w:hAnsi="Cambria"/>
          <w:sz w:val="21"/>
          <w:szCs w:val="21"/>
          <w:lang w:val="es-ES_tradnl"/>
        </w:rPr>
        <w:t xml:space="preserve">en el contexto de privación de la libertad, </w:t>
      </w:r>
      <w:r w:rsidR="00B00DE5" w:rsidRPr="00B00DE5">
        <w:rPr>
          <w:rFonts w:ascii="Cambria" w:hAnsi="Cambria"/>
          <w:sz w:val="21"/>
          <w:szCs w:val="21"/>
          <w:lang w:val="es-ES_tradnl"/>
        </w:rPr>
        <w:t>revisten especial seriedad al momento de valorar la situación de riesgo del propuesto beneficiario</w:t>
      </w:r>
      <w:r w:rsidR="00B00DE5" w:rsidRPr="00B00DE5">
        <w:rPr>
          <w:rFonts w:ascii="Cambria" w:eastAsia="Calibri" w:hAnsi="Cambria" w:cs="Times New Roman"/>
          <w:sz w:val="21"/>
          <w:szCs w:val="21"/>
          <w:lang w:val="es-PE"/>
        </w:rPr>
        <w:t xml:space="preserve">. </w:t>
      </w:r>
    </w:p>
    <w:p w:rsidR="00987815" w:rsidRDefault="00987815" w:rsidP="00E2162A">
      <w:pPr>
        <w:spacing w:after="0" w:line="240" w:lineRule="auto"/>
        <w:ind w:left="360"/>
        <w:contextualSpacing/>
        <w:jc w:val="both"/>
        <w:rPr>
          <w:rFonts w:ascii="Cambria" w:hAnsi="Cambria"/>
          <w:sz w:val="21"/>
          <w:szCs w:val="21"/>
          <w:lang w:val="es-ES_tradnl"/>
        </w:rPr>
      </w:pPr>
    </w:p>
    <w:p w:rsidR="00987815" w:rsidRPr="00B91F1F" w:rsidRDefault="00987815" w:rsidP="00E2162A">
      <w:pPr>
        <w:numPr>
          <w:ilvl w:val="0"/>
          <w:numId w:val="4"/>
        </w:numPr>
        <w:spacing w:after="0" w:line="240" w:lineRule="auto"/>
        <w:ind w:left="0" w:firstLine="360"/>
        <w:contextualSpacing/>
        <w:jc w:val="both"/>
        <w:rPr>
          <w:rFonts w:ascii="Cambria" w:hAnsi="Cambria"/>
          <w:sz w:val="21"/>
          <w:szCs w:val="21"/>
          <w:lang w:val="es-ES_tradnl"/>
        </w:rPr>
      </w:pPr>
      <w:r>
        <w:rPr>
          <w:rFonts w:ascii="Cambria" w:hAnsi="Cambria"/>
          <w:sz w:val="21"/>
          <w:szCs w:val="21"/>
          <w:lang w:val="es-ES_tradnl"/>
        </w:rPr>
        <w:t xml:space="preserve">En relación con lo anterior, la Comisión </w:t>
      </w:r>
      <w:r w:rsidRPr="00D936C1">
        <w:rPr>
          <w:rFonts w:ascii="Cambria" w:hAnsi="Cambria"/>
          <w:sz w:val="21"/>
          <w:szCs w:val="21"/>
          <w:lang w:val="es-ES_tradnl"/>
        </w:rPr>
        <w:t xml:space="preserve">considera pertinente recordar que al momento de valorar la información disponible, toma en cuenta que </w:t>
      </w:r>
      <w:r w:rsidRPr="00D936C1">
        <w:rPr>
          <w:rFonts w:ascii="Cambria" w:hAnsi="Cambria"/>
          <w:sz w:val="21"/>
          <w:szCs w:val="21"/>
          <w:lang w:val="es-ES"/>
        </w:rPr>
        <w:t>los Estados en relación con las personas privadas de la libertad, se</w:t>
      </w:r>
      <w:r>
        <w:rPr>
          <w:rFonts w:ascii="Cambria" w:hAnsi="Cambria"/>
          <w:sz w:val="21"/>
          <w:szCs w:val="21"/>
          <w:lang w:val="es-ES"/>
        </w:rPr>
        <w:t>:</w:t>
      </w:r>
      <w:r w:rsidRPr="00D936C1">
        <w:rPr>
          <w:rFonts w:ascii="Cambria" w:hAnsi="Cambria"/>
          <w:sz w:val="21"/>
          <w:szCs w:val="21"/>
          <w:lang w:val="es-ES"/>
        </w:rPr>
        <w:t xml:space="preserve"> </w:t>
      </w:r>
    </w:p>
    <w:p w:rsidR="00987815" w:rsidRPr="00B91F1F" w:rsidRDefault="00987815" w:rsidP="00E2162A">
      <w:pPr>
        <w:spacing w:after="0" w:line="240" w:lineRule="auto"/>
        <w:ind w:left="360"/>
        <w:contextualSpacing/>
        <w:jc w:val="both"/>
        <w:rPr>
          <w:rFonts w:ascii="Cambria" w:hAnsi="Cambria"/>
          <w:sz w:val="21"/>
          <w:szCs w:val="21"/>
          <w:lang w:val="es-ES_tradnl"/>
        </w:rPr>
      </w:pPr>
    </w:p>
    <w:p w:rsidR="00987815" w:rsidRPr="00B91F1F" w:rsidRDefault="00987815" w:rsidP="00E2162A">
      <w:pPr>
        <w:spacing w:after="0" w:line="240" w:lineRule="auto"/>
        <w:ind w:left="630" w:right="630"/>
        <w:contextualSpacing/>
        <w:jc w:val="both"/>
        <w:rPr>
          <w:rFonts w:ascii="Cambria" w:hAnsi="Cambria"/>
          <w:sz w:val="20"/>
          <w:szCs w:val="20"/>
          <w:lang w:val="es-ES_tradnl"/>
        </w:rPr>
      </w:pPr>
      <w:r w:rsidRPr="00B91F1F">
        <w:rPr>
          <w:rFonts w:ascii="Cambria" w:hAnsi="Cambria"/>
          <w:sz w:val="20"/>
          <w:szCs w:val="20"/>
          <w:lang w:val="es-ES"/>
        </w:rPr>
        <w:t>“[…] encuentran en una posición especial de garante, toda vez que las autoridades penitenciarias ejercen un fuerte control o dominio sobre las personas que se encuentran sujetas a su custodia. Lo anterior, como resultado de la especial relación e interacción especial de sujeción entre la persona privada de libertad y el Estado, caracterizada por la particular intensidad con que el Estado puede regular sus derechos y obligaciones […] por las propias circunstancias del encierro, en donde el recluso se le impide satisfacer por cuenta propia una serie de necesidades básicas esenciales para el desarrollo de su vida digna”</w:t>
      </w:r>
      <w:r w:rsidRPr="00B91F1F">
        <w:rPr>
          <w:rFonts w:ascii="Cambria" w:hAnsi="Cambria"/>
          <w:sz w:val="20"/>
          <w:szCs w:val="20"/>
          <w:vertAlign w:val="superscript"/>
          <w:lang w:val="es-ES"/>
        </w:rPr>
        <w:footnoteReference w:id="19"/>
      </w:r>
      <w:r w:rsidRPr="00B91F1F">
        <w:rPr>
          <w:rFonts w:ascii="Cambria" w:hAnsi="Cambria"/>
          <w:sz w:val="20"/>
          <w:szCs w:val="20"/>
          <w:lang w:val="es-ES"/>
        </w:rPr>
        <w:t>.</w:t>
      </w:r>
    </w:p>
    <w:p w:rsidR="00987815" w:rsidRDefault="00987815" w:rsidP="00E2162A">
      <w:pPr>
        <w:pStyle w:val="ListParagraph"/>
        <w:spacing w:line="240" w:lineRule="auto"/>
        <w:rPr>
          <w:rFonts w:ascii="Cambria" w:hAnsi="Cambria"/>
          <w:sz w:val="21"/>
          <w:szCs w:val="21"/>
          <w:lang w:val="es-ES_tradnl"/>
        </w:rPr>
      </w:pPr>
    </w:p>
    <w:p w:rsidR="00DC298F" w:rsidRPr="00B87A9F" w:rsidRDefault="00987815" w:rsidP="00E2162A">
      <w:pPr>
        <w:pStyle w:val="ListParagraph"/>
        <w:numPr>
          <w:ilvl w:val="0"/>
          <w:numId w:val="4"/>
        </w:numPr>
        <w:spacing w:after="0" w:line="240" w:lineRule="auto"/>
        <w:ind w:left="0" w:firstLine="360"/>
        <w:jc w:val="both"/>
        <w:rPr>
          <w:rFonts w:ascii="Cambria" w:hAnsi="Cambria"/>
          <w:sz w:val="21"/>
          <w:szCs w:val="21"/>
          <w:lang w:val="es-ES_tradnl"/>
        </w:rPr>
      </w:pPr>
      <w:r>
        <w:rPr>
          <w:rFonts w:ascii="Cambria" w:eastAsia="Calibri" w:hAnsi="Cambria" w:cs="Times New Roman"/>
          <w:sz w:val="21"/>
          <w:szCs w:val="21"/>
          <w:lang w:val="es-PE"/>
        </w:rPr>
        <w:t xml:space="preserve">En estas circunstancias, </w:t>
      </w:r>
      <w:r w:rsidR="00DC298F" w:rsidRPr="00916E53">
        <w:rPr>
          <w:rFonts w:ascii="Cambria" w:eastAsia="Calibri" w:hAnsi="Cambria" w:cs="Times New Roman"/>
          <w:sz w:val="21"/>
          <w:szCs w:val="21"/>
          <w:lang w:val="es-PE"/>
        </w:rPr>
        <w:t xml:space="preserve">la </w:t>
      </w:r>
      <w:r w:rsidR="00E1565B" w:rsidRPr="00916E53">
        <w:rPr>
          <w:rFonts w:ascii="Cambria" w:eastAsia="Calibri" w:hAnsi="Cambria" w:cs="Times New Roman"/>
          <w:sz w:val="21"/>
          <w:szCs w:val="21"/>
          <w:lang w:val="es-PE"/>
        </w:rPr>
        <w:t>Comisión</w:t>
      </w:r>
      <w:r w:rsidR="00DC298F" w:rsidRPr="00916E53">
        <w:rPr>
          <w:rFonts w:ascii="Cambria" w:eastAsia="Calibri" w:hAnsi="Cambria" w:cs="Times New Roman"/>
          <w:sz w:val="21"/>
          <w:szCs w:val="21"/>
          <w:lang w:val="es-PE"/>
        </w:rPr>
        <w:t xml:space="preserve"> observa que la </w:t>
      </w:r>
      <w:r w:rsidR="00E1565B" w:rsidRPr="00916E53">
        <w:rPr>
          <w:rFonts w:ascii="Cambria" w:eastAsia="Calibri" w:hAnsi="Cambria" w:cs="Times New Roman"/>
          <w:sz w:val="21"/>
          <w:szCs w:val="21"/>
          <w:lang w:val="es-PE"/>
        </w:rPr>
        <w:t>información</w:t>
      </w:r>
      <w:r w:rsidR="00DC298F" w:rsidRPr="00916E53">
        <w:rPr>
          <w:rFonts w:ascii="Cambria" w:eastAsia="Calibri" w:hAnsi="Cambria" w:cs="Times New Roman"/>
          <w:sz w:val="21"/>
          <w:szCs w:val="21"/>
          <w:lang w:val="es-PE"/>
        </w:rPr>
        <w:t xml:space="preserve"> proporcionada por el Estado no permite </w:t>
      </w:r>
      <w:r w:rsidR="00E1565B" w:rsidRPr="00916E53">
        <w:rPr>
          <w:rFonts w:ascii="Cambria" w:eastAsia="Calibri" w:hAnsi="Cambria" w:cs="Times New Roman"/>
          <w:sz w:val="21"/>
          <w:szCs w:val="21"/>
          <w:lang w:val="es-PE"/>
        </w:rPr>
        <w:t>desvirtuar</w:t>
      </w:r>
      <w:r w:rsidR="00DC298F" w:rsidRPr="00916E53">
        <w:rPr>
          <w:rFonts w:ascii="Cambria" w:eastAsia="Calibri" w:hAnsi="Cambria" w:cs="Times New Roman"/>
          <w:sz w:val="21"/>
          <w:szCs w:val="21"/>
          <w:lang w:val="es-PE"/>
        </w:rPr>
        <w:t xml:space="preserve"> la alegada </w:t>
      </w:r>
      <w:r w:rsidR="00916E53" w:rsidRPr="00916E53">
        <w:rPr>
          <w:rFonts w:ascii="Cambria" w:eastAsia="Calibri" w:hAnsi="Cambria" w:cs="Times New Roman"/>
          <w:sz w:val="21"/>
          <w:szCs w:val="21"/>
          <w:lang w:val="es-PE"/>
        </w:rPr>
        <w:t>situación</w:t>
      </w:r>
      <w:r w:rsidR="00DC298F" w:rsidRPr="00916E53">
        <w:rPr>
          <w:rFonts w:ascii="Cambria" w:eastAsia="Calibri" w:hAnsi="Cambria" w:cs="Times New Roman"/>
          <w:sz w:val="21"/>
          <w:szCs w:val="21"/>
          <w:lang w:val="es-PE"/>
        </w:rPr>
        <w:t xml:space="preserve"> de riesgo </w:t>
      </w:r>
      <w:r>
        <w:rPr>
          <w:rFonts w:ascii="Cambria" w:eastAsia="Calibri" w:hAnsi="Cambria" w:cs="Times New Roman"/>
          <w:sz w:val="21"/>
          <w:szCs w:val="21"/>
          <w:lang w:val="es-PE"/>
        </w:rPr>
        <w:t xml:space="preserve">que eran enfrentada por el </w:t>
      </w:r>
      <w:r w:rsidR="00DC298F" w:rsidRPr="00916E53">
        <w:rPr>
          <w:rFonts w:ascii="Cambria" w:eastAsia="Calibri" w:hAnsi="Cambria" w:cs="Times New Roman"/>
          <w:sz w:val="21"/>
          <w:szCs w:val="21"/>
          <w:lang w:val="es-PE"/>
        </w:rPr>
        <w:t>propuesto beneficiario</w:t>
      </w:r>
      <w:r>
        <w:rPr>
          <w:rFonts w:ascii="Cambria" w:eastAsia="Calibri" w:hAnsi="Cambria" w:cs="Times New Roman"/>
          <w:sz w:val="21"/>
          <w:szCs w:val="21"/>
          <w:lang w:val="es-PE"/>
        </w:rPr>
        <w:t xml:space="preserve"> desde antes de que fuera privado de su libert</w:t>
      </w:r>
      <w:r w:rsidR="00B87A9F">
        <w:rPr>
          <w:rFonts w:ascii="Cambria" w:eastAsia="Calibri" w:hAnsi="Cambria" w:cs="Times New Roman"/>
          <w:sz w:val="21"/>
          <w:szCs w:val="21"/>
          <w:lang w:val="es-PE"/>
        </w:rPr>
        <w:t xml:space="preserve">ad y que presuntamente se incrementó en vista de las agresiones sufridas en el contexto de su detención.  </w:t>
      </w:r>
      <w:r w:rsidR="00DC298F" w:rsidRPr="00B87A9F">
        <w:rPr>
          <w:rFonts w:ascii="Cambria" w:eastAsia="Calibri" w:hAnsi="Cambria" w:cs="Times New Roman"/>
          <w:sz w:val="21"/>
          <w:szCs w:val="21"/>
          <w:lang w:val="es-PE"/>
        </w:rPr>
        <w:t xml:space="preserve">En virtud de la anterior, </w:t>
      </w:r>
      <w:r w:rsidR="00B87A9F">
        <w:rPr>
          <w:rFonts w:ascii="Cambria" w:eastAsia="Calibri" w:hAnsi="Cambria" w:cs="Times New Roman"/>
          <w:sz w:val="21"/>
          <w:szCs w:val="21"/>
          <w:lang w:val="es-PE"/>
        </w:rPr>
        <w:t xml:space="preserve">y desde el estándar </w:t>
      </w:r>
      <w:r w:rsidR="00B87A9F">
        <w:rPr>
          <w:rFonts w:ascii="Cambria" w:eastAsia="Calibri" w:hAnsi="Cambria" w:cs="Times New Roman"/>
          <w:i/>
          <w:sz w:val="21"/>
          <w:szCs w:val="21"/>
          <w:lang w:val="es-PE"/>
        </w:rPr>
        <w:t xml:space="preserve">prima facie </w:t>
      </w:r>
      <w:r w:rsidR="00B87A9F">
        <w:rPr>
          <w:rFonts w:ascii="Cambria" w:eastAsia="Calibri" w:hAnsi="Cambria" w:cs="Times New Roman"/>
          <w:sz w:val="21"/>
          <w:szCs w:val="21"/>
          <w:lang w:val="es-PE"/>
        </w:rPr>
        <w:t xml:space="preserve">aplicable al mecanismo de medidas cautelares, </w:t>
      </w:r>
      <w:r w:rsidR="00DC298F" w:rsidRPr="00B87A9F">
        <w:rPr>
          <w:rFonts w:ascii="Cambria" w:eastAsia="Calibri" w:hAnsi="Cambria" w:cs="Times New Roman"/>
          <w:sz w:val="21"/>
          <w:szCs w:val="21"/>
          <w:lang w:val="es-PE"/>
        </w:rPr>
        <w:t xml:space="preserve">la </w:t>
      </w:r>
      <w:r w:rsidR="00916E53" w:rsidRPr="00B87A9F">
        <w:rPr>
          <w:rFonts w:ascii="Cambria" w:eastAsia="Calibri" w:hAnsi="Cambria" w:cs="Times New Roman"/>
          <w:sz w:val="21"/>
          <w:szCs w:val="21"/>
          <w:lang w:val="es-PE"/>
        </w:rPr>
        <w:t>Comisión</w:t>
      </w:r>
      <w:r w:rsidR="00DC298F" w:rsidRPr="00B87A9F">
        <w:rPr>
          <w:rFonts w:ascii="Cambria" w:eastAsia="Calibri" w:hAnsi="Cambria" w:cs="Times New Roman"/>
          <w:sz w:val="21"/>
          <w:szCs w:val="21"/>
          <w:lang w:val="es-PE"/>
        </w:rPr>
        <w:t xml:space="preserve"> considera los derechos a la vida e integridad personal de </w:t>
      </w:r>
      <w:r w:rsidR="00916E53" w:rsidRPr="00B87A9F">
        <w:rPr>
          <w:rFonts w:ascii="Cambria" w:eastAsia="Calibri" w:hAnsi="Cambria" w:cs="Times New Roman"/>
          <w:sz w:val="21"/>
          <w:szCs w:val="21"/>
          <w:lang w:val="es-PE"/>
        </w:rPr>
        <w:t xml:space="preserve">Edwin </w:t>
      </w:r>
      <w:proofErr w:type="spellStart"/>
      <w:r w:rsidR="00916E53" w:rsidRPr="00B87A9F">
        <w:rPr>
          <w:rFonts w:ascii="Cambria" w:eastAsia="Calibri" w:hAnsi="Cambria" w:cs="Times New Roman"/>
          <w:sz w:val="21"/>
          <w:szCs w:val="21"/>
          <w:lang w:val="es-PE"/>
        </w:rPr>
        <w:t>Carcache</w:t>
      </w:r>
      <w:proofErr w:type="spellEnd"/>
      <w:r w:rsidR="00916E53" w:rsidRPr="00B87A9F">
        <w:rPr>
          <w:rFonts w:ascii="Cambria" w:eastAsia="Calibri" w:hAnsi="Cambria" w:cs="Times New Roman"/>
          <w:sz w:val="21"/>
          <w:szCs w:val="21"/>
          <w:lang w:val="es-PE"/>
        </w:rPr>
        <w:t xml:space="preserve"> </w:t>
      </w:r>
      <w:r w:rsidR="00DC298F" w:rsidRPr="00B87A9F">
        <w:rPr>
          <w:rFonts w:ascii="Cambria" w:eastAsia="Calibri" w:hAnsi="Cambria" w:cs="Times New Roman"/>
          <w:sz w:val="21"/>
          <w:szCs w:val="21"/>
          <w:lang w:val="es-PE"/>
        </w:rPr>
        <w:t xml:space="preserve">se encuentran en una </w:t>
      </w:r>
      <w:r w:rsidR="00916E53" w:rsidRPr="00B87A9F">
        <w:rPr>
          <w:rFonts w:ascii="Cambria" w:eastAsia="Calibri" w:hAnsi="Cambria" w:cs="Times New Roman"/>
          <w:sz w:val="21"/>
          <w:szCs w:val="21"/>
          <w:lang w:val="es-PE"/>
        </w:rPr>
        <w:t>situación</w:t>
      </w:r>
      <w:r w:rsidR="00DC298F" w:rsidRPr="00B87A9F">
        <w:rPr>
          <w:rFonts w:ascii="Cambria" w:eastAsia="Calibri" w:hAnsi="Cambria" w:cs="Times New Roman"/>
          <w:sz w:val="21"/>
          <w:szCs w:val="21"/>
          <w:lang w:val="es-PE"/>
        </w:rPr>
        <w:t xml:space="preserve"> de grave riesgo. </w:t>
      </w:r>
    </w:p>
    <w:p w:rsidR="00782CF4" w:rsidRDefault="00782CF4" w:rsidP="00E2162A">
      <w:pPr>
        <w:widowControl w:val="0"/>
        <w:spacing w:after="0" w:line="240" w:lineRule="auto"/>
        <w:ind w:left="360"/>
        <w:jc w:val="both"/>
        <w:rPr>
          <w:rFonts w:ascii="Cambria" w:eastAsia="Calibri" w:hAnsi="Cambria" w:cs="Times New Roman"/>
          <w:sz w:val="21"/>
          <w:szCs w:val="21"/>
          <w:lang w:val="es-PE"/>
        </w:rPr>
      </w:pPr>
    </w:p>
    <w:p w:rsidR="00D936C1" w:rsidRPr="00060488" w:rsidRDefault="00D936C1" w:rsidP="00E2162A">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En lo que se refiere al requisito de urgencia, la Comisión considera que igualmente se encuentra cumplido, 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w:t>
      </w:r>
    </w:p>
    <w:p w:rsidR="00D936C1" w:rsidRPr="00060488" w:rsidRDefault="00D936C1" w:rsidP="00E2162A">
      <w:pPr>
        <w:widowControl w:val="0"/>
        <w:spacing w:after="0" w:line="240" w:lineRule="auto"/>
        <w:ind w:firstLine="360"/>
        <w:jc w:val="both"/>
        <w:rPr>
          <w:rFonts w:ascii="Cambria" w:eastAsia="Calibri" w:hAnsi="Cambria" w:cs="Times New Roman"/>
          <w:sz w:val="21"/>
          <w:szCs w:val="21"/>
          <w:lang w:val="es-PE"/>
        </w:rPr>
      </w:pPr>
    </w:p>
    <w:p w:rsidR="00D936C1" w:rsidRPr="00060488" w:rsidRDefault="00D936C1" w:rsidP="00E2162A">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En lo que se refiere al requisito de </w:t>
      </w:r>
      <w:proofErr w:type="spellStart"/>
      <w:r w:rsidRPr="00060488">
        <w:rPr>
          <w:rFonts w:ascii="Cambria" w:eastAsia="Calibri" w:hAnsi="Cambria" w:cs="Times New Roman"/>
          <w:sz w:val="21"/>
          <w:szCs w:val="21"/>
          <w:lang w:val="es-PE"/>
        </w:rPr>
        <w:t>irreparabilidad</w:t>
      </w:r>
      <w:proofErr w:type="spellEnd"/>
      <w:r w:rsidRPr="00060488">
        <w:rPr>
          <w:rFonts w:ascii="Cambria" w:eastAsia="Calibri" w:hAnsi="Cambria" w:cs="Times New Roman"/>
          <w:sz w:val="21"/>
          <w:szCs w:val="21"/>
          <w:lang w:val="es-PE"/>
        </w:rPr>
        <w:t xml:space="preserve">, la Comisión considera que se encuentra cumplido, ya que la posible afectación a los derechos a la vida e integridad personal constituyen la máxima situación de </w:t>
      </w:r>
      <w:proofErr w:type="spellStart"/>
      <w:r w:rsidRPr="00060488">
        <w:rPr>
          <w:rFonts w:ascii="Cambria" w:eastAsia="Calibri" w:hAnsi="Cambria" w:cs="Times New Roman"/>
          <w:sz w:val="21"/>
          <w:szCs w:val="21"/>
          <w:lang w:val="es-PE"/>
        </w:rPr>
        <w:t>irreparabilidad</w:t>
      </w:r>
      <w:proofErr w:type="spellEnd"/>
      <w:r w:rsidRPr="00060488">
        <w:rPr>
          <w:rFonts w:ascii="Cambria" w:eastAsia="Calibri" w:hAnsi="Cambria" w:cs="Times New Roman"/>
          <w:sz w:val="21"/>
          <w:szCs w:val="21"/>
          <w:lang w:val="es-PE"/>
        </w:rPr>
        <w:t xml:space="preserve">. </w:t>
      </w:r>
    </w:p>
    <w:p w:rsidR="00881272" w:rsidRPr="00060488" w:rsidRDefault="00881272" w:rsidP="00E2162A">
      <w:pPr>
        <w:widowControl w:val="0"/>
        <w:spacing w:after="0" w:line="240" w:lineRule="auto"/>
        <w:ind w:left="360"/>
        <w:jc w:val="both"/>
        <w:rPr>
          <w:rFonts w:ascii="Cambria" w:eastAsia="Calibri" w:hAnsi="Cambria" w:cs="Times New Roman"/>
          <w:sz w:val="21"/>
          <w:szCs w:val="21"/>
          <w:lang w:val="es-PE"/>
        </w:rPr>
      </w:pPr>
    </w:p>
    <w:p w:rsidR="00F30F7A" w:rsidRPr="00060488" w:rsidRDefault="00600DA8" w:rsidP="00E2162A">
      <w:pPr>
        <w:widowControl w:val="0"/>
        <w:numPr>
          <w:ilvl w:val="0"/>
          <w:numId w:val="6"/>
        </w:numPr>
        <w:spacing w:after="0" w:line="240" w:lineRule="auto"/>
        <w:jc w:val="both"/>
        <w:rPr>
          <w:rFonts w:ascii="Cambria" w:eastAsia="Calibri" w:hAnsi="Cambria" w:cs="Times New Roman"/>
          <w:b/>
          <w:bCs/>
          <w:sz w:val="21"/>
          <w:szCs w:val="21"/>
          <w:lang w:val="es-PE"/>
        </w:rPr>
      </w:pPr>
      <w:r w:rsidRPr="00060488">
        <w:rPr>
          <w:rFonts w:ascii="Cambria" w:eastAsia="Calibri" w:hAnsi="Cambria" w:cs="Times New Roman"/>
          <w:b/>
          <w:bCs/>
          <w:sz w:val="21"/>
          <w:szCs w:val="21"/>
          <w:lang w:val="es-PE"/>
        </w:rPr>
        <w:t>BENEFICIARI</w:t>
      </w:r>
      <w:r w:rsidR="00F93418">
        <w:rPr>
          <w:rFonts w:ascii="Cambria" w:eastAsia="Calibri" w:hAnsi="Cambria" w:cs="Times New Roman"/>
          <w:b/>
          <w:bCs/>
          <w:sz w:val="21"/>
          <w:szCs w:val="21"/>
          <w:lang w:val="es-PE"/>
        </w:rPr>
        <w:t>O</w:t>
      </w:r>
    </w:p>
    <w:p w:rsidR="00F30F7A" w:rsidRPr="00060488" w:rsidRDefault="00F30F7A" w:rsidP="00E2162A">
      <w:pPr>
        <w:widowControl w:val="0"/>
        <w:spacing w:after="0" w:line="240" w:lineRule="auto"/>
        <w:ind w:left="360"/>
        <w:jc w:val="both"/>
        <w:rPr>
          <w:rFonts w:ascii="Cambria" w:eastAsia="Calibri" w:hAnsi="Cambria" w:cs="Times New Roman"/>
          <w:sz w:val="21"/>
          <w:szCs w:val="21"/>
          <w:lang w:val="es-PE"/>
        </w:rPr>
      </w:pPr>
    </w:p>
    <w:p w:rsidR="00B24306" w:rsidRPr="00B24306" w:rsidRDefault="00F30F7A" w:rsidP="00E2162A">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La Comis</w:t>
      </w:r>
      <w:r w:rsidR="00915736">
        <w:rPr>
          <w:rFonts w:ascii="Cambria" w:eastAsia="Calibri" w:hAnsi="Cambria" w:cs="Times New Roman"/>
          <w:sz w:val="21"/>
          <w:szCs w:val="21"/>
          <w:lang w:val="es-PE"/>
        </w:rPr>
        <w:t xml:space="preserve">ión declara que </w:t>
      </w:r>
      <w:r w:rsidR="00576AA4">
        <w:rPr>
          <w:rFonts w:ascii="Cambria" w:eastAsia="Calibri" w:hAnsi="Cambria" w:cs="Times New Roman"/>
          <w:sz w:val="21"/>
          <w:szCs w:val="21"/>
          <w:lang w:val="es-PE"/>
        </w:rPr>
        <w:t xml:space="preserve">el beneficiario es </w:t>
      </w:r>
      <w:r w:rsidR="00576AA4" w:rsidRPr="00576AA4">
        <w:rPr>
          <w:rFonts w:ascii="Cambria" w:eastAsia="Calibri" w:hAnsi="Cambria" w:cs="Times New Roman"/>
          <w:sz w:val="21"/>
          <w:szCs w:val="21"/>
          <w:lang w:val="es-PE"/>
        </w:rPr>
        <w:t xml:space="preserve">Edwin José </w:t>
      </w:r>
      <w:proofErr w:type="spellStart"/>
      <w:r w:rsidR="00576AA4" w:rsidRPr="00576AA4">
        <w:rPr>
          <w:rFonts w:ascii="Cambria" w:eastAsia="Calibri" w:hAnsi="Cambria" w:cs="Times New Roman"/>
          <w:sz w:val="21"/>
          <w:szCs w:val="21"/>
          <w:lang w:val="es-PE"/>
        </w:rPr>
        <w:t>Carcache</w:t>
      </w:r>
      <w:proofErr w:type="spellEnd"/>
      <w:r w:rsidR="00576AA4" w:rsidRPr="00576AA4">
        <w:rPr>
          <w:rFonts w:ascii="Cambria" w:eastAsia="Calibri" w:hAnsi="Cambria" w:cs="Times New Roman"/>
          <w:sz w:val="21"/>
          <w:szCs w:val="21"/>
          <w:lang w:val="es-PE"/>
        </w:rPr>
        <w:t xml:space="preserve"> Dávila</w:t>
      </w:r>
      <w:r w:rsidR="00576AA4">
        <w:rPr>
          <w:rFonts w:ascii="Cambria" w:eastAsia="Calibri" w:hAnsi="Cambria" w:cs="Times New Roman"/>
          <w:sz w:val="21"/>
          <w:szCs w:val="21"/>
          <w:lang w:val="es-PE"/>
        </w:rPr>
        <w:t>, quien se encuentra debidamente identificad</w:t>
      </w:r>
      <w:r w:rsidR="00782CF4">
        <w:rPr>
          <w:rFonts w:ascii="Cambria" w:eastAsia="Calibri" w:hAnsi="Cambria" w:cs="Times New Roman"/>
          <w:sz w:val="21"/>
          <w:szCs w:val="21"/>
          <w:lang w:val="es-PE"/>
        </w:rPr>
        <w:t>o en el presente procedimiento, así como su núcleo familiar que resulta susceptible de identificación en los términos del artículo 25.6.b).</w:t>
      </w:r>
    </w:p>
    <w:p w:rsidR="00F30F7A" w:rsidRPr="00060488" w:rsidRDefault="00F30F7A" w:rsidP="00E2162A">
      <w:pPr>
        <w:widowControl w:val="0"/>
        <w:spacing w:after="0" w:line="240" w:lineRule="auto"/>
        <w:ind w:left="360"/>
        <w:jc w:val="both"/>
        <w:rPr>
          <w:rFonts w:ascii="Cambria" w:eastAsia="Calibri" w:hAnsi="Cambria" w:cs="Times New Roman"/>
          <w:sz w:val="21"/>
          <w:szCs w:val="21"/>
          <w:lang w:val="es-PE"/>
        </w:rPr>
      </w:pPr>
    </w:p>
    <w:p w:rsidR="00F30F7A" w:rsidRPr="00060488" w:rsidRDefault="00F30F7A" w:rsidP="00E2162A">
      <w:pPr>
        <w:widowControl w:val="0"/>
        <w:numPr>
          <w:ilvl w:val="0"/>
          <w:numId w:val="6"/>
        </w:numPr>
        <w:spacing w:after="0" w:line="240" w:lineRule="auto"/>
        <w:jc w:val="both"/>
        <w:rPr>
          <w:rFonts w:ascii="Cambria" w:eastAsia="Calibri" w:hAnsi="Cambria" w:cs="Times New Roman"/>
          <w:b/>
          <w:bCs/>
          <w:sz w:val="21"/>
          <w:szCs w:val="21"/>
          <w:lang w:val="es-PE"/>
        </w:rPr>
      </w:pPr>
      <w:r w:rsidRPr="00060488">
        <w:rPr>
          <w:rFonts w:ascii="Cambria" w:eastAsia="Calibri" w:hAnsi="Cambria" w:cs="Times New Roman"/>
          <w:b/>
          <w:bCs/>
          <w:sz w:val="21"/>
          <w:szCs w:val="21"/>
          <w:lang w:val="es-PE"/>
        </w:rPr>
        <w:t>DECISIÓN</w:t>
      </w:r>
    </w:p>
    <w:p w:rsidR="00F30F7A" w:rsidRPr="00060488" w:rsidRDefault="00F30F7A" w:rsidP="00E2162A">
      <w:pPr>
        <w:widowControl w:val="0"/>
        <w:spacing w:after="0" w:line="240" w:lineRule="auto"/>
        <w:ind w:left="360"/>
        <w:jc w:val="both"/>
        <w:rPr>
          <w:rFonts w:ascii="Cambria" w:eastAsia="Calibri" w:hAnsi="Cambria" w:cs="Times New Roman"/>
          <w:sz w:val="21"/>
          <w:szCs w:val="21"/>
          <w:lang w:val="es-PE"/>
        </w:rPr>
      </w:pPr>
    </w:p>
    <w:p w:rsidR="002F2145" w:rsidRPr="00060488" w:rsidRDefault="00F30F7A" w:rsidP="00E2162A">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La Comisión considera que el presente asunto reúne </w:t>
      </w:r>
      <w:r w:rsidRPr="00060488">
        <w:rPr>
          <w:rFonts w:ascii="Cambria" w:eastAsia="Calibri" w:hAnsi="Cambria" w:cs="Times New Roman"/>
          <w:i/>
          <w:sz w:val="21"/>
          <w:szCs w:val="21"/>
          <w:lang w:val="es-PE"/>
        </w:rPr>
        <w:t>prima facie</w:t>
      </w:r>
      <w:r w:rsidRPr="00060488">
        <w:rPr>
          <w:rFonts w:ascii="Cambria" w:eastAsia="Calibri" w:hAnsi="Cambria" w:cs="Times New Roman"/>
          <w:sz w:val="21"/>
          <w:szCs w:val="21"/>
          <w:lang w:val="es-PE"/>
        </w:rPr>
        <w:t xml:space="preserve"> los requisitos de gravedad, urgencia e </w:t>
      </w:r>
      <w:proofErr w:type="spellStart"/>
      <w:r w:rsidRPr="00060488">
        <w:rPr>
          <w:rFonts w:ascii="Cambria" w:eastAsia="Calibri" w:hAnsi="Cambria" w:cs="Times New Roman"/>
          <w:sz w:val="21"/>
          <w:szCs w:val="21"/>
          <w:lang w:val="es-PE"/>
        </w:rPr>
        <w:t>irreparabilidad</w:t>
      </w:r>
      <w:proofErr w:type="spellEnd"/>
      <w:r w:rsidRPr="00060488">
        <w:rPr>
          <w:rFonts w:ascii="Cambria" w:eastAsia="Calibri" w:hAnsi="Cambria" w:cs="Times New Roman"/>
          <w:sz w:val="21"/>
          <w:szCs w:val="21"/>
          <w:lang w:val="es-PE"/>
        </w:rPr>
        <w:t xml:space="preserve"> contenidos en el artículo 25 de su Reglamento. En consecuencia, la Comisión solicita al Estado de Nicaragua que:</w:t>
      </w:r>
    </w:p>
    <w:p w:rsidR="00300A8F" w:rsidRPr="00060488" w:rsidRDefault="00300A8F" w:rsidP="00E2162A">
      <w:pPr>
        <w:widowControl w:val="0"/>
        <w:spacing w:after="0" w:line="240" w:lineRule="auto"/>
        <w:ind w:left="360"/>
        <w:jc w:val="both"/>
        <w:rPr>
          <w:rFonts w:ascii="Cambria" w:eastAsia="Calibri" w:hAnsi="Cambria" w:cs="Times New Roman"/>
          <w:sz w:val="21"/>
          <w:szCs w:val="21"/>
          <w:lang w:val="es-PE"/>
        </w:rPr>
      </w:pPr>
    </w:p>
    <w:p w:rsidR="00561771" w:rsidRDefault="00781030" w:rsidP="00561771">
      <w:pPr>
        <w:pStyle w:val="ListParagraph"/>
        <w:widowControl w:val="0"/>
        <w:numPr>
          <w:ilvl w:val="0"/>
          <w:numId w:val="37"/>
        </w:numPr>
        <w:spacing w:after="0" w:line="240" w:lineRule="auto"/>
        <w:ind w:left="810" w:hanging="270"/>
        <w:jc w:val="both"/>
        <w:rPr>
          <w:rFonts w:ascii="Cambria" w:eastAsia="Calibri" w:hAnsi="Cambria" w:cs="Times New Roman"/>
          <w:color w:val="000000"/>
          <w:sz w:val="21"/>
          <w:szCs w:val="21"/>
          <w:lang w:val="es-PE"/>
        </w:rPr>
      </w:pPr>
      <w:r w:rsidRPr="00781030">
        <w:rPr>
          <w:rFonts w:ascii="Cambria" w:eastAsia="Calibri" w:hAnsi="Cambria" w:cs="Times New Roman"/>
          <w:color w:val="000000"/>
          <w:sz w:val="21"/>
          <w:szCs w:val="21"/>
          <w:lang w:val="es-PE"/>
        </w:rPr>
        <w:t xml:space="preserve">Adopte las medidas necesarias para garantizar los derechos a la vida e integridad personal de </w:t>
      </w:r>
      <w:r w:rsidRPr="00781030">
        <w:rPr>
          <w:rFonts w:ascii="Cambria" w:eastAsia="Calibri" w:hAnsi="Cambria" w:cs="Times New Roman"/>
          <w:color w:val="000000"/>
          <w:sz w:val="21"/>
          <w:szCs w:val="21"/>
          <w:lang w:val="es-PE"/>
        </w:rPr>
        <w:lastRenderedPageBreak/>
        <w:t xml:space="preserve">Edwin José </w:t>
      </w:r>
      <w:proofErr w:type="spellStart"/>
      <w:r w:rsidRPr="00781030">
        <w:rPr>
          <w:rFonts w:ascii="Cambria" w:eastAsia="Calibri" w:hAnsi="Cambria" w:cs="Times New Roman"/>
          <w:color w:val="000000"/>
          <w:sz w:val="21"/>
          <w:szCs w:val="21"/>
          <w:lang w:val="es-PE"/>
        </w:rPr>
        <w:t>Carcache</w:t>
      </w:r>
      <w:proofErr w:type="spellEnd"/>
      <w:r w:rsidR="00782CF4">
        <w:rPr>
          <w:rFonts w:ascii="Cambria" w:eastAsia="Calibri" w:hAnsi="Cambria" w:cs="Times New Roman"/>
          <w:color w:val="000000"/>
          <w:sz w:val="21"/>
          <w:szCs w:val="21"/>
          <w:lang w:val="es-PE"/>
        </w:rPr>
        <w:t xml:space="preserve"> Dávila</w:t>
      </w:r>
      <w:r w:rsidR="00782CF4" w:rsidRPr="00782CF4">
        <w:rPr>
          <w:rFonts w:ascii="Cambria" w:eastAsia="Calibri" w:hAnsi="Cambria" w:cs="Times New Roman"/>
          <w:color w:val="000000"/>
          <w:sz w:val="21"/>
          <w:szCs w:val="21"/>
          <w:lang w:val="es-PE"/>
        </w:rPr>
        <w:t>, y su núcleo familiar, susceptible de identificación.</w:t>
      </w:r>
      <w:r w:rsidR="00782CF4">
        <w:rPr>
          <w:rFonts w:ascii="Cambria" w:eastAsia="Calibri" w:hAnsi="Cambria" w:cs="Times New Roman"/>
          <w:color w:val="000000"/>
          <w:sz w:val="21"/>
          <w:szCs w:val="21"/>
          <w:lang w:val="es-PE"/>
        </w:rPr>
        <w:t xml:space="preserve"> </w:t>
      </w:r>
      <w:r w:rsidRPr="00782CF4">
        <w:rPr>
          <w:rFonts w:ascii="Cambria" w:eastAsia="Calibri" w:hAnsi="Cambria" w:cs="Times New Roman"/>
          <w:color w:val="000000"/>
          <w:sz w:val="21"/>
          <w:szCs w:val="21"/>
          <w:lang w:val="es-PE"/>
        </w:rPr>
        <w:t>En particular, el Estado debe tanto asegurar que sus age</w:t>
      </w:r>
      <w:r w:rsidR="001A538E">
        <w:rPr>
          <w:rFonts w:ascii="Cambria" w:eastAsia="Calibri" w:hAnsi="Cambria" w:cs="Times New Roman"/>
          <w:color w:val="000000"/>
          <w:sz w:val="21"/>
          <w:szCs w:val="21"/>
          <w:lang w:val="es-PE"/>
        </w:rPr>
        <w:t>ntes respeten los derechos de lo</w:t>
      </w:r>
      <w:r w:rsidRPr="00782CF4">
        <w:rPr>
          <w:rFonts w:ascii="Cambria" w:eastAsia="Calibri" w:hAnsi="Cambria" w:cs="Times New Roman"/>
          <w:color w:val="000000"/>
          <w:sz w:val="21"/>
          <w:szCs w:val="21"/>
          <w:lang w:val="es-PE"/>
        </w:rPr>
        <w:t>s beneficiari</w:t>
      </w:r>
      <w:r w:rsidR="001A538E">
        <w:rPr>
          <w:rFonts w:ascii="Cambria" w:eastAsia="Calibri" w:hAnsi="Cambria" w:cs="Times New Roman"/>
          <w:color w:val="000000"/>
          <w:sz w:val="21"/>
          <w:szCs w:val="21"/>
          <w:lang w:val="es-PE"/>
        </w:rPr>
        <w:t>o</w:t>
      </w:r>
      <w:r w:rsidRPr="00782CF4">
        <w:rPr>
          <w:rFonts w:ascii="Cambria" w:eastAsia="Calibri" w:hAnsi="Cambria" w:cs="Times New Roman"/>
          <w:color w:val="000000"/>
          <w:sz w:val="21"/>
          <w:szCs w:val="21"/>
          <w:lang w:val="es-PE"/>
        </w:rPr>
        <w:t xml:space="preserve">s de conformidad con los estándares establecidos por el derecho internacional de los derechos humanos, como en relación con actos de riesgo atribuibles a terceros; </w:t>
      </w:r>
    </w:p>
    <w:p w:rsidR="00561771" w:rsidRDefault="00561771" w:rsidP="00561771">
      <w:pPr>
        <w:pStyle w:val="ListParagraph"/>
        <w:widowControl w:val="0"/>
        <w:spacing w:after="0" w:line="240" w:lineRule="auto"/>
        <w:ind w:left="810"/>
        <w:jc w:val="both"/>
        <w:rPr>
          <w:rFonts w:ascii="Cambria" w:eastAsia="Calibri" w:hAnsi="Cambria" w:cs="Times New Roman"/>
          <w:color w:val="000000"/>
          <w:sz w:val="21"/>
          <w:szCs w:val="21"/>
          <w:lang w:val="es-PE"/>
        </w:rPr>
      </w:pPr>
    </w:p>
    <w:p w:rsidR="00781030" w:rsidRPr="00561771" w:rsidRDefault="00561771" w:rsidP="00561771">
      <w:pPr>
        <w:pStyle w:val="ListParagraph"/>
        <w:widowControl w:val="0"/>
        <w:numPr>
          <w:ilvl w:val="0"/>
          <w:numId w:val="37"/>
        </w:numPr>
        <w:spacing w:after="0" w:line="240" w:lineRule="auto"/>
        <w:ind w:left="810" w:hanging="270"/>
        <w:jc w:val="both"/>
        <w:rPr>
          <w:rFonts w:ascii="Cambria" w:eastAsia="Calibri" w:hAnsi="Cambria" w:cs="Times New Roman"/>
          <w:color w:val="000000"/>
          <w:sz w:val="21"/>
          <w:szCs w:val="21"/>
          <w:lang w:val="es-PE"/>
        </w:rPr>
      </w:pPr>
      <w:r w:rsidRPr="00561771">
        <w:rPr>
          <w:rFonts w:ascii="Cambria" w:eastAsia="Calibri" w:hAnsi="Cambria" w:cs="Times New Roman"/>
          <w:color w:val="000000"/>
          <w:sz w:val="21"/>
          <w:szCs w:val="21"/>
          <w:lang w:val="es-PE"/>
        </w:rPr>
        <w:t xml:space="preserve">Asegure que las condiciones de detención de Edwin José </w:t>
      </w:r>
      <w:proofErr w:type="spellStart"/>
      <w:r w:rsidRPr="00561771">
        <w:rPr>
          <w:rFonts w:ascii="Cambria" w:eastAsia="Calibri" w:hAnsi="Cambria" w:cs="Times New Roman"/>
          <w:color w:val="000000"/>
          <w:sz w:val="21"/>
          <w:szCs w:val="21"/>
          <w:lang w:val="es-PE"/>
        </w:rPr>
        <w:t>Carcache</w:t>
      </w:r>
      <w:proofErr w:type="spellEnd"/>
      <w:r w:rsidRPr="00561771">
        <w:rPr>
          <w:rFonts w:ascii="Cambria" w:eastAsia="Calibri" w:hAnsi="Cambria" w:cs="Times New Roman"/>
          <w:color w:val="000000"/>
          <w:sz w:val="21"/>
          <w:szCs w:val="21"/>
          <w:lang w:val="es-PE"/>
        </w:rPr>
        <w:t xml:space="preserve"> Dávila se adecuen a los estándares internacionales aplicables. En particular, adopte las medidas necesarias que posibiliten la atención médica necesaria de Edwin José </w:t>
      </w:r>
      <w:proofErr w:type="spellStart"/>
      <w:r w:rsidRPr="00561771">
        <w:rPr>
          <w:rFonts w:ascii="Cambria" w:eastAsia="Calibri" w:hAnsi="Cambria" w:cs="Times New Roman"/>
          <w:color w:val="000000"/>
          <w:sz w:val="21"/>
          <w:szCs w:val="21"/>
          <w:lang w:val="es-PE"/>
        </w:rPr>
        <w:t>Carcache</w:t>
      </w:r>
      <w:proofErr w:type="spellEnd"/>
      <w:r w:rsidRPr="00561771">
        <w:rPr>
          <w:rFonts w:ascii="Cambria" w:eastAsia="Calibri" w:hAnsi="Cambria" w:cs="Times New Roman"/>
          <w:color w:val="000000"/>
          <w:sz w:val="21"/>
          <w:szCs w:val="21"/>
          <w:lang w:val="es-PE"/>
        </w:rPr>
        <w:t xml:space="preserve"> Dávila atendiendo a su condición de salud y de conformidad con los recomendaciones dadas por los especialistas correspondientes. Asimismo, con el fin de verificar las circunstancias en que se encuentra el beneficiario, facilite el acceso del señor Edwin José </w:t>
      </w:r>
      <w:proofErr w:type="spellStart"/>
      <w:r w:rsidRPr="00561771">
        <w:rPr>
          <w:rFonts w:ascii="Cambria" w:eastAsia="Calibri" w:hAnsi="Cambria" w:cs="Times New Roman"/>
          <w:color w:val="000000"/>
          <w:sz w:val="21"/>
          <w:szCs w:val="21"/>
          <w:lang w:val="es-PE"/>
        </w:rPr>
        <w:t>Carcache</w:t>
      </w:r>
      <w:proofErr w:type="spellEnd"/>
      <w:r w:rsidRPr="00561771">
        <w:rPr>
          <w:rFonts w:ascii="Cambria" w:eastAsia="Calibri" w:hAnsi="Cambria" w:cs="Times New Roman"/>
          <w:color w:val="000000"/>
          <w:sz w:val="21"/>
          <w:szCs w:val="21"/>
          <w:lang w:val="es-PE"/>
        </w:rPr>
        <w:t xml:space="preserve"> Dávila a sus representantes legales y a sus visitas familiares de conformidad con los estándares aplicables;</w:t>
      </w:r>
    </w:p>
    <w:p w:rsidR="00561771" w:rsidRDefault="00561771" w:rsidP="00E2162A">
      <w:pPr>
        <w:pStyle w:val="ListParagraph"/>
        <w:widowControl w:val="0"/>
        <w:spacing w:after="0" w:line="240" w:lineRule="auto"/>
        <w:ind w:left="810" w:hanging="270"/>
        <w:jc w:val="both"/>
        <w:rPr>
          <w:rFonts w:ascii="Cambria" w:eastAsia="Calibri" w:hAnsi="Cambria" w:cs="Times New Roman"/>
          <w:color w:val="000000"/>
          <w:sz w:val="21"/>
          <w:szCs w:val="21"/>
          <w:lang w:val="es-PE"/>
        </w:rPr>
      </w:pPr>
    </w:p>
    <w:p w:rsidR="00781030" w:rsidRPr="00781030" w:rsidRDefault="00781030" w:rsidP="00E2162A">
      <w:pPr>
        <w:pStyle w:val="ListParagraph"/>
        <w:widowControl w:val="0"/>
        <w:numPr>
          <w:ilvl w:val="0"/>
          <w:numId w:val="37"/>
        </w:numPr>
        <w:spacing w:after="0" w:line="240" w:lineRule="auto"/>
        <w:ind w:left="810" w:hanging="270"/>
        <w:jc w:val="both"/>
        <w:rPr>
          <w:rFonts w:ascii="Cambria" w:eastAsia="Calibri" w:hAnsi="Cambria" w:cs="Times New Roman"/>
          <w:color w:val="000000"/>
          <w:sz w:val="21"/>
          <w:szCs w:val="21"/>
          <w:lang w:val="es-PE"/>
        </w:rPr>
      </w:pPr>
      <w:r w:rsidRPr="00781030">
        <w:rPr>
          <w:rFonts w:ascii="Cambria" w:eastAsia="Calibri" w:hAnsi="Cambria" w:cs="Times New Roman"/>
          <w:color w:val="000000"/>
          <w:sz w:val="21"/>
          <w:szCs w:val="21"/>
          <w:lang w:val="es-PE"/>
        </w:rPr>
        <w:t xml:space="preserve">Concierte las medidas a adoptarse con las beneficiarias y sus representantes; y </w:t>
      </w:r>
    </w:p>
    <w:p w:rsidR="00781030" w:rsidRDefault="00781030" w:rsidP="00E2162A">
      <w:pPr>
        <w:pStyle w:val="ListParagraph"/>
        <w:widowControl w:val="0"/>
        <w:spacing w:after="0" w:line="240" w:lineRule="auto"/>
        <w:ind w:left="810" w:hanging="270"/>
        <w:jc w:val="both"/>
        <w:rPr>
          <w:rFonts w:ascii="Cambria" w:eastAsia="Calibri" w:hAnsi="Cambria" w:cs="Times New Roman"/>
          <w:color w:val="000000"/>
          <w:sz w:val="21"/>
          <w:szCs w:val="21"/>
          <w:lang w:val="es-PE"/>
        </w:rPr>
      </w:pPr>
    </w:p>
    <w:p w:rsidR="00781030" w:rsidRPr="00781030" w:rsidRDefault="00781030" w:rsidP="00E2162A">
      <w:pPr>
        <w:pStyle w:val="ListParagraph"/>
        <w:widowControl w:val="0"/>
        <w:numPr>
          <w:ilvl w:val="0"/>
          <w:numId w:val="37"/>
        </w:numPr>
        <w:spacing w:after="0" w:line="240" w:lineRule="auto"/>
        <w:ind w:left="810" w:hanging="270"/>
        <w:jc w:val="both"/>
        <w:rPr>
          <w:rFonts w:ascii="Cambria" w:eastAsia="Calibri" w:hAnsi="Cambria" w:cs="Times New Roman"/>
          <w:color w:val="000000"/>
          <w:sz w:val="21"/>
          <w:szCs w:val="21"/>
          <w:lang w:val="es-PE"/>
        </w:rPr>
      </w:pPr>
      <w:r w:rsidRPr="00781030">
        <w:rPr>
          <w:rFonts w:ascii="Cambria" w:eastAsia="Calibri" w:hAnsi="Cambria" w:cs="Times New Roman"/>
          <w:color w:val="000000"/>
          <w:sz w:val="21"/>
          <w:szCs w:val="21"/>
          <w:lang w:val="es-PE"/>
        </w:rPr>
        <w:t>Informe sobre las acciones adoptadas a fin de investigar los presuntos hechos que dieron lugar a la adopción de la presente medida cautelar y evitar así su repetición.</w:t>
      </w:r>
    </w:p>
    <w:p w:rsidR="00781030" w:rsidRDefault="00781030" w:rsidP="00E2162A">
      <w:pPr>
        <w:widowControl w:val="0"/>
        <w:spacing w:after="0" w:line="240" w:lineRule="auto"/>
        <w:ind w:left="360"/>
        <w:jc w:val="both"/>
        <w:rPr>
          <w:rFonts w:ascii="Cambria" w:eastAsia="Calibri" w:hAnsi="Cambria" w:cs="Times New Roman"/>
          <w:color w:val="000000"/>
          <w:sz w:val="21"/>
          <w:szCs w:val="21"/>
          <w:lang w:val="es-PE"/>
        </w:rPr>
      </w:pPr>
    </w:p>
    <w:p w:rsidR="00F30F7A" w:rsidRPr="00060488" w:rsidRDefault="00F30F7A" w:rsidP="00E2162A">
      <w:pPr>
        <w:widowControl w:val="0"/>
        <w:numPr>
          <w:ilvl w:val="0"/>
          <w:numId w:val="4"/>
        </w:numPr>
        <w:spacing w:after="0" w:line="240" w:lineRule="auto"/>
        <w:ind w:left="0" w:firstLine="360"/>
        <w:jc w:val="both"/>
        <w:rPr>
          <w:rFonts w:ascii="Cambria" w:eastAsia="Calibri" w:hAnsi="Cambria" w:cs="Times New Roman"/>
          <w:color w:val="000000"/>
          <w:sz w:val="21"/>
          <w:szCs w:val="21"/>
          <w:lang w:val="es-PE"/>
        </w:rPr>
      </w:pPr>
      <w:r w:rsidRPr="00060488">
        <w:rPr>
          <w:rFonts w:ascii="Cambria" w:eastAsia="Calibri" w:hAnsi="Cambria" w:cs="Times New Roman"/>
          <w:color w:val="000000"/>
          <w:sz w:val="21"/>
          <w:szCs w:val="21"/>
          <w:lang w:val="es-PE"/>
        </w:rPr>
        <w:t xml:space="preserve">La Comisión también solicita al Gobierno de Nicaragua tenga a bien informar a la Comisión dentro del plazo de 10 días contados a partir de la fecha de la presente comunicación, sobre la adopción de las medidas cautelares acordadas y actualizar dicha información en forma periódica. </w:t>
      </w:r>
    </w:p>
    <w:p w:rsidR="00F30F7A" w:rsidRPr="00060488" w:rsidRDefault="00F30F7A" w:rsidP="00E2162A">
      <w:pPr>
        <w:widowControl w:val="0"/>
        <w:spacing w:after="0" w:line="240" w:lineRule="auto"/>
        <w:ind w:firstLine="360"/>
        <w:jc w:val="both"/>
        <w:rPr>
          <w:rFonts w:ascii="Cambria" w:eastAsia="Calibri" w:hAnsi="Cambria" w:cs="Times New Roman"/>
          <w:color w:val="000000"/>
          <w:sz w:val="21"/>
          <w:szCs w:val="21"/>
          <w:lang w:val="es-PE"/>
        </w:rPr>
      </w:pPr>
    </w:p>
    <w:p w:rsidR="00F30F7A" w:rsidRPr="00060488" w:rsidRDefault="00F30F7A" w:rsidP="00E2162A">
      <w:pPr>
        <w:widowControl w:val="0"/>
        <w:numPr>
          <w:ilvl w:val="0"/>
          <w:numId w:val="4"/>
        </w:numPr>
        <w:spacing w:after="0" w:line="240" w:lineRule="auto"/>
        <w:ind w:left="0" w:firstLine="360"/>
        <w:jc w:val="both"/>
        <w:rPr>
          <w:rFonts w:ascii="Cambria" w:eastAsia="Calibri" w:hAnsi="Cambria" w:cs="Times New Roman"/>
          <w:color w:val="000000"/>
          <w:sz w:val="21"/>
          <w:szCs w:val="21"/>
          <w:lang w:val="es-PE"/>
        </w:rPr>
      </w:pPr>
      <w:r w:rsidRPr="00060488">
        <w:rPr>
          <w:rFonts w:ascii="Cambria" w:eastAsia="Calibri" w:hAnsi="Cambria" w:cs="Times New Roman"/>
          <w:color w:val="000000"/>
          <w:sz w:val="21"/>
          <w:szCs w:val="21"/>
          <w:lang w:val="es-PE"/>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F30F7A" w:rsidRPr="00060488" w:rsidRDefault="00F30F7A" w:rsidP="00E2162A">
      <w:pPr>
        <w:widowControl w:val="0"/>
        <w:spacing w:after="0" w:line="240" w:lineRule="auto"/>
        <w:ind w:firstLine="360"/>
        <w:jc w:val="both"/>
        <w:rPr>
          <w:rFonts w:ascii="Cambria" w:eastAsia="Calibri" w:hAnsi="Cambria" w:cs="Times New Roman"/>
          <w:color w:val="000000"/>
          <w:sz w:val="21"/>
          <w:szCs w:val="21"/>
          <w:lang w:val="es-PE"/>
        </w:rPr>
      </w:pPr>
    </w:p>
    <w:p w:rsidR="00F30F7A" w:rsidRPr="00060488" w:rsidRDefault="00F30F7A" w:rsidP="00E2162A">
      <w:pPr>
        <w:widowControl w:val="0"/>
        <w:numPr>
          <w:ilvl w:val="0"/>
          <w:numId w:val="4"/>
        </w:numPr>
        <w:spacing w:after="0" w:line="240" w:lineRule="auto"/>
        <w:ind w:left="0" w:firstLine="360"/>
        <w:jc w:val="both"/>
        <w:rPr>
          <w:rFonts w:ascii="Cambria" w:eastAsia="Calibri" w:hAnsi="Cambria" w:cs="Times New Roman"/>
          <w:color w:val="000000"/>
          <w:sz w:val="21"/>
          <w:szCs w:val="21"/>
          <w:lang w:val="es-PE"/>
        </w:rPr>
      </w:pPr>
      <w:r w:rsidRPr="00060488">
        <w:rPr>
          <w:rFonts w:ascii="Cambria" w:eastAsia="Calibri" w:hAnsi="Cambria" w:cs="Times New Roman"/>
          <w:color w:val="000000"/>
          <w:sz w:val="21"/>
          <w:szCs w:val="21"/>
          <w:lang w:val="es-PE"/>
        </w:rPr>
        <w:t>La Comisión instruye a su Secretaría Ejecutiva que notifique la presente Resolución al Estado de Nicaragua y a</w:t>
      </w:r>
      <w:r w:rsidR="002B6D39" w:rsidRPr="00060488">
        <w:rPr>
          <w:rFonts w:ascii="Cambria" w:eastAsia="Calibri" w:hAnsi="Cambria" w:cs="Times New Roman"/>
          <w:color w:val="000000"/>
          <w:sz w:val="21"/>
          <w:szCs w:val="21"/>
          <w:lang w:val="es-PE"/>
        </w:rPr>
        <w:t>l solicitante</w:t>
      </w:r>
      <w:r w:rsidRPr="00060488">
        <w:rPr>
          <w:rFonts w:ascii="Cambria" w:eastAsia="Calibri" w:hAnsi="Cambria" w:cs="Times New Roman"/>
          <w:color w:val="000000"/>
          <w:sz w:val="21"/>
          <w:szCs w:val="21"/>
          <w:lang w:val="es-PE"/>
        </w:rPr>
        <w:t>.</w:t>
      </w:r>
    </w:p>
    <w:p w:rsidR="00F30F7A" w:rsidRPr="00060488" w:rsidRDefault="00F30F7A" w:rsidP="00E2162A">
      <w:pPr>
        <w:widowControl w:val="0"/>
        <w:spacing w:after="0" w:line="240" w:lineRule="auto"/>
        <w:ind w:firstLine="360"/>
        <w:jc w:val="both"/>
        <w:rPr>
          <w:rFonts w:ascii="Cambria" w:eastAsia="Calibri" w:hAnsi="Cambria" w:cs="Times New Roman"/>
          <w:color w:val="000000"/>
          <w:sz w:val="21"/>
          <w:szCs w:val="21"/>
          <w:lang w:val="es-PE"/>
        </w:rPr>
      </w:pPr>
    </w:p>
    <w:p w:rsidR="00367266" w:rsidRDefault="00F30F7A" w:rsidP="00367266">
      <w:pPr>
        <w:widowControl w:val="0"/>
        <w:numPr>
          <w:ilvl w:val="0"/>
          <w:numId w:val="4"/>
        </w:numPr>
        <w:spacing w:after="0" w:line="240" w:lineRule="auto"/>
        <w:ind w:left="0" w:firstLine="360"/>
        <w:jc w:val="both"/>
        <w:rPr>
          <w:rFonts w:asciiTheme="majorHAnsi" w:hAnsiTheme="majorHAnsi"/>
          <w:sz w:val="21"/>
          <w:szCs w:val="21"/>
          <w:lang w:val="es-PE"/>
        </w:rPr>
      </w:pPr>
      <w:r w:rsidRPr="000C477B">
        <w:rPr>
          <w:rFonts w:ascii="Cambria" w:eastAsia="Calibri" w:hAnsi="Cambria" w:cs="Times New Roman"/>
          <w:color w:val="000000"/>
          <w:sz w:val="21"/>
          <w:szCs w:val="21"/>
          <w:lang w:val="es-PE"/>
        </w:rPr>
        <w:t xml:space="preserve">Aprobado el </w:t>
      </w:r>
      <w:r w:rsidR="00CF31B5">
        <w:rPr>
          <w:rFonts w:ascii="Cambria" w:eastAsia="Calibri" w:hAnsi="Cambria" w:cs="Times New Roman"/>
          <w:color w:val="000000"/>
          <w:sz w:val="21"/>
          <w:szCs w:val="21"/>
          <w:lang w:val="es-PE"/>
        </w:rPr>
        <w:t>27</w:t>
      </w:r>
      <w:r w:rsidRPr="000C477B">
        <w:rPr>
          <w:rFonts w:ascii="Cambria" w:eastAsia="Calibri" w:hAnsi="Cambria" w:cs="Times New Roman"/>
          <w:color w:val="000000"/>
          <w:sz w:val="21"/>
          <w:szCs w:val="21"/>
          <w:lang w:val="es-PE"/>
        </w:rPr>
        <w:t xml:space="preserve"> de </w:t>
      </w:r>
      <w:r w:rsidR="00CF31B5">
        <w:rPr>
          <w:rFonts w:ascii="Cambria" w:eastAsia="Calibri" w:hAnsi="Cambria" w:cs="Times New Roman"/>
          <w:color w:val="000000"/>
          <w:sz w:val="21"/>
          <w:szCs w:val="21"/>
          <w:lang w:val="es-PE"/>
        </w:rPr>
        <w:t>septiembre</w:t>
      </w:r>
      <w:r w:rsidRPr="000C477B">
        <w:rPr>
          <w:rFonts w:ascii="Cambria" w:eastAsia="Calibri" w:hAnsi="Cambria" w:cs="Times New Roman"/>
          <w:color w:val="000000"/>
          <w:sz w:val="21"/>
          <w:szCs w:val="21"/>
          <w:lang w:val="es-PE"/>
        </w:rPr>
        <w:t xml:space="preserve"> de 2018 por: </w:t>
      </w:r>
      <w:r w:rsidR="00367266" w:rsidRPr="00367266">
        <w:rPr>
          <w:rFonts w:asciiTheme="majorHAnsi" w:hAnsiTheme="majorHAnsi"/>
          <w:sz w:val="21"/>
          <w:szCs w:val="21"/>
          <w:lang w:val="es-PE"/>
        </w:rPr>
        <w:t xml:space="preserve">Margarette May Macaulay, Presidenta; Esmeralda Arosemena de </w:t>
      </w:r>
      <w:proofErr w:type="spellStart"/>
      <w:r w:rsidR="00367266" w:rsidRPr="00367266">
        <w:rPr>
          <w:rFonts w:asciiTheme="majorHAnsi" w:hAnsiTheme="majorHAnsi"/>
          <w:sz w:val="21"/>
          <w:szCs w:val="21"/>
          <w:lang w:val="es-PE"/>
        </w:rPr>
        <w:t>Troitiño</w:t>
      </w:r>
      <w:proofErr w:type="spellEnd"/>
      <w:r w:rsidR="00367266" w:rsidRPr="00367266">
        <w:rPr>
          <w:rFonts w:asciiTheme="majorHAnsi" w:hAnsiTheme="majorHAnsi"/>
          <w:sz w:val="21"/>
          <w:szCs w:val="21"/>
          <w:lang w:val="es-PE"/>
        </w:rPr>
        <w:t xml:space="preserve">, Primera Vicepresidenta; Francisco José Eguiguren </w:t>
      </w:r>
      <w:proofErr w:type="spellStart"/>
      <w:r w:rsidR="00367266" w:rsidRPr="00367266">
        <w:rPr>
          <w:rFonts w:asciiTheme="majorHAnsi" w:hAnsiTheme="majorHAnsi"/>
          <w:sz w:val="21"/>
          <w:szCs w:val="21"/>
          <w:lang w:val="es-PE"/>
        </w:rPr>
        <w:t>Praeli</w:t>
      </w:r>
      <w:proofErr w:type="spellEnd"/>
      <w:r w:rsidR="00367266" w:rsidRPr="00367266">
        <w:rPr>
          <w:rFonts w:asciiTheme="majorHAnsi" w:hAnsiTheme="majorHAnsi"/>
          <w:sz w:val="21"/>
          <w:szCs w:val="21"/>
          <w:lang w:val="es-PE"/>
        </w:rPr>
        <w:t xml:space="preserve">; Joel Hernández García; Antonia Urrejola; y </w:t>
      </w:r>
      <w:proofErr w:type="spellStart"/>
      <w:r w:rsidR="00367266" w:rsidRPr="00367266">
        <w:rPr>
          <w:rFonts w:asciiTheme="majorHAnsi" w:hAnsiTheme="majorHAnsi"/>
          <w:sz w:val="21"/>
          <w:szCs w:val="21"/>
          <w:lang w:val="es-PE"/>
        </w:rPr>
        <w:t>Flávia</w:t>
      </w:r>
      <w:proofErr w:type="spellEnd"/>
      <w:r w:rsidR="00367266" w:rsidRPr="00367266">
        <w:rPr>
          <w:rFonts w:asciiTheme="majorHAnsi" w:hAnsiTheme="majorHAnsi"/>
          <w:sz w:val="21"/>
          <w:szCs w:val="21"/>
          <w:lang w:val="es-PE"/>
        </w:rPr>
        <w:t xml:space="preserve"> Piovesan, miembros de la CIDH.</w:t>
      </w:r>
    </w:p>
    <w:p w:rsidR="008610B2" w:rsidRDefault="008610B2" w:rsidP="008610B2">
      <w:pPr>
        <w:pStyle w:val="ListParagraph"/>
        <w:rPr>
          <w:rFonts w:asciiTheme="majorHAnsi" w:hAnsiTheme="majorHAnsi"/>
          <w:sz w:val="21"/>
          <w:szCs w:val="21"/>
          <w:lang w:val="es-PE"/>
        </w:rPr>
      </w:pPr>
    </w:p>
    <w:p w:rsidR="008610B2" w:rsidRDefault="008610B2" w:rsidP="008610B2">
      <w:pPr>
        <w:widowControl w:val="0"/>
        <w:spacing w:after="0" w:line="240" w:lineRule="auto"/>
        <w:jc w:val="both"/>
        <w:rPr>
          <w:rFonts w:asciiTheme="majorHAnsi" w:hAnsiTheme="majorHAnsi"/>
          <w:sz w:val="21"/>
          <w:szCs w:val="21"/>
          <w:lang w:val="es-PE"/>
        </w:rPr>
      </w:pPr>
    </w:p>
    <w:p w:rsidR="008610B2" w:rsidRDefault="008610B2" w:rsidP="008610B2">
      <w:pPr>
        <w:widowControl w:val="0"/>
        <w:spacing w:after="0" w:line="240" w:lineRule="auto"/>
        <w:jc w:val="both"/>
        <w:rPr>
          <w:rFonts w:asciiTheme="majorHAnsi" w:hAnsiTheme="majorHAnsi"/>
          <w:sz w:val="21"/>
          <w:szCs w:val="21"/>
          <w:lang w:val="es-PE"/>
        </w:rPr>
      </w:pPr>
    </w:p>
    <w:p w:rsidR="008610B2" w:rsidRDefault="008610B2" w:rsidP="008610B2">
      <w:pPr>
        <w:widowControl w:val="0"/>
        <w:spacing w:after="0" w:line="240" w:lineRule="auto"/>
        <w:jc w:val="both"/>
        <w:rPr>
          <w:rFonts w:asciiTheme="majorHAnsi" w:hAnsiTheme="majorHAnsi"/>
          <w:sz w:val="21"/>
          <w:szCs w:val="21"/>
          <w:lang w:val="es-PE"/>
        </w:rPr>
      </w:pPr>
    </w:p>
    <w:p w:rsidR="008610B2" w:rsidRDefault="008610B2" w:rsidP="008610B2">
      <w:pPr>
        <w:widowControl w:val="0"/>
        <w:spacing w:after="0" w:line="240" w:lineRule="auto"/>
        <w:jc w:val="both"/>
        <w:rPr>
          <w:rFonts w:asciiTheme="majorHAnsi" w:hAnsiTheme="majorHAnsi"/>
          <w:sz w:val="21"/>
          <w:szCs w:val="21"/>
          <w:lang w:val="es-PE"/>
        </w:rPr>
      </w:pPr>
    </w:p>
    <w:p w:rsidR="008610B2" w:rsidRDefault="008610B2" w:rsidP="008610B2">
      <w:pPr>
        <w:widowControl w:val="0"/>
        <w:spacing w:after="0" w:line="240" w:lineRule="auto"/>
        <w:jc w:val="both"/>
        <w:rPr>
          <w:rFonts w:asciiTheme="majorHAnsi" w:hAnsiTheme="majorHAnsi"/>
          <w:sz w:val="21"/>
          <w:szCs w:val="21"/>
          <w:lang w:val="es-PE"/>
        </w:rPr>
      </w:pPr>
    </w:p>
    <w:p w:rsidR="008610B2" w:rsidRDefault="008610B2" w:rsidP="008610B2">
      <w:pPr>
        <w:widowControl w:val="0"/>
        <w:spacing w:after="0" w:line="240" w:lineRule="auto"/>
        <w:jc w:val="both"/>
        <w:rPr>
          <w:rFonts w:asciiTheme="majorHAnsi" w:hAnsiTheme="majorHAnsi"/>
          <w:sz w:val="21"/>
          <w:szCs w:val="21"/>
          <w:lang w:val="es-PE"/>
        </w:rPr>
      </w:pPr>
    </w:p>
    <w:p w:rsidR="008610B2" w:rsidRDefault="008610B2" w:rsidP="008610B2">
      <w:pPr>
        <w:widowControl w:val="0"/>
        <w:spacing w:after="0" w:line="240" w:lineRule="auto"/>
        <w:jc w:val="center"/>
        <w:rPr>
          <w:rFonts w:asciiTheme="majorHAnsi" w:hAnsiTheme="majorHAnsi"/>
          <w:sz w:val="21"/>
          <w:szCs w:val="21"/>
          <w:lang w:val="es-PE"/>
        </w:rPr>
      </w:pPr>
      <w:r w:rsidRPr="008610B2">
        <w:rPr>
          <w:rFonts w:asciiTheme="majorHAnsi" w:hAnsiTheme="majorHAnsi"/>
          <w:sz w:val="21"/>
          <w:szCs w:val="21"/>
          <w:lang w:val="es-PE"/>
        </w:rPr>
        <w:t>Lilly G. Ching-Soto</w:t>
      </w:r>
    </w:p>
    <w:p w:rsidR="008610B2" w:rsidRPr="00367266" w:rsidRDefault="008610B2" w:rsidP="008610B2">
      <w:pPr>
        <w:widowControl w:val="0"/>
        <w:spacing w:after="0" w:line="240" w:lineRule="auto"/>
        <w:jc w:val="center"/>
        <w:rPr>
          <w:rFonts w:asciiTheme="majorHAnsi" w:hAnsiTheme="majorHAnsi"/>
          <w:sz w:val="21"/>
          <w:szCs w:val="21"/>
          <w:lang w:val="es-PE"/>
        </w:rPr>
      </w:pPr>
      <w:r>
        <w:rPr>
          <w:rFonts w:asciiTheme="majorHAnsi" w:hAnsiTheme="majorHAnsi"/>
          <w:sz w:val="21"/>
          <w:szCs w:val="21"/>
          <w:lang w:val="es-PE"/>
        </w:rPr>
        <w:t>Por autorización del Secretario Ejecutivo</w:t>
      </w:r>
    </w:p>
    <w:sectPr w:rsidR="008610B2" w:rsidRPr="00367266" w:rsidSect="00AF3207">
      <w:headerReference w:type="default" r:id="rId9"/>
      <w:footerReference w:type="default" r:id="rId10"/>
      <w:pgSz w:w="12240" w:h="15840"/>
      <w:pgMar w:top="1440" w:right="1440" w:bottom="126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B0" w:rsidRDefault="002768B0" w:rsidP="00CD7245">
      <w:pPr>
        <w:spacing w:after="0" w:line="240" w:lineRule="auto"/>
      </w:pPr>
      <w:r>
        <w:separator/>
      </w:r>
    </w:p>
  </w:endnote>
  <w:endnote w:type="continuationSeparator" w:id="0">
    <w:p w:rsidR="002768B0" w:rsidRDefault="002768B0"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453C10" w:rsidRPr="00F30F7A" w:rsidRDefault="00453C10">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FE030B">
          <w:rPr>
            <w:rFonts w:ascii="Calibri Light" w:hAnsi="Calibri Light"/>
            <w:noProof/>
            <w:sz w:val="16"/>
          </w:rPr>
          <w:t>- 2 -</w:t>
        </w:r>
        <w:r w:rsidRPr="00F30F7A">
          <w:rPr>
            <w:rFonts w:ascii="Calibri Light" w:hAnsi="Calibri Light"/>
            <w:noProof/>
            <w:sz w:val="16"/>
          </w:rPr>
          <w:fldChar w:fldCharType="end"/>
        </w:r>
      </w:p>
    </w:sdtContent>
  </w:sdt>
  <w:p w:rsidR="00453C10" w:rsidRDefault="00453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B0" w:rsidRDefault="002768B0" w:rsidP="00CD7245">
      <w:pPr>
        <w:spacing w:after="0" w:line="240" w:lineRule="auto"/>
      </w:pPr>
      <w:r>
        <w:separator/>
      </w:r>
    </w:p>
  </w:footnote>
  <w:footnote w:type="continuationSeparator" w:id="0">
    <w:p w:rsidR="002768B0" w:rsidRDefault="002768B0" w:rsidP="00CD7245">
      <w:pPr>
        <w:spacing w:after="0" w:line="240" w:lineRule="auto"/>
      </w:pPr>
      <w:r>
        <w:continuationSeparator/>
      </w:r>
    </w:p>
  </w:footnote>
  <w:footnote w:id="1">
    <w:p w:rsidR="00367266" w:rsidRPr="00675298" w:rsidRDefault="00367266"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CIDH, CIDH expresa preocupación por muertes en el contexto de protestas en Nicaragua, 24 de abril de 2018.</w:t>
      </w:r>
    </w:p>
  </w:footnote>
  <w:footnote w:id="2">
    <w:p w:rsidR="00367266" w:rsidRPr="00675298" w:rsidRDefault="00367266"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OEA, Comunicado de prensa sobre violencia en Nicaragua, comunicado C-023/18 de 10 de abril de 2018, disponible en </w:t>
      </w:r>
      <w:r w:rsidR="002768B0">
        <w:fldChar w:fldCharType="begin"/>
      </w:r>
      <w:r w:rsidR="002768B0" w:rsidRPr="00FE030B">
        <w:rPr>
          <w:lang w:val="es-MX"/>
        </w:rPr>
        <w:instrText xml:space="preserve"> HYPERLINK "http://www.oas.org</w:instrText>
      </w:r>
      <w:r w:rsidR="002768B0" w:rsidRPr="00FE030B">
        <w:rPr>
          <w:lang w:val="es-MX"/>
        </w:rPr>
        <w:instrText xml:space="preserve">/es/centro_noticias/comunicado_prensa.asp?sCodigo=C-023/18" </w:instrText>
      </w:r>
      <w:r w:rsidR="002768B0">
        <w:fldChar w:fldCharType="separate"/>
      </w:r>
      <w:r w:rsidRPr="00675298">
        <w:rPr>
          <w:rStyle w:val="Hyperlink"/>
          <w:rFonts w:ascii="Calibri Light" w:hAnsi="Calibri Light" w:cs="Calibri Light"/>
          <w:sz w:val="16"/>
          <w:szCs w:val="16"/>
          <w:lang w:val="es-MX"/>
        </w:rPr>
        <w:t>http://www.oas.org/es/centro_noticias/comunicado_prensa.asp?sCodigo=C-023/18</w:t>
      </w:r>
      <w:r w:rsidR="002768B0">
        <w:rPr>
          <w:rStyle w:val="Hyperlink"/>
          <w:rFonts w:ascii="Calibri Light" w:hAnsi="Calibri Light" w:cs="Calibri Light"/>
          <w:sz w:val="16"/>
          <w:szCs w:val="16"/>
          <w:lang w:val="es-MX"/>
        </w:rPr>
        <w:fldChar w:fldCharType="end"/>
      </w:r>
      <w:r w:rsidRPr="00675298">
        <w:rPr>
          <w:rFonts w:ascii="Calibri Light" w:hAnsi="Calibri Light" w:cs="Calibri Light"/>
          <w:sz w:val="16"/>
          <w:szCs w:val="16"/>
          <w:lang w:val="es-MX"/>
        </w:rPr>
        <w:t xml:space="preserve"> </w:t>
      </w:r>
    </w:p>
  </w:footnote>
  <w:footnote w:id="3">
    <w:p w:rsidR="00367266" w:rsidRPr="00675298" w:rsidRDefault="00367266"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Naciones Unidas, El Gobierno de Nicaragua debe evitar los ataques contra manifestantes y medios de comunicación, 20 de abril de 2018, disponible en </w:t>
      </w:r>
      <w:r w:rsidR="002768B0">
        <w:fldChar w:fldCharType="begin"/>
      </w:r>
      <w:r w:rsidR="002768B0" w:rsidRPr="00FE030B">
        <w:rPr>
          <w:lang w:val="es-PE"/>
        </w:rPr>
        <w:instrText xml:space="preserve"> HYPERLINK "https://news.un.org/es/story/2018/04/1431632" </w:instrText>
      </w:r>
      <w:r w:rsidR="002768B0">
        <w:fldChar w:fldCharType="separate"/>
      </w:r>
      <w:r w:rsidRPr="00675298">
        <w:rPr>
          <w:rStyle w:val="Hyperlink"/>
          <w:rFonts w:ascii="Calibri Light" w:hAnsi="Calibri Light" w:cs="Calibri Light"/>
          <w:sz w:val="16"/>
          <w:szCs w:val="16"/>
          <w:lang w:val="es-MX"/>
        </w:rPr>
        <w:t>https://news.un.org/es/story/2018/04/1431632</w:t>
      </w:r>
      <w:r w:rsidR="002768B0">
        <w:rPr>
          <w:rStyle w:val="Hyperlink"/>
          <w:rFonts w:ascii="Calibri Light" w:hAnsi="Calibri Light" w:cs="Calibri Light"/>
          <w:sz w:val="16"/>
          <w:szCs w:val="16"/>
          <w:lang w:val="es-MX"/>
        </w:rPr>
        <w:fldChar w:fldCharType="end"/>
      </w:r>
      <w:r w:rsidRPr="00675298">
        <w:rPr>
          <w:rFonts w:ascii="Calibri Light" w:hAnsi="Calibri Light" w:cs="Calibri Light"/>
          <w:sz w:val="16"/>
          <w:szCs w:val="16"/>
          <w:lang w:val="es-MX"/>
        </w:rPr>
        <w:t xml:space="preserve">   </w:t>
      </w:r>
    </w:p>
  </w:footnote>
  <w:footnote w:id="4">
    <w:p w:rsidR="00367266" w:rsidRPr="00675298" w:rsidRDefault="00367266"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CIDH, CIDH anuncia instalación de Sala de Coordinación para monitorear la situación en Nicaragua, 3 de mayo de 2018, disponible en </w:t>
      </w:r>
      <w:r w:rsidR="002768B0">
        <w:fldChar w:fldCharType="begin"/>
      </w:r>
      <w:r w:rsidR="002768B0" w:rsidRPr="00FE030B">
        <w:rPr>
          <w:lang w:val="es-PE"/>
        </w:rPr>
        <w:instrText xml:space="preserve"> HYPERLINK "http://www.oas.org/es/cidh/prensa/comunicados/2018/094.asp" </w:instrText>
      </w:r>
      <w:r w:rsidR="002768B0">
        <w:fldChar w:fldCharType="separate"/>
      </w:r>
      <w:r w:rsidRPr="00675298">
        <w:rPr>
          <w:rStyle w:val="Hyperlink"/>
          <w:rFonts w:ascii="Calibri Light" w:hAnsi="Calibri Light" w:cs="Calibri Light"/>
          <w:sz w:val="16"/>
          <w:szCs w:val="16"/>
          <w:lang w:val="es-MX"/>
        </w:rPr>
        <w:t>http://www.oas.org/es/cidh/prensa/comunicados/2018/094.asp</w:t>
      </w:r>
      <w:r w:rsidR="002768B0">
        <w:rPr>
          <w:rStyle w:val="Hyperlink"/>
          <w:rFonts w:ascii="Calibri Light" w:hAnsi="Calibri Light" w:cs="Calibri Light"/>
          <w:sz w:val="16"/>
          <w:szCs w:val="16"/>
          <w:lang w:val="es-MX"/>
        </w:rPr>
        <w:fldChar w:fldCharType="end"/>
      </w:r>
      <w:r w:rsidRPr="00675298">
        <w:rPr>
          <w:rFonts w:ascii="Calibri Light" w:hAnsi="Calibri Light" w:cs="Calibri Light"/>
          <w:sz w:val="16"/>
          <w:szCs w:val="16"/>
          <w:lang w:val="es-MX"/>
        </w:rPr>
        <w:t xml:space="preserve">  </w:t>
      </w:r>
    </w:p>
  </w:footnote>
  <w:footnote w:id="5">
    <w:p w:rsidR="00367266" w:rsidRPr="00675298" w:rsidRDefault="00367266"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r w:rsidR="002768B0">
        <w:fldChar w:fldCharType="begin"/>
      </w:r>
      <w:r w:rsidR="002768B0" w:rsidRPr="00FE030B">
        <w:rPr>
          <w:lang w:val="es-PE"/>
        </w:rPr>
        <w:instrText xml:space="preserve"> HY</w:instrText>
      </w:r>
      <w:r w:rsidR="002768B0" w:rsidRPr="00FE030B">
        <w:rPr>
          <w:lang w:val="es-PE"/>
        </w:rPr>
        <w:instrText xml:space="preserve">PERLINK "http://www.oas.org/es/cidh/prensa/comunicados/2018/094.asp" </w:instrText>
      </w:r>
      <w:r w:rsidR="002768B0">
        <w:fldChar w:fldCharType="separate"/>
      </w:r>
      <w:r w:rsidRPr="00675298">
        <w:rPr>
          <w:rStyle w:val="Hyperlink"/>
          <w:rFonts w:ascii="Calibri Light" w:hAnsi="Calibri Light" w:cs="Calibri Light"/>
          <w:sz w:val="16"/>
          <w:szCs w:val="16"/>
          <w:lang w:val="es-MX"/>
        </w:rPr>
        <w:t>http://www.oas.org/es/cidh/prensa/comunicados/2018/094.asp</w:t>
      </w:r>
      <w:r w:rsidR="002768B0">
        <w:rPr>
          <w:rStyle w:val="Hyperlink"/>
          <w:rFonts w:ascii="Calibri Light" w:hAnsi="Calibri Light" w:cs="Calibri Light"/>
          <w:sz w:val="16"/>
          <w:szCs w:val="16"/>
          <w:lang w:val="es-MX"/>
        </w:rPr>
        <w:fldChar w:fldCharType="end"/>
      </w:r>
      <w:r w:rsidRPr="00675298">
        <w:rPr>
          <w:rFonts w:ascii="Calibri Light" w:hAnsi="Calibri Light" w:cs="Calibri Light"/>
          <w:sz w:val="16"/>
          <w:szCs w:val="16"/>
          <w:lang w:val="es-MX"/>
        </w:rPr>
        <w:t xml:space="preserve">  </w:t>
      </w:r>
    </w:p>
  </w:footnote>
  <w:footnote w:id="6">
    <w:p w:rsidR="00367266" w:rsidRPr="00675298" w:rsidRDefault="00367266"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675298">
        <w:rPr>
          <w:rFonts w:ascii="Calibri Light" w:hAnsi="Calibri Light" w:cs="Calibri Light"/>
          <w:sz w:val="16"/>
          <w:szCs w:val="16"/>
          <w:lang w:val="es-MX"/>
        </w:rPr>
        <w:t>Telecor</w:t>
      </w:r>
      <w:proofErr w:type="spellEnd"/>
      <w:r w:rsidRPr="00675298">
        <w:rPr>
          <w:rFonts w:ascii="Calibri Light" w:hAnsi="Calibri Light" w:cs="Calibri Light"/>
          <w:sz w:val="16"/>
          <w:szCs w:val="16"/>
          <w:lang w:val="es-MX"/>
        </w:rPr>
        <w:t xml:space="preserve">) que habría sido dada a los canales </w:t>
      </w:r>
      <w:r w:rsidRPr="00675298">
        <w:rPr>
          <w:rFonts w:ascii="Calibri Light" w:hAnsi="Calibri Light" w:cs="Calibri Light"/>
          <w:i/>
          <w:sz w:val="16"/>
          <w:szCs w:val="16"/>
          <w:lang w:val="es-MX"/>
        </w:rPr>
        <w:t>15</w:t>
      </w:r>
      <w:r w:rsidRPr="00675298">
        <w:rPr>
          <w:rFonts w:ascii="Calibri Light" w:hAnsi="Calibri Light" w:cs="Calibri Light"/>
          <w:sz w:val="16"/>
          <w:szCs w:val="16"/>
          <w:lang w:val="es-MX"/>
        </w:rPr>
        <w:t xml:space="preserve">, </w:t>
      </w:r>
      <w:r w:rsidRPr="00675298">
        <w:rPr>
          <w:rFonts w:ascii="Calibri Light" w:hAnsi="Calibri Light" w:cs="Calibri Light"/>
          <w:i/>
          <w:sz w:val="16"/>
          <w:szCs w:val="16"/>
          <w:lang w:val="es-MX"/>
        </w:rPr>
        <w:t>12</w:t>
      </w:r>
      <w:r w:rsidRPr="00675298">
        <w:rPr>
          <w:rFonts w:ascii="Calibri Light" w:hAnsi="Calibri Light" w:cs="Calibri Light"/>
          <w:sz w:val="16"/>
          <w:szCs w:val="16"/>
          <w:lang w:val="es-MX"/>
        </w:rPr>
        <w:t xml:space="preserve">, </w:t>
      </w:r>
      <w:r w:rsidRPr="00675298">
        <w:rPr>
          <w:rFonts w:ascii="Calibri Light" w:hAnsi="Calibri Light" w:cs="Calibri Light"/>
          <w:i/>
          <w:sz w:val="16"/>
          <w:szCs w:val="16"/>
          <w:lang w:val="es-MX"/>
        </w:rPr>
        <w:t>23</w:t>
      </w:r>
      <w:r w:rsidRPr="00675298">
        <w:rPr>
          <w:rFonts w:ascii="Calibri Light" w:hAnsi="Calibri Light" w:cs="Calibri Light"/>
          <w:sz w:val="16"/>
          <w:szCs w:val="16"/>
          <w:lang w:val="es-MX"/>
        </w:rPr>
        <w:t xml:space="preserve"> y </w:t>
      </w:r>
      <w:r w:rsidRPr="00675298">
        <w:rPr>
          <w:rFonts w:ascii="Calibri Light" w:hAnsi="Calibri Light" w:cs="Calibri Light"/>
          <w:i/>
          <w:sz w:val="16"/>
          <w:szCs w:val="16"/>
          <w:lang w:val="es-MX"/>
        </w:rPr>
        <w:t xml:space="preserve">100% noticias. </w:t>
      </w:r>
      <w:r w:rsidRPr="00675298">
        <w:rPr>
          <w:rFonts w:ascii="Calibri Light" w:hAnsi="Calibri Light" w:cs="Calibri Light"/>
          <w:sz w:val="16"/>
          <w:szCs w:val="16"/>
          <w:lang w:val="es-MX"/>
        </w:rPr>
        <w:t xml:space="preserve">CIDH, CIDH expresa preocupación por muertes en el contexto de protestas en Nicaragua, 24 de abril de 2018, disponible en </w:t>
      </w:r>
      <w:r w:rsidR="002768B0">
        <w:fldChar w:fldCharType="begin"/>
      </w:r>
      <w:r w:rsidR="002768B0" w:rsidRPr="00FE030B">
        <w:rPr>
          <w:lang w:val="es-PE"/>
        </w:rPr>
        <w:instrText xml:space="preserve"> HYPERLINK "http://www.oas.org/</w:instrText>
      </w:r>
      <w:r w:rsidR="002768B0" w:rsidRPr="00FE030B">
        <w:rPr>
          <w:lang w:val="es-PE"/>
        </w:rPr>
        <w:instrText xml:space="preserve">es/cidh/prensa/comunicados/2018/090.asp" </w:instrText>
      </w:r>
      <w:r w:rsidR="002768B0">
        <w:fldChar w:fldCharType="separate"/>
      </w:r>
      <w:r w:rsidRPr="00675298">
        <w:rPr>
          <w:rStyle w:val="Hyperlink"/>
          <w:rFonts w:ascii="Calibri Light" w:hAnsi="Calibri Light" w:cs="Calibri Light"/>
          <w:sz w:val="16"/>
          <w:szCs w:val="16"/>
          <w:lang w:val="es-MX"/>
        </w:rPr>
        <w:t>http://www.oas.org/es/cidh/prensa/comunicados/2018/090.asp</w:t>
      </w:r>
      <w:r w:rsidR="002768B0">
        <w:rPr>
          <w:rStyle w:val="Hyperlink"/>
          <w:rFonts w:ascii="Calibri Light" w:hAnsi="Calibri Light" w:cs="Calibri Light"/>
          <w:sz w:val="16"/>
          <w:szCs w:val="16"/>
          <w:lang w:val="es-MX"/>
        </w:rPr>
        <w:fldChar w:fldCharType="end"/>
      </w:r>
      <w:r w:rsidRPr="00675298">
        <w:rPr>
          <w:rFonts w:ascii="Calibri Light" w:hAnsi="Calibri Light" w:cs="Calibri Light"/>
          <w:sz w:val="16"/>
          <w:szCs w:val="16"/>
          <w:lang w:val="es-MX"/>
        </w:rPr>
        <w:t xml:space="preserve"> </w:t>
      </w:r>
    </w:p>
  </w:footnote>
  <w:footnote w:id="7">
    <w:p w:rsidR="00367266" w:rsidRPr="00675298" w:rsidRDefault="00367266"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r w:rsidR="002768B0">
        <w:fldChar w:fldCharType="begin"/>
      </w:r>
      <w:r w:rsidR="002768B0" w:rsidRPr="00FE030B">
        <w:rPr>
          <w:lang w:val="es-PE"/>
        </w:rPr>
        <w:instrText xml:space="preserve"> HYPERLINK "http://www.oas.org/es/cidh/prensa/comunicados/2018/094.asp" </w:instrText>
      </w:r>
      <w:r w:rsidR="002768B0">
        <w:fldChar w:fldCharType="separate"/>
      </w:r>
      <w:r w:rsidRPr="00675298">
        <w:rPr>
          <w:rStyle w:val="Hyperlink"/>
          <w:rFonts w:ascii="Calibri Light" w:hAnsi="Calibri Light" w:cs="Calibri Light"/>
          <w:sz w:val="16"/>
          <w:szCs w:val="16"/>
          <w:lang w:val="es-MX"/>
        </w:rPr>
        <w:t>http://www.oas.org/es/cidh/prensa/comunicados/2018/094.asp</w:t>
      </w:r>
      <w:r w:rsidR="002768B0">
        <w:rPr>
          <w:rStyle w:val="Hyperlink"/>
          <w:rFonts w:ascii="Calibri Light" w:hAnsi="Calibri Light" w:cs="Calibri Light"/>
          <w:sz w:val="16"/>
          <w:szCs w:val="16"/>
          <w:lang w:val="es-MX"/>
        </w:rPr>
        <w:fldChar w:fldCharType="end"/>
      </w:r>
      <w:r w:rsidRPr="00675298">
        <w:rPr>
          <w:rFonts w:ascii="Calibri Light" w:hAnsi="Calibri Light" w:cs="Calibri Light"/>
          <w:sz w:val="16"/>
          <w:szCs w:val="16"/>
          <w:lang w:val="es-MX"/>
        </w:rPr>
        <w:t xml:space="preserve"> </w:t>
      </w:r>
    </w:p>
  </w:footnote>
  <w:footnote w:id="8">
    <w:p w:rsidR="00367266" w:rsidRPr="00675298" w:rsidRDefault="00367266"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r w:rsidR="002768B0">
        <w:fldChar w:fldCharType="begin"/>
      </w:r>
      <w:r w:rsidR="002768B0" w:rsidRPr="00FE030B">
        <w:rPr>
          <w:lang w:val="es-PE"/>
        </w:rPr>
        <w:instrText xml:space="preserve"> HYPERLINK "http://www.oas.org/es/cidh/prensa/comunicados.asp" </w:instrText>
      </w:r>
      <w:r w:rsidR="002768B0">
        <w:fldChar w:fldCharType="separate"/>
      </w:r>
      <w:r w:rsidRPr="00675298">
        <w:rPr>
          <w:rStyle w:val="Hyperlink"/>
          <w:rFonts w:ascii="Calibri Light" w:hAnsi="Calibri Light" w:cs="Calibri Light"/>
          <w:sz w:val="16"/>
          <w:szCs w:val="16"/>
          <w:lang w:val="es-MX"/>
        </w:rPr>
        <w:t>http://www.oas.org/es/cidh/prensa/comunicados.asp</w:t>
      </w:r>
      <w:r w:rsidR="002768B0">
        <w:rPr>
          <w:rStyle w:val="Hyperlink"/>
          <w:rFonts w:ascii="Calibri Light" w:hAnsi="Calibri Light" w:cs="Calibri Light"/>
          <w:sz w:val="16"/>
          <w:szCs w:val="16"/>
          <w:lang w:val="es-MX"/>
        </w:rPr>
        <w:fldChar w:fldCharType="end"/>
      </w:r>
      <w:r w:rsidRPr="00675298">
        <w:rPr>
          <w:rFonts w:ascii="Calibri Light" w:hAnsi="Calibri Light" w:cs="Calibri Light"/>
          <w:sz w:val="16"/>
          <w:szCs w:val="16"/>
          <w:lang w:val="es-MX"/>
        </w:rPr>
        <w:t xml:space="preserve"> </w:t>
      </w:r>
    </w:p>
  </w:footnote>
  <w:footnote w:id="9">
    <w:p w:rsidR="00367266" w:rsidRPr="00675298" w:rsidRDefault="00367266" w:rsidP="00367266">
      <w:pPr>
        <w:pStyle w:val="FootnoteText"/>
        <w:jc w:val="both"/>
        <w:rPr>
          <w:rFonts w:ascii="Calibri Light" w:hAnsi="Calibri Light" w:cs="Calibri Light"/>
          <w:sz w:val="16"/>
          <w:szCs w:val="16"/>
          <w:lang w:val="es-ES_tradnl"/>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ES_tradnl"/>
        </w:rPr>
        <w:t xml:space="preserve"> CIDH, Observaciones preliminares de la visita de trabajo de la CIDH a Nicaragua, 21 de mayo de 2018. Disponible en: </w:t>
      </w:r>
      <w:r w:rsidR="002768B0">
        <w:fldChar w:fldCharType="begin"/>
      </w:r>
      <w:r w:rsidR="002768B0" w:rsidRPr="00FE030B">
        <w:rPr>
          <w:lang w:val="es-PE"/>
        </w:rPr>
        <w:instrText xml:space="preserve"> HYPERLINK "http://www.oas.org/es/cidh/prensa/comunicados/2018/113.asp" </w:instrText>
      </w:r>
      <w:r w:rsidR="002768B0">
        <w:fldChar w:fldCharType="separate"/>
      </w:r>
      <w:r w:rsidRPr="00675298">
        <w:rPr>
          <w:rStyle w:val="Hyperlink"/>
          <w:rFonts w:ascii="Calibri Light" w:hAnsi="Calibri Light" w:cs="Calibri Light"/>
          <w:sz w:val="16"/>
          <w:szCs w:val="16"/>
          <w:lang w:val="es-ES_tradnl"/>
        </w:rPr>
        <w:t>http://www.oas.org/es/cidh/prensa/comunicados/2018/113.asp</w:t>
      </w:r>
      <w:r w:rsidR="002768B0">
        <w:rPr>
          <w:rStyle w:val="Hyperlink"/>
          <w:rFonts w:ascii="Calibri Light" w:hAnsi="Calibri Light" w:cs="Calibri Light"/>
          <w:sz w:val="16"/>
          <w:szCs w:val="16"/>
          <w:lang w:val="es-ES_tradnl"/>
        </w:rPr>
        <w:fldChar w:fldCharType="end"/>
      </w:r>
      <w:r w:rsidRPr="00675298">
        <w:rPr>
          <w:rFonts w:ascii="Calibri Light" w:hAnsi="Calibri Light" w:cs="Calibri Light"/>
          <w:sz w:val="16"/>
          <w:szCs w:val="16"/>
          <w:lang w:val="es-ES_tradnl"/>
        </w:rPr>
        <w:t xml:space="preserve">  </w:t>
      </w:r>
    </w:p>
  </w:footnote>
  <w:footnote w:id="10">
    <w:p w:rsidR="00367266" w:rsidRPr="00675298" w:rsidRDefault="00367266" w:rsidP="00367266">
      <w:pPr>
        <w:pStyle w:val="FootnoteText"/>
        <w:jc w:val="both"/>
        <w:rPr>
          <w:rFonts w:ascii="Calibri Light" w:hAnsi="Calibri Light" w:cs="Calibri Light"/>
          <w:sz w:val="16"/>
          <w:szCs w:val="16"/>
          <w:lang w:val="es-ES_tradnl"/>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ES_tradnl"/>
        </w:rPr>
        <w:t xml:space="preserve"> CIDH, Observaciones preliminares de la visita de trabajo de la CIDH a Nicaragua, 21 de mayo de 2018. Disponible en: </w:t>
      </w:r>
      <w:r w:rsidR="002768B0">
        <w:fldChar w:fldCharType="begin"/>
      </w:r>
      <w:r w:rsidR="002768B0" w:rsidRPr="00FE030B">
        <w:rPr>
          <w:lang w:val="es-PE"/>
        </w:rPr>
        <w:instrText xml:space="preserve"> H</w:instrText>
      </w:r>
      <w:r w:rsidR="002768B0" w:rsidRPr="00FE030B">
        <w:rPr>
          <w:lang w:val="es-PE"/>
        </w:rPr>
        <w:instrText xml:space="preserve">YPERLINK "http://www.oas.org/es/cidh/prensa/comunicados/2018/113.asp" </w:instrText>
      </w:r>
      <w:r w:rsidR="002768B0">
        <w:fldChar w:fldCharType="separate"/>
      </w:r>
      <w:r w:rsidRPr="00675298">
        <w:rPr>
          <w:rStyle w:val="Hyperlink"/>
          <w:rFonts w:ascii="Calibri Light" w:hAnsi="Calibri Light" w:cs="Calibri Light"/>
          <w:sz w:val="16"/>
          <w:szCs w:val="16"/>
          <w:lang w:val="es-ES_tradnl"/>
        </w:rPr>
        <w:t>http://www.oas.org/es/cidh/prensa/comunicados/2018/113.asp</w:t>
      </w:r>
      <w:r w:rsidR="002768B0">
        <w:rPr>
          <w:rStyle w:val="Hyperlink"/>
          <w:rFonts w:ascii="Calibri Light" w:hAnsi="Calibri Light" w:cs="Calibri Light"/>
          <w:sz w:val="16"/>
          <w:szCs w:val="16"/>
          <w:lang w:val="es-ES_tradnl"/>
        </w:rPr>
        <w:fldChar w:fldCharType="end"/>
      </w:r>
      <w:r w:rsidRPr="00675298">
        <w:rPr>
          <w:rFonts w:ascii="Calibri Light" w:hAnsi="Calibri Light" w:cs="Calibri Light"/>
          <w:sz w:val="16"/>
          <w:szCs w:val="16"/>
          <w:lang w:val="es-ES_tradnl"/>
        </w:rPr>
        <w:t xml:space="preserve"> </w:t>
      </w:r>
    </w:p>
  </w:footnote>
  <w:footnote w:id="11">
    <w:p w:rsidR="00367266" w:rsidRPr="00675298" w:rsidRDefault="00367266" w:rsidP="00367266">
      <w:pPr>
        <w:pStyle w:val="FootnoteText"/>
        <w:jc w:val="both"/>
        <w:rPr>
          <w:rFonts w:ascii="Calibri Light" w:hAnsi="Calibri Light" w:cs="Calibri Light"/>
          <w:sz w:val="16"/>
          <w:szCs w:val="16"/>
          <w:lang w:val="es-ES_tradnl"/>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ES_tradnl"/>
        </w:rPr>
        <w:t xml:space="preserve"> CIDH, CIDH condena nuevos hechos de violencia en Nicaragua, 25 de mayo de 2018. Disponible en: </w:t>
      </w:r>
      <w:r w:rsidR="002768B0">
        <w:fldChar w:fldCharType="begin"/>
      </w:r>
      <w:r w:rsidR="002768B0" w:rsidRPr="00FE030B">
        <w:rPr>
          <w:lang w:val="es-PE"/>
        </w:rPr>
        <w:instrText xml:space="preserve"> HYPERLINK "http://www.oas</w:instrText>
      </w:r>
      <w:r w:rsidR="002768B0" w:rsidRPr="00FE030B">
        <w:rPr>
          <w:lang w:val="es-PE"/>
        </w:rPr>
        <w:instrText xml:space="preserve">.org/es/cidh/prensa/comunicados/2018/118.asp" </w:instrText>
      </w:r>
      <w:r w:rsidR="002768B0">
        <w:fldChar w:fldCharType="separate"/>
      </w:r>
      <w:r w:rsidRPr="00675298">
        <w:rPr>
          <w:rStyle w:val="Hyperlink"/>
          <w:rFonts w:ascii="Calibri Light" w:hAnsi="Calibri Light" w:cs="Calibri Light"/>
          <w:sz w:val="16"/>
          <w:szCs w:val="16"/>
          <w:lang w:val="es-ES_tradnl"/>
        </w:rPr>
        <w:t>http://www.oas.org/es/cidh/prensa/comunicados/2018/118.asp</w:t>
      </w:r>
      <w:r w:rsidR="002768B0">
        <w:rPr>
          <w:rStyle w:val="Hyperlink"/>
          <w:rFonts w:ascii="Calibri Light" w:hAnsi="Calibri Light" w:cs="Calibri Light"/>
          <w:sz w:val="16"/>
          <w:szCs w:val="16"/>
          <w:lang w:val="es-ES_tradnl"/>
        </w:rPr>
        <w:fldChar w:fldCharType="end"/>
      </w:r>
      <w:r w:rsidRPr="00675298">
        <w:rPr>
          <w:rFonts w:ascii="Calibri Light" w:hAnsi="Calibri Light" w:cs="Calibri Light"/>
          <w:sz w:val="16"/>
          <w:szCs w:val="16"/>
          <w:lang w:val="es-ES_tradnl"/>
        </w:rPr>
        <w:t xml:space="preserve">  </w:t>
      </w:r>
    </w:p>
  </w:footnote>
  <w:footnote w:id="12">
    <w:p w:rsidR="00367266" w:rsidRPr="00675298" w:rsidRDefault="00367266" w:rsidP="00367266">
      <w:pPr>
        <w:pStyle w:val="FootnoteText"/>
        <w:jc w:val="both"/>
        <w:rPr>
          <w:rFonts w:ascii="Calibri Light" w:hAnsi="Calibri Light" w:cs="Calibri Light"/>
          <w:sz w:val="16"/>
          <w:szCs w:val="16"/>
          <w:lang w:val="es-ES_tradnl"/>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ES_tradnl"/>
        </w:rPr>
        <w:t xml:space="preserve"> CIDH, CIDH urge a desmantelar grupos parapoliciales y proteger derecho a protesta pacífica, 1 de junio de 2018. Disponible en: </w:t>
      </w:r>
      <w:r w:rsidR="002768B0">
        <w:fldChar w:fldCharType="begin"/>
      </w:r>
      <w:r w:rsidR="002768B0" w:rsidRPr="00FE030B">
        <w:rPr>
          <w:lang w:val="es-PE"/>
        </w:rPr>
        <w:instrText xml:space="preserve"> HYPERLINK "http:</w:instrText>
      </w:r>
      <w:r w:rsidR="002768B0" w:rsidRPr="00FE030B">
        <w:rPr>
          <w:lang w:val="es-PE"/>
        </w:rPr>
        <w:instrText xml:space="preserve">//www.oas.org/es/cidh/prensa/comunicados/2018/124.asp" </w:instrText>
      </w:r>
      <w:r w:rsidR="002768B0">
        <w:fldChar w:fldCharType="separate"/>
      </w:r>
      <w:r w:rsidRPr="00675298">
        <w:rPr>
          <w:rStyle w:val="Hyperlink"/>
          <w:rFonts w:ascii="Calibri Light" w:hAnsi="Calibri Light" w:cs="Calibri Light"/>
          <w:sz w:val="16"/>
          <w:szCs w:val="16"/>
          <w:lang w:val="es-ES_tradnl"/>
        </w:rPr>
        <w:t>http://www.oas.org/es/cidh/prensa/comunicados/2018/124.asp</w:t>
      </w:r>
      <w:r w:rsidR="002768B0">
        <w:rPr>
          <w:rStyle w:val="Hyperlink"/>
          <w:rFonts w:ascii="Calibri Light" w:hAnsi="Calibri Light" w:cs="Calibri Light"/>
          <w:sz w:val="16"/>
          <w:szCs w:val="16"/>
          <w:lang w:val="es-ES_tradnl"/>
        </w:rPr>
        <w:fldChar w:fldCharType="end"/>
      </w:r>
      <w:r w:rsidRPr="00675298">
        <w:rPr>
          <w:rFonts w:ascii="Calibri Light" w:hAnsi="Calibri Light" w:cs="Calibri Light"/>
          <w:sz w:val="16"/>
          <w:szCs w:val="16"/>
          <w:lang w:val="es-ES_tradnl"/>
        </w:rPr>
        <w:t xml:space="preserve">  </w:t>
      </w:r>
    </w:p>
  </w:footnote>
  <w:footnote w:id="13">
    <w:p w:rsidR="00367266" w:rsidRPr="00675298" w:rsidRDefault="00367266" w:rsidP="00367266">
      <w:pPr>
        <w:pStyle w:val="FootnoteText"/>
        <w:jc w:val="both"/>
        <w:rPr>
          <w:rFonts w:ascii="Calibri Light" w:hAnsi="Calibri Light" w:cs="Calibri Light"/>
          <w:sz w:val="16"/>
          <w:szCs w:val="16"/>
          <w:lang w:val="es-ES_tradnl"/>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ES_tradnl"/>
        </w:rPr>
        <w:t xml:space="preserve"> CIDH, CIDH presenta informe sobre grave situación de derechos humanos en Nicaragua, 22 de junio de 2018. Disponible en: </w:t>
      </w:r>
      <w:r w:rsidR="002768B0">
        <w:fldChar w:fldCharType="begin"/>
      </w:r>
      <w:r w:rsidR="002768B0" w:rsidRPr="00FE030B">
        <w:rPr>
          <w:lang w:val="es-PE"/>
        </w:rPr>
        <w:instrText xml:space="preserve"> HYPERLINK "htt</w:instrText>
      </w:r>
      <w:r w:rsidR="002768B0" w:rsidRPr="00FE030B">
        <w:rPr>
          <w:lang w:val="es-PE"/>
        </w:rPr>
        <w:instrText xml:space="preserve">p://www.oas.org/es/cidh/prensa/comunicados/2018/134.asp" </w:instrText>
      </w:r>
      <w:r w:rsidR="002768B0">
        <w:fldChar w:fldCharType="separate"/>
      </w:r>
      <w:r w:rsidRPr="00675298">
        <w:rPr>
          <w:rStyle w:val="Hyperlink"/>
          <w:rFonts w:ascii="Calibri Light" w:hAnsi="Calibri Light" w:cs="Calibri Light"/>
          <w:sz w:val="16"/>
          <w:szCs w:val="16"/>
          <w:lang w:val="es-ES_tradnl"/>
        </w:rPr>
        <w:t>http://www.oas.org/es/cidh/prensa/comunicados/2018/134.asp</w:t>
      </w:r>
      <w:r w:rsidR="002768B0">
        <w:rPr>
          <w:rStyle w:val="Hyperlink"/>
          <w:rFonts w:ascii="Calibri Light" w:hAnsi="Calibri Light" w:cs="Calibri Light"/>
          <w:sz w:val="16"/>
          <w:szCs w:val="16"/>
          <w:lang w:val="es-ES_tradnl"/>
        </w:rPr>
        <w:fldChar w:fldCharType="end"/>
      </w:r>
      <w:r w:rsidRPr="00675298">
        <w:rPr>
          <w:rFonts w:ascii="Calibri Light" w:hAnsi="Calibri Light" w:cs="Calibri Light"/>
          <w:sz w:val="16"/>
          <w:szCs w:val="16"/>
          <w:lang w:val="es-ES_tradnl"/>
        </w:rPr>
        <w:t xml:space="preserve">  </w:t>
      </w:r>
    </w:p>
  </w:footnote>
  <w:footnote w:id="14">
    <w:p w:rsidR="00367266" w:rsidRPr="00675298" w:rsidRDefault="00367266"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CIDH, “</w:t>
      </w:r>
      <w:r w:rsidRPr="00675298">
        <w:rPr>
          <w:rFonts w:ascii="Calibri Light" w:hAnsi="Calibri Light" w:cs="Calibri Light"/>
          <w:bCs/>
          <w:sz w:val="16"/>
          <w:szCs w:val="16"/>
          <w:lang w:val="es-MX"/>
        </w:rPr>
        <w:t xml:space="preserve">CIDH instala el Mecanismo Especial de Seguimiento para Nicaragua (MESENI)”, comunicado de prensa de 24 de junio de 2018. Disponible en: </w:t>
      </w:r>
      <w:r w:rsidR="002768B0">
        <w:fldChar w:fldCharType="begin"/>
      </w:r>
      <w:r w:rsidR="002768B0" w:rsidRPr="00FE030B">
        <w:rPr>
          <w:lang w:val="es-PE"/>
        </w:rPr>
        <w:instrText xml:space="preserve"> HYPERLINK "http://www.oas.org/es/cidh/prensa/Comunicados/2018/135.asp" </w:instrText>
      </w:r>
      <w:r w:rsidR="002768B0">
        <w:fldChar w:fldCharType="separate"/>
      </w:r>
      <w:r w:rsidRPr="00675298">
        <w:rPr>
          <w:rStyle w:val="Hyperlink"/>
          <w:rFonts w:ascii="Calibri Light" w:hAnsi="Calibri Light" w:cs="Calibri Light"/>
          <w:bCs/>
          <w:sz w:val="16"/>
          <w:szCs w:val="16"/>
          <w:lang w:val="es-MX"/>
        </w:rPr>
        <w:t>http://www.oas.org/es/cidh/prensa/Comunicados/2018/135.asp</w:t>
      </w:r>
      <w:r w:rsidR="002768B0">
        <w:rPr>
          <w:rStyle w:val="Hyperlink"/>
          <w:rFonts w:ascii="Calibri Light" w:hAnsi="Calibri Light" w:cs="Calibri Light"/>
          <w:bCs/>
          <w:sz w:val="16"/>
          <w:szCs w:val="16"/>
          <w:lang w:val="es-MX"/>
        </w:rPr>
        <w:fldChar w:fldCharType="end"/>
      </w:r>
      <w:r w:rsidRPr="00675298">
        <w:rPr>
          <w:rFonts w:ascii="Calibri Light" w:hAnsi="Calibri Light" w:cs="Calibri Light"/>
          <w:bCs/>
          <w:sz w:val="16"/>
          <w:szCs w:val="16"/>
          <w:lang w:val="es-MX"/>
        </w:rPr>
        <w:t xml:space="preserve">  </w:t>
      </w:r>
    </w:p>
  </w:footnote>
  <w:footnote w:id="15">
    <w:p w:rsidR="00367266" w:rsidRPr="00675298" w:rsidRDefault="00367266" w:rsidP="00367266">
      <w:pPr>
        <w:pStyle w:val="FootnoteText"/>
        <w:rPr>
          <w:rFonts w:ascii="Calibri Light" w:hAnsi="Calibri Light"/>
          <w:sz w:val="16"/>
          <w:szCs w:val="16"/>
          <w:lang w:val="es-MX"/>
        </w:rPr>
      </w:pPr>
      <w:r w:rsidRPr="00675298">
        <w:rPr>
          <w:rStyle w:val="FootnoteReference"/>
          <w:rFonts w:ascii="Calibri Light" w:hAnsi="Calibri Light"/>
          <w:sz w:val="16"/>
          <w:szCs w:val="16"/>
        </w:rPr>
        <w:footnoteRef/>
      </w:r>
      <w:r w:rsidRPr="00675298">
        <w:rPr>
          <w:rFonts w:ascii="Calibri Light" w:hAnsi="Calibri Light"/>
          <w:sz w:val="16"/>
          <w:szCs w:val="16"/>
          <w:lang w:val="es-MX"/>
        </w:rPr>
        <w:t xml:space="preserve"> CIDH, Mecanismo Especial de Seguimiento para Nicaragua (MESENI) completa tercera semana de trabajo y constata intensificación de represión y operativos por la policía y grupos parapoliciales”, 19 de julio de 2018.</w:t>
      </w:r>
    </w:p>
  </w:footnote>
  <w:footnote w:id="16">
    <w:p w:rsidR="00367266" w:rsidRPr="00675298" w:rsidRDefault="00367266" w:rsidP="00367266">
      <w:pPr>
        <w:pStyle w:val="FootnoteText"/>
        <w:rPr>
          <w:rFonts w:ascii="Calibri Light" w:hAnsi="Calibri Light"/>
          <w:sz w:val="16"/>
          <w:szCs w:val="16"/>
          <w:lang w:val="es-MX"/>
        </w:rPr>
      </w:pPr>
      <w:r w:rsidRPr="00675298">
        <w:rPr>
          <w:rStyle w:val="FootnoteReference"/>
          <w:rFonts w:ascii="Calibri Light" w:hAnsi="Calibri Light"/>
          <w:sz w:val="16"/>
          <w:szCs w:val="16"/>
        </w:rPr>
        <w:footnoteRef/>
      </w:r>
      <w:r w:rsidRPr="00675298">
        <w:rPr>
          <w:rFonts w:ascii="Calibri Light" w:hAnsi="Calibri Light"/>
          <w:sz w:val="16"/>
          <w:szCs w:val="16"/>
          <w:lang w:val="es-MX"/>
        </w:rPr>
        <w:t xml:space="preserve"> CIDH, CIDH urge al Estado de Nicaragua a cesar la criminalización de la protesta y a respetar a las personas privadas de la libertad y sus familias, 24 de agosto de 2018. </w:t>
      </w:r>
    </w:p>
  </w:footnote>
  <w:footnote w:id="17">
    <w:p w:rsidR="00367266" w:rsidRPr="00675298" w:rsidRDefault="00367266" w:rsidP="00367266">
      <w:pPr>
        <w:pStyle w:val="FootnoteText"/>
        <w:rPr>
          <w:rFonts w:ascii="Calibri Light" w:hAnsi="Calibri Light"/>
          <w:sz w:val="16"/>
          <w:szCs w:val="16"/>
          <w:lang w:val="es-MX"/>
        </w:rPr>
      </w:pPr>
      <w:r w:rsidRPr="00675298">
        <w:rPr>
          <w:rStyle w:val="FootnoteReference"/>
          <w:rFonts w:ascii="Calibri Light" w:hAnsi="Calibri Light"/>
          <w:sz w:val="16"/>
          <w:szCs w:val="16"/>
        </w:rPr>
        <w:footnoteRef/>
      </w:r>
      <w:r w:rsidRPr="00675298">
        <w:rPr>
          <w:rFonts w:ascii="Calibri Light" w:hAnsi="Calibri Light"/>
          <w:sz w:val="16"/>
          <w:szCs w:val="16"/>
          <w:lang w:val="es-MX"/>
        </w:rPr>
        <w:t xml:space="preserve">CIDH, CIDH urge al Estado de Nicaragua a cesar la criminalización de la protesta y a respetar a las personas privadas de la libertad y sus familias, 24 de agosto de 2018. </w:t>
      </w:r>
    </w:p>
    <w:p w:rsidR="00367266" w:rsidRPr="00675298" w:rsidRDefault="00367266" w:rsidP="00367266">
      <w:pPr>
        <w:pStyle w:val="FootnoteText"/>
        <w:rPr>
          <w:rFonts w:ascii="Calibri Light" w:hAnsi="Calibri Light"/>
          <w:sz w:val="16"/>
          <w:szCs w:val="16"/>
          <w:lang w:val="es-MX"/>
        </w:rPr>
      </w:pPr>
    </w:p>
  </w:footnote>
  <w:footnote w:id="18">
    <w:p w:rsidR="00453C10" w:rsidRPr="00F707C3" w:rsidRDefault="00453C10" w:rsidP="00F707C3">
      <w:pPr>
        <w:pStyle w:val="FootnoteText"/>
        <w:jc w:val="both"/>
        <w:rPr>
          <w:rFonts w:ascii="Calibri Light" w:hAnsi="Calibri Light" w:cs="Calibri Light"/>
          <w:sz w:val="16"/>
          <w:szCs w:val="16"/>
          <w:lang w:val="es-CO"/>
        </w:rPr>
      </w:pPr>
      <w:r w:rsidRPr="00F707C3">
        <w:rPr>
          <w:rStyle w:val="FootnoteReference"/>
          <w:rFonts w:ascii="Calibri Light" w:hAnsi="Calibri Light" w:cs="Calibri Light"/>
          <w:sz w:val="16"/>
          <w:szCs w:val="16"/>
        </w:rPr>
        <w:footnoteRef/>
      </w:r>
      <w:r w:rsidRPr="00F707C3">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F707C3">
        <w:rPr>
          <w:rFonts w:ascii="Calibri Light" w:hAnsi="Calibri Light" w:cs="Calibri Light"/>
          <w:sz w:val="16"/>
          <w:szCs w:val="16"/>
          <w:lang w:val="es-CO"/>
        </w:rPr>
        <w:t>Tatuapé</w:t>
      </w:r>
      <w:proofErr w:type="spellEnd"/>
      <w:r w:rsidRPr="00F707C3">
        <w:rPr>
          <w:rFonts w:ascii="Calibri Light" w:hAnsi="Calibri Light" w:cs="Calibri Light"/>
          <w:sz w:val="16"/>
          <w:szCs w:val="16"/>
          <w:lang w:val="es-CO"/>
        </w:rPr>
        <w:t xml:space="preserve">” de la </w:t>
      </w:r>
      <w:proofErr w:type="spellStart"/>
      <w:r w:rsidRPr="00F707C3">
        <w:rPr>
          <w:rFonts w:ascii="Calibri Light" w:hAnsi="Calibri Light" w:cs="Calibri Light"/>
          <w:sz w:val="16"/>
          <w:szCs w:val="16"/>
          <w:lang w:val="es-CO"/>
        </w:rPr>
        <w:t>Fundação</w:t>
      </w:r>
      <w:proofErr w:type="spellEnd"/>
      <w:r w:rsidRPr="00F707C3">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19">
    <w:p w:rsidR="00987815" w:rsidRPr="00F707C3" w:rsidRDefault="00987815" w:rsidP="00987815">
      <w:pPr>
        <w:pStyle w:val="FootnoteText"/>
        <w:jc w:val="both"/>
        <w:rPr>
          <w:rFonts w:ascii="Calibri Light" w:hAnsi="Calibri Light" w:cs="Calibri Light"/>
          <w:sz w:val="16"/>
          <w:szCs w:val="16"/>
          <w:lang w:val="es-CO"/>
        </w:rPr>
      </w:pPr>
      <w:r w:rsidRPr="00F707C3">
        <w:rPr>
          <w:rStyle w:val="FootnoteReference"/>
          <w:rFonts w:ascii="Calibri Light" w:hAnsi="Calibri Light" w:cs="Calibri Light"/>
          <w:sz w:val="16"/>
          <w:szCs w:val="16"/>
        </w:rPr>
        <w:footnoteRef/>
      </w:r>
      <w:r w:rsidRPr="005276A2">
        <w:rPr>
          <w:rFonts w:ascii="Calibri Light" w:hAnsi="Calibri Light" w:cs="Calibri Light"/>
          <w:sz w:val="16"/>
          <w:szCs w:val="16"/>
          <w:lang w:val="es-MX"/>
        </w:rPr>
        <w:t xml:space="preserve"> Corte IDH. </w:t>
      </w:r>
      <w:r w:rsidRPr="00F707C3">
        <w:rPr>
          <w:rFonts w:ascii="Calibri Light" w:hAnsi="Calibri Light" w:cs="Calibri Light"/>
          <w:sz w:val="16"/>
          <w:szCs w:val="16"/>
          <w:lang w:val="es-CO"/>
        </w:rPr>
        <w:t xml:space="preserve">Caso “Instituto de Reeducación del Menor” Vs. Paraguay, Sentencia de 2 de septiembre de 2004, párrafo 152. Disponible en: </w:t>
      </w:r>
      <w:r w:rsidR="002768B0">
        <w:fldChar w:fldCharType="begin"/>
      </w:r>
      <w:r w:rsidR="002768B0" w:rsidRPr="00FE030B">
        <w:rPr>
          <w:lang w:val="es-PE"/>
        </w:rPr>
        <w:instrText xml:space="preserve"> HYPERLINK "http://www.corteidh.or.cr/docs/casos/articulos/seriec_112_esp.pdf" </w:instrText>
      </w:r>
      <w:r w:rsidR="002768B0">
        <w:fldChar w:fldCharType="separate"/>
      </w:r>
      <w:r w:rsidRPr="00F707C3">
        <w:rPr>
          <w:rStyle w:val="Hyperlink"/>
          <w:rFonts w:ascii="Calibri Light" w:hAnsi="Calibri Light" w:cs="Calibri Light"/>
          <w:sz w:val="16"/>
          <w:szCs w:val="16"/>
          <w:lang w:val="es-CO"/>
        </w:rPr>
        <w:t>http://www.corteidh.or.cr/docs/casos/articulos/seriec_112_esp.pdf</w:t>
      </w:r>
      <w:r w:rsidR="002768B0">
        <w:rPr>
          <w:rStyle w:val="Hyperlink"/>
          <w:rFonts w:ascii="Calibri Light" w:hAnsi="Calibri Light" w:cs="Calibri Light"/>
          <w:sz w:val="16"/>
          <w:szCs w:val="16"/>
          <w:lang w:val="es-CO"/>
        </w:rPr>
        <w:fldChar w:fldCharType="end"/>
      </w:r>
      <w:r w:rsidRPr="00F707C3">
        <w:rPr>
          <w:rFonts w:ascii="Calibri Light" w:hAnsi="Calibri Light" w:cs="Calibri Light"/>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10" w:rsidRPr="00EB2B50" w:rsidRDefault="00453C10"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1546FD97" wp14:editId="5F7B45F2">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173748AE" wp14:editId="3EEC070A">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453C10" w:rsidRPr="00EB2B50" w:rsidRDefault="00453C10"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453C10" w:rsidRDefault="00453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4D4"/>
    <w:multiLevelType w:val="hybridMultilevel"/>
    <w:tmpl w:val="C066B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919"/>
    <w:multiLevelType w:val="hybridMultilevel"/>
    <w:tmpl w:val="DA8CBAAC"/>
    <w:lvl w:ilvl="0" w:tplc="D7C645B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51DBC"/>
    <w:multiLevelType w:val="hybridMultilevel"/>
    <w:tmpl w:val="D3064E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5">
    <w:nsid w:val="402049E6"/>
    <w:multiLevelType w:val="hybridMultilevel"/>
    <w:tmpl w:val="199E4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4">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531B7"/>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6"/>
  </w:num>
  <w:num w:numId="4">
    <w:abstractNumId w:val="25"/>
  </w:num>
  <w:num w:numId="5">
    <w:abstractNumId w:val="8"/>
  </w:num>
  <w:num w:numId="6">
    <w:abstractNumId w:val="34"/>
  </w:num>
  <w:num w:numId="7">
    <w:abstractNumId w:val="20"/>
  </w:num>
  <w:num w:numId="8">
    <w:abstractNumId w:val="7"/>
  </w:num>
  <w:num w:numId="9">
    <w:abstractNumId w:val="33"/>
  </w:num>
  <w:num w:numId="10">
    <w:abstractNumId w:val="4"/>
  </w:num>
  <w:num w:numId="11">
    <w:abstractNumId w:val="14"/>
  </w:num>
  <w:num w:numId="12">
    <w:abstractNumId w:val="36"/>
  </w:num>
  <w:num w:numId="13">
    <w:abstractNumId w:val="22"/>
  </w:num>
  <w:num w:numId="14">
    <w:abstractNumId w:val="37"/>
  </w:num>
  <w:num w:numId="15">
    <w:abstractNumId w:val="29"/>
  </w:num>
  <w:num w:numId="16">
    <w:abstractNumId w:val="6"/>
  </w:num>
  <w:num w:numId="17">
    <w:abstractNumId w:val="19"/>
  </w:num>
  <w:num w:numId="18">
    <w:abstractNumId w:val="31"/>
  </w:num>
  <w:num w:numId="19">
    <w:abstractNumId w:val="17"/>
  </w:num>
  <w:num w:numId="20">
    <w:abstractNumId w:val="9"/>
  </w:num>
  <w:num w:numId="21">
    <w:abstractNumId w:val="35"/>
  </w:num>
  <w:num w:numId="22">
    <w:abstractNumId w:val="11"/>
  </w:num>
  <w:num w:numId="23">
    <w:abstractNumId w:val="21"/>
  </w:num>
  <w:num w:numId="24">
    <w:abstractNumId w:val="16"/>
  </w:num>
  <w:num w:numId="25">
    <w:abstractNumId w:val="27"/>
  </w:num>
  <w:num w:numId="26">
    <w:abstractNumId w:val="24"/>
  </w:num>
  <w:num w:numId="27">
    <w:abstractNumId w:val="18"/>
  </w:num>
  <w:num w:numId="28">
    <w:abstractNumId w:val="32"/>
  </w:num>
  <w:num w:numId="29">
    <w:abstractNumId w:val="12"/>
  </w:num>
  <w:num w:numId="30">
    <w:abstractNumId w:val="30"/>
  </w:num>
  <w:num w:numId="31">
    <w:abstractNumId w:val="5"/>
  </w:num>
  <w:num w:numId="32">
    <w:abstractNumId w:val="3"/>
  </w:num>
  <w:num w:numId="33">
    <w:abstractNumId w:val="28"/>
  </w:num>
  <w:num w:numId="34">
    <w:abstractNumId w:val="13"/>
  </w:num>
  <w:num w:numId="35">
    <w:abstractNumId w:val="25"/>
  </w:num>
  <w:num w:numId="36">
    <w:abstractNumId w:val="15"/>
  </w:num>
  <w:num w:numId="37">
    <w:abstractNumId w:val="2"/>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334"/>
    <w:rsid w:val="000046FB"/>
    <w:rsid w:val="00016D17"/>
    <w:rsid w:val="000177C5"/>
    <w:rsid w:val="0002276D"/>
    <w:rsid w:val="000257B7"/>
    <w:rsid w:val="00033997"/>
    <w:rsid w:val="000410ED"/>
    <w:rsid w:val="000420A1"/>
    <w:rsid w:val="00042A32"/>
    <w:rsid w:val="00044439"/>
    <w:rsid w:val="00051F30"/>
    <w:rsid w:val="0005596F"/>
    <w:rsid w:val="00055CA1"/>
    <w:rsid w:val="00060488"/>
    <w:rsid w:val="00063C74"/>
    <w:rsid w:val="0006588B"/>
    <w:rsid w:val="00071F45"/>
    <w:rsid w:val="000774EE"/>
    <w:rsid w:val="0008518F"/>
    <w:rsid w:val="00091976"/>
    <w:rsid w:val="000928A4"/>
    <w:rsid w:val="000A32C9"/>
    <w:rsid w:val="000B0A33"/>
    <w:rsid w:val="000B6E76"/>
    <w:rsid w:val="000B7FD7"/>
    <w:rsid w:val="000C477B"/>
    <w:rsid w:val="000C6F0B"/>
    <w:rsid w:val="000C7ACF"/>
    <w:rsid w:val="000D5FA0"/>
    <w:rsid w:val="000E08CF"/>
    <w:rsid w:val="000E6D98"/>
    <w:rsid w:val="000F4803"/>
    <w:rsid w:val="000F5651"/>
    <w:rsid w:val="000F71C7"/>
    <w:rsid w:val="00103606"/>
    <w:rsid w:val="0010544B"/>
    <w:rsid w:val="00116930"/>
    <w:rsid w:val="00117494"/>
    <w:rsid w:val="00120A20"/>
    <w:rsid w:val="00121B32"/>
    <w:rsid w:val="001243C4"/>
    <w:rsid w:val="00127DAC"/>
    <w:rsid w:val="00134D7F"/>
    <w:rsid w:val="00134EAB"/>
    <w:rsid w:val="00135BD2"/>
    <w:rsid w:val="00141FB3"/>
    <w:rsid w:val="00143137"/>
    <w:rsid w:val="00152570"/>
    <w:rsid w:val="00157D25"/>
    <w:rsid w:val="0016494C"/>
    <w:rsid w:val="00187CAF"/>
    <w:rsid w:val="001A3A0D"/>
    <w:rsid w:val="001A538E"/>
    <w:rsid w:val="001B1360"/>
    <w:rsid w:val="001B1EED"/>
    <w:rsid w:val="001B7C2F"/>
    <w:rsid w:val="001C2C7B"/>
    <w:rsid w:val="001C4659"/>
    <w:rsid w:val="001D1AF4"/>
    <w:rsid w:val="002003DF"/>
    <w:rsid w:val="00200DCA"/>
    <w:rsid w:val="00201451"/>
    <w:rsid w:val="00201BA3"/>
    <w:rsid w:val="00203E35"/>
    <w:rsid w:val="002067D1"/>
    <w:rsid w:val="0021052C"/>
    <w:rsid w:val="00222468"/>
    <w:rsid w:val="00231A97"/>
    <w:rsid w:val="0023649E"/>
    <w:rsid w:val="00237D5D"/>
    <w:rsid w:val="00242ED7"/>
    <w:rsid w:val="00246FEE"/>
    <w:rsid w:val="002603DF"/>
    <w:rsid w:val="00262DEA"/>
    <w:rsid w:val="002700D7"/>
    <w:rsid w:val="002707AC"/>
    <w:rsid w:val="002751C9"/>
    <w:rsid w:val="002768B0"/>
    <w:rsid w:val="002829A4"/>
    <w:rsid w:val="00290CD7"/>
    <w:rsid w:val="00296062"/>
    <w:rsid w:val="002A14E2"/>
    <w:rsid w:val="002A4360"/>
    <w:rsid w:val="002A6588"/>
    <w:rsid w:val="002B27B9"/>
    <w:rsid w:val="002B6D39"/>
    <w:rsid w:val="002B7483"/>
    <w:rsid w:val="002B765C"/>
    <w:rsid w:val="002C65CC"/>
    <w:rsid w:val="002D06A7"/>
    <w:rsid w:val="002E1496"/>
    <w:rsid w:val="002E6AD5"/>
    <w:rsid w:val="002F2145"/>
    <w:rsid w:val="002F2851"/>
    <w:rsid w:val="002F3EE8"/>
    <w:rsid w:val="002F6D80"/>
    <w:rsid w:val="002F7DC8"/>
    <w:rsid w:val="00300A8F"/>
    <w:rsid w:val="00301A15"/>
    <w:rsid w:val="003074F0"/>
    <w:rsid w:val="00311B10"/>
    <w:rsid w:val="003145FB"/>
    <w:rsid w:val="003149F4"/>
    <w:rsid w:val="00315DBE"/>
    <w:rsid w:val="00320A54"/>
    <w:rsid w:val="003256D7"/>
    <w:rsid w:val="00334B6E"/>
    <w:rsid w:val="00336317"/>
    <w:rsid w:val="00341E50"/>
    <w:rsid w:val="0034453E"/>
    <w:rsid w:val="00344A74"/>
    <w:rsid w:val="00347322"/>
    <w:rsid w:val="00350B90"/>
    <w:rsid w:val="0036201B"/>
    <w:rsid w:val="0036572F"/>
    <w:rsid w:val="00367266"/>
    <w:rsid w:val="00375BEC"/>
    <w:rsid w:val="003916BF"/>
    <w:rsid w:val="00394F14"/>
    <w:rsid w:val="003A037C"/>
    <w:rsid w:val="003B249B"/>
    <w:rsid w:val="003B4224"/>
    <w:rsid w:val="003B5DA7"/>
    <w:rsid w:val="003B5F38"/>
    <w:rsid w:val="003B7286"/>
    <w:rsid w:val="003B7C3D"/>
    <w:rsid w:val="003D7B39"/>
    <w:rsid w:val="003F0EAF"/>
    <w:rsid w:val="003F219E"/>
    <w:rsid w:val="003F662A"/>
    <w:rsid w:val="003F7DF1"/>
    <w:rsid w:val="00407470"/>
    <w:rsid w:val="0041045D"/>
    <w:rsid w:val="0041180A"/>
    <w:rsid w:val="00412773"/>
    <w:rsid w:val="00413480"/>
    <w:rsid w:val="0042492E"/>
    <w:rsid w:val="00427214"/>
    <w:rsid w:val="00430D17"/>
    <w:rsid w:val="0043575A"/>
    <w:rsid w:val="00436048"/>
    <w:rsid w:val="00440C57"/>
    <w:rsid w:val="00442669"/>
    <w:rsid w:val="00445B4E"/>
    <w:rsid w:val="00447CC2"/>
    <w:rsid w:val="004504C1"/>
    <w:rsid w:val="00453C10"/>
    <w:rsid w:val="00460121"/>
    <w:rsid w:val="004606E7"/>
    <w:rsid w:val="004611C7"/>
    <w:rsid w:val="00476D39"/>
    <w:rsid w:val="00477A23"/>
    <w:rsid w:val="0048293A"/>
    <w:rsid w:val="00482C4F"/>
    <w:rsid w:val="004929F0"/>
    <w:rsid w:val="00494D5F"/>
    <w:rsid w:val="004A3135"/>
    <w:rsid w:val="004A35E0"/>
    <w:rsid w:val="004A368D"/>
    <w:rsid w:val="004B4FA3"/>
    <w:rsid w:val="004C14C0"/>
    <w:rsid w:val="004C4C4F"/>
    <w:rsid w:val="004C631D"/>
    <w:rsid w:val="004C6AD2"/>
    <w:rsid w:val="004D77B3"/>
    <w:rsid w:val="004E4495"/>
    <w:rsid w:val="004E6051"/>
    <w:rsid w:val="004F6741"/>
    <w:rsid w:val="00510508"/>
    <w:rsid w:val="005136FE"/>
    <w:rsid w:val="00516CD7"/>
    <w:rsid w:val="00517C92"/>
    <w:rsid w:val="00527499"/>
    <w:rsid w:val="005276A2"/>
    <w:rsid w:val="0053160E"/>
    <w:rsid w:val="00534DF9"/>
    <w:rsid w:val="00541499"/>
    <w:rsid w:val="0055350B"/>
    <w:rsid w:val="00553BD4"/>
    <w:rsid w:val="005548D4"/>
    <w:rsid w:val="005560F8"/>
    <w:rsid w:val="00561771"/>
    <w:rsid w:val="005619F9"/>
    <w:rsid w:val="00562D24"/>
    <w:rsid w:val="00564FA8"/>
    <w:rsid w:val="005739A2"/>
    <w:rsid w:val="00576AA4"/>
    <w:rsid w:val="00580374"/>
    <w:rsid w:val="00586273"/>
    <w:rsid w:val="00591592"/>
    <w:rsid w:val="005917FF"/>
    <w:rsid w:val="00592CEE"/>
    <w:rsid w:val="0059333C"/>
    <w:rsid w:val="00597788"/>
    <w:rsid w:val="00597B44"/>
    <w:rsid w:val="005B1A92"/>
    <w:rsid w:val="005B4379"/>
    <w:rsid w:val="005C30E7"/>
    <w:rsid w:val="005C5DD7"/>
    <w:rsid w:val="005D44DD"/>
    <w:rsid w:val="005D6270"/>
    <w:rsid w:val="005E17FF"/>
    <w:rsid w:val="005F7A9A"/>
    <w:rsid w:val="00600DA8"/>
    <w:rsid w:val="00602F20"/>
    <w:rsid w:val="0061551E"/>
    <w:rsid w:val="0061648C"/>
    <w:rsid w:val="00617B71"/>
    <w:rsid w:val="00621F4E"/>
    <w:rsid w:val="0062583B"/>
    <w:rsid w:val="00630446"/>
    <w:rsid w:val="006313AD"/>
    <w:rsid w:val="006474AC"/>
    <w:rsid w:val="006511B3"/>
    <w:rsid w:val="00653676"/>
    <w:rsid w:val="00655693"/>
    <w:rsid w:val="00661D93"/>
    <w:rsid w:val="00670F30"/>
    <w:rsid w:val="0067205D"/>
    <w:rsid w:val="00675E9E"/>
    <w:rsid w:val="00685FE1"/>
    <w:rsid w:val="006A0331"/>
    <w:rsid w:val="006B018A"/>
    <w:rsid w:val="006B147D"/>
    <w:rsid w:val="006C4041"/>
    <w:rsid w:val="006C7934"/>
    <w:rsid w:val="006D4ACB"/>
    <w:rsid w:val="006D65E5"/>
    <w:rsid w:val="006D6C4C"/>
    <w:rsid w:val="006D7DD5"/>
    <w:rsid w:val="006E488D"/>
    <w:rsid w:val="006E5092"/>
    <w:rsid w:val="006F05F0"/>
    <w:rsid w:val="006F19A7"/>
    <w:rsid w:val="006F5994"/>
    <w:rsid w:val="007012E6"/>
    <w:rsid w:val="0070166E"/>
    <w:rsid w:val="00701C6E"/>
    <w:rsid w:val="00706ED5"/>
    <w:rsid w:val="00707CD5"/>
    <w:rsid w:val="0071391F"/>
    <w:rsid w:val="00715D5E"/>
    <w:rsid w:val="00717AAA"/>
    <w:rsid w:val="0074456F"/>
    <w:rsid w:val="00746642"/>
    <w:rsid w:val="00753A48"/>
    <w:rsid w:val="0075627A"/>
    <w:rsid w:val="00781030"/>
    <w:rsid w:val="00782CF4"/>
    <w:rsid w:val="00792DC7"/>
    <w:rsid w:val="00794CD0"/>
    <w:rsid w:val="00796926"/>
    <w:rsid w:val="00797684"/>
    <w:rsid w:val="007A47FB"/>
    <w:rsid w:val="007A6085"/>
    <w:rsid w:val="007C14F3"/>
    <w:rsid w:val="007C6367"/>
    <w:rsid w:val="007D5F92"/>
    <w:rsid w:val="007D6FBE"/>
    <w:rsid w:val="007E61AF"/>
    <w:rsid w:val="007F2903"/>
    <w:rsid w:val="007F391C"/>
    <w:rsid w:val="007F5133"/>
    <w:rsid w:val="007F7C36"/>
    <w:rsid w:val="00800254"/>
    <w:rsid w:val="00821AB1"/>
    <w:rsid w:val="00823803"/>
    <w:rsid w:val="00831934"/>
    <w:rsid w:val="00833694"/>
    <w:rsid w:val="00833FEC"/>
    <w:rsid w:val="00837E77"/>
    <w:rsid w:val="008437FB"/>
    <w:rsid w:val="00847CDD"/>
    <w:rsid w:val="00853F6D"/>
    <w:rsid w:val="00857DF6"/>
    <w:rsid w:val="008610B2"/>
    <w:rsid w:val="008705D5"/>
    <w:rsid w:val="00881272"/>
    <w:rsid w:val="0088571A"/>
    <w:rsid w:val="008858B3"/>
    <w:rsid w:val="0088615C"/>
    <w:rsid w:val="008933C9"/>
    <w:rsid w:val="00893685"/>
    <w:rsid w:val="00896D77"/>
    <w:rsid w:val="00897E1E"/>
    <w:rsid w:val="008A250A"/>
    <w:rsid w:val="008B5CC1"/>
    <w:rsid w:val="008C147D"/>
    <w:rsid w:val="008C2039"/>
    <w:rsid w:val="008C510A"/>
    <w:rsid w:val="008C539C"/>
    <w:rsid w:val="008D2A75"/>
    <w:rsid w:val="008E4BCC"/>
    <w:rsid w:val="008F0705"/>
    <w:rsid w:val="008F165A"/>
    <w:rsid w:val="008F1867"/>
    <w:rsid w:val="008F36AB"/>
    <w:rsid w:val="008F49E0"/>
    <w:rsid w:val="00915736"/>
    <w:rsid w:val="00915CF4"/>
    <w:rsid w:val="00916E53"/>
    <w:rsid w:val="009319FF"/>
    <w:rsid w:val="00941A26"/>
    <w:rsid w:val="009500A0"/>
    <w:rsid w:val="0095218C"/>
    <w:rsid w:val="0095221C"/>
    <w:rsid w:val="00956926"/>
    <w:rsid w:val="00957290"/>
    <w:rsid w:val="00962873"/>
    <w:rsid w:val="0096668E"/>
    <w:rsid w:val="00972798"/>
    <w:rsid w:val="00976F76"/>
    <w:rsid w:val="00982963"/>
    <w:rsid w:val="00982A64"/>
    <w:rsid w:val="00982B18"/>
    <w:rsid w:val="00987815"/>
    <w:rsid w:val="0099110E"/>
    <w:rsid w:val="00996830"/>
    <w:rsid w:val="00997E07"/>
    <w:rsid w:val="009A29BA"/>
    <w:rsid w:val="009A2EAD"/>
    <w:rsid w:val="009B1065"/>
    <w:rsid w:val="009B277A"/>
    <w:rsid w:val="009C692F"/>
    <w:rsid w:val="009F4F71"/>
    <w:rsid w:val="00A03413"/>
    <w:rsid w:val="00A04454"/>
    <w:rsid w:val="00A10B6D"/>
    <w:rsid w:val="00A112C8"/>
    <w:rsid w:val="00A11C65"/>
    <w:rsid w:val="00A15983"/>
    <w:rsid w:val="00A16F24"/>
    <w:rsid w:val="00A253CD"/>
    <w:rsid w:val="00A26044"/>
    <w:rsid w:val="00A31CC7"/>
    <w:rsid w:val="00A400F2"/>
    <w:rsid w:val="00A41286"/>
    <w:rsid w:val="00A46026"/>
    <w:rsid w:val="00A472E6"/>
    <w:rsid w:val="00A5415F"/>
    <w:rsid w:val="00A61632"/>
    <w:rsid w:val="00A625D6"/>
    <w:rsid w:val="00A64608"/>
    <w:rsid w:val="00A66ED7"/>
    <w:rsid w:val="00A75874"/>
    <w:rsid w:val="00A769FE"/>
    <w:rsid w:val="00A92086"/>
    <w:rsid w:val="00AA10F7"/>
    <w:rsid w:val="00AA11F8"/>
    <w:rsid w:val="00AA3DBB"/>
    <w:rsid w:val="00AB16C7"/>
    <w:rsid w:val="00AC1CF8"/>
    <w:rsid w:val="00AC3610"/>
    <w:rsid w:val="00AC66CA"/>
    <w:rsid w:val="00AD4E0E"/>
    <w:rsid w:val="00AD58EC"/>
    <w:rsid w:val="00AD715C"/>
    <w:rsid w:val="00AE34CF"/>
    <w:rsid w:val="00AE686F"/>
    <w:rsid w:val="00AF3207"/>
    <w:rsid w:val="00AF65D7"/>
    <w:rsid w:val="00B00DE5"/>
    <w:rsid w:val="00B02F64"/>
    <w:rsid w:val="00B2079C"/>
    <w:rsid w:val="00B24306"/>
    <w:rsid w:val="00B24481"/>
    <w:rsid w:val="00B37542"/>
    <w:rsid w:val="00B42720"/>
    <w:rsid w:val="00B44179"/>
    <w:rsid w:val="00B54269"/>
    <w:rsid w:val="00B5461A"/>
    <w:rsid w:val="00B62D38"/>
    <w:rsid w:val="00B67F5A"/>
    <w:rsid w:val="00B757E0"/>
    <w:rsid w:val="00B86D01"/>
    <w:rsid w:val="00B87A9F"/>
    <w:rsid w:val="00B91F1F"/>
    <w:rsid w:val="00B93273"/>
    <w:rsid w:val="00B93B04"/>
    <w:rsid w:val="00B94358"/>
    <w:rsid w:val="00B96D20"/>
    <w:rsid w:val="00BA1676"/>
    <w:rsid w:val="00BB4F80"/>
    <w:rsid w:val="00BB7EE0"/>
    <w:rsid w:val="00BC7E9F"/>
    <w:rsid w:val="00BD2F74"/>
    <w:rsid w:val="00BD3736"/>
    <w:rsid w:val="00BD7202"/>
    <w:rsid w:val="00BE3064"/>
    <w:rsid w:val="00BE499D"/>
    <w:rsid w:val="00BF2297"/>
    <w:rsid w:val="00BF493A"/>
    <w:rsid w:val="00BF4A9A"/>
    <w:rsid w:val="00BF4D1F"/>
    <w:rsid w:val="00BF6117"/>
    <w:rsid w:val="00C01155"/>
    <w:rsid w:val="00C03ECD"/>
    <w:rsid w:val="00C070B1"/>
    <w:rsid w:val="00C10393"/>
    <w:rsid w:val="00C17769"/>
    <w:rsid w:val="00C202D5"/>
    <w:rsid w:val="00C248AF"/>
    <w:rsid w:val="00C3656E"/>
    <w:rsid w:val="00C37B56"/>
    <w:rsid w:val="00C47663"/>
    <w:rsid w:val="00C50B5F"/>
    <w:rsid w:val="00C72035"/>
    <w:rsid w:val="00C72EBD"/>
    <w:rsid w:val="00C7773C"/>
    <w:rsid w:val="00C80875"/>
    <w:rsid w:val="00C80E8C"/>
    <w:rsid w:val="00C82EE9"/>
    <w:rsid w:val="00C85524"/>
    <w:rsid w:val="00C86A91"/>
    <w:rsid w:val="00C92997"/>
    <w:rsid w:val="00C93338"/>
    <w:rsid w:val="00C941E4"/>
    <w:rsid w:val="00CB683E"/>
    <w:rsid w:val="00CD44A5"/>
    <w:rsid w:val="00CD7245"/>
    <w:rsid w:val="00CE06CE"/>
    <w:rsid w:val="00CE2824"/>
    <w:rsid w:val="00CE479C"/>
    <w:rsid w:val="00CF31B5"/>
    <w:rsid w:val="00CF471A"/>
    <w:rsid w:val="00CF6818"/>
    <w:rsid w:val="00CF795E"/>
    <w:rsid w:val="00D03160"/>
    <w:rsid w:val="00D17FBF"/>
    <w:rsid w:val="00D30A65"/>
    <w:rsid w:val="00D36421"/>
    <w:rsid w:val="00D36B94"/>
    <w:rsid w:val="00D51506"/>
    <w:rsid w:val="00D57042"/>
    <w:rsid w:val="00D576DC"/>
    <w:rsid w:val="00D614C0"/>
    <w:rsid w:val="00D6768E"/>
    <w:rsid w:val="00D7667F"/>
    <w:rsid w:val="00D80562"/>
    <w:rsid w:val="00D82EB6"/>
    <w:rsid w:val="00D85507"/>
    <w:rsid w:val="00D86DC8"/>
    <w:rsid w:val="00D90487"/>
    <w:rsid w:val="00D936C1"/>
    <w:rsid w:val="00D94DA3"/>
    <w:rsid w:val="00DA74E0"/>
    <w:rsid w:val="00DA7DE0"/>
    <w:rsid w:val="00DC298F"/>
    <w:rsid w:val="00DD0E4E"/>
    <w:rsid w:val="00DD4033"/>
    <w:rsid w:val="00DD6247"/>
    <w:rsid w:val="00DD6899"/>
    <w:rsid w:val="00DD71A6"/>
    <w:rsid w:val="00DE3CE9"/>
    <w:rsid w:val="00DE3DB4"/>
    <w:rsid w:val="00DE40C1"/>
    <w:rsid w:val="00DF33DA"/>
    <w:rsid w:val="00E0433C"/>
    <w:rsid w:val="00E07B4C"/>
    <w:rsid w:val="00E1565B"/>
    <w:rsid w:val="00E2162A"/>
    <w:rsid w:val="00E3013C"/>
    <w:rsid w:val="00E32F82"/>
    <w:rsid w:val="00E33790"/>
    <w:rsid w:val="00E4731D"/>
    <w:rsid w:val="00E53216"/>
    <w:rsid w:val="00E73E5C"/>
    <w:rsid w:val="00E74C15"/>
    <w:rsid w:val="00E77A8F"/>
    <w:rsid w:val="00E83B06"/>
    <w:rsid w:val="00E874E2"/>
    <w:rsid w:val="00E94934"/>
    <w:rsid w:val="00E94AA7"/>
    <w:rsid w:val="00E974DD"/>
    <w:rsid w:val="00EA1DFE"/>
    <w:rsid w:val="00EA4016"/>
    <w:rsid w:val="00EA4BCD"/>
    <w:rsid w:val="00EA71F8"/>
    <w:rsid w:val="00EB0B46"/>
    <w:rsid w:val="00EB1BF2"/>
    <w:rsid w:val="00EB225A"/>
    <w:rsid w:val="00EB2B50"/>
    <w:rsid w:val="00EB2BF3"/>
    <w:rsid w:val="00EC1442"/>
    <w:rsid w:val="00EC41B1"/>
    <w:rsid w:val="00ED66F2"/>
    <w:rsid w:val="00EE0AC8"/>
    <w:rsid w:val="00EF0860"/>
    <w:rsid w:val="00EF2EDC"/>
    <w:rsid w:val="00EF4EB6"/>
    <w:rsid w:val="00EF7E16"/>
    <w:rsid w:val="00F01D7F"/>
    <w:rsid w:val="00F02BD3"/>
    <w:rsid w:val="00F04679"/>
    <w:rsid w:val="00F26E9B"/>
    <w:rsid w:val="00F27486"/>
    <w:rsid w:val="00F279D9"/>
    <w:rsid w:val="00F30F7A"/>
    <w:rsid w:val="00F33621"/>
    <w:rsid w:val="00F35D99"/>
    <w:rsid w:val="00F447DA"/>
    <w:rsid w:val="00F53947"/>
    <w:rsid w:val="00F54727"/>
    <w:rsid w:val="00F554C7"/>
    <w:rsid w:val="00F5620A"/>
    <w:rsid w:val="00F6166B"/>
    <w:rsid w:val="00F65907"/>
    <w:rsid w:val="00F66ED2"/>
    <w:rsid w:val="00F707C3"/>
    <w:rsid w:val="00F744D4"/>
    <w:rsid w:val="00F74EC5"/>
    <w:rsid w:val="00F76EE4"/>
    <w:rsid w:val="00F870CE"/>
    <w:rsid w:val="00F93418"/>
    <w:rsid w:val="00F93B5F"/>
    <w:rsid w:val="00FA0AB4"/>
    <w:rsid w:val="00FA7AED"/>
    <w:rsid w:val="00FC2D1D"/>
    <w:rsid w:val="00FC460C"/>
    <w:rsid w:val="00FC4E79"/>
    <w:rsid w:val="00FC5AE6"/>
    <w:rsid w:val="00FC62C5"/>
    <w:rsid w:val="00FD2B81"/>
    <w:rsid w:val="00FD53E7"/>
    <w:rsid w:val="00FE030B"/>
    <w:rsid w:val="00FE0E34"/>
    <w:rsid w:val="00FE2904"/>
    <w:rsid w:val="00FF28F3"/>
    <w:rsid w:val="00FF4AAE"/>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6EA3-67C8-4536-B2AD-60BD4FDE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3862</Words>
  <Characters>22015</Characters>
  <Application>Microsoft Office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5</cp:revision>
  <cp:lastPrinted>2018-07-25T15:05:00Z</cp:lastPrinted>
  <dcterms:created xsi:type="dcterms:W3CDTF">2018-10-02T17:48:00Z</dcterms:created>
  <dcterms:modified xsi:type="dcterms:W3CDTF">2018-10-02T20:23:00Z</dcterms:modified>
</cp:coreProperties>
</file>