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45714" w14:textId="77777777" w:rsidR="00923873" w:rsidRPr="001F2578" w:rsidRDefault="00923873" w:rsidP="0062385F">
      <w:pPr>
        <w:spacing w:after="0" w:line="240" w:lineRule="auto"/>
        <w:jc w:val="center"/>
        <w:rPr>
          <w:rFonts w:ascii="Cambria" w:hAnsi="Cambria"/>
          <w:b/>
          <w:szCs w:val="21"/>
          <w:lang w:val="es-US"/>
        </w:rPr>
      </w:pPr>
      <w:r w:rsidRPr="001F2578">
        <w:rPr>
          <w:rFonts w:ascii="Cambria" w:hAnsi="Cambria"/>
          <w:b/>
          <w:szCs w:val="21"/>
          <w:lang w:val="es-US"/>
        </w:rPr>
        <w:t>COMISIÓN INTERAMERICANA DE DERECHOS HUMANOS</w:t>
      </w:r>
    </w:p>
    <w:p w14:paraId="19D18529" w14:textId="53E078C6" w:rsidR="00923873" w:rsidRPr="001F2578" w:rsidRDefault="00B5078A" w:rsidP="004D1F08">
      <w:pPr>
        <w:spacing w:after="0" w:line="240" w:lineRule="auto"/>
        <w:jc w:val="center"/>
        <w:rPr>
          <w:rFonts w:ascii="Cambria" w:hAnsi="Cambria"/>
          <w:b/>
          <w:color w:val="000000"/>
          <w:sz w:val="21"/>
          <w:szCs w:val="21"/>
          <w:lang w:val="es-US"/>
        </w:rPr>
      </w:pPr>
      <w:r>
        <w:rPr>
          <w:rFonts w:ascii="Cambria" w:hAnsi="Cambria"/>
          <w:b/>
          <w:color w:val="000000"/>
          <w:szCs w:val="21"/>
          <w:lang w:val="es-US"/>
        </w:rPr>
        <w:t xml:space="preserve">RESOLUCIÓN </w:t>
      </w:r>
      <w:r w:rsidR="00624A86">
        <w:rPr>
          <w:rFonts w:ascii="Cambria" w:hAnsi="Cambria"/>
          <w:b/>
          <w:color w:val="000000"/>
          <w:szCs w:val="21"/>
          <w:lang w:val="es-US"/>
        </w:rPr>
        <w:t>32</w:t>
      </w:r>
      <w:r>
        <w:rPr>
          <w:rFonts w:ascii="Cambria" w:hAnsi="Cambria"/>
          <w:b/>
          <w:color w:val="000000"/>
          <w:szCs w:val="21"/>
          <w:lang w:val="es-US"/>
        </w:rPr>
        <w:t>/2018</w:t>
      </w:r>
    </w:p>
    <w:p w14:paraId="63B10170" w14:textId="77777777" w:rsidR="00CD26EA" w:rsidRDefault="00CD26EA" w:rsidP="0062385F">
      <w:pPr>
        <w:spacing w:after="0" w:line="240" w:lineRule="auto"/>
        <w:jc w:val="center"/>
        <w:rPr>
          <w:rFonts w:ascii="Cambria" w:hAnsi="Cambria"/>
          <w:color w:val="000000"/>
          <w:sz w:val="21"/>
          <w:szCs w:val="21"/>
          <w:lang w:val="es-US"/>
        </w:rPr>
      </w:pPr>
    </w:p>
    <w:p w14:paraId="15EE3B35" w14:textId="77777777" w:rsidR="007C7E5F" w:rsidRPr="001F2578" w:rsidRDefault="00923873" w:rsidP="0062385F">
      <w:pPr>
        <w:spacing w:after="0" w:line="240" w:lineRule="auto"/>
        <w:jc w:val="center"/>
        <w:rPr>
          <w:rFonts w:ascii="Cambria" w:hAnsi="Cambria"/>
          <w:color w:val="000000"/>
          <w:szCs w:val="21"/>
          <w:lang w:val="es-US"/>
        </w:rPr>
      </w:pPr>
      <w:r w:rsidRPr="001F2578">
        <w:rPr>
          <w:rFonts w:ascii="Cambria" w:hAnsi="Cambria"/>
          <w:color w:val="000000"/>
          <w:sz w:val="21"/>
          <w:szCs w:val="21"/>
          <w:lang w:val="es-US"/>
        </w:rPr>
        <w:t>Medida cautelar N°</w:t>
      </w:r>
      <w:r w:rsidR="007C7E5F" w:rsidRPr="001F2578">
        <w:rPr>
          <w:rFonts w:ascii="Cambria" w:hAnsi="Cambria"/>
          <w:szCs w:val="21"/>
          <w:lang w:val="es-US"/>
        </w:rPr>
        <w:t xml:space="preserve">. </w:t>
      </w:r>
      <w:r w:rsidR="00B5078A">
        <w:rPr>
          <w:rFonts w:ascii="Cambria" w:hAnsi="Cambria"/>
          <w:szCs w:val="21"/>
          <w:lang w:val="es-US"/>
        </w:rPr>
        <w:t>334</w:t>
      </w:r>
      <w:r w:rsidR="007C7E5F" w:rsidRPr="001F2578">
        <w:rPr>
          <w:rFonts w:ascii="Cambria" w:hAnsi="Cambria"/>
          <w:szCs w:val="21"/>
          <w:lang w:val="es-US"/>
        </w:rPr>
        <w:t xml:space="preserve">-18 </w:t>
      </w:r>
    </w:p>
    <w:p w14:paraId="20B59D72" w14:textId="77777777" w:rsidR="007C7E5F" w:rsidRPr="001F2578" w:rsidRDefault="00B5078A" w:rsidP="0062385F">
      <w:pPr>
        <w:spacing w:after="0" w:line="240" w:lineRule="auto"/>
        <w:jc w:val="center"/>
        <w:rPr>
          <w:rFonts w:ascii="Cambria" w:hAnsi="Cambria"/>
          <w:sz w:val="26"/>
          <w:szCs w:val="26"/>
          <w:lang w:val="es-US"/>
        </w:rPr>
      </w:pPr>
      <w:r>
        <w:rPr>
          <w:rFonts w:ascii="Cambria" w:hAnsi="Cambria"/>
          <w:sz w:val="26"/>
          <w:szCs w:val="26"/>
          <w:lang w:val="es-US"/>
        </w:rPr>
        <w:t xml:space="preserve">Charles </w:t>
      </w:r>
      <w:r w:rsidR="0070648B">
        <w:rPr>
          <w:rFonts w:ascii="Cambria" w:hAnsi="Cambria"/>
          <w:sz w:val="26"/>
          <w:szCs w:val="26"/>
          <w:lang w:val="es-US"/>
        </w:rPr>
        <w:t xml:space="preserve">Don </w:t>
      </w:r>
      <w:r>
        <w:rPr>
          <w:rFonts w:ascii="Cambria" w:hAnsi="Cambria"/>
          <w:sz w:val="26"/>
          <w:szCs w:val="26"/>
          <w:lang w:val="es-US"/>
        </w:rPr>
        <w:t>Flores</w:t>
      </w:r>
      <w:r w:rsidR="007C7E5F" w:rsidRPr="001F2578">
        <w:rPr>
          <w:rFonts w:ascii="Cambria" w:hAnsi="Cambria"/>
          <w:sz w:val="26"/>
          <w:szCs w:val="26"/>
          <w:lang w:val="es-US"/>
        </w:rPr>
        <w:t xml:space="preserve"> </w:t>
      </w:r>
      <w:r w:rsidR="00923873" w:rsidRPr="001F2578">
        <w:rPr>
          <w:rFonts w:ascii="Cambria" w:hAnsi="Cambria"/>
          <w:color w:val="000000"/>
          <w:sz w:val="26"/>
          <w:szCs w:val="26"/>
          <w:lang w:val="es-US"/>
        </w:rPr>
        <w:t>respecto de</w:t>
      </w:r>
      <w:r w:rsidR="007C7E5F" w:rsidRPr="001F2578">
        <w:rPr>
          <w:rFonts w:ascii="Cambria" w:hAnsi="Cambria"/>
          <w:sz w:val="26"/>
          <w:szCs w:val="26"/>
          <w:lang w:val="es-US"/>
        </w:rPr>
        <w:t xml:space="preserve"> </w:t>
      </w:r>
      <w:r w:rsidR="00923873" w:rsidRPr="001F2578">
        <w:rPr>
          <w:rFonts w:ascii="Cambria" w:hAnsi="Cambria"/>
          <w:sz w:val="26"/>
          <w:szCs w:val="26"/>
          <w:lang w:val="es-US"/>
        </w:rPr>
        <w:t>Estados Unidos de América</w:t>
      </w:r>
      <w:r w:rsidR="007C7E5F" w:rsidRPr="001F2578">
        <w:rPr>
          <w:rFonts w:ascii="Cambria" w:hAnsi="Cambria"/>
          <w:sz w:val="26"/>
          <w:szCs w:val="26"/>
          <w:lang w:val="es-US"/>
        </w:rPr>
        <w:t xml:space="preserve"> </w:t>
      </w:r>
    </w:p>
    <w:p w14:paraId="7265D2C9" w14:textId="680AFF63" w:rsidR="007C7E5F" w:rsidRPr="001F2578" w:rsidRDefault="00624A86" w:rsidP="0062385F">
      <w:pPr>
        <w:spacing w:after="0" w:line="240" w:lineRule="auto"/>
        <w:jc w:val="center"/>
        <w:rPr>
          <w:rFonts w:ascii="Cambria" w:hAnsi="Cambria"/>
          <w:sz w:val="20"/>
          <w:szCs w:val="21"/>
          <w:lang w:val="es-US"/>
        </w:rPr>
      </w:pPr>
      <w:r>
        <w:rPr>
          <w:rFonts w:ascii="Cambria" w:hAnsi="Cambria"/>
          <w:sz w:val="20"/>
          <w:szCs w:val="21"/>
          <w:lang w:val="es-US"/>
        </w:rPr>
        <w:t>5</w:t>
      </w:r>
      <w:r w:rsidR="00923873" w:rsidRPr="001F2578">
        <w:rPr>
          <w:rFonts w:ascii="Cambria" w:hAnsi="Cambria"/>
          <w:sz w:val="20"/>
          <w:szCs w:val="21"/>
          <w:lang w:val="es-US"/>
        </w:rPr>
        <w:t xml:space="preserve"> de </w:t>
      </w:r>
      <w:r w:rsidR="004D1F08">
        <w:rPr>
          <w:rFonts w:ascii="Cambria" w:hAnsi="Cambria"/>
          <w:sz w:val="20"/>
          <w:szCs w:val="21"/>
          <w:lang w:val="es-US"/>
        </w:rPr>
        <w:t>mayo</w:t>
      </w:r>
      <w:r w:rsidR="004D1F08" w:rsidRPr="001F2578">
        <w:rPr>
          <w:rFonts w:ascii="Cambria" w:hAnsi="Cambria"/>
          <w:sz w:val="20"/>
          <w:szCs w:val="21"/>
          <w:lang w:val="es-US"/>
        </w:rPr>
        <w:t xml:space="preserve"> </w:t>
      </w:r>
      <w:r w:rsidR="00923873" w:rsidRPr="001F2578">
        <w:rPr>
          <w:rFonts w:ascii="Cambria" w:hAnsi="Cambria"/>
          <w:sz w:val="20"/>
          <w:szCs w:val="21"/>
          <w:lang w:val="es-US"/>
        </w:rPr>
        <w:t>de</w:t>
      </w:r>
      <w:r w:rsidR="007C7E5F" w:rsidRPr="001F2578">
        <w:rPr>
          <w:rFonts w:ascii="Cambria" w:hAnsi="Cambria"/>
          <w:color w:val="000000"/>
          <w:sz w:val="20"/>
          <w:szCs w:val="21"/>
          <w:lang w:val="es-US"/>
        </w:rPr>
        <w:t xml:space="preserve"> 2018</w:t>
      </w:r>
    </w:p>
    <w:p w14:paraId="475467F3" w14:textId="77777777" w:rsidR="008A069E" w:rsidRPr="001F2578" w:rsidRDefault="008A069E" w:rsidP="0062385F">
      <w:pPr>
        <w:spacing w:after="0" w:line="240" w:lineRule="auto"/>
        <w:rPr>
          <w:rFonts w:ascii="Cambria" w:eastAsia="Calibri" w:hAnsi="Cambria" w:cs="Times New Roman"/>
          <w:color w:val="000000"/>
          <w:sz w:val="21"/>
          <w:szCs w:val="21"/>
          <w:lang w:val="es-US"/>
        </w:rPr>
      </w:pPr>
    </w:p>
    <w:p w14:paraId="0C24A3BB" w14:textId="77777777" w:rsidR="008A069E" w:rsidRPr="001F2578" w:rsidRDefault="00923873" w:rsidP="007238C7">
      <w:pPr>
        <w:pStyle w:val="ListParagraph"/>
        <w:numPr>
          <w:ilvl w:val="0"/>
          <w:numId w:val="1"/>
        </w:numPr>
        <w:spacing w:after="0" w:line="240" w:lineRule="auto"/>
        <w:ind w:left="540" w:firstLine="0"/>
        <w:jc w:val="both"/>
        <w:rPr>
          <w:rFonts w:ascii="Cambria" w:eastAsia="Calibri" w:hAnsi="Cambria" w:cs="Times New Roman"/>
          <w:b/>
          <w:color w:val="000000"/>
          <w:sz w:val="21"/>
          <w:szCs w:val="21"/>
          <w:lang w:val="es-US"/>
        </w:rPr>
      </w:pPr>
      <w:r w:rsidRPr="001F2578">
        <w:rPr>
          <w:rFonts w:ascii="Cambria" w:eastAsia="Calibri" w:hAnsi="Cambria" w:cs="Times New Roman"/>
          <w:b/>
          <w:color w:val="000000"/>
          <w:sz w:val="21"/>
          <w:szCs w:val="21"/>
          <w:lang w:val="es-US"/>
        </w:rPr>
        <w:t>INTRODUCCIÓ</w:t>
      </w:r>
      <w:r w:rsidR="008A069E" w:rsidRPr="001F2578">
        <w:rPr>
          <w:rFonts w:ascii="Cambria" w:eastAsia="Calibri" w:hAnsi="Cambria" w:cs="Times New Roman"/>
          <w:b/>
          <w:color w:val="000000"/>
          <w:sz w:val="21"/>
          <w:szCs w:val="21"/>
          <w:lang w:val="es-US"/>
        </w:rPr>
        <w:t xml:space="preserve">N </w:t>
      </w:r>
    </w:p>
    <w:p w14:paraId="74A9F73A" w14:textId="77777777" w:rsidR="002302B4" w:rsidRPr="001F2578" w:rsidRDefault="002302B4" w:rsidP="0062385F">
      <w:pPr>
        <w:pStyle w:val="ListParagraph"/>
        <w:spacing w:after="0" w:line="240" w:lineRule="auto"/>
        <w:rPr>
          <w:rFonts w:ascii="Cambria" w:eastAsia="Calibri" w:hAnsi="Cambria" w:cs="Times New Roman"/>
          <w:b/>
          <w:color w:val="000000"/>
          <w:sz w:val="21"/>
          <w:szCs w:val="21"/>
          <w:lang w:val="es-US"/>
        </w:rPr>
      </w:pPr>
    </w:p>
    <w:p w14:paraId="377E520C" w14:textId="76F30DD6" w:rsidR="00441BC9" w:rsidRPr="001F2578" w:rsidRDefault="00923873" w:rsidP="0062385F">
      <w:pPr>
        <w:pStyle w:val="ListParagraph"/>
        <w:numPr>
          <w:ilvl w:val="0"/>
          <w:numId w:val="5"/>
        </w:numPr>
        <w:spacing w:after="0" w:line="240" w:lineRule="auto"/>
        <w:ind w:left="0" w:firstLine="360"/>
        <w:jc w:val="both"/>
        <w:rPr>
          <w:rFonts w:ascii="Cambria" w:eastAsia="Calibri" w:hAnsi="Cambria" w:cs="Times New Roman"/>
          <w:color w:val="000000"/>
          <w:sz w:val="21"/>
          <w:szCs w:val="21"/>
          <w:lang w:val="es-US"/>
        </w:rPr>
      </w:pPr>
      <w:r w:rsidRPr="001F2578">
        <w:rPr>
          <w:rFonts w:ascii="Cambria" w:eastAsia="Calibri" w:hAnsi="Cambria" w:cs="Times New Roman"/>
          <w:color w:val="000000"/>
          <w:sz w:val="21"/>
          <w:szCs w:val="21"/>
          <w:lang w:val="es-US"/>
        </w:rPr>
        <w:t xml:space="preserve">El </w:t>
      </w:r>
      <w:r w:rsidR="00B5078A">
        <w:rPr>
          <w:rFonts w:ascii="Cambria" w:eastAsia="Calibri" w:hAnsi="Cambria" w:cs="Times New Roman"/>
          <w:color w:val="000000"/>
          <w:sz w:val="21"/>
          <w:szCs w:val="21"/>
          <w:lang w:val="es-US"/>
        </w:rPr>
        <w:t>19</w:t>
      </w:r>
      <w:r w:rsidRPr="001F2578">
        <w:rPr>
          <w:rFonts w:ascii="Cambria" w:eastAsia="Calibri" w:hAnsi="Cambria" w:cs="Times New Roman"/>
          <w:color w:val="000000"/>
          <w:sz w:val="21"/>
          <w:szCs w:val="21"/>
          <w:lang w:val="es-US"/>
        </w:rPr>
        <w:t xml:space="preserve"> de</w:t>
      </w:r>
      <w:r w:rsidR="008A069E" w:rsidRPr="001F2578">
        <w:rPr>
          <w:rFonts w:ascii="Cambria" w:eastAsia="Calibri" w:hAnsi="Cambria" w:cs="Times New Roman"/>
          <w:color w:val="000000"/>
          <w:sz w:val="21"/>
          <w:szCs w:val="21"/>
          <w:lang w:val="es-US"/>
        </w:rPr>
        <w:t xml:space="preserve"> </w:t>
      </w:r>
      <w:r w:rsidR="00B5078A">
        <w:rPr>
          <w:rFonts w:ascii="Cambria" w:eastAsia="Calibri" w:hAnsi="Cambria" w:cs="Times New Roman"/>
          <w:color w:val="000000"/>
          <w:sz w:val="21"/>
          <w:szCs w:val="21"/>
          <w:lang w:val="es-US"/>
        </w:rPr>
        <w:t>abril</w:t>
      </w:r>
      <w:r w:rsidRPr="001F2578">
        <w:rPr>
          <w:rFonts w:ascii="Cambria" w:eastAsia="Calibri" w:hAnsi="Cambria" w:cs="Times New Roman"/>
          <w:color w:val="000000"/>
          <w:sz w:val="21"/>
          <w:szCs w:val="21"/>
          <w:lang w:val="es-US"/>
        </w:rPr>
        <w:t xml:space="preserve"> de </w:t>
      </w:r>
      <w:r w:rsidR="007C7E5F" w:rsidRPr="001F2578">
        <w:rPr>
          <w:rFonts w:ascii="Cambria" w:eastAsia="Calibri" w:hAnsi="Cambria" w:cs="Times New Roman"/>
          <w:color w:val="000000"/>
          <w:sz w:val="21"/>
          <w:szCs w:val="21"/>
          <w:lang w:val="es-US"/>
        </w:rPr>
        <w:t>2018</w:t>
      </w:r>
      <w:r w:rsidR="008A069E" w:rsidRPr="001F2578">
        <w:rPr>
          <w:rFonts w:ascii="Cambria" w:eastAsia="Calibri" w:hAnsi="Cambria" w:cs="Times New Roman"/>
          <w:color w:val="000000"/>
          <w:sz w:val="21"/>
          <w:szCs w:val="21"/>
          <w:lang w:val="es-US"/>
        </w:rPr>
        <w:t xml:space="preserve">, </w:t>
      </w:r>
      <w:r w:rsidRPr="001F2578">
        <w:rPr>
          <w:rFonts w:ascii="Cambria" w:hAnsi="Cambria"/>
          <w:color w:val="000000"/>
          <w:sz w:val="21"/>
          <w:szCs w:val="21"/>
          <w:lang w:val="es-US"/>
        </w:rPr>
        <w:t>la Comisión Interamericana de Derechos Humanos (en lo sucesivo “la Comisión Interamericana”, “la Comisión” o “la CIDH”) recibió una solicitud de medidas cautelares</w:t>
      </w:r>
      <w:r w:rsidRPr="001F2578">
        <w:rPr>
          <w:rFonts w:ascii="Cambria" w:eastAsia="Calibri" w:hAnsi="Cambria" w:cs="Times New Roman"/>
          <w:color w:val="000000"/>
          <w:sz w:val="21"/>
          <w:szCs w:val="21"/>
          <w:lang w:val="es-US"/>
        </w:rPr>
        <w:t xml:space="preserve"> por parte de </w:t>
      </w:r>
      <w:r w:rsidR="00085F48">
        <w:rPr>
          <w:rFonts w:ascii="Cambria" w:eastAsia="Calibri" w:hAnsi="Cambria" w:cs="Times New Roman"/>
          <w:color w:val="000000"/>
          <w:sz w:val="21"/>
          <w:szCs w:val="21"/>
          <w:lang w:val="es-US"/>
        </w:rPr>
        <w:t>James Douglas Ulrich y Charles</w:t>
      </w:r>
      <w:r w:rsidR="0070648B">
        <w:rPr>
          <w:rFonts w:ascii="Cambria" w:eastAsia="Calibri" w:hAnsi="Cambria" w:cs="Times New Roman"/>
          <w:color w:val="000000"/>
          <w:sz w:val="21"/>
          <w:szCs w:val="21"/>
          <w:lang w:val="es-US"/>
        </w:rPr>
        <w:t xml:space="preserve"> Don</w:t>
      </w:r>
      <w:r w:rsidR="00085F48">
        <w:rPr>
          <w:rFonts w:ascii="Cambria" w:eastAsia="Calibri" w:hAnsi="Cambria" w:cs="Times New Roman"/>
          <w:color w:val="000000"/>
          <w:sz w:val="21"/>
          <w:szCs w:val="21"/>
          <w:lang w:val="es-US"/>
        </w:rPr>
        <w:t xml:space="preserve"> Flores</w:t>
      </w:r>
      <w:r w:rsidR="005E3CCD" w:rsidRPr="001F2578">
        <w:rPr>
          <w:rFonts w:ascii="Cambria" w:eastAsia="Calibri" w:hAnsi="Cambria" w:cs="Times New Roman"/>
          <w:color w:val="000000"/>
          <w:sz w:val="21"/>
          <w:szCs w:val="21"/>
          <w:lang w:val="es-US"/>
        </w:rPr>
        <w:t xml:space="preserve"> </w:t>
      </w:r>
      <w:r w:rsidRPr="001F2578">
        <w:rPr>
          <w:rFonts w:ascii="Cambria" w:hAnsi="Cambria"/>
          <w:sz w:val="21"/>
          <w:szCs w:val="21"/>
          <w:lang w:val="es-US"/>
        </w:rPr>
        <w:t>(en adelante, “l</w:t>
      </w:r>
      <w:r w:rsidR="00085F48">
        <w:rPr>
          <w:rFonts w:ascii="Cambria" w:hAnsi="Cambria"/>
          <w:sz w:val="21"/>
          <w:szCs w:val="21"/>
          <w:lang w:val="es-US"/>
        </w:rPr>
        <w:t>os</w:t>
      </w:r>
      <w:r w:rsidRPr="001F2578">
        <w:rPr>
          <w:rFonts w:ascii="Cambria" w:hAnsi="Cambria"/>
          <w:sz w:val="21"/>
          <w:szCs w:val="21"/>
          <w:lang w:val="es-US"/>
        </w:rPr>
        <w:t xml:space="preserve"> solicitante</w:t>
      </w:r>
      <w:r w:rsidR="00085F48">
        <w:rPr>
          <w:rFonts w:ascii="Cambria" w:hAnsi="Cambria"/>
          <w:sz w:val="21"/>
          <w:szCs w:val="21"/>
          <w:lang w:val="es-US"/>
        </w:rPr>
        <w:t>s</w:t>
      </w:r>
      <w:r w:rsidR="009177E8" w:rsidRPr="001F2578">
        <w:rPr>
          <w:rFonts w:ascii="Cambria" w:hAnsi="Cambria"/>
          <w:sz w:val="21"/>
          <w:szCs w:val="21"/>
          <w:lang w:val="es-US"/>
        </w:rPr>
        <w:t>”,)</w:t>
      </w:r>
      <w:r w:rsidRPr="001F2578">
        <w:rPr>
          <w:rFonts w:ascii="Cambria" w:hAnsi="Cambria"/>
          <w:sz w:val="21"/>
          <w:szCs w:val="21"/>
          <w:lang w:val="es-US"/>
        </w:rPr>
        <w:t xml:space="preserve"> instando a la Comisión que requiera a</w:t>
      </w:r>
      <w:r w:rsidR="009177E8" w:rsidRPr="001F2578">
        <w:rPr>
          <w:rFonts w:ascii="Cambria" w:hAnsi="Cambria"/>
          <w:sz w:val="21"/>
          <w:szCs w:val="21"/>
          <w:lang w:val="es-US"/>
        </w:rPr>
        <w:t xml:space="preserve"> los Estados Unidos de América</w:t>
      </w:r>
      <w:r w:rsidR="008A069E" w:rsidRPr="001F2578">
        <w:rPr>
          <w:rFonts w:ascii="Cambria" w:eastAsia="Calibri" w:hAnsi="Cambria" w:cs="Times New Roman"/>
          <w:color w:val="000000"/>
          <w:sz w:val="21"/>
          <w:szCs w:val="21"/>
          <w:lang w:val="es-US"/>
        </w:rPr>
        <w:t xml:space="preserve"> </w:t>
      </w:r>
      <w:r w:rsidR="009177E8" w:rsidRPr="001F2578">
        <w:rPr>
          <w:rFonts w:ascii="Cambria" w:hAnsi="Cambria"/>
          <w:sz w:val="21"/>
          <w:szCs w:val="21"/>
          <w:lang w:val="es-US"/>
        </w:rPr>
        <w:t xml:space="preserve">(en adelante, “el Estado” o “Estados Unidos”) </w:t>
      </w:r>
      <w:r w:rsidR="0070648B">
        <w:rPr>
          <w:rFonts w:ascii="Cambria" w:eastAsia="Calibri" w:hAnsi="Cambria" w:cs="Times New Roman"/>
          <w:color w:val="000000"/>
          <w:sz w:val="21"/>
          <w:szCs w:val="21"/>
          <w:lang w:val="es-US"/>
        </w:rPr>
        <w:t>a proteger los derechos del señor Charles Don Flores</w:t>
      </w:r>
      <w:r w:rsidR="008A069E" w:rsidRPr="001F2578">
        <w:rPr>
          <w:rFonts w:ascii="Cambria" w:eastAsia="Calibri" w:hAnsi="Cambria" w:cs="Times New Roman"/>
          <w:color w:val="000000"/>
          <w:sz w:val="21"/>
          <w:szCs w:val="21"/>
          <w:lang w:val="es-US"/>
        </w:rPr>
        <w:t xml:space="preserve"> </w:t>
      </w:r>
      <w:r w:rsidR="009177E8" w:rsidRPr="001F2578">
        <w:rPr>
          <w:rFonts w:ascii="Cambria" w:hAnsi="Cambria"/>
          <w:sz w:val="21"/>
          <w:szCs w:val="21"/>
          <w:lang w:val="es-US"/>
        </w:rPr>
        <w:t>(en adelante, “el propuesto beneficiario”,)</w:t>
      </w:r>
      <w:r w:rsidR="005E3CCD" w:rsidRPr="001F2578">
        <w:rPr>
          <w:rFonts w:ascii="Cambria" w:eastAsia="Calibri" w:hAnsi="Cambria" w:cs="Times New Roman"/>
          <w:color w:val="000000"/>
          <w:sz w:val="21"/>
          <w:szCs w:val="21"/>
          <w:lang w:val="es-US"/>
        </w:rPr>
        <w:t xml:space="preserve"> </w:t>
      </w:r>
      <w:r w:rsidR="00A14087">
        <w:rPr>
          <w:rFonts w:ascii="Cambria" w:eastAsia="Calibri" w:hAnsi="Cambria" w:cs="Times New Roman"/>
          <w:color w:val="000000"/>
          <w:sz w:val="21"/>
          <w:szCs w:val="21"/>
          <w:lang w:val="es-US"/>
        </w:rPr>
        <w:t>ciudadano</w:t>
      </w:r>
      <w:r w:rsidR="0070648B">
        <w:rPr>
          <w:rFonts w:ascii="Cambria" w:eastAsia="Calibri" w:hAnsi="Cambria" w:cs="Times New Roman"/>
          <w:color w:val="000000"/>
          <w:sz w:val="21"/>
          <w:szCs w:val="21"/>
          <w:lang w:val="es-US"/>
        </w:rPr>
        <w:t xml:space="preserve"> </w:t>
      </w:r>
      <w:r w:rsidR="00003560">
        <w:rPr>
          <w:rFonts w:ascii="Cambria" w:eastAsia="Calibri" w:hAnsi="Cambria" w:cs="Times New Roman"/>
          <w:color w:val="000000"/>
          <w:sz w:val="21"/>
          <w:szCs w:val="21"/>
          <w:lang w:val="es-US"/>
        </w:rPr>
        <w:t>de los Estados U</w:t>
      </w:r>
      <w:r w:rsidR="0070648B">
        <w:rPr>
          <w:rFonts w:ascii="Cambria" w:eastAsia="Calibri" w:hAnsi="Cambria" w:cs="Times New Roman"/>
          <w:color w:val="000000"/>
          <w:sz w:val="21"/>
          <w:szCs w:val="21"/>
          <w:lang w:val="es-US"/>
        </w:rPr>
        <w:t>nidos</w:t>
      </w:r>
      <w:r w:rsidR="00003560">
        <w:rPr>
          <w:rFonts w:ascii="Cambria" w:eastAsia="Calibri" w:hAnsi="Cambria" w:cs="Times New Roman"/>
          <w:color w:val="000000"/>
          <w:sz w:val="21"/>
          <w:szCs w:val="21"/>
          <w:lang w:val="es-US"/>
        </w:rPr>
        <w:t xml:space="preserve"> de América</w:t>
      </w:r>
      <w:r w:rsidR="0070648B">
        <w:rPr>
          <w:rFonts w:ascii="Cambria" w:eastAsia="Calibri" w:hAnsi="Cambria" w:cs="Times New Roman"/>
          <w:color w:val="000000"/>
          <w:sz w:val="21"/>
          <w:szCs w:val="21"/>
          <w:lang w:val="es-US"/>
        </w:rPr>
        <w:t xml:space="preserve"> de descendencia </w:t>
      </w:r>
      <w:r w:rsidR="00A14087">
        <w:rPr>
          <w:rFonts w:ascii="Cambria" w:eastAsia="Calibri" w:hAnsi="Cambria" w:cs="Times New Roman"/>
          <w:color w:val="000000"/>
          <w:sz w:val="21"/>
          <w:szCs w:val="21"/>
          <w:lang w:val="es-US"/>
        </w:rPr>
        <w:t>mex</w:t>
      </w:r>
      <w:r w:rsidR="0070648B">
        <w:rPr>
          <w:rFonts w:ascii="Cambria" w:eastAsia="Calibri" w:hAnsi="Cambria" w:cs="Times New Roman"/>
          <w:color w:val="000000"/>
          <w:sz w:val="21"/>
          <w:szCs w:val="21"/>
          <w:lang w:val="es-US"/>
        </w:rPr>
        <w:t>icana</w:t>
      </w:r>
      <w:r w:rsidR="009177E8" w:rsidRPr="001F2578">
        <w:rPr>
          <w:rFonts w:ascii="Cambria" w:eastAsia="Calibri" w:hAnsi="Cambria" w:cs="Times New Roman"/>
          <w:color w:val="000000"/>
          <w:sz w:val="21"/>
          <w:szCs w:val="21"/>
          <w:lang w:val="es-US"/>
        </w:rPr>
        <w:t xml:space="preserve"> que se encontraría en el </w:t>
      </w:r>
      <w:r w:rsidR="00A14087">
        <w:rPr>
          <w:rFonts w:ascii="Cambria" w:eastAsia="Calibri" w:hAnsi="Cambria" w:cs="Times New Roman"/>
          <w:color w:val="000000"/>
          <w:sz w:val="21"/>
          <w:szCs w:val="21"/>
          <w:lang w:val="es-US"/>
        </w:rPr>
        <w:t>corredor de la</w:t>
      </w:r>
      <w:r w:rsidR="009177E8" w:rsidRPr="001F2578">
        <w:rPr>
          <w:rFonts w:ascii="Cambria" w:eastAsia="Calibri" w:hAnsi="Cambria" w:cs="Times New Roman"/>
          <w:color w:val="000000"/>
          <w:sz w:val="21"/>
          <w:szCs w:val="21"/>
          <w:lang w:val="es-US"/>
        </w:rPr>
        <w:t xml:space="preserve"> muerte</w:t>
      </w:r>
      <w:r w:rsidR="00804BF3">
        <w:rPr>
          <w:rFonts w:ascii="Cambria" w:eastAsia="Calibri" w:hAnsi="Cambria" w:cs="Times New Roman"/>
          <w:color w:val="000000"/>
          <w:sz w:val="21"/>
          <w:szCs w:val="21"/>
          <w:lang w:val="es-US"/>
        </w:rPr>
        <w:t xml:space="preserve"> desde 1999</w:t>
      </w:r>
      <w:r w:rsidR="009177E8" w:rsidRPr="001F2578">
        <w:rPr>
          <w:rFonts w:ascii="Cambria" w:eastAsia="Calibri" w:hAnsi="Cambria" w:cs="Times New Roman"/>
          <w:color w:val="000000"/>
          <w:sz w:val="21"/>
          <w:szCs w:val="21"/>
          <w:lang w:val="es-US"/>
        </w:rPr>
        <w:t xml:space="preserve"> tras haber sido sentenciado por un asesinato que </w:t>
      </w:r>
      <w:r w:rsidR="008D5662" w:rsidRPr="001F2578">
        <w:rPr>
          <w:rFonts w:ascii="Cambria" w:eastAsia="Calibri" w:hAnsi="Cambria" w:cs="Times New Roman"/>
          <w:color w:val="000000"/>
          <w:sz w:val="21"/>
          <w:szCs w:val="21"/>
          <w:lang w:val="es-US"/>
        </w:rPr>
        <w:t>habría tenido</w:t>
      </w:r>
      <w:r w:rsidR="009177E8" w:rsidRPr="001F2578">
        <w:rPr>
          <w:rFonts w:ascii="Cambria" w:eastAsia="Calibri" w:hAnsi="Cambria" w:cs="Times New Roman"/>
          <w:color w:val="000000"/>
          <w:sz w:val="21"/>
          <w:szCs w:val="21"/>
          <w:lang w:val="es-US"/>
        </w:rPr>
        <w:t xml:space="preserve"> lugar en 19</w:t>
      </w:r>
      <w:r w:rsidR="0070648B">
        <w:rPr>
          <w:rFonts w:ascii="Cambria" w:eastAsia="Calibri" w:hAnsi="Cambria" w:cs="Times New Roman"/>
          <w:color w:val="000000"/>
          <w:sz w:val="21"/>
          <w:szCs w:val="21"/>
          <w:lang w:val="es-US"/>
        </w:rPr>
        <w:t>98</w:t>
      </w:r>
      <w:r w:rsidR="008A069E" w:rsidRPr="001F2578">
        <w:rPr>
          <w:rFonts w:ascii="Cambria" w:eastAsia="Calibri" w:hAnsi="Cambria" w:cs="Times New Roman"/>
          <w:color w:val="000000"/>
          <w:sz w:val="21"/>
          <w:szCs w:val="21"/>
          <w:lang w:val="es-US"/>
        </w:rPr>
        <w:t xml:space="preserve">. </w:t>
      </w:r>
      <w:r w:rsidR="008D5662" w:rsidRPr="001F2578">
        <w:rPr>
          <w:rFonts w:ascii="Cambria" w:eastAsia="Calibri" w:hAnsi="Cambria" w:cs="Times New Roman"/>
          <w:color w:val="000000"/>
          <w:sz w:val="21"/>
          <w:szCs w:val="21"/>
          <w:lang w:val="es-US"/>
        </w:rPr>
        <w:t>Esta solicitud está vinculada a la petición</w:t>
      </w:r>
      <w:r w:rsidR="008A069E" w:rsidRPr="001F2578">
        <w:rPr>
          <w:rFonts w:ascii="Cambria" w:eastAsia="Calibri" w:hAnsi="Cambria" w:cs="Times New Roman"/>
          <w:color w:val="000000"/>
          <w:sz w:val="21"/>
          <w:szCs w:val="21"/>
          <w:lang w:val="es-US"/>
        </w:rPr>
        <w:t xml:space="preserve"> P-</w:t>
      </w:r>
      <w:r w:rsidR="0070648B">
        <w:rPr>
          <w:rFonts w:ascii="Cambria" w:eastAsia="Calibri" w:hAnsi="Cambria" w:cs="Times New Roman"/>
          <w:color w:val="000000"/>
          <w:sz w:val="21"/>
          <w:szCs w:val="21"/>
          <w:lang w:val="es-US"/>
        </w:rPr>
        <w:t>759</w:t>
      </w:r>
      <w:r w:rsidR="00747201" w:rsidRPr="001F2578">
        <w:rPr>
          <w:rFonts w:ascii="Cambria" w:eastAsia="Calibri" w:hAnsi="Cambria" w:cs="Times New Roman"/>
          <w:color w:val="000000"/>
          <w:sz w:val="21"/>
          <w:szCs w:val="21"/>
          <w:lang w:val="es-US"/>
        </w:rPr>
        <w:t>-18</w:t>
      </w:r>
      <w:r w:rsidR="008A069E" w:rsidRPr="001F2578">
        <w:rPr>
          <w:rFonts w:ascii="Cambria" w:eastAsia="Calibri" w:hAnsi="Cambria" w:cs="Times New Roman"/>
          <w:color w:val="000000"/>
          <w:sz w:val="21"/>
          <w:szCs w:val="21"/>
          <w:lang w:val="es-US"/>
        </w:rPr>
        <w:t xml:space="preserve">, </w:t>
      </w:r>
      <w:r w:rsidR="008D5662" w:rsidRPr="001F2578">
        <w:rPr>
          <w:rFonts w:ascii="Cambria" w:eastAsia="Calibri" w:hAnsi="Cambria" w:cs="Times New Roman"/>
          <w:color w:val="000000"/>
          <w:sz w:val="21"/>
          <w:szCs w:val="21"/>
          <w:lang w:val="es-US"/>
        </w:rPr>
        <w:t xml:space="preserve">en la que </w:t>
      </w:r>
      <w:r w:rsidR="0070648B">
        <w:rPr>
          <w:rFonts w:ascii="Cambria" w:eastAsia="Calibri" w:hAnsi="Cambria" w:cs="Times New Roman"/>
          <w:color w:val="000000"/>
          <w:sz w:val="21"/>
          <w:szCs w:val="21"/>
          <w:lang w:val="es-US"/>
        </w:rPr>
        <w:t>los</w:t>
      </w:r>
      <w:r w:rsidR="008D5662" w:rsidRPr="001F2578">
        <w:rPr>
          <w:rFonts w:ascii="Cambria" w:eastAsia="Calibri" w:hAnsi="Cambria" w:cs="Times New Roman"/>
          <w:color w:val="000000"/>
          <w:sz w:val="21"/>
          <w:szCs w:val="21"/>
          <w:lang w:val="es-US"/>
        </w:rPr>
        <w:t xml:space="preserve"> solicitante</w:t>
      </w:r>
      <w:r w:rsidR="0070648B">
        <w:rPr>
          <w:rFonts w:ascii="Cambria" w:eastAsia="Calibri" w:hAnsi="Cambria" w:cs="Times New Roman"/>
          <w:color w:val="000000"/>
          <w:sz w:val="21"/>
          <w:szCs w:val="21"/>
          <w:lang w:val="es-US"/>
        </w:rPr>
        <w:t>s</w:t>
      </w:r>
      <w:r w:rsidR="008D5662" w:rsidRPr="001F2578">
        <w:rPr>
          <w:rFonts w:ascii="Cambria" w:eastAsia="Calibri" w:hAnsi="Cambria" w:cs="Times New Roman"/>
          <w:color w:val="000000"/>
          <w:sz w:val="21"/>
          <w:szCs w:val="21"/>
          <w:lang w:val="es-US"/>
        </w:rPr>
        <w:t xml:space="preserve"> </w:t>
      </w:r>
      <w:r w:rsidR="00804BF3">
        <w:rPr>
          <w:rFonts w:ascii="Cambria" w:eastAsia="Calibri" w:hAnsi="Cambria" w:cs="Times New Roman"/>
          <w:color w:val="000000"/>
          <w:sz w:val="21"/>
          <w:szCs w:val="21"/>
          <w:lang w:val="es-US"/>
        </w:rPr>
        <w:t>alegaron</w:t>
      </w:r>
      <w:r w:rsidR="0070648B">
        <w:rPr>
          <w:rFonts w:ascii="Cambria" w:eastAsia="Calibri" w:hAnsi="Cambria" w:cs="Times New Roman"/>
          <w:color w:val="000000"/>
          <w:sz w:val="21"/>
          <w:szCs w:val="21"/>
          <w:lang w:val="es-US"/>
        </w:rPr>
        <w:t xml:space="preserve"> </w:t>
      </w:r>
      <w:r w:rsidR="00804BF3">
        <w:rPr>
          <w:rFonts w:ascii="Cambria" w:eastAsia="Calibri" w:hAnsi="Cambria" w:cs="Times New Roman"/>
          <w:color w:val="000000"/>
          <w:sz w:val="21"/>
          <w:szCs w:val="21"/>
          <w:lang w:val="es-US"/>
        </w:rPr>
        <w:t>violaciones</w:t>
      </w:r>
      <w:r w:rsidR="00250096">
        <w:rPr>
          <w:rFonts w:ascii="Cambria" w:eastAsia="Calibri" w:hAnsi="Cambria" w:cs="Times New Roman"/>
          <w:color w:val="000000"/>
          <w:sz w:val="21"/>
          <w:szCs w:val="21"/>
          <w:lang w:val="es-US"/>
        </w:rPr>
        <w:t xml:space="preserve"> </w:t>
      </w:r>
      <w:r w:rsidR="00804BF3">
        <w:rPr>
          <w:rFonts w:ascii="Cambria" w:eastAsia="Calibri" w:hAnsi="Cambria" w:cs="Times New Roman"/>
          <w:color w:val="000000"/>
          <w:sz w:val="21"/>
          <w:szCs w:val="21"/>
          <w:lang w:val="es-US"/>
        </w:rPr>
        <w:t>a los derechos a la vida, integridad personal, libertad personal y</w:t>
      </w:r>
      <w:r w:rsidR="000C7C04">
        <w:rPr>
          <w:rFonts w:ascii="Cambria" w:eastAsia="Calibri" w:hAnsi="Cambria" w:cs="Times New Roman"/>
          <w:color w:val="000000"/>
          <w:sz w:val="21"/>
          <w:szCs w:val="21"/>
          <w:lang w:val="es-US"/>
        </w:rPr>
        <w:t xml:space="preserve"> al</w:t>
      </w:r>
      <w:r w:rsidR="00804BF3">
        <w:rPr>
          <w:rFonts w:ascii="Cambria" w:eastAsia="Calibri" w:hAnsi="Cambria" w:cs="Times New Roman"/>
          <w:color w:val="000000"/>
          <w:sz w:val="21"/>
          <w:szCs w:val="21"/>
          <w:lang w:val="es-US"/>
        </w:rPr>
        <w:t xml:space="preserve"> debido proceso</w:t>
      </w:r>
      <w:r w:rsidR="00492A71">
        <w:rPr>
          <w:rFonts w:ascii="Cambria" w:eastAsia="Calibri" w:hAnsi="Cambria" w:cs="Times New Roman"/>
          <w:color w:val="000000"/>
          <w:sz w:val="21"/>
          <w:szCs w:val="21"/>
          <w:lang w:val="es-US"/>
        </w:rPr>
        <w:t xml:space="preserve"> del señor Flores. </w:t>
      </w:r>
    </w:p>
    <w:p w14:paraId="041E7872" w14:textId="77777777" w:rsidR="00441BC9" w:rsidRPr="001F2578" w:rsidRDefault="00441BC9" w:rsidP="0062385F">
      <w:pPr>
        <w:pStyle w:val="ListParagraph"/>
        <w:spacing w:after="0" w:line="240" w:lineRule="auto"/>
        <w:ind w:left="0" w:firstLine="360"/>
        <w:jc w:val="both"/>
        <w:rPr>
          <w:rFonts w:ascii="Cambria" w:eastAsia="Calibri" w:hAnsi="Cambria" w:cs="Times New Roman"/>
          <w:color w:val="000000"/>
          <w:sz w:val="21"/>
          <w:szCs w:val="21"/>
          <w:lang w:val="es-US"/>
        </w:rPr>
      </w:pPr>
    </w:p>
    <w:p w14:paraId="1FFF57FA" w14:textId="2C37A855" w:rsidR="008A069E" w:rsidRPr="001F2578" w:rsidRDefault="005873DC" w:rsidP="0062385F">
      <w:pPr>
        <w:pStyle w:val="ListParagraph"/>
        <w:numPr>
          <w:ilvl w:val="0"/>
          <w:numId w:val="5"/>
        </w:numPr>
        <w:spacing w:after="0" w:line="240" w:lineRule="auto"/>
        <w:ind w:left="0" w:firstLine="360"/>
        <w:jc w:val="both"/>
        <w:rPr>
          <w:rFonts w:ascii="Cambria" w:eastAsia="Calibri" w:hAnsi="Cambria" w:cs="Times New Roman"/>
          <w:color w:val="000000"/>
          <w:sz w:val="21"/>
          <w:szCs w:val="21"/>
          <w:lang w:val="es-US"/>
        </w:rPr>
      </w:pPr>
      <w:r w:rsidRPr="001F2578">
        <w:rPr>
          <w:rFonts w:ascii="Cambria" w:hAnsi="Cambria"/>
          <w:color w:val="000000"/>
          <w:sz w:val="21"/>
          <w:szCs w:val="21"/>
          <w:lang w:val="es-US"/>
        </w:rPr>
        <w:t xml:space="preserve">Tras analizar las alegaciones de hecho y de derecho presentadas por la solicitante, la Comisión considera que la información presentada demuestra </w:t>
      </w:r>
      <w:r w:rsidRPr="001F2578">
        <w:rPr>
          <w:rFonts w:ascii="Cambria" w:hAnsi="Cambria"/>
          <w:i/>
          <w:color w:val="000000"/>
          <w:sz w:val="21"/>
          <w:szCs w:val="21"/>
          <w:lang w:val="es-US"/>
        </w:rPr>
        <w:t xml:space="preserve">prima facie </w:t>
      </w:r>
      <w:r w:rsidRPr="001F2578">
        <w:rPr>
          <w:rFonts w:ascii="Cambria" w:hAnsi="Cambria"/>
          <w:color w:val="000000"/>
          <w:sz w:val="21"/>
          <w:szCs w:val="21"/>
          <w:lang w:val="es-US"/>
        </w:rPr>
        <w:t xml:space="preserve">que el presente asunto cumple con los requisitos gravedad, urgencia e </w:t>
      </w:r>
      <w:proofErr w:type="spellStart"/>
      <w:r w:rsidRPr="001F2578">
        <w:rPr>
          <w:rFonts w:ascii="Cambria" w:hAnsi="Cambria"/>
          <w:color w:val="000000"/>
          <w:sz w:val="21"/>
          <w:szCs w:val="21"/>
          <w:lang w:val="es-US"/>
        </w:rPr>
        <w:t>irreparabilidad</w:t>
      </w:r>
      <w:proofErr w:type="spellEnd"/>
      <w:r w:rsidRPr="001F2578">
        <w:rPr>
          <w:rFonts w:ascii="Cambria" w:hAnsi="Cambria"/>
          <w:color w:val="000000"/>
          <w:sz w:val="21"/>
          <w:szCs w:val="21"/>
          <w:lang w:val="es-US"/>
        </w:rPr>
        <w:t xml:space="preserve"> establecidos en el artículo </w:t>
      </w:r>
      <w:r w:rsidR="00736B0C" w:rsidRPr="001F2578">
        <w:rPr>
          <w:rFonts w:ascii="Cambria" w:hAnsi="Cambria"/>
          <w:sz w:val="21"/>
          <w:szCs w:val="21"/>
          <w:lang w:val="es-US"/>
        </w:rPr>
        <w:t xml:space="preserve">25 </w:t>
      </w:r>
      <w:r w:rsidRPr="001F2578">
        <w:rPr>
          <w:rFonts w:ascii="Cambria" w:hAnsi="Cambria"/>
          <w:sz w:val="21"/>
          <w:szCs w:val="21"/>
          <w:lang w:val="es-US"/>
        </w:rPr>
        <w:t>de su Reglamento</w:t>
      </w:r>
      <w:r w:rsidR="00736B0C" w:rsidRPr="001F2578">
        <w:rPr>
          <w:rFonts w:ascii="Cambria" w:eastAsia="Calibri" w:hAnsi="Cambria" w:cs="Times New Roman"/>
          <w:color w:val="000000"/>
          <w:sz w:val="21"/>
          <w:szCs w:val="21"/>
          <w:lang w:val="es-US"/>
        </w:rPr>
        <w:t xml:space="preserve">. </w:t>
      </w:r>
      <w:r w:rsidR="00003560">
        <w:rPr>
          <w:rFonts w:ascii="Cambria" w:eastAsia="Calibri" w:hAnsi="Cambria" w:cs="Times New Roman"/>
          <w:color w:val="000000"/>
          <w:sz w:val="21"/>
          <w:szCs w:val="21"/>
          <w:lang w:val="es-US"/>
        </w:rPr>
        <w:t>Asimismo,</w:t>
      </w:r>
      <w:r w:rsidR="00736B0C" w:rsidRPr="001F2578">
        <w:rPr>
          <w:rFonts w:ascii="Cambria" w:eastAsia="Calibri" w:hAnsi="Cambria" w:cs="Times New Roman"/>
          <w:color w:val="000000"/>
          <w:sz w:val="21"/>
          <w:szCs w:val="21"/>
          <w:lang w:val="es-US"/>
        </w:rPr>
        <w:t xml:space="preserve"> </w:t>
      </w:r>
      <w:r w:rsidRPr="001F2578">
        <w:rPr>
          <w:rFonts w:ascii="Cambria" w:eastAsia="Calibri" w:hAnsi="Cambria" w:cs="Times New Roman"/>
          <w:color w:val="000000"/>
          <w:sz w:val="21"/>
          <w:szCs w:val="21"/>
          <w:lang w:val="es-US"/>
        </w:rPr>
        <w:t xml:space="preserve">en caso de que el </w:t>
      </w:r>
      <w:r w:rsidR="00804BF3">
        <w:rPr>
          <w:rFonts w:ascii="Cambria" w:eastAsia="Calibri" w:hAnsi="Cambria" w:cs="Times New Roman"/>
          <w:color w:val="000000"/>
          <w:sz w:val="21"/>
          <w:szCs w:val="21"/>
          <w:lang w:val="es-US"/>
        </w:rPr>
        <w:t>señor Flores</w:t>
      </w:r>
      <w:r w:rsidR="002F4BB9" w:rsidRPr="001F2578">
        <w:rPr>
          <w:rFonts w:ascii="Cambria" w:eastAsia="Calibri" w:hAnsi="Cambria" w:cs="Times New Roman"/>
          <w:color w:val="000000"/>
          <w:sz w:val="21"/>
          <w:szCs w:val="21"/>
          <w:lang w:val="es-US"/>
        </w:rPr>
        <w:t xml:space="preserve"> </w:t>
      </w:r>
      <w:r w:rsidRPr="001F2578">
        <w:rPr>
          <w:rFonts w:ascii="Cambria" w:eastAsia="Calibri" w:hAnsi="Cambria" w:cs="Times New Roman"/>
          <w:color w:val="000000"/>
          <w:sz w:val="21"/>
          <w:szCs w:val="21"/>
          <w:lang w:val="es-US"/>
        </w:rPr>
        <w:t>sea ejecutado antes de que la Comisión tenga la oportunidad de examinar el fondo del asunto,</w:t>
      </w:r>
      <w:r w:rsidR="003B42AB" w:rsidRPr="001F2578">
        <w:rPr>
          <w:rFonts w:ascii="Cambria" w:eastAsia="Calibri" w:hAnsi="Cambria" w:cs="Times New Roman"/>
          <w:color w:val="000000"/>
          <w:sz w:val="21"/>
          <w:szCs w:val="21"/>
          <w:lang w:val="es-US"/>
        </w:rPr>
        <w:t xml:space="preserve"> cualquier decisión eventual sería irrelevante, lo que daría lugar a un daño irreparable.</w:t>
      </w:r>
      <w:r w:rsidR="00441BC9" w:rsidRPr="001F2578">
        <w:rPr>
          <w:rFonts w:ascii="Cambria" w:eastAsia="Calibri" w:hAnsi="Cambria" w:cs="Times New Roman"/>
          <w:color w:val="000000"/>
          <w:sz w:val="21"/>
          <w:szCs w:val="21"/>
          <w:lang w:val="es-US"/>
        </w:rPr>
        <w:t xml:space="preserve"> </w:t>
      </w:r>
      <w:r w:rsidRPr="001F2578">
        <w:rPr>
          <w:rFonts w:ascii="Cambria" w:hAnsi="Cambria"/>
          <w:color w:val="000000"/>
          <w:sz w:val="21"/>
          <w:szCs w:val="21"/>
          <w:lang w:val="es-US"/>
        </w:rPr>
        <w:t xml:space="preserve">En consecuencia, de acuerdo con el Artículo 25 del Reglamento de la CIDH, la Comisión solicita </w:t>
      </w:r>
      <w:r w:rsidR="005A21B6" w:rsidRPr="001F2578">
        <w:rPr>
          <w:rFonts w:ascii="Cambria" w:hAnsi="Cambria"/>
          <w:color w:val="000000"/>
          <w:sz w:val="21"/>
          <w:szCs w:val="21"/>
          <w:lang w:val="es-US"/>
        </w:rPr>
        <w:t>a</w:t>
      </w:r>
      <w:r w:rsidRPr="001F2578">
        <w:rPr>
          <w:rFonts w:ascii="Cambria" w:hAnsi="Cambria"/>
          <w:color w:val="000000"/>
          <w:sz w:val="21"/>
          <w:szCs w:val="21"/>
          <w:lang w:val="es-US"/>
        </w:rPr>
        <w:t xml:space="preserve"> los Estados Unidos</w:t>
      </w:r>
      <w:r w:rsidR="00C723DD">
        <w:rPr>
          <w:rFonts w:ascii="Cambria" w:hAnsi="Cambria"/>
          <w:color w:val="000000"/>
          <w:sz w:val="21"/>
          <w:szCs w:val="21"/>
          <w:lang w:val="es-US"/>
        </w:rPr>
        <w:t xml:space="preserve"> de América</w:t>
      </w:r>
      <w:r w:rsidR="005A21B6" w:rsidRPr="001F2578">
        <w:rPr>
          <w:rFonts w:ascii="Cambria" w:hAnsi="Cambria"/>
          <w:color w:val="000000"/>
          <w:sz w:val="21"/>
          <w:szCs w:val="21"/>
          <w:lang w:val="es-US"/>
        </w:rPr>
        <w:t>:</w:t>
      </w:r>
      <w:r w:rsidR="00736B0C" w:rsidRPr="001F2578">
        <w:rPr>
          <w:rFonts w:ascii="Cambria" w:hAnsi="Cambria"/>
          <w:color w:val="000000"/>
          <w:sz w:val="21"/>
          <w:szCs w:val="21"/>
          <w:lang w:val="es-US"/>
        </w:rPr>
        <w:t xml:space="preserve"> </w:t>
      </w:r>
      <w:r w:rsidR="00736B0C" w:rsidRPr="001F2578">
        <w:rPr>
          <w:rFonts w:ascii="Cambria" w:hAnsi="Cambria"/>
          <w:sz w:val="21"/>
          <w:szCs w:val="21"/>
          <w:lang w:val="es-US"/>
        </w:rPr>
        <w:t xml:space="preserve">a) </w:t>
      </w:r>
      <w:r w:rsidR="005A21B6" w:rsidRPr="001F2578">
        <w:rPr>
          <w:rFonts w:ascii="Cambria" w:hAnsi="Cambria"/>
          <w:sz w:val="21"/>
          <w:szCs w:val="21"/>
          <w:lang w:val="es-US"/>
        </w:rPr>
        <w:t xml:space="preserve">adoptar las medidas necesarias para preservar la vida y la integridad personal del señor </w:t>
      </w:r>
      <w:r w:rsidR="00804BF3">
        <w:rPr>
          <w:rFonts w:ascii="Cambria" w:hAnsi="Cambria"/>
          <w:sz w:val="21"/>
          <w:szCs w:val="21"/>
          <w:lang w:val="es-US"/>
        </w:rPr>
        <w:t>Charles Don Flores</w:t>
      </w:r>
      <w:r w:rsidR="00736B0C" w:rsidRPr="001F2578">
        <w:rPr>
          <w:rFonts w:ascii="Cambria" w:hAnsi="Cambria"/>
          <w:sz w:val="21"/>
          <w:szCs w:val="21"/>
          <w:lang w:val="es-US"/>
        </w:rPr>
        <w:t xml:space="preserve">; b) </w:t>
      </w:r>
      <w:r w:rsidR="005A21B6" w:rsidRPr="001F2578">
        <w:rPr>
          <w:rFonts w:ascii="Cambria" w:hAnsi="Cambria"/>
          <w:sz w:val="21"/>
          <w:szCs w:val="21"/>
          <w:lang w:val="es-US"/>
        </w:rPr>
        <w:t>abstenerse de ejecutar la pena de muerte impuesta a</w:t>
      </w:r>
      <w:r w:rsidR="00736B0C" w:rsidRPr="001F2578">
        <w:rPr>
          <w:rFonts w:ascii="Cambria" w:hAnsi="Cambria"/>
          <w:sz w:val="21"/>
          <w:szCs w:val="21"/>
          <w:lang w:val="es-US"/>
        </w:rPr>
        <w:t xml:space="preserve"> </w:t>
      </w:r>
      <w:r w:rsidR="00804BF3">
        <w:rPr>
          <w:rFonts w:ascii="Cambria" w:hAnsi="Cambria"/>
          <w:sz w:val="21"/>
          <w:szCs w:val="21"/>
          <w:lang w:val="es-US"/>
        </w:rPr>
        <w:t>Charles Don Flores</w:t>
      </w:r>
      <w:r w:rsidR="00CD26EA">
        <w:rPr>
          <w:rFonts w:ascii="Cambria" w:hAnsi="Cambria"/>
          <w:sz w:val="21"/>
          <w:szCs w:val="21"/>
          <w:lang w:val="es-US"/>
        </w:rPr>
        <w:t xml:space="preserve"> hasta que la Comisión se pronuncie sobre la petición presentada</w:t>
      </w:r>
      <w:r w:rsidR="00736B0C" w:rsidRPr="001F2578">
        <w:rPr>
          <w:rFonts w:ascii="Cambria" w:hAnsi="Cambria"/>
          <w:sz w:val="21"/>
          <w:szCs w:val="21"/>
          <w:lang w:val="es-US"/>
        </w:rPr>
        <w:t xml:space="preserve">; c) </w:t>
      </w:r>
      <w:r w:rsidR="005A21B6" w:rsidRPr="001F2578">
        <w:rPr>
          <w:rFonts w:ascii="Cambria" w:hAnsi="Cambria"/>
          <w:sz w:val="21"/>
          <w:szCs w:val="21"/>
          <w:lang w:val="es-US"/>
        </w:rPr>
        <w:t xml:space="preserve">garantizar condiciones de detención compatibles con los estándares internacionales; y </w:t>
      </w:r>
      <w:r w:rsidR="00D2248D" w:rsidRPr="001F2578">
        <w:rPr>
          <w:rFonts w:ascii="Cambria" w:hAnsi="Cambria"/>
          <w:sz w:val="21"/>
          <w:szCs w:val="21"/>
          <w:lang w:val="es-US"/>
        </w:rPr>
        <w:t>d</w:t>
      </w:r>
      <w:r w:rsidR="00736B0C" w:rsidRPr="001F2578">
        <w:rPr>
          <w:rFonts w:ascii="Cambria" w:hAnsi="Cambria"/>
          <w:sz w:val="21"/>
          <w:szCs w:val="21"/>
          <w:lang w:val="es-US"/>
        </w:rPr>
        <w:t xml:space="preserve">) </w:t>
      </w:r>
      <w:r w:rsidR="005A21B6" w:rsidRPr="001F2578">
        <w:rPr>
          <w:rFonts w:ascii="Cambria" w:hAnsi="Cambria"/>
          <w:sz w:val="21"/>
          <w:szCs w:val="21"/>
          <w:lang w:val="es-US"/>
        </w:rPr>
        <w:t>concertar las medidas a adoptarse con el beneficiario y sus representante</w:t>
      </w:r>
      <w:r w:rsidR="00E668BA">
        <w:rPr>
          <w:rFonts w:ascii="Cambria" w:hAnsi="Cambria"/>
          <w:sz w:val="21"/>
          <w:szCs w:val="21"/>
          <w:lang w:val="es-US"/>
        </w:rPr>
        <w:t>s</w:t>
      </w:r>
      <w:r w:rsidR="00736B0C" w:rsidRPr="001F2578">
        <w:rPr>
          <w:rFonts w:ascii="Cambria" w:hAnsi="Cambria"/>
          <w:sz w:val="21"/>
          <w:szCs w:val="21"/>
          <w:lang w:val="es-US"/>
        </w:rPr>
        <w:t>.</w:t>
      </w:r>
      <w:r w:rsidR="00804BF3">
        <w:rPr>
          <w:rFonts w:ascii="Cambria" w:hAnsi="Cambria"/>
          <w:sz w:val="21"/>
          <w:szCs w:val="21"/>
          <w:lang w:val="es-US"/>
        </w:rPr>
        <w:t xml:space="preserve"> </w:t>
      </w:r>
    </w:p>
    <w:p w14:paraId="21DECBE4" w14:textId="77777777" w:rsidR="00A573DD" w:rsidRPr="001F2578" w:rsidRDefault="00A573DD" w:rsidP="0062385F">
      <w:pPr>
        <w:pStyle w:val="ListParagraph"/>
        <w:spacing w:after="0" w:line="240" w:lineRule="auto"/>
        <w:ind w:left="1440"/>
        <w:jc w:val="both"/>
        <w:rPr>
          <w:rFonts w:ascii="Cambria" w:eastAsia="Calibri" w:hAnsi="Cambria" w:cs="Times New Roman"/>
          <w:color w:val="000000"/>
          <w:sz w:val="21"/>
          <w:szCs w:val="21"/>
          <w:lang w:val="es-US"/>
        </w:rPr>
      </w:pPr>
    </w:p>
    <w:p w14:paraId="7B40BAE6" w14:textId="26B769BF" w:rsidR="008A069E" w:rsidRPr="001F2578" w:rsidRDefault="00C723DD" w:rsidP="007238C7">
      <w:pPr>
        <w:pStyle w:val="ListParagraph"/>
        <w:numPr>
          <w:ilvl w:val="0"/>
          <w:numId w:val="1"/>
        </w:numPr>
        <w:spacing w:after="0" w:line="240" w:lineRule="auto"/>
        <w:ind w:left="540" w:firstLine="0"/>
        <w:jc w:val="both"/>
        <w:rPr>
          <w:rFonts w:ascii="Cambria" w:eastAsia="Calibri" w:hAnsi="Cambria" w:cs="Times New Roman"/>
          <w:b/>
          <w:color w:val="000000"/>
          <w:sz w:val="21"/>
          <w:szCs w:val="21"/>
          <w:lang w:val="es-US"/>
        </w:rPr>
      </w:pPr>
      <w:r>
        <w:rPr>
          <w:rFonts w:ascii="Cambria" w:hAnsi="Cambria"/>
          <w:b/>
          <w:sz w:val="21"/>
          <w:szCs w:val="21"/>
          <w:lang w:val="es-US"/>
        </w:rPr>
        <w:t>RES</w:t>
      </w:r>
      <w:r w:rsidR="00031E61">
        <w:rPr>
          <w:rFonts w:ascii="Cambria" w:hAnsi="Cambria"/>
          <w:b/>
          <w:sz w:val="21"/>
          <w:szCs w:val="21"/>
          <w:lang w:val="es-US"/>
        </w:rPr>
        <w:t>U</w:t>
      </w:r>
      <w:r w:rsidR="005873DC" w:rsidRPr="001F2578">
        <w:rPr>
          <w:rFonts w:ascii="Cambria" w:hAnsi="Cambria"/>
          <w:b/>
          <w:sz w:val="21"/>
          <w:szCs w:val="21"/>
          <w:lang w:val="es-US"/>
        </w:rPr>
        <w:t xml:space="preserve">MEN DE LOS HECHOS Y ARGUMENTOS APORTADOS POR </w:t>
      </w:r>
      <w:r w:rsidR="001B0300">
        <w:rPr>
          <w:rFonts w:ascii="Cambria" w:hAnsi="Cambria"/>
          <w:b/>
          <w:sz w:val="21"/>
          <w:szCs w:val="21"/>
          <w:lang w:val="es-US"/>
        </w:rPr>
        <w:t>LOS</w:t>
      </w:r>
      <w:r w:rsidR="005873DC" w:rsidRPr="001F2578">
        <w:rPr>
          <w:rFonts w:ascii="Cambria" w:hAnsi="Cambria"/>
          <w:b/>
          <w:sz w:val="21"/>
          <w:szCs w:val="21"/>
          <w:lang w:val="es-US"/>
        </w:rPr>
        <w:t xml:space="preserve"> SOLICITANTE</w:t>
      </w:r>
      <w:r w:rsidR="001B0300">
        <w:rPr>
          <w:rFonts w:ascii="Cambria" w:hAnsi="Cambria"/>
          <w:b/>
          <w:sz w:val="21"/>
          <w:szCs w:val="21"/>
          <w:lang w:val="es-US"/>
        </w:rPr>
        <w:t>S</w:t>
      </w:r>
    </w:p>
    <w:p w14:paraId="7D4EF7EC" w14:textId="77777777" w:rsidR="00A573DD" w:rsidRPr="001F2578" w:rsidRDefault="00A573DD" w:rsidP="0062385F">
      <w:pPr>
        <w:spacing w:after="0" w:line="240" w:lineRule="auto"/>
        <w:jc w:val="both"/>
        <w:rPr>
          <w:rFonts w:ascii="Cambria" w:eastAsia="Calibri" w:hAnsi="Cambria" w:cs="Times New Roman"/>
          <w:b/>
          <w:color w:val="000000"/>
          <w:sz w:val="21"/>
          <w:szCs w:val="21"/>
          <w:lang w:val="es-US"/>
        </w:rPr>
      </w:pPr>
    </w:p>
    <w:p w14:paraId="598A0800" w14:textId="244EF0BF" w:rsidR="00804BF3" w:rsidRDefault="00804BF3" w:rsidP="0062385F">
      <w:pPr>
        <w:pStyle w:val="ListParagraph"/>
        <w:numPr>
          <w:ilvl w:val="0"/>
          <w:numId w:val="5"/>
        </w:numPr>
        <w:spacing w:after="0" w:line="240" w:lineRule="auto"/>
        <w:ind w:left="0" w:firstLine="360"/>
        <w:jc w:val="both"/>
        <w:rPr>
          <w:rFonts w:ascii="Cambria" w:hAnsi="Cambria"/>
          <w:color w:val="000000"/>
          <w:sz w:val="21"/>
          <w:szCs w:val="21"/>
          <w:lang w:val="es-US"/>
        </w:rPr>
      </w:pPr>
      <w:r>
        <w:rPr>
          <w:rFonts w:ascii="Cambria" w:hAnsi="Cambria"/>
          <w:color w:val="000000"/>
          <w:sz w:val="21"/>
          <w:szCs w:val="21"/>
          <w:lang w:val="es-US"/>
        </w:rPr>
        <w:t xml:space="preserve">El señor Charles Don Flores habría sido </w:t>
      </w:r>
      <w:r w:rsidR="00FC232C">
        <w:rPr>
          <w:rFonts w:ascii="Cambria" w:hAnsi="Cambria"/>
          <w:color w:val="000000"/>
          <w:sz w:val="21"/>
          <w:szCs w:val="21"/>
          <w:lang w:val="es-US"/>
        </w:rPr>
        <w:t>condenado a pena de muerte el 1 de abril de 1999 por un asesinato que habría ocurrido el 29 de enero de 1998</w:t>
      </w:r>
      <w:r w:rsidR="000314C7">
        <w:rPr>
          <w:rFonts w:ascii="Cambria" w:hAnsi="Cambria"/>
          <w:color w:val="000000"/>
          <w:sz w:val="21"/>
          <w:szCs w:val="21"/>
          <w:lang w:val="es-US"/>
        </w:rPr>
        <w:t>. Los solicitantes alegaron que no existirían pruebas que vinculen al señor Flores con el asesinato y que fue condenado solamente por su comportamiento antes y después del asesinato</w:t>
      </w:r>
      <w:r w:rsidR="004D1F08">
        <w:rPr>
          <w:rFonts w:ascii="Cambria" w:hAnsi="Cambria"/>
          <w:color w:val="000000"/>
          <w:sz w:val="21"/>
          <w:szCs w:val="21"/>
          <w:lang w:val="es-US"/>
        </w:rPr>
        <w:t xml:space="preserve">. Agregaron que </w:t>
      </w:r>
      <w:r w:rsidR="000314C7">
        <w:rPr>
          <w:rFonts w:ascii="Cambria" w:hAnsi="Cambria"/>
          <w:color w:val="000000"/>
          <w:sz w:val="21"/>
          <w:szCs w:val="21"/>
          <w:lang w:val="es-US"/>
        </w:rPr>
        <w:t>el único testigo que lo</w:t>
      </w:r>
      <w:r w:rsidR="004D1F08">
        <w:rPr>
          <w:rFonts w:ascii="Cambria" w:hAnsi="Cambria"/>
          <w:color w:val="000000"/>
          <w:sz w:val="21"/>
          <w:szCs w:val="21"/>
          <w:lang w:val="es-US"/>
        </w:rPr>
        <w:t xml:space="preserve"> habría identificado </w:t>
      </w:r>
      <w:r w:rsidR="00031E61">
        <w:rPr>
          <w:rFonts w:ascii="Cambria" w:hAnsi="Cambria"/>
          <w:color w:val="000000"/>
          <w:sz w:val="21"/>
          <w:szCs w:val="21"/>
          <w:lang w:val="es-US"/>
        </w:rPr>
        <w:t xml:space="preserve">en la casa de la presunta víctima la mañana de los hechos habría “recuperado la información por medio de una alteración hipnótica de la memoria”. </w:t>
      </w:r>
    </w:p>
    <w:p w14:paraId="1F61DE2A" w14:textId="77777777" w:rsidR="00031E61" w:rsidRDefault="00031E61" w:rsidP="00031E61">
      <w:pPr>
        <w:pStyle w:val="ListParagraph"/>
        <w:spacing w:after="0" w:line="240" w:lineRule="auto"/>
        <w:ind w:left="360"/>
        <w:jc w:val="both"/>
        <w:rPr>
          <w:rFonts w:ascii="Cambria" w:hAnsi="Cambria"/>
          <w:color w:val="000000"/>
          <w:sz w:val="21"/>
          <w:szCs w:val="21"/>
          <w:lang w:val="es-US"/>
        </w:rPr>
      </w:pPr>
    </w:p>
    <w:p w14:paraId="018C2398" w14:textId="77777777" w:rsidR="002E63B6" w:rsidRDefault="00031E61" w:rsidP="002E63B6">
      <w:pPr>
        <w:pStyle w:val="ListParagraph"/>
        <w:numPr>
          <w:ilvl w:val="0"/>
          <w:numId w:val="5"/>
        </w:numPr>
        <w:spacing w:after="0" w:line="240" w:lineRule="auto"/>
        <w:ind w:left="0" w:firstLine="360"/>
        <w:jc w:val="both"/>
        <w:rPr>
          <w:rFonts w:ascii="Cambria" w:hAnsi="Cambria"/>
          <w:color w:val="000000"/>
          <w:sz w:val="21"/>
          <w:szCs w:val="21"/>
          <w:lang w:val="es-US"/>
        </w:rPr>
      </w:pPr>
      <w:r>
        <w:rPr>
          <w:rFonts w:ascii="Cambria" w:hAnsi="Cambria"/>
          <w:color w:val="000000"/>
          <w:sz w:val="21"/>
          <w:szCs w:val="21"/>
          <w:lang w:val="es-US"/>
        </w:rPr>
        <w:t xml:space="preserve">El </w:t>
      </w:r>
      <w:r w:rsidR="00250096">
        <w:rPr>
          <w:rFonts w:ascii="Cambria" w:hAnsi="Cambria"/>
          <w:color w:val="000000"/>
          <w:sz w:val="21"/>
          <w:szCs w:val="21"/>
          <w:lang w:val="es-US"/>
        </w:rPr>
        <w:t>señor Flores</w:t>
      </w:r>
      <w:r>
        <w:rPr>
          <w:rFonts w:ascii="Cambria" w:hAnsi="Cambria"/>
          <w:color w:val="000000"/>
          <w:sz w:val="21"/>
          <w:szCs w:val="21"/>
          <w:lang w:val="es-US"/>
        </w:rPr>
        <w:t xml:space="preserve"> indicó que la Corte de Apelaciones Penales de Texas (</w:t>
      </w:r>
      <w:r w:rsidRPr="001F3436">
        <w:rPr>
          <w:rFonts w:ascii="Cambria" w:hAnsi="Cambria"/>
          <w:i/>
          <w:color w:val="000000"/>
          <w:sz w:val="21"/>
          <w:szCs w:val="21"/>
          <w:lang w:val="es-US"/>
        </w:rPr>
        <w:t xml:space="preserve">Texas </w:t>
      </w:r>
      <w:proofErr w:type="spellStart"/>
      <w:r w:rsidRPr="001F3436">
        <w:rPr>
          <w:rFonts w:ascii="Cambria" w:hAnsi="Cambria"/>
          <w:i/>
          <w:color w:val="000000"/>
          <w:sz w:val="21"/>
          <w:szCs w:val="21"/>
          <w:lang w:val="es-US"/>
        </w:rPr>
        <w:t>Court</w:t>
      </w:r>
      <w:proofErr w:type="spellEnd"/>
      <w:r w:rsidRPr="001F3436">
        <w:rPr>
          <w:rFonts w:ascii="Cambria" w:hAnsi="Cambria"/>
          <w:i/>
          <w:color w:val="000000"/>
          <w:sz w:val="21"/>
          <w:szCs w:val="21"/>
          <w:lang w:val="es-US"/>
        </w:rPr>
        <w:t xml:space="preserve"> of Criminal Appeals</w:t>
      </w:r>
      <w:r>
        <w:rPr>
          <w:rFonts w:ascii="Cambria" w:hAnsi="Cambria"/>
          <w:color w:val="000000"/>
          <w:sz w:val="21"/>
          <w:szCs w:val="21"/>
          <w:lang w:val="es-US"/>
        </w:rPr>
        <w:t xml:space="preserve">) </w:t>
      </w:r>
      <w:r w:rsidR="001F3436">
        <w:rPr>
          <w:rFonts w:ascii="Cambria" w:hAnsi="Cambria"/>
          <w:color w:val="000000"/>
          <w:sz w:val="21"/>
          <w:szCs w:val="21"/>
          <w:lang w:val="es-US"/>
        </w:rPr>
        <w:t>rechazó</w:t>
      </w:r>
      <w:r>
        <w:rPr>
          <w:rFonts w:ascii="Cambria" w:hAnsi="Cambria"/>
          <w:color w:val="000000"/>
          <w:sz w:val="21"/>
          <w:szCs w:val="21"/>
          <w:lang w:val="es-US"/>
        </w:rPr>
        <w:t xml:space="preserve"> su apelación directa </w:t>
      </w:r>
      <w:r w:rsidR="001F3436">
        <w:rPr>
          <w:rFonts w:ascii="Cambria" w:hAnsi="Cambria"/>
          <w:color w:val="000000"/>
          <w:sz w:val="21"/>
          <w:szCs w:val="21"/>
          <w:lang w:val="es-US"/>
        </w:rPr>
        <w:t xml:space="preserve">en 2001 </w:t>
      </w:r>
      <w:r>
        <w:rPr>
          <w:rFonts w:ascii="Cambria" w:hAnsi="Cambria"/>
          <w:color w:val="000000"/>
          <w:sz w:val="21"/>
          <w:szCs w:val="21"/>
          <w:lang w:val="es-US"/>
        </w:rPr>
        <w:t xml:space="preserve">en una opinión </w:t>
      </w:r>
      <w:r w:rsidR="004D1F08">
        <w:rPr>
          <w:rFonts w:ascii="Cambria" w:hAnsi="Cambria"/>
          <w:color w:val="000000"/>
          <w:sz w:val="21"/>
          <w:szCs w:val="21"/>
          <w:lang w:val="es-US"/>
        </w:rPr>
        <w:t>“</w:t>
      </w:r>
      <w:r w:rsidR="001F3436">
        <w:rPr>
          <w:rFonts w:ascii="Cambria" w:hAnsi="Cambria"/>
          <w:color w:val="000000"/>
          <w:sz w:val="21"/>
          <w:szCs w:val="21"/>
          <w:lang w:val="es-US"/>
        </w:rPr>
        <w:t>no publicada</w:t>
      </w:r>
      <w:r w:rsidR="004D1F08">
        <w:rPr>
          <w:rFonts w:ascii="Cambria" w:hAnsi="Cambria"/>
          <w:color w:val="000000"/>
          <w:sz w:val="21"/>
          <w:szCs w:val="21"/>
          <w:lang w:val="es-US"/>
        </w:rPr>
        <w:t>”. P</w:t>
      </w:r>
      <w:r w:rsidR="001F3436">
        <w:rPr>
          <w:rFonts w:ascii="Cambria" w:hAnsi="Cambria"/>
          <w:color w:val="000000"/>
          <w:sz w:val="21"/>
          <w:szCs w:val="21"/>
          <w:lang w:val="es-US"/>
        </w:rPr>
        <w:t>osteriormente</w:t>
      </w:r>
      <w:r w:rsidR="004D1F08">
        <w:rPr>
          <w:rFonts w:ascii="Cambria" w:hAnsi="Cambria"/>
          <w:color w:val="000000"/>
          <w:sz w:val="21"/>
          <w:szCs w:val="21"/>
          <w:lang w:val="es-US"/>
        </w:rPr>
        <w:t>,</w:t>
      </w:r>
      <w:r w:rsidR="001F3436">
        <w:rPr>
          <w:rFonts w:ascii="Cambria" w:hAnsi="Cambria"/>
          <w:color w:val="000000"/>
          <w:sz w:val="21"/>
          <w:szCs w:val="21"/>
          <w:lang w:val="es-US"/>
        </w:rPr>
        <w:t xml:space="preserve"> la Suprema Corte </w:t>
      </w:r>
      <w:r w:rsidR="00CE4DBE">
        <w:rPr>
          <w:rFonts w:ascii="Cambria" w:hAnsi="Cambria"/>
          <w:color w:val="000000"/>
          <w:sz w:val="21"/>
          <w:szCs w:val="21"/>
          <w:lang w:val="es-US"/>
        </w:rPr>
        <w:t>habría rechazado</w:t>
      </w:r>
      <w:r w:rsidR="001F3436">
        <w:rPr>
          <w:rFonts w:ascii="Cambria" w:hAnsi="Cambria"/>
          <w:color w:val="000000"/>
          <w:sz w:val="21"/>
          <w:szCs w:val="21"/>
          <w:lang w:val="es-US"/>
        </w:rPr>
        <w:t xml:space="preserve"> su solicitud de revisión de sentencia (</w:t>
      </w:r>
      <w:proofErr w:type="spellStart"/>
      <w:r w:rsidR="001F3436" w:rsidRPr="001F3436">
        <w:rPr>
          <w:rFonts w:ascii="Cambria" w:hAnsi="Cambria"/>
          <w:i/>
          <w:color w:val="000000"/>
          <w:sz w:val="21"/>
          <w:szCs w:val="21"/>
          <w:lang w:val="es-US"/>
        </w:rPr>
        <w:t>writ</w:t>
      </w:r>
      <w:proofErr w:type="spellEnd"/>
      <w:r w:rsidR="001F3436" w:rsidRPr="001F3436">
        <w:rPr>
          <w:rFonts w:ascii="Cambria" w:hAnsi="Cambria"/>
          <w:i/>
          <w:color w:val="000000"/>
          <w:sz w:val="21"/>
          <w:szCs w:val="21"/>
          <w:lang w:val="es-US"/>
        </w:rPr>
        <w:t xml:space="preserve"> of </w:t>
      </w:r>
      <w:proofErr w:type="spellStart"/>
      <w:r w:rsidR="001F3436" w:rsidRPr="001F3436">
        <w:rPr>
          <w:rFonts w:ascii="Cambria" w:hAnsi="Cambria"/>
          <w:i/>
          <w:color w:val="000000"/>
          <w:sz w:val="21"/>
          <w:szCs w:val="21"/>
          <w:lang w:val="es-US"/>
        </w:rPr>
        <w:t>certiorari</w:t>
      </w:r>
      <w:proofErr w:type="spellEnd"/>
      <w:r w:rsidR="001F3436">
        <w:rPr>
          <w:rFonts w:ascii="Cambria" w:hAnsi="Cambria"/>
          <w:color w:val="000000"/>
          <w:sz w:val="21"/>
          <w:szCs w:val="21"/>
          <w:lang w:val="es-US"/>
        </w:rPr>
        <w:t xml:space="preserve">) en 2002 y la Corte de Apelaciones Penales de Texas </w:t>
      </w:r>
      <w:r w:rsidR="009E5ED2">
        <w:rPr>
          <w:rFonts w:ascii="Cambria" w:hAnsi="Cambria"/>
          <w:color w:val="000000"/>
          <w:sz w:val="21"/>
          <w:szCs w:val="21"/>
          <w:lang w:val="es-US"/>
        </w:rPr>
        <w:t>habría rechazado</w:t>
      </w:r>
      <w:r w:rsidR="001F3436">
        <w:rPr>
          <w:rFonts w:ascii="Cambria" w:hAnsi="Cambria"/>
          <w:color w:val="000000"/>
          <w:sz w:val="21"/>
          <w:szCs w:val="21"/>
          <w:lang w:val="es-US"/>
        </w:rPr>
        <w:t xml:space="preserve"> su solicitud de </w:t>
      </w:r>
      <w:r w:rsidR="001F3436">
        <w:rPr>
          <w:rFonts w:ascii="Cambria" w:hAnsi="Cambria"/>
          <w:i/>
          <w:color w:val="000000"/>
          <w:sz w:val="21"/>
          <w:szCs w:val="21"/>
          <w:lang w:val="es-US"/>
        </w:rPr>
        <w:t xml:space="preserve">habeas corpus </w:t>
      </w:r>
      <w:r w:rsidR="001F3436">
        <w:rPr>
          <w:rFonts w:ascii="Cambria" w:hAnsi="Cambria"/>
          <w:color w:val="000000"/>
          <w:sz w:val="21"/>
          <w:szCs w:val="21"/>
          <w:lang w:val="es-US"/>
        </w:rPr>
        <w:t xml:space="preserve">estatal en 2006. </w:t>
      </w:r>
      <w:r w:rsidR="00BC527A">
        <w:rPr>
          <w:rFonts w:ascii="Cambria" w:hAnsi="Cambria"/>
          <w:color w:val="000000"/>
          <w:sz w:val="21"/>
          <w:szCs w:val="21"/>
          <w:lang w:val="es-US"/>
        </w:rPr>
        <w:t>A nivel federal,</w:t>
      </w:r>
      <w:r w:rsidR="00DB284A">
        <w:rPr>
          <w:rFonts w:ascii="Cambria" w:hAnsi="Cambria"/>
          <w:color w:val="000000"/>
          <w:sz w:val="21"/>
          <w:szCs w:val="21"/>
          <w:lang w:val="es-US"/>
        </w:rPr>
        <w:t xml:space="preserve"> los solicitantes señalaron que</w:t>
      </w:r>
      <w:r w:rsidR="00BC527A">
        <w:rPr>
          <w:rFonts w:ascii="Cambria" w:hAnsi="Cambria"/>
          <w:color w:val="000000"/>
          <w:sz w:val="21"/>
          <w:szCs w:val="21"/>
          <w:lang w:val="es-US"/>
        </w:rPr>
        <w:t xml:space="preserve"> un juez recomendó rechazar un </w:t>
      </w:r>
      <w:r w:rsidR="00BC527A">
        <w:rPr>
          <w:rFonts w:ascii="Cambria" w:hAnsi="Cambria"/>
          <w:i/>
          <w:color w:val="000000"/>
          <w:sz w:val="21"/>
          <w:szCs w:val="21"/>
          <w:lang w:val="es-US"/>
        </w:rPr>
        <w:t>habeas corpus</w:t>
      </w:r>
      <w:r w:rsidR="00BC527A">
        <w:rPr>
          <w:rFonts w:ascii="Cambria" w:hAnsi="Cambria"/>
          <w:color w:val="000000"/>
          <w:sz w:val="21"/>
          <w:szCs w:val="21"/>
          <w:lang w:val="es-US"/>
        </w:rPr>
        <w:t xml:space="preserve"> en 2011, </w:t>
      </w:r>
      <w:r w:rsidR="004D1F08">
        <w:rPr>
          <w:rFonts w:ascii="Cambria" w:hAnsi="Cambria"/>
          <w:color w:val="000000"/>
          <w:sz w:val="21"/>
          <w:szCs w:val="21"/>
          <w:lang w:val="es-US"/>
        </w:rPr>
        <w:t xml:space="preserve">lo cual fue </w:t>
      </w:r>
      <w:r w:rsidR="00BC527A">
        <w:rPr>
          <w:rFonts w:ascii="Cambria" w:hAnsi="Cambria"/>
          <w:color w:val="000000"/>
          <w:sz w:val="21"/>
          <w:szCs w:val="21"/>
          <w:lang w:val="es-US"/>
        </w:rPr>
        <w:t>aceptad</w:t>
      </w:r>
      <w:r w:rsidR="00C23FB3">
        <w:rPr>
          <w:rFonts w:ascii="Cambria" w:hAnsi="Cambria"/>
          <w:color w:val="000000"/>
          <w:sz w:val="21"/>
          <w:szCs w:val="21"/>
          <w:lang w:val="es-US"/>
        </w:rPr>
        <w:t>o</w:t>
      </w:r>
      <w:r w:rsidR="00BC527A">
        <w:rPr>
          <w:rFonts w:ascii="Cambria" w:hAnsi="Cambria"/>
          <w:color w:val="000000"/>
          <w:sz w:val="21"/>
          <w:szCs w:val="21"/>
          <w:lang w:val="es-US"/>
        </w:rPr>
        <w:t xml:space="preserve"> por la Corte Federal de Distrito que rechazó el recurso en 2014 y emitió opinión ordenando </w:t>
      </w:r>
      <w:r w:rsidR="00CA1321">
        <w:rPr>
          <w:rFonts w:ascii="Cambria" w:hAnsi="Cambria"/>
          <w:color w:val="000000"/>
          <w:sz w:val="21"/>
          <w:szCs w:val="21"/>
          <w:lang w:val="es-US"/>
        </w:rPr>
        <w:t>rechazar</w:t>
      </w:r>
      <w:r w:rsidR="00BC527A">
        <w:rPr>
          <w:rFonts w:ascii="Cambria" w:hAnsi="Cambria"/>
          <w:color w:val="000000"/>
          <w:sz w:val="21"/>
          <w:szCs w:val="21"/>
          <w:lang w:val="es-US"/>
        </w:rPr>
        <w:t xml:space="preserve"> una moción para alterar o enmendar la sentencia. </w:t>
      </w:r>
      <w:r w:rsidR="00DB284A">
        <w:rPr>
          <w:rFonts w:ascii="Cambria" w:hAnsi="Cambria"/>
          <w:color w:val="000000"/>
          <w:sz w:val="21"/>
          <w:szCs w:val="21"/>
          <w:lang w:val="es-US"/>
        </w:rPr>
        <w:t>En 2015</w:t>
      </w:r>
      <w:r w:rsidR="00CA1321">
        <w:rPr>
          <w:rFonts w:ascii="Cambria" w:hAnsi="Cambria"/>
          <w:color w:val="000000"/>
          <w:sz w:val="21"/>
          <w:szCs w:val="21"/>
          <w:lang w:val="es-US"/>
        </w:rPr>
        <w:t>,</w:t>
      </w:r>
      <w:r w:rsidR="00DB284A">
        <w:rPr>
          <w:rFonts w:ascii="Cambria" w:hAnsi="Cambria"/>
          <w:color w:val="000000"/>
          <w:sz w:val="21"/>
          <w:szCs w:val="21"/>
          <w:lang w:val="es-US"/>
        </w:rPr>
        <w:t xml:space="preserve"> la Corte de Apelaciones </w:t>
      </w:r>
      <w:r w:rsidR="00DB284A">
        <w:rPr>
          <w:rFonts w:ascii="Cambria" w:hAnsi="Cambria"/>
          <w:color w:val="000000"/>
          <w:sz w:val="21"/>
          <w:szCs w:val="21"/>
          <w:lang w:val="es-US"/>
        </w:rPr>
        <w:lastRenderedPageBreak/>
        <w:t>del Quinto Circuito (</w:t>
      </w:r>
      <w:proofErr w:type="spellStart"/>
      <w:r w:rsidR="00DB284A" w:rsidRPr="00DB284A">
        <w:rPr>
          <w:rFonts w:ascii="Cambria" w:hAnsi="Cambria"/>
          <w:i/>
          <w:color w:val="000000"/>
          <w:sz w:val="21"/>
          <w:szCs w:val="21"/>
          <w:lang w:val="es-US"/>
        </w:rPr>
        <w:t>Fifth</w:t>
      </w:r>
      <w:proofErr w:type="spellEnd"/>
      <w:r w:rsidR="00DB284A" w:rsidRPr="00DB284A">
        <w:rPr>
          <w:rFonts w:ascii="Cambria" w:hAnsi="Cambria"/>
          <w:i/>
          <w:color w:val="000000"/>
          <w:sz w:val="21"/>
          <w:szCs w:val="21"/>
          <w:lang w:val="es-US"/>
        </w:rPr>
        <w:t xml:space="preserve"> </w:t>
      </w:r>
      <w:proofErr w:type="spellStart"/>
      <w:r w:rsidR="00DB284A" w:rsidRPr="00DB284A">
        <w:rPr>
          <w:rFonts w:ascii="Cambria" w:hAnsi="Cambria"/>
          <w:i/>
          <w:color w:val="000000"/>
          <w:sz w:val="21"/>
          <w:szCs w:val="21"/>
          <w:lang w:val="es-US"/>
        </w:rPr>
        <w:t>Circuit</w:t>
      </w:r>
      <w:proofErr w:type="spellEnd"/>
      <w:r w:rsidR="00DB284A" w:rsidRPr="00DB284A">
        <w:rPr>
          <w:rFonts w:ascii="Cambria" w:hAnsi="Cambria"/>
          <w:i/>
          <w:color w:val="000000"/>
          <w:sz w:val="21"/>
          <w:szCs w:val="21"/>
          <w:lang w:val="es-US"/>
        </w:rPr>
        <w:t xml:space="preserve"> of Appeals</w:t>
      </w:r>
      <w:r w:rsidR="00DB284A">
        <w:rPr>
          <w:rFonts w:ascii="Cambria" w:hAnsi="Cambria"/>
          <w:color w:val="000000"/>
          <w:sz w:val="21"/>
          <w:szCs w:val="21"/>
          <w:lang w:val="es-US"/>
        </w:rPr>
        <w:t xml:space="preserve">) habría rechazado una solicitud de certificado de </w:t>
      </w:r>
      <w:proofErr w:type="spellStart"/>
      <w:r w:rsidR="00DB284A">
        <w:rPr>
          <w:rFonts w:ascii="Cambria" w:hAnsi="Cambria"/>
          <w:color w:val="000000"/>
          <w:sz w:val="21"/>
          <w:szCs w:val="21"/>
          <w:lang w:val="es-US"/>
        </w:rPr>
        <w:t>apelabilidad</w:t>
      </w:r>
      <w:proofErr w:type="spellEnd"/>
      <w:r w:rsidR="00DB284A">
        <w:rPr>
          <w:rFonts w:ascii="Cambria" w:hAnsi="Cambria"/>
          <w:color w:val="000000"/>
          <w:sz w:val="21"/>
          <w:szCs w:val="21"/>
          <w:lang w:val="es-US"/>
        </w:rPr>
        <w:t xml:space="preserve"> (</w:t>
      </w:r>
      <w:proofErr w:type="spellStart"/>
      <w:r w:rsidR="00DB284A" w:rsidRPr="00DB284A">
        <w:rPr>
          <w:rFonts w:ascii="Cambria" w:hAnsi="Cambria"/>
          <w:i/>
          <w:color w:val="000000"/>
          <w:sz w:val="21"/>
          <w:szCs w:val="21"/>
          <w:lang w:val="es-US"/>
        </w:rPr>
        <w:t>certificate</w:t>
      </w:r>
      <w:proofErr w:type="spellEnd"/>
      <w:r w:rsidR="00DB284A" w:rsidRPr="00DB284A">
        <w:rPr>
          <w:rFonts w:ascii="Cambria" w:hAnsi="Cambria"/>
          <w:i/>
          <w:color w:val="000000"/>
          <w:sz w:val="21"/>
          <w:szCs w:val="21"/>
          <w:lang w:val="es-US"/>
        </w:rPr>
        <w:t xml:space="preserve"> of </w:t>
      </w:r>
      <w:proofErr w:type="spellStart"/>
      <w:r w:rsidR="00DB284A" w:rsidRPr="00DB284A">
        <w:rPr>
          <w:rFonts w:ascii="Cambria" w:hAnsi="Cambria"/>
          <w:i/>
          <w:color w:val="000000"/>
          <w:sz w:val="21"/>
          <w:szCs w:val="21"/>
          <w:lang w:val="es-US"/>
        </w:rPr>
        <w:t>appealability</w:t>
      </w:r>
      <w:proofErr w:type="spellEnd"/>
      <w:r w:rsidR="00DB284A">
        <w:rPr>
          <w:rFonts w:ascii="Cambria" w:hAnsi="Cambria"/>
          <w:color w:val="000000"/>
          <w:sz w:val="21"/>
          <w:szCs w:val="21"/>
          <w:lang w:val="es-US"/>
        </w:rPr>
        <w:t>) y</w:t>
      </w:r>
      <w:r w:rsidR="0085574D">
        <w:rPr>
          <w:rFonts w:ascii="Cambria" w:hAnsi="Cambria"/>
          <w:color w:val="000000"/>
          <w:sz w:val="21"/>
          <w:szCs w:val="21"/>
          <w:lang w:val="es-US"/>
        </w:rPr>
        <w:t xml:space="preserve"> </w:t>
      </w:r>
      <w:r w:rsidR="00DB284A">
        <w:rPr>
          <w:rFonts w:ascii="Cambria" w:hAnsi="Cambria"/>
          <w:color w:val="000000"/>
          <w:sz w:val="21"/>
          <w:szCs w:val="21"/>
          <w:lang w:val="es-US"/>
        </w:rPr>
        <w:t>la Suprema Corte habría rechazado una solicitud de revisión</w:t>
      </w:r>
      <w:r w:rsidR="0085574D">
        <w:rPr>
          <w:rFonts w:ascii="Cambria" w:hAnsi="Cambria"/>
          <w:color w:val="000000"/>
          <w:sz w:val="21"/>
          <w:szCs w:val="21"/>
          <w:lang w:val="es-US"/>
        </w:rPr>
        <w:t>.</w:t>
      </w:r>
    </w:p>
    <w:p w14:paraId="03789D30" w14:textId="77777777" w:rsidR="002E63B6" w:rsidRPr="002E63B6" w:rsidRDefault="002E63B6" w:rsidP="002E63B6">
      <w:pPr>
        <w:pStyle w:val="ListParagraph"/>
        <w:rPr>
          <w:rFonts w:ascii="Cambria" w:hAnsi="Cambria"/>
          <w:color w:val="000000"/>
          <w:sz w:val="21"/>
          <w:szCs w:val="21"/>
          <w:lang w:val="es-US"/>
        </w:rPr>
      </w:pPr>
    </w:p>
    <w:p w14:paraId="09696973" w14:textId="783E275A" w:rsidR="0085574D" w:rsidRPr="002E63B6" w:rsidRDefault="0085574D" w:rsidP="002E63B6">
      <w:pPr>
        <w:pStyle w:val="ListParagraph"/>
        <w:numPr>
          <w:ilvl w:val="0"/>
          <w:numId w:val="5"/>
        </w:numPr>
        <w:spacing w:after="0" w:line="240" w:lineRule="auto"/>
        <w:ind w:left="0" w:firstLine="360"/>
        <w:jc w:val="both"/>
        <w:rPr>
          <w:rFonts w:ascii="Cambria" w:hAnsi="Cambria"/>
          <w:color w:val="000000"/>
          <w:sz w:val="21"/>
          <w:szCs w:val="21"/>
          <w:lang w:val="es-US"/>
        </w:rPr>
      </w:pPr>
      <w:r w:rsidRPr="002E63B6">
        <w:rPr>
          <w:rFonts w:ascii="Cambria" w:hAnsi="Cambria"/>
          <w:color w:val="000000"/>
          <w:sz w:val="21"/>
          <w:szCs w:val="21"/>
          <w:lang w:val="es-US"/>
        </w:rPr>
        <w:t xml:space="preserve">En enero de 2016 el señor Flores habría sido notificado de su fecha de ejecución de la pena de muerte para el 2 de junio de 2016, sin embargo el propuesto beneficiario habría interpuesto un nuevo recurso cuestionando ciertas </w:t>
      </w:r>
      <w:r w:rsidR="00CA1321" w:rsidRPr="002E63B6">
        <w:rPr>
          <w:rFonts w:ascii="Cambria" w:hAnsi="Cambria"/>
          <w:color w:val="000000"/>
          <w:sz w:val="21"/>
          <w:szCs w:val="21"/>
          <w:lang w:val="es-US"/>
        </w:rPr>
        <w:t>pruebas</w:t>
      </w:r>
      <w:r w:rsidRPr="002E63B6">
        <w:rPr>
          <w:rFonts w:ascii="Cambria" w:hAnsi="Cambria"/>
          <w:color w:val="000000"/>
          <w:sz w:val="21"/>
          <w:szCs w:val="21"/>
          <w:lang w:val="es-US"/>
        </w:rPr>
        <w:t xml:space="preserve"> científicas ante la Corte Judicial del Distrito 195 de Dallas (</w:t>
      </w:r>
      <w:r w:rsidRPr="002E63B6">
        <w:rPr>
          <w:rFonts w:ascii="Cambria" w:hAnsi="Cambria"/>
          <w:i/>
          <w:color w:val="000000"/>
          <w:sz w:val="21"/>
          <w:szCs w:val="21"/>
          <w:lang w:val="es-US"/>
        </w:rPr>
        <w:t xml:space="preserve">195th Judicial </w:t>
      </w:r>
      <w:proofErr w:type="spellStart"/>
      <w:r w:rsidRPr="002E63B6">
        <w:rPr>
          <w:rFonts w:ascii="Cambria" w:hAnsi="Cambria"/>
          <w:i/>
          <w:color w:val="000000"/>
          <w:sz w:val="21"/>
          <w:szCs w:val="21"/>
          <w:lang w:val="es-US"/>
        </w:rPr>
        <w:t>District</w:t>
      </w:r>
      <w:proofErr w:type="spellEnd"/>
      <w:r w:rsidRPr="002E63B6">
        <w:rPr>
          <w:rFonts w:ascii="Cambria" w:hAnsi="Cambria"/>
          <w:i/>
          <w:color w:val="000000"/>
          <w:sz w:val="21"/>
          <w:szCs w:val="21"/>
          <w:lang w:val="es-US"/>
        </w:rPr>
        <w:t xml:space="preserve"> </w:t>
      </w:r>
      <w:proofErr w:type="spellStart"/>
      <w:r w:rsidRPr="002E63B6">
        <w:rPr>
          <w:rFonts w:ascii="Cambria" w:hAnsi="Cambria"/>
          <w:i/>
          <w:color w:val="000000"/>
          <w:sz w:val="21"/>
          <w:szCs w:val="21"/>
          <w:lang w:val="es-US"/>
        </w:rPr>
        <w:t>Court</w:t>
      </w:r>
      <w:proofErr w:type="spellEnd"/>
      <w:r w:rsidRPr="002E63B6">
        <w:rPr>
          <w:rFonts w:ascii="Cambria" w:hAnsi="Cambria"/>
          <w:i/>
          <w:color w:val="000000"/>
          <w:sz w:val="21"/>
          <w:szCs w:val="21"/>
          <w:lang w:val="es-US"/>
        </w:rPr>
        <w:t xml:space="preserve"> of Dallas</w:t>
      </w:r>
      <w:r w:rsidRPr="002E63B6">
        <w:rPr>
          <w:rFonts w:ascii="Cambria" w:hAnsi="Cambria"/>
          <w:color w:val="000000"/>
          <w:sz w:val="21"/>
          <w:szCs w:val="21"/>
          <w:lang w:val="es-US"/>
        </w:rPr>
        <w:t>)</w:t>
      </w:r>
      <w:r w:rsidR="00480C1C" w:rsidRPr="002E63B6">
        <w:rPr>
          <w:rFonts w:ascii="Cambria" w:hAnsi="Cambria"/>
          <w:color w:val="000000"/>
          <w:sz w:val="21"/>
          <w:szCs w:val="21"/>
          <w:lang w:val="es-US"/>
        </w:rPr>
        <w:t xml:space="preserve"> y ante la Corte de Apelaciones Penales de Texas, ordenando esta última la suspensión de la ejecución y regresando el caso a la Corte de Distrito del </w:t>
      </w:r>
      <w:r w:rsidR="004D1F08" w:rsidRPr="002E63B6">
        <w:rPr>
          <w:rFonts w:ascii="Cambria" w:hAnsi="Cambria"/>
          <w:color w:val="000000"/>
          <w:sz w:val="21"/>
          <w:szCs w:val="21"/>
          <w:lang w:val="es-US"/>
        </w:rPr>
        <w:t>J</w:t>
      </w:r>
      <w:r w:rsidR="00480C1C" w:rsidRPr="002E63B6">
        <w:rPr>
          <w:rFonts w:ascii="Cambria" w:hAnsi="Cambria"/>
          <w:color w:val="000000"/>
          <w:sz w:val="21"/>
          <w:szCs w:val="21"/>
          <w:lang w:val="es-US"/>
        </w:rPr>
        <w:t xml:space="preserve">uicio para una audiencia </w:t>
      </w:r>
      <w:r w:rsidR="004F653B" w:rsidRPr="002E63B6">
        <w:rPr>
          <w:rFonts w:ascii="Cambria" w:hAnsi="Cambria"/>
          <w:color w:val="000000"/>
          <w:sz w:val="21"/>
          <w:szCs w:val="21"/>
          <w:lang w:val="es-US"/>
        </w:rPr>
        <w:t xml:space="preserve">de pruebas </w:t>
      </w:r>
      <w:r w:rsidR="004D1F08" w:rsidRPr="002E63B6">
        <w:rPr>
          <w:rFonts w:ascii="Cambria" w:hAnsi="Cambria"/>
          <w:color w:val="000000"/>
          <w:sz w:val="21"/>
          <w:szCs w:val="21"/>
          <w:lang w:val="es-US"/>
        </w:rPr>
        <w:t xml:space="preserve">con el objeto de </w:t>
      </w:r>
      <w:r w:rsidR="004F653B" w:rsidRPr="002E63B6">
        <w:rPr>
          <w:rFonts w:ascii="Cambria" w:hAnsi="Cambria"/>
          <w:color w:val="000000"/>
          <w:sz w:val="21"/>
          <w:szCs w:val="21"/>
          <w:lang w:val="es-US"/>
        </w:rPr>
        <w:t xml:space="preserve">determinar si el testimonio del testigo bajo influjos hipnóticos sería confiable. </w:t>
      </w:r>
      <w:r w:rsidR="00C35CF9" w:rsidRPr="002E63B6">
        <w:rPr>
          <w:rFonts w:ascii="Cambria" w:hAnsi="Cambria"/>
          <w:color w:val="000000"/>
          <w:sz w:val="21"/>
          <w:szCs w:val="21"/>
          <w:lang w:val="es-US"/>
        </w:rPr>
        <w:t xml:space="preserve">Las audiencias sobre </w:t>
      </w:r>
      <w:r w:rsidR="00CA1321" w:rsidRPr="002E63B6">
        <w:rPr>
          <w:rFonts w:ascii="Cambria" w:hAnsi="Cambria"/>
          <w:color w:val="000000"/>
          <w:sz w:val="21"/>
          <w:szCs w:val="21"/>
          <w:lang w:val="es-US"/>
        </w:rPr>
        <w:t>las pruebas</w:t>
      </w:r>
      <w:r w:rsidR="00C35CF9" w:rsidRPr="002E63B6">
        <w:rPr>
          <w:rFonts w:ascii="Cambria" w:hAnsi="Cambria"/>
          <w:color w:val="000000"/>
          <w:sz w:val="21"/>
          <w:szCs w:val="21"/>
          <w:lang w:val="es-US"/>
        </w:rPr>
        <w:t xml:space="preserve"> habrían finalizado en septiembre de 2017 y los solicitantes indicaron que la resolución del juez se encuentra pendiente para emitirse a partir de mayo</w:t>
      </w:r>
      <w:r w:rsidR="00CA1321" w:rsidRPr="002E63B6">
        <w:rPr>
          <w:rFonts w:ascii="Cambria" w:hAnsi="Cambria"/>
          <w:color w:val="000000"/>
          <w:sz w:val="21"/>
          <w:szCs w:val="21"/>
          <w:lang w:val="es-US"/>
        </w:rPr>
        <w:t xml:space="preserve"> de</w:t>
      </w:r>
      <w:r w:rsidR="00C35CF9" w:rsidRPr="002E63B6">
        <w:rPr>
          <w:rFonts w:ascii="Cambria" w:hAnsi="Cambria"/>
          <w:color w:val="000000"/>
          <w:sz w:val="21"/>
          <w:szCs w:val="21"/>
          <w:lang w:val="es-US"/>
        </w:rPr>
        <w:t xml:space="preserve"> 2018</w:t>
      </w:r>
      <w:r w:rsidR="000A3F85" w:rsidRPr="002E63B6">
        <w:rPr>
          <w:rFonts w:ascii="Cambria" w:hAnsi="Cambria"/>
          <w:color w:val="000000"/>
          <w:sz w:val="21"/>
          <w:szCs w:val="21"/>
          <w:lang w:val="es-US"/>
        </w:rPr>
        <w:t>, en la que podría ordenar</w:t>
      </w:r>
      <w:r w:rsidR="004D1F08" w:rsidRPr="002E63B6">
        <w:rPr>
          <w:rFonts w:ascii="Cambria" w:hAnsi="Cambria"/>
          <w:color w:val="000000"/>
          <w:sz w:val="21"/>
          <w:szCs w:val="21"/>
          <w:lang w:val="es-US"/>
        </w:rPr>
        <w:t>se</w:t>
      </w:r>
      <w:r w:rsidR="000A3F85" w:rsidRPr="002E63B6">
        <w:rPr>
          <w:rFonts w:ascii="Cambria" w:hAnsi="Cambria"/>
          <w:color w:val="000000"/>
          <w:sz w:val="21"/>
          <w:szCs w:val="21"/>
          <w:lang w:val="es-US"/>
        </w:rPr>
        <w:t xml:space="preserve"> un nuevo juicio</w:t>
      </w:r>
      <w:r w:rsidR="004D1F08" w:rsidRPr="002E63B6">
        <w:rPr>
          <w:rFonts w:ascii="Cambria" w:hAnsi="Cambria"/>
          <w:color w:val="000000"/>
          <w:sz w:val="21"/>
          <w:szCs w:val="21"/>
          <w:lang w:val="es-US"/>
        </w:rPr>
        <w:t>,</w:t>
      </w:r>
      <w:r w:rsidR="000A3F85" w:rsidRPr="002E63B6">
        <w:rPr>
          <w:rFonts w:ascii="Cambria" w:hAnsi="Cambria"/>
          <w:color w:val="000000"/>
          <w:sz w:val="21"/>
          <w:szCs w:val="21"/>
          <w:lang w:val="es-US"/>
        </w:rPr>
        <w:t xml:space="preserve"> o </w:t>
      </w:r>
      <w:r w:rsidR="004D1F08" w:rsidRPr="002E63B6">
        <w:rPr>
          <w:rFonts w:ascii="Cambria" w:hAnsi="Cambria"/>
          <w:color w:val="000000"/>
          <w:sz w:val="21"/>
          <w:szCs w:val="21"/>
          <w:lang w:val="es-US"/>
        </w:rPr>
        <w:t xml:space="preserve">bien, </w:t>
      </w:r>
      <w:r w:rsidR="000A3F85" w:rsidRPr="002E63B6">
        <w:rPr>
          <w:rFonts w:ascii="Cambria" w:hAnsi="Cambria"/>
          <w:color w:val="000000"/>
          <w:sz w:val="21"/>
          <w:szCs w:val="21"/>
          <w:lang w:val="es-US"/>
        </w:rPr>
        <w:t>permitir la ejecución</w:t>
      </w:r>
      <w:r w:rsidR="004D1F08" w:rsidRPr="002E63B6">
        <w:rPr>
          <w:rFonts w:ascii="Cambria" w:hAnsi="Cambria"/>
          <w:color w:val="000000"/>
          <w:sz w:val="21"/>
          <w:szCs w:val="21"/>
          <w:lang w:val="es-US"/>
        </w:rPr>
        <w:t>. En este sentido</w:t>
      </w:r>
      <w:r w:rsidR="000A3F85" w:rsidRPr="002E63B6">
        <w:rPr>
          <w:rFonts w:ascii="Cambria" w:hAnsi="Cambria"/>
          <w:color w:val="000000"/>
          <w:sz w:val="21"/>
          <w:szCs w:val="21"/>
          <w:lang w:val="es-US"/>
        </w:rPr>
        <w:t>,</w:t>
      </w:r>
      <w:r w:rsidR="004D1F08" w:rsidRPr="002E63B6">
        <w:rPr>
          <w:rFonts w:ascii="Cambria" w:hAnsi="Cambria"/>
          <w:color w:val="000000"/>
          <w:sz w:val="21"/>
          <w:szCs w:val="21"/>
          <w:lang w:val="es-US"/>
        </w:rPr>
        <w:t xml:space="preserve"> los solicitantes indicaron que existiría </w:t>
      </w:r>
      <w:r w:rsidR="000A3F85" w:rsidRPr="002E63B6">
        <w:rPr>
          <w:rFonts w:ascii="Cambria" w:hAnsi="Cambria"/>
          <w:color w:val="000000"/>
          <w:sz w:val="21"/>
          <w:szCs w:val="21"/>
          <w:lang w:val="es-US"/>
        </w:rPr>
        <w:t xml:space="preserve">“una alta probabilidad de obtener una nueva fecha de ejecución </w:t>
      </w:r>
      <w:r w:rsidR="00227C50" w:rsidRPr="002E63B6">
        <w:rPr>
          <w:rFonts w:ascii="Cambria" w:hAnsi="Cambria"/>
          <w:color w:val="000000"/>
          <w:sz w:val="21"/>
          <w:szCs w:val="21"/>
          <w:lang w:val="es-US"/>
        </w:rPr>
        <w:t xml:space="preserve">en cualquier momento”. </w:t>
      </w:r>
    </w:p>
    <w:p w14:paraId="2BFF11B5" w14:textId="77777777" w:rsidR="004F653B" w:rsidRPr="004F653B" w:rsidRDefault="004F653B" w:rsidP="004F653B">
      <w:pPr>
        <w:pStyle w:val="ListParagraph"/>
        <w:rPr>
          <w:rFonts w:ascii="Cambria" w:hAnsi="Cambria"/>
          <w:color w:val="000000"/>
          <w:sz w:val="21"/>
          <w:szCs w:val="21"/>
          <w:lang w:val="es-US"/>
        </w:rPr>
      </w:pPr>
    </w:p>
    <w:p w14:paraId="735717AE" w14:textId="606A2BD5" w:rsidR="004F653B" w:rsidRDefault="004F653B" w:rsidP="00031E61">
      <w:pPr>
        <w:pStyle w:val="ListParagraph"/>
        <w:numPr>
          <w:ilvl w:val="0"/>
          <w:numId w:val="5"/>
        </w:numPr>
        <w:spacing w:after="0" w:line="240" w:lineRule="auto"/>
        <w:ind w:left="0" w:firstLine="360"/>
        <w:jc w:val="both"/>
        <w:rPr>
          <w:rFonts w:ascii="Cambria" w:hAnsi="Cambria"/>
          <w:color w:val="000000"/>
          <w:sz w:val="21"/>
          <w:szCs w:val="21"/>
          <w:lang w:val="es-US"/>
        </w:rPr>
      </w:pPr>
      <w:r>
        <w:rPr>
          <w:rFonts w:ascii="Cambria" w:hAnsi="Cambria"/>
          <w:color w:val="000000"/>
          <w:sz w:val="21"/>
          <w:szCs w:val="21"/>
          <w:lang w:val="es-US"/>
        </w:rPr>
        <w:t xml:space="preserve">De acuerdo con la solicitud, el señor Flores se encuentra </w:t>
      </w:r>
      <w:r w:rsidR="00E834CC">
        <w:rPr>
          <w:rFonts w:ascii="Cambria" w:hAnsi="Cambria"/>
          <w:color w:val="000000"/>
          <w:sz w:val="21"/>
          <w:szCs w:val="21"/>
          <w:lang w:val="es-US"/>
        </w:rPr>
        <w:t xml:space="preserve">en la Unidad </w:t>
      </w:r>
      <w:proofErr w:type="spellStart"/>
      <w:r w:rsidR="00E834CC" w:rsidRPr="001F0FDB">
        <w:rPr>
          <w:rFonts w:ascii="Cambria" w:hAnsi="Cambria"/>
          <w:i/>
          <w:color w:val="000000"/>
          <w:sz w:val="21"/>
          <w:szCs w:val="21"/>
          <w:lang w:val="es-US"/>
        </w:rPr>
        <w:t>Polunsky</w:t>
      </w:r>
      <w:proofErr w:type="spellEnd"/>
      <w:r w:rsidR="00E834CC">
        <w:rPr>
          <w:rFonts w:ascii="Cambria" w:hAnsi="Cambria"/>
          <w:color w:val="000000"/>
          <w:sz w:val="21"/>
          <w:szCs w:val="21"/>
          <w:lang w:val="es-US"/>
        </w:rPr>
        <w:t xml:space="preserve"> de Texas, </w:t>
      </w:r>
      <w:r>
        <w:rPr>
          <w:rFonts w:ascii="Cambria" w:hAnsi="Cambria"/>
          <w:color w:val="000000"/>
          <w:sz w:val="21"/>
          <w:szCs w:val="21"/>
          <w:lang w:val="es-US"/>
        </w:rPr>
        <w:t xml:space="preserve">en el corredor de la muerte desde </w:t>
      </w:r>
      <w:r w:rsidR="00E834CC">
        <w:rPr>
          <w:rFonts w:ascii="Cambria" w:hAnsi="Cambria"/>
          <w:color w:val="000000"/>
          <w:sz w:val="21"/>
          <w:szCs w:val="21"/>
          <w:lang w:val="es-US"/>
        </w:rPr>
        <w:t>el 2 de abril de 1999 (19 años). Los solicitantes señalaron que el señor Charles Don Flores se encuentra</w:t>
      </w:r>
      <w:r w:rsidR="00361BDB">
        <w:rPr>
          <w:rFonts w:ascii="Cambria" w:hAnsi="Cambria"/>
          <w:color w:val="000000"/>
          <w:sz w:val="21"/>
          <w:szCs w:val="21"/>
          <w:lang w:val="es-US"/>
        </w:rPr>
        <w:t xml:space="preserve"> en una celda de 60 pies cuadrados (5.5 </w:t>
      </w:r>
      <w:r w:rsidR="00FB495D">
        <w:rPr>
          <w:rFonts w:ascii="Cambria" w:hAnsi="Cambria"/>
          <w:color w:val="000000"/>
          <w:sz w:val="21"/>
          <w:szCs w:val="21"/>
          <w:lang w:val="es-US"/>
        </w:rPr>
        <w:t>m</w:t>
      </w:r>
      <w:r w:rsidR="00FB495D">
        <w:rPr>
          <w:rFonts w:ascii="Cambria" w:hAnsi="Cambria"/>
          <w:color w:val="000000"/>
          <w:sz w:val="21"/>
          <w:szCs w:val="21"/>
          <w:vertAlign w:val="superscript"/>
          <w:lang w:val="es-US"/>
        </w:rPr>
        <w:t>2</w:t>
      </w:r>
      <w:r w:rsidR="00361BDB">
        <w:rPr>
          <w:rFonts w:ascii="Cambria" w:hAnsi="Cambria"/>
          <w:color w:val="000000"/>
          <w:sz w:val="21"/>
          <w:szCs w:val="21"/>
          <w:lang w:val="es-US"/>
        </w:rPr>
        <w:t xml:space="preserve">) en confinamiento solitario, encerrado en su celda 22 horas al día de lunes a viernes con dos horas de recreación en una “jaula de </w:t>
      </w:r>
      <w:r w:rsidR="00FB495D">
        <w:rPr>
          <w:rFonts w:ascii="Cambria" w:hAnsi="Cambria"/>
          <w:color w:val="000000"/>
          <w:sz w:val="21"/>
          <w:szCs w:val="21"/>
          <w:lang w:val="es-US"/>
        </w:rPr>
        <w:t>mono” de 20x40 pies (6x12 m</w:t>
      </w:r>
      <w:r w:rsidR="00FB495D">
        <w:rPr>
          <w:rFonts w:ascii="Cambria" w:hAnsi="Cambria"/>
          <w:color w:val="000000"/>
          <w:sz w:val="21"/>
          <w:szCs w:val="21"/>
          <w:vertAlign w:val="superscript"/>
          <w:lang w:val="es-US"/>
        </w:rPr>
        <w:t>2</w:t>
      </w:r>
      <w:r w:rsidR="00361BDB">
        <w:rPr>
          <w:rFonts w:ascii="Cambria" w:hAnsi="Cambria"/>
          <w:color w:val="000000"/>
          <w:sz w:val="21"/>
          <w:szCs w:val="21"/>
          <w:lang w:val="es-US"/>
        </w:rPr>
        <w:t>) y encerrado las 24 horas sábados y domingos. Agregaron que su celda consistiría en un lavabo, un excusado</w:t>
      </w:r>
      <w:r w:rsidR="001F0FDB">
        <w:rPr>
          <w:rFonts w:ascii="Cambria" w:hAnsi="Cambria"/>
          <w:color w:val="000000"/>
          <w:sz w:val="21"/>
          <w:szCs w:val="21"/>
          <w:lang w:val="es-US"/>
        </w:rPr>
        <w:t xml:space="preserve"> </w:t>
      </w:r>
      <w:r w:rsidR="00F42304">
        <w:rPr>
          <w:rFonts w:ascii="Cambria" w:hAnsi="Cambria"/>
          <w:color w:val="000000"/>
          <w:sz w:val="21"/>
          <w:szCs w:val="21"/>
          <w:lang w:val="es-US"/>
        </w:rPr>
        <w:t xml:space="preserve">y </w:t>
      </w:r>
      <w:r w:rsidR="001F0FDB">
        <w:rPr>
          <w:rFonts w:ascii="Cambria" w:hAnsi="Cambria"/>
          <w:color w:val="000000"/>
          <w:sz w:val="21"/>
          <w:szCs w:val="21"/>
          <w:lang w:val="es-US"/>
        </w:rPr>
        <w:t xml:space="preserve">una cama de 30 pulgadas (76 </w:t>
      </w:r>
      <w:proofErr w:type="spellStart"/>
      <w:r w:rsidR="00FB495D">
        <w:rPr>
          <w:rFonts w:ascii="Cambria" w:hAnsi="Cambria"/>
          <w:color w:val="000000"/>
          <w:sz w:val="21"/>
          <w:szCs w:val="21"/>
          <w:lang w:val="es-US"/>
        </w:rPr>
        <w:t>cms</w:t>
      </w:r>
      <w:proofErr w:type="spellEnd"/>
      <w:r w:rsidR="00FB495D">
        <w:rPr>
          <w:rFonts w:ascii="Cambria" w:hAnsi="Cambria"/>
          <w:color w:val="000000"/>
          <w:sz w:val="21"/>
          <w:szCs w:val="21"/>
          <w:lang w:val="es-US"/>
        </w:rPr>
        <w:t>.</w:t>
      </w:r>
      <w:r w:rsidR="001F0FDB">
        <w:rPr>
          <w:rFonts w:ascii="Cambria" w:hAnsi="Cambria"/>
          <w:color w:val="000000"/>
          <w:sz w:val="21"/>
          <w:szCs w:val="21"/>
          <w:lang w:val="es-US"/>
        </w:rPr>
        <w:t xml:space="preserve">) con un colchón de plástico. Asimismo, indicaron que no le permitirían convivir con otras personas en ningún momento, </w:t>
      </w:r>
      <w:r w:rsidR="004D1F08">
        <w:rPr>
          <w:rFonts w:ascii="Cambria" w:hAnsi="Cambria"/>
          <w:color w:val="000000"/>
          <w:sz w:val="21"/>
          <w:szCs w:val="21"/>
          <w:lang w:val="es-US"/>
        </w:rPr>
        <w:t>tomaría</w:t>
      </w:r>
      <w:r w:rsidR="001F0FDB">
        <w:rPr>
          <w:rFonts w:ascii="Cambria" w:hAnsi="Cambria"/>
          <w:color w:val="000000"/>
          <w:sz w:val="21"/>
          <w:szCs w:val="21"/>
          <w:lang w:val="es-US"/>
        </w:rPr>
        <w:t xml:space="preserve"> sus alimentos en su celda, </w:t>
      </w:r>
      <w:r w:rsidR="004D1F08">
        <w:rPr>
          <w:rFonts w:ascii="Cambria" w:hAnsi="Cambria"/>
          <w:color w:val="000000"/>
          <w:sz w:val="21"/>
          <w:szCs w:val="21"/>
          <w:lang w:val="es-US"/>
        </w:rPr>
        <w:t xml:space="preserve">sin </w:t>
      </w:r>
      <w:r w:rsidR="001F0FDB">
        <w:rPr>
          <w:rFonts w:ascii="Cambria" w:hAnsi="Cambria"/>
          <w:color w:val="000000"/>
          <w:sz w:val="21"/>
          <w:szCs w:val="21"/>
          <w:lang w:val="es-US"/>
        </w:rPr>
        <w:t xml:space="preserve">oportunidad de trabajar </w:t>
      </w:r>
      <w:r w:rsidR="00093BA2">
        <w:rPr>
          <w:rFonts w:ascii="Cambria" w:hAnsi="Cambria"/>
          <w:color w:val="000000"/>
          <w:sz w:val="21"/>
          <w:szCs w:val="21"/>
          <w:lang w:val="es-US"/>
        </w:rPr>
        <w:t xml:space="preserve">y </w:t>
      </w:r>
      <w:r w:rsidR="004D1F08">
        <w:rPr>
          <w:rFonts w:ascii="Cambria" w:hAnsi="Cambria"/>
          <w:color w:val="000000"/>
          <w:sz w:val="21"/>
          <w:szCs w:val="21"/>
          <w:lang w:val="es-US"/>
        </w:rPr>
        <w:t>contar a su vez con</w:t>
      </w:r>
      <w:r w:rsidR="001F0FDB">
        <w:rPr>
          <w:rFonts w:ascii="Cambria" w:hAnsi="Cambria"/>
          <w:color w:val="000000"/>
          <w:sz w:val="21"/>
          <w:szCs w:val="21"/>
          <w:lang w:val="es-US"/>
        </w:rPr>
        <w:t xml:space="preserve"> servicios religiosos. </w:t>
      </w:r>
    </w:p>
    <w:p w14:paraId="6F3460A0" w14:textId="77777777" w:rsidR="00093BA2" w:rsidRPr="00093BA2" w:rsidRDefault="00093BA2" w:rsidP="00093BA2">
      <w:pPr>
        <w:pStyle w:val="ListParagraph"/>
        <w:rPr>
          <w:rFonts w:ascii="Cambria" w:hAnsi="Cambria"/>
          <w:color w:val="000000"/>
          <w:sz w:val="21"/>
          <w:szCs w:val="21"/>
          <w:lang w:val="es-US"/>
        </w:rPr>
      </w:pPr>
    </w:p>
    <w:p w14:paraId="476BC20D" w14:textId="062C7C15" w:rsidR="00093BA2" w:rsidRPr="00031E61" w:rsidRDefault="00093BA2" w:rsidP="00031E61">
      <w:pPr>
        <w:pStyle w:val="ListParagraph"/>
        <w:numPr>
          <w:ilvl w:val="0"/>
          <w:numId w:val="5"/>
        </w:numPr>
        <w:spacing w:after="0" w:line="240" w:lineRule="auto"/>
        <w:ind w:left="0" w:firstLine="360"/>
        <w:jc w:val="both"/>
        <w:rPr>
          <w:rFonts w:ascii="Cambria" w:hAnsi="Cambria"/>
          <w:color w:val="000000"/>
          <w:sz w:val="21"/>
          <w:szCs w:val="21"/>
          <w:lang w:val="es-US"/>
        </w:rPr>
      </w:pPr>
      <w:r>
        <w:rPr>
          <w:rFonts w:ascii="Cambria" w:hAnsi="Cambria"/>
          <w:color w:val="000000"/>
          <w:sz w:val="21"/>
          <w:szCs w:val="21"/>
          <w:lang w:val="es-US"/>
        </w:rPr>
        <w:t>L</w:t>
      </w:r>
      <w:r w:rsidR="00F66E49">
        <w:rPr>
          <w:rFonts w:ascii="Cambria" w:hAnsi="Cambria"/>
          <w:color w:val="000000"/>
          <w:sz w:val="21"/>
          <w:szCs w:val="21"/>
          <w:lang w:val="es-US"/>
        </w:rPr>
        <w:t>os solicitantes alegaron discriminación racial contra el señor Flores por motivo de que, pese a que no existirían pruebas en su contra y habría otras personas implicadas en el asesinato, “el hombre blanco” que habría cometido el asesinato estaría libre</w:t>
      </w:r>
      <w:r w:rsidR="00F42304">
        <w:rPr>
          <w:rFonts w:ascii="Cambria" w:hAnsi="Cambria"/>
          <w:color w:val="000000"/>
          <w:sz w:val="21"/>
          <w:szCs w:val="21"/>
          <w:lang w:val="es-US"/>
        </w:rPr>
        <w:t xml:space="preserve"> bajo palabra y</w:t>
      </w:r>
      <w:r w:rsidR="00BE49F2">
        <w:rPr>
          <w:rFonts w:ascii="Cambria" w:hAnsi="Cambria"/>
          <w:color w:val="000000"/>
          <w:sz w:val="21"/>
          <w:szCs w:val="21"/>
          <w:lang w:val="es-US"/>
        </w:rPr>
        <w:t xml:space="preserve"> </w:t>
      </w:r>
      <w:r w:rsidR="002748D8">
        <w:rPr>
          <w:rFonts w:ascii="Cambria" w:hAnsi="Cambria"/>
          <w:color w:val="000000"/>
          <w:sz w:val="21"/>
          <w:szCs w:val="21"/>
          <w:lang w:val="es-US"/>
        </w:rPr>
        <w:t xml:space="preserve">únicamente </w:t>
      </w:r>
      <w:r w:rsidR="00F66E49">
        <w:rPr>
          <w:rFonts w:ascii="Cambria" w:hAnsi="Cambria"/>
          <w:color w:val="000000"/>
          <w:sz w:val="21"/>
          <w:szCs w:val="21"/>
          <w:lang w:val="es-US"/>
        </w:rPr>
        <w:t>el señor Flores, sobre quien se habría probado que presuntamente estuvo en la escena del crimen,</w:t>
      </w:r>
      <w:r w:rsidR="00297EF6">
        <w:rPr>
          <w:rFonts w:ascii="Cambria" w:hAnsi="Cambria"/>
          <w:color w:val="000000"/>
          <w:sz w:val="21"/>
          <w:szCs w:val="21"/>
          <w:lang w:val="es-US"/>
        </w:rPr>
        <w:t xml:space="preserve"> habría sido condenado a pena de muerte, </w:t>
      </w:r>
      <w:r w:rsidR="002748D8">
        <w:rPr>
          <w:rFonts w:ascii="Cambria" w:hAnsi="Cambria"/>
          <w:color w:val="000000"/>
          <w:sz w:val="21"/>
          <w:szCs w:val="21"/>
          <w:lang w:val="es-US"/>
        </w:rPr>
        <w:t>lo cual se</w:t>
      </w:r>
      <w:r w:rsidR="00297EF6">
        <w:rPr>
          <w:rFonts w:ascii="Cambria" w:hAnsi="Cambria"/>
          <w:color w:val="000000"/>
          <w:sz w:val="21"/>
          <w:szCs w:val="21"/>
          <w:lang w:val="es-US"/>
        </w:rPr>
        <w:t xml:space="preserve"> debería a su descendencia y apariencia hispana. En el mismo sentido, señalaron que la testigo que presuntamente lo identific</w:t>
      </w:r>
      <w:r w:rsidR="002748D8">
        <w:rPr>
          <w:rFonts w:ascii="Cambria" w:hAnsi="Cambria"/>
          <w:color w:val="000000"/>
          <w:sz w:val="21"/>
          <w:szCs w:val="21"/>
          <w:lang w:val="es-US"/>
        </w:rPr>
        <w:t>ó</w:t>
      </w:r>
      <w:r w:rsidR="00297EF6">
        <w:rPr>
          <w:rFonts w:ascii="Cambria" w:hAnsi="Cambria"/>
          <w:color w:val="000000"/>
          <w:sz w:val="21"/>
          <w:szCs w:val="21"/>
          <w:lang w:val="es-US"/>
        </w:rPr>
        <w:t xml:space="preserve">, aparte de haber estado hipnotizada, </w:t>
      </w:r>
      <w:r w:rsidR="00BE49F2">
        <w:rPr>
          <w:rFonts w:ascii="Cambria" w:hAnsi="Cambria"/>
          <w:color w:val="000000"/>
          <w:sz w:val="21"/>
          <w:szCs w:val="21"/>
          <w:lang w:val="es-US"/>
        </w:rPr>
        <w:t xml:space="preserve">solo habría identificado al señor Flores “hasta encontrarse sentada en la mesa de la defensa y ver al único hispano en la Corte”. Adicionalmente, los solicitantes alegaron que la defensa legal otorgada al propuesto beneficiario habría sido incompetente y no efectiva en asistirlo antes y durante el juicio. </w:t>
      </w:r>
    </w:p>
    <w:p w14:paraId="0C00442B" w14:textId="77777777" w:rsidR="002302B4" w:rsidRPr="001F2578" w:rsidRDefault="002302B4" w:rsidP="0062385F">
      <w:pPr>
        <w:spacing w:after="0" w:line="240" w:lineRule="auto"/>
        <w:jc w:val="both"/>
        <w:rPr>
          <w:rFonts w:ascii="Cambria" w:eastAsia="Calibri" w:hAnsi="Cambria" w:cs="Times New Roman"/>
          <w:color w:val="000000"/>
          <w:sz w:val="21"/>
          <w:szCs w:val="21"/>
          <w:lang w:val="es-US"/>
        </w:rPr>
      </w:pPr>
    </w:p>
    <w:p w14:paraId="0143D820" w14:textId="77777777" w:rsidR="008A069E" w:rsidRPr="001F2578" w:rsidRDefault="00AE0205" w:rsidP="007238C7">
      <w:pPr>
        <w:pStyle w:val="ListParagraph"/>
        <w:numPr>
          <w:ilvl w:val="0"/>
          <w:numId w:val="1"/>
        </w:numPr>
        <w:spacing w:after="0" w:line="240" w:lineRule="auto"/>
        <w:ind w:left="540" w:firstLine="0"/>
        <w:jc w:val="both"/>
        <w:rPr>
          <w:rFonts w:ascii="Cambria" w:eastAsia="Calibri" w:hAnsi="Cambria" w:cs="Times New Roman"/>
          <w:b/>
          <w:color w:val="000000"/>
          <w:sz w:val="21"/>
          <w:szCs w:val="21"/>
          <w:lang w:val="es-US"/>
        </w:rPr>
      </w:pPr>
      <w:r w:rsidRPr="001F2578">
        <w:rPr>
          <w:rFonts w:ascii="Cambria" w:hAnsi="Cambria"/>
          <w:b/>
          <w:color w:val="000000"/>
          <w:sz w:val="21"/>
          <w:szCs w:val="21"/>
          <w:lang w:val="es-US"/>
        </w:rPr>
        <w:t>ANÁLISIS SOBRE LOS ELEMENTOS DE GRAVEDAD, URGENCIA E IRREPARABILIDAD</w:t>
      </w:r>
    </w:p>
    <w:p w14:paraId="22C70770" w14:textId="77777777" w:rsidR="00FB66BD" w:rsidRPr="001F2578" w:rsidRDefault="00FB66BD" w:rsidP="0062385F">
      <w:pPr>
        <w:pStyle w:val="ListParagraph"/>
        <w:spacing w:after="0" w:line="240" w:lineRule="auto"/>
        <w:jc w:val="both"/>
        <w:rPr>
          <w:rFonts w:ascii="Cambria" w:eastAsia="Calibri" w:hAnsi="Cambria" w:cs="Times New Roman"/>
          <w:b/>
          <w:color w:val="000000"/>
          <w:sz w:val="21"/>
          <w:szCs w:val="21"/>
          <w:lang w:val="es-US"/>
        </w:rPr>
      </w:pPr>
    </w:p>
    <w:p w14:paraId="487515ED" w14:textId="77777777" w:rsidR="00FB66BD" w:rsidRPr="001F2578" w:rsidRDefault="00AE0205"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1F2578">
        <w:rPr>
          <w:rFonts w:ascii="Cambria" w:hAnsi="Cambria"/>
          <w:color w:val="000000"/>
          <w:sz w:val="21"/>
          <w:szCs w:val="21"/>
          <w:lang w:val="es-US"/>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w:t>
      </w:r>
      <w:r w:rsidR="00FB66BD" w:rsidRPr="001F2578">
        <w:rPr>
          <w:rFonts w:ascii="Cambria" w:hAnsi="Cambria"/>
          <w:color w:val="000000"/>
          <w:sz w:val="21"/>
          <w:szCs w:val="21"/>
          <w:lang w:val="es-US"/>
        </w:rPr>
        <w:t>.</w:t>
      </w:r>
    </w:p>
    <w:p w14:paraId="4ED6F9F4" w14:textId="77777777" w:rsidR="00FB66BD" w:rsidRPr="001F2578" w:rsidRDefault="00FB66BD" w:rsidP="0062385F">
      <w:pPr>
        <w:spacing w:after="0" w:line="240" w:lineRule="auto"/>
        <w:jc w:val="both"/>
        <w:rPr>
          <w:rFonts w:ascii="Cambria" w:eastAsia="Calibri" w:hAnsi="Cambria" w:cs="Times New Roman"/>
          <w:sz w:val="21"/>
          <w:szCs w:val="21"/>
          <w:lang w:val="es-US"/>
        </w:rPr>
      </w:pPr>
    </w:p>
    <w:p w14:paraId="283FE780" w14:textId="77777777" w:rsidR="00FB66BD" w:rsidRPr="001F2578" w:rsidRDefault="00AE0205"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1F2578">
        <w:rPr>
          <w:rFonts w:ascii="Cambria" w:hAnsi="Cambria"/>
          <w:color w:val="000000"/>
          <w:sz w:val="21"/>
          <w:szCs w:val="21"/>
          <w:lang w:val="es-US"/>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w:t>
      </w:r>
      <w:r w:rsidRPr="001F2578">
        <w:rPr>
          <w:rFonts w:ascii="Cambria" w:hAnsi="Cambria"/>
          <w:color w:val="000000"/>
          <w:sz w:val="21"/>
          <w:szCs w:val="21"/>
          <w:lang w:val="es-US"/>
        </w:rPr>
        <w:lastRenderedPageBreak/>
        <w:t>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1F2578">
        <w:rPr>
          <w:rFonts w:ascii="Cambria" w:hAnsi="Cambria"/>
          <w:i/>
          <w:color w:val="000000"/>
          <w:sz w:val="21"/>
          <w:szCs w:val="21"/>
          <w:lang w:val="es-US"/>
        </w:rPr>
        <w:t>effet</w:t>
      </w:r>
      <w:proofErr w:type="spellEnd"/>
      <w:r w:rsidRPr="001F2578">
        <w:rPr>
          <w:rFonts w:ascii="Cambria" w:hAnsi="Cambria"/>
          <w:i/>
          <w:color w:val="000000"/>
          <w:sz w:val="21"/>
          <w:szCs w:val="21"/>
          <w:lang w:val="es-US"/>
        </w:rPr>
        <w:t xml:space="preserve"> </w:t>
      </w:r>
      <w:proofErr w:type="spellStart"/>
      <w:r w:rsidRPr="001F2578">
        <w:rPr>
          <w:rFonts w:ascii="Cambria" w:hAnsi="Cambria"/>
          <w:i/>
          <w:color w:val="000000"/>
          <w:sz w:val="21"/>
          <w:szCs w:val="21"/>
          <w:lang w:val="es-US"/>
        </w:rPr>
        <w:t>utile</w:t>
      </w:r>
      <w:proofErr w:type="spellEnd"/>
      <w:r w:rsidRPr="001F2578">
        <w:rPr>
          <w:rFonts w:ascii="Cambria" w:hAnsi="Cambria"/>
          <w:color w:val="000000"/>
          <w:sz w:val="21"/>
          <w:szCs w:val="21"/>
          <w:lang w:val="es-US"/>
        </w:rPr>
        <w:t>)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w:t>
      </w:r>
      <w:r w:rsidR="00FB66BD" w:rsidRPr="001F2578">
        <w:rPr>
          <w:rFonts w:ascii="Cambria" w:hAnsi="Cambria"/>
          <w:color w:val="000000"/>
          <w:sz w:val="21"/>
          <w:szCs w:val="21"/>
          <w:lang w:val="es-US"/>
        </w:rPr>
        <w:t>:</w:t>
      </w:r>
    </w:p>
    <w:p w14:paraId="36A0D585" w14:textId="77777777" w:rsidR="00FB66BD" w:rsidRPr="001F2578" w:rsidRDefault="00FB66BD" w:rsidP="0062385F">
      <w:pPr>
        <w:spacing w:after="0" w:line="240" w:lineRule="auto"/>
        <w:contextualSpacing/>
        <w:jc w:val="both"/>
        <w:rPr>
          <w:rFonts w:ascii="Cambria" w:eastAsia="Calibri" w:hAnsi="Cambria" w:cs="Times New Roman"/>
          <w:sz w:val="21"/>
          <w:szCs w:val="21"/>
          <w:lang w:val="es-US"/>
        </w:rPr>
      </w:pPr>
    </w:p>
    <w:p w14:paraId="532C15C0" w14:textId="77777777" w:rsidR="00FB66BD" w:rsidRPr="001F2578" w:rsidRDefault="00AE0205" w:rsidP="0062385F">
      <w:pPr>
        <w:pStyle w:val="ListParagraph"/>
        <w:numPr>
          <w:ilvl w:val="0"/>
          <w:numId w:val="10"/>
        </w:numPr>
        <w:spacing w:after="0" w:line="240" w:lineRule="auto"/>
        <w:jc w:val="both"/>
        <w:rPr>
          <w:rFonts w:ascii="Cambria" w:eastAsia="Calibri" w:hAnsi="Cambria" w:cs="Times New Roman"/>
          <w:sz w:val="18"/>
          <w:szCs w:val="21"/>
          <w:lang w:val="es-US"/>
        </w:rPr>
      </w:pPr>
      <w:r w:rsidRPr="001F2578">
        <w:rPr>
          <w:rFonts w:ascii="Cambria" w:hAnsi="Cambria"/>
          <w:color w:val="000000"/>
          <w:sz w:val="18"/>
          <w:szCs w:val="21"/>
          <w:lang w:val="es-US"/>
        </w:rPr>
        <w:t>la “gravedad de la situación” implica el serio impacto que una acción u omisión puede tener sobre un derecho protegido o sobre el efecto eventual de una decisión pendiente en un caso o petición ante los órganos del Sistema Interamericano</w:t>
      </w:r>
      <w:r w:rsidR="00FB66BD" w:rsidRPr="001F2578">
        <w:rPr>
          <w:rFonts w:ascii="Cambria" w:eastAsia="Calibri" w:hAnsi="Cambria" w:cs="Times New Roman"/>
          <w:sz w:val="18"/>
          <w:szCs w:val="21"/>
          <w:lang w:val="es-US"/>
        </w:rPr>
        <w:t>;</w:t>
      </w:r>
    </w:p>
    <w:p w14:paraId="5D4B36B2" w14:textId="77777777" w:rsidR="00FB66BD" w:rsidRPr="00FB495D" w:rsidRDefault="00FB66BD" w:rsidP="00FB495D">
      <w:pPr>
        <w:spacing w:after="0" w:line="240" w:lineRule="auto"/>
        <w:jc w:val="both"/>
        <w:rPr>
          <w:rFonts w:ascii="Cambria" w:eastAsia="Calibri" w:hAnsi="Cambria" w:cs="Times New Roman"/>
          <w:sz w:val="18"/>
          <w:szCs w:val="21"/>
          <w:lang w:val="es-US"/>
        </w:rPr>
      </w:pPr>
    </w:p>
    <w:p w14:paraId="297E439A" w14:textId="77777777" w:rsidR="00FB66BD" w:rsidRPr="001F2578" w:rsidRDefault="00AE0205" w:rsidP="0062385F">
      <w:pPr>
        <w:pStyle w:val="ListParagraph"/>
        <w:numPr>
          <w:ilvl w:val="0"/>
          <w:numId w:val="10"/>
        </w:numPr>
        <w:spacing w:after="0" w:line="240" w:lineRule="auto"/>
        <w:jc w:val="both"/>
        <w:rPr>
          <w:rFonts w:ascii="Cambria" w:eastAsia="Calibri" w:hAnsi="Cambria" w:cs="Times New Roman"/>
          <w:sz w:val="18"/>
          <w:szCs w:val="21"/>
          <w:lang w:val="es-US"/>
        </w:rPr>
      </w:pPr>
      <w:r w:rsidRPr="001F2578">
        <w:rPr>
          <w:rFonts w:ascii="Cambria" w:hAnsi="Cambria"/>
          <w:color w:val="000000"/>
          <w:sz w:val="18"/>
          <w:szCs w:val="21"/>
          <w:lang w:val="es-US"/>
        </w:rPr>
        <w:t>la “urgencia de la situación” se determina por medio de la información aportada, indicando el riesgo o la amenaza que puedan ser inminentes y materializarse, requiriendo de esa manera una acción preventiva o tutelar; y</w:t>
      </w:r>
    </w:p>
    <w:p w14:paraId="6BF424DD" w14:textId="77777777" w:rsidR="00FB66BD" w:rsidRPr="001F2578" w:rsidRDefault="00FB66BD" w:rsidP="0062385F">
      <w:pPr>
        <w:pStyle w:val="ListParagraph"/>
        <w:spacing w:after="0" w:line="240" w:lineRule="auto"/>
        <w:ind w:left="761"/>
        <w:jc w:val="both"/>
        <w:rPr>
          <w:rFonts w:ascii="Cambria" w:eastAsia="Calibri" w:hAnsi="Cambria" w:cs="Times New Roman"/>
          <w:sz w:val="18"/>
          <w:szCs w:val="21"/>
          <w:lang w:val="es-US"/>
        </w:rPr>
      </w:pPr>
    </w:p>
    <w:p w14:paraId="10371BCA" w14:textId="77777777" w:rsidR="00FB66BD" w:rsidRPr="001F2578" w:rsidRDefault="00AE0205" w:rsidP="0062385F">
      <w:pPr>
        <w:pStyle w:val="ListParagraph"/>
        <w:numPr>
          <w:ilvl w:val="0"/>
          <w:numId w:val="10"/>
        </w:numPr>
        <w:spacing w:after="0" w:line="240" w:lineRule="auto"/>
        <w:jc w:val="both"/>
        <w:rPr>
          <w:rFonts w:ascii="Cambria" w:eastAsia="Calibri" w:hAnsi="Cambria" w:cs="Times New Roman"/>
          <w:sz w:val="18"/>
          <w:szCs w:val="21"/>
          <w:lang w:val="es-US"/>
        </w:rPr>
      </w:pPr>
      <w:r w:rsidRPr="001F2578">
        <w:rPr>
          <w:rFonts w:ascii="Cambria" w:hAnsi="Cambria"/>
          <w:color w:val="000000"/>
          <w:sz w:val="18"/>
          <w:szCs w:val="21"/>
          <w:lang w:val="es-US"/>
        </w:rPr>
        <w:t>el “daño irreparable” consiste en la afectación sobre derechos que, por su propia naturaleza, no son susceptibles de reparación, restauración o adecuada indemnización</w:t>
      </w:r>
      <w:r w:rsidR="00FB66BD" w:rsidRPr="001F2578">
        <w:rPr>
          <w:rFonts w:ascii="Cambria" w:eastAsia="Calibri" w:hAnsi="Cambria" w:cs="Times New Roman"/>
          <w:sz w:val="18"/>
          <w:szCs w:val="21"/>
          <w:lang w:val="es-US"/>
        </w:rPr>
        <w:t>.</w:t>
      </w:r>
    </w:p>
    <w:p w14:paraId="2D31BE45" w14:textId="77777777" w:rsidR="00FB66BD" w:rsidRPr="001F2578" w:rsidRDefault="00FB66BD" w:rsidP="0062385F">
      <w:pPr>
        <w:spacing w:after="0" w:line="240" w:lineRule="auto"/>
        <w:jc w:val="both"/>
        <w:rPr>
          <w:rFonts w:ascii="Cambria" w:eastAsia="Calibri" w:hAnsi="Cambria" w:cs="Times New Roman"/>
          <w:sz w:val="18"/>
          <w:szCs w:val="21"/>
          <w:lang w:val="es-US"/>
        </w:rPr>
      </w:pPr>
    </w:p>
    <w:p w14:paraId="685D2525" w14:textId="77777777" w:rsidR="00FB66BD" w:rsidRPr="001F2578" w:rsidRDefault="00AE0205" w:rsidP="0062385F">
      <w:pPr>
        <w:pStyle w:val="ListParagraph"/>
        <w:numPr>
          <w:ilvl w:val="0"/>
          <w:numId w:val="5"/>
        </w:numPr>
        <w:spacing w:after="0" w:line="240" w:lineRule="auto"/>
        <w:ind w:left="0" w:firstLine="360"/>
        <w:jc w:val="both"/>
        <w:rPr>
          <w:rFonts w:ascii="Cambria" w:hAnsi="Cambria"/>
          <w:sz w:val="21"/>
          <w:szCs w:val="21"/>
          <w:lang w:val="es-US"/>
        </w:rPr>
      </w:pPr>
      <w:r w:rsidRPr="001F2578">
        <w:rPr>
          <w:rFonts w:ascii="Cambria" w:hAnsi="Cambria"/>
          <w:color w:val="000000"/>
          <w:sz w:val="21"/>
          <w:szCs w:val="21"/>
          <w:lang w:val="es-US"/>
        </w:rPr>
        <w:t xml:space="preserve">En el análisis de tales requisitos, la Comisión reitera que los hechos que motivan una solicitud de medidas cautelares no requieren estar plenamente comprobados, sino que la información proporcionada debe ser apreciada desde una perspectiva </w:t>
      </w:r>
      <w:r w:rsidRPr="001F2578">
        <w:rPr>
          <w:rFonts w:ascii="Cambria" w:hAnsi="Cambria"/>
          <w:i/>
          <w:color w:val="000000"/>
          <w:sz w:val="21"/>
          <w:szCs w:val="21"/>
          <w:lang w:val="es-US"/>
        </w:rPr>
        <w:t>prima facie</w:t>
      </w:r>
      <w:r w:rsidRPr="001F2578">
        <w:rPr>
          <w:rFonts w:ascii="Cambria" w:hAnsi="Cambria"/>
          <w:color w:val="000000"/>
          <w:sz w:val="21"/>
          <w:szCs w:val="21"/>
          <w:lang w:val="es-US"/>
        </w:rPr>
        <w:t xml:space="preserve"> que permita identificar una situación de gravedad y urgencia</w:t>
      </w:r>
      <w:r w:rsidR="00FB66BD" w:rsidRPr="001F2578">
        <w:rPr>
          <w:rFonts w:ascii="Cambria" w:hAnsi="Cambria"/>
          <w:sz w:val="21"/>
          <w:szCs w:val="21"/>
          <w:lang w:val="es-US"/>
        </w:rPr>
        <w:t>.</w:t>
      </w:r>
      <w:r w:rsidRPr="001F2578">
        <w:rPr>
          <w:rStyle w:val="FootnoteReference"/>
          <w:rFonts w:ascii="Cambria" w:hAnsi="Cambria"/>
          <w:color w:val="000000"/>
          <w:sz w:val="21"/>
          <w:szCs w:val="21"/>
          <w:lang w:val="es-US"/>
        </w:rPr>
        <w:footnoteReference w:id="1"/>
      </w:r>
    </w:p>
    <w:p w14:paraId="5866F29A" w14:textId="77777777" w:rsidR="00FB66BD" w:rsidRPr="001F2578" w:rsidRDefault="00FB66BD" w:rsidP="0062385F">
      <w:pPr>
        <w:spacing w:after="0" w:line="240" w:lineRule="auto"/>
        <w:ind w:left="360"/>
        <w:jc w:val="both"/>
        <w:rPr>
          <w:rFonts w:ascii="Cambria" w:hAnsi="Cambria"/>
          <w:sz w:val="21"/>
          <w:szCs w:val="21"/>
          <w:lang w:val="es-US"/>
        </w:rPr>
      </w:pPr>
    </w:p>
    <w:p w14:paraId="0075E8F2" w14:textId="23813F88" w:rsidR="00FB66BD" w:rsidRPr="001F2578" w:rsidRDefault="00727D82" w:rsidP="0062385F">
      <w:pPr>
        <w:pStyle w:val="ListParagraph"/>
        <w:numPr>
          <w:ilvl w:val="0"/>
          <w:numId w:val="5"/>
        </w:numPr>
        <w:spacing w:after="0" w:line="240" w:lineRule="auto"/>
        <w:ind w:left="0" w:firstLine="360"/>
        <w:jc w:val="both"/>
        <w:rPr>
          <w:rFonts w:ascii="Cambria" w:hAnsi="Cambria"/>
          <w:sz w:val="21"/>
          <w:szCs w:val="21"/>
          <w:lang w:val="es-US"/>
        </w:rPr>
      </w:pPr>
      <w:r w:rsidRPr="001F2578">
        <w:rPr>
          <w:rFonts w:ascii="Cambria" w:hAnsi="Cambria"/>
          <w:sz w:val="21"/>
          <w:szCs w:val="21"/>
          <w:lang w:val="es-US"/>
        </w:rPr>
        <w:t>Como observación preliminar</w:t>
      </w:r>
      <w:r w:rsidR="00FB66BD" w:rsidRPr="001F2578">
        <w:rPr>
          <w:rFonts w:ascii="Cambria" w:hAnsi="Cambria"/>
          <w:sz w:val="21"/>
          <w:szCs w:val="21"/>
          <w:lang w:val="es-US"/>
        </w:rPr>
        <w:t xml:space="preserve">, </w:t>
      </w:r>
      <w:r w:rsidR="003D5B2E" w:rsidRPr="001F2578">
        <w:rPr>
          <w:rFonts w:ascii="Cambria" w:hAnsi="Cambria"/>
          <w:sz w:val="21"/>
          <w:szCs w:val="21"/>
          <w:lang w:val="es-US"/>
        </w:rPr>
        <w:t xml:space="preserve">la Comisión considera necesario señalar que, de acuerdo con su mandato, no está </w:t>
      </w:r>
      <w:r w:rsidR="00625CAF">
        <w:rPr>
          <w:rFonts w:ascii="Cambria" w:hAnsi="Cambria"/>
          <w:sz w:val="21"/>
          <w:szCs w:val="21"/>
          <w:lang w:val="es-US"/>
        </w:rPr>
        <w:t>llamada a pronunciarse sobre la responsabilidad</w:t>
      </w:r>
      <w:r w:rsidR="003D5B2E" w:rsidRPr="001F2578">
        <w:rPr>
          <w:rFonts w:ascii="Cambria" w:hAnsi="Cambria"/>
          <w:sz w:val="21"/>
          <w:szCs w:val="21"/>
          <w:lang w:val="es-US"/>
        </w:rPr>
        <w:t xml:space="preserve"> de las personas en relación con la presunta comisión de delitos o infracciones. Además, no le compete revisar las decisiones internas sobre la base del cumplimiento de las leyes internas. En este sentido, la Comisión analizará la presente solicitud de medidas cautelares en virtud del artículo 25 de su Reglamento. Con respecto a la petición P-</w:t>
      </w:r>
      <w:r w:rsidR="00F42304">
        <w:rPr>
          <w:rFonts w:ascii="Cambria" w:hAnsi="Cambria"/>
          <w:sz w:val="21"/>
          <w:szCs w:val="21"/>
          <w:lang w:val="es-US"/>
        </w:rPr>
        <w:t>759</w:t>
      </w:r>
      <w:r w:rsidR="003D5B2E" w:rsidRPr="001F2578">
        <w:rPr>
          <w:rFonts w:ascii="Cambria" w:hAnsi="Cambria"/>
          <w:sz w:val="21"/>
          <w:szCs w:val="21"/>
          <w:lang w:val="es-US"/>
        </w:rPr>
        <w:t xml:space="preserve">-18, </w:t>
      </w:r>
      <w:r w:rsidR="00625CAF">
        <w:rPr>
          <w:rFonts w:ascii="Cambria" w:hAnsi="Cambria"/>
          <w:sz w:val="21"/>
          <w:szCs w:val="21"/>
          <w:lang w:val="es-US"/>
        </w:rPr>
        <w:t>donde</w:t>
      </w:r>
      <w:r w:rsidR="003D5B2E" w:rsidRPr="001F2578">
        <w:rPr>
          <w:rFonts w:ascii="Cambria" w:hAnsi="Cambria"/>
          <w:sz w:val="21"/>
          <w:szCs w:val="21"/>
          <w:lang w:val="es-US"/>
        </w:rPr>
        <w:t xml:space="preserve"> denuncia</w:t>
      </w:r>
      <w:r w:rsidR="00625CAF">
        <w:rPr>
          <w:rFonts w:ascii="Cambria" w:hAnsi="Cambria"/>
          <w:sz w:val="21"/>
          <w:szCs w:val="21"/>
          <w:lang w:val="es-US"/>
        </w:rPr>
        <w:t>n</w:t>
      </w:r>
      <w:r w:rsidR="003D5B2E" w:rsidRPr="001F2578">
        <w:rPr>
          <w:rFonts w:ascii="Cambria" w:hAnsi="Cambria"/>
          <w:sz w:val="21"/>
          <w:szCs w:val="21"/>
          <w:lang w:val="es-US"/>
        </w:rPr>
        <w:t xml:space="preserve"> presuntas violaciones a </w:t>
      </w:r>
      <w:r w:rsidR="00202C90">
        <w:rPr>
          <w:rFonts w:ascii="Cambria" w:hAnsi="Cambria"/>
          <w:sz w:val="21"/>
          <w:szCs w:val="21"/>
          <w:lang w:val="es-US"/>
        </w:rPr>
        <w:t>los derechos del propuesto beneficiario</w:t>
      </w:r>
      <w:r w:rsidR="003D5B2E" w:rsidRPr="001F2578">
        <w:rPr>
          <w:rFonts w:ascii="Cambria" w:hAnsi="Cambria"/>
          <w:sz w:val="21"/>
          <w:szCs w:val="21"/>
          <w:lang w:val="es-US"/>
        </w:rPr>
        <w:t>, la Comisión recuerda que el análisis de estos alegatos se llevará a cabo de conformidad con las disposiciones e</w:t>
      </w:r>
      <w:r w:rsidR="00625CAF">
        <w:rPr>
          <w:rFonts w:ascii="Cambria" w:hAnsi="Cambria"/>
          <w:sz w:val="21"/>
          <w:szCs w:val="21"/>
          <w:lang w:val="es-US"/>
        </w:rPr>
        <w:t>specíficas relacionadas con el S</w:t>
      </w:r>
      <w:r w:rsidR="003D5B2E" w:rsidRPr="001F2578">
        <w:rPr>
          <w:rFonts w:ascii="Cambria" w:hAnsi="Cambria"/>
          <w:sz w:val="21"/>
          <w:szCs w:val="21"/>
          <w:lang w:val="es-US"/>
        </w:rPr>
        <w:t>istema de Petición y Casos y con las disposiciones pertinentes de su Estatuto y Reglamento</w:t>
      </w:r>
      <w:r w:rsidR="00244772" w:rsidRPr="001F2578">
        <w:rPr>
          <w:rFonts w:ascii="Cambria" w:hAnsi="Cambria"/>
          <w:sz w:val="21"/>
          <w:szCs w:val="21"/>
          <w:lang w:val="es-US"/>
        </w:rPr>
        <w:t xml:space="preserve">. </w:t>
      </w:r>
    </w:p>
    <w:p w14:paraId="46764E13" w14:textId="77777777" w:rsidR="00FB66BD" w:rsidRPr="001F2578" w:rsidRDefault="00FB66BD" w:rsidP="0062385F">
      <w:pPr>
        <w:spacing w:after="0" w:line="240" w:lineRule="auto"/>
        <w:ind w:left="360"/>
        <w:jc w:val="both"/>
        <w:rPr>
          <w:rFonts w:ascii="Cambria" w:hAnsi="Cambria"/>
          <w:sz w:val="21"/>
          <w:szCs w:val="21"/>
          <w:lang w:val="es-US"/>
        </w:rPr>
      </w:pPr>
    </w:p>
    <w:p w14:paraId="439E17A7" w14:textId="38E77003" w:rsidR="00FB66BD" w:rsidRPr="001F2578" w:rsidRDefault="00346FA9"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1F2578">
        <w:rPr>
          <w:rFonts w:ascii="Cambria" w:eastAsia="Calibri" w:hAnsi="Cambria" w:cs="Times New Roman"/>
          <w:sz w:val="21"/>
          <w:szCs w:val="21"/>
          <w:lang w:val="es-US"/>
        </w:rPr>
        <w:t xml:space="preserve">La Comisión Interamericana </w:t>
      </w:r>
      <w:r w:rsidR="002748D8">
        <w:rPr>
          <w:rFonts w:ascii="Cambria" w:eastAsia="Calibri" w:hAnsi="Cambria" w:cs="Times New Roman"/>
          <w:sz w:val="21"/>
          <w:szCs w:val="21"/>
          <w:lang w:val="es-US"/>
        </w:rPr>
        <w:t xml:space="preserve">recuerda </w:t>
      </w:r>
      <w:r w:rsidRPr="001F2578">
        <w:rPr>
          <w:rFonts w:ascii="Cambria" w:eastAsia="Calibri" w:hAnsi="Cambria" w:cs="Times New Roman"/>
          <w:sz w:val="21"/>
          <w:szCs w:val="21"/>
          <w:lang w:val="es-US"/>
        </w:rPr>
        <w:t xml:space="preserve">que la pena de muerte ha estado sujeta a una regulación estricta en el  sistema </w:t>
      </w:r>
      <w:r w:rsidR="00625CAF">
        <w:rPr>
          <w:rFonts w:ascii="Cambria" w:eastAsia="Calibri" w:hAnsi="Cambria" w:cs="Times New Roman"/>
          <w:sz w:val="21"/>
          <w:szCs w:val="21"/>
          <w:lang w:val="es-US"/>
        </w:rPr>
        <w:t>i</w:t>
      </w:r>
      <w:r w:rsidRPr="001F2578">
        <w:rPr>
          <w:rFonts w:ascii="Cambria" w:eastAsia="Calibri" w:hAnsi="Cambria" w:cs="Times New Roman"/>
          <w:sz w:val="21"/>
          <w:szCs w:val="21"/>
          <w:lang w:val="es-US"/>
        </w:rPr>
        <w:t>nteramericano. A pesar de la tendencia observada entre los Estados Miembros de la OEA a favor de la abolición gradual de la pena de muerte, para los Estados que mantienen la pena de muerte</w:t>
      </w:r>
      <w:r w:rsidR="002748D8">
        <w:rPr>
          <w:rFonts w:ascii="Cambria" w:eastAsia="Calibri" w:hAnsi="Cambria" w:cs="Times New Roman"/>
          <w:sz w:val="21"/>
          <w:szCs w:val="21"/>
          <w:lang w:val="es-US"/>
        </w:rPr>
        <w:t>,</w:t>
      </w:r>
      <w:r w:rsidRPr="001F2578">
        <w:rPr>
          <w:rFonts w:ascii="Cambria" w:eastAsia="Calibri" w:hAnsi="Cambria" w:cs="Times New Roman"/>
          <w:sz w:val="21"/>
          <w:szCs w:val="21"/>
          <w:lang w:val="es-US"/>
        </w:rPr>
        <w:t xml:space="preserve"> existe una serie de restricciones y limitaciones establecidas en los instrumentos </w:t>
      </w:r>
      <w:r w:rsidR="002748D8">
        <w:rPr>
          <w:rFonts w:ascii="Cambria" w:eastAsia="Calibri" w:hAnsi="Cambria" w:cs="Times New Roman"/>
          <w:sz w:val="21"/>
          <w:szCs w:val="21"/>
          <w:lang w:val="es-US"/>
        </w:rPr>
        <w:t>internacionales</w:t>
      </w:r>
      <w:r w:rsidR="002748D8" w:rsidRPr="001F2578">
        <w:rPr>
          <w:rFonts w:ascii="Cambria" w:eastAsia="Calibri" w:hAnsi="Cambria" w:cs="Times New Roman"/>
          <w:sz w:val="21"/>
          <w:szCs w:val="21"/>
          <w:lang w:val="es-US"/>
        </w:rPr>
        <w:t xml:space="preserve"> </w:t>
      </w:r>
      <w:r w:rsidRPr="001F2578">
        <w:rPr>
          <w:rFonts w:ascii="Cambria" w:eastAsia="Calibri" w:hAnsi="Cambria" w:cs="Times New Roman"/>
          <w:sz w:val="21"/>
          <w:szCs w:val="21"/>
          <w:lang w:val="es-US"/>
        </w:rPr>
        <w:t>de derechos humanos</w:t>
      </w:r>
      <w:r w:rsidR="009D639B" w:rsidRPr="001F2578">
        <w:rPr>
          <w:rFonts w:ascii="Cambria" w:eastAsia="Calibri" w:hAnsi="Cambria" w:cs="Times New Roman"/>
          <w:sz w:val="21"/>
          <w:szCs w:val="21"/>
          <w:lang w:val="es-US"/>
        </w:rPr>
        <w:t>.</w:t>
      </w:r>
      <w:r w:rsidR="00FB66BD" w:rsidRPr="001F2578">
        <w:rPr>
          <w:rFonts w:ascii="Cambria" w:eastAsia="Calibri" w:hAnsi="Cambria" w:cs="Times New Roman"/>
          <w:sz w:val="21"/>
          <w:szCs w:val="21"/>
          <w:vertAlign w:val="superscript"/>
          <w:lang w:val="es-US"/>
        </w:rPr>
        <w:footnoteReference w:id="2"/>
      </w:r>
      <w:r w:rsidR="00FB66BD" w:rsidRPr="001F2578">
        <w:rPr>
          <w:rFonts w:ascii="Cambria" w:eastAsia="Calibri" w:hAnsi="Cambria" w:cs="Times New Roman"/>
          <w:sz w:val="21"/>
          <w:szCs w:val="21"/>
          <w:lang w:val="es-US"/>
        </w:rPr>
        <w:t xml:space="preserve"> </w:t>
      </w:r>
      <w:r w:rsidRPr="001F2578">
        <w:rPr>
          <w:rFonts w:ascii="Cambria" w:eastAsia="Calibri" w:hAnsi="Cambria" w:cs="Times New Roman"/>
          <w:sz w:val="21"/>
          <w:szCs w:val="21"/>
          <w:lang w:val="es-US"/>
        </w:rPr>
        <w:t xml:space="preserve">Estas restricciones se basan en el reconocimiento del derecho a la vida como el derecho supremo del ser humano y la condición </w:t>
      </w:r>
      <w:r w:rsidRPr="001F2578">
        <w:rPr>
          <w:rFonts w:ascii="Cambria" w:eastAsia="Calibri" w:hAnsi="Cambria" w:cs="Times New Roman"/>
          <w:i/>
          <w:sz w:val="21"/>
          <w:szCs w:val="21"/>
          <w:lang w:val="es-US"/>
        </w:rPr>
        <w:t>sine qua non</w:t>
      </w:r>
      <w:r w:rsidRPr="001F2578">
        <w:rPr>
          <w:rFonts w:ascii="Cambria" w:eastAsia="Calibri" w:hAnsi="Cambria" w:cs="Times New Roman"/>
          <w:sz w:val="21"/>
          <w:szCs w:val="21"/>
          <w:lang w:val="es-US"/>
        </w:rPr>
        <w:t xml:space="preserve"> para el disfrute de todos los demás derechos, lo que exige un mayor escrutinio para garantizar que cualquier privación del derecho a la vida que resulte de la aplicación de la pena de muerte se ajuste estrictamente a los requisitos</w:t>
      </w:r>
      <w:r w:rsidR="000C791B">
        <w:rPr>
          <w:rFonts w:ascii="Cambria" w:eastAsia="Calibri" w:hAnsi="Cambria" w:cs="Times New Roman"/>
          <w:sz w:val="21"/>
          <w:szCs w:val="21"/>
          <w:lang w:val="es-US"/>
        </w:rPr>
        <w:t xml:space="preserve"> de los </w:t>
      </w:r>
      <w:r w:rsidR="000C791B">
        <w:rPr>
          <w:rFonts w:ascii="Cambria" w:eastAsia="Calibri" w:hAnsi="Cambria" w:cs="Times New Roman"/>
          <w:sz w:val="21"/>
          <w:szCs w:val="21"/>
          <w:lang w:val="es-US"/>
        </w:rPr>
        <w:lastRenderedPageBreak/>
        <w:t>instrumentos aplicables</w:t>
      </w:r>
      <w:r w:rsidR="00FB66BD" w:rsidRPr="001F2578">
        <w:rPr>
          <w:rFonts w:ascii="Cambria" w:eastAsia="Calibri" w:hAnsi="Cambria" w:cs="Times New Roman"/>
          <w:sz w:val="21"/>
          <w:szCs w:val="21"/>
          <w:vertAlign w:val="superscript"/>
          <w:lang w:val="es-US"/>
        </w:rPr>
        <w:footnoteReference w:id="3"/>
      </w:r>
      <w:r w:rsidR="000C791B">
        <w:rPr>
          <w:rFonts w:ascii="Cambria" w:eastAsia="Calibri" w:hAnsi="Cambria" w:cs="Times New Roman"/>
          <w:sz w:val="21"/>
          <w:szCs w:val="21"/>
          <w:lang w:val="es-US"/>
        </w:rPr>
        <w:t>.</w:t>
      </w:r>
      <w:r w:rsidR="00FB66BD" w:rsidRPr="001F2578">
        <w:rPr>
          <w:rFonts w:ascii="Cambria" w:eastAsia="Calibri" w:hAnsi="Cambria" w:cs="Times New Roman"/>
          <w:sz w:val="21"/>
          <w:szCs w:val="21"/>
          <w:lang w:val="es-US"/>
        </w:rPr>
        <w:t xml:space="preserve"> </w:t>
      </w:r>
      <w:r w:rsidRPr="001F2578">
        <w:rPr>
          <w:rFonts w:ascii="Cambria" w:eastAsia="Calibri" w:hAnsi="Cambria" w:cs="Times New Roman"/>
          <w:sz w:val="21"/>
          <w:szCs w:val="21"/>
          <w:lang w:val="es-US"/>
        </w:rPr>
        <w:t xml:space="preserve">En este sentido, la Comisión ha resaltado que el derecho al debido proceso juega un papel esencial para garantizar la protección de los derechos de las personas condenadas a muerte. De hecho, entre las garantías del debido proceso, los Estados </w:t>
      </w:r>
      <w:r w:rsidR="007E7E40" w:rsidRPr="001F2578">
        <w:rPr>
          <w:rFonts w:ascii="Cambria" w:eastAsia="Calibri" w:hAnsi="Cambria" w:cs="Times New Roman"/>
          <w:sz w:val="21"/>
          <w:szCs w:val="21"/>
          <w:lang w:val="es-US"/>
        </w:rPr>
        <w:t>tienen la</w:t>
      </w:r>
      <w:r w:rsidRPr="001F2578">
        <w:rPr>
          <w:rFonts w:ascii="Cambria" w:eastAsia="Calibri" w:hAnsi="Cambria" w:cs="Times New Roman"/>
          <w:sz w:val="21"/>
          <w:szCs w:val="21"/>
          <w:lang w:val="es-US"/>
        </w:rPr>
        <w:t xml:space="preserve"> </w:t>
      </w:r>
      <w:r w:rsidR="007E7E40" w:rsidRPr="001F2578">
        <w:rPr>
          <w:rFonts w:ascii="Cambria" w:eastAsia="Calibri" w:hAnsi="Cambria" w:cs="Times New Roman"/>
          <w:sz w:val="21"/>
          <w:szCs w:val="21"/>
          <w:lang w:val="es-US"/>
        </w:rPr>
        <w:t>obligación de</w:t>
      </w:r>
      <w:r w:rsidRPr="001F2578">
        <w:rPr>
          <w:rFonts w:ascii="Cambria" w:eastAsia="Calibri" w:hAnsi="Cambria" w:cs="Times New Roman"/>
          <w:sz w:val="21"/>
          <w:szCs w:val="21"/>
          <w:lang w:val="es-US"/>
        </w:rPr>
        <w:t xml:space="preserve"> garantizar el ejercicio del derecho a un juicio justo, el más estricto cumplimiento d</w:t>
      </w:r>
      <w:r w:rsidR="007E7E40" w:rsidRPr="001F2578">
        <w:rPr>
          <w:rFonts w:ascii="Cambria" w:eastAsia="Calibri" w:hAnsi="Cambria" w:cs="Times New Roman"/>
          <w:sz w:val="21"/>
          <w:szCs w:val="21"/>
          <w:lang w:val="es-US"/>
        </w:rPr>
        <w:t>el derecho a la defensa</w:t>
      </w:r>
      <w:r w:rsidRPr="001F2578">
        <w:rPr>
          <w:rFonts w:ascii="Cambria" w:eastAsia="Calibri" w:hAnsi="Cambria" w:cs="Times New Roman"/>
          <w:sz w:val="21"/>
          <w:szCs w:val="21"/>
          <w:lang w:val="es-US"/>
        </w:rPr>
        <w:t xml:space="preserve"> y el derecho a la igualdad y a la no discriminación</w:t>
      </w:r>
      <w:r w:rsidR="00FB66BD" w:rsidRPr="001F2578">
        <w:rPr>
          <w:vertAlign w:val="superscript"/>
          <w:lang w:val="es-US"/>
        </w:rPr>
        <w:footnoteReference w:id="4"/>
      </w:r>
      <w:r w:rsidR="000C791B">
        <w:rPr>
          <w:rFonts w:ascii="Cambria" w:eastAsia="Calibri" w:hAnsi="Cambria" w:cs="Times New Roman"/>
          <w:sz w:val="21"/>
          <w:szCs w:val="21"/>
          <w:lang w:val="es-US"/>
        </w:rPr>
        <w:t>.</w:t>
      </w:r>
    </w:p>
    <w:p w14:paraId="22FE446D" w14:textId="77777777" w:rsidR="007E7E40" w:rsidRPr="001F2578" w:rsidRDefault="007E7E40" w:rsidP="0062385F">
      <w:pPr>
        <w:pStyle w:val="ListParagraph"/>
        <w:spacing w:after="0" w:line="240" w:lineRule="auto"/>
        <w:ind w:left="360"/>
        <w:jc w:val="both"/>
        <w:rPr>
          <w:rFonts w:ascii="Cambria" w:eastAsia="Calibri" w:hAnsi="Cambria" w:cs="Times New Roman"/>
          <w:sz w:val="21"/>
          <w:szCs w:val="21"/>
          <w:lang w:val="es-US"/>
        </w:rPr>
      </w:pPr>
    </w:p>
    <w:p w14:paraId="0F93CC83" w14:textId="2DFA98E3" w:rsidR="00F3379E" w:rsidRPr="001F2578" w:rsidRDefault="00AA3B2C" w:rsidP="0062385F">
      <w:pPr>
        <w:pStyle w:val="ListParagraph"/>
        <w:numPr>
          <w:ilvl w:val="0"/>
          <w:numId w:val="5"/>
        </w:numPr>
        <w:spacing w:after="0" w:line="240" w:lineRule="auto"/>
        <w:ind w:left="0" w:firstLine="360"/>
        <w:jc w:val="both"/>
        <w:rPr>
          <w:rFonts w:ascii="Cambria" w:hAnsi="Cambria"/>
          <w:sz w:val="21"/>
          <w:szCs w:val="21"/>
          <w:lang w:val="es-US"/>
        </w:rPr>
      </w:pPr>
      <w:r w:rsidRPr="001F2578">
        <w:rPr>
          <w:rFonts w:ascii="Cambria" w:hAnsi="Cambria"/>
          <w:sz w:val="21"/>
          <w:szCs w:val="21"/>
          <w:lang w:val="es-US"/>
        </w:rPr>
        <w:t xml:space="preserve">En el presente asunto, la Comisión considera que el requisito de gravedad </w:t>
      </w:r>
      <w:r w:rsidR="00953BEC">
        <w:rPr>
          <w:rFonts w:ascii="Cambria" w:hAnsi="Cambria"/>
          <w:sz w:val="21"/>
          <w:szCs w:val="21"/>
          <w:lang w:val="es-US"/>
        </w:rPr>
        <w:t xml:space="preserve">se encuentra cumplido, tanto </w:t>
      </w:r>
      <w:r w:rsidR="00F033B3">
        <w:rPr>
          <w:rFonts w:ascii="Cambria" w:hAnsi="Cambria"/>
          <w:sz w:val="21"/>
          <w:szCs w:val="21"/>
          <w:lang w:val="es-US"/>
        </w:rPr>
        <w:t>en su dimensión cautelar como tutelar</w:t>
      </w:r>
      <w:r w:rsidRPr="001F2578">
        <w:rPr>
          <w:rFonts w:ascii="Cambria" w:hAnsi="Cambria"/>
          <w:sz w:val="21"/>
          <w:szCs w:val="21"/>
          <w:lang w:val="es-US"/>
        </w:rPr>
        <w:t xml:space="preserve">. En cuanto al carácter cautelar, a pesar de que la imposición de la pena de muerte no está prohibida en la Declaración Americana, la Comisión observa que los derechos en riesgo incluyen el derecho a la vida en virtud del Artículo I de la Declaración Americana, en vista del riesgo de que el </w:t>
      </w:r>
      <w:r w:rsidR="00E47594">
        <w:rPr>
          <w:rFonts w:ascii="Cambria" w:hAnsi="Cambria"/>
          <w:sz w:val="21"/>
          <w:szCs w:val="21"/>
          <w:lang w:val="es-US"/>
        </w:rPr>
        <w:t>señor Flores</w:t>
      </w:r>
      <w:r w:rsidRPr="001F2578">
        <w:rPr>
          <w:rFonts w:ascii="Cambria" w:hAnsi="Cambria"/>
          <w:sz w:val="21"/>
          <w:szCs w:val="21"/>
          <w:lang w:val="es-US"/>
        </w:rPr>
        <w:t xml:space="preserve"> sea ejecutado dentro del contexto de un procedimiento </w:t>
      </w:r>
      <w:r w:rsidR="00E47594">
        <w:rPr>
          <w:rFonts w:ascii="Cambria" w:hAnsi="Cambria"/>
          <w:sz w:val="21"/>
          <w:szCs w:val="21"/>
          <w:lang w:val="es-US"/>
        </w:rPr>
        <w:t>penal en relación con el cual los</w:t>
      </w:r>
      <w:r w:rsidRPr="001F2578">
        <w:rPr>
          <w:rFonts w:ascii="Cambria" w:hAnsi="Cambria"/>
          <w:sz w:val="21"/>
          <w:szCs w:val="21"/>
          <w:lang w:val="es-US"/>
        </w:rPr>
        <w:t xml:space="preserve"> sol</w:t>
      </w:r>
      <w:r w:rsidR="00E47594">
        <w:rPr>
          <w:rFonts w:ascii="Cambria" w:hAnsi="Cambria"/>
          <w:sz w:val="21"/>
          <w:szCs w:val="21"/>
          <w:lang w:val="es-US"/>
        </w:rPr>
        <w:t xml:space="preserve">icitantes denunciaron violaciones </w:t>
      </w:r>
      <w:r w:rsidRPr="001F2578">
        <w:rPr>
          <w:rFonts w:ascii="Cambria" w:hAnsi="Cambria"/>
          <w:sz w:val="21"/>
          <w:szCs w:val="21"/>
          <w:lang w:val="es-US"/>
        </w:rPr>
        <w:t>al debido proceso</w:t>
      </w:r>
      <w:r w:rsidR="00E47594">
        <w:rPr>
          <w:rFonts w:ascii="Cambria" w:hAnsi="Cambria"/>
          <w:sz w:val="21"/>
          <w:szCs w:val="21"/>
          <w:lang w:val="es-US"/>
        </w:rPr>
        <w:t xml:space="preserve"> </w:t>
      </w:r>
      <w:r w:rsidR="00E47594">
        <w:rPr>
          <w:rFonts w:ascii="Cambria" w:eastAsia="Calibri" w:hAnsi="Cambria" w:cs="Times New Roman"/>
          <w:sz w:val="21"/>
          <w:szCs w:val="21"/>
          <w:lang w:val="es-US"/>
        </w:rPr>
        <w:t>(</w:t>
      </w:r>
      <w:r w:rsidR="00E47594">
        <w:rPr>
          <w:rFonts w:ascii="Cambria" w:eastAsia="Calibri" w:hAnsi="Cambria" w:cs="Times New Roman"/>
          <w:i/>
          <w:sz w:val="21"/>
          <w:szCs w:val="21"/>
          <w:lang w:val="es-US"/>
        </w:rPr>
        <w:t>supra</w:t>
      </w:r>
      <w:r w:rsidR="00E47594">
        <w:rPr>
          <w:rFonts w:ascii="Cambria" w:eastAsia="Calibri" w:hAnsi="Cambria" w:cs="Times New Roman"/>
          <w:sz w:val="21"/>
          <w:szCs w:val="21"/>
          <w:lang w:val="es-US"/>
        </w:rPr>
        <w:t xml:space="preserve"> </w:t>
      </w:r>
      <w:proofErr w:type="spellStart"/>
      <w:r w:rsidR="004765CF">
        <w:rPr>
          <w:rFonts w:ascii="Cambria" w:eastAsia="Calibri" w:hAnsi="Cambria" w:cs="Times New Roman"/>
          <w:sz w:val="21"/>
          <w:szCs w:val="21"/>
          <w:lang w:val="es-US"/>
        </w:rPr>
        <w:t>párrs</w:t>
      </w:r>
      <w:proofErr w:type="spellEnd"/>
      <w:r w:rsidR="00F42304">
        <w:rPr>
          <w:rFonts w:ascii="Cambria" w:eastAsia="Calibri" w:hAnsi="Cambria" w:cs="Times New Roman"/>
          <w:sz w:val="21"/>
          <w:szCs w:val="21"/>
          <w:lang w:val="es-US"/>
        </w:rPr>
        <w:t xml:space="preserve">. 1 y </w:t>
      </w:r>
      <w:r w:rsidR="009018C7">
        <w:rPr>
          <w:rFonts w:ascii="Cambria" w:eastAsia="Calibri" w:hAnsi="Cambria" w:cs="Times New Roman"/>
          <w:sz w:val="21"/>
          <w:szCs w:val="21"/>
          <w:lang w:val="es-US"/>
        </w:rPr>
        <w:t>7</w:t>
      </w:r>
      <w:r w:rsidR="00E47594">
        <w:rPr>
          <w:rFonts w:ascii="Cambria" w:eastAsia="Calibri" w:hAnsi="Cambria" w:cs="Times New Roman"/>
          <w:sz w:val="21"/>
          <w:szCs w:val="21"/>
          <w:lang w:val="es-US"/>
        </w:rPr>
        <w:t>)</w:t>
      </w:r>
      <w:r w:rsidRPr="001F2578">
        <w:rPr>
          <w:rFonts w:ascii="Cambria" w:hAnsi="Cambria"/>
          <w:sz w:val="21"/>
          <w:szCs w:val="21"/>
          <w:lang w:val="es-US"/>
        </w:rPr>
        <w:t>.</w:t>
      </w:r>
      <w:r w:rsidR="00F778C9" w:rsidRPr="001F2578">
        <w:rPr>
          <w:rFonts w:ascii="Cambria" w:hAnsi="Cambria"/>
          <w:sz w:val="21"/>
          <w:szCs w:val="21"/>
          <w:lang w:val="es-US"/>
        </w:rPr>
        <w:t xml:space="preserve"> </w:t>
      </w:r>
      <w:r w:rsidRPr="001F2578">
        <w:rPr>
          <w:rFonts w:ascii="Cambria" w:hAnsi="Cambria"/>
          <w:sz w:val="21"/>
          <w:szCs w:val="21"/>
          <w:lang w:val="es-US"/>
        </w:rPr>
        <w:t>Con respecto a esto, la Comisión ha declarado sistemáticamente que la posibilidad de una ejecución en tales circunstancias es lo suficientemente grave como para permitir el otorgamiento de medidas cautelares</w:t>
      </w:r>
      <w:r w:rsidR="00F778C9" w:rsidRPr="001F2578">
        <w:rPr>
          <w:rStyle w:val="FootnoteReference"/>
          <w:rFonts w:ascii="Cambria" w:hAnsi="Cambria"/>
          <w:sz w:val="21"/>
          <w:szCs w:val="21"/>
          <w:lang w:val="es-US"/>
        </w:rPr>
        <w:footnoteReference w:id="5"/>
      </w:r>
      <w:r w:rsidR="000C791B">
        <w:rPr>
          <w:rFonts w:ascii="Cambria" w:hAnsi="Cambria"/>
          <w:sz w:val="21"/>
          <w:szCs w:val="21"/>
          <w:lang w:val="es-US"/>
        </w:rPr>
        <w:t>.</w:t>
      </w:r>
      <w:r w:rsidR="00937AE6" w:rsidRPr="001F2578">
        <w:rPr>
          <w:rFonts w:ascii="Cambria" w:hAnsi="Cambria"/>
          <w:sz w:val="21"/>
          <w:szCs w:val="21"/>
          <w:lang w:val="es-US"/>
        </w:rPr>
        <w:t xml:space="preserve"> </w:t>
      </w:r>
    </w:p>
    <w:p w14:paraId="341978EF" w14:textId="77777777" w:rsidR="005E0559" w:rsidRPr="001F2578" w:rsidRDefault="005E0559" w:rsidP="0062385F">
      <w:pPr>
        <w:spacing w:after="0" w:line="240" w:lineRule="auto"/>
        <w:jc w:val="both"/>
        <w:rPr>
          <w:rFonts w:ascii="Cambria" w:hAnsi="Cambria"/>
          <w:sz w:val="21"/>
          <w:szCs w:val="21"/>
          <w:lang w:val="es-US"/>
        </w:rPr>
      </w:pPr>
    </w:p>
    <w:p w14:paraId="50413D45" w14:textId="34283652" w:rsidR="00E45C26" w:rsidRPr="001F2578" w:rsidRDefault="0043493F" w:rsidP="0062385F">
      <w:pPr>
        <w:pStyle w:val="ListParagraph"/>
        <w:numPr>
          <w:ilvl w:val="0"/>
          <w:numId w:val="5"/>
        </w:numPr>
        <w:spacing w:after="0" w:line="240" w:lineRule="auto"/>
        <w:ind w:left="0" w:firstLine="360"/>
        <w:jc w:val="both"/>
        <w:rPr>
          <w:rFonts w:ascii="Cambria" w:hAnsi="Cambria"/>
          <w:sz w:val="21"/>
          <w:szCs w:val="21"/>
          <w:lang w:val="es-US"/>
        </w:rPr>
      </w:pPr>
      <w:r w:rsidRPr="001F2578">
        <w:rPr>
          <w:rFonts w:ascii="Cambria" w:hAnsi="Cambria"/>
          <w:sz w:val="21"/>
          <w:szCs w:val="21"/>
          <w:lang w:val="es-US"/>
        </w:rPr>
        <w:t>En cuanto al carácter tutelar</w:t>
      </w:r>
      <w:r w:rsidR="005415E7" w:rsidRPr="001F2578">
        <w:rPr>
          <w:rFonts w:ascii="Cambria" w:eastAsia="Calibri" w:hAnsi="Cambria" w:cs="Times New Roman"/>
          <w:sz w:val="21"/>
          <w:szCs w:val="21"/>
          <w:lang w:val="es-US"/>
        </w:rPr>
        <w:t xml:space="preserve">, </w:t>
      </w:r>
      <w:r w:rsidR="00E47594">
        <w:rPr>
          <w:rFonts w:ascii="Cambria" w:hAnsi="Cambria"/>
          <w:sz w:val="21"/>
          <w:szCs w:val="21"/>
          <w:lang w:val="es-US"/>
        </w:rPr>
        <w:t>la Comisión observa que los</w:t>
      </w:r>
      <w:r w:rsidR="008B0190" w:rsidRPr="001F2578">
        <w:rPr>
          <w:rFonts w:ascii="Cambria" w:hAnsi="Cambria"/>
          <w:sz w:val="21"/>
          <w:szCs w:val="21"/>
          <w:lang w:val="es-US"/>
        </w:rPr>
        <w:t xml:space="preserve"> solicitante</w:t>
      </w:r>
      <w:r w:rsidR="00E47594">
        <w:rPr>
          <w:rFonts w:ascii="Cambria" w:hAnsi="Cambria"/>
          <w:sz w:val="21"/>
          <w:szCs w:val="21"/>
          <w:lang w:val="es-US"/>
        </w:rPr>
        <w:t>s</w:t>
      </w:r>
      <w:r w:rsidR="008B0190" w:rsidRPr="001F2578">
        <w:rPr>
          <w:rFonts w:ascii="Cambria" w:hAnsi="Cambria"/>
          <w:sz w:val="21"/>
          <w:szCs w:val="21"/>
          <w:lang w:val="es-US"/>
        </w:rPr>
        <w:t xml:space="preserve"> </w:t>
      </w:r>
      <w:r w:rsidR="00953BEC">
        <w:rPr>
          <w:rFonts w:ascii="Cambria" w:hAnsi="Cambria"/>
          <w:sz w:val="21"/>
          <w:szCs w:val="21"/>
          <w:lang w:val="es-US"/>
        </w:rPr>
        <w:t>señalaron</w:t>
      </w:r>
      <w:r w:rsidR="008B0190" w:rsidRPr="001F2578">
        <w:rPr>
          <w:rFonts w:ascii="Cambria" w:hAnsi="Cambria"/>
          <w:sz w:val="21"/>
          <w:szCs w:val="21"/>
          <w:lang w:val="es-US"/>
        </w:rPr>
        <w:t xml:space="preserve"> que el </w:t>
      </w:r>
      <w:r w:rsidR="00953BEC">
        <w:rPr>
          <w:rFonts w:ascii="Cambria" w:hAnsi="Cambria"/>
          <w:sz w:val="21"/>
          <w:szCs w:val="21"/>
          <w:lang w:val="es-US"/>
        </w:rPr>
        <w:t>señor Flores</w:t>
      </w:r>
      <w:r w:rsidR="008B0190" w:rsidRPr="001F2578">
        <w:rPr>
          <w:rFonts w:ascii="Cambria" w:hAnsi="Cambria"/>
          <w:sz w:val="21"/>
          <w:szCs w:val="21"/>
          <w:lang w:val="es-US"/>
        </w:rPr>
        <w:t xml:space="preserve"> ha estado en el </w:t>
      </w:r>
      <w:r w:rsidR="005D749D" w:rsidRPr="001F2578">
        <w:rPr>
          <w:rFonts w:ascii="Cambria" w:hAnsi="Cambria"/>
          <w:sz w:val="21"/>
          <w:szCs w:val="21"/>
          <w:lang w:val="es-US"/>
        </w:rPr>
        <w:t>corredor</w:t>
      </w:r>
      <w:r w:rsidR="008B0190" w:rsidRPr="001F2578">
        <w:rPr>
          <w:rFonts w:ascii="Cambria" w:hAnsi="Cambria"/>
          <w:sz w:val="21"/>
          <w:szCs w:val="21"/>
          <w:lang w:val="es-US"/>
        </w:rPr>
        <w:t xml:space="preserve"> de la muerte por un período prolongado de </w:t>
      </w:r>
      <w:r w:rsidR="00E47594">
        <w:rPr>
          <w:rFonts w:ascii="Cambria" w:hAnsi="Cambria"/>
          <w:sz w:val="21"/>
          <w:szCs w:val="21"/>
          <w:lang w:val="es-US"/>
        </w:rPr>
        <w:t>19</w:t>
      </w:r>
      <w:r w:rsidR="008B0190" w:rsidRPr="001F2578">
        <w:rPr>
          <w:rFonts w:ascii="Cambria" w:hAnsi="Cambria"/>
          <w:sz w:val="21"/>
          <w:szCs w:val="21"/>
          <w:lang w:val="es-US"/>
        </w:rPr>
        <w:t xml:space="preserve"> años</w:t>
      </w:r>
      <w:r w:rsidR="00CF5353" w:rsidRPr="001F2578">
        <w:rPr>
          <w:rFonts w:ascii="Cambria" w:eastAsia="Times New Roman" w:hAnsi="Cambria"/>
          <w:i/>
          <w:sz w:val="21"/>
          <w:szCs w:val="21"/>
          <w:lang w:val="es-US"/>
        </w:rPr>
        <w:t>.</w:t>
      </w:r>
      <w:r w:rsidR="0035418D" w:rsidRPr="001F2578">
        <w:rPr>
          <w:rFonts w:ascii="Cambria" w:eastAsia="Calibri" w:hAnsi="Cambria" w:cs="Times New Roman"/>
          <w:sz w:val="21"/>
          <w:szCs w:val="21"/>
          <w:lang w:val="es-US"/>
        </w:rPr>
        <w:t xml:space="preserve"> </w:t>
      </w:r>
      <w:r w:rsidR="0033441E" w:rsidRPr="001F2578">
        <w:rPr>
          <w:rFonts w:ascii="Cambria" w:hAnsi="Cambria"/>
          <w:sz w:val="21"/>
          <w:szCs w:val="21"/>
          <w:lang w:val="es-US"/>
        </w:rPr>
        <w:t xml:space="preserve">La Comisión </w:t>
      </w:r>
      <w:r w:rsidR="008349C1">
        <w:rPr>
          <w:rFonts w:ascii="Cambria" w:hAnsi="Cambria"/>
          <w:sz w:val="21"/>
          <w:szCs w:val="21"/>
          <w:lang w:val="es-US"/>
        </w:rPr>
        <w:t>ha tenido conocimiento de</w:t>
      </w:r>
      <w:r w:rsidR="0033441E" w:rsidRPr="001F2578">
        <w:rPr>
          <w:rFonts w:ascii="Cambria" w:hAnsi="Cambria"/>
          <w:sz w:val="21"/>
          <w:szCs w:val="21"/>
          <w:lang w:val="es-US"/>
        </w:rPr>
        <w:t xml:space="preserve"> que el </w:t>
      </w:r>
      <w:r w:rsidR="005D749D" w:rsidRPr="001F2578">
        <w:rPr>
          <w:rFonts w:ascii="Cambria" w:hAnsi="Cambria"/>
          <w:sz w:val="21"/>
          <w:szCs w:val="21"/>
          <w:lang w:val="es-US"/>
        </w:rPr>
        <w:t>corredor</w:t>
      </w:r>
      <w:r w:rsidR="0033441E" w:rsidRPr="001F2578">
        <w:rPr>
          <w:rFonts w:ascii="Cambria" w:hAnsi="Cambria"/>
          <w:sz w:val="21"/>
          <w:szCs w:val="21"/>
          <w:lang w:val="es-US"/>
        </w:rPr>
        <w:t xml:space="preserve"> de la muerte en Texas </w:t>
      </w:r>
      <w:r w:rsidR="00D25BA6">
        <w:rPr>
          <w:rFonts w:ascii="Cambria" w:hAnsi="Cambria"/>
          <w:sz w:val="21"/>
          <w:szCs w:val="21"/>
          <w:lang w:val="es-US"/>
        </w:rPr>
        <w:t>se encuentra</w:t>
      </w:r>
      <w:r w:rsidR="0033441E" w:rsidRPr="001F2578">
        <w:rPr>
          <w:rFonts w:ascii="Cambria" w:hAnsi="Cambria"/>
          <w:sz w:val="21"/>
          <w:szCs w:val="21"/>
          <w:lang w:val="es-US"/>
        </w:rPr>
        <w:t xml:space="preserve"> en la </w:t>
      </w:r>
      <w:r w:rsidR="0033441E" w:rsidRPr="00E47594">
        <w:rPr>
          <w:rFonts w:ascii="Cambria" w:hAnsi="Cambria"/>
          <w:sz w:val="21"/>
          <w:szCs w:val="21"/>
          <w:lang w:val="es-US"/>
        </w:rPr>
        <w:t>Unidad</w:t>
      </w:r>
      <w:r w:rsidR="0033441E" w:rsidRPr="00D25BA6">
        <w:rPr>
          <w:rFonts w:ascii="Cambria" w:hAnsi="Cambria"/>
          <w:i/>
          <w:sz w:val="21"/>
          <w:szCs w:val="21"/>
          <w:lang w:val="es-US"/>
        </w:rPr>
        <w:t xml:space="preserve"> </w:t>
      </w:r>
      <w:proofErr w:type="spellStart"/>
      <w:r w:rsidR="0033441E" w:rsidRPr="00D25BA6">
        <w:rPr>
          <w:rFonts w:ascii="Cambria" w:hAnsi="Cambria"/>
          <w:i/>
          <w:sz w:val="21"/>
          <w:szCs w:val="21"/>
          <w:lang w:val="es-US"/>
        </w:rPr>
        <w:t>Polunsky</w:t>
      </w:r>
      <w:proofErr w:type="spellEnd"/>
      <w:r w:rsidR="0033441E" w:rsidRPr="001F2578">
        <w:rPr>
          <w:rFonts w:ascii="Cambria" w:hAnsi="Cambria"/>
          <w:sz w:val="21"/>
          <w:szCs w:val="21"/>
          <w:lang w:val="es-US"/>
        </w:rPr>
        <w:t xml:space="preserve"> desde</w:t>
      </w:r>
      <w:r w:rsidR="00E47594">
        <w:rPr>
          <w:rFonts w:ascii="Cambria" w:hAnsi="Cambria"/>
          <w:sz w:val="21"/>
          <w:szCs w:val="21"/>
          <w:lang w:val="es-US"/>
        </w:rPr>
        <w:t xml:space="preserve"> 1999</w:t>
      </w:r>
      <w:r w:rsidR="00024446" w:rsidRPr="001F2578">
        <w:rPr>
          <w:rStyle w:val="FootnoteReference"/>
          <w:rFonts w:ascii="Cambria" w:eastAsia="Times New Roman" w:hAnsi="Cambria"/>
          <w:sz w:val="21"/>
          <w:szCs w:val="21"/>
          <w:lang w:val="es-US"/>
        </w:rPr>
        <w:footnoteReference w:id="6"/>
      </w:r>
      <w:r w:rsidR="000C791B">
        <w:rPr>
          <w:rFonts w:ascii="Cambria" w:hAnsi="Cambria"/>
          <w:sz w:val="21"/>
          <w:szCs w:val="21"/>
          <w:lang w:val="es-US"/>
        </w:rPr>
        <w:t>,</w:t>
      </w:r>
      <w:r w:rsidR="00024446" w:rsidRPr="001F2578">
        <w:rPr>
          <w:rFonts w:ascii="Cambria" w:eastAsia="Calibri" w:hAnsi="Cambria" w:cs="Times New Roman"/>
          <w:sz w:val="21"/>
          <w:szCs w:val="21"/>
          <w:lang w:val="es-US"/>
        </w:rPr>
        <w:t xml:space="preserve"> </w:t>
      </w:r>
      <w:r w:rsidR="0033441E" w:rsidRPr="001F2578">
        <w:rPr>
          <w:rFonts w:ascii="Cambria" w:hAnsi="Cambria"/>
          <w:sz w:val="21"/>
          <w:szCs w:val="21"/>
          <w:lang w:val="es-US"/>
        </w:rPr>
        <w:t xml:space="preserve">y </w:t>
      </w:r>
      <w:r w:rsidR="002748D8">
        <w:rPr>
          <w:rFonts w:ascii="Cambria" w:hAnsi="Cambria"/>
          <w:sz w:val="21"/>
          <w:szCs w:val="21"/>
          <w:lang w:val="es-US"/>
        </w:rPr>
        <w:t>ha identificado que en</w:t>
      </w:r>
      <w:r w:rsidR="0033441E" w:rsidRPr="001F2578">
        <w:rPr>
          <w:rFonts w:ascii="Cambria" w:hAnsi="Cambria"/>
          <w:sz w:val="21"/>
          <w:szCs w:val="21"/>
          <w:lang w:val="es-US"/>
        </w:rPr>
        <w:t xml:space="preserve"> este lugar los presos están confinados en celdas pequeñas</w:t>
      </w:r>
      <w:r w:rsidR="00E6152D" w:rsidRPr="001F2578">
        <w:rPr>
          <w:rStyle w:val="FootnoteReference"/>
          <w:rFonts w:ascii="Cambria" w:eastAsia="Calibri" w:hAnsi="Cambria" w:cs="Times New Roman"/>
          <w:sz w:val="21"/>
          <w:szCs w:val="21"/>
          <w:lang w:val="es-US"/>
        </w:rPr>
        <w:footnoteReference w:id="7"/>
      </w:r>
      <w:r w:rsidR="00E6152D" w:rsidRPr="001F2578">
        <w:rPr>
          <w:rFonts w:ascii="Cambria" w:eastAsia="Calibri" w:hAnsi="Cambria" w:cs="Times New Roman"/>
          <w:sz w:val="21"/>
          <w:szCs w:val="21"/>
          <w:lang w:val="es-US"/>
        </w:rPr>
        <w:t xml:space="preserve"> </w:t>
      </w:r>
      <w:r w:rsidR="0033441E" w:rsidRPr="001F2578">
        <w:rPr>
          <w:rFonts w:ascii="Cambria" w:hAnsi="Cambria"/>
          <w:sz w:val="21"/>
          <w:szCs w:val="21"/>
          <w:lang w:val="es-US"/>
        </w:rPr>
        <w:t xml:space="preserve">y pasan 23 horas de aislamiento por día, separados de otros prisioneros. Además, no se les permite el contacto físico con familiares o abogados desde el momento en que entran en el corredor de la </w:t>
      </w:r>
      <w:r w:rsidR="000C791B">
        <w:rPr>
          <w:rFonts w:ascii="Cambria" w:hAnsi="Cambria"/>
          <w:sz w:val="21"/>
          <w:szCs w:val="21"/>
          <w:lang w:val="es-US"/>
        </w:rPr>
        <w:t>muerte hasta su ejecución</w:t>
      </w:r>
      <w:r w:rsidR="009A12D4" w:rsidRPr="001F2578">
        <w:rPr>
          <w:rStyle w:val="FootnoteReference"/>
          <w:rFonts w:ascii="Cambria" w:hAnsi="Cambria"/>
          <w:sz w:val="21"/>
          <w:szCs w:val="21"/>
          <w:lang w:val="es-US"/>
        </w:rPr>
        <w:footnoteReference w:id="8"/>
      </w:r>
      <w:r w:rsidR="000C791B">
        <w:rPr>
          <w:rFonts w:ascii="Cambria" w:hAnsi="Cambria"/>
          <w:sz w:val="21"/>
          <w:szCs w:val="21"/>
          <w:lang w:val="es-US"/>
        </w:rPr>
        <w:t>.</w:t>
      </w:r>
      <w:r w:rsidR="00E45C26" w:rsidRPr="001F2578">
        <w:rPr>
          <w:rFonts w:ascii="Cambria" w:hAnsi="Cambria"/>
          <w:sz w:val="21"/>
          <w:szCs w:val="21"/>
          <w:lang w:val="es-US"/>
        </w:rPr>
        <w:t xml:space="preserve"> </w:t>
      </w:r>
    </w:p>
    <w:p w14:paraId="71D84EBD" w14:textId="77777777" w:rsidR="00E45C26" w:rsidRPr="001F2578" w:rsidRDefault="00E45C26" w:rsidP="0062385F">
      <w:pPr>
        <w:spacing w:after="0" w:line="240" w:lineRule="auto"/>
        <w:jc w:val="both"/>
        <w:rPr>
          <w:rFonts w:ascii="Cambria" w:hAnsi="Cambria"/>
          <w:sz w:val="21"/>
          <w:szCs w:val="21"/>
          <w:lang w:val="es-US"/>
        </w:rPr>
      </w:pPr>
    </w:p>
    <w:p w14:paraId="12519E3A" w14:textId="1A7838ED" w:rsidR="00E45C26" w:rsidRPr="004B7EEE" w:rsidRDefault="004B7EEE" w:rsidP="004B7EEE">
      <w:pPr>
        <w:pStyle w:val="ListParagraph"/>
        <w:numPr>
          <w:ilvl w:val="0"/>
          <w:numId w:val="5"/>
        </w:numPr>
        <w:spacing w:after="0" w:line="240" w:lineRule="auto"/>
        <w:ind w:left="0" w:firstLine="360"/>
        <w:jc w:val="both"/>
        <w:rPr>
          <w:rFonts w:ascii="Cambria" w:hAnsi="Cambria"/>
          <w:bCs/>
          <w:sz w:val="21"/>
          <w:szCs w:val="21"/>
          <w:lang w:val="es-US"/>
        </w:rPr>
      </w:pPr>
      <w:r w:rsidRPr="001F2578">
        <w:rPr>
          <w:rFonts w:ascii="Cambria" w:hAnsi="Cambria"/>
          <w:bCs/>
          <w:sz w:val="21"/>
          <w:szCs w:val="21"/>
          <w:lang w:val="es-US"/>
        </w:rPr>
        <w:t>El llamado “fenómeno del corredor de la muerte” es ampliamente conocido por el impacto que tiene sobre los derechos de las personas privadas de libertad</w:t>
      </w:r>
      <w:r w:rsidRPr="001F2578">
        <w:rPr>
          <w:rFonts w:ascii="Cambria" w:hAnsi="Cambria"/>
          <w:sz w:val="21"/>
          <w:szCs w:val="21"/>
          <w:vertAlign w:val="superscript"/>
          <w:lang w:val="es-US"/>
        </w:rPr>
        <w:footnoteReference w:id="9"/>
      </w:r>
      <w:r w:rsidRPr="001F2578">
        <w:rPr>
          <w:rFonts w:ascii="Cambria" w:hAnsi="Cambria"/>
          <w:bCs/>
          <w:sz w:val="21"/>
          <w:szCs w:val="21"/>
          <w:lang w:val="es-US"/>
        </w:rPr>
        <w:t>.</w:t>
      </w:r>
      <w:r w:rsidRPr="001F2578">
        <w:rPr>
          <w:rFonts w:ascii="Cambria" w:hAnsi="Cambria"/>
          <w:iCs/>
          <w:color w:val="000000"/>
          <w:sz w:val="21"/>
          <w:szCs w:val="21"/>
          <w:lang w:val="es-US"/>
        </w:rPr>
        <w:t xml:space="preserve"> </w:t>
      </w:r>
      <w:r>
        <w:rPr>
          <w:rFonts w:ascii="Cambria" w:hAnsi="Cambria"/>
          <w:iCs/>
          <w:color w:val="000000"/>
          <w:sz w:val="21"/>
          <w:szCs w:val="21"/>
          <w:lang w:val="es-US"/>
        </w:rPr>
        <w:t xml:space="preserve"> </w:t>
      </w:r>
      <w:r w:rsidR="00554797" w:rsidRPr="004B7EEE">
        <w:rPr>
          <w:rFonts w:ascii="Cambria" w:hAnsi="Cambria"/>
          <w:sz w:val="21"/>
          <w:szCs w:val="21"/>
          <w:lang w:val="es-US"/>
        </w:rPr>
        <w:t>En cuanto al impacto que la reclusión en régimen de aislamiento puede causar sobre los derechos a la vida y la integridad personal, el Relator Especial de las Naciones Unidas sobre la Tortura, Juan E. Méndez, afirmó que</w:t>
      </w:r>
      <w:r w:rsidR="00E45C26" w:rsidRPr="004B7EEE">
        <w:rPr>
          <w:rFonts w:ascii="Cambria" w:hAnsi="Cambria"/>
          <w:sz w:val="21"/>
          <w:szCs w:val="21"/>
          <w:lang w:val="es-US"/>
        </w:rPr>
        <w:t>:</w:t>
      </w:r>
    </w:p>
    <w:p w14:paraId="602FCA65" w14:textId="77777777" w:rsidR="0062385F" w:rsidRPr="0062385F" w:rsidRDefault="0062385F" w:rsidP="0062385F">
      <w:pPr>
        <w:spacing w:after="0" w:line="240" w:lineRule="auto"/>
        <w:jc w:val="both"/>
        <w:rPr>
          <w:rFonts w:ascii="Cambria" w:hAnsi="Cambria"/>
          <w:sz w:val="21"/>
          <w:szCs w:val="21"/>
          <w:lang w:val="es-US"/>
        </w:rPr>
      </w:pPr>
    </w:p>
    <w:p w14:paraId="24746ECB" w14:textId="77777777" w:rsidR="00E45C26" w:rsidRPr="001F2578" w:rsidRDefault="007A5D7D" w:rsidP="0062385F">
      <w:pPr>
        <w:spacing w:after="0" w:line="240" w:lineRule="auto"/>
        <w:ind w:left="720" w:right="720"/>
        <w:jc w:val="both"/>
        <w:rPr>
          <w:rFonts w:ascii="Cambria" w:hAnsi="Cambria"/>
          <w:sz w:val="18"/>
          <w:szCs w:val="21"/>
          <w:lang w:val="es-US"/>
        </w:rPr>
      </w:pPr>
      <w:r w:rsidRPr="001F2578">
        <w:rPr>
          <w:rFonts w:ascii="Cambria" w:hAnsi="Cambria" w:cs="TimesNewRoman"/>
          <w:sz w:val="18"/>
          <w:szCs w:val="21"/>
          <w:lang w:val="es-US"/>
        </w:rPr>
        <w:t xml:space="preserve">Las personas recluidas en régimen de aislamiento padecen formas extremas de privación sensorial, ansiedad y exclusión, que exceden, sin lugar a dudas, las condiciones legales de privación de la libertad. La reclusión en régimen de aislamiento, en combinación con la idea de una muerte inminente y la incertidumbre acerca de si la ejecución tendrá o no lugar, y cuándo, contribuye al riesgo de daño </w:t>
      </w:r>
      <w:r w:rsidRPr="001F2578">
        <w:rPr>
          <w:rFonts w:ascii="Cambria" w:hAnsi="Cambria" w:cs="TimesNewRoman"/>
          <w:sz w:val="18"/>
          <w:szCs w:val="21"/>
          <w:lang w:val="es-US"/>
        </w:rPr>
        <w:lastRenderedPageBreak/>
        <w:t>mental y físico irreparable y sufrimiento infligidos al recluso. La reclusión en régimen de aislamiento utilizada en el pabellón de condenados a muerte es, por definición, de duración prolongada e indefinida y constituye, por ende, un trato o pena cruel, inhumano o degradante, o incluso tortura.</w:t>
      </w:r>
      <w:r w:rsidR="00E45C26" w:rsidRPr="001F2578">
        <w:rPr>
          <w:rFonts w:ascii="Cambria" w:hAnsi="Cambria" w:cs="TimesNewRoman"/>
          <w:sz w:val="18"/>
          <w:szCs w:val="21"/>
          <w:vertAlign w:val="superscript"/>
          <w:lang w:val="es-US"/>
        </w:rPr>
        <w:footnoteReference w:id="10"/>
      </w:r>
    </w:p>
    <w:p w14:paraId="0C155043" w14:textId="77777777" w:rsidR="005D749D" w:rsidRPr="001F2578" w:rsidRDefault="005D749D" w:rsidP="0062385F">
      <w:pPr>
        <w:pStyle w:val="ListParagraph"/>
        <w:spacing w:after="0" w:line="240" w:lineRule="auto"/>
        <w:ind w:left="360"/>
        <w:jc w:val="both"/>
        <w:rPr>
          <w:rFonts w:ascii="Cambria" w:hAnsi="Cambria"/>
          <w:bCs/>
          <w:sz w:val="21"/>
          <w:szCs w:val="21"/>
          <w:lang w:val="es-US"/>
        </w:rPr>
      </w:pPr>
    </w:p>
    <w:p w14:paraId="28B4C2CE" w14:textId="6F73CC6F" w:rsidR="00D37BC6" w:rsidRPr="001F2578" w:rsidRDefault="007A5D7D" w:rsidP="0062385F">
      <w:pPr>
        <w:pStyle w:val="ListParagraph"/>
        <w:numPr>
          <w:ilvl w:val="0"/>
          <w:numId w:val="5"/>
        </w:numPr>
        <w:spacing w:after="0" w:line="240" w:lineRule="auto"/>
        <w:ind w:left="0" w:firstLine="360"/>
        <w:jc w:val="both"/>
        <w:rPr>
          <w:rFonts w:ascii="Cambria" w:hAnsi="Cambria"/>
          <w:color w:val="000000"/>
          <w:sz w:val="21"/>
          <w:szCs w:val="21"/>
          <w:lang w:val="es-US"/>
        </w:rPr>
      </w:pPr>
      <w:r w:rsidRPr="001F2578">
        <w:rPr>
          <w:rFonts w:ascii="Cambria" w:hAnsi="Cambria"/>
          <w:color w:val="000000"/>
          <w:sz w:val="21"/>
          <w:szCs w:val="21"/>
          <w:lang w:val="es-US"/>
        </w:rPr>
        <w:t xml:space="preserve">En el presente </w:t>
      </w:r>
      <w:r w:rsidR="00E9255D">
        <w:rPr>
          <w:rFonts w:ascii="Cambria" w:hAnsi="Cambria"/>
          <w:color w:val="000000"/>
          <w:sz w:val="21"/>
          <w:szCs w:val="21"/>
          <w:lang w:val="es-US"/>
        </w:rPr>
        <w:t>asunto</w:t>
      </w:r>
      <w:r w:rsidRPr="001F2578">
        <w:rPr>
          <w:rFonts w:ascii="Cambria" w:hAnsi="Cambria"/>
          <w:color w:val="000000"/>
          <w:sz w:val="21"/>
          <w:szCs w:val="21"/>
          <w:lang w:val="es-US"/>
        </w:rPr>
        <w:t xml:space="preserve">, </w:t>
      </w:r>
      <w:r w:rsidR="00D25BA6">
        <w:rPr>
          <w:rFonts w:ascii="Cambria" w:hAnsi="Cambria"/>
          <w:color w:val="000000"/>
          <w:sz w:val="21"/>
          <w:szCs w:val="21"/>
          <w:lang w:val="es-US"/>
        </w:rPr>
        <w:t xml:space="preserve">la solicitud indica que el </w:t>
      </w:r>
      <w:r w:rsidR="009018C7">
        <w:rPr>
          <w:rFonts w:ascii="Cambria" w:hAnsi="Cambria"/>
          <w:color w:val="000000"/>
          <w:sz w:val="21"/>
          <w:szCs w:val="21"/>
          <w:lang w:val="es-US"/>
        </w:rPr>
        <w:t>señor Flores</w:t>
      </w:r>
      <w:r w:rsidR="00D25BA6">
        <w:rPr>
          <w:rFonts w:ascii="Cambria" w:hAnsi="Cambria"/>
          <w:color w:val="000000"/>
          <w:sz w:val="21"/>
          <w:szCs w:val="21"/>
          <w:lang w:val="es-US"/>
        </w:rPr>
        <w:t xml:space="preserve"> ha</w:t>
      </w:r>
      <w:r w:rsidR="002748D8">
        <w:rPr>
          <w:rFonts w:ascii="Cambria" w:hAnsi="Cambria"/>
          <w:color w:val="000000"/>
          <w:sz w:val="21"/>
          <w:szCs w:val="21"/>
          <w:lang w:val="es-US"/>
        </w:rPr>
        <w:t>bría</w:t>
      </w:r>
      <w:r w:rsidRPr="001F2578">
        <w:rPr>
          <w:rFonts w:ascii="Cambria" w:hAnsi="Cambria"/>
          <w:color w:val="000000"/>
          <w:sz w:val="21"/>
          <w:szCs w:val="21"/>
          <w:lang w:val="es-US"/>
        </w:rPr>
        <w:t xml:space="preserve"> estado </w:t>
      </w:r>
      <w:r w:rsidR="00D25BA6">
        <w:rPr>
          <w:rFonts w:ascii="Cambria" w:hAnsi="Cambria"/>
          <w:color w:val="000000"/>
          <w:sz w:val="21"/>
          <w:szCs w:val="21"/>
          <w:lang w:val="es-US"/>
        </w:rPr>
        <w:t>privado de libertad</w:t>
      </w:r>
      <w:r w:rsidRPr="001F2578">
        <w:rPr>
          <w:rFonts w:ascii="Cambria" w:hAnsi="Cambria"/>
          <w:color w:val="000000"/>
          <w:sz w:val="21"/>
          <w:szCs w:val="21"/>
          <w:lang w:val="es-US"/>
        </w:rPr>
        <w:t xml:space="preserve"> en régimen de aislamiento durante </w:t>
      </w:r>
      <w:r w:rsidR="009018C7">
        <w:rPr>
          <w:rFonts w:ascii="Cambria" w:hAnsi="Cambria"/>
          <w:color w:val="000000"/>
          <w:sz w:val="21"/>
          <w:szCs w:val="21"/>
          <w:lang w:val="es-US"/>
        </w:rPr>
        <w:t>19</w:t>
      </w:r>
      <w:r w:rsidRPr="001F2578">
        <w:rPr>
          <w:rFonts w:ascii="Cambria" w:hAnsi="Cambria"/>
          <w:color w:val="000000"/>
          <w:sz w:val="21"/>
          <w:szCs w:val="21"/>
          <w:lang w:val="es-US"/>
        </w:rPr>
        <w:t xml:space="preserve"> años, </w:t>
      </w:r>
      <w:r w:rsidR="009018C7">
        <w:rPr>
          <w:rFonts w:ascii="Cambria" w:hAnsi="Cambria"/>
          <w:color w:val="000000"/>
          <w:sz w:val="21"/>
          <w:szCs w:val="21"/>
          <w:lang w:val="es-US"/>
        </w:rPr>
        <w:t xml:space="preserve">en la Unidad </w:t>
      </w:r>
      <w:proofErr w:type="spellStart"/>
      <w:r w:rsidR="009018C7" w:rsidRPr="009018C7">
        <w:rPr>
          <w:rFonts w:ascii="Cambria" w:hAnsi="Cambria"/>
          <w:i/>
          <w:color w:val="000000"/>
          <w:sz w:val="21"/>
          <w:szCs w:val="21"/>
          <w:lang w:val="es-US"/>
        </w:rPr>
        <w:t>Polunsky</w:t>
      </w:r>
      <w:proofErr w:type="spellEnd"/>
      <w:r w:rsidR="009018C7">
        <w:rPr>
          <w:rFonts w:ascii="Cambria" w:hAnsi="Cambria"/>
          <w:color w:val="000000"/>
          <w:sz w:val="21"/>
          <w:szCs w:val="21"/>
          <w:lang w:val="es-US"/>
        </w:rPr>
        <w:t xml:space="preserve"> </w:t>
      </w:r>
      <w:r w:rsidR="00D37BC6" w:rsidRPr="001F2578">
        <w:rPr>
          <w:rFonts w:ascii="Cambria" w:hAnsi="Cambria"/>
          <w:color w:val="000000"/>
          <w:sz w:val="21"/>
          <w:szCs w:val="21"/>
          <w:lang w:val="es-US"/>
        </w:rPr>
        <w:t>con severas restricciones</w:t>
      </w:r>
      <w:r w:rsidR="00953BEC">
        <w:rPr>
          <w:rFonts w:ascii="Cambria" w:hAnsi="Cambria"/>
          <w:color w:val="000000"/>
          <w:sz w:val="21"/>
          <w:szCs w:val="21"/>
          <w:lang w:val="es-US"/>
        </w:rPr>
        <w:t xml:space="preserve">, </w:t>
      </w:r>
      <w:r w:rsidR="009018C7">
        <w:rPr>
          <w:rFonts w:ascii="Cambria" w:hAnsi="Cambria"/>
          <w:color w:val="000000"/>
          <w:sz w:val="21"/>
          <w:szCs w:val="21"/>
          <w:lang w:val="es-US"/>
        </w:rPr>
        <w:t xml:space="preserve">sin contacto con otras personas, encerrado 22 horas al día de lunes a viernes y 24 horas al día sábado y domingo </w:t>
      </w:r>
      <w:r w:rsidR="009018C7">
        <w:rPr>
          <w:rFonts w:ascii="Cambria" w:eastAsia="Calibri" w:hAnsi="Cambria" w:cs="Times New Roman"/>
          <w:sz w:val="21"/>
          <w:szCs w:val="21"/>
          <w:lang w:val="es-US"/>
        </w:rPr>
        <w:t>(</w:t>
      </w:r>
      <w:r w:rsidR="009018C7">
        <w:rPr>
          <w:rFonts w:ascii="Cambria" w:eastAsia="Calibri" w:hAnsi="Cambria" w:cs="Times New Roman"/>
          <w:i/>
          <w:sz w:val="21"/>
          <w:szCs w:val="21"/>
          <w:lang w:val="es-US"/>
        </w:rPr>
        <w:t>supra</w:t>
      </w:r>
      <w:r w:rsidR="009018C7">
        <w:rPr>
          <w:rFonts w:ascii="Cambria" w:eastAsia="Calibri" w:hAnsi="Cambria" w:cs="Times New Roman"/>
          <w:sz w:val="21"/>
          <w:szCs w:val="21"/>
          <w:lang w:val="es-US"/>
        </w:rPr>
        <w:t xml:space="preserve"> pár</w:t>
      </w:r>
      <w:r w:rsidR="004765CF">
        <w:rPr>
          <w:rFonts w:ascii="Cambria" w:eastAsia="Calibri" w:hAnsi="Cambria" w:cs="Times New Roman"/>
          <w:sz w:val="21"/>
          <w:szCs w:val="21"/>
          <w:lang w:val="es-US"/>
        </w:rPr>
        <w:t>r</w:t>
      </w:r>
      <w:r w:rsidR="009018C7">
        <w:rPr>
          <w:rFonts w:ascii="Cambria" w:eastAsia="Calibri" w:hAnsi="Cambria" w:cs="Times New Roman"/>
          <w:sz w:val="21"/>
          <w:szCs w:val="21"/>
          <w:lang w:val="es-US"/>
        </w:rPr>
        <w:t>. 6)</w:t>
      </w:r>
      <w:r w:rsidRPr="001F2578">
        <w:rPr>
          <w:rFonts w:ascii="Cambria" w:hAnsi="Cambria"/>
          <w:color w:val="000000"/>
          <w:sz w:val="21"/>
          <w:szCs w:val="21"/>
          <w:lang w:val="es-US"/>
        </w:rPr>
        <w:t xml:space="preserve">. La Comisión tuvo la oportunidad de evaluar circunstancias fácticas similares en la </w:t>
      </w:r>
      <w:r w:rsidRPr="00953BEC">
        <w:rPr>
          <w:rFonts w:ascii="Cambria" w:hAnsi="Cambria"/>
          <w:color w:val="000000"/>
          <w:sz w:val="21"/>
          <w:szCs w:val="21"/>
          <w:lang w:val="es-US"/>
        </w:rPr>
        <w:t>Unidad</w:t>
      </w:r>
      <w:r w:rsidRPr="00D25BA6">
        <w:rPr>
          <w:rFonts w:ascii="Cambria" w:hAnsi="Cambria"/>
          <w:i/>
          <w:color w:val="000000"/>
          <w:sz w:val="21"/>
          <w:szCs w:val="21"/>
          <w:lang w:val="es-US"/>
        </w:rPr>
        <w:t xml:space="preserve"> </w:t>
      </w:r>
      <w:proofErr w:type="spellStart"/>
      <w:r w:rsidRPr="00D25BA6">
        <w:rPr>
          <w:rFonts w:ascii="Cambria" w:hAnsi="Cambria"/>
          <w:i/>
          <w:color w:val="000000"/>
          <w:sz w:val="21"/>
          <w:szCs w:val="21"/>
          <w:lang w:val="es-US"/>
        </w:rPr>
        <w:t>Polunsky</w:t>
      </w:r>
      <w:proofErr w:type="spellEnd"/>
      <w:r w:rsidRPr="001F2578">
        <w:rPr>
          <w:rFonts w:ascii="Cambria" w:hAnsi="Cambria"/>
          <w:color w:val="000000"/>
          <w:sz w:val="21"/>
          <w:szCs w:val="21"/>
          <w:lang w:val="es-US"/>
        </w:rPr>
        <w:t xml:space="preserve"> en el marco del informe de fondo N</w:t>
      </w:r>
      <w:r w:rsidR="00D46140">
        <w:rPr>
          <w:rFonts w:ascii="Cambria" w:hAnsi="Cambria"/>
          <w:color w:val="000000"/>
          <w:sz w:val="21"/>
          <w:szCs w:val="21"/>
          <w:lang w:val="es-US"/>
        </w:rPr>
        <w:t>° 76/16 -</w:t>
      </w:r>
      <w:r w:rsidR="00D37BC6" w:rsidRPr="001F2578">
        <w:rPr>
          <w:rFonts w:ascii="Cambria" w:hAnsi="Cambria"/>
          <w:color w:val="000000"/>
          <w:sz w:val="21"/>
          <w:szCs w:val="21"/>
          <w:lang w:val="es-US"/>
        </w:rPr>
        <w:t>relacionado</w:t>
      </w:r>
      <w:r w:rsidRPr="001F2578">
        <w:rPr>
          <w:rFonts w:ascii="Cambria" w:hAnsi="Cambria"/>
          <w:color w:val="000000"/>
          <w:sz w:val="21"/>
          <w:szCs w:val="21"/>
          <w:lang w:val="es-US"/>
        </w:rPr>
        <w:t xml:space="preserve"> con el asunto de Víctor Hugo </w:t>
      </w:r>
      <w:proofErr w:type="spellStart"/>
      <w:r w:rsidRPr="001F2578">
        <w:rPr>
          <w:rFonts w:ascii="Cambria" w:hAnsi="Cambria"/>
          <w:color w:val="000000"/>
          <w:sz w:val="21"/>
          <w:szCs w:val="21"/>
          <w:lang w:val="es-US"/>
        </w:rPr>
        <w:t>Saldaño</w:t>
      </w:r>
      <w:proofErr w:type="spellEnd"/>
      <w:r w:rsidRPr="001F2578">
        <w:rPr>
          <w:rFonts w:ascii="Cambria" w:hAnsi="Cambria"/>
          <w:color w:val="000000"/>
          <w:sz w:val="21"/>
          <w:szCs w:val="21"/>
          <w:lang w:val="es-US"/>
        </w:rPr>
        <w:t xml:space="preserve"> </w:t>
      </w:r>
      <w:r w:rsidR="00D37BC6" w:rsidRPr="001F2578">
        <w:rPr>
          <w:rFonts w:ascii="Cambria" w:hAnsi="Cambria"/>
          <w:color w:val="000000"/>
          <w:sz w:val="21"/>
          <w:szCs w:val="21"/>
          <w:lang w:val="es-US"/>
        </w:rPr>
        <w:t>respecto de</w:t>
      </w:r>
      <w:r w:rsidR="00D46140">
        <w:rPr>
          <w:rFonts w:ascii="Cambria" w:hAnsi="Cambria"/>
          <w:color w:val="000000"/>
          <w:sz w:val="21"/>
          <w:szCs w:val="21"/>
          <w:lang w:val="es-US"/>
        </w:rPr>
        <w:t xml:space="preserve"> Estados Unidos</w:t>
      </w:r>
      <w:r w:rsidRPr="001F2578">
        <w:rPr>
          <w:rFonts w:ascii="Cambria" w:hAnsi="Cambria"/>
          <w:color w:val="000000"/>
          <w:sz w:val="21"/>
          <w:szCs w:val="21"/>
          <w:lang w:val="es-US"/>
        </w:rPr>
        <w:t xml:space="preserve">- y concluyó que </w:t>
      </w:r>
      <w:r w:rsidR="00D37BC6" w:rsidRPr="001F2578">
        <w:rPr>
          <w:rFonts w:ascii="Cambria" w:hAnsi="Cambria"/>
          <w:color w:val="000000"/>
          <w:sz w:val="21"/>
          <w:szCs w:val="21"/>
          <w:lang w:val="es-US"/>
        </w:rPr>
        <w:t>todos</w:t>
      </w:r>
      <w:r w:rsidRPr="001F2578">
        <w:rPr>
          <w:rFonts w:ascii="Cambria" w:hAnsi="Cambria"/>
          <w:color w:val="000000"/>
          <w:sz w:val="21"/>
          <w:szCs w:val="21"/>
          <w:lang w:val="es-US"/>
        </w:rPr>
        <w:t xml:space="preserve"> estos factores, en conjunto, demuestran la extrema gravedad de las consecuencias sufridas en el corredor</w:t>
      </w:r>
      <w:r w:rsidR="00D37BC6" w:rsidRPr="001F2578">
        <w:rPr>
          <w:rFonts w:ascii="Cambria" w:hAnsi="Cambria"/>
          <w:color w:val="000000"/>
          <w:sz w:val="21"/>
          <w:szCs w:val="21"/>
          <w:lang w:val="es-US"/>
        </w:rPr>
        <w:t xml:space="preserve"> de la muerte</w:t>
      </w:r>
      <w:r w:rsidR="00FA2BC3">
        <w:rPr>
          <w:rFonts w:ascii="Cambria" w:hAnsi="Cambria"/>
          <w:color w:val="000000"/>
          <w:sz w:val="21"/>
          <w:szCs w:val="21"/>
          <w:lang w:val="es-US"/>
        </w:rPr>
        <w:t xml:space="preserve">. En las circunstancias del </w:t>
      </w:r>
      <w:r w:rsidR="00AA072C">
        <w:rPr>
          <w:rFonts w:ascii="Cambria" w:hAnsi="Cambria"/>
          <w:color w:val="000000"/>
          <w:sz w:val="21"/>
          <w:szCs w:val="21"/>
          <w:lang w:val="es-US"/>
        </w:rPr>
        <w:t xml:space="preserve">caso </w:t>
      </w:r>
      <w:proofErr w:type="spellStart"/>
      <w:r w:rsidR="00AA072C">
        <w:rPr>
          <w:rFonts w:ascii="Cambria" w:hAnsi="Cambria"/>
          <w:color w:val="000000"/>
          <w:sz w:val="21"/>
          <w:szCs w:val="21"/>
          <w:lang w:val="es-US"/>
        </w:rPr>
        <w:t>Saldaño</w:t>
      </w:r>
      <w:proofErr w:type="spellEnd"/>
      <w:r w:rsidR="00AA072C">
        <w:rPr>
          <w:rFonts w:ascii="Cambria" w:hAnsi="Cambria"/>
          <w:color w:val="000000"/>
          <w:sz w:val="21"/>
          <w:szCs w:val="21"/>
          <w:lang w:val="es-US"/>
        </w:rPr>
        <w:t xml:space="preserve">, la Comisión determinó </w:t>
      </w:r>
      <w:r w:rsidR="00D37BC6" w:rsidRPr="001F2578">
        <w:rPr>
          <w:rFonts w:ascii="Cambria" w:hAnsi="Cambria"/>
          <w:color w:val="000000"/>
          <w:sz w:val="21"/>
          <w:szCs w:val="21"/>
          <w:lang w:val="es-US"/>
        </w:rPr>
        <w:t>que, además de ser inhumanas</w:t>
      </w:r>
      <w:r w:rsidRPr="001F2578">
        <w:rPr>
          <w:rFonts w:ascii="Cambria" w:hAnsi="Cambria"/>
          <w:color w:val="000000"/>
          <w:sz w:val="21"/>
          <w:szCs w:val="21"/>
          <w:lang w:val="es-US"/>
        </w:rPr>
        <w:t>, cruel</w:t>
      </w:r>
      <w:r w:rsidR="00D37BC6" w:rsidRPr="001F2578">
        <w:rPr>
          <w:rFonts w:ascii="Cambria" w:hAnsi="Cambria"/>
          <w:color w:val="000000"/>
          <w:sz w:val="21"/>
          <w:szCs w:val="21"/>
          <w:lang w:val="es-US"/>
        </w:rPr>
        <w:t>es</w:t>
      </w:r>
      <w:r w:rsidRPr="001F2578">
        <w:rPr>
          <w:rFonts w:ascii="Cambria" w:hAnsi="Cambria"/>
          <w:color w:val="000000"/>
          <w:sz w:val="21"/>
          <w:szCs w:val="21"/>
          <w:lang w:val="es-US"/>
        </w:rPr>
        <w:t>, inusual</w:t>
      </w:r>
      <w:r w:rsidR="00D37BC6" w:rsidRPr="001F2578">
        <w:rPr>
          <w:rFonts w:ascii="Cambria" w:hAnsi="Cambria"/>
          <w:color w:val="000000"/>
          <w:sz w:val="21"/>
          <w:szCs w:val="21"/>
          <w:lang w:val="es-US"/>
        </w:rPr>
        <w:t>es</w:t>
      </w:r>
      <w:r w:rsidRPr="001F2578">
        <w:rPr>
          <w:rFonts w:ascii="Cambria" w:hAnsi="Cambria"/>
          <w:color w:val="000000"/>
          <w:sz w:val="21"/>
          <w:szCs w:val="21"/>
          <w:lang w:val="es-US"/>
        </w:rPr>
        <w:t xml:space="preserve"> e infame</w:t>
      </w:r>
      <w:r w:rsidR="00D37BC6" w:rsidRPr="001F2578">
        <w:rPr>
          <w:rFonts w:ascii="Cambria" w:hAnsi="Cambria"/>
          <w:color w:val="000000"/>
          <w:sz w:val="21"/>
          <w:szCs w:val="21"/>
          <w:lang w:val="es-US"/>
        </w:rPr>
        <w:t>s</w:t>
      </w:r>
      <w:r w:rsidRPr="001F2578">
        <w:rPr>
          <w:rFonts w:ascii="Cambria" w:hAnsi="Cambria"/>
          <w:color w:val="000000"/>
          <w:sz w:val="21"/>
          <w:szCs w:val="21"/>
          <w:lang w:val="es-US"/>
        </w:rPr>
        <w:t xml:space="preserve">, </w:t>
      </w:r>
      <w:r w:rsidR="00AA072C">
        <w:rPr>
          <w:rFonts w:ascii="Cambria" w:hAnsi="Cambria"/>
          <w:color w:val="000000"/>
          <w:sz w:val="21"/>
          <w:szCs w:val="21"/>
          <w:lang w:val="es-US"/>
        </w:rPr>
        <w:t xml:space="preserve">tales condiciones </w:t>
      </w:r>
      <w:r w:rsidRPr="001F2578">
        <w:rPr>
          <w:rFonts w:ascii="Cambria" w:hAnsi="Cambria"/>
          <w:color w:val="000000"/>
          <w:sz w:val="21"/>
          <w:szCs w:val="21"/>
          <w:lang w:val="es-US"/>
        </w:rPr>
        <w:t>constituyen una forma de tortura</w:t>
      </w:r>
      <w:r w:rsidR="009224E4" w:rsidRPr="001F2578">
        <w:rPr>
          <w:rFonts w:ascii="Cambria" w:hAnsi="Cambria"/>
          <w:color w:val="000000"/>
          <w:sz w:val="21"/>
          <w:szCs w:val="21"/>
          <w:lang w:val="es-US"/>
        </w:rPr>
        <w:t>”</w:t>
      </w:r>
      <w:r w:rsidR="009224E4" w:rsidRPr="001F2578">
        <w:rPr>
          <w:vertAlign w:val="superscript"/>
          <w:lang w:val="es-US"/>
        </w:rPr>
        <w:footnoteReference w:id="11"/>
      </w:r>
      <w:r w:rsidR="00454FB5" w:rsidRPr="001F2578">
        <w:rPr>
          <w:rFonts w:ascii="Cambria" w:hAnsi="Cambria"/>
          <w:bCs/>
          <w:sz w:val="21"/>
          <w:szCs w:val="21"/>
          <w:lang w:val="es-US"/>
        </w:rPr>
        <w:t>.</w:t>
      </w:r>
    </w:p>
    <w:p w14:paraId="39A20F9C" w14:textId="77777777" w:rsidR="00D37BC6" w:rsidRPr="001F2578" w:rsidRDefault="00D37BC6" w:rsidP="0062385F">
      <w:pPr>
        <w:pStyle w:val="ListParagraph"/>
        <w:spacing w:after="0" w:line="240" w:lineRule="auto"/>
        <w:ind w:left="360"/>
        <w:jc w:val="both"/>
        <w:rPr>
          <w:rFonts w:ascii="Cambria" w:hAnsi="Cambria"/>
          <w:color w:val="000000"/>
          <w:sz w:val="21"/>
          <w:szCs w:val="21"/>
          <w:lang w:val="es-US"/>
        </w:rPr>
      </w:pPr>
    </w:p>
    <w:p w14:paraId="193DA50C" w14:textId="314AC2E9" w:rsidR="00FB66BD" w:rsidRPr="001F2578" w:rsidRDefault="00A672B2"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1F2578">
        <w:rPr>
          <w:rFonts w:ascii="Cambria" w:eastAsia="Calibri" w:hAnsi="Cambria" w:cs="Times New Roman"/>
          <w:color w:val="000000"/>
          <w:sz w:val="21"/>
          <w:szCs w:val="21"/>
          <w:lang w:val="es-US"/>
        </w:rPr>
        <w:t xml:space="preserve">En consecuencia, </w:t>
      </w:r>
      <w:r w:rsidR="002748D8">
        <w:rPr>
          <w:rFonts w:ascii="Cambria" w:eastAsia="Calibri" w:hAnsi="Cambria" w:cs="Times New Roman"/>
          <w:color w:val="000000"/>
          <w:sz w:val="21"/>
          <w:szCs w:val="21"/>
          <w:lang w:val="es-US"/>
        </w:rPr>
        <w:t xml:space="preserve">y sin prejuzgar sobre la petición presentada, </w:t>
      </w:r>
      <w:r w:rsidRPr="001F2578">
        <w:rPr>
          <w:rFonts w:ascii="Cambria" w:eastAsia="Calibri" w:hAnsi="Cambria" w:cs="Times New Roman"/>
          <w:color w:val="000000"/>
          <w:sz w:val="21"/>
          <w:szCs w:val="21"/>
          <w:lang w:val="es-US"/>
        </w:rPr>
        <w:t xml:space="preserve">la Comisión concluye que los derechos del </w:t>
      </w:r>
      <w:r w:rsidR="004C7FD9">
        <w:rPr>
          <w:rFonts w:ascii="Cambria" w:eastAsia="Calibri" w:hAnsi="Cambria" w:cs="Times New Roman"/>
          <w:color w:val="000000"/>
          <w:sz w:val="21"/>
          <w:szCs w:val="21"/>
          <w:lang w:val="es-US"/>
        </w:rPr>
        <w:t>señor Charles Don Flores</w:t>
      </w:r>
      <w:r w:rsidR="002748D8">
        <w:rPr>
          <w:rFonts w:ascii="Cambria" w:eastAsia="Calibri" w:hAnsi="Cambria" w:cs="Times New Roman"/>
          <w:color w:val="000000"/>
          <w:sz w:val="21"/>
          <w:szCs w:val="21"/>
          <w:lang w:val="es-US"/>
        </w:rPr>
        <w:t xml:space="preserve"> </w:t>
      </w:r>
      <w:r w:rsidRPr="001F2578">
        <w:rPr>
          <w:rFonts w:ascii="Cambria" w:eastAsia="Calibri" w:hAnsi="Cambria" w:cs="Times New Roman"/>
          <w:sz w:val="21"/>
          <w:szCs w:val="21"/>
          <w:lang w:val="es-US"/>
        </w:rPr>
        <w:t>se encuentran</w:t>
      </w:r>
      <w:r w:rsidR="00FB66BD" w:rsidRPr="001F2578">
        <w:rPr>
          <w:rFonts w:ascii="Cambria" w:eastAsia="Calibri" w:hAnsi="Cambria" w:cs="Times New Roman"/>
          <w:sz w:val="21"/>
          <w:szCs w:val="21"/>
          <w:lang w:val="es-US"/>
        </w:rPr>
        <w:t xml:space="preserve"> </w:t>
      </w:r>
      <w:r w:rsidR="00FB66BD" w:rsidRPr="001F2578">
        <w:rPr>
          <w:rFonts w:ascii="Cambria" w:hAnsi="Cambria"/>
          <w:i/>
          <w:sz w:val="21"/>
          <w:szCs w:val="21"/>
          <w:lang w:val="es-US"/>
        </w:rPr>
        <w:t>prima</w:t>
      </w:r>
      <w:r w:rsidR="00FB66BD" w:rsidRPr="001F2578">
        <w:rPr>
          <w:rFonts w:ascii="Cambria" w:eastAsia="Calibri" w:hAnsi="Cambria" w:cs="Times New Roman"/>
          <w:i/>
          <w:sz w:val="21"/>
          <w:szCs w:val="21"/>
          <w:lang w:val="es-US"/>
        </w:rPr>
        <w:t xml:space="preserve"> facie</w:t>
      </w:r>
      <w:r w:rsidR="00FB66BD" w:rsidRPr="001F2578">
        <w:rPr>
          <w:rFonts w:ascii="Cambria" w:eastAsia="Calibri" w:hAnsi="Cambria" w:cs="Times New Roman"/>
          <w:sz w:val="21"/>
          <w:szCs w:val="21"/>
          <w:lang w:val="es-US"/>
        </w:rPr>
        <w:t xml:space="preserve"> </w:t>
      </w:r>
      <w:r w:rsidRPr="001F2578">
        <w:rPr>
          <w:rFonts w:ascii="Cambria" w:eastAsia="Calibri" w:hAnsi="Cambria" w:cs="Times New Roman"/>
          <w:sz w:val="21"/>
          <w:szCs w:val="21"/>
          <w:lang w:val="es-US"/>
        </w:rPr>
        <w:t xml:space="preserve">en </w:t>
      </w:r>
      <w:r w:rsidR="00D46140">
        <w:rPr>
          <w:rFonts w:ascii="Cambria" w:eastAsia="Calibri" w:hAnsi="Cambria" w:cs="Times New Roman"/>
          <w:sz w:val="21"/>
          <w:szCs w:val="21"/>
          <w:lang w:val="es-US"/>
        </w:rPr>
        <w:t xml:space="preserve">una </w:t>
      </w:r>
      <w:r w:rsidR="00BD5BC4" w:rsidRPr="001F2578">
        <w:rPr>
          <w:rFonts w:ascii="Cambria" w:eastAsia="Calibri" w:hAnsi="Cambria" w:cs="Times New Roman"/>
          <w:sz w:val="21"/>
          <w:szCs w:val="21"/>
          <w:lang w:val="es-US"/>
        </w:rPr>
        <w:t xml:space="preserve">situación de </w:t>
      </w:r>
      <w:r w:rsidRPr="001F2578">
        <w:rPr>
          <w:rFonts w:ascii="Cambria" w:eastAsia="Calibri" w:hAnsi="Cambria" w:cs="Times New Roman"/>
          <w:sz w:val="21"/>
          <w:szCs w:val="21"/>
          <w:lang w:val="es-US"/>
        </w:rPr>
        <w:t>riesgo</w:t>
      </w:r>
      <w:r w:rsidR="00FB66BD" w:rsidRPr="001F2578">
        <w:rPr>
          <w:rFonts w:ascii="Cambria" w:eastAsia="Calibri" w:hAnsi="Cambria" w:cs="Times New Roman"/>
          <w:sz w:val="21"/>
          <w:szCs w:val="21"/>
          <w:lang w:val="es-US"/>
        </w:rPr>
        <w:t xml:space="preserve">, </w:t>
      </w:r>
      <w:r w:rsidR="00BD5BC4" w:rsidRPr="001F2578">
        <w:rPr>
          <w:rFonts w:ascii="Cambria" w:eastAsia="Calibri" w:hAnsi="Cambria" w:cs="Times New Roman"/>
          <w:sz w:val="21"/>
          <w:szCs w:val="21"/>
          <w:lang w:val="es-US"/>
        </w:rPr>
        <w:t>debido a</w:t>
      </w:r>
      <w:r w:rsidRPr="001F2578">
        <w:rPr>
          <w:rFonts w:ascii="Cambria" w:eastAsia="Calibri" w:hAnsi="Cambria" w:cs="Times New Roman"/>
          <w:sz w:val="21"/>
          <w:szCs w:val="21"/>
          <w:lang w:val="es-US"/>
        </w:rPr>
        <w:t xml:space="preserve"> la posibilidad de </w:t>
      </w:r>
      <w:r w:rsidR="00D46140">
        <w:rPr>
          <w:rFonts w:ascii="Cambria" w:eastAsia="Calibri" w:hAnsi="Cambria" w:cs="Times New Roman"/>
          <w:sz w:val="21"/>
          <w:szCs w:val="21"/>
          <w:lang w:val="es-US"/>
        </w:rPr>
        <w:t>ejecutar</w:t>
      </w:r>
      <w:r w:rsidRPr="001F2578">
        <w:rPr>
          <w:rFonts w:ascii="Cambria" w:eastAsia="Calibri" w:hAnsi="Cambria" w:cs="Times New Roman"/>
          <w:sz w:val="21"/>
          <w:szCs w:val="21"/>
          <w:lang w:val="es-US"/>
        </w:rPr>
        <w:t xml:space="preserve"> la pena de muerte y sus efectos posteriores </w:t>
      </w:r>
      <w:r w:rsidR="007613FF" w:rsidRPr="001F2578">
        <w:rPr>
          <w:rFonts w:ascii="Cambria" w:eastAsia="Calibri" w:hAnsi="Cambria" w:cs="Times New Roman"/>
          <w:sz w:val="21"/>
          <w:szCs w:val="21"/>
          <w:lang w:val="es-US"/>
        </w:rPr>
        <w:t>incluidos en</w:t>
      </w:r>
      <w:r w:rsidRPr="001F2578">
        <w:rPr>
          <w:rFonts w:ascii="Cambria" w:eastAsia="Calibri" w:hAnsi="Cambria" w:cs="Times New Roman"/>
          <w:sz w:val="21"/>
          <w:szCs w:val="21"/>
          <w:lang w:val="es-US"/>
        </w:rPr>
        <w:t xml:space="preserve"> la petición que está actualmente bajo análisis de la Comisión, así como</w:t>
      </w:r>
      <w:r w:rsidR="00BD5BC4" w:rsidRPr="001F2578">
        <w:rPr>
          <w:rFonts w:ascii="Cambria" w:eastAsia="Calibri" w:hAnsi="Cambria" w:cs="Times New Roman"/>
          <w:sz w:val="21"/>
          <w:szCs w:val="21"/>
          <w:lang w:val="es-US"/>
        </w:rPr>
        <w:t xml:space="preserve"> a</w:t>
      </w:r>
      <w:r w:rsidRPr="001F2578">
        <w:rPr>
          <w:rFonts w:ascii="Cambria" w:eastAsia="Calibri" w:hAnsi="Cambria" w:cs="Times New Roman"/>
          <w:sz w:val="21"/>
          <w:szCs w:val="21"/>
          <w:lang w:val="es-US"/>
        </w:rPr>
        <w:t xml:space="preserve"> la continuidad de las condiciones de detención en el corredor de la muerte y su impacto sobre la vida y la integridad personal del propuesto beneficiario</w:t>
      </w:r>
      <w:r w:rsidR="00533EC6" w:rsidRPr="001F2578">
        <w:rPr>
          <w:rFonts w:ascii="Cambria" w:eastAsia="Calibri" w:hAnsi="Cambria" w:cs="Times New Roman"/>
          <w:sz w:val="21"/>
          <w:szCs w:val="21"/>
          <w:lang w:val="es-US"/>
        </w:rPr>
        <w:t xml:space="preserve">. </w:t>
      </w:r>
    </w:p>
    <w:p w14:paraId="6CF17AE0" w14:textId="77777777" w:rsidR="00BD5BC4" w:rsidRPr="001F2578" w:rsidRDefault="00BD5BC4" w:rsidP="0062385F">
      <w:pPr>
        <w:spacing w:after="0" w:line="240" w:lineRule="auto"/>
        <w:jc w:val="both"/>
        <w:rPr>
          <w:rFonts w:ascii="Cambria" w:eastAsia="Calibri" w:hAnsi="Cambria" w:cs="Times New Roman"/>
          <w:sz w:val="21"/>
          <w:szCs w:val="21"/>
          <w:lang w:val="es-US"/>
        </w:rPr>
      </w:pPr>
    </w:p>
    <w:p w14:paraId="0703C217" w14:textId="1154A25F" w:rsidR="00FB66BD" w:rsidRPr="001F2578" w:rsidRDefault="007613FF" w:rsidP="0062385F">
      <w:pPr>
        <w:pStyle w:val="ListParagraph"/>
        <w:numPr>
          <w:ilvl w:val="0"/>
          <w:numId w:val="5"/>
        </w:numPr>
        <w:spacing w:after="0" w:line="240" w:lineRule="auto"/>
        <w:ind w:left="0" w:firstLine="360"/>
        <w:jc w:val="both"/>
        <w:rPr>
          <w:rFonts w:ascii="Cambria" w:hAnsi="Cambria"/>
          <w:sz w:val="21"/>
          <w:szCs w:val="21"/>
          <w:lang w:val="es-US"/>
        </w:rPr>
      </w:pPr>
      <w:r w:rsidRPr="001F2578">
        <w:rPr>
          <w:rFonts w:ascii="Cambria" w:hAnsi="Cambria"/>
          <w:sz w:val="21"/>
          <w:szCs w:val="21"/>
          <w:lang w:val="es-US"/>
        </w:rPr>
        <w:t>En cuanto al requisito de urg</w:t>
      </w:r>
      <w:r w:rsidR="00110A48" w:rsidRPr="001F2578">
        <w:rPr>
          <w:rFonts w:ascii="Cambria" w:hAnsi="Cambria"/>
          <w:sz w:val="21"/>
          <w:szCs w:val="21"/>
          <w:lang w:val="es-US"/>
        </w:rPr>
        <w:t>encia,</w:t>
      </w:r>
      <w:r w:rsidR="00D46140">
        <w:rPr>
          <w:rFonts w:ascii="Cambria" w:hAnsi="Cambria"/>
          <w:sz w:val="21"/>
          <w:szCs w:val="21"/>
          <w:lang w:val="es-US"/>
        </w:rPr>
        <w:t xml:space="preserve"> en su dimensión cautelar,</w:t>
      </w:r>
      <w:r w:rsidR="004C7FD9">
        <w:rPr>
          <w:rFonts w:ascii="Cambria" w:hAnsi="Cambria"/>
          <w:sz w:val="21"/>
          <w:szCs w:val="21"/>
          <w:lang w:val="es-US"/>
        </w:rPr>
        <w:t xml:space="preserve"> la Comisión observa que los</w:t>
      </w:r>
      <w:r w:rsidRPr="001F2578">
        <w:rPr>
          <w:rFonts w:ascii="Cambria" w:hAnsi="Cambria"/>
          <w:sz w:val="21"/>
          <w:szCs w:val="21"/>
          <w:lang w:val="es-US"/>
        </w:rPr>
        <w:t xml:space="preserve"> solicitante</w:t>
      </w:r>
      <w:r w:rsidR="004C7FD9">
        <w:rPr>
          <w:rFonts w:ascii="Cambria" w:hAnsi="Cambria"/>
          <w:sz w:val="21"/>
          <w:szCs w:val="21"/>
          <w:lang w:val="es-US"/>
        </w:rPr>
        <w:t>s</w:t>
      </w:r>
      <w:r w:rsidRPr="001F2578">
        <w:rPr>
          <w:rFonts w:ascii="Cambria" w:hAnsi="Cambria"/>
          <w:sz w:val="21"/>
          <w:szCs w:val="21"/>
          <w:lang w:val="es-US"/>
        </w:rPr>
        <w:t xml:space="preserve"> </w:t>
      </w:r>
      <w:r w:rsidR="004C7FD9">
        <w:rPr>
          <w:rFonts w:ascii="Cambria" w:hAnsi="Cambria"/>
          <w:sz w:val="21"/>
          <w:szCs w:val="21"/>
          <w:lang w:val="es-US"/>
        </w:rPr>
        <w:t>señalaron</w:t>
      </w:r>
      <w:r w:rsidR="00110A48" w:rsidRPr="001F2578">
        <w:rPr>
          <w:rFonts w:ascii="Cambria" w:hAnsi="Cambria"/>
          <w:sz w:val="21"/>
          <w:szCs w:val="21"/>
          <w:lang w:val="es-US"/>
        </w:rPr>
        <w:t xml:space="preserve"> que</w:t>
      </w:r>
      <w:r w:rsidR="004C7FD9">
        <w:rPr>
          <w:rFonts w:ascii="Cambria" w:hAnsi="Cambria"/>
          <w:sz w:val="21"/>
          <w:szCs w:val="21"/>
          <w:lang w:val="es-US"/>
        </w:rPr>
        <w:t xml:space="preserve"> el propuesto beneficiario ya habría tenido señalada una fecha de ejecución de la pena de muerte para el 2 de junio de 2016, la cual habría sido suspendida por un juez para revisión de una prueba, resolución que podría ser emitida en cualquier momento y que</w:t>
      </w:r>
      <w:r w:rsidR="002748D8">
        <w:rPr>
          <w:rFonts w:ascii="Cambria" w:hAnsi="Cambria"/>
          <w:sz w:val="21"/>
          <w:szCs w:val="21"/>
          <w:lang w:val="es-US"/>
        </w:rPr>
        <w:t xml:space="preserve"> </w:t>
      </w:r>
      <w:r w:rsidR="004C7FD9">
        <w:rPr>
          <w:rFonts w:ascii="Cambria" w:hAnsi="Cambria"/>
          <w:color w:val="000000"/>
          <w:sz w:val="21"/>
          <w:szCs w:val="21"/>
          <w:lang w:val="es-US"/>
        </w:rPr>
        <w:t>“tendría una alta probabilidad de obtener una nueva fecha de ejecución en cualquier momento”</w:t>
      </w:r>
      <w:r w:rsidR="00110A48" w:rsidRPr="001F2578">
        <w:rPr>
          <w:rFonts w:ascii="Cambria" w:hAnsi="Cambria"/>
          <w:sz w:val="21"/>
          <w:szCs w:val="21"/>
          <w:lang w:val="es-US"/>
        </w:rPr>
        <w:t xml:space="preserve"> </w:t>
      </w:r>
      <w:r w:rsidR="00852924" w:rsidRPr="001F2578">
        <w:rPr>
          <w:rFonts w:ascii="Cambria" w:hAnsi="Cambria"/>
          <w:sz w:val="21"/>
          <w:szCs w:val="21"/>
          <w:lang w:val="es-US"/>
        </w:rPr>
        <w:t>(</w:t>
      </w:r>
      <w:r w:rsidR="00852924" w:rsidRPr="001F2578">
        <w:rPr>
          <w:rFonts w:ascii="Cambria" w:hAnsi="Cambria"/>
          <w:i/>
          <w:sz w:val="21"/>
          <w:szCs w:val="21"/>
          <w:lang w:val="es-US"/>
        </w:rPr>
        <w:t>supra</w:t>
      </w:r>
      <w:r w:rsidR="00E668BA">
        <w:rPr>
          <w:rFonts w:ascii="Cambria" w:hAnsi="Cambria"/>
          <w:sz w:val="21"/>
          <w:szCs w:val="21"/>
          <w:lang w:val="es-US"/>
        </w:rPr>
        <w:t xml:space="preserve"> pá</w:t>
      </w:r>
      <w:r w:rsidR="004765CF">
        <w:rPr>
          <w:rFonts w:ascii="Cambria" w:hAnsi="Cambria"/>
          <w:sz w:val="21"/>
          <w:szCs w:val="21"/>
          <w:lang w:val="es-US"/>
        </w:rPr>
        <w:t>r</w:t>
      </w:r>
      <w:r w:rsidR="00852924" w:rsidRPr="001F2578">
        <w:rPr>
          <w:rFonts w:ascii="Cambria" w:hAnsi="Cambria"/>
          <w:sz w:val="21"/>
          <w:szCs w:val="21"/>
          <w:lang w:val="es-US"/>
        </w:rPr>
        <w:t xml:space="preserve">r. </w:t>
      </w:r>
      <w:r w:rsidR="004C7FD9">
        <w:rPr>
          <w:rFonts w:ascii="Cambria" w:hAnsi="Cambria"/>
          <w:sz w:val="21"/>
          <w:szCs w:val="21"/>
          <w:lang w:val="es-US"/>
        </w:rPr>
        <w:t>5</w:t>
      </w:r>
      <w:r w:rsidRPr="001F2578">
        <w:rPr>
          <w:rFonts w:ascii="Cambria" w:hAnsi="Cambria"/>
          <w:sz w:val="21"/>
          <w:szCs w:val="21"/>
          <w:lang w:val="es-US"/>
        </w:rPr>
        <w:t xml:space="preserve">). </w:t>
      </w:r>
      <w:r w:rsidR="00852924" w:rsidRPr="001F2578">
        <w:rPr>
          <w:rFonts w:ascii="Cambria" w:hAnsi="Cambria"/>
          <w:sz w:val="21"/>
          <w:szCs w:val="21"/>
          <w:lang w:val="es-US"/>
        </w:rPr>
        <w:t>En vista de</w:t>
      </w:r>
      <w:r w:rsidRPr="001F2578">
        <w:rPr>
          <w:rFonts w:ascii="Cambria" w:hAnsi="Cambria"/>
          <w:sz w:val="21"/>
          <w:szCs w:val="21"/>
          <w:lang w:val="es-US"/>
        </w:rPr>
        <w:t xml:space="preserve"> la posibilidad </w:t>
      </w:r>
      <w:r w:rsidR="002748D8">
        <w:rPr>
          <w:rFonts w:ascii="Cambria" w:hAnsi="Cambria"/>
          <w:sz w:val="21"/>
          <w:szCs w:val="21"/>
          <w:lang w:val="es-US"/>
        </w:rPr>
        <w:t xml:space="preserve">inminente </w:t>
      </w:r>
      <w:r w:rsidRPr="001F2578">
        <w:rPr>
          <w:rFonts w:ascii="Cambria" w:hAnsi="Cambria"/>
          <w:sz w:val="21"/>
          <w:szCs w:val="21"/>
          <w:lang w:val="es-US"/>
        </w:rPr>
        <w:t xml:space="preserve">de que se aplique la </w:t>
      </w:r>
      <w:r w:rsidR="00852924" w:rsidRPr="001F2578">
        <w:rPr>
          <w:rFonts w:ascii="Cambria" w:hAnsi="Cambria"/>
          <w:sz w:val="21"/>
          <w:szCs w:val="21"/>
          <w:lang w:val="es-US"/>
        </w:rPr>
        <w:t>pena de muerte</w:t>
      </w:r>
      <w:r w:rsidRPr="001F2578">
        <w:rPr>
          <w:rFonts w:ascii="Cambria" w:hAnsi="Cambria"/>
          <w:sz w:val="21"/>
          <w:szCs w:val="21"/>
          <w:lang w:val="es-US"/>
        </w:rPr>
        <w:t>,</w:t>
      </w:r>
      <w:r w:rsidR="00852924" w:rsidRPr="001F2578">
        <w:rPr>
          <w:rFonts w:ascii="Cambria" w:hAnsi="Cambria"/>
          <w:sz w:val="21"/>
          <w:szCs w:val="21"/>
          <w:lang w:val="es-US"/>
        </w:rPr>
        <w:t xml:space="preserve"> </w:t>
      </w:r>
      <w:r w:rsidR="002748D8">
        <w:rPr>
          <w:rFonts w:ascii="Cambria" w:hAnsi="Cambria"/>
          <w:sz w:val="21"/>
          <w:szCs w:val="21"/>
          <w:lang w:val="es-US"/>
        </w:rPr>
        <w:t>con el consecuente</w:t>
      </w:r>
      <w:r w:rsidRPr="001F2578">
        <w:rPr>
          <w:rFonts w:ascii="Cambria" w:hAnsi="Cambria"/>
          <w:sz w:val="21"/>
          <w:szCs w:val="21"/>
          <w:lang w:val="es-US"/>
        </w:rPr>
        <w:t xml:space="preserve"> daño irreparable, </w:t>
      </w:r>
      <w:r w:rsidR="002748D8">
        <w:rPr>
          <w:rFonts w:ascii="Cambria" w:hAnsi="Cambria"/>
          <w:sz w:val="21"/>
          <w:szCs w:val="21"/>
          <w:lang w:val="es-US"/>
        </w:rPr>
        <w:t>la Comisión considera que resulta pertinente la adopción de medidas cautelares para que pueda examinar la petición presentada</w:t>
      </w:r>
      <w:r w:rsidRPr="001F2578">
        <w:rPr>
          <w:rFonts w:ascii="Cambria" w:hAnsi="Cambria"/>
          <w:sz w:val="21"/>
          <w:szCs w:val="21"/>
          <w:lang w:val="es-US"/>
        </w:rPr>
        <w:t xml:space="preserve">. </w:t>
      </w:r>
      <w:r w:rsidR="00D46140">
        <w:rPr>
          <w:rFonts w:ascii="Cambria" w:hAnsi="Cambria"/>
          <w:sz w:val="21"/>
          <w:szCs w:val="21"/>
          <w:lang w:val="es-US"/>
        </w:rPr>
        <w:t>En cuanto a</w:t>
      </w:r>
      <w:r w:rsidR="00852924" w:rsidRPr="001F2578">
        <w:rPr>
          <w:rFonts w:ascii="Cambria" w:hAnsi="Cambria"/>
          <w:sz w:val="21"/>
          <w:szCs w:val="21"/>
          <w:lang w:val="es-US"/>
        </w:rPr>
        <w:t xml:space="preserve"> la dimensión tutelar</w:t>
      </w:r>
      <w:r w:rsidRPr="001F2578">
        <w:rPr>
          <w:rFonts w:ascii="Cambria" w:hAnsi="Cambria"/>
          <w:sz w:val="21"/>
          <w:szCs w:val="21"/>
          <w:lang w:val="es-US"/>
        </w:rPr>
        <w:t xml:space="preserve">, la Comisión considera que también </w:t>
      </w:r>
      <w:r w:rsidR="00852924" w:rsidRPr="001F2578">
        <w:rPr>
          <w:rFonts w:ascii="Cambria" w:hAnsi="Cambria"/>
          <w:sz w:val="21"/>
          <w:szCs w:val="21"/>
          <w:lang w:val="es-US"/>
        </w:rPr>
        <w:t>se ha cumplido con el requisito de</w:t>
      </w:r>
      <w:r w:rsidRPr="001F2578">
        <w:rPr>
          <w:rFonts w:ascii="Cambria" w:hAnsi="Cambria"/>
          <w:sz w:val="21"/>
          <w:szCs w:val="21"/>
          <w:lang w:val="es-US"/>
        </w:rPr>
        <w:t xml:space="preserve"> urgencia, </w:t>
      </w:r>
      <w:r w:rsidR="002B31D4" w:rsidRPr="001F2578">
        <w:rPr>
          <w:rFonts w:ascii="Cambria" w:hAnsi="Cambria"/>
          <w:sz w:val="21"/>
          <w:szCs w:val="21"/>
          <w:lang w:val="es-US"/>
        </w:rPr>
        <w:t>en la medida en que el</w:t>
      </w:r>
      <w:r w:rsidRPr="001F2578">
        <w:rPr>
          <w:rFonts w:ascii="Cambria" w:hAnsi="Cambria"/>
          <w:sz w:val="21"/>
          <w:szCs w:val="21"/>
          <w:lang w:val="es-US"/>
        </w:rPr>
        <w:t xml:space="preserve"> r</w:t>
      </w:r>
      <w:r w:rsidR="00852924" w:rsidRPr="001F2578">
        <w:rPr>
          <w:rFonts w:ascii="Cambria" w:hAnsi="Cambria"/>
          <w:sz w:val="21"/>
          <w:szCs w:val="21"/>
          <w:lang w:val="es-US"/>
        </w:rPr>
        <w:t xml:space="preserve">iesgo </w:t>
      </w:r>
      <w:r w:rsidR="002B31D4" w:rsidRPr="001F2578">
        <w:rPr>
          <w:rFonts w:ascii="Cambria" w:hAnsi="Cambria"/>
          <w:sz w:val="21"/>
          <w:szCs w:val="21"/>
          <w:lang w:val="es-US"/>
        </w:rPr>
        <w:t>a</w:t>
      </w:r>
      <w:r w:rsidR="00852924" w:rsidRPr="001F2578">
        <w:rPr>
          <w:rFonts w:ascii="Cambria" w:hAnsi="Cambria"/>
          <w:sz w:val="21"/>
          <w:szCs w:val="21"/>
          <w:lang w:val="es-US"/>
        </w:rPr>
        <w:t xml:space="preserve"> los</w:t>
      </w:r>
      <w:r w:rsidRPr="001F2578">
        <w:rPr>
          <w:rFonts w:ascii="Cambria" w:hAnsi="Cambria"/>
          <w:sz w:val="21"/>
          <w:szCs w:val="21"/>
          <w:lang w:val="es-US"/>
        </w:rPr>
        <w:t xml:space="preserve"> derechos del </w:t>
      </w:r>
      <w:r w:rsidR="004C7FD9">
        <w:rPr>
          <w:rFonts w:ascii="Cambria" w:hAnsi="Cambria"/>
          <w:sz w:val="21"/>
          <w:szCs w:val="21"/>
          <w:lang w:val="es-US"/>
        </w:rPr>
        <w:t>señor Charles Don Flores</w:t>
      </w:r>
      <w:r w:rsidRPr="001F2578">
        <w:rPr>
          <w:rFonts w:ascii="Cambria" w:hAnsi="Cambria"/>
          <w:sz w:val="21"/>
          <w:szCs w:val="21"/>
          <w:lang w:val="es-US"/>
        </w:rPr>
        <w:t xml:space="preserve"> requiere medidas inmediatas contra las severas condiciones </w:t>
      </w:r>
      <w:r w:rsidR="006F657D">
        <w:rPr>
          <w:rFonts w:ascii="Cambria" w:hAnsi="Cambria"/>
          <w:sz w:val="21"/>
          <w:szCs w:val="21"/>
          <w:lang w:val="es-US"/>
        </w:rPr>
        <w:t>a las cu</w:t>
      </w:r>
      <w:r w:rsidR="002748D8">
        <w:rPr>
          <w:rFonts w:ascii="Cambria" w:hAnsi="Cambria"/>
          <w:sz w:val="21"/>
          <w:szCs w:val="21"/>
          <w:lang w:val="es-US"/>
        </w:rPr>
        <w:t xml:space="preserve">ales habría estado sujeto en </w:t>
      </w:r>
      <w:r w:rsidRPr="001F2578">
        <w:rPr>
          <w:rFonts w:ascii="Cambria" w:hAnsi="Cambria"/>
          <w:sz w:val="21"/>
          <w:szCs w:val="21"/>
          <w:lang w:val="es-US"/>
        </w:rPr>
        <w:t xml:space="preserve">el corredor de la muerte y </w:t>
      </w:r>
      <w:r w:rsidR="002748D8">
        <w:rPr>
          <w:rFonts w:ascii="Cambria" w:hAnsi="Cambria"/>
          <w:sz w:val="21"/>
          <w:szCs w:val="21"/>
          <w:lang w:val="es-US"/>
        </w:rPr>
        <w:t xml:space="preserve">ante </w:t>
      </w:r>
      <w:r w:rsidRPr="001F2578">
        <w:rPr>
          <w:rFonts w:ascii="Cambria" w:hAnsi="Cambria"/>
          <w:sz w:val="21"/>
          <w:szCs w:val="21"/>
          <w:lang w:val="es-US"/>
        </w:rPr>
        <w:t>la posible eje</w:t>
      </w:r>
      <w:r w:rsidR="00852924" w:rsidRPr="001F2578">
        <w:rPr>
          <w:rFonts w:ascii="Cambria" w:hAnsi="Cambria"/>
          <w:sz w:val="21"/>
          <w:szCs w:val="21"/>
          <w:lang w:val="es-US"/>
        </w:rPr>
        <w:t>cución de la pena de muerte en un</w:t>
      </w:r>
      <w:r w:rsidRPr="001F2578">
        <w:rPr>
          <w:rFonts w:ascii="Cambria" w:hAnsi="Cambria"/>
          <w:sz w:val="21"/>
          <w:szCs w:val="21"/>
          <w:lang w:val="es-US"/>
        </w:rPr>
        <w:t xml:space="preserve"> futuro cercano</w:t>
      </w:r>
      <w:r w:rsidR="00F35F04" w:rsidRPr="001F2578">
        <w:rPr>
          <w:rFonts w:ascii="Cambria" w:hAnsi="Cambria"/>
          <w:sz w:val="21"/>
          <w:szCs w:val="21"/>
          <w:lang w:val="es-US"/>
        </w:rPr>
        <w:t>.</w:t>
      </w:r>
    </w:p>
    <w:p w14:paraId="3639903F" w14:textId="77777777" w:rsidR="00852924" w:rsidRPr="001F2578" w:rsidRDefault="00852924" w:rsidP="0062385F">
      <w:pPr>
        <w:pStyle w:val="ListParagraph"/>
        <w:spacing w:after="0" w:line="240" w:lineRule="auto"/>
        <w:ind w:left="360"/>
        <w:jc w:val="both"/>
        <w:rPr>
          <w:rFonts w:ascii="Cambria" w:hAnsi="Cambria"/>
          <w:sz w:val="21"/>
          <w:szCs w:val="21"/>
          <w:lang w:val="es-US"/>
        </w:rPr>
      </w:pPr>
    </w:p>
    <w:p w14:paraId="595F9AF3" w14:textId="10C511E0" w:rsidR="00F4289B" w:rsidRPr="001F2578" w:rsidRDefault="00906E64" w:rsidP="0062385F">
      <w:pPr>
        <w:pStyle w:val="ListParagraph"/>
        <w:numPr>
          <w:ilvl w:val="0"/>
          <w:numId w:val="5"/>
        </w:numPr>
        <w:spacing w:after="0"/>
        <w:ind w:left="0" w:firstLine="360"/>
        <w:jc w:val="both"/>
        <w:rPr>
          <w:rFonts w:ascii="Cambria" w:hAnsi="Cambria"/>
          <w:sz w:val="21"/>
          <w:szCs w:val="21"/>
          <w:lang w:val="es-US"/>
        </w:rPr>
      </w:pPr>
      <w:r w:rsidRPr="001F2578">
        <w:rPr>
          <w:rFonts w:ascii="Cambria" w:hAnsi="Cambria"/>
          <w:sz w:val="21"/>
          <w:szCs w:val="21"/>
          <w:lang w:val="es-US"/>
        </w:rPr>
        <w:t xml:space="preserve">En cuanto al requisito de daño irreparable, la Comisión </w:t>
      </w:r>
      <w:r w:rsidR="002748D8">
        <w:rPr>
          <w:rFonts w:ascii="Cambria" w:hAnsi="Cambria"/>
          <w:sz w:val="21"/>
          <w:szCs w:val="21"/>
          <w:lang w:val="es-US"/>
        </w:rPr>
        <w:t>considera que</w:t>
      </w:r>
      <w:r w:rsidRPr="001F2578">
        <w:rPr>
          <w:rFonts w:ascii="Cambria" w:hAnsi="Cambria"/>
          <w:sz w:val="21"/>
          <w:szCs w:val="21"/>
          <w:lang w:val="es-US"/>
        </w:rPr>
        <w:t xml:space="preserve"> la pérdida de </w:t>
      </w:r>
      <w:r w:rsidR="004C7FD9">
        <w:rPr>
          <w:rFonts w:ascii="Cambria" w:hAnsi="Cambria"/>
          <w:sz w:val="21"/>
          <w:szCs w:val="21"/>
          <w:lang w:val="es-US"/>
        </w:rPr>
        <w:t>la</w:t>
      </w:r>
      <w:r w:rsidR="000B6934" w:rsidRPr="001F2578">
        <w:rPr>
          <w:rFonts w:ascii="Cambria" w:hAnsi="Cambria"/>
          <w:sz w:val="21"/>
          <w:szCs w:val="21"/>
          <w:lang w:val="es-US"/>
        </w:rPr>
        <w:t xml:space="preserve"> vida</w:t>
      </w:r>
      <w:r w:rsidRPr="001F2578">
        <w:rPr>
          <w:rFonts w:ascii="Cambria" w:hAnsi="Cambria"/>
          <w:sz w:val="21"/>
          <w:szCs w:val="21"/>
          <w:lang w:val="es-US"/>
        </w:rPr>
        <w:t xml:space="preserve"> </w:t>
      </w:r>
      <w:r w:rsidR="000B6934" w:rsidRPr="001F2578">
        <w:rPr>
          <w:rFonts w:ascii="Cambria" w:hAnsi="Cambria"/>
          <w:sz w:val="21"/>
          <w:szCs w:val="21"/>
          <w:lang w:val="es-US"/>
        </w:rPr>
        <w:t>constituye</w:t>
      </w:r>
      <w:r w:rsidRPr="001F2578">
        <w:rPr>
          <w:rFonts w:ascii="Cambria" w:hAnsi="Cambria"/>
          <w:sz w:val="21"/>
          <w:szCs w:val="21"/>
          <w:lang w:val="es-US"/>
        </w:rPr>
        <w:t xml:space="preserve"> la situación más extrema e irreversible. </w:t>
      </w:r>
      <w:r w:rsidR="002748D8">
        <w:rPr>
          <w:rFonts w:ascii="Cambria" w:hAnsi="Cambria"/>
          <w:sz w:val="21"/>
          <w:szCs w:val="21"/>
          <w:lang w:val="es-US"/>
        </w:rPr>
        <w:t xml:space="preserve">Asimismo, como se ha indicado la Comisión ha tenido la oportunidad de valorar el impacto en la integridad personal de condiciones similares a las que se encontraría el propuesto </w:t>
      </w:r>
      <w:r w:rsidR="009E5ED2">
        <w:rPr>
          <w:rFonts w:ascii="Cambria" w:hAnsi="Cambria"/>
          <w:sz w:val="21"/>
          <w:szCs w:val="21"/>
          <w:lang w:val="es-US"/>
        </w:rPr>
        <w:t>beneficiario</w:t>
      </w:r>
      <w:r w:rsidR="002748D8">
        <w:rPr>
          <w:rFonts w:ascii="Cambria" w:hAnsi="Cambria"/>
          <w:sz w:val="21"/>
          <w:szCs w:val="21"/>
          <w:lang w:val="es-US"/>
        </w:rPr>
        <w:t xml:space="preserve"> (</w:t>
      </w:r>
      <w:r w:rsidR="002748D8" w:rsidRPr="00DC77CA">
        <w:rPr>
          <w:rFonts w:ascii="Cambria" w:hAnsi="Cambria"/>
          <w:i/>
          <w:sz w:val="21"/>
          <w:szCs w:val="21"/>
          <w:lang w:val="es-US"/>
        </w:rPr>
        <w:t>supra</w:t>
      </w:r>
      <w:r w:rsidR="002748D8">
        <w:rPr>
          <w:rFonts w:ascii="Cambria" w:hAnsi="Cambria"/>
          <w:sz w:val="21"/>
          <w:szCs w:val="21"/>
          <w:lang w:val="es-US"/>
        </w:rPr>
        <w:t xml:space="preserve"> pá</w:t>
      </w:r>
      <w:r w:rsidR="004765CF">
        <w:rPr>
          <w:rFonts w:ascii="Cambria" w:hAnsi="Cambria"/>
          <w:sz w:val="21"/>
          <w:szCs w:val="21"/>
          <w:lang w:val="es-US"/>
        </w:rPr>
        <w:t>r</w:t>
      </w:r>
      <w:r w:rsidR="002748D8">
        <w:rPr>
          <w:rFonts w:ascii="Cambria" w:hAnsi="Cambria"/>
          <w:sz w:val="21"/>
          <w:szCs w:val="21"/>
          <w:lang w:val="es-US"/>
        </w:rPr>
        <w:t xml:space="preserve">r. 17). </w:t>
      </w:r>
      <w:r w:rsidR="000B6934" w:rsidRPr="001F2578">
        <w:rPr>
          <w:rFonts w:ascii="Cambria" w:hAnsi="Cambria"/>
          <w:sz w:val="21"/>
          <w:szCs w:val="21"/>
          <w:lang w:val="es-US"/>
        </w:rPr>
        <w:t>Desde una perspectiva cautelar</w:t>
      </w:r>
      <w:r w:rsidRPr="001F2578">
        <w:rPr>
          <w:rFonts w:ascii="Cambria" w:hAnsi="Cambria"/>
          <w:sz w:val="21"/>
          <w:szCs w:val="21"/>
          <w:lang w:val="es-US"/>
        </w:rPr>
        <w:t xml:space="preserve">, la Comisión considera que si el </w:t>
      </w:r>
      <w:r w:rsidR="004C7FD9">
        <w:rPr>
          <w:rFonts w:ascii="Cambria" w:hAnsi="Cambria"/>
          <w:sz w:val="21"/>
          <w:szCs w:val="21"/>
          <w:lang w:val="es-US"/>
        </w:rPr>
        <w:t>señor Flores</w:t>
      </w:r>
      <w:r w:rsidRPr="001F2578">
        <w:rPr>
          <w:rFonts w:ascii="Cambria" w:hAnsi="Cambria"/>
          <w:sz w:val="21"/>
          <w:szCs w:val="21"/>
          <w:lang w:val="es-US"/>
        </w:rPr>
        <w:t xml:space="preserve"> es ejecutado antes de que la Comisión haya tenido la oportunidad de </w:t>
      </w:r>
      <w:r w:rsidR="00F4289B" w:rsidRPr="001F2578">
        <w:rPr>
          <w:rFonts w:ascii="Cambria" w:hAnsi="Cambria"/>
          <w:sz w:val="21"/>
          <w:szCs w:val="21"/>
          <w:lang w:val="es-US"/>
        </w:rPr>
        <w:t xml:space="preserve">evaluar </w:t>
      </w:r>
      <w:r w:rsidRPr="001F2578">
        <w:rPr>
          <w:rFonts w:ascii="Cambria" w:hAnsi="Cambria"/>
          <w:sz w:val="21"/>
          <w:szCs w:val="21"/>
          <w:lang w:val="es-US"/>
        </w:rPr>
        <w:t>la petición P-</w:t>
      </w:r>
      <w:r w:rsidR="007238C7">
        <w:rPr>
          <w:rFonts w:ascii="Cambria" w:hAnsi="Cambria"/>
          <w:sz w:val="21"/>
          <w:szCs w:val="21"/>
          <w:lang w:val="es-US"/>
        </w:rPr>
        <w:t>759</w:t>
      </w:r>
      <w:r w:rsidRPr="001F2578">
        <w:rPr>
          <w:rFonts w:ascii="Cambria" w:hAnsi="Cambria"/>
          <w:sz w:val="21"/>
          <w:szCs w:val="21"/>
          <w:lang w:val="es-US"/>
        </w:rPr>
        <w:t>-18</w:t>
      </w:r>
      <w:r w:rsidR="00F4289B" w:rsidRPr="001F2578">
        <w:rPr>
          <w:rFonts w:ascii="Cambria" w:hAnsi="Cambria"/>
          <w:sz w:val="21"/>
          <w:szCs w:val="21"/>
          <w:lang w:val="es-US"/>
        </w:rPr>
        <w:t xml:space="preserve"> en su integridad</w:t>
      </w:r>
      <w:r w:rsidRPr="001F2578">
        <w:rPr>
          <w:rFonts w:ascii="Cambria" w:hAnsi="Cambria"/>
          <w:sz w:val="21"/>
          <w:szCs w:val="21"/>
          <w:lang w:val="es-US"/>
        </w:rPr>
        <w:t xml:space="preserve">, la decisión final carecería de efectividad, </w:t>
      </w:r>
      <w:r w:rsidR="00F4289B" w:rsidRPr="001F2578">
        <w:rPr>
          <w:rFonts w:ascii="Cambria" w:hAnsi="Cambria"/>
          <w:sz w:val="21"/>
          <w:szCs w:val="21"/>
          <w:lang w:val="es-US"/>
        </w:rPr>
        <w:t>puesto que ya se habría materializado</w:t>
      </w:r>
      <w:r w:rsidRPr="001F2578">
        <w:rPr>
          <w:rFonts w:ascii="Cambria" w:hAnsi="Cambria"/>
          <w:sz w:val="21"/>
          <w:szCs w:val="21"/>
          <w:lang w:val="es-US"/>
        </w:rPr>
        <w:t xml:space="preserve"> la situación de daño irreparable</w:t>
      </w:r>
      <w:r w:rsidR="00BA724A" w:rsidRPr="001F2578">
        <w:rPr>
          <w:rFonts w:ascii="Cambria" w:hAnsi="Cambria"/>
          <w:sz w:val="21"/>
          <w:szCs w:val="21"/>
          <w:lang w:val="es-US"/>
        </w:rPr>
        <w:t xml:space="preserve">. </w:t>
      </w:r>
    </w:p>
    <w:p w14:paraId="43C842DB" w14:textId="77777777" w:rsidR="00F4289B" w:rsidRPr="001F2578" w:rsidRDefault="00F4289B" w:rsidP="0062385F">
      <w:pPr>
        <w:pStyle w:val="ListParagraph"/>
        <w:spacing w:after="0"/>
        <w:ind w:left="360"/>
        <w:jc w:val="both"/>
        <w:rPr>
          <w:rFonts w:ascii="Cambria" w:hAnsi="Cambria"/>
          <w:sz w:val="21"/>
          <w:szCs w:val="21"/>
          <w:lang w:val="es-US"/>
        </w:rPr>
      </w:pPr>
    </w:p>
    <w:p w14:paraId="74B99895" w14:textId="0CD5A2AE" w:rsidR="0062385F" w:rsidRDefault="002748D8" w:rsidP="0062385F">
      <w:pPr>
        <w:pStyle w:val="ListParagraph"/>
        <w:numPr>
          <w:ilvl w:val="0"/>
          <w:numId w:val="5"/>
        </w:numPr>
        <w:spacing w:after="0"/>
        <w:ind w:left="0" w:firstLine="360"/>
        <w:jc w:val="both"/>
        <w:rPr>
          <w:rFonts w:ascii="Cambria" w:eastAsia="Calibri" w:hAnsi="Cambria" w:cs="Times New Roman"/>
          <w:sz w:val="21"/>
          <w:szCs w:val="21"/>
          <w:lang w:val="es-US"/>
        </w:rPr>
      </w:pPr>
      <w:r>
        <w:rPr>
          <w:rFonts w:ascii="Cambria" w:eastAsia="Calibri" w:hAnsi="Cambria" w:cs="Times New Roman"/>
          <w:sz w:val="21"/>
          <w:szCs w:val="21"/>
          <w:lang w:val="es-US"/>
        </w:rPr>
        <w:t>Finalmente</w:t>
      </w:r>
      <w:r w:rsidR="00906E64" w:rsidRPr="001F2578">
        <w:rPr>
          <w:rFonts w:ascii="Cambria" w:eastAsia="Calibri" w:hAnsi="Cambria" w:cs="Times New Roman"/>
          <w:sz w:val="21"/>
          <w:szCs w:val="21"/>
          <w:lang w:val="es-US"/>
        </w:rPr>
        <w:t xml:space="preserve">, la Comisión </w:t>
      </w:r>
      <w:r>
        <w:rPr>
          <w:rFonts w:ascii="Cambria" w:eastAsia="Calibri" w:hAnsi="Cambria" w:cs="Times New Roman"/>
          <w:sz w:val="21"/>
          <w:szCs w:val="21"/>
          <w:lang w:val="es-US"/>
        </w:rPr>
        <w:t>nota</w:t>
      </w:r>
      <w:r w:rsidRPr="001F2578">
        <w:rPr>
          <w:rFonts w:ascii="Cambria" w:eastAsia="Calibri" w:hAnsi="Cambria" w:cs="Times New Roman"/>
          <w:sz w:val="21"/>
          <w:szCs w:val="21"/>
          <w:lang w:val="es-US"/>
        </w:rPr>
        <w:t xml:space="preserve"> </w:t>
      </w:r>
      <w:r w:rsidR="00906E64" w:rsidRPr="001F2578">
        <w:rPr>
          <w:rFonts w:ascii="Cambria" w:eastAsia="Calibri" w:hAnsi="Cambria" w:cs="Times New Roman"/>
          <w:sz w:val="21"/>
          <w:szCs w:val="21"/>
          <w:lang w:val="es-US"/>
        </w:rPr>
        <w:t>que, de conformidad con el art</w:t>
      </w:r>
      <w:r w:rsidR="00F950F7" w:rsidRPr="001F2578">
        <w:rPr>
          <w:rFonts w:ascii="Cambria" w:eastAsia="Calibri" w:hAnsi="Cambria" w:cs="Times New Roman"/>
          <w:sz w:val="21"/>
          <w:szCs w:val="21"/>
          <w:lang w:val="es-US"/>
        </w:rPr>
        <w:t>ículo 25 (5) de su Reglamento, “[a]</w:t>
      </w:r>
      <w:proofErr w:type="spellStart"/>
      <w:r w:rsidR="00F950F7" w:rsidRPr="001F2578">
        <w:rPr>
          <w:rFonts w:ascii="Cambria" w:eastAsia="Calibri" w:hAnsi="Cambria" w:cs="Times New Roman"/>
          <w:sz w:val="21"/>
          <w:szCs w:val="21"/>
          <w:lang w:val="es-US"/>
        </w:rPr>
        <w:t>ntes</w:t>
      </w:r>
      <w:proofErr w:type="spellEnd"/>
      <w:r w:rsidR="00F950F7" w:rsidRPr="001F2578">
        <w:rPr>
          <w:rFonts w:ascii="Cambria" w:eastAsia="Calibri" w:hAnsi="Cambria" w:cs="Times New Roman"/>
          <w:sz w:val="21"/>
          <w:szCs w:val="21"/>
          <w:lang w:val="es-US"/>
        </w:rPr>
        <w:t xml:space="preserve"> de tomar una decisión sobre la solicitud de medidas cautelares, la Comisión requerirá al Estado involucrado información relevante, salvo cuando la inmediatez del daño potencial no admita demora”</w:t>
      </w:r>
      <w:r w:rsidR="00906E64" w:rsidRPr="001F2578">
        <w:rPr>
          <w:rFonts w:ascii="Cambria" w:eastAsia="Calibri" w:hAnsi="Cambria" w:cs="Times New Roman"/>
          <w:sz w:val="21"/>
          <w:szCs w:val="21"/>
          <w:lang w:val="es-US"/>
        </w:rPr>
        <w:t xml:space="preserve">. En el presente asunto, teniendo en cuenta la naturaleza del daño potencial y su efecto sobre los derechos </w:t>
      </w:r>
      <w:r w:rsidR="00906E64" w:rsidRPr="001F2578">
        <w:rPr>
          <w:rFonts w:ascii="Cambria" w:eastAsia="Calibri" w:hAnsi="Cambria" w:cs="Times New Roman"/>
          <w:sz w:val="21"/>
          <w:szCs w:val="21"/>
          <w:lang w:val="es-US"/>
        </w:rPr>
        <w:lastRenderedPageBreak/>
        <w:t xml:space="preserve">protegidos, la Comisión </w:t>
      </w:r>
      <w:r w:rsidR="00742C7F">
        <w:rPr>
          <w:rFonts w:ascii="Cambria" w:eastAsia="Calibri" w:hAnsi="Cambria" w:cs="Times New Roman"/>
          <w:sz w:val="21"/>
          <w:szCs w:val="21"/>
          <w:lang w:val="es-US"/>
        </w:rPr>
        <w:t>considera que</w:t>
      </w:r>
      <w:r w:rsidR="00906E64" w:rsidRPr="001F2578">
        <w:rPr>
          <w:rFonts w:ascii="Cambria" w:eastAsia="Calibri" w:hAnsi="Cambria" w:cs="Times New Roman"/>
          <w:sz w:val="21"/>
          <w:szCs w:val="21"/>
          <w:lang w:val="es-US"/>
        </w:rPr>
        <w:t xml:space="preserve"> </w:t>
      </w:r>
      <w:r w:rsidR="00742C7F">
        <w:rPr>
          <w:rFonts w:ascii="Cambria" w:eastAsia="Calibri" w:hAnsi="Cambria" w:cs="Times New Roman"/>
          <w:sz w:val="21"/>
          <w:szCs w:val="21"/>
          <w:lang w:val="es-US"/>
        </w:rPr>
        <w:t>ante</w:t>
      </w:r>
      <w:r w:rsidR="00AA072C">
        <w:rPr>
          <w:rFonts w:ascii="Cambria" w:eastAsia="Calibri" w:hAnsi="Cambria" w:cs="Times New Roman"/>
          <w:sz w:val="21"/>
          <w:szCs w:val="21"/>
          <w:lang w:val="es-US"/>
        </w:rPr>
        <w:t xml:space="preserve"> la inminencia del riesgo de daño irreparable </w:t>
      </w:r>
      <w:r w:rsidR="00AA072C">
        <w:rPr>
          <w:rFonts w:ascii="Cambria" w:eastAsia="Calibri" w:hAnsi="Cambria" w:cs="Times New Roman"/>
          <w:sz w:val="21"/>
          <w:szCs w:val="21"/>
          <w:lang w:val="es-US"/>
        </w:rPr>
        <w:t>no resulta necesario requerir información adicional al Estado</w:t>
      </w:r>
      <w:r w:rsidR="00AA072C">
        <w:rPr>
          <w:rFonts w:ascii="Cambria" w:eastAsia="Calibri" w:hAnsi="Cambria" w:cs="Times New Roman"/>
          <w:sz w:val="21"/>
          <w:szCs w:val="21"/>
          <w:lang w:val="es-US"/>
        </w:rPr>
        <w:t xml:space="preserve"> en vista de </w:t>
      </w:r>
      <w:r w:rsidR="00742C7F">
        <w:rPr>
          <w:rFonts w:ascii="Cambria" w:eastAsia="Calibri" w:hAnsi="Cambria" w:cs="Times New Roman"/>
          <w:sz w:val="21"/>
          <w:szCs w:val="21"/>
          <w:lang w:val="es-US"/>
        </w:rPr>
        <w:t>la posible ejecución del propuesto beneficiario</w:t>
      </w:r>
      <w:r w:rsidR="009E5ED2">
        <w:rPr>
          <w:rFonts w:ascii="Cambria" w:eastAsia="Calibri" w:hAnsi="Cambria" w:cs="Times New Roman"/>
          <w:sz w:val="21"/>
          <w:szCs w:val="21"/>
          <w:lang w:val="es-US"/>
        </w:rPr>
        <w:t>.</w:t>
      </w:r>
      <w:r w:rsidR="00DE7812" w:rsidRPr="001F2578">
        <w:rPr>
          <w:rStyle w:val="FootnoteReference"/>
          <w:rFonts w:ascii="Cambria" w:hAnsi="Cambria"/>
          <w:sz w:val="21"/>
          <w:szCs w:val="21"/>
          <w:lang w:val="es-US"/>
        </w:rPr>
        <w:footnoteReference w:id="12"/>
      </w:r>
    </w:p>
    <w:p w14:paraId="0F1F81D8" w14:textId="77777777" w:rsidR="0062385F" w:rsidRPr="0062385F" w:rsidRDefault="0062385F" w:rsidP="0062385F">
      <w:pPr>
        <w:spacing w:after="0"/>
        <w:jc w:val="both"/>
        <w:rPr>
          <w:rFonts w:ascii="Cambria" w:eastAsia="Calibri" w:hAnsi="Cambria" w:cs="Times New Roman"/>
          <w:sz w:val="21"/>
          <w:szCs w:val="21"/>
          <w:lang w:val="es-US"/>
        </w:rPr>
      </w:pPr>
    </w:p>
    <w:p w14:paraId="46C4FCBB" w14:textId="77777777" w:rsidR="00FB66BD" w:rsidRPr="001F2578" w:rsidRDefault="00AE0205" w:rsidP="007238C7">
      <w:pPr>
        <w:pStyle w:val="ListParagraph"/>
        <w:numPr>
          <w:ilvl w:val="0"/>
          <w:numId w:val="1"/>
        </w:numPr>
        <w:spacing w:after="0" w:line="240" w:lineRule="auto"/>
        <w:ind w:left="540" w:firstLine="0"/>
        <w:jc w:val="both"/>
        <w:rPr>
          <w:rFonts w:ascii="Cambria" w:eastAsia="Calibri" w:hAnsi="Cambria" w:cs="Times New Roman"/>
          <w:b/>
          <w:sz w:val="21"/>
          <w:szCs w:val="21"/>
          <w:lang w:val="es-US"/>
        </w:rPr>
      </w:pPr>
      <w:r w:rsidRPr="001F2578">
        <w:rPr>
          <w:rFonts w:ascii="Cambria" w:eastAsia="Calibri" w:hAnsi="Cambria" w:cs="Times New Roman"/>
          <w:b/>
          <w:color w:val="000000"/>
          <w:sz w:val="21"/>
          <w:szCs w:val="21"/>
          <w:lang w:val="es-US"/>
        </w:rPr>
        <w:t>BENEFICIARIO</w:t>
      </w:r>
      <w:r w:rsidR="00FB66BD" w:rsidRPr="001F2578">
        <w:rPr>
          <w:rFonts w:ascii="Cambria" w:eastAsia="Calibri" w:hAnsi="Cambria" w:cs="Times New Roman"/>
          <w:b/>
          <w:color w:val="000000"/>
          <w:sz w:val="21"/>
          <w:szCs w:val="21"/>
          <w:lang w:val="es-US"/>
        </w:rPr>
        <w:t>S</w:t>
      </w:r>
    </w:p>
    <w:p w14:paraId="0E2073CB" w14:textId="77777777" w:rsidR="00FB66BD" w:rsidRPr="001F2578" w:rsidRDefault="00FB66BD" w:rsidP="0062385F">
      <w:pPr>
        <w:spacing w:after="0" w:line="240" w:lineRule="auto"/>
        <w:jc w:val="both"/>
        <w:rPr>
          <w:rFonts w:ascii="Cambria" w:eastAsia="Calibri" w:hAnsi="Cambria" w:cs="Times New Roman"/>
          <w:b/>
          <w:sz w:val="21"/>
          <w:szCs w:val="21"/>
          <w:lang w:val="es-US"/>
        </w:rPr>
      </w:pPr>
    </w:p>
    <w:p w14:paraId="0E06EEC4" w14:textId="77777777" w:rsidR="00FB66BD" w:rsidRPr="001F2578" w:rsidRDefault="00AE0205"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1F2578">
        <w:rPr>
          <w:rFonts w:ascii="Cambria" w:hAnsi="Cambria"/>
          <w:color w:val="000000"/>
          <w:sz w:val="21"/>
          <w:szCs w:val="21"/>
          <w:lang w:val="es-US"/>
        </w:rPr>
        <w:t xml:space="preserve">La Comisión </w:t>
      </w:r>
      <w:r w:rsidR="0062385F">
        <w:rPr>
          <w:rFonts w:ascii="Cambria" w:hAnsi="Cambria"/>
          <w:color w:val="000000"/>
          <w:sz w:val="21"/>
          <w:szCs w:val="21"/>
          <w:lang w:val="es-US"/>
        </w:rPr>
        <w:t>considera como</w:t>
      </w:r>
      <w:r w:rsidR="00B87F12" w:rsidRPr="001F2578">
        <w:rPr>
          <w:rFonts w:ascii="Cambria" w:hAnsi="Cambria"/>
          <w:color w:val="000000"/>
          <w:sz w:val="21"/>
          <w:szCs w:val="21"/>
          <w:lang w:val="es-US"/>
        </w:rPr>
        <w:t xml:space="preserve"> beneficiario de la presente medida cautelar </w:t>
      </w:r>
      <w:r w:rsidR="0062385F">
        <w:rPr>
          <w:rFonts w:ascii="Cambria" w:hAnsi="Cambria"/>
          <w:color w:val="000000"/>
          <w:sz w:val="21"/>
          <w:szCs w:val="21"/>
          <w:lang w:val="es-US"/>
        </w:rPr>
        <w:t>al</w:t>
      </w:r>
      <w:r w:rsidR="00B87F12" w:rsidRPr="001F2578">
        <w:rPr>
          <w:rFonts w:ascii="Cambria" w:hAnsi="Cambria"/>
          <w:color w:val="000000"/>
          <w:sz w:val="21"/>
          <w:szCs w:val="21"/>
          <w:lang w:val="es-US"/>
        </w:rPr>
        <w:t xml:space="preserve"> </w:t>
      </w:r>
      <w:r w:rsidR="007238C7">
        <w:rPr>
          <w:rFonts w:ascii="Cambria" w:hAnsi="Cambria"/>
          <w:color w:val="000000"/>
          <w:sz w:val="21"/>
          <w:szCs w:val="21"/>
          <w:lang w:val="es-US"/>
        </w:rPr>
        <w:t>señor Charles Don Flores</w:t>
      </w:r>
      <w:r w:rsidR="00FB66BD" w:rsidRPr="001F2578">
        <w:rPr>
          <w:rFonts w:ascii="Cambria" w:hAnsi="Cambria"/>
          <w:color w:val="000000"/>
          <w:sz w:val="21"/>
          <w:szCs w:val="21"/>
          <w:lang w:val="es-US"/>
        </w:rPr>
        <w:t xml:space="preserve">, </w:t>
      </w:r>
      <w:r w:rsidR="00B87F12" w:rsidRPr="001F2578">
        <w:rPr>
          <w:rFonts w:ascii="Cambria" w:hAnsi="Cambria"/>
          <w:color w:val="000000"/>
          <w:sz w:val="21"/>
          <w:szCs w:val="21"/>
          <w:lang w:val="es-US"/>
        </w:rPr>
        <w:t xml:space="preserve">quien </w:t>
      </w:r>
      <w:r w:rsidR="0062385F">
        <w:rPr>
          <w:rFonts w:ascii="Cambria" w:hAnsi="Cambria"/>
          <w:color w:val="000000"/>
          <w:sz w:val="21"/>
          <w:szCs w:val="21"/>
          <w:lang w:val="es-ES"/>
        </w:rPr>
        <w:t>se encuentra debidamente identificado en el marco de este procedimiento</w:t>
      </w:r>
      <w:r w:rsidR="00FB66BD" w:rsidRPr="001F2578">
        <w:rPr>
          <w:rFonts w:ascii="Cambria" w:eastAsia="Calibri" w:hAnsi="Cambria" w:cs="Times New Roman"/>
          <w:sz w:val="21"/>
          <w:szCs w:val="21"/>
          <w:lang w:val="es-US"/>
        </w:rPr>
        <w:t>.</w:t>
      </w:r>
    </w:p>
    <w:p w14:paraId="3B029BA3" w14:textId="77777777" w:rsidR="00FB66BD" w:rsidRPr="001F2578" w:rsidRDefault="00FB66BD" w:rsidP="0062385F">
      <w:pPr>
        <w:spacing w:after="0" w:line="240" w:lineRule="auto"/>
        <w:jc w:val="both"/>
        <w:rPr>
          <w:rFonts w:ascii="Cambria" w:eastAsia="Calibri" w:hAnsi="Cambria" w:cs="Times New Roman"/>
          <w:sz w:val="21"/>
          <w:szCs w:val="21"/>
          <w:lang w:val="es-US"/>
        </w:rPr>
      </w:pPr>
    </w:p>
    <w:p w14:paraId="6E198C29" w14:textId="77777777" w:rsidR="00FB66BD" w:rsidRPr="001F2578" w:rsidRDefault="00AE0205" w:rsidP="007238C7">
      <w:pPr>
        <w:pStyle w:val="ListParagraph"/>
        <w:numPr>
          <w:ilvl w:val="0"/>
          <w:numId w:val="1"/>
        </w:numPr>
        <w:spacing w:after="0" w:line="240" w:lineRule="auto"/>
        <w:ind w:left="540" w:firstLine="0"/>
        <w:jc w:val="both"/>
        <w:rPr>
          <w:rFonts w:ascii="Cambria" w:eastAsia="Calibri" w:hAnsi="Cambria" w:cs="Times New Roman"/>
          <w:b/>
          <w:sz w:val="21"/>
          <w:szCs w:val="21"/>
          <w:lang w:val="es-US"/>
        </w:rPr>
      </w:pPr>
      <w:r w:rsidRPr="001F2578">
        <w:rPr>
          <w:rFonts w:ascii="Cambria" w:eastAsia="Calibri" w:hAnsi="Cambria" w:cs="Times New Roman"/>
          <w:b/>
          <w:color w:val="000000"/>
          <w:sz w:val="21"/>
          <w:szCs w:val="21"/>
          <w:lang w:val="es-US"/>
        </w:rPr>
        <w:t>DECISIÓ</w:t>
      </w:r>
      <w:r w:rsidR="00FB66BD" w:rsidRPr="001F2578">
        <w:rPr>
          <w:rFonts w:ascii="Cambria" w:eastAsia="Calibri" w:hAnsi="Cambria" w:cs="Times New Roman"/>
          <w:b/>
          <w:color w:val="000000"/>
          <w:sz w:val="21"/>
          <w:szCs w:val="21"/>
          <w:lang w:val="es-US"/>
        </w:rPr>
        <w:t>N</w:t>
      </w:r>
    </w:p>
    <w:p w14:paraId="6522F9D4" w14:textId="77777777" w:rsidR="00FB66BD" w:rsidRPr="001F2578" w:rsidRDefault="00FB66BD" w:rsidP="0062385F">
      <w:pPr>
        <w:spacing w:after="0" w:line="240" w:lineRule="auto"/>
        <w:jc w:val="both"/>
        <w:rPr>
          <w:rFonts w:ascii="Cambria" w:eastAsia="Calibri" w:hAnsi="Cambria" w:cs="Times New Roman"/>
          <w:b/>
          <w:sz w:val="21"/>
          <w:szCs w:val="21"/>
          <w:lang w:val="es-US"/>
        </w:rPr>
      </w:pPr>
    </w:p>
    <w:p w14:paraId="09D71A74" w14:textId="2C12AE2F" w:rsidR="00FB66BD" w:rsidRPr="001F2578" w:rsidRDefault="00742C7F"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Pr>
          <w:rFonts w:ascii="Cambria" w:hAnsi="Cambria"/>
          <w:sz w:val="21"/>
          <w:szCs w:val="21"/>
          <w:lang w:val="es-US"/>
        </w:rPr>
        <w:t>L</w:t>
      </w:r>
      <w:r w:rsidR="00B87F12" w:rsidRPr="001F2578">
        <w:rPr>
          <w:rFonts w:ascii="Cambria" w:hAnsi="Cambria"/>
          <w:sz w:val="21"/>
          <w:szCs w:val="21"/>
          <w:lang w:val="es-US"/>
        </w:rPr>
        <w:t xml:space="preserve">a Comisión considera que el presente asunto reúne </w:t>
      </w:r>
      <w:r w:rsidR="00B87F12" w:rsidRPr="001F2578">
        <w:rPr>
          <w:rFonts w:ascii="Cambria" w:hAnsi="Cambria"/>
          <w:i/>
          <w:sz w:val="21"/>
          <w:szCs w:val="21"/>
          <w:lang w:val="es-US"/>
        </w:rPr>
        <w:t>prima facie</w:t>
      </w:r>
      <w:r w:rsidR="00B87F12" w:rsidRPr="001F2578">
        <w:rPr>
          <w:rFonts w:ascii="Cambria" w:hAnsi="Cambria"/>
          <w:sz w:val="21"/>
          <w:szCs w:val="21"/>
          <w:lang w:val="es-US"/>
        </w:rPr>
        <w:t xml:space="preserve"> los requisitos de gravedad, urgencia e </w:t>
      </w:r>
      <w:proofErr w:type="spellStart"/>
      <w:r w:rsidR="00B87F12" w:rsidRPr="001F2578">
        <w:rPr>
          <w:rFonts w:ascii="Cambria" w:hAnsi="Cambria"/>
          <w:sz w:val="21"/>
          <w:szCs w:val="21"/>
          <w:lang w:val="es-US"/>
        </w:rPr>
        <w:t>irreparabilidad</w:t>
      </w:r>
      <w:proofErr w:type="spellEnd"/>
      <w:r w:rsidR="00B87F12" w:rsidRPr="001F2578">
        <w:rPr>
          <w:rFonts w:ascii="Cambria" w:hAnsi="Cambria"/>
          <w:sz w:val="21"/>
          <w:szCs w:val="21"/>
          <w:lang w:val="es-US"/>
        </w:rPr>
        <w:t xml:space="preserve"> contenidos en el artículo 25 de su Reglamento</w:t>
      </w:r>
      <w:r w:rsidR="004F45EB" w:rsidRPr="001F2578">
        <w:rPr>
          <w:rFonts w:ascii="Cambria" w:hAnsi="Cambria"/>
          <w:sz w:val="21"/>
          <w:szCs w:val="21"/>
          <w:lang w:val="es-US"/>
        </w:rPr>
        <w:t>.</w:t>
      </w:r>
      <w:r w:rsidR="00736B0C" w:rsidRPr="001F2578">
        <w:rPr>
          <w:rFonts w:ascii="Cambria" w:hAnsi="Cambria"/>
          <w:sz w:val="21"/>
          <w:szCs w:val="21"/>
          <w:lang w:val="es-US"/>
        </w:rPr>
        <w:t xml:space="preserve"> </w:t>
      </w:r>
      <w:r w:rsidR="00B87F12" w:rsidRPr="001F2578">
        <w:rPr>
          <w:rFonts w:ascii="Cambria" w:hAnsi="Cambria"/>
          <w:sz w:val="21"/>
          <w:szCs w:val="21"/>
          <w:lang w:val="es-US"/>
        </w:rPr>
        <w:t xml:space="preserve">Asimismo,  en caso de que el </w:t>
      </w:r>
      <w:r w:rsidR="007238C7">
        <w:rPr>
          <w:rFonts w:ascii="Cambria" w:hAnsi="Cambria"/>
          <w:sz w:val="21"/>
          <w:szCs w:val="21"/>
          <w:lang w:val="es-US"/>
        </w:rPr>
        <w:t>señor Flores</w:t>
      </w:r>
      <w:r w:rsidR="00B87F12" w:rsidRPr="001F2578">
        <w:rPr>
          <w:rFonts w:ascii="Cambria" w:hAnsi="Cambria"/>
          <w:sz w:val="21"/>
          <w:szCs w:val="21"/>
          <w:lang w:val="es-US"/>
        </w:rPr>
        <w:t xml:space="preserve"> sea ejecutado antes de que la Comisión tenga la oportunidad de examinar el fondo del asunto, cualquier decisión eventual </w:t>
      </w:r>
      <w:r w:rsidR="0062385F">
        <w:rPr>
          <w:rFonts w:ascii="Cambria" w:hAnsi="Cambria"/>
          <w:sz w:val="21"/>
          <w:szCs w:val="21"/>
          <w:lang w:val="es-US"/>
        </w:rPr>
        <w:t>carecería de efectividad</w:t>
      </w:r>
      <w:r w:rsidR="00B87F12" w:rsidRPr="001F2578">
        <w:rPr>
          <w:rFonts w:ascii="Cambria" w:hAnsi="Cambria"/>
          <w:sz w:val="21"/>
          <w:szCs w:val="21"/>
          <w:lang w:val="es-US"/>
        </w:rPr>
        <w:t>, lo que daría lugar a un daño irreparable.</w:t>
      </w:r>
      <w:r w:rsidR="00441BC9" w:rsidRPr="001F2578">
        <w:rPr>
          <w:rFonts w:ascii="Cambria" w:hAnsi="Cambria"/>
          <w:sz w:val="21"/>
          <w:szCs w:val="21"/>
          <w:lang w:val="es-US"/>
        </w:rPr>
        <w:t xml:space="preserve"> </w:t>
      </w:r>
      <w:r w:rsidR="005873DC" w:rsidRPr="001F2578">
        <w:rPr>
          <w:rFonts w:ascii="Cambria" w:hAnsi="Cambria"/>
          <w:sz w:val="21"/>
          <w:szCs w:val="21"/>
          <w:lang w:val="es-US"/>
        </w:rPr>
        <w:t xml:space="preserve">En consecuencia, de acuerdo con el Artículo 25 del Reglamento de la CIDH, la Comisión solicita </w:t>
      </w:r>
      <w:r w:rsidR="005A21B6" w:rsidRPr="001F2578">
        <w:rPr>
          <w:rFonts w:ascii="Cambria" w:hAnsi="Cambria"/>
          <w:sz w:val="21"/>
          <w:szCs w:val="21"/>
          <w:lang w:val="es-US"/>
        </w:rPr>
        <w:t>a</w:t>
      </w:r>
      <w:r w:rsidR="005873DC" w:rsidRPr="001F2578">
        <w:rPr>
          <w:rFonts w:ascii="Cambria" w:hAnsi="Cambria"/>
          <w:sz w:val="21"/>
          <w:szCs w:val="21"/>
          <w:lang w:val="es-US"/>
        </w:rPr>
        <w:t xml:space="preserve"> los Estados Unidos</w:t>
      </w:r>
      <w:r w:rsidR="00E668BA">
        <w:rPr>
          <w:rFonts w:ascii="Cambria" w:hAnsi="Cambria"/>
          <w:sz w:val="21"/>
          <w:szCs w:val="21"/>
          <w:lang w:val="es-US"/>
        </w:rPr>
        <w:t xml:space="preserve"> de América</w:t>
      </w:r>
      <w:r w:rsidR="005A21B6" w:rsidRPr="001F2578">
        <w:rPr>
          <w:rFonts w:ascii="Cambria" w:hAnsi="Cambria"/>
          <w:sz w:val="21"/>
          <w:szCs w:val="21"/>
          <w:lang w:val="es-US"/>
        </w:rPr>
        <w:t>:</w:t>
      </w:r>
      <w:r w:rsidR="00736B0C" w:rsidRPr="001F2578">
        <w:rPr>
          <w:rFonts w:ascii="Cambria" w:hAnsi="Cambria"/>
          <w:sz w:val="21"/>
          <w:szCs w:val="21"/>
          <w:lang w:val="es-US"/>
        </w:rPr>
        <w:t xml:space="preserve"> a) </w:t>
      </w:r>
      <w:r w:rsidR="005A21B6" w:rsidRPr="001F2578">
        <w:rPr>
          <w:rFonts w:ascii="Cambria" w:hAnsi="Cambria"/>
          <w:sz w:val="21"/>
          <w:szCs w:val="21"/>
          <w:lang w:val="es-US"/>
        </w:rPr>
        <w:t xml:space="preserve">adoptar las medidas necesarias para preservar la vida y la integridad personal del señor </w:t>
      </w:r>
      <w:r w:rsidR="007238C7">
        <w:rPr>
          <w:rFonts w:ascii="Cambria" w:hAnsi="Cambria"/>
          <w:sz w:val="21"/>
          <w:szCs w:val="21"/>
          <w:lang w:val="es-US"/>
        </w:rPr>
        <w:t>Charles Don Flores</w:t>
      </w:r>
      <w:r w:rsidR="00736B0C" w:rsidRPr="001F2578">
        <w:rPr>
          <w:rFonts w:ascii="Cambria" w:hAnsi="Cambria"/>
          <w:sz w:val="21"/>
          <w:szCs w:val="21"/>
          <w:lang w:val="es-US"/>
        </w:rPr>
        <w:t xml:space="preserve">; b) </w:t>
      </w:r>
      <w:r w:rsidR="005A21B6" w:rsidRPr="001F2578">
        <w:rPr>
          <w:rFonts w:ascii="Cambria" w:hAnsi="Cambria"/>
          <w:sz w:val="21"/>
          <w:szCs w:val="21"/>
          <w:lang w:val="es-US"/>
        </w:rPr>
        <w:t>abstenerse de ejecutar la pena de muerte impuesta a</w:t>
      </w:r>
      <w:r w:rsidR="00736B0C" w:rsidRPr="001F2578">
        <w:rPr>
          <w:rFonts w:ascii="Cambria" w:hAnsi="Cambria"/>
          <w:sz w:val="21"/>
          <w:szCs w:val="21"/>
          <w:lang w:val="es-US"/>
        </w:rPr>
        <w:t xml:space="preserve"> </w:t>
      </w:r>
      <w:r w:rsidR="007238C7">
        <w:rPr>
          <w:rFonts w:ascii="Cambria" w:hAnsi="Cambria"/>
          <w:sz w:val="21"/>
          <w:szCs w:val="21"/>
          <w:lang w:val="es-US"/>
        </w:rPr>
        <w:t>Charles Don Flores</w:t>
      </w:r>
      <w:r w:rsidR="00CD26EA">
        <w:rPr>
          <w:rFonts w:ascii="Cambria" w:hAnsi="Cambria"/>
          <w:sz w:val="21"/>
          <w:szCs w:val="21"/>
          <w:lang w:val="es-US"/>
        </w:rPr>
        <w:t xml:space="preserve"> hasta que la Comisión se pronuncie sobre la petición presentada; </w:t>
      </w:r>
      <w:r w:rsidR="00736B0C" w:rsidRPr="001F2578">
        <w:rPr>
          <w:rFonts w:ascii="Cambria" w:hAnsi="Cambria"/>
          <w:sz w:val="21"/>
          <w:szCs w:val="21"/>
          <w:lang w:val="es-US"/>
        </w:rPr>
        <w:t xml:space="preserve">c) </w:t>
      </w:r>
      <w:r w:rsidR="005A21B6" w:rsidRPr="001F2578">
        <w:rPr>
          <w:rFonts w:ascii="Cambria" w:hAnsi="Cambria"/>
          <w:sz w:val="21"/>
          <w:szCs w:val="21"/>
          <w:lang w:val="es-US"/>
        </w:rPr>
        <w:t xml:space="preserve">garantizar condiciones de detención compatibles con los estándares internacionales; y </w:t>
      </w:r>
      <w:r w:rsidR="00D2248D" w:rsidRPr="001F2578">
        <w:rPr>
          <w:rFonts w:ascii="Cambria" w:hAnsi="Cambria"/>
          <w:sz w:val="21"/>
          <w:szCs w:val="21"/>
          <w:lang w:val="es-US"/>
        </w:rPr>
        <w:t>d</w:t>
      </w:r>
      <w:r w:rsidR="00736B0C" w:rsidRPr="001F2578">
        <w:rPr>
          <w:rFonts w:ascii="Cambria" w:hAnsi="Cambria"/>
          <w:sz w:val="21"/>
          <w:szCs w:val="21"/>
          <w:lang w:val="es-US"/>
        </w:rPr>
        <w:t xml:space="preserve">) </w:t>
      </w:r>
      <w:r w:rsidR="005A21B6" w:rsidRPr="001F2578">
        <w:rPr>
          <w:rFonts w:ascii="Cambria" w:hAnsi="Cambria"/>
          <w:sz w:val="21"/>
          <w:szCs w:val="21"/>
          <w:lang w:val="es-US"/>
        </w:rPr>
        <w:t>concertar las medidas a adoptarse con el beneficiario y sus representante</w:t>
      </w:r>
      <w:r w:rsidR="00E668BA">
        <w:rPr>
          <w:rFonts w:ascii="Cambria" w:hAnsi="Cambria"/>
          <w:sz w:val="21"/>
          <w:szCs w:val="21"/>
          <w:lang w:val="es-US"/>
        </w:rPr>
        <w:t>s</w:t>
      </w:r>
      <w:r w:rsidR="00BF46F9" w:rsidRPr="001F2578">
        <w:rPr>
          <w:rFonts w:ascii="Cambria" w:hAnsi="Cambria"/>
          <w:sz w:val="21"/>
          <w:szCs w:val="21"/>
          <w:lang w:val="es-US"/>
        </w:rPr>
        <w:t>.</w:t>
      </w:r>
    </w:p>
    <w:p w14:paraId="1C1E7EDA" w14:textId="77777777" w:rsidR="00FB66BD" w:rsidRPr="001F2578" w:rsidRDefault="00FB66BD" w:rsidP="0062385F">
      <w:pPr>
        <w:spacing w:after="0" w:line="240" w:lineRule="auto"/>
        <w:jc w:val="both"/>
        <w:rPr>
          <w:rFonts w:ascii="Cambria" w:eastAsia="Calibri" w:hAnsi="Cambria" w:cs="Times New Roman"/>
          <w:sz w:val="21"/>
          <w:szCs w:val="21"/>
          <w:lang w:val="es-US"/>
        </w:rPr>
      </w:pPr>
    </w:p>
    <w:p w14:paraId="58F53933" w14:textId="77777777" w:rsidR="00FB66BD" w:rsidRPr="001F2578" w:rsidRDefault="00B87F12"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1F2578">
        <w:rPr>
          <w:rFonts w:ascii="Cambria" w:hAnsi="Cambria"/>
          <w:color w:val="000000"/>
          <w:sz w:val="21"/>
          <w:szCs w:val="21"/>
          <w:lang w:val="es-US"/>
        </w:rPr>
        <w:t>La Comisión solicita al Gobierno que informe, dentro del plazo de 15 días, contados a partir de la fecha de la presente resolución, sobre la adopción de las medidas cautelares requeridas y actualizar dicha información en forma periódica</w:t>
      </w:r>
      <w:r w:rsidR="00E04BB0" w:rsidRPr="001F2578">
        <w:rPr>
          <w:rFonts w:ascii="Cambria" w:hAnsi="Cambria"/>
          <w:color w:val="000000"/>
          <w:sz w:val="21"/>
          <w:szCs w:val="21"/>
          <w:lang w:val="es-US"/>
        </w:rPr>
        <w:t>.</w:t>
      </w:r>
    </w:p>
    <w:p w14:paraId="52A048B8" w14:textId="77777777" w:rsidR="00FB66BD" w:rsidRPr="001F2578" w:rsidRDefault="00FB66BD" w:rsidP="0062385F">
      <w:pPr>
        <w:spacing w:after="0" w:line="240" w:lineRule="auto"/>
        <w:jc w:val="both"/>
        <w:rPr>
          <w:rFonts w:ascii="Cambria" w:eastAsia="Calibri" w:hAnsi="Cambria" w:cs="Times New Roman"/>
          <w:sz w:val="21"/>
          <w:szCs w:val="21"/>
          <w:lang w:val="es-US"/>
        </w:rPr>
      </w:pPr>
    </w:p>
    <w:p w14:paraId="6A12A9F6" w14:textId="77777777" w:rsidR="00FB66BD" w:rsidRPr="001F2578" w:rsidRDefault="00456E18"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1F2578">
        <w:rPr>
          <w:rFonts w:ascii="Cambria" w:hAnsi="Cambria"/>
          <w:sz w:val="21"/>
          <w:szCs w:val="21"/>
          <w:lang w:val="es-US"/>
        </w:rPr>
        <w:t>La Comisión resalta que, de acuerdo con el artículo 25 (8) de su Reglamento, el otorgamiento y adopción de la presente medida cautelar no constituye una determinación sobre el fondo del asunto, sino que pretende cumplir con sus objetivos de protección de los derechos en riesgo</w:t>
      </w:r>
      <w:r w:rsidR="004F45EB" w:rsidRPr="001F2578">
        <w:rPr>
          <w:rFonts w:ascii="Cambria" w:hAnsi="Cambria"/>
          <w:color w:val="000000"/>
          <w:sz w:val="21"/>
          <w:szCs w:val="21"/>
          <w:lang w:val="es-US"/>
        </w:rPr>
        <w:t>.</w:t>
      </w:r>
    </w:p>
    <w:p w14:paraId="690F2A84" w14:textId="77777777" w:rsidR="00FB66BD" w:rsidRPr="001F2578" w:rsidRDefault="00FB66BD" w:rsidP="0062385F">
      <w:pPr>
        <w:spacing w:after="0" w:line="240" w:lineRule="auto"/>
        <w:jc w:val="both"/>
        <w:rPr>
          <w:rFonts w:ascii="Cambria" w:eastAsia="Calibri" w:hAnsi="Cambria" w:cs="Times New Roman"/>
          <w:sz w:val="21"/>
          <w:szCs w:val="21"/>
          <w:lang w:val="es-US"/>
        </w:rPr>
      </w:pPr>
    </w:p>
    <w:p w14:paraId="05DEF63A" w14:textId="77777777" w:rsidR="00FB66BD" w:rsidRDefault="00727D82" w:rsidP="0062385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1F2578">
        <w:rPr>
          <w:rFonts w:ascii="Cambria" w:hAnsi="Cambria"/>
          <w:sz w:val="21"/>
          <w:szCs w:val="21"/>
          <w:lang w:val="es-US"/>
        </w:rPr>
        <w:t>La Comisión dispone que la Secretaría Ejecutiva de la CIDH notifique la presente resolución a Estados Unidos y a la solicitante</w:t>
      </w:r>
      <w:r w:rsidR="00FB66BD" w:rsidRPr="001F2578">
        <w:rPr>
          <w:rFonts w:ascii="Cambria" w:eastAsia="Calibri" w:hAnsi="Cambria" w:cs="Times New Roman"/>
          <w:sz w:val="21"/>
          <w:szCs w:val="21"/>
          <w:lang w:val="es-US"/>
        </w:rPr>
        <w:t>.</w:t>
      </w:r>
    </w:p>
    <w:p w14:paraId="10A8147B" w14:textId="77777777" w:rsidR="00BA072F" w:rsidRPr="00BA072F" w:rsidRDefault="00BA072F" w:rsidP="00BA072F">
      <w:pPr>
        <w:spacing w:after="0" w:line="240" w:lineRule="auto"/>
        <w:jc w:val="both"/>
        <w:rPr>
          <w:rFonts w:ascii="Cambria" w:eastAsia="Calibri" w:hAnsi="Cambria" w:cs="Times New Roman"/>
          <w:sz w:val="21"/>
          <w:szCs w:val="21"/>
          <w:lang w:val="es-US"/>
        </w:rPr>
      </w:pPr>
    </w:p>
    <w:p w14:paraId="7A40E34B" w14:textId="77777777" w:rsidR="00BA072F" w:rsidRPr="007939C3" w:rsidRDefault="00BA072F" w:rsidP="00BA072F">
      <w:pPr>
        <w:pStyle w:val="ListParagraph"/>
        <w:numPr>
          <w:ilvl w:val="0"/>
          <w:numId w:val="5"/>
        </w:numPr>
        <w:spacing w:after="0" w:line="240" w:lineRule="auto"/>
        <w:ind w:left="0" w:firstLine="360"/>
        <w:jc w:val="both"/>
        <w:rPr>
          <w:rFonts w:ascii="Cambria" w:eastAsia="Calibri" w:hAnsi="Cambria" w:cs="Times New Roman"/>
          <w:sz w:val="21"/>
          <w:szCs w:val="21"/>
          <w:lang w:val="es-US"/>
        </w:rPr>
      </w:pPr>
      <w:r w:rsidRPr="007939C3">
        <w:rPr>
          <w:rFonts w:ascii="Cambria" w:hAnsi="Cambria"/>
          <w:color w:val="000000"/>
          <w:sz w:val="21"/>
          <w:szCs w:val="21"/>
          <w:lang w:val="es-ES"/>
        </w:rPr>
        <w:t xml:space="preserve">Aprobado el </w:t>
      </w:r>
      <w:r>
        <w:rPr>
          <w:rFonts w:ascii="Cambria" w:hAnsi="Cambria"/>
          <w:color w:val="000000"/>
          <w:sz w:val="21"/>
          <w:szCs w:val="21"/>
          <w:lang w:val="es-ES"/>
        </w:rPr>
        <w:t>5</w:t>
      </w:r>
      <w:r w:rsidRPr="007939C3">
        <w:rPr>
          <w:rFonts w:ascii="Cambria" w:hAnsi="Cambria"/>
          <w:color w:val="000000"/>
          <w:sz w:val="21"/>
          <w:szCs w:val="21"/>
          <w:lang w:val="es-ES"/>
        </w:rPr>
        <w:t xml:space="preserve"> de mayo de 2018 por: </w:t>
      </w:r>
      <w:proofErr w:type="spellStart"/>
      <w:r w:rsidRPr="006334BA">
        <w:rPr>
          <w:rFonts w:ascii="Cambria" w:hAnsi="Cambria"/>
          <w:sz w:val="21"/>
          <w:szCs w:val="21"/>
          <w:lang w:val="es-MX"/>
        </w:rPr>
        <w:t>Margarette</w:t>
      </w:r>
      <w:proofErr w:type="spellEnd"/>
      <w:r w:rsidRPr="006334BA">
        <w:rPr>
          <w:rFonts w:ascii="Cambria" w:hAnsi="Cambria"/>
          <w:sz w:val="21"/>
          <w:szCs w:val="21"/>
          <w:lang w:val="es-MX"/>
        </w:rPr>
        <w:t xml:space="preserve"> </w:t>
      </w:r>
      <w:proofErr w:type="spellStart"/>
      <w:r w:rsidRPr="006334BA">
        <w:rPr>
          <w:rFonts w:ascii="Cambria" w:hAnsi="Cambria"/>
          <w:sz w:val="21"/>
          <w:szCs w:val="21"/>
          <w:lang w:val="es-MX"/>
        </w:rPr>
        <w:t>May</w:t>
      </w:r>
      <w:proofErr w:type="spellEnd"/>
      <w:r w:rsidRPr="006334BA">
        <w:rPr>
          <w:rFonts w:ascii="Cambria" w:hAnsi="Cambria"/>
          <w:sz w:val="21"/>
          <w:szCs w:val="21"/>
          <w:lang w:val="es-MX"/>
        </w:rPr>
        <w:t xml:space="preserve"> </w:t>
      </w:r>
      <w:proofErr w:type="spellStart"/>
      <w:r w:rsidRPr="006334BA">
        <w:rPr>
          <w:rFonts w:ascii="Cambria" w:hAnsi="Cambria"/>
          <w:sz w:val="21"/>
          <w:szCs w:val="21"/>
          <w:lang w:val="es-MX"/>
        </w:rPr>
        <w:t>Macaulay</w:t>
      </w:r>
      <w:proofErr w:type="spellEnd"/>
      <w:r w:rsidRPr="006334BA">
        <w:rPr>
          <w:rFonts w:ascii="Cambria" w:hAnsi="Cambria"/>
          <w:sz w:val="21"/>
          <w:szCs w:val="21"/>
          <w:lang w:val="es-MX"/>
        </w:rPr>
        <w:t xml:space="preserve"> Presidenta; Esmeralda Arosemena de </w:t>
      </w:r>
      <w:proofErr w:type="spellStart"/>
      <w:r w:rsidRPr="006334BA">
        <w:rPr>
          <w:rFonts w:ascii="Cambria" w:hAnsi="Cambria"/>
          <w:sz w:val="21"/>
          <w:szCs w:val="21"/>
          <w:lang w:val="es-MX"/>
        </w:rPr>
        <w:t>Troitiño</w:t>
      </w:r>
      <w:proofErr w:type="spellEnd"/>
      <w:r w:rsidRPr="006334BA">
        <w:rPr>
          <w:rFonts w:ascii="Cambria" w:hAnsi="Cambria"/>
          <w:sz w:val="21"/>
          <w:szCs w:val="21"/>
          <w:lang w:val="es-MX"/>
        </w:rPr>
        <w:t xml:space="preserve">, Primera Vicepresidenta; Luis Ernesto Vargas, Segundo Vicepresidente; Francisco José </w:t>
      </w:r>
      <w:proofErr w:type="spellStart"/>
      <w:r w:rsidRPr="006334BA">
        <w:rPr>
          <w:rFonts w:ascii="Cambria" w:hAnsi="Cambria"/>
          <w:sz w:val="21"/>
          <w:szCs w:val="21"/>
          <w:lang w:val="es-MX"/>
        </w:rPr>
        <w:t>Eguiguren</w:t>
      </w:r>
      <w:proofErr w:type="spellEnd"/>
      <w:r w:rsidRPr="006334BA">
        <w:rPr>
          <w:rFonts w:ascii="Cambria" w:hAnsi="Cambria"/>
          <w:sz w:val="21"/>
          <w:szCs w:val="21"/>
          <w:lang w:val="es-MX"/>
        </w:rPr>
        <w:t xml:space="preserve"> </w:t>
      </w:r>
      <w:proofErr w:type="spellStart"/>
      <w:r w:rsidRPr="006334BA">
        <w:rPr>
          <w:rFonts w:ascii="Cambria" w:hAnsi="Cambria"/>
          <w:sz w:val="21"/>
          <w:szCs w:val="21"/>
          <w:lang w:val="es-MX"/>
        </w:rPr>
        <w:t>Praeli</w:t>
      </w:r>
      <w:proofErr w:type="spellEnd"/>
      <w:r w:rsidRPr="006334BA">
        <w:rPr>
          <w:rFonts w:ascii="Cambria" w:hAnsi="Cambria"/>
          <w:sz w:val="21"/>
          <w:szCs w:val="21"/>
          <w:lang w:val="es-MX"/>
        </w:rPr>
        <w:t xml:space="preserve">, Joel Antonio Hernández García, Antonia Urrejola y </w:t>
      </w:r>
      <w:proofErr w:type="spellStart"/>
      <w:r>
        <w:rPr>
          <w:rFonts w:ascii="Cambria" w:hAnsi="Cambria"/>
          <w:sz w:val="21"/>
          <w:szCs w:val="21"/>
          <w:lang w:val="es-MX"/>
        </w:rPr>
        <w:t>Flá</w:t>
      </w:r>
      <w:r w:rsidRPr="006334BA">
        <w:rPr>
          <w:rFonts w:ascii="Cambria" w:hAnsi="Cambria"/>
          <w:sz w:val="21"/>
          <w:szCs w:val="21"/>
          <w:lang w:val="es-MX"/>
        </w:rPr>
        <w:t>via</w:t>
      </w:r>
      <w:proofErr w:type="spellEnd"/>
      <w:r w:rsidRPr="006334BA">
        <w:rPr>
          <w:rFonts w:ascii="Cambria" w:hAnsi="Cambria"/>
          <w:sz w:val="21"/>
          <w:szCs w:val="21"/>
          <w:lang w:val="es-MX"/>
        </w:rPr>
        <w:t xml:space="preserve"> </w:t>
      </w:r>
      <w:proofErr w:type="spellStart"/>
      <w:r w:rsidRPr="006334BA">
        <w:rPr>
          <w:rFonts w:ascii="Cambria" w:hAnsi="Cambria"/>
          <w:sz w:val="21"/>
          <w:szCs w:val="21"/>
          <w:lang w:val="es-MX"/>
        </w:rPr>
        <w:t>Piovesan</w:t>
      </w:r>
      <w:proofErr w:type="spellEnd"/>
      <w:r>
        <w:rPr>
          <w:rFonts w:ascii="Cambria" w:hAnsi="Cambria"/>
          <w:sz w:val="21"/>
          <w:szCs w:val="21"/>
          <w:lang w:val="es-MX"/>
        </w:rPr>
        <w:t>, miembros de la CIDH</w:t>
      </w:r>
      <w:r w:rsidRPr="007939C3">
        <w:rPr>
          <w:rFonts w:ascii="Cambria" w:hAnsi="Cambria"/>
          <w:color w:val="000000"/>
          <w:sz w:val="21"/>
          <w:szCs w:val="21"/>
          <w:lang w:val="es-ES"/>
        </w:rPr>
        <w:t xml:space="preserve">. </w:t>
      </w:r>
    </w:p>
    <w:p w14:paraId="265CB98C" w14:textId="77777777" w:rsidR="00BA072F" w:rsidRDefault="00BA072F" w:rsidP="00BA072F">
      <w:pPr>
        <w:spacing w:after="0" w:line="240" w:lineRule="auto"/>
        <w:jc w:val="both"/>
        <w:rPr>
          <w:rFonts w:ascii="Cambria" w:hAnsi="Cambria"/>
          <w:color w:val="000000"/>
          <w:sz w:val="21"/>
          <w:szCs w:val="21"/>
          <w:lang w:val="es-ES"/>
        </w:rPr>
      </w:pPr>
    </w:p>
    <w:p w14:paraId="704B5186" w14:textId="77777777" w:rsidR="00BA072F" w:rsidRDefault="00BA072F" w:rsidP="00BA072F">
      <w:pPr>
        <w:spacing w:after="0" w:line="240" w:lineRule="auto"/>
        <w:jc w:val="center"/>
        <w:rPr>
          <w:rFonts w:ascii="Cambria" w:hAnsi="Cambria"/>
          <w:color w:val="000000"/>
          <w:sz w:val="21"/>
          <w:szCs w:val="21"/>
          <w:lang w:val="es-ES"/>
        </w:rPr>
      </w:pPr>
      <w:r>
        <w:rPr>
          <w:rFonts w:ascii="Cambria" w:hAnsi="Cambria"/>
          <w:color w:val="000000"/>
          <w:sz w:val="21"/>
          <w:szCs w:val="21"/>
          <w:lang w:val="es-ES"/>
        </w:rPr>
        <w:t xml:space="preserve">Elizabeth </w:t>
      </w:r>
      <w:proofErr w:type="spellStart"/>
      <w:r>
        <w:rPr>
          <w:rFonts w:ascii="Cambria" w:hAnsi="Cambria"/>
          <w:color w:val="000000"/>
          <w:sz w:val="21"/>
          <w:szCs w:val="21"/>
          <w:lang w:val="es-ES"/>
        </w:rPr>
        <w:t>Abi-Mershed</w:t>
      </w:r>
      <w:proofErr w:type="spellEnd"/>
    </w:p>
    <w:p w14:paraId="5598D49A" w14:textId="4320E38D" w:rsidR="005E4AFC" w:rsidRPr="00BA072F" w:rsidRDefault="00BA072F" w:rsidP="00BA072F">
      <w:pPr>
        <w:spacing w:after="0" w:line="240" w:lineRule="auto"/>
        <w:jc w:val="center"/>
        <w:rPr>
          <w:rFonts w:ascii="Cambria" w:hAnsi="Cambria"/>
          <w:color w:val="000000"/>
          <w:sz w:val="21"/>
          <w:szCs w:val="21"/>
          <w:lang w:val="es-CO"/>
        </w:rPr>
      </w:pPr>
      <w:r>
        <w:rPr>
          <w:rFonts w:ascii="Cambria" w:hAnsi="Cambria"/>
          <w:color w:val="000000"/>
          <w:sz w:val="21"/>
          <w:szCs w:val="21"/>
          <w:lang w:val="es-ES"/>
        </w:rPr>
        <w:t>Secretaria Ejecutiva Adjunta</w:t>
      </w:r>
    </w:p>
    <w:sectPr w:rsidR="005E4AFC" w:rsidRPr="00BA072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9C608" w14:textId="77777777" w:rsidR="00597835" w:rsidRDefault="00597835" w:rsidP="008A069E">
      <w:pPr>
        <w:spacing w:after="0" w:line="240" w:lineRule="auto"/>
      </w:pPr>
      <w:r>
        <w:separator/>
      </w:r>
    </w:p>
  </w:endnote>
  <w:endnote w:type="continuationSeparator" w:id="0">
    <w:p w14:paraId="14C1A97D" w14:textId="77777777" w:rsidR="00597835" w:rsidRDefault="00597835" w:rsidP="008A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953739"/>
      <w:docPartObj>
        <w:docPartGallery w:val="Page Numbers (Bottom of Page)"/>
        <w:docPartUnique/>
      </w:docPartObj>
    </w:sdtPr>
    <w:sdtEndPr>
      <w:rPr>
        <w:noProof/>
      </w:rPr>
    </w:sdtEndPr>
    <w:sdtContent>
      <w:p w14:paraId="0EF4E880" w14:textId="77777777" w:rsidR="002748D8" w:rsidRDefault="002748D8">
        <w:pPr>
          <w:pStyle w:val="Footer"/>
          <w:jc w:val="center"/>
        </w:pPr>
        <w:r>
          <w:fldChar w:fldCharType="begin"/>
        </w:r>
        <w:r>
          <w:instrText xml:space="preserve"> PAGE   \* MERGEFORMAT </w:instrText>
        </w:r>
        <w:r>
          <w:fldChar w:fldCharType="separate"/>
        </w:r>
        <w:r w:rsidR="00AA072C">
          <w:rPr>
            <w:noProof/>
          </w:rPr>
          <w:t>6</w:t>
        </w:r>
        <w:r>
          <w:rPr>
            <w:noProof/>
          </w:rPr>
          <w:fldChar w:fldCharType="end"/>
        </w:r>
      </w:p>
    </w:sdtContent>
  </w:sdt>
  <w:p w14:paraId="64882B66" w14:textId="77777777" w:rsidR="002748D8" w:rsidRDefault="00274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4D83" w14:textId="77777777" w:rsidR="00597835" w:rsidRDefault="00597835" w:rsidP="008A069E">
      <w:pPr>
        <w:spacing w:after="0" w:line="240" w:lineRule="auto"/>
      </w:pPr>
      <w:r>
        <w:separator/>
      </w:r>
    </w:p>
  </w:footnote>
  <w:footnote w:type="continuationSeparator" w:id="0">
    <w:p w14:paraId="0DF1E4B4" w14:textId="77777777" w:rsidR="00597835" w:rsidRDefault="00597835" w:rsidP="008A069E">
      <w:pPr>
        <w:spacing w:after="0" w:line="240" w:lineRule="auto"/>
      </w:pPr>
      <w:r>
        <w:continuationSeparator/>
      </w:r>
    </w:p>
  </w:footnote>
  <w:footnote w:id="1">
    <w:p w14:paraId="37399A74" w14:textId="77777777" w:rsidR="002748D8" w:rsidRPr="00DE7812" w:rsidRDefault="002748D8" w:rsidP="00DE7812">
      <w:pPr>
        <w:pStyle w:val="FootnoteText"/>
        <w:rPr>
          <w:rFonts w:ascii="Calibri Light" w:hAnsi="Calibri Light"/>
          <w:sz w:val="16"/>
          <w:szCs w:val="16"/>
          <w:lang w:val="es-CO"/>
        </w:rPr>
      </w:pPr>
      <w:r w:rsidRPr="00DE7812">
        <w:rPr>
          <w:rStyle w:val="FootnoteReference"/>
          <w:rFonts w:ascii="Calibri Light" w:hAnsi="Calibri Light"/>
          <w:sz w:val="16"/>
          <w:szCs w:val="16"/>
        </w:rPr>
        <w:footnoteRef/>
      </w:r>
      <w:r w:rsidRPr="00DE7812">
        <w:rPr>
          <w:rFonts w:ascii="Calibri Light" w:hAnsi="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DE7812">
        <w:rPr>
          <w:rFonts w:ascii="Calibri Light" w:hAnsi="Calibri Light"/>
          <w:sz w:val="16"/>
          <w:szCs w:val="16"/>
          <w:lang w:val="es-CO"/>
        </w:rPr>
        <w:t>Tatuapé</w:t>
      </w:r>
      <w:proofErr w:type="spellEnd"/>
      <w:r w:rsidRPr="00DE7812">
        <w:rPr>
          <w:rFonts w:ascii="Calibri Light" w:hAnsi="Calibri Light"/>
          <w:sz w:val="16"/>
          <w:szCs w:val="16"/>
          <w:lang w:val="es-CO"/>
        </w:rPr>
        <w:t xml:space="preserve">” de la </w:t>
      </w:r>
      <w:proofErr w:type="spellStart"/>
      <w:r w:rsidRPr="00DE7812">
        <w:rPr>
          <w:rFonts w:ascii="Calibri Light" w:hAnsi="Calibri Light"/>
          <w:sz w:val="16"/>
          <w:szCs w:val="16"/>
          <w:lang w:val="es-CO"/>
        </w:rPr>
        <w:t>Fundação</w:t>
      </w:r>
      <w:proofErr w:type="spellEnd"/>
      <w:r w:rsidRPr="00DE7812">
        <w:rPr>
          <w:rFonts w:ascii="Calibri Light" w:hAnsi="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2">
    <w:p w14:paraId="37E728CF" w14:textId="77777777" w:rsidR="002748D8" w:rsidRPr="00DE7812" w:rsidRDefault="002748D8" w:rsidP="00DE7812">
      <w:pPr>
        <w:pStyle w:val="FootnoteText"/>
        <w:rPr>
          <w:rFonts w:ascii="Calibri Light" w:hAnsi="Calibri Light"/>
          <w:sz w:val="16"/>
          <w:szCs w:val="16"/>
          <w:lang w:val="es-MX"/>
        </w:rPr>
      </w:pPr>
      <w:r w:rsidRPr="00DE7812">
        <w:rPr>
          <w:rStyle w:val="FootnoteReference"/>
          <w:rFonts w:ascii="Calibri Light" w:hAnsi="Calibri Light"/>
          <w:sz w:val="16"/>
          <w:szCs w:val="16"/>
        </w:rPr>
        <w:footnoteRef/>
      </w:r>
      <w:r w:rsidRPr="00DE7812">
        <w:rPr>
          <w:rFonts w:ascii="Calibri Light" w:hAnsi="Calibri Light"/>
          <w:sz w:val="16"/>
          <w:szCs w:val="16"/>
          <w:lang w:val="es-US"/>
        </w:rPr>
        <w:t xml:space="preserve"> CIDH, </w:t>
      </w:r>
      <w:r w:rsidRPr="00DE7812">
        <w:rPr>
          <w:rFonts w:ascii="Calibri Light" w:hAnsi="Calibri Light"/>
          <w:i/>
          <w:sz w:val="16"/>
          <w:szCs w:val="16"/>
          <w:lang w:val="es-US"/>
        </w:rPr>
        <w:t>La pena de muerte en el sistema interamericano de derechos humanos: de restricciones a abolición</w:t>
      </w:r>
      <w:r w:rsidRPr="00DE7812">
        <w:rPr>
          <w:rFonts w:ascii="Calibri Light" w:hAnsi="Calibri Light" w:cs="Calibri Light"/>
          <w:sz w:val="16"/>
          <w:szCs w:val="16"/>
          <w:lang w:val="es-US"/>
        </w:rPr>
        <w:t>, OAS/</w:t>
      </w:r>
      <w:proofErr w:type="spellStart"/>
      <w:r w:rsidRPr="00DE7812">
        <w:rPr>
          <w:rFonts w:ascii="Calibri Light" w:hAnsi="Calibri Light" w:cs="Calibri Light"/>
          <w:sz w:val="16"/>
          <w:szCs w:val="16"/>
          <w:lang w:val="es-US"/>
        </w:rPr>
        <w:t>Ser.L</w:t>
      </w:r>
      <w:proofErr w:type="spellEnd"/>
      <w:r w:rsidRPr="00DE7812">
        <w:rPr>
          <w:rFonts w:ascii="Calibri Light" w:hAnsi="Calibri Light" w:cs="Calibri Light"/>
          <w:sz w:val="16"/>
          <w:szCs w:val="16"/>
          <w:lang w:val="es-US"/>
        </w:rPr>
        <w:t>/V/II Doc. 68,</w:t>
      </w:r>
      <w:r w:rsidRPr="00DE7812">
        <w:rPr>
          <w:rFonts w:ascii="Calibri Light" w:hAnsi="Calibri Light"/>
          <w:color w:val="000000"/>
          <w:sz w:val="16"/>
          <w:szCs w:val="16"/>
          <w:lang w:val="es-US"/>
        </w:rPr>
        <w:t xml:space="preserve"> 31 de diciembre de 2011</w:t>
      </w:r>
      <w:r w:rsidRPr="00DE7812">
        <w:rPr>
          <w:rFonts w:ascii="Calibri Light" w:hAnsi="Calibri Light" w:cs="Calibri Light"/>
          <w:sz w:val="16"/>
          <w:szCs w:val="16"/>
          <w:lang w:val="es-US"/>
        </w:rPr>
        <w:t xml:space="preserve">, </w:t>
      </w:r>
      <w:proofErr w:type="spellStart"/>
      <w:r w:rsidRPr="00DE7812">
        <w:rPr>
          <w:rFonts w:ascii="Calibri Light" w:hAnsi="Calibri Light" w:cs="Calibri Light"/>
          <w:sz w:val="16"/>
          <w:szCs w:val="16"/>
          <w:lang w:val="es-US"/>
        </w:rPr>
        <w:t>párs</w:t>
      </w:r>
      <w:proofErr w:type="spellEnd"/>
      <w:r w:rsidRPr="00DE7812">
        <w:rPr>
          <w:rFonts w:ascii="Calibri Light" w:hAnsi="Calibri Light" w:cs="Calibri Light"/>
          <w:sz w:val="16"/>
          <w:szCs w:val="16"/>
          <w:lang w:val="es-US"/>
        </w:rPr>
        <w:t xml:space="preserve">. </w:t>
      </w:r>
      <w:r w:rsidRPr="00DE7812">
        <w:rPr>
          <w:rFonts w:ascii="Calibri Light" w:hAnsi="Calibri Light" w:cs="Calibri Light"/>
          <w:sz w:val="16"/>
          <w:szCs w:val="16"/>
          <w:lang w:val="es-MX"/>
        </w:rPr>
        <w:t>138, 139, disponible en</w:t>
      </w:r>
      <w:r w:rsidRPr="00DE7812">
        <w:rPr>
          <w:rFonts w:ascii="Calibri Light" w:hAnsi="Calibri Light"/>
          <w:sz w:val="16"/>
          <w:szCs w:val="16"/>
          <w:lang w:val="es-MX"/>
        </w:rPr>
        <w:t>: http://www.oas.org/es/cidh/docs/pdfs/penademuerte.pdf</w:t>
      </w:r>
    </w:p>
  </w:footnote>
  <w:footnote w:id="3">
    <w:p w14:paraId="3A1570C8" w14:textId="77777777" w:rsidR="002748D8" w:rsidRPr="00DE7812" w:rsidRDefault="002748D8" w:rsidP="00DE7812">
      <w:pPr>
        <w:pStyle w:val="FootnoteText"/>
        <w:rPr>
          <w:rFonts w:ascii="Calibri Light" w:hAnsi="Calibri Light"/>
          <w:sz w:val="16"/>
          <w:szCs w:val="16"/>
          <w:lang w:val="es-US"/>
        </w:rPr>
      </w:pPr>
      <w:r w:rsidRPr="00DE7812">
        <w:rPr>
          <w:rStyle w:val="FootnoteReference"/>
          <w:rFonts w:ascii="Calibri Light" w:hAnsi="Calibri Light"/>
          <w:sz w:val="16"/>
          <w:szCs w:val="16"/>
        </w:rPr>
        <w:footnoteRef/>
      </w:r>
      <w:r w:rsidRPr="00DE7812">
        <w:rPr>
          <w:rFonts w:ascii="Calibri Light" w:hAnsi="Calibri Light"/>
          <w:sz w:val="16"/>
          <w:szCs w:val="16"/>
          <w:lang w:val="es-US"/>
        </w:rPr>
        <w:t xml:space="preserve"> CIDH</w:t>
      </w:r>
      <w:r w:rsidRPr="00DE7812">
        <w:rPr>
          <w:rFonts w:ascii="Calibri Light" w:hAnsi="Calibri Light" w:cs="Calibri Light"/>
          <w:sz w:val="16"/>
          <w:szCs w:val="16"/>
          <w:lang w:val="es-US"/>
        </w:rPr>
        <w:t>, Informe N°90/09, Caso 12.644, Admisibilidad y Fondo (Publicación), Medellín, Ramírez Cárdenas y Leal García, Estados Unidos, 7 de agosto de 2009, párr. 122</w:t>
      </w:r>
      <w:r w:rsidRPr="00DE7812">
        <w:rPr>
          <w:rFonts w:ascii="Calibri Light" w:hAnsi="Calibri Light"/>
          <w:sz w:val="16"/>
          <w:szCs w:val="16"/>
          <w:lang w:val="es-US"/>
        </w:rPr>
        <w:t xml:space="preserve">. </w:t>
      </w:r>
    </w:p>
  </w:footnote>
  <w:footnote w:id="4">
    <w:p w14:paraId="63946B7E" w14:textId="77777777" w:rsidR="002748D8" w:rsidRPr="00DE7812" w:rsidRDefault="002748D8" w:rsidP="00DE7812">
      <w:pPr>
        <w:pStyle w:val="FootnoteText"/>
        <w:rPr>
          <w:rFonts w:ascii="Calibri Light" w:hAnsi="Calibri Light"/>
          <w:sz w:val="16"/>
          <w:szCs w:val="16"/>
          <w:lang w:val="es-US"/>
        </w:rPr>
      </w:pPr>
      <w:r w:rsidRPr="00DE7812">
        <w:rPr>
          <w:rStyle w:val="FootnoteReference"/>
          <w:rFonts w:ascii="Calibri Light" w:hAnsi="Calibri Light"/>
          <w:sz w:val="16"/>
          <w:szCs w:val="16"/>
        </w:rPr>
        <w:footnoteRef/>
      </w:r>
      <w:r w:rsidRPr="00DE7812">
        <w:rPr>
          <w:rFonts w:ascii="Calibri Light" w:hAnsi="Calibri Light"/>
          <w:sz w:val="16"/>
          <w:szCs w:val="16"/>
          <w:lang w:val="es-US"/>
        </w:rPr>
        <w:t xml:space="preserve"> CIDH,</w:t>
      </w:r>
      <w:r w:rsidRPr="00DE7812">
        <w:rPr>
          <w:rFonts w:ascii="Calibri Light" w:hAnsi="Calibri Light"/>
          <w:i/>
          <w:sz w:val="16"/>
          <w:szCs w:val="16"/>
          <w:lang w:val="es-US"/>
        </w:rPr>
        <w:t xml:space="preserve"> La pena de muerte en el sistema interamericano de derechos humanos: de restricciones a abolición</w:t>
      </w:r>
      <w:r w:rsidRPr="00DE7812">
        <w:rPr>
          <w:rFonts w:ascii="Calibri Light" w:hAnsi="Calibri Light" w:cs="Calibri Light"/>
          <w:sz w:val="16"/>
          <w:szCs w:val="16"/>
          <w:lang w:val="es-US"/>
        </w:rPr>
        <w:t>, OAS/</w:t>
      </w:r>
      <w:proofErr w:type="spellStart"/>
      <w:r w:rsidRPr="00DE7812">
        <w:rPr>
          <w:rFonts w:ascii="Calibri Light" w:hAnsi="Calibri Light" w:cs="Calibri Light"/>
          <w:sz w:val="16"/>
          <w:szCs w:val="16"/>
          <w:lang w:val="es-US"/>
        </w:rPr>
        <w:t>Ser.L</w:t>
      </w:r>
      <w:proofErr w:type="spellEnd"/>
      <w:r w:rsidRPr="00DE7812">
        <w:rPr>
          <w:rFonts w:ascii="Calibri Light" w:hAnsi="Calibri Light" w:cs="Calibri Light"/>
          <w:sz w:val="16"/>
          <w:szCs w:val="16"/>
          <w:lang w:val="es-US"/>
        </w:rPr>
        <w:t>/V/II Doc. 68,</w:t>
      </w:r>
      <w:r w:rsidRPr="00DE7812">
        <w:rPr>
          <w:rFonts w:ascii="Calibri Light" w:hAnsi="Calibri Light"/>
          <w:color w:val="000000"/>
          <w:sz w:val="16"/>
          <w:szCs w:val="16"/>
          <w:lang w:val="es-US"/>
        </w:rPr>
        <w:t xml:space="preserve"> 31 de diciembre de 2011</w:t>
      </w:r>
      <w:r w:rsidRPr="00DE7812">
        <w:rPr>
          <w:rFonts w:ascii="Calibri Light" w:hAnsi="Calibri Light" w:cs="Calibri Light"/>
          <w:sz w:val="16"/>
          <w:szCs w:val="16"/>
          <w:lang w:val="es-US"/>
        </w:rPr>
        <w:t>, párr. 141, disponible en</w:t>
      </w:r>
      <w:r w:rsidRPr="00DE7812">
        <w:rPr>
          <w:rFonts w:ascii="Calibri Light" w:hAnsi="Calibri Light"/>
          <w:sz w:val="16"/>
          <w:szCs w:val="16"/>
          <w:lang w:val="es-US"/>
        </w:rPr>
        <w:t>: http://www.oas.org/es/cidh/docs/pdfs/penademuerte.pdf</w:t>
      </w:r>
    </w:p>
  </w:footnote>
  <w:footnote w:id="5">
    <w:p w14:paraId="4FEC9B83" w14:textId="54C03502" w:rsidR="002748D8" w:rsidRPr="00DE7812" w:rsidRDefault="002748D8" w:rsidP="00DE7812">
      <w:pPr>
        <w:pStyle w:val="FootnoteText"/>
        <w:rPr>
          <w:rFonts w:ascii="Calibri Light" w:hAnsi="Calibri Light"/>
          <w:sz w:val="16"/>
          <w:szCs w:val="16"/>
          <w:lang w:val="es-US"/>
        </w:rPr>
      </w:pPr>
      <w:r w:rsidRPr="00DE7812">
        <w:rPr>
          <w:rStyle w:val="FootnoteReference"/>
          <w:rFonts w:ascii="Calibri Light" w:hAnsi="Calibri Light"/>
          <w:sz w:val="16"/>
          <w:szCs w:val="16"/>
        </w:rPr>
        <w:footnoteRef/>
      </w:r>
      <w:r w:rsidRPr="00DE7812">
        <w:rPr>
          <w:rFonts w:ascii="Calibri Light" w:hAnsi="Calibri Light"/>
          <w:sz w:val="16"/>
          <w:szCs w:val="16"/>
          <w:lang w:val="es-US"/>
        </w:rPr>
        <w:t xml:space="preserve"> </w:t>
      </w:r>
      <w:r w:rsidR="004765CF">
        <w:rPr>
          <w:rFonts w:ascii="Calibri Light" w:hAnsi="Calibri Light"/>
          <w:sz w:val="16"/>
          <w:szCs w:val="16"/>
          <w:lang w:val="es-US"/>
        </w:rPr>
        <w:t>CIDH.</w:t>
      </w:r>
      <w:r w:rsidRPr="00DE7812">
        <w:rPr>
          <w:rFonts w:ascii="Calibri Light" w:hAnsi="Calibri Light"/>
          <w:bCs/>
          <w:i/>
          <w:sz w:val="16"/>
          <w:szCs w:val="16"/>
          <w:lang w:val="es-US"/>
        </w:rPr>
        <w:t xml:space="preserve"> </w:t>
      </w:r>
      <w:r w:rsidRPr="00DE7812">
        <w:rPr>
          <w:rFonts w:ascii="Calibri Light" w:hAnsi="Calibri Light"/>
          <w:bCs/>
          <w:sz w:val="16"/>
          <w:szCs w:val="16"/>
          <w:lang w:val="es-US"/>
        </w:rPr>
        <w:t xml:space="preserve">Víctor Hugo </w:t>
      </w:r>
      <w:proofErr w:type="spellStart"/>
      <w:r w:rsidRPr="00DE7812">
        <w:rPr>
          <w:rFonts w:ascii="Calibri Light" w:hAnsi="Calibri Light"/>
          <w:bCs/>
          <w:sz w:val="16"/>
          <w:szCs w:val="16"/>
          <w:lang w:val="es-US"/>
        </w:rPr>
        <w:t>Saldaño</w:t>
      </w:r>
      <w:proofErr w:type="spellEnd"/>
      <w:r w:rsidRPr="00DE7812">
        <w:rPr>
          <w:rFonts w:ascii="Calibri Light" w:hAnsi="Calibri Light"/>
          <w:bCs/>
          <w:sz w:val="16"/>
          <w:szCs w:val="16"/>
          <w:lang w:val="es-US"/>
        </w:rPr>
        <w:t xml:space="preserve"> respecto de Estados Unidos (MC-241-17), Resolución 14/17 del 26 de mayo; </w:t>
      </w:r>
      <w:r w:rsidRPr="00DE7812">
        <w:rPr>
          <w:rFonts w:ascii="Calibri Light" w:hAnsi="Calibri Light"/>
          <w:sz w:val="16"/>
          <w:szCs w:val="16"/>
          <w:lang w:val="es-US"/>
        </w:rPr>
        <w:t xml:space="preserve">Williams Charles </w:t>
      </w:r>
      <w:proofErr w:type="spellStart"/>
      <w:r w:rsidRPr="00DE7812">
        <w:rPr>
          <w:rFonts w:ascii="Calibri Light" w:hAnsi="Calibri Light"/>
          <w:sz w:val="16"/>
          <w:szCs w:val="16"/>
          <w:lang w:val="es-US"/>
        </w:rPr>
        <w:t>Morva</w:t>
      </w:r>
      <w:proofErr w:type="spellEnd"/>
      <w:r w:rsidRPr="00DE7812">
        <w:rPr>
          <w:rFonts w:ascii="Calibri Light" w:hAnsi="Calibri Light"/>
          <w:sz w:val="16"/>
          <w:szCs w:val="16"/>
          <w:lang w:val="es-US"/>
        </w:rPr>
        <w:t xml:space="preserve"> respecto de </w:t>
      </w:r>
      <w:r w:rsidRPr="00DE7812">
        <w:rPr>
          <w:rFonts w:ascii="Calibri Light" w:hAnsi="Calibri Light"/>
          <w:bCs/>
          <w:sz w:val="16"/>
          <w:szCs w:val="16"/>
          <w:lang w:val="es-US"/>
        </w:rPr>
        <w:t xml:space="preserve">Estados Unidos </w:t>
      </w:r>
      <w:r w:rsidRPr="00DE7812">
        <w:rPr>
          <w:rFonts w:ascii="Calibri Light" w:hAnsi="Calibri Light"/>
          <w:sz w:val="16"/>
          <w:szCs w:val="16"/>
          <w:lang w:val="es-US"/>
        </w:rPr>
        <w:t xml:space="preserve">(MC-156-17), Resolución 9/2017 de 16 de marzo de 2017; Alfredo Rolando Prieto respecto de </w:t>
      </w:r>
      <w:r w:rsidRPr="00DE7812">
        <w:rPr>
          <w:rFonts w:ascii="Calibri Light" w:hAnsi="Calibri Light"/>
          <w:bCs/>
          <w:sz w:val="16"/>
          <w:szCs w:val="16"/>
          <w:lang w:val="es-US"/>
        </w:rPr>
        <w:t xml:space="preserve">Estados Unidos </w:t>
      </w:r>
      <w:r w:rsidRPr="00DE7812">
        <w:rPr>
          <w:rFonts w:ascii="Calibri Light" w:hAnsi="Calibri Light"/>
          <w:sz w:val="16"/>
          <w:szCs w:val="16"/>
          <w:lang w:val="es-US"/>
        </w:rPr>
        <w:t xml:space="preserve">(MC-498-15), Resolución 32/2015 de 29 de septiembre de 2015; José Trinidad Loza Ventura </w:t>
      </w:r>
      <w:r w:rsidRPr="00DE7812">
        <w:rPr>
          <w:rFonts w:ascii="Calibri Light" w:hAnsi="Calibri Light"/>
          <w:bCs/>
          <w:sz w:val="16"/>
          <w:szCs w:val="16"/>
          <w:lang w:val="es-US"/>
        </w:rPr>
        <w:t xml:space="preserve">respecto de Estados Unidos </w:t>
      </w:r>
      <w:r w:rsidRPr="00DE7812">
        <w:rPr>
          <w:rFonts w:ascii="Calibri Light" w:hAnsi="Calibri Light"/>
          <w:sz w:val="16"/>
          <w:szCs w:val="16"/>
          <w:lang w:val="es-US"/>
        </w:rPr>
        <w:t xml:space="preserve">(MC-304-15), Resolución 27/2015 del 11 de agosto de 2015; Samuel </w:t>
      </w:r>
      <w:proofErr w:type="spellStart"/>
      <w:r w:rsidRPr="00DE7812">
        <w:rPr>
          <w:rFonts w:ascii="Calibri Light" w:hAnsi="Calibri Light"/>
          <w:sz w:val="16"/>
          <w:szCs w:val="16"/>
          <w:lang w:val="es-US"/>
        </w:rPr>
        <w:t>Moreland</w:t>
      </w:r>
      <w:proofErr w:type="spellEnd"/>
      <w:r w:rsidRPr="00DE7812">
        <w:rPr>
          <w:rFonts w:ascii="Calibri Light" w:hAnsi="Calibri Light"/>
          <w:sz w:val="16"/>
          <w:szCs w:val="16"/>
          <w:lang w:val="es-US"/>
        </w:rPr>
        <w:t xml:space="preserve"> </w:t>
      </w:r>
      <w:r w:rsidRPr="00DE7812">
        <w:rPr>
          <w:rFonts w:ascii="Calibri Light" w:hAnsi="Calibri Light"/>
          <w:bCs/>
          <w:sz w:val="16"/>
          <w:szCs w:val="16"/>
          <w:lang w:val="es-US"/>
        </w:rPr>
        <w:t xml:space="preserve">respecto de Estados Unidos </w:t>
      </w:r>
      <w:r w:rsidRPr="00DE7812">
        <w:rPr>
          <w:rFonts w:ascii="Calibri Light" w:hAnsi="Calibri Light"/>
          <w:sz w:val="16"/>
          <w:szCs w:val="16"/>
          <w:lang w:val="es-US"/>
        </w:rPr>
        <w:t xml:space="preserve">(MC-37-14), Resolución 32/2014; John </w:t>
      </w:r>
      <w:proofErr w:type="spellStart"/>
      <w:r w:rsidRPr="00DE7812">
        <w:rPr>
          <w:rFonts w:ascii="Calibri Light" w:hAnsi="Calibri Light"/>
          <w:sz w:val="16"/>
          <w:szCs w:val="16"/>
          <w:lang w:val="es-US"/>
        </w:rPr>
        <w:t>Winfield</w:t>
      </w:r>
      <w:proofErr w:type="spellEnd"/>
      <w:r w:rsidRPr="00DE7812">
        <w:rPr>
          <w:rFonts w:ascii="Calibri Light" w:hAnsi="Calibri Light"/>
          <w:sz w:val="16"/>
          <w:szCs w:val="16"/>
          <w:lang w:val="es-US"/>
        </w:rPr>
        <w:t xml:space="preserve"> </w:t>
      </w:r>
      <w:r w:rsidRPr="00DE7812">
        <w:rPr>
          <w:rFonts w:ascii="Calibri Light" w:hAnsi="Calibri Light"/>
          <w:bCs/>
          <w:sz w:val="16"/>
          <w:szCs w:val="16"/>
          <w:lang w:val="es-US"/>
        </w:rPr>
        <w:t xml:space="preserve">respecto de Estados Unidos </w:t>
      </w:r>
      <w:r w:rsidRPr="00DE7812">
        <w:rPr>
          <w:rFonts w:ascii="Calibri Light" w:hAnsi="Calibri Light"/>
          <w:sz w:val="16"/>
          <w:szCs w:val="16"/>
          <w:lang w:val="es-US"/>
        </w:rPr>
        <w:t xml:space="preserve">(MC-204-14), Resolución 16/2014 del 6 de junio de 2014; Russell </w:t>
      </w:r>
      <w:proofErr w:type="spellStart"/>
      <w:r w:rsidRPr="00DE7812">
        <w:rPr>
          <w:rFonts w:ascii="Calibri Light" w:hAnsi="Calibri Light"/>
          <w:sz w:val="16"/>
          <w:szCs w:val="16"/>
          <w:lang w:val="es-US"/>
        </w:rPr>
        <w:t>Bucklew</w:t>
      </w:r>
      <w:proofErr w:type="spellEnd"/>
      <w:r w:rsidRPr="00DE7812">
        <w:rPr>
          <w:rFonts w:ascii="Calibri Light" w:hAnsi="Calibri Light"/>
          <w:sz w:val="16"/>
          <w:szCs w:val="16"/>
          <w:lang w:val="es-US"/>
        </w:rPr>
        <w:t xml:space="preserve"> y Charles </w:t>
      </w:r>
      <w:proofErr w:type="spellStart"/>
      <w:r w:rsidRPr="00DE7812">
        <w:rPr>
          <w:rFonts w:ascii="Calibri Light" w:hAnsi="Calibri Light"/>
          <w:sz w:val="16"/>
          <w:szCs w:val="16"/>
          <w:lang w:val="es-US"/>
        </w:rPr>
        <w:t>Warmer</w:t>
      </w:r>
      <w:proofErr w:type="spellEnd"/>
      <w:r w:rsidRPr="00DE7812">
        <w:rPr>
          <w:rFonts w:ascii="Calibri Light" w:hAnsi="Calibri Light"/>
          <w:sz w:val="16"/>
          <w:szCs w:val="16"/>
          <w:lang w:val="es-US"/>
        </w:rPr>
        <w:t xml:space="preserve"> </w:t>
      </w:r>
      <w:r w:rsidRPr="00DE7812">
        <w:rPr>
          <w:rFonts w:ascii="Calibri Light" w:hAnsi="Calibri Light"/>
          <w:bCs/>
          <w:sz w:val="16"/>
          <w:szCs w:val="16"/>
          <w:lang w:val="es-US"/>
        </w:rPr>
        <w:t xml:space="preserve">respecto de Estados Unidos </w:t>
      </w:r>
      <w:r w:rsidRPr="00DE7812">
        <w:rPr>
          <w:rFonts w:ascii="Calibri Light" w:hAnsi="Calibri Light"/>
          <w:sz w:val="16"/>
          <w:szCs w:val="16"/>
          <w:lang w:val="es-US"/>
        </w:rPr>
        <w:t>(MC-177-14), Resolución 14/2014 del 20 de mayo de 2014. Todas las decisiones disponibles en: http://www.oas.org/es/cidh/decisiones/cautelares.asp.</w:t>
      </w:r>
    </w:p>
  </w:footnote>
  <w:footnote w:id="6">
    <w:p w14:paraId="4316C928" w14:textId="77777777" w:rsidR="002748D8" w:rsidRPr="00DE7812" w:rsidRDefault="002748D8" w:rsidP="00DE7812">
      <w:pPr>
        <w:pStyle w:val="FootnoteText"/>
        <w:rPr>
          <w:rFonts w:ascii="Calibri Light" w:hAnsi="Calibri Light"/>
          <w:sz w:val="16"/>
          <w:szCs w:val="16"/>
          <w:lang w:val="es-US"/>
        </w:rPr>
      </w:pPr>
      <w:r w:rsidRPr="00DE7812">
        <w:rPr>
          <w:rStyle w:val="FootnoteReference"/>
          <w:rFonts w:ascii="Calibri Light" w:hAnsi="Calibri Light"/>
          <w:sz w:val="16"/>
          <w:szCs w:val="16"/>
          <w:lang w:val="es-US"/>
        </w:rPr>
        <w:footnoteRef/>
      </w:r>
      <w:r w:rsidRPr="00DE7812">
        <w:rPr>
          <w:rFonts w:ascii="Calibri Light" w:hAnsi="Calibri Light"/>
          <w:sz w:val="16"/>
          <w:szCs w:val="16"/>
          <w:lang w:val="es-US"/>
        </w:rPr>
        <w:t xml:space="preserve"> CIDH, Informe No. 24/17, Caso 12.254. Fondo. Víctor </w:t>
      </w:r>
      <w:proofErr w:type="spellStart"/>
      <w:r w:rsidRPr="00DE7812">
        <w:rPr>
          <w:rFonts w:ascii="Calibri Light" w:hAnsi="Calibri Light"/>
          <w:sz w:val="16"/>
          <w:szCs w:val="16"/>
          <w:lang w:val="es-US"/>
        </w:rPr>
        <w:t>Saldaño</w:t>
      </w:r>
      <w:proofErr w:type="spellEnd"/>
      <w:r w:rsidRPr="00DE7812">
        <w:rPr>
          <w:rFonts w:ascii="Calibri Light" w:hAnsi="Calibri Light"/>
          <w:sz w:val="16"/>
          <w:szCs w:val="16"/>
          <w:lang w:val="es-US"/>
        </w:rPr>
        <w:t xml:space="preserve">. Estados Unidos. 18 de marzo de 2017, párr. 249. </w:t>
      </w:r>
    </w:p>
  </w:footnote>
  <w:footnote w:id="7">
    <w:p w14:paraId="5C2FD1D4" w14:textId="77777777" w:rsidR="002748D8" w:rsidRPr="00DE7812" w:rsidRDefault="002748D8" w:rsidP="00DE7812">
      <w:pPr>
        <w:pStyle w:val="FootnoteText"/>
        <w:rPr>
          <w:rFonts w:ascii="Calibri Light" w:hAnsi="Calibri Light" w:cs="Calibri Light"/>
          <w:sz w:val="16"/>
          <w:szCs w:val="16"/>
          <w:lang w:val="es-US"/>
        </w:rPr>
      </w:pPr>
      <w:r w:rsidRPr="00DE7812">
        <w:rPr>
          <w:rStyle w:val="FootnoteReference"/>
          <w:rFonts w:ascii="Calibri Light" w:hAnsi="Calibri Light"/>
          <w:sz w:val="16"/>
          <w:szCs w:val="16"/>
          <w:lang w:val="es-US"/>
        </w:rPr>
        <w:footnoteRef/>
      </w:r>
      <w:r w:rsidRPr="00DE7812">
        <w:rPr>
          <w:rFonts w:ascii="Calibri Light" w:hAnsi="Calibri Light"/>
          <w:sz w:val="16"/>
          <w:szCs w:val="16"/>
          <w:lang w:val="es-US"/>
        </w:rPr>
        <w:t xml:space="preserve"> </w:t>
      </w:r>
      <w:r w:rsidRPr="00DE7812">
        <w:rPr>
          <w:rFonts w:ascii="Calibri Light" w:hAnsi="Calibri Light" w:cs="Calibri Light"/>
          <w:sz w:val="16"/>
          <w:szCs w:val="16"/>
          <w:lang w:val="es-US"/>
        </w:rPr>
        <w:t xml:space="preserve">CIDH, Informe No. 44/14, Caso 12.873. Fondo (Publicación). Edgar Tamayo Arias. </w:t>
      </w:r>
      <w:r w:rsidRPr="00DE7812">
        <w:rPr>
          <w:rFonts w:ascii="Calibri Light" w:hAnsi="Calibri Light"/>
          <w:sz w:val="16"/>
          <w:szCs w:val="16"/>
          <w:lang w:val="es-US"/>
        </w:rPr>
        <w:t>Estados Unidos</w:t>
      </w:r>
      <w:r w:rsidRPr="00DE7812">
        <w:rPr>
          <w:rFonts w:ascii="Calibri Light" w:hAnsi="Calibri Light" w:cs="Calibri Light"/>
          <w:sz w:val="16"/>
          <w:szCs w:val="16"/>
          <w:lang w:val="es-US"/>
        </w:rPr>
        <w:t xml:space="preserve">. 17 de julio de 2014, párr. 117.  </w:t>
      </w:r>
    </w:p>
  </w:footnote>
  <w:footnote w:id="8">
    <w:p w14:paraId="3191AB1A" w14:textId="3B0EC6A6" w:rsidR="002748D8" w:rsidRPr="00DE7812" w:rsidRDefault="002748D8" w:rsidP="00DE7812">
      <w:pPr>
        <w:pStyle w:val="FootnoteText"/>
        <w:rPr>
          <w:rFonts w:ascii="Calibri Light" w:hAnsi="Calibri Light"/>
          <w:sz w:val="16"/>
          <w:szCs w:val="16"/>
          <w:lang w:val="es-US"/>
        </w:rPr>
      </w:pPr>
      <w:r w:rsidRPr="00DE7812">
        <w:rPr>
          <w:rStyle w:val="FootnoteReference"/>
          <w:rFonts w:ascii="Calibri Light" w:hAnsi="Calibri Light"/>
          <w:sz w:val="16"/>
          <w:szCs w:val="16"/>
          <w:lang w:val="es-US"/>
        </w:rPr>
        <w:footnoteRef/>
      </w:r>
      <w:r w:rsidR="004765CF">
        <w:rPr>
          <w:rFonts w:ascii="Calibri Light" w:hAnsi="Calibri Light"/>
          <w:sz w:val="16"/>
          <w:szCs w:val="16"/>
          <w:lang w:val="es-US"/>
        </w:rPr>
        <w:t xml:space="preserve"> CIDH,</w:t>
      </w:r>
      <w:r w:rsidRPr="00DE7812">
        <w:rPr>
          <w:rFonts w:ascii="Calibri Light" w:hAnsi="Calibri Light"/>
          <w:sz w:val="16"/>
          <w:szCs w:val="16"/>
          <w:lang w:val="es-US"/>
        </w:rPr>
        <w:t xml:space="preserve"> Asunto de Rubén Ramírez Cárdenas respecto de Estados Unidos (MC-736-17), Resolución 41/2017 del 18 de</w:t>
      </w:r>
      <w:r w:rsidR="004765CF">
        <w:rPr>
          <w:rFonts w:ascii="Calibri Light" w:hAnsi="Calibri Light"/>
          <w:sz w:val="16"/>
          <w:szCs w:val="16"/>
          <w:lang w:val="es-US"/>
        </w:rPr>
        <w:t xml:space="preserve"> octubre de 2017, disponible en</w:t>
      </w:r>
      <w:r w:rsidR="009E5ED2">
        <w:rPr>
          <w:rFonts w:ascii="Calibri Light" w:hAnsi="Calibri Light"/>
          <w:sz w:val="16"/>
          <w:szCs w:val="16"/>
          <w:lang w:val="es-US"/>
        </w:rPr>
        <w:t>:</w:t>
      </w:r>
      <w:r w:rsidRPr="00DE7812">
        <w:rPr>
          <w:rFonts w:ascii="Calibri Light" w:hAnsi="Calibri Light"/>
          <w:sz w:val="16"/>
          <w:szCs w:val="16"/>
          <w:lang w:val="es-US"/>
        </w:rPr>
        <w:t xml:space="preserve"> </w:t>
      </w:r>
      <w:r w:rsidR="00597835">
        <w:fldChar w:fldCharType="begin"/>
      </w:r>
      <w:r w:rsidR="00597835" w:rsidRPr="00FA2BC3">
        <w:rPr>
          <w:lang w:val="es-MX"/>
        </w:rPr>
        <w:instrText xml:space="preserve"> HYPERLINK "http://www.oas.org/es/cidh/decisiones/pdf/2017/41-17MC736-1</w:instrText>
      </w:r>
      <w:r w:rsidR="00597835" w:rsidRPr="00FA2BC3">
        <w:rPr>
          <w:lang w:val="es-MX"/>
        </w:rPr>
        <w:instrText xml:space="preserve">7US.pdf" </w:instrText>
      </w:r>
      <w:r w:rsidR="00597835">
        <w:fldChar w:fldCharType="separate"/>
      </w:r>
      <w:r w:rsidR="004765CF" w:rsidRPr="009A4494">
        <w:rPr>
          <w:rStyle w:val="Hyperlink"/>
          <w:rFonts w:ascii="Calibri Light" w:hAnsi="Calibri Light"/>
          <w:sz w:val="16"/>
          <w:szCs w:val="16"/>
          <w:lang w:val="es-US"/>
        </w:rPr>
        <w:t>http://www.oas.org/es/cidh/decisiones/pdf/2017/41-17MC736-17US.pdf</w:t>
      </w:r>
      <w:r w:rsidR="00597835">
        <w:rPr>
          <w:rStyle w:val="Hyperlink"/>
          <w:rFonts w:ascii="Calibri Light" w:hAnsi="Calibri Light"/>
          <w:sz w:val="16"/>
          <w:szCs w:val="16"/>
          <w:lang w:val="es-US"/>
        </w:rPr>
        <w:fldChar w:fldCharType="end"/>
      </w:r>
      <w:r w:rsidR="004765CF">
        <w:rPr>
          <w:rFonts w:ascii="Calibri Light" w:hAnsi="Calibri Light"/>
          <w:sz w:val="16"/>
          <w:szCs w:val="16"/>
          <w:lang w:val="es-US"/>
        </w:rPr>
        <w:t xml:space="preserve"> </w:t>
      </w:r>
    </w:p>
  </w:footnote>
  <w:footnote w:id="9">
    <w:p w14:paraId="745236A2" w14:textId="2FA952EF" w:rsidR="004B7EEE" w:rsidRPr="00DE7812" w:rsidRDefault="004B7EEE" w:rsidP="004B7EEE">
      <w:pPr>
        <w:pStyle w:val="FootnoteText"/>
        <w:rPr>
          <w:rFonts w:ascii="Calibri Light" w:hAnsi="Calibri Light"/>
          <w:sz w:val="16"/>
          <w:szCs w:val="16"/>
          <w:lang w:val="es-US"/>
        </w:rPr>
      </w:pPr>
      <w:r w:rsidRPr="00DE7812">
        <w:rPr>
          <w:rFonts w:ascii="Calibri Light" w:hAnsi="Calibri Light"/>
          <w:sz w:val="16"/>
          <w:szCs w:val="16"/>
          <w:vertAlign w:val="superscript"/>
          <w:lang w:val="es-US"/>
        </w:rPr>
        <w:footnoteRef/>
      </w:r>
      <w:r w:rsidRPr="00DE7812">
        <w:rPr>
          <w:rFonts w:ascii="Calibri Light" w:hAnsi="Calibri Light"/>
          <w:sz w:val="16"/>
          <w:szCs w:val="16"/>
          <w:lang w:val="es-US"/>
        </w:rPr>
        <w:t xml:space="preserve"> </w:t>
      </w:r>
      <w:r w:rsidR="00827656">
        <w:rPr>
          <w:rFonts w:ascii="Calibri Light" w:hAnsi="Calibri Light"/>
          <w:sz w:val="16"/>
          <w:szCs w:val="16"/>
          <w:lang w:val="es-US"/>
        </w:rPr>
        <w:t>Al respecto</w:t>
      </w:r>
      <w:r w:rsidRPr="00DE7812">
        <w:rPr>
          <w:rFonts w:ascii="Calibri Light" w:hAnsi="Calibri Light"/>
          <w:sz w:val="16"/>
          <w:szCs w:val="16"/>
          <w:lang w:val="es-US"/>
        </w:rPr>
        <w:t xml:space="preserve">, en el caso </w:t>
      </w:r>
      <w:proofErr w:type="spellStart"/>
      <w:r w:rsidRPr="00DE7812">
        <w:rPr>
          <w:rFonts w:ascii="Calibri Light" w:hAnsi="Calibri Light"/>
          <w:i/>
          <w:sz w:val="16"/>
          <w:szCs w:val="16"/>
          <w:lang w:val="es-US"/>
        </w:rPr>
        <w:t>Soering</w:t>
      </w:r>
      <w:proofErr w:type="spellEnd"/>
      <w:r w:rsidRPr="00DE7812">
        <w:rPr>
          <w:rFonts w:ascii="Calibri Light" w:hAnsi="Calibri Light"/>
          <w:i/>
          <w:sz w:val="16"/>
          <w:szCs w:val="16"/>
          <w:lang w:val="es-US"/>
        </w:rPr>
        <w:t xml:space="preserve"> v.</w:t>
      </w:r>
      <w:r w:rsidRPr="00DE7812">
        <w:rPr>
          <w:rFonts w:ascii="Calibri Light" w:hAnsi="Calibri Light"/>
          <w:sz w:val="16"/>
          <w:szCs w:val="16"/>
          <w:lang w:val="es-US"/>
        </w:rPr>
        <w:t xml:space="preserve"> </w:t>
      </w:r>
      <w:proofErr w:type="spellStart"/>
      <w:r w:rsidRPr="00DE7812">
        <w:rPr>
          <w:rFonts w:ascii="Calibri Light" w:hAnsi="Calibri Light"/>
          <w:i/>
          <w:iCs/>
          <w:sz w:val="16"/>
          <w:szCs w:val="16"/>
          <w:lang w:val="es-US"/>
        </w:rPr>
        <w:t>United</w:t>
      </w:r>
      <w:proofErr w:type="spellEnd"/>
      <w:r w:rsidRPr="00DE7812">
        <w:rPr>
          <w:rFonts w:ascii="Calibri Light" w:hAnsi="Calibri Light"/>
          <w:i/>
          <w:iCs/>
          <w:sz w:val="16"/>
          <w:szCs w:val="16"/>
          <w:lang w:val="es-US"/>
        </w:rPr>
        <w:t xml:space="preserve"> </w:t>
      </w:r>
      <w:proofErr w:type="spellStart"/>
      <w:r w:rsidRPr="00DE7812">
        <w:rPr>
          <w:rFonts w:ascii="Calibri Light" w:hAnsi="Calibri Light"/>
          <w:i/>
          <w:iCs/>
          <w:sz w:val="16"/>
          <w:szCs w:val="16"/>
          <w:lang w:val="es-US"/>
        </w:rPr>
        <w:t>Kingdom</w:t>
      </w:r>
      <w:proofErr w:type="spellEnd"/>
      <w:r w:rsidRPr="00DE7812">
        <w:rPr>
          <w:rFonts w:ascii="Calibri Light" w:hAnsi="Calibri Light"/>
          <w:iCs/>
          <w:sz w:val="16"/>
          <w:szCs w:val="16"/>
          <w:lang w:val="es-US"/>
        </w:rPr>
        <w:t xml:space="preserve">, la Corte Europea concluyó que “el fenómeno del corredor de la muerte” se caracteriza por un prolongado período de detención en espera de la ejecución; durante este tiempo, los prisioneros padecen una gran angustia mental además de otras condiciones. </w:t>
      </w:r>
      <w:r w:rsidRPr="00DE7812">
        <w:rPr>
          <w:rFonts w:ascii="Calibri Light" w:hAnsi="Calibri Light"/>
          <w:sz w:val="16"/>
          <w:szCs w:val="16"/>
          <w:lang w:val="es-US"/>
        </w:rPr>
        <w:t xml:space="preserve">CIDH, </w:t>
      </w:r>
      <w:r w:rsidRPr="00DE7812">
        <w:rPr>
          <w:rFonts w:ascii="Calibri Light" w:hAnsi="Calibri Light"/>
          <w:i/>
          <w:sz w:val="16"/>
          <w:szCs w:val="16"/>
          <w:lang w:val="es-US"/>
        </w:rPr>
        <w:t>La pena de muerte en el sistema interamericano de derechos humanos: de restricciones a abolición</w:t>
      </w:r>
      <w:r w:rsidRPr="00DE7812">
        <w:rPr>
          <w:rFonts w:ascii="Calibri Light" w:hAnsi="Calibri Light"/>
          <w:sz w:val="16"/>
          <w:szCs w:val="16"/>
          <w:lang w:val="es-US"/>
        </w:rPr>
        <w:t xml:space="preserve">, </w:t>
      </w:r>
      <w:r w:rsidRPr="00DE7812">
        <w:rPr>
          <w:rFonts w:ascii="Calibri Light" w:hAnsi="Calibri Light"/>
          <w:color w:val="000000"/>
          <w:sz w:val="16"/>
          <w:szCs w:val="16"/>
          <w:lang w:val="es-US"/>
        </w:rPr>
        <w:t>OEA/</w:t>
      </w:r>
      <w:proofErr w:type="spellStart"/>
      <w:r w:rsidRPr="00DE7812">
        <w:rPr>
          <w:rFonts w:ascii="Calibri Light" w:hAnsi="Calibri Light"/>
          <w:color w:val="000000"/>
          <w:sz w:val="16"/>
          <w:szCs w:val="16"/>
          <w:lang w:val="es-US"/>
        </w:rPr>
        <w:t>Ser.L</w:t>
      </w:r>
      <w:proofErr w:type="spellEnd"/>
      <w:r w:rsidRPr="00DE7812">
        <w:rPr>
          <w:rFonts w:ascii="Calibri Light" w:hAnsi="Calibri Light"/>
          <w:color w:val="000000"/>
          <w:sz w:val="16"/>
          <w:szCs w:val="16"/>
          <w:lang w:val="es-US"/>
        </w:rPr>
        <w:t xml:space="preserve">/V/II. Doc. 68, 31 de diciembre de 2011, pág. 200. Disponible en: https://www.oas.org/es/cidh/docs/pdfs/penademuerte.pdf. </w:t>
      </w:r>
    </w:p>
  </w:footnote>
  <w:footnote w:id="10">
    <w:p w14:paraId="3C5DCC4D" w14:textId="77777777" w:rsidR="002748D8" w:rsidRPr="00DE7812" w:rsidRDefault="002748D8" w:rsidP="00DE7812">
      <w:pPr>
        <w:autoSpaceDE w:val="0"/>
        <w:autoSpaceDN w:val="0"/>
        <w:adjustRightInd w:val="0"/>
        <w:spacing w:after="0" w:line="240" w:lineRule="auto"/>
        <w:rPr>
          <w:rFonts w:ascii="Calibri Light" w:hAnsi="Calibri Light"/>
          <w:i/>
          <w:sz w:val="16"/>
          <w:szCs w:val="16"/>
          <w:lang w:val="es-US"/>
        </w:rPr>
      </w:pPr>
      <w:r w:rsidRPr="00DE7812">
        <w:rPr>
          <w:rFonts w:ascii="Calibri Light" w:hAnsi="Calibri Light"/>
          <w:sz w:val="16"/>
          <w:szCs w:val="16"/>
          <w:vertAlign w:val="superscript"/>
          <w:lang w:val="es-US"/>
        </w:rPr>
        <w:footnoteRef/>
      </w:r>
      <w:r w:rsidRPr="00DE7812">
        <w:rPr>
          <w:rFonts w:ascii="Calibri Light" w:hAnsi="Calibri Light"/>
          <w:sz w:val="16"/>
          <w:szCs w:val="16"/>
          <w:lang w:val="es-US"/>
        </w:rPr>
        <w:t xml:space="preserve"> Naciones Unidas, </w:t>
      </w:r>
      <w:r w:rsidRPr="00DE7812">
        <w:rPr>
          <w:rFonts w:ascii="Calibri Light" w:hAnsi="Calibri Light"/>
          <w:i/>
          <w:sz w:val="16"/>
          <w:szCs w:val="16"/>
          <w:lang w:val="es-US"/>
        </w:rPr>
        <w:t>Informe provisional del Relator Especial sobre la tortura y otros tratos o penas crueles, inhumanos o degradantes</w:t>
      </w:r>
      <w:r w:rsidRPr="00DE7812">
        <w:rPr>
          <w:rFonts w:ascii="Calibri Light" w:hAnsi="Calibri Light"/>
          <w:sz w:val="16"/>
          <w:szCs w:val="16"/>
          <w:lang w:val="es-US"/>
        </w:rPr>
        <w:t>, 9 de agosto de 2012, A/67/279, párr. 48</w:t>
      </w:r>
      <w:r w:rsidRPr="00DE7812">
        <w:rPr>
          <w:rFonts w:ascii="Calibri Light" w:hAnsi="Calibri Light"/>
          <w:bCs/>
          <w:color w:val="000000"/>
          <w:sz w:val="16"/>
          <w:szCs w:val="16"/>
          <w:lang w:val="es-US"/>
        </w:rPr>
        <w:t xml:space="preserve">. </w:t>
      </w:r>
    </w:p>
  </w:footnote>
  <w:footnote w:id="11">
    <w:p w14:paraId="5C88EACD" w14:textId="77777777" w:rsidR="002748D8" w:rsidRPr="00DE7812" w:rsidRDefault="002748D8" w:rsidP="00DE7812">
      <w:pPr>
        <w:pStyle w:val="FootnoteText"/>
        <w:rPr>
          <w:rFonts w:ascii="Calibri Light" w:hAnsi="Calibri Light"/>
          <w:sz w:val="16"/>
          <w:szCs w:val="16"/>
          <w:lang w:val="es-US"/>
        </w:rPr>
      </w:pPr>
      <w:r w:rsidRPr="00DE7812">
        <w:rPr>
          <w:rFonts w:ascii="Calibri Light" w:hAnsi="Calibri Light"/>
          <w:sz w:val="16"/>
          <w:szCs w:val="16"/>
          <w:vertAlign w:val="superscript"/>
          <w:lang w:val="es-US"/>
        </w:rPr>
        <w:footnoteRef/>
      </w:r>
      <w:r w:rsidRPr="00DE7812">
        <w:rPr>
          <w:rFonts w:ascii="Calibri Light" w:hAnsi="Calibri Light"/>
          <w:sz w:val="16"/>
          <w:szCs w:val="16"/>
          <w:lang w:val="es-US"/>
        </w:rPr>
        <w:t xml:space="preserve"> CIDH, Informe No. 5/17, Caso 12. 254, Víctor </w:t>
      </w:r>
      <w:proofErr w:type="spellStart"/>
      <w:r w:rsidRPr="00DE7812">
        <w:rPr>
          <w:rFonts w:ascii="Calibri Light" w:hAnsi="Calibri Light"/>
          <w:sz w:val="16"/>
          <w:szCs w:val="16"/>
          <w:lang w:val="es-US"/>
        </w:rPr>
        <w:t>Saldaño</w:t>
      </w:r>
      <w:proofErr w:type="spellEnd"/>
      <w:r w:rsidRPr="00DE7812">
        <w:rPr>
          <w:rFonts w:ascii="Calibri Light" w:hAnsi="Calibri Light"/>
          <w:sz w:val="16"/>
          <w:szCs w:val="16"/>
          <w:lang w:val="es-US"/>
        </w:rPr>
        <w:t xml:space="preserve"> (Estados Unidos), 27 de enero de 2017, párr. 251.</w:t>
      </w:r>
    </w:p>
  </w:footnote>
  <w:footnote w:id="12">
    <w:p w14:paraId="011B324C" w14:textId="1DBF5018" w:rsidR="00DE7812" w:rsidRPr="00DE7812" w:rsidRDefault="00DE7812" w:rsidP="00DE7812">
      <w:pPr>
        <w:pStyle w:val="FootnoteText"/>
        <w:rPr>
          <w:rFonts w:ascii="Calibri Light" w:hAnsi="Calibri Light"/>
          <w:sz w:val="16"/>
          <w:szCs w:val="16"/>
          <w:lang w:val="es-US"/>
        </w:rPr>
      </w:pPr>
      <w:r w:rsidRPr="00DE7812">
        <w:rPr>
          <w:rStyle w:val="FootnoteReference"/>
          <w:rFonts w:ascii="Calibri Light" w:hAnsi="Calibri Light"/>
          <w:sz w:val="16"/>
          <w:szCs w:val="16"/>
        </w:rPr>
        <w:footnoteRef/>
      </w:r>
      <w:r w:rsidRPr="00DE7812">
        <w:rPr>
          <w:rFonts w:ascii="Calibri Light" w:hAnsi="Calibri Light"/>
          <w:sz w:val="16"/>
          <w:szCs w:val="16"/>
          <w:lang w:val="es-US"/>
        </w:rPr>
        <w:t xml:space="preserve"> La Comisión ha otorgado medidas cautelares en asunt</w:t>
      </w:r>
      <w:bookmarkStart w:id="0" w:name="_GoBack"/>
      <w:bookmarkEnd w:id="0"/>
      <w:r w:rsidRPr="00DE7812">
        <w:rPr>
          <w:rFonts w:ascii="Calibri Light" w:hAnsi="Calibri Light"/>
          <w:sz w:val="16"/>
          <w:szCs w:val="16"/>
          <w:lang w:val="es-US"/>
        </w:rPr>
        <w:t xml:space="preserve">os de pena de muerte sin solicitar previamente información al Estado en los siguientes casos: CIDH, </w:t>
      </w:r>
      <w:proofErr w:type="spellStart"/>
      <w:r w:rsidRPr="00DE7812">
        <w:rPr>
          <w:rFonts w:ascii="Calibri Light" w:hAnsi="Calibri Light"/>
          <w:sz w:val="16"/>
          <w:szCs w:val="16"/>
          <w:lang w:val="es-US"/>
        </w:rPr>
        <w:t>Lezmond</w:t>
      </w:r>
      <w:proofErr w:type="spellEnd"/>
      <w:r w:rsidRPr="00DE7812">
        <w:rPr>
          <w:rFonts w:ascii="Calibri Light" w:hAnsi="Calibri Light"/>
          <w:sz w:val="16"/>
          <w:szCs w:val="16"/>
          <w:lang w:val="es-US"/>
        </w:rPr>
        <w:t xml:space="preserve"> Mitchell respecto de Estados Unidos (MC-250-17), Resolución 21/2017 de 2 de julio de 2017;</w:t>
      </w:r>
      <w:r w:rsidRPr="00DE7812">
        <w:rPr>
          <w:rFonts w:ascii="Calibri Light" w:hAnsi="Calibri Light"/>
          <w:bCs/>
          <w:i/>
          <w:sz w:val="16"/>
          <w:szCs w:val="16"/>
          <w:lang w:val="es-US"/>
        </w:rPr>
        <w:t xml:space="preserve"> </w:t>
      </w:r>
      <w:r w:rsidRPr="00DE7812">
        <w:rPr>
          <w:rFonts w:ascii="Calibri Light" w:hAnsi="Calibri Light"/>
          <w:bCs/>
          <w:sz w:val="16"/>
          <w:szCs w:val="16"/>
          <w:lang w:val="es-US"/>
        </w:rPr>
        <w:t xml:space="preserve">Víctor Hugo </w:t>
      </w:r>
      <w:proofErr w:type="spellStart"/>
      <w:r w:rsidRPr="00DE7812">
        <w:rPr>
          <w:rFonts w:ascii="Calibri Light" w:hAnsi="Calibri Light"/>
          <w:bCs/>
          <w:sz w:val="16"/>
          <w:szCs w:val="16"/>
          <w:lang w:val="es-US"/>
        </w:rPr>
        <w:t>Saldaño</w:t>
      </w:r>
      <w:proofErr w:type="spellEnd"/>
      <w:r w:rsidRPr="00DE7812">
        <w:rPr>
          <w:rFonts w:ascii="Calibri Light" w:hAnsi="Calibri Light"/>
          <w:bCs/>
          <w:sz w:val="16"/>
          <w:szCs w:val="16"/>
          <w:lang w:val="es-US"/>
        </w:rPr>
        <w:t xml:space="preserve"> respecto de Estados Unidos (MC-241-17), Resolución 14/17 del 26 de mayo; </w:t>
      </w:r>
      <w:r w:rsidRPr="00DE7812">
        <w:rPr>
          <w:rFonts w:ascii="Calibri Light" w:hAnsi="Calibri Light"/>
          <w:sz w:val="16"/>
          <w:szCs w:val="16"/>
          <w:lang w:val="es-US"/>
        </w:rPr>
        <w:t xml:space="preserve">Williams Charles </w:t>
      </w:r>
      <w:proofErr w:type="spellStart"/>
      <w:r w:rsidRPr="00DE7812">
        <w:rPr>
          <w:rFonts w:ascii="Calibri Light" w:hAnsi="Calibri Light"/>
          <w:sz w:val="16"/>
          <w:szCs w:val="16"/>
          <w:lang w:val="es-US"/>
        </w:rPr>
        <w:t>Morva</w:t>
      </w:r>
      <w:proofErr w:type="spellEnd"/>
      <w:r w:rsidRPr="00DE7812">
        <w:rPr>
          <w:rFonts w:ascii="Calibri Light" w:hAnsi="Calibri Light"/>
          <w:sz w:val="16"/>
          <w:szCs w:val="16"/>
          <w:lang w:val="es-US"/>
        </w:rPr>
        <w:t xml:space="preserve"> respecto de </w:t>
      </w:r>
      <w:r w:rsidRPr="00DE7812">
        <w:rPr>
          <w:rFonts w:ascii="Calibri Light" w:hAnsi="Calibri Light"/>
          <w:bCs/>
          <w:sz w:val="16"/>
          <w:szCs w:val="16"/>
          <w:lang w:val="es-US"/>
        </w:rPr>
        <w:t xml:space="preserve">Estados Unidos </w:t>
      </w:r>
      <w:r w:rsidRPr="00DE7812">
        <w:rPr>
          <w:rFonts w:ascii="Calibri Light" w:hAnsi="Calibri Light"/>
          <w:sz w:val="16"/>
          <w:szCs w:val="16"/>
          <w:lang w:val="es-US"/>
        </w:rPr>
        <w:t xml:space="preserve">(MC-156-17), Resolución 9/2017 de 16 de marzo de 2017; Alfredo Rolando Prieto respecto de </w:t>
      </w:r>
      <w:r w:rsidRPr="00DE7812">
        <w:rPr>
          <w:rFonts w:ascii="Calibri Light" w:hAnsi="Calibri Light"/>
          <w:bCs/>
          <w:sz w:val="16"/>
          <w:szCs w:val="16"/>
          <w:lang w:val="es-US"/>
        </w:rPr>
        <w:t xml:space="preserve">Estados Unidos </w:t>
      </w:r>
      <w:r w:rsidRPr="00DE7812">
        <w:rPr>
          <w:rFonts w:ascii="Calibri Light" w:hAnsi="Calibri Light"/>
          <w:sz w:val="16"/>
          <w:szCs w:val="16"/>
          <w:lang w:val="es-US"/>
        </w:rPr>
        <w:t xml:space="preserve">(MC-498-15), Resolución 32/2015 de 29 de septiembre de 2015; José Trinidad Loza Ventura </w:t>
      </w:r>
      <w:r w:rsidRPr="00DE7812">
        <w:rPr>
          <w:rFonts w:ascii="Calibri Light" w:hAnsi="Calibri Light"/>
          <w:bCs/>
          <w:sz w:val="16"/>
          <w:szCs w:val="16"/>
          <w:lang w:val="es-US"/>
        </w:rPr>
        <w:t xml:space="preserve">respecto de Estados Unidos </w:t>
      </w:r>
      <w:r w:rsidRPr="00DE7812">
        <w:rPr>
          <w:rFonts w:ascii="Calibri Light" w:hAnsi="Calibri Light"/>
          <w:sz w:val="16"/>
          <w:szCs w:val="16"/>
          <w:lang w:val="es-US"/>
        </w:rPr>
        <w:t xml:space="preserve">(MC-304-15), Resolución 27/2015 del 11 de agosto de 2015; Samuel </w:t>
      </w:r>
      <w:proofErr w:type="spellStart"/>
      <w:r w:rsidRPr="00DE7812">
        <w:rPr>
          <w:rFonts w:ascii="Calibri Light" w:hAnsi="Calibri Light"/>
          <w:sz w:val="16"/>
          <w:szCs w:val="16"/>
          <w:lang w:val="es-US"/>
        </w:rPr>
        <w:t>Moreland</w:t>
      </w:r>
      <w:proofErr w:type="spellEnd"/>
      <w:r w:rsidRPr="00DE7812">
        <w:rPr>
          <w:rFonts w:ascii="Calibri Light" w:hAnsi="Calibri Light"/>
          <w:sz w:val="16"/>
          <w:szCs w:val="16"/>
          <w:lang w:val="es-US"/>
        </w:rPr>
        <w:t xml:space="preserve"> </w:t>
      </w:r>
      <w:r w:rsidRPr="00DE7812">
        <w:rPr>
          <w:rFonts w:ascii="Calibri Light" w:hAnsi="Calibri Light"/>
          <w:bCs/>
          <w:sz w:val="16"/>
          <w:szCs w:val="16"/>
          <w:lang w:val="es-US"/>
        </w:rPr>
        <w:t xml:space="preserve">respecto de Estados Unidos </w:t>
      </w:r>
      <w:r w:rsidRPr="00DE7812">
        <w:rPr>
          <w:rFonts w:ascii="Calibri Light" w:hAnsi="Calibri Light"/>
          <w:sz w:val="16"/>
          <w:szCs w:val="16"/>
          <w:lang w:val="es-US"/>
        </w:rPr>
        <w:t xml:space="preserve">(MC-37-14), Resolución 32/2014; John </w:t>
      </w:r>
      <w:proofErr w:type="spellStart"/>
      <w:r w:rsidRPr="00DE7812">
        <w:rPr>
          <w:rFonts w:ascii="Calibri Light" w:hAnsi="Calibri Light"/>
          <w:sz w:val="16"/>
          <w:szCs w:val="16"/>
          <w:lang w:val="es-US"/>
        </w:rPr>
        <w:t>Winfield</w:t>
      </w:r>
      <w:proofErr w:type="spellEnd"/>
      <w:r w:rsidRPr="00DE7812">
        <w:rPr>
          <w:rFonts w:ascii="Calibri Light" w:hAnsi="Calibri Light"/>
          <w:sz w:val="16"/>
          <w:szCs w:val="16"/>
          <w:lang w:val="es-US"/>
        </w:rPr>
        <w:t xml:space="preserve"> </w:t>
      </w:r>
      <w:r w:rsidRPr="00DE7812">
        <w:rPr>
          <w:rFonts w:ascii="Calibri Light" w:hAnsi="Calibri Light"/>
          <w:bCs/>
          <w:sz w:val="16"/>
          <w:szCs w:val="16"/>
          <w:lang w:val="es-US"/>
        </w:rPr>
        <w:t xml:space="preserve">respecto de Estados Unidos </w:t>
      </w:r>
      <w:r w:rsidRPr="00DE7812">
        <w:rPr>
          <w:rFonts w:ascii="Calibri Light" w:hAnsi="Calibri Light"/>
          <w:sz w:val="16"/>
          <w:szCs w:val="16"/>
          <w:lang w:val="es-US"/>
        </w:rPr>
        <w:t xml:space="preserve">(MC-204-14), Resolución 16/2014 del 6 de junio de 2014; Russell </w:t>
      </w:r>
      <w:proofErr w:type="spellStart"/>
      <w:r w:rsidRPr="00DE7812">
        <w:rPr>
          <w:rFonts w:ascii="Calibri Light" w:hAnsi="Calibri Light"/>
          <w:sz w:val="16"/>
          <w:szCs w:val="16"/>
          <w:lang w:val="es-US"/>
        </w:rPr>
        <w:t>Bucklew</w:t>
      </w:r>
      <w:proofErr w:type="spellEnd"/>
      <w:r w:rsidRPr="00DE7812">
        <w:rPr>
          <w:rFonts w:ascii="Calibri Light" w:hAnsi="Calibri Light"/>
          <w:sz w:val="16"/>
          <w:szCs w:val="16"/>
          <w:lang w:val="es-US"/>
        </w:rPr>
        <w:t xml:space="preserve"> y Charles </w:t>
      </w:r>
      <w:proofErr w:type="spellStart"/>
      <w:r w:rsidRPr="00DE7812">
        <w:rPr>
          <w:rFonts w:ascii="Calibri Light" w:hAnsi="Calibri Light"/>
          <w:sz w:val="16"/>
          <w:szCs w:val="16"/>
          <w:lang w:val="es-US"/>
        </w:rPr>
        <w:t>Warmer</w:t>
      </w:r>
      <w:proofErr w:type="spellEnd"/>
      <w:r w:rsidRPr="00DE7812">
        <w:rPr>
          <w:rFonts w:ascii="Calibri Light" w:hAnsi="Calibri Light"/>
          <w:sz w:val="16"/>
          <w:szCs w:val="16"/>
          <w:lang w:val="es-US"/>
        </w:rPr>
        <w:t xml:space="preserve"> </w:t>
      </w:r>
      <w:r w:rsidRPr="00DE7812">
        <w:rPr>
          <w:rFonts w:ascii="Calibri Light" w:hAnsi="Calibri Light"/>
          <w:bCs/>
          <w:sz w:val="16"/>
          <w:szCs w:val="16"/>
          <w:lang w:val="es-US"/>
        </w:rPr>
        <w:t xml:space="preserve">respecto de Estados Unidos </w:t>
      </w:r>
      <w:r w:rsidRPr="00DE7812">
        <w:rPr>
          <w:rFonts w:ascii="Calibri Light" w:hAnsi="Calibri Light"/>
          <w:sz w:val="16"/>
          <w:szCs w:val="16"/>
          <w:lang w:val="es-US"/>
        </w:rPr>
        <w:t xml:space="preserve">(MC-177-14), Resolución 14/2014 del 20 de mayo de 2014. Todas las decisiones disponibles en: </w:t>
      </w:r>
      <w:r w:rsidR="00597835">
        <w:fldChar w:fldCharType="begin"/>
      </w:r>
      <w:r w:rsidR="00597835" w:rsidRPr="00FA2BC3">
        <w:rPr>
          <w:lang w:val="es-MX"/>
        </w:rPr>
        <w:instrText xml:space="preserve"> HYPERLINK "http://w</w:instrText>
      </w:r>
      <w:r w:rsidR="00597835" w:rsidRPr="00FA2BC3">
        <w:rPr>
          <w:lang w:val="es-MX"/>
        </w:rPr>
        <w:instrText xml:space="preserve">ww.oas.org/es/cidh/decisiones/cautelares.asp" </w:instrText>
      </w:r>
      <w:r w:rsidR="00597835">
        <w:fldChar w:fldCharType="separate"/>
      </w:r>
      <w:r w:rsidRPr="00DE7812">
        <w:rPr>
          <w:rStyle w:val="Hyperlink"/>
          <w:rFonts w:ascii="Calibri Light" w:hAnsi="Calibri Light"/>
          <w:sz w:val="16"/>
          <w:szCs w:val="16"/>
          <w:lang w:val="es-US"/>
        </w:rPr>
        <w:t>http://www.oas.org/es/cidh/decisiones/cautelares.asp</w:t>
      </w:r>
      <w:r w:rsidR="00597835">
        <w:rPr>
          <w:rStyle w:val="Hyperlink"/>
          <w:rFonts w:ascii="Calibri Light" w:hAnsi="Calibri Light"/>
          <w:sz w:val="16"/>
          <w:szCs w:val="16"/>
          <w:lang w:val="es-US"/>
        </w:rPr>
        <w:fldChar w:fldCharType="end"/>
      </w:r>
      <w:r w:rsidRPr="00DE7812">
        <w:rPr>
          <w:rFonts w:ascii="Calibri Light" w:hAnsi="Calibri Light"/>
          <w:sz w:val="16"/>
          <w:szCs w:val="16"/>
          <w:lang w:val="es-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5C14" w14:textId="77777777" w:rsidR="002748D8" w:rsidRPr="006E2E2E" w:rsidRDefault="002748D8" w:rsidP="0070648B">
    <w:pPr>
      <w:tabs>
        <w:tab w:val="left" w:pos="4040"/>
        <w:tab w:val="left" w:pos="4333"/>
        <w:tab w:val="center" w:pos="4680"/>
        <w:tab w:val="right" w:pos="9360"/>
      </w:tabs>
      <w:spacing w:after="0" w:line="240" w:lineRule="auto"/>
      <w:jc w:val="both"/>
    </w:pPr>
    <w:r>
      <w:rPr>
        <w:noProof/>
        <w:lang w:eastAsia="zh-CN"/>
      </w:rPr>
      <w:drawing>
        <wp:inline distT="0" distB="0" distL="0" distR="0" wp14:anchorId="3D595156" wp14:editId="269225D0">
          <wp:extent cx="2355850" cy="450850"/>
          <wp:effectExtent l="0" t="0" r="6350" b="635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E2E2E">
      <w:tab/>
    </w:r>
    <w:r w:rsidRPr="006E2E2E">
      <w:tab/>
    </w:r>
    <w:r w:rsidRPr="006E2E2E">
      <w:tab/>
    </w:r>
    <w:r w:rsidRPr="006E2E2E">
      <w:tab/>
    </w:r>
    <w:r>
      <w:rPr>
        <w:noProof/>
        <w:lang w:eastAsia="zh-CN"/>
      </w:rPr>
      <w:drawing>
        <wp:inline distT="0" distB="0" distL="0" distR="0" wp14:anchorId="4FC160AC" wp14:editId="48A68498">
          <wp:extent cx="2101850" cy="539750"/>
          <wp:effectExtent l="0" t="0" r="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14:paraId="0D324E66" w14:textId="77777777" w:rsidR="002748D8" w:rsidRPr="006E2E2E" w:rsidRDefault="002748D8" w:rsidP="0070648B">
    <w:pPr>
      <w:pBdr>
        <w:bottom w:val="single" w:sz="6" w:space="1" w:color="auto"/>
      </w:pBdr>
      <w:tabs>
        <w:tab w:val="center" w:pos="4680"/>
        <w:tab w:val="right" w:pos="9360"/>
      </w:tabs>
      <w:spacing w:after="0" w:line="240" w:lineRule="auto"/>
      <w:rPr>
        <w:rFonts w:eastAsia="Batang"/>
        <w:lang w:val="es-ES"/>
      </w:rPr>
    </w:pPr>
  </w:p>
  <w:p w14:paraId="5DF65E71" w14:textId="77777777" w:rsidR="002748D8" w:rsidRDefault="002748D8" w:rsidP="0070648B">
    <w:pPr>
      <w:pStyle w:val="Header"/>
    </w:pPr>
  </w:p>
  <w:p w14:paraId="4F920884" w14:textId="77777777" w:rsidR="002748D8" w:rsidRPr="0070648B" w:rsidRDefault="002748D8" w:rsidP="00706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79B8"/>
    <w:multiLevelType w:val="hybridMultilevel"/>
    <w:tmpl w:val="CB32FCC8"/>
    <w:lvl w:ilvl="0" w:tplc="1D0E0C82">
      <w:start w:val="1"/>
      <w:numFmt w:val="decimal"/>
      <w:lvlText w:val="%1."/>
      <w:lvlJc w:val="left"/>
      <w:pPr>
        <w:ind w:left="1080" w:hanging="360"/>
      </w:pPr>
      <w:rPr>
        <w:rFonts w:hint="default"/>
        <w:lang w:val="es-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E41AB2"/>
    <w:multiLevelType w:val="hybridMultilevel"/>
    <w:tmpl w:val="DD60557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41B80"/>
    <w:multiLevelType w:val="hybridMultilevel"/>
    <w:tmpl w:val="4D5A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A0C24"/>
    <w:multiLevelType w:val="hybridMultilevel"/>
    <w:tmpl w:val="E0744A10"/>
    <w:lvl w:ilvl="0" w:tplc="439405A6">
      <w:start w:val="6"/>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620BC"/>
    <w:multiLevelType w:val="hybridMultilevel"/>
    <w:tmpl w:val="722A2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C2E4C"/>
    <w:multiLevelType w:val="hybridMultilevel"/>
    <w:tmpl w:val="2B1AF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C1056E"/>
    <w:multiLevelType w:val="hybridMultilevel"/>
    <w:tmpl w:val="1C7E758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7">
    <w:nsid w:val="3BCB1E24"/>
    <w:multiLevelType w:val="hybridMultilevel"/>
    <w:tmpl w:val="D56287F4"/>
    <w:lvl w:ilvl="0" w:tplc="E61205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CF6889"/>
    <w:multiLevelType w:val="hybridMultilevel"/>
    <w:tmpl w:val="0B70334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2B796F"/>
    <w:multiLevelType w:val="hybridMultilevel"/>
    <w:tmpl w:val="87902CD0"/>
    <w:lvl w:ilvl="0" w:tplc="9A926B9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3272A4"/>
    <w:multiLevelType w:val="hybridMultilevel"/>
    <w:tmpl w:val="7AC8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1647F6"/>
    <w:multiLevelType w:val="hybridMultilevel"/>
    <w:tmpl w:val="5D723600"/>
    <w:lvl w:ilvl="0" w:tplc="04090013">
      <w:start w:val="1"/>
      <w:numFmt w:val="upperRoman"/>
      <w:lvlText w:val="%1."/>
      <w:lvlJc w:val="right"/>
      <w:pPr>
        <w:ind w:left="720" w:hanging="360"/>
      </w:pPr>
    </w:lvl>
    <w:lvl w:ilvl="1" w:tplc="0409000F">
      <w:start w:val="1"/>
      <w:numFmt w:val="decimal"/>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41096"/>
    <w:multiLevelType w:val="hybridMultilevel"/>
    <w:tmpl w:val="1AAE01F8"/>
    <w:lvl w:ilvl="0" w:tplc="F29E2946">
      <w:start w:val="10"/>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5"/>
  </w:num>
  <w:num w:numId="5">
    <w:abstractNumId w:val="0"/>
  </w:num>
  <w:num w:numId="6">
    <w:abstractNumId w:val="10"/>
  </w:num>
  <w:num w:numId="7">
    <w:abstractNumId w:val="3"/>
  </w:num>
  <w:num w:numId="8">
    <w:abstractNumId w:val="9"/>
  </w:num>
  <w:num w:numId="9">
    <w:abstractNumId w:val="1"/>
  </w:num>
  <w:num w:numId="10">
    <w:abstractNumId w:val="6"/>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9E"/>
    <w:rsid w:val="00003560"/>
    <w:rsid w:val="000066CA"/>
    <w:rsid w:val="00024446"/>
    <w:rsid w:val="000314C7"/>
    <w:rsid w:val="00031E61"/>
    <w:rsid w:val="00045F32"/>
    <w:rsid w:val="0004619C"/>
    <w:rsid w:val="00074AD0"/>
    <w:rsid w:val="00085F48"/>
    <w:rsid w:val="00093BA2"/>
    <w:rsid w:val="00097347"/>
    <w:rsid w:val="000A3F85"/>
    <w:rsid w:val="000B6934"/>
    <w:rsid w:val="000B7A2D"/>
    <w:rsid w:val="000C476C"/>
    <w:rsid w:val="000C791B"/>
    <w:rsid w:val="000C7C04"/>
    <w:rsid w:val="000D5F9B"/>
    <w:rsid w:val="000D7774"/>
    <w:rsid w:val="00110A48"/>
    <w:rsid w:val="00115C12"/>
    <w:rsid w:val="00125F03"/>
    <w:rsid w:val="00142E04"/>
    <w:rsid w:val="001525F0"/>
    <w:rsid w:val="00177CF1"/>
    <w:rsid w:val="00180222"/>
    <w:rsid w:val="00184865"/>
    <w:rsid w:val="001B0300"/>
    <w:rsid w:val="001B1E00"/>
    <w:rsid w:val="001B2C7F"/>
    <w:rsid w:val="001D40D6"/>
    <w:rsid w:val="001F0FDB"/>
    <w:rsid w:val="001F2578"/>
    <w:rsid w:val="001F3436"/>
    <w:rsid w:val="001F6159"/>
    <w:rsid w:val="00202C90"/>
    <w:rsid w:val="00215862"/>
    <w:rsid w:val="00221880"/>
    <w:rsid w:val="002271F3"/>
    <w:rsid w:val="00227C50"/>
    <w:rsid w:val="002302B4"/>
    <w:rsid w:val="00243229"/>
    <w:rsid w:val="00244772"/>
    <w:rsid w:val="00250096"/>
    <w:rsid w:val="00274180"/>
    <w:rsid w:val="002748D8"/>
    <w:rsid w:val="002765F2"/>
    <w:rsid w:val="002965B9"/>
    <w:rsid w:val="00297EF6"/>
    <w:rsid w:val="002A635A"/>
    <w:rsid w:val="002B31D4"/>
    <w:rsid w:val="002E1232"/>
    <w:rsid w:val="002E4067"/>
    <w:rsid w:val="002E63B6"/>
    <w:rsid w:val="002F4BB9"/>
    <w:rsid w:val="002F72E2"/>
    <w:rsid w:val="0033441E"/>
    <w:rsid w:val="00346FA9"/>
    <w:rsid w:val="0035418D"/>
    <w:rsid w:val="00361BDB"/>
    <w:rsid w:val="00363CE6"/>
    <w:rsid w:val="00367661"/>
    <w:rsid w:val="00374806"/>
    <w:rsid w:val="003B1779"/>
    <w:rsid w:val="003B1C2B"/>
    <w:rsid w:val="003B39E0"/>
    <w:rsid w:val="003B42AB"/>
    <w:rsid w:val="003C0564"/>
    <w:rsid w:val="003D5B2E"/>
    <w:rsid w:val="003D682B"/>
    <w:rsid w:val="0041308E"/>
    <w:rsid w:val="0043493F"/>
    <w:rsid w:val="00441BC9"/>
    <w:rsid w:val="0044287A"/>
    <w:rsid w:val="00454FB5"/>
    <w:rsid w:val="00456E18"/>
    <w:rsid w:val="00463D8E"/>
    <w:rsid w:val="004765CF"/>
    <w:rsid w:val="00480C1C"/>
    <w:rsid w:val="00480CDD"/>
    <w:rsid w:val="00482B0E"/>
    <w:rsid w:val="00492A71"/>
    <w:rsid w:val="004B7EEE"/>
    <w:rsid w:val="004C5C37"/>
    <w:rsid w:val="004C7FD9"/>
    <w:rsid w:val="004D1F08"/>
    <w:rsid w:val="004E2B59"/>
    <w:rsid w:val="004F26C3"/>
    <w:rsid w:val="004F45EB"/>
    <w:rsid w:val="004F653B"/>
    <w:rsid w:val="004F700D"/>
    <w:rsid w:val="00505BFB"/>
    <w:rsid w:val="0051336E"/>
    <w:rsid w:val="00516E88"/>
    <w:rsid w:val="00533B3F"/>
    <w:rsid w:val="00533EC6"/>
    <w:rsid w:val="005415E7"/>
    <w:rsid w:val="00554797"/>
    <w:rsid w:val="00560F6C"/>
    <w:rsid w:val="0058676A"/>
    <w:rsid w:val="005873DC"/>
    <w:rsid w:val="00597835"/>
    <w:rsid w:val="005A21B6"/>
    <w:rsid w:val="005C0A50"/>
    <w:rsid w:val="005C67B5"/>
    <w:rsid w:val="005C7A66"/>
    <w:rsid w:val="005D41E7"/>
    <w:rsid w:val="005D749D"/>
    <w:rsid w:val="005E0559"/>
    <w:rsid w:val="005E3CCD"/>
    <w:rsid w:val="005E4AFC"/>
    <w:rsid w:val="0062385F"/>
    <w:rsid w:val="006239B9"/>
    <w:rsid w:val="00624A86"/>
    <w:rsid w:val="00625CAF"/>
    <w:rsid w:val="00631FF3"/>
    <w:rsid w:val="00643D9E"/>
    <w:rsid w:val="00650E56"/>
    <w:rsid w:val="00651D2E"/>
    <w:rsid w:val="00665DD4"/>
    <w:rsid w:val="00667031"/>
    <w:rsid w:val="00670E40"/>
    <w:rsid w:val="00680008"/>
    <w:rsid w:val="00680C21"/>
    <w:rsid w:val="00686A75"/>
    <w:rsid w:val="006A341C"/>
    <w:rsid w:val="006B324A"/>
    <w:rsid w:val="006D1C8D"/>
    <w:rsid w:val="006F2BBF"/>
    <w:rsid w:val="006F5912"/>
    <w:rsid w:val="006F657D"/>
    <w:rsid w:val="0070648B"/>
    <w:rsid w:val="0071406A"/>
    <w:rsid w:val="007216B6"/>
    <w:rsid w:val="007238C7"/>
    <w:rsid w:val="00725384"/>
    <w:rsid w:val="00727D82"/>
    <w:rsid w:val="007301AC"/>
    <w:rsid w:val="00736205"/>
    <w:rsid w:val="00736B0C"/>
    <w:rsid w:val="00742C7F"/>
    <w:rsid w:val="00747201"/>
    <w:rsid w:val="007613FF"/>
    <w:rsid w:val="0076354F"/>
    <w:rsid w:val="007763E7"/>
    <w:rsid w:val="00783EFC"/>
    <w:rsid w:val="007A5D27"/>
    <w:rsid w:val="007A5D7D"/>
    <w:rsid w:val="007B7C71"/>
    <w:rsid w:val="007C4571"/>
    <w:rsid w:val="007C7E5F"/>
    <w:rsid w:val="007E2A34"/>
    <w:rsid w:val="007E7E40"/>
    <w:rsid w:val="008023ED"/>
    <w:rsid w:val="00804BF3"/>
    <w:rsid w:val="008062FB"/>
    <w:rsid w:val="00813D3C"/>
    <w:rsid w:val="00816D49"/>
    <w:rsid w:val="00827656"/>
    <w:rsid w:val="0083007C"/>
    <w:rsid w:val="008338BF"/>
    <w:rsid w:val="008349C1"/>
    <w:rsid w:val="00852924"/>
    <w:rsid w:val="0085574D"/>
    <w:rsid w:val="00867E97"/>
    <w:rsid w:val="008736C3"/>
    <w:rsid w:val="008911A5"/>
    <w:rsid w:val="008A069E"/>
    <w:rsid w:val="008A1607"/>
    <w:rsid w:val="008A4ACE"/>
    <w:rsid w:val="008B0190"/>
    <w:rsid w:val="008B55D2"/>
    <w:rsid w:val="008C20FD"/>
    <w:rsid w:val="008D3089"/>
    <w:rsid w:val="008D5662"/>
    <w:rsid w:val="008E75BC"/>
    <w:rsid w:val="008F04B0"/>
    <w:rsid w:val="008F39EF"/>
    <w:rsid w:val="009018C7"/>
    <w:rsid w:val="00906E64"/>
    <w:rsid w:val="009177E8"/>
    <w:rsid w:val="009211E1"/>
    <w:rsid w:val="009224E4"/>
    <w:rsid w:val="00923873"/>
    <w:rsid w:val="00927560"/>
    <w:rsid w:val="00937AE6"/>
    <w:rsid w:val="0095008A"/>
    <w:rsid w:val="00953BEC"/>
    <w:rsid w:val="009657BC"/>
    <w:rsid w:val="009738BA"/>
    <w:rsid w:val="009929C1"/>
    <w:rsid w:val="009A12D4"/>
    <w:rsid w:val="009B2A6B"/>
    <w:rsid w:val="009B7DB5"/>
    <w:rsid w:val="009C29E7"/>
    <w:rsid w:val="009D639B"/>
    <w:rsid w:val="009E2EB0"/>
    <w:rsid w:val="009E5ED2"/>
    <w:rsid w:val="009F3EA3"/>
    <w:rsid w:val="00A01EDB"/>
    <w:rsid w:val="00A14087"/>
    <w:rsid w:val="00A573DD"/>
    <w:rsid w:val="00A672B2"/>
    <w:rsid w:val="00A749ED"/>
    <w:rsid w:val="00A75A71"/>
    <w:rsid w:val="00A82A16"/>
    <w:rsid w:val="00A9630E"/>
    <w:rsid w:val="00AA072C"/>
    <w:rsid w:val="00AA3542"/>
    <w:rsid w:val="00AA3B2C"/>
    <w:rsid w:val="00AD6961"/>
    <w:rsid w:val="00AE0205"/>
    <w:rsid w:val="00AE06F0"/>
    <w:rsid w:val="00AF09B8"/>
    <w:rsid w:val="00AF3EF4"/>
    <w:rsid w:val="00AF65FC"/>
    <w:rsid w:val="00B01CC7"/>
    <w:rsid w:val="00B02F9A"/>
    <w:rsid w:val="00B05D99"/>
    <w:rsid w:val="00B06B6D"/>
    <w:rsid w:val="00B0718F"/>
    <w:rsid w:val="00B11758"/>
    <w:rsid w:val="00B21354"/>
    <w:rsid w:val="00B34DAB"/>
    <w:rsid w:val="00B352F3"/>
    <w:rsid w:val="00B43C54"/>
    <w:rsid w:val="00B5078A"/>
    <w:rsid w:val="00B7681E"/>
    <w:rsid w:val="00B87F12"/>
    <w:rsid w:val="00B94725"/>
    <w:rsid w:val="00BA072F"/>
    <w:rsid w:val="00BA724A"/>
    <w:rsid w:val="00BC527A"/>
    <w:rsid w:val="00BC589C"/>
    <w:rsid w:val="00BD5BC4"/>
    <w:rsid w:val="00BD74C4"/>
    <w:rsid w:val="00BE49F2"/>
    <w:rsid w:val="00BF0191"/>
    <w:rsid w:val="00BF46F9"/>
    <w:rsid w:val="00C23FB3"/>
    <w:rsid w:val="00C35CF9"/>
    <w:rsid w:val="00C4005F"/>
    <w:rsid w:val="00C54569"/>
    <w:rsid w:val="00C723DD"/>
    <w:rsid w:val="00C72E8D"/>
    <w:rsid w:val="00C7307D"/>
    <w:rsid w:val="00C826B9"/>
    <w:rsid w:val="00CA1321"/>
    <w:rsid w:val="00CA2F18"/>
    <w:rsid w:val="00CB3DF5"/>
    <w:rsid w:val="00CC59D1"/>
    <w:rsid w:val="00CC7BFD"/>
    <w:rsid w:val="00CD26EA"/>
    <w:rsid w:val="00CE4DBE"/>
    <w:rsid w:val="00CF5353"/>
    <w:rsid w:val="00CF5EF6"/>
    <w:rsid w:val="00D02676"/>
    <w:rsid w:val="00D2248D"/>
    <w:rsid w:val="00D25BA6"/>
    <w:rsid w:val="00D30834"/>
    <w:rsid w:val="00D37BC6"/>
    <w:rsid w:val="00D4053D"/>
    <w:rsid w:val="00D46140"/>
    <w:rsid w:val="00D71BEB"/>
    <w:rsid w:val="00D77B81"/>
    <w:rsid w:val="00D811E7"/>
    <w:rsid w:val="00DA1F39"/>
    <w:rsid w:val="00DB284A"/>
    <w:rsid w:val="00DC77CA"/>
    <w:rsid w:val="00DC7869"/>
    <w:rsid w:val="00DD44C9"/>
    <w:rsid w:val="00DE03FE"/>
    <w:rsid w:val="00DE7812"/>
    <w:rsid w:val="00E04BB0"/>
    <w:rsid w:val="00E16B52"/>
    <w:rsid w:val="00E31FB4"/>
    <w:rsid w:val="00E42993"/>
    <w:rsid w:val="00E45C26"/>
    <w:rsid w:val="00E47594"/>
    <w:rsid w:val="00E57FD5"/>
    <w:rsid w:val="00E6152D"/>
    <w:rsid w:val="00E6606F"/>
    <w:rsid w:val="00E668BA"/>
    <w:rsid w:val="00E82C8F"/>
    <w:rsid w:val="00E834CC"/>
    <w:rsid w:val="00E9255D"/>
    <w:rsid w:val="00EA4090"/>
    <w:rsid w:val="00ED66D7"/>
    <w:rsid w:val="00EE1DA7"/>
    <w:rsid w:val="00EE4EDD"/>
    <w:rsid w:val="00F033B3"/>
    <w:rsid w:val="00F07F3C"/>
    <w:rsid w:val="00F3379E"/>
    <w:rsid w:val="00F35F04"/>
    <w:rsid w:val="00F42304"/>
    <w:rsid w:val="00F4289B"/>
    <w:rsid w:val="00F460A2"/>
    <w:rsid w:val="00F53EB2"/>
    <w:rsid w:val="00F66E49"/>
    <w:rsid w:val="00F6793E"/>
    <w:rsid w:val="00F778C9"/>
    <w:rsid w:val="00F950F7"/>
    <w:rsid w:val="00FA2BC3"/>
    <w:rsid w:val="00FB495D"/>
    <w:rsid w:val="00FB49CD"/>
    <w:rsid w:val="00FB66BD"/>
    <w:rsid w:val="00FB6877"/>
    <w:rsid w:val="00FC232C"/>
    <w:rsid w:val="00FC3537"/>
    <w:rsid w:val="00FD45D8"/>
    <w:rsid w:val="00FF3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1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E"/>
    <w:pPr>
      <w:spacing w:line="256" w:lineRule="auto"/>
    </w:pPr>
  </w:style>
  <w:style w:type="paragraph" w:styleId="Heading2">
    <w:name w:val="heading 2"/>
    <w:basedOn w:val="Normal"/>
    <w:next w:val="Normal"/>
    <w:link w:val="Heading2Char"/>
    <w:uiPriority w:val="9"/>
    <w:semiHidden/>
    <w:unhideWhenUsed/>
    <w:qFormat/>
    <w:rsid w:val="00554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9E"/>
    <w:pPr>
      <w:ind w:left="720"/>
      <w:contextualSpacing/>
    </w:pPr>
  </w:style>
  <w:style w:type="paragraph" w:styleId="NoSpacing">
    <w:name w:val="No Spacing"/>
    <w:uiPriority w:val="1"/>
    <w:qFormat/>
    <w:rsid w:val="008A069E"/>
    <w:pPr>
      <w:spacing w:after="0" w:line="240" w:lineRule="auto"/>
    </w:pPr>
  </w:style>
  <w:style w:type="paragraph" w:styleId="Header">
    <w:name w:val="header"/>
    <w:basedOn w:val="Normal"/>
    <w:link w:val="HeaderChar"/>
    <w:uiPriority w:val="99"/>
    <w:unhideWhenUsed/>
    <w:rsid w:val="008A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9E"/>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8A069E"/>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8A069E"/>
    <w:rPr>
      <w:sz w:val="20"/>
      <w:szCs w:val="20"/>
    </w:rPr>
  </w:style>
  <w:style w:type="character" w:styleId="FootnoteReference">
    <w:name w:val="footnote reference"/>
    <w:aliases w:val="Footnotes refss,Texto de nota al pie,Appel note de bas de page,f,4_G,Ref. de nota al pie.,referencia nota al pie,BVI fnr,Footnote number,Footnote symbol,Footnote,16 Point,Superscript 6 Point,Texto nota al pie,Ref. de nota al pi,Ref,f1"/>
    <w:basedOn w:val="DefaultParagraphFont"/>
    <w:unhideWhenUsed/>
    <w:qFormat/>
    <w:rsid w:val="008A069E"/>
    <w:rPr>
      <w:vertAlign w:val="superscript"/>
    </w:rPr>
  </w:style>
  <w:style w:type="paragraph" w:styleId="BalloonText">
    <w:name w:val="Balloon Text"/>
    <w:basedOn w:val="Normal"/>
    <w:link w:val="BalloonTextChar"/>
    <w:uiPriority w:val="99"/>
    <w:semiHidden/>
    <w:unhideWhenUsed/>
    <w:rsid w:val="00A9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0E"/>
    <w:rPr>
      <w:rFonts w:ascii="Tahoma" w:hAnsi="Tahoma" w:cs="Tahoma"/>
      <w:sz w:val="16"/>
      <w:szCs w:val="16"/>
    </w:rPr>
  </w:style>
  <w:style w:type="paragraph" w:styleId="Footer">
    <w:name w:val="footer"/>
    <w:basedOn w:val="Normal"/>
    <w:link w:val="FooterChar"/>
    <w:uiPriority w:val="99"/>
    <w:unhideWhenUsed/>
    <w:rsid w:val="00A9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30E"/>
  </w:style>
  <w:style w:type="character" w:styleId="CommentReference">
    <w:name w:val="annotation reference"/>
    <w:basedOn w:val="DefaultParagraphFont"/>
    <w:uiPriority w:val="99"/>
    <w:semiHidden/>
    <w:unhideWhenUsed/>
    <w:rsid w:val="005E3CCD"/>
    <w:rPr>
      <w:sz w:val="16"/>
      <w:szCs w:val="16"/>
    </w:rPr>
  </w:style>
  <w:style w:type="paragraph" w:styleId="CommentText">
    <w:name w:val="annotation text"/>
    <w:basedOn w:val="Normal"/>
    <w:link w:val="CommentTextChar"/>
    <w:uiPriority w:val="99"/>
    <w:semiHidden/>
    <w:unhideWhenUsed/>
    <w:rsid w:val="005E3CCD"/>
    <w:pPr>
      <w:spacing w:line="240" w:lineRule="auto"/>
    </w:pPr>
    <w:rPr>
      <w:sz w:val="20"/>
      <w:szCs w:val="20"/>
    </w:rPr>
  </w:style>
  <w:style w:type="character" w:customStyle="1" w:styleId="CommentTextChar">
    <w:name w:val="Comment Text Char"/>
    <w:basedOn w:val="DefaultParagraphFont"/>
    <w:link w:val="CommentText"/>
    <w:uiPriority w:val="99"/>
    <w:semiHidden/>
    <w:rsid w:val="005E3CCD"/>
    <w:rPr>
      <w:sz w:val="20"/>
      <w:szCs w:val="20"/>
    </w:rPr>
  </w:style>
  <w:style w:type="paragraph" w:styleId="CommentSubject">
    <w:name w:val="annotation subject"/>
    <w:basedOn w:val="CommentText"/>
    <w:next w:val="CommentText"/>
    <w:link w:val="CommentSubjectChar"/>
    <w:uiPriority w:val="99"/>
    <w:semiHidden/>
    <w:unhideWhenUsed/>
    <w:rsid w:val="005E3CCD"/>
    <w:rPr>
      <w:b/>
      <w:bCs/>
    </w:rPr>
  </w:style>
  <w:style w:type="character" w:customStyle="1" w:styleId="CommentSubjectChar">
    <w:name w:val="Comment Subject Char"/>
    <w:basedOn w:val="CommentTextChar"/>
    <w:link w:val="CommentSubject"/>
    <w:uiPriority w:val="99"/>
    <w:semiHidden/>
    <w:rsid w:val="005E3CCD"/>
    <w:rPr>
      <w:b/>
      <w:bCs/>
      <w:sz w:val="20"/>
      <w:szCs w:val="20"/>
    </w:rPr>
  </w:style>
  <w:style w:type="paragraph" w:styleId="Revision">
    <w:name w:val="Revision"/>
    <w:hidden/>
    <w:uiPriority w:val="99"/>
    <w:semiHidden/>
    <w:rsid w:val="005E3CCD"/>
    <w:pPr>
      <w:spacing w:after="0" w:line="240" w:lineRule="auto"/>
    </w:pPr>
  </w:style>
  <w:style w:type="character" w:styleId="Hyperlink">
    <w:name w:val="Hyperlink"/>
    <w:basedOn w:val="DefaultParagraphFont"/>
    <w:uiPriority w:val="99"/>
    <w:unhideWhenUsed/>
    <w:rsid w:val="009A12D4"/>
    <w:rPr>
      <w:color w:val="0563C1" w:themeColor="hyperlink"/>
      <w:u w:val="single"/>
    </w:rPr>
  </w:style>
  <w:style w:type="paragraph" w:styleId="HTMLPreformatted">
    <w:name w:val="HTML Preformatted"/>
    <w:basedOn w:val="Normal"/>
    <w:link w:val="HTMLPreformattedChar"/>
    <w:uiPriority w:val="99"/>
    <w:semiHidden/>
    <w:unhideWhenUsed/>
    <w:rsid w:val="009177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77E8"/>
    <w:rPr>
      <w:rFonts w:ascii="Consolas" w:hAnsi="Consolas"/>
      <w:sz w:val="20"/>
      <w:szCs w:val="20"/>
    </w:rPr>
  </w:style>
  <w:style w:type="character" w:customStyle="1" w:styleId="Heading2Char">
    <w:name w:val="Heading 2 Char"/>
    <w:basedOn w:val="DefaultParagraphFont"/>
    <w:link w:val="Heading2"/>
    <w:uiPriority w:val="9"/>
    <w:semiHidden/>
    <w:rsid w:val="00554797"/>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9E"/>
    <w:pPr>
      <w:spacing w:line="256" w:lineRule="auto"/>
    </w:pPr>
  </w:style>
  <w:style w:type="paragraph" w:styleId="Heading2">
    <w:name w:val="heading 2"/>
    <w:basedOn w:val="Normal"/>
    <w:next w:val="Normal"/>
    <w:link w:val="Heading2Char"/>
    <w:uiPriority w:val="9"/>
    <w:semiHidden/>
    <w:unhideWhenUsed/>
    <w:qFormat/>
    <w:rsid w:val="005547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69E"/>
    <w:pPr>
      <w:ind w:left="720"/>
      <w:contextualSpacing/>
    </w:pPr>
  </w:style>
  <w:style w:type="paragraph" w:styleId="NoSpacing">
    <w:name w:val="No Spacing"/>
    <w:uiPriority w:val="1"/>
    <w:qFormat/>
    <w:rsid w:val="008A069E"/>
    <w:pPr>
      <w:spacing w:after="0" w:line="240" w:lineRule="auto"/>
    </w:pPr>
  </w:style>
  <w:style w:type="paragraph" w:styleId="Header">
    <w:name w:val="header"/>
    <w:basedOn w:val="Normal"/>
    <w:link w:val="HeaderChar"/>
    <w:uiPriority w:val="99"/>
    <w:unhideWhenUsed/>
    <w:rsid w:val="008A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69E"/>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8A069E"/>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8A069E"/>
    <w:rPr>
      <w:sz w:val="20"/>
      <w:szCs w:val="20"/>
    </w:rPr>
  </w:style>
  <w:style w:type="character" w:styleId="FootnoteReference">
    <w:name w:val="footnote reference"/>
    <w:aliases w:val="Footnotes refss,Texto de nota al pie,Appel note de bas de page,f,4_G,Ref. de nota al pie.,referencia nota al pie,BVI fnr,Footnote number,Footnote symbol,Footnote,16 Point,Superscript 6 Point,Texto nota al pie,Ref. de nota al pi,Ref,f1"/>
    <w:basedOn w:val="DefaultParagraphFont"/>
    <w:unhideWhenUsed/>
    <w:qFormat/>
    <w:rsid w:val="008A069E"/>
    <w:rPr>
      <w:vertAlign w:val="superscript"/>
    </w:rPr>
  </w:style>
  <w:style w:type="paragraph" w:styleId="BalloonText">
    <w:name w:val="Balloon Text"/>
    <w:basedOn w:val="Normal"/>
    <w:link w:val="BalloonTextChar"/>
    <w:uiPriority w:val="99"/>
    <w:semiHidden/>
    <w:unhideWhenUsed/>
    <w:rsid w:val="00A9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30E"/>
    <w:rPr>
      <w:rFonts w:ascii="Tahoma" w:hAnsi="Tahoma" w:cs="Tahoma"/>
      <w:sz w:val="16"/>
      <w:szCs w:val="16"/>
    </w:rPr>
  </w:style>
  <w:style w:type="paragraph" w:styleId="Footer">
    <w:name w:val="footer"/>
    <w:basedOn w:val="Normal"/>
    <w:link w:val="FooterChar"/>
    <w:uiPriority w:val="99"/>
    <w:unhideWhenUsed/>
    <w:rsid w:val="00A9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30E"/>
  </w:style>
  <w:style w:type="character" w:styleId="CommentReference">
    <w:name w:val="annotation reference"/>
    <w:basedOn w:val="DefaultParagraphFont"/>
    <w:uiPriority w:val="99"/>
    <w:semiHidden/>
    <w:unhideWhenUsed/>
    <w:rsid w:val="005E3CCD"/>
    <w:rPr>
      <w:sz w:val="16"/>
      <w:szCs w:val="16"/>
    </w:rPr>
  </w:style>
  <w:style w:type="paragraph" w:styleId="CommentText">
    <w:name w:val="annotation text"/>
    <w:basedOn w:val="Normal"/>
    <w:link w:val="CommentTextChar"/>
    <w:uiPriority w:val="99"/>
    <w:semiHidden/>
    <w:unhideWhenUsed/>
    <w:rsid w:val="005E3CCD"/>
    <w:pPr>
      <w:spacing w:line="240" w:lineRule="auto"/>
    </w:pPr>
    <w:rPr>
      <w:sz w:val="20"/>
      <w:szCs w:val="20"/>
    </w:rPr>
  </w:style>
  <w:style w:type="character" w:customStyle="1" w:styleId="CommentTextChar">
    <w:name w:val="Comment Text Char"/>
    <w:basedOn w:val="DefaultParagraphFont"/>
    <w:link w:val="CommentText"/>
    <w:uiPriority w:val="99"/>
    <w:semiHidden/>
    <w:rsid w:val="005E3CCD"/>
    <w:rPr>
      <w:sz w:val="20"/>
      <w:szCs w:val="20"/>
    </w:rPr>
  </w:style>
  <w:style w:type="paragraph" w:styleId="CommentSubject">
    <w:name w:val="annotation subject"/>
    <w:basedOn w:val="CommentText"/>
    <w:next w:val="CommentText"/>
    <w:link w:val="CommentSubjectChar"/>
    <w:uiPriority w:val="99"/>
    <w:semiHidden/>
    <w:unhideWhenUsed/>
    <w:rsid w:val="005E3CCD"/>
    <w:rPr>
      <w:b/>
      <w:bCs/>
    </w:rPr>
  </w:style>
  <w:style w:type="character" w:customStyle="1" w:styleId="CommentSubjectChar">
    <w:name w:val="Comment Subject Char"/>
    <w:basedOn w:val="CommentTextChar"/>
    <w:link w:val="CommentSubject"/>
    <w:uiPriority w:val="99"/>
    <w:semiHidden/>
    <w:rsid w:val="005E3CCD"/>
    <w:rPr>
      <w:b/>
      <w:bCs/>
      <w:sz w:val="20"/>
      <w:szCs w:val="20"/>
    </w:rPr>
  </w:style>
  <w:style w:type="paragraph" w:styleId="Revision">
    <w:name w:val="Revision"/>
    <w:hidden/>
    <w:uiPriority w:val="99"/>
    <w:semiHidden/>
    <w:rsid w:val="005E3CCD"/>
    <w:pPr>
      <w:spacing w:after="0" w:line="240" w:lineRule="auto"/>
    </w:pPr>
  </w:style>
  <w:style w:type="character" w:styleId="Hyperlink">
    <w:name w:val="Hyperlink"/>
    <w:basedOn w:val="DefaultParagraphFont"/>
    <w:uiPriority w:val="99"/>
    <w:unhideWhenUsed/>
    <w:rsid w:val="009A12D4"/>
    <w:rPr>
      <w:color w:val="0563C1" w:themeColor="hyperlink"/>
      <w:u w:val="single"/>
    </w:rPr>
  </w:style>
  <w:style w:type="paragraph" w:styleId="HTMLPreformatted">
    <w:name w:val="HTML Preformatted"/>
    <w:basedOn w:val="Normal"/>
    <w:link w:val="HTMLPreformattedChar"/>
    <w:uiPriority w:val="99"/>
    <w:semiHidden/>
    <w:unhideWhenUsed/>
    <w:rsid w:val="009177E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177E8"/>
    <w:rPr>
      <w:rFonts w:ascii="Consolas" w:hAnsi="Consolas"/>
      <w:sz w:val="20"/>
      <w:szCs w:val="20"/>
    </w:rPr>
  </w:style>
  <w:style w:type="character" w:customStyle="1" w:styleId="Heading2Char">
    <w:name w:val="Heading 2 Char"/>
    <w:basedOn w:val="DefaultParagraphFont"/>
    <w:link w:val="Heading2"/>
    <w:uiPriority w:val="9"/>
    <w:semiHidden/>
    <w:rsid w:val="0055479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984">
      <w:bodyDiv w:val="1"/>
      <w:marLeft w:val="0"/>
      <w:marRight w:val="0"/>
      <w:marTop w:val="0"/>
      <w:marBottom w:val="0"/>
      <w:divBdr>
        <w:top w:val="none" w:sz="0" w:space="0" w:color="auto"/>
        <w:left w:val="none" w:sz="0" w:space="0" w:color="auto"/>
        <w:bottom w:val="none" w:sz="0" w:space="0" w:color="auto"/>
        <w:right w:val="none" w:sz="0" w:space="0" w:color="auto"/>
      </w:divBdr>
    </w:div>
    <w:div w:id="14699198">
      <w:bodyDiv w:val="1"/>
      <w:marLeft w:val="0"/>
      <w:marRight w:val="0"/>
      <w:marTop w:val="0"/>
      <w:marBottom w:val="0"/>
      <w:divBdr>
        <w:top w:val="none" w:sz="0" w:space="0" w:color="auto"/>
        <w:left w:val="none" w:sz="0" w:space="0" w:color="auto"/>
        <w:bottom w:val="none" w:sz="0" w:space="0" w:color="auto"/>
        <w:right w:val="none" w:sz="0" w:space="0" w:color="auto"/>
      </w:divBdr>
    </w:div>
    <w:div w:id="72624449">
      <w:bodyDiv w:val="1"/>
      <w:marLeft w:val="0"/>
      <w:marRight w:val="0"/>
      <w:marTop w:val="0"/>
      <w:marBottom w:val="0"/>
      <w:divBdr>
        <w:top w:val="none" w:sz="0" w:space="0" w:color="auto"/>
        <w:left w:val="none" w:sz="0" w:space="0" w:color="auto"/>
        <w:bottom w:val="none" w:sz="0" w:space="0" w:color="auto"/>
        <w:right w:val="none" w:sz="0" w:space="0" w:color="auto"/>
      </w:divBdr>
    </w:div>
    <w:div w:id="137693176">
      <w:bodyDiv w:val="1"/>
      <w:marLeft w:val="0"/>
      <w:marRight w:val="0"/>
      <w:marTop w:val="0"/>
      <w:marBottom w:val="0"/>
      <w:divBdr>
        <w:top w:val="none" w:sz="0" w:space="0" w:color="auto"/>
        <w:left w:val="none" w:sz="0" w:space="0" w:color="auto"/>
        <w:bottom w:val="none" w:sz="0" w:space="0" w:color="auto"/>
        <w:right w:val="none" w:sz="0" w:space="0" w:color="auto"/>
      </w:divBdr>
    </w:div>
    <w:div w:id="152916215">
      <w:bodyDiv w:val="1"/>
      <w:marLeft w:val="0"/>
      <w:marRight w:val="0"/>
      <w:marTop w:val="0"/>
      <w:marBottom w:val="0"/>
      <w:divBdr>
        <w:top w:val="none" w:sz="0" w:space="0" w:color="auto"/>
        <w:left w:val="none" w:sz="0" w:space="0" w:color="auto"/>
        <w:bottom w:val="none" w:sz="0" w:space="0" w:color="auto"/>
        <w:right w:val="none" w:sz="0" w:space="0" w:color="auto"/>
      </w:divBdr>
    </w:div>
    <w:div w:id="216359599">
      <w:bodyDiv w:val="1"/>
      <w:marLeft w:val="0"/>
      <w:marRight w:val="0"/>
      <w:marTop w:val="0"/>
      <w:marBottom w:val="0"/>
      <w:divBdr>
        <w:top w:val="none" w:sz="0" w:space="0" w:color="auto"/>
        <w:left w:val="none" w:sz="0" w:space="0" w:color="auto"/>
        <w:bottom w:val="none" w:sz="0" w:space="0" w:color="auto"/>
        <w:right w:val="none" w:sz="0" w:space="0" w:color="auto"/>
      </w:divBdr>
    </w:div>
    <w:div w:id="263003465">
      <w:bodyDiv w:val="1"/>
      <w:marLeft w:val="0"/>
      <w:marRight w:val="0"/>
      <w:marTop w:val="0"/>
      <w:marBottom w:val="0"/>
      <w:divBdr>
        <w:top w:val="none" w:sz="0" w:space="0" w:color="auto"/>
        <w:left w:val="none" w:sz="0" w:space="0" w:color="auto"/>
        <w:bottom w:val="none" w:sz="0" w:space="0" w:color="auto"/>
        <w:right w:val="none" w:sz="0" w:space="0" w:color="auto"/>
      </w:divBdr>
    </w:div>
    <w:div w:id="263806297">
      <w:bodyDiv w:val="1"/>
      <w:marLeft w:val="0"/>
      <w:marRight w:val="0"/>
      <w:marTop w:val="0"/>
      <w:marBottom w:val="0"/>
      <w:divBdr>
        <w:top w:val="none" w:sz="0" w:space="0" w:color="auto"/>
        <w:left w:val="none" w:sz="0" w:space="0" w:color="auto"/>
        <w:bottom w:val="none" w:sz="0" w:space="0" w:color="auto"/>
        <w:right w:val="none" w:sz="0" w:space="0" w:color="auto"/>
      </w:divBdr>
    </w:div>
    <w:div w:id="270205994">
      <w:bodyDiv w:val="1"/>
      <w:marLeft w:val="0"/>
      <w:marRight w:val="0"/>
      <w:marTop w:val="0"/>
      <w:marBottom w:val="0"/>
      <w:divBdr>
        <w:top w:val="none" w:sz="0" w:space="0" w:color="auto"/>
        <w:left w:val="none" w:sz="0" w:space="0" w:color="auto"/>
        <w:bottom w:val="none" w:sz="0" w:space="0" w:color="auto"/>
        <w:right w:val="none" w:sz="0" w:space="0" w:color="auto"/>
      </w:divBdr>
    </w:div>
    <w:div w:id="276255410">
      <w:bodyDiv w:val="1"/>
      <w:marLeft w:val="0"/>
      <w:marRight w:val="0"/>
      <w:marTop w:val="0"/>
      <w:marBottom w:val="0"/>
      <w:divBdr>
        <w:top w:val="none" w:sz="0" w:space="0" w:color="auto"/>
        <w:left w:val="none" w:sz="0" w:space="0" w:color="auto"/>
        <w:bottom w:val="none" w:sz="0" w:space="0" w:color="auto"/>
        <w:right w:val="none" w:sz="0" w:space="0" w:color="auto"/>
      </w:divBdr>
    </w:div>
    <w:div w:id="311369818">
      <w:bodyDiv w:val="1"/>
      <w:marLeft w:val="0"/>
      <w:marRight w:val="0"/>
      <w:marTop w:val="0"/>
      <w:marBottom w:val="0"/>
      <w:divBdr>
        <w:top w:val="none" w:sz="0" w:space="0" w:color="auto"/>
        <w:left w:val="none" w:sz="0" w:space="0" w:color="auto"/>
        <w:bottom w:val="none" w:sz="0" w:space="0" w:color="auto"/>
        <w:right w:val="none" w:sz="0" w:space="0" w:color="auto"/>
      </w:divBdr>
    </w:div>
    <w:div w:id="321154984">
      <w:bodyDiv w:val="1"/>
      <w:marLeft w:val="0"/>
      <w:marRight w:val="0"/>
      <w:marTop w:val="0"/>
      <w:marBottom w:val="0"/>
      <w:divBdr>
        <w:top w:val="none" w:sz="0" w:space="0" w:color="auto"/>
        <w:left w:val="none" w:sz="0" w:space="0" w:color="auto"/>
        <w:bottom w:val="none" w:sz="0" w:space="0" w:color="auto"/>
        <w:right w:val="none" w:sz="0" w:space="0" w:color="auto"/>
      </w:divBdr>
    </w:div>
    <w:div w:id="339043922">
      <w:bodyDiv w:val="1"/>
      <w:marLeft w:val="0"/>
      <w:marRight w:val="0"/>
      <w:marTop w:val="0"/>
      <w:marBottom w:val="0"/>
      <w:divBdr>
        <w:top w:val="none" w:sz="0" w:space="0" w:color="auto"/>
        <w:left w:val="none" w:sz="0" w:space="0" w:color="auto"/>
        <w:bottom w:val="none" w:sz="0" w:space="0" w:color="auto"/>
        <w:right w:val="none" w:sz="0" w:space="0" w:color="auto"/>
      </w:divBdr>
    </w:div>
    <w:div w:id="367534301">
      <w:bodyDiv w:val="1"/>
      <w:marLeft w:val="0"/>
      <w:marRight w:val="0"/>
      <w:marTop w:val="0"/>
      <w:marBottom w:val="0"/>
      <w:divBdr>
        <w:top w:val="none" w:sz="0" w:space="0" w:color="auto"/>
        <w:left w:val="none" w:sz="0" w:space="0" w:color="auto"/>
        <w:bottom w:val="none" w:sz="0" w:space="0" w:color="auto"/>
        <w:right w:val="none" w:sz="0" w:space="0" w:color="auto"/>
      </w:divBdr>
    </w:div>
    <w:div w:id="465855106">
      <w:bodyDiv w:val="1"/>
      <w:marLeft w:val="0"/>
      <w:marRight w:val="0"/>
      <w:marTop w:val="0"/>
      <w:marBottom w:val="0"/>
      <w:divBdr>
        <w:top w:val="none" w:sz="0" w:space="0" w:color="auto"/>
        <w:left w:val="none" w:sz="0" w:space="0" w:color="auto"/>
        <w:bottom w:val="none" w:sz="0" w:space="0" w:color="auto"/>
        <w:right w:val="none" w:sz="0" w:space="0" w:color="auto"/>
      </w:divBdr>
    </w:div>
    <w:div w:id="507796580">
      <w:bodyDiv w:val="1"/>
      <w:marLeft w:val="0"/>
      <w:marRight w:val="0"/>
      <w:marTop w:val="0"/>
      <w:marBottom w:val="0"/>
      <w:divBdr>
        <w:top w:val="none" w:sz="0" w:space="0" w:color="auto"/>
        <w:left w:val="none" w:sz="0" w:space="0" w:color="auto"/>
        <w:bottom w:val="none" w:sz="0" w:space="0" w:color="auto"/>
        <w:right w:val="none" w:sz="0" w:space="0" w:color="auto"/>
      </w:divBdr>
    </w:div>
    <w:div w:id="547492542">
      <w:bodyDiv w:val="1"/>
      <w:marLeft w:val="0"/>
      <w:marRight w:val="0"/>
      <w:marTop w:val="0"/>
      <w:marBottom w:val="0"/>
      <w:divBdr>
        <w:top w:val="none" w:sz="0" w:space="0" w:color="auto"/>
        <w:left w:val="none" w:sz="0" w:space="0" w:color="auto"/>
        <w:bottom w:val="none" w:sz="0" w:space="0" w:color="auto"/>
        <w:right w:val="none" w:sz="0" w:space="0" w:color="auto"/>
      </w:divBdr>
    </w:div>
    <w:div w:id="550389813">
      <w:bodyDiv w:val="1"/>
      <w:marLeft w:val="0"/>
      <w:marRight w:val="0"/>
      <w:marTop w:val="0"/>
      <w:marBottom w:val="0"/>
      <w:divBdr>
        <w:top w:val="none" w:sz="0" w:space="0" w:color="auto"/>
        <w:left w:val="none" w:sz="0" w:space="0" w:color="auto"/>
        <w:bottom w:val="none" w:sz="0" w:space="0" w:color="auto"/>
        <w:right w:val="none" w:sz="0" w:space="0" w:color="auto"/>
      </w:divBdr>
    </w:div>
    <w:div w:id="650518970">
      <w:bodyDiv w:val="1"/>
      <w:marLeft w:val="0"/>
      <w:marRight w:val="0"/>
      <w:marTop w:val="0"/>
      <w:marBottom w:val="0"/>
      <w:divBdr>
        <w:top w:val="none" w:sz="0" w:space="0" w:color="auto"/>
        <w:left w:val="none" w:sz="0" w:space="0" w:color="auto"/>
        <w:bottom w:val="none" w:sz="0" w:space="0" w:color="auto"/>
        <w:right w:val="none" w:sz="0" w:space="0" w:color="auto"/>
      </w:divBdr>
    </w:div>
    <w:div w:id="699092097">
      <w:bodyDiv w:val="1"/>
      <w:marLeft w:val="0"/>
      <w:marRight w:val="0"/>
      <w:marTop w:val="0"/>
      <w:marBottom w:val="0"/>
      <w:divBdr>
        <w:top w:val="none" w:sz="0" w:space="0" w:color="auto"/>
        <w:left w:val="none" w:sz="0" w:space="0" w:color="auto"/>
        <w:bottom w:val="none" w:sz="0" w:space="0" w:color="auto"/>
        <w:right w:val="none" w:sz="0" w:space="0" w:color="auto"/>
      </w:divBdr>
    </w:div>
    <w:div w:id="753672685">
      <w:bodyDiv w:val="1"/>
      <w:marLeft w:val="0"/>
      <w:marRight w:val="0"/>
      <w:marTop w:val="0"/>
      <w:marBottom w:val="0"/>
      <w:divBdr>
        <w:top w:val="none" w:sz="0" w:space="0" w:color="auto"/>
        <w:left w:val="none" w:sz="0" w:space="0" w:color="auto"/>
        <w:bottom w:val="none" w:sz="0" w:space="0" w:color="auto"/>
        <w:right w:val="none" w:sz="0" w:space="0" w:color="auto"/>
      </w:divBdr>
    </w:div>
    <w:div w:id="794371072">
      <w:bodyDiv w:val="1"/>
      <w:marLeft w:val="0"/>
      <w:marRight w:val="0"/>
      <w:marTop w:val="0"/>
      <w:marBottom w:val="0"/>
      <w:divBdr>
        <w:top w:val="none" w:sz="0" w:space="0" w:color="auto"/>
        <w:left w:val="none" w:sz="0" w:space="0" w:color="auto"/>
        <w:bottom w:val="none" w:sz="0" w:space="0" w:color="auto"/>
        <w:right w:val="none" w:sz="0" w:space="0" w:color="auto"/>
      </w:divBdr>
    </w:div>
    <w:div w:id="817116449">
      <w:bodyDiv w:val="1"/>
      <w:marLeft w:val="0"/>
      <w:marRight w:val="0"/>
      <w:marTop w:val="0"/>
      <w:marBottom w:val="0"/>
      <w:divBdr>
        <w:top w:val="none" w:sz="0" w:space="0" w:color="auto"/>
        <w:left w:val="none" w:sz="0" w:space="0" w:color="auto"/>
        <w:bottom w:val="none" w:sz="0" w:space="0" w:color="auto"/>
        <w:right w:val="none" w:sz="0" w:space="0" w:color="auto"/>
      </w:divBdr>
    </w:div>
    <w:div w:id="848568407">
      <w:bodyDiv w:val="1"/>
      <w:marLeft w:val="0"/>
      <w:marRight w:val="0"/>
      <w:marTop w:val="0"/>
      <w:marBottom w:val="0"/>
      <w:divBdr>
        <w:top w:val="none" w:sz="0" w:space="0" w:color="auto"/>
        <w:left w:val="none" w:sz="0" w:space="0" w:color="auto"/>
        <w:bottom w:val="none" w:sz="0" w:space="0" w:color="auto"/>
        <w:right w:val="none" w:sz="0" w:space="0" w:color="auto"/>
      </w:divBdr>
    </w:div>
    <w:div w:id="855772704">
      <w:bodyDiv w:val="1"/>
      <w:marLeft w:val="0"/>
      <w:marRight w:val="0"/>
      <w:marTop w:val="0"/>
      <w:marBottom w:val="0"/>
      <w:divBdr>
        <w:top w:val="none" w:sz="0" w:space="0" w:color="auto"/>
        <w:left w:val="none" w:sz="0" w:space="0" w:color="auto"/>
        <w:bottom w:val="none" w:sz="0" w:space="0" w:color="auto"/>
        <w:right w:val="none" w:sz="0" w:space="0" w:color="auto"/>
      </w:divBdr>
    </w:div>
    <w:div w:id="883836892">
      <w:bodyDiv w:val="1"/>
      <w:marLeft w:val="0"/>
      <w:marRight w:val="0"/>
      <w:marTop w:val="0"/>
      <w:marBottom w:val="0"/>
      <w:divBdr>
        <w:top w:val="none" w:sz="0" w:space="0" w:color="auto"/>
        <w:left w:val="none" w:sz="0" w:space="0" w:color="auto"/>
        <w:bottom w:val="none" w:sz="0" w:space="0" w:color="auto"/>
        <w:right w:val="none" w:sz="0" w:space="0" w:color="auto"/>
      </w:divBdr>
    </w:div>
    <w:div w:id="899708357">
      <w:bodyDiv w:val="1"/>
      <w:marLeft w:val="0"/>
      <w:marRight w:val="0"/>
      <w:marTop w:val="0"/>
      <w:marBottom w:val="0"/>
      <w:divBdr>
        <w:top w:val="none" w:sz="0" w:space="0" w:color="auto"/>
        <w:left w:val="none" w:sz="0" w:space="0" w:color="auto"/>
        <w:bottom w:val="none" w:sz="0" w:space="0" w:color="auto"/>
        <w:right w:val="none" w:sz="0" w:space="0" w:color="auto"/>
      </w:divBdr>
    </w:div>
    <w:div w:id="917863846">
      <w:bodyDiv w:val="1"/>
      <w:marLeft w:val="0"/>
      <w:marRight w:val="0"/>
      <w:marTop w:val="0"/>
      <w:marBottom w:val="0"/>
      <w:divBdr>
        <w:top w:val="none" w:sz="0" w:space="0" w:color="auto"/>
        <w:left w:val="none" w:sz="0" w:space="0" w:color="auto"/>
        <w:bottom w:val="none" w:sz="0" w:space="0" w:color="auto"/>
        <w:right w:val="none" w:sz="0" w:space="0" w:color="auto"/>
      </w:divBdr>
    </w:div>
    <w:div w:id="948242957">
      <w:bodyDiv w:val="1"/>
      <w:marLeft w:val="0"/>
      <w:marRight w:val="0"/>
      <w:marTop w:val="0"/>
      <w:marBottom w:val="0"/>
      <w:divBdr>
        <w:top w:val="none" w:sz="0" w:space="0" w:color="auto"/>
        <w:left w:val="none" w:sz="0" w:space="0" w:color="auto"/>
        <w:bottom w:val="none" w:sz="0" w:space="0" w:color="auto"/>
        <w:right w:val="none" w:sz="0" w:space="0" w:color="auto"/>
      </w:divBdr>
    </w:div>
    <w:div w:id="1011881269">
      <w:bodyDiv w:val="1"/>
      <w:marLeft w:val="0"/>
      <w:marRight w:val="0"/>
      <w:marTop w:val="0"/>
      <w:marBottom w:val="0"/>
      <w:divBdr>
        <w:top w:val="none" w:sz="0" w:space="0" w:color="auto"/>
        <w:left w:val="none" w:sz="0" w:space="0" w:color="auto"/>
        <w:bottom w:val="none" w:sz="0" w:space="0" w:color="auto"/>
        <w:right w:val="none" w:sz="0" w:space="0" w:color="auto"/>
      </w:divBdr>
    </w:div>
    <w:div w:id="1013803840">
      <w:bodyDiv w:val="1"/>
      <w:marLeft w:val="0"/>
      <w:marRight w:val="0"/>
      <w:marTop w:val="0"/>
      <w:marBottom w:val="0"/>
      <w:divBdr>
        <w:top w:val="none" w:sz="0" w:space="0" w:color="auto"/>
        <w:left w:val="none" w:sz="0" w:space="0" w:color="auto"/>
        <w:bottom w:val="none" w:sz="0" w:space="0" w:color="auto"/>
        <w:right w:val="none" w:sz="0" w:space="0" w:color="auto"/>
      </w:divBdr>
    </w:div>
    <w:div w:id="1019425858">
      <w:bodyDiv w:val="1"/>
      <w:marLeft w:val="0"/>
      <w:marRight w:val="0"/>
      <w:marTop w:val="0"/>
      <w:marBottom w:val="0"/>
      <w:divBdr>
        <w:top w:val="none" w:sz="0" w:space="0" w:color="auto"/>
        <w:left w:val="none" w:sz="0" w:space="0" w:color="auto"/>
        <w:bottom w:val="none" w:sz="0" w:space="0" w:color="auto"/>
        <w:right w:val="none" w:sz="0" w:space="0" w:color="auto"/>
      </w:divBdr>
    </w:div>
    <w:div w:id="1041906810">
      <w:bodyDiv w:val="1"/>
      <w:marLeft w:val="0"/>
      <w:marRight w:val="0"/>
      <w:marTop w:val="0"/>
      <w:marBottom w:val="0"/>
      <w:divBdr>
        <w:top w:val="none" w:sz="0" w:space="0" w:color="auto"/>
        <w:left w:val="none" w:sz="0" w:space="0" w:color="auto"/>
        <w:bottom w:val="none" w:sz="0" w:space="0" w:color="auto"/>
        <w:right w:val="none" w:sz="0" w:space="0" w:color="auto"/>
      </w:divBdr>
    </w:div>
    <w:div w:id="1060203738">
      <w:bodyDiv w:val="1"/>
      <w:marLeft w:val="0"/>
      <w:marRight w:val="0"/>
      <w:marTop w:val="0"/>
      <w:marBottom w:val="0"/>
      <w:divBdr>
        <w:top w:val="none" w:sz="0" w:space="0" w:color="auto"/>
        <w:left w:val="none" w:sz="0" w:space="0" w:color="auto"/>
        <w:bottom w:val="none" w:sz="0" w:space="0" w:color="auto"/>
        <w:right w:val="none" w:sz="0" w:space="0" w:color="auto"/>
      </w:divBdr>
    </w:div>
    <w:div w:id="1130906119">
      <w:bodyDiv w:val="1"/>
      <w:marLeft w:val="0"/>
      <w:marRight w:val="0"/>
      <w:marTop w:val="0"/>
      <w:marBottom w:val="0"/>
      <w:divBdr>
        <w:top w:val="none" w:sz="0" w:space="0" w:color="auto"/>
        <w:left w:val="none" w:sz="0" w:space="0" w:color="auto"/>
        <w:bottom w:val="none" w:sz="0" w:space="0" w:color="auto"/>
        <w:right w:val="none" w:sz="0" w:space="0" w:color="auto"/>
      </w:divBdr>
    </w:div>
    <w:div w:id="1139760174">
      <w:bodyDiv w:val="1"/>
      <w:marLeft w:val="0"/>
      <w:marRight w:val="0"/>
      <w:marTop w:val="0"/>
      <w:marBottom w:val="0"/>
      <w:divBdr>
        <w:top w:val="none" w:sz="0" w:space="0" w:color="auto"/>
        <w:left w:val="none" w:sz="0" w:space="0" w:color="auto"/>
        <w:bottom w:val="none" w:sz="0" w:space="0" w:color="auto"/>
        <w:right w:val="none" w:sz="0" w:space="0" w:color="auto"/>
      </w:divBdr>
    </w:div>
    <w:div w:id="1164201336">
      <w:bodyDiv w:val="1"/>
      <w:marLeft w:val="0"/>
      <w:marRight w:val="0"/>
      <w:marTop w:val="0"/>
      <w:marBottom w:val="0"/>
      <w:divBdr>
        <w:top w:val="none" w:sz="0" w:space="0" w:color="auto"/>
        <w:left w:val="none" w:sz="0" w:space="0" w:color="auto"/>
        <w:bottom w:val="none" w:sz="0" w:space="0" w:color="auto"/>
        <w:right w:val="none" w:sz="0" w:space="0" w:color="auto"/>
      </w:divBdr>
    </w:div>
    <w:div w:id="1167476194">
      <w:bodyDiv w:val="1"/>
      <w:marLeft w:val="0"/>
      <w:marRight w:val="0"/>
      <w:marTop w:val="0"/>
      <w:marBottom w:val="0"/>
      <w:divBdr>
        <w:top w:val="none" w:sz="0" w:space="0" w:color="auto"/>
        <w:left w:val="none" w:sz="0" w:space="0" w:color="auto"/>
        <w:bottom w:val="none" w:sz="0" w:space="0" w:color="auto"/>
        <w:right w:val="none" w:sz="0" w:space="0" w:color="auto"/>
      </w:divBdr>
    </w:div>
    <w:div w:id="1196239018">
      <w:bodyDiv w:val="1"/>
      <w:marLeft w:val="0"/>
      <w:marRight w:val="0"/>
      <w:marTop w:val="0"/>
      <w:marBottom w:val="0"/>
      <w:divBdr>
        <w:top w:val="none" w:sz="0" w:space="0" w:color="auto"/>
        <w:left w:val="none" w:sz="0" w:space="0" w:color="auto"/>
        <w:bottom w:val="none" w:sz="0" w:space="0" w:color="auto"/>
        <w:right w:val="none" w:sz="0" w:space="0" w:color="auto"/>
      </w:divBdr>
    </w:div>
    <w:div w:id="1201285499">
      <w:bodyDiv w:val="1"/>
      <w:marLeft w:val="0"/>
      <w:marRight w:val="0"/>
      <w:marTop w:val="0"/>
      <w:marBottom w:val="0"/>
      <w:divBdr>
        <w:top w:val="none" w:sz="0" w:space="0" w:color="auto"/>
        <w:left w:val="none" w:sz="0" w:space="0" w:color="auto"/>
        <w:bottom w:val="none" w:sz="0" w:space="0" w:color="auto"/>
        <w:right w:val="none" w:sz="0" w:space="0" w:color="auto"/>
      </w:divBdr>
    </w:div>
    <w:div w:id="1249079105">
      <w:bodyDiv w:val="1"/>
      <w:marLeft w:val="0"/>
      <w:marRight w:val="0"/>
      <w:marTop w:val="0"/>
      <w:marBottom w:val="0"/>
      <w:divBdr>
        <w:top w:val="none" w:sz="0" w:space="0" w:color="auto"/>
        <w:left w:val="none" w:sz="0" w:space="0" w:color="auto"/>
        <w:bottom w:val="none" w:sz="0" w:space="0" w:color="auto"/>
        <w:right w:val="none" w:sz="0" w:space="0" w:color="auto"/>
      </w:divBdr>
    </w:div>
    <w:div w:id="1280721623">
      <w:bodyDiv w:val="1"/>
      <w:marLeft w:val="0"/>
      <w:marRight w:val="0"/>
      <w:marTop w:val="0"/>
      <w:marBottom w:val="0"/>
      <w:divBdr>
        <w:top w:val="none" w:sz="0" w:space="0" w:color="auto"/>
        <w:left w:val="none" w:sz="0" w:space="0" w:color="auto"/>
        <w:bottom w:val="none" w:sz="0" w:space="0" w:color="auto"/>
        <w:right w:val="none" w:sz="0" w:space="0" w:color="auto"/>
      </w:divBdr>
    </w:div>
    <w:div w:id="1354724782">
      <w:bodyDiv w:val="1"/>
      <w:marLeft w:val="0"/>
      <w:marRight w:val="0"/>
      <w:marTop w:val="0"/>
      <w:marBottom w:val="0"/>
      <w:divBdr>
        <w:top w:val="none" w:sz="0" w:space="0" w:color="auto"/>
        <w:left w:val="none" w:sz="0" w:space="0" w:color="auto"/>
        <w:bottom w:val="none" w:sz="0" w:space="0" w:color="auto"/>
        <w:right w:val="none" w:sz="0" w:space="0" w:color="auto"/>
      </w:divBdr>
    </w:div>
    <w:div w:id="1408453820">
      <w:bodyDiv w:val="1"/>
      <w:marLeft w:val="0"/>
      <w:marRight w:val="0"/>
      <w:marTop w:val="0"/>
      <w:marBottom w:val="0"/>
      <w:divBdr>
        <w:top w:val="none" w:sz="0" w:space="0" w:color="auto"/>
        <w:left w:val="none" w:sz="0" w:space="0" w:color="auto"/>
        <w:bottom w:val="none" w:sz="0" w:space="0" w:color="auto"/>
        <w:right w:val="none" w:sz="0" w:space="0" w:color="auto"/>
      </w:divBdr>
    </w:div>
    <w:div w:id="1434353577">
      <w:bodyDiv w:val="1"/>
      <w:marLeft w:val="0"/>
      <w:marRight w:val="0"/>
      <w:marTop w:val="0"/>
      <w:marBottom w:val="0"/>
      <w:divBdr>
        <w:top w:val="none" w:sz="0" w:space="0" w:color="auto"/>
        <w:left w:val="none" w:sz="0" w:space="0" w:color="auto"/>
        <w:bottom w:val="none" w:sz="0" w:space="0" w:color="auto"/>
        <w:right w:val="none" w:sz="0" w:space="0" w:color="auto"/>
      </w:divBdr>
    </w:div>
    <w:div w:id="1593470276">
      <w:bodyDiv w:val="1"/>
      <w:marLeft w:val="0"/>
      <w:marRight w:val="0"/>
      <w:marTop w:val="0"/>
      <w:marBottom w:val="0"/>
      <w:divBdr>
        <w:top w:val="none" w:sz="0" w:space="0" w:color="auto"/>
        <w:left w:val="none" w:sz="0" w:space="0" w:color="auto"/>
        <w:bottom w:val="none" w:sz="0" w:space="0" w:color="auto"/>
        <w:right w:val="none" w:sz="0" w:space="0" w:color="auto"/>
      </w:divBdr>
    </w:div>
    <w:div w:id="1619295202">
      <w:bodyDiv w:val="1"/>
      <w:marLeft w:val="0"/>
      <w:marRight w:val="0"/>
      <w:marTop w:val="0"/>
      <w:marBottom w:val="0"/>
      <w:divBdr>
        <w:top w:val="none" w:sz="0" w:space="0" w:color="auto"/>
        <w:left w:val="none" w:sz="0" w:space="0" w:color="auto"/>
        <w:bottom w:val="none" w:sz="0" w:space="0" w:color="auto"/>
        <w:right w:val="none" w:sz="0" w:space="0" w:color="auto"/>
      </w:divBdr>
    </w:div>
    <w:div w:id="1633828468">
      <w:bodyDiv w:val="1"/>
      <w:marLeft w:val="0"/>
      <w:marRight w:val="0"/>
      <w:marTop w:val="0"/>
      <w:marBottom w:val="0"/>
      <w:divBdr>
        <w:top w:val="none" w:sz="0" w:space="0" w:color="auto"/>
        <w:left w:val="none" w:sz="0" w:space="0" w:color="auto"/>
        <w:bottom w:val="none" w:sz="0" w:space="0" w:color="auto"/>
        <w:right w:val="none" w:sz="0" w:space="0" w:color="auto"/>
      </w:divBdr>
    </w:div>
    <w:div w:id="1688605340">
      <w:bodyDiv w:val="1"/>
      <w:marLeft w:val="0"/>
      <w:marRight w:val="0"/>
      <w:marTop w:val="0"/>
      <w:marBottom w:val="0"/>
      <w:divBdr>
        <w:top w:val="none" w:sz="0" w:space="0" w:color="auto"/>
        <w:left w:val="none" w:sz="0" w:space="0" w:color="auto"/>
        <w:bottom w:val="none" w:sz="0" w:space="0" w:color="auto"/>
        <w:right w:val="none" w:sz="0" w:space="0" w:color="auto"/>
      </w:divBdr>
    </w:div>
    <w:div w:id="1984044927">
      <w:bodyDiv w:val="1"/>
      <w:marLeft w:val="0"/>
      <w:marRight w:val="0"/>
      <w:marTop w:val="0"/>
      <w:marBottom w:val="0"/>
      <w:divBdr>
        <w:top w:val="none" w:sz="0" w:space="0" w:color="auto"/>
        <w:left w:val="none" w:sz="0" w:space="0" w:color="auto"/>
        <w:bottom w:val="none" w:sz="0" w:space="0" w:color="auto"/>
        <w:right w:val="none" w:sz="0" w:space="0" w:color="auto"/>
      </w:divBdr>
    </w:div>
    <w:div w:id="213012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41B3F-5524-4D57-9C75-2F69944E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31 (Ivars, Agustina)</dc:creator>
  <cp:lastModifiedBy>%username%</cp:lastModifiedBy>
  <cp:revision>3</cp:revision>
  <cp:lastPrinted>2018-04-20T20:44:00Z</cp:lastPrinted>
  <dcterms:created xsi:type="dcterms:W3CDTF">2018-05-11T19:33:00Z</dcterms:created>
  <dcterms:modified xsi:type="dcterms:W3CDTF">2018-05-16T13:35:00Z</dcterms:modified>
</cp:coreProperties>
</file>