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23" w:rsidRPr="00E308FA" w:rsidRDefault="00C26223" w:rsidP="00C26223">
      <w:pPr>
        <w:spacing w:after="0" w:line="240" w:lineRule="auto"/>
        <w:ind w:left="-360" w:right="-360"/>
        <w:jc w:val="center"/>
        <w:rPr>
          <w:rFonts w:ascii="Cambria" w:eastAsia="Times New Roman" w:hAnsi="Cambria" w:cs="Arial"/>
          <w:b/>
          <w:bCs/>
          <w:sz w:val="21"/>
          <w:szCs w:val="21"/>
          <w:lang w:val="es-ES_tradnl"/>
        </w:rPr>
      </w:pPr>
      <w:bookmarkStart w:id="0" w:name="_GoBack"/>
      <w:bookmarkEnd w:id="0"/>
      <w:r w:rsidRPr="00E308FA">
        <w:rPr>
          <w:rFonts w:ascii="Cambria" w:eastAsia="Times New Roman" w:hAnsi="Cambria" w:cs="Arial"/>
          <w:b/>
          <w:bCs/>
          <w:sz w:val="21"/>
          <w:szCs w:val="21"/>
          <w:lang w:val="es-ES_tradnl"/>
        </w:rPr>
        <w:t xml:space="preserve">COMISIÓN INTERAMERICANA DE DERECHOS HUMANOS </w:t>
      </w:r>
    </w:p>
    <w:p w:rsidR="00C26223" w:rsidRPr="00E308FA" w:rsidRDefault="00C26223" w:rsidP="00C26223">
      <w:pPr>
        <w:spacing w:after="0" w:line="240" w:lineRule="auto"/>
        <w:ind w:left="-360" w:right="-360"/>
        <w:jc w:val="center"/>
        <w:rPr>
          <w:rFonts w:ascii="Cambria" w:eastAsia="Times New Roman" w:hAnsi="Cambria" w:cs="Arial"/>
          <w:b/>
          <w:bCs/>
          <w:sz w:val="21"/>
          <w:szCs w:val="21"/>
          <w:lang w:val="es-ES_tradnl"/>
        </w:rPr>
      </w:pPr>
      <w:r w:rsidRPr="00E308FA">
        <w:rPr>
          <w:rFonts w:ascii="Cambria" w:eastAsia="Times New Roman" w:hAnsi="Cambria" w:cs="Arial"/>
          <w:b/>
          <w:bCs/>
          <w:sz w:val="21"/>
          <w:szCs w:val="21"/>
          <w:lang w:val="es-ES_tradnl"/>
        </w:rPr>
        <w:t xml:space="preserve">RESOLUCIÓN DE LEVANTAMIENTO </w:t>
      </w:r>
      <w:r w:rsidR="003649A4">
        <w:rPr>
          <w:rFonts w:ascii="Cambria" w:eastAsia="Times New Roman" w:hAnsi="Cambria" w:cs="Arial"/>
          <w:b/>
          <w:bCs/>
          <w:sz w:val="21"/>
          <w:szCs w:val="21"/>
          <w:lang w:val="es-ES_tradnl"/>
        </w:rPr>
        <w:t>PARCIAL DE MEDIDAS CAUTELARES 29</w:t>
      </w:r>
      <w:r w:rsidRPr="00E308FA">
        <w:rPr>
          <w:rFonts w:ascii="Cambria" w:eastAsia="Times New Roman" w:hAnsi="Cambria" w:cs="Arial"/>
          <w:b/>
          <w:bCs/>
          <w:sz w:val="21"/>
          <w:szCs w:val="21"/>
          <w:lang w:val="es-ES_tradnl"/>
        </w:rPr>
        <w:t>/2018</w:t>
      </w:r>
    </w:p>
    <w:p w:rsidR="00C26223" w:rsidRPr="00E308FA" w:rsidRDefault="00C26223" w:rsidP="00C26223">
      <w:pPr>
        <w:spacing w:after="0" w:line="240" w:lineRule="auto"/>
        <w:ind w:left="-360" w:right="-360"/>
        <w:jc w:val="center"/>
        <w:rPr>
          <w:rFonts w:ascii="Cambria" w:eastAsia="Times New Roman" w:hAnsi="Cambria" w:cs="Arial"/>
          <w:sz w:val="21"/>
          <w:szCs w:val="21"/>
          <w:lang w:val="es-ES_tradnl"/>
        </w:rPr>
      </w:pPr>
    </w:p>
    <w:p w:rsidR="00C26223" w:rsidRPr="00E308FA" w:rsidRDefault="00C26223" w:rsidP="00C26223">
      <w:pPr>
        <w:spacing w:after="0" w:line="240" w:lineRule="auto"/>
        <w:ind w:left="-360" w:right="-360"/>
        <w:jc w:val="center"/>
        <w:rPr>
          <w:rFonts w:ascii="Cambria" w:eastAsia="Times New Roman" w:hAnsi="Cambria" w:cs="Arial"/>
          <w:sz w:val="21"/>
          <w:szCs w:val="21"/>
          <w:lang w:val="es-ES"/>
        </w:rPr>
      </w:pPr>
      <w:r w:rsidRPr="00E308FA">
        <w:rPr>
          <w:rFonts w:ascii="Cambria" w:eastAsia="Times New Roman" w:hAnsi="Cambria" w:cs="Arial"/>
          <w:sz w:val="21"/>
          <w:szCs w:val="21"/>
          <w:lang w:val="es-ES"/>
        </w:rPr>
        <w:t>Medida Cautelar No. 21-05</w:t>
      </w:r>
      <w:r w:rsidRPr="00E308FA">
        <w:rPr>
          <w:rFonts w:ascii="Cambria" w:eastAsia="Times New Roman" w:hAnsi="Cambria" w:cs="Arial"/>
          <w:sz w:val="21"/>
          <w:szCs w:val="21"/>
          <w:vertAlign w:val="superscript"/>
          <w:lang w:val="es-ES"/>
        </w:rPr>
        <w:footnoteReference w:id="1"/>
      </w:r>
    </w:p>
    <w:p w:rsidR="00C26223" w:rsidRPr="00E308FA" w:rsidRDefault="00C26223" w:rsidP="00C26223">
      <w:pPr>
        <w:spacing w:after="0" w:line="240" w:lineRule="auto"/>
        <w:ind w:left="-360" w:right="-360"/>
        <w:jc w:val="center"/>
        <w:rPr>
          <w:rFonts w:ascii="Cambria" w:eastAsia="Times New Roman" w:hAnsi="Cambria" w:cs="Arial"/>
          <w:sz w:val="26"/>
          <w:szCs w:val="26"/>
          <w:lang w:val="es-ES_tradnl"/>
        </w:rPr>
      </w:pPr>
      <w:r w:rsidRPr="00E308FA">
        <w:rPr>
          <w:rFonts w:ascii="Cambria" w:eastAsia="Times New Roman" w:hAnsi="Cambria" w:cs="Arial"/>
          <w:sz w:val="26"/>
          <w:szCs w:val="26"/>
          <w:lang w:val="es-ES_tradnl"/>
        </w:rPr>
        <w:t xml:space="preserve">Manuel Enrique Vega Sarmiento respecto de Colombia </w:t>
      </w:r>
    </w:p>
    <w:p w:rsidR="00C26223" w:rsidRPr="00E308FA" w:rsidRDefault="009322A4" w:rsidP="00C26223">
      <w:pPr>
        <w:spacing w:after="0" w:line="240" w:lineRule="auto"/>
        <w:ind w:left="-360" w:right="-360"/>
        <w:jc w:val="center"/>
        <w:rPr>
          <w:rFonts w:ascii="Cambria" w:eastAsia="Times New Roman" w:hAnsi="Cambria" w:cs="Arial"/>
          <w:sz w:val="21"/>
          <w:szCs w:val="21"/>
          <w:lang w:val="es-ES"/>
        </w:rPr>
      </w:pPr>
      <w:r>
        <w:rPr>
          <w:rFonts w:ascii="Cambria" w:eastAsia="Times New Roman" w:hAnsi="Cambria" w:cs="Arial"/>
          <w:sz w:val="21"/>
          <w:szCs w:val="21"/>
          <w:lang w:val="es-ES"/>
        </w:rPr>
        <w:t>5</w:t>
      </w:r>
      <w:r w:rsidR="00C26223" w:rsidRPr="00E308FA">
        <w:rPr>
          <w:rFonts w:ascii="Cambria" w:eastAsia="Times New Roman" w:hAnsi="Cambria" w:cs="Arial"/>
          <w:sz w:val="21"/>
          <w:szCs w:val="21"/>
          <w:lang w:val="es-ES"/>
        </w:rPr>
        <w:t xml:space="preserve"> de mayo de 2018</w:t>
      </w:r>
    </w:p>
    <w:p w:rsidR="00C26223" w:rsidRPr="00E308FA" w:rsidRDefault="00C26223" w:rsidP="00C26223">
      <w:pPr>
        <w:spacing w:after="0" w:line="240" w:lineRule="auto"/>
        <w:ind w:left="-360" w:right="-360"/>
        <w:jc w:val="center"/>
        <w:rPr>
          <w:rFonts w:ascii="Cambria" w:eastAsia="Times New Roman" w:hAnsi="Cambria" w:cs="Arial"/>
          <w:sz w:val="21"/>
          <w:szCs w:val="21"/>
          <w:lang w:val="es-ES"/>
        </w:rPr>
      </w:pPr>
    </w:p>
    <w:p w:rsidR="00C26223" w:rsidRPr="00E308FA" w:rsidRDefault="00C26223" w:rsidP="005B003C">
      <w:pPr>
        <w:numPr>
          <w:ilvl w:val="0"/>
          <w:numId w:val="3"/>
        </w:numPr>
        <w:spacing w:after="0" w:line="240" w:lineRule="auto"/>
        <w:ind w:left="1418" w:right="-360" w:hanging="567"/>
        <w:jc w:val="both"/>
        <w:rPr>
          <w:rFonts w:ascii="Cambria" w:eastAsia="Times New Roman" w:hAnsi="Cambria" w:cs="Arial"/>
          <w:b/>
          <w:bCs/>
          <w:sz w:val="21"/>
          <w:szCs w:val="21"/>
          <w:lang w:val="es-ES_tradnl"/>
        </w:rPr>
      </w:pPr>
      <w:r w:rsidRPr="00E308FA">
        <w:rPr>
          <w:rFonts w:ascii="Cambria" w:eastAsia="Times New Roman" w:hAnsi="Cambria" w:cs="Arial"/>
          <w:b/>
          <w:bCs/>
          <w:sz w:val="21"/>
          <w:szCs w:val="21"/>
          <w:lang w:val="es-ES_tradnl"/>
        </w:rPr>
        <w:t>ANTECEDENTES</w:t>
      </w:r>
    </w:p>
    <w:p w:rsidR="00C26223" w:rsidRPr="00E308FA" w:rsidRDefault="00C26223" w:rsidP="00C26223">
      <w:pPr>
        <w:spacing w:after="0" w:line="240" w:lineRule="auto"/>
        <w:ind w:left="720" w:right="-360"/>
        <w:jc w:val="both"/>
        <w:rPr>
          <w:rFonts w:ascii="Cambria" w:eastAsia="Times New Roman" w:hAnsi="Cambria" w:cs="Arial"/>
          <w:b/>
          <w:bCs/>
          <w:sz w:val="21"/>
          <w:szCs w:val="21"/>
          <w:lang w:val="es-ES_tradnl"/>
        </w:rPr>
      </w:pPr>
    </w:p>
    <w:p w:rsidR="003017D8" w:rsidRPr="00E308FA" w:rsidRDefault="00C26223" w:rsidP="00C26223">
      <w:pPr>
        <w:numPr>
          <w:ilvl w:val="0"/>
          <w:numId w:val="2"/>
        </w:numPr>
        <w:spacing w:after="0" w:line="240" w:lineRule="auto"/>
        <w:ind w:right="-360" w:firstLine="270"/>
        <w:jc w:val="both"/>
        <w:rPr>
          <w:rFonts w:ascii="Cambria" w:hAnsi="Cambria" w:cs="Arial"/>
          <w:i/>
          <w:iCs/>
          <w:sz w:val="21"/>
          <w:szCs w:val="21"/>
          <w:lang w:val="es-CO"/>
        </w:rPr>
      </w:pPr>
      <w:r w:rsidRPr="00E308FA">
        <w:rPr>
          <w:rFonts w:ascii="Cambria" w:hAnsi="Cambria" w:cs="Arial"/>
          <w:iCs/>
          <w:sz w:val="21"/>
          <w:szCs w:val="21"/>
          <w:lang w:val="es-CO"/>
        </w:rPr>
        <w:t xml:space="preserve">El 4 de febrero de 2005 la CIDH otorgó medidas cautelares a favor de los miembros del pueblo indígena </w:t>
      </w:r>
      <w:proofErr w:type="spellStart"/>
      <w:r w:rsidRPr="00E308FA">
        <w:rPr>
          <w:rFonts w:ascii="Cambria" w:hAnsi="Cambria" w:cs="Arial"/>
          <w:iCs/>
          <w:sz w:val="21"/>
          <w:szCs w:val="21"/>
          <w:lang w:val="es-CO"/>
        </w:rPr>
        <w:t>Wiwa</w:t>
      </w:r>
      <w:proofErr w:type="spellEnd"/>
      <w:r w:rsidRPr="00E308FA">
        <w:rPr>
          <w:rFonts w:ascii="Cambria" w:hAnsi="Cambria" w:cs="Arial"/>
          <w:iCs/>
          <w:sz w:val="21"/>
          <w:szCs w:val="21"/>
          <w:lang w:val="es-CO"/>
        </w:rPr>
        <w:t xml:space="preserve"> de la Sierra Nevada de Santa Marta</w:t>
      </w:r>
      <w:r w:rsidRPr="00E308FA">
        <w:rPr>
          <w:rFonts w:ascii="Cambria" w:hAnsi="Cambria" w:cs="Arial"/>
          <w:iCs/>
          <w:sz w:val="21"/>
          <w:szCs w:val="21"/>
          <w:vertAlign w:val="superscript"/>
          <w:lang w:val="es-CO"/>
        </w:rPr>
        <w:footnoteReference w:id="2"/>
      </w:r>
      <w:r w:rsidRPr="00E308FA">
        <w:rPr>
          <w:rFonts w:ascii="Cambria" w:hAnsi="Cambria" w:cs="Arial"/>
          <w:iCs/>
          <w:sz w:val="21"/>
          <w:szCs w:val="21"/>
          <w:lang w:val="es-CO"/>
        </w:rPr>
        <w:t xml:space="preserve">. Posteriormente, </w:t>
      </w:r>
      <w:r w:rsidRPr="00E308FA">
        <w:rPr>
          <w:rFonts w:ascii="Cambria" w:hAnsi="Cambria" w:cs="Arial"/>
          <w:iCs/>
          <w:sz w:val="21"/>
          <w:szCs w:val="21"/>
          <w:lang w:val="es-ES"/>
        </w:rPr>
        <w:t xml:space="preserve">el </w:t>
      </w:r>
      <w:r w:rsidRPr="00E308FA">
        <w:rPr>
          <w:rFonts w:ascii="Cambria" w:hAnsi="Cambria" w:cs="Arial"/>
          <w:iCs/>
          <w:sz w:val="21"/>
          <w:szCs w:val="21"/>
          <w:lang w:val="es-CO"/>
        </w:rPr>
        <w:t>14 de junio de 2017, la CIDH decidió ampliar las medidas cautelares en relación con la situación del señor Manuel Enrique Vega Sarmiento</w:t>
      </w:r>
      <w:r w:rsidR="008E5A4C">
        <w:rPr>
          <w:rFonts w:ascii="Cambria" w:hAnsi="Cambria" w:cs="Arial"/>
          <w:iCs/>
          <w:sz w:val="21"/>
          <w:szCs w:val="21"/>
          <w:lang w:val="es-CO"/>
        </w:rPr>
        <w:t xml:space="preserve">, miembro del Pueblo </w:t>
      </w:r>
      <w:proofErr w:type="spellStart"/>
      <w:r w:rsidR="008E5A4C">
        <w:rPr>
          <w:rFonts w:ascii="Cambria" w:hAnsi="Cambria" w:cs="Arial"/>
          <w:iCs/>
          <w:sz w:val="21"/>
          <w:szCs w:val="21"/>
          <w:lang w:val="es-CO"/>
        </w:rPr>
        <w:t>Wiwa</w:t>
      </w:r>
      <w:proofErr w:type="spellEnd"/>
      <w:r w:rsidRPr="00E308FA">
        <w:rPr>
          <w:rFonts w:ascii="Cambria" w:hAnsi="Cambria" w:cs="Arial"/>
          <w:iCs/>
          <w:sz w:val="21"/>
          <w:szCs w:val="21"/>
          <w:lang w:val="es-CO"/>
        </w:rPr>
        <w:t xml:space="preserve">. </w:t>
      </w:r>
      <w:r w:rsidR="00DE3657" w:rsidRPr="00E308FA">
        <w:rPr>
          <w:rFonts w:ascii="Cambria" w:hAnsi="Cambria" w:cs="Arial"/>
          <w:iCs/>
          <w:sz w:val="21"/>
          <w:szCs w:val="21"/>
          <w:lang w:val="es-CO"/>
        </w:rPr>
        <w:t>En l</w:t>
      </w:r>
      <w:r w:rsidRPr="00E308FA">
        <w:rPr>
          <w:rFonts w:ascii="Cambria" w:hAnsi="Cambria" w:cs="Arial"/>
          <w:iCs/>
          <w:sz w:val="21"/>
          <w:szCs w:val="21"/>
          <w:lang w:val="es-CO"/>
        </w:rPr>
        <w:t xml:space="preserve">a solicitud </w:t>
      </w:r>
      <w:r w:rsidR="00DE3657" w:rsidRPr="00E308FA">
        <w:rPr>
          <w:rFonts w:ascii="Cambria" w:hAnsi="Cambria" w:cs="Arial"/>
          <w:iCs/>
          <w:sz w:val="21"/>
          <w:szCs w:val="21"/>
          <w:lang w:val="es-CO"/>
        </w:rPr>
        <w:t xml:space="preserve">se </w:t>
      </w:r>
      <w:r w:rsidRPr="00E308FA">
        <w:rPr>
          <w:rFonts w:ascii="Cambria" w:hAnsi="Cambria" w:cs="Arial"/>
          <w:iCs/>
          <w:sz w:val="21"/>
          <w:szCs w:val="21"/>
          <w:lang w:val="es-CO"/>
        </w:rPr>
        <w:t>alega</w:t>
      </w:r>
      <w:r w:rsidR="00DE3657" w:rsidRPr="00E308FA">
        <w:rPr>
          <w:rFonts w:ascii="Cambria" w:hAnsi="Cambria" w:cs="Arial"/>
          <w:iCs/>
          <w:sz w:val="21"/>
          <w:szCs w:val="21"/>
          <w:lang w:val="es-CO"/>
        </w:rPr>
        <w:t>ba</w:t>
      </w:r>
      <w:r w:rsidRPr="00E308FA">
        <w:rPr>
          <w:rFonts w:ascii="Cambria" w:hAnsi="Cambria" w:cs="Arial"/>
          <w:iCs/>
          <w:sz w:val="21"/>
          <w:szCs w:val="21"/>
          <w:lang w:val="es-CO"/>
        </w:rPr>
        <w:t xml:space="preserve"> que el </w:t>
      </w:r>
      <w:r w:rsidR="006C673C">
        <w:rPr>
          <w:rFonts w:ascii="Cambria" w:hAnsi="Cambria" w:cs="Arial"/>
          <w:iCs/>
          <w:sz w:val="21"/>
          <w:szCs w:val="21"/>
          <w:lang w:val="es-CO"/>
        </w:rPr>
        <w:t xml:space="preserve">señor Vega </w:t>
      </w:r>
      <w:r w:rsidRPr="00E308FA">
        <w:rPr>
          <w:rFonts w:ascii="Cambria" w:hAnsi="Cambria" w:cs="Arial"/>
          <w:iCs/>
          <w:sz w:val="21"/>
          <w:szCs w:val="21"/>
          <w:lang w:val="es-CO"/>
        </w:rPr>
        <w:t xml:space="preserve">se encontraría en una situación de riesgo en vista que desde el 25 de diciembre de 2016 se </w:t>
      </w:r>
      <w:r w:rsidR="000A30AF" w:rsidRPr="00E308FA">
        <w:rPr>
          <w:rFonts w:ascii="Cambria" w:hAnsi="Cambria" w:cs="Arial"/>
          <w:iCs/>
          <w:sz w:val="21"/>
          <w:szCs w:val="21"/>
          <w:lang w:val="es-CO"/>
        </w:rPr>
        <w:t>desconocía</w:t>
      </w:r>
      <w:r w:rsidR="006C673C">
        <w:rPr>
          <w:rFonts w:ascii="Cambria" w:hAnsi="Cambria" w:cs="Arial"/>
          <w:iCs/>
          <w:sz w:val="21"/>
          <w:szCs w:val="21"/>
          <w:lang w:val="es-CO"/>
        </w:rPr>
        <w:t xml:space="preserve"> su paradero, siendo visto por </w:t>
      </w:r>
      <w:r w:rsidRPr="00E308FA">
        <w:rPr>
          <w:rFonts w:ascii="Cambria" w:hAnsi="Cambria" w:cs="Arial"/>
          <w:iCs/>
          <w:sz w:val="21"/>
          <w:szCs w:val="21"/>
          <w:lang w:val="es-CO"/>
        </w:rPr>
        <w:t>última ocasión cuando se dirigía al corregimiento el Totumo</w:t>
      </w:r>
      <w:r w:rsidR="003017D8" w:rsidRPr="00E308FA">
        <w:rPr>
          <w:rFonts w:ascii="Cambria" w:hAnsi="Cambria" w:cs="Arial"/>
          <w:iCs/>
          <w:sz w:val="21"/>
          <w:szCs w:val="21"/>
          <w:lang w:val="es-CO"/>
        </w:rPr>
        <w:t>.</w:t>
      </w:r>
      <w:r w:rsidRPr="00E308FA">
        <w:rPr>
          <w:rFonts w:ascii="Cambria" w:hAnsi="Cambria" w:cs="Arial"/>
          <w:iCs/>
          <w:sz w:val="21"/>
          <w:szCs w:val="21"/>
          <w:lang w:val="es-CO"/>
        </w:rPr>
        <w:t xml:space="preserve"> </w:t>
      </w:r>
    </w:p>
    <w:p w:rsidR="003017D8" w:rsidRPr="00E308FA" w:rsidRDefault="003017D8" w:rsidP="005B003C">
      <w:pPr>
        <w:spacing w:after="0" w:line="240" w:lineRule="auto"/>
        <w:ind w:left="630" w:right="-360"/>
        <w:jc w:val="both"/>
        <w:rPr>
          <w:rFonts w:ascii="Cambria" w:hAnsi="Cambria" w:cs="Arial"/>
          <w:i/>
          <w:iCs/>
          <w:sz w:val="21"/>
          <w:szCs w:val="21"/>
          <w:lang w:val="es-CO"/>
        </w:rPr>
      </w:pPr>
    </w:p>
    <w:p w:rsidR="00C26223" w:rsidRPr="00E308FA" w:rsidRDefault="00C26223" w:rsidP="00C26223">
      <w:pPr>
        <w:numPr>
          <w:ilvl w:val="0"/>
          <w:numId w:val="2"/>
        </w:numPr>
        <w:spacing w:after="0" w:line="240" w:lineRule="auto"/>
        <w:ind w:right="-360" w:firstLine="270"/>
        <w:jc w:val="both"/>
        <w:rPr>
          <w:rFonts w:ascii="Cambria" w:hAnsi="Cambria" w:cs="Arial"/>
          <w:i/>
          <w:iCs/>
          <w:sz w:val="21"/>
          <w:szCs w:val="21"/>
          <w:lang w:val="es-CO"/>
        </w:rPr>
      </w:pPr>
      <w:r w:rsidRPr="00E308FA">
        <w:rPr>
          <w:rFonts w:ascii="Cambria" w:hAnsi="Cambria" w:cs="Arial"/>
          <w:iCs/>
          <w:sz w:val="21"/>
          <w:szCs w:val="21"/>
          <w:lang w:val="es-CO"/>
        </w:rPr>
        <w:t>Tras analizar las alegaciones de hecho y de derecho, la CIDH consider</w:t>
      </w:r>
      <w:r w:rsidR="003017D8" w:rsidRPr="00E308FA">
        <w:rPr>
          <w:rFonts w:ascii="Cambria" w:hAnsi="Cambria" w:cs="Arial"/>
          <w:iCs/>
          <w:sz w:val="21"/>
          <w:szCs w:val="21"/>
          <w:lang w:val="es-CO"/>
        </w:rPr>
        <w:t>ó</w:t>
      </w:r>
      <w:r w:rsidRPr="00E308FA">
        <w:rPr>
          <w:rFonts w:ascii="Cambria" w:hAnsi="Cambria" w:cs="Arial"/>
          <w:iCs/>
          <w:sz w:val="21"/>
          <w:szCs w:val="21"/>
          <w:lang w:val="es-CO"/>
        </w:rPr>
        <w:t xml:space="preserve"> que </w:t>
      </w:r>
      <w:r w:rsidR="003017D8" w:rsidRPr="00E308FA">
        <w:rPr>
          <w:rFonts w:ascii="Cambria" w:hAnsi="Cambria" w:cs="Arial"/>
          <w:iCs/>
          <w:sz w:val="21"/>
          <w:szCs w:val="21"/>
          <w:lang w:val="es-CO"/>
        </w:rPr>
        <w:t xml:space="preserve">el señor Vega </w:t>
      </w:r>
      <w:r w:rsidRPr="00E308FA">
        <w:rPr>
          <w:rFonts w:ascii="Cambria" w:hAnsi="Cambria" w:cs="Arial"/>
          <w:iCs/>
          <w:sz w:val="21"/>
          <w:szCs w:val="21"/>
          <w:lang w:val="es-CO"/>
        </w:rPr>
        <w:t xml:space="preserve">se </w:t>
      </w:r>
      <w:r w:rsidR="00DF790F" w:rsidRPr="00E308FA">
        <w:rPr>
          <w:rFonts w:ascii="Cambria" w:hAnsi="Cambria" w:cs="Arial"/>
          <w:iCs/>
          <w:sz w:val="21"/>
          <w:szCs w:val="21"/>
          <w:lang w:val="es-CO"/>
        </w:rPr>
        <w:t>encontraba</w:t>
      </w:r>
      <w:r w:rsidRPr="00E308FA">
        <w:rPr>
          <w:rFonts w:ascii="Cambria" w:hAnsi="Cambria" w:cs="Arial"/>
          <w:iCs/>
          <w:sz w:val="21"/>
          <w:szCs w:val="21"/>
          <w:lang w:val="es-CO"/>
        </w:rPr>
        <w:t xml:space="preserve"> en una situación de gravedad y urgencia</w:t>
      </w:r>
      <w:r w:rsidR="008E5A4C">
        <w:rPr>
          <w:rFonts w:ascii="Cambria" w:hAnsi="Cambria" w:cs="Arial"/>
          <w:iCs/>
          <w:sz w:val="21"/>
          <w:szCs w:val="21"/>
          <w:lang w:val="es-CO"/>
        </w:rPr>
        <w:t>, al desconocerse su paradero o destino</w:t>
      </w:r>
      <w:r w:rsidRPr="00E308FA">
        <w:rPr>
          <w:rFonts w:ascii="Cambria" w:hAnsi="Cambria" w:cs="Arial"/>
          <w:iCs/>
          <w:sz w:val="21"/>
          <w:szCs w:val="21"/>
          <w:lang w:val="es-CO"/>
        </w:rPr>
        <w:t xml:space="preserve">. En consecuencia, de acuerdo con el Artículo 25 del Reglamento de la CIDH, la Comisión decidió ampliar </w:t>
      </w:r>
      <w:r w:rsidR="005B003C" w:rsidRPr="00E308FA">
        <w:rPr>
          <w:rFonts w:ascii="Cambria" w:hAnsi="Cambria" w:cs="Arial"/>
          <w:iCs/>
          <w:sz w:val="21"/>
          <w:szCs w:val="21"/>
          <w:lang w:val="es-CO"/>
        </w:rPr>
        <w:t xml:space="preserve">la </w:t>
      </w:r>
      <w:r w:rsidRPr="00E308FA">
        <w:rPr>
          <w:rFonts w:ascii="Cambria" w:hAnsi="Cambria" w:cs="Arial"/>
          <w:iCs/>
          <w:sz w:val="21"/>
          <w:szCs w:val="21"/>
          <w:lang w:val="es-CO"/>
        </w:rPr>
        <w:t xml:space="preserve">medida cautelar </w:t>
      </w:r>
      <w:r w:rsidR="003017D8" w:rsidRPr="00E308FA">
        <w:rPr>
          <w:rFonts w:ascii="Cambria" w:hAnsi="Cambria" w:cs="Arial"/>
          <w:iCs/>
          <w:sz w:val="21"/>
          <w:szCs w:val="21"/>
          <w:lang w:val="es-CO"/>
        </w:rPr>
        <w:t xml:space="preserve">para proteger los derechos del señor Vega </w:t>
      </w:r>
      <w:r w:rsidRPr="00E308FA">
        <w:rPr>
          <w:rFonts w:ascii="Cambria" w:hAnsi="Cambria" w:cs="Arial"/>
          <w:iCs/>
          <w:sz w:val="21"/>
          <w:szCs w:val="21"/>
          <w:lang w:val="es-CO"/>
        </w:rPr>
        <w:t>y solicitó a Colombia que adopte las medidas necesarias para determinar la situación y el paradero de Manuel Enrique Vega Sarmiento, con el propósito de proteger sus derechos a la vida e integridad personal; que concierte las medidas a adoptarse con sus representantes, y que inform</w:t>
      </w:r>
      <w:r w:rsidR="003017D8" w:rsidRPr="00E308FA">
        <w:rPr>
          <w:rFonts w:ascii="Cambria" w:hAnsi="Cambria" w:cs="Arial"/>
          <w:iCs/>
          <w:sz w:val="21"/>
          <w:szCs w:val="21"/>
          <w:lang w:val="es-CO"/>
        </w:rPr>
        <w:t>ara</w:t>
      </w:r>
      <w:r w:rsidRPr="00E308FA">
        <w:rPr>
          <w:rFonts w:ascii="Cambria" w:hAnsi="Cambria" w:cs="Arial"/>
          <w:iCs/>
          <w:sz w:val="21"/>
          <w:szCs w:val="21"/>
          <w:lang w:val="es-CO"/>
        </w:rPr>
        <w:t xml:space="preserve"> sobre las acciones adoptadas a fin de investigar los hechos alegados que dieron lugar a la adopción de la presente medida cautelar y evitar su repetición</w:t>
      </w:r>
      <w:r w:rsidRPr="00E308FA">
        <w:rPr>
          <w:rFonts w:ascii="Cambria" w:hAnsi="Cambria" w:cs="Arial"/>
          <w:iCs/>
          <w:sz w:val="21"/>
          <w:szCs w:val="21"/>
          <w:vertAlign w:val="superscript"/>
          <w:lang w:val="es-CO"/>
        </w:rPr>
        <w:footnoteReference w:id="3"/>
      </w:r>
      <w:r w:rsidRPr="00E308FA">
        <w:rPr>
          <w:rFonts w:ascii="Cambria" w:hAnsi="Cambria" w:cs="Arial"/>
          <w:iCs/>
          <w:sz w:val="21"/>
          <w:szCs w:val="21"/>
          <w:lang w:val="es-CO"/>
        </w:rPr>
        <w:t>.</w:t>
      </w:r>
    </w:p>
    <w:p w:rsidR="00C26223" w:rsidRPr="00E308FA" w:rsidRDefault="00C26223" w:rsidP="00C26223">
      <w:pPr>
        <w:spacing w:after="0" w:line="240" w:lineRule="auto"/>
        <w:ind w:left="270" w:right="-360"/>
        <w:jc w:val="both"/>
        <w:rPr>
          <w:rFonts w:ascii="Cambria" w:hAnsi="Cambria" w:cs="Arial"/>
          <w:i/>
          <w:iCs/>
          <w:sz w:val="21"/>
          <w:szCs w:val="21"/>
          <w:lang w:val="es-CO"/>
        </w:rPr>
      </w:pPr>
    </w:p>
    <w:p w:rsidR="00C26223" w:rsidRPr="00E308FA" w:rsidRDefault="00C26223" w:rsidP="00C26223">
      <w:pPr>
        <w:numPr>
          <w:ilvl w:val="0"/>
          <w:numId w:val="3"/>
        </w:numPr>
        <w:spacing w:after="0" w:line="240" w:lineRule="auto"/>
        <w:ind w:right="-360"/>
        <w:jc w:val="both"/>
        <w:rPr>
          <w:rFonts w:ascii="Cambria" w:eastAsia="Times New Roman" w:hAnsi="Cambria" w:cs="Arial"/>
          <w:b/>
          <w:bCs/>
          <w:sz w:val="21"/>
          <w:szCs w:val="21"/>
          <w:lang w:val="es-ES_tradnl"/>
        </w:rPr>
      </w:pPr>
      <w:r w:rsidRPr="00E308FA">
        <w:rPr>
          <w:rFonts w:ascii="Cambria" w:eastAsia="Times New Roman" w:hAnsi="Cambria" w:cs="Arial"/>
          <w:b/>
          <w:bCs/>
          <w:sz w:val="21"/>
          <w:szCs w:val="21"/>
          <w:lang w:val="es-ES_tradnl"/>
        </w:rPr>
        <w:t>INFORMACIÓN APORTADA DURANTE LA VIGENCIA DE LA MEDIDA CAUTELAR A FAVOR DE</w:t>
      </w:r>
      <w:r w:rsidRPr="00E308FA">
        <w:rPr>
          <w:lang w:val="es-CO"/>
        </w:rPr>
        <w:t xml:space="preserve"> </w:t>
      </w:r>
      <w:r w:rsidRPr="00E308FA">
        <w:rPr>
          <w:rFonts w:ascii="Cambria" w:eastAsia="Times New Roman" w:hAnsi="Cambria" w:cs="Arial"/>
          <w:b/>
          <w:bCs/>
          <w:sz w:val="21"/>
          <w:szCs w:val="21"/>
          <w:lang w:val="es-ES_tradnl"/>
        </w:rPr>
        <w:t xml:space="preserve">MANUEL ENRIQUE VEGA SARMIENTO  </w:t>
      </w:r>
    </w:p>
    <w:p w:rsidR="00C26223" w:rsidRPr="00E308FA" w:rsidRDefault="00C26223" w:rsidP="00C26223">
      <w:pPr>
        <w:spacing w:after="0" w:line="240" w:lineRule="auto"/>
        <w:ind w:right="-360"/>
        <w:jc w:val="both"/>
        <w:rPr>
          <w:rFonts w:ascii="Cambria" w:hAnsi="Cambria" w:cs="Arial"/>
          <w:iCs/>
          <w:sz w:val="21"/>
          <w:szCs w:val="21"/>
          <w:lang w:val="es-ES_tradnl"/>
        </w:rPr>
      </w:pPr>
    </w:p>
    <w:p w:rsidR="00C26223" w:rsidRPr="00E308FA" w:rsidRDefault="00C26223" w:rsidP="00C26223">
      <w:pPr>
        <w:numPr>
          <w:ilvl w:val="0"/>
          <w:numId w:val="2"/>
        </w:numPr>
        <w:spacing w:after="0" w:line="240" w:lineRule="auto"/>
        <w:ind w:right="-360" w:firstLine="270"/>
        <w:jc w:val="both"/>
        <w:rPr>
          <w:rFonts w:ascii="Cambria" w:hAnsi="Cambria" w:cs="Arial"/>
          <w:iCs/>
          <w:sz w:val="21"/>
          <w:szCs w:val="21"/>
          <w:lang w:val="es-ES"/>
        </w:rPr>
      </w:pPr>
      <w:r w:rsidRPr="00E308FA">
        <w:rPr>
          <w:rFonts w:ascii="Cambria" w:eastAsia="Times New Roman" w:hAnsi="Cambria" w:cs="Arial"/>
          <w:bCs/>
          <w:sz w:val="21"/>
          <w:szCs w:val="21"/>
          <w:lang w:val="es-ES"/>
        </w:rPr>
        <w:t xml:space="preserve">Durante la vigencia de las medidas cautelares, la Comisión ha dado seguimiento cercano a la situación materia de las presentes medidas cautelares, mediante solicitudes de información a las partes. </w:t>
      </w:r>
    </w:p>
    <w:p w:rsidR="00C26223" w:rsidRPr="00E308FA" w:rsidRDefault="00C26223" w:rsidP="00C26223">
      <w:pPr>
        <w:spacing w:after="0" w:line="240" w:lineRule="auto"/>
        <w:ind w:right="-360"/>
        <w:jc w:val="both"/>
        <w:rPr>
          <w:rFonts w:ascii="Cambria" w:hAnsi="Cambria" w:cs="Arial"/>
          <w:iCs/>
          <w:sz w:val="21"/>
          <w:szCs w:val="21"/>
          <w:lang w:val="es-ES"/>
        </w:rPr>
      </w:pPr>
    </w:p>
    <w:p w:rsidR="003017D8" w:rsidRPr="00E308FA" w:rsidRDefault="00C26223" w:rsidP="00C26223">
      <w:pPr>
        <w:numPr>
          <w:ilvl w:val="0"/>
          <w:numId w:val="2"/>
        </w:numPr>
        <w:spacing w:after="0" w:line="240" w:lineRule="auto"/>
        <w:ind w:right="-360" w:firstLine="270"/>
        <w:jc w:val="both"/>
        <w:rPr>
          <w:rFonts w:ascii="Cambria" w:hAnsi="Cambria" w:cs="Arial"/>
          <w:iCs/>
          <w:sz w:val="21"/>
          <w:szCs w:val="21"/>
          <w:lang w:val="es-ES"/>
        </w:rPr>
      </w:pPr>
      <w:r w:rsidRPr="00E308FA">
        <w:rPr>
          <w:rFonts w:ascii="Cambria" w:eastAsia="Times New Roman" w:hAnsi="Cambria" w:cs="Arial"/>
          <w:bCs/>
          <w:sz w:val="21"/>
          <w:szCs w:val="21"/>
          <w:lang w:val="es-ES"/>
        </w:rPr>
        <w:t>Mediante comunicaci</w:t>
      </w:r>
      <w:r w:rsidR="003017D8" w:rsidRPr="00E308FA">
        <w:rPr>
          <w:rFonts w:ascii="Cambria" w:eastAsia="Times New Roman" w:hAnsi="Cambria" w:cs="Arial"/>
          <w:bCs/>
          <w:sz w:val="21"/>
          <w:szCs w:val="21"/>
          <w:lang w:val="es-ES"/>
        </w:rPr>
        <w:t>ón</w:t>
      </w:r>
      <w:r w:rsidRPr="00E308FA">
        <w:rPr>
          <w:rFonts w:ascii="Cambria" w:eastAsia="Times New Roman" w:hAnsi="Cambria" w:cs="Arial"/>
          <w:bCs/>
          <w:sz w:val="21"/>
          <w:szCs w:val="21"/>
          <w:lang w:val="es-ES"/>
        </w:rPr>
        <w:t xml:space="preserve"> de 3 de julio de 2017, el Estado inform</w:t>
      </w:r>
      <w:r w:rsidR="003017D8" w:rsidRPr="00E308FA">
        <w:rPr>
          <w:rFonts w:ascii="Cambria" w:eastAsia="Times New Roman" w:hAnsi="Cambria" w:cs="Arial"/>
          <w:bCs/>
          <w:sz w:val="21"/>
          <w:szCs w:val="21"/>
          <w:lang w:val="es-ES"/>
        </w:rPr>
        <w:t>ó</w:t>
      </w:r>
      <w:r w:rsidRPr="00E308FA">
        <w:rPr>
          <w:rFonts w:ascii="Cambria" w:eastAsia="Times New Roman" w:hAnsi="Cambria" w:cs="Arial"/>
          <w:bCs/>
          <w:sz w:val="21"/>
          <w:szCs w:val="21"/>
          <w:lang w:val="es-ES"/>
        </w:rPr>
        <w:t xml:space="preserve"> que a inicios del 2017 se encontró un cuerpo sin vida “en inmediaciones del municipio de San Juan del Cesar que se </w:t>
      </w:r>
      <w:proofErr w:type="spellStart"/>
      <w:proofErr w:type="gramStart"/>
      <w:r w:rsidR="009917EC" w:rsidRPr="00E308FA">
        <w:rPr>
          <w:rFonts w:ascii="Cambria" w:eastAsia="Times New Roman" w:hAnsi="Cambria" w:cs="Arial"/>
          <w:bCs/>
          <w:sz w:val="21"/>
          <w:szCs w:val="21"/>
          <w:lang w:val="es-ES"/>
        </w:rPr>
        <w:t>presum</w:t>
      </w:r>
      <w:proofErr w:type="spellEnd"/>
      <w:r w:rsidR="009917EC" w:rsidRPr="00E308FA">
        <w:rPr>
          <w:rFonts w:ascii="Cambria" w:eastAsia="Times New Roman" w:hAnsi="Cambria" w:cs="Arial"/>
          <w:bCs/>
          <w:sz w:val="21"/>
          <w:szCs w:val="21"/>
          <w:lang w:val="es-ES"/>
        </w:rPr>
        <w:t>[</w:t>
      </w:r>
      <w:proofErr w:type="spellStart"/>
      <w:proofErr w:type="gramEnd"/>
      <w:r w:rsidR="009917EC" w:rsidRPr="00E308FA">
        <w:rPr>
          <w:rFonts w:ascii="Cambria" w:eastAsia="Times New Roman" w:hAnsi="Cambria" w:cs="Arial"/>
          <w:bCs/>
          <w:sz w:val="21"/>
          <w:szCs w:val="21"/>
          <w:lang w:val="es-ES"/>
        </w:rPr>
        <w:t>ía</w:t>
      </w:r>
      <w:proofErr w:type="spellEnd"/>
      <w:r w:rsidR="009917EC" w:rsidRPr="00E308FA">
        <w:rPr>
          <w:rFonts w:ascii="Cambria" w:eastAsia="Times New Roman" w:hAnsi="Cambria" w:cs="Arial"/>
          <w:bCs/>
          <w:sz w:val="21"/>
          <w:szCs w:val="21"/>
          <w:lang w:val="es-ES"/>
        </w:rPr>
        <w:t>]</w:t>
      </w:r>
      <w:r w:rsidRPr="00E308FA">
        <w:rPr>
          <w:rFonts w:ascii="Cambria" w:eastAsia="Times New Roman" w:hAnsi="Cambria" w:cs="Arial"/>
          <w:bCs/>
          <w:sz w:val="21"/>
          <w:szCs w:val="21"/>
          <w:lang w:val="es-ES"/>
        </w:rPr>
        <w:t xml:space="preserve"> </w:t>
      </w:r>
      <w:r w:rsidR="009917EC" w:rsidRPr="00E308FA">
        <w:rPr>
          <w:rFonts w:ascii="Cambria" w:eastAsia="Times New Roman" w:hAnsi="Cambria" w:cs="Arial"/>
          <w:bCs/>
          <w:sz w:val="21"/>
          <w:szCs w:val="21"/>
          <w:lang w:val="es-ES"/>
        </w:rPr>
        <w:t>[era]</w:t>
      </w:r>
      <w:r w:rsidRPr="00E308FA">
        <w:rPr>
          <w:rFonts w:ascii="Cambria" w:eastAsia="Times New Roman" w:hAnsi="Cambria" w:cs="Arial"/>
          <w:bCs/>
          <w:sz w:val="21"/>
          <w:szCs w:val="21"/>
          <w:lang w:val="es-ES"/>
        </w:rPr>
        <w:t xml:space="preserve"> el señor Vega Sarmiento”. </w:t>
      </w:r>
      <w:r w:rsidR="003017D8" w:rsidRPr="00E308FA">
        <w:rPr>
          <w:rFonts w:ascii="Cambria" w:eastAsia="Times New Roman" w:hAnsi="Cambria" w:cs="Arial"/>
          <w:bCs/>
          <w:sz w:val="21"/>
          <w:szCs w:val="21"/>
          <w:lang w:val="es-ES"/>
        </w:rPr>
        <w:t>E</w:t>
      </w:r>
      <w:r w:rsidRPr="00E308FA">
        <w:rPr>
          <w:rFonts w:ascii="Cambria" w:eastAsia="Times New Roman" w:hAnsi="Cambria" w:cs="Arial"/>
          <w:bCs/>
          <w:sz w:val="21"/>
          <w:szCs w:val="21"/>
          <w:lang w:val="es-ES"/>
        </w:rPr>
        <w:t>l Estado señaló que se estaría a la espera de que el proceso de necropsia defin</w:t>
      </w:r>
      <w:r w:rsidR="003017D8" w:rsidRPr="00E308FA">
        <w:rPr>
          <w:rFonts w:ascii="Cambria" w:eastAsia="Times New Roman" w:hAnsi="Cambria" w:cs="Arial"/>
          <w:bCs/>
          <w:sz w:val="21"/>
          <w:szCs w:val="21"/>
          <w:lang w:val="es-ES"/>
        </w:rPr>
        <w:t>iera</w:t>
      </w:r>
      <w:r w:rsidRPr="00E308FA">
        <w:rPr>
          <w:rFonts w:ascii="Cambria" w:eastAsia="Times New Roman" w:hAnsi="Cambria" w:cs="Arial"/>
          <w:bCs/>
          <w:sz w:val="21"/>
          <w:szCs w:val="21"/>
          <w:lang w:val="es-ES"/>
        </w:rPr>
        <w:t xml:space="preserve"> la causa de la muerte de la persona cu</w:t>
      </w:r>
      <w:r w:rsidR="003017D8" w:rsidRPr="00E308FA">
        <w:rPr>
          <w:rFonts w:ascii="Cambria" w:eastAsia="Times New Roman" w:hAnsi="Cambria" w:cs="Arial"/>
          <w:bCs/>
          <w:sz w:val="21"/>
          <w:szCs w:val="21"/>
          <w:lang w:val="es-ES"/>
        </w:rPr>
        <w:t>y</w:t>
      </w:r>
      <w:r w:rsidRPr="00E308FA">
        <w:rPr>
          <w:rFonts w:ascii="Cambria" w:eastAsia="Times New Roman" w:hAnsi="Cambria" w:cs="Arial"/>
          <w:bCs/>
          <w:sz w:val="21"/>
          <w:szCs w:val="21"/>
          <w:lang w:val="es-ES"/>
        </w:rPr>
        <w:t xml:space="preserve">o cadáver correspondería al </w:t>
      </w:r>
      <w:r w:rsidR="003017D8" w:rsidRPr="00E308FA">
        <w:rPr>
          <w:rFonts w:ascii="Cambria" w:eastAsia="Times New Roman" w:hAnsi="Cambria" w:cs="Arial"/>
          <w:bCs/>
          <w:sz w:val="21"/>
          <w:szCs w:val="21"/>
          <w:lang w:val="es-ES"/>
        </w:rPr>
        <w:t xml:space="preserve">del </w:t>
      </w:r>
      <w:r w:rsidRPr="00E308FA">
        <w:rPr>
          <w:rFonts w:ascii="Cambria" w:eastAsia="Times New Roman" w:hAnsi="Cambria" w:cs="Arial"/>
          <w:bCs/>
          <w:sz w:val="21"/>
          <w:szCs w:val="21"/>
          <w:lang w:val="es-ES"/>
        </w:rPr>
        <w:t>beneficiario, así como el resultado “de cotejo de ADN con familiares”. El 28 de marzo de 2018, el Estado indicó que el 11 de julio de 2017 se confirmó que el cuerpo encontrado el 8 de enero de 2017 correspondería al del beneficiario, y el 15 de julio de 201</w:t>
      </w:r>
      <w:r w:rsidR="0061636F">
        <w:rPr>
          <w:rFonts w:ascii="Cambria" w:eastAsia="Times New Roman" w:hAnsi="Cambria" w:cs="Arial"/>
          <w:bCs/>
          <w:sz w:val="21"/>
          <w:szCs w:val="21"/>
          <w:lang w:val="es-ES"/>
        </w:rPr>
        <w:t>7</w:t>
      </w:r>
      <w:r w:rsidRPr="00E308FA">
        <w:rPr>
          <w:rFonts w:ascii="Cambria" w:eastAsia="Times New Roman" w:hAnsi="Cambria" w:cs="Arial"/>
          <w:bCs/>
          <w:sz w:val="21"/>
          <w:szCs w:val="21"/>
          <w:lang w:val="es-ES"/>
        </w:rPr>
        <w:t xml:space="preserve"> presuntamente se hizo la entrega del cuerpo</w:t>
      </w:r>
      <w:r w:rsidR="003017D8" w:rsidRPr="00E308FA">
        <w:rPr>
          <w:rFonts w:ascii="Cambria" w:eastAsia="Times New Roman" w:hAnsi="Cambria" w:cs="Arial"/>
          <w:bCs/>
          <w:sz w:val="21"/>
          <w:szCs w:val="21"/>
          <w:lang w:val="es-ES"/>
        </w:rPr>
        <w:t xml:space="preserve"> a sus familiares</w:t>
      </w:r>
      <w:r w:rsidRPr="00E308FA">
        <w:rPr>
          <w:rFonts w:ascii="Cambria" w:eastAsia="Times New Roman" w:hAnsi="Cambria" w:cs="Arial"/>
          <w:bCs/>
          <w:sz w:val="21"/>
          <w:szCs w:val="21"/>
          <w:lang w:val="es-ES"/>
        </w:rPr>
        <w:t xml:space="preserve">. El Estado también </w:t>
      </w:r>
      <w:r w:rsidR="009917EC" w:rsidRPr="00E308FA">
        <w:rPr>
          <w:rFonts w:ascii="Cambria" w:eastAsia="Times New Roman" w:hAnsi="Cambria" w:cs="Arial"/>
          <w:bCs/>
          <w:sz w:val="21"/>
          <w:szCs w:val="21"/>
          <w:lang w:val="es-ES"/>
        </w:rPr>
        <w:t>informó</w:t>
      </w:r>
      <w:r w:rsidRPr="00E308FA">
        <w:rPr>
          <w:rFonts w:ascii="Cambria" w:eastAsia="Times New Roman" w:hAnsi="Cambria" w:cs="Arial"/>
          <w:bCs/>
          <w:sz w:val="21"/>
          <w:szCs w:val="21"/>
          <w:lang w:val="es-ES"/>
        </w:rPr>
        <w:t xml:space="preserve"> que desde el 19 de octubre de 2017 se estaría adelantando la investigación respectiva de lo acontecido al </w:t>
      </w:r>
      <w:r w:rsidR="009917EC" w:rsidRPr="00E308FA">
        <w:rPr>
          <w:rFonts w:ascii="Cambria" w:eastAsia="Times New Roman" w:hAnsi="Cambria" w:cs="Arial"/>
          <w:bCs/>
          <w:sz w:val="21"/>
          <w:szCs w:val="21"/>
          <w:lang w:val="es-ES"/>
        </w:rPr>
        <w:t>beneficiario</w:t>
      </w:r>
      <w:r w:rsidRPr="00E308FA">
        <w:rPr>
          <w:rFonts w:ascii="Cambria" w:eastAsia="Times New Roman" w:hAnsi="Cambria" w:cs="Arial"/>
          <w:bCs/>
          <w:sz w:val="21"/>
          <w:szCs w:val="21"/>
          <w:lang w:val="es-ES"/>
        </w:rPr>
        <w:t xml:space="preserve"> bajo el tipo penal de homicidio. </w:t>
      </w:r>
    </w:p>
    <w:p w:rsidR="00C26223" w:rsidRPr="00E308FA" w:rsidRDefault="00C26223" w:rsidP="005B003C">
      <w:pPr>
        <w:spacing w:after="0" w:line="240" w:lineRule="auto"/>
        <w:ind w:left="630" w:right="-360"/>
        <w:jc w:val="both"/>
        <w:rPr>
          <w:rFonts w:ascii="Cambria" w:eastAsia="Times New Roman" w:hAnsi="Cambria" w:cs="Arial"/>
          <w:bCs/>
          <w:sz w:val="21"/>
          <w:szCs w:val="21"/>
          <w:lang w:val="es-ES"/>
        </w:rPr>
      </w:pPr>
    </w:p>
    <w:p w:rsidR="00C26223" w:rsidRPr="00E308FA" w:rsidRDefault="00C26223" w:rsidP="00C26223">
      <w:pPr>
        <w:numPr>
          <w:ilvl w:val="0"/>
          <w:numId w:val="2"/>
        </w:numPr>
        <w:spacing w:after="0" w:line="240" w:lineRule="auto"/>
        <w:ind w:right="-360" w:firstLine="270"/>
        <w:jc w:val="both"/>
        <w:rPr>
          <w:rFonts w:ascii="Cambria" w:hAnsi="Cambria" w:cs="Arial"/>
          <w:iCs/>
          <w:sz w:val="21"/>
          <w:szCs w:val="21"/>
          <w:lang w:val="es-ES"/>
        </w:rPr>
      </w:pPr>
      <w:r w:rsidRPr="00E308FA">
        <w:rPr>
          <w:rFonts w:ascii="Cambria" w:eastAsia="Times New Roman" w:hAnsi="Cambria" w:cs="Arial"/>
          <w:bCs/>
          <w:sz w:val="21"/>
          <w:szCs w:val="21"/>
          <w:lang w:val="es-ES"/>
        </w:rPr>
        <w:t xml:space="preserve">La representación, por su parte, mediante comunicaciones de 4 de agosto de 2017 y 18 de febrero de 2018, hizo referencia al hallazgo “de un cuerpo en grave estado de descomposición” que podría corresponder al del beneficiario. En este sentido, se indicó que el Instituto Nacional de Medicina Legal y Ciencias Forenses informó a la familia del beneficiario los resultados del cotejo genéticos, </w:t>
      </w:r>
      <w:r w:rsidRPr="00E308FA">
        <w:rPr>
          <w:rFonts w:ascii="Cambria" w:eastAsia="Times New Roman" w:hAnsi="Cambria" w:cs="Arial"/>
          <w:bCs/>
          <w:sz w:val="21"/>
          <w:szCs w:val="21"/>
          <w:lang w:val="es-ES"/>
        </w:rPr>
        <w:lastRenderedPageBreak/>
        <w:t>estableciéndose “que el cuerpo corresponde efectivamente al señor Manuel Enrique Vega”. Por otra parte, la representación señaló que el 29 de junio de 2017 se sostuvo una reunión de concertación con el Estado, donde se habría podido constatar la “falta de un protocolo de necropsia encaminado a determinar la causa de la muerte y de los resultados del cotejo de ADN”</w:t>
      </w:r>
      <w:r w:rsidR="003017D8" w:rsidRPr="00E308FA">
        <w:rPr>
          <w:rFonts w:ascii="Cambria" w:eastAsia="Times New Roman" w:hAnsi="Cambria" w:cs="Arial"/>
          <w:bCs/>
          <w:sz w:val="21"/>
          <w:szCs w:val="21"/>
          <w:lang w:val="es-ES"/>
        </w:rPr>
        <w:t>. La representación agregó</w:t>
      </w:r>
      <w:r w:rsidRPr="00E308FA">
        <w:rPr>
          <w:rFonts w:ascii="Cambria" w:eastAsia="Times New Roman" w:hAnsi="Cambria" w:cs="Arial"/>
          <w:bCs/>
          <w:sz w:val="21"/>
          <w:szCs w:val="21"/>
          <w:lang w:val="es-ES"/>
        </w:rPr>
        <w:t xml:space="preserve"> </w:t>
      </w:r>
      <w:r w:rsidR="003017D8" w:rsidRPr="00E308FA">
        <w:rPr>
          <w:rFonts w:ascii="Cambria" w:eastAsia="Times New Roman" w:hAnsi="Cambria" w:cs="Arial"/>
          <w:bCs/>
          <w:sz w:val="21"/>
          <w:szCs w:val="21"/>
          <w:lang w:val="es-ES"/>
        </w:rPr>
        <w:t xml:space="preserve">que no </w:t>
      </w:r>
      <w:r w:rsidRPr="00E308FA">
        <w:rPr>
          <w:rFonts w:ascii="Cambria" w:eastAsia="Times New Roman" w:hAnsi="Cambria" w:cs="Arial"/>
          <w:bCs/>
          <w:sz w:val="21"/>
          <w:szCs w:val="21"/>
          <w:lang w:val="es-ES"/>
        </w:rPr>
        <w:t>existían “resultados en la investigación adelantada por la desaparición de Manuel Enrique Vega Sarmiento”.</w:t>
      </w:r>
    </w:p>
    <w:p w:rsidR="00C26223" w:rsidRPr="00E308FA" w:rsidRDefault="00C26223" w:rsidP="00C26223">
      <w:pPr>
        <w:spacing w:after="0" w:line="240" w:lineRule="auto"/>
        <w:ind w:left="270" w:right="-360"/>
        <w:jc w:val="both"/>
        <w:rPr>
          <w:rFonts w:ascii="Cambria" w:hAnsi="Cambria" w:cs="Arial"/>
          <w:iCs/>
          <w:sz w:val="21"/>
          <w:szCs w:val="21"/>
          <w:lang w:val="es-ES"/>
        </w:rPr>
      </w:pPr>
    </w:p>
    <w:p w:rsidR="00C26223" w:rsidRPr="00E308FA" w:rsidRDefault="00C26223" w:rsidP="009A5B0B">
      <w:pPr>
        <w:numPr>
          <w:ilvl w:val="0"/>
          <w:numId w:val="3"/>
        </w:numPr>
        <w:spacing w:after="0" w:line="240" w:lineRule="auto"/>
        <w:ind w:left="1440" w:right="-360" w:hanging="630"/>
        <w:jc w:val="both"/>
        <w:rPr>
          <w:rFonts w:ascii="Cambria" w:eastAsia="Times New Roman" w:hAnsi="Cambria" w:cs="Arial"/>
          <w:b/>
          <w:bCs/>
          <w:sz w:val="21"/>
          <w:szCs w:val="21"/>
          <w:lang w:val="es-ES"/>
        </w:rPr>
      </w:pPr>
      <w:r w:rsidRPr="00E308FA">
        <w:rPr>
          <w:rFonts w:ascii="Cambria" w:eastAsia="Times New Roman" w:hAnsi="Cambria" w:cs="Arial"/>
          <w:b/>
          <w:bCs/>
          <w:sz w:val="21"/>
          <w:szCs w:val="21"/>
          <w:lang w:val="es-ES"/>
        </w:rPr>
        <w:t>ANÁLISIS DE LOS REQUISITOS DE URGENCIA, GRAVEDAD Y DAÑO IRREPARABLE</w:t>
      </w:r>
    </w:p>
    <w:p w:rsidR="00C26223" w:rsidRPr="00E308FA" w:rsidRDefault="00C26223" w:rsidP="00C26223">
      <w:pPr>
        <w:spacing w:after="0" w:line="240" w:lineRule="auto"/>
        <w:ind w:left="720" w:right="-360"/>
        <w:jc w:val="both"/>
        <w:rPr>
          <w:rFonts w:ascii="Cambria" w:eastAsia="Times New Roman" w:hAnsi="Cambria" w:cs="Arial"/>
          <w:b/>
          <w:bCs/>
          <w:sz w:val="21"/>
          <w:szCs w:val="21"/>
          <w:lang w:val="es-ES"/>
        </w:rPr>
      </w:pPr>
    </w:p>
    <w:p w:rsidR="00C26223" w:rsidRPr="00E308FA" w:rsidRDefault="00C26223" w:rsidP="00C26223">
      <w:pPr>
        <w:numPr>
          <w:ilvl w:val="0"/>
          <w:numId w:val="2"/>
        </w:numPr>
        <w:spacing w:after="0" w:line="240" w:lineRule="auto"/>
        <w:ind w:right="-360" w:firstLine="270"/>
        <w:jc w:val="both"/>
        <w:rPr>
          <w:rFonts w:ascii="Cambria" w:hAnsi="Cambria" w:cs="Arial"/>
          <w:iCs/>
          <w:sz w:val="21"/>
          <w:szCs w:val="21"/>
          <w:lang w:val="es-ES"/>
        </w:rPr>
      </w:pPr>
      <w:r w:rsidRPr="00E308FA">
        <w:rPr>
          <w:rFonts w:ascii="Cambria" w:eastAsia="Times New Roman" w:hAnsi="Cambria" w:cs="Arial"/>
          <w:bCs/>
          <w:sz w:val="21"/>
          <w:szCs w:val="21"/>
          <w:lang w:val="es-ES"/>
        </w:rPr>
        <w:t>El mecanismo de medidas cautelares es parte de la función de la Comisión para supervisar el cumplimiento con las obligaciones de derechos humanos establecidas en la Carta de la Organización de Estados Americanos, y en el caso de los Estados Miembros que todavía no han ratificado la Convención Americana, la Declaración de los Derechos y Deberes del Hombre. Estas funciones generales de supervisión están establecidas en el Artículo 18 del Estatuto de la Comisión, y el mecanismo de medidas cautelares es descrito en el Artículo 25 del Reglamento de la Comisión. De conformidad con este artículo, la Comisión otorga medidas cautelares en situaciones que son graves y urgentes, y en las cuales tales medidas son necesarias para prevenir un daño irreparable a las personas.</w:t>
      </w:r>
    </w:p>
    <w:p w:rsidR="00C26223" w:rsidRPr="00E308FA" w:rsidRDefault="00C26223" w:rsidP="00C26223">
      <w:pPr>
        <w:spacing w:after="0" w:line="240" w:lineRule="auto"/>
        <w:ind w:right="-360"/>
        <w:jc w:val="both"/>
        <w:rPr>
          <w:rFonts w:ascii="Cambria" w:hAnsi="Cambria" w:cs="Arial"/>
          <w:iCs/>
          <w:sz w:val="21"/>
          <w:szCs w:val="21"/>
          <w:lang w:val="es-ES"/>
        </w:rPr>
      </w:pPr>
    </w:p>
    <w:p w:rsidR="00C26223" w:rsidRPr="00E308FA" w:rsidRDefault="00C26223" w:rsidP="00C26223">
      <w:pPr>
        <w:numPr>
          <w:ilvl w:val="0"/>
          <w:numId w:val="2"/>
        </w:numPr>
        <w:spacing w:after="0" w:line="240" w:lineRule="auto"/>
        <w:ind w:right="-360" w:firstLine="270"/>
        <w:jc w:val="both"/>
        <w:rPr>
          <w:rFonts w:ascii="Cambria" w:hAnsi="Cambria" w:cs="Arial"/>
          <w:iCs/>
          <w:sz w:val="21"/>
          <w:szCs w:val="21"/>
          <w:lang w:val="es-ES"/>
        </w:rPr>
      </w:pPr>
      <w:r w:rsidRPr="00E308FA">
        <w:rPr>
          <w:rFonts w:ascii="Cambria" w:eastAsia="Times New Roman" w:hAnsi="Cambria" w:cs="Arial"/>
          <w:bCs/>
          <w:sz w:val="21"/>
          <w:szCs w:val="21"/>
          <w:lang w:val="es-ES"/>
        </w:rPr>
        <w:t>La Comisión Interamericana y la Corte Interamericana de Derechos Humanos han establecido repetidamente que las medidas cautelares y provisionales tienen un doble carácter, uno cautelar y otro tutelar. Respecto a su carácter tutelar, las medidas buscan evitar un daño irreparable y preservar el ejercicio de los derechos humanos. Con respecto a su carácter cautelar, las medidas tienen por objeto preservar una situación jurídica mientras está siendo considerada por la CIDH. En tal sentido, para los efectos de tomar una decisión, y de acuerdo con el Artículo 25.2 del Reglamento, la Comisión considera que:</w:t>
      </w:r>
    </w:p>
    <w:p w:rsidR="00C26223" w:rsidRPr="00E308FA" w:rsidRDefault="00C26223" w:rsidP="00C26223">
      <w:pPr>
        <w:spacing w:after="0" w:line="240" w:lineRule="auto"/>
        <w:ind w:right="720"/>
        <w:jc w:val="both"/>
        <w:rPr>
          <w:rFonts w:ascii="Cambria" w:hAnsi="Cambria" w:cs="Arial"/>
          <w:iCs/>
          <w:sz w:val="21"/>
          <w:szCs w:val="21"/>
          <w:lang w:val="es-ES"/>
        </w:rPr>
      </w:pPr>
    </w:p>
    <w:p w:rsidR="00C26223" w:rsidRPr="00E308FA" w:rsidRDefault="00C26223" w:rsidP="00C26223">
      <w:pPr>
        <w:numPr>
          <w:ilvl w:val="0"/>
          <w:numId w:val="1"/>
        </w:numPr>
        <w:tabs>
          <w:tab w:val="left" w:pos="1350"/>
          <w:tab w:val="left" w:pos="1440"/>
        </w:tabs>
        <w:spacing w:after="0" w:line="240" w:lineRule="auto"/>
        <w:ind w:left="1350" w:right="720"/>
        <w:jc w:val="both"/>
        <w:rPr>
          <w:rFonts w:ascii="Cambria" w:eastAsia="Times New Roman" w:hAnsi="Cambria" w:cs="Arial"/>
          <w:bCs/>
          <w:sz w:val="21"/>
          <w:szCs w:val="21"/>
          <w:lang w:val="es-ES"/>
        </w:rPr>
      </w:pPr>
      <w:r w:rsidRPr="00E308FA">
        <w:rPr>
          <w:rFonts w:ascii="Cambria" w:eastAsia="Times New Roman" w:hAnsi="Cambria" w:cs="Arial"/>
          <w:bCs/>
          <w:sz w:val="21"/>
          <w:szCs w:val="21"/>
          <w:lang w:val="es-ES"/>
        </w:rPr>
        <w:t>la “gravedad de la situación” implica el serio impacto que una acción u omisión puede tener sobre un derecho protegido o sobre el efecto eventual de una decisión pendiente en un caso o petición ante los órganos del Sistema Interamericano;</w:t>
      </w:r>
    </w:p>
    <w:p w:rsidR="00C26223" w:rsidRPr="00E308FA" w:rsidRDefault="00C26223" w:rsidP="00C26223">
      <w:pPr>
        <w:numPr>
          <w:ilvl w:val="0"/>
          <w:numId w:val="1"/>
        </w:numPr>
        <w:tabs>
          <w:tab w:val="left" w:pos="1350"/>
          <w:tab w:val="left" w:pos="1440"/>
        </w:tabs>
        <w:spacing w:after="0" w:line="240" w:lineRule="auto"/>
        <w:ind w:left="1350" w:right="720"/>
        <w:jc w:val="both"/>
        <w:rPr>
          <w:rFonts w:ascii="Cambria" w:eastAsia="Times New Roman" w:hAnsi="Cambria" w:cs="Arial"/>
          <w:bCs/>
          <w:sz w:val="21"/>
          <w:szCs w:val="21"/>
          <w:lang w:val="es-ES"/>
        </w:rPr>
      </w:pPr>
      <w:r w:rsidRPr="00E308FA">
        <w:rPr>
          <w:rFonts w:ascii="Cambria" w:eastAsia="Times New Roman" w:hAnsi="Cambria" w:cs="Arial"/>
          <w:bCs/>
          <w:sz w:val="21"/>
          <w:szCs w:val="21"/>
          <w:lang w:val="es-ES"/>
        </w:rPr>
        <w:t>la “urgencia de la situación” se determina por medio de la información aportada, indicando el riesgo o la amenaza que puedan ser inminentes y materializarse, requiriendo de esa manera una acción preventiva o tutelar; y</w:t>
      </w:r>
    </w:p>
    <w:p w:rsidR="00C26223" w:rsidRPr="00E308FA" w:rsidRDefault="00C26223" w:rsidP="00C26223">
      <w:pPr>
        <w:numPr>
          <w:ilvl w:val="0"/>
          <w:numId w:val="1"/>
        </w:numPr>
        <w:tabs>
          <w:tab w:val="left" w:pos="1350"/>
          <w:tab w:val="left" w:pos="1440"/>
        </w:tabs>
        <w:spacing w:after="0" w:line="240" w:lineRule="auto"/>
        <w:ind w:left="1350" w:right="720"/>
        <w:jc w:val="both"/>
        <w:rPr>
          <w:rFonts w:ascii="Cambria" w:eastAsia="Times New Roman" w:hAnsi="Cambria" w:cs="Arial"/>
          <w:bCs/>
          <w:sz w:val="21"/>
          <w:szCs w:val="21"/>
          <w:lang w:val="es-ES"/>
        </w:rPr>
      </w:pPr>
      <w:r w:rsidRPr="00E308FA">
        <w:rPr>
          <w:rFonts w:ascii="Cambria" w:eastAsia="Times New Roman" w:hAnsi="Cambria" w:cs="Arial"/>
          <w:bCs/>
          <w:sz w:val="21"/>
          <w:szCs w:val="21"/>
          <w:lang w:val="es-ES"/>
        </w:rPr>
        <w:t>el “daño irreparable” consiste en la afectación sobre derechos que, por su propia naturaleza, no son susceptibles de reparación, restauración o adecuada indemnización.</w:t>
      </w:r>
    </w:p>
    <w:p w:rsidR="00C26223" w:rsidRPr="00E308FA" w:rsidRDefault="00C26223" w:rsidP="00C26223">
      <w:pPr>
        <w:tabs>
          <w:tab w:val="left" w:pos="180"/>
        </w:tabs>
        <w:spacing w:after="0" w:line="240" w:lineRule="auto"/>
        <w:ind w:left="180" w:right="-360"/>
        <w:jc w:val="both"/>
        <w:rPr>
          <w:rFonts w:ascii="Cambria" w:eastAsia="Times New Roman" w:hAnsi="Cambria" w:cs="Arial"/>
          <w:bCs/>
          <w:sz w:val="21"/>
          <w:szCs w:val="21"/>
          <w:lang w:val="es-ES"/>
        </w:rPr>
      </w:pPr>
    </w:p>
    <w:p w:rsidR="00C26223" w:rsidRPr="00E308FA" w:rsidRDefault="00C26223" w:rsidP="00C26223">
      <w:pPr>
        <w:numPr>
          <w:ilvl w:val="0"/>
          <w:numId w:val="2"/>
        </w:numPr>
        <w:spacing w:after="0" w:line="240" w:lineRule="auto"/>
        <w:ind w:right="-360" w:firstLine="270"/>
        <w:jc w:val="both"/>
        <w:rPr>
          <w:rFonts w:ascii="Cambria" w:hAnsi="Cambria" w:cs="Arial"/>
          <w:iCs/>
          <w:sz w:val="21"/>
          <w:szCs w:val="21"/>
          <w:lang w:val="es-ES"/>
        </w:rPr>
      </w:pPr>
      <w:r w:rsidRPr="00E308FA">
        <w:rPr>
          <w:rFonts w:ascii="Cambria" w:eastAsia="Times New Roman" w:hAnsi="Cambria"/>
          <w:sz w:val="21"/>
          <w:szCs w:val="21"/>
          <w:lang w:val="es-ES"/>
        </w:rPr>
        <w:t>Con respecto a lo anterior, el Artículo 25.7 del Reglamento de la Comisión establece que “las decisiones de otorgamiento, ampliación, modificación o levantamiento de medidas cautelares, debe ser adoptado a través de resoluciones razonadas”. El Artículo 25.9 establece que “la Comisión deberá evaluar periódicamente, por iniciativa propia o por solicitud de las partes, si mantener, modificar o levantar medidas cautelares vigentes”. Al respecto, la Comisión debe evaluar si la situación de gravedad, urgencia y la posible generación de un daño irreparable, que llevaron a la adopción de las medidas cautelares, persisten todavía. Asimismo, debe considerar si en lo posterior, surgieron nuevas situaciones que puedan cumplir con los requisitos establecidos en el Artículo 25 del Reglamento.</w:t>
      </w:r>
    </w:p>
    <w:p w:rsidR="00C26223" w:rsidRPr="00E308FA" w:rsidRDefault="00C26223" w:rsidP="00C26223">
      <w:pPr>
        <w:spacing w:after="0" w:line="240" w:lineRule="auto"/>
        <w:ind w:right="-360"/>
        <w:jc w:val="both"/>
        <w:rPr>
          <w:rFonts w:ascii="Cambria" w:hAnsi="Cambria" w:cs="Arial"/>
          <w:iCs/>
          <w:sz w:val="21"/>
          <w:szCs w:val="21"/>
          <w:lang w:val="es-ES"/>
        </w:rPr>
      </w:pPr>
    </w:p>
    <w:p w:rsidR="00C26223" w:rsidRPr="00E308FA" w:rsidRDefault="00C26223" w:rsidP="009917EC">
      <w:pPr>
        <w:numPr>
          <w:ilvl w:val="0"/>
          <w:numId w:val="2"/>
        </w:numPr>
        <w:spacing w:after="0" w:line="240" w:lineRule="auto"/>
        <w:ind w:right="-360" w:firstLine="270"/>
        <w:jc w:val="both"/>
        <w:rPr>
          <w:rFonts w:ascii="Cambria" w:eastAsia="Times New Roman" w:hAnsi="Cambria" w:cs="Arial"/>
          <w:bCs/>
          <w:iCs/>
          <w:sz w:val="21"/>
          <w:szCs w:val="21"/>
          <w:lang w:val="es-ES"/>
        </w:rPr>
      </w:pPr>
      <w:r w:rsidRPr="00E308FA">
        <w:rPr>
          <w:rFonts w:ascii="Cambria" w:eastAsia="Times New Roman" w:hAnsi="Cambria"/>
          <w:sz w:val="21"/>
          <w:szCs w:val="21"/>
          <w:lang w:val="es-ES"/>
        </w:rPr>
        <w:t xml:space="preserve">La </w:t>
      </w:r>
      <w:r w:rsidRPr="00E308FA">
        <w:rPr>
          <w:rFonts w:ascii="Cambria" w:eastAsia="Times New Roman" w:hAnsi="Cambria" w:cs="Arial"/>
          <w:bCs/>
          <w:sz w:val="21"/>
          <w:szCs w:val="21"/>
          <w:lang w:val="es-ES"/>
        </w:rPr>
        <w:t>Comisión observa que las presentes medidas cautelares fueron otorgadas con el propósito de “determinar la situación y paradero de</w:t>
      </w:r>
      <w:r w:rsidRPr="00E308FA">
        <w:rPr>
          <w:rFonts w:ascii="Cambria" w:hAnsi="Cambria" w:cs="Arial"/>
          <w:iCs/>
          <w:sz w:val="21"/>
          <w:szCs w:val="21"/>
          <w:lang w:val="es-CO"/>
        </w:rPr>
        <w:t xml:space="preserve"> </w:t>
      </w:r>
      <w:r w:rsidRPr="00E308FA">
        <w:rPr>
          <w:rFonts w:ascii="Cambria" w:eastAsia="Times New Roman" w:hAnsi="Cambria" w:cs="Arial"/>
          <w:bCs/>
          <w:iCs/>
          <w:sz w:val="21"/>
          <w:szCs w:val="21"/>
          <w:lang w:val="es-CO"/>
        </w:rPr>
        <w:t>Manuel Enrique Vega Sarmiento, con el propósito</w:t>
      </w:r>
      <w:r w:rsidRPr="00E308FA">
        <w:rPr>
          <w:rFonts w:ascii="Cambria" w:eastAsia="Times New Roman" w:hAnsi="Cambria" w:cs="Arial"/>
          <w:bCs/>
          <w:sz w:val="21"/>
          <w:szCs w:val="21"/>
          <w:lang w:val="es-ES"/>
        </w:rPr>
        <w:t xml:space="preserve"> </w:t>
      </w:r>
      <w:r w:rsidRPr="00E308FA">
        <w:rPr>
          <w:rFonts w:ascii="Cambria" w:eastAsia="Times New Roman" w:hAnsi="Cambria" w:cs="Arial"/>
          <w:bCs/>
          <w:sz w:val="21"/>
          <w:szCs w:val="21"/>
          <w:lang w:val="es-ES"/>
        </w:rPr>
        <w:lastRenderedPageBreak/>
        <w:t>de proteger sus derechos a la vida e integridad personal”</w:t>
      </w:r>
      <w:r w:rsidRPr="00E308FA">
        <w:rPr>
          <w:rFonts w:ascii="Cambria" w:eastAsia="Times New Roman" w:hAnsi="Cambria" w:cs="Arial"/>
          <w:bCs/>
          <w:iCs/>
          <w:sz w:val="21"/>
          <w:szCs w:val="21"/>
          <w:vertAlign w:val="superscript"/>
          <w:lang w:val="es-CO"/>
        </w:rPr>
        <w:footnoteReference w:id="4"/>
      </w:r>
      <w:r w:rsidRPr="00E308FA">
        <w:rPr>
          <w:rFonts w:ascii="Cambria" w:eastAsia="Times New Roman" w:hAnsi="Cambria" w:cs="Arial"/>
          <w:bCs/>
          <w:sz w:val="21"/>
          <w:szCs w:val="21"/>
          <w:lang w:val="es-ES"/>
        </w:rPr>
        <w:t xml:space="preserve">. La Comisión ha tomado nota de las diversas diligencias realizadas por el Estado en la búsqueda del paradero del beneficiario y observa que no existe contradicción entre los representantes y el Estado en cuanto a que el cuerpo encontrado el 8 de enero de 2017 corresponde al de Manuel Enrique Vega Sarmiento. Asimismo, el Estado ha informado a la Comisión sobre el dictamen que constaría tal situación.  </w:t>
      </w:r>
    </w:p>
    <w:p w:rsidR="00C26223" w:rsidRPr="00E308FA" w:rsidRDefault="00C26223" w:rsidP="00C26223">
      <w:pPr>
        <w:spacing w:after="0" w:line="240" w:lineRule="auto"/>
        <w:ind w:left="270" w:right="-360"/>
        <w:jc w:val="both"/>
        <w:rPr>
          <w:rFonts w:ascii="Cambria" w:hAnsi="Cambria" w:cs="Arial"/>
          <w:iCs/>
          <w:sz w:val="21"/>
          <w:szCs w:val="21"/>
          <w:lang w:val="es-ES"/>
        </w:rPr>
      </w:pPr>
    </w:p>
    <w:p w:rsidR="00C26223" w:rsidRPr="00E308FA" w:rsidRDefault="00C26223" w:rsidP="00C26223">
      <w:pPr>
        <w:numPr>
          <w:ilvl w:val="0"/>
          <w:numId w:val="2"/>
        </w:numPr>
        <w:spacing w:after="0" w:line="240" w:lineRule="auto"/>
        <w:ind w:right="-360" w:firstLine="270"/>
        <w:jc w:val="both"/>
        <w:rPr>
          <w:rFonts w:ascii="Cambria" w:hAnsi="Cambria" w:cs="Arial"/>
          <w:iCs/>
          <w:sz w:val="21"/>
          <w:szCs w:val="21"/>
          <w:lang w:val="es-ES"/>
        </w:rPr>
      </w:pPr>
      <w:r w:rsidRPr="00E308FA">
        <w:rPr>
          <w:rFonts w:ascii="Cambria" w:eastAsia="Times New Roman" w:hAnsi="Cambria" w:cs="Arial"/>
          <w:bCs/>
          <w:sz w:val="21"/>
          <w:szCs w:val="21"/>
          <w:lang w:val="es-ES"/>
        </w:rPr>
        <w:t>La Comisión Interamericana de Derechos Humanos lamenta la muerte del señor Manuel Enrique Vega Sarmiento</w:t>
      </w:r>
      <w:r w:rsidRPr="00E308FA">
        <w:rPr>
          <w:rFonts w:ascii="Cambria" w:eastAsia="Times New Roman" w:hAnsi="Cambria" w:cs="Arial"/>
          <w:bCs/>
          <w:iCs/>
          <w:sz w:val="21"/>
          <w:szCs w:val="21"/>
          <w:lang w:val="es-ES"/>
        </w:rPr>
        <w:t xml:space="preserve"> y en virtud del cambio de circunstancias, considera que las medidas han quedado sin objeto, no encontrándose presentes los requisitos de gravedad, urgencia y necesidad de prevenir un riesgo de daño irreparable, correspondiendo levantar las presentes medidas cautelares</w:t>
      </w:r>
      <w:r w:rsidR="00D77898" w:rsidRPr="00E308FA">
        <w:rPr>
          <w:rFonts w:ascii="Cambria" w:eastAsia="Times New Roman" w:hAnsi="Cambria" w:cs="Arial"/>
          <w:bCs/>
          <w:iCs/>
          <w:sz w:val="21"/>
          <w:szCs w:val="21"/>
          <w:lang w:val="es-ES"/>
        </w:rPr>
        <w:t xml:space="preserve"> en cuanto a este </w:t>
      </w:r>
      <w:r w:rsidR="00AE0896" w:rsidRPr="00E308FA">
        <w:rPr>
          <w:rFonts w:ascii="Cambria" w:eastAsia="Times New Roman" w:hAnsi="Cambria" w:cs="Arial"/>
          <w:bCs/>
          <w:iCs/>
          <w:sz w:val="21"/>
          <w:szCs w:val="21"/>
          <w:lang w:val="es-ES"/>
        </w:rPr>
        <w:t>aspecto</w:t>
      </w:r>
      <w:r w:rsidR="00D77898" w:rsidRPr="00E308FA">
        <w:rPr>
          <w:rFonts w:ascii="Cambria" w:eastAsia="Times New Roman" w:hAnsi="Cambria" w:cs="Arial"/>
          <w:bCs/>
          <w:iCs/>
          <w:sz w:val="21"/>
          <w:szCs w:val="21"/>
          <w:lang w:val="es-ES"/>
        </w:rPr>
        <w:t>.</w:t>
      </w:r>
    </w:p>
    <w:p w:rsidR="00C26223" w:rsidRPr="00E308FA" w:rsidRDefault="00C26223" w:rsidP="00C26223">
      <w:pPr>
        <w:spacing w:after="0" w:line="240" w:lineRule="auto"/>
        <w:ind w:left="720"/>
        <w:rPr>
          <w:rFonts w:ascii="Cambria" w:eastAsia="MS Mincho" w:hAnsi="Cambria" w:cs="Arial"/>
          <w:iCs/>
          <w:sz w:val="21"/>
          <w:szCs w:val="21"/>
          <w:lang w:val="es-ES"/>
        </w:rPr>
      </w:pPr>
    </w:p>
    <w:p w:rsidR="00C26223" w:rsidRPr="00E308FA" w:rsidRDefault="00C26223" w:rsidP="00C26223">
      <w:pPr>
        <w:numPr>
          <w:ilvl w:val="0"/>
          <w:numId w:val="2"/>
        </w:numPr>
        <w:spacing w:after="0" w:line="240" w:lineRule="auto"/>
        <w:ind w:right="-360" w:firstLine="270"/>
        <w:jc w:val="both"/>
        <w:rPr>
          <w:rFonts w:ascii="Cambria" w:hAnsi="Cambria" w:cs="Arial"/>
          <w:iCs/>
          <w:sz w:val="21"/>
          <w:szCs w:val="21"/>
          <w:lang w:val="es-ES"/>
        </w:rPr>
      </w:pPr>
      <w:r w:rsidRPr="00E308FA">
        <w:rPr>
          <w:rFonts w:ascii="Cambria" w:hAnsi="Cambria" w:cs="Arial"/>
          <w:iCs/>
          <w:sz w:val="21"/>
          <w:szCs w:val="21"/>
          <w:lang w:val="es-ES"/>
        </w:rPr>
        <w:t xml:space="preserve">Sin perjuicio de lo anterior, la Comisión considera pertinente recordar que de conformidad con los artículos 8 y 25 de la Convención Americana, el Estado de </w:t>
      </w:r>
      <w:r w:rsidR="009917EC" w:rsidRPr="00E308FA">
        <w:rPr>
          <w:rFonts w:ascii="Cambria" w:hAnsi="Cambria" w:cs="Arial"/>
          <w:iCs/>
          <w:sz w:val="21"/>
          <w:szCs w:val="21"/>
          <w:lang w:val="es-ES"/>
        </w:rPr>
        <w:t>Colombi</w:t>
      </w:r>
      <w:r w:rsidRPr="00E308FA">
        <w:rPr>
          <w:rFonts w:ascii="Cambria" w:hAnsi="Cambria" w:cs="Arial"/>
          <w:iCs/>
          <w:sz w:val="21"/>
          <w:szCs w:val="21"/>
          <w:lang w:val="es-ES"/>
        </w:rPr>
        <w:t>a se encuentra obligado a investigar de manera diligente las circunstancias que dieron lugar a la muerte del beneficiario. En este sentido, corresponde al Estado investigar de manera exhaustiva garantizando una adecuada participación a sus familiares y</w:t>
      </w:r>
      <w:r w:rsidR="00F44A92" w:rsidRPr="00E308FA">
        <w:rPr>
          <w:rFonts w:ascii="Cambria" w:hAnsi="Cambria" w:cs="Arial"/>
          <w:iCs/>
          <w:sz w:val="21"/>
          <w:szCs w:val="21"/>
          <w:lang w:val="es-ES"/>
        </w:rPr>
        <w:t>/o</w:t>
      </w:r>
      <w:r w:rsidRPr="00E308FA">
        <w:rPr>
          <w:rFonts w:ascii="Cambria" w:hAnsi="Cambria" w:cs="Arial"/>
          <w:iCs/>
          <w:sz w:val="21"/>
          <w:szCs w:val="21"/>
          <w:lang w:val="es-ES"/>
        </w:rPr>
        <w:t xml:space="preserve"> representantes.  La Comisión Interamericana insta al Estado a continuar la investigación y esclarecer las circunstancias relacionadas con la muerte del señor Manuel </w:t>
      </w:r>
      <w:r w:rsidR="00D77898" w:rsidRPr="00E308FA">
        <w:rPr>
          <w:rFonts w:ascii="Cambria" w:hAnsi="Cambria" w:cs="Arial"/>
          <w:iCs/>
          <w:sz w:val="21"/>
          <w:szCs w:val="21"/>
          <w:lang w:val="es-ES"/>
        </w:rPr>
        <w:t>Vega Sarmiento</w:t>
      </w:r>
      <w:r w:rsidRPr="00E308FA">
        <w:rPr>
          <w:rFonts w:ascii="Cambria" w:hAnsi="Cambria" w:cs="Arial"/>
          <w:iCs/>
          <w:sz w:val="21"/>
          <w:szCs w:val="21"/>
          <w:lang w:val="es-ES"/>
        </w:rPr>
        <w:t>, de ser el caso, estableciendo las responsabilidades de cualquier índole a que dieren lugar.</w:t>
      </w:r>
    </w:p>
    <w:p w:rsidR="00C26223" w:rsidRPr="00E308FA" w:rsidRDefault="00C26223" w:rsidP="00C26223">
      <w:pPr>
        <w:spacing w:after="0" w:line="240" w:lineRule="auto"/>
        <w:ind w:right="-360"/>
        <w:jc w:val="both"/>
        <w:rPr>
          <w:rFonts w:ascii="Cambria" w:eastAsia="Times New Roman" w:hAnsi="Cambria" w:cs="Arial"/>
          <w:bCs/>
          <w:sz w:val="21"/>
          <w:szCs w:val="21"/>
          <w:lang w:val="es-ES"/>
        </w:rPr>
      </w:pPr>
    </w:p>
    <w:p w:rsidR="00C26223" w:rsidRPr="00E308FA" w:rsidRDefault="00C26223" w:rsidP="00C26223">
      <w:pPr>
        <w:numPr>
          <w:ilvl w:val="0"/>
          <w:numId w:val="3"/>
        </w:numPr>
        <w:spacing w:after="0" w:line="240" w:lineRule="auto"/>
        <w:ind w:left="900" w:right="-360"/>
        <w:jc w:val="both"/>
        <w:rPr>
          <w:rFonts w:ascii="Cambria" w:eastAsia="Times New Roman" w:hAnsi="Cambria" w:cs="Arial"/>
          <w:bCs/>
          <w:sz w:val="21"/>
          <w:szCs w:val="21"/>
          <w:lang w:val="es-ES"/>
        </w:rPr>
      </w:pPr>
      <w:r w:rsidRPr="00E308FA">
        <w:rPr>
          <w:rFonts w:ascii="Cambria" w:eastAsia="Times New Roman" w:hAnsi="Cambria"/>
          <w:b/>
          <w:sz w:val="21"/>
          <w:szCs w:val="21"/>
          <w:lang w:val="es-ES_tradnl"/>
        </w:rPr>
        <w:t>DECISIÓN</w:t>
      </w:r>
    </w:p>
    <w:p w:rsidR="00C26223" w:rsidRPr="00E308FA" w:rsidRDefault="00C26223" w:rsidP="00C26223">
      <w:pPr>
        <w:spacing w:after="0" w:line="240" w:lineRule="auto"/>
        <w:ind w:left="720" w:right="-360"/>
        <w:jc w:val="both"/>
        <w:rPr>
          <w:rFonts w:ascii="Cambria" w:eastAsia="Times New Roman" w:hAnsi="Cambria" w:cs="Arial"/>
          <w:bCs/>
          <w:sz w:val="21"/>
          <w:szCs w:val="21"/>
          <w:lang w:val="es-ES"/>
        </w:rPr>
      </w:pPr>
    </w:p>
    <w:p w:rsidR="00D77898" w:rsidRPr="00E308FA" w:rsidRDefault="00C26223" w:rsidP="00C26223">
      <w:pPr>
        <w:numPr>
          <w:ilvl w:val="0"/>
          <w:numId w:val="2"/>
        </w:numPr>
        <w:spacing w:after="0" w:line="240" w:lineRule="auto"/>
        <w:ind w:right="-360" w:firstLine="270"/>
        <w:jc w:val="both"/>
        <w:rPr>
          <w:rFonts w:ascii="Cambria" w:eastAsia="Times New Roman" w:hAnsi="Cambria"/>
          <w:sz w:val="21"/>
          <w:szCs w:val="21"/>
          <w:lang w:val="es-ES_tradnl"/>
        </w:rPr>
      </w:pPr>
      <w:r w:rsidRPr="00E308FA">
        <w:rPr>
          <w:rFonts w:ascii="Cambria" w:eastAsia="Times New Roman" w:hAnsi="Cambria"/>
          <w:sz w:val="21"/>
          <w:szCs w:val="21"/>
          <w:lang w:val="es-ES_tradnl"/>
        </w:rPr>
        <w:t xml:space="preserve">La Comisión decide levantar </w:t>
      </w:r>
      <w:r w:rsidR="00D77898" w:rsidRPr="00E308FA">
        <w:rPr>
          <w:rFonts w:ascii="Cambria" w:eastAsia="Times New Roman" w:hAnsi="Cambria"/>
          <w:sz w:val="21"/>
          <w:szCs w:val="21"/>
          <w:lang w:val="es-ES_tradnl"/>
        </w:rPr>
        <w:t xml:space="preserve">parcialmente las medidas cautelares MC 21-05 en lo que se refiere  al señor </w:t>
      </w:r>
      <w:r w:rsidR="00D77898" w:rsidRPr="00E308FA">
        <w:rPr>
          <w:rFonts w:ascii="Cambria" w:eastAsia="Times New Roman" w:hAnsi="Cambria" w:cs="Arial"/>
          <w:bCs/>
          <w:sz w:val="21"/>
          <w:szCs w:val="21"/>
          <w:lang w:val="es-ES"/>
        </w:rPr>
        <w:t xml:space="preserve">Manuel Enrique Vega Sarmiento, en vista de que han quedado sin objeto. </w:t>
      </w:r>
    </w:p>
    <w:p w:rsidR="00D77898" w:rsidRPr="00E308FA" w:rsidRDefault="00D77898" w:rsidP="00874384">
      <w:pPr>
        <w:spacing w:after="0" w:line="240" w:lineRule="auto"/>
        <w:ind w:left="630" w:right="-360"/>
        <w:jc w:val="both"/>
        <w:rPr>
          <w:rFonts w:ascii="Cambria" w:eastAsia="Times New Roman" w:hAnsi="Cambria"/>
          <w:sz w:val="21"/>
          <w:szCs w:val="21"/>
          <w:lang w:val="es-ES_tradnl"/>
        </w:rPr>
      </w:pPr>
    </w:p>
    <w:p w:rsidR="00C26223" w:rsidRPr="00E308FA" w:rsidRDefault="00C26223" w:rsidP="00C26223">
      <w:pPr>
        <w:numPr>
          <w:ilvl w:val="0"/>
          <w:numId w:val="2"/>
        </w:numPr>
        <w:spacing w:after="0" w:line="240" w:lineRule="auto"/>
        <w:ind w:right="-360" w:firstLine="270"/>
        <w:jc w:val="both"/>
        <w:rPr>
          <w:rFonts w:ascii="Cambria" w:hAnsi="Cambria" w:cs="Arial"/>
          <w:iCs/>
          <w:sz w:val="21"/>
          <w:szCs w:val="21"/>
          <w:lang w:val="es-ES"/>
        </w:rPr>
      </w:pPr>
      <w:r w:rsidRPr="00E308FA">
        <w:rPr>
          <w:rFonts w:ascii="Cambria" w:eastAsia="Times New Roman" w:hAnsi="Cambria"/>
          <w:sz w:val="21"/>
          <w:szCs w:val="21"/>
          <w:lang w:val="es-ES_tradnl"/>
        </w:rPr>
        <w:t>La Comisión requiere a la Secretaría Ejecutiva de la CIDH notificar sobre esta resolución al Estado de Colombia y a los representantes.</w:t>
      </w:r>
    </w:p>
    <w:p w:rsidR="00C26223" w:rsidRPr="00E308FA" w:rsidRDefault="00C26223" w:rsidP="00C26223">
      <w:pPr>
        <w:spacing w:after="0" w:line="240" w:lineRule="auto"/>
        <w:ind w:right="-360"/>
        <w:jc w:val="both"/>
        <w:rPr>
          <w:rFonts w:ascii="Cambria" w:hAnsi="Cambria" w:cs="Arial"/>
          <w:iCs/>
          <w:sz w:val="21"/>
          <w:szCs w:val="21"/>
          <w:lang w:val="es-ES"/>
        </w:rPr>
      </w:pPr>
    </w:p>
    <w:p w:rsidR="003649A4" w:rsidRPr="003649A4" w:rsidRDefault="00C26223" w:rsidP="003649A4">
      <w:pPr>
        <w:numPr>
          <w:ilvl w:val="0"/>
          <w:numId w:val="2"/>
        </w:numPr>
        <w:spacing w:after="0" w:line="240" w:lineRule="auto"/>
        <w:ind w:right="-360" w:firstLine="270"/>
        <w:jc w:val="both"/>
        <w:rPr>
          <w:rFonts w:ascii="Cambria" w:hAnsi="Cambria"/>
          <w:bCs/>
          <w:iCs/>
          <w:sz w:val="21"/>
          <w:szCs w:val="21"/>
          <w:lang w:val="es-ES_tradnl"/>
        </w:rPr>
      </w:pPr>
      <w:r w:rsidRPr="00E308FA">
        <w:rPr>
          <w:rFonts w:ascii="Cambria" w:hAnsi="Cambria"/>
          <w:sz w:val="21"/>
          <w:szCs w:val="21"/>
          <w:lang w:val="es-MX"/>
        </w:rPr>
        <w:t xml:space="preserve">Aprobada el día </w:t>
      </w:r>
      <w:r w:rsidR="00D72D3C">
        <w:rPr>
          <w:rFonts w:ascii="Cambria" w:hAnsi="Cambria"/>
          <w:sz w:val="21"/>
          <w:szCs w:val="21"/>
          <w:lang w:val="es-MX"/>
        </w:rPr>
        <w:t>5</w:t>
      </w:r>
      <w:r w:rsidRPr="00E308FA">
        <w:rPr>
          <w:rFonts w:ascii="Cambria" w:hAnsi="Cambria"/>
          <w:sz w:val="21"/>
          <w:szCs w:val="21"/>
          <w:lang w:val="es-MX"/>
        </w:rPr>
        <w:t xml:space="preserve"> del mes de mayo de 2018 por:</w:t>
      </w:r>
      <w:r w:rsidR="003649A4" w:rsidRPr="003649A4">
        <w:rPr>
          <w:rFonts w:ascii="Cambria" w:hAnsi="Cambria" w:cs="Arial"/>
          <w:iCs/>
          <w:color w:val="000000"/>
          <w:sz w:val="21"/>
          <w:szCs w:val="21"/>
          <w:lang w:val="es-MX"/>
        </w:rPr>
        <w:t xml:space="preserve"> </w:t>
      </w:r>
      <w:r w:rsidR="003649A4" w:rsidRPr="003649A4">
        <w:rPr>
          <w:rFonts w:ascii="Cambria" w:hAnsi="Cambria"/>
          <w:iCs/>
          <w:sz w:val="21"/>
          <w:szCs w:val="21"/>
          <w:lang w:val="es-MX"/>
        </w:rPr>
        <w:t xml:space="preserve">Margarette </w:t>
      </w:r>
      <w:proofErr w:type="spellStart"/>
      <w:r w:rsidR="003649A4" w:rsidRPr="003649A4">
        <w:rPr>
          <w:rFonts w:ascii="Cambria" w:hAnsi="Cambria"/>
          <w:iCs/>
          <w:sz w:val="21"/>
          <w:szCs w:val="21"/>
          <w:lang w:val="es-MX"/>
        </w:rPr>
        <w:t>May</w:t>
      </w:r>
      <w:proofErr w:type="spellEnd"/>
      <w:r w:rsidR="003649A4" w:rsidRPr="003649A4">
        <w:rPr>
          <w:rFonts w:ascii="Cambria" w:hAnsi="Cambria"/>
          <w:iCs/>
          <w:sz w:val="21"/>
          <w:szCs w:val="21"/>
          <w:lang w:val="es-MX"/>
        </w:rPr>
        <w:t xml:space="preserve"> Macaulay, Presidenta; </w:t>
      </w:r>
      <w:r w:rsidR="003649A4" w:rsidRPr="003649A4">
        <w:rPr>
          <w:rFonts w:ascii="Cambria" w:hAnsi="Cambria"/>
          <w:iCs/>
          <w:sz w:val="21"/>
          <w:szCs w:val="21"/>
          <w:lang w:val="es-ES"/>
        </w:rPr>
        <w:t xml:space="preserve">Esmeralda Arosemena de </w:t>
      </w:r>
      <w:proofErr w:type="spellStart"/>
      <w:r w:rsidR="003649A4" w:rsidRPr="003649A4">
        <w:rPr>
          <w:rFonts w:ascii="Cambria" w:hAnsi="Cambria"/>
          <w:iCs/>
          <w:sz w:val="21"/>
          <w:szCs w:val="21"/>
          <w:lang w:val="es-ES"/>
        </w:rPr>
        <w:t>T</w:t>
      </w:r>
      <w:r w:rsidR="003649A4">
        <w:rPr>
          <w:rFonts w:ascii="Cambria" w:hAnsi="Cambria"/>
          <w:iCs/>
          <w:sz w:val="21"/>
          <w:szCs w:val="21"/>
          <w:lang w:val="es-ES"/>
        </w:rPr>
        <w:t>roitiño</w:t>
      </w:r>
      <w:proofErr w:type="spellEnd"/>
      <w:r w:rsidR="003649A4">
        <w:rPr>
          <w:rFonts w:ascii="Cambria" w:hAnsi="Cambria"/>
          <w:iCs/>
          <w:sz w:val="21"/>
          <w:szCs w:val="21"/>
          <w:lang w:val="es-ES"/>
        </w:rPr>
        <w:t>, Primera Vicepresidenta</w:t>
      </w:r>
      <w:r w:rsidR="003649A4" w:rsidRPr="003649A4">
        <w:rPr>
          <w:rFonts w:ascii="Cambria" w:hAnsi="Cambria"/>
          <w:iCs/>
          <w:sz w:val="21"/>
          <w:szCs w:val="21"/>
          <w:lang w:val="es-ES"/>
        </w:rPr>
        <w:t xml:space="preserve">; Francisco José </w:t>
      </w:r>
      <w:proofErr w:type="spellStart"/>
      <w:r w:rsidR="003649A4" w:rsidRPr="003649A4">
        <w:rPr>
          <w:rFonts w:ascii="Cambria" w:hAnsi="Cambria"/>
          <w:iCs/>
          <w:sz w:val="21"/>
          <w:szCs w:val="21"/>
          <w:lang w:val="es-ES"/>
        </w:rPr>
        <w:t>Eguiguren</w:t>
      </w:r>
      <w:proofErr w:type="spellEnd"/>
      <w:r w:rsidR="003649A4" w:rsidRPr="003649A4">
        <w:rPr>
          <w:rFonts w:ascii="Cambria" w:hAnsi="Cambria"/>
          <w:iCs/>
          <w:sz w:val="21"/>
          <w:szCs w:val="21"/>
          <w:lang w:val="es-ES"/>
        </w:rPr>
        <w:t xml:space="preserve"> </w:t>
      </w:r>
      <w:proofErr w:type="spellStart"/>
      <w:r w:rsidR="003649A4" w:rsidRPr="003649A4">
        <w:rPr>
          <w:rFonts w:ascii="Cambria" w:hAnsi="Cambria"/>
          <w:iCs/>
          <w:sz w:val="21"/>
          <w:szCs w:val="21"/>
          <w:lang w:val="es-ES"/>
        </w:rPr>
        <w:t>Praeli</w:t>
      </w:r>
      <w:proofErr w:type="spellEnd"/>
      <w:r w:rsidR="003649A4" w:rsidRPr="003649A4">
        <w:rPr>
          <w:rFonts w:ascii="Cambria" w:hAnsi="Cambria"/>
          <w:iCs/>
          <w:sz w:val="21"/>
          <w:szCs w:val="21"/>
          <w:lang w:val="es-ES"/>
        </w:rPr>
        <w:t xml:space="preserve">, Joel Hernández, Antonia </w:t>
      </w:r>
      <w:proofErr w:type="spellStart"/>
      <w:r w:rsidR="003649A4" w:rsidRPr="003649A4">
        <w:rPr>
          <w:rFonts w:ascii="Cambria" w:hAnsi="Cambria"/>
          <w:iCs/>
          <w:sz w:val="21"/>
          <w:szCs w:val="21"/>
          <w:lang w:val="es-ES"/>
        </w:rPr>
        <w:t>Urrejola</w:t>
      </w:r>
      <w:proofErr w:type="spellEnd"/>
      <w:r w:rsidR="003649A4" w:rsidRPr="003649A4">
        <w:rPr>
          <w:rFonts w:ascii="Cambria" w:hAnsi="Cambria"/>
          <w:iCs/>
          <w:sz w:val="21"/>
          <w:szCs w:val="21"/>
          <w:lang w:val="es-ES"/>
        </w:rPr>
        <w:t xml:space="preserve"> y Flavia </w:t>
      </w:r>
      <w:proofErr w:type="spellStart"/>
      <w:r w:rsidR="003649A4" w:rsidRPr="003649A4">
        <w:rPr>
          <w:rFonts w:ascii="Cambria" w:hAnsi="Cambria"/>
          <w:iCs/>
          <w:sz w:val="21"/>
          <w:szCs w:val="21"/>
          <w:lang w:val="es-ES"/>
        </w:rPr>
        <w:t>Piovesan</w:t>
      </w:r>
      <w:proofErr w:type="spellEnd"/>
      <w:r w:rsidR="003649A4" w:rsidRPr="003649A4">
        <w:rPr>
          <w:rFonts w:ascii="Cambria" w:hAnsi="Cambria"/>
          <w:iCs/>
          <w:sz w:val="21"/>
          <w:szCs w:val="21"/>
          <w:lang w:val="es-ES"/>
        </w:rPr>
        <w:t>, miembros de la CIDH.</w:t>
      </w:r>
    </w:p>
    <w:p w:rsidR="00C26223" w:rsidRDefault="00C26223" w:rsidP="003649A4">
      <w:pPr>
        <w:spacing w:after="0" w:line="240" w:lineRule="auto"/>
        <w:ind w:left="630" w:right="-360"/>
        <w:jc w:val="both"/>
        <w:rPr>
          <w:rFonts w:ascii="Cambria" w:eastAsia="Times New Roman" w:hAnsi="Cambria"/>
          <w:sz w:val="21"/>
          <w:szCs w:val="21"/>
          <w:lang w:val="es-ES_tradnl"/>
        </w:rPr>
      </w:pPr>
    </w:p>
    <w:p w:rsidR="003649A4" w:rsidRDefault="003649A4" w:rsidP="003649A4">
      <w:pPr>
        <w:spacing w:after="0" w:line="240" w:lineRule="auto"/>
        <w:ind w:left="630" w:right="-360"/>
        <w:jc w:val="both"/>
        <w:rPr>
          <w:rFonts w:ascii="Cambria" w:eastAsia="Times New Roman" w:hAnsi="Cambria"/>
          <w:sz w:val="21"/>
          <w:szCs w:val="21"/>
          <w:lang w:val="es-ES_tradnl"/>
        </w:rPr>
      </w:pPr>
    </w:p>
    <w:p w:rsidR="003649A4" w:rsidRDefault="003649A4" w:rsidP="003649A4">
      <w:pPr>
        <w:spacing w:after="0" w:line="240" w:lineRule="auto"/>
        <w:ind w:left="630" w:right="-360"/>
        <w:jc w:val="both"/>
        <w:rPr>
          <w:rFonts w:ascii="Cambria" w:eastAsia="Times New Roman" w:hAnsi="Cambria"/>
          <w:sz w:val="21"/>
          <w:szCs w:val="21"/>
          <w:lang w:val="es-ES_tradnl"/>
        </w:rPr>
      </w:pPr>
    </w:p>
    <w:p w:rsidR="003649A4" w:rsidRPr="00E308FA" w:rsidRDefault="003649A4" w:rsidP="003649A4">
      <w:pPr>
        <w:spacing w:after="0" w:line="240" w:lineRule="auto"/>
        <w:ind w:left="630" w:right="-360"/>
        <w:jc w:val="both"/>
        <w:rPr>
          <w:rFonts w:ascii="Cambria" w:eastAsia="Times New Roman" w:hAnsi="Cambria"/>
          <w:sz w:val="21"/>
          <w:szCs w:val="21"/>
          <w:lang w:val="es-ES_tradnl"/>
        </w:rPr>
      </w:pPr>
    </w:p>
    <w:p w:rsidR="00C26223" w:rsidRPr="00C26223" w:rsidRDefault="00C26223" w:rsidP="00C26223">
      <w:pPr>
        <w:spacing w:after="0" w:line="240" w:lineRule="auto"/>
        <w:ind w:left="720"/>
        <w:rPr>
          <w:rFonts w:ascii="Cambria" w:eastAsia="Times New Roman" w:hAnsi="Cambria"/>
          <w:sz w:val="21"/>
          <w:szCs w:val="21"/>
          <w:lang w:val="es-ES_tradnl"/>
        </w:rPr>
      </w:pPr>
    </w:p>
    <w:p w:rsidR="003649A4" w:rsidRPr="003649A4" w:rsidRDefault="003649A4" w:rsidP="003649A4">
      <w:pPr>
        <w:spacing w:after="0" w:line="240" w:lineRule="auto"/>
        <w:ind w:left="270" w:right="-360"/>
        <w:jc w:val="center"/>
        <w:rPr>
          <w:rFonts w:ascii="Cambria" w:eastAsia="Times New Roman" w:hAnsi="Cambria"/>
          <w:sz w:val="21"/>
          <w:szCs w:val="21"/>
          <w:lang w:val="es-ES_tradnl"/>
        </w:rPr>
      </w:pPr>
      <w:r w:rsidRPr="003649A4">
        <w:rPr>
          <w:rFonts w:ascii="Cambria" w:eastAsia="Times New Roman" w:hAnsi="Cambria"/>
          <w:sz w:val="21"/>
          <w:szCs w:val="21"/>
          <w:lang w:val="es-ES_tradnl"/>
        </w:rPr>
        <w:t>Elizabeth Abi-Mershed</w:t>
      </w:r>
    </w:p>
    <w:p w:rsidR="003649A4" w:rsidRPr="003649A4" w:rsidRDefault="003649A4" w:rsidP="003649A4">
      <w:pPr>
        <w:spacing w:after="0" w:line="240" w:lineRule="auto"/>
        <w:ind w:left="270" w:right="-360"/>
        <w:jc w:val="center"/>
        <w:rPr>
          <w:rFonts w:ascii="Cambria" w:eastAsia="Times New Roman" w:hAnsi="Cambria"/>
          <w:sz w:val="21"/>
          <w:szCs w:val="21"/>
          <w:lang w:val="es-ES_tradnl"/>
        </w:rPr>
      </w:pPr>
      <w:r w:rsidRPr="003649A4">
        <w:rPr>
          <w:rFonts w:ascii="Cambria" w:eastAsia="Times New Roman" w:hAnsi="Cambria"/>
          <w:sz w:val="21"/>
          <w:szCs w:val="21"/>
          <w:lang w:val="es-ES_tradnl"/>
        </w:rPr>
        <w:t>Secretaria Ejecutiva Adjunta</w:t>
      </w:r>
    </w:p>
    <w:p w:rsidR="003649A4" w:rsidRPr="003649A4" w:rsidRDefault="003649A4" w:rsidP="003649A4">
      <w:pPr>
        <w:spacing w:after="0" w:line="240" w:lineRule="auto"/>
        <w:ind w:left="-360" w:right="-360"/>
        <w:jc w:val="both"/>
        <w:rPr>
          <w:rFonts w:ascii="Cambria" w:eastAsia="Times New Roman" w:hAnsi="Cambria"/>
          <w:sz w:val="21"/>
          <w:szCs w:val="21"/>
          <w:lang w:val="es-CO"/>
        </w:rPr>
      </w:pPr>
    </w:p>
    <w:p w:rsidR="00C26223" w:rsidRPr="00C26223" w:rsidRDefault="00C26223" w:rsidP="00C26223">
      <w:pPr>
        <w:spacing w:after="0" w:line="240" w:lineRule="auto"/>
        <w:ind w:left="270" w:right="-360"/>
        <w:jc w:val="both"/>
        <w:rPr>
          <w:rFonts w:ascii="Cambria" w:eastAsia="Times New Roman" w:hAnsi="Cambria"/>
          <w:sz w:val="21"/>
          <w:szCs w:val="21"/>
          <w:lang w:val="es-ES_tradnl"/>
        </w:rPr>
      </w:pPr>
    </w:p>
    <w:p w:rsidR="00C26223" w:rsidRPr="00C26223" w:rsidRDefault="00C26223" w:rsidP="00C26223">
      <w:pPr>
        <w:spacing w:after="0" w:line="240" w:lineRule="auto"/>
        <w:ind w:left="270" w:right="-360"/>
        <w:jc w:val="both"/>
        <w:rPr>
          <w:rFonts w:ascii="Cambria" w:eastAsia="Times New Roman" w:hAnsi="Cambria"/>
          <w:sz w:val="21"/>
          <w:szCs w:val="21"/>
          <w:lang w:val="es-ES_tradnl"/>
        </w:rPr>
      </w:pPr>
    </w:p>
    <w:p w:rsidR="00C26223" w:rsidRPr="00C26223" w:rsidRDefault="00C26223" w:rsidP="00C26223">
      <w:pPr>
        <w:spacing w:after="0" w:line="240" w:lineRule="auto"/>
        <w:ind w:left="270" w:right="-360"/>
        <w:jc w:val="both"/>
        <w:rPr>
          <w:rFonts w:ascii="Cambria" w:eastAsia="Times New Roman" w:hAnsi="Cambria"/>
          <w:sz w:val="21"/>
          <w:szCs w:val="21"/>
          <w:lang w:val="es-ES_tradnl"/>
        </w:rPr>
      </w:pPr>
    </w:p>
    <w:p w:rsidR="00C26223" w:rsidRPr="00C26223" w:rsidRDefault="00C26223" w:rsidP="00C26223">
      <w:pPr>
        <w:spacing w:after="0" w:line="240" w:lineRule="auto"/>
        <w:ind w:left="-360" w:right="-360"/>
        <w:jc w:val="both"/>
        <w:rPr>
          <w:rFonts w:ascii="Cambria" w:eastAsia="Times New Roman" w:hAnsi="Cambria"/>
          <w:sz w:val="21"/>
          <w:szCs w:val="21"/>
          <w:lang w:val="es-CO"/>
        </w:rPr>
      </w:pPr>
    </w:p>
    <w:p w:rsidR="00C26223" w:rsidRPr="00C26223" w:rsidRDefault="00C26223" w:rsidP="00C26223">
      <w:pPr>
        <w:spacing w:after="0" w:line="240" w:lineRule="auto"/>
        <w:rPr>
          <w:rFonts w:ascii="Cambria" w:hAnsi="Cambria"/>
          <w:sz w:val="21"/>
          <w:szCs w:val="21"/>
          <w:lang w:val="es-CO"/>
        </w:rPr>
      </w:pPr>
    </w:p>
    <w:p w:rsidR="002143F8" w:rsidRPr="00C26223" w:rsidRDefault="002143F8">
      <w:pPr>
        <w:rPr>
          <w:lang w:val="es-CO"/>
        </w:rPr>
      </w:pPr>
    </w:p>
    <w:sectPr w:rsidR="002143F8" w:rsidRPr="00C262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6B" w:rsidRDefault="00DE126B" w:rsidP="00C26223">
      <w:pPr>
        <w:spacing w:after="0" w:line="240" w:lineRule="auto"/>
      </w:pPr>
      <w:r>
        <w:separator/>
      </w:r>
    </w:p>
  </w:endnote>
  <w:endnote w:type="continuationSeparator" w:id="0">
    <w:p w:rsidR="00DE126B" w:rsidRDefault="00DE126B" w:rsidP="00C2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6B" w:rsidRDefault="00DE126B" w:rsidP="00C26223">
      <w:pPr>
        <w:spacing w:after="0" w:line="240" w:lineRule="auto"/>
      </w:pPr>
      <w:r>
        <w:separator/>
      </w:r>
    </w:p>
  </w:footnote>
  <w:footnote w:type="continuationSeparator" w:id="0">
    <w:p w:rsidR="00DE126B" w:rsidRDefault="00DE126B" w:rsidP="00C26223">
      <w:pPr>
        <w:spacing w:after="0" w:line="240" w:lineRule="auto"/>
      </w:pPr>
      <w:r>
        <w:continuationSeparator/>
      </w:r>
    </w:p>
  </w:footnote>
  <w:footnote w:id="1">
    <w:p w:rsidR="003017D8" w:rsidRPr="00C26223" w:rsidRDefault="003017D8" w:rsidP="00F44A92">
      <w:pPr>
        <w:pStyle w:val="FootnoteText"/>
        <w:spacing w:after="0" w:line="240" w:lineRule="auto"/>
        <w:rPr>
          <w:rFonts w:ascii="Calibri Light" w:hAnsi="Calibri Light"/>
          <w:sz w:val="16"/>
          <w:szCs w:val="16"/>
          <w:lang w:val="es-CO"/>
        </w:rPr>
      </w:pPr>
      <w:r w:rsidRPr="001D3DC6">
        <w:rPr>
          <w:rStyle w:val="FootnoteReference"/>
          <w:rFonts w:ascii="Calibri Light" w:hAnsi="Calibri Light"/>
          <w:sz w:val="16"/>
          <w:szCs w:val="16"/>
        </w:rPr>
        <w:footnoteRef/>
      </w:r>
      <w:r w:rsidRPr="00C26223">
        <w:rPr>
          <w:rFonts w:ascii="Calibri Light" w:hAnsi="Calibri Light"/>
          <w:sz w:val="16"/>
          <w:szCs w:val="16"/>
          <w:lang w:val="es-CO"/>
        </w:rPr>
        <w:t xml:space="preserve"> Conforme a lo dispuesto en el Artículo 17.2.a del reglamento de la Comisión, el Comisionado Luis Ernesto Vargas Silva, de nacionalidad colombiana, no participó en el debate ni en la decisión de la presente medida cautelar.</w:t>
      </w:r>
    </w:p>
  </w:footnote>
  <w:footnote w:id="2">
    <w:p w:rsidR="003017D8" w:rsidRPr="00646020" w:rsidRDefault="003017D8" w:rsidP="00F44A92">
      <w:pPr>
        <w:pStyle w:val="FootnoteText"/>
        <w:spacing w:after="0" w:line="240" w:lineRule="auto"/>
        <w:rPr>
          <w:rFonts w:ascii="Calibri Light" w:hAnsi="Calibri Light"/>
          <w:sz w:val="16"/>
          <w:szCs w:val="16"/>
          <w:lang w:val="es-CO"/>
        </w:rPr>
      </w:pPr>
      <w:r w:rsidRPr="00646020">
        <w:rPr>
          <w:rStyle w:val="FootnoteReference"/>
          <w:rFonts w:ascii="Calibri Light" w:hAnsi="Calibri Light"/>
          <w:sz w:val="16"/>
          <w:szCs w:val="16"/>
        </w:rPr>
        <w:footnoteRef/>
      </w:r>
      <w:r w:rsidRPr="00C26223">
        <w:rPr>
          <w:rFonts w:ascii="Calibri Light" w:hAnsi="Calibri Light"/>
          <w:sz w:val="16"/>
          <w:szCs w:val="16"/>
          <w:lang w:val="es-CO"/>
        </w:rPr>
        <w:t xml:space="preserve"> CIDH, otorgamiento del 4 de febrero de 2005 (MC-21-05): </w:t>
      </w:r>
      <w:hyperlink r:id="rId1" w:history="1">
        <w:r w:rsidRPr="00C26223">
          <w:rPr>
            <w:rStyle w:val="Hyperlink"/>
            <w:rFonts w:ascii="Calibri Light" w:hAnsi="Calibri Light"/>
            <w:sz w:val="16"/>
            <w:szCs w:val="16"/>
            <w:lang w:val="es-CO"/>
          </w:rPr>
          <w:t>http://www.cidh.org/medidas/2005.sp.htm</w:t>
        </w:r>
      </w:hyperlink>
      <w:r w:rsidRPr="00C26223">
        <w:rPr>
          <w:rFonts w:ascii="Calibri Light" w:hAnsi="Calibri Light"/>
          <w:sz w:val="16"/>
          <w:szCs w:val="16"/>
          <w:lang w:val="es-CO"/>
        </w:rPr>
        <w:t xml:space="preserve"> </w:t>
      </w:r>
    </w:p>
  </w:footnote>
  <w:footnote w:id="3">
    <w:p w:rsidR="003017D8" w:rsidRPr="00C26223" w:rsidRDefault="003017D8" w:rsidP="00F44A92">
      <w:pPr>
        <w:pStyle w:val="FootnoteText"/>
        <w:spacing w:after="0" w:line="240" w:lineRule="auto"/>
        <w:rPr>
          <w:rFonts w:ascii="Calibri Light" w:hAnsi="Calibri Light"/>
          <w:sz w:val="16"/>
          <w:szCs w:val="16"/>
          <w:lang w:val="es-CO"/>
        </w:rPr>
      </w:pPr>
      <w:r w:rsidRPr="00B92AD2">
        <w:rPr>
          <w:rStyle w:val="FootnoteReference"/>
          <w:rFonts w:ascii="Calibri Light" w:hAnsi="Calibri Light"/>
          <w:sz w:val="16"/>
          <w:szCs w:val="16"/>
        </w:rPr>
        <w:footnoteRef/>
      </w:r>
      <w:r w:rsidRPr="00C26223">
        <w:rPr>
          <w:rFonts w:ascii="Calibri Light" w:hAnsi="Calibri Light"/>
          <w:sz w:val="16"/>
          <w:szCs w:val="16"/>
          <w:lang w:val="es-CO"/>
        </w:rPr>
        <w:t xml:space="preserve"> CIDH, Resolución 4/2017, Medida Cautelar </w:t>
      </w:r>
      <w:r w:rsidR="00E03C13">
        <w:rPr>
          <w:rFonts w:ascii="Calibri Light" w:hAnsi="Calibri Light"/>
          <w:sz w:val="16"/>
          <w:szCs w:val="16"/>
          <w:lang w:val="es-CO"/>
        </w:rPr>
        <w:t>2</w:t>
      </w:r>
      <w:r w:rsidRPr="00C26223">
        <w:rPr>
          <w:rFonts w:ascii="Calibri Light" w:hAnsi="Calibri Light"/>
          <w:sz w:val="16"/>
          <w:szCs w:val="16"/>
          <w:lang w:val="es-CO"/>
        </w:rPr>
        <w:t>1-</w:t>
      </w:r>
      <w:r w:rsidR="00E03C13">
        <w:rPr>
          <w:rFonts w:ascii="Calibri Light" w:hAnsi="Calibri Light"/>
          <w:sz w:val="16"/>
          <w:szCs w:val="16"/>
          <w:lang w:val="es-CO"/>
        </w:rPr>
        <w:t>05</w:t>
      </w:r>
      <w:r w:rsidRPr="00C26223">
        <w:rPr>
          <w:rFonts w:ascii="Calibri Light" w:hAnsi="Calibri Light"/>
          <w:sz w:val="16"/>
          <w:szCs w:val="16"/>
          <w:lang w:val="es-CO"/>
        </w:rPr>
        <w:t>. Disponible en:</w:t>
      </w:r>
      <w:r w:rsidRPr="00C26223">
        <w:rPr>
          <w:lang w:val="es-CO"/>
        </w:rPr>
        <w:t xml:space="preserve"> </w:t>
      </w:r>
      <w:r w:rsidR="00632A3C">
        <w:fldChar w:fldCharType="begin"/>
      </w:r>
      <w:r w:rsidR="00632A3C" w:rsidRPr="00632A3C">
        <w:rPr>
          <w:lang w:val="es-UY"/>
        </w:rPr>
        <w:instrText xml:space="preserve"> HYPERLINK "http://www.oas.org/es/cidh/decisiones/pdf/2017/18-17MC</w:instrText>
      </w:r>
      <w:r w:rsidR="00632A3C" w:rsidRPr="00632A3C">
        <w:rPr>
          <w:lang w:val="es-UY"/>
        </w:rPr>
        <w:instrText xml:space="preserve">21-05-CO.pdf" </w:instrText>
      </w:r>
      <w:r w:rsidR="00632A3C">
        <w:fldChar w:fldCharType="separate"/>
      </w:r>
      <w:r w:rsidR="00E03C13" w:rsidRPr="00E03C13">
        <w:rPr>
          <w:rStyle w:val="Hyperlink"/>
          <w:sz w:val="16"/>
          <w:szCs w:val="16"/>
          <w:lang w:val="es-CO"/>
        </w:rPr>
        <w:t>http://www.oas.org/es/cidh/decisiones/pdf/2017/18-17MC21-05-CO.pdf</w:t>
      </w:r>
      <w:r w:rsidR="00632A3C">
        <w:rPr>
          <w:rStyle w:val="Hyperlink"/>
          <w:sz w:val="16"/>
          <w:szCs w:val="16"/>
          <w:lang w:val="es-CO"/>
        </w:rPr>
        <w:fldChar w:fldCharType="end"/>
      </w:r>
      <w:r w:rsidR="00E03C13">
        <w:rPr>
          <w:lang w:val="es-CO"/>
        </w:rPr>
        <w:t xml:space="preserve"> </w:t>
      </w:r>
    </w:p>
  </w:footnote>
  <w:footnote w:id="4">
    <w:p w:rsidR="003017D8" w:rsidRPr="00E03C13" w:rsidRDefault="003017D8" w:rsidP="00F44A92">
      <w:pPr>
        <w:pStyle w:val="FootnoteText"/>
        <w:spacing w:after="0" w:line="240" w:lineRule="auto"/>
        <w:rPr>
          <w:rFonts w:ascii="Calibri Light" w:hAnsi="Calibri Light"/>
          <w:sz w:val="16"/>
          <w:szCs w:val="16"/>
          <w:lang w:val="es-CO"/>
        </w:rPr>
      </w:pPr>
      <w:r w:rsidRPr="00B92AD2">
        <w:rPr>
          <w:rStyle w:val="FootnoteReference"/>
          <w:rFonts w:ascii="Calibri Light" w:hAnsi="Calibri Light"/>
          <w:sz w:val="16"/>
          <w:szCs w:val="16"/>
        </w:rPr>
        <w:footnoteRef/>
      </w:r>
      <w:r w:rsidRPr="00C26223">
        <w:rPr>
          <w:rFonts w:ascii="Calibri Light" w:hAnsi="Calibri Light"/>
          <w:sz w:val="16"/>
          <w:szCs w:val="16"/>
          <w:lang w:val="es-CO"/>
        </w:rPr>
        <w:t xml:space="preserve"> CIDH, Resolución 18/2017, Medida Cautelar 21-05, </w:t>
      </w:r>
      <w:proofErr w:type="spellStart"/>
      <w:r w:rsidRPr="00C26223">
        <w:rPr>
          <w:rFonts w:ascii="Calibri Light" w:hAnsi="Calibri Light"/>
          <w:sz w:val="16"/>
          <w:szCs w:val="16"/>
          <w:lang w:val="es-CO"/>
        </w:rPr>
        <w:t>párr</w:t>
      </w:r>
      <w:proofErr w:type="spellEnd"/>
      <w:r w:rsidRPr="00C26223">
        <w:rPr>
          <w:rFonts w:ascii="Calibri Light" w:hAnsi="Calibri Light"/>
          <w:sz w:val="16"/>
          <w:szCs w:val="16"/>
          <w:lang w:val="es-CO"/>
        </w:rPr>
        <w:t xml:space="preserve"> 19. </w:t>
      </w:r>
      <w:r w:rsidRPr="00E03C13">
        <w:rPr>
          <w:rFonts w:ascii="Calibri Light" w:hAnsi="Calibri Light"/>
          <w:sz w:val="16"/>
          <w:szCs w:val="16"/>
          <w:lang w:val="es-CO"/>
        </w:rPr>
        <w:t>Disponible en:</w:t>
      </w:r>
      <w:r w:rsidRPr="00E03C13">
        <w:rPr>
          <w:lang w:val="es-CO"/>
        </w:rPr>
        <w:t xml:space="preserve"> </w:t>
      </w:r>
      <w:r w:rsidR="00632A3C">
        <w:fldChar w:fldCharType="begin"/>
      </w:r>
      <w:r w:rsidR="00632A3C" w:rsidRPr="00632A3C">
        <w:rPr>
          <w:lang w:val="es-UY"/>
        </w:rPr>
        <w:instrText xml:space="preserve"> HYPERLINK "http://www.oas.org/es/cidh/decisiones/pdf/2017/18-17MC21-05-CO.pdf" </w:instrText>
      </w:r>
      <w:r w:rsidR="00632A3C">
        <w:fldChar w:fldCharType="separate"/>
      </w:r>
      <w:r w:rsidRPr="00E03C13">
        <w:rPr>
          <w:rStyle w:val="Hyperlink"/>
          <w:rFonts w:ascii="Calibri Light" w:hAnsi="Calibri Light"/>
          <w:sz w:val="16"/>
          <w:szCs w:val="16"/>
          <w:lang w:val="es-CO"/>
        </w:rPr>
        <w:t>http://www.oas.org/es/cidh/decisiones/pdf/2017/18-17MC21-05-CO.pdf</w:t>
      </w:r>
      <w:r w:rsidR="00632A3C">
        <w:rPr>
          <w:rStyle w:val="Hyperlink"/>
          <w:rFonts w:ascii="Calibri Light" w:hAnsi="Calibri Light"/>
          <w:sz w:val="16"/>
          <w:szCs w:val="16"/>
          <w:lang w:val="es-CO"/>
        </w:rPr>
        <w:fldChar w:fldCharType="end"/>
      </w:r>
      <w:r w:rsidRPr="00E03C13">
        <w:rPr>
          <w:rFonts w:ascii="Calibri Light" w:hAnsi="Calibri Light"/>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D8" w:rsidRPr="0079473A" w:rsidRDefault="00E308FA" w:rsidP="00BE3363">
    <w:pPr>
      <w:tabs>
        <w:tab w:val="left" w:pos="4040"/>
        <w:tab w:val="left" w:pos="4333"/>
        <w:tab w:val="center" w:pos="4680"/>
        <w:tab w:val="right" w:pos="9360"/>
      </w:tabs>
      <w:spacing w:after="0" w:line="240" w:lineRule="auto"/>
    </w:pPr>
    <w:r>
      <w:rPr>
        <w:noProof/>
        <w:lang w:val="es-UY" w:eastAsia="es-UY"/>
      </w:rPr>
      <w:drawing>
        <wp:inline distT="0" distB="0" distL="0" distR="0">
          <wp:extent cx="2347595" cy="457200"/>
          <wp:effectExtent l="0" t="0" r="0"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595" cy="457200"/>
                  </a:xfrm>
                  <a:prstGeom prst="rect">
                    <a:avLst/>
                  </a:prstGeom>
                  <a:noFill/>
                  <a:ln>
                    <a:noFill/>
                  </a:ln>
                </pic:spPr>
              </pic:pic>
            </a:graphicData>
          </a:graphic>
        </wp:inline>
      </w:drawing>
    </w:r>
    <w:r w:rsidR="003017D8" w:rsidRPr="0079473A">
      <w:tab/>
    </w:r>
    <w:r w:rsidR="003017D8">
      <w:tab/>
    </w:r>
    <w:r w:rsidR="003017D8" w:rsidRPr="0079473A">
      <w:tab/>
    </w:r>
    <w:r w:rsidR="003017D8" w:rsidRPr="0079473A">
      <w:tab/>
    </w:r>
    <w:r>
      <w:rPr>
        <w:noProof/>
        <w:lang w:val="es-UY" w:eastAsia="es-UY"/>
      </w:rPr>
      <w:drawing>
        <wp:inline distT="0" distB="0" distL="0" distR="0">
          <wp:extent cx="1644650" cy="477520"/>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77520"/>
                  </a:xfrm>
                  <a:prstGeom prst="rect">
                    <a:avLst/>
                  </a:prstGeom>
                  <a:noFill/>
                  <a:ln>
                    <a:noFill/>
                  </a:ln>
                </pic:spPr>
              </pic:pic>
            </a:graphicData>
          </a:graphic>
        </wp:inline>
      </w:drawing>
    </w:r>
  </w:p>
  <w:p w:rsidR="003017D8" w:rsidRDefault="00301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88F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476E3"/>
    <w:multiLevelType w:val="hybridMultilevel"/>
    <w:tmpl w:val="9604A102"/>
    <w:lvl w:ilvl="0" w:tplc="66D4364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2C0F49"/>
    <w:multiLevelType w:val="hybridMultilevel"/>
    <w:tmpl w:val="DA34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234BB"/>
    <w:multiLevelType w:val="hybridMultilevel"/>
    <w:tmpl w:val="C4742A2E"/>
    <w:lvl w:ilvl="0" w:tplc="E4D6624A">
      <w:start w:val="1"/>
      <w:numFmt w:val="upperRoman"/>
      <w:lvlText w:val="%1."/>
      <w:lvlJc w:val="righ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2C729B2"/>
    <w:multiLevelType w:val="hybridMultilevel"/>
    <w:tmpl w:val="E97E03FA"/>
    <w:lvl w:ilvl="0" w:tplc="08F2A73C">
      <w:start w:val="1"/>
      <w:numFmt w:val="lowerLetter"/>
      <w:lvlText w:val="%1)"/>
      <w:lvlJc w:val="left"/>
      <w:pPr>
        <w:ind w:left="900" w:hanging="360"/>
      </w:pPr>
      <w:rPr>
        <w:rFonts w:ascii="Cambria" w:eastAsia="Times New Roman" w:hAnsi="Cambria" w:cs="Arial"/>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23"/>
    <w:rsid w:val="00065188"/>
    <w:rsid w:val="000A30AF"/>
    <w:rsid w:val="002143F8"/>
    <w:rsid w:val="00283883"/>
    <w:rsid w:val="002E3931"/>
    <w:rsid w:val="003017D8"/>
    <w:rsid w:val="003428C5"/>
    <w:rsid w:val="00343D69"/>
    <w:rsid w:val="003649A4"/>
    <w:rsid w:val="00385E16"/>
    <w:rsid w:val="004325FC"/>
    <w:rsid w:val="00486088"/>
    <w:rsid w:val="004E1975"/>
    <w:rsid w:val="005B003C"/>
    <w:rsid w:val="0061636F"/>
    <w:rsid w:val="00632A3C"/>
    <w:rsid w:val="006C673C"/>
    <w:rsid w:val="006E7B19"/>
    <w:rsid w:val="00850144"/>
    <w:rsid w:val="00866CC0"/>
    <w:rsid w:val="00874384"/>
    <w:rsid w:val="008E5A4C"/>
    <w:rsid w:val="00902593"/>
    <w:rsid w:val="009322A4"/>
    <w:rsid w:val="009917EC"/>
    <w:rsid w:val="009A5B0B"/>
    <w:rsid w:val="00A659B2"/>
    <w:rsid w:val="00AE0896"/>
    <w:rsid w:val="00B43A40"/>
    <w:rsid w:val="00B74707"/>
    <w:rsid w:val="00BE3363"/>
    <w:rsid w:val="00C26223"/>
    <w:rsid w:val="00C9404B"/>
    <w:rsid w:val="00D128B9"/>
    <w:rsid w:val="00D72D3C"/>
    <w:rsid w:val="00D77898"/>
    <w:rsid w:val="00DC38F5"/>
    <w:rsid w:val="00DE126B"/>
    <w:rsid w:val="00DE3657"/>
    <w:rsid w:val="00DF790F"/>
    <w:rsid w:val="00E03C13"/>
    <w:rsid w:val="00E308FA"/>
    <w:rsid w:val="00EC3065"/>
    <w:rsid w:val="00ED7691"/>
    <w:rsid w:val="00F44A92"/>
    <w:rsid w:val="00F57042"/>
    <w:rsid w:val="00FF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6223"/>
    <w:rPr>
      <w:sz w:val="20"/>
      <w:szCs w:val="20"/>
    </w:rPr>
  </w:style>
  <w:style w:type="character" w:customStyle="1" w:styleId="FootnoteTextChar">
    <w:name w:val="Footnote Text Char"/>
    <w:basedOn w:val="DefaultParagraphFont"/>
    <w:link w:val="FootnoteText"/>
    <w:uiPriority w:val="99"/>
    <w:semiHidden/>
    <w:rsid w:val="00C26223"/>
  </w:style>
  <w:style w:type="paragraph" w:styleId="Header">
    <w:name w:val="header"/>
    <w:basedOn w:val="Normal"/>
    <w:link w:val="HeaderChar"/>
    <w:uiPriority w:val="99"/>
    <w:semiHidden/>
    <w:unhideWhenUsed/>
    <w:rsid w:val="00C26223"/>
    <w:pPr>
      <w:tabs>
        <w:tab w:val="center" w:pos="4680"/>
        <w:tab w:val="right" w:pos="9360"/>
      </w:tabs>
    </w:pPr>
  </w:style>
  <w:style w:type="character" w:customStyle="1" w:styleId="HeaderChar">
    <w:name w:val="Header Char"/>
    <w:link w:val="Header"/>
    <w:uiPriority w:val="99"/>
    <w:semiHidden/>
    <w:rsid w:val="00C26223"/>
    <w:rPr>
      <w:sz w:val="22"/>
      <w:szCs w:val="22"/>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Footnote symbol"/>
    <w:qFormat/>
    <w:rsid w:val="00C26223"/>
    <w:rPr>
      <w:vertAlign w:val="superscript"/>
    </w:rPr>
  </w:style>
  <w:style w:type="character" w:styleId="Hyperlink">
    <w:name w:val="Hyperlink"/>
    <w:uiPriority w:val="99"/>
    <w:unhideWhenUsed/>
    <w:rsid w:val="00C26223"/>
    <w:rPr>
      <w:color w:val="0000FF"/>
      <w:u w:val="single"/>
    </w:rPr>
  </w:style>
  <w:style w:type="paragraph" w:styleId="BalloonText">
    <w:name w:val="Balloon Text"/>
    <w:basedOn w:val="Normal"/>
    <w:link w:val="BalloonTextChar"/>
    <w:uiPriority w:val="99"/>
    <w:semiHidden/>
    <w:unhideWhenUsed/>
    <w:rsid w:val="003017D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017D8"/>
    <w:rPr>
      <w:rFonts w:ascii="Lucida Grande" w:hAnsi="Lucida Grande" w:cs="Lucida Grande"/>
      <w:sz w:val="18"/>
      <w:szCs w:val="18"/>
      <w:lang w:val="en-US"/>
    </w:rPr>
  </w:style>
  <w:style w:type="character" w:styleId="CommentReference">
    <w:name w:val="annotation reference"/>
    <w:uiPriority w:val="99"/>
    <w:semiHidden/>
    <w:unhideWhenUsed/>
    <w:rsid w:val="003017D8"/>
    <w:rPr>
      <w:sz w:val="18"/>
      <w:szCs w:val="18"/>
    </w:rPr>
  </w:style>
  <w:style w:type="paragraph" w:styleId="CommentText">
    <w:name w:val="annotation text"/>
    <w:basedOn w:val="Normal"/>
    <w:link w:val="CommentTextChar"/>
    <w:uiPriority w:val="99"/>
    <w:semiHidden/>
    <w:unhideWhenUsed/>
    <w:rsid w:val="003017D8"/>
    <w:rPr>
      <w:sz w:val="24"/>
      <w:szCs w:val="24"/>
    </w:rPr>
  </w:style>
  <w:style w:type="character" w:customStyle="1" w:styleId="CommentTextChar">
    <w:name w:val="Comment Text Char"/>
    <w:link w:val="CommentText"/>
    <w:uiPriority w:val="99"/>
    <w:semiHidden/>
    <w:rsid w:val="003017D8"/>
    <w:rPr>
      <w:sz w:val="24"/>
      <w:szCs w:val="24"/>
      <w:lang w:val="en-US"/>
    </w:rPr>
  </w:style>
  <w:style w:type="paragraph" w:styleId="CommentSubject">
    <w:name w:val="annotation subject"/>
    <w:basedOn w:val="CommentText"/>
    <w:next w:val="CommentText"/>
    <w:link w:val="CommentSubjectChar"/>
    <w:uiPriority w:val="99"/>
    <w:semiHidden/>
    <w:unhideWhenUsed/>
    <w:rsid w:val="003017D8"/>
    <w:rPr>
      <w:b/>
      <w:bCs/>
      <w:sz w:val="20"/>
      <w:szCs w:val="20"/>
    </w:rPr>
  </w:style>
  <w:style w:type="character" w:customStyle="1" w:styleId="CommentSubjectChar">
    <w:name w:val="Comment Subject Char"/>
    <w:link w:val="CommentSubject"/>
    <w:uiPriority w:val="99"/>
    <w:semiHidden/>
    <w:rsid w:val="003017D8"/>
    <w:rPr>
      <w:b/>
      <w:bCs/>
      <w:sz w:val="24"/>
      <w:szCs w:val="24"/>
      <w:lang w:val="en-US"/>
    </w:rPr>
  </w:style>
  <w:style w:type="character" w:styleId="FollowedHyperlink">
    <w:name w:val="FollowedHyperlink"/>
    <w:basedOn w:val="DefaultParagraphFont"/>
    <w:uiPriority w:val="99"/>
    <w:semiHidden/>
    <w:unhideWhenUsed/>
    <w:rsid w:val="00E03C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6223"/>
    <w:rPr>
      <w:sz w:val="20"/>
      <w:szCs w:val="20"/>
    </w:rPr>
  </w:style>
  <w:style w:type="character" w:customStyle="1" w:styleId="FootnoteTextChar">
    <w:name w:val="Footnote Text Char"/>
    <w:basedOn w:val="DefaultParagraphFont"/>
    <w:link w:val="FootnoteText"/>
    <w:uiPriority w:val="99"/>
    <w:semiHidden/>
    <w:rsid w:val="00C26223"/>
  </w:style>
  <w:style w:type="paragraph" w:styleId="Header">
    <w:name w:val="header"/>
    <w:basedOn w:val="Normal"/>
    <w:link w:val="HeaderChar"/>
    <w:uiPriority w:val="99"/>
    <w:semiHidden/>
    <w:unhideWhenUsed/>
    <w:rsid w:val="00C26223"/>
    <w:pPr>
      <w:tabs>
        <w:tab w:val="center" w:pos="4680"/>
        <w:tab w:val="right" w:pos="9360"/>
      </w:tabs>
    </w:pPr>
  </w:style>
  <w:style w:type="character" w:customStyle="1" w:styleId="HeaderChar">
    <w:name w:val="Header Char"/>
    <w:link w:val="Header"/>
    <w:uiPriority w:val="99"/>
    <w:semiHidden/>
    <w:rsid w:val="00C26223"/>
    <w:rPr>
      <w:sz w:val="22"/>
      <w:szCs w:val="22"/>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Footnote symbol"/>
    <w:qFormat/>
    <w:rsid w:val="00C26223"/>
    <w:rPr>
      <w:vertAlign w:val="superscript"/>
    </w:rPr>
  </w:style>
  <w:style w:type="character" w:styleId="Hyperlink">
    <w:name w:val="Hyperlink"/>
    <w:uiPriority w:val="99"/>
    <w:unhideWhenUsed/>
    <w:rsid w:val="00C26223"/>
    <w:rPr>
      <w:color w:val="0000FF"/>
      <w:u w:val="single"/>
    </w:rPr>
  </w:style>
  <w:style w:type="paragraph" w:styleId="BalloonText">
    <w:name w:val="Balloon Text"/>
    <w:basedOn w:val="Normal"/>
    <w:link w:val="BalloonTextChar"/>
    <w:uiPriority w:val="99"/>
    <w:semiHidden/>
    <w:unhideWhenUsed/>
    <w:rsid w:val="003017D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017D8"/>
    <w:rPr>
      <w:rFonts w:ascii="Lucida Grande" w:hAnsi="Lucida Grande" w:cs="Lucida Grande"/>
      <w:sz w:val="18"/>
      <w:szCs w:val="18"/>
      <w:lang w:val="en-US"/>
    </w:rPr>
  </w:style>
  <w:style w:type="character" w:styleId="CommentReference">
    <w:name w:val="annotation reference"/>
    <w:uiPriority w:val="99"/>
    <w:semiHidden/>
    <w:unhideWhenUsed/>
    <w:rsid w:val="003017D8"/>
    <w:rPr>
      <w:sz w:val="18"/>
      <w:szCs w:val="18"/>
    </w:rPr>
  </w:style>
  <w:style w:type="paragraph" w:styleId="CommentText">
    <w:name w:val="annotation text"/>
    <w:basedOn w:val="Normal"/>
    <w:link w:val="CommentTextChar"/>
    <w:uiPriority w:val="99"/>
    <w:semiHidden/>
    <w:unhideWhenUsed/>
    <w:rsid w:val="003017D8"/>
    <w:rPr>
      <w:sz w:val="24"/>
      <w:szCs w:val="24"/>
    </w:rPr>
  </w:style>
  <w:style w:type="character" w:customStyle="1" w:styleId="CommentTextChar">
    <w:name w:val="Comment Text Char"/>
    <w:link w:val="CommentText"/>
    <w:uiPriority w:val="99"/>
    <w:semiHidden/>
    <w:rsid w:val="003017D8"/>
    <w:rPr>
      <w:sz w:val="24"/>
      <w:szCs w:val="24"/>
      <w:lang w:val="en-US"/>
    </w:rPr>
  </w:style>
  <w:style w:type="paragraph" w:styleId="CommentSubject">
    <w:name w:val="annotation subject"/>
    <w:basedOn w:val="CommentText"/>
    <w:next w:val="CommentText"/>
    <w:link w:val="CommentSubjectChar"/>
    <w:uiPriority w:val="99"/>
    <w:semiHidden/>
    <w:unhideWhenUsed/>
    <w:rsid w:val="003017D8"/>
    <w:rPr>
      <w:b/>
      <w:bCs/>
      <w:sz w:val="20"/>
      <w:szCs w:val="20"/>
    </w:rPr>
  </w:style>
  <w:style w:type="character" w:customStyle="1" w:styleId="CommentSubjectChar">
    <w:name w:val="Comment Subject Char"/>
    <w:link w:val="CommentSubject"/>
    <w:uiPriority w:val="99"/>
    <w:semiHidden/>
    <w:rsid w:val="003017D8"/>
    <w:rPr>
      <w:b/>
      <w:bCs/>
      <w:sz w:val="24"/>
      <w:szCs w:val="24"/>
      <w:lang w:val="en-US"/>
    </w:rPr>
  </w:style>
  <w:style w:type="character" w:styleId="FollowedHyperlink">
    <w:name w:val="FollowedHyperlink"/>
    <w:basedOn w:val="DefaultParagraphFont"/>
    <w:uiPriority w:val="99"/>
    <w:semiHidden/>
    <w:unhideWhenUsed/>
    <w:rsid w:val="00E03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dh.org/medidas/2005.sp.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1370</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8890</CharactersWithSpaces>
  <SharedDoc>false</SharedDoc>
  <HLinks>
    <vt:vector size="18" baseType="variant">
      <vt:variant>
        <vt:i4>7602236</vt:i4>
      </vt:variant>
      <vt:variant>
        <vt:i4>6</vt:i4>
      </vt:variant>
      <vt:variant>
        <vt:i4>0</vt:i4>
      </vt:variant>
      <vt:variant>
        <vt:i4>5</vt:i4>
      </vt:variant>
      <vt:variant>
        <vt:lpwstr>http://www.oas.org/es/cidh/decisiones/pdf/2017/18-17MC21-05-CO.pdf</vt:lpwstr>
      </vt:variant>
      <vt:variant>
        <vt:lpwstr/>
      </vt:variant>
      <vt:variant>
        <vt:i4>6094927</vt:i4>
      </vt:variant>
      <vt:variant>
        <vt:i4>3</vt:i4>
      </vt:variant>
      <vt:variant>
        <vt:i4>0</vt:i4>
      </vt:variant>
      <vt:variant>
        <vt:i4>5</vt:i4>
      </vt:variant>
      <vt:variant>
        <vt:lpwstr>http://www.oas.org/es/cidh/decisiones/pdf/MC301-13Resolucion 4-13esp.pdf</vt:lpwstr>
      </vt:variant>
      <vt:variant>
        <vt:lpwstr/>
      </vt:variant>
      <vt:variant>
        <vt:i4>3211379</vt:i4>
      </vt:variant>
      <vt:variant>
        <vt:i4>0</vt:i4>
      </vt:variant>
      <vt:variant>
        <vt:i4>0</vt:i4>
      </vt:variant>
      <vt:variant>
        <vt:i4>5</vt:i4>
      </vt:variant>
      <vt:variant>
        <vt:lpwstr>http://www.cidh.org/medidas/2005.sp.htm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Fontana, Maria Eva</cp:lastModifiedBy>
  <cp:revision>4</cp:revision>
  <cp:lastPrinted>2018-06-05T12:58:00Z</cp:lastPrinted>
  <dcterms:created xsi:type="dcterms:W3CDTF">2018-06-04T23:31:00Z</dcterms:created>
  <dcterms:modified xsi:type="dcterms:W3CDTF">2018-06-05T12:58:00Z</dcterms:modified>
</cp:coreProperties>
</file>