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ACB" w:rsidRPr="00922E45" w:rsidRDefault="00B62ACB" w:rsidP="0055779D">
      <w:pPr>
        <w:tabs>
          <w:tab w:val="left" w:pos="1080"/>
        </w:tabs>
        <w:spacing w:after="0" w:line="240" w:lineRule="auto"/>
        <w:jc w:val="center"/>
        <w:rPr>
          <w:rFonts w:ascii="Cambria" w:hAnsi="Cambria"/>
          <w:b/>
          <w:bCs/>
          <w:color w:val="000000"/>
          <w:sz w:val="21"/>
          <w:szCs w:val="21"/>
          <w:lang w:val="es-AR"/>
        </w:rPr>
      </w:pPr>
      <w:r w:rsidRPr="00922E45">
        <w:rPr>
          <w:rFonts w:ascii="Cambria" w:hAnsi="Cambria"/>
          <w:b/>
          <w:bCs/>
          <w:color w:val="000000"/>
          <w:sz w:val="21"/>
          <w:szCs w:val="21"/>
          <w:lang w:val="es-AR"/>
        </w:rPr>
        <w:t>COMISIÓN INTERAMERICANA DE DERECHOS HUMANOS</w:t>
      </w:r>
    </w:p>
    <w:p w:rsidR="00B62ACB" w:rsidRPr="00922E45" w:rsidRDefault="00B62ACB" w:rsidP="0055779D">
      <w:pPr>
        <w:tabs>
          <w:tab w:val="left" w:pos="1080"/>
        </w:tabs>
        <w:spacing w:after="0" w:line="240" w:lineRule="auto"/>
        <w:jc w:val="center"/>
        <w:rPr>
          <w:rFonts w:ascii="Cambria" w:hAnsi="Cambria"/>
          <w:b/>
          <w:bCs/>
          <w:color w:val="000000"/>
          <w:sz w:val="21"/>
          <w:szCs w:val="21"/>
          <w:lang w:val="es-AR"/>
        </w:rPr>
      </w:pPr>
      <w:r w:rsidRPr="00922E45">
        <w:rPr>
          <w:rFonts w:ascii="Cambria" w:hAnsi="Cambria"/>
          <w:b/>
          <w:bCs/>
          <w:color w:val="000000"/>
          <w:sz w:val="21"/>
          <w:szCs w:val="21"/>
          <w:lang w:val="es-AR"/>
        </w:rPr>
        <w:t xml:space="preserve">RESOLUCIÓN </w:t>
      </w:r>
      <w:r w:rsidR="00C95B67">
        <w:rPr>
          <w:rFonts w:ascii="Cambria" w:hAnsi="Cambria"/>
          <w:b/>
          <w:bCs/>
          <w:color w:val="000000"/>
          <w:sz w:val="21"/>
          <w:szCs w:val="21"/>
          <w:lang w:val="es-AR"/>
        </w:rPr>
        <w:t>12</w:t>
      </w:r>
      <w:r w:rsidR="00D4123B" w:rsidRPr="00922E45">
        <w:rPr>
          <w:rFonts w:ascii="Cambria" w:hAnsi="Cambria"/>
          <w:b/>
          <w:bCs/>
          <w:color w:val="000000"/>
          <w:sz w:val="21"/>
          <w:szCs w:val="21"/>
          <w:lang w:val="es-AR"/>
        </w:rPr>
        <w:t>/</w:t>
      </w:r>
      <w:r w:rsidR="00E90203" w:rsidRPr="00922E45">
        <w:rPr>
          <w:rFonts w:ascii="Cambria" w:hAnsi="Cambria"/>
          <w:b/>
          <w:bCs/>
          <w:color w:val="000000"/>
          <w:sz w:val="21"/>
          <w:szCs w:val="21"/>
          <w:lang w:val="es-AR"/>
        </w:rPr>
        <w:t>201</w:t>
      </w:r>
      <w:r w:rsidR="00250839" w:rsidRPr="00922E45">
        <w:rPr>
          <w:rFonts w:ascii="Cambria" w:hAnsi="Cambria"/>
          <w:b/>
          <w:bCs/>
          <w:color w:val="000000"/>
          <w:sz w:val="21"/>
          <w:szCs w:val="21"/>
          <w:lang w:val="es-AR"/>
        </w:rPr>
        <w:t>8</w:t>
      </w:r>
    </w:p>
    <w:p w:rsidR="00724742" w:rsidRPr="00922E45" w:rsidRDefault="00724742" w:rsidP="0055779D">
      <w:pPr>
        <w:tabs>
          <w:tab w:val="left" w:pos="1080"/>
        </w:tabs>
        <w:spacing w:after="0" w:line="240" w:lineRule="auto"/>
        <w:jc w:val="center"/>
        <w:rPr>
          <w:rFonts w:ascii="Cambria" w:hAnsi="Cambria"/>
          <w:color w:val="000000"/>
          <w:sz w:val="21"/>
          <w:szCs w:val="21"/>
          <w:lang w:val="es-AR"/>
        </w:rPr>
      </w:pPr>
    </w:p>
    <w:p w:rsidR="00B62ACB" w:rsidRPr="00922E45" w:rsidRDefault="00624080" w:rsidP="0055779D">
      <w:pPr>
        <w:tabs>
          <w:tab w:val="left" w:pos="1080"/>
          <w:tab w:val="left" w:pos="2970"/>
        </w:tabs>
        <w:spacing w:after="0" w:line="240" w:lineRule="auto"/>
        <w:jc w:val="center"/>
        <w:rPr>
          <w:rFonts w:ascii="Cambria" w:hAnsi="Cambria"/>
          <w:color w:val="000000"/>
          <w:sz w:val="21"/>
          <w:szCs w:val="21"/>
          <w:lang w:val="es-AR"/>
        </w:rPr>
      </w:pPr>
      <w:r w:rsidRPr="00922E45">
        <w:rPr>
          <w:rFonts w:ascii="Cambria" w:hAnsi="Cambria"/>
          <w:color w:val="000000"/>
          <w:sz w:val="21"/>
          <w:szCs w:val="21"/>
          <w:lang w:val="es-AR"/>
        </w:rPr>
        <w:t xml:space="preserve">Medida Cautelar </w:t>
      </w:r>
      <w:r w:rsidR="00B62ACB" w:rsidRPr="00922E45">
        <w:rPr>
          <w:rFonts w:ascii="Cambria" w:hAnsi="Cambria"/>
          <w:color w:val="000000"/>
          <w:sz w:val="21"/>
          <w:szCs w:val="21"/>
          <w:lang w:val="es-AR"/>
        </w:rPr>
        <w:t xml:space="preserve">No. </w:t>
      </w:r>
      <w:r w:rsidR="00250839" w:rsidRPr="00922E45">
        <w:rPr>
          <w:rFonts w:ascii="Cambria" w:hAnsi="Cambria"/>
          <w:color w:val="000000"/>
          <w:sz w:val="21"/>
          <w:szCs w:val="21"/>
          <w:lang w:val="es-AR"/>
        </w:rPr>
        <w:t>772-17</w:t>
      </w:r>
    </w:p>
    <w:p w:rsidR="00B62ACB" w:rsidRPr="00922E45" w:rsidRDefault="00080D75" w:rsidP="0055779D">
      <w:pPr>
        <w:tabs>
          <w:tab w:val="left" w:pos="1080"/>
        </w:tabs>
        <w:spacing w:after="0" w:line="240" w:lineRule="auto"/>
        <w:jc w:val="center"/>
        <w:rPr>
          <w:rFonts w:ascii="Cambria" w:hAnsi="Cambria"/>
          <w:color w:val="000000"/>
          <w:sz w:val="26"/>
          <w:szCs w:val="26"/>
          <w:lang w:val="es-AR"/>
        </w:rPr>
      </w:pPr>
      <w:r w:rsidRPr="00922E45">
        <w:rPr>
          <w:rFonts w:ascii="Cambria" w:hAnsi="Cambria"/>
          <w:color w:val="000000"/>
          <w:sz w:val="26"/>
          <w:szCs w:val="26"/>
          <w:lang w:val="es-AR"/>
        </w:rPr>
        <w:t>Pobladores consumidores de</w:t>
      </w:r>
      <w:r w:rsidR="003A750A" w:rsidRPr="00922E45">
        <w:rPr>
          <w:rFonts w:ascii="Cambria" w:hAnsi="Cambria"/>
          <w:color w:val="000000"/>
          <w:sz w:val="26"/>
          <w:szCs w:val="26"/>
          <w:lang w:val="es-AR"/>
        </w:rPr>
        <w:t xml:space="preserve"> agua de</w:t>
      </w:r>
      <w:r w:rsidRPr="00922E45">
        <w:rPr>
          <w:rFonts w:ascii="Cambria" w:hAnsi="Cambria"/>
          <w:color w:val="000000"/>
          <w:sz w:val="26"/>
          <w:szCs w:val="26"/>
          <w:lang w:val="es-AR"/>
        </w:rPr>
        <w:t xml:space="preserve">l río </w:t>
      </w:r>
      <w:proofErr w:type="spellStart"/>
      <w:r w:rsidRPr="00922E45">
        <w:rPr>
          <w:rFonts w:ascii="Cambria" w:hAnsi="Cambria"/>
          <w:color w:val="000000"/>
          <w:sz w:val="26"/>
          <w:szCs w:val="26"/>
          <w:lang w:val="es-AR"/>
        </w:rPr>
        <w:t>Mezapa</w:t>
      </w:r>
      <w:proofErr w:type="spellEnd"/>
      <w:r w:rsidR="0035015D" w:rsidRPr="00922E45">
        <w:rPr>
          <w:rFonts w:ascii="Cambria" w:hAnsi="Cambria"/>
          <w:color w:val="000000"/>
          <w:sz w:val="26"/>
          <w:szCs w:val="26"/>
          <w:lang w:val="es-AR"/>
        </w:rPr>
        <w:t xml:space="preserve"> </w:t>
      </w:r>
      <w:r w:rsidR="00B62ACB" w:rsidRPr="00922E45">
        <w:rPr>
          <w:rFonts w:ascii="Cambria" w:hAnsi="Cambria"/>
          <w:color w:val="000000"/>
          <w:sz w:val="26"/>
          <w:szCs w:val="26"/>
          <w:lang w:val="es-AR"/>
        </w:rPr>
        <w:t xml:space="preserve">respecto de </w:t>
      </w:r>
      <w:r w:rsidR="00250839" w:rsidRPr="00922E45">
        <w:rPr>
          <w:rFonts w:ascii="Cambria" w:hAnsi="Cambria"/>
          <w:color w:val="000000"/>
          <w:sz w:val="26"/>
          <w:szCs w:val="26"/>
          <w:lang w:val="es-AR"/>
        </w:rPr>
        <w:t>Honduras</w:t>
      </w:r>
    </w:p>
    <w:p w:rsidR="00B62ACB" w:rsidRPr="00922E45" w:rsidRDefault="00C95B67" w:rsidP="0055779D">
      <w:pPr>
        <w:tabs>
          <w:tab w:val="left" w:pos="1080"/>
        </w:tabs>
        <w:spacing w:after="0" w:line="240" w:lineRule="auto"/>
        <w:jc w:val="center"/>
        <w:rPr>
          <w:rFonts w:ascii="Cambria" w:hAnsi="Cambria"/>
          <w:color w:val="000000"/>
          <w:sz w:val="21"/>
          <w:szCs w:val="21"/>
          <w:lang w:val="es-AR"/>
        </w:rPr>
      </w:pPr>
      <w:r>
        <w:rPr>
          <w:rFonts w:ascii="Cambria" w:hAnsi="Cambria"/>
          <w:color w:val="000000"/>
          <w:sz w:val="21"/>
          <w:szCs w:val="21"/>
          <w:lang w:val="es-AR"/>
        </w:rPr>
        <w:t>24</w:t>
      </w:r>
      <w:r w:rsidR="005E68B6" w:rsidRPr="00922E45">
        <w:rPr>
          <w:rFonts w:ascii="Cambria" w:hAnsi="Cambria"/>
          <w:color w:val="000000"/>
          <w:sz w:val="21"/>
          <w:szCs w:val="21"/>
          <w:lang w:val="es-AR"/>
        </w:rPr>
        <w:t xml:space="preserve"> </w:t>
      </w:r>
      <w:r w:rsidR="00B62ACB" w:rsidRPr="00922E45">
        <w:rPr>
          <w:rFonts w:ascii="Cambria" w:hAnsi="Cambria"/>
          <w:color w:val="000000"/>
          <w:sz w:val="21"/>
          <w:szCs w:val="21"/>
          <w:lang w:val="es-AR"/>
        </w:rPr>
        <w:t xml:space="preserve">de </w:t>
      </w:r>
      <w:r>
        <w:rPr>
          <w:rFonts w:ascii="Cambria" w:hAnsi="Cambria"/>
          <w:color w:val="000000"/>
          <w:sz w:val="21"/>
          <w:szCs w:val="21"/>
          <w:lang w:val="es-AR"/>
        </w:rPr>
        <w:t xml:space="preserve">febrero </w:t>
      </w:r>
      <w:r w:rsidR="00B62ACB" w:rsidRPr="00922E45">
        <w:rPr>
          <w:rFonts w:ascii="Cambria" w:hAnsi="Cambria"/>
          <w:color w:val="000000"/>
          <w:sz w:val="21"/>
          <w:szCs w:val="21"/>
          <w:lang w:val="es-AR"/>
        </w:rPr>
        <w:t>de 201</w:t>
      </w:r>
      <w:r w:rsidR="00250839" w:rsidRPr="00922E45">
        <w:rPr>
          <w:rFonts w:ascii="Cambria" w:hAnsi="Cambria"/>
          <w:color w:val="000000"/>
          <w:sz w:val="21"/>
          <w:szCs w:val="21"/>
          <w:lang w:val="es-AR"/>
        </w:rPr>
        <w:t>8</w:t>
      </w:r>
    </w:p>
    <w:p w:rsidR="00B62ACB" w:rsidRPr="00922E45" w:rsidRDefault="00B62ACB" w:rsidP="0055779D">
      <w:pPr>
        <w:tabs>
          <w:tab w:val="left" w:pos="1080"/>
        </w:tabs>
        <w:spacing w:after="0" w:line="240" w:lineRule="auto"/>
        <w:jc w:val="both"/>
        <w:rPr>
          <w:rFonts w:ascii="Cambria" w:hAnsi="Cambria"/>
          <w:color w:val="000000"/>
          <w:sz w:val="21"/>
          <w:szCs w:val="21"/>
          <w:lang w:val="es-AR"/>
        </w:rPr>
      </w:pPr>
    </w:p>
    <w:p w:rsidR="00B62ACB" w:rsidRPr="00922E45" w:rsidRDefault="00B62ACB" w:rsidP="0055779D">
      <w:pPr>
        <w:numPr>
          <w:ilvl w:val="0"/>
          <w:numId w:val="19"/>
        </w:numPr>
        <w:tabs>
          <w:tab w:val="left" w:pos="1080"/>
        </w:tabs>
        <w:spacing w:after="0" w:line="240" w:lineRule="auto"/>
        <w:ind w:left="810" w:firstLine="0"/>
        <w:jc w:val="both"/>
        <w:rPr>
          <w:rFonts w:ascii="Cambria" w:hAnsi="Cambria"/>
          <w:b/>
          <w:bCs/>
          <w:color w:val="000000"/>
          <w:sz w:val="21"/>
          <w:szCs w:val="21"/>
          <w:lang w:val="es-AR"/>
        </w:rPr>
      </w:pPr>
      <w:r w:rsidRPr="00922E45">
        <w:rPr>
          <w:rFonts w:ascii="Cambria" w:hAnsi="Cambria"/>
          <w:b/>
          <w:bCs/>
          <w:color w:val="000000"/>
          <w:sz w:val="21"/>
          <w:szCs w:val="21"/>
          <w:lang w:val="es-AR"/>
        </w:rPr>
        <w:t>INTRODUCCIÓN</w:t>
      </w:r>
    </w:p>
    <w:p w:rsidR="00345DB5" w:rsidRPr="00922E45" w:rsidRDefault="00345DB5" w:rsidP="0055779D">
      <w:pPr>
        <w:tabs>
          <w:tab w:val="left" w:pos="1080"/>
        </w:tabs>
        <w:spacing w:after="0" w:line="240" w:lineRule="auto"/>
        <w:jc w:val="both"/>
        <w:rPr>
          <w:rFonts w:ascii="Cambria" w:hAnsi="Cambria"/>
          <w:b/>
          <w:bCs/>
          <w:color w:val="000000"/>
          <w:sz w:val="21"/>
          <w:szCs w:val="21"/>
          <w:lang w:val="es-AR"/>
        </w:rPr>
      </w:pPr>
    </w:p>
    <w:p w:rsidR="00724742" w:rsidRPr="00922E45" w:rsidRDefault="00B62ACB" w:rsidP="0055779D">
      <w:pPr>
        <w:numPr>
          <w:ilvl w:val="0"/>
          <w:numId w:val="34"/>
        </w:numPr>
        <w:tabs>
          <w:tab w:val="left" w:pos="90"/>
          <w:tab w:val="left" w:pos="180"/>
        </w:tabs>
        <w:spacing w:after="0" w:line="240" w:lineRule="auto"/>
        <w:ind w:left="0" w:firstLine="360"/>
        <w:jc w:val="both"/>
        <w:rPr>
          <w:rFonts w:ascii="Cambria" w:hAnsi="Cambria"/>
          <w:color w:val="000000"/>
          <w:sz w:val="21"/>
          <w:szCs w:val="21"/>
          <w:lang w:val="es-AR"/>
        </w:rPr>
      </w:pPr>
      <w:r w:rsidRPr="00922E45">
        <w:rPr>
          <w:rFonts w:ascii="Cambria" w:hAnsi="Cambria"/>
          <w:color w:val="000000"/>
          <w:sz w:val="21"/>
          <w:szCs w:val="21"/>
          <w:lang w:val="es-AR"/>
        </w:rPr>
        <w:t>El</w:t>
      </w:r>
      <w:r w:rsidR="008720CB" w:rsidRPr="00922E45">
        <w:rPr>
          <w:rFonts w:ascii="Cambria" w:hAnsi="Cambria"/>
          <w:color w:val="000000"/>
          <w:sz w:val="21"/>
          <w:szCs w:val="21"/>
          <w:lang w:val="es-AR"/>
        </w:rPr>
        <w:t xml:space="preserve"> 12 de octubre de </w:t>
      </w:r>
      <w:r w:rsidRPr="00922E45">
        <w:rPr>
          <w:rFonts w:ascii="Cambria" w:hAnsi="Cambria"/>
          <w:color w:val="000000"/>
          <w:sz w:val="21"/>
          <w:szCs w:val="21"/>
          <w:lang w:val="es-AR"/>
        </w:rPr>
        <w:t>201</w:t>
      </w:r>
      <w:r w:rsidR="00352AF5" w:rsidRPr="00922E45">
        <w:rPr>
          <w:rFonts w:ascii="Cambria" w:hAnsi="Cambria"/>
          <w:color w:val="000000"/>
          <w:sz w:val="21"/>
          <w:szCs w:val="21"/>
          <w:lang w:val="es-AR"/>
        </w:rPr>
        <w:t>7</w:t>
      </w:r>
      <w:r w:rsidRPr="00922E45">
        <w:rPr>
          <w:rFonts w:ascii="Cambria" w:hAnsi="Cambria"/>
          <w:color w:val="000000"/>
          <w:sz w:val="21"/>
          <w:szCs w:val="21"/>
          <w:lang w:val="es-AR"/>
        </w:rPr>
        <w:t xml:space="preserve">, la Comisión Interamericana de Derechos Humanos (en adelante “la Comisión Interamericana”, “la Comisión” o “la CIDH”) recibió una solicitud de  medidas cautelares presentada por </w:t>
      </w:r>
      <w:r w:rsidR="008720CB" w:rsidRPr="00922E45">
        <w:rPr>
          <w:rFonts w:ascii="Cambria" w:hAnsi="Cambria"/>
          <w:color w:val="000000"/>
          <w:sz w:val="21"/>
          <w:szCs w:val="21"/>
          <w:lang w:val="es-AR"/>
        </w:rPr>
        <w:t xml:space="preserve">El Movimiento Amplio por la Dignidad y la Justicia (MADJ) y </w:t>
      </w:r>
      <w:r w:rsidRPr="00922E45">
        <w:rPr>
          <w:rFonts w:ascii="Cambria" w:hAnsi="Cambria"/>
          <w:color w:val="000000"/>
          <w:sz w:val="21"/>
          <w:szCs w:val="21"/>
          <w:lang w:val="es-AR"/>
        </w:rPr>
        <w:t xml:space="preserve"> </w:t>
      </w:r>
      <w:r w:rsidR="008720CB" w:rsidRPr="00922E45">
        <w:rPr>
          <w:rFonts w:ascii="Cambria" w:hAnsi="Cambria"/>
          <w:color w:val="000000"/>
          <w:sz w:val="21"/>
          <w:szCs w:val="21"/>
          <w:lang w:val="es-AR"/>
        </w:rPr>
        <w:t xml:space="preserve">el Centro por la Justicia y el Derecho Internacional (CEJIL) </w:t>
      </w:r>
      <w:r w:rsidRPr="00922E45">
        <w:rPr>
          <w:rFonts w:ascii="Cambria" w:hAnsi="Cambria"/>
          <w:color w:val="000000"/>
          <w:sz w:val="21"/>
          <w:szCs w:val="21"/>
          <w:lang w:val="es-AR"/>
        </w:rPr>
        <w:t>(en adelante “l</w:t>
      </w:r>
      <w:r w:rsidR="008720CB" w:rsidRPr="00922E45">
        <w:rPr>
          <w:rFonts w:ascii="Cambria" w:hAnsi="Cambria"/>
          <w:color w:val="000000"/>
          <w:sz w:val="21"/>
          <w:szCs w:val="21"/>
          <w:lang w:val="es-AR"/>
        </w:rPr>
        <w:t>os</w:t>
      </w:r>
      <w:r w:rsidRPr="00922E45">
        <w:rPr>
          <w:rFonts w:ascii="Cambria" w:hAnsi="Cambria"/>
          <w:color w:val="000000"/>
          <w:sz w:val="21"/>
          <w:szCs w:val="21"/>
          <w:lang w:val="es-AR"/>
        </w:rPr>
        <w:t xml:space="preserve"> </w:t>
      </w:r>
      <w:r w:rsidR="008720CB" w:rsidRPr="00922E45">
        <w:rPr>
          <w:rFonts w:ascii="Cambria" w:hAnsi="Cambria"/>
          <w:color w:val="000000"/>
          <w:sz w:val="21"/>
          <w:szCs w:val="21"/>
          <w:lang w:val="es-AR"/>
        </w:rPr>
        <w:t>solicitantes</w:t>
      </w:r>
      <w:r w:rsidRPr="00922E45">
        <w:rPr>
          <w:rFonts w:ascii="Cambria" w:hAnsi="Cambria"/>
          <w:color w:val="000000"/>
          <w:sz w:val="21"/>
          <w:szCs w:val="21"/>
          <w:lang w:val="es-AR"/>
        </w:rPr>
        <w:t xml:space="preserve">”) </w:t>
      </w:r>
      <w:r w:rsidR="00352AF5" w:rsidRPr="00922E45">
        <w:rPr>
          <w:rFonts w:ascii="Cambria" w:hAnsi="Cambria"/>
          <w:color w:val="000000"/>
          <w:sz w:val="21"/>
          <w:szCs w:val="21"/>
          <w:lang w:val="es-AR"/>
        </w:rPr>
        <w:t xml:space="preserve">instando a </w:t>
      </w:r>
      <w:r w:rsidRPr="00922E45">
        <w:rPr>
          <w:rFonts w:ascii="Cambria" w:hAnsi="Cambria"/>
          <w:color w:val="000000"/>
          <w:sz w:val="21"/>
          <w:szCs w:val="21"/>
          <w:lang w:val="es-AR"/>
        </w:rPr>
        <w:t xml:space="preserve">la CIDH </w:t>
      </w:r>
      <w:r w:rsidR="00352AF5" w:rsidRPr="00922E45">
        <w:rPr>
          <w:rFonts w:ascii="Cambria" w:hAnsi="Cambria"/>
          <w:color w:val="000000"/>
          <w:sz w:val="21"/>
          <w:szCs w:val="21"/>
          <w:lang w:val="es-AR"/>
        </w:rPr>
        <w:t xml:space="preserve">que </w:t>
      </w:r>
      <w:r w:rsidRPr="00922E45">
        <w:rPr>
          <w:rFonts w:ascii="Cambria" w:hAnsi="Cambria"/>
          <w:color w:val="000000"/>
          <w:sz w:val="21"/>
          <w:szCs w:val="21"/>
          <w:lang w:val="es-AR"/>
        </w:rPr>
        <w:t xml:space="preserve">requiera al Estado de </w:t>
      </w:r>
      <w:r w:rsidR="008720CB" w:rsidRPr="00922E45">
        <w:rPr>
          <w:rFonts w:ascii="Cambria" w:hAnsi="Cambria"/>
          <w:color w:val="000000"/>
          <w:sz w:val="21"/>
          <w:szCs w:val="21"/>
          <w:lang w:val="es-AR"/>
        </w:rPr>
        <w:t>Honduras</w:t>
      </w:r>
      <w:r w:rsidRPr="00922E45">
        <w:rPr>
          <w:rFonts w:ascii="Cambria" w:hAnsi="Cambria"/>
          <w:color w:val="000000"/>
          <w:sz w:val="21"/>
          <w:szCs w:val="21"/>
          <w:lang w:val="es-AR"/>
        </w:rPr>
        <w:t xml:space="preserve"> (en adelante “</w:t>
      </w:r>
      <w:r w:rsidR="008720CB" w:rsidRPr="00922E45">
        <w:rPr>
          <w:rFonts w:ascii="Cambria" w:hAnsi="Cambria"/>
          <w:color w:val="000000"/>
          <w:sz w:val="21"/>
          <w:szCs w:val="21"/>
          <w:lang w:val="es-AR"/>
        </w:rPr>
        <w:t>Honduras</w:t>
      </w:r>
      <w:r w:rsidRPr="00922E45">
        <w:rPr>
          <w:rFonts w:ascii="Cambria" w:hAnsi="Cambria"/>
          <w:color w:val="000000"/>
          <w:sz w:val="21"/>
          <w:szCs w:val="21"/>
          <w:lang w:val="es-AR"/>
        </w:rPr>
        <w:t>” o “el Estado”) que protej</w:t>
      </w:r>
      <w:r w:rsidR="008720CB" w:rsidRPr="00922E45">
        <w:rPr>
          <w:rFonts w:ascii="Cambria" w:hAnsi="Cambria"/>
          <w:color w:val="000000"/>
          <w:sz w:val="21"/>
          <w:szCs w:val="21"/>
          <w:lang w:val="es-AR"/>
        </w:rPr>
        <w:t xml:space="preserve">a </w:t>
      </w:r>
      <w:r w:rsidR="00724742" w:rsidRPr="00922E45">
        <w:rPr>
          <w:rFonts w:ascii="Cambria" w:hAnsi="Cambria"/>
          <w:color w:val="000000"/>
          <w:sz w:val="21"/>
          <w:szCs w:val="21"/>
          <w:lang w:val="es-AR"/>
        </w:rPr>
        <w:t xml:space="preserve">los derechos de </w:t>
      </w:r>
      <w:r w:rsidR="008720CB" w:rsidRPr="00922E45">
        <w:rPr>
          <w:rFonts w:ascii="Cambria" w:eastAsia="Times New Roman" w:hAnsi="Cambria"/>
          <w:color w:val="000000"/>
          <w:sz w:val="21"/>
          <w:szCs w:val="21"/>
          <w:lang w:val="es-CO"/>
        </w:rPr>
        <w:t xml:space="preserve">las </w:t>
      </w:r>
      <w:r w:rsidR="00837FFE" w:rsidRPr="00922E45">
        <w:rPr>
          <w:rFonts w:ascii="Cambria" w:eastAsia="Times New Roman" w:hAnsi="Cambria"/>
          <w:color w:val="000000"/>
          <w:sz w:val="21"/>
          <w:szCs w:val="21"/>
          <w:lang w:val="es-CO"/>
        </w:rPr>
        <w:t xml:space="preserve">personas que tienen como única fuente de agua potable la que proviene del </w:t>
      </w:r>
      <w:r w:rsidR="0035015D" w:rsidRPr="00922E45">
        <w:rPr>
          <w:rFonts w:ascii="Cambria" w:eastAsia="Times New Roman" w:hAnsi="Cambria"/>
          <w:color w:val="000000"/>
          <w:sz w:val="21"/>
          <w:szCs w:val="21"/>
          <w:lang w:val="es-CO"/>
        </w:rPr>
        <w:t>río</w:t>
      </w:r>
      <w:r w:rsidR="00837FFE" w:rsidRPr="00922E45">
        <w:rPr>
          <w:rFonts w:ascii="Cambria" w:eastAsia="Times New Roman" w:hAnsi="Cambria"/>
          <w:color w:val="000000"/>
          <w:sz w:val="21"/>
          <w:szCs w:val="21"/>
          <w:lang w:val="es-CO"/>
        </w:rPr>
        <w:t xml:space="preserve"> </w:t>
      </w:r>
      <w:proofErr w:type="spellStart"/>
      <w:r w:rsidR="00837FFE" w:rsidRPr="00922E45">
        <w:rPr>
          <w:rFonts w:ascii="Cambria" w:eastAsia="Times New Roman" w:hAnsi="Cambria"/>
          <w:color w:val="000000"/>
          <w:sz w:val="21"/>
          <w:szCs w:val="21"/>
          <w:lang w:val="es-CO"/>
        </w:rPr>
        <w:t>Mezapa</w:t>
      </w:r>
      <w:proofErr w:type="spellEnd"/>
      <w:r w:rsidR="00837FFE" w:rsidRPr="00922E45">
        <w:rPr>
          <w:rFonts w:ascii="Cambria" w:eastAsia="Times New Roman" w:hAnsi="Cambria"/>
          <w:color w:val="000000"/>
          <w:sz w:val="21"/>
          <w:szCs w:val="21"/>
          <w:vertAlign w:val="superscript"/>
          <w:lang w:val="es-CO"/>
        </w:rPr>
        <w:footnoteReference w:id="1"/>
      </w:r>
      <w:r w:rsidR="00A77BA5" w:rsidRPr="00922E45">
        <w:rPr>
          <w:rFonts w:ascii="Cambria" w:eastAsia="Times New Roman" w:hAnsi="Cambria"/>
          <w:color w:val="000000"/>
          <w:sz w:val="21"/>
          <w:szCs w:val="21"/>
          <w:lang w:val="es-CO"/>
        </w:rPr>
        <w:t>,</w:t>
      </w:r>
      <w:r w:rsidR="00837FFE" w:rsidRPr="00922E45">
        <w:rPr>
          <w:rFonts w:ascii="Cambria" w:eastAsia="Times New Roman" w:hAnsi="Cambria"/>
          <w:color w:val="000000"/>
          <w:sz w:val="21"/>
          <w:szCs w:val="21"/>
          <w:lang w:val="es-CO"/>
        </w:rPr>
        <w:t xml:space="preserve"> y las </w:t>
      </w:r>
      <w:r w:rsidR="008720CB" w:rsidRPr="00922E45">
        <w:rPr>
          <w:rFonts w:ascii="Cambria" w:eastAsia="Times New Roman" w:hAnsi="Cambria"/>
          <w:color w:val="000000"/>
          <w:sz w:val="21"/>
          <w:szCs w:val="21"/>
          <w:lang w:val="es-CO"/>
        </w:rPr>
        <w:t xml:space="preserve">personas que permanecen en </w:t>
      </w:r>
      <w:r w:rsidR="008F597B" w:rsidRPr="00922E45">
        <w:rPr>
          <w:rFonts w:ascii="Cambria" w:eastAsia="Times New Roman" w:hAnsi="Cambria"/>
          <w:color w:val="000000"/>
          <w:sz w:val="21"/>
          <w:szCs w:val="21"/>
          <w:lang w:val="es-CO"/>
        </w:rPr>
        <w:t xml:space="preserve">los </w:t>
      </w:r>
      <w:r w:rsidR="00724742" w:rsidRPr="00922E45">
        <w:rPr>
          <w:rFonts w:ascii="Cambria" w:eastAsia="Times New Roman" w:hAnsi="Cambria"/>
          <w:color w:val="000000"/>
          <w:sz w:val="21"/>
          <w:szCs w:val="21"/>
          <w:lang w:val="es-CO"/>
        </w:rPr>
        <w:t>“</w:t>
      </w:r>
      <w:r w:rsidR="008720CB" w:rsidRPr="00922E45">
        <w:rPr>
          <w:rFonts w:ascii="Cambria" w:eastAsia="Times New Roman" w:hAnsi="Cambria"/>
          <w:color w:val="000000"/>
          <w:sz w:val="21"/>
          <w:szCs w:val="21"/>
          <w:lang w:val="es-CO"/>
        </w:rPr>
        <w:t>Campamento</w:t>
      </w:r>
      <w:r w:rsidR="008F597B" w:rsidRPr="00922E45">
        <w:rPr>
          <w:rFonts w:ascii="Cambria" w:eastAsia="Times New Roman" w:hAnsi="Cambria"/>
          <w:color w:val="000000"/>
          <w:sz w:val="21"/>
          <w:szCs w:val="21"/>
          <w:lang w:val="es-CO"/>
        </w:rPr>
        <w:t>s</w:t>
      </w:r>
      <w:r w:rsidR="008720CB" w:rsidRPr="00922E45">
        <w:rPr>
          <w:rFonts w:ascii="Cambria" w:eastAsia="Times New Roman" w:hAnsi="Cambria"/>
          <w:color w:val="000000"/>
          <w:sz w:val="21"/>
          <w:szCs w:val="21"/>
          <w:lang w:val="es-CO"/>
        </w:rPr>
        <w:t xml:space="preserve"> Digno</w:t>
      </w:r>
      <w:r w:rsidR="008F597B" w:rsidRPr="00922E45">
        <w:rPr>
          <w:rFonts w:ascii="Cambria" w:eastAsia="Times New Roman" w:hAnsi="Cambria"/>
          <w:color w:val="000000"/>
          <w:sz w:val="21"/>
          <w:szCs w:val="21"/>
          <w:lang w:val="es-CO"/>
        </w:rPr>
        <w:t>s</w:t>
      </w:r>
      <w:r w:rsidR="008720CB" w:rsidRPr="00922E45">
        <w:rPr>
          <w:rFonts w:ascii="Cambria" w:eastAsia="Times New Roman" w:hAnsi="Cambria"/>
          <w:color w:val="000000"/>
          <w:sz w:val="21"/>
          <w:szCs w:val="21"/>
          <w:lang w:val="es-CO"/>
        </w:rPr>
        <w:t xml:space="preserve"> por los Ríos y por la Vida</w:t>
      </w:r>
      <w:r w:rsidR="00724742" w:rsidRPr="00922E45">
        <w:rPr>
          <w:rFonts w:ascii="Cambria" w:eastAsia="Times New Roman" w:hAnsi="Cambria"/>
          <w:color w:val="000000"/>
          <w:sz w:val="21"/>
          <w:szCs w:val="21"/>
          <w:lang w:val="es-CO"/>
        </w:rPr>
        <w:t>”</w:t>
      </w:r>
      <w:r w:rsidR="008720CB" w:rsidRPr="00922E45">
        <w:rPr>
          <w:rFonts w:ascii="Cambria" w:eastAsia="Times New Roman" w:hAnsi="Cambria"/>
          <w:color w:val="000000"/>
          <w:sz w:val="21"/>
          <w:szCs w:val="21"/>
          <w:vertAlign w:val="superscript"/>
          <w:lang w:val="es-CO"/>
        </w:rPr>
        <w:footnoteReference w:id="2"/>
      </w:r>
      <w:r w:rsidR="008D1F9F" w:rsidRPr="00922E45">
        <w:rPr>
          <w:rFonts w:ascii="Cambria" w:eastAsia="Times New Roman" w:hAnsi="Cambria"/>
          <w:color w:val="000000"/>
          <w:sz w:val="21"/>
          <w:szCs w:val="21"/>
          <w:lang w:val="es-CO"/>
        </w:rPr>
        <w:t xml:space="preserve"> </w:t>
      </w:r>
      <w:r w:rsidR="00940274" w:rsidRPr="00922E45">
        <w:rPr>
          <w:rFonts w:ascii="Cambria" w:eastAsia="Times New Roman" w:hAnsi="Cambria"/>
          <w:color w:val="000000"/>
          <w:sz w:val="21"/>
          <w:szCs w:val="21"/>
          <w:lang w:val="es-CO"/>
        </w:rPr>
        <w:t xml:space="preserve">(en adelante “Campamentos Dignos”) </w:t>
      </w:r>
      <w:r w:rsidR="008D1F9F" w:rsidRPr="00922E45">
        <w:rPr>
          <w:rFonts w:ascii="Cambria" w:eastAsia="Times New Roman" w:hAnsi="Cambria"/>
          <w:color w:val="000000"/>
          <w:sz w:val="21"/>
          <w:szCs w:val="21"/>
          <w:lang w:val="es-CO"/>
        </w:rPr>
        <w:t>ubicados en el Sector Pajuiles, municipio de Tela, departamento de Atlántida</w:t>
      </w:r>
      <w:r w:rsidR="006D0906" w:rsidRPr="00922E45">
        <w:rPr>
          <w:rFonts w:ascii="Cambria" w:eastAsia="Times New Roman" w:hAnsi="Cambria"/>
          <w:color w:val="000000"/>
          <w:sz w:val="21"/>
          <w:szCs w:val="21"/>
          <w:lang w:val="es-CO"/>
        </w:rPr>
        <w:t xml:space="preserve"> (en adelante “los propuestos beneficiarios”)</w:t>
      </w:r>
      <w:r w:rsidR="00837FFE" w:rsidRPr="00922E45">
        <w:rPr>
          <w:rFonts w:ascii="Cambria" w:eastAsia="Times New Roman" w:hAnsi="Cambria"/>
          <w:color w:val="000000"/>
          <w:sz w:val="21"/>
          <w:szCs w:val="21"/>
          <w:lang w:val="es-CO"/>
        </w:rPr>
        <w:t>.</w:t>
      </w:r>
      <w:r w:rsidR="008D1F9F" w:rsidRPr="00922E45">
        <w:rPr>
          <w:rFonts w:ascii="Cambria" w:eastAsia="Times New Roman" w:hAnsi="Cambria"/>
          <w:color w:val="000000"/>
          <w:sz w:val="21"/>
          <w:szCs w:val="21"/>
          <w:lang w:val="es-CO"/>
        </w:rPr>
        <w:t xml:space="preserve"> </w:t>
      </w:r>
      <w:r w:rsidR="00940274" w:rsidRPr="00922E45">
        <w:rPr>
          <w:rFonts w:ascii="Cambria" w:eastAsia="Times New Roman" w:hAnsi="Cambria"/>
          <w:color w:val="000000"/>
          <w:sz w:val="21"/>
          <w:szCs w:val="21"/>
          <w:lang w:val="es-CO"/>
        </w:rPr>
        <w:t>Según</w:t>
      </w:r>
      <w:r w:rsidR="008D1F9F" w:rsidRPr="00922E45">
        <w:rPr>
          <w:rFonts w:ascii="Cambria" w:eastAsia="Times New Roman" w:hAnsi="Cambria"/>
          <w:color w:val="000000"/>
          <w:sz w:val="21"/>
          <w:szCs w:val="21"/>
          <w:lang w:val="es-CO"/>
        </w:rPr>
        <w:t xml:space="preserve"> la solicitud, las personas que consumen el agua </w:t>
      </w:r>
      <w:r w:rsidR="00940274" w:rsidRPr="00922E45">
        <w:rPr>
          <w:rFonts w:ascii="Cambria" w:eastAsia="Times New Roman" w:hAnsi="Cambria"/>
          <w:color w:val="000000"/>
          <w:sz w:val="21"/>
          <w:szCs w:val="21"/>
          <w:lang w:val="es-CO"/>
        </w:rPr>
        <w:t xml:space="preserve">proveniente </w:t>
      </w:r>
      <w:r w:rsidR="008D1F9F" w:rsidRPr="00922E45">
        <w:rPr>
          <w:rFonts w:ascii="Cambria" w:eastAsia="Times New Roman" w:hAnsi="Cambria"/>
          <w:color w:val="000000"/>
          <w:sz w:val="21"/>
          <w:szCs w:val="21"/>
          <w:lang w:val="es-CO"/>
        </w:rPr>
        <w:t xml:space="preserve">del </w:t>
      </w:r>
      <w:r w:rsidR="00940274" w:rsidRPr="00922E45">
        <w:rPr>
          <w:rFonts w:ascii="Cambria" w:eastAsia="Times New Roman" w:hAnsi="Cambria"/>
          <w:color w:val="000000"/>
          <w:sz w:val="21"/>
          <w:szCs w:val="21"/>
          <w:lang w:val="es-CO"/>
        </w:rPr>
        <w:t>río</w:t>
      </w:r>
      <w:r w:rsidR="008D1F9F" w:rsidRPr="00922E45">
        <w:rPr>
          <w:rFonts w:ascii="Cambria" w:eastAsia="Times New Roman" w:hAnsi="Cambria"/>
          <w:color w:val="000000"/>
          <w:sz w:val="21"/>
          <w:szCs w:val="21"/>
          <w:lang w:val="es-CO"/>
        </w:rPr>
        <w:t xml:space="preserve"> </w:t>
      </w:r>
      <w:proofErr w:type="spellStart"/>
      <w:r w:rsidR="008D1F9F" w:rsidRPr="00922E45">
        <w:rPr>
          <w:rFonts w:ascii="Cambria" w:eastAsia="Times New Roman" w:hAnsi="Cambria"/>
          <w:color w:val="000000"/>
          <w:sz w:val="21"/>
          <w:szCs w:val="21"/>
          <w:lang w:val="es-CO"/>
        </w:rPr>
        <w:t>Mezapa</w:t>
      </w:r>
      <w:proofErr w:type="spellEnd"/>
      <w:r w:rsidR="008D1F9F" w:rsidRPr="00922E45">
        <w:rPr>
          <w:rFonts w:ascii="Cambria" w:eastAsia="Times New Roman" w:hAnsi="Cambria"/>
          <w:color w:val="000000"/>
          <w:sz w:val="21"/>
          <w:szCs w:val="21"/>
          <w:lang w:val="es-CO"/>
        </w:rPr>
        <w:t xml:space="preserve"> </w:t>
      </w:r>
      <w:r w:rsidR="00940274" w:rsidRPr="00922E45">
        <w:rPr>
          <w:rFonts w:ascii="Cambria" w:eastAsia="Times New Roman" w:hAnsi="Cambria"/>
          <w:color w:val="000000"/>
          <w:sz w:val="21"/>
          <w:szCs w:val="21"/>
          <w:lang w:val="es-CO"/>
        </w:rPr>
        <w:t>estarían</w:t>
      </w:r>
      <w:r w:rsidR="008D1F9F" w:rsidRPr="00922E45">
        <w:rPr>
          <w:rFonts w:ascii="Cambria" w:eastAsia="Times New Roman" w:hAnsi="Cambria"/>
          <w:color w:val="000000"/>
          <w:sz w:val="21"/>
          <w:szCs w:val="21"/>
          <w:lang w:val="es-CO"/>
        </w:rPr>
        <w:t xml:space="preserve"> en riesgo </w:t>
      </w:r>
      <w:r w:rsidR="00A77BA5" w:rsidRPr="00922E45">
        <w:rPr>
          <w:rFonts w:ascii="Cambria" w:eastAsia="Times New Roman" w:hAnsi="Cambria"/>
          <w:color w:val="000000"/>
          <w:sz w:val="21"/>
          <w:szCs w:val="21"/>
          <w:lang w:val="es-CO"/>
        </w:rPr>
        <w:t>dad</w:t>
      </w:r>
      <w:r w:rsidR="007809AE" w:rsidRPr="00922E45">
        <w:rPr>
          <w:rFonts w:ascii="Cambria" w:eastAsia="Times New Roman" w:hAnsi="Cambria"/>
          <w:color w:val="000000"/>
          <w:sz w:val="21"/>
          <w:szCs w:val="21"/>
          <w:lang w:val="es-CO"/>
        </w:rPr>
        <w:t>a</w:t>
      </w:r>
      <w:r w:rsidR="00391EE7" w:rsidRPr="00922E45">
        <w:rPr>
          <w:rFonts w:ascii="Cambria" w:eastAsia="Times New Roman" w:hAnsi="Cambria"/>
          <w:color w:val="000000"/>
          <w:sz w:val="21"/>
          <w:szCs w:val="21"/>
          <w:lang w:val="es-CO"/>
        </w:rPr>
        <w:t>s</w:t>
      </w:r>
      <w:r w:rsidR="00A77BA5" w:rsidRPr="00922E45">
        <w:rPr>
          <w:rFonts w:ascii="Cambria" w:eastAsia="Times New Roman" w:hAnsi="Cambria"/>
          <w:color w:val="000000"/>
          <w:sz w:val="21"/>
          <w:szCs w:val="21"/>
          <w:lang w:val="es-CO"/>
        </w:rPr>
        <w:t xml:space="preserve"> sus altos niveles de contaminación. Por otra parte,  las </w:t>
      </w:r>
      <w:r w:rsidR="00940274" w:rsidRPr="00922E45">
        <w:rPr>
          <w:rFonts w:ascii="Cambria" w:hAnsi="Cambria"/>
          <w:color w:val="000000"/>
          <w:sz w:val="21"/>
          <w:szCs w:val="21"/>
          <w:lang w:val="es-AR"/>
        </w:rPr>
        <w:t xml:space="preserve">personas de los </w:t>
      </w:r>
      <w:r w:rsidR="00A77BA5" w:rsidRPr="00922E45">
        <w:rPr>
          <w:rFonts w:ascii="Cambria" w:hAnsi="Cambria"/>
          <w:color w:val="000000"/>
          <w:sz w:val="21"/>
          <w:szCs w:val="21"/>
          <w:lang w:val="es-AR"/>
        </w:rPr>
        <w:t>“</w:t>
      </w:r>
      <w:r w:rsidR="00940274" w:rsidRPr="00922E45">
        <w:rPr>
          <w:rFonts w:ascii="Cambria" w:hAnsi="Cambria"/>
          <w:color w:val="000000"/>
          <w:sz w:val="21"/>
          <w:szCs w:val="21"/>
          <w:lang w:val="es-AR"/>
        </w:rPr>
        <w:t>Campamentos Dignos</w:t>
      </w:r>
      <w:r w:rsidR="00A77BA5" w:rsidRPr="00922E45">
        <w:rPr>
          <w:rFonts w:ascii="Cambria" w:hAnsi="Cambria"/>
          <w:color w:val="000000"/>
          <w:sz w:val="21"/>
          <w:szCs w:val="21"/>
          <w:lang w:val="es-AR"/>
        </w:rPr>
        <w:t>”</w:t>
      </w:r>
      <w:r w:rsidR="00940274" w:rsidRPr="00922E45">
        <w:rPr>
          <w:rFonts w:ascii="Cambria" w:hAnsi="Cambria"/>
          <w:color w:val="000000"/>
          <w:sz w:val="21"/>
          <w:szCs w:val="21"/>
          <w:lang w:val="es-AR"/>
        </w:rPr>
        <w:t xml:space="preserve"> </w:t>
      </w:r>
      <w:r w:rsidR="007E728E" w:rsidRPr="00922E45">
        <w:rPr>
          <w:rFonts w:ascii="Cambria" w:hAnsi="Cambria"/>
          <w:color w:val="000000"/>
          <w:sz w:val="21"/>
          <w:szCs w:val="21"/>
          <w:lang w:val="es-AR"/>
        </w:rPr>
        <w:t xml:space="preserve">estarían en riesgo dada sus acciones de defensa ambiental por las cuales </w:t>
      </w:r>
      <w:r w:rsidR="006D0906" w:rsidRPr="00922E45">
        <w:rPr>
          <w:rFonts w:ascii="Cambria" w:hAnsi="Cambria"/>
          <w:color w:val="000000"/>
          <w:sz w:val="21"/>
          <w:szCs w:val="21"/>
          <w:lang w:val="es-AR"/>
        </w:rPr>
        <w:t>habrían</w:t>
      </w:r>
      <w:r w:rsidR="007E728E" w:rsidRPr="00922E45">
        <w:rPr>
          <w:rFonts w:ascii="Cambria" w:hAnsi="Cambria"/>
          <w:color w:val="000000"/>
          <w:sz w:val="21"/>
          <w:szCs w:val="21"/>
          <w:lang w:val="es-AR"/>
        </w:rPr>
        <w:t xml:space="preserve"> recibido ataques, amenazas, </w:t>
      </w:r>
      <w:r w:rsidR="00A77BA5" w:rsidRPr="00922E45">
        <w:rPr>
          <w:rFonts w:ascii="Cambria" w:hAnsi="Cambria"/>
          <w:color w:val="000000"/>
          <w:sz w:val="21"/>
          <w:szCs w:val="21"/>
          <w:lang w:val="es-AR"/>
        </w:rPr>
        <w:t xml:space="preserve">entre otros </w:t>
      </w:r>
      <w:r w:rsidR="007E728E" w:rsidRPr="00922E45">
        <w:rPr>
          <w:rFonts w:ascii="Cambria" w:hAnsi="Cambria"/>
          <w:color w:val="000000"/>
          <w:sz w:val="21"/>
          <w:szCs w:val="21"/>
          <w:lang w:val="es-AR"/>
        </w:rPr>
        <w:t xml:space="preserve">actos de hostigamiento y criminalización. </w:t>
      </w:r>
    </w:p>
    <w:p w:rsidR="001501A6" w:rsidRPr="00922E45" w:rsidRDefault="001501A6" w:rsidP="0055779D">
      <w:pPr>
        <w:tabs>
          <w:tab w:val="left" w:pos="90"/>
          <w:tab w:val="left" w:pos="180"/>
        </w:tabs>
        <w:spacing w:after="0" w:line="240" w:lineRule="auto"/>
        <w:jc w:val="both"/>
        <w:rPr>
          <w:rFonts w:ascii="Cambria" w:eastAsia="Times New Roman" w:hAnsi="Cambria"/>
          <w:color w:val="000000"/>
          <w:sz w:val="20"/>
          <w:szCs w:val="20"/>
          <w:lang w:val="es-AR"/>
        </w:rPr>
      </w:pPr>
    </w:p>
    <w:p w:rsidR="001501A6" w:rsidRPr="00922E45" w:rsidRDefault="00A77BA5" w:rsidP="0055779D">
      <w:pPr>
        <w:numPr>
          <w:ilvl w:val="0"/>
          <w:numId w:val="34"/>
        </w:numPr>
        <w:tabs>
          <w:tab w:val="left" w:pos="90"/>
          <w:tab w:val="left" w:pos="180"/>
        </w:tabs>
        <w:spacing w:after="0" w:line="240" w:lineRule="auto"/>
        <w:ind w:left="0" w:firstLine="360"/>
        <w:jc w:val="both"/>
        <w:rPr>
          <w:rFonts w:ascii="Cambria" w:hAnsi="Cambria"/>
          <w:color w:val="000000"/>
          <w:sz w:val="21"/>
          <w:szCs w:val="21"/>
          <w:lang w:val="es-AR"/>
        </w:rPr>
      </w:pPr>
      <w:r w:rsidRPr="00922E45">
        <w:rPr>
          <w:rFonts w:ascii="Cambria" w:hAnsi="Cambria"/>
          <w:color w:val="000000"/>
          <w:sz w:val="21"/>
          <w:szCs w:val="21"/>
          <w:lang w:val="es-AR"/>
        </w:rPr>
        <w:t>Tras la solicitud de información adicional a las partes, e</w:t>
      </w:r>
      <w:r w:rsidR="001501A6" w:rsidRPr="00922E45">
        <w:rPr>
          <w:rFonts w:ascii="Cambria" w:hAnsi="Cambria"/>
          <w:color w:val="000000"/>
          <w:sz w:val="21"/>
          <w:szCs w:val="21"/>
          <w:lang w:val="es-AR"/>
        </w:rPr>
        <w:t>l Estado respondió el 29 de noviembre de 2017 y 6 de diciembre de 2017.</w:t>
      </w:r>
      <w:r w:rsidR="009948FA" w:rsidRPr="00922E45">
        <w:rPr>
          <w:rFonts w:ascii="Cambria" w:hAnsi="Cambria"/>
          <w:color w:val="000000"/>
          <w:sz w:val="21"/>
          <w:szCs w:val="21"/>
          <w:lang w:val="es-AR"/>
        </w:rPr>
        <w:t xml:space="preserve"> </w:t>
      </w:r>
      <w:r w:rsidR="001501A6" w:rsidRPr="00922E45">
        <w:rPr>
          <w:rFonts w:ascii="Cambria" w:hAnsi="Cambria"/>
          <w:color w:val="000000"/>
          <w:sz w:val="21"/>
          <w:szCs w:val="21"/>
          <w:lang w:val="es-AR"/>
        </w:rPr>
        <w:t xml:space="preserve">Los solicitantes </w:t>
      </w:r>
      <w:r w:rsidRPr="00922E45">
        <w:rPr>
          <w:rFonts w:ascii="Cambria" w:hAnsi="Cambria"/>
          <w:color w:val="000000"/>
          <w:sz w:val="21"/>
          <w:szCs w:val="21"/>
          <w:lang w:val="es-AR"/>
        </w:rPr>
        <w:t xml:space="preserve">por su parte, </w:t>
      </w:r>
      <w:r w:rsidR="001501A6" w:rsidRPr="00922E45">
        <w:rPr>
          <w:rFonts w:ascii="Cambria" w:hAnsi="Cambria"/>
          <w:color w:val="000000"/>
          <w:sz w:val="21"/>
          <w:szCs w:val="21"/>
          <w:lang w:val="es-AR"/>
        </w:rPr>
        <w:t xml:space="preserve">remitieron su respuesta el 7 de diciembre de 2017. </w:t>
      </w:r>
      <w:r w:rsidRPr="00922E45">
        <w:rPr>
          <w:rFonts w:ascii="Cambria" w:hAnsi="Cambria"/>
          <w:color w:val="000000"/>
          <w:sz w:val="21"/>
          <w:szCs w:val="21"/>
          <w:lang w:val="es-AR"/>
        </w:rPr>
        <w:t xml:space="preserve">Posteriormente el Estado y los solicitantes aportaron </w:t>
      </w:r>
      <w:r w:rsidR="001501A6" w:rsidRPr="00922E45">
        <w:rPr>
          <w:rFonts w:ascii="Cambria" w:hAnsi="Cambria"/>
          <w:color w:val="000000"/>
          <w:sz w:val="21"/>
          <w:szCs w:val="21"/>
          <w:lang w:val="es-AR"/>
        </w:rPr>
        <w:t>información adicional el 26 de enero de 2018 y 8 de febrero de 2018</w:t>
      </w:r>
      <w:r w:rsidRPr="00922E45">
        <w:rPr>
          <w:rFonts w:ascii="Cambria" w:hAnsi="Cambria"/>
          <w:color w:val="000000"/>
          <w:sz w:val="21"/>
          <w:szCs w:val="21"/>
          <w:lang w:val="es-AR"/>
        </w:rPr>
        <w:t>, respectivamente</w:t>
      </w:r>
      <w:r w:rsidR="001501A6" w:rsidRPr="00922E45">
        <w:rPr>
          <w:rFonts w:ascii="Cambria" w:hAnsi="Cambria"/>
          <w:color w:val="000000"/>
          <w:sz w:val="21"/>
          <w:szCs w:val="21"/>
          <w:lang w:val="es-AR"/>
        </w:rPr>
        <w:t xml:space="preserve">. </w:t>
      </w:r>
    </w:p>
    <w:p w:rsidR="006D0BA2" w:rsidRPr="00922E45" w:rsidRDefault="006D0BA2" w:rsidP="0055779D">
      <w:pPr>
        <w:tabs>
          <w:tab w:val="left" w:pos="90"/>
          <w:tab w:val="left" w:pos="180"/>
        </w:tabs>
        <w:spacing w:after="0" w:line="240" w:lineRule="auto"/>
        <w:jc w:val="both"/>
        <w:rPr>
          <w:rFonts w:ascii="Cambria" w:hAnsi="Cambria"/>
          <w:color w:val="000000"/>
          <w:sz w:val="21"/>
          <w:szCs w:val="21"/>
          <w:lang w:val="es-AR"/>
        </w:rPr>
      </w:pPr>
    </w:p>
    <w:p w:rsidR="00B51FB2" w:rsidRPr="00B51FB2" w:rsidRDefault="005E68B6" w:rsidP="00B51FB2">
      <w:pPr>
        <w:numPr>
          <w:ilvl w:val="0"/>
          <w:numId w:val="34"/>
        </w:numPr>
        <w:tabs>
          <w:tab w:val="left" w:pos="90"/>
          <w:tab w:val="left" w:pos="180"/>
        </w:tabs>
        <w:spacing w:after="0" w:line="240" w:lineRule="auto"/>
        <w:ind w:left="0" w:firstLine="360"/>
        <w:jc w:val="both"/>
        <w:rPr>
          <w:rFonts w:ascii="Cambria" w:hAnsi="Cambria"/>
          <w:color w:val="000000"/>
          <w:sz w:val="21"/>
          <w:szCs w:val="21"/>
          <w:lang w:val="es-AR"/>
        </w:rPr>
      </w:pPr>
      <w:r w:rsidRPr="00B51FB2">
        <w:rPr>
          <w:rFonts w:ascii="Cambria" w:hAnsi="Cambria"/>
          <w:color w:val="000000"/>
          <w:sz w:val="21"/>
          <w:szCs w:val="21"/>
          <w:lang w:val="es-AR"/>
        </w:rPr>
        <w:t xml:space="preserve">Tras analizar los alegatos de hecho y de derecho de las partes, la Comisión considera que dicha información valorada en su conjunto demuestra </w:t>
      </w:r>
      <w:r w:rsidRPr="00B51FB2">
        <w:rPr>
          <w:rFonts w:ascii="Cambria" w:hAnsi="Cambria"/>
          <w:i/>
          <w:color w:val="000000"/>
          <w:sz w:val="21"/>
          <w:szCs w:val="21"/>
          <w:lang w:val="es-AR"/>
        </w:rPr>
        <w:t>prima faci</w:t>
      </w:r>
      <w:r w:rsidR="0055779D" w:rsidRPr="00B51FB2">
        <w:rPr>
          <w:rFonts w:ascii="Cambria" w:hAnsi="Cambria"/>
          <w:i/>
          <w:color w:val="000000"/>
          <w:sz w:val="21"/>
          <w:szCs w:val="21"/>
          <w:lang w:val="es-AR"/>
        </w:rPr>
        <w:t>e</w:t>
      </w:r>
      <w:r w:rsidRPr="00B51FB2">
        <w:rPr>
          <w:rFonts w:ascii="Cambria" w:hAnsi="Cambria"/>
          <w:color w:val="000000"/>
          <w:sz w:val="21"/>
          <w:szCs w:val="21"/>
          <w:lang w:val="es-AR"/>
        </w:rPr>
        <w:t xml:space="preserve"> que los pobladores de las comunidades identificadas se encuentran en una situación de gravedad y urgencia, toda vez que sus derechos a la vida e integridad personal</w:t>
      </w:r>
      <w:r w:rsidR="00542236" w:rsidRPr="00B51FB2">
        <w:rPr>
          <w:rFonts w:ascii="Cambria" w:hAnsi="Cambria"/>
          <w:color w:val="000000"/>
          <w:sz w:val="21"/>
          <w:szCs w:val="21"/>
          <w:lang w:val="es-AR"/>
        </w:rPr>
        <w:t xml:space="preserve"> y salud</w:t>
      </w:r>
      <w:r w:rsidRPr="00B51FB2">
        <w:rPr>
          <w:rFonts w:ascii="Cambria" w:hAnsi="Cambria"/>
          <w:color w:val="000000"/>
          <w:sz w:val="21"/>
          <w:szCs w:val="21"/>
          <w:lang w:val="es-AR"/>
        </w:rPr>
        <w:t xml:space="preserve"> están en riesgo. En consecuencia, de acuerdo con el </w:t>
      </w:r>
      <w:r w:rsidR="00391EE7" w:rsidRPr="00B51FB2">
        <w:rPr>
          <w:rFonts w:ascii="Cambria" w:hAnsi="Cambria"/>
          <w:color w:val="000000"/>
          <w:sz w:val="21"/>
          <w:szCs w:val="21"/>
          <w:lang w:val="es-AR"/>
        </w:rPr>
        <w:t>a</w:t>
      </w:r>
      <w:r w:rsidRPr="00B51FB2">
        <w:rPr>
          <w:rFonts w:ascii="Cambria" w:hAnsi="Cambria"/>
          <w:color w:val="000000"/>
          <w:sz w:val="21"/>
          <w:szCs w:val="21"/>
          <w:lang w:val="es-AR"/>
        </w:rPr>
        <w:t>rtículo 25 del Reglamento de la CIDH</w:t>
      </w:r>
      <w:r w:rsidR="00AD4C61" w:rsidRPr="00B51FB2">
        <w:rPr>
          <w:rFonts w:ascii="Cambria" w:hAnsi="Cambria"/>
          <w:color w:val="000000"/>
          <w:sz w:val="21"/>
          <w:szCs w:val="21"/>
          <w:lang w:val="es-AR"/>
        </w:rPr>
        <w:t>, la Comisión solicita al Estado de Honduras:</w:t>
      </w:r>
      <w:r w:rsidR="00B51FB2" w:rsidRPr="00B51FB2">
        <w:rPr>
          <w:rFonts w:ascii="Cambria" w:hAnsi="Cambria"/>
          <w:color w:val="000000"/>
          <w:sz w:val="21"/>
          <w:szCs w:val="21"/>
          <w:lang w:val="es-AR"/>
        </w:rPr>
        <w:t xml:space="preserve"> </w:t>
      </w:r>
      <w:r w:rsidR="00B51FB2" w:rsidRPr="00B51FB2">
        <w:rPr>
          <w:rFonts w:ascii="Cambria" w:hAnsi="Cambria"/>
          <w:color w:val="000000"/>
          <w:sz w:val="21"/>
          <w:szCs w:val="21"/>
          <w:lang w:val="es-AR"/>
        </w:rPr>
        <w:t>a)</w:t>
      </w:r>
      <w:r w:rsidR="00B51FB2" w:rsidRPr="00B51FB2">
        <w:rPr>
          <w:rFonts w:ascii="Cambria" w:hAnsi="Cambria"/>
          <w:color w:val="000000"/>
          <w:sz w:val="21"/>
          <w:szCs w:val="21"/>
          <w:lang w:val="es-AR"/>
        </w:rPr>
        <w:t xml:space="preserve"> i</w:t>
      </w:r>
      <w:r w:rsidR="00B51FB2" w:rsidRPr="00B51FB2">
        <w:rPr>
          <w:rFonts w:ascii="Cambria" w:hAnsi="Cambria"/>
          <w:color w:val="000000"/>
          <w:sz w:val="21"/>
          <w:szCs w:val="21"/>
          <w:lang w:val="es-AR"/>
        </w:rPr>
        <w:t>nforme sobre las medidas adoptadas dirigidas a mitigar , reducir y eliminar las fuentes de riesgo identificadas en el presente procedimiento;</w:t>
      </w:r>
      <w:r w:rsidR="00B51FB2" w:rsidRPr="00B51FB2">
        <w:rPr>
          <w:rFonts w:ascii="Cambria" w:hAnsi="Cambria"/>
          <w:color w:val="000000"/>
          <w:sz w:val="21"/>
          <w:szCs w:val="21"/>
          <w:lang w:val="es-AR"/>
        </w:rPr>
        <w:t xml:space="preserve"> </w:t>
      </w:r>
      <w:r w:rsidR="00B51FB2" w:rsidRPr="00B51FB2">
        <w:rPr>
          <w:rFonts w:ascii="Cambria" w:hAnsi="Cambria"/>
          <w:color w:val="000000"/>
          <w:sz w:val="21"/>
          <w:szCs w:val="21"/>
          <w:lang w:val="es-AR"/>
        </w:rPr>
        <w:t>b)</w:t>
      </w:r>
      <w:r w:rsidR="00B51FB2" w:rsidRPr="00B51FB2">
        <w:rPr>
          <w:rFonts w:ascii="Cambria" w:hAnsi="Cambria"/>
          <w:color w:val="000000"/>
          <w:sz w:val="21"/>
          <w:szCs w:val="21"/>
          <w:lang w:val="es-AR"/>
        </w:rPr>
        <w:t xml:space="preserve"> </w:t>
      </w:r>
      <w:r w:rsidR="00EE0B8A">
        <w:rPr>
          <w:rFonts w:ascii="Cambria" w:hAnsi="Cambria"/>
          <w:color w:val="000000"/>
          <w:sz w:val="21"/>
          <w:szCs w:val="21"/>
          <w:lang w:val="es-AR"/>
        </w:rPr>
        <w:t xml:space="preserve">realice </w:t>
      </w:r>
      <w:r w:rsidR="00B51FB2" w:rsidRPr="00B51FB2">
        <w:rPr>
          <w:rFonts w:ascii="Cambria" w:hAnsi="Cambria"/>
          <w:color w:val="000000"/>
          <w:sz w:val="21"/>
          <w:szCs w:val="21"/>
          <w:lang w:val="es-AR"/>
        </w:rPr>
        <w:t>los diagnósticos médicos necesarios y pertinentes a los</w:t>
      </w:r>
      <w:r w:rsidR="00EE0B8A">
        <w:rPr>
          <w:rFonts w:ascii="Cambria" w:hAnsi="Cambria"/>
          <w:color w:val="000000"/>
          <w:sz w:val="21"/>
          <w:szCs w:val="21"/>
          <w:lang w:val="es-AR"/>
        </w:rPr>
        <w:t xml:space="preserve"> </w:t>
      </w:r>
      <w:r w:rsidR="00B51FB2" w:rsidRPr="00B51FB2">
        <w:rPr>
          <w:rFonts w:ascii="Cambria" w:hAnsi="Cambria"/>
          <w:color w:val="000000"/>
          <w:sz w:val="21"/>
          <w:szCs w:val="21"/>
          <w:lang w:val="es-AR"/>
        </w:rPr>
        <w:t>pobladores de las comunidades identificadas, a fin de suministrar atención médica adecuada, de acuerdo a los estándares internacionales aplicables en la materia así como asegurar que tengan acceso a agua potable en condiciones adecuadas para su consumo y uso doméstico. Lo anterior,  entre otras medidas que sean necesarias, para  preservar su salud, vida e integridad personal;</w:t>
      </w:r>
      <w:r w:rsidR="00B51FB2" w:rsidRPr="00B51FB2">
        <w:rPr>
          <w:rFonts w:ascii="Cambria" w:hAnsi="Cambria"/>
          <w:color w:val="000000"/>
          <w:sz w:val="21"/>
          <w:szCs w:val="21"/>
          <w:lang w:val="es-AR"/>
        </w:rPr>
        <w:t xml:space="preserve"> </w:t>
      </w:r>
      <w:r w:rsidR="00B51FB2" w:rsidRPr="00B51FB2">
        <w:rPr>
          <w:rFonts w:ascii="Cambria" w:hAnsi="Cambria"/>
          <w:color w:val="000000"/>
          <w:sz w:val="21"/>
          <w:szCs w:val="21"/>
          <w:lang w:val="es-AR"/>
        </w:rPr>
        <w:t>c)</w:t>
      </w:r>
      <w:r w:rsidR="00B51FB2" w:rsidRPr="00B51FB2">
        <w:rPr>
          <w:rFonts w:ascii="Cambria" w:hAnsi="Cambria"/>
          <w:color w:val="000000"/>
          <w:sz w:val="21"/>
          <w:szCs w:val="21"/>
          <w:lang w:val="es-AR"/>
        </w:rPr>
        <w:t xml:space="preserve"> c</w:t>
      </w:r>
      <w:r w:rsidR="00B51FB2" w:rsidRPr="00B51FB2">
        <w:rPr>
          <w:rFonts w:ascii="Cambria" w:hAnsi="Cambria"/>
          <w:color w:val="000000"/>
          <w:sz w:val="21"/>
          <w:szCs w:val="21"/>
          <w:lang w:val="es-AR"/>
        </w:rPr>
        <w:t xml:space="preserve">oncierte las medidas a adoptarse con </w:t>
      </w:r>
      <w:r w:rsidR="00B51FB2" w:rsidRPr="00B51FB2">
        <w:rPr>
          <w:rFonts w:ascii="Cambria" w:hAnsi="Cambria"/>
          <w:color w:val="000000"/>
          <w:sz w:val="21"/>
          <w:szCs w:val="21"/>
          <w:lang w:val="es-AR"/>
        </w:rPr>
        <w:lastRenderedPageBreak/>
        <w:t>los beneficiarios y sus representantes; y</w:t>
      </w:r>
      <w:r w:rsidR="00B51FB2">
        <w:rPr>
          <w:rFonts w:ascii="Cambria" w:hAnsi="Cambria"/>
          <w:color w:val="000000"/>
          <w:sz w:val="21"/>
          <w:szCs w:val="21"/>
          <w:lang w:val="es-AR"/>
        </w:rPr>
        <w:t xml:space="preserve"> </w:t>
      </w:r>
      <w:r w:rsidR="00B51FB2" w:rsidRPr="00B51FB2">
        <w:rPr>
          <w:rFonts w:ascii="Cambria" w:hAnsi="Cambria"/>
          <w:color w:val="000000"/>
          <w:sz w:val="21"/>
          <w:szCs w:val="21"/>
          <w:lang w:val="es-AR"/>
        </w:rPr>
        <w:t>d)</w:t>
      </w:r>
      <w:r w:rsidR="00B51FB2">
        <w:rPr>
          <w:rFonts w:ascii="Cambria" w:hAnsi="Cambria"/>
          <w:color w:val="000000"/>
          <w:sz w:val="21"/>
          <w:szCs w:val="21"/>
          <w:lang w:val="es-AR"/>
        </w:rPr>
        <w:t xml:space="preserve"> i</w:t>
      </w:r>
      <w:r w:rsidR="00B51FB2" w:rsidRPr="00B51FB2">
        <w:rPr>
          <w:rFonts w:ascii="Cambria" w:hAnsi="Cambria"/>
          <w:color w:val="000000"/>
          <w:sz w:val="21"/>
          <w:szCs w:val="21"/>
          <w:lang w:val="es-AR"/>
        </w:rPr>
        <w:t>nforme sobre las acciones adoptadas a fin de investigar los hechos alegados que dieron lugar a la adopción de la presente medida cautelar y así evitar su repetición.</w:t>
      </w:r>
    </w:p>
    <w:p w:rsidR="00271A77" w:rsidRPr="00922E45" w:rsidRDefault="00271A77" w:rsidP="00C81B11">
      <w:pPr>
        <w:tabs>
          <w:tab w:val="left" w:pos="90"/>
          <w:tab w:val="left" w:pos="180"/>
        </w:tabs>
        <w:spacing w:after="0" w:line="240" w:lineRule="auto"/>
        <w:ind w:left="360"/>
        <w:jc w:val="both"/>
        <w:rPr>
          <w:rFonts w:ascii="Cambria" w:eastAsia="Times New Roman" w:hAnsi="Cambria"/>
          <w:color w:val="000000"/>
          <w:sz w:val="20"/>
          <w:szCs w:val="20"/>
          <w:lang w:val="es-AR"/>
        </w:rPr>
      </w:pPr>
    </w:p>
    <w:p w:rsidR="00000AD9" w:rsidRPr="00922E45" w:rsidRDefault="00250839" w:rsidP="00BF07A8">
      <w:pPr>
        <w:numPr>
          <w:ilvl w:val="0"/>
          <w:numId w:val="19"/>
        </w:numPr>
        <w:tabs>
          <w:tab w:val="left" w:pos="720"/>
        </w:tabs>
        <w:spacing w:after="0" w:line="240" w:lineRule="auto"/>
        <w:ind w:left="720" w:hanging="90"/>
        <w:jc w:val="both"/>
        <w:rPr>
          <w:rFonts w:ascii="Cambria" w:hAnsi="Cambria"/>
          <w:b/>
          <w:bCs/>
          <w:color w:val="000000"/>
          <w:sz w:val="21"/>
          <w:szCs w:val="21"/>
          <w:lang w:val="es-AR"/>
        </w:rPr>
      </w:pPr>
      <w:r w:rsidRPr="00922E45">
        <w:rPr>
          <w:rFonts w:ascii="Cambria" w:hAnsi="Cambria"/>
          <w:b/>
          <w:bCs/>
          <w:color w:val="000000"/>
          <w:sz w:val="21"/>
          <w:szCs w:val="21"/>
          <w:lang w:val="es-AR"/>
        </w:rPr>
        <w:t xml:space="preserve">RESUMEN DE LOS </w:t>
      </w:r>
      <w:r w:rsidR="00000AD9" w:rsidRPr="00922E45">
        <w:rPr>
          <w:rFonts w:ascii="Cambria" w:hAnsi="Cambria"/>
          <w:b/>
          <w:bCs/>
          <w:color w:val="000000"/>
          <w:sz w:val="21"/>
          <w:szCs w:val="21"/>
          <w:lang w:val="es-AR"/>
        </w:rPr>
        <w:t xml:space="preserve">HECHOS </w:t>
      </w:r>
      <w:r w:rsidRPr="00922E45">
        <w:rPr>
          <w:rFonts w:ascii="Cambria" w:hAnsi="Cambria"/>
          <w:b/>
          <w:bCs/>
          <w:color w:val="000000"/>
          <w:sz w:val="21"/>
          <w:szCs w:val="21"/>
          <w:lang w:val="es-AR"/>
        </w:rPr>
        <w:t>Y ARGUMENTOS APORTADOS POR LAS PARTES</w:t>
      </w:r>
    </w:p>
    <w:p w:rsidR="00000AD9" w:rsidRPr="00922E45" w:rsidRDefault="00000AD9" w:rsidP="0055779D">
      <w:pPr>
        <w:tabs>
          <w:tab w:val="left" w:pos="1080"/>
        </w:tabs>
        <w:spacing w:after="0" w:line="240" w:lineRule="auto"/>
        <w:jc w:val="both"/>
        <w:rPr>
          <w:rFonts w:ascii="Cambria" w:eastAsia="MS Mincho" w:hAnsi="Cambria"/>
          <w:b/>
          <w:bCs/>
          <w:sz w:val="21"/>
          <w:szCs w:val="21"/>
          <w:lang w:val="es-AR"/>
        </w:rPr>
      </w:pPr>
    </w:p>
    <w:p w:rsidR="00B971BD" w:rsidRPr="00922E45" w:rsidRDefault="00B971BD" w:rsidP="0055779D">
      <w:pPr>
        <w:numPr>
          <w:ilvl w:val="0"/>
          <w:numId w:val="42"/>
        </w:numPr>
        <w:tabs>
          <w:tab w:val="left" w:pos="1080"/>
        </w:tabs>
        <w:spacing w:after="0" w:line="240" w:lineRule="auto"/>
        <w:jc w:val="both"/>
        <w:rPr>
          <w:rFonts w:ascii="Cambria" w:eastAsia="MS Mincho" w:hAnsi="Cambria"/>
          <w:b/>
          <w:bCs/>
          <w:sz w:val="21"/>
          <w:szCs w:val="21"/>
          <w:lang w:val="es-AR"/>
        </w:rPr>
      </w:pPr>
      <w:r w:rsidRPr="00922E45">
        <w:rPr>
          <w:rFonts w:ascii="Cambria" w:eastAsia="MS Mincho" w:hAnsi="Cambria"/>
          <w:b/>
          <w:bCs/>
          <w:sz w:val="21"/>
          <w:szCs w:val="21"/>
          <w:lang w:val="es-AR"/>
        </w:rPr>
        <w:t xml:space="preserve">Información aportada por </w:t>
      </w:r>
      <w:r w:rsidR="00250839" w:rsidRPr="00922E45">
        <w:rPr>
          <w:rFonts w:ascii="Cambria" w:eastAsia="MS Mincho" w:hAnsi="Cambria"/>
          <w:b/>
          <w:bCs/>
          <w:sz w:val="21"/>
          <w:szCs w:val="21"/>
          <w:lang w:val="es-AR"/>
        </w:rPr>
        <w:t>los solicitantes</w:t>
      </w:r>
    </w:p>
    <w:p w:rsidR="008720CB" w:rsidRPr="00922E45" w:rsidRDefault="008720CB" w:rsidP="0055779D">
      <w:pPr>
        <w:spacing w:after="0" w:line="240" w:lineRule="auto"/>
        <w:ind w:left="360"/>
        <w:jc w:val="both"/>
        <w:rPr>
          <w:rFonts w:ascii="Cambria" w:hAnsi="Cambria"/>
          <w:color w:val="000000"/>
          <w:sz w:val="20"/>
          <w:lang w:val="es-PE"/>
        </w:rPr>
      </w:pPr>
    </w:p>
    <w:p w:rsidR="00453307" w:rsidRPr="00922E45" w:rsidRDefault="00D17155" w:rsidP="0055779D">
      <w:pPr>
        <w:numPr>
          <w:ilvl w:val="0"/>
          <w:numId w:val="34"/>
        </w:numPr>
        <w:spacing w:after="0" w:line="240" w:lineRule="auto"/>
        <w:ind w:left="0" w:firstLine="360"/>
        <w:jc w:val="both"/>
        <w:rPr>
          <w:rFonts w:ascii="Cambria" w:hAnsi="Cambria"/>
          <w:color w:val="000000"/>
          <w:sz w:val="21"/>
          <w:szCs w:val="21"/>
          <w:lang w:val="es-PE"/>
        </w:rPr>
      </w:pPr>
      <w:r w:rsidRPr="00922E45">
        <w:rPr>
          <w:rFonts w:ascii="Cambria" w:hAnsi="Cambria"/>
          <w:color w:val="000000"/>
          <w:sz w:val="21"/>
          <w:szCs w:val="21"/>
          <w:lang w:val="es-PE"/>
        </w:rPr>
        <w:t>Según l</w:t>
      </w:r>
      <w:r w:rsidR="006E6C65" w:rsidRPr="00922E45">
        <w:rPr>
          <w:rFonts w:ascii="Cambria" w:hAnsi="Cambria"/>
          <w:color w:val="000000"/>
          <w:sz w:val="21"/>
          <w:szCs w:val="21"/>
          <w:lang w:val="es-PE"/>
        </w:rPr>
        <w:t>os soli</w:t>
      </w:r>
      <w:r w:rsidR="001245A2" w:rsidRPr="00922E45">
        <w:rPr>
          <w:rFonts w:ascii="Cambria" w:hAnsi="Cambria"/>
          <w:color w:val="000000"/>
          <w:sz w:val="21"/>
          <w:szCs w:val="21"/>
          <w:lang w:val="es-PE"/>
        </w:rPr>
        <w:t>ci</w:t>
      </w:r>
      <w:r w:rsidR="006E6C65" w:rsidRPr="00922E45">
        <w:rPr>
          <w:rFonts w:ascii="Cambria" w:hAnsi="Cambria"/>
          <w:color w:val="000000"/>
          <w:sz w:val="21"/>
          <w:szCs w:val="21"/>
          <w:lang w:val="es-PE"/>
        </w:rPr>
        <w:t>tantes</w:t>
      </w:r>
      <w:r w:rsidRPr="00922E45">
        <w:rPr>
          <w:rFonts w:ascii="Cambria" w:hAnsi="Cambria"/>
          <w:color w:val="000000"/>
          <w:sz w:val="21"/>
          <w:szCs w:val="21"/>
          <w:lang w:val="es-PE"/>
        </w:rPr>
        <w:t xml:space="preserve">, </w:t>
      </w:r>
      <w:r w:rsidR="007F025E" w:rsidRPr="00922E45">
        <w:rPr>
          <w:rFonts w:ascii="Cambria" w:hAnsi="Cambria"/>
          <w:color w:val="000000"/>
          <w:sz w:val="21"/>
          <w:szCs w:val="21"/>
          <w:lang w:val="es-PE"/>
        </w:rPr>
        <w:t xml:space="preserve">en </w:t>
      </w:r>
      <w:r w:rsidR="006E6C65" w:rsidRPr="00922E45">
        <w:rPr>
          <w:rFonts w:ascii="Cambria" w:hAnsi="Cambria"/>
          <w:color w:val="000000"/>
          <w:sz w:val="21"/>
          <w:szCs w:val="21"/>
          <w:lang w:val="es-PE"/>
        </w:rPr>
        <w:t>abril de 2016 la empresa</w:t>
      </w:r>
      <w:r w:rsidR="007F025E" w:rsidRPr="00922E45">
        <w:rPr>
          <w:rFonts w:ascii="Cambria" w:hAnsi="Cambria"/>
          <w:color w:val="000000"/>
          <w:sz w:val="21"/>
          <w:szCs w:val="21"/>
          <w:lang w:val="es-PE"/>
        </w:rPr>
        <w:t xml:space="preserve"> </w:t>
      </w:r>
      <w:r w:rsidR="006E6C65" w:rsidRPr="00922E45">
        <w:rPr>
          <w:rFonts w:ascii="Cambria" w:hAnsi="Cambria"/>
          <w:color w:val="000000"/>
          <w:sz w:val="21"/>
          <w:szCs w:val="21"/>
          <w:lang w:val="es-PE"/>
        </w:rPr>
        <w:t>HIDROCEP</w:t>
      </w:r>
      <w:r w:rsidR="007F025E" w:rsidRPr="00922E45">
        <w:rPr>
          <w:rFonts w:ascii="Cambria" w:hAnsi="Cambria"/>
          <w:color w:val="000000"/>
          <w:sz w:val="21"/>
          <w:szCs w:val="21"/>
          <w:lang w:val="es-PE"/>
        </w:rPr>
        <w:t xml:space="preserve"> </w:t>
      </w:r>
      <w:r w:rsidR="006E6C65" w:rsidRPr="00922E45">
        <w:rPr>
          <w:rFonts w:ascii="Cambria" w:hAnsi="Cambria"/>
          <w:color w:val="000000"/>
          <w:sz w:val="21"/>
          <w:szCs w:val="21"/>
          <w:lang w:val="es-PE"/>
        </w:rPr>
        <w:t>habría iniciado la construcción del proyecto hidroeléctrico “Los Planes”</w:t>
      </w:r>
      <w:r w:rsidR="00453307" w:rsidRPr="00922E45">
        <w:rPr>
          <w:rFonts w:ascii="Cambria" w:hAnsi="Cambria"/>
          <w:color w:val="000000"/>
          <w:sz w:val="21"/>
          <w:szCs w:val="21"/>
          <w:lang w:val="es-PE"/>
        </w:rPr>
        <w:t xml:space="preserve"> en el “río </w:t>
      </w:r>
      <w:proofErr w:type="spellStart"/>
      <w:r w:rsidR="00453307" w:rsidRPr="00922E45">
        <w:rPr>
          <w:rFonts w:ascii="Cambria" w:hAnsi="Cambria"/>
          <w:color w:val="000000"/>
          <w:sz w:val="21"/>
          <w:szCs w:val="21"/>
          <w:lang w:val="es-PE"/>
        </w:rPr>
        <w:t>Mezapa</w:t>
      </w:r>
      <w:proofErr w:type="spellEnd"/>
      <w:r w:rsidR="00453307" w:rsidRPr="00922E45">
        <w:rPr>
          <w:rFonts w:ascii="Cambria" w:hAnsi="Cambria"/>
          <w:color w:val="000000"/>
          <w:sz w:val="21"/>
          <w:szCs w:val="21"/>
          <w:lang w:val="es-PE"/>
        </w:rPr>
        <w:t xml:space="preserve">” el cual </w:t>
      </w:r>
      <w:r w:rsidR="006E6C65" w:rsidRPr="00922E45">
        <w:rPr>
          <w:rFonts w:ascii="Cambria" w:hAnsi="Cambria"/>
          <w:color w:val="000000"/>
          <w:sz w:val="21"/>
          <w:szCs w:val="21"/>
          <w:lang w:val="es-PE"/>
        </w:rPr>
        <w:t>abastecería de agua potable</w:t>
      </w:r>
      <w:r w:rsidR="008720CB" w:rsidRPr="00922E45">
        <w:rPr>
          <w:rFonts w:ascii="Cambria" w:hAnsi="Cambria"/>
          <w:color w:val="000000"/>
          <w:sz w:val="21"/>
          <w:szCs w:val="21"/>
          <w:lang w:val="es-PE"/>
        </w:rPr>
        <w:t xml:space="preserve"> </w:t>
      </w:r>
      <w:r w:rsidR="006E6C65" w:rsidRPr="00922E45">
        <w:rPr>
          <w:rFonts w:ascii="Cambria" w:hAnsi="Cambria"/>
          <w:color w:val="000000"/>
          <w:sz w:val="21"/>
          <w:szCs w:val="21"/>
          <w:lang w:val="es-PE"/>
        </w:rPr>
        <w:t>a</w:t>
      </w:r>
      <w:r w:rsidR="008720CB" w:rsidRPr="00922E45">
        <w:rPr>
          <w:rFonts w:ascii="Cambria" w:hAnsi="Cambria"/>
          <w:color w:val="000000"/>
          <w:sz w:val="21"/>
          <w:szCs w:val="21"/>
          <w:lang w:val="es-PE"/>
        </w:rPr>
        <w:t xml:space="preserve"> </w:t>
      </w:r>
      <w:r w:rsidR="006E6C65" w:rsidRPr="00922E45">
        <w:rPr>
          <w:rFonts w:ascii="Cambria" w:hAnsi="Cambria"/>
          <w:color w:val="000000"/>
          <w:sz w:val="21"/>
          <w:szCs w:val="21"/>
          <w:lang w:val="es-PE"/>
        </w:rPr>
        <w:t>20</w:t>
      </w:r>
      <w:r w:rsidR="008720CB" w:rsidRPr="00922E45">
        <w:rPr>
          <w:rFonts w:ascii="Cambria" w:hAnsi="Cambria"/>
          <w:color w:val="000000"/>
          <w:sz w:val="21"/>
          <w:szCs w:val="21"/>
          <w:lang w:val="es-PE"/>
        </w:rPr>
        <w:t xml:space="preserve"> </w:t>
      </w:r>
      <w:r w:rsidR="006E6C65" w:rsidRPr="00922E45">
        <w:rPr>
          <w:rFonts w:ascii="Cambria" w:hAnsi="Cambria"/>
          <w:color w:val="000000"/>
          <w:sz w:val="21"/>
          <w:szCs w:val="21"/>
          <w:lang w:val="es-PE"/>
        </w:rPr>
        <w:t>comunidades del departamento de Atlántida.</w:t>
      </w:r>
      <w:r w:rsidR="008720CB" w:rsidRPr="00922E45">
        <w:rPr>
          <w:rFonts w:ascii="Cambria" w:hAnsi="Cambria"/>
          <w:color w:val="000000"/>
          <w:sz w:val="21"/>
          <w:szCs w:val="21"/>
          <w:lang w:val="es-PE"/>
        </w:rPr>
        <w:t xml:space="preserve"> </w:t>
      </w:r>
      <w:r w:rsidR="00453307" w:rsidRPr="00922E45">
        <w:rPr>
          <w:rFonts w:ascii="Cambria" w:hAnsi="Cambria"/>
          <w:color w:val="000000"/>
          <w:sz w:val="21"/>
          <w:szCs w:val="21"/>
          <w:lang w:val="es-PE"/>
        </w:rPr>
        <w:t xml:space="preserve">Dicho proyecto </w:t>
      </w:r>
      <w:r w:rsidR="006E6C65" w:rsidRPr="00922E45">
        <w:rPr>
          <w:rFonts w:ascii="Cambria" w:hAnsi="Cambria"/>
          <w:color w:val="000000"/>
          <w:sz w:val="21"/>
          <w:szCs w:val="21"/>
          <w:lang w:val="es-PE"/>
        </w:rPr>
        <w:t xml:space="preserve">habría fomentado </w:t>
      </w:r>
      <w:r w:rsidR="00453307" w:rsidRPr="00922E45">
        <w:rPr>
          <w:rFonts w:ascii="Cambria" w:hAnsi="Cambria"/>
          <w:color w:val="000000"/>
          <w:sz w:val="21"/>
          <w:szCs w:val="21"/>
          <w:lang w:val="es-PE"/>
        </w:rPr>
        <w:t xml:space="preserve">gran </w:t>
      </w:r>
      <w:r w:rsidR="006E6C65" w:rsidRPr="00922E45">
        <w:rPr>
          <w:rFonts w:ascii="Cambria" w:hAnsi="Cambria"/>
          <w:color w:val="000000"/>
          <w:sz w:val="21"/>
          <w:szCs w:val="21"/>
          <w:lang w:val="es-PE"/>
        </w:rPr>
        <w:t xml:space="preserve">conflictividad </w:t>
      </w:r>
      <w:r w:rsidR="00453307" w:rsidRPr="00922E45">
        <w:rPr>
          <w:rFonts w:ascii="Cambria" w:hAnsi="Cambria"/>
          <w:color w:val="000000"/>
          <w:sz w:val="21"/>
          <w:szCs w:val="21"/>
          <w:lang w:val="es-PE"/>
        </w:rPr>
        <w:t>entre la población.</w:t>
      </w:r>
      <w:r w:rsidR="00B37A5B" w:rsidRPr="00922E45">
        <w:rPr>
          <w:rFonts w:ascii="Cambria" w:hAnsi="Cambria"/>
          <w:color w:val="000000"/>
          <w:sz w:val="21"/>
          <w:szCs w:val="21"/>
          <w:lang w:val="es-PE"/>
        </w:rPr>
        <w:t xml:space="preserve"> Desde que se inició la construcción de un “tramo carretero” se habría descubierto que desechos estaban siendo arrojados al río </w:t>
      </w:r>
      <w:proofErr w:type="spellStart"/>
      <w:r w:rsidR="00B37A5B" w:rsidRPr="00922E45">
        <w:rPr>
          <w:rFonts w:ascii="Cambria" w:hAnsi="Cambria"/>
          <w:color w:val="000000"/>
          <w:sz w:val="21"/>
          <w:szCs w:val="21"/>
          <w:lang w:val="es-PE"/>
        </w:rPr>
        <w:t>Mezapa</w:t>
      </w:r>
      <w:proofErr w:type="spellEnd"/>
      <w:r w:rsidR="00B37A5B" w:rsidRPr="00922E45">
        <w:rPr>
          <w:rFonts w:ascii="Cambria" w:hAnsi="Cambria"/>
          <w:color w:val="000000"/>
          <w:sz w:val="21"/>
          <w:szCs w:val="21"/>
          <w:lang w:val="es-PE"/>
        </w:rPr>
        <w:t>. Asimismo, por los cortes de árboles en el terreno y la apertura de brechas, se habrían producido deslizamientos de tierra sobre las fuentes de agua.</w:t>
      </w:r>
    </w:p>
    <w:p w:rsidR="00F651C9" w:rsidRPr="00922E45" w:rsidRDefault="00F651C9" w:rsidP="00534AD3">
      <w:pPr>
        <w:spacing w:after="0" w:line="240" w:lineRule="auto"/>
        <w:ind w:left="360"/>
        <w:jc w:val="both"/>
        <w:rPr>
          <w:rFonts w:ascii="Cambria" w:hAnsi="Cambria"/>
          <w:color w:val="000000"/>
          <w:sz w:val="21"/>
          <w:szCs w:val="21"/>
          <w:lang w:val="es-PE"/>
        </w:rPr>
      </w:pPr>
    </w:p>
    <w:p w:rsidR="00B37A5B" w:rsidRPr="00922E45" w:rsidRDefault="00C129F5" w:rsidP="00261DC9">
      <w:pPr>
        <w:numPr>
          <w:ilvl w:val="0"/>
          <w:numId w:val="34"/>
        </w:numPr>
        <w:spacing w:after="0" w:line="240" w:lineRule="auto"/>
        <w:ind w:left="0" w:firstLine="360"/>
        <w:jc w:val="both"/>
        <w:rPr>
          <w:rFonts w:ascii="Cambria" w:hAnsi="Cambria"/>
          <w:color w:val="000000"/>
          <w:sz w:val="21"/>
          <w:szCs w:val="21"/>
          <w:lang w:val="es-PE"/>
        </w:rPr>
      </w:pPr>
      <w:r w:rsidRPr="00922E45">
        <w:rPr>
          <w:rFonts w:ascii="Cambria" w:hAnsi="Cambria"/>
          <w:color w:val="000000"/>
          <w:sz w:val="21"/>
          <w:szCs w:val="21"/>
          <w:lang w:val="es-PE"/>
        </w:rPr>
        <w:t>L</w:t>
      </w:r>
      <w:r w:rsidR="00B37A5B" w:rsidRPr="00922E45">
        <w:rPr>
          <w:rFonts w:ascii="Cambria" w:hAnsi="Cambria"/>
          <w:color w:val="000000"/>
          <w:sz w:val="21"/>
          <w:szCs w:val="21"/>
          <w:lang w:val="es-PE"/>
        </w:rPr>
        <w:t xml:space="preserve">a </w:t>
      </w:r>
      <w:r w:rsidR="00B41858" w:rsidRPr="00922E45">
        <w:rPr>
          <w:rFonts w:ascii="Cambria" w:hAnsi="Cambria"/>
          <w:color w:val="000000"/>
          <w:sz w:val="21"/>
          <w:szCs w:val="21"/>
          <w:lang w:val="es-PE"/>
        </w:rPr>
        <w:t xml:space="preserve">cuenca alta del </w:t>
      </w:r>
      <w:r w:rsidR="009C15C2" w:rsidRPr="00922E45">
        <w:rPr>
          <w:rFonts w:ascii="Cambria" w:hAnsi="Cambria"/>
          <w:color w:val="000000"/>
          <w:sz w:val="21"/>
          <w:szCs w:val="21"/>
          <w:lang w:val="es-PE"/>
        </w:rPr>
        <w:t xml:space="preserve">río </w:t>
      </w:r>
      <w:proofErr w:type="spellStart"/>
      <w:r w:rsidR="00B41858" w:rsidRPr="00922E45">
        <w:rPr>
          <w:rFonts w:ascii="Cambria" w:hAnsi="Cambria"/>
          <w:color w:val="000000"/>
          <w:sz w:val="21"/>
          <w:szCs w:val="21"/>
          <w:lang w:val="es-PE"/>
        </w:rPr>
        <w:t>Mezapa</w:t>
      </w:r>
      <w:proofErr w:type="spellEnd"/>
      <w:r w:rsidR="00B41858" w:rsidRPr="00922E45">
        <w:rPr>
          <w:rFonts w:ascii="Cambria" w:hAnsi="Cambria"/>
          <w:color w:val="000000"/>
          <w:sz w:val="21"/>
          <w:szCs w:val="21"/>
          <w:lang w:val="es-PE"/>
        </w:rPr>
        <w:t xml:space="preserve"> </w:t>
      </w:r>
      <w:r w:rsidR="00B37A5B" w:rsidRPr="00922E45">
        <w:rPr>
          <w:rFonts w:ascii="Cambria" w:hAnsi="Cambria"/>
          <w:color w:val="000000"/>
          <w:sz w:val="21"/>
          <w:szCs w:val="21"/>
          <w:lang w:val="es-PE"/>
        </w:rPr>
        <w:t xml:space="preserve">estaría altamente contaminada por </w:t>
      </w:r>
      <w:proofErr w:type="spellStart"/>
      <w:r w:rsidR="00B41858" w:rsidRPr="00922E45">
        <w:rPr>
          <w:rFonts w:ascii="Cambria" w:hAnsi="Cambria"/>
          <w:color w:val="000000"/>
          <w:sz w:val="21"/>
          <w:szCs w:val="21"/>
          <w:lang w:val="es-PE"/>
        </w:rPr>
        <w:t>coliformes</w:t>
      </w:r>
      <w:proofErr w:type="spellEnd"/>
      <w:r w:rsidR="00B41858" w:rsidRPr="00922E45">
        <w:rPr>
          <w:rFonts w:ascii="Cambria" w:hAnsi="Cambria"/>
          <w:color w:val="000000"/>
          <w:sz w:val="21"/>
          <w:szCs w:val="21"/>
          <w:lang w:val="es-PE"/>
        </w:rPr>
        <w:t xml:space="preserve"> fecales y </w:t>
      </w:r>
      <w:proofErr w:type="spellStart"/>
      <w:r w:rsidR="00B41858" w:rsidRPr="00922E45">
        <w:rPr>
          <w:rFonts w:ascii="Cambria" w:hAnsi="Cambria"/>
          <w:i/>
          <w:color w:val="000000"/>
          <w:sz w:val="21"/>
          <w:szCs w:val="21"/>
          <w:lang w:val="es-PE"/>
        </w:rPr>
        <w:t>escherichia</w:t>
      </w:r>
      <w:proofErr w:type="spellEnd"/>
      <w:r w:rsidR="00B41858" w:rsidRPr="00922E45">
        <w:rPr>
          <w:rFonts w:ascii="Cambria" w:hAnsi="Cambria"/>
          <w:i/>
          <w:color w:val="000000"/>
          <w:sz w:val="21"/>
          <w:szCs w:val="21"/>
          <w:lang w:val="es-PE"/>
        </w:rPr>
        <w:t xml:space="preserve"> </w:t>
      </w:r>
      <w:proofErr w:type="spellStart"/>
      <w:r w:rsidR="00B41858" w:rsidRPr="00922E45">
        <w:rPr>
          <w:rFonts w:ascii="Cambria" w:hAnsi="Cambria"/>
          <w:i/>
          <w:color w:val="000000"/>
          <w:sz w:val="21"/>
          <w:szCs w:val="21"/>
          <w:lang w:val="es-PE"/>
        </w:rPr>
        <w:t>coli</w:t>
      </w:r>
      <w:proofErr w:type="spellEnd"/>
      <w:r w:rsidR="00B41858" w:rsidRPr="00922E45">
        <w:rPr>
          <w:rFonts w:ascii="Cambria" w:hAnsi="Cambria"/>
          <w:i/>
          <w:color w:val="000000"/>
          <w:sz w:val="21"/>
          <w:szCs w:val="21"/>
          <w:lang w:val="es-PE"/>
        </w:rPr>
        <w:t xml:space="preserve"> (</w:t>
      </w:r>
      <w:proofErr w:type="spellStart"/>
      <w:r w:rsidR="00B41858" w:rsidRPr="00922E45">
        <w:rPr>
          <w:rFonts w:ascii="Cambria" w:hAnsi="Cambria"/>
          <w:i/>
          <w:color w:val="000000"/>
          <w:sz w:val="21"/>
          <w:szCs w:val="21"/>
          <w:lang w:val="es-PE"/>
        </w:rPr>
        <w:t>e.coli</w:t>
      </w:r>
      <w:proofErr w:type="spellEnd"/>
      <w:r w:rsidR="00B41858" w:rsidRPr="00922E45">
        <w:rPr>
          <w:rFonts w:ascii="Cambria" w:hAnsi="Cambria"/>
          <w:i/>
          <w:color w:val="000000"/>
          <w:sz w:val="21"/>
          <w:szCs w:val="21"/>
          <w:lang w:val="es-PE"/>
        </w:rPr>
        <w:t xml:space="preserve">) </w:t>
      </w:r>
      <w:r w:rsidR="00B41858" w:rsidRPr="00922E45">
        <w:rPr>
          <w:rFonts w:ascii="Cambria" w:hAnsi="Cambria"/>
          <w:color w:val="000000"/>
          <w:sz w:val="21"/>
          <w:szCs w:val="21"/>
          <w:lang w:val="es-PE"/>
        </w:rPr>
        <w:t>dado un efecto adverso de orden antrópico</w:t>
      </w:r>
      <w:r w:rsidR="00B41858" w:rsidRPr="00922E45">
        <w:rPr>
          <w:rStyle w:val="FootnoteReference"/>
          <w:rFonts w:ascii="Cambria" w:hAnsi="Cambria"/>
          <w:color w:val="000000"/>
          <w:sz w:val="21"/>
          <w:szCs w:val="21"/>
          <w:lang w:val="es-PE"/>
        </w:rPr>
        <w:footnoteReference w:id="3"/>
      </w:r>
      <w:r w:rsidR="00F651C9" w:rsidRPr="00922E45">
        <w:rPr>
          <w:rFonts w:ascii="Cambria" w:hAnsi="Cambria"/>
          <w:color w:val="000000"/>
          <w:sz w:val="21"/>
          <w:szCs w:val="21"/>
          <w:lang w:val="es-PE"/>
        </w:rPr>
        <w:t xml:space="preserve">, fundamentalmente </w:t>
      </w:r>
      <w:r w:rsidR="007A3653" w:rsidRPr="00922E45">
        <w:rPr>
          <w:rFonts w:ascii="Cambria" w:hAnsi="Cambria"/>
          <w:color w:val="000000"/>
          <w:sz w:val="21"/>
          <w:szCs w:val="21"/>
          <w:lang w:val="es-PE"/>
        </w:rPr>
        <w:t>debido a que trabajadores</w:t>
      </w:r>
      <w:r w:rsidR="00F651C9" w:rsidRPr="00922E45">
        <w:rPr>
          <w:rFonts w:ascii="Cambria" w:hAnsi="Cambria"/>
          <w:color w:val="000000"/>
          <w:sz w:val="21"/>
          <w:szCs w:val="21"/>
          <w:lang w:val="es-PE"/>
        </w:rPr>
        <w:t xml:space="preserve"> de la empresa </w:t>
      </w:r>
      <w:r w:rsidR="007A3653" w:rsidRPr="00922E45">
        <w:rPr>
          <w:rFonts w:ascii="Cambria" w:hAnsi="Cambria"/>
          <w:color w:val="000000"/>
          <w:sz w:val="21"/>
          <w:szCs w:val="21"/>
          <w:lang w:val="es-PE"/>
        </w:rPr>
        <w:t xml:space="preserve">no contarían con </w:t>
      </w:r>
      <w:r w:rsidR="00F651C9" w:rsidRPr="00922E45">
        <w:rPr>
          <w:rFonts w:ascii="Cambria" w:hAnsi="Cambria"/>
          <w:color w:val="000000"/>
          <w:sz w:val="21"/>
          <w:szCs w:val="21"/>
          <w:lang w:val="es-PE"/>
        </w:rPr>
        <w:t xml:space="preserve">servicios sanitarios, </w:t>
      </w:r>
      <w:r w:rsidR="007A3653" w:rsidRPr="00922E45">
        <w:rPr>
          <w:rFonts w:ascii="Cambria" w:hAnsi="Cambria"/>
          <w:color w:val="000000"/>
          <w:sz w:val="21"/>
          <w:szCs w:val="21"/>
          <w:lang w:val="es-PE"/>
        </w:rPr>
        <w:t xml:space="preserve">vertiendo </w:t>
      </w:r>
      <w:r w:rsidR="00F651C9" w:rsidRPr="00922E45">
        <w:rPr>
          <w:rFonts w:ascii="Cambria" w:hAnsi="Cambria"/>
          <w:color w:val="000000"/>
          <w:sz w:val="21"/>
          <w:szCs w:val="21"/>
          <w:lang w:val="es-PE"/>
        </w:rPr>
        <w:t xml:space="preserve">sus excreciones </w:t>
      </w:r>
      <w:r w:rsidR="007A3653" w:rsidRPr="00922E45">
        <w:rPr>
          <w:rFonts w:ascii="Cambria" w:hAnsi="Cambria"/>
          <w:color w:val="000000"/>
          <w:sz w:val="21"/>
          <w:szCs w:val="21"/>
          <w:lang w:val="es-PE"/>
        </w:rPr>
        <w:t>al rí</w:t>
      </w:r>
      <w:r w:rsidR="00F651C9" w:rsidRPr="00922E45">
        <w:rPr>
          <w:rFonts w:ascii="Cambria" w:hAnsi="Cambria"/>
          <w:color w:val="000000"/>
          <w:sz w:val="21"/>
          <w:szCs w:val="21"/>
          <w:lang w:val="es-PE"/>
        </w:rPr>
        <w:t xml:space="preserve">o. </w:t>
      </w:r>
      <w:r w:rsidR="00B37A5B" w:rsidRPr="00922E45">
        <w:rPr>
          <w:rFonts w:ascii="Cambria" w:hAnsi="Cambria"/>
          <w:color w:val="000000"/>
          <w:sz w:val="21"/>
          <w:szCs w:val="21"/>
          <w:lang w:val="es-PE"/>
        </w:rPr>
        <w:t xml:space="preserve">El agua que llega a los grifos sería de color café, y cuando llueve de color negruzco. Por ello, dicha agua ya no podría ser utilizada para cocinar, ni para beber. Además, produciría irritación en la piel. </w:t>
      </w:r>
    </w:p>
    <w:p w:rsidR="00B37A5B" w:rsidRPr="00922E45" w:rsidRDefault="00B37A5B" w:rsidP="00056027">
      <w:pPr>
        <w:spacing w:after="0" w:line="240" w:lineRule="auto"/>
        <w:ind w:left="360"/>
        <w:jc w:val="both"/>
        <w:rPr>
          <w:rFonts w:ascii="Cambria" w:hAnsi="Cambria"/>
          <w:color w:val="000000"/>
          <w:sz w:val="21"/>
          <w:szCs w:val="21"/>
          <w:lang w:val="es-PE"/>
        </w:rPr>
      </w:pPr>
    </w:p>
    <w:p w:rsidR="00B41858" w:rsidRPr="00922E45" w:rsidRDefault="00B37A5B" w:rsidP="00261DC9">
      <w:pPr>
        <w:numPr>
          <w:ilvl w:val="0"/>
          <w:numId w:val="34"/>
        </w:numPr>
        <w:spacing w:after="0" w:line="240" w:lineRule="auto"/>
        <w:ind w:left="0" w:firstLine="360"/>
        <w:jc w:val="both"/>
        <w:rPr>
          <w:rFonts w:ascii="Cambria" w:hAnsi="Cambria"/>
          <w:color w:val="000000"/>
          <w:sz w:val="21"/>
          <w:szCs w:val="21"/>
          <w:lang w:val="es-PE"/>
        </w:rPr>
      </w:pPr>
      <w:r w:rsidRPr="00922E45">
        <w:rPr>
          <w:rFonts w:ascii="Cambria" w:hAnsi="Cambria"/>
          <w:color w:val="000000"/>
          <w:sz w:val="21"/>
          <w:szCs w:val="21"/>
          <w:lang w:val="es-PE"/>
        </w:rPr>
        <w:t>L</w:t>
      </w:r>
      <w:r w:rsidR="00B41858" w:rsidRPr="00922E45">
        <w:rPr>
          <w:rFonts w:ascii="Cambria" w:hAnsi="Cambria"/>
          <w:color w:val="000000"/>
          <w:sz w:val="21"/>
          <w:szCs w:val="21"/>
          <w:lang w:val="es-PE"/>
        </w:rPr>
        <w:t xml:space="preserve">os solicitantes </w:t>
      </w:r>
      <w:r w:rsidR="00B80E25" w:rsidRPr="00922E45">
        <w:rPr>
          <w:rFonts w:ascii="Cambria" w:hAnsi="Cambria"/>
          <w:color w:val="000000"/>
          <w:sz w:val="21"/>
          <w:szCs w:val="21"/>
          <w:lang w:val="es-PE"/>
        </w:rPr>
        <w:t xml:space="preserve">se refirieron a </w:t>
      </w:r>
      <w:r w:rsidR="00B41858" w:rsidRPr="00922E45">
        <w:rPr>
          <w:rFonts w:ascii="Cambria" w:hAnsi="Cambria"/>
          <w:color w:val="000000"/>
          <w:sz w:val="21"/>
          <w:szCs w:val="21"/>
          <w:lang w:val="es-PE"/>
        </w:rPr>
        <w:t>estudios</w:t>
      </w:r>
      <w:r w:rsidR="002D7867" w:rsidRPr="00922E45">
        <w:rPr>
          <w:rFonts w:ascii="Cambria" w:hAnsi="Cambria"/>
          <w:color w:val="000000"/>
          <w:sz w:val="21"/>
          <w:szCs w:val="21"/>
          <w:lang w:val="es-PE"/>
        </w:rPr>
        <w:t xml:space="preserve"> </w:t>
      </w:r>
      <w:r w:rsidRPr="00922E45">
        <w:rPr>
          <w:rFonts w:ascii="Cambria" w:hAnsi="Cambria"/>
          <w:color w:val="000000"/>
          <w:sz w:val="21"/>
          <w:szCs w:val="21"/>
          <w:lang w:val="es-PE"/>
        </w:rPr>
        <w:t xml:space="preserve">producidos por entidades </w:t>
      </w:r>
      <w:r w:rsidR="002D7867" w:rsidRPr="00922E45">
        <w:rPr>
          <w:rFonts w:ascii="Cambria" w:hAnsi="Cambria"/>
          <w:color w:val="000000"/>
          <w:sz w:val="21"/>
          <w:szCs w:val="21"/>
          <w:lang w:val="es-PE"/>
        </w:rPr>
        <w:t>estatales y particulares</w:t>
      </w:r>
      <w:r w:rsidRPr="00922E45">
        <w:rPr>
          <w:rFonts w:ascii="Cambria" w:hAnsi="Cambria"/>
          <w:color w:val="000000"/>
          <w:sz w:val="21"/>
          <w:szCs w:val="21"/>
          <w:lang w:val="es-PE"/>
        </w:rPr>
        <w:t xml:space="preserve"> </w:t>
      </w:r>
      <w:r w:rsidR="00B80E25" w:rsidRPr="00922E45">
        <w:rPr>
          <w:rFonts w:ascii="Cambria" w:hAnsi="Cambria"/>
          <w:color w:val="000000"/>
          <w:sz w:val="21"/>
          <w:szCs w:val="21"/>
          <w:lang w:val="es-PE"/>
        </w:rPr>
        <w:t xml:space="preserve">sobre </w:t>
      </w:r>
      <w:r w:rsidRPr="00922E45">
        <w:rPr>
          <w:rFonts w:ascii="Cambria" w:hAnsi="Cambria"/>
          <w:color w:val="000000"/>
          <w:sz w:val="21"/>
          <w:szCs w:val="21"/>
          <w:lang w:val="es-PE"/>
        </w:rPr>
        <w:t>la calidad de las aguas</w:t>
      </w:r>
      <w:r w:rsidR="00B80E25" w:rsidRPr="00922E45">
        <w:rPr>
          <w:rFonts w:ascii="Cambria" w:hAnsi="Cambria"/>
          <w:color w:val="000000"/>
          <w:sz w:val="21"/>
          <w:szCs w:val="21"/>
          <w:lang w:val="es-PE"/>
        </w:rPr>
        <w:t xml:space="preserve"> del río </w:t>
      </w:r>
      <w:proofErr w:type="spellStart"/>
      <w:r w:rsidR="00B80E25" w:rsidRPr="00922E45">
        <w:rPr>
          <w:rFonts w:ascii="Cambria" w:hAnsi="Cambria"/>
          <w:color w:val="000000"/>
          <w:sz w:val="21"/>
          <w:szCs w:val="21"/>
          <w:lang w:val="es-PE"/>
        </w:rPr>
        <w:t>Mezapa</w:t>
      </w:r>
      <w:proofErr w:type="spellEnd"/>
      <w:r w:rsidRPr="00922E45">
        <w:rPr>
          <w:rFonts w:ascii="Cambria" w:hAnsi="Cambria"/>
          <w:color w:val="000000"/>
          <w:sz w:val="21"/>
          <w:szCs w:val="21"/>
          <w:lang w:val="es-PE"/>
        </w:rPr>
        <w:t xml:space="preserve">. </w:t>
      </w:r>
      <w:r w:rsidR="00B80E25" w:rsidRPr="00922E45">
        <w:rPr>
          <w:rFonts w:ascii="Cambria" w:hAnsi="Cambria"/>
          <w:color w:val="000000"/>
          <w:sz w:val="21"/>
          <w:szCs w:val="21"/>
          <w:lang w:val="es-PE"/>
        </w:rPr>
        <w:t>Entre ellos</w:t>
      </w:r>
      <w:r w:rsidRPr="00922E45">
        <w:rPr>
          <w:rFonts w:ascii="Cambria" w:hAnsi="Cambria"/>
          <w:color w:val="000000"/>
          <w:sz w:val="21"/>
          <w:szCs w:val="21"/>
          <w:lang w:val="es-PE"/>
        </w:rPr>
        <w:t xml:space="preserve">, </w:t>
      </w:r>
      <w:r w:rsidR="00B80E25" w:rsidRPr="00922E45">
        <w:rPr>
          <w:rFonts w:ascii="Cambria" w:hAnsi="Cambria"/>
          <w:color w:val="000000"/>
          <w:sz w:val="21"/>
          <w:szCs w:val="21"/>
          <w:lang w:val="es-PE"/>
        </w:rPr>
        <w:t xml:space="preserve">indicaron que el 14 de agosto de 2017 </w:t>
      </w:r>
      <w:r w:rsidRPr="00922E45">
        <w:rPr>
          <w:rFonts w:ascii="Cambria" w:hAnsi="Cambria"/>
          <w:color w:val="000000"/>
          <w:sz w:val="21"/>
          <w:szCs w:val="21"/>
          <w:lang w:val="es-PE"/>
        </w:rPr>
        <w:t xml:space="preserve">la Unidad de Control y Vigilancia para la Calidad de Agua de Consumo Humano, adscrita al Departamento de Vigilancia de la Salud de La Ceiba, </w:t>
      </w:r>
      <w:r w:rsidR="00B80E25" w:rsidRPr="00922E45">
        <w:rPr>
          <w:rFonts w:ascii="Cambria" w:hAnsi="Cambria"/>
          <w:color w:val="000000"/>
          <w:sz w:val="21"/>
          <w:szCs w:val="21"/>
          <w:lang w:val="es-PE"/>
        </w:rPr>
        <w:t xml:space="preserve">habría indicado, que el agua </w:t>
      </w:r>
      <w:r w:rsidRPr="00922E45">
        <w:rPr>
          <w:rFonts w:ascii="Cambria" w:hAnsi="Cambria"/>
          <w:color w:val="000000"/>
          <w:sz w:val="21"/>
          <w:szCs w:val="21"/>
          <w:lang w:val="es-PE"/>
        </w:rPr>
        <w:t xml:space="preserve">contiene residuos de </w:t>
      </w:r>
      <w:proofErr w:type="spellStart"/>
      <w:r w:rsidRPr="00922E45">
        <w:rPr>
          <w:rFonts w:ascii="Cambria" w:hAnsi="Cambria"/>
          <w:i/>
          <w:color w:val="000000"/>
          <w:sz w:val="21"/>
          <w:szCs w:val="21"/>
          <w:lang w:val="es-PE"/>
        </w:rPr>
        <w:t>coliformes</w:t>
      </w:r>
      <w:proofErr w:type="spellEnd"/>
      <w:r w:rsidRPr="00922E45">
        <w:rPr>
          <w:rFonts w:ascii="Cambria" w:hAnsi="Cambria"/>
          <w:i/>
          <w:color w:val="000000"/>
          <w:sz w:val="21"/>
          <w:szCs w:val="21"/>
          <w:lang w:val="es-PE"/>
        </w:rPr>
        <w:t xml:space="preserve"> fecales</w:t>
      </w:r>
      <w:r w:rsidRPr="00922E45">
        <w:rPr>
          <w:rFonts w:ascii="Cambria" w:hAnsi="Cambria"/>
          <w:color w:val="000000"/>
          <w:sz w:val="21"/>
          <w:szCs w:val="21"/>
          <w:lang w:val="es-PE"/>
        </w:rPr>
        <w:t xml:space="preserve"> por lo cual </w:t>
      </w:r>
      <w:r w:rsidR="00B80E25" w:rsidRPr="00922E45">
        <w:rPr>
          <w:rFonts w:ascii="Cambria" w:hAnsi="Cambria"/>
          <w:color w:val="000000"/>
          <w:sz w:val="21"/>
          <w:szCs w:val="21"/>
          <w:lang w:val="es-PE"/>
        </w:rPr>
        <w:t>“</w:t>
      </w:r>
      <w:r w:rsidRPr="00922E45">
        <w:rPr>
          <w:rFonts w:ascii="Cambria" w:hAnsi="Cambria"/>
          <w:color w:val="000000"/>
          <w:sz w:val="21"/>
          <w:szCs w:val="21"/>
          <w:lang w:val="es-PE"/>
        </w:rPr>
        <w:t>no es apta para consumo humano</w:t>
      </w:r>
      <w:r w:rsidR="00B80E25" w:rsidRPr="00922E45">
        <w:rPr>
          <w:rFonts w:ascii="Cambria" w:hAnsi="Cambria"/>
          <w:color w:val="000000"/>
          <w:sz w:val="21"/>
          <w:szCs w:val="21"/>
          <w:lang w:val="es-PE"/>
        </w:rPr>
        <w:t>”</w:t>
      </w:r>
      <w:r w:rsidRPr="00922E45">
        <w:rPr>
          <w:rStyle w:val="FootnoteReference"/>
          <w:rFonts w:ascii="Cambria" w:hAnsi="Cambria"/>
          <w:color w:val="000000"/>
          <w:sz w:val="21"/>
          <w:szCs w:val="21"/>
          <w:lang w:val="es-PE"/>
        </w:rPr>
        <w:footnoteReference w:id="4"/>
      </w:r>
      <w:r w:rsidRPr="00922E45">
        <w:rPr>
          <w:rFonts w:ascii="Cambria" w:hAnsi="Cambria"/>
          <w:color w:val="000000"/>
          <w:sz w:val="21"/>
          <w:szCs w:val="21"/>
          <w:lang w:val="es-PE"/>
        </w:rPr>
        <w:t>.</w:t>
      </w:r>
      <w:r w:rsidR="00B80E25" w:rsidRPr="00922E45">
        <w:rPr>
          <w:rFonts w:ascii="Cambria" w:hAnsi="Cambria"/>
          <w:color w:val="000000"/>
          <w:sz w:val="21"/>
          <w:szCs w:val="21"/>
          <w:lang w:val="es-PE"/>
        </w:rPr>
        <w:t xml:space="preserve"> Por otra parte, según el estudio </w:t>
      </w:r>
      <w:r w:rsidR="00F651C9" w:rsidRPr="00922E45">
        <w:rPr>
          <w:rFonts w:ascii="Cambria" w:hAnsi="Cambria"/>
          <w:color w:val="000000"/>
          <w:sz w:val="21"/>
          <w:szCs w:val="21"/>
          <w:lang w:val="es-PE"/>
        </w:rPr>
        <w:t xml:space="preserve">presentado por los solicitantes de </w:t>
      </w:r>
      <w:r w:rsidR="00B80E25" w:rsidRPr="00922E45">
        <w:rPr>
          <w:rFonts w:ascii="Cambria" w:hAnsi="Cambria"/>
          <w:color w:val="000000"/>
          <w:sz w:val="21"/>
          <w:szCs w:val="21"/>
          <w:lang w:val="es-PE"/>
        </w:rPr>
        <w:t xml:space="preserve">junio de 2017 </w:t>
      </w:r>
      <w:r w:rsidR="00F651C9" w:rsidRPr="00922E45">
        <w:rPr>
          <w:rFonts w:ascii="Cambria" w:hAnsi="Cambria"/>
          <w:color w:val="000000"/>
          <w:sz w:val="21"/>
          <w:szCs w:val="21"/>
          <w:lang w:val="es-PE"/>
        </w:rPr>
        <w:t xml:space="preserve">realizado </w:t>
      </w:r>
      <w:r w:rsidR="00B80E25" w:rsidRPr="00922E45">
        <w:rPr>
          <w:rFonts w:ascii="Cambria" w:hAnsi="Cambria"/>
          <w:color w:val="000000"/>
          <w:sz w:val="21"/>
          <w:szCs w:val="21"/>
          <w:lang w:val="es-PE"/>
        </w:rPr>
        <w:t>por un ingeniero del “MADJ”</w:t>
      </w:r>
      <w:r w:rsidR="00B80E25" w:rsidRPr="00922E45" w:rsidDel="002D7867">
        <w:rPr>
          <w:rFonts w:ascii="Cambria" w:hAnsi="Cambria"/>
          <w:color w:val="000000"/>
          <w:sz w:val="21"/>
          <w:szCs w:val="21"/>
          <w:lang w:val="es-PE"/>
        </w:rPr>
        <w:t xml:space="preserve"> </w:t>
      </w:r>
      <w:r w:rsidR="00B80E25" w:rsidRPr="00922E45">
        <w:rPr>
          <w:rFonts w:ascii="Cambria" w:hAnsi="Cambria"/>
          <w:color w:val="000000"/>
          <w:sz w:val="21"/>
          <w:szCs w:val="21"/>
          <w:lang w:val="es-PE"/>
        </w:rPr>
        <w:t>existiría un “desastre ambiental” que no podría ser superado con las medidas de mitigación que la empresa HIDROCEP está implementando. Según este informe, “la situación actual demanda obras de mayor calibre geotécnico y esperar a que entre 10 a 15 años el daño pueda ser realmente revertido</w:t>
      </w:r>
      <w:r w:rsidR="00F651C9" w:rsidRPr="00922E45">
        <w:rPr>
          <w:rFonts w:ascii="Cambria" w:hAnsi="Cambria"/>
          <w:color w:val="000000"/>
          <w:sz w:val="21"/>
          <w:szCs w:val="21"/>
          <w:lang w:val="es-PE"/>
        </w:rPr>
        <w:t>”, indicando que “[a]</w:t>
      </w:r>
      <w:proofErr w:type="spellStart"/>
      <w:r w:rsidR="00B80E25" w:rsidRPr="00922E45">
        <w:rPr>
          <w:rFonts w:ascii="Cambria" w:hAnsi="Cambria"/>
          <w:color w:val="000000"/>
          <w:sz w:val="21"/>
          <w:szCs w:val="21"/>
          <w:lang w:val="es-PE"/>
        </w:rPr>
        <w:t>ntes</w:t>
      </w:r>
      <w:proofErr w:type="spellEnd"/>
      <w:r w:rsidR="00B80E25" w:rsidRPr="00922E45">
        <w:rPr>
          <w:rFonts w:ascii="Cambria" w:hAnsi="Cambria"/>
          <w:color w:val="000000"/>
          <w:sz w:val="21"/>
          <w:szCs w:val="21"/>
          <w:lang w:val="es-PE"/>
        </w:rPr>
        <w:t xml:space="preserve"> de ese tiempo, las comunidades “rio abajo” se encuentran en un nivel de peligro</w:t>
      </w:r>
      <w:r w:rsidR="00F651C9" w:rsidRPr="00922E45">
        <w:rPr>
          <w:rFonts w:ascii="Cambria" w:hAnsi="Cambria"/>
          <w:color w:val="000000"/>
          <w:sz w:val="21"/>
          <w:szCs w:val="21"/>
          <w:lang w:val="es-PE"/>
        </w:rPr>
        <w:t>”</w:t>
      </w:r>
      <w:r w:rsidR="00B80E25" w:rsidRPr="00922E45">
        <w:rPr>
          <w:rFonts w:ascii="Cambria" w:hAnsi="Cambria"/>
          <w:color w:val="000000"/>
          <w:sz w:val="21"/>
          <w:szCs w:val="21"/>
          <w:lang w:val="es-PE"/>
        </w:rPr>
        <w:t xml:space="preserve">. Finalmente, los solicitantes se refirieron a un informe realizado </w:t>
      </w:r>
      <w:r w:rsidR="00F651C9" w:rsidRPr="00922E45">
        <w:rPr>
          <w:rFonts w:ascii="Cambria" w:hAnsi="Cambria"/>
          <w:color w:val="000000"/>
          <w:sz w:val="21"/>
          <w:szCs w:val="21"/>
          <w:lang w:val="es-PE"/>
        </w:rPr>
        <w:t xml:space="preserve">por </w:t>
      </w:r>
      <w:r w:rsidR="00B80E25" w:rsidRPr="00922E45">
        <w:rPr>
          <w:rFonts w:ascii="Cambria" w:hAnsi="Cambria"/>
          <w:color w:val="000000"/>
          <w:sz w:val="21"/>
          <w:szCs w:val="21"/>
          <w:lang w:val="es-PE"/>
        </w:rPr>
        <w:t>la Fundación para la Salvaguardia del Medio Ambiente (</w:t>
      </w:r>
      <w:proofErr w:type="spellStart"/>
      <w:r w:rsidR="00B80E25" w:rsidRPr="00922E45">
        <w:rPr>
          <w:rFonts w:ascii="Cambria" w:hAnsi="Cambria"/>
          <w:color w:val="000000"/>
          <w:sz w:val="21"/>
          <w:szCs w:val="21"/>
          <w:lang w:val="es-PE"/>
        </w:rPr>
        <w:t>FundaAmbiente</w:t>
      </w:r>
      <w:proofErr w:type="spellEnd"/>
      <w:r w:rsidR="00B80E25" w:rsidRPr="00922E45">
        <w:rPr>
          <w:rFonts w:ascii="Cambria" w:hAnsi="Cambria"/>
          <w:color w:val="000000"/>
          <w:sz w:val="21"/>
          <w:szCs w:val="21"/>
          <w:lang w:val="es-PE"/>
        </w:rPr>
        <w:t xml:space="preserve">) el 22 de noviembre de 2017 </w:t>
      </w:r>
      <w:r w:rsidR="00F651C9" w:rsidRPr="00922E45">
        <w:rPr>
          <w:rFonts w:ascii="Cambria" w:hAnsi="Cambria"/>
          <w:color w:val="000000"/>
          <w:sz w:val="21"/>
          <w:szCs w:val="21"/>
          <w:lang w:val="es-PE"/>
        </w:rPr>
        <w:t xml:space="preserve">el cual </w:t>
      </w:r>
      <w:r w:rsidR="00B80E25" w:rsidRPr="00922E45">
        <w:rPr>
          <w:rFonts w:ascii="Cambria" w:hAnsi="Cambria"/>
          <w:color w:val="000000"/>
          <w:sz w:val="21"/>
          <w:szCs w:val="21"/>
          <w:lang w:val="es-PE"/>
        </w:rPr>
        <w:t xml:space="preserve">indica la presencia de 1) </w:t>
      </w:r>
      <w:proofErr w:type="spellStart"/>
      <w:r w:rsidR="00B80E25" w:rsidRPr="00922E45">
        <w:rPr>
          <w:rFonts w:ascii="Cambria" w:hAnsi="Cambria"/>
          <w:color w:val="000000"/>
          <w:sz w:val="21"/>
          <w:szCs w:val="21"/>
          <w:lang w:val="es-PE"/>
        </w:rPr>
        <w:t>coliformes</w:t>
      </w:r>
      <w:proofErr w:type="spellEnd"/>
      <w:r w:rsidR="00B80E25" w:rsidRPr="00922E45">
        <w:rPr>
          <w:rFonts w:ascii="Cambria" w:hAnsi="Cambria"/>
          <w:color w:val="000000"/>
          <w:sz w:val="21"/>
          <w:szCs w:val="21"/>
          <w:lang w:val="es-PE"/>
        </w:rPr>
        <w:t xml:space="preserve"> totales en niveles que ascienden a 4,105.8 NMP/100 </w:t>
      </w:r>
      <w:proofErr w:type="spellStart"/>
      <w:r w:rsidR="00B80E25" w:rsidRPr="00922E45">
        <w:rPr>
          <w:rFonts w:ascii="Cambria" w:hAnsi="Cambria"/>
          <w:color w:val="000000"/>
          <w:sz w:val="21"/>
          <w:szCs w:val="21"/>
          <w:lang w:val="es-PE"/>
        </w:rPr>
        <w:t>mL</w:t>
      </w:r>
      <w:proofErr w:type="spellEnd"/>
      <w:r w:rsidR="00B80E25" w:rsidRPr="00922E45">
        <w:rPr>
          <w:rFonts w:ascii="Cambria" w:hAnsi="Cambria"/>
          <w:color w:val="000000"/>
          <w:sz w:val="21"/>
          <w:szCs w:val="21"/>
          <w:lang w:val="es-PE"/>
        </w:rPr>
        <w:t xml:space="preserve">; 2) </w:t>
      </w:r>
      <w:proofErr w:type="spellStart"/>
      <w:r w:rsidR="00B80E25" w:rsidRPr="00922E45">
        <w:rPr>
          <w:rFonts w:ascii="Cambria" w:hAnsi="Cambria"/>
          <w:i/>
          <w:color w:val="000000"/>
          <w:sz w:val="21"/>
          <w:szCs w:val="21"/>
          <w:lang w:val="es-PE"/>
        </w:rPr>
        <w:t>coliformes</w:t>
      </w:r>
      <w:proofErr w:type="spellEnd"/>
      <w:r w:rsidR="00B80E25" w:rsidRPr="00922E45">
        <w:rPr>
          <w:rFonts w:ascii="Cambria" w:hAnsi="Cambria"/>
          <w:i/>
          <w:color w:val="000000"/>
          <w:sz w:val="21"/>
          <w:szCs w:val="21"/>
          <w:lang w:val="es-PE"/>
        </w:rPr>
        <w:t xml:space="preserve"> fecales</w:t>
      </w:r>
      <w:r w:rsidR="00B80E25" w:rsidRPr="00922E45">
        <w:rPr>
          <w:rFonts w:ascii="Cambria" w:hAnsi="Cambria"/>
          <w:color w:val="000000"/>
          <w:sz w:val="21"/>
          <w:szCs w:val="21"/>
          <w:lang w:val="es-PE"/>
        </w:rPr>
        <w:t xml:space="preserve"> (4938 NMP/100 </w:t>
      </w:r>
      <w:proofErr w:type="spellStart"/>
      <w:r w:rsidR="00B80E25" w:rsidRPr="00922E45">
        <w:rPr>
          <w:rFonts w:ascii="Cambria" w:hAnsi="Cambria"/>
          <w:color w:val="000000"/>
          <w:sz w:val="21"/>
          <w:szCs w:val="21"/>
          <w:lang w:val="es-PE"/>
        </w:rPr>
        <w:t>mL</w:t>
      </w:r>
      <w:proofErr w:type="spellEnd"/>
      <w:r w:rsidR="00B80E25" w:rsidRPr="00922E45">
        <w:rPr>
          <w:rFonts w:ascii="Cambria" w:hAnsi="Cambria"/>
          <w:color w:val="000000"/>
          <w:sz w:val="21"/>
          <w:szCs w:val="21"/>
          <w:lang w:val="es-PE"/>
        </w:rPr>
        <w:t xml:space="preserve">); y 3) </w:t>
      </w:r>
      <w:proofErr w:type="spellStart"/>
      <w:r w:rsidR="00B80E25" w:rsidRPr="00922E45">
        <w:rPr>
          <w:rFonts w:ascii="Cambria" w:hAnsi="Cambria"/>
          <w:i/>
          <w:color w:val="000000"/>
          <w:sz w:val="21"/>
          <w:szCs w:val="21"/>
          <w:lang w:val="es-PE"/>
        </w:rPr>
        <w:t>escherichia</w:t>
      </w:r>
      <w:proofErr w:type="spellEnd"/>
      <w:r w:rsidR="00B80E25" w:rsidRPr="00922E45">
        <w:rPr>
          <w:rFonts w:ascii="Cambria" w:hAnsi="Cambria"/>
          <w:i/>
          <w:color w:val="000000"/>
          <w:sz w:val="21"/>
          <w:szCs w:val="21"/>
          <w:lang w:val="es-PE"/>
        </w:rPr>
        <w:t xml:space="preserve"> </w:t>
      </w:r>
      <w:proofErr w:type="spellStart"/>
      <w:r w:rsidR="00B80E25" w:rsidRPr="00922E45">
        <w:rPr>
          <w:rFonts w:ascii="Cambria" w:hAnsi="Cambria"/>
          <w:i/>
          <w:color w:val="000000"/>
          <w:sz w:val="21"/>
          <w:szCs w:val="21"/>
          <w:lang w:val="es-PE"/>
        </w:rPr>
        <w:t>coli</w:t>
      </w:r>
      <w:proofErr w:type="spellEnd"/>
      <w:r w:rsidR="00B80E25" w:rsidRPr="00922E45">
        <w:rPr>
          <w:rFonts w:ascii="Cambria" w:hAnsi="Cambria"/>
          <w:color w:val="000000"/>
          <w:sz w:val="21"/>
          <w:szCs w:val="21"/>
          <w:lang w:val="es-PE"/>
        </w:rPr>
        <w:t xml:space="preserve"> (201.1 NMP/100 </w:t>
      </w:r>
      <w:proofErr w:type="spellStart"/>
      <w:r w:rsidR="00B80E25" w:rsidRPr="00922E45">
        <w:rPr>
          <w:rFonts w:ascii="Cambria" w:hAnsi="Cambria"/>
          <w:color w:val="000000"/>
          <w:sz w:val="21"/>
          <w:szCs w:val="21"/>
          <w:lang w:val="es-PE"/>
        </w:rPr>
        <w:t>mL</w:t>
      </w:r>
      <w:proofErr w:type="spellEnd"/>
      <w:r w:rsidR="00B80E25" w:rsidRPr="00922E45">
        <w:rPr>
          <w:rFonts w:ascii="Cambria" w:hAnsi="Cambria"/>
          <w:color w:val="000000"/>
          <w:sz w:val="21"/>
          <w:szCs w:val="21"/>
          <w:lang w:val="es-PE"/>
        </w:rPr>
        <w:t>).</w:t>
      </w:r>
    </w:p>
    <w:p w:rsidR="00F651C9" w:rsidRPr="00922E45" w:rsidRDefault="00F651C9" w:rsidP="00161B47">
      <w:pPr>
        <w:spacing w:after="0" w:line="240" w:lineRule="auto"/>
        <w:ind w:left="360"/>
        <w:jc w:val="both"/>
        <w:rPr>
          <w:rFonts w:ascii="Cambria" w:hAnsi="Cambria"/>
          <w:color w:val="000000"/>
          <w:sz w:val="21"/>
          <w:szCs w:val="21"/>
          <w:lang w:val="es-PE"/>
        </w:rPr>
      </w:pPr>
    </w:p>
    <w:p w:rsidR="00F651C9" w:rsidRPr="00922E45" w:rsidRDefault="00F651C9" w:rsidP="00161B47">
      <w:pPr>
        <w:numPr>
          <w:ilvl w:val="0"/>
          <w:numId w:val="34"/>
        </w:numPr>
        <w:spacing w:after="0" w:line="240" w:lineRule="auto"/>
        <w:ind w:left="0" w:firstLine="360"/>
        <w:jc w:val="both"/>
        <w:rPr>
          <w:rFonts w:ascii="Cambria" w:hAnsi="Cambria"/>
          <w:color w:val="000000"/>
          <w:sz w:val="21"/>
          <w:szCs w:val="21"/>
          <w:lang w:val="es-PE"/>
        </w:rPr>
      </w:pPr>
      <w:r w:rsidRPr="00922E45">
        <w:rPr>
          <w:rFonts w:ascii="Cambria" w:hAnsi="Cambria"/>
          <w:color w:val="000000"/>
          <w:sz w:val="21"/>
          <w:szCs w:val="21"/>
          <w:lang w:val="es-PE"/>
        </w:rPr>
        <w:t xml:space="preserve">Los solicitantes señalaron que, según la OMS, algunos tipos de </w:t>
      </w:r>
      <w:proofErr w:type="spellStart"/>
      <w:r w:rsidRPr="00922E45">
        <w:rPr>
          <w:rFonts w:ascii="Cambria" w:hAnsi="Cambria"/>
          <w:color w:val="000000"/>
          <w:sz w:val="21"/>
          <w:szCs w:val="21"/>
          <w:lang w:val="es-PE"/>
        </w:rPr>
        <w:t>coliformes</w:t>
      </w:r>
      <w:proofErr w:type="spellEnd"/>
      <w:r w:rsidRPr="00922E45">
        <w:rPr>
          <w:rFonts w:ascii="Cambria" w:hAnsi="Cambria"/>
          <w:color w:val="000000"/>
          <w:sz w:val="21"/>
          <w:szCs w:val="21"/>
          <w:lang w:val="es-PE"/>
        </w:rPr>
        <w:t xml:space="preserve"> fecales pueden causar daños a la salud, como diarreas que va</w:t>
      </w:r>
      <w:r w:rsidR="00391EE7" w:rsidRPr="00922E45">
        <w:rPr>
          <w:rFonts w:ascii="Cambria" w:hAnsi="Cambria"/>
          <w:color w:val="000000"/>
          <w:sz w:val="21"/>
          <w:szCs w:val="21"/>
          <w:lang w:val="es-PE"/>
        </w:rPr>
        <w:t>n</w:t>
      </w:r>
      <w:r w:rsidRPr="00922E45">
        <w:rPr>
          <w:rFonts w:ascii="Cambria" w:hAnsi="Cambria"/>
          <w:color w:val="000000"/>
          <w:sz w:val="21"/>
          <w:szCs w:val="21"/>
          <w:lang w:val="es-PE"/>
        </w:rPr>
        <w:t xml:space="preserve"> desde leves y no hemorrágicas hasta altamente hemorrágicas, e incluso la muerte.  Agregaron que la OMS considera</w:t>
      </w:r>
      <w:r w:rsidR="007A3653" w:rsidRPr="00922E45">
        <w:rPr>
          <w:rFonts w:ascii="Cambria" w:hAnsi="Cambria"/>
          <w:color w:val="000000"/>
          <w:sz w:val="21"/>
          <w:szCs w:val="21"/>
          <w:lang w:val="es-PE"/>
        </w:rPr>
        <w:t>ría</w:t>
      </w:r>
      <w:r w:rsidRPr="00922E45">
        <w:rPr>
          <w:rFonts w:ascii="Cambria" w:hAnsi="Cambria"/>
          <w:color w:val="000000"/>
          <w:sz w:val="21"/>
          <w:szCs w:val="21"/>
          <w:lang w:val="es-PE"/>
        </w:rPr>
        <w:t xml:space="preserve"> a la </w:t>
      </w:r>
      <w:proofErr w:type="spellStart"/>
      <w:r w:rsidRPr="00922E45">
        <w:rPr>
          <w:rFonts w:ascii="Cambria" w:hAnsi="Cambria"/>
          <w:i/>
          <w:color w:val="000000"/>
          <w:sz w:val="21"/>
          <w:szCs w:val="21"/>
          <w:lang w:val="es-PE"/>
        </w:rPr>
        <w:t>escherichia</w:t>
      </w:r>
      <w:proofErr w:type="spellEnd"/>
      <w:r w:rsidRPr="00922E45">
        <w:rPr>
          <w:rFonts w:ascii="Cambria" w:hAnsi="Cambria"/>
          <w:i/>
          <w:color w:val="000000"/>
          <w:sz w:val="21"/>
          <w:szCs w:val="21"/>
          <w:lang w:val="es-PE"/>
        </w:rPr>
        <w:t xml:space="preserve"> </w:t>
      </w:r>
      <w:proofErr w:type="spellStart"/>
      <w:r w:rsidRPr="00922E45">
        <w:rPr>
          <w:rFonts w:ascii="Cambria" w:hAnsi="Cambria"/>
          <w:i/>
          <w:color w:val="000000"/>
          <w:sz w:val="21"/>
          <w:szCs w:val="21"/>
          <w:lang w:val="es-PE"/>
        </w:rPr>
        <w:t>coli</w:t>
      </w:r>
      <w:proofErr w:type="spellEnd"/>
      <w:r w:rsidRPr="00922E45">
        <w:rPr>
          <w:rFonts w:ascii="Cambria" w:hAnsi="Cambria"/>
          <w:color w:val="000000"/>
          <w:sz w:val="21"/>
          <w:szCs w:val="21"/>
          <w:lang w:val="es-PE"/>
        </w:rPr>
        <w:t xml:space="preserve"> (</w:t>
      </w:r>
      <w:proofErr w:type="spellStart"/>
      <w:r w:rsidRPr="00922E45">
        <w:rPr>
          <w:rFonts w:ascii="Cambria" w:hAnsi="Cambria"/>
          <w:i/>
          <w:color w:val="000000"/>
          <w:sz w:val="21"/>
          <w:szCs w:val="21"/>
          <w:lang w:val="es-PE"/>
        </w:rPr>
        <w:t>e.coli</w:t>
      </w:r>
      <w:proofErr w:type="spellEnd"/>
      <w:r w:rsidRPr="00922E45">
        <w:rPr>
          <w:rFonts w:ascii="Cambria" w:hAnsi="Cambria"/>
          <w:color w:val="000000"/>
          <w:sz w:val="21"/>
          <w:szCs w:val="21"/>
          <w:lang w:val="es-PE"/>
        </w:rPr>
        <w:t xml:space="preserve">) como una de las tres bacterias más peligrosas para la salud humana y, según la Norma Técnica Nacional para la Calidad del Agua Potable de Honduras para que el agua pudiera ser considerada apta la presencia de </w:t>
      </w:r>
      <w:proofErr w:type="spellStart"/>
      <w:r w:rsidRPr="00922E45">
        <w:rPr>
          <w:rFonts w:ascii="Cambria" w:hAnsi="Cambria"/>
          <w:i/>
          <w:color w:val="000000"/>
          <w:sz w:val="21"/>
          <w:szCs w:val="21"/>
          <w:lang w:val="es-PE"/>
        </w:rPr>
        <w:t>coliformes</w:t>
      </w:r>
      <w:proofErr w:type="spellEnd"/>
      <w:r w:rsidRPr="00922E45">
        <w:rPr>
          <w:rFonts w:ascii="Cambria" w:hAnsi="Cambria"/>
          <w:i/>
          <w:color w:val="000000"/>
          <w:sz w:val="21"/>
          <w:szCs w:val="21"/>
          <w:lang w:val="es-PE"/>
        </w:rPr>
        <w:t xml:space="preserve"> fecales</w:t>
      </w:r>
      <w:r w:rsidRPr="00922E45">
        <w:rPr>
          <w:rFonts w:ascii="Cambria" w:hAnsi="Cambria"/>
          <w:color w:val="000000"/>
          <w:sz w:val="21"/>
          <w:szCs w:val="21"/>
          <w:lang w:val="es-PE"/>
        </w:rPr>
        <w:t xml:space="preserve"> y de </w:t>
      </w:r>
      <w:proofErr w:type="spellStart"/>
      <w:r w:rsidRPr="00922E45">
        <w:rPr>
          <w:rFonts w:ascii="Cambria" w:hAnsi="Cambria"/>
          <w:i/>
          <w:color w:val="000000"/>
          <w:sz w:val="21"/>
          <w:szCs w:val="21"/>
          <w:lang w:val="es-PE"/>
        </w:rPr>
        <w:t>e.coli</w:t>
      </w:r>
      <w:proofErr w:type="spellEnd"/>
      <w:r w:rsidRPr="00922E45">
        <w:rPr>
          <w:rFonts w:ascii="Cambria" w:hAnsi="Cambria"/>
          <w:color w:val="000000"/>
          <w:sz w:val="21"/>
          <w:szCs w:val="21"/>
          <w:lang w:val="es-PE"/>
        </w:rPr>
        <w:t xml:space="preserve"> debe ser equivalente a 0 NMP/100 </w:t>
      </w:r>
      <w:proofErr w:type="spellStart"/>
      <w:r w:rsidRPr="00922E45">
        <w:rPr>
          <w:rFonts w:ascii="Cambria" w:hAnsi="Cambria"/>
          <w:color w:val="000000"/>
          <w:sz w:val="21"/>
          <w:szCs w:val="21"/>
          <w:lang w:val="es-PE"/>
        </w:rPr>
        <w:t>mL</w:t>
      </w:r>
      <w:proofErr w:type="spellEnd"/>
      <w:r w:rsidRPr="00922E45">
        <w:rPr>
          <w:rFonts w:ascii="Cambria" w:hAnsi="Cambria"/>
          <w:color w:val="000000"/>
          <w:sz w:val="21"/>
          <w:szCs w:val="21"/>
          <w:lang w:val="es-PE"/>
        </w:rPr>
        <w:t xml:space="preserve">. Según los solicitantes, la Secretaria de Salud de Honduras habría señalado en diversas ocasiones la importancia de mantener la vigilancia epidemiológica de la </w:t>
      </w:r>
      <w:r w:rsidRPr="00922E45">
        <w:rPr>
          <w:rFonts w:ascii="Cambria" w:hAnsi="Cambria"/>
          <w:i/>
          <w:color w:val="000000"/>
          <w:sz w:val="21"/>
          <w:szCs w:val="21"/>
          <w:lang w:val="es-PE"/>
        </w:rPr>
        <w:t xml:space="preserve">e. </w:t>
      </w:r>
      <w:proofErr w:type="spellStart"/>
      <w:r w:rsidRPr="00922E45">
        <w:rPr>
          <w:rFonts w:ascii="Cambria" w:hAnsi="Cambria"/>
          <w:i/>
          <w:color w:val="000000"/>
          <w:sz w:val="21"/>
          <w:szCs w:val="21"/>
          <w:lang w:val="es-PE"/>
        </w:rPr>
        <w:t>coli</w:t>
      </w:r>
      <w:proofErr w:type="spellEnd"/>
      <w:r w:rsidRPr="00922E45">
        <w:rPr>
          <w:rFonts w:ascii="Cambria" w:hAnsi="Cambria"/>
          <w:i/>
          <w:color w:val="000000"/>
          <w:sz w:val="21"/>
          <w:szCs w:val="21"/>
          <w:lang w:val="es-PE"/>
        </w:rPr>
        <w:t xml:space="preserve"> </w:t>
      </w:r>
      <w:r w:rsidRPr="00922E45">
        <w:rPr>
          <w:rFonts w:ascii="Cambria" w:hAnsi="Cambria"/>
          <w:color w:val="000000"/>
          <w:sz w:val="21"/>
          <w:szCs w:val="21"/>
          <w:lang w:val="es-PE"/>
        </w:rPr>
        <w:t xml:space="preserve">por su capacidad de producir brotes de diarrea y del síndrome urémico. </w:t>
      </w:r>
    </w:p>
    <w:p w:rsidR="00261DC9" w:rsidRPr="00922E45" w:rsidRDefault="00261DC9" w:rsidP="00161B47">
      <w:pPr>
        <w:spacing w:after="0" w:line="240" w:lineRule="auto"/>
        <w:jc w:val="both"/>
        <w:rPr>
          <w:rFonts w:ascii="Cambria" w:hAnsi="Cambria"/>
          <w:color w:val="000000"/>
          <w:sz w:val="21"/>
          <w:szCs w:val="21"/>
          <w:lang w:val="es-PE"/>
        </w:rPr>
      </w:pPr>
    </w:p>
    <w:p w:rsidR="00A95859" w:rsidRPr="00922E45" w:rsidRDefault="00B41858" w:rsidP="00261DC9">
      <w:pPr>
        <w:numPr>
          <w:ilvl w:val="0"/>
          <w:numId w:val="34"/>
        </w:numPr>
        <w:spacing w:after="0" w:line="240" w:lineRule="auto"/>
        <w:ind w:left="0" w:firstLine="360"/>
        <w:jc w:val="both"/>
        <w:rPr>
          <w:rFonts w:ascii="Cambria" w:hAnsi="Cambria"/>
          <w:color w:val="000000"/>
          <w:sz w:val="21"/>
          <w:szCs w:val="21"/>
          <w:lang w:val="es-PE"/>
        </w:rPr>
      </w:pPr>
      <w:r w:rsidRPr="00922E45">
        <w:rPr>
          <w:rFonts w:ascii="Cambria" w:hAnsi="Cambria"/>
          <w:color w:val="000000"/>
          <w:sz w:val="21"/>
          <w:szCs w:val="21"/>
          <w:lang w:val="es-PE"/>
        </w:rPr>
        <w:t xml:space="preserve">Los solicitantes indicaron </w:t>
      </w:r>
      <w:r w:rsidR="00261DC9" w:rsidRPr="00922E45">
        <w:rPr>
          <w:rFonts w:ascii="Cambria" w:hAnsi="Cambria"/>
          <w:color w:val="000000"/>
          <w:sz w:val="21"/>
          <w:szCs w:val="21"/>
          <w:lang w:val="es-PE"/>
        </w:rPr>
        <w:t xml:space="preserve">no obstante se solicitó </w:t>
      </w:r>
      <w:r w:rsidRPr="00922E45">
        <w:rPr>
          <w:rFonts w:ascii="Cambria" w:hAnsi="Cambria"/>
          <w:color w:val="000000"/>
          <w:sz w:val="21"/>
          <w:szCs w:val="21"/>
          <w:lang w:val="es-PE"/>
        </w:rPr>
        <w:t xml:space="preserve">información sobre la situación de salud </w:t>
      </w:r>
      <w:r w:rsidR="00261DC9" w:rsidRPr="00922E45">
        <w:rPr>
          <w:rFonts w:ascii="Cambria" w:hAnsi="Cambria"/>
          <w:color w:val="000000"/>
          <w:sz w:val="21"/>
          <w:szCs w:val="21"/>
          <w:lang w:val="es-PE"/>
        </w:rPr>
        <w:t xml:space="preserve">de las comunidades </w:t>
      </w:r>
      <w:r w:rsidRPr="00922E45">
        <w:rPr>
          <w:rFonts w:ascii="Cambria" w:hAnsi="Cambria"/>
          <w:color w:val="000000"/>
          <w:sz w:val="21"/>
          <w:szCs w:val="21"/>
          <w:lang w:val="es-PE"/>
        </w:rPr>
        <w:t>en septiembre y noviembre de 2017 al Centro de Salud</w:t>
      </w:r>
      <w:r w:rsidR="00261DC9" w:rsidRPr="00922E45">
        <w:rPr>
          <w:rFonts w:ascii="Cambria" w:hAnsi="Cambria"/>
          <w:color w:val="000000"/>
          <w:sz w:val="21"/>
          <w:szCs w:val="21"/>
          <w:lang w:val="es-PE"/>
        </w:rPr>
        <w:t>, no se habría obtenido respuesta</w:t>
      </w:r>
      <w:r w:rsidRPr="00922E45">
        <w:rPr>
          <w:rFonts w:ascii="Cambria" w:hAnsi="Cambria"/>
          <w:color w:val="000000"/>
          <w:sz w:val="21"/>
          <w:szCs w:val="21"/>
          <w:lang w:val="es-PE"/>
        </w:rPr>
        <w:t xml:space="preserve">. </w:t>
      </w:r>
      <w:r w:rsidR="00261DC9" w:rsidRPr="00922E45">
        <w:rPr>
          <w:rFonts w:ascii="Cambria" w:hAnsi="Cambria"/>
          <w:color w:val="000000"/>
          <w:sz w:val="21"/>
          <w:szCs w:val="21"/>
          <w:lang w:val="es-PE"/>
        </w:rPr>
        <w:lastRenderedPageBreak/>
        <w:t xml:space="preserve">Sin embargo, tras realizar </w:t>
      </w:r>
      <w:r w:rsidRPr="00922E45">
        <w:rPr>
          <w:rFonts w:ascii="Cambria" w:hAnsi="Cambria"/>
          <w:color w:val="000000"/>
          <w:sz w:val="21"/>
          <w:szCs w:val="21"/>
          <w:lang w:val="es-PE"/>
        </w:rPr>
        <w:t>entrevistas con habitantes del Sector Pajuiles</w:t>
      </w:r>
      <w:r w:rsidR="00261DC9" w:rsidRPr="00922E45">
        <w:rPr>
          <w:rFonts w:ascii="Cambria" w:hAnsi="Cambria"/>
          <w:color w:val="000000"/>
          <w:sz w:val="21"/>
          <w:szCs w:val="21"/>
          <w:lang w:val="es-PE"/>
        </w:rPr>
        <w:t>,</w:t>
      </w:r>
      <w:r w:rsidRPr="00922E45">
        <w:rPr>
          <w:rFonts w:ascii="Cambria" w:hAnsi="Cambria"/>
          <w:color w:val="000000"/>
          <w:sz w:val="21"/>
          <w:szCs w:val="21"/>
          <w:lang w:val="es-PE"/>
        </w:rPr>
        <w:t xml:space="preserve"> habrían determinado que entre junio de 2016 a noviembre de 2017 se habrían presentado cuadros de diarrea, mareos, vómitos y deshidratación, los cuales consideran se relacionan con </w:t>
      </w:r>
      <w:proofErr w:type="spellStart"/>
      <w:r w:rsidRPr="00922E45">
        <w:rPr>
          <w:rFonts w:ascii="Cambria" w:hAnsi="Cambria"/>
          <w:i/>
          <w:color w:val="000000"/>
          <w:sz w:val="21"/>
          <w:szCs w:val="21"/>
          <w:lang w:val="es-PE"/>
        </w:rPr>
        <w:t>e.coli</w:t>
      </w:r>
      <w:proofErr w:type="spellEnd"/>
      <w:r w:rsidRPr="00922E45">
        <w:rPr>
          <w:rFonts w:ascii="Cambria" w:hAnsi="Cambria"/>
          <w:color w:val="000000"/>
          <w:sz w:val="21"/>
          <w:szCs w:val="21"/>
          <w:lang w:val="es-PE"/>
        </w:rPr>
        <w:t xml:space="preserve">. En la zona, solo existiría un Centro de Salud que no contaría con medicamentos suficientes y </w:t>
      </w:r>
      <w:r w:rsidR="00542236" w:rsidRPr="00922E45">
        <w:rPr>
          <w:rFonts w:ascii="Cambria" w:hAnsi="Cambria"/>
          <w:color w:val="000000"/>
          <w:sz w:val="21"/>
          <w:szCs w:val="21"/>
          <w:lang w:val="es-PE"/>
        </w:rPr>
        <w:t xml:space="preserve">tendría </w:t>
      </w:r>
      <w:r w:rsidRPr="00922E45">
        <w:rPr>
          <w:rFonts w:ascii="Cambria" w:hAnsi="Cambria"/>
          <w:color w:val="000000"/>
          <w:sz w:val="21"/>
          <w:szCs w:val="21"/>
          <w:lang w:val="es-PE"/>
        </w:rPr>
        <w:t xml:space="preserve">escaso personal. </w:t>
      </w:r>
      <w:r w:rsidR="00A95859" w:rsidRPr="00922E45">
        <w:rPr>
          <w:rFonts w:ascii="Cambria" w:hAnsi="Cambria"/>
          <w:sz w:val="21"/>
          <w:szCs w:val="21"/>
          <w:lang w:val="es-PE"/>
        </w:rPr>
        <w:t>Los solicitantes habrían presentado denuncias</w:t>
      </w:r>
      <w:r w:rsidR="007A3653" w:rsidRPr="00922E45">
        <w:rPr>
          <w:rFonts w:ascii="Cambria" w:hAnsi="Cambria"/>
          <w:sz w:val="21"/>
          <w:szCs w:val="21"/>
          <w:lang w:val="es-PE"/>
        </w:rPr>
        <w:t xml:space="preserve"> </w:t>
      </w:r>
      <w:r w:rsidR="00161B47" w:rsidRPr="00922E45">
        <w:rPr>
          <w:rFonts w:ascii="Cambria" w:hAnsi="Cambria"/>
          <w:sz w:val="21"/>
          <w:szCs w:val="21"/>
          <w:lang w:val="es-PE"/>
        </w:rPr>
        <w:t>ambientales</w:t>
      </w:r>
      <w:r w:rsidR="00A95859" w:rsidRPr="00922E45">
        <w:rPr>
          <w:rFonts w:ascii="Cambria" w:hAnsi="Cambria"/>
          <w:sz w:val="21"/>
          <w:szCs w:val="21"/>
          <w:lang w:val="es-PE"/>
        </w:rPr>
        <w:t xml:space="preserve"> y </w:t>
      </w:r>
      <w:r w:rsidR="007A3653" w:rsidRPr="00922E45">
        <w:rPr>
          <w:rFonts w:ascii="Cambria" w:hAnsi="Cambria"/>
          <w:sz w:val="21"/>
          <w:szCs w:val="21"/>
          <w:lang w:val="es-PE"/>
        </w:rPr>
        <w:t xml:space="preserve">pedido </w:t>
      </w:r>
      <w:r w:rsidR="00161B47" w:rsidRPr="00922E45">
        <w:rPr>
          <w:rFonts w:ascii="Cambria" w:hAnsi="Cambria"/>
          <w:sz w:val="21"/>
          <w:szCs w:val="21"/>
          <w:lang w:val="es-PE"/>
        </w:rPr>
        <w:t>la</w:t>
      </w:r>
      <w:r w:rsidR="007A3653" w:rsidRPr="00922E45">
        <w:rPr>
          <w:rFonts w:ascii="Cambria" w:hAnsi="Cambria"/>
          <w:sz w:val="21"/>
          <w:szCs w:val="21"/>
          <w:lang w:val="es-PE"/>
        </w:rPr>
        <w:t xml:space="preserve"> </w:t>
      </w:r>
      <w:r w:rsidR="00A95859" w:rsidRPr="00922E45">
        <w:rPr>
          <w:rFonts w:ascii="Cambria" w:hAnsi="Cambria"/>
          <w:sz w:val="21"/>
          <w:szCs w:val="21"/>
          <w:lang w:val="es-PE"/>
        </w:rPr>
        <w:t>suspensión</w:t>
      </w:r>
      <w:r w:rsidR="00161B47" w:rsidRPr="00922E45">
        <w:rPr>
          <w:rFonts w:ascii="Cambria" w:hAnsi="Cambria"/>
          <w:sz w:val="21"/>
          <w:szCs w:val="21"/>
          <w:lang w:val="es-PE"/>
        </w:rPr>
        <w:t xml:space="preserve"> del proyecto</w:t>
      </w:r>
      <w:r w:rsidR="00481FDA" w:rsidRPr="00922E45">
        <w:rPr>
          <w:rStyle w:val="FootnoteReference"/>
          <w:rFonts w:ascii="Cambria" w:hAnsi="Cambria"/>
          <w:sz w:val="21"/>
          <w:szCs w:val="21"/>
          <w:lang w:val="es-PE"/>
        </w:rPr>
        <w:footnoteReference w:id="5"/>
      </w:r>
      <w:r w:rsidR="00A95859" w:rsidRPr="00922E45">
        <w:rPr>
          <w:rFonts w:ascii="Cambria" w:hAnsi="Cambria"/>
          <w:sz w:val="21"/>
          <w:szCs w:val="21"/>
          <w:lang w:val="es-PE"/>
        </w:rPr>
        <w:t>.</w:t>
      </w:r>
      <w:r w:rsidR="00A95859" w:rsidRPr="00922E45">
        <w:rPr>
          <w:rFonts w:ascii="Cambria" w:hAnsi="Cambria"/>
          <w:color w:val="000000"/>
          <w:sz w:val="21"/>
          <w:szCs w:val="21"/>
          <w:lang w:val="es-PE"/>
        </w:rPr>
        <w:t xml:space="preserve"> </w:t>
      </w:r>
    </w:p>
    <w:p w:rsidR="002700D8" w:rsidRPr="00922E45" w:rsidRDefault="002700D8" w:rsidP="0055779D">
      <w:pPr>
        <w:spacing w:after="0" w:line="240" w:lineRule="auto"/>
        <w:ind w:left="347"/>
        <w:jc w:val="both"/>
        <w:rPr>
          <w:rFonts w:ascii="Cambria" w:hAnsi="Cambria"/>
          <w:color w:val="000000"/>
          <w:sz w:val="21"/>
          <w:szCs w:val="21"/>
          <w:lang w:val="es-PE"/>
        </w:rPr>
      </w:pPr>
    </w:p>
    <w:p w:rsidR="003A750A" w:rsidRPr="00922E45" w:rsidRDefault="005F25F1" w:rsidP="0055779D">
      <w:pPr>
        <w:numPr>
          <w:ilvl w:val="0"/>
          <w:numId w:val="34"/>
        </w:numPr>
        <w:spacing w:after="0" w:line="240" w:lineRule="auto"/>
        <w:ind w:left="0" w:firstLine="360"/>
        <w:jc w:val="both"/>
        <w:rPr>
          <w:rFonts w:ascii="Cambria" w:hAnsi="Cambria"/>
          <w:color w:val="000000"/>
          <w:sz w:val="21"/>
          <w:szCs w:val="21"/>
          <w:lang w:val="es-PE"/>
        </w:rPr>
      </w:pPr>
      <w:r w:rsidRPr="00922E45">
        <w:rPr>
          <w:rFonts w:ascii="Cambria" w:hAnsi="Cambria"/>
          <w:color w:val="000000"/>
          <w:sz w:val="21"/>
          <w:szCs w:val="21"/>
          <w:lang w:val="es-PE"/>
        </w:rPr>
        <w:t>Debido a la contaminación</w:t>
      </w:r>
      <w:r w:rsidR="00261DC9" w:rsidRPr="00922E45">
        <w:rPr>
          <w:rFonts w:ascii="Cambria" w:hAnsi="Cambria"/>
          <w:color w:val="000000"/>
          <w:sz w:val="21"/>
          <w:szCs w:val="21"/>
          <w:lang w:val="es-PE"/>
        </w:rPr>
        <w:t>,</w:t>
      </w:r>
      <w:r w:rsidRPr="00922E45">
        <w:rPr>
          <w:rFonts w:ascii="Cambria" w:hAnsi="Cambria"/>
          <w:color w:val="000000"/>
          <w:sz w:val="21"/>
          <w:szCs w:val="21"/>
          <w:lang w:val="es-PE"/>
        </w:rPr>
        <w:t xml:space="preserve"> el 22 de marzo de 2017 </w:t>
      </w:r>
      <w:r w:rsidR="00261DC9" w:rsidRPr="00922E45">
        <w:rPr>
          <w:rFonts w:ascii="Cambria" w:hAnsi="Cambria"/>
          <w:color w:val="000000"/>
          <w:sz w:val="21"/>
          <w:szCs w:val="21"/>
          <w:lang w:val="es-PE"/>
        </w:rPr>
        <w:t xml:space="preserve">personas de la comunidad habrían  instalado </w:t>
      </w:r>
      <w:r w:rsidRPr="00922E45">
        <w:rPr>
          <w:rFonts w:ascii="Cambria" w:hAnsi="Cambria"/>
          <w:color w:val="000000"/>
          <w:sz w:val="21"/>
          <w:szCs w:val="21"/>
          <w:lang w:val="es-PE"/>
        </w:rPr>
        <w:t>una “presencia permanente” en dos entradas de acceso al plantel de la empresa</w:t>
      </w:r>
      <w:r w:rsidR="007A3653" w:rsidRPr="00922E45">
        <w:rPr>
          <w:rFonts w:ascii="Cambria" w:hAnsi="Cambria"/>
          <w:color w:val="000000"/>
          <w:sz w:val="21"/>
          <w:szCs w:val="21"/>
          <w:lang w:val="es-PE"/>
        </w:rPr>
        <w:t xml:space="preserve"> impidiendo el ingreso </w:t>
      </w:r>
      <w:r w:rsidRPr="00922E45">
        <w:rPr>
          <w:rFonts w:ascii="Cambria" w:hAnsi="Cambria"/>
          <w:color w:val="000000"/>
          <w:sz w:val="21"/>
          <w:szCs w:val="21"/>
          <w:lang w:val="es-PE"/>
        </w:rPr>
        <w:t>de materiales o equipo de trabajo al proyecto. Este acto denominado “Campamento Digno por los Ríos y por la Vida”</w:t>
      </w:r>
      <w:r w:rsidR="00E21D80" w:rsidRPr="00922E45">
        <w:rPr>
          <w:rFonts w:ascii="Cambria" w:hAnsi="Cambria"/>
          <w:color w:val="000000"/>
          <w:sz w:val="21"/>
          <w:szCs w:val="21"/>
          <w:lang w:val="es-PE"/>
        </w:rPr>
        <w:t xml:space="preserve"> sería </w:t>
      </w:r>
      <w:r w:rsidR="00682942" w:rsidRPr="00922E45">
        <w:rPr>
          <w:rFonts w:ascii="Cambria" w:hAnsi="Cambria"/>
          <w:color w:val="000000"/>
          <w:sz w:val="21"/>
          <w:szCs w:val="21"/>
          <w:lang w:val="es-PE"/>
        </w:rPr>
        <w:t xml:space="preserve">un “movimiento de protesta” </w:t>
      </w:r>
      <w:r w:rsidR="007E728E" w:rsidRPr="00922E45">
        <w:rPr>
          <w:rFonts w:ascii="Cambria" w:hAnsi="Cambria"/>
          <w:color w:val="000000"/>
          <w:sz w:val="21"/>
          <w:szCs w:val="21"/>
          <w:lang w:val="es-PE"/>
        </w:rPr>
        <w:t xml:space="preserve">o “movimiento ciudadano en defensa del río </w:t>
      </w:r>
      <w:proofErr w:type="spellStart"/>
      <w:r w:rsidR="007E728E" w:rsidRPr="00922E45">
        <w:rPr>
          <w:rFonts w:ascii="Cambria" w:hAnsi="Cambria"/>
          <w:color w:val="000000"/>
          <w:sz w:val="21"/>
          <w:szCs w:val="21"/>
          <w:lang w:val="es-PE"/>
        </w:rPr>
        <w:t>Mezapa</w:t>
      </w:r>
      <w:proofErr w:type="spellEnd"/>
      <w:r w:rsidR="007E728E" w:rsidRPr="00922E45">
        <w:rPr>
          <w:rFonts w:ascii="Cambria" w:hAnsi="Cambria"/>
          <w:color w:val="000000"/>
          <w:sz w:val="21"/>
          <w:szCs w:val="21"/>
          <w:lang w:val="es-PE"/>
        </w:rPr>
        <w:t>”</w:t>
      </w:r>
      <w:r w:rsidR="00E21D80" w:rsidRPr="00922E45">
        <w:rPr>
          <w:rFonts w:ascii="Cambria" w:hAnsi="Cambria"/>
          <w:color w:val="000000"/>
          <w:sz w:val="21"/>
          <w:szCs w:val="21"/>
          <w:lang w:val="es-PE"/>
        </w:rPr>
        <w:t xml:space="preserve">. </w:t>
      </w:r>
    </w:p>
    <w:p w:rsidR="003A750A" w:rsidRPr="00922E45" w:rsidRDefault="003A750A" w:rsidP="0055779D">
      <w:pPr>
        <w:spacing w:after="0" w:line="240" w:lineRule="auto"/>
        <w:ind w:left="360"/>
        <w:jc w:val="both"/>
        <w:rPr>
          <w:rFonts w:ascii="Cambria" w:hAnsi="Cambria"/>
          <w:color w:val="000000"/>
          <w:sz w:val="21"/>
          <w:szCs w:val="21"/>
          <w:lang w:val="es-PE"/>
        </w:rPr>
      </w:pPr>
    </w:p>
    <w:p w:rsidR="004C4615" w:rsidRPr="00922E45" w:rsidRDefault="006E6C65" w:rsidP="00483C97">
      <w:pPr>
        <w:numPr>
          <w:ilvl w:val="0"/>
          <w:numId w:val="34"/>
        </w:numPr>
        <w:spacing w:after="0" w:line="240" w:lineRule="auto"/>
        <w:ind w:left="0" w:firstLine="360"/>
        <w:jc w:val="both"/>
        <w:rPr>
          <w:rFonts w:ascii="Cambria" w:hAnsi="Cambria"/>
          <w:color w:val="000000"/>
          <w:sz w:val="21"/>
          <w:szCs w:val="21"/>
          <w:lang w:val="es-PE"/>
        </w:rPr>
      </w:pPr>
      <w:r w:rsidRPr="00922E45">
        <w:rPr>
          <w:rFonts w:ascii="Cambria" w:hAnsi="Cambria"/>
          <w:color w:val="000000"/>
          <w:sz w:val="21"/>
          <w:szCs w:val="21"/>
          <w:lang w:val="es-PE"/>
        </w:rPr>
        <w:t xml:space="preserve">El 26 de abril de 2017 representantes de HIDROCEP habrían intentado introducir dos equipos pesados al lugar de la represa. Sin embargo, los pobladores no lo </w:t>
      </w:r>
      <w:r w:rsidR="007A3653" w:rsidRPr="00922E45">
        <w:rPr>
          <w:rFonts w:ascii="Cambria" w:hAnsi="Cambria"/>
          <w:color w:val="000000"/>
          <w:sz w:val="21"/>
          <w:szCs w:val="21"/>
          <w:lang w:val="es-PE"/>
        </w:rPr>
        <w:t>habrían permitido</w:t>
      </w:r>
      <w:r w:rsidRPr="00922E45">
        <w:rPr>
          <w:rFonts w:ascii="Cambria" w:hAnsi="Cambria"/>
          <w:color w:val="000000"/>
          <w:sz w:val="21"/>
          <w:szCs w:val="21"/>
          <w:lang w:val="es-PE"/>
        </w:rPr>
        <w:t xml:space="preserve">. Ese mismo día se habrían presentado varios agentes policiales para facilitar el tránsito del equipo. A partir </w:t>
      </w:r>
      <w:r w:rsidR="003A750A" w:rsidRPr="00922E45">
        <w:rPr>
          <w:rFonts w:ascii="Cambria" w:hAnsi="Cambria"/>
          <w:color w:val="000000"/>
          <w:sz w:val="21"/>
          <w:szCs w:val="21"/>
          <w:lang w:val="es-PE"/>
        </w:rPr>
        <w:t>de esa fecha</w:t>
      </w:r>
      <w:r w:rsidRPr="00922E45">
        <w:rPr>
          <w:rFonts w:ascii="Cambria" w:hAnsi="Cambria"/>
          <w:color w:val="000000"/>
          <w:sz w:val="21"/>
          <w:szCs w:val="21"/>
          <w:lang w:val="es-PE"/>
        </w:rPr>
        <w:t>,</w:t>
      </w:r>
      <w:r w:rsidR="003A750A" w:rsidRPr="00922E45">
        <w:rPr>
          <w:rFonts w:ascii="Cambria" w:hAnsi="Cambria"/>
          <w:color w:val="000000"/>
          <w:sz w:val="21"/>
          <w:szCs w:val="21"/>
          <w:lang w:val="es-PE"/>
        </w:rPr>
        <w:t xml:space="preserve"> </w:t>
      </w:r>
      <w:r w:rsidRPr="00922E45">
        <w:rPr>
          <w:rFonts w:ascii="Cambria" w:hAnsi="Cambria"/>
          <w:color w:val="000000"/>
          <w:sz w:val="21"/>
          <w:szCs w:val="21"/>
          <w:lang w:val="es-PE"/>
        </w:rPr>
        <w:t xml:space="preserve">los solicitantes relataron </w:t>
      </w:r>
      <w:r w:rsidR="004F64E3" w:rsidRPr="00922E45">
        <w:rPr>
          <w:rFonts w:ascii="Cambria" w:hAnsi="Cambria"/>
          <w:color w:val="000000"/>
          <w:sz w:val="21"/>
          <w:szCs w:val="21"/>
          <w:lang w:val="es-PE"/>
        </w:rPr>
        <w:t>hechos</w:t>
      </w:r>
      <w:r w:rsidRPr="00922E45">
        <w:rPr>
          <w:rFonts w:ascii="Cambria" w:hAnsi="Cambria"/>
          <w:color w:val="000000"/>
          <w:sz w:val="21"/>
          <w:szCs w:val="21"/>
          <w:lang w:val="es-PE"/>
        </w:rPr>
        <w:t xml:space="preserve"> de amenazas</w:t>
      </w:r>
      <w:r w:rsidR="00FA3B2F" w:rsidRPr="00922E45">
        <w:rPr>
          <w:rStyle w:val="FootnoteReference"/>
          <w:rFonts w:ascii="Cambria" w:hAnsi="Cambria"/>
          <w:color w:val="000000"/>
          <w:sz w:val="21"/>
          <w:szCs w:val="21"/>
          <w:lang w:val="es-PE"/>
        </w:rPr>
        <w:footnoteReference w:id="6"/>
      </w:r>
      <w:r w:rsidR="00FA3B2F" w:rsidRPr="00922E45">
        <w:rPr>
          <w:rFonts w:ascii="Cambria" w:hAnsi="Cambria"/>
          <w:color w:val="000000"/>
          <w:sz w:val="21"/>
          <w:szCs w:val="21"/>
          <w:lang w:val="es-PE"/>
        </w:rPr>
        <w:t>, hostigamientos</w:t>
      </w:r>
      <w:r w:rsidR="00FA3B2F" w:rsidRPr="00922E45">
        <w:rPr>
          <w:rStyle w:val="FootnoteReference"/>
          <w:rFonts w:ascii="Cambria" w:hAnsi="Cambria"/>
          <w:color w:val="000000"/>
          <w:sz w:val="21"/>
          <w:szCs w:val="21"/>
          <w:lang w:val="es-PE"/>
        </w:rPr>
        <w:footnoteReference w:id="7"/>
      </w:r>
      <w:r w:rsidR="00E641B3" w:rsidRPr="00922E45">
        <w:rPr>
          <w:rFonts w:ascii="Cambria" w:hAnsi="Cambria"/>
          <w:color w:val="000000"/>
          <w:sz w:val="21"/>
          <w:szCs w:val="21"/>
          <w:lang w:val="es-PE"/>
        </w:rPr>
        <w:t xml:space="preserve"> </w:t>
      </w:r>
      <w:r w:rsidR="00FE7C7F" w:rsidRPr="00922E45">
        <w:rPr>
          <w:rFonts w:ascii="Cambria" w:hAnsi="Cambria"/>
          <w:color w:val="000000"/>
          <w:sz w:val="21"/>
          <w:szCs w:val="21"/>
          <w:lang w:val="es-PE"/>
        </w:rPr>
        <w:t>y actos de violencia</w:t>
      </w:r>
      <w:r w:rsidR="00FA3B2F" w:rsidRPr="00922E45">
        <w:rPr>
          <w:rStyle w:val="FootnoteReference"/>
          <w:rFonts w:ascii="Cambria" w:hAnsi="Cambria"/>
          <w:color w:val="000000"/>
          <w:sz w:val="21"/>
          <w:szCs w:val="21"/>
          <w:lang w:val="es-PE"/>
        </w:rPr>
        <w:footnoteReference w:id="8"/>
      </w:r>
      <w:r w:rsidR="007A3653" w:rsidRPr="00922E45">
        <w:rPr>
          <w:rFonts w:ascii="Cambria" w:hAnsi="Cambria"/>
          <w:color w:val="000000"/>
          <w:sz w:val="21"/>
          <w:szCs w:val="21"/>
          <w:lang w:val="es-PE"/>
        </w:rPr>
        <w:t xml:space="preserve"> ocurridos</w:t>
      </w:r>
      <w:r w:rsidR="00845872" w:rsidRPr="00922E45">
        <w:rPr>
          <w:rFonts w:ascii="Cambria" w:hAnsi="Cambria"/>
          <w:color w:val="000000"/>
          <w:sz w:val="21"/>
          <w:szCs w:val="21"/>
          <w:lang w:val="es-PE"/>
        </w:rPr>
        <w:t xml:space="preserve"> desde abril de 2017</w:t>
      </w:r>
      <w:r w:rsidR="00483C97" w:rsidRPr="00922E45">
        <w:rPr>
          <w:rFonts w:ascii="Cambria" w:hAnsi="Cambria"/>
          <w:color w:val="000000"/>
          <w:sz w:val="21"/>
          <w:szCs w:val="21"/>
          <w:lang w:val="es-PE"/>
        </w:rPr>
        <w:t>. Según</w:t>
      </w:r>
      <w:r w:rsidR="00481FDA" w:rsidRPr="00922E45">
        <w:rPr>
          <w:rFonts w:ascii="Cambria" w:hAnsi="Cambria"/>
          <w:color w:val="000000"/>
          <w:sz w:val="21"/>
          <w:szCs w:val="21"/>
          <w:lang w:val="es-PE"/>
        </w:rPr>
        <w:t xml:space="preserve"> </w:t>
      </w:r>
      <w:r w:rsidR="00483C97" w:rsidRPr="00922E45">
        <w:rPr>
          <w:rFonts w:ascii="Cambria" w:hAnsi="Cambria"/>
          <w:color w:val="000000"/>
          <w:sz w:val="21"/>
          <w:szCs w:val="21"/>
          <w:lang w:val="es-PE"/>
        </w:rPr>
        <w:t>los solicitantes v</w:t>
      </w:r>
      <w:r w:rsidR="004F64E3" w:rsidRPr="00922E45">
        <w:rPr>
          <w:rFonts w:ascii="Cambria" w:hAnsi="Cambria"/>
          <w:color w:val="000000"/>
          <w:sz w:val="21"/>
          <w:szCs w:val="21"/>
          <w:lang w:val="es-PE"/>
        </w:rPr>
        <w:t>arios de los integrantes de estos Campamentos habrían sido criminalizados por sus acciones de protesta.</w:t>
      </w:r>
      <w:r w:rsidR="003A750A" w:rsidRPr="00922E45">
        <w:rPr>
          <w:rFonts w:ascii="Cambria" w:hAnsi="Cambria"/>
          <w:color w:val="000000"/>
          <w:sz w:val="21"/>
          <w:szCs w:val="21"/>
          <w:lang w:val="es-PE"/>
        </w:rPr>
        <w:t xml:space="preserve"> </w:t>
      </w:r>
      <w:r w:rsidR="004E5090" w:rsidRPr="00922E45">
        <w:rPr>
          <w:rFonts w:ascii="Cambria" w:eastAsia="MS Mincho" w:hAnsi="Cambria" w:cs="Arial"/>
          <w:sz w:val="21"/>
          <w:szCs w:val="21"/>
          <w:lang w:val="es-ES"/>
        </w:rPr>
        <w:t xml:space="preserve"> </w:t>
      </w:r>
    </w:p>
    <w:p w:rsidR="004C4615" w:rsidRPr="00922E45" w:rsidRDefault="004C4615" w:rsidP="0055779D">
      <w:pPr>
        <w:tabs>
          <w:tab w:val="left" w:pos="720"/>
        </w:tabs>
        <w:spacing w:after="0" w:line="240" w:lineRule="auto"/>
        <w:ind w:firstLine="360"/>
        <w:jc w:val="both"/>
        <w:rPr>
          <w:rFonts w:ascii="Cambria" w:eastAsia="MS Mincho" w:hAnsi="Cambria" w:cs="Arial"/>
          <w:sz w:val="21"/>
          <w:szCs w:val="21"/>
          <w:lang w:val="es-ES"/>
        </w:rPr>
      </w:pPr>
    </w:p>
    <w:p w:rsidR="00A95859" w:rsidRPr="00922E45" w:rsidRDefault="00A95859" w:rsidP="0055779D">
      <w:pPr>
        <w:numPr>
          <w:ilvl w:val="0"/>
          <w:numId w:val="34"/>
        </w:numPr>
        <w:spacing w:after="0" w:line="240" w:lineRule="auto"/>
        <w:ind w:left="0" w:firstLine="360"/>
        <w:jc w:val="both"/>
        <w:rPr>
          <w:rFonts w:ascii="Cambria" w:hAnsi="Cambria"/>
          <w:color w:val="000000"/>
          <w:sz w:val="21"/>
          <w:szCs w:val="21"/>
          <w:lang w:val="es-PE"/>
        </w:rPr>
      </w:pPr>
      <w:r w:rsidRPr="00922E45">
        <w:rPr>
          <w:rFonts w:ascii="Cambria" w:hAnsi="Cambria"/>
          <w:color w:val="000000"/>
          <w:sz w:val="21"/>
          <w:szCs w:val="21"/>
          <w:lang w:val="es-PE"/>
        </w:rPr>
        <w:t>El 23 de agosto de 2017 se habría realizado un diálogo entre las partes involucradas con la Oficina del Alto Comisionado</w:t>
      </w:r>
      <w:r w:rsidR="002D3F4E" w:rsidRPr="00922E45">
        <w:rPr>
          <w:rFonts w:ascii="Cambria" w:hAnsi="Cambria"/>
          <w:color w:val="000000"/>
          <w:sz w:val="21"/>
          <w:szCs w:val="21"/>
          <w:lang w:val="es-PE"/>
        </w:rPr>
        <w:t xml:space="preserve"> de la ONU</w:t>
      </w:r>
      <w:r w:rsidR="00483C97" w:rsidRPr="00922E45">
        <w:rPr>
          <w:rFonts w:ascii="Cambria" w:hAnsi="Cambria"/>
          <w:color w:val="000000"/>
          <w:sz w:val="21"/>
          <w:szCs w:val="21"/>
          <w:lang w:val="es-PE"/>
        </w:rPr>
        <w:t xml:space="preserve">, llegándose a acuerdos </w:t>
      </w:r>
      <w:r w:rsidRPr="00922E45">
        <w:rPr>
          <w:rFonts w:ascii="Cambria" w:hAnsi="Cambria"/>
          <w:color w:val="000000"/>
          <w:sz w:val="21"/>
          <w:szCs w:val="21"/>
          <w:lang w:val="es-PE"/>
        </w:rPr>
        <w:t>que incluían la suspensión de las actividades</w:t>
      </w:r>
      <w:r w:rsidR="00483C97" w:rsidRPr="00922E45">
        <w:rPr>
          <w:rFonts w:ascii="Cambria" w:hAnsi="Cambria"/>
          <w:color w:val="000000"/>
          <w:sz w:val="21"/>
          <w:szCs w:val="21"/>
          <w:lang w:val="es-PE"/>
        </w:rPr>
        <w:t xml:space="preserve"> </w:t>
      </w:r>
      <w:r w:rsidR="00BF07A8" w:rsidRPr="00922E45">
        <w:rPr>
          <w:rFonts w:ascii="Cambria" w:hAnsi="Cambria"/>
          <w:color w:val="000000"/>
          <w:sz w:val="21"/>
          <w:szCs w:val="21"/>
          <w:lang w:val="es-PE"/>
        </w:rPr>
        <w:t xml:space="preserve">de la empresa </w:t>
      </w:r>
      <w:r w:rsidR="00483C97" w:rsidRPr="00922E45">
        <w:rPr>
          <w:rFonts w:ascii="Cambria" w:hAnsi="Cambria"/>
          <w:color w:val="000000"/>
          <w:sz w:val="21"/>
          <w:szCs w:val="21"/>
          <w:lang w:val="es-PE"/>
        </w:rPr>
        <w:t>lo que no se habría cumplido</w:t>
      </w:r>
      <w:r w:rsidRPr="00922E45">
        <w:rPr>
          <w:rFonts w:ascii="Cambria" w:hAnsi="Cambria"/>
          <w:color w:val="000000"/>
          <w:sz w:val="21"/>
          <w:szCs w:val="21"/>
          <w:lang w:val="es-PE"/>
        </w:rPr>
        <w:t>.</w:t>
      </w:r>
      <w:r w:rsidR="00483C97" w:rsidRPr="00922E45">
        <w:rPr>
          <w:rFonts w:ascii="Cambria" w:hAnsi="Cambria"/>
          <w:color w:val="000000"/>
          <w:sz w:val="21"/>
          <w:szCs w:val="21"/>
          <w:lang w:val="es-PE"/>
        </w:rPr>
        <w:t xml:space="preserve"> </w:t>
      </w:r>
      <w:r w:rsidRPr="00922E45">
        <w:rPr>
          <w:rFonts w:ascii="Cambria" w:hAnsi="Cambria"/>
          <w:color w:val="000000"/>
          <w:sz w:val="21"/>
          <w:szCs w:val="21"/>
          <w:lang w:val="es-PE"/>
        </w:rPr>
        <w:t xml:space="preserve">El 28 de septiembre de 2017, se </w:t>
      </w:r>
      <w:r w:rsidR="002D3F4E" w:rsidRPr="00922E45">
        <w:rPr>
          <w:rFonts w:ascii="Cambria" w:hAnsi="Cambria"/>
          <w:color w:val="000000"/>
          <w:sz w:val="21"/>
          <w:szCs w:val="21"/>
          <w:lang w:val="es-PE"/>
        </w:rPr>
        <w:t xml:space="preserve">habría </w:t>
      </w:r>
      <w:r w:rsidRPr="00922E45">
        <w:rPr>
          <w:rFonts w:ascii="Cambria" w:hAnsi="Cambria"/>
          <w:color w:val="000000"/>
          <w:sz w:val="21"/>
          <w:szCs w:val="21"/>
          <w:lang w:val="es-PE"/>
        </w:rPr>
        <w:lastRenderedPageBreak/>
        <w:t>celebr</w:t>
      </w:r>
      <w:r w:rsidR="002D3F4E" w:rsidRPr="00922E45">
        <w:rPr>
          <w:rFonts w:ascii="Cambria" w:hAnsi="Cambria"/>
          <w:color w:val="000000"/>
          <w:sz w:val="21"/>
          <w:szCs w:val="21"/>
          <w:lang w:val="es-PE"/>
        </w:rPr>
        <w:t>ado</w:t>
      </w:r>
      <w:r w:rsidRPr="00922E45">
        <w:rPr>
          <w:rFonts w:ascii="Cambria" w:hAnsi="Cambria"/>
          <w:color w:val="000000"/>
          <w:sz w:val="21"/>
          <w:szCs w:val="21"/>
          <w:lang w:val="es-PE"/>
        </w:rPr>
        <w:t xml:space="preserve"> la segunda fase del diálogo</w:t>
      </w:r>
      <w:r w:rsidR="00483C97" w:rsidRPr="00922E45">
        <w:rPr>
          <w:rFonts w:ascii="Cambria" w:hAnsi="Cambria"/>
          <w:color w:val="000000"/>
          <w:sz w:val="21"/>
          <w:szCs w:val="21"/>
          <w:lang w:val="es-PE"/>
        </w:rPr>
        <w:t xml:space="preserve"> </w:t>
      </w:r>
      <w:r w:rsidRPr="00922E45">
        <w:rPr>
          <w:rFonts w:ascii="Cambria" w:hAnsi="Cambria"/>
          <w:color w:val="000000"/>
          <w:sz w:val="21"/>
          <w:szCs w:val="21"/>
          <w:lang w:val="es-PE"/>
        </w:rPr>
        <w:t xml:space="preserve">fijándose un plan de acción y seguimiento. En una inspección </w:t>
      </w:r>
      <w:r w:rsidRPr="00922E45">
        <w:rPr>
          <w:rFonts w:ascii="Cambria" w:hAnsi="Cambria"/>
          <w:i/>
          <w:color w:val="000000"/>
          <w:sz w:val="21"/>
          <w:szCs w:val="21"/>
          <w:lang w:val="es-PE"/>
        </w:rPr>
        <w:t>in situ</w:t>
      </w:r>
      <w:r w:rsidRPr="00922E45">
        <w:rPr>
          <w:rFonts w:ascii="Cambria" w:hAnsi="Cambria"/>
          <w:color w:val="000000"/>
          <w:sz w:val="21"/>
          <w:szCs w:val="21"/>
          <w:lang w:val="es-PE"/>
        </w:rPr>
        <w:t xml:space="preserve"> de 9 de octubre de 2017, las autoridades habrían minimizado los daños ambientales cometidos por la empresa, calificándolos de “errores”, y </w:t>
      </w:r>
      <w:r w:rsidR="002D3F4E" w:rsidRPr="00922E45">
        <w:rPr>
          <w:rFonts w:ascii="Cambria" w:hAnsi="Cambria"/>
          <w:color w:val="000000"/>
          <w:sz w:val="21"/>
          <w:szCs w:val="21"/>
          <w:lang w:val="es-PE"/>
        </w:rPr>
        <w:t xml:space="preserve">habrían solicitado </w:t>
      </w:r>
      <w:r w:rsidRPr="00922E45">
        <w:rPr>
          <w:rFonts w:ascii="Cambria" w:hAnsi="Cambria"/>
          <w:color w:val="000000"/>
          <w:sz w:val="21"/>
          <w:szCs w:val="21"/>
          <w:lang w:val="es-PE"/>
        </w:rPr>
        <w:t xml:space="preserve">dejar ingresar la maquinaria </w:t>
      </w:r>
      <w:r w:rsidR="00AB06DB" w:rsidRPr="00922E45">
        <w:rPr>
          <w:rFonts w:ascii="Cambria" w:hAnsi="Cambria"/>
          <w:color w:val="000000"/>
          <w:sz w:val="21"/>
          <w:szCs w:val="21"/>
          <w:lang w:val="es-PE"/>
        </w:rPr>
        <w:t xml:space="preserve">de </w:t>
      </w:r>
      <w:r w:rsidRPr="00922E45">
        <w:rPr>
          <w:rFonts w:ascii="Cambria" w:hAnsi="Cambria"/>
          <w:color w:val="000000"/>
          <w:sz w:val="21"/>
          <w:szCs w:val="21"/>
          <w:lang w:val="es-PE"/>
        </w:rPr>
        <w:t>la empresa.</w:t>
      </w:r>
      <w:r w:rsidR="007D28AD" w:rsidRPr="00922E45">
        <w:rPr>
          <w:rFonts w:ascii="Cambria" w:hAnsi="Cambria"/>
          <w:color w:val="000000"/>
          <w:sz w:val="21"/>
          <w:szCs w:val="21"/>
          <w:lang w:val="es-PE"/>
        </w:rPr>
        <w:t xml:space="preserve"> </w:t>
      </w:r>
    </w:p>
    <w:p w:rsidR="003E3F76" w:rsidRPr="00922E45" w:rsidRDefault="003E3F76" w:rsidP="0055779D">
      <w:pPr>
        <w:spacing w:after="0" w:line="240" w:lineRule="auto"/>
        <w:ind w:left="360"/>
        <w:jc w:val="both"/>
        <w:rPr>
          <w:rFonts w:ascii="Cambria" w:hAnsi="Cambria"/>
          <w:color w:val="000000"/>
          <w:sz w:val="20"/>
          <w:lang w:val="es-PE"/>
        </w:rPr>
      </w:pPr>
    </w:p>
    <w:p w:rsidR="00C2457F" w:rsidRPr="00922E45" w:rsidRDefault="00C2457F" w:rsidP="0055779D">
      <w:pPr>
        <w:numPr>
          <w:ilvl w:val="0"/>
          <w:numId w:val="42"/>
        </w:numPr>
        <w:tabs>
          <w:tab w:val="left" w:pos="1080"/>
        </w:tabs>
        <w:spacing w:after="0" w:line="240" w:lineRule="auto"/>
        <w:jc w:val="both"/>
        <w:rPr>
          <w:rFonts w:ascii="Cambria" w:eastAsia="MS Mincho" w:hAnsi="Cambria"/>
          <w:b/>
          <w:bCs/>
          <w:sz w:val="21"/>
          <w:szCs w:val="21"/>
          <w:lang w:val="es-AR"/>
        </w:rPr>
      </w:pPr>
      <w:r w:rsidRPr="00922E45">
        <w:rPr>
          <w:rFonts w:ascii="Cambria" w:eastAsia="MS Mincho" w:hAnsi="Cambria"/>
          <w:b/>
          <w:bCs/>
          <w:sz w:val="21"/>
          <w:szCs w:val="21"/>
          <w:lang w:val="es-AR"/>
        </w:rPr>
        <w:t>Respuesta del Estado</w:t>
      </w:r>
    </w:p>
    <w:p w:rsidR="00B840F9" w:rsidRPr="00922E45" w:rsidRDefault="00B840F9" w:rsidP="0055779D">
      <w:pPr>
        <w:tabs>
          <w:tab w:val="left" w:pos="1080"/>
        </w:tabs>
        <w:spacing w:after="0" w:line="240" w:lineRule="auto"/>
        <w:jc w:val="both"/>
        <w:rPr>
          <w:rFonts w:ascii="Cambria" w:eastAsia="MS Mincho" w:hAnsi="Cambria" w:cs="Arial"/>
          <w:sz w:val="21"/>
          <w:szCs w:val="21"/>
          <w:lang w:val="es-ES"/>
        </w:rPr>
      </w:pPr>
    </w:p>
    <w:p w:rsidR="00BB1ADF" w:rsidRPr="00922E45" w:rsidRDefault="00730C2F" w:rsidP="0055779D">
      <w:pPr>
        <w:numPr>
          <w:ilvl w:val="0"/>
          <w:numId w:val="34"/>
        </w:numPr>
        <w:spacing w:after="0" w:line="240" w:lineRule="auto"/>
        <w:ind w:left="0" w:firstLine="360"/>
        <w:contextualSpacing/>
        <w:jc w:val="both"/>
        <w:rPr>
          <w:rFonts w:ascii="Cambria" w:hAnsi="Cambria"/>
          <w:sz w:val="21"/>
          <w:szCs w:val="21"/>
          <w:lang w:val="es-PE"/>
        </w:rPr>
      </w:pPr>
      <w:r w:rsidRPr="00922E45">
        <w:rPr>
          <w:rFonts w:ascii="Cambria" w:hAnsi="Cambria"/>
          <w:sz w:val="21"/>
          <w:szCs w:val="21"/>
          <w:lang w:val="es-PE"/>
        </w:rPr>
        <w:t xml:space="preserve">El Estado consideró que la solicitud de medidas cautelares no reúne los requisitos establecidos en el </w:t>
      </w:r>
      <w:r w:rsidR="00391EE7" w:rsidRPr="00922E45">
        <w:rPr>
          <w:rFonts w:ascii="Cambria" w:hAnsi="Cambria"/>
          <w:sz w:val="21"/>
          <w:szCs w:val="21"/>
          <w:lang w:val="es-PE"/>
        </w:rPr>
        <w:t>artículo</w:t>
      </w:r>
      <w:r w:rsidR="00BB1ADF" w:rsidRPr="00922E45">
        <w:rPr>
          <w:rFonts w:ascii="Cambria" w:hAnsi="Cambria"/>
          <w:sz w:val="21"/>
          <w:szCs w:val="21"/>
          <w:lang w:val="es-PE"/>
        </w:rPr>
        <w:t xml:space="preserve"> 25 del Reglamento de la CIDH, y </w:t>
      </w:r>
      <w:r w:rsidR="002D3F4E" w:rsidRPr="00922E45">
        <w:rPr>
          <w:rFonts w:ascii="Cambria" w:hAnsi="Cambria"/>
          <w:sz w:val="21"/>
          <w:szCs w:val="21"/>
          <w:lang w:val="es-PE"/>
        </w:rPr>
        <w:t xml:space="preserve">afirmó su disposición de </w:t>
      </w:r>
      <w:r w:rsidR="00BB1ADF" w:rsidRPr="00922E45">
        <w:rPr>
          <w:rFonts w:ascii="Cambria" w:hAnsi="Cambria"/>
          <w:sz w:val="21"/>
          <w:szCs w:val="21"/>
          <w:lang w:val="es-PE"/>
        </w:rPr>
        <w:t xml:space="preserve">escuchar a los propuestos beneficiarios e implementar las medidas de protección </w:t>
      </w:r>
      <w:r w:rsidR="002D3F4E" w:rsidRPr="00922E45">
        <w:rPr>
          <w:rFonts w:ascii="Cambria" w:hAnsi="Cambria"/>
          <w:sz w:val="21"/>
          <w:szCs w:val="21"/>
          <w:lang w:val="es-PE"/>
        </w:rPr>
        <w:t>necesarias</w:t>
      </w:r>
      <w:r w:rsidR="00BB1ADF" w:rsidRPr="00922E45">
        <w:rPr>
          <w:rFonts w:ascii="Cambria" w:hAnsi="Cambria"/>
          <w:sz w:val="21"/>
          <w:szCs w:val="21"/>
          <w:lang w:val="es-PE"/>
        </w:rPr>
        <w:t xml:space="preserve">. </w:t>
      </w:r>
      <w:r w:rsidR="002D3F4E" w:rsidRPr="00922E45">
        <w:rPr>
          <w:rFonts w:ascii="Cambria" w:hAnsi="Cambria"/>
          <w:sz w:val="21"/>
          <w:szCs w:val="21"/>
          <w:lang w:val="es-PE"/>
        </w:rPr>
        <w:t>Lo anterior</w:t>
      </w:r>
      <w:r w:rsidRPr="00922E45">
        <w:rPr>
          <w:rFonts w:ascii="Cambria" w:hAnsi="Cambria"/>
          <w:sz w:val="21"/>
          <w:szCs w:val="21"/>
          <w:lang w:val="es-PE"/>
        </w:rPr>
        <w:t xml:space="preserve">, </w:t>
      </w:r>
      <w:r w:rsidR="002D3F4E" w:rsidRPr="00922E45">
        <w:rPr>
          <w:rFonts w:ascii="Cambria" w:hAnsi="Cambria"/>
          <w:sz w:val="21"/>
          <w:szCs w:val="21"/>
          <w:lang w:val="es-PE"/>
        </w:rPr>
        <w:t xml:space="preserve">sin perjuicio de que la </w:t>
      </w:r>
      <w:r w:rsidRPr="00922E45">
        <w:rPr>
          <w:rFonts w:ascii="Cambria" w:hAnsi="Cambria"/>
          <w:sz w:val="21"/>
          <w:szCs w:val="21"/>
          <w:lang w:val="es-PE"/>
        </w:rPr>
        <w:t xml:space="preserve">CIDH </w:t>
      </w:r>
      <w:r w:rsidR="002D3F4E" w:rsidRPr="00922E45">
        <w:rPr>
          <w:rFonts w:ascii="Cambria" w:hAnsi="Cambria"/>
          <w:sz w:val="21"/>
          <w:szCs w:val="21"/>
          <w:lang w:val="es-PE"/>
        </w:rPr>
        <w:t xml:space="preserve">requiera </w:t>
      </w:r>
      <w:r w:rsidRPr="00922E45">
        <w:rPr>
          <w:rFonts w:ascii="Cambria" w:hAnsi="Cambria"/>
          <w:sz w:val="21"/>
          <w:szCs w:val="21"/>
          <w:lang w:val="es-PE"/>
        </w:rPr>
        <w:t xml:space="preserve">información adicional al Estado para </w:t>
      </w:r>
      <w:r w:rsidR="002D3F4E" w:rsidRPr="00922E45">
        <w:rPr>
          <w:rFonts w:ascii="Cambria" w:hAnsi="Cambria"/>
          <w:sz w:val="21"/>
          <w:szCs w:val="21"/>
          <w:lang w:val="es-PE"/>
        </w:rPr>
        <w:t>evaluar cómo se van implementando tales acciones.</w:t>
      </w:r>
    </w:p>
    <w:p w:rsidR="00730C2F" w:rsidRPr="00922E45" w:rsidRDefault="00730C2F" w:rsidP="0055779D">
      <w:pPr>
        <w:spacing w:after="0" w:line="240" w:lineRule="auto"/>
        <w:ind w:left="360"/>
        <w:contextualSpacing/>
        <w:jc w:val="both"/>
        <w:rPr>
          <w:rFonts w:ascii="Cambria" w:hAnsi="Cambria"/>
          <w:sz w:val="21"/>
          <w:szCs w:val="21"/>
          <w:lang w:val="es-PE"/>
        </w:rPr>
      </w:pPr>
      <w:r w:rsidRPr="00922E45">
        <w:rPr>
          <w:rFonts w:ascii="Cambria" w:hAnsi="Cambria"/>
          <w:sz w:val="21"/>
          <w:szCs w:val="21"/>
          <w:lang w:val="es-PE"/>
        </w:rPr>
        <w:t xml:space="preserve"> </w:t>
      </w:r>
    </w:p>
    <w:p w:rsidR="00AC420D" w:rsidRPr="00922E45" w:rsidRDefault="006D0BA2" w:rsidP="0055779D">
      <w:pPr>
        <w:numPr>
          <w:ilvl w:val="0"/>
          <w:numId w:val="34"/>
        </w:numPr>
        <w:spacing w:after="0" w:line="240" w:lineRule="auto"/>
        <w:ind w:left="0" w:firstLine="360"/>
        <w:contextualSpacing/>
        <w:jc w:val="both"/>
        <w:rPr>
          <w:rFonts w:ascii="Cambria" w:hAnsi="Cambria"/>
          <w:sz w:val="21"/>
          <w:szCs w:val="21"/>
          <w:lang w:val="es-PE"/>
        </w:rPr>
      </w:pPr>
      <w:r w:rsidRPr="00922E45">
        <w:rPr>
          <w:rFonts w:ascii="Cambria" w:hAnsi="Cambria"/>
          <w:sz w:val="21"/>
          <w:szCs w:val="21"/>
          <w:lang w:val="es-PE"/>
        </w:rPr>
        <w:t>Según el Estado, e</w:t>
      </w:r>
      <w:r w:rsidR="000C39DE" w:rsidRPr="00922E45">
        <w:rPr>
          <w:rFonts w:ascii="Cambria" w:hAnsi="Cambria"/>
          <w:sz w:val="21"/>
          <w:szCs w:val="21"/>
          <w:lang w:val="es-PE"/>
        </w:rPr>
        <w:t>l</w:t>
      </w:r>
      <w:r w:rsidRPr="00922E45">
        <w:rPr>
          <w:rFonts w:ascii="Cambria" w:hAnsi="Cambria"/>
          <w:sz w:val="21"/>
          <w:szCs w:val="21"/>
          <w:lang w:val="es-PE"/>
        </w:rPr>
        <w:t xml:space="preserve"> p</w:t>
      </w:r>
      <w:r w:rsidR="000C39DE" w:rsidRPr="00922E45">
        <w:rPr>
          <w:rFonts w:ascii="Cambria" w:hAnsi="Cambria"/>
          <w:sz w:val="21"/>
          <w:szCs w:val="21"/>
          <w:lang w:val="es-PE"/>
        </w:rPr>
        <w:t xml:space="preserve">royecto </w:t>
      </w:r>
      <w:r w:rsidRPr="00922E45">
        <w:rPr>
          <w:rFonts w:ascii="Cambria" w:hAnsi="Cambria"/>
          <w:sz w:val="21"/>
          <w:szCs w:val="21"/>
          <w:lang w:val="es-PE"/>
        </w:rPr>
        <w:t>h</w:t>
      </w:r>
      <w:r w:rsidR="000C39DE" w:rsidRPr="00922E45">
        <w:rPr>
          <w:rFonts w:ascii="Cambria" w:hAnsi="Cambria"/>
          <w:sz w:val="21"/>
          <w:szCs w:val="21"/>
          <w:lang w:val="es-PE"/>
        </w:rPr>
        <w:t>idroeléctrico los Planes se encuentra en Pajuiles, en el municipio de Tela, Departamento de Atlántida</w:t>
      </w:r>
      <w:r w:rsidR="00D9575C" w:rsidRPr="00922E45">
        <w:rPr>
          <w:rFonts w:ascii="Cambria" w:hAnsi="Cambria"/>
          <w:sz w:val="21"/>
          <w:szCs w:val="21"/>
          <w:lang w:val="es-PE"/>
        </w:rPr>
        <w:t xml:space="preserve">. </w:t>
      </w:r>
      <w:r w:rsidR="000C39DE" w:rsidRPr="00922E45">
        <w:rPr>
          <w:rFonts w:ascii="Cambria" w:hAnsi="Cambria"/>
          <w:sz w:val="21"/>
          <w:szCs w:val="21"/>
          <w:lang w:val="es-PE"/>
        </w:rPr>
        <w:t xml:space="preserve">Este proyecto </w:t>
      </w:r>
      <w:r w:rsidR="005C0B7D" w:rsidRPr="00922E45">
        <w:rPr>
          <w:rFonts w:ascii="Cambria" w:hAnsi="Cambria"/>
          <w:sz w:val="21"/>
          <w:szCs w:val="21"/>
          <w:lang w:val="es-PE"/>
        </w:rPr>
        <w:t>abarcaría aproximadamente 2.70 km</w:t>
      </w:r>
      <w:r w:rsidR="005C0B7D" w:rsidRPr="00922E45">
        <w:rPr>
          <w:rFonts w:ascii="Cambria" w:hAnsi="Cambria"/>
          <w:sz w:val="21"/>
          <w:szCs w:val="21"/>
          <w:vertAlign w:val="superscript"/>
          <w:lang w:val="es-PE"/>
        </w:rPr>
        <w:t>2</w:t>
      </w:r>
      <w:r w:rsidR="005C0B7D" w:rsidRPr="00922E45">
        <w:rPr>
          <w:rFonts w:ascii="Cambria" w:hAnsi="Cambria"/>
          <w:sz w:val="21"/>
          <w:szCs w:val="21"/>
          <w:lang w:val="es-PE"/>
        </w:rPr>
        <w:t xml:space="preserve"> </w:t>
      </w:r>
      <w:r w:rsidR="00EB189D" w:rsidRPr="00922E45">
        <w:rPr>
          <w:rFonts w:ascii="Cambria" w:hAnsi="Cambria"/>
          <w:sz w:val="21"/>
          <w:szCs w:val="21"/>
          <w:lang w:val="es-PE"/>
        </w:rPr>
        <w:t xml:space="preserve">del área de la cuenca </w:t>
      </w:r>
      <w:r w:rsidR="005C0B7D" w:rsidRPr="00922E45">
        <w:rPr>
          <w:rFonts w:ascii="Cambria" w:hAnsi="Cambria"/>
          <w:sz w:val="21"/>
          <w:szCs w:val="21"/>
          <w:lang w:val="es-PE"/>
        </w:rPr>
        <w:t xml:space="preserve">y </w:t>
      </w:r>
      <w:r w:rsidR="000C39DE" w:rsidRPr="00922E45">
        <w:rPr>
          <w:rFonts w:ascii="Cambria" w:hAnsi="Cambria"/>
          <w:sz w:val="21"/>
          <w:szCs w:val="21"/>
          <w:lang w:val="es-PE"/>
        </w:rPr>
        <w:t>sería una central hidroeléctrica de baja potencia de 1.18 MW a filo con agua con un impacto ambiental mínimo</w:t>
      </w:r>
      <w:r w:rsidR="002D3F4E" w:rsidRPr="00922E45">
        <w:rPr>
          <w:rFonts w:ascii="Cambria" w:hAnsi="Cambria"/>
          <w:sz w:val="21"/>
          <w:szCs w:val="21"/>
          <w:lang w:val="es-PE"/>
        </w:rPr>
        <w:t xml:space="preserve">, siendo un proyecto que </w:t>
      </w:r>
      <w:r w:rsidR="00EB189D" w:rsidRPr="00922E45">
        <w:rPr>
          <w:rFonts w:ascii="Cambria" w:hAnsi="Cambria"/>
          <w:sz w:val="21"/>
          <w:szCs w:val="21"/>
          <w:lang w:val="es-PE"/>
        </w:rPr>
        <w:t>no afectaría la reducción del caudal.</w:t>
      </w:r>
    </w:p>
    <w:p w:rsidR="00AC420D" w:rsidRPr="00922E45" w:rsidRDefault="00AC420D" w:rsidP="0055779D">
      <w:pPr>
        <w:spacing w:after="0" w:line="240" w:lineRule="auto"/>
        <w:ind w:left="360"/>
        <w:contextualSpacing/>
        <w:jc w:val="both"/>
        <w:rPr>
          <w:rFonts w:ascii="Cambria" w:hAnsi="Cambria"/>
          <w:sz w:val="21"/>
          <w:szCs w:val="21"/>
          <w:lang w:val="es-PE"/>
        </w:rPr>
      </w:pPr>
    </w:p>
    <w:p w:rsidR="003C3843" w:rsidRPr="00922E45" w:rsidRDefault="002D3F4E" w:rsidP="0055779D">
      <w:pPr>
        <w:numPr>
          <w:ilvl w:val="0"/>
          <w:numId w:val="34"/>
        </w:numPr>
        <w:spacing w:after="0" w:line="240" w:lineRule="auto"/>
        <w:ind w:left="0" w:firstLine="360"/>
        <w:contextualSpacing/>
        <w:jc w:val="both"/>
        <w:rPr>
          <w:rFonts w:ascii="Cambria" w:hAnsi="Cambria"/>
          <w:sz w:val="21"/>
          <w:szCs w:val="21"/>
          <w:lang w:val="es-PE"/>
        </w:rPr>
      </w:pPr>
      <w:r w:rsidRPr="00922E45">
        <w:rPr>
          <w:rFonts w:ascii="Cambria" w:hAnsi="Cambria"/>
          <w:sz w:val="21"/>
          <w:szCs w:val="21"/>
          <w:lang w:val="es-PE"/>
        </w:rPr>
        <w:t>E</w:t>
      </w:r>
      <w:r w:rsidR="003C3843" w:rsidRPr="00922E45">
        <w:rPr>
          <w:rFonts w:ascii="Cambria" w:hAnsi="Cambria"/>
          <w:sz w:val="21"/>
          <w:szCs w:val="21"/>
          <w:lang w:val="es-PE"/>
        </w:rPr>
        <w:t>l Estado indicó que la pérdida del bosque en la zona alta es significativa por el avance de otros cultivos foráneos</w:t>
      </w:r>
      <w:r w:rsidRPr="00922E45">
        <w:rPr>
          <w:rFonts w:ascii="Cambria" w:hAnsi="Cambria"/>
          <w:sz w:val="21"/>
          <w:szCs w:val="21"/>
          <w:lang w:val="es-PE"/>
        </w:rPr>
        <w:t>, incluida</w:t>
      </w:r>
      <w:r w:rsidR="003C3843" w:rsidRPr="00922E45">
        <w:rPr>
          <w:rFonts w:ascii="Cambria" w:hAnsi="Cambria"/>
          <w:sz w:val="21"/>
          <w:szCs w:val="21"/>
          <w:lang w:val="es-PE"/>
        </w:rPr>
        <w:t xml:space="preserve"> la palma africana; </w:t>
      </w:r>
      <w:r w:rsidRPr="00922E45">
        <w:rPr>
          <w:rFonts w:ascii="Cambria" w:hAnsi="Cambria"/>
          <w:sz w:val="21"/>
          <w:szCs w:val="21"/>
          <w:lang w:val="es-PE"/>
        </w:rPr>
        <w:t xml:space="preserve">de tal forma que </w:t>
      </w:r>
      <w:r w:rsidR="003C3843" w:rsidRPr="00922E45">
        <w:rPr>
          <w:rFonts w:ascii="Cambria" w:hAnsi="Cambria"/>
          <w:sz w:val="21"/>
          <w:szCs w:val="21"/>
          <w:lang w:val="es-PE"/>
        </w:rPr>
        <w:t>en la zona media alta las únicas áreas que quedan con bosque virgen son las áreas con pertenecerían a la empresa; y en la zona baja se visualizaría cambios de uso de suelo, con presencia de labores agrícolas</w:t>
      </w:r>
      <w:r w:rsidR="00483C97" w:rsidRPr="00922E45">
        <w:rPr>
          <w:rFonts w:ascii="Cambria" w:hAnsi="Cambria"/>
          <w:sz w:val="21"/>
          <w:szCs w:val="21"/>
          <w:lang w:val="es-PE"/>
        </w:rPr>
        <w:t>,</w:t>
      </w:r>
      <w:r w:rsidR="003C3843" w:rsidRPr="00922E45">
        <w:rPr>
          <w:rFonts w:ascii="Cambria" w:hAnsi="Cambria"/>
          <w:sz w:val="21"/>
          <w:szCs w:val="21"/>
          <w:lang w:val="es-PE"/>
        </w:rPr>
        <w:t xml:space="preserve"> piscícolas y </w:t>
      </w:r>
      <w:proofErr w:type="spellStart"/>
      <w:r w:rsidR="003C3843" w:rsidRPr="00922E45">
        <w:rPr>
          <w:rFonts w:ascii="Cambria" w:hAnsi="Cambria"/>
          <w:sz w:val="21"/>
          <w:szCs w:val="21"/>
          <w:lang w:val="es-PE"/>
        </w:rPr>
        <w:t>porc</w:t>
      </w:r>
      <w:r w:rsidRPr="00922E45">
        <w:rPr>
          <w:rFonts w:ascii="Cambria" w:hAnsi="Cambria"/>
          <w:sz w:val="21"/>
          <w:szCs w:val="21"/>
          <w:lang w:val="es-PE"/>
        </w:rPr>
        <w:t>í</w:t>
      </w:r>
      <w:r w:rsidR="003C3843" w:rsidRPr="00922E45">
        <w:rPr>
          <w:rFonts w:ascii="Cambria" w:hAnsi="Cambria"/>
          <w:sz w:val="21"/>
          <w:szCs w:val="21"/>
          <w:lang w:val="es-PE"/>
        </w:rPr>
        <w:t>colas</w:t>
      </w:r>
      <w:proofErr w:type="spellEnd"/>
      <w:r w:rsidR="008A4B27" w:rsidRPr="00922E45">
        <w:rPr>
          <w:rFonts w:ascii="Cambria" w:hAnsi="Cambria"/>
          <w:sz w:val="21"/>
          <w:szCs w:val="21"/>
          <w:lang w:val="es-PE"/>
        </w:rPr>
        <w:t xml:space="preserve"> artesanales</w:t>
      </w:r>
      <w:r w:rsidR="003C3843" w:rsidRPr="00922E45">
        <w:rPr>
          <w:rFonts w:ascii="Cambria" w:hAnsi="Cambria"/>
          <w:sz w:val="21"/>
          <w:szCs w:val="21"/>
          <w:lang w:val="es-PE"/>
        </w:rPr>
        <w:t xml:space="preserve">, siendo </w:t>
      </w:r>
      <w:r w:rsidR="008A4B27" w:rsidRPr="00922E45">
        <w:rPr>
          <w:rFonts w:ascii="Cambria" w:hAnsi="Cambria"/>
          <w:sz w:val="21"/>
          <w:szCs w:val="21"/>
          <w:lang w:val="es-PE"/>
        </w:rPr>
        <w:t>é</w:t>
      </w:r>
      <w:r w:rsidR="003C3843" w:rsidRPr="00922E45">
        <w:rPr>
          <w:rFonts w:ascii="Cambria" w:hAnsi="Cambria"/>
          <w:sz w:val="21"/>
          <w:szCs w:val="21"/>
          <w:lang w:val="es-PE"/>
        </w:rPr>
        <w:t xml:space="preserve">stas las mayores contaminantes </w:t>
      </w:r>
      <w:r w:rsidR="008A4B27" w:rsidRPr="00922E45">
        <w:rPr>
          <w:rFonts w:ascii="Cambria" w:hAnsi="Cambria"/>
          <w:sz w:val="21"/>
          <w:szCs w:val="21"/>
          <w:lang w:val="es-PE"/>
        </w:rPr>
        <w:t xml:space="preserve">de </w:t>
      </w:r>
      <w:r w:rsidR="003C3843" w:rsidRPr="00922E45">
        <w:rPr>
          <w:rFonts w:ascii="Cambria" w:hAnsi="Cambria"/>
          <w:sz w:val="21"/>
          <w:szCs w:val="21"/>
          <w:lang w:val="es-PE"/>
        </w:rPr>
        <w:t xml:space="preserve">los cuerpos de agua.  </w:t>
      </w:r>
    </w:p>
    <w:p w:rsidR="003C3843" w:rsidRPr="00922E45" w:rsidRDefault="003C3843" w:rsidP="0055779D">
      <w:pPr>
        <w:spacing w:after="0" w:line="240" w:lineRule="auto"/>
        <w:ind w:left="360"/>
        <w:contextualSpacing/>
        <w:jc w:val="both"/>
        <w:rPr>
          <w:rFonts w:ascii="Cambria" w:hAnsi="Cambria"/>
          <w:sz w:val="21"/>
          <w:szCs w:val="21"/>
          <w:lang w:val="es-PE"/>
        </w:rPr>
      </w:pPr>
    </w:p>
    <w:p w:rsidR="003C3843" w:rsidRPr="00922E45" w:rsidRDefault="007760B3" w:rsidP="0055779D">
      <w:pPr>
        <w:numPr>
          <w:ilvl w:val="0"/>
          <w:numId w:val="34"/>
        </w:numPr>
        <w:spacing w:after="0" w:line="240" w:lineRule="auto"/>
        <w:ind w:left="0" w:firstLine="360"/>
        <w:contextualSpacing/>
        <w:jc w:val="both"/>
        <w:rPr>
          <w:rFonts w:ascii="Cambria" w:hAnsi="Cambria"/>
          <w:sz w:val="21"/>
          <w:szCs w:val="21"/>
          <w:lang w:val="es-PE"/>
        </w:rPr>
      </w:pPr>
      <w:r w:rsidRPr="00922E45">
        <w:rPr>
          <w:rFonts w:ascii="Cambria" w:hAnsi="Cambria"/>
          <w:sz w:val="21"/>
          <w:szCs w:val="21"/>
          <w:lang w:val="es-PE"/>
        </w:rPr>
        <w:t>El proyecto calificado como “ambientalmente viable”</w:t>
      </w:r>
      <w:r w:rsidR="00C27029" w:rsidRPr="00922E45">
        <w:rPr>
          <w:rFonts w:ascii="Cambria" w:hAnsi="Cambria"/>
          <w:sz w:val="21"/>
          <w:szCs w:val="21"/>
          <w:lang w:val="es-PE"/>
        </w:rPr>
        <w:t>,</w:t>
      </w:r>
      <w:r w:rsidRPr="00922E45">
        <w:rPr>
          <w:rFonts w:ascii="Cambria" w:hAnsi="Cambria"/>
          <w:sz w:val="21"/>
          <w:szCs w:val="21"/>
          <w:lang w:val="es-PE"/>
        </w:rPr>
        <w:t xml:space="preserve"> bajo la implementación de medidas de</w:t>
      </w:r>
      <w:r w:rsidR="003C3843" w:rsidRPr="00922E45">
        <w:rPr>
          <w:rFonts w:ascii="Cambria" w:hAnsi="Cambria"/>
          <w:sz w:val="21"/>
          <w:szCs w:val="21"/>
          <w:lang w:val="es-PE"/>
        </w:rPr>
        <w:t xml:space="preserve"> mitigación o </w:t>
      </w:r>
      <w:r w:rsidRPr="00922E45">
        <w:rPr>
          <w:rFonts w:ascii="Cambria" w:hAnsi="Cambria"/>
          <w:sz w:val="21"/>
          <w:szCs w:val="21"/>
          <w:lang w:val="es-PE"/>
        </w:rPr>
        <w:t xml:space="preserve">control ambiental </w:t>
      </w:r>
      <w:r w:rsidR="003C3843" w:rsidRPr="00922E45">
        <w:rPr>
          <w:rFonts w:ascii="Cambria" w:hAnsi="Cambria"/>
          <w:sz w:val="21"/>
          <w:szCs w:val="21"/>
          <w:lang w:val="es-PE"/>
        </w:rPr>
        <w:t xml:space="preserve">de </w:t>
      </w:r>
      <w:r w:rsidR="009A1B49" w:rsidRPr="00922E45">
        <w:rPr>
          <w:rFonts w:ascii="Cambria" w:hAnsi="Cambria"/>
          <w:sz w:val="21"/>
          <w:szCs w:val="21"/>
          <w:lang w:val="es-PE"/>
        </w:rPr>
        <w:t>Mi Ambiente</w:t>
      </w:r>
      <w:r w:rsidR="00C27029" w:rsidRPr="00922E45">
        <w:rPr>
          <w:rFonts w:ascii="Cambria" w:hAnsi="Cambria"/>
          <w:sz w:val="21"/>
          <w:szCs w:val="21"/>
          <w:lang w:val="es-PE"/>
        </w:rPr>
        <w:t>,</w:t>
      </w:r>
      <w:r w:rsidR="003C3843" w:rsidRPr="00922E45">
        <w:rPr>
          <w:rFonts w:ascii="Cambria" w:hAnsi="Cambria"/>
          <w:sz w:val="21"/>
          <w:szCs w:val="21"/>
          <w:lang w:val="es-PE"/>
        </w:rPr>
        <w:t xml:space="preserve"> </w:t>
      </w:r>
      <w:r w:rsidRPr="00922E45">
        <w:rPr>
          <w:rFonts w:ascii="Cambria" w:hAnsi="Cambria"/>
          <w:sz w:val="21"/>
          <w:szCs w:val="21"/>
          <w:lang w:val="es-PE"/>
        </w:rPr>
        <w:t xml:space="preserve">contaría con licencia ambiental </w:t>
      </w:r>
      <w:r w:rsidR="00EB189D" w:rsidRPr="00922E45">
        <w:rPr>
          <w:rFonts w:ascii="Cambria" w:hAnsi="Cambria"/>
          <w:sz w:val="21"/>
          <w:szCs w:val="21"/>
          <w:lang w:val="es-PE"/>
        </w:rPr>
        <w:t xml:space="preserve">de </w:t>
      </w:r>
      <w:r w:rsidRPr="00922E45">
        <w:rPr>
          <w:rFonts w:ascii="Cambria" w:hAnsi="Cambria"/>
          <w:sz w:val="21"/>
          <w:szCs w:val="21"/>
          <w:lang w:val="es-PE"/>
        </w:rPr>
        <w:t xml:space="preserve">2005, 2007 y 2012. Esta última </w:t>
      </w:r>
      <w:r w:rsidR="002D78CC" w:rsidRPr="00922E45">
        <w:rPr>
          <w:rFonts w:ascii="Cambria" w:hAnsi="Cambria"/>
          <w:sz w:val="21"/>
          <w:szCs w:val="21"/>
          <w:lang w:val="es-PE"/>
        </w:rPr>
        <w:t>“con una vigencia conforme al Contrato de Operación”, el cual tiene una duración de 25 años.</w:t>
      </w:r>
      <w:r w:rsidR="00AC420D" w:rsidRPr="00922E45">
        <w:rPr>
          <w:rFonts w:ascii="Cambria" w:hAnsi="Cambria"/>
          <w:sz w:val="21"/>
          <w:szCs w:val="21"/>
          <w:lang w:val="es-PE"/>
        </w:rPr>
        <w:t xml:space="preserve"> </w:t>
      </w:r>
      <w:r w:rsidR="00C8438B" w:rsidRPr="00922E45">
        <w:rPr>
          <w:rFonts w:ascii="Cambria" w:hAnsi="Cambria"/>
          <w:sz w:val="21"/>
          <w:szCs w:val="21"/>
          <w:lang w:val="es-PE"/>
        </w:rPr>
        <w:t xml:space="preserve">Dadas las lluvias intensas del 2017, habría erosión y sedimentación del suelo hacia la red hídrica ocasionando la turbidez del agua. Tras el inicio de las actividades de construcción en febrero de 2017, la comunidad habría presentado denuncia ambiental y estaría bloqueando la vía principal de acceso al proyecto impidiendo la implementación de las medidas de mitigación y control ambiental. </w:t>
      </w:r>
    </w:p>
    <w:p w:rsidR="000729A4" w:rsidRPr="00922E45" w:rsidRDefault="000729A4" w:rsidP="0055779D">
      <w:pPr>
        <w:spacing w:after="0" w:line="240" w:lineRule="auto"/>
        <w:contextualSpacing/>
        <w:jc w:val="both"/>
        <w:rPr>
          <w:rFonts w:ascii="Cambria" w:hAnsi="Cambria"/>
          <w:sz w:val="21"/>
          <w:szCs w:val="21"/>
          <w:lang w:val="es-PE"/>
        </w:rPr>
      </w:pPr>
    </w:p>
    <w:p w:rsidR="00C6095D" w:rsidRPr="00922E45" w:rsidRDefault="001E30D5" w:rsidP="00481FDA">
      <w:pPr>
        <w:numPr>
          <w:ilvl w:val="0"/>
          <w:numId w:val="34"/>
        </w:numPr>
        <w:spacing w:after="0" w:line="240" w:lineRule="auto"/>
        <w:ind w:left="0" w:firstLine="360"/>
        <w:contextualSpacing/>
        <w:jc w:val="both"/>
        <w:rPr>
          <w:rFonts w:ascii="Cambria" w:hAnsi="Cambria"/>
          <w:sz w:val="21"/>
          <w:szCs w:val="21"/>
          <w:lang w:val="es-PE"/>
        </w:rPr>
      </w:pPr>
      <w:r w:rsidRPr="00922E45">
        <w:rPr>
          <w:rFonts w:ascii="Cambria" w:hAnsi="Cambria"/>
          <w:sz w:val="21"/>
          <w:szCs w:val="21"/>
          <w:lang w:val="es-PE"/>
        </w:rPr>
        <w:t xml:space="preserve">Respecto </w:t>
      </w:r>
      <w:r w:rsidR="008A4B27" w:rsidRPr="00922E45">
        <w:rPr>
          <w:rFonts w:ascii="Cambria" w:hAnsi="Cambria"/>
          <w:sz w:val="21"/>
          <w:szCs w:val="21"/>
          <w:lang w:val="es-PE"/>
        </w:rPr>
        <w:t xml:space="preserve">de </w:t>
      </w:r>
      <w:r w:rsidRPr="00922E45">
        <w:rPr>
          <w:rFonts w:ascii="Cambria" w:hAnsi="Cambria"/>
          <w:sz w:val="21"/>
          <w:szCs w:val="21"/>
          <w:lang w:val="es-PE"/>
        </w:rPr>
        <w:t>la alegada contaminación</w:t>
      </w:r>
      <w:r w:rsidRPr="00922E45">
        <w:rPr>
          <w:rStyle w:val="FootnoteReference"/>
          <w:rFonts w:ascii="Cambria" w:hAnsi="Cambria"/>
          <w:sz w:val="21"/>
          <w:szCs w:val="21"/>
          <w:lang w:val="es-PE"/>
        </w:rPr>
        <w:footnoteReference w:id="9"/>
      </w:r>
      <w:r w:rsidRPr="00922E45">
        <w:rPr>
          <w:rFonts w:ascii="Cambria" w:hAnsi="Cambria"/>
          <w:sz w:val="21"/>
          <w:szCs w:val="21"/>
          <w:lang w:val="es-PE"/>
        </w:rPr>
        <w:t xml:space="preserve"> del r</w:t>
      </w:r>
      <w:r w:rsidR="008A4B27" w:rsidRPr="00922E45">
        <w:rPr>
          <w:rFonts w:ascii="Cambria" w:hAnsi="Cambria"/>
          <w:sz w:val="21"/>
          <w:szCs w:val="21"/>
          <w:lang w:val="es-PE"/>
        </w:rPr>
        <w:t>í</w:t>
      </w:r>
      <w:r w:rsidRPr="00922E45">
        <w:rPr>
          <w:rFonts w:ascii="Cambria" w:hAnsi="Cambria"/>
          <w:sz w:val="21"/>
          <w:szCs w:val="21"/>
          <w:lang w:val="es-PE"/>
        </w:rPr>
        <w:t xml:space="preserve">o </w:t>
      </w:r>
      <w:proofErr w:type="spellStart"/>
      <w:r w:rsidRPr="00922E45">
        <w:rPr>
          <w:rFonts w:ascii="Cambria" w:hAnsi="Cambria"/>
          <w:sz w:val="21"/>
          <w:szCs w:val="21"/>
          <w:lang w:val="es-PE"/>
        </w:rPr>
        <w:t>Mezapa</w:t>
      </w:r>
      <w:proofErr w:type="spellEnd"/>
      <w:r w:rsidRPr="00922E45">
        <w:rPr>
          <w:rFonts w:ascii="Cambria" w:hAnsi="Cambria"/>
          <w:sz w:val="21"/>
          <w:szCs w:val="21"/>
          <w:lang w:val="es-PE"/>
        </w:rPr>
        <w:t>, e</w:t>
      </w:r>
      <w:r w:rsidR="000729A4" w:rsidRPr="00922E45">
        <w:rPr>
          <w:rFonts w:ascii="Cambria" w:hAnsi="Cambria"/>
          <w:sz w:val="21"/>
          <w:szCs w:val="21"/>
          <w:lang w:val="es-PE"/>
        </w:rPr>
        <w:t>l Estado informó</w:t>
      </w:r>
      <w:r w:rsidRPr="00922E45">
        <w:rPr>
          <w:rFonts w:ascii="Cambria" w:hAnsi="Cambria"/>
          <w:sz w:val="21"/>
          <w:szCs w:val="21"/>
          <w:lang w:val="es-PE"/>
        </w:rPr>
        <w:t xml:space="preserve"> sobre 4 tomas de muestras de agua </w:t>
      </w:r>
      <w:r w:rsidR="00D11422" w:rsidRPr="00922E45">
        <w:rPr>
          <w:rFonts w:ascii="Cambria" w:hAnsi="Cambria"/>
          <w:sz w:val="21"/>
          <w:szCs w:val="21"/>
          <w:lang w:val="es-PE"/>
        </w:rPr>
        <w:t xml:space="preserve">en diferentes puntos, las cuales fueron analizados por </w:t>
      </w:r>
      <w:r w:rsidRPr="00922E45">
        <w:rPr>
          <w:rFonts w:ascii="Cambria" w:hAnsi="Cambria"/>
          <w:sz w:val="21"/>
          <w:szCs w:val="21"/>
          <w:lang w:val="es-PE"/>
        </w:rPr>
        <w:t>el Centro de Control de Contaminantes de Mi Ambiente</w:t>
      </w:r>
      <w:r w:rsidR="00C6095D" w:rsidRPr="00922E45">
        <w:rPr>
          <w:rFonts w:ascii="Cambria" w:hAnsi="Cambria"/>
          <w:sz w:val="21"/>
          <w:szCs w:val="21"/>
          <w:lang w:val="es-PE"/>
        </w:rPr>
        <w:t xml:space="preserve"> las cuales en su conjunto son consistentes en indicar “que el agua contiene heces fecales de origen humano”, no siendo “apta para el consumo humano”</w:t>
      </w:r>
      <w:r w:rsidR="006406C2" w:rsidRPr="00922E45">
        <w:rPr>
          <w:rStyle w:val="FootnoteReference"/>
          <w:rFonts w:ascii="Cambria" w:hAnsi="Cambria"/>
          <w:sz w:val="21"/>
          <w:szCs w:val="21"/>
          <w:lang w:val="es-PE"/>
        </w:rPr>
        <w:footnoteReference w:id="10"/>
      </w:r>
      <w:r w:rsidR="006406C2" w:rsidRPr="00922E45">
        <w:rPr>
          <w:rFonts w:ascii="Cambria" w:hAnsi="Cambria"/>
          <w:sz w:val="21"/>
          <w:szCs w:val="21"/>
          <w:lang w:val="es-PE"/>
        </w:rPr>
        <w:t>.</w:t>
      </w:r>
    </w:p>
    <w:p w:rsidR="00D11422" w:rsidRPr="00922E45" w:rsidRDefault="00C6095D" w:rsidP="00481FDA">
      <w:pPr>
        <w:spacing w:after="0" w:line="240" w:lineRule="auto"/>
        <w:contextualSpacing/>
        <w:jc w:val="both"/>
        <w:rPr>
          <w:rFonts w:ascii="Calibri Light" w:hAnsi="Calibri Light"/>
          <w:sz w:val="16"/>
          <w:szCs w:val="16"/>
          <w:lang w:val="es-PE"/>
        </w:rPr>
      </w:pPr>
      <w:r w:rsidRPr="00922E45">
        <w:rPr>
          <w:rFonts w:ascii="Calibri Light" w:hAnsi="Calibri Light"/>
          <w:sz w:val="16"/>
          <w:szCs w:val="16"/>
          <w:lang w:val="es-PE"/>
        </w:rPr>
        <w:t xml:space="preserve"> </w:t>
      </w:r>
    </w:p>
    <w:p w:rsidR="007475F5" w:rsidRPr="00922E45" w:rsidRDefault="00A73E64" w:rsidP="0055779D">
      <w:pPr>
        <w:pStyle w:val="ListParagraph"/>
        <w:numPr>
          <w:ilvl w:val="0"/>
          <w:numId w:val="34"/>
        </w:numPr>
        <w:spacing w:after="0" w:line="240" w:lineRule="auto"/>
        <w:ind w:left="0" w:firstLine="360"/>
        <w:jc w:val="both"/>
        <w:rPr>
          <w:rFonts w:ascii="Cambria" w:hAnsi="Cambria"/>
          <w:sz w:val="21"/>
          <w:szCs w:val="21"/>
          <w:lang w:val="es-PE"/>
        </w:rPr>
      </w:pPr>
      <w:r w:rsidRPr="00922E45">
        <w:rPr>
          <w:rFonts w:ascii="Cambria" w:hAnsi="Cambria"/>
          <w:sz w:val="21"/>
          <w:szCs w:val="21"/>
          <w:lang w:val="es-PE"/>
        </w:rPr>
        <w:t>En relación con las fuentes de contaminación, el Estado indicó que d</w:t>
      </w:r>
      <w:r w:rsidR="00D6387C" w:rsidRPr="00922E45">
        <w:rPr>
          <w:rFonts w:ascii="Cambria" w:hAnsi="Cambria"/>
          <w:sz w:val="21"/>
          <w:szCs w:val="21"/>
          <w:lang w:val="es-PE"/>
        </w:rPr>
        <w:t>urante la inspección de campo para la toma de muestras</w:t>
      </w:r>
      <w:r w:rsidR="00CA3711" w:rsidRPr="00922E45">
        <w:rPr>
          <w:rFonts w:ascii="Cambria" w:hAnsi="Cambria"/>
          <w:sz w:val="21"/>
          <w:szCs w:val="21"/>
          <w:lang w:val="es-PE"/>
        </w:rPr>
        <w:t xml:space="preserve"> en la microcuenca</w:t>
      </w:r>
      <w:r w:rsidR="00D6387C" w:rsidRPr="00922E45">
        <w:rPr>
          <w:rFonts w:ascii="Cambria" w:hAnsi="Cambria"/>
          <w:sz w:val="21"/>
          <w:szCs w:val="21"/>
          <w:lang w:val="es-PE"/>
        </w:rPr>
        <w:t xml:space="preserve">, se </w:t>
      </w:r>
      <w:r w:rsidR="00793FCA" w:rsidRPr="00922E45">
        <w:rPr>
          <w:rFonts w:ascii="Cambria" w:hAnsi="Cambria"/>
          <w:sz w:val="21"/>
          <w:szCs w:val="21"/>
          <w:lang w:val="es-PE"/>
        </w:rPr>
        <w:t>detectó</w:t>
      </w:r>
      <w:r w:rsidR="00D6387C" w:rsidRPr="00922E45">
        <w:rPr>
          <w:rFonts w:ascii="Cambria" w:hAnsi="Cambria"/>
          <w:sz w:val="21"/>
          <w:szCs w:val="21"/>
          <w:lang w:val="es-PE"/>
        </w:rPr>
        <w:t xml:space="preserve"> un fuerte mal olor</w:t>
      </w:r>
      <w:r w:rsidR="00C6095D" w:rsidRPr="00922E45">
        <w:rPr>
          <w:rFonts w:ascii="Cambria" w:hAnsi="Cambria"/>
          <w:sz w:val="21"/>
          <w:szCs w:val="21"/>
          <w:lang w:val="es-PE"/>
        </w:rPr>
        <w:t>,</w:t>
      </w:r>
      <w:r w:rsidR="00D6387C" w:rsidRPr="00922E45">
        <w:rPr>
          <w:rFonts w:ascii="Cambria" w:hAnsi="Cambria"/>
          <w:sz w:val="21"/>
          <w:szCs w:val="21"/>
          <w:lang w:val="es-PE"/>
        </w:rPr>
        <w:t xml:space="preserve"> </w:t>
      </w:r>
      <w:r w:rsidR="00C6095D" w:rsidRPr="00922E45">
        <w:rPr>
          <w:rFonts w:ascii="Cambria" w:hAnsi="Cambria"/>
          <w:sz w:val="21"/>
          <w:szCs w:val="21"/>
          <w:lang w:val="es-PE"/>
        </w:rPr>
        <w:t xml:space="preserve">típico de la existencia de una cría de cerdos, </w:t>
      </w:r>
      <w:r w:rsidR="00D6387C" w:rsidRPr="00922E45">
        <w:rPr>
          <w:rFonts w:ascii="Cambria" w:hAnsi="Cambria"/>
          <w:sz w:val="21"/>
          <w:szCs w:val="21"/>
          <w:lang w:val="es-PE"/>
        </w:rPr>
        <w:t xml:space="preserve">debajo del punto de toma muy cerca de la Comunidad de Pajuiles, por lo que </w:t>
      </w:r>
      <w:r w:rsidR="00793FCA" w:rsidRPr="00922E45">
        <w:rPr>
          <w:rFonts w:ascii="Cambria" w:hAnsi="Cambria"/>
          <w:sz w:val="21"/>
          <w:szCs w:val="21"/>
          <w:lang w:val="es-PE"/>
        </w:rPr>
        <w:lastRenderedPageBreak/>
        <w:t>habría</w:t>
      </w:r>
      <w:r w:rsidR="00D6387C" w:rsidRPr="00922E45">
        <w:rPr>
          <w:rFonts w:ascii="Cambria" w:hAnsi="Cambria"/>
          <w:sz w:val="21"/>
          <w:szCs w:val="21"/>
          <w:lang w:val="es-PE"/>
        </w:rPr>
        <w:t xml:space="preserve"> un “foco de contaminación” e</w:t>
      </w:r>
      <w:r w:rsidR="00793FCA" w:rsidRPr="00922E45">
        <w:rPr>
          <w:rFonts w:ascii="Cambria" w:hAnsi="Cambria"/>
          <w:sz w:val="21"/>
          <w:szCs w:val="21"/>
          <w:lang w:val="es-PE"/>
        </w:rPr>
        <w:t xml:space="preserve">ntre esa toma y la anterior. </w:t>
      </w:r>
      <w:r w:rsidR="00CA3711" w:rsidRPr="00922E45">
        <w:rPr>
          <w:rFonts w:ascii="Cambria" w:hAnsi="Cambria"/>
          <w:sz w:val="21"/>
          <w:szCs w:val="21"/>
          <w:lang w:val="es-PE"/>
        </w:rPr>
        <w:t xml:space="preserve">Según el Estado, el </w:t>
      </w:r>
      <w:r w:rsidR="00C6095D" w:rsidRPr="00922E45">
        <w:rPr>
          <w:rFonts w:ascii="Cambria" w:hAnsi="Cambria"/>
          <w:sz w:val="21"/>
          <w:szCs w:val="21"/>
          <w:lang w:val="es-PE"/>
        </w:rPr>
        <w:t xml:space="preserve">cultivo de </w:t>
      </w:r>
      <w:r w:rsidR="00CA3711" w:rsidRPr="00922E45">
        <w:rPr>
          <w:rFonts w:ascii="Cambria" w:hAnsi="Cambria"/>
          <w:sz w:val="21"/>
          <w:szCs w:val="21"/>
          <w:lang w:val="es-PE"/>
        </w:rPr>
        <w:t xml:space="preserve">café estaría estableciéndose rápidamente en la parte alta y el cultivo de palma africana en la parte media y baja, principalmente. Esta situación influenciaría en el sistema de captación de agua y utilización de agroquímicos. </w:t>
      </w:r>
    </w:p>
    <w:p w:rsidR="007475F5" w:rsidRPr="00922E45" w:rsidRDefault="007475F5" w:rsidP="0055779D">
      <w:pPr>
        <w:pStyle w:val="ListParagraph"/>
        <w:spacing w:after="0" w:line="240" w:lineRule="auto"/>
        <w:ind w:left="360"/>
        <w:jc w:val="both"/>
        <w:rPr>
          <w:rFonts w:ascii="Cambria" w:hAnsi="Cambria"/>
          <w:sz w:val="21"/>
          <w:szCs w:val="21"/>
          <w:lang w:val="es-PE"/>
        </w:rPr>
      </w:pPr>
    </w:p>
    <w:p w:rsidR="009217ED" w:rsidRPr="00922E45" w:rsidRDefault="007475F5" w:rsidP="0055779D">
      <w:pPr>
        <w:pStyle w:val="ListParagraph"/>
        <w:numPr>
          <w:ilvl w:val="0"/>
          <w:numId w:val="34"/>
        </w:numPr>
        <w:spacing w:after="0" w:line="240" w:lineRule="auto"/>
        <w:ind w:left="0" w:firstLine="360"/>
        <w:jc w:val="both"/>
        <w:rPr>
          <w:rFonts w:ascii="Cambria" w:hAnsi="Cambria"/>
          <w:sz w:val="21"/>
          <w:szCs w:val="21"/>
          <w:lang w:val="es-PE"/>
        </w:rPr>
      </w:pPr>
      <w:r w:rsidRPr="00922E45">
        <w:rPr>
          <w:rFonts w:ascii="Cambria" w:hAnsi="Cambria"/>
          <w:sz w:val="21"/>
          <w:szCs w:val="21"/>
          <w:lang w:val="es-PE"/>
        </w:rPr>
        <w:t xml:space="preserve">El Estado informó </w:t>
      </w:r>
      <w:r w:rsidR="006406C2" w:rsidRPr="00922E45">
        <w:rPr>
          <w:rFonts w:ascii="Cambria" w:hAnsi="Cambria"/>
          <w:sz w:val="21"/>
          <w:szCs w:val="21"/>
          <w:lang w:val="es-PE"/>
        </w:rPr>
        <w:t>sobre</w:t>
      </w:r>
      <w:r w:rsidRPr="00922E45">
        <w:rPr>
          <w:rFonts w:ascii="Cambria" w:hAnsi="Cambria"/>
          <w:sz w:val="21"/>
          <w:szCs w:val="21"/>
          <w:lang w:val="es-PE"/>
        </w:rPr>
        <w:t xml:space="preserve"> </w:t>
      </w:r>
      <w:r w:rsidR="006406C2" w:rsidRPr="00922E45">
        <w:rPr>
          <w:rFonts w:ascii="Cambria" w:hAnsi="Cambria"/>
          <w:sz w:val="21"/>
          <w:szCs w:val="21"/>
          <w:lang w:val="es-PE"/>
        </w:rPr>
        <w:t xml:space="preserve">la instalación de 4 mesas de diálogo entre autoridades y las comunidades </w:t>
      </w:r>
      <w:r w:rsidR="00394BB8" w:rsidRPr="00922E45">
        <w:rPr>
          <w:rFonts w:ascii="Cambria" w:hAnsi="Cambria"/>
          <w:sz w:val="21"/>
          <w:szCs w:val="21"/>
          <w:lang w:val="es-PE"/>
        </w:rPr>
        <w:t>para atender la situación de Pajuiles</w:t>
      </w:r>
      <w:r w:rsidR="006406C2" w:rsidRPr="00922E45">
        <w:rPr>
          <w:rFonts w:ascii="Cambria" w:hAnsi="Cambria"/>
          <w:sz w:val="21"/>
          <w:szCs w:val="21"/>
          <w:lang w:val="es-PE"/>
        </w:rPr>
        <w:t xml:space="preserve"> con el fin de fomentar la paz y tranquilidad. Agregó que </w:t>
      </w:r>
      <w:r w:rsidR="00394BB8" w:rsidRPr="00922E45">
        <w:rPr>
          <w:rFonts w:ascii="Cambria" w:hAnsi="Cambria"/>
          <w:sz w:val="21"/>
          <w:szCs w:val="21"/>
          <w:lang w:val="es-PE"/>
        </w:rPr>
        <w:t>la empresa habría cumplido con los requerimientos para sus operaciones</w:t>
      </w:r>
      <w:r w:rsidR="006406C2" w:rsidRPr="00922E45">
        <w:rPr>
          <w:rFonts w:ascii="Cambria" w:hAnsi="Cambria"/>
          <w:sz w:val="21"/>
          <w:szCs w:val="21"/>
          <w:lang w:val="es-PE"/>
        </w:rPr>
        <w:t xml:space="preserve"> de tal forma que </w:t>
      </w:r>
      <w:r w:rsidR="00394BB8" w:rsidRPr="00922E45">
        <w:rPr>
          <w:rFonts w:ascii="Cambria" w:hAnsi="Cambria"/>
          <w:sz w:val="21"/>
          <w:szCs w:val="21"/>
          <w:lang w:val="es-PE"/>
        </w:rPr>
        <w:t xml:space="preserve">se deben generar condiciones para evitar que se dañe el agua; se debe evitar la confrontación y violencia; y evitar la hostilidad entre los integrantes de la comunidad. </w:t>
      </w:r>
    </w:p>
    <w:p w:rsidR="009217ED" w:rsidRPr="00922E45" w:rsidRDefault="009217ED" w:rsidP="0055779D">
      <w:pPr>
        <w:pStyle w:val="ListParagraph"/>
        <w:spacing w:after="0" w:line="240" w:lineRule="auto"/>
        <w:ind w:left="360"/>
        <w:jc w:val="both"/>
        <w:rPr>
          <w:rFonts w:ascii="Cambria" w:hAnsi="Cambria"/>
          <w:sz w:val="21"/>
          <w:szCs w:val="21"/>
          <w:lang w:val="es-PE"/>
        </w:rPr>
      </w:pPr>
    </w:p>
    <w:p w:rsidR="009217ED" w:rsidRPr="00922E45" w:rsidRDefault="009217ED" w:rsidP="0055779D">
      <w:pPr>
        <w:pStyle w:val="ListParagraph"/>
        <w:numPr>
          <w:ilvl w:val="0"/>
          <w:numId w:val="34"/>
        </w:numPr>
        <w:spacing w:after="0" w:line="240" w:lineRule="auto"/>
        <w:ind w:left="0" w:firstLine="360"/>
        <w:jc w:val="both"/>
        <w:rPr>
          <w:rFonts w:ascii="Cambria" w:hAnsi="Cambria"/>
          <w:sz w:val="21"/>
          <w:szCs w:val="21"/>
          <w:lang w:val="es-PE"/>
        </w:rPr>
      </w:pPr>
      <w:r w:rsidRPr="00922E45">
        <w:rPr>
          <w:rFonts w:ascii="Cambria" w:hAnsi="Cambria"/>
          <w:sz w:val="21"/>
          <w:szCs w:val="21"/>
          <w:lang w:val="es-PE"/>
        </w:rPr>
        <w:t>Por otro lado, informó que el 5 de junio de 2017 personal de la Unidad de Recepción</w:t>
      </w:r>
      <w:r w:rsidR="0055779D" w:rsidRPr="00922E45">
        <w:rPr>
          <w:rFonts w:ascii="Cambria" w:hAnsi="Cambria"/>
          <w:sz w:val="21"/>
          <w:szCs w:val="21"/>
          <w:lang w:val="es-PE"/>
        </w:rPr>
        <w:t xml:space="preserve"> de Casos y Reacción Inmediata </w:t>
      </w:r>
      <w:r w:rsidRPr="00922E45">
        <w:rPr>
          <w:rFonts w:ascii="Cambria" w:hAnsi="Cambria"/>
          <w:sz w:val="21"/>
          <w:szCs w:val="21"/>
          <w:lang w:val="es-PE"/>
        </w:rPr>
        <w:t>se habría trasladado a la zona con la finalidad de entrevistar de primer contacto la situación de los líderes de diferentes comunidades que llevaban 75 días de manifestación en la comunidad de Pajuiles. El 7 de junio de 2017, la Dirección General de</w:t>
      </w:r>
      <w:r w:rsidR="0055779D" w:rsidRPr="00922E45">
        <w:rPr>
          <w:rFonts w:ascii="Cambria" w:hAnsi="Cambria"/>
          <w:sz w:val="21"/>
          <w:szCs w:val="21"/>
          <w:lang w:val="es-PE"/>
        </w:rPr>
        <w:t xml:space="preserve">l Sistema de Protección </w:t>
      </w:r>
      <w:r w:rsidRPr="00922E45">
        <w:rPr>
          <w:rFonts w:ascii="Cambria" w:hAnsi="Cambria"/>
          <w:sz w:val="21"/>
          <w:szCs w:val="21"/>
          <w:lang w:val="es-PE"/>
        </w:rPr>
        <w:t>habría admitido vía procedimiento ordinario la solicitud de medi</w:t>
      </w:r>
      <w:r w:rsidR="00340EEE" w:rsidRPr="00922E45">
        <w:rPr>
          <w:rFonts w:ascii="Cambria" w:hAnsi="Cambria"/>
          <w:sz w:val="21"/>
          <w:szCs w:val="21"/>
          <w:lang w:val="es-PE"/>
        </w:rPr>
        <w:t>das de protección presentada</w:t>
      </w:r>
      <w:r w:rsidRPr="00922E45">
        <w:rPr>
          <w:rFonts w:ascii="Cambria" w:hAnsi="Cambria"/>
          <w:sz w:val="21"/>
          <w:szCs w:val="21"/>
          <w:lang w:val="es-PE"/>
        </w:rPr>
        <w:t>, adelantándose una serie de solicitudes</w:t>
      </w:r>
      <w:r w:rsidR="009A5400" w:rsidRPr="00922E45">
        <w:rPr>
          <w:rFonts w:ascii="Cambria" w:hAnsi="Cambria"/>
          <w:sz w:val="21"/>
          <w:szCs w:val="21"/>
          <w:lang w:val="es-PE"/>
        </w:rPr>
        <w:t xml:space="preserve"> a diversas entidades</w:t>
      </w:r>
      <w:r w:rsidRPr="00922E45">
        <w:rPr>
          <w:rStyle w:val="FootnoteReference"/>
          <w:rFonts w:ascii="Cambria" w:hAnsi="Cambria"/>
          <w:sz w:val="21"/>
          <w:szCs w:val="21"/>
          <w:lang w:val="es-PE"/>
        </w:rPr>
        <w:footnoteReference w:id="11"/>
      </w:r>
      <w:r w:rsidRPr="00922E45">
        <w:rPr>
          <w:rFonts w:ascii="Cambria" w:hAnsi="Cambria"/>
          <w:sz w:val="21"/>
          <w:szCs w:val="21"/>
          <w:lang w:val="es-PE"/>
        </w:rPr>
        <w:t>. El Estado resal</w:t>
      </w:r>
      <w:r w:rsidR="00340EEE" w:rsidRPr="00922E45">
        <w:rPr>
          <w:rFonts w:ascii="Cambria" w:hAnsi="Cambria"/>
          <w:sz w:val="21"/>
          <w:szCs w:val="21"/>
          <w:lang w:val="es-PE"/>
        </w:rPr>
        <w:t xml:space="preserve">tó que se </w:t>
      </w:r>
      <w:r w:rsidRPr="00922E45">
        <w:rPr>
          <w:rFonts w:ascii="Cambria" w:hAnsi="Cambria"/>
          <w:sz w:val="21"/>
          <w:szCs w:val="21"/>
          <w:lang w:val="es-PE"/>
        </w:rPr>
        <w:t xml:space="preserve">ha estado monitoreando constantemente la situación de la manifestación en la Comunidad de Pajuiles, realizando diversas gestiones de carácter preventivo, por medio de los órganos competentes. </w:t>
      </w:r>
    </w:p>
    <w:p w:rsidR="009217ED" w:rsidRPr="00922E45" w:rsidRDefault="009217ED" w:rsidP="0055779D">
      <w:pPr>
        <w:pStyle w:val="ListParagraph"/>
        <w:spacing w:after="0" w:line="240" w:lineRule="auto"/>
        <w:ind w:left="360"/>
        <w:jc w:val="both"/>
        <w:rPr>
          <w:rFonts w:ascii="Cambria" w:hAnsi="Cambria"/>
          <w:sz w:val="21"/>
          <w:szCs w:val="21"/>
          <w:lang w:val="es-PE"/>
        </w:rPr>
      </w:pPr>
    </w:p>
    <w:p w:rsidR="00B62ACB" w:rsidRPr="00922E45" w:rsidRDefault="00B62ACB" w:rsidP="00BF07A8">
      <w:pPr>
        <w:numPr>
          <w:ilvl w:val="0"/>
          <w:numId w:val="19"/>
        </w:numPr>
        <w:tabs>
          <w:tab w:val="left" w:pos="720"/>
        </w:tabs>
        <w:spacing w:after="0" w:line="240" w:lineRule="auto"/>
        <w:ind w:left="720" w:hanging="90"/>
        <w:jc w:val="both"/>
        <w:rPr>
          <w:rFonts w:ascii="Cambria" w:hAnsi="Cambria" w:cs="Arial"/>
          <w:b/>
          <w:color w:val="000000"/>
          <w:sz w:val="21"/>
          <w:szCs w:val="21"/>
          <w:lang w:val="es-AR"/>
        </w:rPr>
      </w:pPr>
      <w:r w:rsidRPr="00922E45">
        <w:rPr>
          <w:rFonts w:ascii="Cambria" w:hAnsi="Cambria" w:cs="Arial"/>
          <w:b/>
          <w:color w:val="000000"/>
          <w:sz w:val="21"/>
          <w:szCs w:val="21"/>
          <w:lang w:val="es-AR"/>
        </w:rPr>
        <w:t>ANÁLISIS SOBRE LOS ELEMENTOS DE GRAVEDAD, URGENCIA E IRREPARABILIDAD</w:t>
      </w:r>
    </w:p>
    <w:p w:rsidR="00C2457F" w:rsidRPr="00922E45" w:rsidRDefault="00C2457F" w:rsidP="0055779D">
      <w:pPr>
        <w:tabs>
          <w:tab w:val="left" w:pos="1080"/>
        </w:tabs>
        <w:spacing w:after="0" w:line="240" w:lineRule="auto"/>
        <w:ind w:left="720"/>
        <w:jc w:val="both"/>
        <w:rPr>
          <w:rFonts w:ascii="Cambria" w:hAnsi="Cambria" w:cs="Arial"/>
          <w:b/>
          <w:color w:val="000000"/>
          <w:sz w:val="21"/>
          <w:szCs w:val="21"/>
          <w:lang w:val="es-AR"/>
        </w:rPr>
      </w:pPr>
    </w:p>
    <w:p w:rsidR="00FA3B2F" w:rsidRPr="00922E45" w:rsidRDefault="00B62ACB" w:rsidP="0055779D">
      <w:pPr>
        <w:numPr>
          <w:ilvl w:val="0"/>
          <w:numId w:val="34"/>
        </w:numPr>
        <w:tabs>
          <w:tab w:val="left" w:pos="90"/>
          <w:tab w:val="left" w:pos="180"/>
          <w:tab w:val="left" w:pos="630"/>
        </w:tabs>
        <w:spacing w:after="0" w:line="240" w:lineRule="auto"/>
        <w:ind w:left="0" w:firstLine="360"/>
        <w:jc w:val="both"/>
        <w:rPr>
          <w:rFonts w:ascii="Cambria" w:hAnsi="Cambria" w:cs="Calibri"/>
          <w:color w:val="000000"/>
          <w:sz w:val="21"/>
          <w:szCs w:val="21"/>
          <w:lang w:val="es-ES"/>
        </w:rPr>
      </w:pPr>
      <w:r w:rsidRPr="00922E45">
        <w:rPr>
          <w:rFonts w:ascii="Cambria" w:hAnsi="Cambria" w:cs="Calibri"/>
          <w:color w:val="000000"/>
          <w:sz w:val="21"/>
          <w:szCs w:val="21"/>
          <w:lang w:val="es-ES"/>
        </w:rPr>
        <w:t>El mecanismo de medidas cautelares es parte de la función de la Comisión para supervisar el cumplimiento con las obligaciones de derechos humanos establecidas en el Artículo 106 de la Carta de la Organización de Estados Americanos. Ésas funciones generales de supervisión están establecidas en el Artículo 41 (b) de la Convención Americana sobre Derechos Humanos, recogido también en el Artículo 18 (b) del Estatuto de la CIDH, y el mecanismo de medidas cautelares es descrito en el Artículo 25 del Reglamento de la Comisión. De conformidad con ese Artículo, la Comisión otorga medidas cautelares en situaciones que son graves y urgentes, y en las cuales tales medidas son necesarias para prevenir un daño irreparable a las personas.</w:t>
      </w:r>
    </w:p>
    <w:p w:rsidR="00FA3B2F" w:rsidRPr="00922E45" w:rsidRDefault="00FA3B2F" w:rsidP="0055779D">
      <w:pPr>
        <w:tabs>
          <w:tab w:val="left" w:pos="90"/>
          <w:tab w:val="left" w:pos="180"/>
          <w:tab w:val="left" w:pos="630"/>
        </w:tabs>
        <w:spacing w:after="0" w:line="240" w:lineRule="auto"/>
        <w:ind w:left="360"/>
        <w:jc w:val="both"/>
        <w:rPr>
          <w:rFonts w:ascii="Cambria" w:hAnsi="Cambria" w:cs="Calibri"/>
          <w:color w:val="000000"/>
          <w:sz w:val="21"/>
          <w:szCs w:val="21"/>
          <w:lang w:val="es-ES"/>
        </w:rPr>
      </w:pPr>
    </w:p>
    <w:p w:rsidR="00B62ACB" w:rsidRPr="00922E45" w:rsidRDefault="00B62ACB" w:rsidP="0055779D">
      <w:pPr>
        <w:numPr>
          <w:ilvl w:val="0"/>
          <w:numId w:val="34"/>
        </w:numPr>
        <w:tabs>
          <w:tab w:val="left" w:pos="90"/>
          <w:tab w:val="left" w:pos="180"/>
          <w:tab w:val="left" w:pos="630"/>
        </w:tabs>
        <w:spacing w:after="0" w:line="240" w:lineRule="auto"/>
        <w:ind w:left="0" w:firstLine="360"/>
        <w:jc w:val="both"/>
        <w:rPr>
          <w:rFonts w:ascii="Cambria" w:hAnsi="Cambria" w:cs="Calibri"/>
          <w:color w:val="000000"/>
          <w:sz w:val="21"/>
          <w:szCs w:val="21"/>
          <w:lang w:val="es-ES"/>
        </w:rPr>
      </w:pPr>
      <w:r w:rsidRPr="00922E45">
        <w:rPr>
          <w:rFonts w:ascii="Cambria" w:hAnsi="Cambria" w:cs="Calibri"/>
          <w:color w:val="000000"/>
          <w:sz w:val="21"/>
          <w:szCs w:val="21"/>
          <w:lang w:val="es-ES"/>
        </w:rPr>
        <w:t>La Comisión y la Corte Interamericana de Derechos Humanos (en adelante “la Corte Interamericana”) han establecido de manera reiterada que las medidas cautelares y provisionales tienen un doble carácter, uno cautelar y otro tutelar. Respecto del carácter tutelar, las medidas buscan evitar un daño irreparable y preservar el ejercicio de los derechos humanos. Con respecto al carácter cautelar, las medidas cautelares tienen como propósito preservar una situación jurídica mientras esté siendo considerada por la CIDH. El carácter cautelar tiene por objeto y fin preservar los derechos en posible riesgo, hasta tanto se resuelva la petición que se encuentra bajo conocimiento en el Sistema Interamericano. Su objeto y fin son los de asegurar la integridad y la efectividad de la decisión de fondo y, de esta manera, evitar que se lesionen los derechos alegados, situación que podría hacer inocua o desvirtuar el efecto útil (</w:t>
      </w:r>
      <w:proofErr w:type="spellStart"/>
      <w:r w:rsidRPr="00922E45">
        <w:rPr>
          <w:rFonts w:ascii="Cambria" w:hAnsi="Cambria" w:cs="Calibri"/>
          <w:i/>
          <w:iCs/>
          <w:color w:val="000000"/>
          <w:sz w:val="21"/>
          <w:szCs w:val="21"/>
          <w:lang w:val="es-ES"/>
        </w:rPr>
        <w:t>effet</w:t>
      </w:r>
      <w:proofErr w:type="spellEnd"/>
      <w:r w:rsidRPr="00922E45">
        <w:rPr>
          <w:rFonts w:ascii="Cambria" w:hAnsi="Cambria" w:cs="Calibri"/>
          <w:i/>
          <w:iCs/>
          <w:color w:val="000000"/>
          <w:sz w:val="21"/>
          <w:szCs w:val="21"/>
          <w:lang w:val="es-ES"/>
        </w:rPr>
        <w:t xml:space="preserve"> </w:t>
      </w:r>
      <w:proofErr w:type="spellStart"/>
      <w:r w:rsidRPr="00922E45">
        <w:rPr>
          <w:rFonts w:ascii="Cambria" w:hAnsi="Cambria" w:cs="Calibri"/>
          <w:i/>
          <w:iCs/>
          <w:color w:val="000000"/>
          <w:sz w:val="21"/>
          <w:szCs w:val="21"/>
          <w:lang w:val="es-ES"/>
        </w:rPr>
        <w:t>utile</w:t>
      </w:r>
      <w:proofErr w:type="spellEnd"/>
      <w:r w:rsidRPr="00922E45">
        <w:rPr>
          <w:rFonts w:ascii="Cambria" w:hAnsi="Cambria" w:cs="Calibri"/>
          <w:color w:val="000000"/>
          <w:sz w:val="21"/>
          <w:szCs w:val="21"/>
          <w:lang w:val="es-ES"/>
        </w:rPr>
        <w:t>) de la decisión final. En tal sentido, las medidas cautelares o provisionales permiten así que el Estado en cuestión pueda cumplir la decisión final y, de ser necesario, cumplir con las reparaciones ordenadas. Para los efectos de tomar una decisión, y de acuerdo con el Artículo 25.2 de su Reglamento, la Comisión considera que:</w:t>
      </w:r>
    </w:p>
    <w:p w:rsidR="00B62ACB" w:rsidRPr="00922E45" w:rsidRDefault="00B62ACB" w:rsidP="008A512C">
      <w:pPr>
        <w:tabs>
          <w:tab w:val="left" w:pos="1260"/>
        </w:tabs>
        <w:autoSpaceDE w:val="0"/>
        <w:autoSpaceDN w:val="0"/>
        <w:adjustRightInd w:val="0"/>
        <w:spacing w:after="0" w:line="240" w:lineRule="auto"/>
        <w:ind w:right="720"/>
        <w:jc w:val="both"/>
        <w:rPr>
          <w:rFonts w:ascii="Cambria" w:hAnsi="Cambria" w:cs="Calibri"/>
          <w:color w:val="000000"/>
          <w:sz w:val="21"/>
          <w:szCs w:val="21"/>
          <w:lang w:val="es-ES"/>
        </w:rPr>
      </w:pPr>
    </w:p>
    <w:p w:rsidR="005F66C5" w:rsidRPr="00922E45" w:rsidRDefault="00B62ACB" w:rsidP="00BF07A8">
      <w:pPr>
        <w:numPr>
          <w:ilvl w:val="0"/>
          <w:numId w:val="24"/>
        </w:numPr>
        <w:tabs>
          <w:tab w:val="left" w:pos="1260"/>
        </w:tabs>
        <w:autoSpaceDE w:val="0"/>
        <w:autoSpaceDN w:val="0"/>
        <w:adjustRightInd w:val="0"/>
        <w:spacing w:after="0" w:line="240" w:lineRule="auto"/>
        <w:ind w:left="1260" w:right="720"/>
        <w:jc w:val="both"/>
        <w:rPr>
          <w:rFonts w:ascii="Cambria" w:hAnsi="Cambria" w:cs="Calibri"/>
          <w:color w:val="000000"/>
          <w:sz w:val="20"/>
          <w:szCs w:val="21"/>
          <w:lang w:val="es-ES"/>
        </w:rPr>
      </w:pPr>
      <w:r w:rsidRPr="00922E45">
        <w:rPr>
          <w:rFonts w:ascii="Cambria" w:hAnsi="Cambria" w:cs="Calibri"/>
          <w:color w:val="000000"/>
          <w:sz w:val="20"/>
          <w:szCs w:val="21"/>
          <w:lang w:val="es-ES"/>
        </w:rPr>
        <w:t xml:space="preserve">la “gravedad de la situación”, significa el serio impacto que una acción u omisión puede tener sobre un derecho protegido o sobre el efecto eventual de una decisión pendiente en un caso o petición ante los órganos del Sistema Interamericano; </w:t>
      </w:r>
    </w:p>
    <w:p w:rsidR="005F66C5" w:rsidRPr="00922E45" w:rsidRDefault="00B62ACB" w:rsidP="00BF07A8">
      <w:pPr>
        <w:numPr>
          <w:ilvl w:val="0"/>
          <w:numId w:val="24"/>
        </w:numPr>
        <w:tabs>
          <w:tab w:val="left" w:pos="1260"/>
        </w:tabs>
        <w:autoSpaceDE w:val="0"/>
        <w:autoSpaceDN w:val="0"/>
        <w:adjustRightInd w:val="0"/>
        <w:spacing w:after="0" w:line="240" w:lineRule="auto"/>
        <w:ind w:left="1260" w:right="720"/>
        <w:jc w:val="both"/>
        <w:rPr>
          <w:rFonts w:ascii="Cambria" w:hAnsi="Cambria" w:cs="Calibri"/>
          <w:color w:val="000000"/>
          <w:sz w:val="20"/>
          <w:szCs w:val="21"/>
          <w:lang w:val="es-ES"/>
        </w:rPr>
      </w:pPr>
      <w:r w:rsidRPr="00922E45">
        <w:rPr>
          <w:rFonts w:ascii="Cambria" w:hAnsi="Cambria" w:cs="Calibri"/>
          <w:color w:val="000000"/>
          <w:sz w:val="20"/>
          <w:szCs w:val="21"/>
          <w:lang w:val="es-ES"/>
        </w:rPr>
        <w:t>la “urgencia de la situación” se determina por la información que indica que el riesgo o la amenaza sean inminentes y puedan materializarse, requiriendo de esa manera</w:t>
      </w:r>
      <w:r w:rsidR="005F66C5" w:rsidRPr="00922E45">
        <w:rPr>
          <w:rFonts w:ascii="Cambria" w:hAnsi="Cambria" w:cs="Calibri"/>
          <w:color w:val="000000"/>
          <w:sz w:val="20"/>
          <w:szCs w:val="21"/>
          <w:lang w:val="es-ES"/>
        </w:rPr>
        <w:t xml:space="preserve"> acción preventiva o tutelar; y</w:t>
      </w:r>
    </w:p>
    <w:p w:rsidR="00B62ACB" w:rsidRPr="00922E45" w:rsidRDefault="00B62ACB" w:rsidP="008A512C">
      <w:pPr>
        <w:numPr>
          <w:ilvl w:val="0"/>
          <w:numId w:val="24"/>
        </w:numPr>
        <w:tabs>
          <w:tab w:val="left" w:pos="1260"/>
        </w:tabs>
        <w:autoSpaceDE w:val="0"/>
        <w:autoSpaceDN w:val="0"/>
        <w:adjustRightInd w:val="0"/>
        <w:spacing w:after="0" w:line="240" w:lineRule="auto"/>
        <w:ind w:right="720" w:firstLine="0"/>
        <w:jc w:val="both"/>
        <w:rPr>
          <w:rFonts w:ascii="Cambria" w:hAnsi="Cambria" w:cs="Calibri"/>
          <w:color w:val="000000"/>
          <w:sz w:val="20"/>
          <w:szCs w:val="21"/>
          <w:lang w:val="es-ES"/>
        </w:rPr>
      </w:pPr>
      <w:r w:rsidRPr="00922E45">
        <w:rPr>
          <w:rFonts w:ascii="Cambria" w:hAnsi="Cambria" w:cs="Calibri"/>
          <w:color w:val="000000"/>
          <w:sz w:val="20"/>
          <w:szCs w:val="21"/>
          <w:lang w:val="es-ES"/>
        </w:rPr>
        <w:t xml:space="preserve">el “daño irreparable” significa la afectación sobre derechos que, por su propia naturaleza, no son susceptibles de reparación, restauración o adecuada indemnización. </w:t>
      </w:r>
    </w:p>
    <w:p w:rsidR="0099700A" w:rsidRPr="00922E45" w:rsidRDefault="0099700A" w:rsidP="0055779D">
      <w:pPr>
        <w:tabs>
          <w:tab w:val="left" w:pos="1080"/>
        </w:tabs>
        <w:autoSpaceDE w:val="0"/>
        <w:autoSpaceDN w:val="0"/>
        <w:adjustRightInd w:val="0"/>
        <w:spacing w:after="0" w:line="240" w:lineRule="auto"/>
        <w:ind w:left="180"/>
        <w:jc w:val="both"/>
        <w:rPr>
          <w:rFonts w:ascii="Cambria" w:hAnsi="Cambria" w:cs="Calibri"/>
          <w:color w:val="000000"/>
          <w:sz w:val="21"/>
          <w:szCs w:val="21"/>
          <w:lang w:val="es-ES"/>
        </w:rPr>
      </w:pPr>
    </w:p>
    <w:p w:rsidR="00C2457F" w:rsidRPr="00922E45" w:rsidRDefault="0099700A" w:rsidP="0055779D">
      <w:pPr>
        <w:numPr>
          <w:ilvl w:val="0"/>
          <w:numId w:val="34"/>
        </w:numPr>
        <w:tabs>
          <w:tab w:val="left" w:pos="90"/>
          <w:tab w:val="left" w:pos="180"/>
        </w:tabs>
        <w:spacing w:after="0" w:line="240" w:lineRule="auto"/>
        <w:ind w:left="0" w:firstLine="360"/>
        <w:jc w:val="both"/>
        <w:rPr>
          <w:rFonts w:ascii="Cambria" w:hAnsi="Cambria" w:cs="Calibri"/>
          <w:color w:val="000000"/>
          <w:sz w:val="21"/>
          <w:szCs w:val="21"/>
          <w:lang w:val="es-ES"/>
        </w:rPr>
      </w:pPr>
      <w:r w:rsidRPr="00922E45">
        <w:rPr>
          <w:rFonts w:ascii="Cambria" w:hAnsi="Cambria" w:cs="Calibri"/>
          <w:color w:val="000000"/>
          <w:sz w:val="21"/>
          <w:szCs w:val="21"/>
          <w:lang w:val="es-ES"/>
        </w:rPr>
        <w:t xml:space="preserve">En el análisis de los requisitos establecidos en el artículo 25 del Reglamento, la Comisión reitera que los hechos que motivan una solicitud de medidas de cautelares no requieren estar plenamente comprobados, sino que la información proporcionada debe ser apreciada desde una perspectiva </w:t>
      </w:r>
      <w:r w:rsidRPr="00922E45">
        <w:rPr>
          <w:rFonts w:ascii="Cambria" w:hAnsi="Cambria" w:cs="Calibri"/>
          <w:i/>
          <w:color w:val="000000"/>
          <w:sz w:val="21"/>
          <w:szCs w:val="21"/>
          <w:lang w:val="es-ES"/>
        </w:rPr>
        <w:t>prima facie</w:t>
      </w:r>
      <w:r w:rsidRPr="00922E45">
        <w:rPr>
          <w:rFonts w:ascii="Cambria" w:hAnsi="Cambria" w:cs="Calibri"/>
          <w:color w:val="000000"/>
          <w:sz w:val="21"/>
          <w:szCs w:val="21"/>
          <w:lang w:val="es-ES"/>
        </w:rPr>
        <w:t xml:space="preserve"> que permita identificar una situación de gravedad y urgencia</w:t>
      </w:r>
      <w:r w:rsidRPr="00922E45">
        <w:rPr>
          <w:rStyle w:val="FootnoteReference"/>
          <w:rFonts w:ascii="Cambria" w:hAnsi="Cambria" w:cs="Calibri"/>
          <w:color w:val="000000"/>
          <w:sz w:val="21"/>
          <w:szCs w:val="21"/>
          <w:lang w:val="es-ES"/>
        </w:rPr>
        <w:footnoteReference w:id="12"/>
      </w:r>
      <w:r w:rsidR="00F504D8" w:rsidRPr="00922E45">
        <w:rPr>
          <w:rFonts w:ascii="Cambria" w:hAnsi="Cambria" w:cs="Calibri"/>
          <w:color w:val="000000"/>
          <w:sz w:val="21"/>
          <w:szCs w:val="21"/>
          <w:lang w:val="es-ES"/>
        </w:rPr>
        <w:t>.</w:t>
      </w:r>
    </w:p>
    <w:p w:rsidR="00C2457F" w:rsidRPr="00922E45" w:rsidRDefault="00C2457F" w:rsidP="0055779D">
      <w:pPr>
        <w:tabs>
          <w:tab w:val="left" w:pos="720"/>
          <w:tab w:val="left" w:pos="810"/>
        </w:tabs>
        <w:autoSpaceDE w:val="0"/>
        <w:autoSpaceDN w:val="0"/>
        <w:adjustRightInd w:val="0"/>
        <w:spacing w:after="0" w:line="240" w:lineRule="auto"/>
        <w:jc w:val="both"/>
        <w:rPr>
          <w:rFonts w:ascii="Cambria" w:hAnsi="Cambria" w:cs="Calibri"/>
          <w:color w:val="000000"/>
          <w:sz w:val="21"/>
          <w:szCs w:val="21"/>
          <w:lang w:val="es-ES"/>
        </w:rPr>
      </w:pPr>
    </w:p>
    <w:p w:rsidR="00B10FB4" w:rsidRPr="00922E45" w:rsidRDefault="00B10FB4" w:rsidP="00481FDA">
      <w:pPr>
        <w:numPr>
          <w:ilvl w:val="0"/>
          <w:numId w:val="34"/>
        </w:numPr>
        <w:tabs>
          <w:tab w:val="left" w:pos="567"/>
        </w:tabs>
        <w:autoSpaceDE w:val="0"/>
        <w:autoSpaceDN w:val="0"/>
        <w:adjustRightInd w:val="0"/>
        <w:spacing w:after="0" w:line="240" w:lineRule="auto"/>
        <w:ind w:left="0" w:firstLine="360"/>
        <w:jc w:val="both"/>
        <w:rPr>
          <w:rFonts w:ascii="Cambria" w:hAnsi="Cambria" w:cs="Calibri"/>
          <w:color w:val="000000"/>
          <w:sz w:val="21"/>
          <w:szCs w:val="21"/>
          <w:lang w:val="es-ES"/>
        </w:rPr>
      </w:pPr>
      <w:r w:rsidRPr="00922E45">
        <w:rPr>
          <w:rFonts w:ascii="Cambria" w:hAnsi="Cambria" w:cs="Calibri"/>
          <w:color w:val="000000"/>
          <w:sz w:val="21"/>
          <w:szCs w:val="21"/>
          <w:lang w:val="es-ES"/>
        </w:rPr>
        <w:t>La Comisión se pronunciará a continuación</w:t>
      </w:r>
      <w:r w:rsidR="00AE19FB" w:rsidRPr="00922E45">
        <w:rPr>
          <w:rFonts w:ascii="Cambria" w:hAnsi="Cambria" w:cs="Calibri"/>
          <w:color w:val="000000"/>
          <w:sz w:val="21"/>
          <w:szCs w:val="21"/>
          <w:lang w:val="es-ES"/>
        </w:rPr>
        <w:t xml:space="preserve"> sobre la solicitud de medida cautelar presentada,</w:t>
      </w:r>
      <w:r w:rsidRPr="00922E45">
        <w:rPr>
          <w:rFonts w:ascii="Cambria" w:hAnsi="Cambria" w:cs="Calibri"/>
          <w:color w:val="000000"/>
          <w:sz w:val="21"/>
          <w:szCs w:val="21"/>
          <w:lang w:val="es-ES"/>
        </w:rPr>
        <w:t xml:space="preserve"> en el siguiente orden</w:t>
      </w:r>
      <w:r w:rsidR="00AE19FB" w:rsidRPr="00922E45">
        <w:rPr>
          <w:rFonts w:ascii="Cambria" w:hAnsi="Cambria" w:cs="Calibri"/>
          <w:color w:val="000000"/>
          <w:sz w:val="21"/>
          <w:szCs w:val="21"/>
          <w:lang w:val="es-ES"/>
        </w:rPr>
        <w:t>:</w:t>
      </w:r>
      <w:r w:rsidRPr="00922E45">
        <w:rPr>
          <w:rFonts w:ascii="Cambria" w:hAnsi="Cambria" w:cs="Calibri"/>
          <w:color w:val="000000"/>
          <w:sz w:val="21"/>
          <w:szCs w:val="21"/>
          <w:lang w:val="es-ES"/>
        </w:rPr>
        <w:t xml:space="preserve"> en primer término, la alegada situación de riesgo derivada de la contaminación del agua del río </w:t>
      </w:r>
      <w:proofErr w:type="spellStart"/>
      <w:r w:rsidRPr="00922E45">
        <w:rPr>
          <w:rFonts w:ascii="Cambria" w:hAnsi="Cambria" w:cs="Calibri"/>
          <w:color w:val="000000"/>
          <w:sz w:val="21"/>
          <w:szCs w:val="21"/>
          <w:lang w:val="es-ES"/>
        </w:rPr>
        <w:t>Mezapa</w:t>
      </w:r>
      <w:proofErr w:type="spellEnd"/>
      <w:r w:rsidRPr="00922E45">
        <w:rPr>
          <w:rFonts w:ascii="Cambria" w:hAnsi="Cambria" w:cs="Calibri"/>
          <w:color w:val="000000"/>
          <w:sz w:val="21"/>
          <w:szCs w:val="21"/>
          <w:lang w:val="es-ES"/>
        </w:rPr>
        <w:t xml:space="preserve"> y, en segundo lugar, la </w:t>
      </w:r>
      <w:r w:rsidR="00AE19FB" w:rsidRPr="00922E45">
        <w:rPr>
          <w:rFonts w:ascii="Cambria" w:hAnsi="Cambria" w:cs="Calibri"/>
          <w:color w:val="000000"/>
          <w:sz w:val="21"/>
          <w:szCs w:val="21"/>
          <w:lang w:val="es-ES"/>
        </w:rPr>
        <w:t xml:space="preserve">alegada </w:t>
      </w:r>
      <w:r w:rsidRPr="00922E45">
        <w:rPr>
          <w:rFonts w:ascii="Cambria" w:hAnsi="Cambria" w:cs="Calibri"/>
          <w:color w:val="000000"/>
          <w:sz w:val="21"/>
          <w:szCs w:val="21"/>
          <w:lang w:val="es-ES"/>
        </w:rPr>
        <w:t xml:space="preserve">situación de riesgo de los miembros del </w:t>
      </w:r>
      <w:r w:rsidRPr="00922E45">
        <w:rPr>
          <w:rFonts w:ascii="Cambria" w:hAnsi="Cambria"/>
          <w:color w:val="000000"/>
          <w:sz w:val="21"/>
          <w:szCs w:val="21"/>
          <w:lang w:val="es-PE"/>
        </w:rPr>
        <w:t xml:space="preserve">“Movimiento ciudadano en defensa del río </w:t>
      </w:r>
      <w:proofErr w:type="spellStart"/>
      <w:r w:rsidRPr="00922E45">
        <w:rPr>
          <w:rFonts w:ascii="Cambria" w:hAnsi="Cambria"/>
          <w:color w:val="000000"/>
          <w:sz w:val="21"/>
          <w:szCs w:val="21"/>
          <w:lang w:val="es-PE"/>
        </w:rPr>
        <w:t>Mezapa</w:t>
      </w:r>
      <w:proofErr w:type="spellEnd"/>
      <w:r w:rsidRPr="00922E45">
        <w:rPr>
          <w:rFonts w:ascii="Cambria" w:hAnsi="Cambria"/>
          <w:color w:val="000000"/>
          <w:sz w:val="21"/>
          <w:szCs w:val="21"/>
          <w:lang w:val="es-PE"/>
        </w:rPr>
        <w:t>”.</w:t>
      </w:r>
    </w:p>
    <w:p w:rsidR="00B10FB4" w:rsidRPr="00922E45" w:rsidRDefault="00B10FB4" w:rsidP="00481FDA">
      <w:pPr>
        <w:tabs>
          <w:tab w:val="left" w:pos="567"/>
        </w:tabs>
        <w:autoSpaceDE w:val="0"/>
        <w:autoSpaceDN w:val="0"/>
        <w:adjustRightInd w:val="0"/>
        <w:spacing w:after="0" w:line="240" w:lineRule="auto"/>
        <w:ind w:left="360"/>
        <w:jc w:val="both"/>
        <w:rPr>
          <w:rFonts w:ascii="Cambria" w:hAnsi="Cambria" w:cs="Calibri"/>
          <w:color w:val="000000"/>
          <w:sz w:val="21"/>
          <w:szCs w:val="21"/>
          <w:lang w:val="es-ES"/>
        </w:rPr>
      </w:pPr>
    </w:p>
    <w:p w:rsidR="002E6EBE" w:rsidRPr="00922E45" w:rsidRDefault="00B10FB4" w:rsidP="00340EEE">
      <w:pPr>
        <w:numPr>
          <w:ilvl w:val="0"/>
          <w:numId w:val="34"/>
        </w:numPr>
        <w:tabs>
          <w:tab w:val="left" w:pos="567"/>
        </w:tabs>
        <w:autoSpaceDE w:val="0"/>
        <w:autoSpaceDN w:val="0"/>
        <w:adjustRightInd w:val="0"/>
        <w:spacing w:after="0" w:line="240" w:lineRule="auto"/>
        <w:ind w:left="0" w:firstLine="360"/>
        <w:jc w:val="both"/>
        <w:rPr>
          <w:rFonts w:ascii="Cambria" w:hAnsi="Cambria" w:cs="Calibri"/>
          <w:color w:val="000000"/>
          <w:sz w:val="21"/>
          <w:szCs w:val="21"/>
          <w:lang w:val="es-ES"/>
        </w:rPr>
      </w:pPr>
      <w:r w:rsidRPr="00922E45">
        <w:rPr>
          <w:rFonts w:ascii="Cambria" w:hAnsi="Cambria" w:cs="Calibri"/>
          <w:color w:val="000000"/>
          <w:sz w:val="21"/>
          <w:szCs w:val="21"/>
          <w:lang w:val="es-ES"/>
        </w:rPr>
        <w:t>En relación con el primer aspecto</w:t>
      </w:r>
      <w:r w:rsidR="00A66EA0" w:rsidRPr="00922E45">
        <w:rPr>
          <w:rFonts w:ascii="Cambria" w:hAnsi="Cambria" w:cs="Calibri"/>
          <w:color w:val="000000"/>
          <w:sz w:val="21"/>
          <w:szCs w:val="21"/>
          <w:lang w:val="es-ES"/>
        </w:rPr>
        <w:t>, la Comisi</w:t>
      </w:r>
      <w:r w:rsidR="001D381F" w:rsidRPr="00922E45">
        <w:rPr>
          <w:rFonts w:ascii="Cambria" w:hAnsi="Cambria" w:cs="Calibri"/>
          <w:color w:val="000000"/>
          <w:sz w:val="21"/>
          <w:szCs w:val="21"/>
          <w:lang w:val="es-ES"/>
        </w:rPr>
        <w:t xml:space="preserve">ón </w:t>
      </w:r>
      <w:r w:rsidRPr="00922E45">
        <w:rPr>
          <w:rFonts w:ascii="Cambria" w:hAnsi="Cambria" w:cs="Calibri"/>
          <w:color w:val="000000"/>
          <w:sz w:val="21"/>
          <w:szCs w:val="21"/>
          <w:lang w:val="es-ES"/>
        </w:rPr>
        <w:t xml:space="preserve">nota que si bien </w:t>
      </w:r>
      <w:r w:rsidR="001D381F" w:rsidRPr="00922E45">
        <w:rPr>
          <w:rFonts w:ascii="Cambria" w:hAnsi="Cambria" w:cs="Calibri"/>
          <w:color w:val="000000"/>
          <w:sz w:val="21"/>
          <w:szCs w:val="21"/>
          <w:lang w:val="es-ES"/>
        </w:rPr>
        <w:t xml:space="preserve">los solicitantes indicaron que el </w:t>
      </w:r>
      <w:r w:rsidR="00A66EA0" w:rsidRPr="00922E45">
        <w:rPr>
          <w:rFonts w:ascii="Cambria" w:hAnsi="Cambria" w:cs="Calibri"/>
          <w:color w:val="000000"/>
          <w:sz w:val="21"/>
          <w:szCs w:val="21"/>
          <w:lang w:val="es-ES"/>
        </w:rPr>
        <w:t xml:space="preserve">río </w:t>
      </w:r>
      <w:proofErr w:type="spellStart"/>
      <w:r w:rsidR="00A66EA0" w:rsidRPr="00922E45">
        <w:rPr>
          <w:rFonts w:ascii="Cambria" w:hAnsi="Cambria" w:cs="Calibri"/>
          <w:color w:val="000000"/>
          <w:sz w:val="21"/>
          <w:szCs w:val="21"/>
          <w:lang w:val="es-ES"/>
        </w:rPr>
        <w:t>Mezapa</w:t>
      </w:r>
      <w:proofErr w:type="spellEnd"/>
      <w:r w:rsidR="00A66EA0" w:rsidRPr="00922E45">
        <w:rPr>
          <w:rFonts w:ascii="Cambria" w:hAnsi="Cambria" w:cs="Calibri"/>
          <w:color w:val="000000"/>
          <w:sz w:val="21"/>
          <w:szCs w:val="21"/>
          <w:lang w:val="es-ES"/>
        </w:rPr>
        <w:t xml:space="preserve"> </w:t>
      </w:r>
      <w:r w:rsidR="001D381F" w:rsidRPr="00922E45">
        <w:rPr>
          <w:rFonts w:ascii="Cambria" w:hAnsi="Cambria" w:cs="Calibri"/>
          <w:color w:val="000000"/>
          <w:sz w:val="21"/>
          <w:szCs w:val="21"/>
          <w:lang w:val="es-ES"/>
        </w:rPr>
        <w:t xml:space="preserve">abastecería de agua potable a 20 comunidades del departamento de Atlántida, </w:t>
      </w:r>
      <w:r w:rsidRPr="00922E45">
        <w:rPr>
          <w:rFonts w:ascii="Cambria" w:hAnsi="Cambria" w:cs="Calibri"/>
          <w:color w:val="000000"/>
          <w:sz w:val="21"/>
          <w:szCs w:val="21"/>
          <w:lang w:val="es-ES"/>
        </w:rPr>
        <w:t xml:space="preserve">tras solicitud de información expresa de </w:t>
      </w:r>
      <w:r w:rsidR="00AB06DB" w:rsidRPr="00922E45">
        <w:rPr>
          <w:rFonts w:ascii="Cambria" w:hAnsi="Cambria" w:cs="Calibri"/>
          <w:color w:val="000000"/>
          <w:sz w:val="21"/>
          <w:szCs w:val="21"/>
          <w:lang w:val="es-ES"/>
        </w:rPr>
        <w:t>la Comisión</w:t>
      </w:r>
      <w:r w:rsidR="00481FDA" w:rsidRPr="00922E45">
        <w:rPr>
          <w:rFonts w:ascii="Cambria" w:hAnsi="Cambria" w:cs="Calibri"/>
          <w:color w:val="000000"/>
          <w:sz w:val="21"/>
          <w:szCs w:val="21"/>
          <w:lang w:val="es-ES"/>
        </w:rPr>
        <w:t xml:space="preserve"> </w:t>
      </w:r>
      <w:r w:rsidR="00AE19FB" w:rsidRPr="00922E45">
        <w:rPr>
          <w:rFonts w:ascii="Cambria" w:hAnsi="Cambria" w:cs="Calibri"/>
          <w:color w:val="000000"/>
          <w:sz w:val="21"/>
          <w:szCs w:val="21"/>
          <w:lang w:val="es-ES"/>
        </w:rPr>
        <w:t xml:space="preserve">sobre </w:t>
      </w:r>
      <w:r w:rsidR="0068385E" w:rsidRPr="00922E45">
        <w:rPr>
          <w:rFonts w:ascii="Cambria" w:hAnsi="Cambria" w:cs="Calibri"/>
          <w:color w:val="000000"/>
          <w:sz w:val="21"/>
          <w:szCs w:val="21"/>
          <w:lang w:val="es-ES"/>
        </w:rPr>
        <w:t>si los propuestos beneficiarios contarían o no con acceso a fuentes alternas de agua potable</w:t>
      </w:r>
      <w:r w:rsidRPr="00922E45">
        <w:rPr>
          <w:rFonts w:ascii="Cambria" w:hAnsi="Cambria" w:cs="Calibri"/>
          <w:color w:val="000000"/>
          <w:sz w:val="21"/>
          <w:szCs w:val="21"/>
          <w:lang w:val="es-ES"/>
        </w:rPr>
        <w:t xml:space="preserve">, </w:t>
      </w:r>
      <w:r w:rsidR="00DB6889" w:rsidRPr="00922E45">
        <w:rPr>
          <w:rFonts w:ascii="Cambria" w:hAnsi="Cambria" w:cs="Calibri"/>
          <w:color w:val="000000"/>
          <w:sz w:val="21"/>
          <w:szCs w:val="21"/>
          <w:lang w:val="es-ES"/>
        </w:rPr>
        <w:t xml:space="preserve">se </w:t>
      </w:r>
      <w:r w:rsidR="00AB06DB" w:rsidRPr="00922E45">
        <w:rPr>
          <w:rFonts w:ascii="Cambria" w:hAnsi="Cambria" w:cs="Calibri"/>
          <w:color w:val="000000"/>
          <w:sz w:val="21"/>
          <w:szCs w:val="21"/>
          <w:lang w:val="es-ES"/>
        </w:rPr>
        <w:t xml:space="preserve">presentaron certificaciones </w:t>
      </w:r>
      <w:r w:rsidR="0068385E" w:rsidRPr="00922E45">
        <w:rPr>
          <w:rFonts w:ascii="Cambria" w:hAnsi="Cambria" w:cs="Calibri"/>
          <w:color w:val="000000"/>
          <w:sz w:val="21"/>
          <w:szCs w:val="21"/>
          <w:lang w:val="es-ES"/>
        </w:rPr>
        <w:t xml:space="preserve">de “juntas de agua” </w:t>
      </w:r>
      <w:r w:rsidRPr="00922E45">
        <w:rPr>
          <w:rFonts w:ascii="Cambria" w:hAnsi="Cambria" w:cs="Calibri"/>
          <w:color w:val="000000"/>
          <w:sz w:val="21"/>
          <w:szCs w:val="21"/>
          <w:lang w:val="es-ES"/>
        </w:rPr>
        <w:t xml:space="preserve">únicamente </w:t>
      </w:r>
      <w:r w:rsidR="00AB06DB" w:rsidRPr="00922E45">
        <w:rPr>
          <w:rFonts w:ascii="Cambria" w:hAnsi="Cambria" w:cs="Calibri"/>
          <w:color w:val="000000"/>
          <w:sz w:val="21"/>
          <w:szCs w:val="21"/>
          <w:lang w:val="es-ES"/>
        </w:rPr>
        <w:t xml:space="preserve">respecto de </w:t>
      </w:r>
      <w:r w:rsidR="002E6EBE" w:rsidRPr="00922E45">
        <w:rPr>
          <w:rFonts w:ascii="Cambria" w:hAnsi="Cambria" w:cs="Calibri"/>
          <w:color w:val="000000"/>
          <w:sz w:val="21"/>
          <w:szCs w:val="21"/>
          <w:lang w:val="es-ES"/>
        </w:rPr>
        <w:t xml:space="preserve">5. </w:t>
      </w:r>
      <w:r w:rsidR="001D381F" w:rsidRPr="00922E45">
        <w:rPr>
          <w:rFonts w:ascii="Cambria" w:hAnsi="Cambria" w:cs="Calibri"/>
          <w:color w:val="000000"/>
          <w:sz w:val="21"/>
          <w:szCs w:val="21"/>
          <w:lang w:val="es-ES"/>
        </w:rPr>
        <w:t xml:space="preserve">Estas serían: </w:t>
      </w:r>
      <w:r w:rsidR="002E6EBE" w:rsidRPr="00922E45">
        <w:rPr>
          <w:rFonts w:ascii="Cambria" w:hAnsi="Cambria" w:cs="Calibri"/>
          <w:color w:val="000000"/>
          <w:sz w:val="21"/>
          <w:szCs w:val="21"/>
          <w:lang w:val="es-ES"/>
        </w:rPr>
        <w:t xml:space="preserve">(i) </w:t>
      </w:r>
      <w:r w:rsidR="001D381F" w:rsidRPr="00922E45">
        <w:rPr>
          <w:rFonts w:ascii="Cambria" w:hAnsi="Cambria" w:cs="Calibri"/>
          <w:color w:val="000000"/>
          <w:sz w:val="21"/>
          <w:szCs w:val="21"/>
          <w:lang w:val="es-ES"/>
        </w:rPr>
        <w:t xml:space="preserve">la Comunidad de Planes de Arena Blanca; </w:t>
      </w:r>
      <w:r w:rsidR="002E6EBE" w:rsidRPr="00922E45">
        <w:rPr>
          <w:rFonts w:ascii="Cambria" w:hAnsi="Cambria" w:cs="Calibri"/>
          <w:color w:val="000000"/>
          <w:sz w:val="21"/>
          <w:szCs w:val="21"/>
          <w:lang w:val="es-ES"/>
        </w:rPr>
        <w:t xml:space="preserve">(ii) </w:t>
      </w:r>
      <w:r w:rsidR="001D381F" w:rsidRPr="00922E45">
        <w:rPr>
          <w:rFonts w:ascii="Cambria" w:hAnsi="Cambria" w:cs="Calibri"/>
          <w:color w:val="000000"/>
          <w:sz w:val="21"/>
          <w:szCs w:val="21"/>
          <w:lang w:val="es-ES"/>
        </w:rPr>
        <w:t xml:space="preserve">la Comunidad de Pajuiles Alto; </w:t>
      </w:r>
      <w:r w:rsidR="002E6EBE" w:rsidRPr="00922E45">
        <w:rPr>
          <w:rFonts w:ascii="Cambria" w:hAnsi="Cambria" w:cs="Calibri"/>
          <w:color w:val="000000"/>
          <w:sz w:val="21"/>
          <w:szCs w:val="21"/>
          <w:lang w:val="es-ES"/>
        </w:rPr>
        <w:t xml:space="preserve">(iii) </w:t>
      </w:r>
      <w:r w:rsidR="001D381F" w:rsidRPr="00922E45">
        <w:rPr>
          <w:rFonts w:ascii="Cambria" w:hAnsi="Cambria" w:cs="Calibri"/>
          <w:color w:val="000000"/>
          <w:sz w:val="21"/>
          <w:szCs w:val="21"/>
          <w:lang w:val="es-ES"/>
        </w:rPr>
        <w:t xml:space="preserve">la Comunidad de Pajuiles Bajo; </w:t>
      </w:r>
      <w:r w:rsidR="002E6EBE" w:rsidRPr="00922E45">
        <w:rPr>
          <w:rFonts w:ascii="Cambria" w:hAnsi="Cambria" w:cs="Calibri"/>
          <w:color w:val="000000"/>
          <w:sz w:val="21"/>
          <w:szCs w:val="21"/>
          <w:lang w:val="es-ES"/>
        </w:rPr>
        <w:t xml:space="preserve">(iv) </w:t>
      </w:r>
      <w:r w:rsidR="001D381F" w:rsidRPr="00922E45">
        <w:rPr>
          <w:rFonts w:ascii="Cambria" w:hAnsi="Cambria" w:cs="Calibri"/>
          <w:color w:val="000000"/>
          <w:sz w:val="21"/>
          <w:szCs w:val="21"/>
          <w:lang w:val="es-ES"/>
        </w:rPr>
        <w:t xml:space="preserve">la Comunidad de Las </w:t>
      </w:r>
      <w:proofErr w:type="spellStart"/>
      <w:r w:rsidR="001D381F" w:rsidRPr="00922E45">
        <w:rPr>
          <w:rFonts w:ascii="Cambria" w:hAnsi="Cambria" w:cs="Calibri"/>
          <w:color w:val="000000"/>
          <w:sz w:val="21"/>
          <w:szCs w:val="21"/>
          <w:lang w:val="es-ES"/>
        </w:rPr>
        <w:t>Metalias</w:t>
      </w:r>
      <w:proofErr w:type="spellEnd"/>
      <w:r w:rsidR="001D381F" w:rsidRPr="00922E45">
        <w:rPr>
          <w:rFonts w:ascii="Cambria" w:hAnsi="Cambria" w:cs="Calibri"/>
          <w:color w:val="000000"/>
          <w:sz w:val="21"/>
          <w:szCs w:val="21"/>
          <w:lang w:val="es-ES"/>
        </w:rPr>
        <w:t xml:space="preserve">; y </w:t>
      </w:r>
      <w:r w:rsidR="002E6EBE" w:rsidRPr="00922E45">
        <w:rPr>
          <w:rFonts w:ascii="Cambria" w:hAnsi="Cambria" w:cs="Calibri"/>
          <w:color w:val="000000"/>
          <w:sz w:val="21"/>
          <w:szCs w:val="21"/>
          <w:lang w:val="es-ES"/>
        </w:rPr>
        <w:t xml:space="preserve">(v) </w:t>
      </w:r>
      <w:r w:rsidR="001D381F" w:rsidRPr="00922E45">
        <w:rPr>
          <w:rFonts w:ascii="Cambria" w:hAnsi="Cambria" w:cs="Calibri"/>
          <w:color w:val="000000"/>
          <w:sz w:val="21"/>
          <w:szCs w:val="21"/>
          <w:lang w:val="es-ES"/>
        </w:rPr>
        <w:t xml:space="preserve">la Comunidad de Santa Rosa del Norte </w:t>
      </w:r>
      <w:proofErr w:type="spellStart"/>
      <w:r w:rsidR="001D381F" w:rsidRPr="00922E45">
        <w:rPr>
          <w:rFonts w:ascii="Cambria" w:hAnsi="Cambria" w:cs="Calibri"/>
          <w:color w:val="000000"/>
          <w:sz w:val="21"/>
          <w:szCs w:val="21"/>
          <w:lang w:val="es-ES"/>
        </w:rPr>
        <w:t>Mezapa</w:t>
      </w:r>
      <w:proofErr w:type="spellEnd"/>
      <w:r w:rsidR="001D381F" w:rsidRPr="00922E45">
        <w:rPr>
          <w:rFonts w:ascii="Cambria" w:hAnsi="Cambria" w:cs="Calibri"/>
          <w:color w:val="000000"/>
          <w:sz w:val="21"/>
          <w:szCs w:val="21"/>
          <w:lang w:val="es-ES"/>
        </w:rPr>
        <w:t xml:space="preserve">. </w:t>
      </w:r>
      <w:r w:rsidR="00AB06DB" w:rsidRPr="00922E45">
        <w:rPr>
          <w:rFonts w:ascii="Cambria" w:hAnsi="Cambria" w:cs="Calibri"/>
          <w:color w:val="000000"/>
          <w:sz w:val="21"/>
          <w:szCs w:val="21"/>
          <w:lang w:val="es-ES"/>
        </w:rPr>
        <w:t>L</w:t>
      </w:r>
      <w:r w:rsidR="002E6EBE" w:rsidRPr="00922E45">
        <w:rPr>
          <w:rFonts w:ascii="Cambria" w:hAnsi="Cambria" w:cs="Calibri"/>
          <w:color w:val="000000"/>
          <w:sz w:val="21"/>
          <w:szCs w:val="21"/>
          <w:lang w:val="es-ES"/>
        </w:rPr>
        <w:t xml:space="preserve">a Comisión </w:t>
      </w:r>
      <w:r w:rsidR="00DB6889" w:rsidRPr="00922E45">
        <w:rPr>
          <w:rFonts w:ascii="Cambria" w:hAnsi="Cambria" w:cs="Calibri"/>
          <w:color w:val="000000"/>
          <w:sz w:val="21"/>
          <w:szCs w:val="21"/>
          <w:lang w:val="es-ES"/>
        </w:rPr>
        <w:t xml:space="preserve">considerará entonces como propuestos beneficiarios a los pobladores </w:t>
      </w:r>
      <w:r w:rsidR="002E6EBE" w:rsidRPr="00922E45">
        <w:rPr>
          <w:rFonts w:ascii="Cambria" w:hAnsi="Cambria" w:cs="Calibri"/>
          <w:color w:val="000000"/>
          <w:sz w:val="21"/>
          <w:szCs w:val="21"/>
          <w:lang w:val="es-ES"/>
        </w:rPr>
        <w:t xml:space="preserve">de </w:t>
      </w:r>
      <w:r w:rsidR="00DB6889" w:rsidRPr="00922E45">
        <w:rPr>
          <w:rFonts w:ascii="Cambria" w:hAnsi="Cambria" w:cs="Calibri"/>
          <w:color w:val="000000"/>
          <w:sz w:val="21"/>
          <w:szCs w:val="21"/>
          <w:lang w:val="es-ES"/>
        </w:rPr>
        <w:t>e</w:t>
      </w:r>
      <w:r w:rsidR="002E6EBE" w:rsidRPr="00922E45">
        <w:rPr>
          <w:rFonts w:ascii="Cambria" w:hAnsi="Cambria" w:cs="Calibri"/>
          <w:color w:val="000000"/>
          <w:sz w:val="21"/>
          <w:szCs w:val="21"/>
          <w:lang w:val="es-ES"/>
        </w:rPr>
        <w:t>stas 5 comunidades</w:t>
      </w:r>
      <w:r w:rsidR="00654E98" w:rsidRPr="00922E45">
        <w:rPr>
          <w:rFonts w:ascii="Cambria" w:hAnsi="Cambria" w:cs="Calibri"/>
          <w:color w:val="000000"/>
          <w:sz w:val="21"/>
          <w:szCs w:val="21"/>
          <w:lang w:val="es-ES"/>
        </w:rPr>
        <w:t>.</w:t>
      </w:r>
    </w:p>
    <w:p w:rsidR="00C453B7" w:rsidRPr="00922E45" w:rsidRDefault="00C453B7" w:rsidP="00C81B11">
      <w:pPr>
        <w:tabs>
          <w:tab w:val="left" w:pos="567"/>
        </w:tabs>
        <w:autoSpaceDE w:val="0"/>
        <w:autoSpaceDN w:val="0"/>
        <w:adjustRightInd w:val="0"/>
        <w:spacing w:after="0" w:line="240" w:lineRule="auto"/>
        <w:ind w:left="360"/>
        <w:jc w:val="both"/>
        <w:rPr>
          <w:rFonts w:ascii="Cambria" w:hAnsi="Cambria" w:cs="Calibri"/>
          <w:color w:val="000000"/>
          <w:sz w:val="21"/>
          <w:szCs w:val="21"/>
          <w:lang w:val="es-ES"/>
        </w:rPr>
      </w:pPr>
    </w:p>
    <w:p w:rsidR="00B10FB4" w:rsidRPr="00922E45" w:rsidRDefault="00C453B7" w:rsidP="00B10FB4">
      <w:pPr>
        <w:numPr>
          <w:ilvl w:val="0"/>
          <w:numId w:val="34"/>
        </w:numPr>
        <w:spacing w:after="0" w:line="240" w:lineRule="auto"/>
        <w:ind w:left="0" w:firstLine="360"/>
        <w:jc w:val="both"/>
        <w:rPr>
          <w:rFonts w:ascii="Cambria" w:hAnsi="Cambria" w:cs="Calibri"/>
          <w:color w:val="000000"/>
          <w:sz w:val="21"/>
          <w:szCs w:val="21"/>
          <w:lang w:val="es-ES"/>
        </w:rPr>
      </w:pPr>
      <w:r w:rsidRPr="00922E45">
        <w:rPr>
          <w:rFonts w:ascii="Cambria" w:hAnsi="Cambria" w:cs="Calibri"/>
          <w:color w:val="000000"/>
          <w:sz w:val="21"/>
          <w:szCs w:val="21"/>
          <w:lang w:val="es-ES"/>
        </w:rPr>
        <w:t>En relación con el requisito de gravedad, la Comisión observa que si bien solicitantes y el Estado han controvertido la fuente del impacto ambiental y de la presunta contaminación</w:t>
      </w:r>
      <w:r w:rsidR="007079E1" w:rsidRPr="00922E45">
        <w:rPr>
          <w:rFonts w:ascii="Cambria" w:hAnsi="Cambria" w:cs="Calibri"/>
          <w:color w:val="000000"/>
          <w:sz w:val="21"/>
          <w:szCs w:val="21"/>
          <w:lang w:val="es-ES"/>
        </w:rPr>
        <w:t xml:space="preserve"> (ver </w:t>
      </w:r>
      <w:r w:rsidR="00D51B95" w:rsidRPr="00922E45">
        <w:rPr>
          <w:rFonts w:ascii="Cambria" w:hAnsi="Cambria" w:cs="Calibri"/>
          <w:color w:val="000000"/>
          <w:sz w:val="21"/>
          <w:szCs w:val="21"/>
          <w:lang w:val="es-ES"/>
        </w:rPr>
        <w:t>respectivamente</w:t>
      </w:r>
      <w:r w:rsidR="007079E1" w:rsidRPr="00922E45">
        <w:rPr>
          <w:rFonts w:ascii="Cambria" w:hAnsi="Cambria" w:cs="Calibri"/>
          <w:color w:val="000000"/>
          <w:sz w:val="21"/>
          <w:szCs w:val="21"/>
          <w:lang w:val="es-ES"/>
        </w:rPr>
        <w:t xml:space="preserve">, </w:t>
      </w:r>
      <w:r w:rsidR="00D51B95" w:rsidRPr="00922E45">
        <w:rPr>
          <w:rFonts w:ascii="Cambria" w:hAnsi="Cambria" w:cs="Calibri"/>
          <w:i/>
          <w:color w:val="000000"/>
          <w:sz w:val="21"/>
          <w:szCs w:val="21"/>
          <w:lang w:val="es-ES"/>
        </w:rPr>
        <w:t>supra</w:t>
      </w:r>
      <w:r w:rsidR="00D51B95" w:rsidRPr="00922E45">
        <w:rPr>
          <w:rFonts w:ascii="Cambria" w:hAnsi="Cambria" w:cs="Calibri"/>
          <w:color w:val="000000"/>
          <w:sz w:val="21"/>
          <w:szCs w:val="21"/>
          <w:lang w:val="es-ES"/>
        </w:rPr>
        <w:t xml:space="preserve"> </w:t>
      </w:r>
      <w:proofErr w:type="spellStart"/>
      <w:r w:rsidR="007079E1" w:rsidRPr="00922E45">
        <w:rPr>
          <w:rFonts w:ascii="Cambria" w:hAnsi="Cambria" w:cs="Calibri"/>
          <w:color w:val="000000"/>
          <w:sz w:val="21"/>
          <w:szCs w:val="21"/>
          <w:lang w:val="es-ES"/>
        </w:rPr>
        <w:t>párrs</w:t>
      </w:r>
      <w:proofErr w:type="spellEnd"/>
      <w:r w:rsidR="007079E1" w:rsidRPr="00922E45">
        <w:rPr>
          <w:rFonts w:ascii="Cambria" w:hAnsi="Cambria" w:cs="Calibri"/>
          <w:color w:val="000000"/>
          <w:sz w:val="21"/>
          <w:szCs w:val="21"/>
          <w:lang w:val="es-ES"/>
        </w:rPr>
        <w:t>. 5 y 17)</w:t>
      </w:r>
      <w:r w:rsidRPr="00922E45">
        <w:rPr>
          <w:rFonts w:ascii="Cambria" w:hAnsi="Cambria" w:cs="Calibri"/>
          <w:color w:val="000000"/>
          <w:sz w:val="21"/>
          <w:szCs w:val="21"/>
          <w:lang w:val="es-ES"/>
        </w:rPr>
        <w:t xml:space="preserve">, de acuerdo con los estudios técnicos presentados tanto </w:t>
      </w:r>
      <w:r w:rsidR="0068385E" w:rsidRPr="00922E45">
        <w:rPr>
          <w:rFonts w:ascii="Cambria" w:hAnsi="Cambria" w:cs="Calibri"/>
          <w:color w:val="000000"/>
          <w:sz w:val="21"/>
          <w:szCs w:val="21"/>
          <w:lang w:val="es-ES"/>
        </w:rPr>
        <w:t>por ambas partes</w:t>
      </w:r>
      <w:r w:rsidRPr="00922E45">
        <w:rPr>
          <w:rFonts w:ascii="Cambria" w:hAnsi="Cambria" w:cs="Calibri"/>
          <w:color w:val="000000"/>
          <w:sz w:val="21"/>
          <w:szCs w:val="21"/>
          <w:lang w:val="es-ES"/>
        </w:rPr>
        <w:t xml:space="preserve">, el río </w:t>
      </w:r>
      <w:proofErr w:type="spellStart"/>
      <w:r w:rsidRPr="00922E45">
        <w:rPr>
          <w:rFonts w:ascii="Cambria" w:hAnsi="Cambria" w:cs="Calibri"/>
          <w:color w:val="000000"/>
          <w:sz w:val="21"/>
          <w:szCs w:val="21"/>
          <w:lang w:val="es-ES"/>
        </w:rPr>
        <w:t>Mezapa</w:t>
      </w:r>
      <w:proofErr w:type="spellEnd"/>
      <w:r w:rsidRPr="00922E45">
        <w:rPr>
          <w:rFonts w:ascii="Cambria" w:hAnsi="Cambria" w:cs="Calibri"/>
          <w:color w:val="000000"/>
          <w:sz w:val="21"/>
          <w:szCs w:val="21"/>
          <w:lang w:val="es-ES"/>
        </w:rPr>
        <w:t xml:space="preserve"> estaría contaminada por </w:t>
      </w:r>
      <w:proofErr w:type="spellStart"/>
      <w:r w:rsidRPr="00922E45">
        <w:rPr>
          <w:rFonts w:ascii="Cambria" w:hAnsi="Cambria" w:cs="Calibri"/>
          <w:i/>
          <w:color w:val="000000"/>
          <w:sz w:val="21"/>
          <w:szCs w:val="21"/>
          <w:lang w:val="es-ES"/>
        </w:rPr>
        <w:t>coliformes</w:t>
      </w:r>
      <w:proofErr w:type="spellEnd"/>
      <w:r w:rsidRPr="00922E45">
        <w:rPr>
          <w:rFonts w:ascii="Cambria" w:hAnsi="Cambria" w:cs="Calibri"/>
          <w:i/>
          <w:color w:val="000000"/>
          <w:sz w:val="21"/>
          <w:szCs w:val="21"/>
          <w:lang w:val="es-ES"/>
        </w:rPr>
        <w:t xml:space="preserve"> fecales</w:t>
      </w:r>
      <w:r w:rsidRPr="00922E45">
        <w:rPr>
          <w:rFonts w:ascii="Cambria" w:hAnsi="Cambria" w:cs="Calibri"/>
          <w:color w:val="000000"/>
          <w:sz w:val="21"/>
          <w:szCs w:val="21"/>
          <w:lang w:val="es-ES"/>
        </w:rPr>
        <w:t xml:space="preserve"> y </w:t>
      </w:r>
      <w:proofErr w:type="spellStart"/>
      <w:r w:rsidRPr="00922E45">
        <w:rPr>
          <w:rFonts w:ascii="Cambria" w:hAnsi="Cambria" w:cs="Calibri"/>
          <w:i/>
          <w:color w:val="000000"/>
          <w:sz w:val="21"/>
          <w:szCs w:val="21"/>
          <w:lang w:val="es-ES"/>
        </w:rPr>
        <w:t>escherichia</w:t>
      </w:r>
      <w:proofErr w:type="spellEnd"/>
      <w:r w:rsidRPr="00922E45">
        <w:rPr>
          <w:rFonts w:ascii="Cambria" w:hAnsi="Cambria" w:cs="Calibri"/>
          <w:i/>
          <w:color w:val="000000"/>
          <w:sz w:val="21"/>
          <w:szCs w:val="21"/>
          <w:lang w:val="es-ES"/>
        </w:rPr>
        <w:t xml:space="preserve"> </w:t>
      </w:r>
      <w:proofErr w:type="spellStart"/>
      <w:r w:rsidRPr="00922E45">
        <w:rPr>
          <w:rFonts w:ascii="Cambria" w:hAnsi="Cambria" w:cs="Calibri"/>
          <w:i/>
          <w:color w:val="000000"/>
          <w:sz w:val="21"/>
          <w:szCs w:val="21"/>
          <w:lang w:val="es-ES"/>
        </w:rPr>
        <w:t>coli</w:t>
      </w:r>
      <w:proofErr w:type="spellEnd"/>
      <w:r w:rsidRPr="00922E45">
        <w:rPr>
          <w:rFonts w:ascii="Cambria" w:hAnsi="Cambria" w:cs="Calibri"/>
          <w:color w:val="000000"/>
          <w:sz w:val="21"/>
          <w:szCs w:val="21"/>
          <w:lang w:val="es-ES"/>
        </w:rPr>
        <w:t xml:space="preserve"> (</w:t>
      </w:r>
      <w:proofErr w:type="spellStart"/>
      <w:r w:rsidRPr="00922E45">
        <w:rPr>
          <w:rFonts w:ascii="Cambria" w:hAnsi="Cambria" w:cs="Calibri"/>
          <w:i/>
          <w:color w:val="000000"/>
          <w:sz w:val="21"/>
          <w:szCs w:val="21"/>
          <w:lang w:val="es-ES"/>
        </w:rPr>
        <w:t>e.coli</w:t>
      </w:r>
      <w:proofErr w:type="spellEnd"/>
      <w:r w:rsidRPr="00922E45">
        <w:rPr>
          <w:rFonts w:ascii="Cambria" w:hAnsi="Cambria" w:cs="Calibri"/>
          <w:color w:val="000000"/>
          <w:sz w:val="21"/>
          <w:szCs w:val="21"/>
          <w:lang w:val="es-ES"/>
        </w:rPr>
        <w:t>), no siendo sus aguas aptas para el consumo humano</w:t>
      </w:r>
      <w:r w:rsidR="008A512C" w:rsidRPr="00922E45">
        <w:rPr>
          <w:rFonts w:ascii="Cambria" w:hAnsi="Cambria" w:cs="Calibri"/>
          <w:color w:val="000000"/>
          <w:sz w:val="21"/>
          <w:szCs w:val="21"/>
          <w:lang w:val="es-ES"/>
        </w:rPr>
        <w:t xml:space="preserve"> (ver </w:t>
      </w:r>
      <w:r w:rsidR="008A512C" w:rsidRPr="00922E45">
        <w:rPr>
          <w:rFonts w:ascii="Cambria" w:hAnsi="Cambria" w:cs="Calibri"/>
          <w:i/>
          <w:color w:val="000000"/>
          <w:sz w:val="21"/>
          <w:szCs w:val="21"/>
          <w:lang w:val="es-ES"/>
        </w:rPr>
        <w:t xml:space="preserve">supra </w:t>
      </w:r>
      <w:proofErr w:type="spellStart"/>
      <w:r w:rsidR="008A512C" w:rsidRPr="00922E45">
        <w:rPr>
          <w:rFonts w:ascii="Cambria" w:hAnsi="Cambria" w:cs="Calibri"/>
          <w:color w:val="000000"/>
          <w:sz w:val="21"/>
          <w:szCs w:val="21"/>
          <w:lang w:val="es-ES"/>
        </w:rPr>
        <w:t>párrs</w:t>
      </w:r>
      <w:proofErr w:type="spellEnd"/>
      <w:r w:rsidR="008A512C" w:rsidRPr="00922E45">
        <w:rPr>
          <w:rFonts w:ascii="Cambria" w:hAnsi="Cambria" w:cs="Calibri"/>
          <w:i/>
          <w:color w:val="000000"/>
          <w:sz w:val="21"/>
          <w:szCs w:val="21"/>
          <w:lang w:val="es-ES"/>
        </w:rPr>
        <w:t xml:space="preserve">. </w:t>
      </w:r>
      <w:r w:rsidR="008A512C" w:rsidRPr="00922E45">
        <w:rPr>
          <w:rFonts w:ascii="Cambria" w:hAnsi="Cambria" w:cs="Calibri"/>
          <w:color w:val="000000"/>
          <w:sz w:val="21"/>
          <w:szCs w:val="21"/>
          <w:lang w:val="es-ES"/>
        </w:rPr>
        <w:t>6</w:t>
      </w:r>
      <w:r w:rsidR="008A512C" w:rsidRPr="00922E45">
        <w:rPr>
          <w:rFonts w:ascii="Cambria" w:hAnsi="Cambria" w:cs="Calibri"/>
          <w:i/>
          <w:color w:val="000000"/>
          <w:sz w:val="21"/>
          <w:szCs w:val="21"/>
          <w:lang w:val="es-ES"/>
        </w:rPr>
        <w:t xml:space="preserve"> </w:t>
      </w:r>
      <w:r w:rsidR="008A512C" w:rsidRPr="00922E45">
        <w:rPr>
          <w:rFonts w:ascii="Cambria" w:hAnsi="Cambria" w:cs="Calibri"/>
          <w:color w:val="000000"/>
          <w:sz w:val="21"/>
          <w:szCs w:val="21"/>
          <w:lang w:val="es-ES"/>
        </w:rPr>
        <w:t>y 16).</w:t>
      </w:r>
      <w:r w:rsidR="00B10FB4" w:rsidRPr="00922E45">
        <w:rPr>
          <w:rFonts w:ascii="Cambria" w:hAnsi="Cambria" w:cs="Calibri"/>
          <w:color w:val="000000"/>
          <w:sz w:val="21"/>
          <w:szCs w:val="21"/>
          <w:lang w:val="es-ES"/>
        </w:rPr>
        <w:t xml:space="preserve"> </w:t>
      </w:r>
    </w:p>
    <w:p w:rsidR="00C453B7" w:rsidRPr="00922E45" w:rsidRDefault="00C453B7" w:rsidP="00C81B11">
      <w:pPr>
        <w:tabs>
          <w:tab w:val="left" w:pos="567"/>
        </w:tabs>
        <w:autoSpaceDE w:val="0"/>
        <w:autoSpaceDN w:val="0"/>
        <w:adjustRightInd w:val="0"/>
        <w:spacing w:after="0" w:line="240" w:lineRule="auto"/>
        <w:ind w:left="360"/>
        <w:jc w:val="both"/>
        <w:rPr>
          <w:rFonts w:ascii="Cambria" w:hAnsi="Cambria" w:cs="Calibri"/>
          <w:color w:val="000000"/>
          <w:sz w:val="21"/>
          <w:szCs w:val="21"/>
          <w:lang w:val="es-ES"/>
        </w:rPr>
      </w:pPr>
    </w:p>
    <w:p w:rsidR="00AE19FB" w:rsidRPr="00922E45" w:rsidRDefault="00AE19FB" w:rsidP="0068385E">
      <w:pPr>
        <w:numPr>
          <w:ilvl w:val="0"/>
          <w:numId w:val="34"/>
        </w:numPr>
        <w:spacing w:after="0" w:line="240" w:lineRule="auto"/>
        <w:ind w:left="0" w:firstLine="360"/>
        <w:jc w:val="both"/>
        <w:rPr>
          <w:rFonts w:ascii="Cambria" w:hAnsi="Cambria" w:cs="Calibri"/>
          <w:color w:val="000000"/>
          <w:sz w:val="21"/>
          <w:szCs w:val="21"/>
          <w:lang w:val="es-ES"/>
        </w:rPr>
      </w:pPr>
      <w:r w:rsidRPr="00922E45">
        <w:rPr>
          <w:rFonts w:ascii="Cambria" w:hAnsi="Cambria"/>
          <w:sz w:val="21"/>
          <w:szCs w:val="21"/>
          <w:lang w:val="es-ES"/>
        </w:rPr>
        <w:t xml:space="preserve">Según la información aportada por los solicitantes, algunos </w:t>
      </w:r>
      <w:r w:rsidR="0068385E" w:rsidRPr="00922E45">
        <w:rPr>
          <w:rFonts w:ascii="Cambria" w:hAnsi="Cambria" w:cs="Calibri"/>
          <w:color w:val="000000"/>
          <w:sz w:val="21"/>
          <w:szCs w:val="21"/>
          <w:lang w:val="es-ES"/>
        </w:rPr>
        <w:t xml:space="preserve">tipos de </w:t>
      </w:r>
      <w:proofErr w:type="spellStart"/>
      <w:r w:rsidR="0068385E" w:rsidRPr="00922E45">
        <w:rPr>
          <w:rFonts w:ascii="Cambria" w:hAnsi="Cambria" w:cs="Calibri"/>
          <w:color w:val="000000"/>
          <w:sz w:val="21"/>
          <w:szCs w:val="21"/>
          <w:lang w:val="es-ES"/>
        </w:rPr>
        <w:t>coliformes</w:t>
      </w:r>
      <w:proofErr w:type="spellEnd"/>
      <w:r w:rsidR="0068385E" w:rsidRPr="00922E45">
        <w:rPr>
          <w:rFonts w:ascii="Cambria" w:hAnsi="Cambria" w:cs="Calibri"/>
          <w:color w:val="000000"/>
          <w:sz w:val="21"/>
          <w:szCs w:val="21"/>
          <w:lang w:val="es-ES"/>
        </w:rPr>
        <w:t xml:space="preserve"> fecales podrían causar daños a la salud, como diarreas que van desde leves y no hemorrágicas hasta altamente hemorrágicas, e incluso la muerte. </w:t>
      </w:r>
      <w:r w:rsidRPr="00922E45">
        <w:rPr>
          <w:rFonts w:ascii="Cambria" w:hAnsi="Cambria" w:cs="Calibri"/>
          <w:color w:val="000000"/>
          <w:sz w:val="21"/>
          <w:szCs w:val="21"/>
          <w:lang w:val="es-ES"/>
        </w:rPr>
        <w:t>Asimismo,</w:t>
      </w:r>
      <w:r w:rsidR="0068385E" w:rsidRPr="00922E45">
        <w:rPr>
          <w:rFonts w:ascii="Cambria" w:hAnsi="Cambria" w:cs="Calibri"/>
          <w:color w:val="000000"/>
          <w:sz w:val="21"/>
          <w:szCs w:val="21"/>
          <w:lang w:val="es-ES"/>
        </w:rPr>
        <w:t xml:space="preserve"> la </w:t>
      </w:r>
      <w:proofErr w:type="spellStart"/>
      <w:r w:rsidR="0068385E" w:rsidRPr="00922E45">
        <w:rPr>
          <w:rFonts w:ascii="Cambria" w:hAnsi="Cambria" w:cs="Calibri"/>
          <w:i/>
          <w:color w:val="000000"/>
          <w:sz w:val="21"/>
          <w:szCs w:val="21"/>
          <w:lang w:val="es-ES"/>
        </w:rPr>
        <w:t>escherichia</w:t>
      </w:r>
      <w:proofErr w:type="spellEnd"/>
      <w:r w:rsidR="0068385E" w:rsidRPr="00922E45">
        <w:rPr>
          <w:rFonts w:ascii="Cambria" w:hAnsi="Cambria" w:cs="Calibri"/>
          <w:i/>
          <w:color w:val="000000"/>
          <w:sz w:val="21"/>
          <w:szCs w:val="21"/>
          <w:lang w:val="es-ES"/>
        </w:rPr>
        <w:t xml:space="preserve"> </w:t>
      </w:r>
      <w:proofErr w:type="spellStart"/>
      <w:r w:rsidR="0068385E" w:rsidRPr="00922E45">
        <w:rPr>
          <w:rFonts w:ascii="Cambria" w:hAnsi="Cambria" w:cs="Calibri"/>
          <w:i/>
          <w:color w:val="000000"/>
          <w:sz w:val="21"/>
          <w:szCs w:val="21"/>
          <w:lang w:val="es-ES"/>
        </w:rPr>
        <w:t>coli</w:t>
      </w:r>
      <w:proofErr w:type="spellEnd"/>
      <w:r w:rsidR="0068385E" w:rsidRPr="00922E45">
        <w:rPr>
          <w:rFonts w:ascii="Cambria" w:hAnsi="Cambria" w:cs="Calibri"/>
          <w:color w:val="000000"/>
          <w:sz w:val="21"/>
          <w:szCs w:val="21"/>
          <w:lang w:val="es-ES"/>
        </w:rPr>
        <w:t xml:space="preserve"> (</w:t>
      </w:r>
      <w:proofErr w:type="spellStart"/>
      <w:r w:rsidR="0068385E" w:rsidRPr="00922E45">
        <w:rPr>
          <w:rFonts w:ascii="Cambria" w:hAnsi="Cambria" w:cs="Calibri"/>
          <w:i/>
          <w:color w:val="000000"/>
          <w:sz w:val="21"/>
          <w:szCs w:val="21"/>
          <w:lang w:val="es-ES"/>
        </w:rPr>
        <w:t>e.coli</w:t>
      </w:r>
      <w:proofErr w:type="spellEnd"/>
      <w:r w:rsidR="0068385E" w:rsidRPr="00922E45">
        <w:rPr>
          <w:rFonts w:ascii="Cambria" w:hAnsi="Cambria" w:cs="Calibri"/>
          <w:color w:val="000000"/>
          <w:sz w:val="21"/>
          <w:szCs w:val="21"/>
          <w:lang w:val="es-ES"/>
        </w:rPr>
        <w:t>) se trataría de una de las tres bacterias más peligrosas para la salud humana</w:t>
      </w:r>
      <w:r w:rsidRPr="00922E45">
        <w:rPr>
          <w:rFonts w:ascii="Cambria" w:hAnsi="Cambria" w:cs="Calibri"/>
          <w:color w:val="000000"/>
          <w:sz w:val="21"/>
          <w:szCs w:val="21"/>
          <w:lang w:val="es-ES"/>
        </w:rPr>
        <w:t xml:space="preserve">. </w:t>
      </w:r>
    </w:p>
    <w:p w:rsidR="00AE19FB" w:rsidRPr="00922E45" w:rsidRDefault="00AE19FB" w:rsidP="00481FDA">
      <w:pPr>
        <w:tabs>
          <w:tab w:val="left" w:pos="567"/>
        </w:tabs>
        <w:autoSpaceDE w:val="0"/>
        <w:autoSpaceDN w:val="0"/>
        <w:adjustRightInd w:val="0"/>
        <w:spacing w:after="0" w:line="240" w:lineRule="auto"/>
        <w:jc w:val="both"/>
        <w:rPr>
          <w:rFonts w:ascii="Cambria" w:hAnsi="Cambria" w:cs="Calibri"/>
          <w:color w:val="000000"/>
          <w:sz w:val="21"/>
          <w:szCs w:val="21"/>
          <w:lang w:val="es-ES"/>
        </w:rPr>
      </w:pPr>
    </w:p>
    <w:p w:rsidR="0068385E" w:rsidRPr="00922E45" w:rsidRDefault="0068385E" w:rsidP="006531F2">
      <w:pPr>
        <w:numPr>
          <w:ilvl w:val="0"/>
          <w:numId w:val="34"/>
        </w:numPr>
        <w:spacing w:after="0" w:line="240" w:lineRule="auto"/>
        <w:ind w:left="0" w:firstLine="360"/>
        <w:jc w:val="both"/>
        <w:rPr>
          <w:rFonts w:ascii="Cambria" w:hAnsi="Cambria" w:cs="Calibri"/>
          <w:color w:val="000000"/>
          <w:sz w:val="21"/>
          <w:szCs w:val="21"/>
          <w:lang w:val="es-ES"/>
        </w:rPr>
      </w:pPr>
      <w:r w:rsidRPr="00922E45">
        <w:rPr>
          <w:rFonts w:ascii="Cambria" w:hAnsi="Cambria" w:cs="Calibri"/>
          <w:color w:val="000000"/>
          <w:sz w:val="21"/>
          <w:szCs w:val="21"/>
          <w:lang w:val="es-ES"/>
        </w:rPr>
        <w:t>L</w:t>
      </w:r>
      <w:r w:rsidR="00BD2BD1" w:rsidRPr="00922E45">
        <w:rPr>
          <w:rFonts w:ascii="Cambria" w:hAnsi="Cambria" w:cs="Calibri"/>
          <w:color w:val="000000"/>
          <w:sz w:val="21"/>
          <w:szCs w:val="21"/>
          <w:lang w:val="es-ES"/>
        </w:rPr>
        <w:t xml:space="preserve">a Comisión advierte que </w:t>
      </w:r>
      <w:r w:rsidR="00AE19FB" w:rsidRPr="00922E45">
        <w:rPr>
          <w:rFonts w:ascii="Cambria" w:hAnsi="Cambria" w:cs="Calibri"/>
          <w:color w:val="000000"/>
          <w:sz w:val="21"/>
          <w:szCs w:val="21"/>
          <w:lang w:val="es-ES"/>
        </w:rPr>
        <w:t>más allá de la existencia de un Centro de Salud que, según los solicitantes no tendría capacidad para atender a la población, no se cuenta con información del Estado sobre medidas adoptadas para asegurar que el agua utilizada para beber o realizar sus actividades cotidianas tenga condiciones aceptables que no deterioren su salud. L</w:t>
      </w:r>
      <w:r w:rsidR="00972748" w:rsidRPr="00922E45">
        <w:rPr>
          <w:rFonts w:ascii="Cambria" w:hAnsi="Cambria" w:cs="Calibri"/>
          <w:color w:val="000000"/>
          <w:sz w:val="21"/>
          <w:szCs w:val="21"/>
          <w:lang w:val="es-ES"/>
        </w:rPr>
        <w:t>os solicitantes han i</w:t>
      </w:r>
      <w:r w:rsidR="00C04F3C" w:rsidRPr="00922E45">
        <w:rPr>
          <w:rFonts w:ascii="Cambria" w:hAnsi="Cambria" w:cs="Calibri"/>
          <w:color w:val="000000"/>
          <w:sz w:val="21"/>
          <w:szCs w:val="21"/>
          <w:lang w:val="es-ES"/>
        </w:rPr>
        <w:t xml:space="preserve">nformado que </w:t>
      </w:r>
      <w:r w:rsidR="00FC1526" w:rsidRPr="00922E45">
        <w:rPr>
          <w:rFonts w:ascii="Cambria" w:hAnsi="Cambria" w:cs="Calibri"/>
          <w:color w:val="000000"/>
          <w:sz w:val="21"/>
          <w:szCs w:val="21"/>
          <w:lang w:val="es-ES"/>
        </w:rPr>
        <w:t>el agua que llega</w:t>
      </w:r>
      <w:r w:rsidR="00C04F3C" w:rsidRPr="00922E45">
        <w:rPr>
          <w:rFonts w:ascii="Cambria" w:hAnsi="Cambria" w:cs="Calibri"/>
          <w:color w:val="000000"/>
          <w:sz w:val="21"/>
          <w:szCs w:val="21"/>
          <w:lang w:val="es-ES"/>
        </w:rPr>
        <w:t>ría</w:t>
      </w:r>
      <w:r w:rsidR="00FC1526" w:rsidRPr="00922E45">
        <w:rPr>
          <w:rFonts w:ascii="Cambria" w:hAnsi="Cambria" w:cs="Calibri"/>
          <w:color w:val="000000"/>
          <w:sz w:val="21"/>
          <w:szCs w:val="21"/>
          <w:lang w:val="es-ES"/>
        </w:rPr>
        <w:t xml:space="preserve"> a los grifos es de color café</w:t>
      </w:r>
      <w:r w:rsidR="00C04F3C" w:rsidRPr="00922E45">
        <w:rPr>
          <w:rFonts w:ascii="Cambria" w:hAnsi="Cambria" w:cs="Calibri"/>
          <w:color w:val="000000"/>
          <w:sz w:val="21"/>
          <w:szCs w:val="21"/>
          <w:lang w:val="es-ES"/>
        </w:rPr>
        <w:t xml:space="preserve">, por lo que </w:t>
      </w:r>
      <w:r w:rsidR="00FC1526" w:rsidRPr="00922E45">
        <w:rPr>
          <w:rFonts w:ascii="Cambria" w:hAnsi="Cambria" w:cs="Calibri"/>
          <w:color w:val="000000"/>
          <w:sz w:val="21"/>
          <w:szCs w:val="21"/>
          <w:lang w:val="es-ES"/>
        </w:rPr>
        <w:t>ya</w:t>
      </w:r>
      <w:r w:rsidR="00C04F3C" w:rsidRPr="00922E45">
        <w:rPr>
          <w:rFonts w:ascii="Cambria" w:hAnsi="Cambria" w:cs="Calibri"/>
          <w:color w:val="000000"/>
          <w:sz w:val="21"/>
          <w:szCs w:val="21"/>
          <w:lang w:val="es-ES"/>
        </w:rPr>
        <w:t xml:space="preserve"> no la utilizarían para cocinar</w:t>
      </w:r>
      <w:r w:rsidR="00FC1526" w:rsidRPr="00922E45">
        <w:rPr>
          <w:rFonts w:ascii="Cambria" w:hAnsi="Cambria" w:cs="Calibri"/>
          <w:color w:val="000000"/>
          <w:sz w:val="21"/>
          <w:szCs w:val="21"/>
          <w:lang w:val="es-ES"/>
        </w:rPr>
        <w:t xml:space="preserve"> ni para beber. </w:t>
      </w:r>
      <w:r w:rsidR="00FC1526" w:rsidRPr="00922E45">
        <w:rPr>
          <w:rFonts w:ascii="Cambria" w:hAnsi="Cambria" w:cs="Calibri"/>
          <w:color w:val="000000"/>
          <w:sz w:val="21"/>
          <w:szCs w:val="21"/>
          <w:lang w:val="es-ES"/>
        </w:rPr>
        <w:lastRenderedPageBreak/>
        <w:t>Además, indica</w:t>
      </w:r>
      <w:r w:rsidR="00C04F3C" w:rsidRPr="00922E45">
        <w:rPr>
          <w:rFonts w:ascii="Cambria" w:hAnsi="Cambria" w:cs="Calibri"/>
          <w:color w:val="000000"/>
          <w:sz w:val="21"/>
          <w:szCs w:val="21"/>
          <w:lang w:val="es-ES"/>
        </w:rPr>
        <w:t>ro</w:t>
      </w:r>
      <w:r w:rsidR="00FC1526" w:rsidRPr="00922E45">
        <w:rPr>
          <w:rFonts w:ascii="Cambria" w:hAnsi="Cambria" w:cs="Calibri"/>
          <w:color w:val="000000"/>
          <w:sz w:val="21"/>
          <w:szCs w:val="21"/>
          <w:lang w:val="es-ES"/>
        </w:rPr>
        <w:t>n que se pr</w:t>
      </w:r>
      <w:r w:rsidR="00C04F3C" w:rsidRPr="00922E45">
        <w:rPr>
          <w:rFonts w:ascii="Cambria" w:hAnsi="Cambria" w:cs="Calibri"/>
          <w:color w:val="000000"/>
          <w:sz w:val="21"/>
          <w:szCs w:val="21"/>
          <w:lang w:val="es-ES"/>
        </w:rPr>
        <w:t>esentaría ir</w:t>
      </w:r>
      <w:r w:rsidR="00FC1526" w:rsidRPr="00922E45">
        <w:rPr>
          <w:rFonts w:ascii="Cambria" w:hAnsi="Cambria" w:cs="Calibri"/>
          <w:color w:val="000000"/>
          <w:sz w:val="21"/>
          <w:szCs w:val="21"/>
          <w:lang w:val="es-ES"/>
        </w:rPr>
        <w:t>ritación en la piel</w:t>
      </w:r>
      <w:r w:rsidR="00340EEE" w:rsidRPr="00922E45">
        <w:rPr>
          <w:rFonts w:ascii="Cambria" w:hAnsi="Cambria" w:cs="Calibri"/>
          <w:color w:val="000000"/>
          <w:sz w:val="21"/>
          <w:szCs w:val="21"/>
          <w:lang w:val="es-ES"/>
        </w:rPr>
        <w:t xml:space="preserve"> cuando se bañaban</w:t>
      </w:r>
      <w:r w:rsidR="00C04F3C" w:rsidRPr="00922E45">
        <w:rPr>
          <w:rFonts w:ascii="Cambria" w:hAnsi="Cambria" w:cs="Calibri"/>
          <w:color w:val="000000"/>
          <w:sz w:val="21"/>
          <w:szCs w:val="21"/>
          <w:lang w:val="es-ES"/>
        </w:rPr>
        <w:t xml:space="preserve">. </w:t>
      </w:r>
      <w:r w:rsidR="00AE19FB" w:rsidRPr="00922E45">
        <w:rPr>
          <w:rFonts w:ascii="Cambria" w:hAnsi="Cambria" w:cs="Calibri"/>
          <w:color w:val="000000"/>
          <w:sz w:val="21"/>
          <w:szCs w:val="21"/>
          <w:lang w:val="es-ES"/>
        </w:rPr>
        <w:t xml:space="preserve">Asimismo, entre los pobladores </w:t>
      </w:r>
      <w:r w:rsidR="00C04F3C" w:rsidRPr="00922E45">
        <w:rPr>
          <w:rFonts w:ascii="Cambria" w:hAnsi="Cambria" w:cs="Calibri"/>
          <w:color w:val="000000"/>
          <w:sz w:val="21"/>
          <w:szCs w:val="21"/>
          <w:lang w:val="es-ES"/>
        </w:rPr>
        <w:t xml:space="preserve">del sector </w:t>
      </w:r>
      <w:r w:rsidR="00FC1526" w:rsidRPr="00922E45">
        <w:rPr>
          <w:rFonts w:ascii="Cambria" w:hAnsi="Cambria"/>
          <w:sz w:val="21"/>
          <w:szCs w:val="21"/>
          <w:lang w:val="es-ES"/>
        </w:rPr>
        <w:t xml:space="preserve">se habrían presentado cuadros de diarrea, mareos, vómitos y deshidratación, los cuales </w:t>
      </w:r>
      <w:r w:rsidR="00AE19FB" w:rsidRPr="00922E45">
        <w:rPr>
          <w:rFonts w:ascii="Cambria" w:hAnsi="Cambria"/>
          <w:sz w:val="21"/>
          <w:szCs w:val="21"/>
          <w:lang w:val="es-ES"/>
        </w:rPr>
        <w:t xml:space="preserve">los solicitantes identifican que tendrían relación </w:t>
      </w:r>
      <w:r w:rsidR="00FC1526" w:rsidRPr="00922E45">
        <w:rPr>
          <w:rFonts w:ascii="Cambria" w:hAnsi="Cambria"/>
          <w:sz w:val="21"/>
          <w:szCs w:val="21"/>
          <w:lang w:val="es-ES"/>
        </w:rPr>
        <w:t>con</w:t>
      </w:r>
      <w:r w:rsidR="00AE19FB" w:rsidRPr="00922E45">
        <w:rPr>
          <w:rFonts w:ascii="Cambria" w:hAnsi="Cambria"/>
          <w:sz w:val="21"/>
          <w:szCs w:val="21"/>
          <w:lang w:val="es-ES"/>
        </w:rPr>
        <w:t xml:space="preserve"> el</w:t>
      </w:r>
      <w:r w:rsidR="00FC1526" w:rsidRPr="00922E45">
        <w:rPr>
          <w:rFonts w:ascii="Cambria" w:hAnsi="Cambria"/>
          <w:sz w:val="21"/>
          <w:szCs w:val="21"/>
          <w:lang w:val="es-ES"/>
        </w:rPr>
        <w:t xml:space="preserve"> </w:t>
      </w:r>
      <w:proofErr w:type="spellStart"/>
      <w:r w:rsidR="00FC1526" w:rsidRPr="00922E45">
        <w:rPr>
          <w:rFonts w:ascii="Cambria" w:hAnsi="Cambria"/>
          <w:i/>
          <w:sz w:val="21"/>
          <w:szCs w:val="21"/>
          <w:lang w:val="es-ES"/>
        </w:rPr>
        <w:t>e.coli</w:t>
      </w:r>
      <w:proofErr w:type="spellEnd"/>
      <w:r w:rsidR="00FC1526" w:rsidRPr="00922E45">
        <w:rPr>
          <w:rFonts w:ascii="Cambria" w:hAnsi="Cambria"/>
          <w:sz w:val="21"/>
          <w:szCs w:val="21"/>
          <w:lang w:val="es-ES"/>
        </w:rPr>
        <w:t xml:space="preserve">. </w:t>
      </w:r>
      <w:r w:rsidR="006531F2" w:rsidRPr="00922E45">
        <w:rPr>
          <w:rFonts w:ascii="Cambria" w:hAnsi="Cambria"/>
          <w:sz w:val="21"/>
          <w:szCs w:val="21"/>
          <w:lang w:val="es-ES"/>
        </w:rPr>
        <w:t>La Comisión no cuenta con información del Estado que contradiga los alegados efectos que tendría la presunta contaminación del agua en la salud de los propuestas beneficiarios</w:t>
      </w:r>
      <w:r w:rsidR="004E365F" w:rsidRPr="00922E45">
        <w:rPr>
          <w:rFonts w:ascii="Cambria" w:hAnsi="Cambria"/>
          <w:sz w:val="21"/>
          <w:szCs w:val="21"/>
          <w:lang w:val="es-ES"/>
        </w:rPr>
        <w:t>, ni que indique que tendrían acces</w:t>
      </w:r>
      <w:r w:rsidR="005724A0" w:rsidRPr="00922E45">
        <w:rPr>
          <w:rFonts w:ascii="Cambria" w:hAnsi="Cambria"/>
          <w:sz w:val="21"/>
          <w:szCs w:val="21"/>
          <w:lang w:val="es-ES"/>
        </w:rPr>
        <w:t>o</w:t>
      </w:r>
      <w:r w:rsidR="004E365F" w:rsidRPr="00922E45">
        <w:rPr>
          <w:rFonts w:ascii="Cambria" w:hAnsi="Cambria"/>
          <w:sz w:val="21"/>
          <w:szCs w:val="21"/>
          <w:lang w:val="es-ES"/>
        </w:rPr>
        <w:t xml:space="preserve"> a otras fuentes de agua para beber y realizar sus necesidades más básicas</w:t>
      </w:r>
      <w:r w:rsidR="006531F2" w:rsidRPr="00922E45">
        <w:rPr>
          <w:rFonts w:ascii="Cambria" w:hAnsi="Cambria"/>
          <w:sz w:val="21"/>
          <w:szCs w:val="21"/>
          <w:lang w:val="es-ES"/>
        </w:rPr>
        <w:t>.</w:t>
      </w:r>
    </w:p>
    <w:p w:rsidR="0068385E" w:rsidRPr="00922E45" w:rsidRDefault="0068385E" w:rsidP="00481FDA">
      <w:pPr>
        <w:spacing w:after="0" w:line="240" w:lineRule="auto"/>
        <w:ind w:left="360"/>
        <w:jc w:val="both"/>
        <w:rPr>
          <w:rFonts w:ascii="Cambria" w:hAnsi="Cambria" w:cs="Calibri"/>
          <w:color w:val="000000"/>
          <w:sz w:val="21"/>
          <w:szCs w:val="21"/>
          <w:lang w:val="es-ES"/>
        </w:rPr>
      </w:pPr>
    </w:p>
    <w:p w:rsidR="00C04F3C" w:rsidRPr="00922E45" w:rsidRDefault="00C04F3C" w:rsidP="00242423">
      <w:pPr>
        <w:pStyle w:val="ListParagraph"/>
        <w:numPr>
          <w:ilvl w:val="0"/>
          <w:numId w:val="34"/>
        </w:numPr>
        <w:spacing w:after="0" w:line="240" w:lineRule="auto"/>
        <w:ind w:left="0" w:firstLine="360"/>
        <w:jc w:val="both"/>
        <w:rPr>
          <w:rFonts w:ascii="Cambria" w:hAnsi="Cambria" w:cs="Calibri"/>
          <w:color w:val="000000"/>
          <w:sz w:val="21"/>
          <w:szCs w:val="21"/>
          <w:lang w:val="es-ES"/>
        </w:rPr>
      </w:pPr>
      <w:r w:rsidRPr="00922E45">
        <w:rPr>
          <w:rFonts w:ascii="Cambria" w:hAnsi="Cambria" w:cs="Calibri"/>
          <w:color w:val="000000"/>
          <w:sz w:val="21"/>
          <w:szCs w:val="21"/>
          <w:lang w:val="es-ES"/>
        </w:rPr>
        <w:t xml:space="preserve">En </w:t>
      </w:r>
      <w:r w:rsidR="00BD2BD1" w:rsidRPr="00922E45">
        <w:rPr>
          <w:rFonts w:ascii="Cambria" w:hAnsi="Cambria" w:cs="Calibri"/>
          <w:color w:val="000000"/>
          <w:sz w:val="21"/>
          <w:szCs w:val="21"/>
          <w:lang w:val="es-ES"/>
        </w:rPr>
        <w:t>ese sentido</w:t>
      </w:r>
      <w:r w:rsidRPr="00922E45">
        <w:rPr>
          <w:rFonts w:ascii="Cambria" w:hAnsi="Cambria" w:cs="Calibri"/>
          <w:color w:val="000000"/>
          <w:sz w:val="21"/>
          <w:szCs w:val="21"/>
          <w:lang w:val="es-ES"/>
        </w:rPr>
        <w:t>, la Comisi</w:t>
      </w:r>
      <w:r w:rsidR="00232A0C" w:rsidRPr="00922E45">
        <w:rPr>
          <w:rFonts w:ascii="Cambria" w:hAnsi="Cambria" w:cs="Calibri"/>
          <w:color w:val="000000"/>
          <w:sz w:val="21"/>
          <w:szCs w:val="21"/>
          <w:lang w:val="es-ES"/>
        </w:rPr>
        <w:t>ón considera que</w:t>
      </w:r>
      <w:r w:rsidRPr="00922E45">
        <w:rPr>
          <w:rFonts w:ascii="Cambria" w:hAnsi="Cambria" w:cs="Calibri"/>
          <w:color w:val="000000"/>
          <w:sz w:val="21"/>
          <w:szCs w:val="21"/>
          <w:lang w:val="es-ES"/>
        </w:rPr>
        <w:t xml:space="preserve"> la información presentada vista desde el estándar </w:t>
      </w:r>
      <w:r w:rsidRPr="00922E45">
        <w:rPr>
          <w:rFonts w:ascii="Cambria" w:hAnsi="Cambria" w:cs="Calibri"/>
          <w:i/>
          <w:color w:val="000000"/>
          <w:sz w:val="21"/>
          <w:szCs w:val="21"/>
          <w:lang w:val="es-ES"/>
        </w:rPr>
        <w:t xml:space="preserve">prima facie </w:t>
      </w:r>
      <w:r w:rsidRPr="00922E45">
        <w:rPr>
          <w:rFonts w:ascii="Cambria" w:hAnsi="Cambria" w:cs="Calibri"/>
          <w:color w:val="000000"/>
          <w:sz w:val="21"/>
          <w:szCs w:val="21"/>
          <w:lang w:val="es-ES"/>
        </w:rPr>
        <w:t xml:space="preserve">aplicable al mecanismo de las medidas cautelares resultan suficientes para considerar que los pobladores de las comunidades identificadas se encuentran en riesgo </w:t>
      </w:r>
      <w:r w:rsidR="006531F2" w:rsidRPr="00922E45">
        <w:rPr>
          <w:rFonts w:ascii="Cambria" w:hAnsi="Cambria" w:cs="Calibri"/>
          <w:color w:val="000000"/>
          <w:sz w:val="21"/>
          <w:szCs w:val="21"/>
          <w:lang w:val="es-ES"/>
        </w:rPr>
        <w:t>como resultado d</w:t>
      </w:r>
      <w:r w:rsidR="0045633A" w:rsidRPr="00922E45">
        <w:rPr>
          <w:rFonts w:ascii="Cambria" w:hAnsi="Cambria" w:cs="Calibri"/>
          <w:color w:val="000000"/>
          <w:sz w:val="21"/>
          <w:szCs w:val="21"/>
          <w:lang w:val="es-ES"/>
        </w:rPr>
        <w:t xml:space="preserve">e la presunta contaminación de </w:t>
      </w:r>
      <w:r w:rsidR="007079E1" w:rsidRPr="00922E45">
        <w:rPr>
          <w:rFonts w:ascii="Cambria" w:hAnsi="Cambria" w:cs="Calibri"/>
          <w:color w:val="000000"/>
          <w:sz w:val="21"/>
          <w:szCs w:val="21"/>
          <w:lang w:val="es-ES"/>
        </w:rPr>
        <w:t xml:space="preserve">alejadamente </w:t>
      </w:r>
      <w:r w:rsidR="0045633A" w:rsidRPr="00922E45">
        <w:rPr>
          <w:rFonts w:ascii="Cambria" w:hAnsi="Cambria" w:cs="Calibri"/>
          <w:color w:val="000000"/>
          <w:sz w:val="21"/>
          <w:szCs w:val="21"/>
          <w:lang w:val="es-ES"/>
        </w:rPr>
        <w:t xml:space="preserve">su única fuente de </w:t>
      </w:r>
      <w:r w:rsidR="006531F2" w:rsidRPr="00922E45">
        <w:rPr>
          <w:rFonts w:ascii="Cambria" w:hAnsi="Cambria" w:cs="Calibri"/>
          <w:color w:val="000000"/>
          <w:sz w:val="21"/>
          <w:szCs w:val="21"/>
          <w:lang w:val="es-ES"/>
        </w:rPr>
        <w:t>agua para consumo de la comunidad</w:t>
      </w:r>
      <w:r w:rsidRPr="00922E45">
        <w:rPr>
          <w:rFonts w:ascii="Cambria" w:hAnsi="Cambria" w:cs="Calibri"/>
          <w:color w:val="000000"/>
          <w:sz w:val="21"/>
          <w:szCs w:val="21"/>
          <w:lang w:val="es-ES"/>
        </w:rPr>
        <w:t xml:space="preserve">. </w:t>
      </w:r>
    </w:p>
    <w:p w:rsidR="0055779D" w:rsidRPr="00922E45" w:rsidRDefault="0055779D" w:rsidP="0055779D">
      <w:pPr>
        <w:tabs>
          <w:tab w:val="left" w:pos="630"/>
          <w:tab w:val="left" w:pos="810"/>
        </w:tabs>
        <w:autoSpaceDE w:val="0"/>
        <w:autoSpaceDN w:val="0"/>
        <w:adjustRightInd w:val="0"/>
        <w:spacing w:after="0" w:line="240" w:lineRule="auto"/>
        <w:ind w:left="360"/>
        <w:jc w:val="both"/>
        <w:rPr>
          <w:rFonts w:ascii="Cambria" w:hAnsi="Cambria" w:cs="Calibri"/>
          <w:color w:val="000000"/>
          <w:sz w:val="21"/>
          <w:szCs w:val="21"/>
          <w:lang w:val="es-ES"/>
        </w:rPr>
      </w:pPr>
    </w:p>
    <w:p w:rsidR="00633BAF" w:rsidRPr="00922E45" w:rsidRDefault="00633BAF" w:rsidP="0055779D">
      <w:pPr>
        <w:numPr>
          <w:ilvl w:val="0"/>
          <w:numId w:val="34"/>
        </w:numPr>
        <w:tabs>
          <w:tab w:val="left" w:pos="630"/>
          <w:tab w:val="left" w:pos="810"/>
        </w:tabs>
        <w:autoSpaceDE w:val="0"/>
        <w:autoSpaceDN w:val="0"/>
        <w:adjustRightInd w:val="0"/>
        <w:spacing w:after="0" w:line="240" w:lineRule="auto"/>
        <w:ind w:left="0" w:firstLine="360"/>
        <w:jc w:val="both"/>
        <w:rPr>
          <w:rFonts w:ascii="Cambria" w:hAnsi="Cambria" w:cs="Calibri"/>
          <w:color w:val="000000"/>
          <w:sz w:val="21"/>
          <w:szCs w:val="21"/>
          <w:lang w:val="es-ES"/>
        </w:rPr>
      </w:pPr>
      <w:r w:rsidRPr="00922E45">
        <w:rPr>
          <w:rFonts w:ascii="Cambria" w:hAnsi="Cambria" w:cs="Calibri"/>
          <w:color w:val="000000"/>
          <w:sz w:val="21"/>
          <w:szCs w:val="21"/>
          <w:lang w:val="es-ES"/>
        </w:rPr>
        <w:t xml:space="preserve">En cuanto a la urgencia, la </w:t>
      </w:r>
      <w:r w:rsidR="009C6FCB" w:rsidRPr="00922E45">
        <w:rPr>
          <w:rFonts w:ascii="Cambria" w:hAnsi="Cambria" w:cs="Calibri"/>
          <w:color w:val="000000"/>
          <w:sz w:val="21"/>
          <w:szCs w:val="21"/>
          <w:lang w:val="es-ES"/>
        </w:rPr>
        <w:t>Comisión</w:t>
      </w:r>
      <w:r w:rsidR="00685D7D" w:rsidRPr="00922E45">
        <w:rPr>
          <w:rFonts w:ascii="Cambria" w:hAnsi="Cambria" w:cs="Calibri"/>
          <w:color w:val="000000"/>
          <w:sz w:val="21"/>
          <w:szCs w:val="21"/>
          <w:lang w:val="es-ES"/>
        </w:rPr>
        <w:t xml:space="preserve"> </w:t>
      </w:r>
      <w:r w:rsidR="009C6FCB" w:rsidRPr="00922E45">
        <w:rPr>
          <w:rFonts w:ascii="Cambria" w:hAnsi="Cambria" w:cs="Calibri"/>
          <w:color w:val="000000"/>
          <w:sz w:val="21"/>
          <w:szCs w:val="21"/>
          <w:lang w:val="es-ES"/>
        </w:rPr>
        <w:t>considera que se encuentra cumplido. C</w:t>
      </w:r>
      <w:r w:rsidR="00232A0C" w:rsidRPr="00922E45">
        <w:rPr>
          <w:rFonts w:ascii="Cambria" w:hAnsi="Cambria" w:cs="Calibri"/>
          <w:color w:val="000000"/>
          <w:sz w:val="21"/>
          <w:szCs w:val="21"/>
          <w:lang w:val="es-ES"/>
        </w:rPr>
        <w:t>omo se ha indicado, los estudios</w:t>
      </w:r>
      <w:r w:rsidR="009C6FCB" w:rsidRPr="00922E45">
        <w:rPr>
          <w:rFonts w:ascii="Cambria" w:hAnsi="Cambria" w:cs="Calibri"/>
          <w:color w:val="000000"/>
          <w:sz w:val="21"/>
          <w:szCs w:val="21"/>
          <w:lang w:val="es-ES"/>
        </w:rPr>
        <w:t xml:space="preserve"> de los solicitantes y del Estado han indicado que el agua del río </w:t>
      </w:r>
      <w:proofErr w:type="spellStart"/>
      <w:r w:rsidR="009C6FCB" w:rsidRPr="00922E45">
        <w:rPr>
          <w:rFonts w:ascii="Cambria" w:hAnsi="Cambria" w:cs="Calibri"/>
          <w:color w:val="000000"/>
          <w:sz w:val="21"/>
          <w:szCs w:val="21"/>
          <w:lang w:val="es-ES"/>
        </w:rPr>
        <w:t>Mezapa</w:t>
      </w:r>
      <w:proofErr w:type="spellEnd"/>
      <w:r w:rsidR="009C6FCB" w:rsidRPr="00922E45">
        <w:rPr>
          <w:rFonts w:ascii="Cambria" w:hAnsi="Cambria" w:cs="Calibri"/>
          <w:color w:val="000000"/>
          <w:sz w:val="21"/>
          <w:szCs w:val="21"/>
          <w:lang w:val="es-ES"/>
        </w:rPr>
        <w:t xml:space="preserve"> no sería apta para consumo humano</w:t>
      </w:r>
      <w:r w:rsidR="00232A0C" w:rsidRPr="00922E45">
        <w:rPr>
          <w:rFonts w:ascii="Cambria" w:hAnsi="Cambria" w:cs="Calibri"/>
          <w:color w:val="000000"/>
          <w:sz w:val="21"/>
          <w:szCs w:val="21"/>
          <w:lang w:val="es-ES"/>
        </w:rPr>
        <w:t xml:space="preserve">, </w:t>
      </w:r>
      <w:r w:rsidR="006531F2" w:rsidRPr="00922E45">
        <w:rPr>
          <w:rFonts w:ascii="Cambria" w:hAnsi="Cambria" w:cs="Calibri"/>
          <w:color w:val="000000"/>
          <w:sz w:val="21"/>
          <w:szCs w:val="21"/>
          <w:lang w:val="es-ES"/>
        </w:rPr>
        <w:t xml:space="preserve">presuntamente </w:t>
      </w:r>
      <w:r w:rsidR="00232A0C" w:rsidRPr="00922E45">
        <w:rPr>
          <w:rFonts w:ascii="Cambria" w:hAnsi="Cambria" w:cs="Calibri"/>
          <w:color w:val="000000"/>
          <w:sz w:val="21"/>
          <w:szCs w:val="21"/>
          <w:lang w:val="es-ES"/>
        </w:rPr>
        <w:t xml:space="preserve">habiéndose presentado diversas patologías que no contarían con una atención </w:t>
      </w:r>
      <w:r w:rsidR="00D16292" w:rsidRPr="00922E45">
        <w:rPr>
          <w:rFonts w:ascii="Cambria" w:hAnsi="Cambria" w:cs="Calibri"/>
          <w:color w:val="000000"/>
          <w:sz w:val="21"/>
          <w:szCs w:val="21"/>
          <w:lang w:val="es-ES"/>
        </w:rPr>
        <w:t>médica</w:t>
      </w:r>
      <w:r w:rsidR="00232A0C" w:rsidRPr="00922E45">
        <w:rPr>
          <w:rFonts w:ascii="Cambria" w:hAnsi="Cambria" w:cs="Calibri"/>
          <w:color w:val="000000"/>
          <w:sz w:val="21"/>
          <w:szCs w:val="21"/>
          <w:lang w:val="es-ES"/>
        </w:rPr>
        <w:t xml:space="preserve"> adecuada, lo que requiere la adopción de medidas urgentes dirigidas a proteger los derechos de la población. </w:t>
      </w:r>
    </w:p>
    <w:p w:rsidR="00242423" w:rsidRPr="00922E45" w:rsidRDefault="00242423" w:rsidP="00242423">
      <w:pPr>
        <w:tabs>
          <w:tab w:val="left" w:pos="630"/>
          <w:tab w:val="left" w:pos="810"/>
        </w:tabs>
        <w:autoSpaceDE w:val="0"/>
        <w:autoSpaceDN w:val="0"/>
        <w:adjustRightInd w:val="0"/>
        <w:spacing w:after="0" w:line="240" w:lineRule="auto"/>
        <w:ind w:left="360"/>
        <w:jc w:val="both"/>
        <w:rPr>
          <w:rFonts w:ascii="Cambria" w:hAnsi="Cambria" w:cs="Calibri"/>
          <w:color w:val="000000"/>
          <w:sz w:val="21"/>
          <w:szCs w:val="21"/>
          <w:lang w:val="es-ES"/>
        </w:rPr>
      </w:pPr>
    </w:p>
    <w:p w:rsidR="00542236" w:rsidRPr="00922E45" w:rsidRDefault="004F64E3" w:rsidP="00542236">
      <w:pPr>
        <w:numPr>
          <w:ilvl w:val="0"/>
          <w:numId w:val="34"/>
        </w:numPr>
        <w:tabs>
          <w:tab w:val="left" w:pos="630"/>
          <w:tab w:val="left" w:pos="810"/>
        </w:tabs>
        <w:autoSpaceDE w:val="0"/>
        <w:autoSpaceDN w:val="0"/>
        <w:adjustRightInd w:val="0"/>
        <w:spacing w:after="0" w:line="240" w:lineRule="auto"/>
        <w:ind w:left="0" w:firstLine="360"/>
        <w:jc w:val="both"/>
        <w:rPr>
          <w:rFonts w:ascii="Cambria" w:hAnsi="Cambria" w:cs="Calibri"/>
          <w:color w:val="000000"/>
          <w:sz w:val="21"/>
          <w:szCs w:val="21"/>
          <w:lang w:val="es-ES"/>
        </w:rPr>
      </w:pPr>
      <w:r w:rsidRPr="00922E45">
        <w:rPr>
          <w:rFonts w:ascii="Cambria" w:hAnsi="Cambria" w:cs="Calibri"/>
          <w:color w:val="000000"/>
          <w:sz w:val="21"/>
          <w:szCs w:val="21"/>
          <w:lang w:val="es-ES"/>
        </w:rPr>
        <w:t xml:space="preserve">En cuanto al requisito de </w:t>
      </w:r>
      <w:proofErr w:type="spellStart"/>
      <w:r w:rsidRPr="00922E45">
        <w:rPr>
          <w:rFonts w:ascii="Cambria" w:hAnsi="Cambria" w:cs="Calibri"/>
          <w:color w:val="000000"/>
          <w:sz w:val="21"/>
          <w:szCs w:val="21"/>
          <w:lang w:val="es-ES"/>
        </w:rPr>
        <w:t>irreparabilidad</w:t>
      </w:r>
      <w:proofErr w:type="spellEnd"/>
      <w:r w:rsidRPr="00922E45">
        <w:rPr>
          <w:rFonts w:ascii="Cambria" w:hAnsi="Cambria" w:cs="Calibri"/>
          <w:color w:val="000000"/>
          <w:sz w:val="21"/>
          <w:szCs w:val="21"/>
          <w:lang w:val="es-ES"/>
        </w:rPr>
        <w:t xml:space="preserve">, la </w:t>
      </w:r>
      <w:r w:rsidR="008D5B18" w:rsidRPr="00922E45">
        <w:rPr>
          <w:rFonts w:ascii="Cambria" w:hAnsi="Cambria" w:cs="Calibri"/>
          <w:color w:val="000000"/>
          <w:sz w:val="21"/>
          <w:szCs w:val="21"/>
          <w:lang w:val="es-ES"/>
        </w:rPr>
        <w:t>Comisión</w:t>
      </w:r>
      <w:r w:rsidRPr="00922E45">
        <w:rPr>
          <w:rFonts w:ascii="Cambria" w:hAnsi="Cambria" w:cs="Calibri"/>
          <w:color w:val="000000"/>
          <w:sz w:val="21"/>
          <w:szCs w:val="21"/>
          <w:lang w:val="es-ES"/>
        </w:rPr>
        <w:t xml:space="preserve"> estima que se encuentra cumplido, en la medida que la posible </w:t>
      </w:r>
      <w:r w:rsidR="008D5B18" w:rsidRPr="00922E45">
        <w:rPr>
          <w:rFonts w:ascii="Cambria" w:hAnsi="Cambria" w:cs="Calibri"/>
          <w:color w:val="000000"/>
          <w:sz w:val="21"/>
          <w:szCs w:val="21"/>
          <w:lang w:val="es-ES"/>
        </w:rPr>
        <w:t>afectación</w:t>
      </w:r>
      <w:r w:rsidRPr="00922E45">
        <w:rPr>
          <w:rFonts w:ascii="Cambria" w:hAnsi="Cambria" w:cs="Calibri"/>
          <w:color w:val="000000"/>
          <w:sz w:val="21"/>
          <w:szCs w:val="21"/>
          <w:lang w:val="es-ES"/>
        </w:rPr>
        <w:t xml:space="preserve"> a la vida</w:t>
      </w:r>
      <w:r w:rsidR="00542236" w:rsidRPr="00922E45">
        <w:rPr>
          <w:rFonts w:ascii="Cambria" w:hAnsi="Cambria" w:cs="Calibri"/>
          <w:color w:val="000000"/>
          <w:sz w:val="21"/>
          <w:szCs w:val="21"/>
          <w:lang w:val="es-ES"/>
        </w:rPr>
        <w:t>, salud</w:t>
      </w:r>
      <w:r w:rsidRPr="00922E45">
        <w:rPr>
          <w:rFonts w:ascii="Cambria" w:hAnsi="Cambria" w:cs="Calibri"/>
          <w:color w:val="000000"/>
          <w:sz w:val="21"/>
          <w:szCs w:val="21"/>
          <w:lang w:val="es-ES"/>
        </w:rPr>
        <w:t xml:space="preserve"> e integridad personal constituyen la máxima situación de </w:t>
      </w:r>
      <w:proofErr w:type="spellStart"/>
      <w:r w:rsidRPr="00922E45">
        <w:rPr>
          <w:rFonts w:ascii="Cambria" w:hAnsi="Cambria" w:cs="Calibri"/>
          <w:color w:val="000000"/>
          <w:sz w:val="21"/>
          <w:szCs w:val="21"/>
          <w:lang w:val="es-ES"/>
        </w:rPr>
        <w:t>irreparabilidad</w:t>
      </w:r>
      <w:proofErr w:type="spellEnd"/>
      <w:r w:rsidRPr="00922E45">
        <w:rPr>
          <w:rFonts w:ascii="Cambria" w:hAnsi="Cambria" w:cs="Calibri"/>
          <w:color w:val="000000"/>
          <w:sz w:val="21"/>
          <w:szCs w:val="21"/>
          <w:lang w:val="es-ES"/>
        </w:rPr>
        <w:t xml:space="preserve">. </w:t>
      </w:r>
      <w:r w:rsidR="00542236" w:rsidRPr="00922E45">
        <w:rPr>
          <w:rFonts w:ascii="Cambria" w:hAnsi="Cambria" w:cs="Calibri"/>
          <w:color w:val="000000"/>
          <w:sz w:val="21"/>
          <w:szCs w:val="21"/>
          <w:lang w:val="es-ES"/>
        </w:rPr>
        <w:t>Al respecto, la CIDH ha considerado que “entiende que el acceso al agua constituye un elemento necesario para garantizar el derecho a la vida, el derecho a la integridad personal y que es aspecto inherente al derecho a la salud […]”</w:t>
      </w:r>
      <w:r w:rsidR="00542236" w:rsidRPr="00922E45">
        <w:rPr>
          <w:rStyle w:val="FootnoteReference"/>
          <w:rFonts w:ascii="Cambria" w:hAnsi="Cambria" w:cs="Calibri"/>
          <w:color w:val="000000"/>
          <w:sz w:val="21"/>
          <w:szCs w:val="21"/>
          <w:lang w:val="es-ES"/>
        </w:rPr>
        <w:footnoteReference w:id="13"/>
      </w:r>
      <w:r w:rsidR="00542236" w:rsidRPr="00922E45">
        <w:rPr>
          <w:rFonts w:ascii="Cambria" w:hAnsi="Cambria" w:cs="Calibri"/>
          <w:color w:val="000000"/>
          <w:sz w:val="21"/>
          <w:szCs w:val="21"/>
          <w:lang w:val="es-ES"/>
        </w:rPr>
        <w:t>.</w:t>
      </w:r>
    </w:p>
    <w:p w:rsidR="004F64E3" w:rsidRPr="00922E45" w:rsidRDefault="004F64E3" w:rsidP="0055779D">
      <w:pPr>
        <w:tabs>
          <w:tab w:val="left" w:pos="720"/>
          <w:tab w:val="left" w:pos="810"/>
        </w:tabs>
        <w:autoSpaceDE w:val="0"/>
        <w:autoSpaceDN w:val="0"/>
        <w:adjustRightInd w:val="0"/>
        <w:spacing w:after="0" w:line="240" w:lineRule="auto"/>
        <w:jc w:val="both"/>
        <w:rPr>
          <w:rFonts w:ascii="Cambria" w:hAnsi="Cambria" w:cs="Calibri"/>
          <w:color w:val="000000"/>
          <w:sz w:val="21"/>
          <w:szCs w:val="21"/>
          <w:lang w:val="es-ES"/>
        </w:rPr>
      </w:pPr>
    </w:p>
    <w:p w:rsidR="00092575" w:rsidRPr="00922E45" w:rsidRDefault="006850B0" w:rsidP="00845872">
      <w:pPr>
        <w:numPr>
          <w:ilvl w:val="0"/>
          <w:numId w:val="34"/>
        </w:numPr>
        <w:tabs>
          <w:tab w:val="left" w:pos="630"/>
          <w:tab w:val="left" w:pos="810"/>
        </w:tabs>
        <w:autoSpaceDE w:val="0"/>
        <w:autoSpaceDN w:val="0"/>
        <w:adjustRightInd w:val="0"/>
        <w:spacing w:after="0" w:line="240" w:lineRule="auto"/>
        <w:ind w:left="0" w:firstLine="360"/>
        <w:jc w:val="both"/>
        <w:rPr>
          <w:rFonts w:ascii="Cambria" w:hAnsi="Cambria" w:cs="Calibri"/>
          <w:color w:val="000000"/>
          <w:sz w:val="21"/>
          <w:szCs w:val="21"/>
          <w:lang w:val="es-ES"/>
        </w:rPr>
      </w:pPr>
      <w:r w:rsidRPr="00922E45">
        <w:rPr>
          <w:rFonts w:ascii="Cambria" w:hAnsi="Cambria" w:cs="Calibri"/>
          <w:color w:val="000000"/>
          <w:sz w:val="21"/>
          <w:szCs w:val="21"/>
          <w:lang w:val="es-ES"/>
        </w:rPr>
        <w:t>Por otra parte, e</w:t>
      </w:r>
      <w:r w:rsidR="00AE143F" w:rsidRPr="00922E45">
        <w:rPr>
          <w:rFonts w:ascii="Cambria" w:hAnsi="Cambria" w:cs="Calibri"/>
          <w:color w:val="000000"/>
          <w:sz w:val="21"/>
          <w:szCs w:val="21"/>
          <w:lang w:val="es-ES"/>
        </w:rPr>
        <w:t xml:space="preserve">n relación con la </w:t>
      </w:r>
      <w:r w:rsidRPr="00922E45">
        <w:rPr>
          <w:rFonts w:ascii="Cambria" w:hAnsi="Cambria" w:cs="Calibri"/>
          <w:color w:val="000000"/>
          <w:sz w:val="21"/>
          <w:szCs w:val="21"/>
          <w:lang w:val="es-ES"/>
        </w:rPr>
        <w:t xml:space="preserve">situación de riesgo para </w:t>
      </w:r>
      <w:r w:rsidR="00092575" w:rsidRPr="00922E45">
        <w:rPr>
          <w:rFonts w:ascii="Cambria" w:hAnsi="Cambria" w:cs="Calibri"/>
          <w:color w:val="000000"/>
          <w:sz w:val="21"/>
          <w:szCs w:val="21"/>
          <w:lang w:val="es-ES"/>
        </w:rPr>
        <w:t xml:space="preserve">personas </w:t>
      </w:r>
      <w:r w:rsidR="00AE143F" w:rsidRPr="00922E45">
        <w:rPr>
          <w:rFonts w:ascii="Cambria" w:hAnsi="Cambria" w:cs="Calibri"/>
          <w:color w:val="000000"/>
          <w:sz w:val="21"/>
          <w:szCs w:val="21"/>
          <w:lang w:val="es-ES"/>
        </w:rPr>
        <w:t>que integran</w:t>
      </w:r>
      <w:r w:rsidRPr="00922E45">
        <w:rPr>
          <w:rFonts w:ascii="Cambria" w:hAnsi="Cambria" w:cs="Calibri"/>
          <w:color w:val="000000"/>
          <w:sz w:val="21"/>
          <w:szCs w:val="21"/>
          <w:lang w:val="es-ES"/>
        </w:rPr>
        <w:t xml:space="preserve"> </w:t>
      </w:r>
      <w:r w:rsidR="00092575" w:rsidRPr="00922E45">
        <w:rPr>
          <w:rFonts w:ascii="Cambria" w:hAnsi="Cambria" w:cs="Calibri"/>
          <w:color w:val="000000"/>
          <w:sz w:val="21"/>
          <w:szCs w:val="21"/>
          <w:lang w:val="es-ES"/>
        </w:rPr>
        <w:t xml:space="preserve">los </w:t>
      </w:r>
      <w:r w:rsidRPr="00922E45">
        <w:rPr>
          <w:rFonts w:ascii="Cambria" w:hAnsi="Cambria" w:cs="Calibri"/>
          <w:color w:val="000000"/>
          <w:sz w:val="21"/>
          <w:szCs w:val="21"/>
          <w:lang w:val="es-ES"/>
        </w:rPr>
        <w:t>“</w:t>
      </w:r>
      <w:r w:rsidR="00092575" w:rsidRPr="00922E45">
        <w:rPr>
          <w:rFonts w:ascii="Cambria" w:hAnsi="Cambria" w:cs="Calibri"/>
          <w:color w:val="000000"/>
          <w:sz w:val="21"/>
          <w:szCs w:val="21"/>
          <w:lang w:val="es-ES"/>
        </w:rPr>
        <w:t>Campamentos Dignos</w:t>
      </w:r>
      <w:r w:rsidRPr="00922E45">
        <w:rPr>
          <w:rFonts w:ascii="Cambria" w:hAnsi="Cambria" w:cs="Calibri"/>
          <w:color w:val="000000"/>
          <w:sz w:val="21"/>
          <w:szCs w:val="21"/>
          <w:lang w:val="es-ES"/>
        </w:rPr>
        <w:t>”</w:t>
      </w:r>
      <w:r w:rsidR="00DD3496" w:rsidRPr="00922E45">
        <w:rPr>
          <w:rFonts w:ascii="Cambria" w:hAnsi="Cambria" w:cs="Calibri"/>
          <w:color w:val="000000"/>
          <w:sz w:val="21"/>
          <w:szCs w:val="21"/>
          <w:lang w:val="es-ES"/>
        </w:rPr>
        <w:t xml:space="preserve">, </w:t>
      </w:r>
      <w:r w:rsidRPr="00922E45">
        <w:rPr>
          <w:rFonts w:ascii="Cambria" w:hAnsi="Cambria" w:cs="Calibri"/>
          <w:color w:val="000000"/>
          <w:sz w:val="21"/>
          <w:szCs w:val="21"/>
          <w:lang w:val="es-ES"/>
        </w:rPr>
        <w:t xml:space="preserve">la Comisión observa que se trataría de un movimiento de </w:t>
      </w:r>
      <w:r w:rsidR="004E7F9B" w:rsidRPr="00922E45">
        <w:rPr>
          <w:rFonts w:ascii="Cambria" w:hAnsi="Cambria" w:cs="Calibri"/>
          <w:color w:val="000000"/>
          <w:sz w:val="21"/>
          <w:szCs w:val="21"/>
          <w:lang w:val="es-ES"/>
        </w:rPr>
        <w:t xml:space="preserve">oposición al proyecto </w:t>
      </w:r>
      <w:r w:rsidR="00CB2C7F" w:rsidRPr="00922E45">
        <w:rPr>
          <w:rFonts w:ascii="Cambria" w:hAnsi="Cambria" w:cs="Calibri"/>
          <w:color w:val="000000"/>
          <w:sz w:val="21"/>
          <w:szCs w:val="21"/>
          <w:lang w:val="es-ES"/>
        </w:rPr>
        <w:t>“</w:t>
      </w:r>
      <w:r w:rsidR="004E7F9B" w:rsidRPr="00922E45">
        <w:rPr>
          <w:rFonts w:ascii="Cambria" w:hAnsi="Cambria" w:cs="Calibri"/>
          <w:color w:val="000000"/>
          <w:sz w:val="21"/>
          <w:szCs w:val="21"/>
          <w:lang w:val="es-ES"/>
        </w:rPr>
        <w:t>Los Planes</w:t>
      </w:r>
      <w:r w:rsidR="00CB2C7F" w:rsidRPr="00922E45">
        <w:rPr>
          <w:rFonts w:ascii="Cambria" w:hAnsi="Cambria" w:cs="Calibri"/>
          <w:color w:val="000000"/>
          <w:sz w:val="21"/>
          <w:szCs w:val="21"/>
          <w:lang w:val="es-ES"/>
        </w:rPr>
        <w:t>”</w:t>
      </w:r>
      <w:r w:rsidR="004E7F9B" w:rsidRPr="00922E45">
        <w:rPr>
          <w:rFonts w:ascii="Cambria" w:hAnsi="Cambria" w:cs="Calibri"/>
          <w:color w:val="000000"/>
          <w:sz w:val="21"/>
          <w:szCs w:val="21"/>
          <w:lang w:val="es-ES"/>
        </w:rPr>
        <w:t xml:space="preserve"> y a la empresa HIDROCEP</w:t>
      </w:r>
      <w:r w:rsidR="00046641" w:rsidRPr="00922E45">
        <w:rPr>
          <w:rFonts w:ascii="Cambria" w:hAnsi="Cambria" w:cs="Calibri"/>
          <w:color w:val="000000"/>
          <w:sz w:val="21"/>
          <w:szCs w:val="21"/>
          <w:lang w:val="es-ES"/>
        </w:rPr>
        <w:t xml:space="preserve">. </w:t>
      </w:r>
      <w:r w:rsidR="008F2EC3" w:rsidRPr="00922E45">
        <w:rPr>
          <w:rFonts w:ascii="Cambria" w:hAnsi="Cambria" w:cs="Calibri"/>
          <w:color w:val="000000"/>
          <w:sz w:val="21"/>
          <w:szCs w:val="21"/>
          <w:lang w:val="es-ES"/>
        </w:rPr>
        <w:t>L</w:t>
      </w:r>
      <w:r w:rsidR="00046641" w:rsidRPr="00922E45">
        <w:rPr>
          <w:rFonts w:ascii="Cambria" w:hAnsi="Cambria" w:cs="Calibri"/>
          <w:color w:val="000000"/>
          <w:sz w:val="21"/>
          <w:szCs w:val="21"/>
          <w:lang w:val="es-ES"/>
        </w:rPr>
        <w:t>a Comisi</w:t>
      </w:r>
      <w:r w:rsidR="00CB2C7F" w:rsidRPr="00922E45">
        <w:rPr>
          <w:rFonts w:ascii="Cambria" w:hAnsi="Cambria" w:cs="Calibri"/>
          <w:color w:val="000000"/>
          <w:sz w:val="21"/>
          <w:szCs w:val="21"/>
          <w:lang w:val="es-ES"/>
        </w:rPr>
        <w:t xml:space="preserve">ón </w:t>
      </w:r>
      <w:r w:rsidR="003B5A5A" w:rsidRPr="00922E45">
        <w:rPr>
          <w:rFonts w:ascii="Cambria" w:hAnsi="Cambria" w:cs="Calibri"/>
          <w:color w:val="000000"/>
          <w:sz w:val="21"/>
          <w:szCs w:val="21"/>
          <w:lang w:val="es-ES"/>
        </w:rPr>
        <w:t>nota</w:t>
      </w:r>
      <w:r w:rsidR="00046641" w:rsidRPr="00922E45">
        <w:rPr>
          <w:rFonts w:ascii="Cambria" w:hAnsi="Cambria" w:cs="Calibri"/>
          <w:color w:val="000000"/>
          <w:sz w:val="21"/>
          <w:szCs w:val="21"/>
          <w:lang w:val="es-ES"/>
        </w:rPr>
        <w:t xml:space="preserve"> </w:t>
      </w:r>
      <w:r w:rsidR="007F7D27" w:rsidRPr="00922E45">
        <w:rPr>
          <w:rFonts w:ascii="Cambria" w:hAnsi="Cambria" w:cs="Calibri"/>
          <w:color w:val="000000"/>
          <w:sz w:val="21"/>
          <w:szCs w:val="21"/>
          <w:lang w:val="es-ES"/>
        </w:rPr>
        <w:t xml:space="preserve">con preocupación </w:t>
      </w:r>
      <w:r w:rsidR="00046641" w:rsidRPr="00922E45">
        <w:rPr>
          <w:rFonts w:ascii="Cambria" w:hAnsi="Cambria" w:cs="Calibri"/>
          <w:color w:val="000000"/>
          <w:sz w:val="21"/>
          <w:szCs w:val="21"/>
          <w:lang w:val="es-ES"/>
        </w:rPr>
        <w:t xml:space="preserve">que se </w:t>
      </w:r>
      <w:r w:rsidR="009C5BEF" w:rsidRPr="00922E45">
        <w:rPr>
          <w:rFonts w:ascii="Cambria" w:hAnsi="Cambria" w:cs="Calibri"/>
          <w:color w:val="000000"/>
          <w:sz w:val="21"/>
          <w:szCs w:val="21"/>
          <w:lang w:val="es-ES"/>
        </w:rPr>
        <w:t>ha</w:t>
      </w:r>
      <w:r w:rsidR="00046641" w:rsidRPr="00922E45">
        <w:rPr>
          <w:rFonts w:ascii="Cambria" w:hAnsi="Cambria" w:cs="Calibri"/>
          <w:color w:val="000000"/>
          <w:sz w:val="21"/>
          <w:szCs w:val="21"/>
          <w:lang w:val="es-ES"/>
        </w:rPr>
        <w:t xml:space="preserve">n presentado </w:t>
      </w:r>
      <w:r w:rsidR="00C82138" w:rsidRPr="00922E45">
        <w:rPr>
          <w:rFonts w:ascii="Cambria" w:hAnsi="Cambria" w:cs="Calibri"/>
          <w:color w:val="000000"/>
          <w:sz w:val="21"/>
          <w:szCs w:val="21"/>
          <w:lang w:val="es-ES"/>
        </w:rPr>
        <w:t>una serie de</w:t>
      </w:r>
      <w:r w:rsidR="000D4A48" w:rsidRPr="00922E45">
        <w:rPr>
          <w:rFonts w:ascii="Cambria" w:hAnsi="Cambria" w:cs="Calibri"/>
          <w:color w:val="000000"/>
          <w:sz w:val="21"/>
          <w:szCs w:val="21"/>
          <w:lang w:val="es-ES"/>
        </w:rPr>
        <w:t xml:space="preserve"> </w:t>
      </w:r>
      <w:r w:rsidRPr="00922E45">
        <w:rPr>
          <w:rFonts w:ascii="Cambria" w:hAnsi="Cambria" w:cs="Calibri"/>
          <w:color w:val="000000"/>
          <w:sz w:val="21"/>
          <w:szCs w:val="21"/>
          <w:lang w:val="es-ES"/>
        </w:rPr>
        <w:t xml:space="preserve">presuntas </w:t>
      </w:r>
      <w:r w:rsidR="00B52D7B" w:rsidRPr="00922E45">
        <w:rPr>
          <w:rFonts w:ascii="Cambria" w:hAnsi="Cambria" w:cs="Calibri"/>
          <w:color w:val="000000"/>
          <w:sz w:val="21"/>
          <w:szCs w:val="21"/>
          <w:lang w:val="es-ES"/>
        </w:rPr>
        <w:t xml:space="preserve">amenazas, </w:t>
      </w:r>
      <w:r w:rsidR="00685D7D" w:rsidRPr="00922E45">
        <w:rPr>
          <w:rFonts w:ascii="Cambria" w:hAnsi="Cambria" w:cs="Calibri"/>
          <w:color w:val="000000"/>
          <w:sz w:val="21"/>
          <w:szCs w:val="21"/>
          <w:lang w:val="es-ES"/>
        </w:rPr>
        <w:t>hostigamientos</w:t>
      </w:r>
      <w:r w:rsidRPr="00922E45">
        <w:rPr>
          <w:rFonts w:ascii="Cambria" w:hAnsi="Cambria" w:cs="Calibri"/>
          <w:color w:val="000000"/>
          <w:sz w:val="21"/>
          <w:szCs w:val="21"/>
          <w:lang w:val="es-ES"/>
        </w:rPr>
        <w:t xml:space="preserve"> y</w:t>
      </w:r>
      <w:r w:rsidR="00685D7D" w:rsidRPr="00922E45">
        <w:rPr>
          <w:rFonts w:ascii="Cambria" w:hAnsi="Cambria" w:cs="Calibri"/>
          <w:color w:val="000000"/>
          <w:sz w:val="21"/>
          <w:szCs w:val="21"/>
          <w:lang w:val="es-ES"/>
        </w:rPr>
        <w:t xml:space="preserve"> actos de violencia</w:t>
      </w:r>
      <w:r w:rsidRPr="00922E45">
        <w:rPr>
          <w:rFonts w:ascii="Cambria" w:hAnsi="Cambria" w:cs="Calibri"/>
          <w:color w:val="000000"/>
          <w:sz w:val="21"/>
          <w:szCs w:val="21"/>
          <w:lang w:val="es-ES"/>
        </w:rPr>
        <w:t xml:space="preserve"> </w:t>
      </w:r>
      <w:r w:rsidR="008F2EC3" w:rsidRPr="00922E45">
        <w:rPr>
          <w:rFonts w:ascii="Cambria" w:hAnsi="Cambria" w:cs="Calibri"/>
          <w:color w:val="000000"/>
          <w:sz w:val="21"/>
          <w:szCs w:val="21"/>
          <w:lang w:val="es-ES"/>
        </w:rPr>
        <w:t xml:space="preserve">en vista de </w:t>
      </w:r>
      <w:r w:rsidR="009C5BEF" w:rsidRPr="00922E45">
        <w:rPr>
          <w:rFonts w:ascii="Cambria" w:hAnsi="Cambria" w:cs="Calibri"/>
          <w:color w:val="000000"/>
          <w:sz w:val="21"/>
          <w:szCs w:val="21"/>
          <w:lang w:val="es-ES"/>
        </w:rPr>
        <w:t xml:space="preserve">la </w:t>
      </w:r>
      <w:r w:rsidR="000D4A48" w:rsidRPr="00922E45">
        <w:rPr>
          <w:rFonts w:ascii="Cambria" w:hAnsi="Cambria" w:cs="Calibri"/>
          <w:color w:val="000000"/>
          <w:sz w:val="21"/>
          <w:szCs w:val="21"/>
          <w:lang w:val="es-ES"/>
        </w:rPr>
        <w:t>ubicación</w:t>
      </w:r>
      <w:r w:rsidR="00C82138" w:rsidRPr="00922E45">
        <w:rPr>
          <w:rFonts w:ascii="Cambria" w:hAnsi="Cambria" w:cs="Calibri"/>
          <w:color w:val="000000"/>
          <w:sz w:val="21"/>
          <w:szCs w:val="21"/>
          <w:lang w:val="es-ES"/>
        </w:rPr>
        <w:t xml:space="preserve"> </w:t>
      </w:r>
      <w:r w:rsidR="00046641" w:rsidRPr="00922E45">
        <w:rPr>
          <w:rFonts w:ascii="Cambria" w:hAnsi="Cambria" w:cs="Calibri"/>
          <w:color w:val="000000"/>
          <w:sz w:val="21"/>
          <w:szCs w:val="21"/>
          <w:lang w:val="es-ES"/>
        </w:rPr>
        <w:t>de personas</w:t>
      </w:r>
      <w:r w:rsidR="009C5BEF" w:rsidRPr="00922E45">
        <w:rPr>
          <w:rFonts w:ascii="Cambria" w:hAnsi="Cambria" w:cs="Calibri"/>
          <w:color w:val="000000"/>
          <w:sz w:val="21"/>
          <w:szCs w:val="21"/>
          <w:lang w:val="es-ES"/>
        </w:rPr>
        <w:t xml:space="preserve"> </w:t>
      </w:r>
      <w:r w:rsidR="008F2EC3" w:rsidRPr="00922E45">
        <w:rPr>
          <w:rFonts w:ascii="Cambria" w:hAnsi="Cambria" w:cs="Calibri"/>
          <w:color w:val="000000"/>
          <w:sz w:val="21"/>
          <w:szCs w:val="21"/>
          <w:lang w:val="es-ES"/>
        </w:rPr>
        <w:t xml:space="preserve">de dicho movimiento </w:t>
      </w:r>
      <w:r w:rsidR="00C82138" w:rsidRPr="00922E45">
        <w:rPr>
          <w:rFonts w:ascii="Cambria" w:hAnsi="Cambria" w:cs="Calibri"/>
          <w:color w:val="000000"/>
          <w:sz w:val="21"/>
          <w:szCs w:val="21"/>
          <w:lang w:val="es-ES"/>
        </w:rPr>
        <w:t xml:space="preserve">en las entradas de la empresa </w:t>
      </w:r>
      <w:r w:rsidR="00341D2A" w:rsidRPr="00922E45">
        <w:rPr>
          <w:rFonts w:ascii="Cambria" w:hAnsi="Cambria" w:cs="Calibri"/>
          <w:color w:val="000000"/>
          <w:sz w:val="21"/>
          <w:szCs w:val="21"/>
          <w:lang w:val="es-ES"/>
        </w:rPr>
        <w:t xml:space="preserve">y </w:t>
      </w:r>
      <w:r w:rsidRPr="00922E45">
        <w:rPr>
          <w:rFonts w:ascii="Cambria" w:hAnsi="Cambria" w:cs="Calibri"/>
          <w:color w:val="000000"/>
          <w:sz w:val="21"/>
          <w:szCs w:val="21"/>
          <w:lang w:val="es-ES"/>
        </w:rPr>
        <w:t xml:space="preserve">las acciones para impedir el </w:t>
      </w:r>
      <w:r w:rsidR="00C82138" w:rsidRPr="00922E45">
        <w:rPr>
          <w:rFonts w:ascii="Cambria" w:hAnsi="Cambria" w:cs="Calibri"/>
          <w:color w:val="000000"/>
          <w:sz w:val="21"/>
          <w:szCs w:val="21"/>
          <w:lang w:val="es-ES"/>
        </w:rPr>
        <w:t xml:space="preserve"> ingreso de materiales o equipo de trabajo</w:t>
      </w:r>
      <w:r w:rsidR="009C5BEF" w:rsidRPr="00922E45">
        <w:rPr>
          <w:rFonts w:ascii="Cambria" w:hAnsi="Cambria" w:cs="Calibri"/>
          <w:color w:val="000000"/>
          <w:sz w:val="21"/>
          <w:szCs w:val="21"/>
          <w:lang w:val="es-ES"/>
        </w:rPr>
        <w:t xml:space="preserve">. </w:t>
      </w:r>
      <w:r w:rsidR="00845872" w:rsidRPr="00922E45">
        <w:rPr>
          <w:rFonts w:ascii="Cambria" w:hAnsi="Cambria" w:cs="Calibri"/>
          <w:color w:val="000000"/>
          <w:sz w:val="21"/>
          <w:szCs w:val="21"/>
          <w:lang w:val="es-ES"/>
        </w:rPr>
        <w:t>Sin embargo</w:t>
      </w:r>
      <w:r w:rsidR="00D81C87" w:rsidRPr="00922E45">
        <w:rPr>
          <w:rFonts w:ascii="Cambria" w:hAnsi="Cambria" w:cs="Calibri"/>
          <w:color w:val="000000"/>
          <w:sz w:val="21"/>
          <w:szCs w:val="21"/>
          <w:lang w:val="es-ES"/>
        </w:rPr>
        <w:t>, l</w:t>
      </w:r>
      <w:r w:rsidR="000D4A48" w:rsidRPr="00922E45">
        <w:rPr>
          <w:rFonts w:ascii="Cambria" w:hAnsi="Cambria" w:cs="Calibri"/>
          <w:color w:val="000000"/>
          <w:sz w:val="21"/>
          <w:szCs w:val="21"/>
          <w:lang w:val="es-ES"/>
        </w:rPr>
        <w:t xml:space="preserve">a </w:t>
      </w:r>
      <w:r w:rsidR="00231DFA" w:rsidRPr="00922E45">
        <w:rPr>
          <w:rFonts w:ascii="Cambria" w:hAnsi="Cambria" w:cs="Calibri"/>
          <w:color w:val="000000"/>
          <w:sz w:val="21"/>
          <w:szCs w:val="21"/>
          <w:lang w:val="es-ES"/>
        </w:rPr>
        <w:t>Comisión</w:t>
      </w:r>
      <w:r w:rsidR="000D4A48" w:rsidRPr="00922E45">
        <w:rPr>
          <w:rFonts w:ascii="Cambria" w:hAnsi="Cambria" w:cs="Calibri"/>
          <w:color w:val="000000"/>
          <w:sz w:val="21"/>
          <w:szCs w:val="21"/>
          <w:lang w:val="es-ES"/>
        </w:rPr>
        <w:t xml:space="preserve"> </w:t>
      </w:r>
      <w:r w:rsidR="00D81C87" w:rsidRPr="00922E45">
        <w:rPr>
          <w:rFonts w:ascii="Cambria" w:hAnsi="Cambria" w:cs="Calibri"/>
          <w:color w:val="000000"/>
          <w:sz w:val="21"/>
          <w:szCs w:val="21"/>
          <w:lang w:val="es-ES"/>
        </w:rPr>
        <w:t xml:space="preserve">no cuenta con información detallada sobre la totalidad de </w:t>
      </w:r>
      <w:r w:rsidR="00CC2401" w:rsidRPr="00922E45">
        <w:rPr>
          <w:rFonts w:ascii="Cambria" w:hAnsi="Cambria" w:cs="Calibri"/>
          <w:color w:val="000000"/>
          <w:sz w:val="21"/>
          <w:szCs w:val="21"/>
          <w:lang w:val="es-ES"/>
        </w:rPr>
        <w:t xml:space="preserve">las personas </w:t>
      </w:r>
      <w:r w:rsidR="00685D7D" w:rsidRPr="00922E45">
        <w:rPr>
          <w:rFonts w:ascii="Cambria" w:hAnsi="Cambria" w:cs="Calibri"/>
          <w:color w:val="000000"/>
          <w:sz w:val="21"/>
          <w:szCs w:val="21"/>
          <w:lang w:val="es-ES"/>
        </w:rPr>
        <w:t>que se encuentran</w:t>
      </w:r>
      <w:r w:rsidR="004E365F" w:rsidRPr="00922E45">
        <w:rPr>
          <w:rFonts w:ascii="Cambria" w:hAnsi="Cambria" w:cs="Calibri"/>
          <w:color w:val="000000"/>
          <w:sz w:val="21"/>
          <w:szCs w:val="21"/>
          <w:lang w:val="es-ES"/>
        </w:rPr>
        <w:t xml:space="preserve"> </w:t>
      </w:r>
      <w:r w:rsidR="00C81B11" w:rsidRPr="00922E45">
        <w:rPr>
          <w:rFonts w:ascii="Cambria" w:hAnsi="Cambria" w:cs="Calibri"/>
          <w:color w:val="000000"/>
          <w:sz w:val="21"/>
          <w:szCs w:val="21"/>
          <w:lang w:val="es-ES"/>
        </w:rPr>
        <w:t xml:space="preserve">y </w:t>
      </w:r>
      <w:r w:rsidR="00CC2401" w:rsidRPr="00922E45">
        <w:rPr>
          <w:rFonts w:ascii="Cambria" w:hAnsi="Cambria" w:cs="Calibri"/>
          <w:color w:val="000000"/>
          <w:sz w:val="21"/>
          <w:szCs w:val="21"/>
          <w:lang w:val="es-ES"/>
        </w:rPr>
        <w:t xml:space="preserve">se </w:t>
      </w:r>
      <w:r w:rsidR="00D81C87" w:rsidRPr="00922E45">
        <w:rPr>
          <w:rFonts w:ascii="Cambria" w:hAnsi="Cambria" w:cs="Calibri"/>
          <w:color w:val="000000"/>
          <w:sz w:val="21"/>
          <w:szCs w:val="21"/>
          <w:lang w:val="es-ES"/>
        </w:rPr>
        <w:t xml:space="preserve">han ido </w:t>
      </w:r>
      <w:r w:rsidR="00685D7D" w:rsidRPr="00922E45">
        <w:rPr>
          <w:rFonts w:ascii="Cambria" w:hAnsi="Cambria" w:cs="Calibri"/>
          <w:color w:val="000000"/>
          <w:sz w:val="21"/>
          <w:szCs w:val="21"/>
          <w:lang w:val="es-ES"/>
        </w:rPr>
        <w:t xml:space="preserve">incorporando </w:t>
      </w:r>
      <w:r w:rsidR="004E365F" w:rsidRPr="00922E45">
        <w:rPr>
          <w:rFonts w:ascii="Cambria" w:hAnsi="Cambria" w:cs="Calibri"/>
          <w:color w:val="000000"/>
          <w:sz w:val="21"/>
          <w:szCs w:val="21"/>
          <w:lang w:val="es-ES"/>
        </w:rPr>
        <w:t>al movimiento o bien, sobre la permanencia con que se encuentran en los campamentos</w:t>
      </w:r>
      <w:r w:rsidR="00845872" w:rsidRPr="00922E45">
        <w:rPr>
          <w:rFonts w:ascii="Cambria" w:hAnsi="Cambria" w:cs="Calibri"/>
          <w:color w:val="000000"/>
          <w:sz w:val="21"/>
          <w:szCs w:val="21"/>
          <w:lang w:val="es-ES"/>
        </w:rPr>
        <w:t xml:space="preserve">. Adicionalmente, la Comisión </w:t>
      </w:r>
      <w:r w:rsidR="00D81C87" w:rsidRPr="00922E45">
        <w:rPr>
          <w:rFonts w:ascii="Cambria" w:hAnsi="Cambria" w:cs="Calibri"/>
          <w:color w:val="000000"/>
          <w:sz w:val="21"/>
          <w:szCs w:val="21"/>
          <w:lang w:val="es-ES"/>
        </w:rPr>
        <w:t xml:space="preserve">entiende </w:t>
      </w:r>
      <w:r w:rsidR="00845872" w:rsidRPr="00922E45">
        <w:rPr>
          <w:rFonts w:ascii="Cambria" w:hAnsi="Cambria" w:cs="Calibri"/>
          <w:color w:val="000000"/>
          <w:sz w:val="21"/>
          <w:szCs w:val="21"/>
          <w:lang w:val="es-ES"/>
        </w:rPr>
        <w:t>a su vez que el origen de su riesgo se vincular</w:t>
      </w:r>
      <w:r w:rsidR="007E5838" w:rsidRPr="00922E45">
        <w:rPr>
          <w:rFonts w:ascii="Cambria" w:hAnsi="Cambria" w:cs="Calibri"/>
          <w:color w:val="000000"/>
          <w:sz w:val="21"/>
          <w:szCs w:val="21"/>
          <w:lang w:val="es-ES"/>
        </w:rPr>
        <w:t>ía con la presunta mala calidad del agua</w:t>
      </w:r>
      <w:r w:rsidR="00845872" w:rsidRPr="00922E45">
        <w:rPr>
          <w:rFonts w:ascii="Cambria" w:hAnsi="Cambria" w:cs="Calibri"/>
          <w:color w:val="000000"/>
          <w:sz w:val="21"/>
          <w:szCs w:val="21"/>
          <w:lang w:val="es-ES"/>
        </w:rPr>
        <w:t xml:space="preserve"> y que tales personas podrían coincidir con los </w:t>
      </w:r>
      <w:r w:rsidR="00D81C87" w:rsidRPr="00922E45">
        <w:rPr>
          <w:rFonts w:ascii="Cambria" w:hAnsi="Cambria" w:cs="Calibri"/>
          <w:color w:val="000000"/>
          <w:sz w:val="21"/>
          <w:szCs w:val="21"/>
          <w:lang w:val="es-ES"/>
        </w:rPr>
        <w:t>pobladores de las comunidades afectadas por la contaminación</w:t>
      </w:r>
      <w:r w:rsidR="00CC2401" w:rsidRPr="00922E45">
        <w:rPr>
          <w:rFonts w:ascii="Cambria" w:hAnsi="Cambria" w:cs="Calibri"/>
          <w:color w:val="000000"/>
          <w:sz w:val="21"/>
          <w:szCs w:val="21"/>
          <w:lang w:val="es-ES"/>
        </w:rPr>
        <w:t xml:space="preserve">, respecto de </w:t>
      </w:r>
      <w:r w:rsidR="00845872" w:rsidRPr="00922E45">
        <w:rPr>
          <w:rFonts w:ascii="Cambria" w:hAnsi="Cambria" w:cs="Calibri"/>
          <w:color w:val="000000"/>
          <w:sz w:val="21"/>
          <w:szCs w:val="21"/>
          <w:lang w:val="es-ES"/>
        </w:rPr>
        <w:t xml:space="preserve">quienes </w:t>
      </w:r>
      <w:r w:rsidR="00CC2401" w:rsidRPr="00922E45">
        <w:rPr>
          <w:rFonts w:ascii="Cambria" w:hAnsi="Cambria" w:cs="Calibri"/>
          <w:color w:val="000000"/>
          <w:sz w:val="21"/>
          <w:szCs w:val="21"/>
          <w:lang w:val="es-ES"/>
        </w:rPr>
        <w:t xml:space="preserve">se ha establecido procedente la adopción de medidas cautelares. En este sentido, </w:t>
      </w:r>
      <w:r w:rsidR="007F7D27" w:rsidRPr="00922E45">
        <w:rPr>
          <w:rFonts w:ascii="Cambria" w:hAnsi="Cambria" w:cs="Calibri"/>
          <w:color w:val="000000"/>
          <w:sz w:val="21"/>
          <w:szCs w:val="21"/>
          <w:lang w:val="es-ES"/>
        </w:rPr>
        <w:t xml:space="preserve">a efectos de determinar </w:t>
      </w:r>
      <w:r w:rsidR="00845872" w:rsidRPr="00922E45">
        <w:rPr>
          <w:rFonts w:ascii="Cambria" w:hAnsi="Cambria" w:cs="Calibri"/>
          <w:color w:val="000000"/>
          <w:sz w:val="21"/>
          <w:szCs w:val="21"/>
          <w:lang w:val="es-ES"/>
        </w:rPr>
        <w:t xml:space="preserve">si dicha situación requiere ser atendida con medidas cautelares  </w:t>
      </w:r>
      <w:r w:rsidR="007E5838" w:rsidRPr="00922E45">
        <w:rPr>
          <w:rFonts w:ascii="Cambria" w:hAnsi="Cambria" w:cs="Calibri"/>
          <w:color w:val="000000"/>
          <w:sz w:val="21"/>
          <w:szCs w:val="21"/>
          <w:lang w:val="es-ES"/>
        </w:rPr>
        <w:t>adicionales a las adoptadas</w:t>
      </w:r>
      <w:r w:rsidR="007F7D27" w:rsidRPr="00922E45">
        <w:rPr>
          <w:rFonts w:ascii="Cambria" w:hAnsi="Cambria" w:cs="Calibri"/>
          <w:color w:val="000000"/>
          <w:sz w:val="21"/>
          <w:szCs w:val="21"/>
          <w:lang w:val="es-ES"/>
        </w:rPr>
        <w:t xml:space="preserve">, la </w:t>
      </w:r>
      <w:r w:rsidR="00CC2401" w:rsidRPr="00922E45">
        <w:rPr>
          <w:rFonts w:ascii="Cambria" w:hAnsi="Cambria" w:cs="Calibri"/>
          <w:color w:val="000000"/>
          <w:sz w:val="21"/>
          <w:szCs w:val="21"/>
          <w:lang w:val="es-ES"/>
        </w:rPr>
        <w:t xml:space="preserve">Comisión considera </w:t>
      </w:r>
      <w:r w:rsidR="00DD3496" w:rsidRPr="00922E45">
        <w:rPr>
          <w:rFonts w:ascii="Cambria" w:hAnsi="Cambria" w:cs="Calibri"/>
          <w:color w:val="000000"/>
          <w:sz w:val="21"/>
          <w:szCs w:val="21"/>
          <w:lang w:val="es-ES"/>
        </w:rPr>
        <w:t xml:space="preserve">necesario contar </w:t>
      </w:r>
      <w:r w:rsidR="00CC2401" w:rsidRPr="00922E45">
        <w:rPr>
          <w:rFonts w:ascii="Cambria" w:hAnsi="Cambria" w:cs="Calibri"/>
          <w:color w:val="000000"/>
          <w:sz w:val="21"/>
          <w:szCs w:val="21"/>
          <w:lang w:val="es-ES"/>
        </w:rPr>
        <w:t>con mayor información de las partes.</w:t>
      </w:r>
      <w:r w:rsidR="00685D7D" w:rsidRPr="00922E45">
        <w:rPr>
          <w:rFonts w:ascii="Cambria" w:hAnsi="Cambria" w:cs="Calibri"/>
          <w:color w:val="000000"/>
          <w:sz w:val="21"/>
          <w:szCs w:val="21"/>
          <w:lang w:val="es-ES"/>
        </w:rPr>
        <w:t xml:space="preserve"> </w:t>
      </w:r>
    </w:p>
    <w:p w:rsidR="00483D14" w:rsidRPr="00922E45" w:rsidRDefault="00483D14" w:rsidP="0055779D">
      <w:pPr>
        <w:tabs>
          <w:tab w:val="left" w:pos="1080"/>
        </w:tabs>
        <w:spacing w:after="0" w:line="240" w:lineRule="auto"/>
        <w:ind w:firstLine="720"/>
        <w:jc w:val="both"/>
        <w:rPr>
          <w:rFonts w:ascii="Cambria" w:hAnsi="Cambria"/>
          <w:color w:val="000000"/>
          <w:sz w:val="21"/>
          <w:szCs w:val="21"/>
          <w:lang w:val="es-ES"/>
        </w:rPr>
      </w:pPr>
    </w:p>
    <w:p w:rsidR="00483D14" w:rsidRPr="00922E45" w:rsidRDefault="00483D14" w:rsidP="0055779D">
      <w:pPr>
        <w:numPr>
          <w:ilvl w:val="0"/>
          <w:numId w:val="19"/>
        </w:numPr>
        <w:tabs>
          <w:tab w:val="left" w:pos="1080"/>
        </w:tabs>
        <w:spacing w:after="0" w:line="240" w:lineRule="auto"/>
        <w:jc w:val="both"/>
        <w:rPr>
          <w:rFonts w:ascii="Cambria" w:hAnsi="Cambria" w:cs="Arial"/>
          <w:b/>
          <w:color w:val="000000"/>
          <w:sz w:val="21"/>
          <w:szCs w:val="21"/>
          <w:lang w:val="es-AR"/>
        </w:rPr>
      </w:pPr>
      <w:r w:rsidRPr="00922E45">
        <w:rPr>
          <w:rFonts w:ascii="Cambria" w:hAnsi="Cambria" w:cs="Arial"/>
          <w:b/>
          <w:color w:val="000000"/>
          <w:sz w:val="21"/>
          <w:szCs w:val="21"/>
          <w:lang w:val="es-AR"/>
        </w:rPr>
        <w:t>BENEFICIARIOS</w:t>
      </w:r>
    </w:p>
    <w:p w:rsidR="009A5400" w:rsidRPr="00922E45" w:rsidRDefault="009A5400" w:rsidP="0055779D">
      <w:pPr>
        <w:tabs>
          <w:tab w:val="left" w:pos="1080"/>
        </w:tabs>
        <w:spacing w:after="0" w:line="240" w:lineRule="auto"/>
        <w:ind w:left="270"/>
        <w:jc w:val="both"/>
        <w:rPr>
          <w:rFonts w:ascii="Cambria" w:hAnsi="Cambria" w:cs="Arial"/>
          <w:b/>
          <w:color w:val="000000"/>
          <w:sz w:val="21"/>
          <w:szCs w:val="21"/>
          <w:lang w:val="es-AR"/>
        </w:rPr>
      </w:pPr>
    </w:p>
    <w:p w:rsidR="009A5400" w:rsidRPr="00922E45" w:rsidRDefault="009A5400" w:rsidP="0055779D">
      <w:pPr>
        <w:numPr>
          <w:ilvl w:val="0"/>
          <w:numId w:val="34"/>
        </w:numPr>
        <w:tabs>
          <w:tab w:val="left" w:pos="1080"/>
        </w:tabs>
        <w:spacing w:after="0" w:line="240" w:lineRule="auto"/>
        <w:ind w:left="0" w:firstLine="360"/>
        <w:jc w:val="both"/>
        <w:rPr>
          <w:rFonts w:ascii="Cambria" w:hAnsi="Cambria" w:cs="Arial"/>
          <w:color w:val="000000"/>
          <w:sz w:val="21"/>
          <w:szCs w:val="21"/>
          <w:lang w:val="es-AR"/>
        </w:rPr>
      </w:pPr>
      <w:r w:rsidRPr="00922E45">
        <w:rPr>
          <w:rFonts w:ascii="Cambria" w:hAnsi="Cambria" w:cs="Arial"/>
          <w:color w:val="000000"/>
          <w:sz w:val="21"/>
          <w:szCs w:val="21"/>
          <w:lang w:val="es-AR"/>
        </w:rPr>
        <w:t>La Comisión Interameric</w:t>
      </w:r>
      <w:r w:rsidR="00242423" w:rsidRPr="00922E45">
        <w:rPr>
          <w:rFonts w:ascii="Cambria" w:hAnsi="Cambria" w:cs="Arial"/>
          <w:color w:val="000000"/>
          <w:sz w:val="21"/>
          <w:szCs w:val="21"/>
          <w:lang w:val="es-AR"/>
        </w:rPr>
        <w:t>ana declara que los beneficiario</w:t>
      </w:r>
      <w:r w:rsidRPr="00922E45">
        <w:rPr>
          <w:rFonts w:ascii="Cambria" w:hAnsi="Cambria" w:cs="Arial"/>
          <w:color w:val="000000"/>
          <w:sz w:val="21"/>
          <w:szCs w:val="21"/>
          <w:lang w:val="es-AR"/>
        </w:rPr>
        <w:t xml:space="preserve">s de la presente medida cautelar son los pobladores de las </w:t>
      </w:r>
      <w:r w:rsidR="00975B47">
        <w:rPr>
          <w:rFonts w:ascii="Cambria" w:hAnsi="Cambria" w:cs="Arial"/>
          <w:color w:val="000000"/>
          <w:sz w:val="21"/>
          <w:szCs w:val="21"/>
          <w:lang w:val="es-AR"/>
        </w:rPr>
        <w:t>c</w:t>
      </w:r>
      <w:r w:rsidRPr="00922E45">
        <w:rPr>
          <w:rFonts w:ascii="Cambria" w:hAnsi="Cambria" w:cs="Arial"/>
          <w:color w:val="000000"/>
          <w:sz w:val="21"/>
          <w:szCs w:val="21"/>
          <w:lang w:val="es-AR"/>
        </w:rPr>
        <w:t xml:space="preserve">omunidades </w:t>
      </w:r>
      <w:r w:rsidR="008174E3" w:rsidRPr="00922E45">
        <w:rPr>
          <w:rFonts w:ascii="Cambria" w:hAnsi="Cambria" w:cs="Arial"/>
          <w:color w:val="000000"/>
          <w:sz w:val="21"/>
          <w:szCs w:val="21"/>
          <w:lang w:val="es-AR"/>
        </w:rPr>
        <w:t xml:space="preserve">identificadas en el párrafo </w:t>
      </w:r>
      <w:r w:rsidR="00242423" w:rsidRPr="00922E45">
        <w:rPr>
          <w:rFonts w:ascii="Cambria" w:hAnsi="Cambria" w:cs="Arial"/>
          <w:color w:val="000000"/>
          <w:sz w:val="21"/>
          <w:szCs w:val="21"/>
          <w:lang w:val="es-AR"/>
        </w:rPr>
        <w:t>24</w:t>
      </w:r>
      <w:r w:rsidR="008174E3" w:rsidRPr="00922E45">
        <w:rPr>
          <w:rFonts w:ascii="Cambria" w:hAnsi="Cambria" w:cs="Arial"/>
          <w:color w:val="000000"/>
          <w:sz w:val="21"/>
          <w:szCs w:val="21"/>
          <w:lang w:val="es-AR"/>
        </w:rPr>
        <w:t xml:space="preserve">, </w:t>
      </w:r>
      <w:r w:rsidRPr="00922E45">
        <w:rPr>
          <w:rFonts w:ascii="Cambria" w:hAnsi="Cambria" w:cs="Arial"/>
          <w:color w:val="000000"/>
          <w:sz w:val="21"/>
          <w:szCs w:val="21"/>
          <w:lang w:val="es-AR"/>
        </w:rPr>
        <w:t>los cuales son determinables en los términos del artículo 25.6.b del Reglamento de la CIDH.</w:t>
      </w:r>
    </w:p>
    <w:p w:rsidR="00250839" w:rsidRPr="00922E45" w:rsidRDefault="00250839" w:rsidP="0055779D">
      <w:pPr>
        <w:pStyle w:val="ListParagraph"/>
        <w:spacing w:after="0" w:line="240" w:lineRule="auto"/>
        <w:rPr>
          <w:rFonts w:ascii="Cambria" w:eastAsia="ヒラギノ角ゴ Pro W3" w:hAnsi="Cambria"/>
          <w:b/>
          <w:color w:val="000000"/>
          <w:sz w:val="21"/>
          <w:szCs w:val="21"/>
          <w:lang w:val="es-ES"/>
        </w:rPr>
      </w:pPr>
    </w:p>
    <w:p w:rsidR="00A21813" w:rsidRPr="00922E45" w:rsidRDefault="00A21813" w:rsidP="0055779D">
      <w:pPr>
        <w:numPr>
          <w:ilvl w:val="0"/>
          <w:numId w:val="19"/>
        </w:numPr>
        <w:tabs>
          <w:tab w:val="left" w:pos="1080"/>
        </w:tabs>
        <w:spacing w:after="0" w:line="240" w:lineRule="auto"/>
        <w:jc w:val="both"/>
        <w:rPr>
          <w:rFonts w:ascii="Cambria" w:eastAsia="ヒラギノ角ゴ Pro W3" w:hAnsi="Cambria"/>
          <w:b/>
          <w:color w:val="000000"/>
          <w:sz w:val="21"/>
          <w:szCs w:val="21"/>
          <w:lang w:val="es-ES"/>
        </w:rPr>
      </w:pPr>
      <w:r w:rsidRPr="00922E45">
        <w:rPr>
          <w:rFonts w:ascii="Cambria" w:eastAsia="ヒラギノ角ゴ Pro W3" w:hAnsi="Cambria"/>
          <w:b/>
          <w:color w:val="000000"/>
          <w:sz w:val="21"/>
          <w:szCs w:val="21"/>
          <w:lang w:val="es-ES"/>
        </w:rPr>
        <w:t>DECISIÓN</w:t>
      </w:r>
    </w:p>
    <w:p w:rsidR="00A21813" w:rsidRPr="00922E45" w:rsidRDefault="00A21813" w:rsidP="0055779D">
      <w:pPr>
        <w:tabs>
          <w:tab w:val="left" w:pos="720"/>
          <w:tab w:val="left" w:pos="810"/>
        </w:tabs>
        <w:autoSpaceDE w:val="0"/>
        <w:autoSpaceDN w:val="0"/>
        <w:adjustRightInd w:val="0"/>
        <w:spacing w:after="0" w:line="240" w:lineRule="auto"/>
        <w:ind w:left="1440"/>
        <w:jc w:val="both"/>
        <w:rPr>
          <w:rFonts w:ascii="Cambria" w:hAnsi="Cambria" w:cs="Calibri"/>
          <w:color w:val="000000"/>
          <w:sz w:val="21"/>
          <w:szCs w:val="21"/>
          <w:lang w:val="es-ES"/>
        </w:rPr>
      </w:pPr>
    </w:p>
    <w:p w:rsidR="00A21813" w:rsidRPr="00922E45" w:rsidRDefault="00B62ACB" w:rsidP="0055779D">
      <w:pPr>
        <w:numPr>
          <w:ilvl w:val="0"/>
          <w:numId w:val="34"/>
        </w:numPr>
        <w:tabs>
          <w:tab w:val="left" w:pos="90"/>
          <w:tab w:val="left" w:pos="180"/>
        </w:tabs>
        <w:spacing w:after="0" w:line="240" w:lineRule="auto"/>
        <w:ind w:left="0" w:firstLine="360"/>
        <w:jc w:val="both"/>
        <w:rPr>
          <w:rFonts w:ascii="Cambria" w:eastAsia="ヒラギノ角ゴ Pro W3" w:hAnsi="Cambria"/>
          <w:color w:val="000000"/>
          <w:sz w:val="21"/>
          <w:szCs w:val="21"/>
          <w:lang w:val="es-ES"/>
        </w:rPr>
      </w:pPr>
      <w:r w:rsidRPr="00922E45">
        <w:rPr>
          <w:rFonts w:ascii="Cambria" w:eastAsia="ヒラギノ角ゴ Pro W3" w:hAnsi="Cambria"/>
          <w:color w:val="000000"/>
          <w:sz w:val="21"/>
          <w:szCs w:val="21"/>
          <w:lang w:val="es-ES"/>
        </w:rPr>
        <w:lastRenderedPageBreak/>
        <w:t>En vista de los antecedentes señalados, la CIDH considera que la p</w:t>
      </w:r>
      <w:r w:rsidR="00BA025A" w:rsidRPr="00922E45">
        <w:rPr>
          <w:rFonts w:ascii="Cambria" w:eastAsia="ヒラギノ角ゴ Pro W3" w:hAnsi="Cambria"/>
          <w:color w:val="000000"/>
          <w:sz w:val="21"/>
          <w:szCs w:val="21"/>
          <w:lang w:val="es-ES"/>
        </w:rPr>
        <w:t>resente solicitud</w:t>
      </w:r>
      <w:r w:rsidR="007809AE" w:rsidRPr="00922E45">
        <w:rPr>
          <w:rFonts w:ascii="Cambria" w:eastAsia="ヒラギノ角ゴ Pro W3" w:hAnsi="Cambria"/>
          <w:color w:val="000000"/>
          <w:sz w:val="21"/>
          <w:szCs w:val="21"/>
          <w:lang w:val="es-ES"/>
        </w:rPr>
        <w:t xml:space="preserve"> </w:t>
      </w:r>
      <w:r w:rsidRPr="00922E45">
        <w:rPr>
          <w:rFonts w:ascii="Cambria" w:eastAsia="ヒラギノ角ゴ Pro W3" w:hAnsi="Cambria"/>
          <w:color w:val="000000"/>
          <w:sz w:val="21"/>
          <w:szCs w:val="21"/>
          <w:lang w:val="es-ES"/>
        </w:rPr>
        <w:t xml:space="preserve">reúne </w:t>
      </w:r>
      <w:r w:rsidRPr="00922E45">
        <w:rPr>
          <w:rFonts w:ascii="Cambria" w:eastAsia="ヒラギノ角ゴ Pro W3" w:hAnsi="Cambria"/>
          <w:i/>
          <w:color w:val="000000"/>
          <w:sz w:val="21"/>
          <w:szCs w:val="21"/>
          <w:lang w:val="es-ES"/>
        </w:rPr>
        <w:t>prima facie</w:t>
      </w:r>
      <w:r w:rsidRPr="00922E45">
        <w:rPr>
          <w:rFonts w:ascii="Cambria" w:eastAsia="ヒラギノ角ゴ Pro W3" w:hAnsi="Cambria"/>
          <w:color w:val="000000"/>
          <w:sz w:val="21"/>
          <w:szCs w:val="21"/>
          <w:lang w:val="es-ES"/>
        </w:rPr>
        <w:t xml:space="preserve"> los requisitos de gravedad, urgencia e </w:t>
      </w:r>
      <w:proofErr w:type="spellStart"/>
      <w:r w:rsidRPr="00922E45">
        <w:rPr>
          <w:rFonts w:ascii="Cambria" w:eastAsia="ヒラギノ角ゴ Pro W3" w:hAnsi="Cambria"/>
          <w:color w:val="000000"/>
          <w:sz w:val="21"/>
          <w:szCs w:val="21"/>
          <w:lang w:val="es-ES"/>
        </w:rPr>
        <w:t>irreparabilidad</w:t>
      </w:r>
      <w:proofErr w:type="spellEnd"/>
      <w:r w:rsidRPr="00922E45">
        <w:rPr>
          <w:rFonts w:ascii="Cambria" w:eastAsia="ヒラギノ角ゴ Pro W3" w:hAnsi="Cambria"/>
          <w:color w:val="000000"/>
          <w:sz w:val="21"/>
          <w:szCs w:val="21"/>
          <w:lang w:val="es-ES"/>
        </w:rPr>
        <w:t xml:space="preserve"> contenidos en el artículo 25 de su Reglamento. En consecuencia, la Comisión solicita al Gobierno de </w:t>
      </w:r>
      <w:r w:rsidR="00250839" w:rsidRPr="00922E45">
        <w:rPr>
          <w:rFonts w:ascii="Cambria" w:eastAsia="ヒラギノ角ゴ Pro W3" w:hAnsi="Cambria"/>
          <w:color w:val="000000"/>
          <w:sz w:val="21"/>
          <w:szCs w:val="21"/>
          <w:lang w:val="es-ES"/>
        </w:rPr>
        <w:t xml:space="preserve">Honduras </w:t>
      </w:r>
      <w:r w:rsidRPr="00922E45">
        <w:rPr>
          <w:rFonts w:ascii="Cambria" w:eastAsia="ヒラギノ角ゴ Pro W3" w:hAnsi="Cambria"/>
          <w:color w:val="000000"/>
          <w:sz w:val="21"/>
          <w:szCs w:val="21"/>
          <w:lang w:val="es-ES"/>
        </w:rPr>
        <w:t>que:</w:t>
      </w:r>
    </w:p>
    <w:p w:rsidR="005E68B6" w:rsidRPr="00922E45" w:rsidRDefault="005E68B6" w:rsidP="0055779D">
      <w:pPr>
        <w:tabs>
          <w:tab w:val="left" w:pos="90"/>
          <w:tab w:val="left" w:pos="180"/>
        </w:tabs>
        <w:spacing w:after="0" w:line="240" w:lineRule="auto"/>
        <w:ind w:left="720"/>
        <w:jc w:val="both"/>
        <w:rPr>
          <w:rFonts w:ascii="Cambria" w:eastAsia="ヒラギノ角ゴ Pro W3" w:hAnsi="Cambria"/>
          <w:color w:val="000000"/>
          <w:sz w:val="21"/>
          <w:szCs w:val="21"/>
          <w:lang w:val="es-ES"/>
        </w:rPr>
      </w:pPr>
    </w:p>
    <w:p w:rsidR="00542236" w:rsidRPr="00922E45" w:rsidRDefault="00542236" w:rsidP="00542236">
      <w:pPr>
        <w:numPr>
          <w:ilvl w:val="0"/>
          <w:numId w:val="43"/>
        </w:numPr>
        <w:tabs>
          <w:tab w:val="left" w:pos="90"/>
          <w:tab w:val="left" w:pos="180"/>
        </w:tabs>
        <w:spacing w:after="0" w:line="240" w:lineRule="auto"/>
        <w:jc w:val="both"/>
        <w:rPr>
          <w:rFonts w:ascii="Cambria" w:hAnsi="Cambria" w:cs="Calibri"/>
          <w:color w:val="000000"/>
          <w:sz w:val="21"/>
          <w:szCs w:val="21"/>
          <w:lang w:val="es-ES"/>
        </w:rPr>
      </w:pPr>
      <w:r w:rsidRPr="00922E45">
        <w:rPr>
          <w:rFonts w:ascii="Cambria" w:hAnsi="Cambria" w:cs="Calibri"/>
          <w:color w:val="000000"/>
          <w:sz w:val="21"/>
          <w:szCs w:val="21"/>
          <w:lang w:val="es-ES"/>
        </w:rPr>
        <w:t xml:space="preserve">Informe sobre las medidas adoptadas </w:t>
      </w:r>
      <w:r w:rsidR="009A7932" w:rsidRPr="00922E45">
        <w:rPr>
          <w:rFonts w:ascii="Cambria" w:hAnsi="Cambria" w:cs="Calibri"/>
          <w:color w:val="000000"/>
          <w:sz w:val="21"/>
          <w:szCs w:val="21"/>
          <w:lang w:val="es-ES"/>
        </w:rPr>
        <w:t>dirigidas a</w:t>
      </w:r>
      <w:r w:rsidRPr="00922E45">
        <w:rPr>
          <w:rFonts w:ascii="Cambria" w:hAnsi="Cambria" w:cs="Calibri"/>
          <w:color w:val="000000"/>
          <w:sz w:val="21"/>
          <w:szCs w:val="21"/>
          <w:lang w:val="es-ES"/>
        </w:rPr>
        <w:t xml:space="preserve"> mitigar , reducir y eliminar las fuentes de riesgo identificadas en el presente procedimiento;</w:t>
      </w:r>
    </w:p>
    <w:p w:rsidR="00542236" w:rsidRPr="00922E45" w:rsidRDefault="00542236" w:rsidP="00B67242">
      <w:pPr>
        <w:tabs>
          <w:tab w:val="left" w:pos="90"/>
          <w:tab w:val="left" w:pos="180"/>
        </w:tabs>
        <w:spacing w:after="0" w:line="240" w:lineRule="auto"/>
        <w:ind w:left="1080"/>
        <w:jc w:val="both"/>
        <w:rPr>
          <w:rFonts w:ascii="Cambria" w:hAnsi="Cambria" w:cs="Calibri"/>
          <w:color w:val="000000"/>
          <w:sz w:val="21"/>
          <w:szCs w:val="21"/>
          <w:lang w:val="es-ES"/>
        </w:rPr>
      </w:pPr>
    </w:p>
    <w:p w:rsidR="00B67242" w:rsidRPr="00922E45" w:rsidRDefault="00B67242" w:rsidP="00B67242">
      <w:pPr>
        <w:numPr>
          <w:ilvl w:val="0"/>
          <w:numId w:val="43"/>
        </w:numPr>
        <w:tabs>
          <w:tab w:val="left" w:pos="90"/>
          <w:tab w:val="left" w:pos="180"/>
        </w:tabs>
        <w:spacing w:after="0" w:line="240" w:lineRule="auto"/>
        <w:jc w:val="both"/>
        <w:rPr>
          <w:rFonts w:ascii="Cambria" w:hAnsi="Cambria" w:cs="Calibri"/>
          <w:color w:val="000000"/>
          <w:sz w:val="21"/>
          <w:szCs w:val="21"/>
          <w:lang w:val="es-ES"/>
        </w:rPr>
      </w:pPr>
      <w:r w:rsidRPr="00922E45">
        <w:rPr>
          <w:rFonts w:ascii="Cambria" w:eastAsia="ヒラギノ角ゴ Pro W3" w:hAnsi="Cambria"/>
          <w:color w:val="000000"/>
          <w:sz w:val="21"/>
          <w:szCs w:val="21"/>
          <w:lang w:val="es-ES"/>
        </w:rPr>
        <w:t>R</w:t>
      </w:r>
      <w:r w:rsidR="005E68B6" w:rsidRPr="00922E45">
        <w:rPr>
          <w:rFonts w:ascii="Cambria" w:eastAsia="ヒラギノ角ゴ Pro W3" w:hAnsi="Cambria"/>
          <w:color w:val="000000"/>
          <w:sz w:val="21"/>
          <w:szCs w:val="21"/>
          <w:lang w:val="es-ES"/>
        </w:rPr>
        <w:t>eali</w:t>
      </w:r>
      <w:r w:rsidR="00EE0B8A">
        <w:rPr>
          <w:rFonts w:ascii="Cambria" w:eastAsia="ヒラギノ角ゴ Pro W3" w:hAnsi="Cambria"/>
          <w:color w:val="000000"/>
          <w:sz w:val="21"/>
          <w:szCs w:val="21"/>
          <w:lang w:val="es-ES"/>
        </w:rPr>
        <w:t xml:space="preserve">ce </w:t>
      </w:r>
      <w:r w:rsidR="005E68B6" w:rsidRPr="00922E45">
        <w:rPr>
          <w:rFonts w:ascii="Cambria" w:eastAsia="ヒラギノ角ゴ Pro W3" w:hAnsi="Cambria"/>
          <w:color w:val="000000"/>
          <w:sz w:val="21"/>
          <w:szCs w:val="21"/>
          <w:lang w:val="es-ES"/>
        </w:rPr>
        <w:t>los diagnósticos médicos necesarios y pertinentes</w:t>
      </w:r>
      <w:r w:rsidR="009A7932" w:rsidRPr="00922E45">
        <w:rPr>
          <w:rFonts w:ascii="Cambria" w:eastAsia="ヒラギノ角ゴ Pro W3" w:hAnsi="Cambria"/>
          <w:color w:val="000000"/>
          <w:sz w:val="21"/>
          <w:szCs w:val="21"/>
          <w:lang w:val="es-ES"/>
        </w:rPr>
        <w:t xml:space="preserve"> a los</w:t>
      </w:r>
      <w:r w:rsidR="00EE0B8A">
        <w:rPr>
          <w:rFonts w:ascii="Cambria" w:eastAsia="ヒラギノ角ゴ Pro W3" w:hAnsi="Cambria"/>
          <w:color w:val="000000"/>
          <w:sz w:val="21"/>
          <w:szCs w:val="21"/>
          <w:lang w:val="es-ES"/>
        </w:rPr>
        <w:t xml:space="preserve"> </w:t>
      </w:r>
      <w:r w:rsidR="009A7932" w:rsidRPr="00922E45">
        <w:rPr>
          <w:rFonts w:ascii="Cambria" w:eastAsia="ヒラギノ角ゴ Pro W3" w:hAnsi="Cambria"/>
          <w:color w:val="000000"/>
          <w:sz w:val="21"/>
          <w:szCs w:val="21"/>
          <w:lang w:val="es-ES"/>
        </w:rPr>
        <w:t>pobladores de las comunidades identificadas</w:t>
      </w:r>
      <w:r w:rsidR="005E68B6" w:rsidRPr="00922E45">
        <w:rPr>
          <w:rFonts w:ascii="Cambria" w:eastAsia="ヒラギノ角ゴ Pro W3" w:hAnsi="Cambria"/>
          <w:color w:val="000000"/>
          <w:sz w:val="21"/>
          <w:szCs w:val="21"/>
          <w:lang w:val="es-ES"/>
        </w:rPr>
        <w:t>, a fin de suministrar atención médica adecuada, de acuerdo a los estándares internaci</w:t>
      </w:r>
      <w:r w:rsidRPr="00922E45">
        <w:rPr>
          <w:rFonts w:ascii="Cambria" w:eastAsia="ヒラギノ角ゴ Pro W3" w:hAnsi="Cambria"/>
          <w:color w:val="000000"/>
          <w:sz w:val="21"/>
          <w:szCs w:val="21"/>
          <w:lang w:val="es-ES"/>
        </w:rPr>
        <w:t>onales aplicables en la materia así como</w:t>
      </w:r>
      <w:r w:rsidRPr="00922E45">
        <w:rPr>
          <w:rFonts w:ascii="Cambria" w:hAnsi="Cambria" w:cs="Calibri"/>
          <w:color w:val="000000"/>
          <w:sz w:val="21"/>
          <w:szCs w:val="21"/>
          <w:lang w:val="es-ES"/>
        </w:rPr>
        <w:t xml:space="preserve"> </w:t>
      </w:r>
      <w:r w:rsidRPr="00922E45">
        <w:rPr>
          <w:rFonts w:ascii="Cambria" w:eastAsia="ヒラギノ角ゴ Pro W3" w:hAnsi="Cambria"/>
          <w:color w:val="000000"/>
          <w:sz w:val="21"/>
          <w:szCs w:val="21"/>
          <w:lang w:val="es-ES"/>
        </w:rPr>
        <w:t xml:space="preserve">asegurar que tengan acceso a agua potable en condiciones adecuadas para su consumo y uso doméstico. Lo anterior, </w:t>
      </w:r>
      <w:r w:rsidRPr="00922E45">
        <w:rPr>
          <w:rFonts w:ascii="Cambria" w:hAnsi="Cambria" w:cs="Calibri"/>
          <w:color w:val="000000"/>
          <w:sz w:val="21"/>
          <w:szCs w:val="21"/>
          <w:lang w:val="es-ES"/>
        </w:rPr>
        <w:t xml:space="preserve"> </w:t>
      </w:r>
      <w:r w:rsidR="005540E2" w:rsidRPr="00922E45">
        <w:rPr>
          <w:rFonts w:ascii="Cambria" w:hAnsi="Cambria" w:cs="Calibri"/>
          <w:color w:val="000000"/>
          <w:sz w:val="21"/>
          <w:szCs w:val="21"/>
          <w:lang w:val="es-ES"/>
        </w:rPr>
        <w:t xml:space="preserve">entre otras medidas que sean necesarias, para </w:t>
      </w:r>
      <w:r w:rsidRPr="00922E45">
        <w:rPr>
          <w:rFonts w:ascii="Cambria" w:hAnsi="Cambria" w:cs="Calibri"/>
          <w:color w:val="000000"/>
          <w:sz w:val="21"/>
          <w:szCs w:val="21"/>
          <w:lang w:val="es-ES"/>
        </w:rPr>
        <w:t xml:space="preserve"> </w:t>
      </w:r>
      <w:r w:rsidRPr="00922E45">
        <w:rPr>
          <w:rFonts w:ascii="Cambria" w:eastAsia="ヒラギノ角ゴ Pro W3" w:hAnsi="Cambria"/>
          <w:color w:val="000000"/>
          <w:sz w:val="21"/>
          <w:szCs w:val="21"/>
          <w:lang w:val="es-ES"/>
        </w:rPr>
        <w:t xml:space="preserve">preservar </w:t>
      </w:r>
      <w:r w:rsidR="009A7932" w:rsidRPr="00922E45">
        <w:rPr>
          <w:rFonts w:ascii="Cambria" w:eastAsia="ヒラギノ角ゴ Pro W3" w:hAnsi="Cambria"/>
          <w:color w:val="000000"/>
          <w:sz w:val="21"/>
          <w:szCs w:val="21"/>
          <w:lang w:val="es-ES"/>
        </w:rPr>
        <w:t xml:space="preserve">su </w:t>
      </w:r>
      <w:r w:rsidRPr="00922E45">
        <w:rPr>
          <w:rFonts w:ascii="Cambria" w:eastAsia="ヒラギノ角ゴ Pro W3" w:hAnsi="Cambria"/>
          <w:color w:val="000000"/>
          <w:sz w:val="21"/>
          <w:szCs w:val="21"/>
          <w:lang w:val="es-ES"/>
        </w:rPr>
        <w:t>salud, vida e integridad personal</w:t>
      </w:r>
      <w:r w:rsidR="009A7932" w:rsidRPr="00922E45">
        <w:rPr>
          <w:rFonts w:ascii="Cambria" w:eastAsia="ヒラギノ角ゴ Pro W3" w:hAnsi="Cambria"/>
          <w:color w:val="000000"/>
          <w:sz w:val="21"/>
          <w:szCs w:val="21"/>
          <w:lang w:val="es-ES"/>
        </w:rPr>
        <w:t>;</w:t>
      </w:r>
    </w:p>
    <w:p w:rsidR="00B67242" w:rsidRPr="00922E45" w:rsidRDefault="00B67242" w:rsidP="00B67242">
      <w:pPr>
        <w:tabs>
          <w:tab w:val="left" w:pos="90"/>
          <w:tab w:val="left" w:pos="180"/>
        </w:tabs>
        <w:spacing w:after="0" w:line="240" w:lineRule="auto"/>
        <w:ind w:left="1080"/>
        <w:jc w:val="both"/>
        <w:rPr>
          <w:rFonts w:ascii="Cambria" w:hAnsi="Cambria" w:cs="Calibri"/>
          <w:color w:val="000000"/>
          <w:sz w:val="21"/>
          <w:szCs w:val="21"/>
          <w:lang w:val="es-ES"/>
        </w:rPr>
      </w:pPr>
    </w:p>
    <w:p w:rsidR="005E68B6" w:rsidRPr="00922E45" w:rsidRDefault="005E68B6" w:rsidP="0055779D">
      <w:pPr>
        <w:numPr>
          <w:ilvl w:val="0"/>
          <w:numId w:val="43"/>
        </w:numPr>
        <w:tabs>
          <w:tab w:val="left" w:pos="90"/>
          <w:tab w:val="left" w:pos="180"/>
        </w:tabs>
        <w:spacing w:after="0" w:line="240" w:lineRule="auto"/>
        <w:jc w:val="both"/>
        <w:rPr>
          <w:rFonts w:ascii="Cambria" w:hAnsi="Cambria" w:cs="Calibri"/>
          <w:color w:val="000000"/>
          <w:sz w:val="21"/>
          <w:szCs w:val="21"/>
          <w:lang w:val="es-ES"/>
        </w:rPr>
      </w:pPr>
      <w:r w:rsidRPr="00922E45">
        <w:rPr>
          <w:rFonts w:ascii="Cambria" w:hAnsi="Cambria" w:cs="Calibri"/>
          <w:color w:val="000000"/>
          <w:sz w:val="21"/>
          <w:szCs w:val="21"/>
          <w:lang w:val="es-ES"/>
        </w:rPr>
        <w:t>Concierte las medidas a adoptarse con los beneficiarios y sus representantes;</w:t>
      </w:r>
      <w:r w:rsidR="00AD4C61" w:rsidRPr="00922E45">
        <w:rPr>
          <w:rFonts w:ascii="Cambria" w:hAnsi="Cambria" w:cs="Calibri"/>
          <w:color w:val="000000"/>
          <w:sz w:val="21"/>
          <w:szCs w:val="21"/>
          <w:lang w:val="es-ES"/>
        </w:rPr>
        <w:t xml:space="preserve"> y</w:t>
      </w:r>
    </w:p>
    <w:p w:rsidR="00B67242" w:rsidRPr="00922E45" w:rsidRDefault="00B67242" w:rsidP="00B67242">
      <w:pPr>
        <w:tabs>
          <w:tab w:val="left" w:pos="90"/>
          <w:tab w:val="left" w:pos="180"/>
        </w:tabs>
        <w:spacing w:after="0" w:line="240" w:lineRule="auto"/>
        <w:ind w:left="1080"/>
        <w:jc w:val="both"/>
        <w:rPr>
          <w:rFonts w:ascii="Cambria" w:hAnsi="Cambria" w:cs="Calibri"/>
          <w:color w:val="000000"/>
          <w:sz w:val="21"/>
          <w:szCs w:val="21"/>
          <w:lang w:val="es-ES"/>
        </w:rPr>
      </w:pPr>
    </w:p>
    <w:p w:rsidR="005E68B6" w:rsidRPr="00922E45" w:rsidRDefault="00B51FB2" w:rsidP="0055779D">
      <w:pPr>
        <w:numPr>
          <w:ilvl w:val="0"/>
          <w:numId w:val="43"/>
        </w:numPr>
        <w:tabs>
          <w:tab w:val="left" w:pos="90"/>
          <w:tab w:val="left" w:pos="180"/>
        </w:tabs>
        <w:spacing w:after="0" w:line="240" w:lineRule="auto"/>
        <w:jc w:val="both"/>
        <w:rPr>
          <w:rFonts w:ascii="Cambria" w:hAnsi="Cambria" w:cs="Calibri"/>
          <w:color w:val="000000"/>
          <w:sz w:val="21"/>
          <w:szCs w:val="21"/>
          <w:lang w:val="es-ES"/>
        </w:rPr>
      </w:pPr>
      <w:r>
        <w:rPr>
          <w:rFonts w:ascii="Cambria" w:hAnsi="Cambria" w:cs="Calibri"/>
          <w:color w:val="000000"/>
          <w:sz w:val="21"/>
          <w:szCs w:val="21"/>
          <w:lang w:val="es-ES"/>
        </w:rPr>
        <w:t>I</w:t>
      </w:r>
      <w:r w:rsidR="005E68B6" w:rsidRPr="00922E45">
        <w:rPr>
          <w:rFonts w:ascii="Cambria" w:hAnsi="Cambria" w:cs="Calibri"/>
          <w:color w:val="000000"/>
          <w:sz w:val="21"/>
          <w:szCs w:val="21"/>
          <w:lang w:val="es-ES"/>
        </w:rPr>
        <w:t>nforme sobre las acciones adoptadas a fin de investigar los hechos alegados que dieron lugar a la adopción de la presente medida cautelar y así evitar su repetición.</w:t>
      </w:r>
    </w:p>
    <w:p w:rsidR="00A00173" w:rsidRPr="00922E45" w:rsidRDefault="00A00173" w:rsidP="0055779D">
      <w:pPr>
        <w:tabs>
          <w:tab w:val="left" w:pos="720"/>
          <w:tab w:val="left" w:pos="810"/>
        </w:tabs>
        <w:autoSpaceDE w:val="0"/>
        <w:autoSpaceDN w:val="0"/>
        <w:adjustRightInd w:val="0"/>
        <w:spacing w:after="0" w:line="240" w:lineRule="auto"/>
        <w:jc w:val="both"/>
        <w:rPr>
          <w:rFonts w:ascii="Cambria" w:hAnsi="Cambria" w:cs="Calibri"/>
          <w:color w:val="000000"/>
          <w:sz w:val="21"/>
          <w:szCs w:val="21"/>
          <w:lang w:val="es-AR"/>
        </w:rPr>
      </w:pPr>
    </w:p>
    <w:p w:rsidR="0055779D" w:rsidRPr="00922E45" w:rsidRDefault="00B62ACB" w:rsidP="0055779D">
      <w:pPr>
        <w:numPr>
          <w:ilvl w:val="0"/>
          <w:numId w:val="34"/>
        </w:numPr>
        <w:tabs>
          <w:tab w:val="left" w:pos="90"/>
          <w:tab w:val="left" w:pos="180"/>
        </w:tabs>
        <w:spacing w:after="0" w:line="240" w:lineRule="auto"/>
        <w:ind w:left="0" w:firstLine="360"/>
        <w:jc w:val="both"/>
        <w:rPr>
          <w:rFonts w:ascii="Cambria" w:hAnsi="Cambria" w:cs="Calibri"/>
          <w:color w:val="000000"/>
          <w:sz w:val="21"/>
          <w:szCs w:val="21"/>
          <w:lang w:val="es-ES"/>
        </w:rPr>
      </w:pPr>
      <w:r w:rsidRPr="00922E45">
        <w:rPr>
          <w:rFonts w:ascii="Cambria" w:hAnsi="Cambria"/>
          <w:color w:val="000000"/>
          <w:sz w:val="21"/>
          <w:szCs w:val="21"/>
          <w:lang w:val="es-ES"/>
        </w:rPr>
        <w:t xml:space="preserve">La Comisión también solicita al Gobierno de </w:t>
      </w:r>
      <w:r w:rsidR="00250839" w:rsidRPr="00922E45">
        <w:rPr>
          <w:rFonts w:ascii="Cambria" w:hAnsi="Cambria"/>
          <w:color w:val="000000"/>
          <w:sz w:val="21"/>
          <w:szCs w:val="21"/>
          <w:lang w:val="es-ES"/>
        </w:rPr>
        <w:t>Honduras</w:t>
      </w:r>
      <w:r w:rsidRPr="00922E45">
        <w:rPr>
          <w:rFonts w:ascii="Cambria" w:hAnsi="Cambria"/>
          <w:color w:val="000000"/>
          <w:sz w:val="21"/>
          <w:szCs w:val="21"/>
          <w:lang w:val="es-ES"/>
        </w:rPr>
        <w:t xml:space="preserve"> se tenga a bien informar, dentro del plazo de 20 días contados a partir de la fecha de la presente resolución, sobre la adopción de las medidas cautelares requeridas y actualizar dicha información en forma periódica. </w:t>
      </w:r>
    </w:p>
    <w:p w:rsidR="0055779D" w:rsidRPr="00922E45" w:rsidRDefault="0055779D" w:rsidP="0055779D">
      <w:pPr>
        <w:tabs>
          <w:tab w:val="left" w:pos="90"/>
          <w:tab w:val="left" w:pos="180"/>
        </w:tabs>
        <w:spacing w:after="0" w:line="240" w:lineRule="auto"/>
        <w:ind w:firstLine="360"/>
        <w:jc w:val="both"/>
        <w:rPr>
          <w:rFonts w:ascii="Cambria" w:hAnsi="Cambria" w:cs="Calibri"/>
          <w:color w:val="000000"/>
          <w:sz w:val="21"/>
          <w:szCs w:val="21"/>
          <w:lang w:val="es-ES"/>
        </w:rPr>
      </w:pPr>
    </w:p>
    <w:p w:rsidR="0055779D" w:rsidRPr="00922E45" w:rsidRDefault="00B62ACB" w:rsidP="0055779D">
      <w:pPr>
        <w:numPr>
          <w:ilvl w:val="0"/>
          <w:numId w:val="34"/>
        </w:numPr>
        <w:tabs>
          <w:tab w:val="left" w:pos="90"/>
          <w:tab w:val="left" w:pos="180"/>
        </w:tabs>
        <w:spacing w:after="0" w:line="240" w:lineRule="auto"/>
        <w:ind w:left="0" w:firstLine="360"/>
        <w:jc w:val="both"/>
        <w:rPr>
          <w:rFonts w:ascii="Cambria" w:hAnsi="Cambria" w:cs="Calibri"/>
          <w:color w:val="000000"/>
          <w:sz w:val="21"/>
          <w:szCs w:val="21"/>
          <w:lang w:val="es-ES"/>
        </w:rPr>
      </w:pPr>
      <w:r w:rsidRPr="00922E45">
        <w:rPr>
          <w:rFonts w:ascii="Cambria" w:hAnsi="Cambria"/>
          <w:color w:val="000000"/>
          <w:sz w:val="21"/>
          <w:szCs w:val="21"/>
          <w:lang w:val="es-ES"/>
        </w:rPr>
        <w:t>La Comisión desea resaltar que de acuerdo con el artículo 25 (8) de su Reglamento, la ampliación de la presente medida cautelar y su adopción por el Estado no constituirán prejuzgamiento sobre violación alguna a los derechos protegidos en la Convención Americana sobre Derechos Humanos y otros instrumentos aplicables.</w:t>
      </w:r>
      <w:r w:rsidR="008D3DF2" w:rsidRPr="00922E45">
        <w:rPr>
          <w:rFonts w:ascii="Cambria" w:hAnsi="Cambria"/>
          <w:color w:val="000000"/>
          <w:sz w:val="21"/>
          <w:szCs w:val="21"/>
          <w:lang w:val="es-ES"/>
        </w:rPr>
        <w:t xml:space="preserve"> </w:t>
      </w:r>
    </w:p>
    <w:p w:rsidR="0055779D" w:rsidRPr="00922E45" w:rsidRDefault="0055779D" w:rsidP="0055779D">
      <w:pPr>
        <w:tabs>
          <w:tab w:val="left" w:pos="90"/>
          <w:tab w:val="left" w:pos="180"/>
        </w:tabs>
        <w:spacing w:after="0" w:line="240" w:lineRule="auto"/>
        <w:ind w:firstLine="360"/>
        <w:jc w:val="both"/>
        <w:rPr>
          <w:rFonts w:ascii="Cambria" w:hAnsi="Cambria" w:cs="Calibri"/>
          <w:color w:val="000000"/>
          <w:sz w:val="21"/>
          <w:szCs w:val="21"/>
          <w:lang w:val="es-ES"/>
        </w:rPr>
      </w:pPr>
    </w:p>
    <w:p w:rsidR="0055779D" w:rsidRPr="00922E45" w:rsidRDefault="00B62ACB" w:rsidP="0055779D">
      <w:pPr>
        <w:numPr>
          <w:ilvl w:val="0"/>
          <w:numId w:val="34"/>
        </w:numPr>
        <w:tabs>
          <w:tab w:val="left" w:pos="90"/>
          <w:tab w:val="left" w:pos="180"/>
        </w:tabs>
        <w:spacing w:after="0" w:line="240" w:lineRule="auto"/>
        <w:ind w:left="0" w:firstLine="360"/>
        <w:jc w:val="both"/>
        <w:rPr>
          <w:rFonts w:ascii="Cambria" w:hAnsi="Cambria" w:cs="Calibri"/>
          <w:color w:val="000000"/>
          <w:sz w:val="21"/>
          <w:szCs w:val="21"/>
          <w:lang w:val="es-ES"/>
        </w:rPr>
      </w:pPr>
      <w:r w:rsidRPr="00922E45">
        <w:rPr>
          <w:rFonts w:ascii="Cambria" w:hAnsi="Cambria" w:cs="Arial"/>
          <w:color w:val="000000"/>
          <w:sz w:val="21"/>
          <w:szCs w:val="21"/>
          <w:lang w:val="es-AR"/>
        </w:rPr>
        <w:t xml:space="preserve">La Comisión dispone que la Secretaría Ejecutiva de la CIDH notifique la presente </w:t>
      </w:r>
      <w:r w:rsidR="00250839" w:rsidRPr="00922E45">
        <w:rPr>
          <w:rFonts w:ascii="Cambria" w:hAnsi="Cambria" w:cs="Arial"/>
          <w:color w:val="000000"/>
          <w:sz w:val="21"/>
          <w:szCs w:val="21"/>
          <w:lang w:val="es-AR"/>
        </w:rPr>
        <w:t>resolución al Estado de Honduras</w:t>
      </w:r>
      <w:r w:rsidR="00BF50B6">
        <w:rPr>
          <w:rFonts w:ascii="Cambria" w:hAnsi="Cambria" w:cs="Arial"/>
          <w:color w:val="000000"/>
          <w:sz w:val="21"/>
          <w:szCs w:val="21"/>
          <w:lang w:val="es-AR"/>
        </w:rPr>
        <w:t xml:space="preserve"> y a los</w:t>
      </w:r>
      <w:r w:rsidRPr="00922E45">
        <w:rPr>
          <w:rFonts w:ascii="Cambria" w:hAnsi="Cambria" w:cs="Arial"/>
          <w:color w:val="000000"/>
          <w:sz w:val="21"/>
          <w:szCs w:val="21"/>
          <w:lang w:val="es-AR"/>
        </w:rPr>
        <w:t xml:space="preserve"> </w:t>
      </w:r>
      <w:r w:rsidR="00AD6A2A" w:rsidRPr="00922E45">
        <w:rPr>
          <w:rFonts w:ascii="Cambria" w:hAnsi="Cambria" w:cs="Arial"/>
          <w:color w:val="000000"/>
          <w:sz w:val="21"/>
          <w:szCs w:val="21"/>
          <w:lang w:val="es-AR"/>
        </w:rPr>
        <w:t>representante</w:t>
      </w:r>
      <w:r w:rsidR="00BF50B6">
        <w:rPr>
          <w:rFonts w:ascii="Cambria" w:hAnsi="Cambria" w:cs="Arial"/>
          <w:color w:val="000000"/>
          <w:sz w:val="21"/>
          <w:szCs w:val="21"/>
          <w:lang w:val="es-AR"/>
        </w:rPr>
        <w:t>s</w:t>
      </w:r>
      <w:r w:rsidRPr="00922E45">
        <w:rPr>
          <w:rFonts w:ascii="Cambria" w:hAnsi="Cambria" w:cs="Arial"/>
          <w:color w:val="000000"/>
          <w:sz w:val="21"/>
          <w:szCs w:val="21"/>
          <w:lang w:val="es-AR"/>
        </w:rPr>
        <w:t xml:space="preserve">. </w:t>
      </w:r>
    </w:p>
    <w:p w:rsidR="0055779D" w:rsidRPr="00922E45" w:rsidRDefault="0055779D" w:rsidP="0055779D">
      <w:pPr>
        <w:tabs>
          <w:tab w:val="left" w:pos="90"/>
          <w:tab w:val="left" w:pos="180"/>
        </w:tabs>
        <w:spacing w:after="0" w:line="240" w:lineRule="auto"/>
        <w:ind w:firstLine="360"/>
        <w:jc w:val="both"/>
        <w:rPr>
          <w:rFonts w:ascii="Cambria" w:hAnsi="Cambria" w:cs="Calibri"/>
          <w:color w:val="000000"/>
          <w:sz w:val="21"/>
          <w:szCs w:val="21"/>
          <w:lang w:val="es-ES"/>
        </w:rPr>
      </w:pPr>
    </w:p>
    <w:p w:rsidR="00BF50B6" w:rsidRPr="00BF50B6" w:rsidRDefault="00BF50B6" w:rsidP="00BF50B6">
      <w:pPr>
        <w:numPr>
          <w:ilvl w:val="0"/>
          <w:numId w:val="34"/>
        </w:numPr>
        <w:tabs>
          <w:tab w:val="left" w:pos="90"/>
          <w:tab w:val="left" w:pos="180"/>
        </w:tabs>
        <w:spacing w:after="0" w:line="240" w:lineRule="auto"/>
        <w:ind w:left="0" w:firstLine="360"/>
        <w:jc w:val="both"/>
        <w:rPr>
          <w:rFonts w:ascii="Cambria" w:hAnsi="Cambria" w:cs="Calibri"/>
          <w:color w:val="000000"/>
          <w:sz w:val="21"/>
          <w:szCs w:val="21"/>
          <w:lang w:val="es-ES"/>
        </w:rPr>
      </w:pPr>
      <w:r>
        <w:rPr>
          <w:rFonts w:ascii="Cambria" w:hAnsi="Cambria"/>
          <w:color w:val="000000"/>
          <w:sz w:val="21"/>
          <w:szCs w:val="21"/>
          <w:lang w:val="es-ES"/>
        </w:rPr>
        <w:t xml:space="preserve">Aprobada el 24 de febrero de </w:t>
      </w:r>
      <w:r w:rsidR="00B62ACB" w:rsidRPr="00922E45">
        <w:rPr>
          <w:rFonts w:ascii="Cambria" w:hAnsi="Cambria"/>
          <w:color w:val="000000"/>
          <w:sz w:val="21"/>
          <w:szCs w:val="21"/>
          <w:lang w:val="es-ES"/>
        </w:rPr>
        <w:t>201</w:t>
      </w:r>
      <w:r w:rsidR="00250839" w:rsidRPr="00922E45">
        <w:rPr>
          <w:rFonts w:ascii="Cambria" w:hAnsi="Cambria"/>
          <w:color w:val="000000"/>
          <w:sz w:val="21"/>
          <w:szCs w:val="21"/>
          <w:lang w:val="es-ES"/>
        </w:rPr>
        <w:t>8</w:t>
      </w:r>
      <w:r w:rsidR="00B62ACB" w:rsidRPr="00922E45">
        <w:rPr>
          <w:rFonts w:ascii="Cambria" w:hAnsi="Cambria"/>
          <w:color w:val="000000"/>
          <w:sz w:val="21"/>
          <w:szCs w:val="21"/>
          <w:lang w:val="es-ES"/>
        </w:rPr>
        <w:t xml:space="preserve"> por: </w:t>
      </w:r>
      <w:r w:rsidRPr="00BF50B6">
        <w:rPr>
          <w:rFonts w:ascii="Cambria" w:hAnsi="Cambria" w:cs="Calibri"/>
          <w:color w:val="000000"/>
          <w:sz w:val="21"/>
          <w:szCs w:val="21"/>
          <w:lang w:val="es-ES"/>
        </w:rPr>
        <w:t xml:space="preserve">Margarette </w:t>
      </w:r>
      <w:proofErr w:type="spellStart"/>
      <w:r w:rsidRPr="00BF50B6">
        <w:rPr>
          <w:rFonts w:ascii="Cambria" w:hAnsi="Cambria" w:cs="Calibri"/>
          <w:color w:val="000000"/>
          <w:sz w:val="21"/>
          <w:szCs w:val="21"/>
          <w:lang w:val="es-ES"/>
        </w:rPr>
        <w:t>May</w:t>
      </w:r>
      <w:proofErr w:type="spellEnd"/>
      <w:r w:rsidRPr="00BF50B6">
        <w:rPr>
          <w:rFonts w:ascii="Cambria" w:hAnsi="Cambria" w:cs="Calibri"/>
          <w:color w:val="000000"/>
          <w:sz w:val="21"/>
          <w:szCs w:val="21"/>
          <w:lang w:val="es-ES"/>
        </w:rPr>
        <w:t xml:space="preserve"> Macaulay, Presidenta; Esmeralda Arosemena de </w:t>
      </w:r>
      <w:proofErr w:type="spellStart"/>
      <w:r w:rsidRPr="00BF50B6">
        <w:rPr>
          <w:rFonts w:ascii="Cambria" w:hAnsi="Cambria" w:cs="Calibri"/>
          <w:color w:val="000000"/>
          <w:sz w:val="21"/>
          <w:szCs w:val="21"/>
          <w:lang w:val="es-ES"/>
        </w:rPr>
        <w:t>Troitiño</w:t>
      </w:r>
      <w:proofErr w:type="spellEnd"/>
      <w:r w:rsidRPr="00BF50B6">
        <w:rPr>
          <w:rFonts w:ascii="Cambria" w:hAnsi="Cambria" w:cs="Calibri"/>
          <w:color w:val="000000"/>
          <w:sz w:val="21"/>
          <w:szCs w:val="21"/>
          <w:lang w:val="es-ES"/>
        </w:rPr>
        <w:t xml:space="preserve">, Primera Vicepresidenta; Luis Ernesto Vargas Silva, Segundo Vicepresidente; Francisco José </w:t>
      </w:r>
      <w:proofErr w:type="spellStart"/>
      <w:r w:rsidRPr="00BF50B6">
        <w:rPr>
          <w:rFonts w:ascii="Cambria" w:hAnsi="Cambria" w:cs="Calibri"/>
          <w:color w:val="000000"/>
          <w:sz w:val="21"/>
          <w:szCs w:val="21"/>
          <w:lang w:val="es-ES"/>
        </w:rPr>
        <w:t>Eguiguren</w:t>
      </w:r>
      <w:proofErr w:type="spellEnd"/>
      <w:r w:rsidRPr="00BF50B6">
        <w:rPr>
          <w:rFonts w:ascii="Cambria" w:hAnsi="Cambria" w:cs="Calibri"/>
          <w:color w:val="000000"/>
          <w:sz w:val="21"/>
          <w:szCs w:val="21"/>
          <w:lang w:val="es-ES"/>
        </w:rPr>
        <w:t xml:space="preserve"> </w:t>
      </w:r>
      <w:proofErr w:type="spellStart"/>
      <w:r w:rsidRPr="00BF50B6">
        <w:rPr>
          <w:rFonts w:ascii="Cambria" w:hAnsi="Cambria" w:cs="Calibri"/>
          <w:color w:val="000000"/>
          <w:sz w:val="21"/>
          <w:szCs w:val="21"/>
          <w:lang w:val="es-ES"/>
        </w:rPr>
        <w:t>Praeli</w:t>
      </w:r>
      <w:proofErr w:type="spellEnd"/>
      <w:r w:rsidRPr="00BF50B6">
        <w:rPr>
          <w:rFonts w:ascii="Cambria" w:hAnsi="Cambria" w:cs="Calibri"/>
          <w:color w:val="000000"/>
          <w:sz w:val="21"/>
          <w:szCs w:val="21"/>
          <w:lang w:val="es-ES"/>
        </w:rPr>
        <w:t xml:space="preserve">; Joel Hernández García; Antonia </w:t>
      </w:r>
      <w:proofErr w:type="spellStart"/>
      <w:r w:rsidRPr="00BF50B6">
        <w:rPr>
          <w:rFonts w:ascii="Cambria" w:hAnsi="Cambria" w:cs="Calibri"/>
          <w:color w:val="000000"/>
          <w:sz w:val="21"/>
          <w:szCs w:val="21"/>
          <w:lang w:val="es-ES"/>
        </w:rPr>
        <w:t>Urrejola</w:t>
      </w:r>
      <w:proofErr w:type="spellEnd"/>
      <w:r w:rsidRPr="00BF50B6">
        <w:rPr>
          <w:rFonts w:ascii="Cambria" w:hAnsi="Cambria" w:cs="Calibri"/>
          <w:color w:val="000000"/>
          <w:sz w:val="21"/>
          <w:szCs w:val="21"/>
          <w:lang w:val="es-ES"/>
        </w:rPr>
        <w:t xml:space="preserve">, </w:t>
      </w:r>
      <w:proofErr w:type="spellStart"/>
      <w:r w:rsidRPr="00BF50B6">
        <w:rPr>
          <w:rFonts w:ascii="Cambria" w:hAnsi="Cambria" w:cs="Calibri"/>
          <w:color w:val="000000"/>
          <w:sz w:val="21"/>
          <w:szCs w:val="21"/>
          <w:lang w:val="es-ES"/>
        </w:rPr>
        <w:t>Flávia</w:t>
      </w:r>
      <w:proofErr w:type="spellEnd"/>
      <w:r w:rsidRPr="00BF50B6">
        <w:rPr>
          <w:rFonts w:ascii="Cambria" w:hAnsi="Cambria" w:cs="Calibri"/>
          <w:color w:val="000000"/>
          <w:sz w:val="21"/>
          <w:szCs w:val="21"/>
          <w:lang w:val="es-ES"/>
        </w:rPr>
        <w:t xml:space="preserve"> </w:t>
      </w:r>
      <w:proofErr w:type="spellStart"/>
      <w:r w:rsidRPr="00BF50B6">
        <w:rPr>
          <w:rFonts w:ascii="Cambria" w:hAnsi="Cambria" w:cs="Calibri"/>
          <w:color w:val="000000"/>
          <w:sz w:val="21"/>
          <w:szCs w:val="21"/>
          <w:lang w:val="es-ES"/>
        </w:rPr>
        <w:t>Piovesan</w:t>
      </w:r>
      <w:proofErr w:type="spellEnd"/>
      <w:r w:rsidRPr="00BF50B6">
        <w:rPr>
          <w:rFonts w:ascii="Cambria" w:hAnsi="Cambria" w:cs="Calibri"/>
          <w:color w:val="000000"/>
          <w:sz w:val="21"/>
          <w:szCs w:val="21"/>
          <w:lang w:val="es-ES"/>
        </w:rPr>
        <w:t>, miembros de la CIDH.</w:t>
      </w:r>
    </w:p>
    <w:p w:rsidR="00BF50B6" w:rsidRPr="00BF50B6" w:rsidRDefault="00BF50B6" w:rsidP="00BF50B6">
      <w:pPr>
        <w:tabs>
          <w:tab w:val="left" w:pos="90"/>
          <w:tab w:val="left" w:pos="180"/>
        </w:tabs>
        <w:spacing w:after="0" w:line="240" w:lineRule="auto"/>
        <w:ind w:left="360"/>
        <w:jc w:val="both"/>
        <w:rPr>
          <w:rFonts w:ascii="Cambria" w:hAnsi="Cambria" w:cs="Calibri"/>
          <w:color w:val="000000"/>
          <w:sz w:val="21"/>
          <w:szCs w:val="21"/>
          <w:lang w:val="es-ES"/>
        </w:rPr>
      </w:pPr>
    </w:p>
    <w:p w:rsidR="00BF50B6" w:rsidRPr="00BF50B6" w:rsidRDefault="00BF50B6" w:rsidP="00BF50B6">
      <w:pPr>
        <w:tabs>
          <w:tab w:val="left" w:pos="90"/>
          <w:tab w:val="left" w:pos="180"/>
        </w:tabs>
        <w:spacing w:after="0" w:line="240" w:lineRule="auto"/>
        <w:ind w:left="360"/>
        <w:jc w:val="both"/>
        <w:rPr>
          <w:rFonts w:ascii="Cambria" w:hAnsi="Cambria" w:cs="Calibri"/>
          <w:color w:val="000000"/>
          <w:sz w:val="21"/>
          <w:szCs w:val="21"/>
          <w:lang w:val="es-ES"/>
        </w:rPr>
      </w:pPr>
    </w:p>
    <w:p w:rsidR="00BF50B6" w:rsidRDefault="00BF50B6" w:rsidP="00BF50B6">
      <w:pPr>
        <w:tabs>
          <w:tab w:val="left" w:pos="90"/>
          <w:tab w:val="left" w:pos="180"/>
        </w:tabs>
        <w:spacing w:after="0" w:line="240" w:lineRule="auto"/>
        <w:ind w:left="360"/>
        <w:jc w:val="both"/>
        <w:rPr>
          <w:rFonts w:ascii="Cambria" w:hAnsi="Cambria" w:cs="Calibri"/>
          <w:color w:val="000000"/>
          <w:sz w:val="21"/>
          <w:szCs w:val="21"/>
          <w:lang w:val="es-ES"/>
        </w:rPr>
      </w:pPr>
    </w:p>
    <w:p w:rsidR="00BF50B6" w:rsidRDefault="00BF50B6" w:rsidP="00BF50B6">
      <w:pPr>
        <w:tabs>
          <w:tab w:val="left" w:pos="90"/>
          <w:tab w:val="left" w:pos="180"/>
        </w:tabs>
        <w:spacing w:after="0" w:line="240" w:lineRule="auto"/>
        <w:ind w:left="360"/>
        <w:jc w:val="both"/>
        <w:rPr>
          <w:rFonts w:ascii="Cambria" w:hAnsi="Cambria" w:cs="Calibri"/>
          <w:color w:val="000000"/>
          <w:sz w:val="21"/>
          <w:szCs w:val="21"/>
          <w:lang w:val="es-ES"/>
        </w:rPr>
      </w:pPr>
    </w:p>
    <w:p w:rsidR="00BF50B6" w:rsidRPr="00BF50B6" w:rsidRDefault="00BF50B6" w:rsidP="00BF50B6">
      <w:pPr>
        <w:tabs>
          <w:tab w:val="left" w:pos="90"/>
          <w:tab w:val="left" w:pos="180"/>
        </w:tabs>
        <w:spacing w:after="0" w:line="240" w:lineRule="auto"/>
        <w:ind w:left="360"/>
        <w:jc w:val="both"/>
        <w:rPr>
          <w:rFonts w:ascii="Cambria" w:hAnsi="Cambria" w:cs="Calibri"/>
          <w:color w:val="000000"/>
          <w:sz w:val="21"/>
          <w:szCs w:val="21"/>
          <w:lang w:val="es-ES"/>
        </w:rPr>
      </w:pPr>
    </w:p>
    <w:p w:rsidR="00BF50B6" w:rsidRPr="00BF50B6" w:rsidRDefault="00BF50B6" w:rsidP="00BF50B6">
      <w:pPr>
        <w:tabs>
          <w:tab w:val="left" w:pos="90"/>
          <w:tab w:val="left" w:pos="180"/>
        </w:tabs>
        <w:spacing w:after="0" w:line="240" w:lineRule="auto"/>
        <w:ind w:left="360"/>
        <w:jc w:val="center"/>
        <w:rPr>
          <w:rFonts w:ascii="Cambria" w:hAnsi="Cambria" w:cs="Calibri"/>
          <w:color w:val="000000"/>
          <w:sz w:val="21"/>
          <w:szCs w:val="21"/>
          <w:lang w:val="es-ES"/>
        </w:rPr>
      </w:pPr>
    </w:p>
    <w:p w:rsidR="00BF50B6" w:rsidRPr="00BF50B6" w:rsidRDefault="00BF50B6" w:rsidP="00BF50B6">
      <w:pPr>
        <w:tabs>
          <w:tab w:val="left" w:pos="90"/>
          <w:tab w:val="left" w:pos="180"/>
        </w:tabs>
        <w:spacing w:after="0" w:line="240" w:lineRule="auto"/>
        <w:ind w:left="360"/>
        <w:jc w:val="center"/>
        <w:rPr>
          <w:rFonts w:ascii="Cambria" w:hAnsi="Cambria" w:cs="Calibri"/>
          <w:color w:val="000000"/>
          <w:sz w:val="21"/>
          <w:szCs w:val="21"/>
          <w:lang w:val="es-ES"/>
        </w:rPr>
      </w:pPr>
      <w:r w:rsidRPr="00BF50B6">
        <w:rPr>
          <w:rFonts w:ascii="Cambria" w:hAnsi="Cambria" w:cs="Calibri"/>
          <w:color w:val="000000"/>
          <w:sz w:val="21"/>
          <w:szCs w:val="21"/>
          <w:lang w:val="es-ES"/>
        </w:rPr>
        <w:t>Lilly Ching Soto</w:t>
      </w:r>
    </w:p>
    <w:p w:rsidR="00BF50B6" w:rsidRPr="00922E45" w:rsidRDefault="00BF50B6" w:rsidP="00BF50B6">
      <w:pPr>
        <w:tabs>
          <w:tab w:val="left" w:pos="90"/>
          <w:tab w:val="left" w:pos="180"/>
        </w:tabs>
        <w:spacing w:after="0" w:line="240" w:lineRule="auto"/>
        <w:ind w:left="360"/>
        <w:jc w:val="center"/>
        <w:rPr>
          <w:rFonts w:ascii="Cambria" w:hAnsi="Cambria" w:cs="Calibri"/>
          <w:color w:val="000000"/>
          <w:sz w:val="21"/>
          <w:szCs w:val="21"/>
          <w:lang w:val="es-ES"/>
        </w:rPr>
      </w:pPr>
      <w:r w:rsidRPr="00BF50B6">
        <w:rPr>
          <w:rFonts w:ascii="Cambria" w:hAnsi="Cambria" w:cs="Calibri"/>
          <w:color w:val="000000"/>
          <w:sz w:val="21"/>
          <w:szCs w:val="21"/>
          <w:lang w:val="es-ES"/>
        </w:rPr>
        <w:t>Por autorización del Secretario Ejecutivo</w:t>
      </w:r>
    </w:p>
    <w:sectPr w:rsidR="00BF50B6" w:rsidRPr="00922E45">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3D18" w:rsidRDefault="00E33D18" w:rsidP="00B62ACB">
      <w:pPr>
        <w:spacing w:after="0" w:line="240" w:lineRule="auto"/>
      </w:pPr>
      <w:r>
        <w:separator/>
      </w:r>
    </w:p>
  </w:endnote>
  <w:endnote w:type="continuationSeparator" w:id="0">
    <w:p w:rsidR="00E33D18" w:rsidRDefault="00E33D18" w:rsidP="00B62A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charset w:val="80"/>
    <w:family w:val="auto"/>
    <w:pitch w:val="variable"/>
    <w:sig w:usb0="E00002FF" w:usb1="7AC7FFFF" w:usb2="00000012" w:usb3="00000000" w:csb0="0002000D"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ers">
    <w:panose1 w:val="020B060302020203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43F" w:rsidRDefault="00AE143F">
    <w:pPr>
      <w:pStyle w:val="Footer"/>
      <w:jc w:val="center"/>
    </w:pPr>
    <w:r>
      <w:fldChar w:fldCharType="begin"/>
    </w:r>
    <w:r>
      <w:instrText xml:space="preserve"> PAGE   \* MERGEFORMAT </w:instrText>
    </w:r>
    <w:r>
      <w:fldChar w:fldCharType="separate"/>
    </w:r>
    <w:r w:rsidR="00577DF8">
      <w:rPr>
        <w:noProof/>
      </w:rPr>
      <w:t>8</w:t>
    </w:r>
    <w:r>
      <w:rPr>
        <w:noProof/>
      </w:rPr>
      <w:fldChar w:fldCharType="end"/>
    </w:r>
  </w:p>
  <w:p w:rsidR="00AE143F" w:rsidRDefault="00AE14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3D18" w:rsidRDefault="00E33D18" w:rsidP="00B62ACB">
      <w:pPr>
        <w:spacing w:after="0" w:line="240" w:lineRule="auto"/>
      </w:pPr>
      <w:r>
        <w:separator/>
      </w:r>
    </w:p>
  </w:footnote>
  <w:footnote w:type="continuationSeparator" w:id="0">
    <w:p w:rsidR="00E33D18" w:rsidRDefault="00E33D18" w:rsidP="00B62ACB">
      <w:pPr>
        <w:spacing w:after="0" w:line="240" w:lineRule="auto"/>
      </w:pPr>
      <w:r>
        <w:continuationSeparator/>
      </w:r>
    </w:p>
  </w:footnote>
  <w:footnote w:id="1">
    <w:p w:rsidR="00AE143F" w:rsidRPr="002B1C71" w:rsidRDefault="00AE143F" w:rsidP="00481FDA">
      <w:pPr>
        <w:pStyle w:val="FootnoteText"/>
        <w:ind w:firstLine="360"/>
        <w:jc w:val="both"/>
        <w:rPr>
          <w:rFonts w:ascii="Calibri Light" w:hAnsi="Calibri Light" w:cs="Calibri Light"/>
          <w:sz w:val="16"/>
          <w:szCs w:val="16"/>
          <w:lang w:val="es-PE"/>
        </w:rPr>
      </w:pPr>
      <w:r w:rsidRPr="002B1C71">
        <w:rPr>
          <w:rStyle w:val="FootnoteReference"/>
          <w:rFonts w:ascii="Calibri Light" w:hAnsi="Calibri Light" w:cs="Calibri Light"/>
          <w:sz w:val="16"/>
          <w:szCs w:val="16"/>
        </w:rPr>
        <w:footnoteRef/>
      </w:r>
      <w:r w:rsidRPr="002B1C71">
        <w:rPr>
          <w:rFonts w:ascii="Calibri Light" w:hAnsi="Calibri Light" w:cs="Calibri Light"/>
          <w:sz w:val="16"/>
          <w:szCs w:val="16"/>
        </w:rPr>
        <w:t xml:space="preserve"> Según la solicitud inicial</w:t>
      </w:r>
      <w:r w:rsidRPr="002B1C71">
        <w:rPr>
          <w:rFonts w:ascii="Calibri Light" w:hAnsi="Calibri Light" w:cs="Calibri Light"/>
          <w:sz w:val="16"/>
          <w:szCs w:val="16"/>
          <w:lang w:val="es-PE"/>
        </w:rPr>
        <w:t xml:space="preserve">, </w:t>
      </w:r>
      <w:r w:rsidR="00534AD3" w:rsidRPr="002B1C71">
        <w:rPr>
          <w:rFonts w:ascii="Calibri Light" w:hAnsi="Calibri Light" w:cs="Calibri Light"/>
          <w:sz w:val="16"/>
          <w:szCs w:val="16"/>
          <w:lang w:val="es-PE"/>
        </w:rPr>
        <w:t>se refirieron a</w:t>
      </w:r>
      <w:r w:rsidRPr="002B1C71">
        <w:rPr>
          <w:rFonts w:ascii="Calibri Light" w:hAnsi="Calibri Light" w:cs="Calibri Light"/>
          <w:sz w:val="16"/>
          <w:szCs w:val="16"/>
          <w:lang w:val="es-PE"/>
        </w:rPr>
        <w:t xml:space="preserve"> 10 comunidades: (1) Pajuiles Bajo, (2) Pajuiles Alto, (3) Planes de Arena Blanca, (4) Las </w:t>
      </w:r>
      <w:proofErr w:type="spellStart"/>
      <w:r w:rsidRPr="002B1C71">
        <w:rPr>
          <w:rFonts w:ascii="Calibri Light" w:hAnsi="Calibri Light" w:cs="Calibri Light"/>
          <w:sz w:val="16"/>
          <w:szCs w:val="16"/>
          <w:lang w:val="es-PE"/>
        </w:rPr>
        <w:t>Metalias</w:t>
      </w:r>
      <w:proofErr w:type="spellEnd"/>
      <w:r w:rsidRPr="002B1C71">
        <w:rPr>
          <w:rFonts w:ascii="Calibri Light" w:hAnsi="Calibri Light" w:cs="Calibri Light"/>
          <w:sz w:val="16"/>
          <w:szCs w:val="16"/>
          <w:lang w:val="es-PE"/>
        </w:rPr>
        <w:t xml:space="preserve">, (5) </w:t>
      </w:r>
      <w:proofErr w:type="spellStart"/>
      <w:r w:rsidRPr="002B1C71">
        <w:rPr>
          <w:rFonts w:ascii="Calibri Light" w:hAnsi="Calibri Light" w:cs="Calibri Light"/>
          <w:sz w:val="16"/>
          <w:szCs w:val="16"/>
          <w:lang w:val="es-PE"/>
        </w:rPr>
        <w:t>Mezapa</w:t>
      </w:r>
      <w:proofErr w:type="spellEnd"/>
      <w:r w:rsidRPr="002B1C71">
        <w:rPr>
          <w:rFonts w:ascii="Calibri Light" w:hAnsi="Calibri Light" w:cs="Calibri Light"/>
          <w:sz w:val="16"/>
          <w:szCs w:val="16"/>
          <w:lang w:val="es-PE"/>
        </w:rPr>
        <w:t xml:space="preserve">, (6) Brisas de San Antonio, (7) Santiago, (8) </w:t>
      </w:r>
      <w:proofErr w:type="spellStart"/>
      <w:r w:rsidRPr="002B1C71">
        <w:rPr>
          <w:rFonts w:ascii="Calibri Light" w:hAnsi="Calibri Light" w:cs="Calibri Light"/>
          <w:sz w:val="16"/>
          <w:szCs w:val="16"/>
          <w:lang w:val="es-PE"/>
        </w:rPr>
        <w:t>Zoilabé</w:t>
      </w:r>
      <w:proofErr w:type="spellEnd"/>
      <w:r w:rsidRPr="002B1C71">
        <w:rPr>
          <w:rFonts w:ascii="Calibri Light" w:hAnsi="Calibri Light" w:cs="Calibri Light"/>
          <w:sz w:val="16"/>
          <w:szCs w:val="16"/>
          <w:lang w:val="es-PE"/>
        </w:rPr>
        <w:t xml:space="preserve">, (9) </w:t>
      </w:r>
      <w:proofErr w:type="spellStart"/>
      <w:r w:rsidRPr="002B1C71">
        <w:rPr>
          <w:rFonts w:ascii="Calibri Light" w:hAnsi="Calibri Light" w:cs="Calibri Light"/>
          <w:sz w:val="16"/>
          <w:szCs w:val="16"/>
          <w:lang w:val="es-PE"/>
        </w:rPr>
        <w:t>Procón</w:t>
      </w:r>
      <w:proofErr w:type="spellEnd"/>
      <w:r w:rsidRPr="002B1C71">
        <w:rPr>
          <w:rFonts w:ascii="Calibri Light" w:hAnsi="Calibri Light" w:cs="Calibri Light"/>
          <w:sz w:val="16"/>
          <w:szCs w:val="16"/>
          <w:lang w:val="es-PE"/>
        </w:rPr>
        <w:t xml:space="preserve">, y (10) </w:t>
      </w:r>
      <w:proofErr w:type="spellStart"/>
      <w:r w:rsidRPr="002B1C71">
        <w:rPr>
          <w:rFonts w:ascii="Calibri Light" w:hAnsi="Calibri Light" w:cs="Calibri Light"/>
          <w:sz w:val="16"/>
          <w:szCs w:val="16"/>
          <w:lang w:val="es-PE"/>
        </w:rPr>
        <w:t>Toloa</w:t>
      </w:r>
      <w:proofErr w:type="spellEnd"/>
      <w:r w:rsidRPr="002B1C71">
        <w:rPr>
          <w:rFonts w:ascii="Calibri Light" w:hAnsi="Calibri Light" w:cs="Calibri Light"/>
          <w:sz w:val="16"/>
          <w:szCs w:val="16"/>
          <w:lang w:val="es-PE"/>
        </w:rPr>
        <w:t xml:space="preserve"> Adentro. Según los solicitantes, abarcarían aproximadamente un total 17.000 personas</w:t>
      </w:r>
      <w:r w:rsidR="00534AD3" w:rsidRPr="002B1C71">
        <w:rPr>
          <w:rFonts w:ascii="Calibri Light" w:hAnsi="Calibri Light" w:cs="Calibri Light"/>
          <w:sz w:val="16"/>
          <w:szCs w:val="16"/>
          <w:lang w:val="es-PE"/>
        </w:rPr>
        <w:t xml:space="preserve">. </w:t>
      </w:r>
      <w:r w:rsidRPr="002B1C71">
        <w:rPr>
          <w:rFonts w:ascii="Calibri Light" w:hAnsi="Calibri Light" w:cs="Calibri Light"/>
          <w:sz w:val="16"/>
          <w:szCs w:val="16"/>
          <w:lang w:val="es-PE"/>
        </w:rPr>
        <w:t xml:space="preserve">Posteriormente, los solicitantes proporcionaron “certificaciones emitidas por las Juntas Directivas de las distintas juntas de agua de las comunidades que tienen como fuente del agua potable el rio </w:t>
      </w:r>
      <w:proofErr w:type="spellStart"/>
      <w:r w:rsidRPr="002B1C71">
        <w:rPr>
          <w:rFonts w:ascii="Calibri Light" w:hAnsi="Calibri Light" w:cs="Calibri Light"/>
          <w:sz w:val="16"/>
          <w:szCs w:val="16"/>
          <w:lang w:val="es-PE"/>
        </w:rPr>
        <w:t>Mezapa</w:t>
      </w:r>
      <w:proofErr w:type="spellEnd"/>
      <w:r w:rsidRPr="002B1C71">
        <w:rPr>
          <w:rFonts w:ascii="Calibri Light" w:hAnsi="Calibri Light" w:cs="Calibri Light"/>
          <w:sz w:val="16"/>
          <w:szCs w:val="16"/>
          <w:lang w:val="es-PE"/>
        </w:rPr>
        <w:t xml:space="preserve">”. Estas serían: la Comunidad de Planes de Arena Blanca con 150 personas; la Comunidad de Pajuiles Alto con 180 personas; la Comunidad de Pajuiles Bajo con 1460 personas; la Comunidad de Las </w:t>
      </w:r>
      <w:proofErr w:type="spellStart"/>
      <w:r w:rsidRPr="002B1C71">
        <w:rPr>
          <w:rFonts w:ascii="Calibri Light" w:hAnsi="Calibri Light" w:cs="Calibri Light"/>
          <w:sz w:val="16"/>
          <w:szCs w:val="16"/>
          <w:lang w:val="es-PE"/>
        </w:rPr>
        <w:t>Metalias</w:t>
      </w:r>
      <w:proofErr w:type="spellEnd"/>
      <w:r w:rsidRPr="002B1C71">
        <w:rPr>
          <w:rFonts w:ascii="Calibri Light" w:hAnsi="Calibri Light" w:cs="Calibri Light"/>
          <w:sz w:val="16"/>
          <w:szCs w:val="16"/>
          <w:lang w:val="es-PE"/>
        </w:rPr>
        <w:t xml:space="preserve"> con 2600 personas; y la Comunidad de Santa Rosa del Norte </w:t>
      </w:r>
      <w:proofErr w:type="spellStart"/>
      <w:r w:rsidRPr="002B1C71">
        <w:rPr>
          <w:rFonts w:ascii="Calibri Light" w:hAnsi="Calibri Light" w:cs="Calibri Light"/>
          <w:sz w:val="16"/>
          <w:szCs w:val="16"/>
          <w:lang w:val="es-PE"/>
        </w:rPr>
        <w:t>Mezapa</w:t>
      </w:r>
      <w:proofErr w:type="spellEnd"/>
      <w:r w:rsidRPr="002B1C71">
        <w:rPr>
          <w:rFonts w:ascii="Calibri Light" w:hAnsi="Calibri Light" w:cs="Calibri Light"/>
          <w:sz w:val="16"/>
          <w:szCs w:val="16"/>
          <w:lang w:val="es-PE"/>
        </w:rPr>
        <w:t xml:space="preserve"> cuyo número poblacional no fue indicado. Según los solicitantes, estas comunidades tienen como fuente de agua potable el río </w:t>
      </w:r>
      <w:proofErr w:type="spellStart"/>
      <w:r w:rsidRPr="002B1C71">
        <w:rPr>
          <w:rFonts w:ascii="Calibri Light" w:hAnsi="Calibri Light" w:cs="Calibri Light"/>
          <w:sz w:val="16"/>
          <w:szCs w:val="16"/>
          <w:lang w:val="es-PE"/>
        </w:rPr>
        <w:t>Mezapa</w:t>
      </w:r>
      <w:proofErr w:type="spellEnd"/>
      <w:r w:rsidRPr="002B1C71">
        <w:rPr>
          <w:rFonts w:ascii="Calibri Light" w:hAnsi="Calibri Light" w:cs="Calibri Light"/>
          <w:sz w:val="16"/>
          <w:szCs w:val="16"/>
          <w:lang w:val="es-PE"/>
        </w:rPr>
        <w:t xml:space="preserve">. Los solicitantes adjuntaron dos veces la certificación de la Comunidad de Pajuiles Bajo. </w:t>
      </w:r>
    </w:p>
  </w:footnote>
  <w:footnote w:id="2">
    <w:p w:rsidR="00AE143F" w:rsidRPr="002B1C71" w:rsidRDefault="00AE143F" w:rsidP="00481FDA">
      <w:pPr>
        <w:pStyle w:val="FootnoteText"/>
        <w:ind w:firstLine="360"/>
        <w:jc w:val="both"/>
        <w:rPr>
          <w:rFonts w:ascii="Calibri Light" w:hAnsi="Calibri Light" w:cs="Calibri Light"/>
          <w:sz w:val="16"/>
          <w:szCs w:val="16"/>
        </w:rPr>
      </w:pPr>
      <w:r w:rsidRPr="002B1C71">
        <w:rPr>
          <w:rStyle w:val="FootnoteReference"/>
          <w:rFonts w:ascii="Calibri Light" w:hAnsi="Calibri Light" w:cs="Calibri Light"/>
          <w:sz w:val="16"/>
          <w:szCs w:val="16"/>
        </w:rPr>
        <w:footnoteRef/>
      </w:r>
      <w:r w:rsidRPr="002B1C71">
        <w:rPr>
          <w:rFonts w:ascii="Calibri Light" w:hAnsi="Calibri Light" w:cs="Calibri Light"/>
          <w:sz w:val="16"/>
          <w:szCs w:val="16"/>
        </w:rPr>
        <w:t xml:space="preserve"> Inicialmente, los solicitantes adjuntaron una lista escrita a mano de aproximadamente 72 de personas. Posteriormente, los solicitantes remitieron una lista de 66 personas y luego aumentaron</w:t>
      </w:r>
      <w:bookmarkStart w:id="0" w:name="_GoBack"/>
      <w:bookmarkEnd w:id="0"/>
      <w:r w:rsidRPr="002B1C71">
        <w:rPr>
          <w:rFonts w:ascii="Calibri Light" w:hAnsi="Calibri Light" w:cs="Calibri Light"/>
          <w:sz w:val="16"/>
          <w:szCs w:val="16"/>
        </w:rPr>
        <w:t xml:space="preserve"> 38 personas más “que se han unido a los campamentos en las últimas semanas”. En su última comunicación, los solicitantes aumentaron 4 personas más “debido a las dificultades en los registros, y a que varias personas se han incorporado a los campamentos con posterioridad”. </w:t>
      </w:r>
    </w:p>
  </w:footnote>
  <w:footnote w:id="3">
    <w:p w:rsidR="00AE143F" w:rsidRPr="002B1C71" w:rsidRDefault="00AE143F" w:rsidP="00481FDA">
      <w:pPr>
        <w:pStyle w:val="FootnoteText"/>
        <w:ind w:firstLine="360"/>
        <w:jc w:val="both"/>
        <w:rPr>
          <w:rFonts w:ascii="Calibri Light" w:hAnsi="Calibri Light" w:cs="Calibri Light"/>
          <w:sz w:val="16"/>
          <w:szCs w:val="16"/>
        </w:rPr>
      </w:pPr>
      <w:r w:rsidRPr="002B1C71">
        <w:rPr>
          <w:rStyle w:val="FootnoteReference"/>
          <w:rFonts w:ascii="Calibri Light" w:hAnsi="Calibri Light" w:cs="Calibri Light"/>
          <w:sz w:val="16"/>
          <w:szCs w:val="16"/>
        </w:rPr>
        <w:footnoteRef/>
      </w:r>
      <w:r w:rsidRPr="002B1C71">
        <w:rPr>
          <w:rFonts w:ascii="Calibri Light" w:hAnsi="Calibri Light" w:cs="Calibri Light"/>
          <w:sz w:val="16"/>
          <w:szCs w:val="16"/>
        </w:rPr>
        <w:t xml:space="preserve"> Según los solicitantes esta contaminación se produce por medio de propagación de heces de humanos y animales de sangre caliente.</w:t>
      </w:r>
    </w:p>
  </w:footnote>
  <w:footnote w:id="4">
    <w:p w:rsidR="00AE143F" w:rsidRPr="002B1C71" w:rsidRDefault="00AE143F" w:rsidP="00481FDA">
      <w:pPr>
        <w:pStyle w:val="FootnoteText"/>
        <w:ind w:firstLine="360"/>
        <w:jc w:val="both"/>
        <w:rPr>
          <w:rFonts w:ascii="Calibri Light" w:hAnsi="Calibri Light" w:cs="Calibri Light"/>
          <w:sz w:val="16"/>
          <w:szCs w:val="16"/>
        </w:rPr>
      </w:pPr>
      <w:r w:rsidRPr="002B1C71">
        <w:rPr>
          <w:rStyle w:val="FootnoteReference"/>
          <w:rFonts w:ascii="Calibri Light" w:hAnsi="Calibri Light" w:cs="Calibri Light"/>
          <w:sz w:val="16"/>
          <w:szCs w:val="16"/>
        </w:rPr>
        <w:footnoteRef/>
      </w:r>
      <w:r w:rsidRPr="002B1C71">
        <w:rPr>
          <w:rFonts w:ascii="Calibri Light" w:hAnsi="Calibri Light" w:cs="Calibri Light"/>
          <w:sz w:val="16"/>
          <w:szCs w:val="16"/>
        </w:rPr>
        <w:t xml:space="preserve"> Los solicitantes no adjuntaron este informe. Se hace referencia al mismo en su solicitud de suspensión adjunta a la comunicación. </w:t>
      </w:r>
    </w:p>
  </w:footnote>
  <w:footnote w:id="5">
    <w:p w:rsidR="00481FDA" w:rsidRPr="002B1C71" w:rsidRDefault="00481FDA" w:rsidP="00481FDA">
      <w:pPr>
        <w:pStyle w:val="FootnoteText"/>
        <w:ind w:firstLine="360"/>
        <w:jc w:val="both"/>
        <w:rPr>
          <w:rFonts w:ascii="Calibri Light" w:hAnsi="Calibri Light"/>
          <w:sz w:val="16"/>
          <w:szCs w:val="16"/>
        </w:rPr>
      </w:pPr>
      <w:r w:rsidRPr="002B1C71">
        <w:rPr>
          <w:rStyle w:val="FootnoteReference"/>
          <w:rFonts w:ascii="Calibri Light" w:hAnsi="Calibri Light"/>
          <w:sz w:val="16"/>
          <w:szCs w:val="16"/>
        </w:rPr>
        <w:footnoteRef/>
      </w:r>
      <w:r w:rsidRPr="002B1C71">
        <w:rPr>
          <w:rFonts w:ascii="Calibri Light" w:hAnsi="Calibri Light"/>
          <w:sz w:val="16"/>
          <w:szCs w:val="16"/>
        </w:rPr>
        <w:t xml:space="preserve"> El 12 de mayo de 2016 se habría presentado una denuncia penal por los delitos de daños al ambiente ocasionados por HIDROCEP</w:t>
      </w:r>
      <w:r w:rsidR="008F2EC3" w:rsidRPr="002B1C71">
        <w:rPr>
          <w:rFonts w:ascii="Calibri Light" w:hAnsi="Calibri Light"/>
          <w:sz w:val="16"/>
          <w:szCs w:val="16"/>
        </w:rPr>
        <w:t xml:space="preserve">. </w:t>
      </w:r>
      <w:r w:rsidRPr="002B1C71">
        <w:rPr>
          <w:rFonts w:ascii="Calibri Light" w:hAnsi="Calibri Light"/>
          <w:sz w:val="16"/>
          <w:szCs w:val="16"/>
        </w:rPr>
        <w:t>El 9 de diciembre de 2016, se habría presentado una denuncia contra el alcalde de Tela y demás funcionarios municipales involucrados en el otorgamiento de los permisos a la empresa HIDROCEP; una ampliación de la denuncia de 12 de mayo de 2016 en contra de la empresa HIDROCEP y una impugnación del acta de Cabildo Abierto realizado el 7 de noviembre de 2016 por irregularidades en el otorgamiento de permisos a la empresa.</w:t>
      </w:r>
    </w:p>
  </w:footnote>
  <w:footnote w:id="6">
    <w:p w:rsidR="00AE143F" w:rsidRPr="002B1C71" w:rsidRDefault="00AE143F" w:rsidP="00481FDA">
      <w:pPr>
        <w:pStyle w:val="FootnoteText"/>
        <w:ind w:firstLine="360"/>
        <w:jc w:val="both"/>
        <w:rPr>
          <w:rFonts w:ascii="Calibri Light" w:hAnsi="Calibri Light" w:cs="Calibri Light"/>
          <w:sz w:val="16"/>
          <w:szCs w:val="16"/>
        </w:rPr>
      </w:pPr>
      <w:r w:rsidRPr="002B1C71">
        <w:rPr>
          <w:rStyle w:val="FootnoteReference"/>
          <w:rFonts w:ascii="Calibri Light" w:hAnsi="Calibri Light" w:cs="Calibri Light"/>
          <w:sz w:val="16"/>
          <w:szCs w:val="16"/>
        </w:rPr>
        <w:footnoteRef/>
      </w:r>
      <w:r w:rsidRPr="002B1C71">
        <w:rPr>
          <w:rFonts w:ascii="Calibri Light" w:hAnsi="Calibri Light" w:cs="Calibri Light"/>
          <w:sz w:val="16"/>
          <w:szCs w:val="16"/>
        </w:rPr>
        <w:t xml:space="preserve"> </w:t>
      </w:r>
      <w:r w:rsidR="008F2EC3" w:rsidRPr="002B1C71">
        <w:rPr>
          <w:rFonts w:ascii="Calibri Light" w:hAnsi="Calibri Light" w:cs="Calibri Light"/>
          <w:sz w:val="16"/>
          <w:szCs w:val="16"/>
        </w:rPr>
        <w:t>Según los solicitantes</w:t>
      </w:r>
      <w:r w:rsidRPr="002B1C71">
        <w:rPr>
          <w:rFonts w:ascii="Calibri Light" w:hAnsi="Calibri Light" w:cs="Calibri Light"/>
          <w:sz w:val="16"/>
          <w:szCs w:val="16"/>
        </w:rPr>
        <w:t>: (i) 26/04/17: mientras 3 personas revisaban un vehículo para verificar que no estuviera ingresando material al proyecto habrían recibido gritos de personas indicando  que “los agarrarían a tiros”; (ii) 01/05/17: 2 trabajadores de la empresa habrían indicado que “ya los vamos a agarrar a tiros, eso es lo que quieren”; (iii) 04/05/17: Se habrían presentado un policía para buscar armas ante supuestas denuncias; (iv) 11/05/17: Un poblador que apoya a la empresa estaba conduciendo en estado de ebriedad y ante la solicitud para que parara su vehículo para revisión, este les habría gritado “dejen de estar como pendejos como policías, que la próxima vez que pase por aquí, los voy a quitar a punta de bala”; (v) 21/11/17: un integrante que se dirigía al campamento habría sido abordado por un trabajador de la empresa quien le indicó “todo ha estado tranquilo, porque es tiempo de elecciones pero, después de las elecciones, al siguiente día van a llegar con máquinas, policías y militares a desbaratar el campamento y todo lo que se encuentra ahí y van a cruzas, esto no lo para nadie, y el presidente ya dio la orden se oponga quien se oponga este proyecto va”; y (vi) 10/11/17: un vehículo que transportaba combustible para maquinaria de la empresa transitó a alta velocidad por la calle, y casi arrolla a una persona. Los integrantes del Campamento habrían instalados un túmulo pequeño para evitar el paso acelerado de vehículos. Un empleado de la empresa con tono amenazante aseveró que “si siguen construyendo el túmulo, la gente de la comunidad de arriba va bajar otra vez a golpearlos y confrontarlos”.</w:t>
      </w:r>
    </w:p>
  </w:footnote>
  <w:footnote w:id="7">
    <w:p w:rsidR="00AE143F" w:rsidRPr="002B1C71" w:rsidRDefault="00AE143F" w:rsidP="00481FDA">
      <w:pPr>
        <w:pStyle w:val="FootnoteText"/>
        <w:ind w:firstLine="360"/>
        <w:jc w:val="both"/>
        <w:rPr>
          <w:rFonts w:ascii="Calibri Light" w:hAnsi="Calibri Light" w:cs="Calibri Light"/>
          <w:sz w:val="16"/>
          <w:szCs w:val="16"/>
        </w:rPr>
      </w:pPr>
      <w:r w:rsidRPr="002B1C71">
        <w:rPr>
          <w:rStyle w:val="FootnoteReference"/>
          <w:rFonts w:ascii="Calibri Light" w:hAnsi="Calibri Light" w:cs="Calibri Light"/>
          <w:sz w:val="16"/>
          <w:szCs w:val="16"/>
        </w:rPr>
        <w:footnoteRef/>
      </w:r>
      <w:r w:rsidRPr="002B1C71">
        <w:rPr>
          <w:rFonts w:ascii="Calibri Light" w:hAnsi="Calibri Light" w:cs="Calibri Light"/>
          <w:sz w:val="16"/>
          <w:szCs w:val="16"/>
        </w:rPr>
        <w:t xml:space="preserve"> </w:t>
      </w:r>
      <w:r w:rsidR="008F2EC3" w:rsidRPr="002B1C71">
        <w:rPr>
          <w:rFonts w:ascii="Calibri Light" w:hAnsi="Calibri Light" w:cs="Calibri Light"/>
          <w:sz w:val="16"/>
          <w:szCs w:val="16"/>
        </w:rPr>
        <w:t>Según los solicitantes</w:t>
      </w:r>
      <w:r w:rsidRPr="002B1C71">
        <w:rPr>
          <w:rFonts w:ascii="Calibri Light" w:hAnsi="Calibri Light" w:cs="Calibri Light"/>
          <w:sz w:val="16"/>
          <w:szCs w:val="16"/>
        </w:rPr>
        <w:t xml:space="preserve">: (i) 11/17: un ingeniero de la empresa realizó una toma masiva de fotografías de las personas en el campamento desde un vehículo; y (ii) 03/01/18: dos integrantes que se dirigían a los Campamentos habrían sido detenidos por 3 miembros de la policía. Uno de los policías habría indicado que “no son ellos” y los dejaron en libertad. El 09/01/18, un empleado de la empresa se presentó en los campamentos junto con un policía, quien habría fotografiado con su celular las instalaciones y a las personas que ahí se encontraban, sin dar explicación alguna. </w:t>
      </w:r>
    </w:p>
  </w:footnote>
  <w:footnote w:id="8">
    <w:p w:rsidR="00AE143F" w:rsidRPr="002B1C71" w:rsidRDefault="00AE143F" w:rsidP="00481FDA">
      <w:pPr>
        <w:pStyle w:val="FootnoteText"/>
        <w:ind w:firstLine="360"/>
        <w:jc w:val="both"/>
        <w:rPr>
          <w:rFonts w:ascii="Calibri Light" w:hAnsi="Calibri Light" w:cs="Calibri Light"/>
          <w:sz w:val="16"/>
          <w:szCs w:val="16"/>
        </w:rPr>
      </w:pPr>
      <w:r w:rsidRPr="002B1C71">
        <w:rPr>
          <w:rStyle w:val="FootnoteReference"/>
          <w:rFonts w:ascii="Calibri Light" w:hAnsi="Calibri Light" w:cs="Calibri Light"/>
          <w:sz w:val="16"/>
          <w:szCs w:val="16"/>
        </w:rPr>
        <w:footnoteRef/>
      </w:r>
      <w:r w:rsidRPr="002B1C71">
        <w:rPr>
          <w:rFonts w:ascii="Calibri Light" w:hAnsi="Calibri Light" w:cs="Calibri Light"/>
          <w:sz w:val="16"/>
          <w:szCs w:val="16"/>
        </w:rPr>
        <w:t xml:space="preserve"> </w:t>
      </w:r>
      <w:r w:rsidR="008F2EC3" w:rsidRPr="002B1C71">
        <w:rPr>
          <w:rFonts w:ascii="Calibri Light" w:hAnsi="Calibri Light" w:cs="Calibri Light"/>
          <w:sz w:val="16"/>
          <w:szCs w:val="16"/>
        </w:rPr>
        <w:t>Según los solicitantes</w:t>
      </w:r>
      <w:r w:rsidRPr="002B1C71">
        <w:rPr>
          <w:rFonts w:ascii="Calibri Light" w:hAnsi="Calibri Light" w:cs="Calibri Light"/>
          <w:sz w:val="16"/>
          <w:szCs w:val="16"/>
        </w:rPr>
        <w:t>: (i) 22/07/17: Personas desconocidas habrían prendido fuego al campamento ubicado en el segundo acceso al plantel, desmontando la galera que funcionaba para proteger a las personas campistas, y robando varios de los materiales elaborados por las comunidades.; (ii) 04/08/17: Aproximadamente 50 personas que portaban armas de fuego, palos y machetes, se habrían presentado en el campamento y procedido a desalojar violentamente a las personas que ahí se encontraban, destruyendo  todos los materiales que estaban utilizándose en el Campamento. Ello habría ocurrido en presencia de 6 agentes policiales quienes habrían afirmado “dejen que se maten entre ellos”. Más de 20 personas afines a la empresa habrían agredido al coordinador general del movimiento junto con un líder comunitario, con piedras, causándoles severos danos en la nariz, la espalda y en la pierna izquierda: (iii) 10/08/17: En horas de la mañana, ocho patrullas policiales, un camión militar y una tanqueta con gas lacrimógeno se habrían dirigido al campamento a desalojarlos en las dos localidades, destruyendo todas las pertinencias de los manifestantes, y llevándose todo lo que estaba en el lugar: (</w:t>
      </w:r>
      <w:r w:rsidR="008F2EC3" w:rsidRPr="002B1C71">
        <w:rPr>
          <w:rFonts w:ascii="Calibri Light" w:hAnsi="Calibri Light" w:cs="Calibri Light"/>
          <w:sz w:val="16"/>
          <w:szCs w:val="16"/>
        </w:rPr>
        <w:t>iv) 15/08/17: La policía realizó</w:t>
      </w:r>
      <w:r w:rsidRPr="002B1C71">
        <w:rPr>
          <w:rFonts w:ascii="Calibri Light" w:hAnsi="Calibri Light" w:cs="Calibri Light"/>
          <w:sz w:val="16"/>
          <w:szCs w:val="16"/>
        </w:rPr>
        <w:t xml:space="preserve"> otro desalojo en las zonas del campamento. En esta ocasión, habría lanzado gases lacrimógenos: y (v) 22/10/17: parte del campamento numero dos habría sido destruido por un grupo de jóvenes que estaban en compañía de una persona cerca de HIDROCEP.</w:t>
      </w:r>
    </w:p>
  </w:footnote>
  <w:footnote w:id="9">
    <w:p w:rsidR="00AE143F" w:rsidRPr="002B1C71" w:rsidRDefault="00AE143F" w:rsidP="00481FDA">
      <w:pPr>
        <w:pStyle w:val="FootnoteText"/>
        <w:ind w:firstLine="360"/>
        <w:jc w:val="both"/>
        <w:rPr>
          <w:rFonts w:ascii="Calibri Light" w:hAnsi="Calibri Light" w:cs="Calibri Light"/>
          <w:sz w:val="16"/>
          <w:szCs w:val="16"/>
        </w:rPr>
      </w:pPr>
      <w:r w:rsidRPr="002B1C71">
        <w:rPr>
          <w:rStyle w:val="FootnoteReference"/>
          <w:rFonts w:ascii="Calibri Light" w:hAnsi="Calibri Light" w:cs="Calibri Light"/>
          <w:sz w:val="16"/>
          <w:szCs w:val="16"/>
        </w:rPr>
        <w:footnoteRef/>
      </w:r>
      <w:r w:rsidRPr="002B1C71">
        <w:rPr>
          <w:rFonts w:ascii="Calibri Light" w:hAnsi="Calibri Light" w:cs="Calibri Light"/>
          <w:sz w:val="16"/>
          <w:szCs w:val="16"/>
        </w:rPr>
        <w:t xml:space="preserve"> El Estado distinguió entre turbidez y contaminación del agua: (1) Turbidez o turbiedad: seria el grado de transparencia que pierde el agua o algún otro liquido incoloro por la presencia de particular en suspensión; (2) Contaminación: seria aquella modificación por el ser humano, que la vuelve impropia para el consumo humano, la industria, la agricultura, la pesca y las actividades recreativas, así como para los animales. </w:t>
      </w:r>
    </w:p>
  </w:footnote>
  <w:footnote w:id="10">
    <w:p w:rsidR="00AE143F" w:rsidRPr="002B1C71" w:rsidRDefault="00AE143F" w:rsidP="00481FDA">
      <w:pPr>
        <w:spacing w:after="0" w:line="240" w:lineRule="auto"/>
        <w:ind w:firstLine="360"/>
        <w:contextualSpacing/>
        <w:jc w:val="both"/>
        <w:rPr>
          <w:rFonts w:ascii="Calibri Light" w:hAnsi="Calibri Light"/>
          <w:sz w:val="16"/>
          <w:szCs w:val="16"/>
          <w:lang w:val="es-PE"/>
        </w:rPr>
      </w:pPr>
      <w:r w:rsidRPr="002B1C71">
        <w:rPr>
          <w:rStyle w:val="FootnoteReference"/>
          <w:rFonts w:ascii="Calibri Light" w:eastAsia="Times New Roman" w:hAnsi="Calibri Light" w:cs="Calibri Light"/>
          <w:sz w:val="16"/>
          <w:szCs w:val="16"/>
          <w:lang w:val="es-CO"/>
        </w:rPr>
        <w:footnoteRef/>
      </w:r>
      <w:r w:rsidRPr="002B1C71">
        <w:rPr>
          <w:rStyle w:val="FootnoteReference"/>
          <w:rFonts w:ascii="Calibri Light" w:eastAsia="Times New Roman" w:hAnsi="Calibri Light" w:cs="Calibri Light"/>
          <w:sz w:val="16"/>
          <w:szCs w:val="16"/>
          <w:lang w:val="es-CO"/>
        </w:rPr>
        <w:t xml:space="preserve"> </w:t>
      </w:r>
      <w:r w:rsidRPr="002B1C71">
        <w:rPr>
          <w:rFonts w:ascii="Calibri Light" w:hAnsi="Calibri Light"/>
          <w:sz w:val="16"/>
          <w:szCs w:val="16"/>
          <w:lang w:val="es-PE"/>
        </w:rPr>
        <w:t>Así, se indica que i) en la muestra de “la parte más alta” habría “[…]menor concentración de los parámetros de sólidos suspendidos y la turbidez en relación a los puntos de tomas 2 y 3 (esto significa que el agua es más clara en este punto)”; y “[e]</w:t>
      </w:r>
      <w:proofErr w:type="spellStart"/>
      <w:r w:rsidRPr="002B1C71">
        <w:rPr>
          <w:rFonts w:ascii="Calibri Light" w:hAnsi="Calibri Light"/>
          <w:sz w:val="16"/>
          <w:szCs w:val="16"/>
          <w:lang w:val="es-PE"/>
        </w:rPr>
        <w:t>xist</w:t>
      </w:r>
      <w:proofErr w:type="spellEnd"/>
      <w:r w:rsidRPr="002B1C71">
        <w:rPr>
          <w:rFonts w:ascii="Calibri Light" w:hAnsi="Calibri Light"/>
          <w:sz w:val="16"/>
          <w:szCs w:val="16"/>
          <w:lang w:val="es-PE"/>
        </w:rPr>
        <w:t xml:space="preserve">[iría] una concentración de 45 UFC (unidades formadoras de colonia de </w:t>
      </w:r>
      <w:proofErr w:type="spellStart"/>
      <w:r w:rsidRPr="002B1C71">
        <w:rPr>
          <w:rFonts w:ascii="Calibri Light" w:hAnsi="Calibri Light"/>
          <w:sz w:val="16"/>
          <w:szCs w:val="16"/>
          <w:lang w:val="es-PE"/>
        </w:rPr>
        <w:t>Coliformes</w:t>
      </w:r>
      <w:proofErr w:type="spellEnd"/>
      <w:r w:rsidRPr="002B1C71">
        <w:rPr>
          <w:rFonts w:ascii="Calibri Light" w:hAnsi="Calibri Light"/>
          <w:sz w:val="16"/>
          <w:szCs w:val="16"/>
          <w:lang w:val="es-PE"/>
        </w:rPr>
        <w:t xml:space="preserve"> </w:t>
      </w:r>
      <w:proofErr w:type="spellStart"/>
      <w:r w:rsidRPr="002B1C71">
        <w:rPr>
          <w:rFonts w:ascii="Calibri Light" w:hAnsi="Calibri Light"/>
          <w:sz w:val="16"/>
          <w:szCs w:val="16"/>
          <w:lang w:val="es-PE"/>
        </w:rPr>
        <w:t>termotolerantes</w:t>
      </w:r>
      <w:proofErr w:type="spellEnd"/>
      <w:r w:rsidRPr="002B1C71">
        <w:rPr>
          <w:rFonts w:ascii="Calibri Light" w:hAnsi="Calibri Light"/>
          <w:sz w:val="16"/>
          <w:szCs w:val="16"/>
          <w:lang w:val="es-PE"/>
        </w:rPr>
        <w:t xml:space="preserve">) indicando que el agua contiene heces fecales de origen humano no apto para el consumo humano”; ii) en la muestra del “lugar donde se establecería el cuarto de máquinas”: existiría “mayor concentración de los parámetros de sólidos suspendidos y la turbidez en relación al punto de toma 1”; y “concentración de 45 UFC (…) indicando que el agua contiene heces fecales de origen humanos, no apto para el consumo humano”; iii) en la muestra “abajo del puente del Rio </w:t>
      </w:r>
      <w:proofErr w:type="spellStart"/>
      <w:r w:rsidRPr="002B1C71">
        <w:rPr>
          <w:rFonts w:ascii="Calibri Light" w:hAnsi="Calibri Light"/>
          <w:sz w:val="16"/>
          <w:szCs w:val="16"/>
          <w:lang w:val="es-PE"/>
        </w:rPr>
        <w:t>Mezapa</w:t>
      </w:r>
      <w:proofErr w:type="spellEnd"/>
      <w:r w:rsidRPr="002B1C71">
        <w:rPr>
          <w:rFonts w:ascii="Calibri Light" w:hAnsi="Calibri Light"/>
          <w:sz w:val="16"/>
          <w:szCs w:val="16"/>
          <w:lang w:val="es-PE"/>
        </w:rPr>
        <w:t xml:space="preserve">” habría “mayor concentración de los parámetros de sólidos suspendidos y la turbidez en relación al punto de toma 1 y 2”; y “concentración de 145 UFC (…) indicando que el agua contiene heces fecales de origen humano, por lo que se observa que se aumentó de 100 UFC, no apto para el consumo humano”; y iv) en la Muestra en “el campamento del movimiento que está tomando la calle” donde habría “concentración de 120 UFC (…) indicando que el agua contiene heces fecales de origen humanos, no apto para el consumo humano”. </w:t>
      </w:r>
    </w:p>
  </w:footnote>
  <w:footnote w:id="11">
    <w:p w:rsidR="00AE143F" w:rsidRPr="002B1C71" w:rsidRDefault="00AE143F" w:rsidP="00481FDA">
      <w:pPr>
        <w:pStyle w:val="FootnoteText"/>
        <w:ind w:firstLine="360"/>
        <w:jc w:val="both"/>
        <w:rPr>
          <w:rFonts w:ascii="Calibri Light" w:hAnsi="Calibri Light" w:cs="Calibri Light"/>
          <w:sz w:val="16"/>
          <w:szCs w:val="16"/>
        </w:rPr>
      </w:pPr>
      <w:r w:rsidRPr="002B1C71">
        <w:rPr>
          <w:rStyle w:val="FootnoteReference"/>
          <w:rFonts w:ascii="Calibri Light" w:hAnsi="Calibri Light" w:cs="Calibri Light"/>
          <w:sz w:val="16"/>
          <w:szCs w:val="16"/>
        </w:rPr>
        <w:footnoteRef/>
      </w:r>
      <w:r w:rsidRPr="002B1C71">
        <w:rPr>
          <w:rFonts w:ascii="Calibri Light" w:hAnsi="Calibri Light" w:cs="Calibri Light"/>
          <w:sz w:val="16"/>
          <w:szCs w:val="16"/>
        </w:rPr>
        <w:t xml:space="preserve"> El Estado destacó las siguientes: (1) solicitud a la Secretaria de Estado en el Despacho de Seguridad, a efectos de que, dentro de su rol institucional, brindase protección a los líderes manifestantes y evitar confrontaciones; (2) solicitud al Comisionado Nacional de los Derechos Humanos, para que se brindase acompañamiento a las y los manifestantes y constatar si existen vulneraciones de derechos humanos; y (3) solicitud al Ministerio Público para que, dentro de su marco institucional, procediese a realizar las gestiones pertinentes en agilizar e impulsar las investigaciones en torno a las denuncias interpuestas por los líderes de las comunidades que se sienten afectados.</w:t>
      </w:r>
    </w:p>
  </w:footnote>
  <w:footnote w:id="12">
    <w:p w:rsidR="00AE143F" w:rsidRPr="002B1C71" w:rsidRDefault="00AE143F" w:rsidP="00481FDA">
      <w:pPr>
        <w:pStyle w:val="FootnoteText"/>
        <w:ind w:firstLine="360"/>
        <w:jc w:val="both"/>
        <w:rPr>
          <w:rFonts w:ascii="Calibri Light" w:hAnsi="Calibri Light" w:cs="Calibri Light"/>
          <w:sz w:val="16"/>
          <w:szCs w:val="16"/>
        </w:rPr>
      </w:pPr>
      <w:r w:rsidRPr="002B1C71">
        <w:rPr>
          <w:rStyle w:val="FootnoteReference"/>
          <w:rFonts w:ascii="Calibri Light" w:hAnsi="Calibri Light" w:cs="Calibri Light"/>
          <w:sz w:val="16"/>
          <w:szCs w:val="16"/>
        </w:rPr>
        <w:footnoteRef/>
      </w:r>
      <w:r w:rsidRPr="002B1C71">
        <w:rPr>
          <w:rFonts w:ascii="Calibri Light" w:hAnsi="Calibri Light" w:cs="Calibri Light"/>
          <w:sz w:val="16"/>
          <w:szCs w:val="16"/>
        </w:rPr>
        <w:t xml:space="preserve"> </w:t>
      </w:r>
      <w:r w:rsidRPr="002B1C71">
        <w:rPr>
          <w:rFonts w:ascii="Calibri Light" w:eastAsia="MS Mincho" w:hAnsi="Calibri Light" w:cs="Calibri Light"/>
          <w:sz w:val="16"/>
          <w:szCs w:val="16"/>
          <w:lang w:val="es-MX"/>
        </w:rPr>
        <w:t xml:space="preserve">Al respecto, por ejemplo, refiriéndose a las medidas provisionales, la Corte Interamericana ha indicado que se requiere un mínimo de detalle e información que permitan apreciar prima facie una situación de extrema gravedad y urgencia. Corte IDH, </w:t>
      </w:r>
      <w:r w:rsidRPr="002B1C71">
        <w:rPr>
          <w:rFonts w:ascii="Calibri Light" w:eastAsia="MS Mincho" w:hAnsi="Calibri Light" w:cs="Calibri Light"/>
          <w:i/>
          <w:sz w:val="16"/>
          <w:szCs w:val="16"/>
          <w:lang w:val="es-MX"/>
        </w:rPr>
        <w:t xml:space="preserve">Asunto de los niños y adolescentes privados de libertad en el “Complexo do </w:t>
      </w:r>
      <w:proofErr w:type="spellStart"/>
      <w:r w:rsidRPr="002B1C71">
        <w:rPr>
          <w:rFonts w:ascii="Calibri Light" w:eastAsia="MS Mincho" w:hAnsi="Calibri Light" w:cs="Calibri Light"/>
          <w:i/>
          <w:sz w:val="16"/>
          <w:szCs w:val="16"/>
          <w:lang w:val="es-MX"/>
        </w:rPr>
        <w:t>Tatuapé</w:t>
      </w:r>
      <w:proofErr w:type="spellEnd"/>
      <w:r w:rsidRPr="002B1C71">
        <w:rPr>
          <w:rFonts w:ascii="Calibri Light" w:eastAsia="MS Mincho" w:hAnsi="Calibri Light" w:cs="Calibri Light"/>
          <w:i/>
          <w:sz w:val="16"/>
          <w:szCs w:val="16"/>
          <w:lang w:val="es-MX"/>
        </w:rPr>
        <w:t xml:space="preserve">” de la </w:t>
      </w:r>
      <w:proofErr w:type="spellStart"/>
      <w:r w:rsidRPr="002B1C71">
        <w:rPr>
          <w:rFonts w:ascii="Calibri Light" w:eastAsia="MS Mincho" w:hAnsi="Calibri Light" w:cs="Calibri Light"/>
          <w:i/>
          <w:sz w:val="16"/>
          <w:szCs w:val="16"/>
          <w:lang w:val="es-MX"/>
        </w:rPr>
        <w:t>Fundação</w:t>
      </w:r>
      <w:proofErr w:type="spellEnd"/>
      <w:r w:rsidRPr="002B1C71">
        <w:rPr>
          <w:rFonts w:ascii="Calibri Light" w:eastAsia="MS Mincho" w:hAnsi="Calibri Light" w:cs="Calibri Light"/>
          <w:i/>
          <w:sz w:val="16"/>
          <w:szCs w:val="16"/>
          <w:lang w:val="es-MX"/>
        </w:rPr>
        <w:t xml:space="preserve"> CASA</w:t>
      </w:r>
      <w:r w:rsidRPr="002B1C71">
        <w:rPr>
          <w:rFonts w:ascii="Calibri Light" w:eastAsia="MS Mincho" w:hAnsi="Calibri Light" w:cs="Calibri Light"/>
          <w:sz w:val="16"/>
          <w:szCs w:val="16"/>
          <w:lang w:val="es-MX"/>
        </w:rPr>
        <w:t>. Solicitud de ampliación de medidas provisionales. Medidas Provisionales respecto de Brasil. Resolución de la Corte Interamericana de Derechos Humanos de 4 de julio de 2006. Considerando 23.</w:t>
      </w:r>
    </w:p>
  </w:footnote>
  <w:footnote w:id="13">
    <w:p w:rsidR="00542236" w:rsidRPr="00481FDA" w:rsidRDefault="00542236" w:rsidP="00542236">
      <w:pPr>
        <w:pStyle w:val="FootnoteText"/>
        <w:ind w:firstLine="360"/>
        <w:jc w:val="both"/>
        <w:rPr>
          <w:rFonts w:ascii="Calibri Light" w:hAnsi="Calibri Light"/>
          <w:sz w:val="16"/>
          <w:szCs w:val="16"/>
        </w:rPr>
      </w:pPr>
      <w:r w:rsidRPr="002B1C71">
        <w:rPr>
          <w:rStyle w:val="FootnoteReference"/>
          <w:rFonts w:ascii="Calibri Light" w:hAnsi="Calibri Light"/>
          <w:sz w:val="16"/>
          <w:szCs w:val="16"/>
        </w:rPr>
        <w:footnoteRef/>
      </w:r>
      <w:r w:rsidRPr="00C95B67">
        <w:rPr>
          <w:rFonts w:ascii="Calibri Light" w:hAnsi="Calibri Light"/>
          <w:sz w:val="16"/>
          <w:szCs w:val="16"/>
          <w:lang w:val="es-PE"/>
        </w:rPr>
        <w:t xml:space="preserve"> Ver: CIDH, Informe Anual 2015. Capítulo IV A.  </w:t>
      </w:r>
      <w:r w:rsidRPr="002B1C71">
        <w:rPr>
          <w:rFonts w:ascii="Calibri Light" w:hAnsi="Calibri Light"/>
          <w:sz w:val="16"/>
          <w:szCs w:val="16"/>
        </w:rPr>
        <w:t xml:space="preserve">“Acceso al agua en las Américas. Una aproximación al derecho humano al agua en el Sistema Interamericano”. Disponible en: </w:t>
      </w:r>
      <w:hyperlink r:id="rId1" w:history="1">
        <w:r w:rsidR="00BF50B6" w:rsidRPr="00A61F41">
          <w:rPr>
            <w:rStyle w:val="Hyperlink"/>
            <w:rFonts w:ascii="Calibri Light" w:hAnsi="Calibri Light"/>
            <w:sz w:val="16"/>
            <w:szCs w:val="16"/>
          </w:rPr>
          <w:t>http://www.oas.org/es/cidh/docs/anual/2015/doc-es/InformeAnual2015-cap4A-agua-ES.pdf</w:t>
        </w:r>
      </w:hyperlink>
      <w:r w:rsidR="00BF50B6">
        <w:rPr>
          <w:rFonts w:ascii="Calibri Light" w:hAnsi="Calibri Light"/>
          <w:sz w:val="16"/>
          <w:szCs w:val="16"/>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43F" w:rsidRPr="0079473A" w:rsidRDefault="007079E1" w:rsidP="008E0CBB">
    <w:pPr>
      <w:tabs>
        <w:tab w:val="left" w:pos="4040"/>
        <w:tab w:val="left" w:pos="4333"/>
        <w:tab w:val="center" w:pos="4680"/>
        <w:tab w:val="right" w:pos="9360"/>
      </w:tabs>
      <w:spacing w:after="0" w:line="240" w:lineRule="auto"/>
    </w:pPr>
    <w:r>
      <w:rPr>
        <w:noProof/>
      </w:rPr>
      <w:drawing>
        <wp:inline distT="0" distB="0" distL="0" distR="0">
          <wp:extent cx="2347595" cy="457200"/>
          <wp:effectExtent l="0" t="0" r="0" b="0"/>
          <wp:docPr id="1" name="Picture 1"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7595" cy="457200"/>
                  </a:xfrm>
                  <a:prstGeom prst="rect">
                    <a:avLst/>
                  </a:prstGeom>
                  <a:noFill/>
                  <a:ln>
                    <a:noFill/>
                  </a:ln>
                </pic:spPr>
              </pic:pic>
            </a:graphicData>
          </a:graphic>
        </wp:inline>
      </w:drawing>
    </w:r>
    <w:r w:rsidR="00AE143F" w:rsidRPr="0079473A">
      <w:tab/>
    </w:r>
    <w:r w:rsidR="00AE143F">
      <w:tab/>
    </w:r>
    <w:r w:rsidR="00AE143F" w:rsidRPr="0079473A">
      <w:tab/>
    </w:r>
    <w:r w:rsidR="00AE143F" w:rsidRPr="0079473A">
      <w:tab/>
    </w:r>
    <w:r>
      <w:rPr>
        <w:noProof/>
      </w:rPr>
      <w:drawing>
        <wp:inline distT="0" distB="0" distL="0" distR="0">
          <wp:extent cx="1644650" cy="477520"/>
          <wp:effectExtent l="0" t="0" r="0" b="0"/>
          <wp:docPr id="2" name="Picture 2"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s.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44650" cy="477520"/>
                  </a:xfrm>
                  <a:prstGeom prst="rect">
                    <a:avLst/>
                  </a:prstGeom>
                  <a:noFill/>
                  <a:ln>
                    <a:noFill/>
                  </a:ln>
                </pic:spPr>
              </pic:pic>
            </a:graphicData>
          </a:graphic>
        </wp:inline>
      </w:drawing>
    </w:r>
  </w:p>
  <w:p w:rsidR="00AE143F" w:rsidRDefault="00AE14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92CC7"/>
    <w:multiLevelType w:val="hybridMultilevel"/>
    <w:tmpl w:val="2668E5BE"/>
    <w:lvl w:ilvl="0" w:tplc="CFBE34DC">
      <w:start w:val="1"/>
      <w:numFmt w:val="upp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E0424C"/>
    <w:multiLevelType w:val="hybridMultilevel"/>
    <w:tmpl w:val="1B04F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9F452D"/>
    <w:multiLevelType w:val="hybridMultilevel"/>
    <w:tmpl w:val="97AC39F6"/>
    <w:lvl w:ilvl="0" w:tplc="F7DC7CC2">
      <w:start w:val="1"/>
      <w:numFmt w:val="lowerRoman"/>
      <w:lvlText w:val="%1)"/>
      <w:lvlJc w:val="left"/>
      <w:pPr>
        <w:ind w:left="900" w:hanging="72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nsid w:val="0CB065D3"/>
    <w:multiLevelType w:val="hybridMultilevel"/>
    <w:tmpl w:val="88441AEE"/>
    <w:lvl w:ilvl="0" w:tplc="8A681832">
      <w:start w:val="1"/>
      <w:numFmt w:val="upperLetter"/>
      <w:lvlText w:val="%1."/>
      <w:lvlJc w:val="left"/>
      <w:pPr>
        <w:ind w:left="630" w:hanging="360"/>
      </w:pPr>
      <w:rPr>
        <w:rFonts w:hint="default"/>
      </w:rPr>
    </w:lvl>
    <w:lvl w:ilvl="1" w:tplc="2C0A0019" w:tentative="1">
      <w:start w:val="1"/>
      <w:numFmt w:val="lowerLetter"/>
      <w:lvlText w:val="%2."/>
      <w:lvlJc w:val="left"/>
      <w:pPr>
        <w:ind w:left="1350" w:hanging="360"/>
      </w:pPr>
    </w:lvl>
    <w:lvl w:ilvl="2" w:tplc="2C0A001B" w:tentative="1">
      <w:start w:val="1"/>
      <w:numFmt w:val="lowerRoman"/>
      <w:lvlText w:val="%3."/>
      <w:lvlJc w:val="right"/>
      <w:pPr>
        <w:ind w:left="2070" w:hanging="180"/>
      </w:pPr>
    </w:lvl>
    <w:lvl w:ilvl="3" w:tplc="2C0A000F" w:tentative="1">
      <w:start w:val="1"/>
      <w:numFmt w:val="decimal"/>
      <w:lvlText w:val="%4."/>
      <w:lvlJc w:val="left"/>
      <w:pPr>
        <w:ind w:left="2790" w:hanging="360"/>
      </w:pPr>
    </w:lvl>
    <w:lvl w:ilvl="4" w:tplc="2C0A0019" w:tentative="1">
      <w:start w:val="1"/>
      <w:numFmt w:val="lowerLetter"/>
      <w:lvlText w:val="%5."/>
      <w:lvlJc w:val="left"/>
      <w:pPr>
        <w:ind w:left="3510" w:hanging="360"/>
      </w:pPr>
    </w:lvl>
    <w:lvl w:ilvl="5" w:tplc="2C0A001B" w:tentative="1">
      <w:start w:val="1"/>
      <w:numFmt w:val="lowerRoman"/>
      <w:lvlText w:val="%6."/>
      <w:lvlJc w:val="right"/>
      <w:pPr>
        <w:ind w:left="4230" w:hanging="180"/>
      </w:pPr>
    </w:lvl>
    <w:lvl w:ilvl="6" w:tplc="2C0A000F" w:tentative="1">
      <w:start w:val="1"/>
      <w:numFmt w:val="decimal"/>
      <w:lvlText w:val="%7."/>
      <w:lvlJc w:val="left"/>
      <w:pPr>
        <w:ind w:left="4950" w:hanging="360"/>
      </w:pPr>
    </w:lvl>
    <w:lvl w:ilvl="7" w:tplc="2C0A0019" w:tentative="1">
      <w:start w:val="1"/>
      <w:numFmt w:val="lowerLetter"/>
      <w:lvlText w:val="%8."/>
      <w:lvlJc w:val="left"/>
      <w:pPr>
        <w:ind w:left="5670" w:hanging="360"/>
      </w:pPr>
    </w:lvl>
    <w:lvl w:ilvl="8" w:tplc="2C0A001B" w:tentative="1">
      <w:start w:val="1"/>
      <w:numFmt w:val="lowerRoman"/>
      <w:lvlText w:val="%9."/>
      <w:lvlJc w:val="right"/>
      <w:pPr>
        <w:ind w:left="6390" w:hanging="180"/>
      </w:pPr>
    </w:lvl>
  </w:abstractNum>
  <w:abstractNum w:abstractNumId="4">
    <w:nsid w:val="1A5D15F2"/>
    <w:multiLevelType w:val="hybridMultilevel"/>
    <w:tmpl w:val="079644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C5565A"/>
    <w:multiLevelType w:val="hybridMultilevel"/>
    <w:tmpl w:val="D0A84A72"/>
    <w:lvl w:ilvl="0" w:tplc="2B4413B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BE1157"/>
    <w:multiLevelType w:val="hybridMultilevel"/>
    <w:tmpl w:val="84BA3D74"/>
    <w:lvl w:ilvl="0" w:tplc="73E8E422">
      <w:start w:val="1"/>
      <w:numFmt w:val="decimal"/>
      <w:lvlText w:val="%1."/>
      <w:lvlJc w:val="left"/>
      <w:pPr>
        <w:ind w:left="720" w:firstLine="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0D54914"/>
    <w:multiLevelType w:val="hybridMultilevel"/>
    <w:tmpl w:val="F8821B22"/>
    <w:lvl w:ilvl="0" w:tplc="48A68BBA">
      <w:start w:val="1"/>
      <w:numFmt w:val="lowerLetter"/>
      <w:lvlText w:val="%1)"/>
      <w:lvlJc w:val="left"/>
      <w:pPr>
        <w:ind w:left="1080" w:hanging="360"/>
      </w:pPr>
      <w:rPr>
        <w:rFonts w:eastAsia="ヒラギノ角ゴ Pro W3" w:cs="Times New Roman"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8">
    <w:nsid w:val="26136349"/>
    <w:multiLevelType w:val="hybridMultilevel"/>
    <w:tmpl w:val="B7607AF2"/>
    <w:lvl w:ilvl="0" w:tplc="A0D464AE">
      <w:start w:val="1"/>
      <w:numFmt w:val="upperRoman"/>
      <w:lvlText w:val="%1."/>
      <w:lvlJc w:val="right"/>
      <w:pPr>
        <w:ind w:left="63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92946ED"/>
    <w:multiLevelType w:val="hybridMultilevel"/>
    <w:tmpl w:val="DD84922C"/>
    <w:lvl w:ilvl="0" w:tplc="DD36E5BC">
      <w:start w:val="1"/>
      <w:numFmt w:val="upperRoman"/>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nsid w:val="29E73C15"/>
    <w:multiLevelType w:val="hybridMultilevel"/>
    <w:tmpl w:val="9FA4BD7E"/>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nsid w:val="2C4812B2"/>
    <w:multiLevelType w:val="hybridMultilevel"/>
    <w:tmpl w:val="7EC01448"/>
    <w:lvl w:ilvl="0" w:tplc="920EBB8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C7B2268"/>
    <w:multiLevelType w:val="hybridMultilevel"/>
    <w:tmpl w:val="9A2C2ADC"/>
    <w:lvl w:ilvl="0" w:tplc="00088730">
      <w:start w:val="1"/>
      <w:numFmt w:val="lowerRoman"/>
      <w:lvlText w:val="(%1)"/>
      <w:lvlJc w:val="left"/>
      <w:pPr>
        <w:ind w:left="765" w:hanging="360"/>
      </w:pPr>
      <w:rPr>
        <w:rFonts w:ascii="Cambria" w:eastAsia="Calibri" w:hAnsi="Cambria" w:cs="Times New Roman"/>
      </w:rPr>
    </w:lvl>
    <w:lvl w:ilvl="1" w:tplc="B25E5B50">
      <w:start w:val="1"/>
      <w:numFmt w:val="lowerRoman"/>
      <w:lvlText w:val="(%2)"/>
      <w:lvlJc w:val="left"/>
      <w:pPr>
        <w:ind w:left="1485" w:hanging="360"/>
      </w:pPr>
      <w:rPr>
        <w:rFonts w:ascii="Cambria" w:eastAsia="Calibri" w:hAnsi="Cambria" w:cs="Times New Roman"/>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3">
    <w:nsid w:val="2EF35A1B"/>
    <w:multiLevelType w:val="hybridMultilevel"/>
    <w:tmpl w:val="052A74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FDD73D7"/>
    <w:multiLevelType w:val="hybridMultilevel"/>
    <w:tmpl w:val="CD62D1F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nsid w:val="32360D4E"/>
    <w:multiLevelType w:val="hybridMultilevel"/>
    <w:tmpl w:val="213E8AD2"/>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nsid w:val="34240691"/>
    <w:multiLevelType w:val="hybridMultilevel"/>
    <w:tmpl w:val="6D0A8A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4FC6C2B"/>
    <w:multiLevelType w:val="hybridMultilevel"/>
    <w:tmpl w:val="E7AC6E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56F258A"/>
    <w:multiLevelType w:val="hybridMultilevel"/>
    <w:tmpl w:val="81B6830A"/>
    <w:lvl w:ilvl="0" w:tplc="2C0A0015">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9">
    <w:nsid w:val="38460266"/>
    <w:multiLevelType w:val="hybridMultilevel"/>
    <w:tmpl w:val="72A6D5A4"/>
    <w:lvl w:ilvl="0" w:tplc="4ADA036A">
      <w:start w:val="10"/>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B3A7147"/>
    <w:multiLevelType w:val="hybridMultilevel"/>
    <w:tmpl w:val="2BDAD242"/>
    <w:lvl w:ilvl="0" w:tplc="477241FE">
      <w:numFmt w:val="bullet"/>
      <w:lvlText w:val="-"/>
      <w:lvlJc w:val="left"/>
      <w:pPr>
        <w:ind w:left="720" w:hanging="360"/>
      </w:pPr>
      <w:rPr>
        <w:rFonts w:ascii="Cambria" w:eastAsia="Calibri" w:hAnsi="Cambria"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1">
    <w:nsid w:val="3F5F731A"/>
    <w:multiLevelType w:val="hybridMultilevel"/>
    <w:tmpl w:val="8A2C2B40"/>
    <w:lvl w:ilvl="0" w:tplc="AF2A590C">
      <w:start w:val="1"/>
      <w:numFmt w:val="upperLetter"/>
      <w:lvlText w:val="%1."/>
      <w:lvlJc w:val="left"/>
      <w:pPr>
        <w:ind w:left="540" w:hanging="360"/>
      </w:pPr>
      <w:rPr>
        <w:rFonts w:cs="Arial"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2">
    <w:nsid w:val="41FD440B"/>
    <w:multiLevelType w:val="hybridMultilevel"/>
    <w:tmpl w:val="625000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33914F8"/>
    <w:multiLevelType w:val="hybridMultilevel"/>
    <w:tmpl w:val="856C1370"/>
    <w:lvl w:ilvl="0" w:tplc="311C80A0">
      <w:start w:val="1"/>
      <w:numFmt w:val="decimal"/>
      <w:lvlText w:val="%1."/>
      <w:lvlJc w:val="left"/>
      <w:pPr>
        <w:ind w:left="63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44F81A49"/>
    <w:multiLevelType w:val="hybridMultilevel"/>
    <w:tmpl w:val="232E27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815047E"/>
    <w:multiLevelType w:val="hybridMultilevel"/>
    <w:tmpl w:val="FBFEC77E"/>
    <w:lvl w:ilvl="0" w:tplc="BAC4760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ADD3EEA"/>
    <w:multiLevelType w:val="hybridMultilevel"/>
    <w:tmpl w:val="FB489552"/>
    <w:lvl w:ilvl="0" w:tplc="DEF84A0C">
      <w:start w:val="1"/>
      <w:numFmt w:val="lowerRoman"/>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22B0CBB"/>
    <w:multiLevelType w:val="hybridMultilevel"/>
    <w:tmpl w:val="2668E5BE"/>
    <w:lvl w:ilvl="0" w:tplc="CFBE34DC">
      <w:start w:val="1"/>
      <w:numFmt w:val="upp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3081536"/>
    <w:multiLevelType w:val="hybridMultilevel"/>
    <w:tmpl w:val="534850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4993ABF"/>
    <w:multiLevelType w:val="hybridMultilevel"/>
    <w:tmpl w:val="F782F15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5D33C4F"/>
    <w:multiLevelType w:val="hybridMultilevel"/>
    <w:tmpl w:val="C6E4A84A"/>
    <w:lvl w:ilvl="0" w:tplc="04090015">
      <w:start w:val="1"/>
      <w:numFmt w:val="upperLetter"/>
      <w:lvlText w:val="%1."/>
      <w:lvlJc w:val="left"/>
      <w:pPr>
        <w:ind w:left="720" w:hanging="360"/>
      </w:pPr>
    </w:lvl>
    <w:lvl w:ilvl="1" w:tplc="C2560400">
      <w:start w:val="1"/>
      <w:numFmt w:val="lowerLetter"/>
      <w:lvlText w:val="%2)"/>
      <w:lvlJc w:val="left"/>
      <w:pPr>
        <w:ind w:left="1440" w:hanging="360"/>
      </w:pPr>
      <w:rPr>
        <w:rFonts w:hint="default"/>
        <w:i w:val="0"/>
        <w:sz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8671E84"/>
    <w:multiLevelType w:val="hybridMultilevel"/>
    <w:tmpl w:val="F5D8EC44"/>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59415C28"/>
    <w:multiLevelType w:val="hybridMultilevel"/>
    <w:tmpl w:val="B7DAC020"/>
    <w:lvl w:ilvl="0" w:tplc="D41E03D8">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A2033C4"/>
    <w:multiLevelType w:val="hybridMultilevel"/>
    <w:tmpl w:val="2F681DEC"/>
    <w:lvl w:ilvl="0" w:tplc="330CE420">
      <w:start w:val="1"/>
      <w:numFmt w:val="lowerRoman"/>
      <w:lvlText w:val="%1)"/>
      <w:lvlJc w:val="right"/>
      <w:pPr>
        <w:ind w:left="1170" w:hanging="360"/>
      </w:pPr>
      <w:rPr>
        <w:rFonts w:ascii="Cambria" w:eastAsia="ヒラギノ角ゴ Pro W3" w:hAnsi="Cambria" w:cs="Times New Roman"/>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4">
    <w:nsid w:val="5D1E20F0"/>
    <w:multiLevelType w:val="hybridMultilevel"/>
    <w:tmpl w:val="890C08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2477DCC"/>
    <w:multiLevelType w:val="hybridMultilevel"/>
    <w:tmpl w:val="6AD84EE6"/>
    <w:lvl w:ilvl="0" w:tplc="2C0A0015">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6">
    <w:nsid w:val="6ADA008D"/>
    <w:multiLevelType w:val="hybridMultilevel"/>
    <w:tmpl w:val="232E27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FA55098"/>
    <w:multiLevelType w:val="hybridMultilevel"/>
    <w:tmpl w:val="DAACB482"/>
    <w:lvl w:ilvl="0" w:tplc="94749118">
      <w:start w:val="1"/>
      <w:numFmt w:val="lowerRoman"/>
      <w:lvlText w:val="%1)"/>
      <w:lvlJc w:val="left"/>
      <w:pPr>
        <w:ind w:left="797" w:hanging="720"/>
      </w:pPr>
      <w:rPr>
        <w:rFonts w:hint="default"/>
      </w:rPr>
    </w:lvl>
    <w:lvl w:ilvl="1" w:tplc="04090019" w:tentative="1">
      <w:start w:val="1"/>
      <w:numFmt w:val="lowerLetter"/>
      <w:lvlText w:val="%2."/>
      <w:lvlJc w:val="left"/>
      <w:pPr>
        <w:ind w:left="1157" w:hanging="360"/>
      </w:pPr>
    </w:lvl>
    <w:lvl w:ilvl="2" w:tplc="0409001B" w:tentative="1">
      <w:start w:val="1"/>
      <w:numFmt w:val="lowerRoman"/>
      <w:lvlText w:val="%3."/>
      <w:lvlJc w:val="right"/>
      <w:pPr>
        <w:ind w:left="1877" w:hanging="180"/>
      </w:pPr>
    </w:lvl>
    <w:lvl w:ilvl="3" w:tplc="0409000F" w:tentative="1">
      <w:start w:val="1"/>
      <w:numFmt w:val="decimal"/>
      <w:lvlText w:val="%4."/>
      <w:lvlJc w:val="left"/>
      <w:pPr>
        <w:ind w:left="2597" w:hanging="360"/>
      </w:pPr>
    </w:lvl>
    <w:lvl w:ilvl="4" w:tplc="04090019" w:tentative="1">
      <w:start w:val="1"/>
      <w:numFmt w:val="lowerLetter"/>
      <w:lvlText w:val="%5."/>
      <w:lvlJc w:val="left"/>
      <w:pPr>
        <w:ind w:left="3317" w:hanging="360"/>
      </w:pPr>
    </w:lvl>
    <w:lvl w:ilvl="5" w:tplc="0409001B" w:tentative="1">
      <w:start w:val="1"/>
      <w:numFmt w:val="lowerRoman"/>
      <w:lvlText w:val="%6."/>
      <w:lvlJc w:val="right"/>
      <w:pPr>
        <w:ind w:left="4037" w:hanging="180"/>
      </w:pPr>
    </w:lvl>
    <w:lvl w:ilvl="6" w:tplc="0409000F" w:tentative="1">
      <w:start w:val="1"/>
      <w:numFmt w:val="decimal"/>
      <w:lvlText w:val="%7."/>
      <w:lvlJc w:val="left"/>
      <w:pPr>
        <w:ind w:left="4757" w:hanging="360"/>
      </w:pPr>
    </w:lvl>
    <w:lvl w:ilvl="7" w:tplc="04090019" w:tentative="1">
      <w:start w:val="1"/>
      <w:numFmt w:val="lowerLetter"/>
      <w:lvlText w:val="%8."/>
      <w:lvlJc w:val="left"/>
      <w:pPr>
        <w:ind w:left="5477" w:hanging="360"/>
      </w:pPr>
    </w:lvl>
    <w:lvl w:ilvl="8" w:tplc="0409001B" w:tentative="1">
      <w:start w:val="1"/>
      <w:numFmt w:val="lowerRoman"/>
      <w:lvlText w:val="%9."/>
      <w:lvlJc w:val="right"/>
      <w:pPr>
        <w:ind w:left="6197" w:hanging="180"/>
      </w:pPr>
    </w:lvl>
  </w:abstractNum>
  <w:abstractNum w:abstractNumId="38">
    <w:nsid w:val="705D7790"/>
    <w:multiLevelType w:val="hybridMultilevel"/>
    <w:tmpl w:val="627C9CDE"/>
    <w:lvl w:ilvl="0" w:tplc="04090017">
      <w:start w:val="1"/>
      <w:numFmt w:val="lowerLetter"/>
      <w:lvlText w:val="%1)"/>
      <w:lvlJc w:val="left"/>
      <w:pPr>
        <w:ind w:left="900" w:hanging="360"/>
      </w:p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9">
    <w:nsid w:val="71EB08CC"/>
    <w:multiLevelType w:val="hybridMultilevel"/>
    <w:tmpl w:val="FB9E7E14"/>
    <w:lvl w:ilvl="0" w:tplc="C90C5AC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4DD1F8D"/>
    <w:multiLevelType w:val="hybridMultilevel"/>
    <w:tmpl w:val="39B2BB7A"/>
    <w:lvl w:ilvl="0" w:tplc="BFF8404C">
      <w:start w:val="1"/>
      <w:numFmt w:val="decimal"/>
      <w:lvlText w:val="(%1)"/>
      <w:lvlJc w:val="left"/>
      <w:pPr>
        <w:ind w:left="1068" w:hanging="360"/>
      </w:pPr>
      <w:rPr>
        <w:rFonts w:hint="eastAsia"/>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41">
    <w:nsid w:val="77997F82"/>
    <w:multiLevelType w:val="hybridMultilevel"/>
    <w:tmpl w:val="085ABC54"/>
    <w:lvl w:ilvl="0" w:tplc="280A000F">
      <w:start w:val="1"/>
      <w:numFmt w:val="decimal"/>
      <w:lvlText w:val="%1."/>
      <w:lvlJc w:val="left"/>
      <w:pPr>
        <w:ind w:left="720" w:hanging="360"/>
      </w:p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2">
    <w:nsid w:val="7862120A"/>
    <w:multiLevelType w:val="hybridMultilevel"/>
    <w:tmpl w:val="A670926C"/>
    <w:lvl w:ilvl="0" w:tplc="280A000F">
      <w:start w:val="1"/>
      <w:numFmt w:val="decimal"/>
      <w:lvlText w:val="%1."/>
      <w:lvlJc w:val="left"/>
      <w:pPr>
        <w:ind w:left="720" w:hanging="360"/>
      </w:pPr>
      <w:rPr>
        <w:rFonts w:hint="default"/>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3">
    <w:nsid w:val="79C54766"/>
    <w:multiLevelType w:val="hybridMultilevel"/>
    <w:tmpl w:val="1BF291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A4B62F5"/>
    <w:multiLevelType w:val="hybridMultilevel"/>
    <w:tmpl w:val="DD3AA7A6"/>
    <w:lvl w:ilvl="0" w:tplc="09263FB8">
      <w:numFmt w:val="bullet"/>
      <w:lvlText w:val="-"/>
      <w:lvlJc w:val="left"/>
      <w:pPr>
        <w:ind w:left="1068" w:hanging="360"/>
      </w:pPr>
      <w:rPr>
        <w:rFonts w:ascii="Cambria" w:eastAsia="Calibri" w:hAnsi="Cambria"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num w:numId="1">
    <w:abstractNumId w:val="29"/>
  </w:num>
  <w:num w:numId="2">
    <w:abstractNumId w:val="30"/>
  </w:num>
  <w:num w:numId="3">
    <w:abstractNumId w:val="11"/>
  </w:num>
  <w:num w:numId="4">
    <w:abstractNumId w:val="21"/>
  </w:num>
  <w:num w:numId="5">
    <w:abstractNumId w:val="37"/>
  </w:num>
  <w:num w:numId="6">
    <w:abstractNumId w:val="4"/>
  </w:num>
  <w:num w:numId="7">
    <w:abstractNumId w:val="26"/>
  </w:num>
  <w:num w:numId="8">
    <w:abstractNumId w:val="31"/>
  </w:num>
  <w:num w:numId="9">
    <w:abstractNumId w:val="3"/>
  </w:num>
  <w:num w:numId="10">
    <w:abstractNumId w:val="35"/>
  </w:num>
  <w:num w:numId="11">
    <w:abstractNumId w:val="18"/>
  </w:num>
  <w:num w:numId="12">
    <w:abstractNumId w:val="27"/>
  </w:num>
  <w:num w:numId="13">
    <w:abstractNumId w:val="0"/>
  </w:num>
  <w:num w:numId="14">
    <w:abstractNumId w:val="13"/>
  </w:num>
  <w:num w:numId="15">
    <w:abstractNumId w:val="9"/>
  </w:num>
  <w:num w:numId="16">
    <w:abstractNumId w:val="39"/>
  </w:num>
  <w:num w:numId="17">
    <w:abstractNumId w:val="2"/>
  </w:num>
  <w:num w:numId="18">
    <w:abstractNumId w:val="25"/>
  </w:num>
  <w:num w:numId="19">
    <w:abstractNumId w:val="8"/>
  </w:num>
  <w:num w:numId="20">
    <w:abstractNumId w:val="23"/>
  </w:num>
  <w:num w:numId="21">
    <w:abstractNumId w:val="17"/>
  </w:num>
  <w:num w:numId="22">
    <w:abstractNumId w:val="22"/>
  </w:num>
  <w:num w:numId="23">
    <w:abstractNumId w:val="33"/>
  </w:num>
  <w:num w:numId="24">
    <w:abstractNumId w:val="38"/>
  </w:num>
  <w:num w:numId="25">
    <w:abstractNumId w:val="34"/>
  </w:num>
  <w:num w:numId="26">
    <w:abstractNumId w:val="24"/>
  </w:num>
  <w:num w:numId="27">
    <w:abstractNumId w:val="1"/>
  </w:num>
  <w:num w:numId="28">
    <w:abstractNumId w:val="43"/>
  </w:num>
  <w:num w:numId="29">
    <w:abstractNumId w:val="36"/>
  </w:num>
  <w:num w:numId="30">
    <w:abstractNumId w:val="6"/>
  </w:num>
  <w:num w:numId="31">
    <w:abstractNumId w:val="28"/>
  </w:num>
  <w:num w:numId="32">
    <w:abstractNumId w:val="12"/>
  </w:num>
  <w:num w:numId="33">
    <w:abstractNumId w:val="19"/>
  </w:num>
  <w:num w:numId="34">
    <w:abstractNumId w:val="42"/>
  </w:num>
  <w:num w:numId="35">
    <w:abstractNumId w:val="10"/>
  </w:num>
  <w:num w:numId="36">
    <w:abstractNumId w:val="20"/>
  </w:num>
  <w:num w:numId="37">
    <w:abstractNumId w:val="40"/>
  </w:num>
  <w:num w:numId="38">
    <w:abstractNumId w:val="5"/>
  </w:num>
  <w:num w:numId="39">
    <w:abstractNumId w:val="15"/>
  </w:num>
  <w:num w:numId="40">
    <w:abstractNumId w:val="14"/>
  </w:num>
  <w:num w:numId="41">
    <w:abstractNumId w:val="32"/>
  </w:num>
  <w:num w:numId="42">
    <w:abstractNumId w:val="16"/>
  </w:num>
  <w:num w:numId="43">
    <w:abstractNumId w:val="7"/>
  </w:num>
  <w:num w:numId="44">
    <w:abstractNumId w:val="41"/>
  </w:num>
  <w:num w:numId="45">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ACB"/>
    <w:rsid w:val="00000AD9"/>
    <w:rsid w:val="000028A7"/>
    <w:rsid w:val="00007618"/>
    <w:rsid w:val="00010478"/>
    <w:rsid w:val="000112CA"/>
    <w:rsid w:val="0001278E"/>
    <w:rsid w:val="0002746D"/>
    <w:rsid w:val="000315D4"/>
    <w:rsid w:val="00033CC8"/>
    <w:rsid w:val="0003432D"/>
    <w:rsid w:val="00037607"/>
    <w:rsid w:val="00043761"/>
    <w:rsid w:val="00045ECC"/>
    <w:rsid w:val="00046641"/>
    <w:rsid w:val="00047720"/>
    <w:rsid w:val="00056027"/>
    <w:rsid w:val="00061B32"/>
    <w:rsid w:val="000626FF"/>
    <w:rsid w:val="00064035"/>
    <w:rsid w:val="00064CC4"/>
    <w:rsid w:val="00066C76"/>
    <w:rsid w:val="000674EF"/>
    <w:rsid w:val="000729A4"/>
    <w:rsid w:val="000755EC"/>
    <w:rsid w:val="00077890"/>
    <w:rsid w:val="00077C50"/>
    <w:rsid w:val="00080D75"/>
    <w:rsid w:val="0008354C"/>
    <w:rsid w:val="000910A4"/>
    <w:rsid w:val="00092575"/>
    <w:rsid w:val="0009281E"/>
    <w:rsid w:val="00096E2B"/>
    <w:rsid w:val="000A0235"/>
    <w:rsid w:val="000A3778"/>
    <w:rsid w:val="000A7800"/>
    <w:rsid w:val="000B19D5"/>
    <w:rsid w:val="000B24F4"/>
    <w:rsid w:val="000C2595"/>
    <w:rsid w:val="000C29CA"/>
    <w:rsid w:val="000C39DE"/>
    <w:rsid w:val="000C4EEF"/>
    <w:rsid w:val="000C51DA"/>
    <w:rsid w:val="000C5DDD"/>
    <w:rsid w:val="000C654D"/>
    <w:rsid w:val="000D4A48"/>
    <w:rsid w:val="000D4D72"/>
    <w:rsid w:val="000E58F9"/>
    <w:rsid w:val="000F082D"/>
    <w:rsid w:val="000F1388"/>
    <w:rsid w:val="000F1E27"/>
    <w:rsid w:val="000F6C01"/>
    <w:rsid w:val="001009FA"/>
    <w:rsid w:val="00102945"/>
    <w:rsid w:val="00106C4F"/>
    <w:rsid w:val="00113206"/>
    <w:rsid w:val="00116169"/>
    <w:rsid w:val="00117AC3"/>
    <w:rsid w:val="001245A2"/>
    <w:rsid w:val="00141C35"/>
    <w:rsid w:val="00145FFA"/>
    <w:rsid w:val="001501A6"/>
    <w:rsid w:val="00150C78"/>
    <w:rsid w:val="0015575A"/>
    <w:rsid w:val="00155BB0"/>
    <w:rsid w:val="0015681D"/>
    <w:rsid w:val="001579E3"/>
    <w:rsid w:val="00161B47"/>
    <w:rsid w:val="0016213E"/>
    <w:rsid w:val="00165D36"/>
    <w:rsid w:val="00171F9D"/>
    <w:rsid w:val="0017278C"/>
    <w:rsid w:val="00174F2A"/>
    <w:rsid w:val="00175E50"/>
    <w:rsid w:val="00180479"/>
    <w:rsid w:val="00186CD4"/>
    <w:rsid w:val="00187D74"/>
    <w:rsid w:val="00192627"/>
    <w:rsid w:val="001949A0"/>
    <w:rsid w:val="00197C92"/>
    <w:rsid w:val="001B0C9A"/>
    <w:rsid w:val="001B0E7B"/>
    <w:rsid w:val="001B3614"/>
    <w:rsid w:val="001B3758"/>
    <w:rsid w:val="001C0753"/>
    <w:rsid w:val="001C6386"/>
    <w:rsid w:val="001D25A5"/>
    <w:rsid w:val="001D381F"/>
    <w:rsid w:val="001E30D5"/>
    <w:rsid w:val="001E35E7"/>
    <w:rsid w:val="001E4848"/>
    <w:rsid w:val="001E5BBE"/>
    <w:rsid w:val="00200C7C"/>
    <w:rsid w:val="00203521"/>
    <w:rsid w:val="00203A45"/>
    <w:rsid w:val="002045F8"/>
    <w:rsid w:val="002143F8"/>
    <w:rsid w:val="00224793"/>
    <w:rsid w:val="00231DFA"/>
    <w:rsid w:val="00232A0C"/>
    <w:rsid w:val="00242423"/>
    <w:rsid w:val="00244676"/>
    <w:rsid w:val="00245CB8"/>
    <w:rsid w:val="00246B76"/>
    <w:rsid w:val="00246EE8"/>
    <w:rsid w:val="00247ADC"/>
    <w:rsid w:val="00250839"/>
    <w:rsid w:val="00252984"/>
    <w:rsid w:val="00254AEB"/>
    <w:rsid w:val="00254E95"/>
    <w:rsid w:val="00255C68"/>
    <w:rsid w:val="0025637C"/>
    <w:rsid w:val="002574C1"/>
    <w:rsid w:val="002604B8"/>
    <w:rsid w:val="00261DC9"/>
    <w:rsid w:val="002700D8"/>
    <w:rsid w:val="00271A77"/>
    <w:rsid w:val="002765F3"/>
    <w:rsid w:val="002912B6"/>
    <w:rsid w:val="00291532"/>
    <w:rsid w:val="00296200"/>
    <w:rsid w:val="002A19F4"/>
    <w:rsid w:val="002A22AE"/>
    <w:rsid w:val="002A5EBB"/>
    <w:rsid w:val="002B12B7"/>
    <w:rsid w:val="002B1C71"/>
    <w:rsid w:val="002C0E1B"/>
    <w:rsid w:val="002D3D1B"/>
    <w:rsid w:val="002D3F4E"/>
    <w:rsid w:val="002D4037"/>
    <w:rsid w:val="002D7867"/>
    <w:rsid w:val="002D78CC"/>
    <w:rsid w:val="002E68DF"/>
    <w:rsid w:val="002E6EBE"/>
    <w:rsid w:val="003042CF"/>
    <w:rsid w:val="00310608"/>
    <w:rsid w:val="003125F0"/>
    <w:rsid w:val="00315DD6"/>
    <w:rsid w:val="00317566"/>
    <w:rsid w:val="0032433E"/>
    <w:rsid w:val="003266EC"/>
    <w:rsid w:val="0033140A"/>
    <w:rsid w:val="00332D18"/>
    <w:rsid w:val="00334207"/>
    <w:rsid w:val="00334564"/>
    <w:rsid w:val="00335CCF"/>
    <w:rsid w:val="00340EEE"/>
    <w:rsid w:val="00341D2A"/>
    <w:rsid w:val="00343D69"/>
    <w:rsid w:val="00345B83"/>
    <w:rsid w:val="00345DB5"/>
    <w:rsid w:val="0035015D"/>
    <w:rsid w:val="00352AF5"/>
    <w:rsid w:val="00354BAC"/>
    <w:rsid w:val="003568AD"/>
    <w:rsid w:val="0036197D"/>
    <w:rsid w:val="003634DC"/>
    <w:rsid w:val="0037327F"/>
    <w:rsid w:val="00384C21"/>
    <w:rsid w:val="00385E16"/>
    <w:rsid w:val="00386231"/>
    <w:rsid w:val="00387175"/>
    <w:rsid w:val="00391EE7"/>
    <w:rsid w:val="0039496D"/>
    <w:rsid w:val="00394AFD"/>
    <w:rsid w:val="00394BB8"/>
    <w:rsid w:val="003A3E09"/>
    <w:rsid w:val="003A4886"/>
    <w:rsid w:val="003A750A"/>
    <w:rsid w:val="003B483A"/>
    <w:rsid w:val="003B5A5A"/>
    <w:rsid w:val="003C3843"/>
    <w:rsid w:val="003C6341"/>
    <w:rsid w:val="003D05E4"/>
    <w:rsid w:val="003D0981"/>
    <w:rsid w:val="003D38C6"/>
    <w:rsid w:val="003D3B52"/>
    <w:rsid w:val="003D4D02"/>
    <w:rsid w:val="003D7A5B"/>
    <w:rsid w:val="003E3F76"/>
    <w:rsid w:val="003E719D"/>
    <w:rsid w:val="003F3144"/>
    <w:rsid w:val="003F4B21"/>
    <w:rsid w:val="003F6E00"/>
    <w:rsid w:val="00401417"/>
    <w:rsid w:val="00403CD2"/>
    <w:rsid w:val="00404ACB"/>
    <w:rsid w:val="00415DE2"/>
    <w:rsid w:val="00420DD0"/>
    <w:rsid w:val="004346F8"/>
    <w:rsid w:val="0043683A"/>
    <w:rsid w:val="00437FD2"/>
    <w:rsid w:val="00440FB2"/>
    <w:rsid w:val="0044248C"/>
    <w:rsid w:val="004523D8"/>
    <w:rsid w:val="00453307"/>
    <w:rsid w:val="0045633A"/>
    <w:rsid w:val="00466AA6"/>
    <w:rsid w:val="00472328"/>
    <w:rsid w:val="00481ABE"/>
    <w:rsid w:val="00481FDA"/>
    <w:rsid w:val="00482DB7"/>
    <w:rsid w:val="00483C97"/>
    <w:rsid w:val="00483D14"/>
    <w:rsid w:val="00484F1D"/>
    <w:rsid w:val="00496FA8"/>
    <w:rsid w:val="0049797B"/>
    <w:rsid w:val="004A16C2"/>
    <w:rsid w:val="004B1EFA"/>
    <w:rsid w:val="004C4615"/>
    <w:rsid w:val="004E1975"/>
    <w:rsid w:val="004E1B0A"/>
    <w:rsid w:val="004E365F"/>
    <w:rsid w:val="004E5090"/>
    <w:rsid w:val="004E7F9B"/>
    <w:rsid w:val="004F189A"/>
    <w:rsid w:val="004F6398"/>
    <w:rsid w:val="004F64E3"/>
    <w:rsid w:val="0050082E"/>
    <w:rsid w:val="00502965"/>
    <w:rsid w:val="00505CDD"/>
    <w:rsid w:val="0050733B"/>
    <w:rsid w:val="00512052"/>
    <w:rsid w:val="00513CCF"/>
    <w:rsid w:val="00513DB3"/>
    <w:rsid w:val="00514BF1"/>
    <w:rsid w:val="00514CD0"/>
    <w:rsid w:val="00516D8D"/>
    <w:rsid w:val="0052293B"/>
    <w:rsid w:val="00534AD3"/>
    <w:rsid w:val="005352F4"/>
    <w:rsid w:val="0053654E"/>
    <w:rsid w:val="00537795"/>
    <w:rsid w:val="00541B51"/>
    <w:rsid w:val="00542236"/>
    <w:rsid w:val="00542791"/>
    <w:rsid w:val="005431FE"/>
    <w:rsid w:val="00547327"/>
    <w:rsid w:val="00550224"/>
    <w:rsid w:val="005540E2"/>
    <w:rsid w:val="00554231"/>
    <w:rsid w:val="0055779D"/>
    <w:rsid w:val="00557829"/>
    <w:rsid w:val="00557E76"/>
    <w:rsid w:val="00562010"/>
    <w:rsid w:val="00566072"/>
    <w:rsid w:val="005663E8"/>
    <w:rsid w:val="00570ED7"/>
    <w:rsid w:val="005724A0"/>
    <w:rsid w:val="00573767"/>
    <w:rsid w:val="00576DA6"/>
    <w:rsid w:val="00577DF8"/>
    <w:rsid w:val="00580774"/>
    <w:rsid w:val="00582C8F"/>
    <w:rsid w:val="00583C1C"/>
    <w:rsid w:val="0059002F"/>
    <w:rsid w:val="0059574D"/>
    <w:rsid w:val="00596006"/>
    <w:rsid w:val="00596348"/>
    <w:rsid w:val="005A031A"/>
    <w:rsid w:val="005A53DF"/>
    <w:rsid w:val="005A5A1A"/>
    <w:rsid w:val="005B570C"/>
    <w:rsid w:val="005C0B7D"/>
    <w:rsid w:val="005C0DA7"/>
    <w:rsid w:val="005C1E0F"/>
    <w:rsid w:val="005D0B5B"/>
    <w:rsid w:val="005D5520"/>
    <w:rsid w:val="005E1F27"/>
    <w:rsid w:val="005E2548"/>
    <w:rsid w:val="005E3A1B"/>
    <w:rsid w:val="005E49AF"/>
    <w:rsid w:val="005E68B6"/>
    <w:rsid w:val="005E7A41"/>
    <w:rsid w:val="005F25F1"/>
    <w:rsid w:val="005F66C5"/>
    <w:rsid w:val="006038DC"/>
    <w:rsid w:val="00607BB4"/>
    <w:rsid w:val="006216EA"/>
    <w:rsid w:val="00624080"/>
    <w:rsid w:val="00626892"/>
    <w:rsid w:val="00631E71"/>
    <w:rsid w:val="00633BAF"/>
    <w:rsid w:val="006406C2"/>
    <w:rsid w:val="00642F22"/>
    <w:rsid w:val="00644557"/>
    <w:rsid w:val="00646B7B"/>
    <w:rsid w:val="006504D5"/>
    <w:rsid w:val="00651080"/>
    <w:rsid w:val="006531F2"/>
    <w:rsid w:val="00654E98"/>
    <w:rsid w:val="006646A9"/>
    <w:rsid w:val="006669EB"/>
    <w:rsid w:val="006738A8"/>
    <w:rsid w:val="00676761"/>
    <w:rsid w:val="00680E85"/>
    <w:rsid w:val="00682942"/>
    <w:rsid w:val="0068385E"/>
    <w:rsid w:val="006850B0"/>
    <w:rsid w:val="00685D7D"/>
    <w:rsid w:val="00695011"/>
    <w:rsid w:val="006A0776"/>
    <w:rsid w:val="006A0F5F"/>
    <w:rsid w:val="006A46A4"/>
    <w:rsid w:val="006A4F05"/>
    <w:rsid w:val="006B04E5"/>
    <w:rsid w:val="006B4A38"/>
    <w:rsid w:val="006C5A82"/>
    <w:rsid w:val="006C7627"/>
    <w:rsid w:val="006D0906"/>
    <w:rsid w:val="006D0BA2"/>
    <w:rsid w:val="006D4159"/>
    <w:rsid w:val="006E6C65"/>
    <w:rsid w:val="006E7B19"/>
    <w:rsid w:val="006F1707"/>
    <w:rsid w:val="006F45A1"/>
    <w:rsid w:val="006F4B0C"/>
    <w:rsid w:val="00700571"/>
    <w:rsid w:val="0070761E"/>
    <w:rsid w:val="007079E1"/>
    <w:rsid w:val="007158E7"/>
    <w:rsid w:val="00716B7D"/>
    <w:rsid w:val="007174FD"/>
    <w:rsid w:val="00722D9A"/>
    <w:rsid w:val="007239E7"/>
    <w:rsid w:val="00724742"/>
    <w:rsid w:val="00730C2F"/>
    <w:rsid w:val="007349E5"/>
    <w:rsid w:val="00735195"/>
    <w:rsid w:val="0074308E"/>
    <w:rsid w:val="007475F5"/>
    <w:rsid w:val="00752915"/>
    <w:rsid w:val="00754185"/>
    <w:rsid w:val="00760D85"/>
    <w:rsid w:val="007666C2"/>
    <w:rsid w:val="00771914"/>
    <w:rsid w:val="0077243E"/>
    <w:rsid w:val="00772A36"/>
    <w:rsid w:val="00775B31"/>
    <w:rsid w:val="007760B3"/>
    <w:rsid w:val="00776506"/>
    <w:rsid w:val="00776611"/>
    <w:rsid w:val="007809AE"/>
    <w:rsid w:val="00786C40"/>
    <w:rsid w:val="00793FCA"/>
    <w:rsid w:val="0079588C"/>
    <w:rsid w:val="00797A0E"/>
    <w:rsid w:val="007A3653"/>
    <w:rsid w:val="007A634E"/>
    <w:rsid w:val="007A769E"/>
    <w:rsid w:val="007A7BB3"/>
    <w:rsid w:val="007B0AF5"/>
    <w:rsid w:val="007C0266"/>
    <w:rsid w:val="007C0BFD"/>
    <w:rsid w:val="007C2900"/>
    <w:rsid w:val="007D28AD"/>
    <w:rsid w:val="007D3AD1"/>
    <w:rsid w:val="007D5EC5"/>
    <w:rsid w:val="007E2CBA"/>
    <w:rsid w:val="007E5838"/>
    <w:rsid w:val="007E708A"/>
    <w:rsid w:val="007E728E"/>
    <w:rsid w:val="007F025E"/>
    <w:rsid w:val="007F4721"/>
    <w:rsid w:val="007F6D58"/>
    <w:rsid w:val="007F72CF"/>
    <w:rsid w:val="007F77B6"/>
    <w:rsid w:val="007F7D27"/>
    <w:rsid w:val="00807C0C"/>
    <w:rsid w:val="00814238"/>
    <w:rsid w:val="008146CD"/>
    <w:rsid w:val="00814853"/>
    <w:rsid w:val="008174E3"/>
    <w:rsid w:val="00821D0F"/>
    <w:rsid w:val="00826A7F"/>
    <w:rsid w:val="008366EE"/>
    <w:rsid w:val="00837FFE"/>
    <w:rsid w:val="00845872"/>
    <w:rsid w:val="00845DEE"/>
    <w:rsid w:val="0085054A"/>
    <w:rsid w:val="008513C8"/>
    <w:rsid w:val="008531FE"/>
    <w:rsid w:val="008649EF"/>
    <w:rsid w:val="00864A37"/>
    <w:rsid w:val="00870945"/>
    <w:rsid w:val="008720CB"/>
    <w:rsid w:val="00897226"/>
    <w:rsid w:val="0089731E"/>
    <w:rsid w:val="008A1867"/>
    <w:rsid w:val="008A4B27"/>
    <w:rsid w:val="008A512C"/>
    <w:rsid w:val="008A5AE7"/>
    <w:rsid w:val="008C35D9"/>
    <w:rsid w:val="008C44C8"/>
    <w:rsid w:val="008C4519"/>
    <w:rsid w:val="008C6BDB"/>
    <w:rsid w:val="008D1F9F"/>
    <w:rsid w:val="008D3DF2"/>
    <w:rsid w:val="008D45E6"/>
    <w:rsid w:val="008D5B18"/>
    <w:rsid w:val="008E0CBB"/>
    <w:rsid w:val="008F2EC3"/>
    <w:rsid w:val="008F4047"/>
    <w:rsid w:val="008F5010"/>
    <w:rsid w:val="008F597B"/>
    <w:rsid w:val="009045DA"/>
    <w:rsid w:val="009217ED"/>
    <w:rsid w:val="00922E45"/>
    <w:rsid w:val="00931A5A"/>
    <w:rsid w:val="00940274"/>
    <w:rsid w:val="00942958"/>
    <w:rsid w:val="00943AEF"/>
    <w:rsid w:val="009453EE"/>
    <w:rsid w:val="00950904"/>
    <w:rsid w:val="00950D94"/>
    <w:rsid w:val="0095688C"/>
    <w:rsid w:val="00960C2E"/>
    <w:rsid w:val="00963442"/>
    <w:rsid w:val="00972748"/>
    <w:rsid w:val="00975B47"/>
    <w:rsid w:val="00980C0E"/>
    <w:rsid w:val="0098636B"/>
    <w:rsid w:val="00991E56"/>
    <w:rsid w:val="009930D4"/>
    <w:rsid w:val="009948FA"/>
    <w:rsid w:val="00996E33"/>
    <w:rsid w:val="0099700A"/>
    <w:rsid w:val="009A1B49"/>
    <w:rsid w:val="009A2AAE"/>
    <w:rsid w:val="009A3F13"/>
    <w:rsid w:val="009A5400"/>
    <w:rsid w:val="009A7932"/>
    <w:rsid w:val="009B0C49"/>
    <w:rsid w:val="009B1DFF"/>
    <w:rsid w:val="009B2E04"/>
    <w:rsid w:val="009C08E0"/>
    <w:rsid w:val="009C15C2"/>
    <w:rsid w:val="009C5BEF"/>
    <w:rsid w:val="009C6FCB"/>
    <w:rsid w:val="009C72EA"/>
    <w:rsid w:val="009D2AFD"/>
    <w:rsid w:val="009D5C0A"/>
    <w:rsid w:val="009D6702"/>
    <w:rsid w:val="009E1F77"/>
    <w:rsid w:val="009F6985"/>
    <w:rsid w:val="00A00173"/>
    <w:rsid w:val="00A02C05"/>
    <w:rsid w:val="00A02DF8"/>
    <w:rsid w:val="00A0345B"/>
    <w:rsid w:val="00A0355B"/>
    <w:rsid w:val="00A03995"/>
    <w:rsid w:val="00A0406B"/>
    <w:rsid w:val="00A157F7"/>
    <w:rsid w:val="00A216EC"/>
    <w:rsid w:val="00A21813"/>
    <w:rsid w:val="00A21EB0"/>
    <w:rsid w:val="00A23827"/>
    <w:rsid w:val="00A24692"/>
    <w:rsid w:val="00A27619"/>
    <w:rsid w:val="00A309B7"/>
    <w:rsid w:val="00A34BF5"/>
    <w:rsid w:val="00A373EB"/>
    <w:rsid w:val="00A43582"/>
    <w:rsid w:val="00A44738"/>
    <w:rsid w:val="00A5788D"/>
    <w:rsid w:val="00A66EA0"/>
    <w:rsid w:val="00A73E64"/>
    <w:rsid w:val="00A75A52"/>
    <w:rsid w:val="00A76DBF"/>
    <w:rsid w:val="00A776CF"/>
    <w:rsid w:val="00A77BA5"/>
    <w:rsid w:val="00A77E5A"/>
    <w:rsid w:val="00A80A85"/>
    <w:rsid w:val="00A81FB1"/>
    <w:rsid w:val="00A852A3"/>
    <w:rsid w:val="00A90C4A"/>
    <w:rsid w:val="00A95859"/>
    <w:rsid w:val="00AA5A9C"/>
    <w:rsid w:val="00AB06DB"/>
    <w:rsid w:val="00AB3C6E"/>
    <w:rsid w:val="00AC3586"/>
    <w:rsid w:val="00AC362C"/>
    <w:rsid w:val="00AC420D"/>
    <w:rsid w:val="00AC47D1"/>
    <w:rsid w:val="00AC7D4A"/>
    <w:rsid w:val="00AD3018"/>
    <w:rsid w:val="00AD4C61"/>
    <w:rsid w:val="00AD6A2A"/>
    <w:rsid w:val="00AE143F"/>
    <w:rsid w:val="00AE19FB"/>
    <w:rsid w:val="00AE4C84"/>
    <w:rsid w:val="00AE4F57"/>
    <w:rsid w:val="00AE74FA"/>
    <w:rsid w:val="00AF05CF"/>
    <w:rsid w:val="00AF199D"/>
    <w:rsid w:val="00AF1F3D"/>
    <w:rsid w:val="00AF717A"/>
    <w:rsid w:val="00B00A4B"/>
    <w:rsid w:val="00B03C73"/>
    <w:rsid w:val="00B0433D"/>
    <w:rsid w:val="00B1004D"/>
    <w:rsid w:val="00B10FB4"/>
    <w:rsid w:val="00B1236D"/>
    <w:rsid w:val="00B15242"/>
    <w:rsid w:val="00B21200"/>
    <w:rsid w:val="00B216E9"/>
    <w:rsid w:val="00B24F5A"/>
    <w:rsid w:val="00B26D1D"/>
    <w:rsid w:val="00B34696"/>
    <w:rsid w:val="00B3593B"/>
    <w:rsid w:val="00B37A5B"/>
    <w:rsid w:val="00B40AC8"/>
    <w:rsid w:val="00B41858"/>
    <w:rsid w:val="00B4215C"/>
    <w:rsid w:val="00B45DFC"/>
    <w:rsid w:val="00B4799E"/>
    <w:rsid w:val="00B50021"/>
    <w:rsid w:val="00B50234"/>
    <w:rsid w:val="00B506EB"/>
    <w:rsid w:val="00B51FB2"/>
    <w:rsid w:val="00B52D7B"/>
    <w:rsid w:val="00B53674"/>
    <w:rsid w:val="00B602FA"/>
    <w:rsid w:val="00B607AB"/>
    <w:rsid w:val="00B62426"/>
    <w:rsid w:val="00B62ACB"/>
    <w:rsid w:val="00B67242"/>
    <w:rsid w:val="00B73895"/>
    <w:rsid w:val="00B74707"/>
    <w:rsid w:val="00B74EC8"/>
    <w:rsid w:val="00B80E25"/>
    <w:rsid w:val="00B826F0"/>
    <w:rsid w:val="00B840F9"/>
    <w:rsid w:val="00B91150"/>
    <w:rsid w:val="00B93D97"/>
    <w:rsid w:val="00B971BD"/>
    <w:rsid w:val="00BA025A"/>
    <w:rsid w:val="00BB1ADF"/>
    <w:rsid w:val="00BB5DF6"/>
    <w:rsid w:val="00BB707D"/>
    <w:rsid w:val="00BD1CF1"/>
    <w:rsid w:val="00BD2BD1"/>
    <w:rsid w:val="00BE0A3F"/>
    <w:rsid w:val="00BF07A8"/>
    <w:rsid w:val="00BF112A"/>
    <w:rsid w:val="00BF50B6"/>
    <w:rsid w:val="00C00B48"/>
    <w:rsid w:val="00C00F0F"/>
    <w:rsid w:val="00C02756"/>
    <w:rsid w:val="00C04F3C"/>
    <w:rsid w:val="00C05C28"/>
    <w:rsid w:val="00C07D76"/>
    <w:rsid w:val="00C129F5"/>
    <w:rsid w:val="00C14B52"/>
    <w:rsid w:val="00C15047"/>
    <w:rsid w:val="00C16D53"/>
    <w:rsid w:val="00C2224E"/>
    <w:rsid w:val="00C22F60"/>
    <w:rsid w:val="00C2457F"/>
    <w:rsid w:val="00C25005"/>
    <w:rsid w:val="00C27029"/>
    <w:rsid w:val="00C3704D"/>
    <w:rsid w:val="00C37587"/>
    <w:rsid w:val="00C40AE6"/>
    <w:rsid w:val="00C4112C"/>
    <w:rsid w:val="00C42A73"/>
    <w:rsid w:val="00C44378"/>
    <w:rsid w:val="00C453B7"/>
    <w:rsid w:val="00C5110B"/>
    <w:rsid w:val="00C53DC0"/>
    <w:rsid w:val="00C55DB8"/>
    <w:rsid w:val="00C57122"/>
    <w:rsid w:val="00C6095D"/>
    <w:rsid w:val="00C614B1"/>
    <w:rsid w:val="00C623F3"/>
    <w:rsid w:val="00C64EA1"/>
    <w:rsid w:val="00C6652F"/>
    <w:rsid w:val="00C669A0"/>
    <w:rsid w:val="00C81B11"/>
    <w:rsid w:val="00C82138"/>
    <w:rsid w:val="00C8438B"/>
    <w:rsid w:val="00C872ED"/>
    <w:rsid w:val="00C9404B"/>
    <w:rsid w:val="00C95B67"/>
    <w:rsid w:val="00CA00C4"/>
    <w:rsid w:val="00CA0635"/>
    <w:rsid w:val="00CA231E"/>
    <w:rsid w:val="00CA3711"/>
    <w:rsid w:val="00CA56BA"/>
    <w:rsid w:val="00CB2C7F"/>
    <w:rsid w:val="00CB469D"/>
    <w:rsid w:val="00CB58C0"/>
    <w:rsid w:val="00CB5A37"/>
    <w:rsid w:val="00CB7BFA"/>
    <w:rsid w:val="00CC2401"/>
    <w:rsid w:val="00CC2D22"/>
    <w:rsid w:val="00CD0729"/>
    <w:rsid w:val="00CD136B"/>
    <w:rsid w:val="00CD3A25"/>
    <w:rsid w:val="00CE4C1B"/>
    <w:rsid w:val="00CE5158"/>
    <w:rsid w:val="00CE79C1"/>
    <w:rsid w:val="00CF3FE5"/>
    <w:rsid w:val="00CF5A90"/>
    <w:rsid w:val="00D0787F"/>
    <w:rsid w:val="00D100A4"/>
    <w:rsid w:val="00D11422"/>
    <w:rsid w:val="00D11FC5"/>
    <w:rsid w:val="00D128B9"/>
    <w:rsid w:val="00D16292"/>
    <w:rsid w:val="00D17155"/>
    <w:rsid w:val="00D21FD5"/>
    <w:rsid w:val="00D24EF8"/>
    <w:rsid w:val="00D32672"/>
    <w:rsid w:val="00D33DFC"/>
    <w:rsid w:val="00D3501B"/>
    <w:rsid w:val="00D4123B"/>
    <w:rsid w:val="00D41CF3"/>
    <w:rsid w:val="00D47814"/>
    <w:rsid w:val="00D50D70"/>
    <w:rsid w:val="00D51B95"/>
    <w:rsid w:val="00D528DE"/>
    <w:rsid w:val="00D6387C"/>
    <w:rsid w:val="00D65857"/>
    <w:rsid w:val="00D67CD6"/>
    <w:rsid w:val="00D74B5E"/>
    <w:rsid w:val="00D81C87"/>
    <w:rsid w:val="00D9575C"/>
    <w:rsid w:val="00DA0E6B"/>
    <w:rsid w:val="00DA292B"/>
    <w:rsid w:val="00DA5A56"/>
    <w:rsid w:val="00DB6889"/>
    <w:rsid w:val="00DD3496"/>
    <w:rsid w:val="00DD53A6"/>
    <w:rsid w:val="00DD679B"/>
    <w:rsid w:val="00DE2C23"/>
    <w:rsid w:val="00DE56A8"/>
    <w:rsid w:val="00DE5853"/>
    <w:rsid w:val="00DE5F07"/>
    <w:rsid w:val="00DE6B4B"/>
    <w:rsid w:val="00DF4C21"/>
    <w:rsid w:val="00DF73F6"/>
    <w:rsid w:val="00E00FFB"/>
    <w:rsid w:val="00E03880"/>
    <w:rsid w:val="00E0464E"/>
    <w:rsid w:val="00E11BD9"/>
    <w:rsid w:val="00E21D80"/>
    <w:rsid w:val="00E225D4"/>
    <w:rsid w:val="00E229EC"/>
    <w:rsid w:val="00E322C2"/>
    <w:rsid w:val="00E327B0"/>
    <w:rsid w:val="00E32D04"/>
    <w:rsid w:val="00E33D18"/>
    <w:rsid w:val="00E33FF9"/>
    <w:rsid w:val="00E45DA5"/>
    <w:rsid w:val="00E4753D"/>
    <w:rsid w:val="00E545FD"/>
    <w:rsid w:val="00E61519"/>
    <w:rsid w:val="00E641B3"/>
    <w:rsid w:val="00E73451"/>
    <w:rsid w:val="00E73520"/>
    <w:rsid w:val="00E75F2D"/>
    <w:rsid w:val="00E815E6"/>
    <w:rsid w:val="00E81F39"/>
    <w:rsid w:val="00E90203"/>
    <w:rsid w:val="00E92139"/>
    <w:rsid w:val="00E95513"/>
    <w:rsid w:val="00EA308A"/>
    <w:rsid w:val="00EA5614"/>
    <w:rsid w:val="00EB189D"/>
    <w:rsid w:val="00EC66EB"/>
    <w:rsid w:val="00ED2138"/>
    <w:rsid w:val="00EE003E"/>
    <w:rsid w:val="00EE0B8A"/>
    <w:rsid w:val="00EE551C"/>
    <w:rsid w:val="00EE78C1"/>
    <w:rsid w:val="00EF2C38"/>
    <w:rsid w:val="00F028CE"/>
    <w:rsid w:val="00F0569E"/>
    <w:rsid w:val="00F0624F"/>
    <w:rsid w:val="00F0625A"/>
    <w:rsid w:val="00F1305E"/>
    <w:rsid w:val="00F132A5"/>
    <w:rsid w:val="00F135EA"/>
    <w:rsid w:val="00F13DA3"/>
    <w:rsid w:val="00F151E5"/>
    <w:rsid w:val="00F207EA"/>
    <w:rsid w:val="00F262B8"/>
    <w:rsid w:val="00F4122E"/>
    <w:rsid w:val="00F45BDB"/>
    <w:rsid w:val="00F47A02"/>
    <w:rsid w:val="00F504D8"/>
    <w:rsid w:val="00F50C53"/>
    <w:rsid w:val="00F515FE"/>
    <w:rsid w:val="00F545C8"/>
    <w:rsid w:val="00F64711"/>
    <w:rsid w:val="00F6478B"/>
    <w:rsid w:val="00F651C9"/>
    <w:rsid w:val="00F667D6"/>
    <w:rsid w:val="00F71CC3"/>
    <w:rsid w:val="00F77032"/>
    <w:rsid w:val="00F8012E"/>
    <w:rsid w:val="00F80350"/>
    <w:rsid w:val="00F82C79"/>
    <w:rsid w:val="00F82E4E"/>
    <w:rsid w:val="00F91FF2"/>
    <w:rsid w:val="00F932D8"/>
    <w:rsid w:val="00F934C5"/>
    <w:rsid w:val="00FA3B2F"/>
    <w:rsid w:val="00FA5E96"/>
    <w:rsid w:val="00FB1CFB"/>
    <w:rsid w:val="00FC1526"/>
    <w:rsid w:val="00FC3D88"/>
    <w:rsid w:val="00FC558B"/>
    <w:rsid w:val="00FD2002"/>
    <w:rsid w:val="00FD3540"/>
    <w:rsid w:val="00FD445B"/>
    <w:rsid w:val="00FD49C5"/>
    <w:rsid w:val="00FD57FB"/>
    <w:rsid w:val="00FE40BF"/>
    <w:rsid w:val="00FE57AD"/>
    <w:rsid w:val="00FE7C7F"/>
    <w:rsid w:val="00FF0390"/>
    <w:rsid w:val="00FF0C89"/>
    <w:rsid w:val="00FF0CDF"/>
    <w:rsid w:val="00FF380B"/>
    <w:rsid w:val="00FF5FC6"/>
    <w:rsid w:val="00FF64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2ACB"/>
    <w:pPr>
      <w:tabs>
        <w:tab w:val="center" w:pos="4680"/>
        <w:tab w:val="right" w:pos="9360"/>
      </w:tabs>
    </w:pPr>
  </w:style>
  <w:style w:type="character" w:customStyle="1" w:styleId="HeaderChar">
    <w:name w:val="Header Char"/>
    <w:link w:val="Header"/>
    <w:uiPriority w:val="99"/>
    <w:rsid w:val="00B62ACB"/>
    <w:rPr>
      <w:sz w:val="22"/>
      <w:szCs w:val="22"/>
    </w:rPr>
  </w:style>
  <w:style w:type="paragraph" w:styleId="FootnoteText">
    <w:name w:val="footnote text"/>
    <w:aliases w:val="Footnote reference,FA Fu,Footnote Text Char Char Char Char Char,Footnote Text Char Char Char Char,Footnote Text Char Char Char,Footnote Text Cha,FA Fußnotentext,FA Fuﬂnotentext,Texto nota pie Car,Footnote Text Char Char,FA Fu?notentext,Ca"/>
    <w:basedOn w:val="Normal"/>
    <w:link w:val="FootnoteTextChar"/>
    <w:uiPriority w:val="99"/>
    <w:qFormat/>
    <w:rsid w:val="00B62ACB"/>
    <w:pPr>
      <w:spacing w:after="0" w:line="240" w:lineRule="auto"/>
    </w:pPr>
    <w:rPr>
      <w:rFonts w:ascii="Univers" w:eastAsia="Times New Roman" w:hAnsi="Univers"/>
      <w:sz w:val="20"/>
      <w:szCs w:val="20"/>
      <w:lang w:val="es-CO"/>
    </w:rPr>
  </w:style>
  <w:style w:type="character" w:customStyle="1" w:styleId="FootnoteTextChar">
    <w:name w:val="Footnote Text Char"/>
    <w:aliases w:val="Footnote reference Char,FA Fu Char,Footnote Text Char Char Char Char Char Char,Footnote Text Char Char Char Char Char1,Footnote Text Char Char Char Char1,Footnote Text Cha Char,FA Fußnotentext Char,FA Fuﬂnotentext Char,Ca Char"/>
    <w:link w:val="FootnoteText"/>
    <w:uiPriority w:val="99"/>
    <w:rsid w:val="00B62ACB"/>
    <w:rPr>
      <w:rFonts w:ascii="Univers" w:eastAsia="Times New Roman" w:hAnsi="Univers"/>
      <w:lang w:val="es-CO"/>
    </w:rPr>
  </w:style>
  <w:style w:type="character" w:styleId="FootnoteReference">
    <w:name w:val="footnote reference"/>
    <w:aliases w:val="Texto de nota al pie,Footnotes refss,Appel note de bas de page,Footnote number,referencia nota al pie,BVI fnr,f,4_G,16 Point,Superscript 6 Point,Texto nota al pie,Footnote Reference Char3,Footnote Reference Char1 Char,Footnote symbol"/>
    <w:rsid w:val="00B62ACB"/>
    <w:rPr>
      <w:vertAlign w:val="superscript"/>
    </w:rPr>
  </w:style>
  <w:style w:type="character" w:styleId="Hyperlink">
    <w:name w:val="Hyperlink"/>
    <w:uiPriority w:val="99"/>
    <w:unhideWhenUsed/>
    <w:rsid w:val="00B62ACB"/>
    <w:rPr>
      <w:color w:val="0000FF"/>
      <w:u w:val="single"/>
    </w:rPr>
  </w:style>
  <w:style w:type="paragraph" w:styleId="ListParagraph">
    <w:name w:val="List Paragraph"/>
    <w:basedOn w:val="Normal"/>
    <w:uiPriority w:val="34"/>
    <w:qFormat/>
    <w:rsid w:val="00197C92"/>
    <w:pPr>
      <w:ind w:left="708"/>
    </w:pPr>
  </w:style>
  <w:style w:type="paragraph" w:styleId="BalloonText">
    <w:name w:val="Balloon Text"/>
    <w:basedOn w:val="Normal"/>
    <w:link w:val="BalloonTextChar"/>
    <w:uiPriority w:val="99"/>
    <w:semiHidden/>
    <w:unhideWhenUsed/>
    <w:rsid w:val="00DA5A5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A5A56"/>
    <w:rPr>
      <w:rFonts w:ascii="Tahoma" w:hAnsi="Tahoma" w:cs="Tahoma"/>
      <w:sz w:val="16"/>
      <w:szCs w:val="16"/>
    </w:rPr>
  </w:style>
  <w:style w:type="paragraph" w:customStyle="1" w:styleId="Default">
    <w:name w:val="Default"/>
    <w:rsid w:val="00821D0F"/>
    <w:pPr>
      <w:autoSpaceDE w:val="0"/>
      <w:autoSpaceDN w:val="0"/>
      <w:adjustRightInd w:val="0"/>
    </w:pPr>
    <w:rPr>
      <w:rFonts w:cs="Calibri"/>
      <w:color w:val="000000"/>
      <w:sz w:val="24"/>
      <w:szCs w:val="24"/>
    </w:rPr>
  </w:style>
  <w:style w:type="character" w:styleId="CommentReference">
    <w:name w:val="annotation reference"/>
    <w:uiPriority w:val="99"/>
    <w:semiHidden/>
    <w:unhideWhenUsed/>
    <w:rsid w:val="002A19F4"/>
    <w:rPr>
      <w:sz w:val="16"/>
      <w:szCs w:val="16"/>
    </w:rPr>
  </w:style>
  <w:style w:type="paragraph" w:styleId="CommentText">
    <w:name w:val="annotation text"/>
    <w:basedOn w:val="Normal"/>
    <w:link w:val="CommentTextChar"/>
    <w:uiPriority w:val="99"/>
    <w:semiHidden/>
    <w:unhideWhenUsed/>
    <w:rsid w:val="002A19F4"/>
    <w:rPr>
      <w:sz w:val="20"/>
      <w:szCs w:val="20"/>
    </w:rPr>
  </w:style>
  <w:style w:type="character" w:customStyle="1" w:styleId="CommentTextChar">
    <w:name w:val="Comment Text Char"/>
    <w:basedOn w:val="DefaultParagraphFont"/>
    <w:link w:val="CommentText"/>
    <w:uiPriority w:val="99"/>
    <w:semiHidden/>
    <w:rsid w:val="002A19F4"/>
  </w:style>
  <w:style w:type="paragraph" w:styleId="CommentSubject">
    <w:name w:val="annotation subject"/>
    <w:basedOn w:val="CommentText"/>
    <w:next w:val="CommentText"/>
    <w:link w:val="CommentSubjectChar"/>
    <w:uiPriority w:val="99"/>
    <w:semiHidden/>
    <w:unhideWhenUsed/>
    <w:rsid w:val="002A19F4"/>
    <w:rPr>
      <w:b/>
      <w:bCs/>
    </w:rPr>
  </w:style>
  <w:style w:type="character" w:customStyle="1" w:styleId="CommentSubjectChar">
    <w:name w:val="Comment Subject Char"/>
    <w:link w:val="CommentSubject"/>
    <w:uiPriority w:val="99"/>
    <w:semiHidden/>
    <w:rsid w:val="002A19F4"/>
    <w:rPr>
      <w:b/>
      <w:bCs/>
    </w:rPr>
  </w:style>
  <w:style w:type="paragraph" w:styleId="Revision">
    <w:name w:val="Revision"/>
    <w:hidden/>
    <w:uiPriority w:val="99"/>
    <w:semiHidden/>
    <w:rsid w:val="002A19F4"/>
    <w:rPr>
      <w:sz w:val="22"/>
      <w:szCs w:val="22"/>
    </w:rPr>
  </w:style>
  <w:style w:type="paragraph" w:styleId="Footer">
    <w:name w:val="footer"/>
    <w:basedOn w:val="Normal"/>
    <w:link w:val="FooterChar"/>
    <w:uiPriority w:val="99"/>
    <w:unhideWhenUsed/>
    <w:rsid w:val="00D4123B"/>
    <w:pPr>
      <w:tabs>
        <w:tab w:val="center" w:pos="4680"/>
        <w:tab w:val="right" w:pos="9360"/>
      </w:tabs>
    </w:pPr>
  </w:style>
  <w:style w:type="character" w:customStyle="1" w:styleId="FooterChar">
    <w:name w:val="Footer Char"/>
    <w:link w:val="Footer"/>
    <w:uiPriority w:val="99"/>
    <w:rsid w:val="00D4123B"/>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2ACB"/>
    <w:pPr>
      <w:tabs>
        <w:tab w:val="center" w:pos="4680"/>
        <w:tab w:val="right" w:pos="9360"/>
      </w:tabs>
    </w:pPr>
  </w:style>
  <w:style w:type="character" w:customStyle="1" w:styleId="HeaderChar">
    <w:name w:val="Header Char"/>
    <w:link w:val="Header"/>
    <w:uiPriority w:val="99"/>
    <w:rsid w:val="00B62ACB"/>
    <w:rPr>
      <w:sz w:val="22"/>
      <w:szCs w:val="22"/>
    </w:rPr>
  </w:style>
  <w:style w:type="paragraph" w:styleId="FootnoteText">
    <w:name w:val="footnote text"/>
    <w:aliases w:val="Footnote reference,FA Fu,Footnote Text Char Char Char Char Char,Footnote Text Char Char Char Char,Footnote Text Char Char Char,Footnote Text Cha,FA Fußnotentext,FA Fuﬂnotentext,Texto nota pie Car,Footnote Text Char Char,FA Fu?notentext,Ca"/>
    <w:basedOn w:val="Normal"/>
    <w:link w:val="FootnoteTextChar"/>
    <w:uiPriority w:val="99"/>
    <w:qFormat/>
    <w:rsid w:val="00B62ACB"/>
    <w:pPr>
      <w:spacing w:after="0" w:line="240" w:lineRule="auto"/>
    </w:pPr>
    <w:rPr>
      <w:rFonts w:ascii="Univers" w:eastAsia="Times New Roman" w:hAnsi="Univers"/>
      <w:sz w:val="20"/>
      <w:szCs w:val="20"/>
      <w:lang w:val="es-CO"/>
    </w:rPr>
  </w:style>
  <w:style w:type="character" w:customStyle="1" w:styleId="FootnoteTextChar">
    <w:name w:val="Footnote Text Char"/>
    <w:aliases w:val="Footnote reference Char,FA Fu Char,Footnote Text Char Char Char Char Char Char,Footnote Text Char Char Char Char Char1,Footnote Text Char Char Char Char1,Footnote Text Cha Char,FA Fußnotentext Char,FA Fuﬂnotentext Char,Ca Char"/>
    <w:link w:val="FootnoteText"/>
    <w:uiPriority w:val="99"/>
    <w:rsid w:val="00B62ACB"/>
    <w:rPr>
      <w:rFonts w:ascii="Univers" w:eastAsia="Times New Roman" w:hAnsi="Univers"/>
      <w:lang w:val="es-CO"/>
    </w:rPr>
  </w:style>
  <w:style w:type="character" w:styleId="FootnoteReference">
    <w:name w:val="footnote reference"/>
    <w:aliases w:val="Texto de nota al pie,Footnotes refss,Appel note de bas de page,Footnote number,referencia nota al pie,BVI fnr,f,4_G,16 Point,Superscript 6 Point,Texto nota al pie,Footnote Reference Char3,Footnote Reference Char1 Char,Footnote symbol"/>
    <w:rsid w:val="00B62ACB"/>
    <w:rPr>
      <w:vertAlign w:val="superscript"/>
    </w:rPr>
  </w:style>
  <w:style w:type="character" w:styleId="Hyperlink">
    <w:name w:val="Hyperlink"/>
    <w:uiPriority w:val="99"/>
    <w:unhideWhenUsed/>
    <w:rsid w:val="00B62ACB"/>
    <w:rPr>
      <w:color w:val="0000FF"/>
      <w:u w:val="single"/>
    </w:rPr>
  </w:style>
  <w:style w:type="paragraph" w:styleId="ListParagraph">
    <w:name w:val="List Paragraph"/>
    <w:basedOn w:val="Normal"/>
    <w:uiPriority w:val="34"/>
    <w:qFormat/>
    <w:rsid w:val="00197C92"/>
    <w:pPr>
      <w:ind w:left="708"/>
    </w:pPr>
  </w:style>
  <w:style w:type="paragraph" w:styleId="BalloonText">
    <w:name w:val="Balloon Text"/>
    <w:basedOn w:val="Normal"/>
    <w:link w:val="BalloonTextChar"/>
    <w:uiPriority w:val="99"/>
    <w:semiHidden/>
    <w:unhideWhenUsed/>
    <w:rsid w:val="00DA5A5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A5A56"/>
    <w:rPr>
      <w:rFonts w:ascii="Tahoma" w:hAnsi="Tahoma" w:cs="Tahoma"/>
      <w:sz w:val="16"/>
      <w:szCs w:val="16"/>
    </w:rPr>
  </w:style>
  <w:style w:type="paragraph" w:customStyle="1" w:styleId="Default">
    <w:name w:val="Default"/>
    <w:rsid w:val="00821D0F"/>
    <w:pPr>
      <w:autoSpaceDE w:val="0"/>
      <w:autoSpaceDN w:val="0"/>
      <w:adjustRightInd w:val="0"/>
    </w:pPr>
    <w:rPr>
      <w:rFonts w:cs="Calibri"/>
      <w:color w:val="000000"/>
      <w:sz w:val="24"/>
      <w:szCs w:val="24"/>
    </w:rPr>
  </w:style>
  <w:style w:type="character" w:styleId="CommentReference">
    <w:name w:val="annotation reference"/>
    <w:uiPriority w:val="99"/>
    <w:semiHidden/>
    <w:unhideWhenUsed/>
    <w:rsid w:val="002A19F4"/>
    <w:rPr>
      <w:sz w:val="16"/>
      <w:szCs w:val="16"/>
    </w:rPr>
  </w:style>
  <w:style w:type="paragraph" w:styleId="CommentText">
    <w:name w:val="annotation text"/>
    <w:basedOn w:val="Normal"/>
    <w:link w:val="CommentTextChar"/>
    <w:uiPriority w:val="99"/>
    <w:semiHidden/>
    <w:unhideWhenUsed/>
    <w:rsid w:val="002A19F4"/>
    <w:rPr>
      <w:sz w:val="20"/>
      <w:szCs w:val="20"/>
    </w:rPr>
  </w:style>
  <w:style w:type="character" w:customStyle="1" w:styleId="CommentTextChar">
    <w:name w:val="Comment Text Char"/>
    <w:basedOn w:val="DefaultParagraphFont"/>
    <w:link w:val="CommentText"/>
    <w:uiPriority w:val="99"/>
    <w:semiHidden/>
    <w:rsid w:val="002A19F4"/>
  </w:style>
  <w:style w:type="paragraph" w:styleId="CommentSubject">
    <w:name w:val="annotation subject"/>
    <w:basedOn w:val="CommentText"/>
    <w:next w:val="CommentText"/>
    <w:link w:val="CommentSubjectChar"/>
    <w:uiPriority w:val="99"/>
    <w:semiHidden/>
    <w:unhideWhenUsed/>
    <w:rsid w:val="002A19F4"/>
    <w:rPr>
      <w:b/>
      <w:bCs/>
    </w:rPr>
  </w:style>
  <w:style w:type="character" w:customStyle="1" w:styleId="CommentSubjectChar">
    <w:name w:val="Comment Subject Char"/>
    <w:link w:val="CommentSubject"/>
    <w:uiPriority w:val="99"/>
    <w:semiHidden/>
    <w:rsid w:val="002A19F4"/>
    <w:rPr>
      <w:b/>
      <w:bCs/>
    </w:rPr>
  </w:style>
  <w:style w:type="paragraph" w:styleId="Revision">
    <w:name w:val="Revision"/>
    <w:hidden/>
    <w:uiPriority w:val="99"/>
    <w:semiHidden/>
    <w:rsid w:val="002A19F4"/>
    <w:rPr>
      <w:sz w:val="22"/>
      <w:szCs w:val="22"/>
    </w:rPr>
  </w:style>
  <w:style w:type="paragraph" w:styleId="Footer">
    <w:name w:val="footer"/>
    <w:basedOn w:val="Normal"/>
    <w:link w:val="FooterChar"/>
    <w:uiPriority w:val="99"/>
    <w:unhideWhenUsed/>
    <w:rsid w:val="00D4123B"/>
    <w:pPr>
      <w:tabs>
        <w:tab w:val="center" w:pos="4680"/>
        <w:tab w:val="right" w:pos="9360"/>
      </w:tabs>
    </w:pPr>
  </w:style>
  <w:style w:type="character" w:customStyle="1" w:styleId="FooterChar">
    <w:name w:val="Footer Char"/>
    <w:link w:val="Footer"/>
    <w:uiPriority w:val="99"/>
    <w:rsid w:val="00D4123B"/>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oas.org/es/cidh/docs/anual/2015/doc-es/InformeAnual2015-cap4A-agua-ES.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F5D995-6C53-4469-83EE-18E139D8B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3539</Words>
  <Characters>20178</Characters>
  <Application>Microsoft Office Word</Application>
  <DocSecurity>0</DocSecurity>
  <Lines>168</Lines>
  <Paragraphs>47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23670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%username%</cp:lastModifiedBy>
  <cp:revision>2</cp:revision>
  <cp:lastPrinted>2018-03-01T20:14:00Z</cp:lastPrinted>
  <dcterms:created xsi:type="dcterms:W3CDTF">2018-03-01T20:29:00Z</dcterms:created>
  <dcterms:modified xsi:type="dcterms:W3CDTF">2018-03-01T20:29:00Z</dcterms:modified>
</cp:coreProperties>
</file>