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E00667" w:rsidRDefault="00E96B43" w:rsidP="00E96B43">
      <w:pPr>
        <w:spacing w:after="0" w:line="240" w:lineRule="auto"/>
        <w:jc w:val="center"/>
        <w:rPr>
          <w:rFonts w:ascii="Cambria" w:hAnsi="Cambria"/>
          <w:b/>
        </w:rPr>
      </w:pPr>
      <w:bookmarkStart w:id="0" w:name="_GoBack"/>
      <w:bookmarkEnd w:id="0"/>
      <w:r w:rsidRPr="00E00667">
        <w:rPr>
          <w:rFonts w:ascii="Cambria" w:hAnsi="Cambria"/>
          <w:b/>
        </w:rPr>
        <w:t>COMISIÓN INTERAMERICANA DE DERECHOS HUMANOS</w:t>
      </w:r>
    </w:p>
    <w:p w:rsidR="00E96B43" w:rsidRPr="00E00667" w:rsidRDefault="00E96B43" w:rsidP="00E96B43">
      <w:pPr>
        <w:spacing w:after="0" w:line="240" w:lineRule="auto"/>
        <w:jc w:val="center"/>
        <w:rPr>
          <w:rFonts w:ascii="Cambria" w:hAnsi="Cambria"/>
          <w:b/>
        </w:rPr>
      </w:pPr>
      <w:r w:rsidRPr="00E00667">
        <w:rPr>
          <w:rFonts w:ascii="Cambria" w:hAnsi="Cambria"/>
          <w:b/>
        </w:rPr>
        <w:t xml:space="preserve">RESOLUCIÓN </w:t>
      </w:r>
      <w:r w:rsidR="00A773A4">
        <w:rPr>
          <w:rFonts w:ascii="Cambria" w:hAnsi="Cambria"/>
          <w:b/>
        </w:rPr>
        <w:t>11</w:t>
      </w:r>
      <w:r w:rsidR="0018272E">
        <w:rPr>
          <w:rFonts w:ascii="Cambria" w:hAnsi="Cambria"/>
          <w:b/>
        </w:rPr>
        <w:t>/2018</w:t>
      </w:r>
    </w:p>
    <w:p w:rsidR="00E00667" w:rsidRPr="00E00667" w:rsidRDefault="00E00667" w:rsidP="00E96B43">
      <w:pPr>
        <w:spacing w:after="0" w:line="240" w:lineRule="auto"/>
        <w:jc w:val="center"/>
        <w:rPr>
          <w:rFonts w:ascii="Cambria" w:hAnsi="Cambria"/>
          <w:b/>
        </w:rPr>
      </w:pPr>
    </w:p>
    <w:p w:rsidR="00E96B43" w:rsidRPr="00C025F1" w:rsidRDefault="00E00667" w:rsidP="00E00667">
      <w:pPr>
        <w:spacing w:after="0" w:line="240" w:lineRule="auto"/>
        <w:jc w:val="center"/>
        <w:rPr>
          <w:rFonts w:ascii="Cambria" w:eastAsiaTheme="minorHAnsi" w:hAnsi="Cambria" w:cstheme="minorBidi"/>
          <w:szCs w:val="26"/>
          <w:lang w:val="es-MX"/>
        </w:rPr>
      </w:pPr>
      <w:r w:rsidRPr="00C025F1">
        <w:rPr>
          <w:rFonts w:ascii="Cambria" w:eastAsiaTheme="minorHAnsi" w:hAnsi="Cambria" w:cstheme="minorBidi"/>
          <w:szCs w:val="26"/>
          <w:lang w:val="es-MX"/>
        </w:rPr>
        <w:t>Medida Cautelar</w:t>
      </w:r>
      <w:r w:rsidR="00E96B43" w:rsidRPr="00C025F1">
        <w:rPr>
          <w:rFonts w:ascii="Cambria" w:eastAsiaTheme="minorHAnsi" w:hAnsi="Cambria" w:cstheme="minorBidi"/>
          <w:szCs w:val="26"/>
          <w:lang w:val="es-MX"/>
        </w:rPr>
        <w:t xml:space="preserve"> No. </w:t>
      </w:r>
      <w:r w:rsidR="00EE231C">
        <w:rPr>
          <w:rFonts w:ascii="Cambria" w:eastAsiaTheme="minorHAnsi" w:hAnsi="Cambria" w:cstheme="minorBidi"/>
          <w:szCs w:val="26"/>
          <w:lang w:val="es-MX"/>
        </w:rPr>
        <w:t>917</w:t>
      </w:r>
      <w:r w:rsidR="00E96B43" w:rsidRPr="00C025F1">
        <w:rPr>
          <w:rFonts w:ascii="Cambria" w:eastAsiaTheme="minorHAnsi" w:hAnsi="Cambria" w:cstheme="minorBidi"/>
          <w:szCs w:val="26"/>
          <w:lang w:val="es-MX"/>
        </w:rPr>
        <w:t>-17</w:t>
      </w:r>
    </w:p>
    <w:p w:rsidR="00E96B43" w:rsidRPr="001508E7" w:rsidRDefault="00EE231C" w:rsidP="00E96B43">
      <w:pPr>
        <w:spacing w:after="0" w:line="240" w:lineRule="auto"/>
        <w:jc w:val="center"/>
        <w:rPr>
          <w:rFonts w:ascii="Cambria" w:hAnsi="Cambria"/>
          <w:sz w:val="26"/>
          <w:szCs w:val="26"/>
          <w:lang w:val="es-MX"/>
        </w:rPr>
      </w:pPr>
      <w:r w:rsidRPr="00EE231C">
        <w:rPr>
          <w:rFonts w:ascii="Cambria" w:hAnsi="Cambria"/>
          <w:sz w:val="26"/>
          <w:szCs w:val="26"/>
          <w:lang w:val="es-MX"/>
        </w:rPr>
        <w:t xml:space="preserve">Douglas Arquímides </w:t>
      </w:r>
      <w:r w:rsidR="006E6CC6" w:rsidRPr="00EE231C">
        <w:rPr>
          <w:rFonts w:ascii="Cambria" w:hAnsi="Cambria"/>
          <w:sz w:val="26"/>
          <w:szCs w:val="26"/>
          <w:lang w:val="es-MX"/>
        </w:rPr>
        <w:t>Meléndez</w:t>
      </w:r>
      <w:r w:rsidR="00D95C43">
        <w:rPr>
          <w:rFonts w:ascii="Cambria" w:hAnsi="Cambria"/>
          <w:sz w:val="26"/>
          <w:szCs w:val="26"/>
          <w:lang w:val="es-MX"/>
        </w:rPr>
        <w:t xml:space="preserve"> Ruí</w:t>
      </w:r>
      <w:r w:rsidRPr="00EE231C">
        <w:rPr>
          <w:rFonts w:ascii="Cambria" w:hAnsi="Cambria"/>
          <w:sz w:val="26"/>
          <w:szCs w:val="26"/>
          <w:lang w:val="es-MX"/>
        </w:rPr>
        <w:t>z</w:t>
      </w:r>
      <w:r>
        <w:rPr>
          <w:rFonts w:ascii="Cambria" w:hAnsi="Cambria"/>
          <w:sz w:val="26"/>
          <w:szCs w:val="26"/>
          <w:lang w:val="es-MX"/>
        </w:rPr>
        <w:t xml:space="preserve"> y familia</w:t>
      </w:r>
      <w:r w:rsidRPr="00EE231C">
        <w:rPr>
          <w:rFonts w:ascii="Cambria" w:hAnsi="Cambria"/>
          <w:sz w:val="26"/>
          <w:szCs w:val="26"/>
          <w:lang w:val="es-MX"/>
        </w:rPr>
        <w:t xml:space="preserve"> </w:t>
      </w:r>
      <w:r w:rsidR="004838A1">
        <w:rPr>
          <w:rFonts w:ascii="Cambria" w:hAnsi="Cambria"/>
          <w:sz w:val="26"/>
          <w:szCs w:val="26"/>
        </w:rPr>
        <w:t>respe</w:t>
      </w:r>
      <w:r>
        <w:rPr>
          <w:rFonts w:ascii="Cambria" w:hAnsi="Cambria"/>
          <w:sz w:val="26"/>
          <w:szCs w:val="26"/>
        </w:rPr>
        <w:t>c</w:t>
      </w:r>
      <w:r w:rsidR="004838A1">
        <w:rPr>
          <w:rFonts w:ascii="Cambria" w:hAnsi="Cambria"/>
          <w:sz w:val="26"/>
          <w:szCs w:val="26"/>
        </w:rPr>
        <w:t>to de El Salvador</w:t>
      </w:r>
    </w:p>
    <w:p w:rsidR="00E96B43" w:rsidRPr="00E00667" w:rsidRDefault="00A773A4" w:rsidP="00E96B43">
      <w:pPr>
        <w:spacing w:after="0" w:line="240" w:lineRule="auto"/>
        <w:jc w:val="center"/>
        <w:rPr>
          <w:rFonts w:ascii="Cambria" w:hAnsi="Cambria"/>
          <w:sz w:val="20"/>
        </w:rPr>
      </w:pPr>
      <w:r>
        <w:rPr>
          <w:rFonts w:ascii="Cambria" w:hAnsi="Cambria"/>
          <w:sz w:val="20"/>
        </w:rPr>
        <w:t>24</w:t>
      </w:r>
      <w:r w:rsidR="00E96B43" w:rsidRPr="00E00667">
        <w:rPr>
          <w:rFonts w:ascii="Cambria" w:hAnsi="Cambria"/>
          <w:sz w:val="20"/>
        </w:rPr>
        <w:t xml:space="preserve"> de </w:t>
      </w:r>
      <w:r>
        <w:rPr>
          <w:rFonts w:ascii="Cambria" w:hAnsi="Cambria"/>
          <w:sz w:val="20"/>
        </w:rPr>
        <w:t>febrero</w:t>
      </w:r>
      <w:r w:rsidR="00C114D4">
        <w:rPr>
          <w:rFonts w:ascii="Cambria" w:hAnsi="Cambria"/>
          <w:sz w:val="20"/>
        </w:rPr>
        <w:t xml:space="preserve"> </w:t>
      </w:r>
      <w:r w:rsidR="00E96B43" w:rsidRPr="00E00667">
        <w:rPr>
          <w:rFonts w:ascii="Cambria" w:hAnsi="Cambria"/>
          <w:sz w:val="20"/>
        </w:rPr>
        <w:t>de 201</w:t>
      </w:r>
      <w:r w:rsidR="00C114D4">
        <w:rPr>
          <w:rFonts w:ascii="Cambria" w:hAnsi="Cambria"/>
          <w:sz w:val="20"/>
        </w:rPr>
        <w:t>8</w:t>
      </w:r>
    </w:p>
    <w:p w:rsidR="003D5261" w:rsidRPr="00E00667" w:rsidRDefault="003D5261" w:rsidP="003D5261">
      <w:pPr>
        <w:spacing w:after="0" w:line="240" w:lineRule="auto"/>
        <w:jc w:val="both"/>
        <w:rPr>
          <w:rFonts w:ascii="Cambria" w:hAnsi="Cambria"/>
        </w:rPr>
      </w:pPr>
    </w:p>
    <w:p w:rsidR="003D5261" w:rsidRDefault="003D5261" w:rsidP="00774729">
      <w:pPr>
        <w:pStyle w:val="ListParagraph"/>
        <w:numPr>
          <w:ilvl w:val="0"/>
          <w:numId w:val="17"/>
        </w:numPr>
        <w:spacing w:after="0" w:line="240" w:lineRule="auto"/>
        <w:ind w:left="810" w:hanging="270"/>
        <w:jc w:val="both"/>
        <w:rPr>
          <w:rFonts w:ascii="Cambria" w:hAnsi="Cambria"/>
          <w:b/>
          <w:sz w:val="21"/>
          <w:szCs w:val="21"/>
        </w:rPr>
      </w:pPr>
      <w:r w:rsidRPr="00E00667">
        <w:rPr>
          <w:rFonts w:ascii="Cambria" w:hAnsi="Cambria"/>
          <w:b/>
          <w:sz w:val="21"/>
          <w:szCs w:val="21"/>
        </w:rPr>
        <w:t>INTRODUCCIÓN</w:t>
      </w:r>
    </w:p>
    <w:p w:rsidR="00E00667" w:rsidRPr="00E00667" w:rsidRDefault="00E00667" w:rsidP="00E00667">
      <w:pPr>
        <w:pStyle w:val="ListParagraph"/>
        <w:spacing w:after="0" w:line="240" w:lineRule="auto"/>
        <w:jc w:val="both"/>
        <w:rPr>
          <w:rFonts w:ascii="Cambria" w:hAnsi="Cambria"/>
          <w:b/>
          <w:sz w:val="21"/>
          <w:szCs w:val="21"/>
        </w:rPr>
      </w:pPr>
    </w:p>
    <w:p w:rsidR="00E96B43" w:rsidRDefault="001508E7"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 El </w:t>
      </w:r>
      <w:r w:rsidR="00EE231C">
        <w:rPr>
          <w:rFonts w:ascii="Cambria" w:hAnsi="Cambria"/>
          <w:sz w:val="21"/>
          <w:szCs w:val="21"/>
        </w:rPr>
        <w:t>5</w:t>
      </w:r>
      <w:r w:rsidR="00E96B43" w:rsidRPr="00E00667">
        <w:rPr>
          <w:rFonts w:ascii="Cambria" w:hAnsi="Cambria"/>
          <w:sz w:val="21"/>
          <w:szCs w:val="21"/>
        </w:rPr>
        <w:t xml:space="preserve"> de </w:t>
      </w:r>
      <w:r w:rsidR="00EE231C">
        <w:rPr>
          <w:rFonts w:ascii="Cambria" w:hAnsi="Cambria"/>
          <w:sz w:val="21"/>
          <w:szCs w:val="21"/>
        </w:rPr>
        <w:t>diciembre</w:t>
      </w:r>
      <w:r w:rsidR="00E96B43" w:rsidRPr="00E00667">
        <w:rPr>
          <w:rFonts w:ascii="Cambria" w:hAnsi="Cambria"/>
          <w:sz w:val="21"/>
          <w:szCs w:val="21"/>
        </w:rPr>
        <w:t xml:space="preserve"> de 2017 la Comisión Interamericana de Derechos Humanos (en lo sucesivo “la Comisión Interamericana”, “la Comisión” o “la CIDH”) recibió una solicitud de medid</w:t>
      </w:r>
      <w:r w:rsidR="001E082A">
        <w:rPr>
          <w:rFonts w:ascii="Cambria" w:hAnsi="Cambria"/>
          <w:sz w:val="21"/>
          <w:szCs w:val="21"/>
        </w:rPr>
        <w:t xml:space="preserve">as cautelares presentadas por </w:t>
      </w:r>
      <w:r w:rsidR="00D95C43">
        <w:rPr>
          <w:rFonts w:ascii="Cambria" w:hAnsi="Cambria"/>
          <w:color w:val="000000"/>
          <w:sz w:val="21"/>
          <w:szCs w:val="21"/>
          <w:lang w:val="es-MX"/>
        </w:rPr>
        <w:t>Douglas Arquímides Meléndez Ruí</w:t>
      </w:r>
      <w:r w:rsidR="00EE231C" w:rsidRPr="00EE231C">
        <w:rPr>
          <w:rFonts w:ascii="Cambria" w:hAnsi="Cambria"/>
          <w:color w:val="000000"/>
          <w:sz w:val="21"/>
          <w:szCs w:val="21"/>
          <w:lang w:val="es-MX"/>
        </w:rPr>
        <w:t>z</w:t>
      </w:r>
      <w:r w:rsidRPr="007906E3">
        <w:rPr>
          <w:rFonts w:ascii="Cambria" w:hAnsi="Cambria"/>
          <w:color w:val="000000"/>
          <w:sz w:val="21"/>
          <w:szCs w:val="21"/>
        </w:rPr>
        <w:t xml:space="preserve">, </w:t>
      </w:r>
      <w:r w:rsidR="00EE231C">
        <w:rPr>
          <w:rFonts w:ascii="Cambria" w:hAnsi="Cambria"/>
          <w:color w:val="000000"/>
          <w:sz w:val="21"/>
          <w:szCs w:val="21"/>
        </w:rPr>
        <w:t>Fiscal General de la República de El Salvador</w:t>
      </w:r>
      <w:r w:rsidRPr="00E00667">
        <w:rPr>
          <w:rFonts w:ascii="Cambria" w:hAnsi="Cambria"/>
          <w:sz w:val="21"/>
          <w:szCs w:val="21"/>
        </w:rPr>
        <w:t xml:space="preserve"> </w:t>
      </w:r>
      <w:r w:rsidR="00E96B43" w:rsidRPr="00E00667">
        <w:rPr>
          <w:rFonts w:ascii="Cambria" w:hAnsi="Cambria"/>
          <w:sz w:val="21"/>
          <w:szCs w:val="21"/>
        </w:rPr>
        <w:t>(en adelante “</w:t>
      </w:r>
      <w:r>
        <w:rPr>
          <w:rFonts w:ascii="Cambria" w:hAnsi="Cambria"/>
          <w:sz w:val="21"/>
          <w:szCs w:val="21"/>
        </w:rPr>
        <w:t>el solicitante</w:t>
      </w:r>
      <w:r w:rsidR="00E96B43" w:rsidRPr="00E00667">
        <w:rPr>
          <w:rFonts w:ascii="Cambria" w:hAnsi="Cambria"/>
          <w:sz w:val="21"/>
          <w:szCs w:val="21"/>
        </w:rPr>
        <w:t xml:space="preserve">”), instando a la CIDH que requiera al Estado de </w:t>
      </w:r>
      <w:r w:rsidR="00795BD7">
        <w:rPr>
          <w:rFonts w:ascii="Cambria" w:hAnsi="Cambria"/>
          <w:sz w:val="21"/>
          <w:szCs w:val="21"/>
        </w:rPr>
        <w:t>El Salvador</w:t>
      </w:r>
      <w:r w:rsidR="00E96B43" w:rsidRPr="00E00667">
        <w:rPr>
          <w:rFonts w:ascii="Cambria" w:hAnsi="Cambria"/>
          <w:sz w:val="21"/>
          <w:szCs w:val="21"/>
        </w:rPr>
        <w:t xml:space="preserve"> (en adelante “el Estado”) la adopción de las medidas de protección necesarias para garantizar </w:t>
      </w:r>
      <w:r w:rsidR="00EE231C">
        <w:rPr>
          <w:rFonts w:ascii="Cambria" w:hAnsi="Cambria"/>
          <w:sz w:val="21"/>
          <w:szCs w:val="21"/>
        </w:rPr>
        <w:t>su</w:t>
      </w:r>
      <w:r w:rsidR="00E96B43" w:rsidRPr="00E00667">
        <w:rPr>
          <w:rFonts w:ascii="Cambria" w:hAnsi="Cambria"/>
          <w:sz w:val="21"/>
          <w:szCs w:val="21"/>
        </w:rPr>
        <w:t xml:space="preserve"> </w:t>
      </w:r>
      <w:r w:rsidR="000865EC">
        <w:rPr>
          <w:rFonts w:ascii="Cambria" w:hAnsi="Cambria"/>
          <w:sz w:val="21"/>
          <w:szCs w:val="21"/>
        </w:rPr>
        <w:t xml:space="preserve">vida e integridad personal </w:t>
      </w:r>
      <w:r w:rsidR="00EE231C">
        <w:rPr>
          <w:rFonts w:ascii="Cambria" w:hAnsi="Cambria"/>
          <w:sz w:val="21"/>
          <w:szCs w:val="21"/>
        </w:rPr>
        <w:t>y la de su familia</w:t>
      </w:r>
      <w:r w:rsidR="00EE231C">
        <w:rPr>
          <w:rFonts w:ascii="Cambria" w:hAnsi="Cambria"/>
          <w:color w:val="000000"/>
          <w:sz w:val="21"/>
          <w:szCs w:val="21"/>
        </w:rPr>
        <w:t xml:space="preserve">. </w:t>
      </w:r>
      <w:r w:rsidR="00E96B43" w:rsidRPr="00E00667">
        <w:rPr>
          <w:rFonts w:ascii="Cambria" w:hAnsi="Cambria"/>
          <w:sz w:val="21"/>
          <w:szCs w:val="21"/>
        </w:rPr>
        <w:t>Según la solicitud,</w:t>
      </w:r>
      <w:r w:rsidR="00EE231C">
        <w:rPr>
          <w:rFonts w:ascii="Cambria" w:hAnsi="Cambria"/>
          <w:sz w:val="21"/>
          <w:szCs w:val="21"/>
        </w:rPr>
        <w:t xml:space="preserve"> el propuesto beneficiario estaría recibiendo amenazas contra su vida e integridad personal y la de su familia, por motivo de </w:t>
      </w:r>
      <w:r w:rsidR="006E0C3D">
        <w:rPr>
          <w:rFonts w:ascii="Cambria" w:hAnsi="Cambria"/>
          <w:sz w:val="21"/>
          <w:szCs w:val="21"/>
        </w:rPr>
        <w:t>investigaciones</w:t>
      </w:r>
      <w:r w:rsidR="00EE231C">
        <w:rPr>
          <w:rFonts w:ascii="Cambria" w:hAnsi="Cambria"/>
          <w:sz w:val="21"/>
          <w:szCs w:val="21"/>
        </w:rPr>
        <w:t xml:space="preserve"> y procesos que estaría siguiendo contra</w:t>
      </w:r>
      <w:r w:rsidR="00EE231C" w:rsidRPr="00EE231C">
        <w:rPr>
          <w:rFonts w:ascii="Cambria" w:hAnsi="Cambria"/>
          <w:color w:val="000000"/>
          <w:sz w:val="21"/>
          <w:szCs w:val="21"/>
        </w:rPr>
        <w:t xml:space="preserve"> </w:t>
      </w:r>
      <w:r w:rsidR="00EE231C">
        <w:rPr>
          <w:rFonts w:ascii="Cambria" w:hAnsi="Cambria"/>
          <w:color w:val="000000"/>
          <w:sz w:val="21"/>
          <w:szCs w:val="21"/>
        </w:rPr>
        <w:t>altos políticos, ex funcionarios públicos, empresarios, fuerzas públicas y diversos grupos criminales.</w:t>
      </w:r>
      <w:r w:rsidR="00EE231C">
        <w:rPr>
          <w:rFonts w:ascii="Cambria" w:hAnsi="Cambria"/>
          <w:sz w:val="21"/>
          <w:szCs w:val="21"/>
        </w:rPr>
        <w:t xml:space="preserve"> </w:t>
      </w:r>
      <w:r w:rsidR="000865EC">
        <w:rPr>
          <w:rFonts w:ascii="Cambria" w:hAnsi="Cambria"/>
          <w:sz w:val="21"/>
          <w:szCs w:val="21"/>
        </w:rPr>
        <w:t xml:space="preserve"> </w:t>
      </w:r>
      <w:r w:rsidR="00E96B43" w:rsidRPr="00E00667">
        <w:rPr>
          <w:rFonts w:ascii="Cambria" w:hAnsi="Cambria"/>
          <w:sz w:val="21"/>
          <w:szCs w:val="21"/>
        </w:rPr>
        <w:t xml:space="preserve">   </w:t>
      </w:r>
      <w:r w:rsidR="00EE231C">
        <w:rPr>
          <w:rFonts w:ascii="Cambria" w:hAnsi="Cambria"/>
          <w:sz w:val="21"/>
          <w:szCs w:val="21"/>
        </w:rPr>
        <w:t xml:space="preserve"> </w:t>
      </w:r>
    </w:p>
    <w:p w:rsidR="00935BC4" w:rsidRDefault="00935BC4" w:rsidP="00935BC4">
      <w:pPr>
        <w:pStyle w:val="ListParagraph"/>
        <w:spacing w:after="0" w:line="240" w:lineRule="auto"/>
        <w:ind w:left="360"/>
        <w:jc w:val="both"/>
        <w:rPr>
          <w:rFonts w:ascii="Cambria" w:hAnsi="Cambria"/>
          <w:sz w:val="21"/>
          <w:szCs w:val="21"/>
        </w:rPr>
      </w:pPr>
    </w:p>
    <w:p w:rsidR="00935BC4" w:rsidRPr="00935BC4" w:rsidRDefault="00563323" w:rsidP="00935BC4">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Después de solicitar </w:t>
      </w:r>
      <w:r w:rsidR="007531B5">
        <w:rPr>
          <w:rFonts w:ascii="Cambria" w:hAnsi="Cambria"/>
          <w:sz w:val="21"/>
          <w:szCs w:val="21"/>
        </w:rPr>
        <w:t>información a</w:t>
      </w:r>
      <w:r w:rsidR="00935BC4">
        <w:rPr>
          <w:rFonts w:ascii="Cambria" w:hAnsi="Cambria"/>
          <w:sz w:val="21"/>
          <w:szCs w:val="21"/>
        </w:rPr>
        <w:t xml:space="preserve"> </w:t>
      </w:r>
      <w:r w:rsidR="007531B5">
        <w:rPr>
          <w:rFonts w:ascii="Cambria" w:hAnsi="Cambria"/>
          <w:sz w:val="21"/>
          <w:szCs w:val="21"/>
        </w:rPr>
        <w:t>ambas partes</w:t>
      </w:r>
      <w:r w:rsidR="00C114D4">
        <w:rPr>
          <w:rFonts w:ascii="Cambria" w:hAnsi="Cambria"/>
          <w:sz w:val="21"/>
          <w:szCs w:val="21"/>
        </w:rPr>
        <w:t>,</w:t>
      </w:r>
      <w:r w:rsidR="00935BC4">
        <w:rPr>
          <w:rFonts w:ascii="Cambria" w:hAnsi="Cambria"/>
          <w:sz w:val="21"/>
          <w:szCs w:val="21"/>
        </w:rPr>
        <w:t xml:space="preserve"> </w:t>
      </w:r>
      <w:r w:rsidR="00225000">
        <w:rPr>
          <w:rFonts w:ascii="Cambria" w:hAnsi="Cambria"/>
          <w:sz w:val="21"/>
          <w:szCs w:val="21"/>
        </w:rPr>
        <w:t>e</w:t>
      </w:r>
      <w:r w:rsidR="00C114D4">
        <w:rPr>
          <w:rFonts w:ascii="Cambria" w:hAnsi="Cambria"/>
          <w:sz w:val="21"/>
          <w:szCs w:val="21"/>
        </w:rPr>
        <w:t xml:space="preserve">l solicitante </w:t>
      </w:r>
      <w:r w:rsidR="0055384E">
        <w:rPr>
          <w:rFonts w:ascii="Cambria" w:hAnsi="Cambria"/>
          <w:sz w:val="21"/>
          <w:szCs w:val="21"/>
        </w:rPr>
        <w:t>aport</w:t>
      </w:r>
      <w:r w:rsidR="00225000">
        <w:rPr>
          <w:rFonts w:ascii="Cambria" w:hAnsi="Cambria"/>
          <w:sz w:val="21"/>
          <w:szCs w:val="21"/>
        </w:rPr>
        <w:t>ó</w:t>
      </w:r>
      <w:r w:rsidR="0055384E">
        <w:rPr>
          <w:rFonts w:ascii="Cambria" w:hAnsi="Cambria"/>
          <w:sz w:val="21"/>
          <w:szCs w:val="21"/>
        </w:rPr>
        <w:t xml:space="preserve"> información el 8 de enero de 2018 </w:t>
      </w:r>
      <w:r w:rsidR="00C114D4">
        <w:rPr>
          <w:rFonts w:ascii="Cambria" w:hAnsi="Cambria"/>
          <w:sz w:val="21"/>
          <w:szCs w:val="21"/>
        </w:rPr>
        <w:t>y e</w:t>
      </w:r>
      <w:r w:rsidR="00C56A43">
        <w:rPr>
          <w:rFonts w:ascii="Cambria" w:hAnsi="Cambria"/>
          <w:sz w:val="21"/>
          <w:szCs w:val="21"/>
        </w:rPr>
        <w:t xml:space="preserve">l Estado </w:t>
      </w:r>
      <w:r w:rsidR="0055384E">
        <w:rPr>
          <w:rFonts w:ascii="Cambria" w:hAnsi="Cambria"/>
          <w:sz w:val="21"/>
          <w:szCs w:val="21"/>
        </w:rPr>
        <w:t>remitió</w:t>
      </w:r>
      <w:r w:rsidR="00C56A43">
        <w:rPr>
          <w:rFonts w:ascii="Cambria" w:hAnsi="Cambria"/>
          <w:sz w:val="21"/>
          <w:szCs w:val="21"/>
        </w:rPr>
        <w:t xml:space="preserve"> </w:t>
      </w:r>
      <w:r w:rsidR="00A76880">
        <w:rPr>
          <w:rFonts w:ascii="Cambria" w:hAnsi="Cambria"/>
          <w:sz w:val="21"/>
          <w:szCs w:val="21"/>
        </w:rPr>
        <w:t xml:space="preserve">información </w:t>
      </w:r>
      <w:r w:rsidR="00C56A43">
        <w:rPr>
          <w:rFonts w:ascii="Cambria" w:hAnsi="Cambria"/>
          <w:sz w:val="21"/>
          <w:szCs w:val="21"/>
        </w:rPr>
        <w:t xml:space="preserve">el 10 de enero de 2018. </w:t>
      </w:r>
      <w:r w:rsidR="00C114D4">
        <w:rPr>
          <w:rFonts w:ascii="Cambria" w:hAnsi="Cambria"/>
          <w:sz w:val="21"/>
          <w:szCs w:val="21"/>
        </w:rPr>
        <w:t xml:space="preserve">Con posterioridad, </w:t>
      </w:r>
      <w:r w:rsidR="00C114D4">
        <w:rPr>
          <w:rFonts w:asciiTheme="majorHAnsi" w:hAnsiTheme="majorHAnsi"/>
          <w:sz w:val="21"/>
          <w:szCs w:val="21"/>
        </w:rPr>
        <w:t>e</w:t>
      </w:r>
      <w:r w:rsidR="0055384E">
        <w:rPr>
          <w:rFonts w:asciiTheme="majorHAnsi" w:hAnsiTheme="majorHAnsi"/>
          <w:sz w:val="21"/>
          <w:szCs w:val="21"/>
        </w:rPr>
        <w:t>l E</w:t>
      </w:r>
      <w:r w:rsidR="0087502B">
        <w:rPr>
          <w:rFonts w:asciiTheme="majorHAnsi" w:hAnsiTheme="majorHAnsi"/>
          <w:sz w:val="21"/>
          <w:szCs w:val="21"/>
        </w:rPr>
        <w:t>stado envió sus observaciones a</w:t>
      </w:r>
      <w:r w:rsidR="00A76880">
        <w:rPr>
          <w:rFonts w:asciiTheme="majorHAnsi" w:hAnsiTheme="majorHAnsi"/>
          <w:sz w:val="21"/>
          <w:szCs w:val="21"/>
        </w:rPr>
        <w:t xml:space="preserve"> </w:t>
      </w:r>
      <w:r w:rsidR="0055384E">
        <w:rPr>
          <w:rFonts w:asciiTheme="majorHAnsi" w:hAnsiTheme="majorHAnsi"/>
          <w:sz w:val="21"/>
          <w:szCs w:val="21"/>
        </w:rPr>
        <w:t>l</w:t>
      </w:r>
      <w:r w:rsidR="00A76880">
        <w:rPr>
          <w:rFonts w:asciiTheme="majorHAnsi" w:hAnsiTheme="majorHAnsi"/>
          <w:sz w:val="21"/>
          <w:szCs w:val="21"/>
        </w:rPr>
        <w:t>a</w:t>
      </w:r>
      <w:r w:rsidR="0055384E">
        <w:rPr>
          <w:rFonts w:asciiTheme="majorHAnsi" w:hAnsiTheme="majorHAnsi"/>
          <w:sz w:val="21"/>
          <w:szCs w:val="21"/>
        </w:rPr>
        <w:t xml:space="preserve"> </w:t>
      </w:r>
      <w:r w:rsidR="00A76880">
        <w:rPr>
          <w:rFonts w:asciiTheme="majorHAnsi" w:hAnsiTheme="majorHAnsi"/>
          <w:sz w:val="21"/>
          <w:szCs w:val="21"/>
        </w:rPr>
        <w:t>información</w:t>
      </w:r>
      <w:r w:rsidR="0055384E">
        <w:rPr>
          <w:rFonts w:asciiTheme="majorHAnsi" w:hAnsiTheme="majorHAnsi"/>
          <w:sz w:val="21"/>
          <w:szCs w:val="21"/>
        </w:rPr>
        <w:t xml:space="preserve"> del</w:t>
      </w:r>
      <w:r w:rsidR="00225000">
        <w:rPr>
          <w:rFonts w:asciiTheme="majorHAnsi" w:hAnsiTheme="majorHAnsi"/>
          <w:sz w:val="21"/>
          <w:szCs w:val="21"/>
        </w:rPr>
        <w:t xml:space="preserve"> solicitante </w:t>
      </w:r>
      <w:r w:rsidR="0055384E">
        <w:rPr>
          <w:rFonts w:asciiTheme="majorHAnsi" w:hAnsiTheme="majorHAnsi"/>
          <w:sz w:val="21"/>
          <w:szCs w:val="21"/>
        </w:rPr>
        <w:t xml:space="preserve">el 29 de enero y </w:t>
      </w:r>
      <w:r w:rsidR="00225000">
        <w:rPr>
          <w:rFonts w:asciiTheme="majorHAnsi" w:hAnsiTheme="majorHAnsi"/>
          <w:sz w:val="21"/>
          <w:szCs w:val="21"/>
        </w:rPr>
        <w:t>e</w:t>
      </w:r>
      <w:r w:rsidR="0055384E">
        <w:rPr>
          <w:rFonts w:asciiTheme="majorHAnsi" w:hAnsiTheme="majorHAnsi"/>
          <w:sz w:val="21"/>
          <w:szCs w:val="21"/>
        </w:rPr>
        <w:t>l solici</w:t>
      </w:r>
      <w:r w:rsidR="0087502B">
        <w:rPr>
          <w:rFonts w:asciiTheme="majorHAnsi" w:hAnsiTheme="majorHAnsi"/>
          <w:sz w:val="21"/>
          <w:szCs w:val="21"/>
        </w:rPr>
        <w:t>tante envi</w:t>
      </w:r>
      <w:r w:rsidR="00225000">
        <w:rPr>
          <w:rFonts w:asciiTheme="majorHAnsi" w:hAnsiTheme="majorHAnsi"/>
          <w:sz w:val="21"/>
          <w:szCs w:val="21"/>
        </w:rPr>
        <w:t>ó</w:t>
      </w:r>
      <w:r w:rsidR="0087502B">
        <w:rPr>
          <w:rFonts w:asciiTheme="majorHAnsi" w:hAnsiTheme="majorHAnsi"/>
          <w:sz w:val="21"/>
          <w:szCs w:val="21"/>
        </w:rPr>
        <w:t xml:space="preserve"> observaciones con respecto a</w:t>
      </w:r>
      <w:r w:rsidR="00A76880">
        <w:rPr>
          <w:rFonts w:asciiTheme="majorHAnsi" w:hAnsiTheme="majorHAnsi"/>
          <w:sz w:val="21"/>
          <w:szCs w:val="21"/>
        </w:rPr>
        <w:t xml:space="preserve"> </w:t>
      </w:r>
      <w:r w:rsidR="0055384E">
        <w:rPr>
          <w:rFonts w:asciiTheme="majorHAnsi" w:hAnsiTheme="majorHAnsi"/>
          <w:sz w:val="21"/>
          <w:szCs w:val="21"/>
        </w:rPr>
        <w:t>l</w:t>
      </w:r>
      <w:r w:rsidR="00A76880">
        <w:rPr>
          <w:rFonts w:asciiTheme="majorHAnsi" w:hAnsiTheme="majorHAnsi"/>
          <w:sz w:val="21"/>
          <w:szCs w:val="21"/>
        </w:rPr>
        <w:t>a</w:t>
      </w:r>
      <w:r w:rsidR="0055384E">
        <w:rPr>
          <w:rFonts w:asciiTheme="majorHAnsi" w:hAnsiTheme="majorHAnsi"/>
          <w:sz w:val="21"/>
          <w:szCs w:val="21"/>
        </w:rPr>
        <w:t xml:space="preserve"> </w:t>
      </w:r>
      <w:r w:rsidR="00A76880">
        <w:rPr>
          <w:rFonts w:asciiTheme="majorHAnsi" w:hAnsiTheme="majorHAnsi"/>
          <w:sz w:val="21"/>
          <w:szCs w:val="21"/>
        </w:rPr>
        <w:t xml:space="preserve">información </w:t>
      </w:r>
      <w:r w:rsidR="0055384E">
        <w:rPr>
          <w:rFonts w:asciiTheme="majorHAnsi" w:hAnsiTheme="majorHAnsi"/>
          <w:sz w:val="21"/>
          <w:szCs w:val="21"/>
        </w:rPr>
        <w:t xml:space="preserve">del Estado el 31 de enero de 2018. </w:t>
      </w:r>
    </w:p>
    <w:p w:rsidR="003D5261" w:rsidRPr="00E00667" w:rsidRDefault="003D5261" w:rsidP="003D5261">
      <w:pPr>
        <w:spacing w:after="0" w:line="240" w:lineRule="auto"/>
        <w:jc w:val="both"/>
        <w:rPr>
          <w:rFonts w:ascii="Cambria" w:hAnsi="Cambria"/>
          <w:sz w:val="21"/>
          <w:szCs w:val="21"/>
        </w:rPr>
      </w:pPr>
    </w:p>
    <w:p w:rsidR="00E96B43" w:rsidRPr="00E00667" w:rsidRDefault="00935BC4"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Tras analizar </w:t>
      </w:r>
      <w:r w:rsidR="0015120E">
        <w:rPr>
          <w:rFonts w:ascii="Cambria" w:hAnsi="Cambria"/>
          <w:sz w:val="21"/>
          <w:szCs w:val="21"/>
        </w:rPr>
        <w:t>los alegatos de hecho y de derecho</w:t>
      </w:r>
      <w:r w:rsidR="0015120E" w:rsidRPr="00B76F29">
        <w:rPr>
          <w:rFonts w:ascii="Cambria" w:hAnsi="Cambria"/>
          <w:sz w:val="21"/>
          <w:szCs w:val="21"/>
        </w:rPr>
        <w:t xml:space="preserve">, </w:t>
      </w:r>
      <w:r w:rsidR="00333876" w:rsidRPr="00B76F29">
        <w:rPr>
          <w:rFonts w:ascii="Cambria" w:hAnsi="Cambria"/>
          <w:sz w:val="21"/>
          <w:szCs w:val="21"/>
        </w:rPr>
        <w:t>a la lu</w:t>
      </w:r>
      <w:r w:rsidR="0015120E" w:rsidRPr="00B76F29">
        <w:rPr>
          <w:rFonts w:ascii="Cambria" w:hAnsi="Cambria"/>
          <w:sz w:val="21"/>
          <w:szCs w:val="21"/>
        </w:rPr>
        <w:t>z del contexto específico en que tendrían lugar</w:t>
      </w:r>
      <w:r>
        <w:rPr>
          <w:rFonts w:ascii="Cambria" w:hAnsi="Cambria"/>
          <w:sz w:val="21"/>
          <w:szCs w:val="21"/>
        </w:rPr>
        <w:t xml:space="preserve">, la Comisión </w:t>
      </w:r>
      <w:r w:rsidR="00E96B43" w:rsidRPr="00E00667">
        <w:rPr>
          <w:rFonts w:ascii="Cambria" w:hAnsi="Cambria"/>
          <w:sz w:val="21"/>
          <w:szCs w:val="21"/>
        </w:rPr>
        <w:t>considera que</w:t>
      </w:r>
      <w:r w:rsidR="008B0FEB">
        <w:rPr>
          <w:rFonts w:ascii="Cambria" w:hAnsi="Cambria"/>
          <w:sz w:val="21"/>
          <w:szCs w:val="21"/>
        </w:rPr>
        <w:t xml:space="preserve"> </w:t>
      </w:r>
      <w:r w:rsidR="006E0C3D">
        <w:rPr>
          <w:rFonts w:ascii="Cambria" w:hAnsi="Cambria"/>
          <w:sz w:val="21"/>
          <w:szCs w:val="21"/>
        </w:rPr>
        <w:t>el señor</w:t>
      </w:r>
      <w:r w:rsidR="00D95C43">
        <w:rPr>
          <w:rFonts w:ascii="Cambria" w:hAnsi="Cambria"/>
          <w:sz w:val="21"/>
          <w:szCs w:val="21"/>
        </w:rPr>
        <w:t xml:space="preserve"> Douglas Arquímides Meléndez Ruí</w:t>
      </w:r>
      <w:r w:rsidR="006E0C3D">
        <w:rPr>
          <w:rFonts w:ascii="Cambria" w:hAnsi="Cambria"/>
          <w:sz w:val="21"/>
          <w:szCs w:val="21"/>
        </w:rPr>
        <w:t>z y su familia</w:t>
      </w:r>
      <w:r w:rsidR="00E96B43" w:rsidRPr="00E00667">
        <w:rPr>
          <w:rFonts w:ascii="Cambria" w:hAnsi="Cambria"/>
          <w:sz w:val="21"/>
          <w:szCs w:val="21"/>
        </w:rPr>
        <w:t xml:space="preserve"> se encuentran </w:t>
      </w:r>
      <w:r w:rsidR="0015120E">
        <w:rPr>
          <w:rFonts w:ascii="Cambria" w:hAnsi="Cambria"/>
          <w:i/>
          <w:sz w:val="21"/>
          <w:szCs w:val="21"/>
        </w:rPr>
        <w:t xml:space="preserve">prima facie </w:t>
      </w:r>
      <w:r w:rsidR="00E96B43" w:rsidRPr="00E00667">
        <w:rPr>
          <w:rFonts w:ascii="Cambria" w:hAnsi="Cambria"/>
          <w:sz w:val="21"/>
          <w:szCs w:val="21"/>
        </w:rPr>
        <w:t>en una situación de gravedad y urgencia, puesto que sus</w:t>
      </w:r>
      <w:r w:rsidR="008B0FEB">
        <w:rPr>
          <w:rFonts w:ascii="Cambria" w:hAnsi="Cambria"/>
          <w:sz w:val="21"/>
          <w:szCs w:val="21"/>
        </w:rPr>
        <w:t xml:space="preserve"> derechos a la vida e integridad personal</w:t>
      </w:r>
      <w:r w:rsidR="00E96B43" w:rsidRPr="00E00667">
        <w:rPr>
          <w:rFonts w:ascii="Cambria" w:hAnsi="Cambria"/>
          <w:sz w:val="21"/>
          <w:szCs w:val="21"/>
        </w:rPr>
        <w:t xml:space="preserve"> están en riesgo. En consecuencia, de acuerdo con el Artículo 25 del Reglamento de </w:t>
      </w:r>
      <w:r w:rsidR="00A17DC2">
        <w:rPr>
          <w:rFonts w:ascii="Cambria" w:hAnsi="Cambria"/>
          <w:sz w:val="21"/>
          <w:szCs w:val="21"/>
        </w:rPr>
        <w:t xml:space="preserve">la CIDH, la Comisión solicita al Estado de </w:t>
      </w:r>
      <w:r w:rsidR="00795BD7">
        <w:rPr>
          <w:rFonts w:ascii="Cambria" w:hAnsi="Cambria"/>
          <w:sz w:val="21"/>
          <w:szCs w:val="21"/>
        </w:rPr>
        <w:t>El Salvador</w:t>
      </w:r>
      <w:r w:rsidR="00E96B43" w:rsidRPr="00E00667">
        <w:rPr>
          <w:rFonts w:ascii="Cambria" w:hAnsi="Cambria"/>
          <w:sz w:val="21"/>
          <w:szCs w:val="21"/>
        </w:rPr>
        <w:t xml:space="preserve"> que: a) Adopte las medidas necesarias para preservar la vida y la integridad personal de </w:t>
      </w:r>
      <w:r w:rsidR="006E6CC6">
        <w:rPr>
          <w:rFonts w:ascii="Cambria" w:hAnsi="Cambria"/>
          <w:sz w:val="21"/>
          <w:szCs w:val="21"/>
        </w:rPr>
        <w:t>Douglas Arquímides Meléndez</w:t>
      </w:r>
      <w:r w:rsidR="00D95C43">
        <w:rPr>
          <w:rFonts w:ascii="Cambria" w:hAnsi="Cambria"/>
          <w:sz w:val="21"/>
          <w:szCs w:val="21"/>
        </w:rPr>
        <w:t xml:space="preserve"> Ruí</w:t>
      </w:r>
      <w:r w:rsidR="006E6CC6">
        <w:rPr>
          <w:rFonts w:ascii="Cambria" w:hAnsi="Cambria"/>
          <w:sz w:val="21"/>
          <w:szCs w:val="21"/>
        </w:rPr>
        <w:t>z y su familia</w:t>
      </w:r>
      <w:r w:rsidR="00E96B43" w:rsidRPr="00E00667">
        <w:rPr>
          <w:rFonts w:ascii="Cambria" w:hAnsi="Cambria"/>
          <w:sz w:val="21"/>
          <w:szCs w:val="21"/>
        </w:rPr>
        <w:t>; b) Adopte las medidas necesarias para que</w:t>
      </w:r>
      <w:r w:rsidR="006E6CC6">
        <w:rPr>
          <w:rFonts w:ascii="Cambria" w:hAnsi="Cambria"/>
          <w:sz w:val="21"/>
          <w:szCs w:val="21"/>
        </w:rPr>
        <w:t xml:space="preserve"> el señor</w:t>
      </w:r>
      <w:r w:rsidR="00E96B43" w:rsidRPr="00E00667">
        <w:rPr>
          <w:rFonts w:ascii="Cambria" w:hAnsi="Cambria"/>
          <w:sz w:val="21"/>
          <w:szCs w:val="21"/>
        </w:rPr>
        <w:t xml:space="preserve"> </w:t>
      </w:r>
      <w:r w:rsidR="00D95C43">
        <w:rPr>
          <w:rFonts w:ascii="Cambria" w:hAnsi="Cambria"/>
          <w:sz w:val="21"/>
          <w:szCs w:val="21"/>
        </w:rPr>
        <w:t>Douglas Arquímides Meléndez Ruí</w:t>
      </w:r>
      <w:r w:rsidR="006E6CC6">
        <w:rPr>
          <w:rFonts w:ascii="Cambria" w:hAnsi="Cambria"/>
          <w:sz w:val="21"/>
          <w:szCs w:val="21"/>
        </w:rPr>
        <w:t xml:space="preserve">z </w:t>
      </w:r>
      <w:r w:rsidR="00E96B43" w:rsidRPr="00E00667">
        <w:rPr>
          <w:rFonts w:ascii="Cambria" w:hAnsi="Cambria"/>
          <w:sz w:val="21"/>
          <w:szCs w:val="21"/>
        </w:rPr>
        <w:t xml:space="preserve">pueda desarrollar sus </w:t>
      </w:r>
      <w:r w:rsidR="006E6CC6">
        <w:rPr>
          <w:rFonts w:ascii="Cambria" w:hAnsi="Cambria"/>
          <w:sz w:val="21"/>
          <w:szCs w:val="21"/>
        </w:rPr>
        <w:t>labores como Fiscal General de la República de El Salvador</w:t>
      </w:r>
      <w:r w:rsidR="00E96B43" w:rsidRPr="00E00667">
        <w:rPr>
          <w:rFonts w:ascii="Cambria" w:hAnsi="Cambria"/>
          <w:sz w:val="21"/>
          <w:szCs w:val="21"/>
        </w:rPr>
        <w:t xml:space="preserve"> sin ser objeto de actos de intimidación, amenazas y hostigamientos; c) Concierte las medidas a adoptarse con los beneficiarios y sus representantes; y d) Informe sobre las acciones adoptadas a fin de investigar los hechos alegados que dieron lugar a la adopción de la presente medida cautelar y así evitar su repetición. </w:t>
      </w:r>
    </w:p>
    <w:p w:rsidR="00E00667" w:rsidRDefault="00E00667" w:rsidP="00E00667">
      <w:pPr>
        <w:spacing w:after="0" w:line="240" w:lineRule="auto"/>
        <w:jc w:val="both"/>
        <w:rPr>
          <w:rFonts w:ascii="Cambria" w:hAnsi="Cambria"/>
          <w:sz w:val="21"/>
          <w:szCs w:val="21"/>
        </w:rPr>
      </w:pPr>
    </w:p>
    <w:p w:rsidR="0077739C" w:rsidRDefault="00B90A56" w:rsidP="000D299A">
      <w:pPr>
        <w:pStyle w:val="ListParagraph"/>
        <w:numPr>
          <w:ilvl w:val="0"/>
          <w:numId w:val="17"/>
        </w:numPr>
        <w:spacing w:after="0" w:line="240" w:lineRule="auto"/>
        <w:ind w:hanging="180"/>
        <w:jc w:val="both"/>
        <w:rPr>
          <w:rFonts w:ascii="Cambria" w:hAnsi="Cambria"/>
          <w:b/>
          <w:sz w:val="21"/>
          <w:szCs w:val="21"/>
        </w:rPr>
      </w:pPr>
      <w:r w:rsidRPr="00E00667">
        <w:rPr>
          <w:rFonts w:ascii="Cambria" w:hAnsi="Cambria"/>
          <w:b/>
          <w:sz w:val="21"/>
          <w:szCs w:val="21"/>
        </w:rPr>
        <w:t>RESUMEN DE</w:t>
      </w:r>
      <w:r w:rsidR="00E00667">
        <w:rPr>
          <w:rFonts w:ascii="Cambria" w:hAnsi="Cambria"/>
          <w:b/>
          <w:sz w:val="21"/>
          <w:szCs w:val="21"/>
        </w:rPr>
        <w:t xml:space="preserve"> </w:t>
      </w:r>
      <w:r w:rsidRPr="00E00667">
        <w:rPr>
          <w:rFonts w:ascii="Cambria" w:hAnsi="Cambria"/>
          <w:b/>
          <w:sz w:val="21"/>
          <w:szCs w:val="21"/>
        </w:rPr>
        <w:t>HECHOS Y ARGUMENTO</w:t>
      </w:r>
      <w:r w:rsidR="008E4CB5" w:rsidRPr="00E00667">
        <w:rPr>
          <w:rFonts w:ascii="Cambria" w:hAnsi="Cambria"/>
          <w:b/>
          <w:sz w:val="21"/>
          <w:szCs w:val="21"/>
        </w:rPr>
        <w:t xml:space="preserve">S APORTADOS </w:t>
      </w:r>
      <w:r w:rsidR="00E00667">
        <w:rPr>
          <w:rFonts w:ascii="Cambria" w:hAnsi="Cambria"/>
          <w:b/>
          <w:sz w:val="21"/>
          <w:szCs w:val="21"/>
        </w:rPr>
        <w:t xml:space="preserve">POR LOS </w:t>
      </w:r>
      <w:r w:rsidR="0077739C">
        <w:rPr>
          <w:rFonts w:ascii="Cambria" w:hAnsi="Cambria"/>
          <w:b/>
          <w:sz w:val="21"/>
          <w:szCs w:val="21"/>
        </w:rPr>
        <w:t>PARTES</w:t>
      </w:r>
    </w:p>
    <w:p w:rsidR="0077739C" w:rsidRDefault="0077739C" w:rsidP="00885925">
      <w:pPr>
        <w:spacing w:after="0" w:line="240" w:lineRule="auto"/>
        <w:jc w:val="both"/>
        <w:rPr>
          <w:rFonts w:ascii="Cambria" w:hAnsi="Cambria"/>
          <w:b/>
          <w:sz w:val="21"/>
          <w:szCs w:val="21"/>
        </w:rPr>
      </w:pPr>
    </w:p>
    <w:p w:rsidR="00885925" w:rsidRPr="00885925" w:rsidRDefault="00885925" w:rsidP="000D299A">
      <w:pPr>
        <w:pStyle w:val="ListParagraph"/>
        <w:numPr>
          <w:ilvl w:val="3"/>
          <w:numId w:val="17"/>
        </w:numPr>
        <w:spacing w:after="0" w:line="240" w:lineRule="auto"/>
        <w:ind w:left="360" w:firstLine="0"/>
        <w:jc w:val="both"/>
        <w:rPr>
          <w:rFonts w:ascii="Cambria" w:hAnsi="Cambria"/>
          <w:b/>
          <w:sz w:val="21"/>
          <w:szCs w:val="21"/>
        </w:rPr>
      </w:pPr>
      <w:r>
        <w:rPr>
          <w:rFonts w:ascii="Cambria" w:hAnsi="Cambria"/>
          <w:b/>
          <w:sz w:val="21"/>
          <w:szCs w:val="21"/>
        </w:rPr>
        <w:t xml:space="preserve">Información aportada por </w:t>
      </w:r>
      <w:r w:rsidR="00697C2D">
        <w:rPr>
          <w:rFonts w:ascii="Cambria" w:hAnsi="Cambria"/>
          <w:b/>
          <w:sz w:val="21"/>
          <w:szCs w:val="21"/>
        </w:rPr>
        <w:t xml:space="preserve">el solicitante. </w:t>
      </w:r>
    </w:p>
    <w:p w:rsidR="00E00667" w:rsidRPr="00E00667" w:rsidRDefault="00E00667" w:rsidP="00E00667">
      <w:pPr>
        <w:pStyle w:val="ListParagraph"/>
        <w:spacing w:after="0" w:line="240" w:lineRule="auto"/>
        <w:jc w:val="both"/>
        <w:rPr>
          <w:rFonts w:ascii="Cambria" w:hAnsi="Cambria"/>
          <w:b/>
          <w:sz w:val="21"/>
          <w:szCs w:val="21"/>
        </w:rPr>
      </w:pPr>
    </w:p>
    <w:p w:rsidR="00EE231C" w:rsidRDefault="00EE231C" w:rsidP="00EE231C">
      <w:pPr>
        <w:pStyle w:val="ListParagraph"/>
        <w:numPr>
          <w:ilvl w:val="0"/>
          <w:numId w:val="20"/>
        </w:numPr>
        <w:spacing w:after="0" w:line="240" w:lineRule="auto"/>
        <w:ind w:left="0" w:firstLine="360"/>
        <w:jc w:val="both"/>
        <w:rPr>
          <w:rFonts w:ascii="Cambria" w:hAnsi="Cambria"/>
          <w:color w:val="000000"/>
          <w:sz w:val="21"/>
          <w:szCs w:val="21"/>
        </w:rPr>
      </w:pPr>
      <w:r w:rsidRPr="00EF5720">
        <w:rPr>
          <w:rFonts w:ascii="Cambria" w:hAnsi="Cambria"/>
          <w:color w:val="000000"/>
          <w:sz w:val="21"/>
          <w:szCs w:val="21"/>
        </w:rPr>
        <w:t xml:space="preserve">El </w:t>
      </w:r>
      <w:r w:rsidRPr="00EE231C">
        <w:rPr>
          <w:rFonts w:ascii="Cambria" w:hAnsi="Cambria"/>
          <w:sz w:val="21"/>
          <w:szCs w:val="21"/>
        </w:rPr>
        <w:t>solicitante</w:t>
      </w:r>
      <w:r w:rsidRPr="00EF5720">
        <w:rPr>
          <w:rFonts w:ascii="Cambria" w:hAnsi="Cambria"/>
          <w:color w:val="000000"/>
          <w:sz w:val="21"/>
          <w:szCs w:val="21"/>
        </w:rPr>
        <w:t xml:space="preserve"> indicó que </w:t>
      </w:r>
      <w:r w:rsidR="000D299A">
        <w:rPr>
          <w:rFonts w:ascii="Cambria" w:hAnsi="Cambria"/>
          <w:color w:val="000000"/>
          <w:sz w:val="21"/>
          <w:szCs w:val="21"/>
        </w:rPr>
        <w:t xml:space="preserve">fue nombrado Fiscal </w:t>
      </w:r>
      <w:r w:rsidRPr="00EF5720">
        <w:rPr>
          <w:rFonts w:ascii="Cambria" w:hAnsi="Cambria"/>
          <w:color w:val="000000"/>
          <w:sz w:val="21"/>
          <w:szCs w:val="21"/>
        </w:rPr>
        <w:t xml:space="preserve">General de la </w:t>
      </w:r>
      <w:r w:rsidR="000D299A">
        <w:rPr>
          <w:rFonts w:ascii="Cambria" w:hAnsi="Cambria"/>
          <w:color w:val="000000"/>
          <w:sz w:val="21"/>
          <w:szCs w:val="21"/>
        </w:rPr>
        <w:t>República el 6 de enero de 2016. En dicho</w:t>
      </w:r>
      <w:r w:rsidRPr="00EF5720">
        <w:rPr>
          <w:rFonts w:ascii="Cambria" w:hAnsi="Cambria"/>
          <w:color w:val="000000"/>
          <w:sz w:val="21"/>
          <w:szCs w:val="21"/>
        </w:rPr>
        <w:t xml:space="preserve"> cargo </w:t>
      </w:r>
      <w:r w:rsidR="000D299A">
        <w:rPr>
          <w:rFonts w:ascii="Cambria" w:hAnsi="Cambria"/>
          <w:color w:val="000000"/>
          <w:sz w:val="21"/>
          <w:szCs w:val="21"/>
        </w:rPr>
        <w:t xml:space="preserve">habría </w:t>
      </w:r>
      <w:r w:rsidRPr="00EF5720">
        <w:rPr>
          <w:rFonts w:ascii="Cambria" w:hAnsi="Cambria"/>
          <w:color w:val="000000"/>
          <w:sz w:val="21"/>
          <w:szCs w:val="21"/>
        </w:rPr>
        <w:t xml:space="preserve">conocido casos de gran relevancia en su </w:t>
      </w:r>
      <w:r>
        <w:rPr>
          <w:rFonts w:ascii="Cambria" w:hAnsi="Cambria"/>
          <w:color w:val="000000"/>
          <w:sz w:val="21"/>
          <w:szCs w:val="21"/>
        </w:rPr>
        <w:t xml:space="preserve">país, entre los que </w:t>
      </w:r>
      <w:r w:rsidR="000D299A">
        <w:rPr>
          <w:rFonts w:ascii="Cambria" w:hAnsi="Cambria"/>
          <w:color w:val="000000"/>
          <w:sz w:val="21"/>
          <w:szCs w:val="21"/>
        </w:rPr>
        <w:t>se encontrarían</w:t>
      </w:r>
      <w:r>
        <w:rPr>
          <w:rFonts w:ascii="Cambria" w:hAnsi="Cambria"/>
          <w:color w:val="000000"/>
          <w:sz w:val="21"/>
          <w:szCs w:val="21"/>
        </w:rPr>
        <w:t xml:space="preserve">: </w:t>
      </w:r>
    </w:p>
    <w:p w:rsidR="00EE231C" w:rsidRPr="00EE231C" w:rsidRDefault="00EE231C" w:rsidP="00EE231C">
      <w:pPr>
        <w:spacing w:after="0" w:line="240" w:lineRule="auto"/>
        <w:jc w:val="both"/>
        <w:rPr>
          <w:rFonts w:ascii="Cambria" w:hAnsi="Cambria"/>
          <w:color w:val="000000"/>
          <w:sz w:val="21"/>
          <w:szCs w:val="21"/>
        </w:rPr>
      </w:pP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p</w:t>
      </w:r>
      <w:r w:rsidR="00EE231C" w:rsidRPr="00EF5720">
        <w:rPr>
          <w:rFonts w:ascii="Cambria" w:hAnsi="Cambria"/>
          <w:color w:val="000000"/>
          <w:sz w:val="21"/>
          <w:szCs w:val="21"/>
        </w:rPr>
        <w:t xml:space="preserve">rocesamiento del anterior Fiscal General de la República, </w:t>
      </w:r>
      <w:r w:rsidR="0069126B">
        <w:rPr>
          <w:rFonts w:ascii="Cambria" w:hAnsi="Cambria"/>
          <w:color w:val="000000"/>
          <w:sz w:val="21"/>
          <w:szCs w:val="21"/>
        </w:rPr>
        <w:t>de</w:t>
      </w:r>
      <w:r w:rsidR="00EE231C" w:rsidRPr="00EF5720">
        <w:rPr>
          <w:rFonts w:ascii="Cambria" w:hAnsi="Cambria"/>
          <w:color w:val="000000"/>
          <w:sz w:val="21"/>
          <w:szCs w:val="21"/>
        </w:rPr>
        <w:t xml:space="preserve"> un empresario y </w:t>
      </w:r>
      <w:r w:rsidR="0069126B">
        <w:rPr>
          <w:rFonts w:ascii="Cambria" w:hAnsi="Cambria"/>
          <w:color w:val="000000"/>
          <w:sz w:val="21"/>
          <w:szCs w:val="21"/>
        </w:rPr>
        <w:t xml:space="preserve">de </w:t>
      </w:r>
      <w:r w:rsidR="00EE231C" w:rsidRPr="00EF5720">
        <w:rPr>
          <w:rFonts w:ascii="Cambria" w:hAnsi="Cambria"/>
          <w:color w:val="000000"/>
          <w:sz w:val="21"/>
          <w:szCs w:val="21"/>
        </w:rPr>
        <w:t>nueve personas más, por los delitos de omisión en la investigación, falsedad ideológica, fraude procesal, prevaricato y cohec</w:t>
      </w:r>
      <w:r w:rsidR="00EE231C">
        <w:rPr>
          <w:rFonts w:ascii="Cambria" w:hAnsi="Cambria"/>
          <w:color w:val="000000"/>
          <w:sz w:val="21"/>
          <w:szCs w:val="21"/>
        </w:rPr>
        <w:t xml:space="preserve">ho activo;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p</w:t>
      </w:r>
      <w:r w:rsidR="00EE231C" w:rsidRPr="00EF5720">
        <w:rPr>
          <w:rFonts w:ascii="Cambria" w:hAnsi="Cambria"/>
          <w:color w:val="000000"/>
          <w:sz w:val="21"/>
          <w:szCs w:val="21"/>
        </w:rPr>
        <w:t>rocesamiento del ex Presidente de la República y diversos miembros de su gabinete por los delitos de lavado de dinero y de activos, pecul</w:t>
      </w:r>
      <w:r w:rsidR="00EE231C">
        <w:rPr>
          <w:rFonts w:ascii="Cambria" w:hAnsi="Cambria"/>
          <w:color w:val="000000"/>
          <w:sz w:val="21"/>
          <w:szCs w:val="21"/>
        </w:rPr>
        <w:t xml:space="preserve">ado y agrupaciones ilícitas;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p</w:t>
      </w:r>
      <w:r w:rsidR="00EE231C" w:rsidRPr="00EF5720">
        <w:rPr>
          <w:rFonts w:ascii="Cambria" w:hAnsi="Cambria"/>
          <w:color w:val="000000"/>
          <w:sz w:val="21"/>
          <w:szCs w:val="21"/>
        </w:rPr>
        <w:t xml:space="preserve">rocesamiento penal y </w:t>
      </w:r>
      <w:r w:rsidR="00EE231C">
        <w:rPr>
          <w:rFonts w:ascii="Cambria" w:hAnsi="Cambria"/>
          <w:color w:val="000000"/>
          <w:sz w:val="21"/>
          <w:szCs w:val="21"/>
        </w:rPr>
        <w:t xml:space="preserve">proceso </w:t>
      </w:r>
      <w:r w:rsidR="00EE231C" w:rsidRPr="00EF5720">
        <w:rPr>
          <w:rFonts w:ascii="Cambria" w:hAnsi="Cambria"/>
          <w:color w:val="000000"/>
          <w:sz w:val="21"/>
          <w:szCs w:val="21"/>
        </w:rPr>
        <w:t xml:space="preserve">civil </w:t>
      </w:r>
      <w:r w:rsidR="001F7351">
        <w:rPr>
          <w:rFonts w:ascii="Cambria" w:hAnsi="Cambria"/>
          <w:color w:val="000000"/>
          <w:sz w:val="21"/>
          <w:szCs w:val="21"/>
        </w:rPr>
        <w:t>en contra del</w:t>
      </w:r>
      <w:r w:rsidR="00EE231C" w:rsidRPr="00EF5720">
        <w:rPr>
          <w:rFonts w:ascii="Cambria" w:hAnsi="Cambria"/>
          <w:color w:val="000000"/>
          <w:sz w:val="21"/>
          <w:szCs w:val="21"/>
        </w:rPr>
        <w:t xml:space="preserve"> ex secretario privado de la Presidencia por increment</w:t>
      </w:r>
      <w:r w:rsidR="00EE231C">
        <w:rPr>
          <w:rFonts w:ascii="Cambria" w:hAnsi="Cambria"/>
          <w:color w:val="000000"/>
          <w:sz w:val="21"/>
          <w:szCs w:val="21"/>
        </w:rPr>
        <w:t xml:space="preserve">o patrimonial no justificado;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p</w:t>
      </w:r>
      <w:r w:rsidR="00EE231C">
        <w:rPr>
          <w:rFonts w:ascii="Cambria" w:hAnsi="Cambria"/>
          <w:color w:val="000000"/>
          <w:sz w:val="21"/>
          <w:szCs w:val="21"/>
        </w:rPr>
        <w:t xml:space="preserve">roceso civil en contra de </w:t>
      </w:r>
      <w:r w:rsidR="002F2361">
        <w:rPr>
          <w:rFonts w:ascii="Cambria" w:hAnsi="Cambria"/>
          <w:color w:val="000000"/>
          <w:sz w:val="21"/>
          <w:szCs w:val="21"/>
        </w:rPr>
        <w:t xml:space="preserve">un </w:t>
      </w:r>
      <w:r w:rsidR="00EE231C">
        <w:rPr>
          <w:rFonts w:ascii="Cambria" w:hAnsi="Cambria"/>
          <w:color w:val="000000"/>
          <w:sz w:val="21"/>
          <w:szCs w:val="21"/>
        </w:rPr>
        <w:t xml:space="preserve">ex Presidente por enriquecimiento ilícito;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lastRenderedPageBreak/>
        <w:t>El p</w:t>
      </w:r>
      <w:r w:rsidR="00EE231C">
        <w:rPr>
          <w:rFonts w:ascii="Cambria" w:hAnsi="Cambria"/>
          <w:color w:val="000000"/>
          <w:sz w:val="21"/>
          <w:szCs w:val="21"/>
        </w:rPr>
        <w:t xml:space="preserve">roceso </w:t>
      </w:r>
      <w:r w:rsidR="001F7351">
        <w:rPr>
          <w:rFonts w:ascii="Cambria" w:hAnsi="Cambria"/>
          <w:color w:val="000000"/>
          <w:sz w:val="21"/>
          <w:szCs w:val="21"/>
        </w:rPr>
        <w:t xml:space="preserve">en </w:t>
      </w:r>
      <w:r w:rsidR="00EE231C">
        <w:rPr>
          <w:rFonts w:ascii="Cambria" w:hAnsi="Cambria"/>
          <w:color w:val="000000"/>
          <w:sz w:val="21"/>
          <w:szCs w:val="21"/>
        </w:rPr>
        <w:t>contra</w:t>
      </w:r>
      <w:r w:rsidR="001F7351">
        <w:rPr>
          <w:rFonts w:ascii="Cambria" w:hAnsi="Cambria"/>
          <w:color w:val="000000"/>
          <w:sz w:val="21"/>
          <w:szCs w:val="21"/>
        </w:rPr>
        <w:t xml:space="preserve"> de</w:t>
      </w:r>
      <w:r w:rsidR="00EE231C">
        <w:rPr>
          <w:rFonts w:ascii="Cambria" w:hAnsi="Cambria"/>
          <w:color w:val="000000"/>
          <w:sz w:val="21"/>
          <w:szCs w:val="21"/>
        </w:rPr>
        <w:t xml:space="preserve"> </w:t>
      </w:r>
      <w:r w:rsidR="002F2361">
        <w:rPr>
          <w:rFonts w:ascii="Cambria" w:hAnsi="Cambria"/>
          <w:color w:val="000000"/>
          <w:sz w:val="21"/>
          <w:szCs w:val="21"/>
        </w:rPr>
        <w:t>un</w:t>
      </w:r>
      <w:r w:rsidR="00EE231C">
        <w:rPr>
          <w:rFonts w:ascii="Cambria" w:hAnsi="Cambria"/>
          <w:color w:val="000000"/>
          <w:sz w:val="21"/>
          <w:szCs w:val="21"/>
        </w:rPr>
        <w:t xml:space="preserve"> ex Ministro de Defensa Nacional, por los delitos de estafa y comercio ilegal de armas de fuego;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p</w:t>
      </w:r>
      <w:r w:rsidR="00EE231C">
        <w:rPr>
          <w:rFonts w:ascii="Cambria" w:hAnsi="Cambria"/>
          <w:color w:val="000000"/>
          <w:sz w:val="21"/>
          <w:szCs w:val="21"/>
        </w:rPr>
        <w:t xml:space="preserve">roceso </w:t>
      </w:r>
      <w:r w:rsidR="001F7351">
        <w:rPr>
          <w:rFonts w:ascii="Cambria" w:hAnsi="Cambria"/>
          <w:color w:val="000000"/>
          <w:sz w:val="21"/>
          <w:szCs w:val="21"/>
        </w:rPr>
        <w:t xml:space="preserve">en </w:t>
      </w:r>
      <w:r w:rsidR="00EE231C">
        <w:rPr>
          <w:rFonts w:ascii="Cambria" w:hAnsi="Cambria"/>
          <w:color w:val="000000"/>
          <w:sz w:val="21"/>
          <w:szCs w:val="21"/>
        </w:rPr>
        <w:t>contra</w:t>
      </w:r>
      <w:r w:rsidR="001F7351">
        <w:rPr>
          <w:rFonts w:ascii="Cambria" w:hAnsi="Cambria"/>
          <w:color w:val="000000"/>
          <w:sz w:val="21"/>
          <w:szCs w:val="21"/>
        </w:rPr>
        <w:t xml:space="preserve"> de</w:t>
      </w:r>
      <w:r w:rsidR="00EE231C">
        <w:rPr>
          <w:rFonts w:ascii="Cambria" w:hAnsi="Cambria"/>
          <w:color w:val="000000"/>
          <w:sz w:val="21"/>
          <w:szCs w:val="21"/>
        </w:rPr>
        <w:t xml:space="preserve"> alias “Chepe Diablo” y 8 imputados más, entre los que se encuentra un ex Alcalde, por los delitos de lavado</w:t>
      </w:r>
      <w:r w:rsidR="006E6CC6">
        <w:rPr>
          <w:rFonts w:ascii="Cambria" w:hAnsi="Cambria"/>
          <w:color w:val="000000"/>
          <w:sz w:val="21"/>
          <w:szCs w:val="21"/>
        </w:rPr>
        <w:t xml:space="preserve"> d</w:t>
      </w:r>
      <w:r w:rsidR="00EE231C">
        <w:rPr>
          <w:rFonts w:ascii="Cambria" w:hAnsi="Cambria"/>
          <w:color w:val="000000"/>
          <w:sz w:val="21"/>
          <w:szCs w:val="21"/>
        </w:rPr>
        <w:t>e dinero y activos en un monto estimado de 215 millones de dólares;</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c</w:t>
      </w:r>
      <w:r w:rsidR="00EE231C">
        <w:rPr>
          <w:rFonts w:ascii="Cambria" w:hAnsi="Cambria"/>
          <w:color w:val="000000"/>
          <w:sz w:val="21"/>
          <w:szCs w:val="21"/>
        </w:rPr>
        <w:t>aso “Tregua entre pandillas”, donde se encuentran procesados el ex Director general de Centros Penales</w:t>
      </w:r>
      <w:r w:rsidR="001F7351">
        <w:rPr>
          <w:rFonts w:ascii="Cambria" w:hAnsi="Cambria"/>
          <w:color w:val="000000"/>
          <w:sz w:val="21"/>
          <w:szCs w:val="21"/>
        </w:rPr>
        <w:t>,</w:t>
      </w:r>
      <w:r w:rsidR="00EE231C">
        <w:rPr>
          <w:rFonts w:ascii="Cambria" w:hAnsi="Cambria"/>
          <w:color w:val="000000"/>
          <w:sz w:val="21"/>
          <w:szCs w:val="21"/>
        </w:rPr>
        <w:t xml:space="preserve"> </w:t>
      </w:r>
      <w:r w:rsidR="002F2361">
        <w:rPr>
          <w:rFonts w:ascii="Cambria" w:hAnsi="Cambria"/>
          <w:color w:val="000000"/>
          <w:sz w:val="21"/>
          <w:szCs w:val="21"/>
        </w:rPr>
        <w:t xml:space="preserve">un </w:t>
      </w:r>
      <w:r w:rsidR="00EE231C">
        <w:rPr>
          <w:rFonts w:ascii="Cambria" w:hAnsi="Cambria"/>
          <w:color w:val="000000"/>
          <w:sz w:val="21"/>
          <w:szCs w:val="21"/>
        </w:rPr>
        <w:t xml:space="preserve">ex diputado, un subinspector y agentes de la Policía Nacional Civil por los delitos de agrupaciones ilícitas, actos arbitrarios, falsedad ideológica, introducción de objetos prohibidos a centros penales e incumplimiento de deberes;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El c</w:t>
      </w:r>
      <w:r w:rsidR="00EE231C">
        <w:rPr>
          <w:rFonts w:ascii="Cambria" w:hAnsi="Cambria"/>
          <w:color w:val="000000"/>
          <w:sz w:val="21"/>
          <w:szCs w:val="21"/>
        </w:rPr>
        <w:t xml:space="preserve">aso “Operación Jaque”, el cual “ha significado el golpe más fuerte a la Mara Salvatrucha” al golpear su estructura financiera; </w:t>
      </w:r>
    </w:p>
    <w:p w:rsidR="00EE231C" w:rsidRDefault="00EE231C"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 xml:space="preserve">El 6 de febrero de 2017 </w:t>
      </w:r>
      <w:r w:rsidR="000D299A">
        <w:rPr>
          <w:rFonts w:ascii="Cambria" w:hAnsi="Cambria"/>
          <w:color w:val="000000"/>
          <w:sz w:val="21"/>
          <w:szCs w:val="21"/>
        </w:rPr>
        <w:t xml:space="preserve">habría girado </w:t>
      </w:r>
      <w:r>
        <w:rPr>
          <w:rFonts w:ascii="Cambria" w:hAnsi="Cambria"/>
          <w:color w:val="000000"/>
          <w:sz w:val="21"/>
          <w:szCs w:val="21"/>
        </w:rPr>
        <w:t>la detención administrativa contra 28 integrantes de un grupo criminal vincu</w:t>
      </w:r>
      <w:r w:rsidR="0069126B">
        <w:rPr>
          <w:rFonts w:ascii="Cambria" w:hAnsi="Cambria"/>
          <w:color w:val="000000"/>
          <w:sz w:val="21"/>
          <w:szCs w:val="21"/>
        </w:rPr>
        <w:t>lado con el “Cártel de Sinaloa”,</w:t>
      </w:r>
      <w:r>
        <w:rPr>
          <w:rFonts w:ascii="Cambria" w:hAnsi="Cambria"/>
          <w:color w:val="000000"/>
          <w:sz w:val="21"/>
          <w:szCs w:val="21"/>
        </w:rPr>
        <w:t xml:space="preserve"> de México;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La e</w:t>
      </w:r>
      <w:r w:rsidR="00EE231C">
        <w:rPr>
          <w:rFonts w:ascii="Cambria" w:hAnsi="Cambria"/>
          <w:color w:val="000000"/>
          <w:sz w:val="21"/>
          <w:szCs w:val="21"/>
        </w:rPr>
        <w:t>xtinción de dominio de 22 inmuebles valorado</w:t>
      </w:r>
      <w:r>
        <w:rPr>
          <w:rFonts w:ascii="Cambria" w:hAnsi="Cambria"/>
          <w:color w:val="000000"/>
          <w:sz w:val="21"/>
          <w:szCs w:val="21"/>
        </w:rPr>
        <w:t>s</w:t>
      </w:r>
      <w:r w:rsidR="00EE231C">
        <w:rPr>
          <w:rFonts w:ascii="Cambria" w:hAnsi="Cambria"/>
          <w:color w:val="000000"/>
          <w:sz w:val="21"/>
          <w:szCs w:val="21"/>
        </w:rPr>
        <w:t xml:space="preserve"> en 1.1 millones de dólares a </w:t>
      </w:r>
      <w:r w:rsidR="002F2361">
        <w:rPr>
          <w:rFonts w:ascii="Cambria" w:hAnsi="Cambria"/>
          <w:color w:val="000000"/>
          <w:sz w:val="21"/>
          <w:szCs w:val="21"/>
        </w:rPr>
        <w:t xml:space="preserve">un </w:t>
      </w:r>
      <w:r w:rsidR="00EE231C">
        <w:rPr>
          <w:rFonts w:ascii="Cambria" w:hAnsi="Cambria"/>
          <w:color w:val="000000"/>
          <w:sz w:val="21"/>
          <w:szCs w:val="21"/>
        </w:rPr>
        <w:t xml:space="preserve">diputado y su familia por </w:t>
      </w:r>
      <w:r>
        <w:rPr>
          <w:rFonts w:ascii="Cambria" w:hAnsi="Cambria"/>
          <w:color w:val="000000"/>
          <w:sz w:val="21"/>
          <w:szCs w:val="21"/>
        </w:rPr>
        <w:t xml:space="preserve">presuntamente </w:t>
      </w:r>
      <w:r w:rsidR="00EE231C">
        <w:rPr>
          <w:rFonts w:ascii="Cambria" w:hAnsi="Cambria"/>
          <w:color w:val="000000"/>
          <w:sz w:val="21"/>
          <w:szCs w:val="21"/>
        </w:rPr>
        <w:t xml:space="preserve">no </w:t>
      </w:r>
      <w:r>
        <w:rPr>
          <w:rFonts w:ascii="Cambria" w:hAnsi="Cambria"/>
          <w:color w:val="000000"/>
          <w:sz w:val="21"/>
          <w:szCs w:val="21"/>
        </w:rPr>
        <w:t>haber demostrado</w:t>
      </w:r>
      <w:r w:rsidR="00EE231C">
        <w:rPr>
          <w:rFonts w:ascii="Cambria" w:hAnsi="Cambria"/>
          <w:color w:val="000000"/>
          <w:sz w:val="21"/>
          <w:szCs w:val="21"/>
        </w:rPr>
        <w:t xml:space="preserve"> el origen licito de su incremento patrimonial; </w:t>
      </w:r>
    </w:p>
    <w:p w:rsidR="00EE231C" w:rsidRDefault="000D299A" w:rsidP="00EE231C">
      <w:pPr>
        <w:numPr>
          <w:ilvl w:val="0"/>
          <w:numId w:val="30"/>
        </w:numPr>
        <w:spacing w:after="0" w:line="240" w:lineRule="auto"/>
        <w:jc w:val="both"/>
        <w:rPr>
          <w:rFonts w:ascii="Cambria" w:hAnsi="Cambria"/>
          <w:color w:val="000000"/>
          <w:sz w:val="21"/>
          <w:szCs w:val="21"/>
        </w:rPr>
      </w:pPr>
      <w:r>
        <w:rPr>
          <w:rFonts w:ascii="Cambria" w:hAnsi="Cambria"/>
          <w:color w:val="000000"/>
          <w:sz w:val="21"/>
          <w:szCs w:val="21"/>
        </w:rPr>
        <w:t>La d</w:t>
      </w:r>
      <w:r w:rsidR="00EE231C">
        <w:rPr>
          <w:rFonts w:ascii="Cambria" w:hAnsi="Cambria"/>
          <w:color w:val="000000"/>
          <w:sz w:val="21"/>
          <w:szCs w:val="21"/>
        </w:rPr>
        <w:t>esarticulación en los últimos meses de grupos armados de exterminio acusados de llevar a cabo ejecuciones extrajudiciales, los cuales actualmente se estarían ventilando en tribunales en cuatro casos de grupos conformados por civiles, agentes de la Policía Nacional Civil (PNC) y elementos de la Fuerza Armada.</w:t>
      </w:r>
    </w:p>
    <w:p w:rsidR="00EE231C" w:rsidRPr="00EE231C" w:rsidRDefault="00EE231C" w:rsidP="00EE231C">
      <w:pPr>
        <w:spacing w:after="0" w:line="240" w:lineRule="auto"/>
        <w:jc w:val="both"/>
        <w:rPr>
          <w:rFonts w:ascii="Cambria" w:hAnsi="Cambria"/>
          <w:color w:val="000000"/>
          <w:sz w:val="21"/>
          <w:szCs w:val="21"/>
        </w:rPr>
      </w:pPr>
    </w:p>
    <w:p w:rsidR="00EE231C" w:rsidRDefault="00EE231C" w:rsidP="008135B6">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 xml:space="preserve">El solicitante denunció que el 15 de julio de 2016 circularon en redes sociales amenazas de muerte en su contra, las cuales </w:t>
      </w:r>
      <w:r w:rsidR="000D299A">
        <w:rPr>
          <w:rFonts w:ascii="Cambria" w:hAnsi="Cambria"/>
          <w:color w:val="000000"/>
          <w:sz w:val="21"/>
          <w:szCs w:val="21"/>
        </w:rPr>
        <w:t xml:space="preserve">presuntamente </w:t>
      </w:r>
      <w:r>
        <w:rPr>
          <w:rFonts w:ascii="Cambria" w:hAnsi="Cambria"/>
          <w:color w:val="000000"/>
          <w:sz w:val="21"/>
          <w:szCs w:val="21"/>
        </w:rPr>
        <w:t xml:space="preserve">serían </w:t>
      </w:r>
      <w:r w:rsidR="000D299A">
        <w:rPr>
          <w:rFonts w:ascii="Cambria" w:hAnsi="Cambria"/>
          <w:color w:val="000000"/>
          <w:sz w:val="21"/>
          <w:szCs w:val="21"/>
        </w:rPr>
        <w:t xml:space="preserve">en represalia a las </w:t>
      </w:r>
      <w:r>
        <w:rPr>
          <w:rFonts w:ascii="Cambria" w:hAnsi="Cambria"/>
          <w:color w:val="000000"/>
          <w:sz w:val="21"/>
          <w:szCs w:val="21"/>
        </w:rPr>
        <w:t xml:space="preserve">investigaciones realizadas por la Fiscalía General de la Nación. </w:t>
      </w:r>
      <w:r w:rsidR="000D299A">
        <w:rPr>
          <w:rFonts w:ascii="Cambria" w:hAnsi="Cambria"/>
          <w:color w:val="000000"/>
          <w:sz w:val="21"/>
          <w:szCs w:val="21"/>
        </w:rPr>
        <w:t>El solicitante indicó que s</w:t>
      </w:r>
      <w:r>
        <w:rPr>
          <w:rFonts w:ascii="Cambria" w:hAnsi="Cambria"/>
          <w:color w:val="000000"/>
          <w:sz w:val="21"/>
          <w:szCs w:val="21"/>
        </w:rPr>
        <w:t xml:space="preserve">e habría abierto una investigación </w:t>
      </w:r>
      <w:r w:rsidR="008135B6">
        <w:rPr>
          <w:rFonts w:ascii="Cambria" w:hAnsi="Cambria"/>
          <w:color w:val="000000"/>
          <w:sz w:val="21"/>
          <w:szCs w:val="21"/>
        </w:rPr>
        <w:t>con motivo de</w:t>
      </w:r>
      <w:r>
        <w:rPr>
          <w:rFonts w:ascii="Cambria" w:hAnsi="Cambria"/>
          <w:color w:val="000000"/>
          <w:sz w:val="21"/>
          <w:szCs w:val="21"/>
        </w:rPr>
        <w:t xml:space="preserve"> dichas amenazas por la Unidad Especializada de Delitos contra el Crimen Organizado de la FGR.</w:t>
      </w:r>
    </w:p>
    <w:p w:rsidR="008135B6" w:rsidRPr="008135B6" w:rsidRDefault="008135B6" w:rsidP="008135B6">
      <w:pPr>
        <w:spacing w:after="0" w:line="240" w:lineRule="auto"/>
        <w:jc w:val="both"/>
        <w:rPr>
          <w:rFonts w:ascii="Cambria" w:hAnsi="Cambria"/>
          <w:color w:val="000000"/>
          <w:sz w:val="21"/>
          <w:szCs w:val="21"/>
        </w:rPr>
      </w:pPr>
    </w:p>
    <w:p w:rsidR="00EE231C" w:rsidRDefault="000D299A" w:rsidP="00EE231C">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Con posterioridad, e</w:t>
      </w:r>
      <w:r w:rsidR="00EE231C">
        <w:rPr>
          <w:rFonts w:ascii="Cambria" w:hAnsi="Cambria"/>
          <w:color w:val="000000"/>
          <w:sz w:val="21"/>
          <w:szCs w:val="21"/>
        </w:rPr>
        <w:t xml:space="preserve">l 26 de julio de 2017 el propuesto beneficiario habría recibido amenazas en un documento anónimo, “previniéndole dejar su cargo y abandonar el país de El Salvador, a más tardar el 15 de agosto de 2017”, o se </w:t>
      </w:r>
      <w:r w:rsidR="002F71C8">
        <w:rPr>
          <w:rFonts w:ascii="Cambria" w:hAnsi="Cambria"/>
          <w:color w:val="000000"/>
          <w:sz w:val="21"/>
          <w:szCs w:val="21"/>
        </w:rPr>
        <w:t>atentaría</w:t>
      </w:r>
      <w:r w:rsidR="00EE231C">
        <w:rPr>
          <w:rFonts w:ascii="Cambria" w:hAnsi="Cambria"/>
          <w:color w:val="000000"/>
          <w:sz w:val="21"/>
          <w:szCs w:val="21"/>
        </w:rPr>
        <w:t xml:space="preserve"> en su contra y contra su familia. Dicha amenaza es atribuida por el propuesto beneficiario a investigaciones que se encuentran en tribunales contra personas con alto poder económico</w:t>
      </w:r>
      <w:r w:rsidR="00EC2289">
        <w:rPr>
          <w:rFonts w:ascii="Cambria" w:hAnsi="Cambria"/>
          <w:color w:val="000000"/>
          <w:sz w:val="21"/>
          <w:szCs w:val="21"/>
        </w:rPr>
        <w:t xml:space="preserve"> y</w:t>
      </w:r>
      <w:r w:rsidR="00EE231C">
        <w:rPr>
          <w:rFonts w:ascii="Cambria" w:hAnsi="Cambria"/>
          <w:color w:val="000000"/>
          <w:sz w:val="21"/>
          <w:szCs w:val="21"/>
        </w:rPr>
        <w:t xml:space="preserve"> político. </w:t>
      </w:r>
    </w:p>
    <w:p w:rsidR="00EE231C" w:rsidRPr="00EE231C" w:rsidRDefault="00EE231C" w:rsidP="00EE231C">
      <w:pPr>
        <w:spacing w:after="0" w:line="240" w:lineRule="auto"/>
        <w:jc w:val="both"/>
        <w:rPr>
          <w:rFonts w:ascii="Cambria" w:hAnsi="Cambria"/>
          <w:color w:val="000000"/>
          <w:sz w:val="21"/>
          <w:szCs w:val="21"/>
        </w:rPr>
      </w:pPr>
    </w:p>
    <w:p w:rsidR="00EE231C" w:rsidRDefault="00EE231C" w:rsidP="00EE231C">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E</w:t>
      </w:r>
      <w:r w:rsidR="000D299A">
        <w:rPr>
          <w:rFonts w:ascii="Cambria" w:hAnsi="Cambria"/>
          <w:color w:val="000000"/>
          <w:sz w:val="21"/>
          <w:szCs w:val="21"/>
        </w:rPr>
        <w:t>l solicitante indicó que e</w:t>
      </w:r>
      <w:r>
        <w:rPr>
          <w:rFonts w:ascii="Cambria" w:hAnsi="Cambria"/>
          <w:color w:val="000000"/>
          <w:sz w:val="21"/>
          <w:szCs w:val="21"/>
        </w:rPr>
        <w:t xml:space="preserve">n agosto de 2017 </w:t>
      </w:r>
      <w:r w:rsidR="000D299A">
        <w:rPr>
          <w:rFonts w:ascii="Cambria" w:hAnsi="Cambria"/>
          <w:color w:val="000000"/>
          <w:sz w:val="21"/>
          <w:szCs w:val="21"/>
        </w:rPr>
        <w:t xml:space="preserve">tuvo conocimiento de que </w:t>
      </w:r>
      <w:r>
        <w:rPr>
          <w:rFonts w:ascii="Cambria" w:hAnsi="Cambria"/>
          <w:color w:val="000000"/>
          <w:sz w:val="21"/>
          <w:szCs w:val="21"/>
        </w:rPr>
        <w:t>se habrían reunido un grupo de personas que se dedicarían al tráfico de drogas</w:t>
      </w:r>
      <w:r w:rsidR="000D299A">
        <w:rPr>
          <w:rFonts w:ascii="Cambria" w:hAnsi="Cambria"/>
          <w:color w:val="000000"/>
          <w:sz w:val="21"/>
          <w:szCs w:val="21"/>
        </w:rPr>
        <w:t xml:space="preserve">. </w:t>
      </w:r>
      <w:r>
        <w:rPr>
          <w:rFonts w:ascii="Cambria" w:hAnsi="Cambria"/>
          <w:color w:val="000000"/>
          <w:sz w:val="21"/>
          <w:szCs w:val="21"/>
        </w:rPr>
        <w:t xml:space="preserve">El solicitante </w:t>
      </w:r>
      <w:r w:rsidR="00C771EE">
        <w:rPr>
          <w:rFonts w:ascii="Cambria" w:hAnsi="Cambria"/>
          <w:color w:val="000000"/>
          <w:sz w:val="21"/>
          <w:szCs w:val="21"/>
        </w:rPr>
        <w:t>agregó</w:t>
      </w:r>
      <w:r>
        <w:rPr>
          <w:rFonts w:ascii="Cambria" w:hAnsi="Cambria"/>
          <w:color w:val="000000"/>
          <w:sz w:val="21"/>
          <w:szCs w:val="21"/>
        </w:rPr>
        <w:t xml:space="preserve"> que en dicha reunión se hab</w:t>
      </w:r>
      <w:r w:rsidR="00EA4A83">
        <w:rPr>
          <w:rFonts w:ascii="Cambria" w:hAnsi="Cambria"/>
          <w:color w:val="000000"/>
          <w:sz w:val="21"/>
          <w:szCs w:val="21"/>
        </w:rPr>
        <w:t>ría manifestado que “el Fiscal G</w:t>
      </w:r>
      <w:r>
        <w:rPr>
          <w:rFonts w:ascii="Cambria" w:hAnsi="Cambria"/>
          <w:color w:val="000000"/>
          <w:sz w:val="21"/>
          <w:szCs w:val="21"/>
        </w:rPr>
        <w:t>eneral los</w:t>
      </w:r>
      <w:r w:rsidR="00EA4A83">
        <w:rPr>
          <w:rFonts w:ascii="Cambria" w:hAnsi="Cambria"/>
          <w:color w:val="000000"/>
          <w:sz w:val="21"/>
          <w:szCs w:val="21"/>
        </w:rPr>
        <w:t xml:space="preserve"> tiene ‘jodidos’ y que por ello</w:t>
      </w:r>
      <w:r>
        <w:rPr>
          <w:rFonts w:ascii="Cambria" w:hAnsi="Cambria"/>
          <w:color w:val="000000"/>
          <w:sz w:val="21"/>
          <w:szCs w:val="21"/>
        </w:rPr>
        <w:t xml:space="preserve"> han mandado a traer unos extranjeros”.</w:t>
      </w:r>
    </w:p>
    <w:p w:rsidR="00EE231C" w:rsidRPr="00EE231C" w:rsidRDefault="00EE231C" w:rsidP="00EE231C">
      <w:pPr>
        <w:spacing w:after="0" w:line="240" w:lineRule="auto"/>
        <w:jc w:val="both"/>
        <w:rPr>
          <w:rFonts w:ascii="Cambria" w:hAnsi="Cambria"/>
          <w:color w:val="000000"/>
          <w:sz w:val="21"/>
          <w:szCs w:val="21"/>
        </w:rPr>
      </w:pPr>
    </w:p>
    <w:p w:rsidR="005D7592" w:rsidRPr="0018272E" w:rsidRDefault="00EE231C">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El 30 de septiembre</w:t>
      </w:r>
      <w:r w:rsidR="002F2361">
        <w:rPr>
          <w:rFonts w:ascii="Cambria" w:hAnsi="Cambria"/>
          <w:color w:val="000000"/>
          <w:sz w:val="21"/>
          <w:szCs w:val="21"/>
        </w:rPr>
        <w:t xml:space="preserve"> de 2017</w:t>
      </w:r>
      <w:r>
        <w:rPr>
          <w:rFonts w:ascii="Cambria" w:hAnsi="Cambria"/>
          <w:color w:val="000000"/>
          <w:sz w:val="21"/>
          <w:szCs w:val="21"/>
        </w:rPr>
        <w:t xml:space="preserve"> </w:t>
      </w:r>
      <w:r w:rsidR="000D299A">
        <w:rPr>
          <w:rFonts w:ascii="Cambria" w:hAnsi="Cambria"/>
          <w:color w:val="000000"/>
          <w:sz w:val="21"/>
          <w:szCs w:val="21"/>
        </w:rPr>
        <w:t>se habría</w:t>
      </w:r>
      <w:r>
        <w:rPr>
          <w:rFonts w:ascii="Cambria" w:hAnsi="Cambria"/>
          <w:color w:val="000000"/>
          <w:sz w:val="21"/>
          <w:szCs w:val="21"/>
        </w:rPr>
        <w:t xml:space="preserve"> asesinado al señor Javier Antonio Ascencio Ruíz</w:t>
      </w:r>
      <w:r w:rsidR="004032B6">
        <w:rPr>
          <w:rFonts w:ascii="Cambria" w:hAnsi="Cambria"/>
          <w:color w:val="000000"/>
          <w:sz w:val="21"/>
          <w:szCs w:val="21"/>
        </w:rPr>
        <w:t xml:space="preserve">, </w:t>
      </w:r>
      <w:r>
        <w:rPr>
          <w:rFonts w:ascii="Cambria" w:hAnsi="Cambria"/>
          <w:color w:val="000000"/>
          <w:sz w:val="21"/>
          <w:szCs w:val="21"/>
        </w:rPr>
        <w:t xml:space="preserve"> </w:t>
      </w:r>
      <w:r w:rsidR="004032B6">
        <w:rPr>
          <w:rFonts w:ascii="Cambria" w:hAnsi="Cambria"/>
          <w:color w:val="000000"/>
          <w:sz w:val="21"/>
          <w:szCs w:val="21"/>
        </w:rPr>
        <w:t xml:space="preserve">quien sería primo hermano del propuesto beneficiario, </w:t>
      </w:r>
      <w:r>
        <w:rPr>
          <w:rFonts w:ascii="Cambria" w:hAnsi="Cambria"/>
          <w:color w:val="000000"/>
          <w:sz w:val="21"/>
          <w:szCs w:val="21"/>
        </w:rPr>
        <w:t xml:space="preserve">frente a su </w:t>
      </w:r>
      <w:r w:rsidR="000D299A">
        <w:rPr>
          <w:rFonts w:ascii="Cambria" w:hAnsi="Cambria"/>
          <w:color w:val="000000"/>
          <w:sz w:val="21"/>
          <w:szCs w:val="21"/>
        </w:rPr>
        <w:t>vivienda</w:t>
      </w:r>
      <w:r>
        <w:rPr>
          <w:rFonts w:ascii="Cambria" w:hAnsi="Cambria"/>
          <w:color w:val="000000"/>
          <w:sz w:val="21"/>
          <w:szCs w:val="21"/>
        </w:rPr>
        <w:t xml:space="preserve"> en la colonia Venecia, muni</w:t>
      </w:r>
      <w:r w:rsidR="004032B6">
        <w:rPr>
          <w:rFonts w:ascii="Cambria" w:hAnsi="Cambria"/>
          <w:color w:val="000000"/>
          <w:sz w:val="21"/>
          <w:szCs w:val="21"/>
        </w:rPr>
        <w:t xml:space="preserve">cipio de Ilopango, San Salvador. Las </w:t>
      </w:r>
      <w:r>
        <w:rPr>
          <w:rFonts w:ascii="Cambria" w:hAnsi="Cambria"/>
          <w:color w:val="000000"/>
          <w:sz w:val="21"/>
          <w:szCs w:val="21"/>
        </w:rPr>
        <w:t xml:space="preserve">investigaciones </w:t>
      </w:r>
      <w:r w:rsidR="004032B6">
        <w:rPr>
          <w:rFonts w:ascii="Cambria" w:hAnsi="Cambria"/>
          <w:color w:val="000000"/>
          <w:sz w:val="21"/>
          <w:szCs w:val="21"/>
        </w:rPr>
        <w:t xml:space="preserve">emprendidas indicarían </w:t>
      </w:r>
      <w:r>
        <w:rPr>
          <w:rFonts w:ascii="Cambria" w:hAnsi="Cambria"/>
          <w:color w:val="000000"/>
          <w:sz w:val="21"/>
          <w:szCs w:val="21"/>
        </w:rPr>
        <w:t xml:space="preserve">que supuestos pandilleros le dispararon desde el interior de un vehículo y luego huyeron del lugar. El </w:t>
      </w:r>
      <w:r w:rsidR="004032B6">
        <w:rPr>
          <w:rFonts w:ascii="Cambria" w:hAnsi="Cambria"/>
          <w:color w:val="000000"/>
          <w:sz w:val="21"/>
          <w:szCs w:val="21"/>
        </w:rPr>
        <w:t xml:space="preserve">propuesto beneficiario </w:t>
      </w:r>
      <w:r>
        <w:rPr>
          <w:rFonts w:ascii="Cambria" w:hAnsi="Cambria"/>
          <w:color w:val="000000"/>
          <w:sz w:val="21"/>
          <w:szCs w:val="21"/>
        </w:rPr>
        <w:t xml:space="preserve">indicó que </w:t>
      </w:r>
      <w:r w:rsidR="004032B6">
        <w:rPr>
          <w:rFonts w:ascii="Cambria" w:hAnsi="Cambria"/>
          <w:color w:val="000000"/>
          <w:sz w:val="21"/>
          <w:szCs w:val="21"/>
        </w:rPr>
        <w:t xml:space="preserve">el anterior sería </w:t>
      </w:r>
      <w:r>
        <w:rPr>
          <w:rFonts w:ascii="Cambria" w:hAnsi="Cambria"/>
          <w:color w:val="000000"/>
          <w:sz w:val="21"/>
          <w:szCs w:val="21"/>
        </w:rPr>
        <w:t>el primer atentado en contra de familiares por parte de miembros de pandillas</w:t>
      </w:r>
      <w:r w:rsidR="005D7592">
        <w:rPr>
          <w:rFonts w:ascii="Cambria" w:hAnsi="Cambria"/>
          <w:color w:val="000000"/>
          <w:sz w:val="21"/>
          <w:szCs w:val="21"/>
        </w:rPr>
        <w:t xml:space="preserve"> y que </w:t>
      </w:r>
      <w:r w:rsidR="005D7592" w:rsidRPr="0018272E">
        <w:rPr>
          <w:rFonts w:ascii="Cambria" w:eastAsia="Calibri" w:hAnsi="Cambria"/>
          <w:sz w:val="21"/>
          <w:szCs w:val="21"/>
          <w:lang w:val="es-ES_tradnl"/>
        </w:rPr>
        <w:t>se sigue la línea de investigación de que su muerte pudo haber sido ordenada por el parentesco</w:t>
      </w:r>
      <w:r w:rsidR="0094248B">
        <w:rPr>
          <w:rFonts w:ascii="Cambria" w:eastAsia="Calibri" w:hAnsi="Cambria"/>
          <w:sz w:val="21"/>
          <w:szCs w:val="21"/>
          <w:lang w:val="es-ES_tradnl"/>
        </w:rPr>
        <w:t xml:space="preserve"> de</w:t>
      </w:r>
      <w:r w:rsidR="005D7592" w:rsidRPr="0018272E">
        <w:rPr>
          <w:rFonts w:ascii="Cambria" w:eastAsia="Calibri" w:hAnsi="Cambria"/>
          <w:sz w:val="21"/>
          <w:szCs w:val="21"/>
          <w:lang w:val="es-ES_tradnl"/>
        </w:rPr>
        <w:t xml:space="preserve"> </w:t>
      </w:r>
      <w:r w:rsidR="00EC2289">
        <w:rPr>
          <w:rFonts w:ascii="Cambria" w:eastAsia="Calibri" w:hAnsi="Cambria"/>
          <w:sz w:val="21"/>
          <w:szCs w:val="21"/>
          <w:lang w:val="es-ES_tradnl"/>
        </w:rPr>
        <w:t xml:space="preserve">la víctima </w:t>
      </w:r>
      <w:r w:rsidR="005D7592" w:rsidRPr="0018272E">
        <w:rPr>
          <w:rFonts w:ascii="Cambria" w:eastAsia="Calibri" w:hAnsi="Cambria"/>
          <w:sz w:val="21"/>
          <w:szCs w:val="21"/>
          <w:lang w:val="es-ES_tradnl"/>
        </w:rPr>
        <w:t xml:space="preserve">con el propuesto beneficiario. </w:t>
      </w:r>
    </w:p>
    <w:p w:rsidR="005D7592" w:rsidRPr="0018272E" w:rsidRDefault="005D7592" w:rsidP="0018272E">
      <w:pPr>
        <w:spacing w:after="0" w:line="240" w:lineRule="auto"/>
        <w:jc w:val="both"/>
        <w:rPr>
          <w:rFonts w:ascii="Cambria" w:hAnsi="Cambria"/>
          <w:color w:val="000000"/>
          <w:sz w:val="21"/>
          <w:szCs w:val="21"/>
          <w:lang w:val="es-ES_tradnl"/>
        </w:rPr>
      </w:pPr>
    </w:p>
    <w:p w:rsidR="002F71C8" w:rsidRDefault="002F71C8" w:rsidP="002F71C8">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 xml:space="preserve">El solicitante indicó que no le es posible compartir mayores detalles sobre las amenazas en su contra y contra su familia por motivos de seguridad y debido a que dichos casos actualmente </w:t>
      </w:r>
      <w:r w:rsidR="006021C0">
        <w:rPr>
          <w:rFonts w:ascii="Cambria" w:hAnsi="Cambria"/>
          <w:color w:val="000000"/>
          <w:sz w:val="21"/>
          <w:szCs w:val="21"/>
        </w:rPr>
        <w:t xml:space="preserve">estarían </w:t>
      </w:r>
      <w:r>
        <w:rPr>
          <w:rFonts w:ascii="Cambria" w:hAnsi="Cambria"/>
          <w:color w:val="000000"/>
          <w:sz w:val="21"/>
          <w:szCs w:val="21"/>
        </w:rPr>
        <w:t xml:space="preserve">siendo investigados. </w:t>
      </w:r>
      <w:r w:rsidR="00EC2289">
        <w:rPr>
          <w:rFonts w:ascii="Cambria" w:hAnsi="Cambria"/>
          <w:color w:val="000000"/>
          <w:sz w:val="21"/>
          <w:szCs w:val="21"/>
        </w:rPr>
        <w:t>A</w:t>
      </w:r>
      <w:r>
        <w:rPr>
          <w:rFonts w:ascii="Cambria" w:hAnsi="Cambria"/>
          <w:color w:val="000000"/>
          <w:sz w:val="21"/>
          <w:szCs w:val="21"/>
        </w:rPr>
        <w:t xml:space="preserve">seguró que </w:t>
      </w:r>
      <w:r w:rsidR="00EC2289">
        <w:rPr>
          <w:rFonts w:ascii="Cambria" w:hAnsi="Cambria"/>
          <w:color w:val="000000"/>
          <w:sz w:val="21"/>
          <w:szCs w:val="21"/>
        </w:rPr>
        <w:t xml:space="preserve">su labor le </w:t>
      </w:r>
      <w:r>
        <w:rPr>
          <w:rFonts w:ascii="Cambria" w:hAnsi="Cambria"/>
          <w:color w:val="000000"/>
          <w:sz w:val="21"/>
          <w:szCs w:val="21"/>
        </w:rPr>
        <w:t xml:space="preserve">“ha generado enemigos y detractores, generando presiones en diferentes sectores de la sociedad, incluyendo políticos, delincuentes y pandilleros”, los cuales mencionó que buscarían atacar su honorabilidad y su integridad física, por lo que correría peligro su vida y la de su familia. </w:t>
      </w:r>
    </w:p>
    <w:p w:rsidR="002F71C8" w:rsidRPr="002F71C8" w:rsidRDefault="002F71C8" w:rsidP="002F71C8">
      <w:pPr>
        <w:spacing w:after="0" w:line="240" w:lineRule="auto"/>
        <w:jc w:val="both"/>
        <w:rPr>
          <w:rFonts w:ascii="Cambria" w:hAnsi="Cambria"/>
          <w:color w:val="000000"/>
          <w:sz w:val="21"/>
          <w:szCs w:val="21"/>
        </w:rPr>
      </w:pPr>
    </w:p>
    <w:p w:rsidR="00816986" w:rsidRPr="0018272E" w:rsidRDefault="00563323">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E</w:t>
      </w:r>
      <w:r w:rsidR="002F71C8">
        <w:rPr>
          <w:rFonts w:ascii="Cambria" w:hAnsi="Cambria"/>
          <w:color w:val="000000"/>
          <w:sz w:val="21"/>
          <w:szCs w:val="21"/>
        </w:rPr>
        <w:t xml:space="preserve">l solicitante indicó que actualmente cuenta con “un pequeño grupo de agentes de seguridad, quienes son empleados de la Fiscalía General de la República, y desempeñan labores de seguridad”. Adicionalmente, señaló que contaría con el apoyo de un grupo de nueve agentes de la Policía Nacional Civil, quienes complementan el equipo de seguridad </w:t>
      </w:r>
      <w:r w:rsidR="002A1BAE">
        <w:rPr>
          <w:rFonts w:ascii="Cambria" w:hAnsi="Cambria"/>
          <w:color w:val="000000"/>
          <w:sz w:val="21"/>
          <w:szCs w:val="21"/>
        </w:rPr>
        <w:t>institucional</w:t>
      </w:r>
      <w:r w:rsidR="001B6041">
        <w:rPr>
          <w:rFonts w:ascii="Cambria" w:hAnsi="Cambria"/>
          <w:color w:val="000000"/>
          <w:sz w:val="21"/>
          <w:szCs w:val="21"/>
        </w:rPr>
        <w:t xml:space="preserve"> (el solicitante no indicó si dicho esquema sería solo para protección personal o también para su familia)</w:t>
      </w:r>
      <w:r w:rsidR="002F71C8">
        <w:rPr>
          <w:rFonts w:ascii="Cambria" w:hAnsi="Cambria"/>
          <w:color w:val="000000"/>
          <w:sz w:val="21"/>
          <w:szCs w:val="21"/>
        </w:rPr>
        <w:t xml:space="preserve">. </w:t>
      </w:r>
      <w:r w:rsidR="005D7592">
        <w:rPr>
          <w:rFonts w:ascii="Cambria" w:hAnsi="Cambria"/>
          <w:color w:val="000000"/>
          <w:sz w:val="21"/>
          <w:szCs w:val="21"/>
        </w:rPr>
        <w:t>Sin embargo, m</w:t>
      </w:r>
      <w:r w:rsidR="002F71C8" w:rsidRPr="0018272E">
        <w:rPr>
          <w:rFonts w:ascii="Cambria" w:hAnsi="Cambria"/>
          <w:color w:val="000000"/>
          <w:sz w:val="21"/>
          <w:szCs w:val="21"/>
        </w:rPr>
        <w:t xml:space="preserve">anifestó que no considera que las anteriores medidas de protección sean suficientes para “contrarrestar los altos niveles de riesgo que esta[n] viviendo [él y su] familia”, por motivo de los roles y turnos de trabajo de cada uno de los agentes de seguridad. </w:t>
      </w:r>
      <w:r w:rsidR="00816986">
        <w:rPr>
          <w:rFonts w:ascii="Cambria" w:hAnsi="Cambria"/>
          <w:color w:val="000000"/>
          <w:sz w:val="21"/>
          <w:szCs w:val="21"/>
        </w:rPr>
        <w:t xml:space="preserve">El solicitante </w:t>
      </w:r>
      <w:r w:rsidR="00816986" w:rsidRPr="0018272E">
        <w:rPr>
          <w:rFonts w:ascii="Cambria" w:eastAsia="Calibri" w:hAnsi="Cambria"/>
          <w:sz w:val="21"/>
          <w:szCs w:val="21"/>
          <w:lang w:val="es-ES_tradnl"/>
        </w:rPr>
        <w:t xml:space="preserve">indicó que una medida complementaria </w:t>
      </w:r>
      <w:r w:rsidR="00816986">
        <w:rPr>
          <w:rFonts w:ascii="Cambria" w:eastAsia="Calibri" w:hAnsi="Cambria"/>
          <w:sz w:val="21"/>
          <w:szCs w:val="21"/>
          <w:lang w:val="es-ES_tradnl"/>
        </w:rPr>
        <w:t xml:space="preserve">de seguridad </w:t>
      </w:r>
      <w:r w:rsidR="00816986" w:rsidRPr="0018272E">
        <w:rPr>
          <w:rFonts w:ascii="Cambria" w:eastAsia="Calibri" w:hAnsi="Cambria"/>
          <w:sz w:val="21"/>
          <w:szCs w:val="21"/>
          <w:lang w:val="es-ES_tradnl"/>
        </w:rPr>
        <w:t xml:space="preserve">podría ser el incremento </w:t>
      </w:r>
      <w:r w:rsidR="0018272E">
        <w:rPr>
          <w:rFonts w:ascii="Cambria" w:eastAsia="Calibri" w:hAnsi="Cambria"/>
          <w:sz w:val="21"/>
          <w:szCs w:val="21"/>
          <w:lang w:val="es-ES_tradnl"/>
        </w:rPr>
        <w:t>d</w:t>
      </w:r>
      <w:r w:rsidR="00816986" w:rsidRPr="0018272E">
        <w:rPr>
          <w:rFonts w:ascii="Cambria" w:eastAsia="Calibri" w:hAnsi="Cambria"/>
          <w:sz w:val="21"/>
          <w:szCs w:val="21"/>
          <w:lang w:val="es-ES_tradnl"/>
        </w:rPr>
        <w:t>el personal de seguridad especializado y suficiente, así como armas para resguardar su integridad y la de su familia.</w:t>
      </w:r>
    </w:p>
    <w:p w:rsidR="00816986" w:rsidRPr="0094248B" w:rsidRDefault="00816986" w:rsidP="0018272E">
      <w:pPr>
        <w:pStyle w:val="ListParagraph"/>
        <w:spacing w:after="0" w:line="240" w:lineRule="auto"/>
        <w:ind w:left="360"/>
        <w:jc w:val="both"/>
        <w:rPr>
          <w:rFonts w:ascii="Cambria" w:hAnsi="Cambria"/>
          <w:color w:val="000000"/>
          <w:sz w:val="21"/>
          <w:szCs w:val="21"/>
        </w:rPr>
      </w:pPr>
    </w:p>
    <w:p w:rsidR="005D7592" w:rsidRPr="0018272E" w:rsidRDefault="005D7592">
      <w:pPr>
        <w:pStyle w:val="ListParagraph"/>
        <w:numPr>
          <w:ilvl w:val="0"/>
          <w:numId w:val="20"/>
        </w:numPr>
        <w:spacing w:after="0" w:line="240" w:lineRule="auto"/>
        <w:ind w:left="0" w:firstLine="360"/>
        <w:jc w:val="both"/>
        <w:rPr>
          <w:rFonts w:ascii="Cambria" w:hAnsi="Cambria"/>
          <w:color w:val="000000"/>
          <w:sz w:val="21"/>
          <w:szCs w:val="21"/>
        </w:rPr>
      </w:pPr>
      <w:r w:rsidRPr="0018272E">
        <w:rPr>
          <w:rFonts w:ascii="Cambria" w:eastAsia="Calibri" w:hAnsi="Cambria"/>
          <w:sz w:val="21"/>
          <w:szCs w:val="21"/>
          <w:lang w:val="es-ES_tradnl"/>
        </w:rPr>
        <w:t>Respecto a la posibilidad legal</w:t>
      </w:r>
      <w:r w:rsidR="0094248B">
        <w:rPr>
          <w:rFonts w:ascii="Cambria" w:eastAsia="Calibri" w:hAnsi="Cambria"/>
          <w:sz w:val="21"/>
          <w:szCs w:val="21"/>
          <w:lang w:val="es-ES_tradnl"/>
        </w:rPr>
        <w:t>, referida por el Estado en sus observaciones a la CIDH,</w:t>
      </w:r>
      <w:r w:rsidRPr="0018272E">
        <w:rPr>
          <w:rFonts w:ascii="Cambria" w:eastAsia="Calibri" w:hAnsi="Cambria"/>
          <w:sz w:val="21"/>
          <w:szCs w:val="21"/>
          <w:lang w:val="es-ES_tradnl"/>
        </w:rPr>
        <w:t xml:space="preserve"> de adquirir “armas de guerra tipo fusil, escopeta, revólver o pistola, racionalmente necesarias” para su seguridad personal y la de su familia, señaló que no es procedente por motivo de que no cuenta con el recurso financiero para adquirir dicho armamento y que resulta incongruente que un funcionario público compre armas de guerra para su resguardo.</w:t>
      </w:r>
    </w:p>
    <w:p w:rsidR="005D7592" w:rsidRDefault="005D7592" w:rsidP="0018272E">
      <w:pPr>
        <w:pStyle w:val="ListParagraph"/>
        <w:spacing w:after="0" w:line="240" w:lineRule="auto"/>
        <w:ind w:left="360"/>
        <w:jc w:val="both"/>
        <w:rPr>
          <w:rFonts w:ascii="Cambria" w:hAnsi="Cambria"/>
          <w:color w:val="000000"/>
          <w:sz w:val="21"/>
          <w:szCs w:val="21"/>
        </w:rPr>
      </w:pPr>
    </w:p>
    <w:p w:rsidR="004C2439" w:rsidRPr="0018272E" w:rsidRDefault="005D7592">
      <w:pPr>
        <w:pStyle w:val="ListParagraph"/>
        <w:numPr>
          <w:ilvl w:val="0"/>
          <w:numId w:val="20"/>
        </w:numPr>
        <w:spacing w:after="0" w:line="240" w:lineRule="auto"/>
        <w:ind w:left="0" w:firstLine="360"/>
        <w:jc w:val="both"/>
        <w:rPr>
          <w:rFonts w:ascii="Cambria" w:hAnsi="Cambria"/>
          <w:color w:val="000000"/>
          <w:sz w:val="21"/>
          <w:szCs w:val="21"/>
        </w:rPr>
      </w:pPr>
      <w:r>
        <w:rPr>
          <w:rFonts w:ascii="Cambria" w:eastAsia="Calibri" w:hAnsi="Cambria"/>
          <w:sz w:val="21"/>
          <w:szCs w:val="21"/>
          <w:lang w:val="es-ES_tradnl"/>
        </w:rPr>
        <w:t xml:space="preserve">El solicitante indicó que si bien participa en diversos espacios con otras autoridades, tales espacios no resultarían adecuados para </w:t>
      </w:r>
      <w:r w:rsidRPr="0018272E">
        <w:rPr>
          <w:rFonts w:ascii="Cambria" w:hAnsi="Cambria"/>
          <w:color w:val="000000"/>
          <w:sz w:val="21"/>
          <w:szCs w:val="21"/>
        </w:rPr>
        <w:t xml:space="preserve">plantear el tipo de amenazas y situaciones de peligro que enfrentaría. </w:t>
      </w:r>
      <w:r w:rsidR="00816986">
        <w:rPr>
          <w:rFonts w:ascii="Cambria" w:hAnsi="Cambria"/>
          <w:color w:val="000000"/>
          <w:sz w:val="21"/>
          <w:szCs w:val="21"/>
        </w:rPr>
        <w:t>S</w:t>
      </w:r>
      <w:r w:rsidR="002F71C8" w:rsidRPr="0018272E">
        <w:rPr>
          <w:rFonts w:ascii="Cambria" w:hAnsi="Cambria"/>
          <w:color w:val="000000"/>
          <w:sz w:val="21"/>
          <w:szCs w:val="21"/>
        </w:rPr>
        <w:t xml:space="preserve">in abundar al respecto, </w:t>
      </w:r>
      <w:r w:rsidR="00816986">
        <w:rPr>
          <w:rFonts w:ascii="Cambria" w:hAnsi="Cambria"/>
          <w:color w:val="000000"/>
          <w:sz w:val="21"/>
          <w:szCs w:val="21"/>
        </w:rPr>
        <w:t xml:space="preserve">el Fiscal indicó que </w:t>
      </w:r>
      <w:r w:rsidR="002F71C8" w:rsidRPr="0018272E">
        <w:rPr>
          <w:rFonts w:ascii="Cambria" w:hAnsi="Cambria"/>
          <w:color w:val="000000"/>
          <w:sz w:val="21"/>
          <w:szCs w:val="21"/>
        </w:rPr>
        <w:t xml:space="preserve">por las funciones que desempeña </w:t>
      </w:r>
      <w:r w:rsidR="00EC2289">
        <w:rPr>
          <w:rFonts w:ascii="Cambria" w:hAnsi="Cambria"/>
          <w:color w:val="000000"/>
          <w:sz w:val="21"/>
          <w:szCs w:val="21"/>
        </w:rPr>
        <w:t xml:space="preserve">recientemente </w:t>
      </w:r>
      <w:r w:rsidR="002F71C8" w:rsidRPr="0018272E">
        <w:rPr>
          <w:rFonts w:ascii="Cambria" w:hAnsi="Cambria"/>
          <w:color w:val="000000"/>
          <w:sz w:val="21"/>
          <w:szCs w:val="21"/>
        </w:rPr>
        <w:t xml:space="preserve">se habrían incrementado las amenazas en su contra. </w:t>
      </w:r>
      <w:r w:rsidRPr="0018272E">
        <w:rPr>
          <w:rFonts w:ascii="Cambria" w:hAnsi="Cambria"/>
          <w:color w:val="000000"/>
          <w:sz w:val="21"/>
          <w:szCs w:val="21"/>
        </w:rPr>
        <w:t>A</w:t>
      </w:r>
      <w:r w:rsidR="00E845A8" w:rsidRPr="0018272E">
        <w:rPr>
          <w:rFonts w:ascii="Cambria" w:hAnsi="Cambria"/>
          <w:color w:val="000000"/>
          <w:sz w:val="21"/>
          <w:szCs w:val="21"/>
        </w:rPr>
        <w:t>gregó</w:t>
      </w:r>
      <w:r w:rsidR="002F71C8" w:rsidRPr="0018272E">
        <w:rPr>
          <w:rFonts w:ascii="Cambria" w:hAnsi="Cambria"/>
          <w:color w:val="000000"/>
          <w:sz w:val="21"/>
          <w:szCs w:val="21"/>
        </w:rPr>
        <w:t xml:space="preserve"> que, por lo anterior, así como por los altos niveles de inseguridad que se tendrían en El Salvador, se vio en la necesidad de trasladar </w:t>
      </w:r>
      <w:r w:rsidR="00563323" w:rsidRPr="0018272E">
        <w:rPr>
          <w:rFonts w:ascii="Cambria" w:hAnsi="Cambria"/>
          <w:color w:val="000000"/>
          <w:sz w:val="21"/>
          <w:szCs w:val="21"/>
        </w:rPr>
        <w:t xml:space="preserve">recientemente </w:t>
      </w:r>
      <w:r w:rsidR="002F71C8" w:rsidRPr="0018272E">
        <w:rPr>
          <w:rFonts w:ascii="Cambria" w:hAnsi="Cambria"/>
          <w:color w:val="000000"/>
          <w:sz w:val="21"/>
          <w:szCs w:val="21"/>
        </w:rPr>
        <w:t xml:space="preserve">a sus padres de lugar de residencia. </w:t>
      </w:r>
    </w:p>
    <w:p w:rsidR="003B5DA6" w:rsidRDefault="003B5DA6" w:rsidP="00697C2D">
      <w:pPr>
        <w:spacing w:after="0" w:line="240" w:lineRule="auto"/>
        <w:jc w:val="both"/>
        <w:rPr>
          <w:rFonts w:ascii="Cambria" w:hAnsi="Cambria"/>
          <w:sz w:val="21"/>
          <w:szCs w:val="21"/>
        </w:rPr>
      </w:pPr>
    </w:p>
    <w:p w:rsidR="00732E9E" w:rsidRPr="000D138E" w:rsidRDefault="00732E9E" w:rsidP="00A22A3E">
      <w:pPr>
        <w:pStyle w:val="ListParagraph"/>
        <w:numPr>
          <w:ilvl w:val="3"/>
          <w:numId w:val="17"/>
        </w:numPr>
        <w:spacing w:after="0" w:line="240" w:lineRule="auto"/>
        <w:ind w:left="360" w:firstLine="0"/>
        <w:jc w:val="both"/>
        <w:rPr>
          <w:rFonts w:ascii="Cambria" w:eastAsia="Calibri" w:hAnsi="Cambria"/>
          <w:b/>
          <w:sz w:val="21"/>
          <w:szCs w:val="21"/>
          <w:lang w:val="es-ES_tradnl"/>
        </w:rPr>
      </w:pPr>
      <w:r w:rsidRPr="000D138E">
        <w:rPr>
          <w:rFonts w:ascii="Cambria" w:eastAsia="Calibri" w:hAnsi="Cambria"/>
          <w:b/>
          <w:sz w:val="21"/>
          <w:szCs w:val="21"/>
          <w:lang w:val="es-ES_tradnl"/>
        </w:rPr>
        <w:t>Respuesta del Estado</w:t>
      </w:r>
      <w:r w:rsidR="006021C0">
        <w:rPr>
          <w:rFonts w:ascii="Cambria" w:eastAsia="Calibri" w:hAnsi="Cambria"/>
          <w:b/>
          <w:sz w:val="21"/>
          <w:szCs w:val="21"/>
          <w:lang w:val="es-ES_tradnl"/>
        </w:rPr>
        <w:t>.</w:t>
      </w:r>
    </w:p>
    <w:p w:rsidR="00732E9E" w:rsidRDefault="00732E9E" w:rsidP="00732E9E">
      <w:pPr>
        <w:pStyle w:val="ListParagraph"/>
        <w:spacing w:after="0" w:line="240" w:lineRule="auto"/>
        <w:ind w:left="360"/>
        <w:jc w:val="both"/>
        <w:rPr>
          <w:rFonts w:ascii="Cambria" w:eastAsia="Calibri" w:hAnsi="Cambria"/>
          <w:sz w:val="21"/>
          <w:szCs w:val="21"/>
          <w:lang w:val="es-ES_tradnl"/>
        </w:rPr>
      </w:pPr>
    </w:p>
    <w:p w:rsidR="00E845A8" w:rsidRDefault="00E845A8" w:rsidP="00E845A8">
      <w:pPr>
        <w:pStyle w:val="ListParagraph"/>
        <w:numPr>
          <w:ilvl w:val="0"/>
          <w:numId w:val="20"/>
        </w:numPr>
        <w:spacing w:after="0" w:line="240" w:lineRule="auto"/>
        <w:ind w:left="0" w:firstLine="360"/>
        <w:jc w:val="both"/>
        <w:rPr>
          <w:rFonts w:ascii="Cambria" w:hAnsi="Cambria"/>
          <w:color w:val="000000"/>
          <w:sz w:val="21"/>
          <w:szCs w:val="21"/>
        </w:rPr>
      </w:pPr>
      <w:r w:rsidRPr="00021928">
        <w:rPr>
          <w:rFonts w:ascii="Cambria" w:hAnsi="Cambria"/>
          <w:color w:val="000000"/>
          <w:sz w:val="21"/>
          <w:szCs w:val="21"/>
        </w:rPr>
        <w:t xml:space="preserve">El </w:t>
      </w:r>
      <w:r w:rsidR="00066145">
        <w:rPr>
          <w:rFonts w:ascii="Cambria" w:hAnsi="Cambria"/>
          <w:color w:val="000000"/>
          <w:sz w:val="21"/>
          <w:szCs w:val="21"/>
        </w:rPr>
        <w:t xml:space="preserve">Estado </w:t>
      </w:r>
      <w:r w:rsidR="005B3F2F">
        <w:rPr>
          <w:rFonts w:ascii="Cambria" w:hAnsi="Cambria"/>
          <w:color w:val="000000"/>
          <w:sz w:val="21"/>
          <w:szCs w:val="21"/>
        </w:rPr>
        <w:t>indicó</w:t>
      </w:r>
      <w:r w:rsidR="00713BCE">
        <w:rPr>
          <w:rFonts w:ascii="Cambria" w:hAnsi="Cambria"/>
          <w:color w:val="000000"/>
          <w:sz w:val="21"/>
          <w:szCs w:val="21"/>
        </w:rPr>
        <w:t xml:space="preserve"> </w:t>
      </w:r>
      <w:r>
        <w:rPr>
          <w:rFonts w:ascii="Cambria" w:hAnsi="Cambria"/>
          <w:color w:val="000000"/>
          <w:sz w:val="21"/>
          <w:szCs w:val="21"/>
        </w:rPr>
        <w:t>las labores que le corresponde realizar al propuesto beneficiario</w:t>
      </w:r>
      <w:r w:rsidR="00066145">
        <w:rPr>
          <w:rFonts w:ascii="Cambria" w:hAnsi="Cambria"/>
          <w:color w:val="000000"/>
          <w:sz w:val="21"/>
          <w:szCs w:val="21"/>
        </w:rPr>
        <w:t xml:space="preserve"> en contra del </w:t>
      </w:r>
      <w:r>
        <w:rPr>
          <w:rFonts w:ascii="Cambria" w:hAnsi="Cambria"/>
          <w:color w:val="000000"/>
          <w:sz w:val="21"/>
          <w:szCs w:val="21"/>
        </w:rPr>
        <w:t>crimen organizado, narcotráfico y actos de corrupción</w:t>
      </w:r>
      <w:r w:rsidR="005B3F2F">
        <w:rPr>
          <w:rFonts w:ascii="Cambria" w:hAnsi="Cambria"/>
          <w:color w:val="000000"/>
          <w:sz w:val="21"/>
          <w:szCs w:val="21"/>
        </w:rPr>
        <w:t xml:space="preserve"> e hizo referencia a la </w:t>
      </w:r>
      <w:r>
        <w:rPr>
          <w:rFonts w:ascii="Cambria" w:hAnsi="Cambria"/>
          <w:color w:val="000000"/>
          <w:sz w:val="21"/>
          <w:szCs w:val="21"/>
        </w:rPr>
        <w:t xml:space="preserve">“absoluta posibilidad de que </w:t>
      </w:r>
      <w:r w:rsidR="005B3F2F">
        <w:rPr>
          <w:rFonts w:ascii="Cambria" w:hAnsi="Cambria"/>
          <w:color w:val="000000"/>
          <w:sz w:val="21"/>
          <w:szCs w:val="21"/>
        </w:rPr>
        <w:t>[</w:t>
      </w:r>
      <w:r w:rsidR="005B3F2F">
        <w:rPr>
          <w:rFonts w:ascii="Cambria" w:hAnsi="Cambria"/>
          <w:color w:val="000000"/>
          <w:sz w:val="21"/>
          <w:szCs w:val="21"/>
          <w:lang w:val="es-MX"/>
        </w:rPr>
        <w:t>él</w:t>
      </w:r>
      <w:r w:rsidR="005B3F2F">
        <w:rPr>
          <w:rFonts w:ascii="Cambria" w:hAnsi="Cambria"/>
          <w:color w:val="000000"/>
          <w:sz w:val="21"/>
          <w:szCs w:val="21"/>
        </w:rPr>
        <w:t xml:space="preserve">] </w:t>
      </w:r>
      <w:r>
        <w:rPr>
          <w:rFonts w:ascii="Cambria" w:hAnsi="Cambria"/>
          <w:color w:val="000000"/>
          <w:sz w:val="21"/>
          <w:szCs w:val="21"/>
        </w:rPr>
        <w:t xml:space="preserve">y su grupo familiar sean un objetivo de grupos criminales”, </w:t>
      </w:r>
      <w:r w:rsidR="00066145">
        <w:rPr>
          <w:rFonts w:ascii="Cambria" w:hAnsi="Cambria"/>
          <w:color w:val="000000"/>
          <w:sz w:val="21"/>
          <w:szCs w:val="21"/>
        </w:rPr>
        <w:t xml:space="preserve">en forma similar a </w:t>
      </w:r>
      <w:r>
        <w:rPr>
          <w:rFonts w:ascii="Cambria" w:hAnsi="Cambria"/>
          <w:color w:val="000000"/>
          <w:sz w:val="21"/>
          <w:szCs w:val="21"/>
        </w:rPr>
        <w:t>“cada uno de los funcionarios vinculados al trabajo de la seguridad pública y al sistema de administración de justicia en El Salvador”</w:t>
      </w:r>
      <w:r w:rsidR="00066145">
        <w:rPr>
          <w:rFonts w:ascii="Cambria" w:hAnsi="Cambria"/>
          <w:color w:val="000000"/>
          <w:sz w:val="21"/>
          <w:szCs w:val="21"/>
        </w:rPr>
        <w:t xml:space="preserve">. El Estado aportó </w:t>
      </w:r>
      <w:r>
        <w:rPr>
          <w:rFonts w:ascii="Cambria" w:hAnsi="Cambria"/>
          <w:color w:val="000000"/>
          <w:sz w:val="21"/>
          <w:szCs w:val="21"/>
        </w:rPr>
        <w:t>una lista de los funcionarios que, de acuerdo con su legislación, “son considerados como objetivos potenciales a agresiones o atentados contra sus vidas”.</w:t>
      </w:r>
    </w:p>
    <w:p w:rsidR="00E845A8" w:rsidRPr="00E845A8" w:rsidRDefault="00E845A8" w:rsidP="00E845A8">
      <w:pPr>
        <w:pStyle w:val="ListParagraph"/>
        <w:spacing w:after="0" w:line="240" w:lineRule="auto"/>
        <w:ind w:left="360"/>
        <w:jc w:val="both"/>
        <w:rPr>
          <w:rFonts w:ascii="Cambria" w:hAnsi="Cambria"/>
          <w:color w:val="000000"/>
          <w:sz w:val="21"/>
          <w:szCs w:val="21"/>
        </w:rPr>
      </w:pPr>
    </w:p>
    <w:p w:rsidR="00E845A8" w:rsidRDefault="005B3F2F" w:rsidP="00E845A8">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E</w:t>
      </w:r>
      <w:r w:rsidR="00E845A8">
        <w:rPr>
          <w:rFonts w:ascii="Cambria" w:hAnsi="Cambria"/>
          <w:color w:val="000000"/>
          <w:sz w:val="21"/>
          <w:szCs w:val="21"/>
        </w:rPr>
        <w:t xml:space="preserve">l Estado indicó que </w:t>
      </w:r>
      <w:r>
        <w:rPr>
          <w:rFonts w:ascii="Cambria" w:hAnsi="Cambria"/>
          <w:color w:val="000000"/>
          <w:sz w:val="21"/>
          <w:szCs w:val="21"/>
        </w:rPr>
        <w:t xml:space="preserve">el propuesto beneficiario </w:t>
      </w:r>
      <w:r w:rsidR="00E845A8">
        <w:rPr>
          <w:rFonts w:ascii="Cambria" w:hAnsi="Cambria"/>
          <w:color w:val="000000"/>
          <w:sz w:val="21"/>
          <w:szCs w:val="21"/>
        </w:rPr>
        <w:t xml:space="preserve">cuenta con un servicio de protección, que incluye personal de seguridad, armamento especial y vehículos institucionales para su traslado permanente. </w:t>
      </w:r>
      <w:r>
        <w:rPr>
          <w:rFonts w:ascii="Cambria" w:hAnsi="Cambria"/>
          <w:color w:val="000000"/>
          <w:sz w:val="21"/>
          <w:szCs w:val="21"/>
        </w:rPr>
        <w:t>A</w:t>
      </w:r>
      <w:r w:rsidR="00E845A8">
        <w:rPr>
          <w:rFonts w:ascii="Cambria" w:hAnsi="Cambria"/>
          <w:color w:val="000000"/>
          <w:sz w:val="21"/>
          <w:szCs w:val="21"/>
        </w:rPr>
        <w:t xml:space="preserve">gregó que el servicio de protección </w:t>
      </w:r>
      <w:r>
        <w:rPr>
          <w:rFonts w:ascii="Cambria" w:hAnsi="Cambria"/>
          <w:color w:val="000000"/>
          <w:sz w:val="21"/>
          <w:szCs w:val="21"/>
        </w:rPr>
        <w:t xml:space="preserve">es </w:t>
      </w:r>
      <w:r w:rsidR="00E845A8">
        <w:rPr>
          <w:rFonts w:ascii="Cambria" w:hAnsi="Cambria"/>
          <w:color w:val="000000"/>
          <w:sz w:val="21"/>
          <w:szCs w:val="21"/>
        </w:rPr>
        <w:t xml:space="preserve">brindado a través de la División de Protección a Personalidades de la Policía Nacional Civil, </w:t>
      </w:r>
      <w:r>
        <w:rPr>
          <w:rFonts w:ascii="Cambria" w:hAnsi="Cambria"/>
          <w:color w:val="000000"/>
          <w:sz w:val="21"/>
          <w:szCs w:val="21"/>
        </w:rPr>
        <w:t xml:space="preserve">y </w:t>
      </w:r>
      <w:r w:rsidR="00E845A8">
        <w:rPr>
          <w:rFonts w:ascii="Cambria" w:hAnsi="Cambria"/>
          <w:color w:val="000000"/>
          <w:sz w:val="21"/>
          <w:szCs w:val="21"/>
        </w:rPr>
        <w:t>que la ley también  le permite adquirir para portar él o los miembros de su seguridad “armas de guerra tipo fusil, escopeta, revolver o pistola, racionalmente necesarias para su seguridad personal, la de su familia o sus bienes”.</w:t>
      </w:r>
    </w:p>
    <w:p w:rsidR="00E845A8" w:rsidRPr="00E845A8" w:rsidRDefault="00E845A8" w:rsidP="00E845A8">
      <w:pPr>
        <w:spacing w:after="0" w:line="240" w:lineRule="auto"/>
        <w:jc w:val="both"/>
        <w:rPr>
          <w:rFonts w:ascii="Cambria" w:hAnsi="Cambria"/>
          <w:color w:val="000000"/>
          <w:sz w:val="21"/>
          <w:szCs w:val="21"/>
        </w:rPr>
      </w:pPr>
    </w:p>
    <w:p w:rsidR="007724FC" w:rsidRPr="00713BCE" w:rsidRDefault="005B3F2F" w:rsidP="00FC75CD">
      <w:pPr>
        <w:pStyle w:val="ListParagraph"/>
        <w:numPr>
          <w:ilvl w:val="0"/>
          <w:numId w:val="20"/>
        </w:numPr>
        <w:spacing w:after="0" w:line="240" w:lineRule="auto"/>
        <w:ind w:left="0" w:firstLine="360"/>
        <w:jc w:val="both"/>
        <w:rPr>
          <w:rFonts w:ascii="Cambria" w:hAnsi="Cambria"/>
          <w:color w:val="000000"/>
          <w:sz w:val="21"/>
          <w:szCs w:val="21"/>
        </w:rPr>
      </w:pPr>
      <w:r>
        <w:rPr>
          <w:rFonts w:ascii="Cambria" w:hAnsi="Cambria"/>
          <w:color w:val="000000"/>
          <w:sz w:val="21"/>
          <w:szCs w:val="21"/>
        </w:rPr>
        <w:t xml:space="preserve">El Estado </w:t>
      </w:r>
      <w:r w:rsidR="00E845A8">
        <w:rPr>
          <w:rFonts w:ascii="Cambria" w:hAnsi="Cambria"/>
          <w:color w:val="000000"/>
          <w:sz w:val="21"/>
          <w:szCs w:val="21"/>
        </w:rPr>
        <w:t xml:space="preserve">informó que </w:t>
      </w:r>
      <w:r>
        <w:rPr>
          <w:rFonts w:ascii="Cambria" w:hAnsi="Cambria"/>
          <w:color w:val="000000"/>
          <w:sz w:val="21"/>
          <w:szCs w:val="21"/>
        </w:rPr>
        <w:t xml:space="preserve">a pesar de que </w:t>
      </w:r>
      <w:r w:rsidR="00E845A8">
        <w:rPr>
          <w:rFonts w:ascii="Cambria" w:hAnsi="Cambria"/>
          <w:color w:val="000000"/>
          <w:sz w:val="21"/>
          <w:szCs w:val="21"/>
        </w:rPr>
        <w:t>el solicitante forma parte de diversos espacios de colaboración entre instituciones del Estado</w:t>
      </w:r>
      <w:r w:rsidR="00E845A8">
        <w:rPr>
          <w:rStyle w:val="FootnoteReference"/>
          <w:rFonts w:ascii="Cambria" w:hAnsi="Cambria"/>
          <w:color w:val="000000"/>
          <w:sz w:val="21"/>
          <w:szCs w:val="21"/>
        </w:rPr>
        <w:footnoteReference w:id="1"/>
      </w:r>
      <w:r w:rsidR="00E845A8">
        <w:rPr>
          <w:rFonts w:ascii="Cambria" w:hAnsi="Cambria"/>
          <w:color w:val="000000"/>
          <w:sz w:val="21"/>
          <w:szCs w:val="21"/>
        </w:rPr>
        <w:t xml:space="preserve">, no se ha tenido conocimiento </w:t>
      </w:r>
      <w:r w:rsidR="00713BCE">
        <w:rPr>
          <w:rFonts w:ascii="Cambria" w:hAnsi="Cambria"/>
          <w:color w:val="000000"/>
          <w:sz w:val="21"/>
          <w:szCs w:val="21"/>
        </w:rPr>
        <w:t>de que</w:t>
      </w:r>
      <w:r w:rsidR="00E845A8">
        <w:rPr>
          <w:rFonts w:ascii="Cambria" w:hAnsi="Cambria"/>
          <w:color w:val="000000"/>
          <w:sz w:val="21"/>
          <w:szCs w:val="21"/>
        </w:rPr>
        <w:t xml:space="preserve"> haya </w:t>
      </w:r>
      <w:r>
        <w:rPr>
          <w:rFonts w:ascii="Cambria" w:hAnsi="Cambria"/>
          <w:color w:val="000000"/>
          <w:sz w:val="21"/>
          <w:szCs w:val="21"/>
        </w:rPr>
        <w:t>presentado denuncias por los hechos de riesgo alegados</w:t>
      </w:r>
      <w:r w:rsidR="00E845A8">
        <w:rPr>
          <w:rFonts w:ascii="Cambria" w:hAnsi="Cambria"/>
          <w:color w:val="000000"/>
          <w:sz w:val="21"/>
          <w:szCs w:val="21"/>
        </w:rPr>
        <w:t xml:space="preserve">. El Salvador señaló que lo anterior ha impedido el actuar del Estado, más allá de las propias investigaciones desarrolladas por </w:t>
      </w:r>
      <w:r>
        <w:rPr>
          <w:rFonts w:ascii="Cambria" w:hAnsi="Cambria"/>
          <w:color w:val="000000"/>
          <w:sz w:val="21"/>
          <w:szCs w:val="21"/>
        </w:rPr>
        <w:t xml:space="preserve">la propia </w:t>
      </w:r>
      <w:r w:rsidR="00E845A8">
        <w:rPr>
          <w:rFonts w:ascii="Cambria" w:hAnsi="Cambria"/>
          <w:color w:val="000000"/>
          <w:sz w:val="21"/>
          <w:szCs w:val="21"/>
        </w:rPr>
        <w:t>Fiscalía</w:t>
      </w:r>
      <w:r>
        <w:rPr>
          <w:rFonts w:ascii="Cambria" w:hAnsi="Cambria"/>
          <w:color w:val="000000"/>
          <w:sz w:val="21"/>
          <w:szCs w:val="21"/>
        </w:rPr>
        <w:t xml:space="preserve">, quien tendría el deber de </w:t>
      </w:r>
      <w:r w:rsidR="00360D69">
        <w:rPr>
          <w:rFonts w:ascii="Cambria" w:hAnsi="Cambria"/>
          <w:color w:val="000000"/>
          <w:sz w:val="21"/>
          <w:szCs w:val="21"/>
        </w:rPr>
        <w:t>realizarlas</w:t>
      </w:r>
      <w:r w:rsidR="00E845A8">
        <w:rPr>
          <w:rFonts w:ascii="Cambria" w:hAnsi="Cambria"/>
          <w:color w:val="000000"/>
          <w:sz w:val="21"/>
          <w:szCs w:val="21"/>
        </w:rPr>
        <w:t xml:space="preserve">. </w:t>
      </w:r>
      <w:r w:rsidR="00FC75CD" w:rsidRPr="00713BCE">
        <w:rPr>
          <w:rFonts w:ascii="Cambria" w:hAnsi="Cambria"/>
          <w:color w:val="000000"/>
          <w:sz w:val="21"/>
          <w:szCs w:val="21"/>
        </w:rPr>
        <w:t>A</w:t>
      </w:r>
      <w:r w:rsidR="007724FC" w:rsidRPr="00713BCE">
        <w:rPr>
          <w:rFonts w:ascii="Cambria" w:hAnsi="Cambria"/>
          <w:color w:val="000000"/>
          <w:sz w:val="21"/>
          <w:szCs w:val="21"/>
        </w:rPr>
        <w:t>gregó</w:t>
      </w:r>
      <w:r w:rsidR="00FC75CD">
        <w:rPr>
          <w:rFonts w:ascii="Cambria" w:hAnsi="Cambria"/>
          <w:color w:val="000000"/>
          <w:sz w:val="21"/>
          <w:szCs w:val="21"/>
        </w:rPr>
        <w:t xml:space="preserve"> asimismo</w:t>
      </w:r>
      <w:r w:rsidR="007724FC" w:rsidRPr="00713BCE">
        <w:rPr>
          <w:rFonts w:ascii="Cambria" w:hAnsi="Cambria"/>
          <w:color w:val="000000"/>
          <w:sz w:val="21"/>
          <w:szCs w:val="21"/>
        </w:rPr>
        <w:t xml:space="preserve"> que la seguridad brindada al Fiscal tiene un carácter institucional, la cual está cubierta con fondos estatales.</w:t>
      </w:r>
    </w:p>
    <w:p w:rsidR="007724FC" w:rsidRPr="007724FC" w:rsidRDefault="007724FC" w:rsidP="007724FC">
      <w:pPr>
        <w:spacing w:after="0" w:line="240" w:lineRule="auto"/>
        <w:jc w:val="both"/>
        <w:rPr>
          <w:rFonts w:ascii="Cambria" w:eastAsia="Calibri" w:hAnsi="Cambria"/>
          <w:sz w:val="21"/>
          <w:szCs w:val="21"/>
          <w:lang w:val="es-ES_tradnl"/>
        </w:rPr>
      </w:pPr>
    </w:p>
    <w:p w:rsidR="00A22A3E" w:rsidRPr="00713BCE" w:rsidRDefault="007724FC" w:rsidP="00FC75CD">
      <w:pPr>
        <w:pStyle w:val="ListParagraph"/>
        <w:numPr>
          <w:ilvl w:val="0"/>
          <w:numId w:val="20"/>
        </w:numPr>
        <w:spacing w:after="0" w:line="240" w:lineRule="auto"/>
        <w:ind w:left="0" w:firstLine="360"/>
        <w:jc w:val="both"/>
        <w:rPr>
          <w:rFonts w:ascii="Cambria" w:eastAsia="Calibri" w:hAnsi="Cambria"/>
          <w:sz w:val="21"/>
          <w:szCs w:val="21"/>
          <w:lang w:val="es-ES_tradnl"/>
        </w:rPr>
      </w:pPr>
      <w:r>
        <w:rPr>
          <w:rFonts w:ascii="Cambria" w:eastAsia="Calibri" w:hAnsi="Cambria"/>
          <w:sz w:val="21"/>
          <w:szCs w:val="21"/>
          <w:lang w:val="es-ES_tradnl"/>
        </w:rPr>
        <w:lastRenderedPageBreak/>
        <w:t>El Estado indicó que el solicitante está próximo a finalizar en el ejercicio de su cargo, en el sentido de lo expresado por el mismo de que las amenazas recibidas estarían vinculadas al ejercicio de sus responsabilidades, aclarando que no obstante lo anterior, “por disposición legal su seguridad tiene la posibilidad de extenderse por un período adicional de tres años”.</w:t>
      </w:r>
      <w:r w:rsidR="00FC75CD">
        <w:rPr>
          <w:rFonts w:ascii="Cambria" w:eastAsia="Calibri" w:hAnsi="Cambria"/>
          <w:sz w:val="21"/>
          <w:szCs w:val="21"/>
          <w:lang w:val="es-ES_tradnl"/>
        </w:rPr>
        <w:t xml:space="preserve"> Finalmente, el Estado </w:t>
      </w:r>
      <w:r w:rsidR="00FC75CD" w:rsidRPr="00713BCE">
        <w:rPr>
          <w:rFonts w:ascii="Cambria" w:eastAsia="Calibri" w:hAnsi="Cambria"/>
          <w:sz w:val="21"/>
          <w:szCs w:val="21"/>
          <w:lang w:val="es-ES_tradnl"/>
        </w:rPr>
        <w:t>expresó su disposición para establecer la mejor coordinación entre la dirección de la investigación del delito entre la Fiscalía y la Policía Nacional Civil, así como para revisar el plan de seguridad permanente del solicitante y su grupo familiar</w:t>
      </w:r>
      <w:r w:rsidR="00A22A3E" w:rsidRPr="00713BCE">
        <w:rPr>
          <w:rFonts w:ascii="Cambria" w:eastAsia="Calibri" w:hAnsi="Cambria"/>
          <w:sz w:val="21"/>
          <w:szCs w:val="21"/>
          <w:lang w:val="es-ES_tradnl"/>
        </w:rPr>
        <w:t>.</w:t>
      </w:r>
    </w:p>
    <w:p w:rsidR="00732E9E" w:rsidRPr="00816986" w:rsidRDefault="00732E9E" w:rsidP="00713BCE">
      <w:pPr>
        <w:pStyle w:val="ListParagraph"/>
        <w:spacing w:after="0" w:line="240" w:lineRule="auto"/>
        <w:ind w:left="360"/>
        <w:jc w:val="both"/>
        <w:rPr>
          <w:rFonts w:ascii="Cambria" w:hAnsi="Cambria"/>
          <w:sz w:val="21"/>
          <w:szCs w:val="21"/>
          <w:lang w:val="es-ES_tradnl"/>
        </w:rPr>
      </w:pPr>
    </w:p>
    <w:p w:rsidR="009D2768" w:rsidRPr="0030538A" w:rsidRDefault="00B97828" w:rsidP="00774729">
      <w:pPr>
        <w:pStyle w:val="ListParagraph"/>
        <w:numPr>
          <w:ilvl w:val="0"/>
          <w:numId w:val="17"/>
        </w:numPr>
        <w:spacing w:after="0" w:line="240" w:lineRule="auto"/>
        <w:ind w:left="810" w:hanging="270"/>
        <w:jc w:val="both"/>
        <w:rPr>
          <w:rFonts w:ascii="Cambria" w:hAnsi="Cambria"/>
          <w:b/>
          <w:sz w:val="21"/>
          <w:szCs w:val="21"/>
        </w:rPr>
      </w:pPr>
      <w:r>
        <w:rPr>
          <w:rFonts w:ascii="Cambria" w:hAnsi="Cambria"/>
          <w:b/>
          <w:sz w:val="21"/>
          <w:szCs w:val="21"/>
        </w:rPr>
        <w:t>ANÁ</w:t>
      </w:r>
      <w:r w:rsidR="009D2768" w:rsidRPr="0030538A">
        <w:rPr>
          <w:rFonts w:ascii="Cambria" w:hAnsi="Cambria"/>
          <w:b/>
          <w:sz w:val="21"/>
          <w:szCs w:val="21"/>
        </w:rPr>
        <w:t>LISIS SOBRE LOS ELEMENTOS DE GRAVEDAD, URGENCIA E IRREPARABILIDAD</w:t>
      </w:r>
    </w:p>
    <w:p w:rsidR="008E698E" w:rsidRPr="00E00667" w:rsidRDefault="008E698E" w:rsidP="009D2768">
      <w:pPr>
        <w:spacing w:after="0" w:line="240" w:lineRule="auto"/>
        <w:jc w:val="both"/>
        <w:rPr>
          <w:rFonts w:ascii="Cambria" w:hAnsi="Cambria"/>
          <w:sz w:val="21"/>
          <w:szCs w:val="21"/>
        </w:rPr>
      </w:pPr>
    </w:p>
    <w:p w:rsidR="009D2768" w:rsidRPr="0030538A" w:rsidRDefault="009D2768" w:rsidP="0030538A">
      <w:pPr>
        <w:pStyle w:val="ListParagraph"/>
        <w:numPr>
          <w:ilvl w:val="0"/>
          <w:numId w:val="20"/>
        </w:numPr>
        <w:spacing w:after="0" w:line="240" w:lineRule="auto"/>
        <w:ind w:left="0" w:firstLine="360"/>
        <w:jc w:val="both"/>
        <w:rPr>
          <w:rFonts w:ascii="Cambria" w:hAnsi="Cambria"/>
          <w:sz w:val="21"/>
          <w:szCs w:val="21"/>
        </w:rPr>
      </w:pPr>
      <w:r w:rsidRPr="0030538A">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Pr>
          <w:rFonts w:ascii="Cambria" w:hAnsi="Cambria"/>
          <w:sz w:val="21"/>
          <w:szCs w:val="21"/>
        </w:rPr>
        <w:t>.</w:t>
      </w:r>
      <w:r w:rsidRPr="0030538A">
        <w:rPr>
          <w:rFonts w:ascii="Cambria" w:hAnsi="Cambria"/>
          <w:sz w:val="21"/>
          <w:szCs w:val="21"/>
        </w:rPr>
        <w:t xml:space="preserve"> </w:t>
      </w:r>
      <w:r w:rsidR="005557E9">
        <w:rPr>
          <w:rFonts w:ascii="Cambria" w:hAnsi="Cambria"/>
          <w:sz w:val="21"/>
          <w:szCs w:val="21"/>
        </w:rPr>
        <w:t>E</w:t>
      </w:r>
      <w:r w:rsidR="005557E9" w:rsidRPr="0030538A">
        <w:rPr>
          <w:rFonts w:ascii="Cambria" w:hAnsi="Cambria"/>
          <w:sz w:val="21"/>
          <w:szCs w:val="21"/>
        </w:rPr>
        <w:t xml:space="preserve">l </w:t>
      </w:r>
      <w:r w:rsidRPr="0030538A">
        <w:rPr>
          <w:rFonts w:ascii="Cambria" w:hAnsi="Cambria"/>
          <w:sz w:val="21"/>
          <w:szCs w:val="21"/>
        </w:rPr>
        <w:t xml:space="preserve">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9D2768" w:rsidRPr="00E00667" w:rsidRDefault="009D2768" w:rsidP="009D2768">
      <w:pPr>
        <w:spacing w:after="0" w:line="240" w:lineRule="auto"/>
        <w:jc w:val="both"/>
        <w:rPr>
          <w:rFonts w:ascii="Cambria" w:hAnsi="Cambria"/>
          <w:sz w:val="21"/>
          <w:szCs w:val="21"/>
        </w:rPr>
      </w:pPr>
    </w:p>
    <w:p w:rsidR="009D2768" w:rsidRPr="00E00667" w:rsidRDefault="009D2768"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E00667">
        <w:rPr>
          <w:rFonts w:ascii="Cambria" w:hAnsi="Cambria"/>
          <w:i/>
          <w:sz w:val="21"/>
          <w:szCs w:val="21"/>
        </w:rPr>
        <w:t>effet utile</w:t>
      </w:r>
      <w:r w:rsidRPr="00E00667">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E00667" w:rsidRDefault="009D2768" w:rsidP="002E1D15">
      <w:pPr>
        <w:spacing w:after="0" w:line="240" w:lineRule="auto"/>
        <w:jc w:val="both"/>
        <w:rPr>
          <w:rFonts w:ascii="Cambria" w:hAnsi="Cambria"/>
          <w:sz w:val="21"/>
          <w:szCs w:val="21"/>
        </w:rPr>
      </w:pP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El “daño irreparable” consiste en la afectación sobre derechos que, por su propia naturaleza, no son susceptibles de reparación, restauración o adecuada indemnización.</w:t>
      </w:r>
    </w:p>
    <w:p w:rsidR="009D2768" w:rsidRPr="00E00667" w:rsidRDefault="009D2768" w:rsidP="009D2768">
      <w:pPr>
        <w:spacing w:after="0" w:line="240" w:lineRule="auto"/>
        <w:jc w:val="both"/>
        <w:rPr>
          <w:rFonts w:ascii="Cambria" w:hAnsi="Cambria"/>
          <w:sz w:val="21"/>
          <w:szCs w:val="21"/>
        </w:rPr>
      </w:pPr>
    </w:p>
    <w:p w:rsidR="005557E9" w:rsidRPr="001E6D88" w:rsidRDefault="005557E9" w:rsidP="001E6D88">
      <w:pPr>
        <w:pStyle w:val="ListParagraph"/>
        <w:numPr>
          <w:ilvl w:val="0"/>
          <w:numId w:val="20"/>
        </w:numPr>
        <w:spacing w:after="0" w:line="240" w:lineRule="auto"/>
        <w:ind w:left="0" w:firstLine="360"/>
        <w:jc w:val="both"/>
        <w:rPr>
          <w:rFonts w:ascii="Cambria" w:hAnsi="Cambria"/>
          <w:sz w:val="21"/>
          <w:szCs w:val="21"/>
          <w:lang w:val="es-MX"/>
        </w:rPr>
      </w:pPr>
      <w:r w:rsidRPr="001E6D88">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1E6D88">
        <w:rPr>
          <w:rFonts w:ascii="Cambria" w:hAnsi="Cambria"/>
          <w:i/>
          <w:sz w:val="21"/>
          <w:szCs w:val="21"/>
          <w:lang w:val="es-MX"/>
        </w:rPr>
        <w:t>prima facie</w:t>
      </w:r>
      <w:r w:rsidRPr="001E6D88">
        <w:rPr>
          <w:rFonts w:ascii="Cambria" w:hAnsi="Cambria"/>
          <w:sz w:val="21"/>
          <w:szCs w:val="21"/>
          <w:lang w:val="es-MX"/>
        </w:rPr>
        <w:t xml:space="preserve"> que permita identificar una situación de gravedad y urgencia</w:t>
      </w:r>
      <w:r w:rsidRPr="006F6188">
        <w:rPr>
          <w:vertAlign w:val="superscript"/>
        </w:rPr>
        <w:footnoteReference w:id="2"/>
      </w:r>
      <w:r w:rsidRPr="001E6D88">
        <w:rPr>
          <w:rFonts w:ascii="Cambria" w:hAnsi="Cambria"/>
          <w:sz w:val="21"/>
          <w:szCs w:val="21"/>
          <w:lang w:val="es-MX"/>
        </w:rPr>
        <w:t>.</w:t>
      </w:r>
    </w:p>
    <w:p w:rsidR="005557E9" w:rsidRDefault="005557E9" w:rsidP="001E6D88">
      <w:pPr>
        <w:pStyle w:val="ListParagraph"/>
        <w:spacing w:after="0" w:line="240" w:lineRule="auto"/>
        <w:ind w:left="360"/>
        <w:jc w:val="both"/>
        <w:rPr>
          <w:rFonts w:ascii="Cambria" w:hAnsi="Cambria"/>
          <w:sz w:val="21"/>
          <w:szCs w:val="21"/>
          <w:lang w:val="es-MX"/>
        </w:rPr>
      </w:pPr>
    </w:p>
    <w:p w:rsidR="0085535D" w:rsidRPr="00971BC4" w:rsidRDefault="0074781D">
      <w:pPr>
        <w:pStyle w:val="ListParagraph"/>
        <w:numPr>
          <w:ilvl w:val="0"/>
          <w:numId w:val="20"/>
        </w:numPr>
        <w:spacing w:after="0" w:line="240" w:lineRule="auto"/>
        <w:ind w:left="0" w:firstLine="360"/>
        <w:jc w:val="both"/>
        <w:rPr>
          <w:lang w:val="es-MX"/>
        </w:rPr>
      </w:pPr>
      <w:r>
        <w:rPr>
          <w:rFonts w:ascii="Cambria" w:hAnsi="Cambria"/>
          <w:sz w:val="21"/>
          <w:szCs w:val="21"/>
        </w:rPr>
        <w:t xml:space="preserve">Al momento de valorar </w:t>
      </w:r>
      <w:r w:rsidR="005557E9" w:rsidRPr="00F70CD4">
        <w:rPr>
          <w:rFonts w:ascii="Cambria" w:hAnsi="Cambria"/>
          <w:sz w:val="21"/>
          <w:szCs w:val="21"/>
        </w:rPr>
        <w:t xml:space="preserve">el requisito de gravedad, </w:t>
      </w:r>
      <w:r w:rsidR="00C85954" w:rsidRPr="00F70CD4">
        <w:rPr>
          <w:rFonts w:ascii="Cambria" w:hAnsi="Cambria"/>
          <w:sz w:val="21"/>
          <w:szCs w:val="21"/>
          <w:lang w:val="es-MX"/>
        </w:rPr>
        <w:t xml:space="preserve">la Comisión </w:t>
      </w:r>
      <w:r w:rsidR="004032B6">
        <w:rPr>
          <w:rFonts w:ascii="Cambria" w:hAnsi="Cambria"/>
          <w:sz w:val="21"/>
          <w:szCs w:val="21"/>
          <w:lang w:val="es-MX"/>
        </w:rPr>
        <w:t>considera importante tener presente el rol que ejerce</w:t>
      </w:r>
      <w:r w:rsidR="0085535D">
        <w:rPr>
          <w:rFonts w:ascii="Cambria" w:hAnsi="Cambria"/>
          <w:sz w:val="21"/>
          <w:szCs w:val="21"/>
          <w:lang w:val="es-MX"/>
        </w:rPr>
        <w:t xml:space="preserve"> el propuesto beneficiario como Fiscal</w:t>
      </w:r>
      <w:r w:rsidR="0094248B">
        <w:rPr>
          <w:rFonts w:ascii="Cambria" w:hAnsi="Cambria"/>
          <w:sz w:val="21"/>
          <w:szCs w:val="21"/>
          <w:lang w:val="es-MX"/>
        </w:rPr>
        <w:t xml:space="preserve"> General</w:t>
      </w:r>
      <w:r w:rsidR="0085535D">
        <w:rPr>
          <w:rFonts w:ascii="Cambria" w:hAnsi="Cambria"/>
          <w:sz w:val="21"/>
          <w:szCs w:val="21"/>
          <w:lang w:val="es-MX"/>
        </w:rPr>
        <w:t xml:space="preserve"> en un Estado que cuenta con los índices de violencia más altos </w:t>
      </w:r>
      <w:r w:rsidR="0085535D" w:rsidRPr="00ED1B6E">
        <w:rPr>
          <w:rFonts w:asciiTheme="majorHAnsi" w:hAnsiTheme="majorHAnsi"/>
          <w:sz w:val="21"/>
          <w:szCs w:val="21"/>
        </w:rPr>
        <w:t>en el hemisferio</w:t>
      </w:r>
      <w:r w:rsidR="0085535D" w:rsidRPr="00ED1B6E">
        <w:rPr>
          <w:rStyle w:val="FootnoteReference"/>
          <w:rFonts w:asciiTheme="majorHAnsi" w:hAnsiTheme="majorHAnsi"/>
          <w:sz w:val="21"/>
          <w:szCs w:val="21"/>
        </w:rPr>
        <w:footnoteReference w:id="3"/>
      </w:r>
      <w:r w:rsidR="0085535D">
        <w:rPr>
          <w:rFonts w:asciiTheme="majorHAnsi" w:hAnsiTheme="majorHAnsi"/>
          <w:sz w:val="21"/>
          <w:szCs w:val="21"/>
        </w:rPr>
        <w:t>. Tal labor</w:t>
      </w:r>
      <w:r w:rsidR="00DB34D6">
        <w:rPr>
          <w:rFonts w:asciiTheme="majorHAnsi" w:hAnsiTheme="majorHAnsi"/>
          <w:sz w:val="21"/>
          <w:szCs w:val="21"/>
        </w:rPr>
        <w:t>,</w:t>
      </w:r>
      <w:r w:rsidR="0085535D">
        <w:rPr>
          <w:rFonts w:asciiTheme="majorHAnsi" w:hAnsiTheme="majorHAnsi"/>
          <w:sz w:val="21"/>
          <w:szCs w:val="21"/>
        </w:rPr>
        <w:t xml:space="preserve"> por su propia naturaleza</w:t>
      </w:r>
      <w:r w:rsidR="00DB34D6">
        <w:rPr>
          <w:rFonts w:asciiTheme="majorHAnsi" w:hAnsiTheme="majorHAnsi"/>
          <w:sz w:val="21"/>
          <w:szCs w:val="21"/>
        </w:rPr>
        <w:t>,</w:t>
      </w:r>
      <w:r w:rsidR="0085535D">
        <w:rPr>
          <w:rFonts w:asciiTheme="majorHAnsi" w:hAnsiTheme="majorHAnsi"/>
          <w:sz w:val="21"/>
          <w:szCs w:val="21"/>
        </w:rPr>
        <w:t xml:space="preserve"> resulta fundamental para garantizar </w:t>
      </w:r>
      <w:r w:rsidR="0085535D">
        <w:rPr>
          <w:rFonts w:ascii="Cambria" w:hAnsi="Cambria"/>
          <w:color w:val="000000"/>
          <w:sz w:val="21"/>
          <w:szCs w:val="21"/>
        </w:rPr>
        <w:t xml:space="preserve">el </w:t>
      </w:r>
      <w:r w:rsidR="004032B6">
        <w:rPr>
          <w:rFonts w:ascii="Cambria" w:hAnsi="Cambria"/>
          <w:color w:val="000000"/>
          <w:sz w:val="21"/>
          <w:szCs w:val="21"/>
        </w:rPr>
        <w:t xml:space="preserve">derecho de acceso a la justicia de víctimas de violaciones a derechos </w:t>
      </w:r>
      <w:r w:rsidR="004032B6" w:rsidRPr="00713BCE">
        <w:rPr>
          <w:rFonts w:asciiTheme="majorHAnsi" w:hAnsiTheme="majorHAnsi"/>
          <w:color w:val="000000"/>
          <w:sz w:val="21"/>
          <w:szCs w:val="21"/>
        </w:rPr>
        <w:t>humanos</w:t>
      </w:r>
      <w:r w:rsidR="00BE1B6C" w:rsidRPr="00713BCE">
        <w:rPr>
          <w:rFonts w:asciiTheme="majorHAnsi" w:hAnsiTheme="majorHAnsi"/>
          <w:color w:val="000000"/>
          <w:sz w:val="21"/>
          <w:szCs w:val="21"/>
        </w:rPr>
        <w:t xml:space="preserve"> </w:t>
      </w:r>
      <w:r w:rsidR="0085535D">
        <w:rPr>
          <w:rFonts w:asciiTheme="majorHAnsi" w:hAnsiTheme="majorHAnsi"/>
          <w:color w:val="000000"/>
          <w:sz w:val="21"/>
          <w:szCs w:val="21"/>
        </w:rPr>
        <w:t xml:space="preserve">y </w:t>
      </w:r>
      <w:r w:rsidR="00BE1B6C" w:rsidRPr="00713BCE">
        <w:rPr>
          <w:rFonts w:asciiTheme="majorHAnsi" w:hAnsiTheme="majorHAnsi"/>
          <w:color w:val="000000"/>
          <w:sz w:val="21"/>
          <w:szCs w:val="21"/>
        </w:rPr>
        <w:t>la lucha contra la corrupción</w:t>
      </w:r>
      <w:r w:rsidR="00BE1B6C" w:rsidRPr="00713BCE">
        <w:rPr>
          <w:rStyle w:val="FootnoteReference"/>
          <w:rFonts w:asciiTheme="majorHAnsi" w:hAnsiTheme="majorHAnsi"/>
          <w:color w:val="000000"/>
          <w:sz w:val="21"/>
          <w:szCs w:val="21"/>
        </w:rPr>
        <w:footnoteReference w:id="4"/>
      </w:r>
      <w:r w:rsidR="00BE1B6C" w:rsidRPr="00713BCE">
        <w:rPr>
          <w:rFonts w:asciiTheme="majorHAnsi" w:hAnsiTheme="majorHAnsi"/>
          <w:color w:val="000000"/>
          <w:sz w:val="21"/>
          <w:szCs w:val="21"/>
        </w:rPr>
        <w:t>.</w:t>
      </w:r>
      <w:r w:rsidR="0085535D" w:rsidRPr="00713BCE">
        <w:rPr>
          <w:rFonts w:asciiTheme="majorHAnsi" w:hAnsiTheme="majorHAnsi"/>
          <w:color w:val="000000"/>
          <w:sz w:val="21"/>
          <w:szCs w:val="21"/>
        </w:rPr>
        <w:t xml:space="preserve"> </w:t>
      </w:r>
      <w:r w:rsidR="0085535D">
        <w:rPr>
          <w:rFonts w:asciiTheme="majorHAnsi" w:hAnsiTheme="majorHAnsi"/>
          <w:sz w:val="21"/>
          <w:szCs w:val="21"/>
          <w:lang w:val="es-MX"/>
        </w:rPr>
        <w:t xml:space="preserve">De allí, que </w:t>
      </w:r>
      <w:r w:rsidR="0085535D" w:rsidRPr="00713BCE">
        <w:rPr>
          <w:rFonts w:asciiTheme="majorHAnsi" w:hAnsiTheme="majorHAnsi"/>
          <w:color w:val="000000"/>
          <w:sz w:val="21"/>
          <w:szCs w:val="21"/>
        </w:rPr>
        <w:t xml:space="preserve">la Comisión ha señalado la importancia de garantizar el actuar independiente de las y los </w:t>
      </w:r>
      <w:r w:rsidR="0085535D">
        <w:rPr>
          <w:rFonts w:asciiTheme="majorHAnsi" w:hAnsiTheme="majorHAnsi"/>
          <w:color w:val="000000"/>
          <w:sz w:val="21"/>
          <w:szCs w:val="21"/>
        </w:rPr>
        <w:t xml:space="preserve">fiscales </w:t>
      </w:r>
      <w:r w:rsidR="0085535D" w:rsidRPr="00713BCE">
        <w:rPr>
          <w:rFonts w:asciiTheme="majorHAnsi" w:hAnsiTheme="majorHAnsi"/>
          <w:color w:val="000000"/>
          <w:sz w:val="21"/>
          <w:szCs w:val="21"/>
        </w:rPr>
        <w:t>de tal manera que realicen sus funciones sin ser objeto de presiones externas, tales como actos de violencia en su contra o represalias a sus labores</w:t>
      </w:r>
      <w:r w:rsidR="0085535D" w:rsidRPr="006430E0">
        <w:rPr>
          <w:rStyle w:val="FootnoteReference"/>
          <w:rFonts w:asciiTheme="majorHAnsi" w:hAnsiTheme="majorHAnsi"/>
          <w:color w:val="000000"/>
          <w:sz w:val="21"/>
          <w:szCs w:val="21"/>
        </w:rPr>
        <w:footnoteReference w:id="5"/>
      </w:r>
      <w:r w:rsidR="0085535D" w:rsidRPr="00713BCE">
        <w:rPr>
          <w:rFonts w:asciiTheme="majorHAnsi" w:hAnsiTheme="majorHAnsi"/>
          <w:color w:val="000000"/>
          <w:sz w:val="21"/>
          <w:szCs w:val="21"/>
        </w:rPr>
        <w:t xml:space="preserve">. </w:t>
      </w:r>
    </w:p>
    <w:p w:rsidR="0085535D" w:rsidRPr="00971BC4" w:rsidRDefault="0085535D" w:rsidP="00713BCE">
      <w:pPr>
        <w:pStyle w:val="ListParagraph"/>
        <w:spacing w:after="0" w:line="240" w:lineRule="auto"/>
        <w:ind w:left="360"/>
        <w:jc w:val="both"/>
        <w:rPr>
          <w:lang w:val="es-MX"/>
        </w:rPr>
      </w:pPr>
    </w:p>
    <w:p w:rsidR="00341F44" w:rsidRPr="00713BCE" w:rsidRDefault="0085535D">
      <w:pPr>
        <w:pStyle w:val="ListParagraph"/>
        <w:numPr>
          <w:ilvl w:val="0"/>
          <w:numId w:val="20"/>
        </w:numPr>
        <w:spacing w:after="0" w:line="240" w:lineRule="auto"/>
        <w:ind w:left="0" w:firstLine="360"/>
        <w:jc w:val="both"/>
        <w:rPr>
          <w:rFonts w:ascii="Cambria" w:hAnsi="Cambria"/>
          <w:sz w:val="21"/>
          <w:szCs w:val="21"/>
          <w:lang w:val="es-MX"/>
        </w:rPr>
      </w:pPr>
      <w:r>
        <w:rPr>
          <w:rFonts w:asciiTheme="majorHAnsi" w:hAnsiTheme="majorHAnsi"/>
          <w:sz w:val="21"/>
          <w:szCs w:val="21"/>
        </w:rPr>
        <w:t>Según la información presentada por el solicitante</w:t>
      </w:r>
      <w:r w:rsidR="00CA57BA">
        <w:rPr>
          <w:rFonts w:ascii="Cambria" w:hAnsi="Cambria"/>
          <w:sz w:val="21"/>
          <w:szCs w:val="21"/>
        </w:rPr>
        <w:t xml:space="preserve">, </w:t>
      </w:r>
      <w:r>
        <w:rPr>
          <w:rFonts w:ascii="Cambria" w:hAnsi="Cambria"/>
          <w:sz w:val="21"/>
          <w:szCs w:val="21"/>
        </w:rPr>
        <w:t xml:space="preserve">en su carácter de </w:t>
      </w:r>
      <w:r w:rsidR="00360D69">
        <w:rPr>
          <w:rFonts w:ascii="Cambria" w:hAnsi="Cambria"/>
          <w:sz w:val="21"/>
          <w:szCs w:val="21"/>
        </w:rPr>
        <w:t>Fiscal General</w:t>
      </w:r>
      <w:r w:rsidR="00EA4717">
        <w:rPr>
          <w:rFonts w:ascii="Cambria" w:hAnsi="Cambria"/>
          <w:sz w:val="21"/>
          <w:szCs w:val="21"/>
        </w:rPr>
        <w:t>,</w:t>
      </w:r>
      <w:r>
        <w:rPr>
          <w:rFonts w:ascii="Cambria" w:hAnsi="Cambria"/>
          <w:sz w:val="21"/>
          <w:szCs w:val="21"/>
        </w:rPr>
        <w:t xml:space="preserve"> </w:t>
      </w:r>
      <w:r w:rsidR="003F736E">
        <w:rPr>
          <w:rFonts w:ascii="Cambria" w:hAnsi="Cambria"/>
          <w:sz w:val="21"/>
          <w:szCs w:val="21"/>
        </w:rPr>
        <w:t xml:space="preserve">habría llevado investigaciones y procesos penales y civiles en contra de altos políticos, </w:t>
      </w:r>
      <w:r w:rsidR="003F736E">
        <w:rPr>
          <w:rFonts w:ascii="Cambria" w:hAnsi="Cambria"/>
          <w:color w:val="000000"/>
          <w:sz w:val="21"/>
          <w:szCs w:val="21"/>
        </w:rPr>
        <w:t>ex funcionarios públicos, empresarios, fuerzas públicas y diversos grupos cri</w:t>
      </w:r>
      <w:r w:rsidR="00341F44">
        <w:rPr>
          <w:rFonts w:ascii="Cambria" w:hAnsi="Cambria"/>
          <w:color w:val="000000"/>
          <w:sz w:val="21"/>
          <w:szCs w:val="21"/>
        </w:rPr>
        <w:t>minales</w:t>
      </w:r>
      <w:r w:rsidR="00EB42A1">
        <w:rPr>
          <w:rFonts w:ascii="Cambria" w:hAnsi="Cambria"/>
          <w:color w:val="000000"/>
          <w:sz w:val="21"/>
          <w:szCs w:val="21"/>
        </w:rPr>
        <w:t>. Por lo anterior</w:t>
      </w:r>
      <w:r w:rsidR="00341F44">
        <w:rPr>
          <w:rFonts w:ascii="Cambria" w:hAnsi="Cambria"/>
          <w:color w:val="000000"/>
          <w:sz w:val="21"/>
          <w:szCs w:val="21"/>
        </w:rPr>
        <w:t>,</w:t>
      </w:r>
      <w:r w:rsidR="003F736E">
        <w:rPr>
          <w:rFonts w:ascii="Cambria" w:hAnsi="Cambria"/>
          <w:sz w:val="21"/>
          <w:szCs w:val="21"/>
        </w:rPr>
        <w:t xml:space="preserve"> </w:t>
      </w:r>
      <w:r w:rsidR="00EB42A1">
        <w:rPr>
          <w:rFonts w:ascii="Cambria" w:hAnsi="Cambria"/>
          <w:sz w:val="21"/>
          <w:szCs w:val="21"/>
        </w:rPr>
        <w:t xml:space="preserve">el propuesto beneficiario </w:t>
      </w:r>
      <w:r w:rsidR="003F736E">
        <w:rPr>
          <w:rFonts w:ascii="Cambria" w:hAnsi="Cambria"/>
          <w:sz w:val="21"/>
          <w:szCs w:val="21"/>
        </w:rPr>
        <w:t>habría recibido amenazas por diversos medios contra su vida e integridad personal, las cuales atribuy</w:t>
      </w:r>
      <w:r w:rsidR="004032B6">
        <w:rPr>
          <w:rFonts w:ascii="Cambria" w:hAnsi="Cambria"/>
          <w:sz w:val="21"/>
          <w:szCs w:val="21"/>
        </w:rPr>
        <w:t>e</w:t>
      </w:r>
      <w:r w:rsidR="003F736E">
        <w:rPr>
          <w:rFonts w:ascii="Cambria" w:hAnsi="Cambria"/>
          <w:sz w:val="21"/>
          <w:szCs w:val="21"/>
        </w:rPr>
        <w:t xml:space="preserve"> a los grupos y personas </w:t>
      </w:r>
      <w:r>
        <w:rPr>
          <w:rFonts w:ascii="Cambria" w:hAnsi="Cambria"/>
          <w:sz w:val="21"/>
          <w:szCs w:val="21"/>
        </w:rPr>
        <w:t xml:space="preserve">que tendrían intereses opuestos a tales </w:t>
      </w:r>
      <w:r w:rsidR="003F736E">
        <w:rPr>
          <w:rFonts w:ascii="Cambria" w:hAnsi="Cambria"/>
          <w:sz w:val="21"/>
          <w:szCs w:val="21"/>
        </w:rPr>
        <w:t>investigaciones.</w:t>
      </w:r>
      <w:r w:rsidR="00341F44">
        <w:rPr>
          <w:rFonts w:ascii="Cambria" w:hAnsi="Cambria"/>
          <w:sz w:val="21"/>
          <w:szCs w:val="21"/>
        </w:rPr>
        <w:t xml:space="preserve"> </w:t>
      </w:r>
      <w:r w:rsidR="00DB34D6">
        <w:rPr>
          <w:rFonts w:ascii="Cambria" w:hAnsi="Cambria"/>
          <w:sz w:val="21"/>
          <w:szCs w:val="21"/>
        </w:rPr>
        <w:t>Asimismo, d</w:t>
      </w:r>
      <w:r>
        <w:rPr>
          <w:rFonts w:ascii="Cambria" w:hAnsi="Cambria"/>
          <w:sz w:val="21"/>
          <w:szCs w:val="21"/>
        </w:rPr>
        <w:t xml:space="preserve">e manera </w:t>
      </w:r>
      <w:r w:rsidR="00EB42A1">
        <w:rPr>
          <w:rFonts w:ascii="Cambria" w:hAnsi="Cambria"/>
          <w:sz w:val="21"/>
          <w:szCs w:val="21"/>
        </w:rPr>
        <w:t xml:space="preserve">más </w:t>
      </w:r>
      <w:r>
        <w:rPr>
          <w:rFonts w:ascii="Cambria" w:hAnsi="Cambria"/>
          <w:sz w:val="21"/>
          <w:szCs w:val="21"/>
        </w:rPr>
        <w:t xml:space="preserve">reciente </w:t>
      </w:r>
      <w:r w:rsidR="00F70257">
        <w:rPr>
          <w:rFonts w:ascii="Cambria" w:hAnsi="Cambria"/>
          <w:sz w:val="21"/>
          <w:szCs w:val="21"/>
          <w:lang w:val="es-CO"/>
        </w:rPr>
        <w:t>habría</w:t>
      </w:r>
      <w:r>
        <w:rPr>
          <w:rFonts w:ascii="Cambria" w:hAnsi="Cambria"/>
          <w:sz w:val="21"/>
          <w:szCs w:val="21"/>
          <w:lang w:val="es-CO"/>
        </w:rPr>
        <w:t xml:space="preserve"> sido</w:t>
      </w:r>
      <w:r w:rsidR="00F70257">
        <w:rPr>
          <w:rFonts w:ascii="Cambria" w:hAnsi="Cambria"/>
          <w:sz w:val="21"/>
          <w:szCs w:val="21"/>
          <w:lang w:val="es-CO"/>
        </w:rPr>
        <w:t xml:space="preserve"> asesinado un familiar del propuesto beneficiario, presuntamente por “pandilleros”</w:t>
      </w:r>
      <w:r w:rsidR="002843AE">
        <w:rPr>
          <w:rFonts w:ascii="Cambria" w:hAnsi="Cambria"/>
          <w:sz w:val="21"/>
          <w:szCs w:val="21"/>
          <w:lang w:val="es-CO"/>
        </w:rPr>
        <w:t xml:space="preserve">, </w:t>
      </w:r>
      <w:r>
        <w:rPr>
          <w:rFonts w:ascii="Cambria" w:hAnsi="Cambria"/>
          <w:sz w:val="21"/>
          <w:szCs w:val="21"/>
          <w:lang w:val="es-CO"/>
        </w:rPr>
        <w:t xml:space="preserve">estableciéndose como línea de investigación que lo ocurrido </w:t>
      </w:r>
      <w:r w:rsidR="00D35155">
        <w:rPr>
          <w:rFonts w:ascii="Cambria" w:hAnsi="Cambria"/>
          <w:sz w:val="21"/>
          <w:szCs w:val="21"/>
          <w:lang w:val="es-CO"/>
        </w:rPr>
        <w:t>tendría</w:t>
      </w:r>
      <w:r w:rsidR="00EB42A1">
        <w:rPr>
          <w:rFonts w:ascii="Cambria" w:hAnsi="Cambria"/>
          <w:sz w:val="21"/>
          <w:szCs w:val="21"/>
          <w:lang w:val="es-CO"/>
        </w:rPr>
        <w:t xml:space="preserve"> relación con su parentesco y </w:t>
      </w:r>
      <w:r w:rsidR="002843AE">
        <w:rPr>
          <w:rFonts w:ascii="Cambria" w:hAnsi="Cambria"/>
          <w:sz w:val="21"/>
          <w:szCs w:val="21"/>
          <w:lang w:val="es-CO"/>
        </w:rPr>
        <w:t xml:space="preserve">sería una </w:t>
      </w:r>
      <w:r>
        <w:rPr>
          <w:rFonts w:ascii="Cambria" w:hAnsi="Cambria"/>
          <w:sz w:val="21"/>
          <w:szCs w:val="21"/>
          <w:lang w:val="es-CO"/>
        </w:rPr>
        <w:t xml:space="preserve">posible represalia </w:t>
      </w:r>
      <w:r w:rsidR="002843AE">
        <w:rPr>
          <w:rFonts w:ascii="Cambria" w:hAnsi="Cambria"/>
          <w:sz w:val="21"/>
          <w:szCs w:val="21"/>
          <w:lang w:val="es-CO"/>
        </w:rPr>
        <w:t>a sus labores.</w:t>
      </w:r>
      <w:r w:rsidR="00390822">
        <w:rPr>
          <w:rFonts w:ascii="Cambria" w:hAnsi="Cambria"/>
          <w:sz w:val="21"/>
          <w:szCs w:val="21"/>
          <w:lang w:val="es-CO"/>
        </w:rPr>
        <w:t xml:space="preserve"> </w:t>
      </w:r>
      <w:r w:rsidR="0067164D">
        <w:rPr>
          <w:rFonts w:ascii="Cambria" w:hAnsi="Cambria"/>
          <w:sz w:val="21"/>
          <w:szCs w:val="21"/>
        </w:rPr>
        <w:t xml:space="preserve">La Comisión toma nota </w:t>
      </w:r>
      <w:r w:rsidR="0067164D" w:rsidRPr="00713BCE">
        <w:rPr>
          <w:rFonts w:ascii="Cambria" w:hAnsi="Cambria"/>
          <w:sz w:val="21"/>
          <w:szCs w:val="21"/>
        </w:rPr>
        <w:t xml:space="preserve">de que presuntamente grupos de traficantes de drogas habrían “mandado traer a unos extranjeros”, </w:t>
      </w:r>
      <w:r w:rsidR="00360D69">
        <w:rPr>
          <w:rFonts w:ascii="Cambria" w:hAnsi="Cambria"/>
          <w:sz w:val="21"/>
          <w:szCs w:val="21"/>
        </w:rPr>
        <w:t>para atentar contra</w:t>
      </w:r>
      <w:r w:rsidR="0067164D" w:rsidRPr="00713BCE">
        <w:rPr>
          <w:rFonts w:ascii="Cambria" w:hAnsi="Cambria"/>
          <w:sz w:val="21"/>
          <w:szCs w:val="21"/>
        </w:rPr>
        <w:t xml:space="preserve"> el propuesto beneficiario</w:t>
      </w:r>
      <w:r w:rsidR="00EB42A1">
        <w:rPr>
          <w:rFonts w:ascii="Cambria" w:hAnsi="Cambria"/>
          <w:sz w:val="21"/>
          <w:szCs w:val="21"/>
        </w:rPr>
        <w:t>. S</w:t>
      </w:r>
      <w:r w:rsidR="0067164D">
        <w:rPr>
          <w:rFonts w:ascii="Cambria" w:hAnsi="Cambria"/>
          <w:sz w:val="21"/>
          <w:szCs w:val="21"/>
        </w:rPr>
        <w:t xml:space="preserve">egún la última comunicación del solicitante, </w:t>
      </w:r>
      <w:r w:rsidR="00713BCE">
        <w:rPr>
          <w:rFonts w:ascii="Cambria" w:hAnsi="Cambria"/>
          <w:sz w:val="21"/>
          <w:szCs w:val="21"/>
        </w:rPr>
        <w:t>derivado</w:t>
      </w:r>
      <w:r w:rsidR="000C1ACF" w:rsidRPr="00713BCE">
        <w:rPr>
          <w:rFonts w:ascii="Cambria" w:hAnsi="Cambria"/>
          <w:sz w:val="21"/>
          <w:szCs w:val="21"/>
          <w:lang w:val="es-CO"/>
        </w:rPr>
        <w:t xml:space="preserve"> del presunto incremento de las amenazas, el propuesto beneficiario habría tenido que trasladar a sus padres fuera de su domicilio.</w:t>
      </w:r>
    </w:p>
    <w:p w:rsidR="00341F44" w:rsidRPr="00341F44" w:rsidRDefault="00341F44" w:rsidP="00341F44">
      <w:pPr>
        <w:spacing w:after="0" w:line="240" w:lineRule="auto"/>
        <w:jc w:val="both"/>
        <w:rPr>
          <w:rFonts w:ascii="Cambria" w:hAnsi="Cambria"/>
          <w:sz w:val="21"/>
          <w:szCs w:val="21"/>
          <w:lang w:val="es-MX"/>
        </w:rPr>
      </w:pPr>
    </w:p>
    <w:p w:rsidR="00B46202" w:rsidRPr="00971BC4" w:rsidRDefault="00EA4717">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CO"/>
        </w:rPr>
        <w:t>S</w:t>
      </w:r>
      <w:r w:rsidR="000C1ACF" w:rsidRPr="000C1ACF">
        <w:rPr>
          <w:rFonts w:ascii="Cambria" w:hAnsi="Cambria"/>
          <w:sz w:val="21"/>
          <w:szCs w:val="21"/>
          <w:lang w:val="es-CO"/>
        </w:rPr>
        <w:t xml:space="preserve">i bien el Estado </w:t>
      </w:r>
      <w:r w:rsidR="000C1ACF">
        <w:rPr>
          <w:rFonts w:ascii="Cambria" w:hAnsi="Cambria"/>
          <w:sz w:val="21"/>
          <w:szCs w:val="21"/>
          <w:lang w:val="es-CO"/>
        </w:rPr>
        <w:t xml:space="preserve">ha indicado </w:t>
      </w:r>
      <w:r w:rsidR="000C1ACF" w:rsidRPr="000C1ACF">
        <w:rPr>
          <w:rFonts w:ascii="Cambria" w:hAnsi="Cambria"/>
          <w:sz w:val="21"/>
          <w:szCs w:val="21"/>
          <w:lang w:val="es-CO"/>
        </w:rPr>
        <w:t xml:space="preserve">que la situación de riesgo </w:t>
      </w:r>
      <w:r w:rsidR="000C1ACF">
        <w:rPr>
          <w:rFonts w:ascii="Cambria" w:hAnsi="Cambria"/>
          <w:sz w:val="21"/>
          <w:szCs w:val="21"/>
          <w:lang w:val="es-CO"/>
        </w:rPr>
        <w:t xml:space="preserve">descrita </w:t>
      </w:r>
      <w:r w:rsidR="000C1ACF" w:rsidRPr="000C1ACF">
        <w:rPr>
          <w:rFonts w:ascii="Cambria" w:hAnsi="Cambria"/>
          <w:sz w:val="21"/>
          <w:szCs w:val="21"/>
          <w:lang w:val="es-CO"/>
        </w:rPr>
        <w:t xml:space="preserve">sería </w:t>
      </w:r>
      <w:r w:rsidR="00360D69">
        <w:rPr>
          <w:rFonts w:ascii="Cambria" w:hAnsi="Cambria"/>
          <w:sz w:val="21"/>
          <w:szCs w:val="21"/>
          <w:lang w:val="es-CO"/>
        </w:rPr>
        <w:t xml:space="preserve">consistente </w:t>
      </w:r>
      <w:r w:rsidR="000C1ACF" w:rsidRPr="000C1ACF">
        <w:rPr>
          <w:rFonts w:ascii="Cambria" w:hAnsi="Cambria"/>
          <w:sz w:val="21"/>
          <w:szCs w:val="21"/>
          <w:lang w:val="es-CO"/>
        </w:rPr>
        <w:t xml:space="preserve">con </w:t>
      </w:r>
      <w:r>
        <w:rPr>
          <w:rFonts w:ascii="Cambria" w:hAnsi="Cambria"/>
          <w:sz w:val="21"/>
          <w:szCs w:val="21"/>
          <w:lang w:val="es-CO"/>
        </w:rPr>
        <w:t xml:space="preserve">su cargo y </w:t>
      </w:r>
      <w:r w:rsidR="000C1ACF">
        <w:rPr>
          <w:rFonts w:ascii="Cambria" w:hAnsi="Cambria"/>
          <w:sz w:val="21"/>
          <w:szCs w:val="21"/>
          <w:lang w:val="es-CO"/>
        </w:rPr>
        <w:t xml:space="preserve">la </w:t>
      </w:r>
      <w:r>
        <w:rPr>
          <w:rFonts w:ascii="Cambria" w:hAnsi="Cambria"/>
          <w:sz w:val="21"/>
          <w:szCs w:val="21"/>
          <w:lang w:val="es-CO"/>
        </w:rPr>
        <w:t xml:space="preserve">situación de riesgo </w:t>
      </w:r>
      <w:r w:rsidR="000C1ACF">
        <w:rPr>
          <w:rFonts w:ascii="Cambria" w:hAnsi="Cambria"/>
          <w:sz w:val="21"/>
          <w:szCs w:val="21"/>
          <w:lang w:val="es-CO"/>
        </w:rPr>
        <w:t>de otras autoridades</w:t>
      </w:r>
      <w:r w:rsidR="000C1ACF" w:rsidRPr="000C1ACF">
        <w:rPr>
          <w:rFonts w:ascii="Cambria" w:hAnsi="Cambria"/>
          <w:sz w:val="21"/>
          <w:szCs w:val="21"/>
          <w:lang w:val="es-CO"/>
        </w:rPr>
        <w:t xml:space="preserve">, </w:t>
      </w:r>
      <w:r w:rsidR="000C1ACF">
        <w:rPr>
          <w:rFonts w:ascii="Cambria" w:hAnsi="Cambria"/>
          <w:sz w:val="21"/>
          <w:szCs w:val="21"/>
          <w:lang w:val="es-CO"/>
        </w:rPr>
        <w:t xml:space="preserve">no ha presentado información que desvirtúe la información consistente en presuntas amenazas y el asesinato </w:t>
      </w:r>
      <w:r w:rsidR="008F2E08">
        <w:rPr>
          <w:rFonts w:ascii="Cambria" w:hAnsi="Cambria"/>
          <w:sz w:val="21"/>
          <w:szCs w:val="21"/>
          <w:lang w:val="es-CO"/>
        </w:rPr>
        <w:t>de un familiar del propuesto beneficiario</w:t>
      </w:r>
      <w:r w:rsidR="000C1ACF">
        <w:rPr>
          <w:rFonts w:ascii="Cambria" w:hAnsi="Cambria"/>
          <w:sz w:val="21"/>
          <w:szCs w:val="21"/>
          <w:lang w:val="es-CO"/>
        </w:rPr>
        <w:t xml:space="preserve">. La Comisión nota asimismo que </w:t>
      </w:r>
      <w:r w:rsidR="00EB42A1">
        <w:rPr>
          <w:rFonts w:ascii="Cambria" w:hAnsi="Cambria"/>
          <w:sz w:val="21"/>
          <w:szCs w:val="21"/>
          <w:lang w:val="es-CO"/>
        </w:rPr>
        <w:t xml:space="preserve">aunque </w:t>
      </w:r>
      <w:r w:rsidR="008F2E08">
        <w:rPr>
          <w:rFonts w:ascii="Cambria" w:hAnsi="Cambria"/>
          <w:sz w:val="21"/>
          <w:szCs w:val="21"/>
          <w:lang w:val="es-CO"/>
        </w:rPr>
        <w:t xml:space="preserve">se encuentra en controversia entre las partes la idoneidad y efectividad del mecanismo </w:t>
      </w:r>
      <w:r>
        <w:rPr>
          <w:rFonts w:ascii="Cambria" w:hAnsi="Cambria"/>
          <w:sz w:val="21"/>
          <w:szCs w:val="21"/>
          <w:lang w:val="es-CO"/>
        </w:rPr>
        <w:t xml:space="preserve">de protección </w:t>
      </w:r>
      <w:r w:rsidR="008F2E08">
        <w:rPr>
          <w:rFonts w:ascii="Cambria" w:hAnsi="Cambria"/>
          <w:sz w:val="21"/>
          <w:szCs w:val="21"/>
          <w:lang w:val="es-CO"/>
        </w:rPr>
        <w:t xml:space="preserve">con que cuenta el propuesto beneficiario, el </w:t>
      </w:r>
      <w:r>
        <w:rPr>
          <w:rFonts w:ascii="Cambria" w:hAnsi="Cambria"/>
          <w:sz w:val="21"/>
          <w:szCs w:val="21"/>
          <w:lang w:val="es-CO"/>
        </w:rPr>
        <w:t xml:space="preserve">solicitante ha indicado que por sus turnos no ofrecerían una protección integral, </w:t>
      </w:r>
      <w:r w:rsidR="0067164D">
        <w:rPr>
          <w:rFonts w:ascii="Cambria" w:hAnsi="Cambria"/>
          <w:sz w:val="21"/>
          <w:szCs w:val="21"/>
          <w:lang w:val="es-CO"/>
        </w:rPr>
        <w:t xml:space="preserve">y </w:t>
      </w:r>
      <w:r>
        <w:rPr>
          <w:rFonts w:ascii="Cambria" w:hAnsi="Cambria"/>
          <w:sz w:val="21"/>
          <w:szCs w:val="21"/>
          <w:lang w:val="es-CO"/>
        </w:rPr>
        <w:t>dicho mecanismo no se extendería tampoco a su núcleo familiar</w:t>
      </w:r>
      <w:r w:rsidR="0067164D">
        <w:rPr>
          <w:rFonts w:ascii="Cambria" w:hAnsi="Cambria"/>
          <w:sz w:val="21"/>
          <w:szCs w:val="21"/>
          <w:lang w:val="es-CO"/>
        </w:rPr>
        <w:t xml:space="preserve">, lo cual resulta relevante al momento de evaluar la situación presentada desde el estándar de valoración </w:t>
      </w:r>
      <w:r w:rsidR="0067164D">
        <w:rPr>
          <w:rFonts w:ascii="Cambria" w:hAnsi="Cambria"/>
          <w:i/>
          <w:sz w:val="21"/>
          <w:szCs w:val="21"/>
          <w:lang w:val="es-CO"/>
        </w:rPr>
        <w:t>prima facie</w:t>
      </w:r>
      <w:r w:rsidR="0067164D">
        <w:rPr>
          <w:rFonts w:ascii="Cambria" w:hAnsi="Cambria"/>
          <w:sz w:val="21"/>
          <w:szCs w:val="21"/>
          <w:lang w:val="es-CO"/>
        </w:rPr>
        <w:t xml:space="preserve"> aplicable</w:t>
      </w:r>
      <w:r>
        <w:rPr>
          <w:rFonts w:ascii="Cambria" w:hAnsi="Cambria"/>
          <w:sz w:val="21"/>
          <w:szCs w:val="21"/>
          <w:lang w:val="es-CO"/>
        </w:rPr>
        <w:t xml:space="preserve">. </w:t>
      </w:r>
      <w:r w:rsidR="0067164D">
        <w:rPr>
          <w:rFonts w:ascii="Cambria" w:hAnsi="Cambria"/>
          <w:sz w:val="21"/>
          <w:szCs w:val="21"/>
          <w:lang w:val="es-CO"/>
        </w:rPr>
        <w:t>A ese respecto</w:t>
      </w:r>
      <w:r>
        <w:rPr>
          <w:rFonts w:ascii="Cambria" w:hAnsi="Cambria"/>
          <w:sz w:val="21"/>
          <w:szCs w:val="21"/>
          <w:lang w:val="es-CO"/>
        </w:rPr>
        <w:t xml:space="preserve">, la Comisión observa que </w:t>
      </w:r>
      <w:r w:rsidR="0067164D">
        <w:rPr>
          <w:rFonts w:ascii="Cambria" w:hAnsi="Cambria"/>
          <w:sz w:val="21"/>
          <w:szCs w:val="21"/>
          <w:lang w:val="es-CO"/>
        </w:rPr>
        <w:t xml:space="preserve">en todo caso, ante </w:t>
      </w:r>
      <w:r w:rsidR="00DB34D6">
        <w:rPr>
          <w:rFonts w:ascii="Cambria" w:hAnsi="Cambria"/>
          <w:sz w:val="21"/>
          <w:szCs w:val="21"/>
          <w:lang w:val="es-CO"/>
        </w:rPr>
        <w:t>el presunto asesinato</w:t>
      </w:r>
      <w:r w:rsidR="00BD6CAC">
        <w:rPr>
          <w:rFonts w:ascii="Cambria" w:hAnsi="Cambria"/>
          <w:sz w:val="21"/>
          <w:szCs w:val="21"/>
          <w:lang w:val="es-CO"/>
        </w:rPr>
        <w:t xml:space="preserve"> y la continuidad de las </w:t>
      </w:r>
      <w:r w:rsidR="00364B02">
        <w:rPr>
          <w:rFonts w:ascii="Cambria" w:hAnsi="Cambria"/>
          <w:sz w:val="21"/>
          <w:szCs w:val="21"/>
          <w:lang w:val="es-CO"/>
        </w:rPr>
        <w:t>amenazas</w:t>
      </w:r>
      <w:r w:rsidR="008F2E08">
        <w:rPr>
          <w:rFonts w:ascii="Cambria" w:hAnsi="Cambria"/>
          <w:sz w:val="21"/>
          <w:szCs w:val="21"/>
          <w:lang w:val="es-CO"/>
        </w:rPr>
        <w:t xml:space="preserve">, </w:t>
      </w:r>
      <w:r w:rsidR="00B46202" w:rsidRPr="00971BC4">
        <w:rPr>
          <w:rFonts w:ascii="Cambria" w:hAnsi="Cambria"/>
          <w:color w:val="000000"/>
          <w:sz w:val="21"/>
          <w:szCs w:val="21"/>
        </w:rPr>
        <w:t xml:space="preserve">hechos </w:t>
      </w:r>
      <w:r>
        <w:rPr>
          <w:rFonts w:ascii="Cambria" w:hAnsi="Cambria"/>
          <w:color w:val="000000"/>
          <w:sz w:val="21"/>
          <w:szCs w:val="21"/>
        </w:rPr>
        <w:t xml:space="preserve">como los </w:t>
      </w:r>
      <w:r w:rsidR="00B46202" w:rsidRPr="00971BC4">
        <w:rPr>
          <w:rFonts w:ascii="Cambria" w:hAnsi="Cambria"/>
          <w:color w:val="000000"/>
          <w:sz w:val="21"/>
          <w:szCs w:val="21"/>
        </w:rPr>
        <w:t xml:space="preserve">informados </w:t>
      </w:r>
      <w:r w:rsidR="00BD6CAC">
        <w:rPr>
          <w:rFonts w:ascii="Cambria" w:hAnsi="Cambria"/>
          <w:color w:val="000000"/>
          <w:sz w:val="21"/>
          <w:szCs w:val="21"/>
        </w:rPr>
        <w:t xml:space="preserve">podrían volver a repetirse </w:t>
      </w:r>
      <w:r w:rsidR="008F2E08">
        <w:rPr>
          <w:rFonts w:ascii="Cambria" w:hAnsi="Cambria"/>
          <w:color w:val="000000"/>
          <w:sz w:val="21"/>
          <w:szCs w:val="21"/>
        </w:rPr>
        <w:t xml:space="preserve">e </w:t>
      </w:r>
      <w:r w:rsidR="00EB42A1">
        <w:rPr>
          <w:rFonts w:ascii="Cambria" w:hAnsi="Cambria"/>
          <w:color w:val="000000"/>
          <w:sz w:val="21"/>
          <w:szCs w:val="21"/>
        </w:rPr>
        <w:t xml:space="preserve">incluso </w:t>
      </w:r>
      <w:r w:rsidR="00B46202" w:rsidRPr="00971BC4">
        <w:rPr>
          <w:rFonts w:ascii="Cambria" w:hAnsi="Cambria"/>
          <w:color w:val="000000"/>
          <w:sz w:val="21"/>
          <w:szCs w:val="21"/>
        </w:rPr>
        <w:t xml:space="preserve">incrementar en su intensidad mientras </w:t>
      </w:r>
      <w:r>
        <w:rPr>
          <w:rFonts w:ascii="Cambria" w:hAnsi="Cambria"/>
          <w:color w:val="000000"/>
          <w:sz w:val="21"/>
          <w:szCs w:val="21"/>
        </w:rPr>
        <w:t xml:space="preserve">que </w:t>
      </w:r>
      <w:r w:rsidR="00B46202" w:rsidRPr="00971BC4">
        <w:rPr>
          <w:rFonts w:ascii="Cambria" w:hAnsi="Cambria"/>
          <w:color w:val="000000"/>
          <w:sz w:val="21"/>
          <w:szCs w:val="21"/>
        </w:rPr>
        <w:t>el Fiscal General continúe ejerciendo sus funciones</w:t>
      </w:r>
      <w:r w:rsidR="008F2E08">
        <w:rPr>
          <w:rFonts w:ascii="Cambria" w:hAnsi="Cambria"/>
          <w:color w:val="000000"/>
          <w:sz w:val="21"/>
          <w:szCs w:val="21"/>
        </w:rPr>
        <w:t xml:space="preserve"> de investigación</w:t>
      </w:r>
      <w:r>
        <w:rPr>
          <w:rFonts w:ascii="Cambria" w:hAnsi="Cambria"/>
          <w:color w:val="000000"/>
          <w:sz w:val="21"/>
          <w:szCs w:val="21"/>
        </w:rPr>
        <w:t>, especialmente,</w:t>
      </w:r>
      <w:r w:rsidR="008F2E08">
        <w:rPr>
          <w:rFonts w:ascii="Cambria" w:hAnsi="Cambria"/>
          <w:color w:val="000000"/>
          <w:sz w:val="21"/>
          <w:szCs w:val="21"/>
        </w:rPr>
        <w:t xml:space="preserve"> respecto de casos de alto impacto</w:t>
      </w:r>
      <w:r w:rsidR="008F2E08" w:rsidRPr="008F2E08">
        <w:rPr>
          <w:rFonts w:ascii="Cambria" w:hAnsi="Cambria"/>
          <w:sz w:val="21"/>
          <w:szCs w:val="21"/>
        </w:rPr>
        <w:t xml:space="preserve"> </w:t>
      </w:r>
      <w:r w:rsidR="008F2E08">
        <w:rPr>
          <w:rFonts w:ascii="Cambria" w:hAnsi="Cambria"/>
          <w:sz w:val="21"/>
          <w:szCs w:val="21"/>
        </w:rPr>
        <w:t xml:space="preserve">público relacionadas con altos políticos, </w:t>
      </w:r>
      <w:r w:rsidR="008F2E08">
        <w:rPr>
          <w:rFonts w:ascii="Cambria" w:hAnsi="Cambria"/>
          <w:color w:val="000000"/>
          <w:sz w:val="21"/>
          <w:szCs w:val="21"/>
        </w:rPr>
        <w:t>ex funcionarios públicos, empresarios, fuerzas públicas y diversos grupos criminales</w:t>
      </w:r>
      <w:r w:rsidR="001B7E64" w:rsidRPr="00971BC4">
        <w:rPr>
          <w:rFonts w:ascii="Cambria" w:hAnsi="Cambria"/>
          <w:color w:val="000000"/>
          <w:sz w:val="21"/>
          <w:szCs w:val="21"/>
        </w:rPr>
        <w:t xml:space="preserve">. </w:t>
      </w:r>
    </w:p>
    <w:p w:rsidR="004E4A30" w:rsidRPr="00971BC4" w:rsidRDefault="004E4A30" w:rsidP="00B46202">
      <w:pPr>
        <w:spacing w:after="0" w:line="240" w:lineRule="auto"/>
        <w:jc w:val="both"/>
        <w:rPr>
          <w:rFonts w:ascii="Cambria" w:hAnsi="Cambria"/>
          <w:sz w:val="21"/>
          <w:szCs w:val="21"/>
          <w:lang w:val="es-MX"/>
        </w:rPr>
      </w:pPr>
    </w:p>
    <w:p w:rsidR="008F2E08" w:rsidRDefault="004E4A30" w:rsidP="0051632E">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En </w:t>
      </w:r>
      <w:r w:rsidR="00B46202">
        <w:rPr>
          <w:rFonts w:ascii="Cambria" w:hAnsi="Cambria"/>
          <w:sz w:val="21"/>
          <w:szCs w:val="21"/>
        </w:rPr>
        <w:t>vista de lo indicado</w:t>
      </w:r>
      <w:r w:rsidR="0074781D" w:rsidRPr="0074781D">
        <w:rPr>
          <w:rFonts w:ascii="Cambria" w:hAnsi="Cambria"/>
          <w:sz w:val="21"/>
          <w:szCs w:val="21"/>
        </w:rPr>
        <w:t xml:space="preserve">, </w:t>
      </w:r>
      <w:r w:rsidR="00332E1D">
        <w:rPr>
          <w:rFonts w:ascii="Cambria" w:hAnsi="Cambria"/>
          <w:sz w:val="21"/>
          <w:szCs w:val="21"/>
        </w:rPr>
        <w:t>la Comisi</w:t>
      </w:r>
      <w:r w:rsidR="00F70257">
        <w:rPr>
          <w:rFonts w:ascii="Cambria" w:hAnsi="Cambria"/>
          <w:sz w:val="21"/>
          <w:szCs w:val="21"/>
        </w:rPr>
        <w:t xml:space="preserve">ón considera que </w:t>
      </w:r>
      <w:r w:rsidR="008F2E08">
        <w:rPr>
          <w:rFonts w:ascii="Cambria" w:hAnsi="Cambria"/>
          <w:sz w:val="21"/>
          <w:szCs w:val="21"/>
        </w:rPr>
        <w:t xml:space="preserve">los derechos a la vida e integridad del </w:t>
      </w:r>
      <w:r w:rsidR="00F70257">
        <w:rPr>
          <w:rFonts w:ascii="Cambria" w:hAnsi="Cambria"/>
          <w:sz w:val="21"/>
          <w:szCs w:val="21"/>
        </w:rPr>
        <w:t>señor Douglas Arquímides Meléndez Ruíz</w:t>
      </w:r>
      <w:r w:rsidR="00332E1D">
        <w:rPr>
          <w:rFonts w:ascii="Cambria" w:hAnsi="Cambria"/>
          <w:sz w:val="21"/>
          <w:szCs w:val="21"/>
        </w:rPr>
        <w:t xml:space="preserve">, </w:t>
      </w:r>
      <w:r w:rsidR="0074781D" w:rsidRPr="0074781D">
        <w:rPr>
          <w:rFonts w:ascii="Cambria" w:hAnsi="Cambria"/>
          <w:sz w:val="21"/>
          <w:szCs w:val="21"/>
        </w:rPr>
        <w:t xml:space="preserve">se encuentran </w:t>
      </w:r>
      <w:r w:rsidR="0074781D" w:rsidRPr="0074781D">
        <w:rPr>
          <w:rFonts w:ascii="Cambria" w:hAnsi="Cambria"/>
          <w:i/>
          <w:sz w:val="21"/>
          <w:szCs w:val="21"/>
        </w:rPr>
        <w:t xml:space="preserve">prima facie </w:t>
      </w:r>
      <w:r w:rsidR="0074781D" w:rsidRPr="0074781D">
        <w:rPr>
          <w:rFonts w:ascii="Cambria" w:hAnsi="Cambria"/>
          <w:sz w:val="21"/>
          <w:szCs w:val="21"/>
        </w:rPr>
        <w:t xml:space="preserve">en una situación de </w:t>
      </w:r>
      <w:r w:rsidR="00332E1D">
        <w:rPr>
          <w:rFonts w:ascii="Cambria" w:hAnsi="Cambria"/>
          <w:sz w:val="21"/>
          <w:szCs w:val="21"/>
        </w:rPr>
        <w:t>gravedad</w:t>
      </w:r>
      <w:r w:rsidR="002C3823">
        <w:rPr>
          <w:rFonts w:ascii="Cambria" w:hAnsi="Cambria"/>
          <w:sz w:val="21"/>
          <w:szCs w:val="21"/>
        </w:rPr>
        <w:t>.</w:t>
      </w:r>
      <w:r w:rsidR="0074781D">
        <w:rPr>
          <w:rFonts w:ascii="Cambria" w:hAnsi="Cambria"/>
          <w:sz w:val="21"/>
          <w:szCs w:val="21"/>
        </w:rPr>
        <w:t xml:space="preserve"> </w:t>
      </w:r>
    </w:p>
    <w:p w:rsidR="0051632E" w:rsidRPr="00E048A6" w:rsidRDefault="0051632E" w:rsidP="0074781D">
      <w:pPr>
        <w:pStyle w:val="ListParagraph"/>
        <w:spacing w:after="0" w:line="240" w:lineRule="auto"/>
        <w:ind w:left="360"/>
        <w:jc w:val="both"/>
        <w:rPr>
          <w:rFonts w:ascii="Cambria" w:hAnsi="Cambria"/>
          <w:sz w:val="21"/>
          <w:szCs w:val="21"/>
        </w:rPr>
      </w:pPr>
    </w:p>
    <w:p w:rsidR="0074781D" w:rsidRPr="00971BC4" w:rsidRDefault="00B36963">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Respecto al requisito de urgencia, la CIDH </w:t>
      </w:r>
      <w:r w:rsidR="00B41B72">
        <w:rPr>
          <w:rFonts w:ascii="Cambria" w:hAnsi="Cambria"/>
          <w:sz w:val="21"/>
          <w:szCs w:val="21"/>
        </w:rPr>
        <w:t>observa que</w:t>
      </w:r>
      <w:r w:rsidR="0074781D">
        <w:rPr>
          <w:rFonts w:ascii="Cambria" w:hAnsi="Cambria"/>
          <w:sz w:val="21"/>
          <w:szCs w:val="21"/>
        </w:rPr>
        <w:t>,</w:t>
      </w:r>
      <w:r w:rsidR="00B41B72">
        <w:rPr>
          <w:rFonts w:ascii="Cambria" w:hAnsi="Cambria"/>
          <w:sz w:val="21"/>
          <w:szCs w:val="21"/>
        </w:rPr>
        <w:t xml:space="preserve"> </w:t>
      </w:r>
      <w:r w:rsidR="00F70257">
        <w:rPr>
          <w:rFonts w:ascii="Cambria" w:hAnsi="Cambria"/>
          <w:sz w:val="21"/>
          <w:szCs w:val="21"/>
        </w:rPr>
        <w:t>de acuerdo con el solicitante,</w:t>
      </w:r>
      <w:r w:rsidR="00B41B72">
        <w:rPr>
          <w:rFonts w:ascii="Cambria" w:hAnsi="Cambria"/>
          <w:sz w:val="21"/>
          <w:szCs w:val="21"/>
        </w:rPr>
        <w:t xml:space="preserve"> </w:t>
      </w:r>
      <w:r w:rsidR="00EA4717">
        <w:rPr>
          <w:rFonts w:ascii="Cambria" w:hAnsi="Cambria"/>
          <w:sz w:val="21"/>
          <w:szCs w:val="21"/>
        </w:rPr>
        <w:t xml:space="preserve">en septiembre de 2017 </w:t>
      </w:r>
      <w:r w:rsidR="00F70257">
        <w:rPr>
          <w:rFonts w:ascii="Cambria" w:hAnsi="Cambria"/>
          <w:sz w:val="21"/>
          <w:szCs w:val="21"/>
        </w:rPr>
        <w:t xml:space="preserve">habrían asesinado a un familiar </w:t>
      </w:r>
      <w:r w:rsidR="0067164D">
        <w:rPr>
          <w:rFonts w:ascii="Cambria" w:hAnsi="Cambria"/>
          <w:sz w:val="21"/>
          <w:szCs w:val="21"/>
        </w:rPr>
        <w:t>del propuesto beneficiario</w:t>
      </w:r>
      <w:r w:rsidR="00454C7E">
        <w:rPr>
          <w:rFonts w:ascii="Cambria" w:hAnsi="Cambria"/>
          <w:sz w:val="21"/>
          <w:szCs w:val="21"/>
        </w:rPr>
        <w:t xml:space="preserve">, lo que </w:t>
      </w:r>
      <w:r w:rsidR="00EA4717">
        <w:rPr>
          <w:rFonts w:ascii="Cambria" w:hAnsi="Cambria"/>
          <w:sz w:val="21"/>
          <w:szCs w:val="21"/>
        </w:rPr>
        <w:t xml:space="preserve">según la línea de investigación establecida tendría relación con </w:t>
      </w:r>
      <w:r w:rsidR="0067164D">
        <w:rPr>
          <w:rFonts w:ascii="Cambria" w:hAnsi="Cambria"/>
          <w:sz w:val="21"/>
          <w:szCs w:val="21"/>
        </w:rPr>
        <w:t xml:space="preserve">su </w:t>
      </w:r>
      <w:r w:rsidR="00454C7E">
        <w:rPr>
          <w:rFonts w:ascii="Cambria" w:hAnsi="Cambria"/>
          <w:sz w:val="21"/>
          <w:szCs w:val="21"/>
        </w:rPr>
        <w:t>parentesco</w:t>
      </w:r>
      <w:r w:rsidR="00EA4717">
        <w:rPr>
          <w:rFonts w:ascii="Cambria" w:hAnsi="Cambria"/>
          <w:sz w:val="21"/>
          <w:szCs w:val="21"/>
        </w:rPr>
        <w:t>. Además, si bien el solicitante no aportó mayores detalles debido a la reserva de sus investigaciones, informó en su última comunicación a la Comisión que las amenazas habrían incrementado</w:t>
      </w:r>
      <w:r w:rsidR="0074781D">
        <w:rPr>
          <w:rFonts w:ascii="Cambria" w:hAnsi="Cambria"/>
          <w:sz w:val="21"/>
          <w:szCs w:val="21"/>
        </w:rPr>
        <w:t>.</w:t>
      </w:r>
      <w:r w:rsidR="00EA4717">
        <w:rPr>
          <w:rFonts w:ascii="Cambria" w:hAnsi="Cambria"/>
          <w:sz w:val="21"/>
          <w:szCs w:val="21"/>
        </w:rPr>
        <w:t xml:space="preserve"> L</w:t>
      </w:r>
      <w:r w:rsidR="00454C7E">
        <w:rPr>
          <w:rFonts w:ascii="Cambria" w:hAnsi="Cambria"/>
          <w:sz w:val="21"/>
          <w:szCs w:val="21"/>
        </w:rPr>
        <w:t xml:space="preserve">a Comisión </w:t>
      </w:r>
      <w:r w:rsidR="00EA4717">
        <w:rPr>
          <w:rFonts w:ascii="Cambria" w:hAnsi="Cambria"/>
          <w:sz w:val="21"/>
          <w:szCs w:val="21"/>
        </w:rPr>
        <w:t xml:space="preserve">observa </w:t>
      </w:r>
      <w:r w:rsidR="0067164D">
        <w:rPr>
          <w:rFonts w:ascii="Cambria" w:hAnsi="Cambria"/>
          <w:sz w:val="21"/>
          <w:szCs w:val="21"/>
        </w:rPr>
        <w:t xml:space="preserve">en este sentido, que resulta necesaria la adopción de medidas urgentes para evitar la materialización de una </w:t>
      </w:r>
      <w:r w:rsidR="0067164D">
        <w:rPr>
          <w:rFonts w:ascii="Cambria" w:hAnsi="Cambria"/>
          <w:sz w:val="21"/>
          <w:szCs w:val="21"/>
        </w:rPr>
        <w:lastRenderedPageBreak/>
        <w:t>afectación a la vida e integridad del propuesto beneficiario</w:t>
      </w:r>
      <w:r w:rsidR="00D26891">
        <w:rPr>
          <w:rFonts w:ascii="Cambria" w:hAnsi="Cambria"/>
          <w:sz w:val="21"/>
          <w:szCs w:val="21"/>
        </w:rPr>
        <w:t xml:space="preserve"> en el d</w:t>
      </w:r>
      <w:r w:rsidR="00364B02">
        <w:rPr>
          <w:rFonts w:ascii="Cambria" w:hAnsi="Cambria"/>
          <w:sz w:val="21"/>
          <w:szCs w:val="21"/>
        </w:rPr>
        <w:t>esempeño de sus funciones como F</w:t>
      </w:r>
      <w:r w:rsidR="00D26891">
        <w:rPr>
          <w:rFonts w:ascii="Cambria" w:hAnsi="Cambria"/>
          <w:sz w:val="21"/>
          <w:szCs w:val="21"/>
        </w:rPr>
        <w:t>iscal</w:t>
      </w:r>
      <w:r w:rsidR="00364B02">
        <w:rPr>
          <w:rFonts w:ascii="Cambria" w:hAnsi="Cambria"/>
          <w:sz w:val="21"/>
          <w:szCs w:val="21"/>
        </w:rPr>
        <w:t xml:space="preserve"> General de la República</w:t>
      </w:r>
      <w:r w:rsidR="0067164D">
        <w:rPr>
          <w:rFonts w:ascii="Cambria" w:hAnsi="Cambria"/>
          <w:sz w:val="21"/>
          <w:szCs w:val="21"/>
        </w:rPr>
        <w:t xml:space="preserve">. </w:t>
      </w:r>
      <w:r w:rsidR="00D26891">
        <w:rPr>
          <w:rFonts w:ascii="Cambria" w:hAnsi="Cambria"/>
          <w:sz w:val="21"/>
          <w:szCs w:val="21"/>
        </w:rPr>
        <w:t xml:space="preserve">La Comisión observa que según </w:t>
      </w:r>
      <w:r w:rsidR="0067164D">
        <w:rPr>
          <w:rFonts w:ascii="Cambria" w:hAnsi="Cambria"/>
          <w:sz w:val="21"/>
          <w:szCs w:val="21"/>
        </w:rPr>
        <w:t>lo ha indicado el solicitante</w:t>
      </w:r>
      <w:r w:rsidR="00D26891">
        <w:rPr>
          <w:rFonts w:ascii="Cambria" w:hAnsi="Cambria"/>
          <w:sz w:val="21"/>
          <w:szCs w:val="21"/>
        </w:rPr>
        <w:t>,</w:t>
      </w:r>
      <w:r w:rsidR="0067164D">
        <w:rPr>
          <w:rFonts w:ascii="Cambria" w:hAnsi="Cambria"/>
          <w:sz w:val="21"/>
          <w:szCs w:val="21"/>
        </w:rPr>
        <w:t xml:space="preserve"> el esquema de protección podría fortalecerse asegurando que el propuesto beneficiario cuente con protección de manera permanente</w:t>
      </w:r>
      <w:r w:rsidR="00360D69">
        <w:rPr>
          <w:rFonts w:ascii="Cambria" w:hAnsi="Cambria"/>
          <w:sz w:val="21"/>
          <w:szCs w:val="21"/>
        </w:rPr>
        <w:t xml:space="preserve"> e integral</w:t>
      </w:r>
      <w:r w:rsidR="0067164D">
        <w:rPr>
          <w:rFonts w:ascii="Cambria" w:hAnsi="Cambria"/>
          <w:sz w:val="21"/>
          <w:szCs w:val="21"/>
        </w:rPr>
        <w:t xml:space="preserve">, además de extenderse a su </w:t>
      </w:r>
      <w:r w:rsidR="00D26891">
        <w:rPr>
          <w:rFonts w:ascii="Cambria" w:hAnsi="Cambria"/>
          <w:sz w:val="21"/>
          <w:szCs w:val="21"/>
        </w:rPr>
        <w:t>núcleo</w:t>
      </w:r>
      <w:r w:rsidR="0067164D">
        <w:rPr>
          <w:rFonts w:ascii="Cambria" w:hAnsi="Cambria"/>
          <w:sz w:val="21"/>
          <w:szCs w:val="21"/>
        </w:rPr>
        <w:t xml:space="preserve"> familiar. </w:t>
      </w:r>
      <w:r w:rsidR="0074781D" w:rsidRPr="00971BC4">
        <w:rPr>
          <w:rFonts w:ascii="Cambria" w:hAnsi="Cambria"/>
          <w:sz w:val="21"/>
          <w:szCs w:val="21"/>
        </w:rPr>
        <w:t xml:space="preserve">La Comisión </w:t>
      </w:r>
      <w:r w:rsidR="00D259FA" w:rsidRPr="00971BC4">
        <w:rPr>
          <w:rFonts w:ascii="Cambria" w:hAnsi="Cambria"/>
          <w:sz w:val="21"/>
          <w:szCs w:val="21"/>
        </w:rPr>
        <w:t xml:space="preserve">destaca la voluntad expresada por </w:t>
      </w:r>
      <w:r w:rsidR="0074781D" w:rsidRPr="00971BC4">
        <w:rPr>
          <w:rFonts w:ascii="Cambria" w:hAnsi="Cambria"/>
          <w:sz w:val="21"/>
          <w:szCs w:val="21"/>
        </w:rPr>
        <w:t>parte del Estado de El Salvador</w:t>
      </w:r>
      <w:r w:rsidR="00D259FA" w:rsidRPr="00971BC4">
        <w:rPr>
          <w:rFonts w:ascii="Cambria" w:hAnsi="Cambria"/>
          <w:sz w:val="21"/>
          <w:szCs w:val="21"/>
        </w:rPr>
        <w:t>, en el sentido de revisar y apoyar el plan de seguridad con que cuenta el solicitante</w:t>
      </w:r>
      <w:r w:rsidR="0074781D" w:rsidRPr="00971BC4">
        <w:rPr>
          <w:rFonts w:ascii="Cambria" w:hAnsi="Cambria"/>
          <w:sz w:val="21"/>
          <w:szCs w:val="21"/>
        </w:rPr>
        <w:t>.</w:t>
      </w:r>
    </w:p>
    <w:p w:rsidR="0074781D" w:rsidRDefault="0074781D" w:rsidP="0074781D">
      <w:pPr>
        <w:pStyle w:val="ListParagraph"/>
        <w:spacing w:after="0" w:line="240" w:lineRule="auto"/>
        <w:ind w:left="360"/>
        <w:jc w:val="both"/>
        <w:rPr>
          <w:rFonts w:ascii="Cambria" w:hAnsi="Cambria"/>
          <w:sz w:val="21"/>
          <w:szCs w:val="21"/>
        </w:rPr>
      </w:pPr>
    </w:p>
    <w:p w:rsidR="00B31AB2" w:rsidRPr="00E00667" w:rsidRDefault="009A7179"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En cuanto al requisito de irreparabilidad, la Comisión estima que se encuentra cumplido, en la medida que la posible afectación al derecho a la vida e integridad personal constituye la máxima situación de irreparabilidad.</w:t>
      </w:r>
      <w:r w:rsidR="00A06E94">
        <w:rPr>
          <w:rFonts w:ascii="Cambria" w:hAnsi="Cambria"/>
          <w:sz w:val="21"/>
          <w:szCs w:val="21"/>
        </w:rPr>
        <w:t xml:space="preserve"> La Comisión toma especialmente en </w:t>
      </w:r>
      <w:r w:rsidR="00E048A6">
        <w:rPr>
          <w:rFonts w:ascii="Cambria" w:hAnsi="Cambria"/>
          <w:sz w:val="21"/>
          <w:szCs w:val="21"/>
        </w:rPr>
        <w:t xml:space="preserve">cuenta </w:t>
      </w:r>
      <w:r w:rsidR="00A06E94">
        <w:rPr>
          <w:rFonts w:ascii="Cambria" w:hAnsi="Cambria"/>
          <w:sz w:val="21"/>
          <w:szCs w:val="21"/>
        </w:rPr>
        <w:t>la importancia de proteger tales derechos</w:t>
      </w:r>
      <w:r w:rsidR="00CA0E3E">
        <w:rPr>
          <w:rFonts w:ascii="Cambria" w:hAnsi="Cambria"/>
          <w:sz w:val="21"/>
          <w:szCs w:val="21"/>
        </w:rPr>
        <w:t>,</w:t>
      </w:r>
      <w:r w:rsidR="00A06E94">
        <w:rPr>
          <w:rFonts w:ascii="Cambria" w:hAnsi="Cambria"/>
          <w:sz w:val="21"/>
          <w:szCs w:val="21"/>
        </w:rPr>
        <w:t xml:space="preserve"> los cuales son esenciales para que </w:t>
      </w:r>
      <w:r w:rsidR="005A5004">
        <w:rPr>
          <w:rFonts w:ascii="Cambria" w:hAnsi="Cambria"/>
          <w:sz w:val="21"/>
          <w:szCs w:val="21"/>
        </w:rPr>
        <w:t>el señor Douglas Arquímides Meléndez Ruíz desarrolle sus labores como Fiscal General de la República de El Salvador</w:t>
      </w:r>
      <w:r w:rsidR="00B76F29">
        <w:rPr>
          <w:rFonts w:ascii="Cambria" w:hAnsi="Cambria"/>
          <w:sz w:val="21"/>
          <w:szCs w:val="21"/>
        </w:rPr>
        <w:t xml:space="preserve"> </w:t>
      </w:r>
      <w:r w:rsidR="000044F5">
        <w:rPr>
          <w:rFonts w:ascii="Cambria" w:hAnsi="Cambria"/>
          <w:sz w:val="21"/>
          <w:szCs w:val="21"/>
        </w:rPr>
        <w:t>en forma independiente, libre de amenazas, agresiones u hostigamientos.</w:t>
      </w:r>
    </w:p>
    <w:p w:rsidR="00B31AB2" w:rsidRPr="00E00667" w:rsidRDefault="00B31AB2" w:rsidP="004A7406">
      <w:pPr>
        <w:spacing w:after="0" w:line="240" w:lineRule="auto"/>
        <w:jc w:val="both"/>
        <w:rPr>
          <w:rFonts w:ascii="Cambria" w:hAnsi="Cambria"/>
          <w:b/>
          <w:sz w:val="21"/>
          <w:szCs w:val="21"/>
        </w:rPr>
      </w:pPr>
    </w:p>
    <w:p w:rsidR="004A7406" w:rsidRDefault="004A7406" w:rsidP="00774729">
      <w:pPr>
        <w:pStyle w:val="ListParagraph"/>
        <w:numPr>
          <w:ilvl w:val="0"/>
          <w:numId w:val="17"/>
        </w:numPr>
        <w:spacing w:after="0" w:line="240" w:lineRule="auto"/>
        <w:ind w:left="810" w:hanging="270"/>
        <w:jc w:val="both"/>
        <w:rPr>
          <w:rFonts w:ascii="Cambria" w:hAnsi="Cambria"/>
          <w:b/>
          <w:sz w:val="21"/>
          <w:szCs w:val="21"/>
        </w:rPr>
      </w:pPr>
      <w:r w:rsidRPr="0030538A">
        <w:rPr>
          <w:rFonts w:ascii="Cambria" w:hAnsi="Cambria"/>
          <w:b/>
          <w:sz w:val="21"/>
          <w:szCs w:val="21"/>
        </w:rPr>
        <w:t>BENEFICIARIOS</w:t>
      </w:r>
    </w:p>
    <w:p w:rsidR="0020622F" w:rsidRPr="0030538A" w:rsidRDefault="0020622F" w:rsidP="0020622F">
      <w:pPr>
        <w:pStyle w:val="ListParagraph"/>
        <w:spacing w:after="0" w:line="240" w:lineRule="auto"/>
        <w:jc w:val="both"/>
        <w:rPr>
          <w:rFonts w:ascii="Cambria" w:hAnsi="Cambria"/>
          <w:b/>
          <w:sz w:val="21"/>
          <w:szCs w:val="21"/>
        </w:rPr>
      </w:pPr>
    </w:p>
    <w:p w:rsidR="00F567B9" w:rsidRPr="00E00667" w:rsidRDefault="00B31AB2" w:rsidP="00822F2C">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CIDH considera como beneficiarios de la presente medida cautelar a</w:t>
      </w:r>
      <w:r w:rsidR="00822F2C">
        <w:rPr>
          <w:rFonts w:ascii="Cambria" w:hAnsi="Cambria"/>
          <w:sz w:val="21"/>
          <w:szCs w:val="21"/>
        </w:rPr>
        <w:t>:</w:t>
      </w:r>
      <w:r w:rsidRPr="00E00667">
        <w:rPr>
          <w:rFonts w:ascii="Cambria" w:hAnsi="Cambria"/>
          <w:sz w:val="21"/>
          <w:szCs w:val="21"/>
        </w:rPr>
        <w:t xml:space="preserve"> </w:t>
      </w:r>
      <w:r w:rsidR="005A5004">
        <w:rPr>
          <w:rFonts w:ascii="Cambria" w:hAnsi="Cambria"/>
          <w:sz w:val="21"/>
          <w:szCs w:val="21"/>
          <w:lang w:val="es-CO"/>
        </w:rPr>
        <w:t>Douglas Arquímides Meléndez Ruíz, Fiscal General de la República de El Salvador, así como sus familiares plenamente identificados en la solicitud de medidas cautelares</w:t>
      </w:r>
      <w:r w:rsidR="00795BD7">
        <w:rPr>
          <w:rFonts w:ascii="Cambria" w:hAnsi="Cambria"/>
          <w:sz w:val="21"/>
          <w:szCs w:val="21"/>
          <w:lang w:val="es-CO"/>
        </w:rPr>
        <w:t xml:space="preserve">. </w:t>
      </w:r>
    </w:p>
    <w:p w:rsidR="00E25FB1" w:rsidRPr="00E00667" w:rsidRDefault="00E25FB1" w:rsidP="008677AF">
      <w:pPr>
        <w:spacing w:after="0" w:line="240" w:lineRule="auto"/>
        <w:jc w:val="both"/>
        <w:rPr>
          <w:rFonts w:ascii="Cambria" w:hAnsi="Cambria"/>
          <w:sz w:val="21"/>
          <w:szCs w:val="21"/>
        </w:rPr>
      </w:pPr>
    </w:p>
    <w:p w:rsidR="004A7406" w:rsidRDefault="00124373" w:rsidP="00774729">
      <w:pPr>
        <w:pStyle w:val="ListParagraph"/>
        <w:numPr>
          <w:ilvl w:val="0"/>
          <w:numId w:val="17"/>
        </w:numPr>
        <w:spacing w:after="0" w:line="240" w:lineRule="auto"/>
        <w:ind w:left="810" w:hanging="270"/>
        <w:jc w:val="both"/>
        <w:rPr>
          <w:rFonts w:ascii="Cambria" w:hAnsi="Cambria"/>
          <w:b/>
          <w:sz w:val="21"/>
          <w:szCs w:val="21"/>
        </w:rPr>
      </w:pPr>
      <w:r>
        <w:rPr>
          <w:rFonts w:ascii="Cambria" w:hAnsi="Cambria"/>
          <w:b/>
          <w:sz w:val="21"/>
          <w:szCs w:val="21"/>
        </w:rPr>
        <w:t>DECISI</w:t>
      </w:r>
      <w:r>
        <w:rPr>
          <w:rFonts w:ascii="Cambria" w:hAnsi="Cambria"/>
          <w:b/>
          <w:sz w:val="21"/>
          <w:szCs w:val="21"/>
          <w:lang w:val="es-MX"/>
        </w:rPr>
        <w:t>ÓN</w:t>
      </w:r>
      <w:r w:rsidR="004A7406" w:rsidRPr="0030538A">
        <w:rPr>
          <w:rFonts w:ascii="Cambria" w:hAnsi="Cambria"/>
          <w:b/>
          <w:sz w:val="21"/>
          <w:szCs w:val="21"/>
        </w:rPr>
        <w:t xml:space="preserve"> </w:t>
      </w:r>
    </w:p>
    <w:p w:rsidR="0020622F" w:rsidRPr="0030538A" w:rsidRDefault="0020622F" w:rsidP="0020622F">
      <w:pPr>
        <w:pStyle w:val="ListParagraph"/>
        <w:spacing w:after="0" w:line="240" w:lineRule="auto"/>
        <w:jc w:val="both"/>
        <w:rPr>
          <w:rFonts w:ascii="Cambria" w:hAnsi="Cambria"/>
          <w:b/>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vista de los antecedentes señalados, la CIDH considera que el presente asunto reúne </w:t>
      </w:r>
      <w:r w:rsidRPr="00E00667">
        <w:rPr>
          <w:rFonts w:ascii="Cambria" w:hAnsi="Cambria"/>
          <w:i/>
          <w:sz w:val="21"/>
          <w:szCs w:val="21"/>
        </w:rPr>
        <w:t>prima facie</w:t>
      </w:r>
      <w:r w:rsidRPr="00E00667">
        <w:rPr>
          <w:rFonts w:ascii="Cambria" w:hAnsi="Cambria"/>
          <w:sz w:val="21"/>
          <w:szCs w:val="21"/>
        </w:rPr>
        <w:t xml:space="preserve"> los requisitos de gravedad, urgencia e irreparabilidad contenidos en el artículo 25 de su Reglamento. En consecuencia, la Comisión solicita al Estado de </w:t>
      </w:r>
      <w:r w:rsidR="00795BD7">
        <w:rPr>
          <w:rFonts w:ascii="Cambria" w:hAnsi="Cambria"/>
          <w:sz w:val="21"/>
          <w:szCs w:val="21"/>
        </w:rPr>
        <w:t>El Salvador</w:t>
      </w:r>
      <w:r w:rsidRPr="00E00667">
        <w:rPr>
          <w:rFonts w:ascii="Cambria" w:hAnsi="Cambria"/>
          <w:sz w:val="21"/>
          <w:szCs w:val="21"/>
        </w:rPr>
        <w:t xml:space="preserve"> que:</w:t>
      </w:r>
    </w:p>
    <w:p w:rsidR="002115BB" w:rsidRPr="00E00667" w:rsidRDefault="002115BB" w:rsidP="002115BB">
      <w:pPr>
        <w:spacing w:after="0" w:line="240" w:lineRule="auto"/>
        <w:jc w:val="both"/>
        <w:rPr>
          <w:rFonts w:ascii="Cambria" w:hAnsi="Cambria"/>
          <w:sz w:val="21"/>
          <w:szCs w:val="21"/>
        </w:rPr>
      </w:pPr>
    </w:p>
    <w:p w:rsidR="005A5004" w:rsidRDefault="005A5004" w:rsidP="005A5004">
      <w:pPr>
        <w:pStyle w:val="ListParagraph"/>
        <w:numPr>
          <w:ilvl w:val="3"/>
          <w:numId w:val="20"/>
        </w:numPr>
        <w:spacing w:after="0" w:line="240" w:lineRule="auto"/>
        <w:ind w:left="720"/>
        <w:jc w:val="both"/>
        <w:rPr>
          <w:rFonts w:ascii="Cambria" w:hAnsi="Cambria"/>
          <w:sz w:val="21"/>
          <w:szCs w:val="21"/>
        </w:rPr>
      </w:pPr>
      <w:r w:rsidRPr="005A5004">
        <w:rPr>
          <w:rFonts w:ascii="Cambria" w:hAnsi="Cambria"/>
          <w:sz w:val="21"/>
          <w:szCs w:val="21"/>
        </w:rPr>
        <w:t>Adopte las medidas necesarias para preservar la vida y la integridad personal de</w:t>
      </w:r>
      <w:r w:rsidR="00D95C43">
        <w:rPr>
          <w:rFonts w:ascii="Cambria" w:hAnsi="Cambria"/>
          <w:sz w:val="21"/>
          <w:szCs w:val="21"/>
        </w:rPr>
        <w:t xml:space="preserve"> Douglas Arquímides Meléndez Ruí</w:t>
      </w:r>
      <w:r w:rsidRPr="005A5004">
        <w:rPr>
          <w:rFonts w:ascii="Cambria" w:hAnsi="Cambria"/>
          <w:sz w:val="21"/>
          <w:szCs w:val="21"/>
        </w:rPr>
        <w:t>z y su familia</w:t>
      </w:r>
      <w:r>
        <w:rPr>
          <w:rFonts w:ascii="Cambria" w:hAnsi="Cambria"/>
          <w:sz w:val="21"/>
          <w:szCs w:val="21"/>
        </w:rPr>
        <w:t xml:space="preserve">; </w:t>
      </w:r>
    </w:p>
    <w:p w:rsidR="005A5004" w:rsidRDefault="005A5004" w:rsidP="005A5004">
      <w:pPr>
        <w:pStyle w:val="ListParagraph"/>
        <w:spacing w:after="0" w:line="240" w:lineRule="auto"/>
        <w:jc w:val="both"/>
        <w:rPr>
          <w:rFonts w:ascii="Cambria" w:hAnsi="Cambria"/>
          <w:sz w:val="21"/>
          <w:szCs w:val="21"/>
        </w:rPr>
      </w:pPr>
    </w:p>
    <w:p w:rsidR="005A5004" w:rsidRDefault="005A5004" w:rsidP="005A5004">
      <w:pPr>
        <w:pStyle w:val="ListParagraph"/>
        <w:numPr>
          <w:ilvl w:val="3"/>
          <w:numId w:val="20"/>
        </w:numPr>
        <w:spacing w:after="0" w:line="240" w:lineRule="auto"/>
        <w:ind w:left="720"/>
        <w:jc w:val="both"/>
        <w:rPr>
          <w:rFonts w:ascii="Cambria" w:hAnsi="Cambria"/>
          <w:sz w:val="21"/>
          <w:szCs w:val="21"/>
        </w:rPr>
      </w:pPr>
      <w:r w:rsidRPr="005A5004">
        <w:rPr>
          <w:rFonts w:ascii="Cambria" w:hAnsi="Cambria"/>
          <w:sz w:val="21"/>
          <w:szCs w:val="21"/>
        </w:rPr>
        <w:t>Adopte las medidas necesarias para que el señor D</w:t>
      </w:r>
      <w:r w:rsidR="00D95C43">
        <w:rPr>
          <w:rFonts w:ascii="Cambria" w:hAnsi="Cambria"/>
          <w:sz w:val="21"/>
          <w:szCs w:val="21"/>
        </w:rPr>
        <w:t>ouglas Arquímides Meléndez Ruí</w:t>
      </w:r>
      <w:r w:rsidR="00364B02">
        <w:rPr>
          <w:rFonts w:ascii="Cambria" w:hAnsi="Cambria"/>
          <w:sz w:val="21"/>
          <w:szCs w:val="21"/>
        </w:rPr>
        <w:t>z</w:t>
      </w:r>
      <w:r w:rsidRPr="005A5004">
        <w:rPr>
          <w:rFonts w:ascii="Cambria" w:hAnsi="Cambria"/>
          <w:sz w:val="21"/>
          <w:szCs w:val="21"/>
        </w:rPr>
        <w:t xml:space="preserve"> pueda desarrollar sus labores como Fiscal General de la República de El Salvador</w:t>
      </w:r>
      <w:r>
        <w:rPr>
          <w:rFonts w:ascii="Cambria" w:hAnsi="Cambria"/>
          <w:sz w:val="21"/>
          <w:szCs w:val="21"/>
        </w:rPr>
        <w:t xml:space="preserve"> de manera independiente,</w:t>
      </w:r>
      <w:r w:rsidRPr="005A5004">
        <w:rPr>
          <w:rFonts w:ascii="Cambria" w:hAnsi="Cambria"/>
          <w:sz w:val="21"/>
          <w:szCs w:val="21"/>
        </w:rPr>
        <w:t xml:space="preserve"> sin ser objeto de actos de intimidación, amenazas y hostigamientos; </w:t>
      </w:r>
    </w:p>
    <w:p w:rsidR="005A5004" w:rsidRPr="005A5004" w:rsidRDefault="005A5004" w:rsidP="005A5004">
      <w:pPr>
        <w:spacing w:after="0" w:line="240" w:lineRule="auto"/>
        <w:jc w:val="both"/>
        <w:rPr>
          <w:rFonts w:ascii="Cambria" w:hAnsi="Cambria"/>
          <w:sz w:val="21"/>
          <w:szCs w:val="21"/>
        </w:rPr>
      </w:pPr>
    </w:p>
    <w:p w:rsidR="005A5004" w:rsidRDefault="005A5004" w:rsidP="005A5004">
      <w:pPr>
        <w:pStyle w:val="ListParagraph"/>
        <w:numPr>
          <w:ilvl w:val="3"/>
          <w:numId w:val="20"/>
        </w:numPr>
        <w:spacing w:after="0" w:line="240" w:lineRule="auto"/>
        <w:ind w:left="720"/>
        <w:jc w:val="both"/>
        <w:rPr>
          <w:rFonts w:ascii="Cambria" w:hAnsi="Cambria"/>
          <w:sz w:val="21"/>
          <w:szCs w:val="21"/>
        </w:rPr>
      </w:pPr>
      <w:r w:rsidRPr="005A5004">
        <w:rPr>
          <w:rFonts w:ascii="Cambria" w:hAnsi="Cambria"/>
          <w:sz w:val="21"/>
          <w:szCs w:val="21"/>
        </w:rPr>
        <w:t xml:space="preserve">Concierte las medidas a adoptarse con los beneficiarios y sus representantes; y </w:t>
      </w:r>
    </w:p>
    <w:p w:rsidR="005A5004" w:rsidRPr="005A5004" w:rsidRDefault="005A5004" w:rsidP="005A5004">
      <w:pPr>
        <w:spacing w:after="0" w:line="240" w:lineRule="auto"/>
        <w:jc w:val="both"/>
        <w:rPr>
          <w:rFonts w:ascii="Cambria" w:hAnsi="Cambria"/>
          <w:sz w:val="21"/>
          <w:szCs w:val="21"/>
        </w:rPr>
      </w:pPr>
    </w:p>
    <w:p w:rsidR="00795BD7" w:rsidRPr="005A5004" w:rsidRDefault="005A5004" w:rsidP="005A5004">
      <w:pPr>
        <w:pStyle w:val="ListParagraph"/>
        <w:numPr>
          <w:ilvl w:val="3"/>
          <w:numId w:val="20"/>
        </w:numPr>
        <w:spacing w:after="0" w:line="240" w:lineRule="auto"/>
        <w:ind w:left="720"/>
        <w:jc w:val="both"/>
        <w:rPr>
          <w:rFonts w:ascii="Cambria" w:hAnsi="Cambria"/>
          <w:sz w:val="21"/>
          <w:szCs w:val="21"/>
        </w:rPr>
      </w:pPr>
      <w:r w:rsidRPr="005A5004">
        <w:rPr>
          <w:rFonts w:ascii="Cambria" w:hAnsi="Cambria"/>
          <w:sz w:val="21"/>
          <w:szCs w:val="21"/>
        </w:rPr>
        <w:t>Informe sobre las acciones adoptadas a fin de investigar los hechos alegados que dieron lugar a la adopción de la presente medida cautelar y así evitar su repetición</w:t>
      </w:r>
      <w:r w:rsidR="00D259FA">
        <w:rPr>
          <w:rFonts w:ascii="Cambria" w:hAnsi="Cambria"/>
          <w:sz w:val="21"/>
          <w:szCs w:val="21"/>
        </w:rPr>
        <w:t>.</w:t>
      </w:r>
    </w:p>
    <w:p w:rsidR="00795BD7" w:rsidRPr="00795BD7" w:rsidRDefault="00795BD7" w:rsidP="00795BD7">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también solicita al Gobierno </w:t>
      </w:r>
      <w:r w:rsidR="00357B1A">
        <w:rPr>
          <w:rFonts w:ascii="Cambria" w:hAnsi="Cambria"/>
          <w:sz w:val="21"/>
          <w:szCs w:val="21"/>
        </w:rPr>
        <w:t xml:space="preserve">de </w:t>
      </w:r>
      <w:r w:rsidR="00795BD7">
        <w:rPr>
          <w:rFonts w:ascii="Cambria" w:hAnsi="Cambria"/>
          <w:sz w:val="21"/>
          <w:szCs w:val="21"/>
        </w:rPr>
        <w:t>El Salvador</w:t>
      </w:r>
      <w:r w:rsidR="00357B1A">
        <w:rPr>
          <w:rFonts w:ascii="Cambria" w:hAnsi="Cambria"/>
          <w:sz w:val="21"/>
          <w:szCs w:val="21"/>
        </w:rPr>
        <w:t xml:space="preserve"> </w:t>
      </w:r>
      <w:r w:rsidRPr="00E00667">
        <w:rPr>
          <w:rFonts w:ascii="Cambria" w:hAnsi="Cambria"/>
          <w:sz w:val="21"/>
          <w:szCs w:val="21"/>
        </w:rPr>
        <w:t>tenga a bien informar a la</w:t>
      </w:r>
      <w:r w:rsidR="009C6606" w:rsidRPr="00E00667">
        <w:rPr>
          <w:rFonts w:ascii="Cambria" w:hAnsi="Cambria"/>
          <w:sz w:val="21"/>
          <w:szCs w:val="21"/>
        </w:rPr>
        <w:t xml:space="preserve"> Comisión dentro del </w:t>
      </w:r>
      <w:r w:rsidR="009C6606" w:rsidRPr="0020622F">
        <w:rPr>
          <w:rFonts w:ascii="Cambria" w:hAnsi="Cambria"/>
          <w:i/>
          <w:sz w:val="21"/>
          <w:szCs w:val="21"/>
        </w:rPr>
        <w:t>plazo</w:t>
      </w:r>
      <w:r w:rsidR="009C6606" w:rsidRPr="00E00667">
        <w:rPr>
          <w:rFonts w:ascii="Cambria" w:hAnsi="Cambria"/>
          <w:sz w:val="21"/>
          <w:szCs w:val="21"/>
        </w:rPr>
        <w:t xml:space="preserve"> de </w:t>
      </w:r>
      <w:r w:rsidR="007C27C6">
        <w:rPr>
          <w:rFonts w:ascii="Cambria" w:hAnsi="Cambria"/>
          <w:sz w:val="21"/>
          <w:szCs w:val="21"/>
        </w:rPr>
        <w:t>15</w:t>
      </w:r>
      <w:r w:rsidRPr="00E00667">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E00667" w:rsidRDefault="004A7406"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E00667" w:rsidRDefault="004A7406" w:rsidP="004A7406">
      <w:pPr>
        <w:spacing w:after="0" w:line="240" w:lineRule="auto"/>
        <w:jc w:val="both"/>
        <w:rPr>
          <w:rFonts w:ascii="Cambria" w:hAnsi="Cambria"/>
          <w:sz w:val="21"/>
          <w:szCs w:val="21"/>
        </w:rPr>
      </w:pPr>
    </w:p>
    <w:p w:rsidR="004A7406" w:rsidRPr="007C54C4" w:rsidRDefault="004A7406" w:rsidP="004A7406">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w:t>
      </w:r>
      <w:r w:rsidR="00E048A6">
        <w:rPr>
          <w:rFonts w:ascii="Cambria" w:hAnsi="Cambria"/>
          <w:sz w:val="21"/>
          <w:szCs w:val="21"/>
        </w:rPr>
        <w:t xml:space="preserve">requiere </w:t>
      </w:r>
      <w:r w:rsidRPr="00E00667">
        <w:rPr>
          <w:rFonts w:ascii="Cambria" w:hAnsi="Cambria"/>
          <w:sz w:val="21"/>
          <w:szCs w:val="21"/>
        </w:rPr>
        <w:t xml:space="preserve">que la Secretaría de la Comisión Interamericana notifique la presente Resolución al Estado de </w:t>
      </w:r>
      <w:r w:rsidR="00795BD7">
        <w:rPr>
          <w:rFonts w:ascii="Cambria" w:hAnsi="Cambria"/>
          <w:sz w:val="21"/>
          <w:szCs w:val="21"/>
        </w:rPr>
        <w:t>El Salvador</w:t>
      </w:r>
      <w:r w:rsidRPr="00E00667">
        <w:rPr>
          <w:rFonts w:ascii="Cambria" w:hAnsi="Cambria"/>
          <w:sz w:val="21"/>
          <w:szCs w:val="21"/>
        </w:rPr>
        <w:t xml:space="preserve"> y a los solicitantes.</w:t>
      </w:r>
    </w:p>
    <w:p w:rsidR="001A5E49" w:rsidRPr="001A5E49" w:rsidRDefault="001A5E49" w:rsidP="007C54C4">
      <w:pPr>
        <w:spacing w:after="0" w:line="240" w:lineRule="auto"/>
        <w:rPr>
          <w:rFonts w:ascii="Cambria" w:hAnsi="Cambria"/>
          <w:sz w:val="21"/>
          <w:szCs w:val="21"/>
          <w:lang w:val="es-MX"/>
        </w:rPr>
      </w:pPr>
    </w:p>
    <w:p w:rsidR="00364B02" w:rsidRDefault="00364B02" w:rsidP="00364B02">
      <w:pPr>
        <w:pStyle w:val="ListParagraph"/>
        <w:numPr>
          <w:ilvl w:val="0"/>
          <w:numId w:val="20"/>
        </w:numPr>
        <w:spacing w:after="0" w:line="240" w:lineRule="auto"/>
        <w:ind w:left="0" w:firstLine="360"/>
        <w:jc w:val="both"/>
        <w:rPr>
          <w:rFonts w:ascii="Cambria" w:hAnsi="Cambria"/>
          <w:sz w:val="21"/>
          <w:szCs w:val="21"/>
          <w:lang w:val="es-MX"/>
        </w:rPr>
      </w:pPr>
      <w:r w:rsidRPr="00E00667">
        <w:rPr>
          <w:rFonts w:ascii="Cambria" w:hAnsi="Cambria"/>
          <w:sz w:val="21"/>
          <w:szCs w:val="21"/>
        </w:rPr>
        <w:t xml:space="preserve">Aprobado a los </w:t>
      </w:r>
      <w:r>
        <w:rPr>
          <w:rFonts w:ascii="Cambria" w:hAnsi="Cambria"/>
          <w:sz w:val="21"/>
          <w:szCs w:val="21"/>
        </w:rPr>
        <w:t>24</w:t>
      </w:r>
      <w:r w:rsidRPr="00E00667">
        <w:rPr>
          <w:rFonts w:ascii="Cambria" w:hAnsi="Cambria"/>
          <w:sz w:val="21"/>
          <w:szCs w:val="21"/>
        </w:rPr>
        <w:t xml:space="preserve"> días del mes de </w:t>
      </w:r>
      <w:r>
        <w:rPr>
          <w:rFonts w:ascii="Cambria" w:hAnsi="Cambria"/>
          <w:sz w:val="21"/>
          <w:szCs w:val="21"/>
        </w:rPr>
        <w:t xml:space="preserve">febrero </w:t>
      </w:r>
      <w:r w:rsidRPr="00E00667">
        <w:rPr>
          <w:rFonts w:ascii="Cambria" w:hAnsi="Cambria"/>
          <w:sz w:val="21"/>
          <w:szCs w:val="21"/>
        </w:rPr>
        <w:t>de 201</w:t>
      </w:r>
      <w:r>
        <w:rPr>
          <w:rFonts w:ascii="Cambria" w:hAnsi="Cambria"/>
          <w:sz w:val="21"/>
          <w:szCs w:val="21"/>
        </w:rPr>
        <w:t xml:space="preserve">8 por: </w:t>
      </w:r>
      <w:r w:rsidRPr="00D8536F">
        <w:rPr>
          <w:rFonts w:ascii="Cambria" w:hAnsi="Cambria"/>
          <w:sz w:val="21"/>
          <w:szCs w:val="21"/>
        </w:rPr>
        <w:t xml:space="preserve">Margarette May Macaulay </w:t>
      </w:r>
      <w:r>
        <w:rPr>
          <w:rFonts w:ascii="Cambria" w:hAnsi="Cambria"/>
          <w:sz w:val="21"/>
          <w:szCs w:val="21"/>
        </w:rPr>
        <w:t>Presidenta</w:t>
      </w:r>
      <w:r w:rsidRPr="00D8536F">
        <w:rPr>
          <w:rFonts w:ascii="Cambria" w:hAnsi="Cambria"/>
          <w:sz w:val="21"/>
          <w:szCs w:val="21"/>
        </w:rPr>
        <w:t>; Esmeralda Arosemena de Troitiño,</w:t>
      </w:r>
      <w:r>
        <w:rPr>
          <w:rFonts w:ascii="Cambria" w:hAnsi="Cambria"/>
          <w:sz w:val="21"/>
          <w:szCs w:val="21"/>
        </w:rPr>
        <w:t xml:space="preserve"> </w:t>
      </w:r>
      <w:r w:rsidRPr="00D8536F">
        <w:rPr>
          <w:rFonts w:ascii="Cambria" w:hAnsi="Cambria"/>
          <w:sz w:val="21"/>
          <w:szCs w:val="21"/>
        </w:rPr>
        <w:t>Primera Vicepresidenta; Luis Ernesto Vargas</w:t>
      </w:r>
      <w:r>
        <w:rPr>
          <w:rFonts w:ascii="Cambria" w:hAnsi="Cambria"/>
          <w:sz w:val="21"/>
          <w:szCs w:val="21"/>
        </w:rPr>
        <w:t xml:space="preserve">, </w:t>
      </w:r>
      <w:r>
        <w:rPr>
          <w:rFonts w:ascii="Cambria" w:hAnsi="Cambria"/>
          <w:sz w:val="21"/>
          <w:szCs w:val="21"/>
        </w:rPr>
        <w:lastRenderedPageBreak/>
        <w:t>Segundo Vicepresidente</w:t>
      </w:r>
      <w:r w:rsidRPr="00D8536F">
        <w:rPr>
          <w:rFonts w:ascii="Cambria" w:hAnsi="Cambria"/>
          <w:sz w:val="21"/>
          <w:szCs w:val="21"/>
        </w:rPr>
        <w:t>;</w:t>
      </w:r>
      <w:r>
        <w:rPr>
          <w:rFonts w:ascii="Cambria" w:hAnsi="Cambria"/>
          <w:sz w:val="21"/>
          <w:szCs w:val="21"/>
        </w:rPr>
        <w:t xml:space="preserve"> </w:t>
      </w:r>
      <w:r w:rsidRPr="00D8536F">
        <w:rPr>
          <w:rFonts w:ascii="Cambria" w:hAnsi="Cambria"/>
          <w:sz w:val="21"/>
          <w:szCs w:val="21"/>
        </w:rPr>
        <w:t>Francisco José Eguiguren Praeli</w:t>
      </w:r>
      <w:r>
        <w:rPr>
          <w:rFonts w:ascii="Cambria" w:hAnsi="Cambria"/>
          <w:sz w:val="21"/>
          <w:szCs w:val="21"/>
        </w:rPr>
        <w:t>,</w:t>
      </w:r>
      <w:r w:rsidRPr="00D8536F">
        <w:rPr>
          <w:rFonts w:ascii="Cambria" w:hAnsi="Cambria"/>
          <w:sz w:val="21"/>
          <w:szCs w:val="21"/>
        </w:rPr>
        <w:t xml:space="preserve"> Joel Antonio Hernández García, Antonia Urrejola</w:t>
      </w:r>
      <w:r>
        <w:rPr>
          <w:rFonts w:ascii="Cambria" w:hAnsi="Cambria"/>
          <w:sz w:val="21"/>
          <w:szCs w:val="21"/>
        </w:rPr>
        <w:t xml:space="preserve"> y</w:t>
      </w:r>
      <w:r w:rsidRPr="00D8536F">
        <w:rPr>
          <w:rFonts w:ascii="Cambria" w:hAnsi="Cambria"/>
          <w:sz w:val="21"/>
          <w:szCs w:val="21"/>
        </w:rPr>
        <w:t xml:space="preserve"> Flavia Piove</w:t>
      </w:r>
      <w:r>
        <w:rPr>
          <w:rFonts w:ascii="Cambria" w:hAnsi="Cambria"/>
          <w:sz w:val="21"/>
          <w:szCs w:val="21"/>
        </w:rPr>
        <w:t>san</w:t>
      </w:r>
      <w:r w:rsidRPr="00D8536F">
        <w:rPr>
          <w:rFonts w:ascii="Cambria" w:hAnsi="Cambria"/>
          <w:sz w:val="21"/>
          <w:szCs w:val="21"/>
        </w:rPr>
        <w:t>, miembros de la CIDH.</w:t>
      </w:r>
    </w:p>
    <w:p w:rsidR="00364B02" w:rsidRDefault="00364B02" w:rsidP="00364B02">
      <w:pPr>
        <w:spacing w:after="0" w:line="240" w:lineRule="auto"/>
        <w:jc w:val="center"/>
        <w:rPr>
          <w:rFonts w:ascii="Cambria" w:hAnsi="Cambria"/>
          <w:sz w:val="21"/>
          <w:szCs w:val="21"/>
          <w:lang w:val="es-MX"/>
        </w:rPr>
      </w:pPr>
    </w:p>
    <w:p w:rsidR="00364B02" w:rsidRDefault="00364B02" w:rsidP="001F124C">
      <w:pPr>
        <w:spacing w:after="0" w:line="240" w:lineRule="auto"/>
        <w:rPr>
          <w:rFonts w:ascii="Cambria" w:hAnsi="Cambria"/>
          <w:sz w:val="21"/>
          <w:szCs w:val="21"/>
          <w:lang w:val="es-MX"/>
        </w:rPr>
      </w:pPr>
    </w:p>
    <w:p w:rsidR="0063250D" w:rsidRDefault="0063250D" w:rsidP="001F124C">
      <w:pPr>
        <w:spacing w:after="0" w:line="240" w:lineRule="auto"/>
        <w:rPr>
          <w:rFonts w:ascii="Cambria" w:hAnsi="Cambria"/>
          <w:sz w:val="21"/>
          <w:szCs w:val="21"/>
          <w:lang w:val="es-MX"/>
        </w:rPr>
      </w:pPr>
    </w:p>
    <w:p w:rsidR="00364B02" w:rsidRDefault="00364B02" w:rsidP="00364B02">
      <w:pPr>
        <w:spacing w:after="0" w:line="240" w:lineRule="auto"/>
        <w:jc w:val="center"/>
        <w:rPr>
          <w:rFonts w:ascii="Cambria" w:hAnsi="Cambria"/>
          <w:sz w:val="21"/>
          <w:szCs w:val="21"/>
          <w:lang w:val="es-MX"/>
        </w:rPr>
      </w:pPr>
    </w:p>
    <w:p w:rsidR="00364B02" w:rsidRDefault="00364B02" w:rsidP="00364B02">
      <w:pPr>
        <w:spacing w:after="0" w:line="240" w:lineRule="auto"/>
        <w:jc w:val="center"/>
        <w:rPr>
          <w:rFonts w:ascii="Cambria" w:hAnsi="Cambria"/>
          <w:sz w:val="21"/>
          <w:szCs w:val="21"/>
          <w:lang w:val="es-MX"/>
        </w:rPr>
      </w:pPr>
      <w:r>
        <w:rPr>
          <w:rFonts w:ascii="Cambria" w:hAnsi="Cambria"/>
          <w:sz w:val="21"/>
          <w:szCs w:val="21"/>
          <w:lang w:val="es-MX"/>
        </w:rPr>
        <w:t>Lilly</w:t>
      </w:r>
      <w:r w:rsidRPr="00BF57E3">
        <w:rPr>
          <w:rFonts w:ascii="Cambria" w:hAnsi="Cambria"/>
          <w:sz w:val="21"/>
          <w:szCs w:val="21"/>
          <w:lang w:val="es-MX"/>
        </w:rPr>
        <w:t xml:space="preserve"> Ching-Soto</w:t>
      </w:r>
    </w:p>
    <w:p w:rsidR="00364B02" w:rsidRPr="001A5E49" w:rsidRDefault="00364B02" w:rsidP="00364B02">
      <w:pPr>
        <w:spacing w:after="0" w:line="240" w:lineRule="auto"/>
        <w:jc w:val="center"/>
        <w:rPr>
          <w:rFonts w:ascii="Cambria" w:hAnsi="Cambria"/>
          <w:sz w:val="21"/>
          <w:szCs w:val="21"/>
          <w:lang w:val="es-MX"/>
        </w:rPr>
      </w:pPr>
      <w:r>
        <w:rPr>
          <w:rFonts w:ascii="Cambria" w:hAnsi="Cambria"/>
          <w:sz w:val="21"/>
          <w:szCs w:val="21"/>
          <w:lang w:val="es-MX"/>
        </w:rPr>
        <w:t>Por autorización del Secretario Ejecutivo</w:t>
      </w:r>
    </w:p>
    <w:p w:rsidR="001A5E49" w:rsidRPr="001A5E49" w:rsidRDefault="001A5E49" w:rsidP="001A5E49">
      <w:pPr>
        <w:spacing w:after="0" w:line="240" w:lineRule="auto"/>
        <w:jc w:val="center"/>
        <w:rPr>
          <w:rFonts w:ascii="Cambria" w:hAnsi="Cambria"/>
          <w:sz w:val="21"/>
          <w:szCs w:val="21"/>
          <w:lang w:val="es-MX"/>
        </w:rPr>
      </w:pPr>
    </w:p>
    <w:sectPr w:rsidR="001A5E49" w:rsidRPr="001A5E49"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B6" w:rsidRDefault="002F7DB6" w:rsidP="00666672">
      <w:pPr>
        <w:spacing w:after="0" w:line="240" w:lineRule="auto"/>
      </w:pPr>
      <w:r>
        <w:separator/>
      </w:r>
    </w:p>
  </w:endnote>
  <w:endnote w:type="continuationSeparator" w:id="0">
    <w:p w:rsidR="002F7DB6" w:rsidRDefault="002F7DB6"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EC" w:rsidRPr="00C522EB" w:rsidRDefault="00FE10EC"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7254AC">
      <w:rPr>
        <w:rStyle w:val="PageNumber"/>
        <w:rFonts w:asciiTheme="majorHAnsi" w:hAnsiTheme="majorHAnsi"/>
        <w:noProof/>
        <w:sz w:val="16"/>
      </w:rPr>
      <w:t>1</w:t>
    </w:r>
    <w:r w:rsidRPr="00C522EB">
      <w:rPr>
        <w:rStyle w:val="PageNumber"/>
        <w:rFonts w:asciiTheme="majorHAnsi" w:hAnsiTheme="majorHAnsi"/>
        <w:sz w:val="16"/>
      </w:rPr>
      <w:fldChar w:fldCharType="end"/>
    </w:r>
  </w:p>
  <w:p w:rsidR="00124373" w:rsidRDefault="00124373"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B6" w:rsidRDefault="002F7DB6" w:rsidP="00666672">
      <w:pPr>
        <w:spacing w:after="0" w:line="240" w:lineRule="auto"/>
      </w:pPr>
      <w:r>
        <w:separator/>
      </w:r>
    </w:p>
  </w:footnote>
  <w:footnote w:type="continuationSeparator" w:id="0">
    <w:p w:rsidR="002F7DB6" w:rsidRDefault="002F7DB6" w:rsidP="00666672">
      <w:pPr>
        <w:spacing w:after="0" w:line="240" w:lineRule="auto"/>
      </w:pPr>
      <w:r>
        <w:continuationSeparator/>
      </w:r>
    </w:p>
  </w:footnote>
  <w:footnote w:id="1">
    <w:p w:rsidR="00E845A8" w:rsidRPr="0061442C" w:rsidRDefault="00E845A8" w:rsidP="00B46202">
      <w:pPr>
        <w:pStyle w:val="FootnoteText"/>
        <w:spacing w:after="0"/>
        <w:rPr>
          <w:rFonts w:ascii="Calibri Light" w:hAnsi="Calibri Light"/>
          <w:sz w:val="16"/>
          <w:szCs w:val="16"/>
        </w:rPr>
      </w:pPr>
      <w:r w:rsidRPr="0061442C">
        <w:rPr>
          <w:rStyle w:val="FootnoteReference"/>
          <w:rFonts w:ascii="Calibri Light" w:hAnsi="Calibri Light"/>
          <w:sz w:val="16"/>
          <w:szCs w:val="16"/>
        </w:rPr>
        <w:footnoteRef/>
      </w:r>
      <w:r w:rsidRPr="0061442C">
        <w:rPr>
          <w:rFonts w:ascii="Calibri Light" w:hAnsi="Calibri Light"/>
          <w:sz w:val="16"/>
          <w:szCs w:val="16"/>
        </w:rPr>
        <w:t xml:space="preserve"> Específicamente, el Estado señaló que el solicitante forma parte de la Comisión Coordinadora del Sector Justicia, del Consejo Nacional de Seguridad Ciudadana y Convivencia y del Mecanismo de Coordinación Interinstitucional para el Fortalecimiento de los Controles Internos de las Instituciones de Seguridad.</w:t>
      </w:r>
    </w:p>
  </w:footnote>
  <w:footnote w:id="2">
    <w:p w:rsidR="005557E9" w:rsidRPr="0061442C" w:rsidRDefault="005557E9" w:rsidP="00B46202">
      <w:pPr>
        <w:pStyle w:val="FootnoteText"/>
        <w:spacing w:after="0" w:line="240" w:lineRule="auto"/>
        <w:rPr>
          <w:rFonts w:ascii="Calibri Light" w:hAnsi="Calibri Light"/>
          <w:sz w:val="16"/>
          <w:szCs w:val="16"/>
          <w:lang w:val="es-MX"/>
        </w:rPr>
      </w:pPr>
      <w:r w:rsidRPr="0061442C">
        <w:rPr>
          <w:rStyle w:val="FootnoteReference"/>
          <w:rFonts w:ascii="Calibri Light" w:hAnsi="Calibri Light"/>
          <w:sz w:val="16"/>
          <w:szCs w:val="16"/>
        </w:rPr>
        <w:footnoteRef/>
      </w:r>
      <w:r w:rsidRPr="0061442C">
        <w:rPr>
          <w:rFonts w:ascii="Calibri Light" w:hAnsi="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61442C">
        <w:rPr>
          <w:rFonts w:ascii="Calibri Light" w:hAnsi="Calibri Light"/>
          <w:i/>
          <w:sz w:val="16"/>
          <w:szCs w:val="16"/>
          <w:lang w:val="es-MX"/>
        </w:rPr>
        <w:t>Asunto de los niños y adolescentes privados de libertad en el “Complexo do Tatuapé” de la Fundação CASA</w:t>
      </w:r>
      <w:r w:rsidRPr="0061442C">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3">
    <w:p w:rsidR="0085535D" w:rsidRPr="0061442C" w:rsidRDefault="0085535D" w:rsidP="0085535D">
      <w:pPr>
        <w:spacing w:after="0" w:line="240" w:lineRule="auto"/>
        <w:rPr>
          <w:rFonts w:ascii="Calibri Light" w:hAnsi="Calibri Light"/>
          <w:sz w:val="16"/>
          <w:szCs w:val="16"/>
        </w:rPr>
      </w:pPr>
      <w:r w:rsidRPr="0061442C">
        <w:rPr>
          <w:rStyle w:val="FootnoteReference"/>
          <w:rFonts w:ascii="Calibri Light" w:hAnsi="Calibri Light"/>
          <w:sz w:val="16"/>
          <w:szCs w:val="16"/>
        </w:rPr>
        <w:footnoteRef/>
      </w:r>
      <w:r w:rsidRPr="0061442C">
        <w:rPr>
          <w:rFonts w:ascii="Calibri Light" w:hAnsi="Calibri Light"/>
          <w:sz w:val="16"/>
          <w:szCs w:val="16"/>
        </w:rPr>
        <w:t xml:space="preserve"> </w:t>
      </w:r>
      <w:r w:rsidRPr="0061442C">
        <w:rPr>
          <w:rFonts w:ascii="Calibri Light" w:hAnsi="Calibri Light"/>
          <w:sz w:val="16"/>
          <w:szCs w:val="16"/>
          <w:lang w:val="es-MX"/>
        </w:rPr>
        <w:t xml:space="preserve">Insight Crime. </w:t>
      </w:r>
      <w:hyperlink r:id="rId1" w:history="1">
        <w:r w:rsidRPr="00364B02">
          <w:rPr>
            <w:rFonts w:ascii="Calibri Light" w:hAnsi="Calibri Light"/>
            <w:i/>
            <w:sz w:val="16"/>
            <w:szCs w:val="16"/>
            <w:lang w:val="es-MX"/>
          </w:rPr>
          <w:t>Balance de Insight Crime sobre homicidios en Latinoamérica en 2016</w:t>
        </w:r>
      </w:hyperlink>
      <w:r w:rsidRPr="0061442C">
        <w:rPr>
          <w:rFonts w:ascii="Calibri Light" w:hAnsi="Calibri Light"/>
          <w:sz w:val="16"/>
          <w:szCs w:val="16"/>
          <w:lang w:val="es-MX"/>
        </w:rPr>
        <w:t xml:space="preserve">. 17 de enero de 2017; Banco Mundial. </w:t>
      </w:r>
      <w:hyperlink r:id="rId2" w:history="1">
        <w:r w:rsidRPr="0061442C">
          <w:rPr>
            <w:rFonts w:ascii="Calibri Light" w:hAnsi="Calibri Light"/>
            <w:sz w:val="16"/>
            <w:szCs w:val="16"/>
            <w:lang w:val="es-MX"/>
          </w:rPr>
          <w:t>Homicidios internacionales (por cada 100.000 habitantes).</w:t>
        </w:r>
      </w:hyperlink>
      <w:r w:rsidRPr="0061442C">
        <w:rPr>
          <w:rFonts w:ascii="Calibri Light" w:hAnsi="Calibri Light"/>
          <w:sz w:val="16"/>
          <w:szCs w:val="16"/>
          <w:lang w:val="es-MX"/>
        </w:rPr>
        <w:t xml:space="preserve"> 2015.</w:t>
      </w:r>
    </w:p>
  </w:footnote>
  <w:footnote w:id="4">
    <w:p w:rsidR="00BE1B6C" w:rsidRPr="0061442C" w:rsidRDefault="00BE1B6C" w:rsidP="00B46202">
      <w:pPr>
        <w:pStyle w:val="FootnoteText"/>
        <w:spacing w:after="0" w:line="240" w:lineRule="auto"/>
        <w:rPr>
          <w:rFonts w:ascii="Calibri Light" w:hAnsi="Calibri Light"/>
          <w:sz w:val="16"/>
          <w:szCs w:val="16"/>
          <w:lang w:val="es-MX"/>
        </w:rPr>
      </w:pPr>
      <w:r w:rsidRPr="0061442C">
        <w:rPr>
          <w:rStyle w:val="FootnoteReference"/>
          <w:rFonts w:ascii="Calibri Light" w:hAnsi="Calibri Light"/>
          <w:sz w:val="16"/>
          <w:szCs w:val="16"/>
        </w:rPr>
        <w:footnoteRef/>
      </w:r>
      <w:r w:rsidRPr="0061442C">
        <w:rPr>
          <w:rFonts w:ascii="Calibri Light" w:hAnsi="Calibri Light"/>
          <w:sz w:val="16"/>
          <w:szCs w:val="16"/>
        </w:rPr>
        <w:t xml:space="preserve"> </w:t>
      </w:r>
      <w:r w:rsidRPr="0061442C">
        <w:rPr>
          <w:rFonts w:ascii="Calibri Light" w:hAnsi="Calibri Light"/>
          <w:sz w:val="16"/>
          <w:szCs w:val="16"/>
          <w:lang w:val="es-MX"/>
        </w:rPr>
        <w:t>CIDH, Resolución 1/17 Derechos Humanos y lucha contra la Impunidad y la Corrupción, 12 de septiembre de 2017. Disponible en: http://www.oas.org/es/cidh/decisiones/pdf/Resolucion-1-17-es.pdf</w:t>
      </w:r>
    </w:p>
  </w:footnote>
  <w:footnote w:id="5">
    <w:p w:rsidR="0085535D" w:rsidRPr="0061442C" w:rsidRDefault="0085535D" w:rsidP="0085535D">
      <w:pPr>
        <w:pStyle w:val="FootnoteText"/>
        <w:spacing w:after="0" w:line="240" w:lineRule="auto"/>
        <w:rPr>
          <w:rFonts w:ascii="Calibri Light" w:hAnsi="Calibri Light"/>
          <w:sz w:val="16"/>
          <w:szCs w:val="16"/>
          <w:lang w:val="es-MX"/>
        </w:rPr>
      </w:pPr>
      <w:r w:rsidRPr="0061442C">
        <w:rPr>
          <w:rStyle w:val="FootnoteReference"/>
          <w:rFonts w:ascii="Calibri Light" w:hAnsi="Calibri Light"/>
          <w:sz w:val="16"/>
          <w:szCs w:val="16"/>
        </w:rPr>
        <w:footnoteRef/>
      </w:r>
      <w:r w:rsidRPr="0061442C">
        <w:rPr>
          <w:rFonts w:ascii="Calibri Light" w:hAnsi="Calibri Light"/>
          <w:sz w:val="16"/>
          <w:szCs w:val="16"/>
        </w:rPr>
        <w:t xml:space="preserve"> </w:t>
      </w:r>
      <w:r w:rsidRPr="0061442C">
        <w:rPr>
          <w:rFonts w:ascii="Calibri Light" w:hAnsi="Calibri Light"/>
          <w:sz w:val="16"/>
          <w:szCs w:val="16"/>
          <w:lang w:val="es-MX"/>
        </w:rPr>
        <w:t xml:space="preserve">CIDH, </w:t>
      </w:r>
      <w:r w:rsidRPr="0061442C">
        <w:rPr>
          <w:rFonts w:ascii="Calibri Light" w:hAnsi="Calibri Light"/>
          <w:i/>
          <w:sz w:val="16"/>
          <w:szCs w:val="16"/>
          <w:lang w:val="es-MX"/>
        </w:rPr>
        <w:t xml:space="preserve">Informe sobre las Garantías para Operadoras y Operadores de Justicia en las Américas, </w:t>
      </w:r>
      <w:r w:rsidRPr="0061442C">
        <w:rPr>
          <w:rFonts w:ascii="Calibri Light" w:hAnsi="Calibri Light"/>
          <w:sz w:val="16"/>
          <w:szCs w:val="16"/>
          <w:lang w:val="es-MX"/>
        </w:rPr>
        <w:t>OEA/Ser.L/V/II., Doc. 44, 5 diciembre 2013, párr.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73" w:rsidRPr="006A2671" w:rsidRDefault="00124373" w:rsidP="00124373">
    <w:pPr>
      <w:tabs>
        <w:tab w:val="left" w:pos="4040"/>
        <w:tab w:val="left" w:pos="4333"/>
        <w:tab w:val="center" w:pos="4680"/>
        <w:tab w:val="right" w:pos="9360"/>
      </w:tabs>
      <w:jc w:val="both"/>
      <w:rPr>
        <w:rFonts w:eastAsia="Calibri"/>
      </w:rPr>
    </w:pPr>
    <w:r>
      <w:rPr>
        <w:rFonts w:eastAsia="Calibri"/>
        <w:noProof/>
        <w:lang w:val="en-US" w:eastAsia="zh-CN"/>
      </w:rPr>
      <w:drawing>
        <wp:inline distT="0" distB="0" distL="0" distR="0" wp14:anchorId="4D6ED597" wp14:editId="3004D39B">
          <wp:extent cx="2355850" cy="450850"/>
          <wp:effectExtent l="0" t="0" r="6350" b="635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eastAsia="zh-CN"/>
      </w:rPr>
      <w:drawing>
        <wp:inline distT="0" distB="0" distL="0" distR="0" wp14:anchorId="44369B4E" wp14:editId="7DF0C970">
          <wp:extent cx="2101850" cy="539750"/>
          <wp:effectExtent l="0" t="0" r="0" b="0"/>
          <wp:docPr id="2"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124373" w:rsidRPr="006A2671" w:rsidRDefault="00124373"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831DC"/>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7">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991A0B"/>
    <w:multiLevelType w:val="hybridMultilevel"/>
    <w:tmpl w:val="9AEE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C6913"/>
    <w:multiLevelType w:val="hybridMultilevel"/>
    <w:tmpl w:val="82F21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80C8F"/>
    <w:multiLevelType w:val="hybridMultilevel"/>
    <w:tmpl w:val="F004627A"/>
    <w:lvl w:ilvl="0" w:tplc="0409001B">
      <w:start w:val="1"/>
      <w:numFmt w:val="lowerRoman"/>
      <w:lvlText w:val="%1."/>
      <w:lvlJc w:val="righ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9">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0"/>
  </w:num>
  <w:num w:numId="5">
    <w:abstractNumId w:val="18"/>
  </w:num>
  <w:num w:numId="6">
    <w:abstractNumId w:val="5"/>
  </w:num>
  <w:num w:numId="7">
    <w:abstractNumId w:val="22"/>
  </w:num>
  <w:num w:numId="8">
    <w:abstractNumId w:val="10"/>
  </w:num>
  <w:num w:numId="9">
    <w:abstractNumId w:val="29"/>
  </w:num>
  <w:num w:numId="10">
    <w:abstractNumId w:val="6"/>
  </w:num>
  <w:num w:numId="11">
    <w:abstractNumId w:val="13"/>
  </w:num>
  <w:num w:numId="12">
    <w:abstractNumId w:val="3"/>
  </w:num>
  <w:num w:numId="13">
    <w:abstractNumId w:val="21"/>
  </w:num>
  <w:num w:numId="14">
    <w:abstractNumId w:val="27"/>
  </w:num>
  <w:num w:numId="15">
    <w:abstractNumId w:val="11"/>
  </w:num>
  <w:num w:numId="16">
    <w:abstractNumId w:val="24"/>
  </w:num>
  <w:num w:numId="17">
    <w:abstractNumId w:val="25"/>
  </w:num>
  <w:num w:numId="18">
    <w:abstractNumId w:val="14"/>
  </w:num>
  <w:num w:numId="19">
    <w:abstractNumId w:val="16"/>
  </w:num>
  <w:num w:numId="20">
    <w:abstractNumId w:val="15"/>
  </w:num>
  <w:num w:numId="21">
    <w:abstractNumId w:val="19"/>
  </w:num>
  <w:num w:numId="22">
    <w:abstractNumId w:val="23"/>
  </w:num>
  <w:num w:numId="23">
    <w:abstractNumId w:val="7"/>
  </w:num>
  <w:num w:numId="24">
    <w:abstractNumId w:val="12"/>
  </w:num>
  <w:num w:numId="25">
    <w:abstractNumId w:val="2"/>
  </w:num>
  <w:num w:numId="26">
    <w:abstractNumId w:val="1"/>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44F5"/>
    <w:rsid w:val="0003711E"/>
    <w:rsid w:val="000439E6"/>
    <w:rsid w:val="00054B0A"/>
    <w:rsid w:val="00057176"/>
    <w:rsid w:val="00066145"/>
    <w:rsid w:val="00074408"/>
    <w:rsid w:val="00084C89"/>
    <w:rsid w:val="000865EC"/>
    <w:rsid w:val="00086B8D"/>
    <w:rsid w:val="000879F3"/>
    <w:rsid w:val="00092480"/>
    <w:rsid w:val="000A24F5"/>
    <w:rsid w:val="000C1ACF"/>
    <w:rsid w:val="000C2615"/>
    <w:rsid w:val="000C29E8"/>
    <w:rsid w:val="000C35D0"/>
    <w:rsid w:val="000C3FFC"/>
    <w:rsid w:val="000C51B0"/>
    <w:rsid w:val="000D25E9"/>
    <w:rsid w:val="000D299A"/>
    <w:rsid w:val="000D3CCD"/>
    <w:rsid w:val="000D434D"/>
    <w:rsid w:val="000F0742"/>
    <w:rsid w:val="000F4E32"/>
    <w:rsid w:val="000F7B20"/>
    <w:rsid w:val="00114773"/>
    <w:rsid w:val="001163CE"/>
    <w:rsid w:val="00121AF2"/>
    <w:rsid w:val="00124373"/>
    <w:rsid w:val="00124C24"/>
    <w:rsid w:val="001434CC"/>
    <w:rsid w:val="00145D09"/>
    <w:rsid w:val="001508E7"/>
    <w:rsid w:val="0015120E"/>
    <w:rsid w:val="00153585"/>
    <w:rsid w:val="00157657"/>
    <w:rsid w:val="001620E8"/>
    <w:rsid w:val="00163B60"/>
    <w:rsid w:val="001642C9"/>
    <w:rsid w:val="0017045C"/>
    <w:rsid w:val="0018027F"/>
    <w:rsid w:val="001811EE"/>
    <w:rsid w:val="00181B74"/>
    <w:rsid w:val="00181CD0"/>
    <w:rsid w:val="0018272E"/>
    <w:rsid w:val="00194B8F"/>
    <w:rsid w:val="001954A3"/>
    <w:rsid w:val="001A5E49"/>
    <w:rsid w:val="001B6041"/>
    <w:rsid w:val="001B705D"/>
    <w:rsid w:val="001B7E64"/>
    <w:rsid w:val="001C5E47"/>
    <w:rsid w:val="001D1F98"/>
    <w:rsid w:val="001D4475"/>
    <w:rsid w:val="001E082A"/>
    <w:rsid w:val="001E6D88"/>
    <w:rsid w:val="001E75C3"/>
    <w:rsid w:val="001F124C"/>
    <w:rsid w:val="001F45E8"/>
    <w:rsid w:val="001F7351"/>
    <w:rsid w:val="0020622F"/>
    <w:rsid w:val="00207780"/>
    <w:rsid w:val="002115BB"/>
    <w:rsid w:val="002244C7"/>
    <w:rsid w:val="00225000"/>
    <w:rsid w:val="002262D6"/>
    <w:rsid w:val="00227FA6"/>
    <w:rsid w:val="00231FC6"/>
    <w:rsid w:val="00233DFE"/>
    <w:rsid w:val="00233EAF"/>
    <w:rsid w:val="00251CD7"/>
    <w:rsid w:val="00255C76"/>
    <w:rsid w:val="00277514"/>
    <w:rsid w:val="00282F1E"/>
    <w:rsid w:val="002843AE"/>
    <w:rsid w:val="0029141D"/>
    <w:rsid w:val="00294A13"/>
    <w:rsid w:val="002A1BAE"/>
    <w:rsid w:val="002A24C7"/>
    <w:rsid w:val="002C0C5D"/>
    <w:rsid w:val="002C1BB1"/>
    <w:rsid w:val="002C3823"/>
    <w:rsid w:val="002C4A93"/>
    <w:rsid w:val="002C57CC"/>
    <w:rsid w:val="002D4AA4"/>
    <w:rsid w:val="002E1D15"/>
    <w:rsid w:val="002E48B6"/>
    <w:rsid w:val="002E4E8A"/>
    <w:rsid w:val="002E5F4A"/>
    <w:rsid w:val="002E718B"/>
    <w:rsid w:val="002F2361"/>
    <w:rsid w:val="002F4603"/>
    <w:rsid w:val="002F48D4"/>
    <w:rsid w:val="002F71C8"/>
    <w:rsid w:val="002F7DB6"/>
    <w:rsid w:val="00302878"/>
    <w:rsid w:val="003050C8"/>
    <w:rsid w:val="0030538A"/>
    <w:rsid w:val="00307556"/>
    <w:rsid w:val="00310CA6"/>
    <w:rsid w:val="0031709F"/>
    <w:rsid w:val="00321B5B"/>
    <w:rsid w:val="00326E45"/>
    <w:rsid w:val="00332E1D"/>
    <w:rsid w:val="00333876"/>
    <w:rsid w:val="00340385"/>
    <w:rsid w:val="00341F44"/>
    <w:rsid w:val="00345820"/>
    <w:rsid w:val="00345C00"/>
    <w:rsid w:val="003475E3"/>
    <w:rsid w:val="0035131B"/>
    <w:rsid w:val="003574FD"/>
    <w:rsid w:val="0035798F"/>
    <w:rsid w:val="00357B1A"/>
    <w:rsid w:val="00360D69"/>
    <w:rsid w:val="00364B02"/>
    <w:rsid w:val="00374CC5"/>
    <w:rsid w:val="00390822"/>
    <w:rsid w:val="00394B7B"/>
    <w:rsid w:val="00397848"/>
    <w:rsid w:val="003A1A49"/>
    <w:rsid w:val="003A2B61"/>
    <w:rsid w:val="003A664C"/>
    <w:rsid w:val="003B5DA6"/>
    <w:rsid w:val="003C1B44"/>
    <w:rsid w:val="003D5261"/>
    <w:rsid w:val="003D6215"/>
    <w:rsid w:val="003D676C"/>
    <w:rsid w:val="003E29AF"/>
    <w:rsid w:val="003E2D2F"/>
    <w:rsid w:val="003F1180"/>
    <w:rsid w:val="003F736E"/>
    <w:rsid w:val="004032B6"/>
    <w:rsid w:val="00405944"/>
    <w:rsid w:val="004060AE"/>
    <w:rsid w:val="00406C02"/>
    <w:rsid w:val="004238D7"/>
    <w:rsid w:val="00436FC1"/>
    <w:rsid w:val="00444823"/>
    <w:rsid w:val="004526CF"/>
    <w:rsid w:val="00454C7E"/>
    <w:rsid w:val="00455289"/>
    <w:rsid w:val="0046252D"/>
    <w:rsid w:val="004632BB"/>
    <w:rsid w:val="004750E0"/>
    <w:rsid w:val="0047570A"/>
    <w:rsid w:val="004838A1"/>
    <w:rsid w:val="0048799E"/>
    <w:rsid w:val="004931B0"/>
    <w:rsid w:val="00494E2C"/>
    <w:rsid w:val="00496E28"/>
    <w:rsid w:val="004A384A"/>
    <w:rsid w:val="004A47C3"/>
    <w:rsid w:val="004A7406"/>
    <w:rsid w:val="004B0909"/>
    <w:rsid w:val="004B3BEB"/>
    <w:rsid w:val="004C1249"/>
    <w:rsid w:val="004C2439"/>
    <w:rsid w:val="004C46E7"/>
    <w:rsid w:val="004C73C5"/>
    <w:rsid w:val="004D20E7"/>
    <w:rsid w:val="004D6ADF"/>
    <w:rsid w:val="004E4A30"/>
    <w:rsid w:val="004F1B4A"/>
    <w:rsid w:val="004F2A22"/>
    <w:rsid w:val="00510ECB"/>
    <w:rsid w:val="005137E1"/>
    <w:rsid w:val="00514DD5"/>
    <w:rsid w:val="0051632E"/>
    <w:rsid w:val="00524101"/>
    <w:rsid w:val="0053420C"/>
    <w:rsid w:val="00534A45"/>
    <w:rsid w:val="00540FE9"/>
    <w:rsid w:val="005411E4"/>
    <w:rsid w:val="00541674"/>
    <w:rsid w:val="005441E6"/>
    <w:rsid w:val="00550996"/>
    <w:rsid w:val="0055384E"/>
    <w:rsid w:val="00553D76"/>
    <w:rsid w:val="005557E9"/>
    <w:rsid w:val="00563323"/>
    <w:rsid w:val="00586B5F"/>
    <w:rsid w:val="00597E31"/>
    <w:rsid w:val="005A125C"/>
    <w:rsid w:val="005A5004"/>
    <w:rsid w:val="005B048B"/>
    <w:rsid w:val="005B3F2F"/>
    <w:rsid w:val="005B4BBF"/>
    <w:rsid w:val="005C5ECF"/>
    <w:rsid w:val="005D7592"/>
    <w:rsid w:val="005E0C2B"/>
    <w:rsid w:val="005E4CFC"/>
    <w:rsid w:val="005F44D5"/>
    <w:rsid w:val="005F62A4"/>
    <w:rsid w:val="005F6A3A"/>
    <w:rsid w:val="006021C0"/>
    <w:rsid w:val="0061442C"/>
    <w:rsid w:val="00623D5E"/>
    <w:rsid w:val="00631145"/>
    <w:rsid w:val="0063250D"/>
    <w:rsid w:val="00640E03"/>
    <w:rsid w:val="00657D4D"/>
    <w:rsid w:val="00666672"/>
    <w:rsid w:val="0067164D"/>
    <w:rsid w:val="00671D02"/>
    <w:rsid w:val="00675E78"/>
    <w:rsid w:val="006856F3"/>
    <w:rsid w:val="0069126B"/>
    <w:rsid w:val="006966E4"/>
    <w:rsid w:val="00697C2D"/>
    <w:rsid w:val="006A4052"/>
    <w:rsid w:val="006D526F"/>
    <w:rsid w:val="006D6C75"/>
    <w:rsid w:val="006E0C3D"/>
    <w:rsid w:val="006E5A87"/>
    <w:rsid w:val="006E6CC6"/>
    <w:rsid w:val="006F7A3B"/>
    <w:rsid w:val="006F7B91"/>
    <w:rsid w:val="0070101F"/>
    <w:rsid w:val="007036AE"/>
    <w:rsid w:val="00713BCE"/>
    <w:rsid w:val="007254AC"/>
    <w:rsid w:val="00727596"/>
    <w:rsid w:val="00730F45"/>
    <w:rsid w:val="00732E9E"/>
    <w:rsid w:val="0074781D"/>
    <w:rsid w:val="0075170B"/>
    <w:rsid w:val="00751DAA"/>
    <w:rsid w:val="007531B5"/>
    <w:rsid w:val="00756C38"/>
    <w:rsid w:val="00757D41"/>
    <w:rsid w:val="00767A1D"/>
    <w:rsid w:val="00771B07"/>
    <w:rsid w:val="007724FC"/>
    <w:rsid w:val="00774729"/>
    <w:rsid w:val="0077739C"/>
    <w:rsid w:val="007878E2"/>
    <w:rsid w:val="0079127D"/>
    <w:rsid w:val="007933F0"/>
    <w:rsid w:val="0079363F"/>
    <w:rsid w:val="00794698"/>
    <w:rsid w:val="00795BD7"/>
    <w:rsid w:val="007A2EEA"/>
    <w:rsid w:val="007A3CFC"/>
    <w:rsid w:val="007B0061"/>
    <w:rsid w:val="007B2FC1"/>
    <w:rsid w:val="007C27C6"/>
    <w:rsid w:val="007C54C4"/>
    <w:rsid w:val="007D0C31"/>
    <w:rsid w:val="007E31BE"/>
    <w:rsid w:val="007E781D"/>
    <w:rsid w:val="008135B6"/>
    <w:rsid w:val="00816174"/>
    <w:rsid w:val="00816986"/>
    <w:rsid w:val="00822F2C"/>
    <w:rsid w:val="0083375F"/>
    <w:rsid w:val="00835E0C"/>
    <w:rsid w:val="0085535D"/>
    <w:rsid w:val="00855522"/>
    <w:rsid w:val="00866086"/>
    <w:rsid w:val="008677AF"/>
    <w:rsid w:val="00870A7A"/>
    <w:rsid w:val="0087502B"/>
    <w:rsid w:val="00885925"/>
    <w:rsid w:val="0089182B"/>
    <w:rsid w:val="00892AFA"/>
    <w:rsid w:val="008A448D"/>
    <w:rsid w:val="008A6ADE"/>
    <w:rsid w:val="008A7F46"/>
    <w:rsid w:val="008B0769"/>
    <w:rsid w:val="008B0FEB"/>
    <w:rsid w:val="008B1934"/>
    <w:rsid w:val="008D0252"/>
    <w:rsid w:val="008D4D34"/>
    <w:rsid w:val="008E4CB5"/>
    <w:rsid w:val="008E4E4C"/>
    <w:rsid w:val="008E698E"/>
    <w:rsid w:val="008F2E08"/>
    <w:rsid w:val="008F5411"/>
    <w:rsid w:val="00907484"/>
    <w:rsid w:val="00910532"/>
    <w:rsid w:val="00913979"/>
    <w:rsid w:val="00925952"/>
    <w:rsid w:val="00926749"/>
    <w:rsid w:val="009311C0"/>
    <w:rsid w:val="00935BC4"/>
    <w:rsid w:val="009423F8"/>
    <w:rsid w:val="0094248B"/>
    <w:rsid w:val="00942E13"/>
    <w:rsid w:val="00954314"/>
    <w:rsid w:val="00964CC1"/>
    <w:rsid w:val="00966DF4"/>
    <w:rsid w:val="00971BC4"/>
    <w:rsid w:val="00971BCB"/>
    <w:rsid w:val="00977CD7"/>
    <w:rsid w:val="00981E9B"/>
    <w:rsid w:val="00982C80"/>
    <w:rsid w:val="00991A7C"/>
    <w:rsid w:val="009A14C2"/>
    <w:rsid w:val="009A3C79"/>
    <w:rsid w:val="009A7179"/>
    <w:rsid w:val="009B126F"/>
    <w:rsid w:val="009B67BC"/>
    <w:rsid w:val="009C6606"/>
    <w:rsid w:val="009D2768"/>
    <w:rsid w:val="009E2248"/>
    <w:rsid w:val="009E425F"/>
    <w:rsid w:val="00A00CA3"/>
    <w:rsid w:val="00A06390"/>
    <w:rsid w:val="00A06E94"/>
    <w:rsid w:val="00A07C4D"/>
    <w:rsid w:val="00A12888"/>
    <w:rsid w:val="00A17DC2"/>
    <w:rsid w:val="00A22A3E"/>
    <w:rsid w:val="00A251E6"/>
    <w:rsid w:val="00A26EA5"/>
    <w:rsid w:val="00A32EC1"/>
    <w:rsid w:val="00A347CA"/>
    <w:rsid w:val="00A37350"/>
    <w:rsid w:val="00A43078"/>
    <w:rsid w:val="00A434FB"/>
    <w:rsid w:val="00A61A30"/>
    <w:rsid w:val="00A631F3"/>
    <w:rsid w:val="00A701EA"/>
    <w:rsid w:val="00A76880"/>
    <w:rsid w:val="00A773A4"/>
    <w:rsid w:val="00A8087E"/>
    <w:rsid w:val="00A909CE"/>
    <w:rsid w:val="00A94774"/>
    <w:rsid w:val="00A9635D"/>
    <w:rsid w:val="00AA2910"/>
    <w:rsid w:val="00AC7F75"/>
    <w:rsid w:val="00AE0AE5"/>
    <w:rsid w:val="00AE66A1"/>
    <w:rsid w:val="00AF1988"/>
    <w:rsid w:val="00AF2E95"/>
    <w:rsid w:val="00AF5BE5"/>
    <w:rsid w:val="00B046A2"/>
    <w:rsid w:val="00B17DE0"/>
    <w:rsid w:val="00B31AB2"/>
    <w:rsid w:val="00B36963"/>
    <w:rsid w:val="00B406B5"/>
    <w:rsid w:val="00B41B72"/>
    <w:rsid w:val="00B46202"/>
    <w:rsid w:val="00B6008F"/>
    <w:rsid w:val="00B7034B"/>
    <w:rsid w:val="00B72651"/>
    <w:rsid w:val="00B76F29"/>
    <w:rsid w:val="00B82FE9"/>
    <w:rsid w:val="00B857D4"/>
    <w:rsid w:val="00B90A56"/>
    <w:rsid w:val="00B915E9"/>
    <w:rsid w:val="00B97828"/>
    <w:rsid w:val="00BA1AF2"/>
    <w:rsid w:val="00BB16C0"/>
    <w:rsid w:val="00BB5A20"/>
    <w:rsid w:val="00BC5C41"/>
    <w:rsid w:val="00BC601B"/>
    <w:rsid w:val="00BC713A"/>
    <w:rsid w:val="00BD329C"/>
    <w:rsid w:val="00BD6CAC"/>
    <w:rsid w:val="00BE1B6C"/>
    <w:rsid w:val="00BE4A71"/>
    <w:rsid w:val="00BE728C"/>
    <w:rsid w:val="00BF7DE5"/>
    <w:rsid w:val="00C025C5"/>
    <w:rsid w:val="00C025F1"/>
    <w:rsid w:val="00C07132"/>
    <w:rsid w:val="00C114D4"/>
    <w:rsid w:val="00C17372"/>
    <w:rsid w:val="00C2422F"/>
    <w:rsid w:val="00C26C23"/>
    <w:rsid w:val="00C32BBE"/>
    <w:rsid w:val="00C43604"/>
    <w:rsid w:val="00C470C1"/>
    <w:rsid w:val="00C5329F"/>
    <w:rsid w:val="00C53EF1"/>
    <w:rsid w:val="00C56A43"/>
    <w:rsid w:val="00C63CAE"/>
    <w:rsid w:val="00C714C8"/>
    <w:rsid w:val="00C7645D"/>
    <w:rsid w:val="00C771EE"/>
    <w:rsid w:val="00C77F81"/>
    <w:rsid w:val="00C83FCC"/>
    <w:rsid w:val="00C85954"/>
    <w:rsid w:val="00C903C4"/>
    <w:rsid w:val="00CA0E3E"/>
    <w:rsid w:val="00CA3391"/>
    <w:rsid w:val="00CA5443"/>
    <w:rsid w:val="00CA57BA"/>
    <w:rsid w:val="00CE2DD0"/>
    <w:rsid w:val="00CE7602"/>
    <w:rsid w:val="00CE7D27"/>
    <w:rsid w:val="00CF25E8"/>
    <w:rsid w:val="00CF3611"/>
    <w:rsid w:val="00D00CC7"/>
    <w:rsid w:val="00D0113D"/>
    <w:rsid w:val="00D057A9"/>
    <w:rsid w:val="00D13305"/>
    <w:rsid w:val="00D1774B"/>
    <w:rsid w:val="00D21251"/>
    <w:rsid w:val="00D21B3B"/>
    <w:rsid w:val="00D259FA"/>
    <w:rsid w:val="00D26891"/>
    <w:rsid w:val="00D34F85"/>
    <w:rsid w:val="00D35155"/>
    <w:rsid w:val="00D56CB6"/>
    <w:rsid w:val="00D749CD"/>
    <w:rsid w:val="00D91051"/>
    <w:rsid w:val="00D95C43"/>
    <w:rsid w:val="00DB34D6"/>
    <w:rsid w:val="00DB74F6"/>
    <w:rsid w:val="00DC05D3"/>
    <w:rsid w:val="00DC3C0B"/>
    <w:rsid w:val="00DC3E89"/>
    <w:rsid w:val="00DC69D2"/>
    <w:rsid w:val="00DC7F17"/>
    <w:rsid w:val="00DD6B6B"/>
    <w:rsid w:val="00DF012B"/>
    <w:rsid w:val="00DF168D"/>
    <w:rsid w:val="00DF3AF5"/>
    <w:rsid w:val="00E00667"/>
    <w:rsid w:val="00E048A6"/>
    <w:rsid w:val="00E05A9A"/>
    <w:rsid w:val="00E0612B"/>
    <w:rsid w:val="00E06382"/>
    <w:rsid w:val="00E2048D"/>
    <w:rsid w:val="00E25FB1"/>
    <w:rsid w:val="00E3045A"/>
    <w:rsid w:val="00E43E22"/>
    <w:rsid w:val="00E625B8"/>
    <w:rsid w:val="00E63D63"/>
    <w:rsid w:val="00E649CA"/>
    <w:rsid w:val="00E674E1"/>
    <w:rsid w:val="00E677EF"/>
    <w:rsid w:val="00E76866"/>
    <w:rsid w:val="00E824F8"/>
    <w:rsid w:val="00E845A8"/>
    <w:rsid w:val="00E94388"/>
    <w:rsid w:val="00E96B43"/>
    <w:rsid w:val="00EA25F0"/>
    <w:rsid w:val="00EA4717"/>
    <w:rsid w:val="00EA4A83"/>
    <w:rsid w:val="00EA4ADA"/>
    <w:rsid w:val="00EB42A1"/>
    <w:rsid w:val="00EC138A"/>
    <w:rsid w:val="00EC2289"/>
    <w:rsid w:val="00EC423D"/>
    <w:rsid w:val="00EC4751"/>
    <w:rsid w:val="00EC5CA1"/>
    <w:rsid w:val="00ED63C5"/>
    <w:rsid w:val="00EE231C"/>
    <w:rsid w:val="00EF1156"/>
    <w:rsid w:val="00F055A6"/>
    <w:rsid w:val="00F464D2"/>
    <w:rsid w:val="00F51429"/>
    <w:rsid w:val="00F53487"/>
    <w:rsid w:val="00F549AD"/>
    <w:rsid w:val="00F567B9"/>
    <w:rsid w:val="00F56A0B"/>
    <w:rsid w:val="00F620EE"/>
    <w:rsid w:val="00F62AFD"/>
    <w:rsid w:val="00F70257"/>
    <w:rsid w:val="00F70CD4"/>
    <w:rsid w:val="00F85743"/>
    <w:rsid w:val="00F86E8C"/>
    <w:rsid w:val="00FA01A6"/>
    <w:rsid w:val="00FC75CD"/>
    <w:rsid w:val="00FD3E87"/>
    <w:rsid w:val="00FD5C13"/>
    <w:rsid w:val="00FE10EC"/>
    <w:rsid w:val="00FF0F66"/>
    <w:rsid w:val="00FF3117"/>
    <w:rsid w:val="00FF393E"/>
    <w:rsid w:val="00FF5138"/>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EE231C"/>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0D69"/>
    <w:rPr>
      <w:sz w:val="16"/>
      <w:szCs w:val="16"/>
    </w:rPr>
  </w:style>
  <w:style w:type="paragraph" w:styleId="CommentText">
    <w:name w:val="annotation text"/>
    <w:basedOn w:val="Normal"/>
    <w:link w:val="CommentTextChar"/>
    <w:uiPriority w:val="99"/>
    <w:semiHidden/>
    <w:unhideWhenUsed/>
    <w:rsid w:val="00360D69"/>
    <w:pPr>
      <w:spacing w:line="240" w:lineRule="auto"/>
    </w:pPr>
    <w:rPr>
      <w:sz w:val="20"/>
      <w:szCs w:val="20"/>
    </w:rPr>
  </w:style>
  <w:style w:type="character" w:customStyle="1" w:styleId="CommentTextChar">
    <w:name w:val="Comment Text Char"/>
    <w:basedOn w:val="DefaultParagraphFont"/>
    <w:link w:val="CommentText"/>
    <w:uiPriority w:val="99"/>
    <w:semiHidden/>
    <w:rsid w:val="00360D69"/>
    <w:rPr>
      <w:lang w:val="es-ES"/>
    </w:rPr>
  </w:style>
  <w:style w:type="paragraph" w:styleId="CommentSubject">
    <w:name w:val="annotation subject"/>
    <w:basedOn w:val="CommentText"/>
    <w:next w:val="CommentText"/>
    <w:link w:val="CommentSubjectChar"/>
    <w:uiPriority w:val="99"/>
    <w:semiHidden/>
    <w:unhideWhenUsed/>
    <w:rsid w:val="00360D69"/>
    <w:rPr>
      <w:b/>
      <w:bCs/>
    </w:rPr>
  </w:style>
  <w:style w:type="character" w:customStyle="1" w:styleId="CommentSubjectChar">
    <w:name w:val="Comment Subject Char"/>
    <w:basedOn w:val="CommentTextChar"/>
    <w:link w:val="CommentSubject"/>
    <w:uiPriority w:val="99"/>
    <w:semiHidden/>
    <w:rsid w:val="00360D69"/>
    <w:rPr>
      <w:b/>
      <w:bCs/>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EE231C"/>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0D69"/>
    <w:rPr>
      <w:sz w:val="16"/>
      <w:szCs w:val="16"/>
    </w:rPr>
  </w:style>
  <w:style w:type="paragraph" w:styleId="CommentText">
    <w:name w:val="annotation text"/>
    <w:basedOn w:val="Normal"/>
    <w:link w:val="CommentTextChar"/>
    <w:uiPriority w:val="99"/>
    <w:semiHidden/>
    <w:unhideWhenUsed/>
    <w:rsid w:val="00360D69"/>
    <w:pPr>
      <w:spacing w:line="240" w:lineRule="auto"/>
    </w:pPr>
    <w:rPr>
      <w:sz w:val="20"/>
      <w:szCs w:val="20"/>
    </w:rPr>
  </w:style>
  <w:style w:type="character" w:customStyle="1" w:styleId="CommentTextChar">
    <w:name w:val="Comment Text Char"/>
    <w:basedOn w:val="DefaultParagraphFont"/>
    <w:link w:val="CommentText"/>
    <w:uiPriority w:val="99"/>
    <w:semiHidden/>
    <w:rsid w:val="00360D69"/>
    <w:rPr>
      <w:lang w:val="es-ES"/>
    </w:rPr>
  </w:style>
  <w:style w:type="paragraph" w:styleId="CommentSubject">
    <w:name w:val="annotation subject"/>
    <w:basedOn w:val="CommentText"/>
    <w:next w:val="CommentText"/>
    <w:link w:val="CommentSubjectChar"/>
    <w:uiPriority w:val="99"/>
    <w:semiHidden/>
    <w:unhideWhenUsed/>
    <w:rsid w:val="00360D69"/>
    <w:rPr>
      <w:b/>
      <w:bCs/>
    </w:rPr>
  </w:style>
  <w:style w:type="character" w:customStyle="1" w:styleId="CommentSubjectChar">
    <w:name w:val="Comment Subject Char"/>
    <w:basedOn w:val="CommentTextChar"/>
    <w:link w:val="CommentSubject"/>
    <w:uiPriority w:val="99"/>
    <w:semiHidden/>
    <w:rsid w:val="00360D69"/>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atos.bancomundial.org/indicador/VC.IHR.PSRC.P5?year_high_desc=true" TargetMode="External"/><Relationship Id="rId1" Type="http://schemas.openxmlformats.org/officeDocument/2006/relationships/hyperlink" Target="http://es.insightcrime.org/analisis/balance-insight-crime-sobre-homicidios-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3FD6-6CDB-482E-B427-E6705808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18420</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2018-02-27T20:18:00Z</cp:lastPrinted>
  <dcterms:created xsi:type="dcterms:W3CDTF">2018-02-27T20:54:00Z</dcterms:created>
  <dcterms:modified xsi:type="dcterms:W3CDTF">2018-02-27T20:54:00Z</dcterms:modified>
</cp:coreProperties>
</file>