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43" w:rsidRPr="00704E2B" w:rsidRDefault="00E96B43" w:rsidP="00DD7BA1">
      <w:pPr>
        <w:spacing w:after="0" w:line="240" w:lineRule="auto"/>
        <w:jc w:val="center"/>
        <w:rPr>
          <w:rFonts w:ascii="Cambria" w:hAnsi="Cambria"/>
          <w:b/>
        </w:rPr>
      </w:pPr>
      <w:r w:rsidRPr="00704E2B">
        <w:rPr>
          <w:rFonts w:ascii="Cambria" w:hAnsi="Cambria"/>
          <w:b/>
        </w:rPr>
        <w:t>COMISIÓN INTERAMERICANA DE DERECHOS HUMANOS</w:t>
      </w:r>
    </w:p>
    <w:p w:rsidR="00E96B43" w:rsidRPr="00704E2B" w:rsidRDefault="00E96B43" w:rsidP="00DD7BA1">
      <w:pPr>
        <w:spacing w:after="0" w:line="240" w:lineRule="auto"/>
        <w:jc w:val="center"/>
        <w:rPr>
          <w:rFonts w:ascii="Cambria" w:hAnsi="Cambria"/>
          <w:b/>
        </w:rPr>
      </w:pPr>
      <w:r w:rsidRPr="00704E2B">
        <w:rPr>
          <w:rFonts w:ascii="Cambria" w:hAnsi="Cambria"/>
          <w:b/>
        </w:rPr>
        <w:t xml:space="preserve">RESOLUCIÓN </w:t>
      </w:r>
      <w:r w:rsidR="0050147E" w:rsidRPr="00704E2B">
        <w:rPr>
          <w:rFonts w:ascii="Cambria" w:hAnsi="Cambria"/>
          <w:b/>
        </w:rPr>
        <w:t>1</w:t>
      </w:r>
      <w:r w:rsidRPr="00704E2B">
        <w:rPr>
          <w:rFonts w:ascii="Cambria" w:hAnsi="Cambria"/>
          <w:b/>
        </w:rPr>
        <w:t>/201</w:t>
      </w:r>
      <w:r w:rsidR="0050147E" w:rsidRPr="00704E2B">
        <w:rPr>
          <w:rFonts w:ascii="Cambria" w:hAnsi="Cambria"/>
          <w:b/>
        </w:rPr>
        <w:t>8</w:t>
      </w:r>
      <w:r w:rsidR="00EA1FBA" w:rsidRPr="00704E2B">
        <w:rPr>
          <w:rStyle w:val="FootnoteReference"/>
          <w:rFonts w:ascii="Cambria" w:hAnsi="Cambria"/>
          <w:color w:val="000000"/>
          <w:sz w:val="26"/>
          <w:szCs w:val="26"/>
          <w:lang w:val="es-MX"/>
        </w:rPr>
        <w:footnoteReference w:id="1"/>
      </w:r>
    </w:p>
    <w:p w:rsidR="00E00667" w:rsidRPr="00704E2B" w:rsidRDefault="00E00667" w:rsidP="00DD7BA1">
      <w:pPr>
        <w:spacing w:after="0" w:line="240" w:lineRule="auto"/>
        <w:jc w:val="center"/>
        <w:rPr>
          <w:rFonts w:ascii="Cambria" w:hAnsi="Cambria"/>
          <w:b/>
        </w:rPr>
      </w:pPr>
    </w:p>
    <w:p w:rsidR="00E96B43" w:rsidRPr="00704E2B" w:rsidRDefault="00E00667" w:rsidP="00DD7BA1">
      <w:pPr>
        <w:spacing w:after="0" w:line="240" w:lineRule="auto"/>
        <w:jc w:val="center"/>
        <w:rPr>
          <w:rFonts w:ascii="Cambria" w:eastAsiaTheme="minorHAnsi" w:hAnsi="Cambria" w:cstheme="minorBidi"/>
          <w:szCs w:val="26"/>
          <w:lang w:val="pt-BR"/>
        </w:rPr>
      </w:pPr>
      <w:r w:rsidRPr="00704E2B">
        <w:rPr>
          <w:rFonts w:ascii="Cambria" w:eastAsiaTheme="minorHAnsi" w:hAnsi="Cambria" w:cstheme="minorBidi"/>
          <w:szCs w:val="26"/>
          <w:lang w:val="pt-BR"/>
        </w:rPr>
        <w:t>Medida Cautelar</w:t>
      </w:r>
      <w:r w:rsidR="00E96B43" w:rsidRPr="00704E2B">
        <w:rPr>
          <w:rFonts w:ascii="Cambria" w:eastAsiaTheme="minorHAnsi" w:hAnsi="Cambria" w:cstheme="minorBidi"/>
          <w:szCs w:val="26"/>
          <w:lang w:val="pt-BR"/>
        </w:rPr>
        <w:t xml:space="preserve"> No. </w:t>
      </w:r>
      <w:r w:rsidR="00540F9A" w:rsidRPr="00704E2B">
        <w:rPr>
          <w:rFonts w:ascii="Cambria" w:eastAsiaTheme="minorHAnsi" w:hAnsi="Cambria" w:cstheme="minorBidi"/>
          <w:szCs w:val="26"/>
          <w:lang w:val="pt-BR"/>
        </w:rPr>
        <w:t>685</w:t>
      </w:r>
      <w:r w:rsidR="00E96B43" w:rsidRPr="00704E2B">
        <w:rPr>
          <w:rFonts w:ascii="Cambria" w:eastAsiaTheme="minorHAnsi" w:hAnsi="Cambria" w:cstheme="minorBidi"/>
          <w:szCs w:val="26"/>
          <w:lang w:val="pt-BR"/>
        </w:rPr>
        <w:t>-1</w:t>
      </w:r>
      <w:r w:rsidR="00FA2C7A" w:rsidRPr="00704E2B">
        <w:rPr>
          <w:rFonts w:ascii="Cambria" w:eastAsiaTheme="minorHAnsi" w:hAnsi="Cambria" w:cstheme="minorBidi"/>
          <w:szCs w:val="26"/>
          <w:lang w:val="pt-BR"/>
        </w:rPr>
        <w:t>6</w:t>
      </w:r>
    </w:p>
    <w:p w:rsidR="00E96B43" w:rsidRPr="00704E2B" w:rsidRDefault="00D41A33" w:rsidP="00DD7BA1">
      <w:pPr>
        <w:spacing w:after="0" w:line="240" w:lineRule="auto"/>
        <w:jc w:val="center"/>
        <w:rPr>
          <w:rFonts w:ascii="Cambria" w:hAnsi="Cambria"/>
          <w:sz w:val="26"/>
          <w:szCs w:val="26"/>
          <w:lang w:val="es-PE"/>
        </w:rPr>
      </w:pPr>
      <w:r w:rsidRPr="00704E2B">
        <w:rPr>
          <w:rFonts w:ascii="Cambria" w:hAnsi="Cambria"/>
          <w:sz w:val="26"/>
          <w:szCs w:val="26"/>
          <w:lang w:val="es-PE"/>
        </w:rPr>
        <w:t xml:space="preserve">Lucila </w:t>
      </w:r>
      <w:proofErr w:type="spellStart"/>
      <w:r w:rsidRPr="00704E2B">
        <w:rPr>
          <w:rFonts w:ascii="Cambria" w:hAnsi="Cambria"/>
          <w:sz w:val="26"/>
          <w:szCs w:val="26"/>
          <w:lang w:val="es-PE"/>
        </w:rPr>
        <w:t>Bettina</w:t>
      </w:r>
      <w:proofErr w:type="spellEnd"/>
      <w:r w:rsidRPr="00704E2B">
        <w:rPr>
          <w:rFonts w:ascii="Cambria" w:hAnsi="Cambria"/>
          <w:sz w:val="26"/>
          <w:szCs w:val="26"/>
          <w:lang w:val="es-PE"/>
        </w:rPr>
        <w:t xml:space="preserve"> Cruz y su núcleo familiar </w:t>
      </w:r>
      <w:r w:rsidR="00DD3B41" w:rsidRPr="00704E2B">
        <w:rPr>
          <w:rFonts w:ascii="Cambria" w:hAnsi="Cambria"/>
          <w:sz w:val="26"/>
          <w:szCs w:val="26"/>
          <w:lang w:val="es-PE"/>
        </w:rPr>
        <w:t>respecto de México</w:t>
      </w:r>
    </w:p>
    <w:p w:rsidR="00E96B43" w:rsidRPr="00704E2B" w:rsidRDefault="0050147E" w:rsidP="00DD7BA1">
      <w:pPr>
        <w:spacing w:after="0" w:line="240" w:lineRule="auto"/>
        <w:jc w:val="center"/>
        <w:rPr>
          <w:rFonts w:ascii="Cambria" w:hAnsi="Cambria"/>
          <w:sz w:val="20"/>
        </w:rPr>
      </w:pPr>
      <w:r w:rsidRPr="00704E2B">
        <w:rPr>
          <w:rFonts w:ascii="Cambria" w:hAnsi="Cambria"/>
          <w:sz w:val="20"/>
        </w:rPr>
        <w:t>4</w:t>
      </w:r>
      <w:r w:rsidR="007C4C8B" w:rsidRPr="00704E2B">
        <w:rPr>
          <w:rFonts w:ascii="Cambria" w:hAnsi="Cambria"/>
          <w:sz w:val="20"/>
        </w:rPr>
        <w:t xml:space="preserve"> </w:t>
      </w:r>
      <w:r w:rsidR="00E96B43" w:rsidRPr="00704E2B">
        <w:rPr>
          <w:rFonts w:ascii="Cambria" w:hAnsi="Cambria"/>
          <w:sz w:val="20"/>
        </w:rPr>
        <w:t xml:space="preserve">de </w:t>
      </w:r>
      <w:r w:rsidR="004B27E3" w:rsidRPr="00704E2B">
        <w:rPr>
          <w:rFonts w:ascii="Cambria" w:hAnsi="Cambria"/>
          <w:sz w:val="20"/>
        </w:rPr>
        <w:t>enero de 2018</w:t>
      </w:r>
    </w:p>
    <w:p w:rsidR="003D5261" w:rsidRPr="00704E2B" w:rsidRDefault="003D5261" w:rsidP="00DD7BA1">
      <w:pPr>
        <w:spacing w:after="0" w:line="240" w:lineRule="auto"/>
        <w:jc w:val="both"/>
        <w:rPr>
          <w:rFonts w:ascii="Cambria" w:hAnsi="Cambria"/>
        </w:rPr>
      </w:pPr>
    </w:p>
    <w:p w:rsidR="003D5261" w:rsidRPr="00704E2B" w:rsidRDefault="003D5261" w:rsidP="00DD7BA1">
      <w:pPr>
        <w:pStyle w:val="ListParagraph"/>
        <w:numPr>
          <w:ilvl w:val="0"/>
          <w:numId w:val="17"/>
        </w:numPr>
        <w:spacing w:after="0" w:line="240" w:lineRule="auto"/>
        <w:jc w:val="both"/>
        <w:rPr>
          <w:rFonts w:ascii="Cambria" w:hAnsi="Cambria"/>
          <w:b/>
          <w:sz w:val="21"/>
          <w:szCs w:val="21"/>
        </w:rPr>
      </w:pPr>
      <w:r w:rsidRPr="00704E2B">
        <w:rPr>
          <w:rFonts w:ascii="Cambria" w:hAnsi="Cambria"/>
          <w:b/>
          <w:sz w:val="21"/>
          <w:szCs w:val="21"/>
        </w:rPr>
        <w:t>INTRODUCCIÓN</w:t>
      </w:r>
      <w:r w:rsidR="00322763">
        <w:rPr>
          <w:rFonts w:ascii="Cambria" w:hAnsi="Cambria"/>
          <w:b/>
          <w:sz w:val="21"/>
          <w:szCs w:val="21"/>
        </w:rPr>
        <w:t xml:space="preserve"> </w:t>
      </w:r>
    </w:p>
    <w:p w:rsidR="00E00667" w:rsidRPr="00704E2B" w:rsidRDefault="00E00667" w:rsidP="00DD7BA1">
      <w:pPr>
        <w:pStyle w:val="ListParagraph"/>
        <w:spacing w:after="0" w:line="240" w:lineRule="auto"/>
        <w:jc w:val="both"/>
        <w:rPr>
          <w:rFonts w:ascii="Cambria" w:hAnsi="Cambria"/>
          <w:b/>
          <w:sz w:val="21"/>
          <w:szCs w:val="21"/>
        </w:rPr>
      </w:pPr>
    </w:p>
    <w:p w:rsidR="00912424" w:rsidRPr="00704E2B" w:rsidRDefault="009F1828" w:rsidP="00DD7BA1">
      <w:pPr>
        <w:pStyle w:val="ListParagraph"/>
        <w:numPr>
          <w:ilvl w:val="0"/>
          <w:numId w:val="20"/>
        </w:numPr>
        <w:spacing w:after="0" w:line="240" w:lineRule="auto"/>
        <w:ind w:left="0" w:firstLine="360"/>
        <w:jc w:val="both"/>
        <w:rPr>
          <w:rFonts w:ascii="Cambria" w:hAnsi="Cambria"/>
          <w:sz w:val="21"/>
          <w:szCs w:val="21"/>
        </w:rPr>
      </w:pPr>
      <w:r w:rsidRPr="00704E2B">
        <w:rPr>
          <w:rFonts w:ascii="Cambria" w:hAnsi="Cambria"/>
          <w:sz w:val="21"/>
          <w:szCs w:val="21"/>
        </w:rPr>
        <w:t xml:space="preserve"> </w:t>
      </w:r>
      <w:r w:rsidR="00214C54" w:rsidRPr="00704E2B">
        <w:rPr>
          <w:rFonts w:ascii="Cambria" w:hAnsi="Cambria"/>
          <w:sz w:val="21"/>
          <w:szCs w:val="21"/>
        </w:rPr>
        <w:t xml:space="preserve">El 29 de agosto de 2016 la Comisión Interamericana de Derechos Humanos (en lo sucesivo “la Comisión Interamericana”, “la Comisión” o “la CIDH”) recibió una solicitud de medidas cautelares presentada por Ricardo A. </w:t>
      </w:r>
      <w:proofErr w:type="spellStart"/>
      <w:r w:rsidR="00214C54" w:rsidRPr="00704E2B">
        <w:rPr>
          <w:rFonts w:ascii="Cambria" w:hAnsi="Cambria"/>
          <w:sz w:val="21"/>
          <w:szCs w:val="21"/>
        </w:rPr>
        <w:t>Lagunes</w:t>
      </w:r>
      <w:proofErr w:type="spellEnd"/>
      <w:r w:rsidR="00214C54" w:rsidRPr="00704E2B">
        <w:rPr>
          <w:rFonts w:ascii="Cambria" w:hAnsi="Cambria"/>
          <w:sz w:val="21"/>
          <w:szCs w:val="21"/>
        </w:rPr>
        <w:t xml:space="preserve"> Gasca y Alejandra </w:t>
      </w:r>
      <w:proofErr w:type="spellStart"/>
      <w:r w:rsidR="00214C54" w:rsidRPr="00704E2B">
        <w:rPr>
          <w:rFonts w:ascii="Cambria" w:hAnsi="Cambria"/>
          <w:sz w:val="21"/>
          <w:szCs w:val="21"/>
        </w:rPr>
        <w:t>Gonza</w:t>
      </w:r>
      <w:proofErr w:type="spellEnd"/>
      <w:r w:rsidR="00214C54" w:rsidRPr="00704E2B">
        <w:rPr>
          <w:rStyle w:val="FootnoteReference"/>
          <w:rFonts w:ascii="Cambria" w:hAnsi="Cambria"/>
          <w:sz w:val="21"/>
          <w:szCs w:val="21"/>
        </w:rPr>
        <w:footnoteReference w:id="2"/>
      </w:r>
      <w:r w:rsidR="00214C54" w:rsidRPr="00704E2B">
        <w:rPr>
          <w:rFonts w:ascii="Cambria" w:hAnsi="Cambria"/>
          <w:color w:val="000000"/>
          <w:sz w:val="21"/>
          <w:szCs w:val="21"/>
        </w:rPr>
        <w:t xml:space="preserve"> </w:t>
      </w:r>
      <w:r w:rsidR="00214C54" w:rsidRPr="00704E2B">
        <w:rPr>
          <w:rFonts w:ascii="Cambria" w:hAnsi="Cambria"/>
          <w:sz w:val="21"/>
          <w:szCs w:val="21"/>
        </w:rPr>
        <w:t>(en adelante “los solicitantes”), instando a la CIDH que requiera al Estado de México (en adelante “el Estado”) la adopción de las medidas de protección neces</w:t>
      </w:r>
      <w:r w:rsidR="00276C1D" w:rsidRPr="00704E2B">
        <w:rPr>
          <w:rFonts w:ascii="Cambria" w:hAnsi="Cambria"/>
          <w:sz w:val="21"/>
          <w:szCs w:val="21"/>
        </w:rPr>
        <w:t xml:space="preserve">arias para garantizar </w:t>
      </w:r>
      <w:r w:rsidR="0019484A" w:rsidRPr="00704E2B">
        <w:rPr>
          <w:rFonts w:ascii="Cambria" w:hAnsi="Cambria"/>
          <w:sz w:val="21"/>
          <w:szCs w:val="21"/>
        </w:rPr>
        <w:t xml:space="preserve">los derechos </w:t>
      </w:r>
      <w:r w:rsidR="00214C54" w:rsidRPr="00704E2B">
        <w:rPr>
          <w:rFonts w:ascii="Cambria" w:hAnsi="Cambria"/>
          <w:sz w:val="21"/>
          <w:szCs w:val="21"/>
        </w:rPr>
        <w:t xml:space="preserve">de la señora Lucila </w:t>
      </w:r>
      <w:proofErr w:type="spellStart"/>
      <w:r w:rsidR="00214C54" w:rsidRPr="00704E2B">
        <w:rPr>
          <w:rFonts w:ascii="Cambria" w:hAnsi="Cambria"/>
          <w:sz w:val="21"/>
          <w:szCs w:val="21"/>
        </w:rPr>
        <w:t>Bettina</w:t>
      </w:r>
      <w:proofErr w:type="spellEnd"/>
      <w:r w:rsidR="00214C54" w:rsidRPr="00704E2B">
        <w:rPr>
          <w:rFonts w:ascii="Cambria" w:hAnsi="Cambria"/>
          <w:sz w:val="21"/>
          <w:szCs w:val="21"/>
        </w:rPr>
        <w:t xml:space="preserve"> Cruz y su núcleo familiar</w:t>
      </w:r>
      <w:r w:rsidR="00214C54" w:rsidRPr="00704E2B">
        <w:rPr>
          <w:rStyle w:val="FootnoteReference"/>
          <w:rFonts w:ascii="Cambria" w:hAnsi="Cambria"/>
          <w:sz w:val="21"/>
          <w:szCs w:val="21"/>
        </w:rPr>
        <w:footnoteReference w:id="3"/>
      </w:r>
      <w:r w:rsidR="00ED37BE" w:rsidRPr="00704E2B">
        <w:rPr>
          <w:rFonts w:ascii="Cambria" w:hAnsi="Cambria"/>
          <w:sz w:val="21"/>
          <w:szCs w:val="21"/>
        </w:rPr>
        <w:t xml:space="preserve">, </w:t>
      </w:r>
      <w:r w:rsidR="0019484A" w:rsidRPr="00704E2B">
        <w:rPr>
          <w:rFonts w:ascii="Cambria" w:hAnsi="Cambria"/>
          <w:sz w:val="21"/>
          <w:szCs w:val="21"/>
        </w:rPr>
        <w:t xml:space="preserve">así como </w:t>
      </w:r>
      <w:r w:rsidR="00276C1D" w:rsidRPr="00704E2B">
        <w:rPr>
          <w:rFonts w:ascii="Cambria" w:hAnsi="Cambria"/>
          <w:sz w:val="21"/>
          <w:szCs w:val="21"/>
        </w:rPr>
        <w:t xml:space="preserve">la vida, integridad territorial e identidad cultural de </w:t>
      </w:r>
      <w:r w:rsidR="00214C54" w:rsidRPr="00704E2B">
        <w:rPr>
          <w:rFonts w:ascii="Cambria" w:hAnsi="Cambria"/>
          <w:sz w:val="21"/>
          <w:szCs w:val="21"/>
        </w:rPr>
        <w:t>116</w:t>
      </w:r>
      <w:r w:rsidR="00E738BA" w:rsidRPr="00704E2B">
        <w:rPr>
          <w:rFonts w:ascii="Cambria" w:hAnsi="Cambria"/>
          <w:sz w:val="21"/>
          <w:szCs w:val="21"/>
        </w:rPr>
        <w:t>5</w:t>
      </w:r>
      <w:r w:rsidR="00214C54" w:rsidRPr="00704E2B">
        <w:rPr>
          <w:rFonts w:ascii="Cambria" w:hAnsi="Cambria"/>
          <w:sz w:val="21"/>
          <w:szCs w:val="21"/>
        </w:rPr>
        <w:t xml:space="preserve"> </w:t>
      </w:r>
      <w:r w:rsidR="007C3EA0" w:rsidRPr="00704E2B">
        <w:rPr>
          <w:rFonts w:ascii="Cambria" w:hAnsi="Cambria"/>
          <w:sz w:val="21"/>
          <w:szCs w:val="21"/>
        </w:rPr>
        <w:t>miembros del pueblo indígena zapoteca de la regió</w:t>
      </w:r>
      <w:bookmarkStart w:id="0" w:name="_GoBack"/>
      <w:bookmarkEnd w:id="0"/>
      <w:r w:rsidR="007C3EA0" w:rsidRPr="00704E2B">
        <w:rPr>
          <w:rFonts w:ascii="Cambria" w:hAnsi="Cambria"/>
          <w:sz w:val="21"/>
          <w:szCs w:val="21"/>
        </w:rPr>
        <w:t xml:space="preserve">n del Istmo de Tehuantepec en </w:t>
      </w:r>
      <w:proofErr w:type="spellStart"/>
      <w:r w:rsidR="007C3EA0" w:rsidRPr="00704E2B">
        <w:rPr>
          <w:rFonts w:ascii="Cambria" w:hAnsi="Cambria"/>
          <w:sz w:val="21"/>
          <w:szCs w:val="21"/>
        </w:rPr>
        <w:t>Juchitan</w:t>
      </w:r>
      <w:proofErr w:type="spellEnd"/>
      <w:r w:rsidR="007C3EA0" w:rsidRPr="00704E2B">
        <w:rPr>
          <w:rFonts w:ascii="Cambria" w:hAnsi="Cambria"/>
          <w:sz w:val="21"/>
          <w:szCs w:val="21"/>
        </w:rPr>
        <w:t xml:space="preserve"> de Zaragoza, quienes</w:t>
      </w:r>
      <w:r w:rsidR="00214C54" w:rsidRPr="00704E2B">
        <w:rPr>
          <w:rFonts w:ascii="Cambria" w:hAnsi="Cambria"/>
          <w:sz w:val="21"/>
          <w:szCs w:val="21"/>
        </w:rPr>
        <w:t xml:space="preserve"> forman parte del colectivo Articulación de Pueblos Originarios del Istmo Oaxaqueño (APOYO) (en adelante “los propuestos beneficiarios”)</w:t>
      </w:r>
      <w:r w:rsidR="007C3EA0" w:rsidRPr="00704E2B">
        <w:rPr>
          <w:rFonts w:ascii="Cambria" w:hAnsi="Cambria"/>
          <w:sz w:val="21"/>
          <w:szCs w:val="21"/>
        </w:rPr>
        <w:t xml:space="preserve">. Según la solicitud, </w:t>
      </w:r>
      <w:r w:rsidR="00214C54" w:rsidRPr="00704E2B">
        <w:rPr>
          <w:rFonts w:ascii="Cambria" w:eastAsia="Times New Roman" w:hAnsi="Cambria"/>
          <w:color w:val="000000"/>
          <w:sz w:val="21"/>
          <w:szCs w:val="21"/>
          <w:lang w:val="es-CO"/>
        </w:rPr>
        <w:t>se encontrarían en una situación de riesgo</w:t>
      </w:r>
      <w:r w:rsidR="00C42F10" w:rsidRPr="00704E2B">
        <w:rPr>
          <w:rFonts w:ascii="Cambria" w:eastAsia="Times New Roman" w:hAnsi="Cambria"/>
          <w:color w:val="000000"/>
          <w:sz w:val="21"/>
          <w:szCs w:val="21"/>
          <w:lang w:val="es-CO"/>
        </w:rPr>
        <w:t xml:space="preserve">, entre otros, </w:t>
      </w:r>
      <w:r w:rsidR="00214C54" w:rsidRPr="00704E2B">
        <w:rPr>
          <w:rFonts w:ascii="Cambria" w:eastAsia="Times New Roman" w:hAnsi="Cambria"/>
          <w:color w:val="000000"/>
          <w:sz w:val="21"/>
          <w:szCs w:val="21"/>
          <w:lang w:val="es-CO"/>
        </w:rPr>
        <w:t>por acciones de defensa de los derechos de los pueblos indígenas en la región frente al denominado proyecto “Eólica del Sur”.</w:t>
      </w:r>
      <w:r w:rsidR="00BE2503" w:rsidRPr="00704E2B">
        <w:rPr>
          <w:rFonts w:ascii="Cambria" w:eastAsia="Times New Roman" w:hAnsi="Cambria"/>
          <w:color w:val="000000"/>
          <w:sz w:val="21"/>
          <w:szCs w:val="21"/>
          <w:lang w:val="es-CO"/>
        </w:rPr>
        <w:t xml:space="preserve"> </w:t>
      </w:r>
    </w:p>
    <w:p w:rsidR="00912424" w:rsidRPr="00704E2B" w:rsidRDefault="00912424" w:rsidP="00DD7BA1">
      <w:pPr>
        <w:pStyle w:val="ListParagraph"/>
        <w:spacing w:after="0" w:line="240" w:lineRule="auto"/>
        <w:ind w:left="360"/>
        <w:jc w:val="both"/>
        <w:rPr>
          <w:rFonts w:ascii="Cambria" w:hAnsi="Cambria"/>
          <w:sz w:val="21"/>
          <w:szCs w:val="21"/>
        </w:rPr>
      </w:pPr>
    </w:p>
    <w:p w:rsidR="003D5261" w:rsidRPr="00704E2B" w:rsidRDefault="00750FAB" w:rsidP="00DD7BA1">
      <w:pPr>
        <w:pStyle w:val="ListParagraph"/>
        <w:numPr>
          <w:ilvl w:val="0"/>
          <w:numId w:val="20"/>
        </w:numPr>
        <w:spacing w:after="0" w:line="240" w:lineRule="auto"/>
        <w:ind w:left="0" w:firstLine="360"/>
        <w:jc w:val="both"/>
        <w:rPr>
          <w:rFonts w:ascii="Cambria" w:hAnsi="Cambria"/>
          <w:sz w:val="21"/>
          <w:szCs w:val="21"/>
        </w:rPr>
      </w:pPr>
      <w:r w:rsidRPr="00704E2B">
        <w:rPr>
          <w:rFonts w:ascii="Cambria" w:hAnsi="Cambria"/>
          <w:sz w:val="21"/>
          <w:szCs w:val="21"/>
        </w:rPr>
        <w:t xml:space="preserve">Los solicitantes </w:t>
      </w:r>
      <w:r w:rsidR="005D2B9C" w:rsidRPr="00704E2B">
        <w:rPr>
          <w:rFonts w:ascii="Cambria" w:hAnsi="Cambria"/>
          <w:sz w:val="21"/>
          <w:szCs w:val="21"/>
        </w:rPr>
        <w:t xml:space="preserve">aportaron información </w:t>
      </w:r>
      <w:r w:rsidRPr="00704E2B">
        <w:rPr>
          <w:rFonts w:ascii="Cambria" w:hAnsi="Cambria"/>
          <w:sz w:val="21"/>
          <w:szCs w:val="21"/>
        </w:rPr>
        <w:t xml:space="preserve">adicional el 7 de noviembre de 2016. </w:t>
      </w:r>
      <w:r w:rsidR="00BE2503" w:rsidRPr="00704E2B">
        <w:rPr>
          <w:rFonts w:ascii="Cambria" w:hAnsi="Cambria"/>
          <w:sz w:val="21"/>
          <w:szCs w:val="21"/>
        </w:rPr>
        <w:t xml:space="preserve">La Comisión solicitó información adicional a los solicitantes, quienes </w:t>
      </w:r>
      <w:r w:rsidR="005372FE" w:rsidRPr="00704E2B">
        <w:rPr>
          <w:rFonts w:ascii="Cambria" w:hAnsi="Cambria"/>
          <w:sz w:val="21"/>
          <w:szCs w:val="21"/>
        </w:rPr>
        <w:t>solicitaron pr</w:t>
      </w:r>
      <w:r w:rsidR="00984817" w:rsidRPr="00704E2B">
        <w:rPr>
          <w:rFonts w:ascii="Cambria" w:hAnsi="Cambria"/>
          <w:sz w:val="21"/>
          <w:szCs w:val="21"/>
        </w:rPr>
        <w:t>ó</w:t>
      </w:r>
      <w:r w:rsidR="005372FE" w:rsidRPr="00704E2B">
        <w:rPr>
          <w:rFonts w:ascii="Cambria" w:hAnsi="Cambria"/>
          <w:sz w:val="21"/>
          <w:szCs w:val="21"/>
        </w:rPr>
        <w:t xml:space="preserve">rroga el 15 de febrero de 2017 y </w:t>
      </w:r>
      <w:r w:rsidR="00BE2503" w:rsidRPr="00704E2B">
        <w:rPr>
          <w:rFonts w:ascii="Cambria" w:hAnsi="Cambria"/>
          <w:sz w:val="21"/>
          <w:szCs w:val="21"/>
        </w:rPr>
        <w:t xml:space="preserve">respondieron el 8 de mayo de 2017. </w:t>
      </w:r>
      <w:r w:rsidR="005372FE" w:rsidRPr="00704E2B">
        <w:rPr>
          <w:rFonts w:ascii="Cambria" w:hAnsi="Cambria"/>
          <w:sz w:val="21"/>
          <w:szCs w:val="21"/>
        </w:rPr>
        <w:t>La CIDH solicitó información al Estado y a los solicitantes el 12 de setiembre de 2017. Los solicitantes respondieron el 17 y 18 de octubre de 2017, y</w:t>
      </w:r>
      <w:r w:rsidR="005D2B9C" w:rsidRPr="00704E2B">
        <w:rPr>
          <w:rFonts w:ascii="Cambria" w:hAnsi="Cambria"/>
          <w:sz w:val="21"/>
          <w:szCs w:val="21"/>
        </w:rPr>
        <w:t xml:space="preserve"> </w:t>
      </w:r>
      <w:r w:rsidR="005372FE" w:rsidRPr="00704E2B">
        <w:rPr>
          <w:rFonts w:ascii="Cambria" w:hAnsi="Cambria"/>
          <w:sz w:val="21"/>
          <w:szCs w:val="21"/>
        </w:rPr>
        <w:t xml:space="preserve">el Estado el 3 </w:t>
      </w:r>
      <w:r w:rsidRPr="00704E2B">
        <w:rPr>
          <w:rFonts w:ascii="Cambria" w:hAnsi="Cambria"/>
          <w:sz w:val="21"/>
          <w:szCs w:val="21"/>
        </w:rPr>
        <w:t xml:space="preserve">y 8 </w:t>
      </w:r>
      <w:r w:rsidR="005372FE" w:rsidRPr="00704E2B">
        <w:rPr>
          <w:rFonts w:ascii="Cambria" w:hAnsi="Cambria"/>
          <w:sz w:val="21"/>
          <w:szCs w:val="21"/>
        </w:rPr>
        <w:t xml:space="preserve">de noviembre de 2017. </w:t>
      </w:r>
    </w:p>
    <w:p w:rsidR="00BE2503" w:rsidRPr="00704E2B" w:rsidRDefault="00BE2503" w:rsidP="00DD7BA1">
      <w:pPr>
        <w:spacing w:after="0" w:line="240" w:lineRule="auto"/>
        <w:jc w:val="both"/>
        <w:rPr>
          <w:rFonts w:ascii="Cambria" w:hAnsi="Cambria"/>
          <w:sz w:val="21"/>
          <w:szCs w:val="21"/>
        </w:rPr>
      </w:pPr>
    </w:p>
    <w:p w:rsidR="0038775E" w:rsidRPr="00704E2B" w:rsidRDefault="00935BC4" w:rsidP="0038775E">
      <w:pPr>
        <w:pStyle w:val="ListParagraph"/>
        <w:numPr>
          <w:ilvl w:val="0"/>
          <w:numId w:val="20"/>
        </w:numPr>
        <w:spacing w:after="0" w:line="240" w:lineRule="auto"/>
        <w:ind w:left="0" w:firstLine="360"/>
        <w:jc w:val="both"/>
        <w:rPr>
          <w:rFonts w:ascii="Cambria" w:hAnsi="Cambria"/>
          <w:sz w:val="21"/>
          <w:szCs w:val="21"/>
        </w:rPr>
      </w:pPr>
      <w:r w:rsidRPr="00704E2B">
        <w:rPr>
          <w:rFonts w:ascii="Cambria" w:hAnsi="Cambria"/>
          <w:sz w:val="21"/>
          <w:szCs w:val="21"/>
        </w:rPr>
        <w:t xml:space="preserve">Tras analizar </w:t>
      </w:r>
      <w:r w:rsidR="0015120E" w:rsidRPr="00704E2B">
        <w:rPr>
          <w:rFonts w:ascii="Cambria" w:hAnsi="Cambria"/>
          <w:sz w:val="21"/>
          <w:szCs w:val="21"/>
        </w:rPr>
        <w:t>los alegatos de hecho y de derecho de las partes</w:t>
      </w:r>
      <w:r w:rsidR="005249F5" w:rsidRPr="00704E2B">
        <w:rPr>
          <w:rFonts w:ascii="Cambria" w:hAnsi="Cambria"/>
          <w:sz w:val="21"/>
          <w:szCs w:val="21"/>
        </w:rPr>
        <w:t>,</w:t>
      </w:r>
      <w:r w:rsidRPr="00704E2B">
        <w:rPr>
          <w:rFonts w:ascii="Cambria" w:hAnsi="Cambria"/>
          <w:sz w:val="21"/>
          <w:szCs w:val="21"/>
        </w:rPr>
        <w:t xml:space="preserve"> la Comisión </w:t>
      </w:r>
      <w:r w:rsidR="00E96B43" w:rsidRPr="00704E2B">
        <w:rPr>
          <w:rFonts w:ascii="Cambria" w:hAnsi="Cambria"/>
          <w:sz w:val="21"/>
          <w:szCs w:val="21"/>
        </w:rPr>
        <w:t>considera que</w:t>
      </w:r>
      <w:r w:rsidR="008F1E46" w:rsidRPr="00704E2B">
        <w:rPr>
          <w:rFonts w:ascii="Cambria" w:hAnsi="Cambria"/>
          <w:sz w:val="21"/>
          <w:szCs w:val="21"/>
        </w:rPr>
        <w:t xml:space="preserve"> </w:t>
      </w:r>
      <w:r w:rsidR="00C42F10" w:rsidRPr="00704E2B">
        <w:rPr>
          <w:rFonts w:ascii="Cambria" w:hAnsi="Cambria"/>
          <w:sz w:val="21"/>
          <w:szCs w:val="21"/>
        </w:rPr>
        <w:t xml:space="preserve">la señora </w:t>
      </w:r>
      <w:r w:rsidR="00984817" w:rsidRPr="00704E2B">
        <w:rPr>
          <w:rFonts w:ascii="Cambria" w:hAnsi="Cambria"/>
          <w:sz w:val="21"/>
          <w:szCs w:val="21"/>
        </w:rPr>
        <w:t xml:space="preserve">Lucila </w:t>
      </w:r>
      <w:proofErr w:type="spellStart"/>
      <w:r w:rsidR="00C42F10" w:rsidRPr="00704E2B">
        <w:rPr>
          <w:rFonts w:ascii="Cambria" w:hAnsi="Cambria"/>
          <w:sz w:val="21"/>
          <w:szCs w:val="21"/>
        </w:rPr>
        <w:t>Bettina</w:t>
      </w:r>
      <w:proofErr w:type="spellEnd"/>
      <w:r w:rsidR="00C42F10" w:rsidRPr="00704E2B">
        <w:rPr>
          <w:rFonts w:ascii="Cambria" w:hAnsi="Cambria"/>
          <w:sz w:val="21"/>
          <w:szCs w:val="21"/>
        </w:rPr>
        <w:t xml:space="preserve"> Cruz y su núcleo familiar</w:t>
      </w:r>
      <w:r w:rsidR="008F1E46" w:rsidRPr="00704E2B">
        <w:rPr>
          <w:rFonts w:ascii="Cambria" w:hAnsi="Cambria"/>
          <w:sz w:val="21"/>
          <w:szCs w:val="21"/>
        </w:rPr>
        <w:t xml:space="preserve"> </w:t>
      </w:r>
      <w:r w:rsidR="00E96B43" w:rsidRPr="00704E2B">
        <w:rPr>
          <w:rFonts w:ascii="Cambria" w:hAnsi="Cambria"/>
          <w:sz w:val="21"/>
          <w:szCs w:val="21"/>
        </w:rPr>
        <w:t>se encuentra</w:t>
      </w:r>
      <w:r w:rsidR="00C42F10" w:rsidRPr="00704E2B">
        <w:rPr>
          <w:rFonts w:ascii="Cambria" w:hAnsi="Cambria"/>
          <w:sz w:val="21"/>
          <w:szCs w:val="21"/>
        </w:rPr>
        <w:t>n</w:t>
      </w:r>
      <w:r w:rsidR="00E96B43" w:rsidRPr="00704E2B">
        <w:rPr>
          <w:rFonts w:ascii="Cambria" w:hAnsi="Cambria"/>
          <w:sz w:val="21"/>
          <w:szCs w:val="21"/>
        </w:rPr>
        <w:t xml:space="preserve"> </w:t>
      </w:r>
      <w:r w:rsidR="0015120E" w:rsidRPr="00704E2B">
        <w:rPr>
          <w:rFonts w:ascii="Cambria" w:hAnsi="Cambria"/>
          <w:i/>
          <w:sz w:val="21"/>
          <w:szCs w:val="21"/>
        </w:rPr>
        <w:t xml:space="preserve">prima facie </w:t>
      </w:r>
      <w:r w:rsidR="00E96B43" w:rsidRPr="00704E2B">
        <w:rPr>
          <w:rFonts w:ascii="Cambria" w:hAnsi="Cambria"/>
          <w:sz w:val="21"/>
          <w:szCs w:val="21"/>
        </w:rPr>
        <w:t>en una situación de gravedad y urgencia, puesto que sus</w:t>
      </w:r>
      <w:r w:rsidR="008B0FEB" w:rsidRPr="00704E2B">
        <w:rPr>
          <w:rFonts w:ascii="Cambria" w:hAnsi="Cambria"/>
          <w:sz w:val="21"/>
          <w:szCs w:val="21"/>
        </w:rPr>
        <w:t xml:space="preserve"> derechos a la vida e integridad personal</w:t>
      </w:r>
      <w:r w:rsidR="00E96B43" w:rsidRPr="00704E2B">
        <w:rPr>
          <w:rFonts w:ascii="Cambria" w:hAnsi="Cambria"/>
          <w:sz w:val="21"/>
          <w:szCs w:val="21"/>
        </w:rPr>
        <w:t xml:space="preserve"> están en riesgo. En consecuencia, de acuerdo con el </w:t>
      </w:r>
      <w:r w:rsidR="008A1F72" w:rsidRPr="00704E2B">
        <w:rPr>
          <w:rFonts w:ascii="Cambria" w:hAnsi="Cambria"/>
          <w:sz w:val="21"/>
          <w:szCs w:val="21"/>
        </w:rPr>
        <w:t>a</w:t>
      </w:r>
      <w:r w:rsidR="00E96B43" w:rsidRPr="00704E2B">
        <w:rPr>
          <w:rFonts w:ascii="Cambria" w:hAnsi="Cambria"/>
          <w:sz w:val="21"/>
          <w:szCs w:val="21"/>
        </w:rPr>
        <w:t xml:space="preserve">rtículo 25 del Reglamento de </w:t>
      </w:r>
      <w:r w:rsidR="00A17DC2" w:rsidRPr="00704E2B">
        <w:rPr>
          <w:rFonts w:ascii="Cambria" w:hAnsi="Cambria"/>
          <w:sz w:val="21"/>
          <w:szCs w:val="21"/>
        </w:rPr>
        <w:t>la CIDH, la Comisión solicit</w:t>
      </w:r>
      <w:r w:rsidR="0019484A" w:rsidRPr="00704E2B">
        <w:rPr>
          <w:rFonts w:ascii="Cambria" w:hAnsi="Cambria"/>
          <w:sz w:val="21"/>
          <w:szCs w:val="21"/>
        </w:rPr>
        <w:t>ó</w:t>
      </w:r>
      <w:r w:rsidR="00A17DC2" w:rsidRPr="00704E2B">
        <w:rPr>
          <w:rFonts w:ascii="Cambria" w:hAnsi="Cambria"/>
          <w:sz w:val="21"/>
          <w:szCs w:val="21"/>
        </w:rPr>
        <w:t xml:space="preserve"> al Estado de </w:t>
      </w:r>
      <w:r w:rsidR="008F1E46" w:rsidRPr="00704E2B">
        <w:rPr>
          <w:rFonts w:ascii="Cambria" w:hAnsi="Cambria"/>
          <w:sz w:val="21"/>
          <w:szCs w:val="21"/>
        </w:rPr>
        <w:t>México</w:t>
      </w:r>
      <w:r w:rsidR="00E96B43" w:rsidRPr="00704E2B">
        <w:rPr>
          <w:rFonts w:ascii="Cambria" w:hAnsi="Cambria"/>
          <w:sz w:val="21"/>
          <w:szCs w:val="21"/>
        </w:rPr>
        <w:t xml:space="preserve"> que: </w:t>
      </w:r>
      <w:r w:rsidR="00984817" w:rsidRPr="00704E2B">
        <w:rPr>
          <w:rFonts w:ascii="Cambria" w:hAnsi="Cambria"/>
          <w:sz w:val="21"/>
          <w:szCs w:val="21"/>
        </w:rPr>
        <w:t xml:space="preserve">a) </w:t>
      </w:r>
      <w:r w:rsidR="0019484A" w:rsidRPr="00704E2B">
        <w:rPr>
          <w:rFonts w:ascii="Cambria" w:hAnsi="Cambria"/>
          <w:sz w:val="21"/>
          <w:szCs w:val="21"/>
        </w:rPr>
        <w:t>a</w:t>
      </w:r>
      <w:r w:rsidR="00984817" w:rsidRPr="00704E2B">
        <w:rPr>
          <w:rFonts w:ascii="Cambria" w:hAnsi="Cambria"/>
          <w:sz w:val="21"/>
          <w:szCs w:val="21"/>
        </w:rPr>
        <w:t xml:space="preserve">dopte las medidas necesarias para preservar la vida y la integridad personal de la señora Lucila </w:t>
      </w:r>
      <w:proofErr w:type="spellStart"/>
      <w:r w:rsidR="00984817" w:rsidRPr="00704E2B">
        <w:rPr>
          <w:rFonts w:ascii="Cambria" w:hAnsi="Cambria"/>
          <w:sz w:val="21"/>
          <w:szCs w:val="21"/>
        </w:rPr>
        <w:t>Bettina</w:t>
      </w:r>
      <w:proofErr w:type="spellEnd"/>
      <w:r w:rsidR="00984817" w:rsidRPr="00704E2B">
        <w:rPr>
          <w:rFonts w:ascii="Cambria" w:hAnsi="Cambria"/>
          <w:sz w:val="21"/>
          <w:szCs w:val="21"/>
        </w:rPr>
        <w:t xml:space="preserve"> Cruz y su núcleo familiar; b) </w:t>
      </w:r>
      <w:r w:rsidR="0019484A" w:rsidRPr="00704E2B">
        <w:rPr>
          <w:rFonts w:ascii="Cambria" w:hAnsi="Cambria"/>
          <w:sz w:val="21"/>
          <w:szCs w:val="21"/>
        </w:rPr>
        <w:t>a</w:t>
      </w:r>
      <w:r w:rsidR="00984817" w:rsidRPr="00704E2B">
        <w:rPr>
          <w:rFonts w:ascii="Cambria" w:hAnsi="Cambria"/>
          <w:sz w:val="21"/>
          <w:szCs w:val="21"/>
        </w:rPr>
        <w:t xml:space="preserve">dopte las medidas necesarias para asegurar que la señora Lucila </w:t>
      </w:r>
      <w:proofErr w:type="spellStart"/>
      <w:r w:rsidR="00984817" w:rsidRPr="00704E2B">
        <w:rPr>
          <w:rFonts w:ascii="Cambria" w:hAnsi="Cambria"/>
          <w:sz w:val="21"/>
          <w:szCs w:val="21"/>
        </w:rPr>
        <w:t>Bettina</w:t>
      </w:r>
      <w:proofErr w:type="spellEnd"/>
      <w:r w:rsidR="00984817" w:rsidRPr="00704E2B">
        <w:rPr>
          <w:rFonts w:ascii="Cambria" w:hAnsi="Cambria"/>
          <w:sz w:val="21"/>
          <w:szCs w:val="21"/>
        </w:rPr>
        <w:t xml:space="preserve"> Cruz pueda desarrollar sus actividades como defensora de derechos humanos sin ser objeto de amenazas, hostigamientos y actos de violencia en el ejercicio de sus funciones; c) </w:t>
      </w:r>
      <w:r w:rsidR="0038775E" w:rsidRPr="00704E2B">
        <w:rPr>
          <w:rFonts w:ascii="Cambria" w:hAnsi="Cambria"/>
          <w:sz w:val="21"/>
          <w:szCs w:val="21"/>
        </w:rPr>
        <w:t>concierte las medidas a adoptarse con los beneficiarios y sus representantes; e d) informe sobre las acciones adoptadas para asegurar la idoneidad y efectividad de las medidas de protección adoptadas, así como para investigar los hechos alegados que dieron lugar a la adopción de la presente medida cautelar a fin de así evitar su repetición.</w:t>
      </w:r>
    </w:p>
    <w:p w:rsidR="0089631F" w:rsidRPr="00704E2B" w:rsidRDefault="0089631F" w:rsidP="0038775E">
      <w:pPr>
        <w:pStyle w:val="ListParagraph"/>
        <w:spacing w:after="0" w:line="240" w:lineRule="auto"/>
        <w:ind w:left="360"/>
        <w:jc w:val="both"/>
        <w:rPr>
          <w:rFonts w:ascii="Cambria" w:hAnsi="Cambria"/>
          <w:sz w:val="21"/>
          <w:szCs w:val="21"/>
        </w:rPr>
      </w:pPr>
    </w:p>
    <w:p w:rsidR="0077739C" w:rsidRPr="00704E2B" w:rsidRDefault="00B90A56" w:rsidP="00DD7BA1">
      <w:pPr>
        <w:pStyle w:val="ListParagraph"/>
        <w:numPr>
          <w:ilvl w:val="0"/>
          <w:numId w:val="17"/>
        </w:numPr>
        <w:spacing w:after="0" w:line="240" w:lineRule="auto"/>
        <w:ind w:hanging="180"/>
        <w:jc w:val="both"/>
        <w:rPr>
          <w:rFonts w:ascii="Cambria" w:hAnsi="Cambria"/>
          <w:b/>
          <w:sz w:val="21"/>
          <w:szCs w:val="21"/>
        </w:rPr>
      </w:pPr>
      <w:r w:rsidRPr="00704E2B">
        <w:rPr>
          <w:rFonts w:ascii="Cambria" w:hAnsi="Cambria"/>
          <w:b/>
          <w:sz w:val="21"/>
          <w:szCs w:val="21"/>
        </w:rPr>
        <w:t>RESUMEN DE</w:t>
      </w:r>
      <w:r w:rsidR="00E00667" w:rsidRPr="00704E2B">
        <w:rPr>
          <w:rFonts w:ascii="Cambria" w:hAnsi="Cambria"/>
          <w:b/>
          <w:sz w:val="21"/>
          <w:szCs w:val="21"/>
        </w:rPr>
        <w:t xml:space="preserve"> </w:t>
      </w:r>
      <w:r w:rsidRPr="00704E2B">
        <w:rPr>
          <w:rFonts w:ascii="Cambria" w:hAnsi="Cambria"/>
          <w:b/>
          <w:sz w:val="21"/>
          <w:szCs w:val="21"/>
        </w:rPr>
        <w:t>HECHOS Y ARGUMENTO</w:t>
      </w:r>
      <w:r w:rsidR="008E4CB5" w:rsidRPr="00704E2B">
        <w:rPr>
          <w:rFonts w:ascii="Cambria" w:hAnsi="Cambria"/>
          <w:b/>
          <w:sz w:val="21"/>
          <w:szCs w:val="21"/>
        </w:rPr>
        <w:t xml:space="preserve">S APORTADOS </w:t>
      </w:r>
      <w:r w:rsidR="00E00667" w:rsidRPr="00704E2B">
        <w:rPr>
          <w:rFonts w:ascii="Cambria" w:hAnsi="Cambria"/>
          <w:b/>
          <w:sz w:val="21"/>
          <w:szCs w:val="21"/>
        </w:rPr>
        <w:t xml:space="preserve">POR LOS </w:t>
      </w:r>
      <w:r w:rsidR="0077739C" w:rsidRPr="00704E2B">
        <w:rPr>
          <w:rFonts w:ascii="Cambria" w:hAnsi="Cambria"/>
          <w:b/>
          <w:sz w:val="21"/>
          <w:szCs w:val="21"/>
        </w:rPr>
        <w:t>PARTES</w:t>
      </w:r>
    </w:p>
    <w:p w:rsidR="0077739C" w:rsidRPr="00704E2B" w:rsidRDefault="0077739C" w:rsidP="00DD7BA1">
      <w:pPr>
        <w:spacing w:after="0" w:line="240" w:lineRule="auto"/>
        <w:jc w:val="both"/>
        <w:rPr>
          <w:rFonts w:ascii="Cambria" w:hAnsi="Cambria"/>
          <w:b/>
          <w:sz w:val="21"/>
          <w:szCs w:val="21"/>
        </w:rPr>
      </w:pPr>
    </w:p>
    <w:p w:rsidR="00885925" w:rsidRPr="00704E2B" w:rsidRDefault="00885925" w:rsidP="00DD7BA1">
      <w:pPr>
        <w:pStyle w:val="ListParagraph"/>
        <w:numPr>
          <w:ilvl w:val="0"/>
          <w:numId w:val="34"/>
        </w:numPr>
        <w:spacing w:after="0" w:line="240" w:lineRule="auto"/>
        <w:ind w:left="540" w:hanging="180"/>
        <w:jc w:val="both"/>
        <w:rPr>
          <w:rFonts w:ascii="Cambria" w:hAnsi="Cambria"/>
          <w:b/>
          <w:sz w:val="21"/>
          <w:szCs w:val="21"/>
        </w:rPr>
      </w:pPr>
      <w:r w:rsidRPr="00704E2B">
        <w:rPr>
          <w:rFonts w:ascii="Cambria" w:hAnsi="Cambria"/>
          <w:b/>
          <w:sz w:val="21"/>
          <w:szCs w:val="21"/>
        </w:rPr>
        <w:t xml:space="preserve">Información aportada por </w:t>
      </w:r>
      <w:r w:rsidR="008F1E46" w:rsidRPr="00704E2B">
        <w:rPr>
          <w:rFonts w:ascii="Cambria" w:hAnsi="Cambria"/>
          <w:b/>
          <w:sz w:val="21"/>
          <w:szCs w:val="21"/>
        </w:rPr>
        <w:t>los solicitantes</w:t>
      </w:r>
    </w:p>
    <w:p w:rsidR="003B5DA6" w:rsidRPr="00704E2B" w:rsidRDefault="003B5DA6" w:rsidP="00DD7BA1">
      <w:pPr>
        <w:spacing w:after="0" w:line="240" w:lineRule="auto"/>
        <w:jc w:val="both"/>
        <w:rPr>
          <w:rFonts w:ascii="Cambria" w:hAnsi="Cambria"/>
          <w:sz w:val="21"/>
          <w:szCs w:val="21"/>
        </w:rPr>
      </w:pPr>
    </w:p>
    <w:p w:rsidR="00A966F2" w:rsidRPr="00704E2B" w:rsidRDefault="00FA2C7A" w:rsidP="00DD7BA1">
      <w:pPr>
        <w:pStyle w:val="ListParagraph"/>
        <w:numPr>
          <w:ilvl w:val="0"/>
          <w:numId w:val="20"/>
        </w:numPr>
        <w:spacing w:after="0" w:line="240" w:lineRule="auto"/>
        <w:ind w:left="0" w:firstLine="360"/>
        <w:jc w:val="both"/>
        <w:rPr>
          <w:rFonts w:ascii="Cambria" w:hAnsi="Cambria"/>
          <w:color w:val="000000"/>
          <w:sz w:val="21"/>
          <w:szCs w:val="21"/>
        </w:rPr>
      </w:pPr>
      <w:r w:rsidRPr="00704E2B">
        <w:rPr>
          <w:rFonts w:ascii="Cambria" w:hAnsi="Cambria"/>
          <w:color w:val="000000"/>
          <w:sz w:val="21"/>
          <w:szCs w:val="21"/>
        </w:rPr>
        <w:t xml:space="preserve">Según los solicitantes, la señora </w:t>
      </w:r>
      <w:r w:rsidR="0019484A" w:rsidRPr="00704E2B">
        <w:rPr>
          <w:rFonts w:ascii="Cambria" w:hAnsi="Cambria"/>
          <w:color w:val="000000"/>
          <w:sz w:val="21"/>
          <w:szCs w:val="21"/>
        </w:rPr>
        <w:t xml:space="preserve">Lucila </w:t>
      </w:r>
      <w:proofErr w:type="spellStart"/>
      <w:r w:rsidRPr="00704E2B">
        <w:rPr>
          <w:rFonts w:ascii="Cambria" w:hAnsi="Cambria"/>
          <w:color w:val="000000"/>
          <w:sz w:val="21"/>
          <w:szCs w:val="21"/>
        </w:rPr>
        <w:t>Bettina</w:t>
      </w:r>
      <w:proofErr w:type="spellEnd"/>
      <w:r w:rsidRPr="00704E2B">
        <w:rPr>
          <w:rFonts w:ascii="Cambria" w:hAnsi="Cambria"/>
          <w:color w:val="000000"/>
          <w:sz w:val="21"/>
          <w:szCs w:val="21"/>
        </w:rPr>
        <w:t xml:space="preserve"> </w:t>
      </w:r>
      <w:r w:rsidR="0019484A" w:rsidRPr="00704E2B">
        <w:rPr>
          <w:rFonts w:ascii="Cambria" w:hAnsi="Cambria"/>
          <w:color w:val="000000"/>
          <w:sz w:val="21"/>
          <w:szCs w:val="21"/>
        </w:rPr>
        <w:t xml:space="preserve">Cruz </w:t>
      </w:r>
      <w:r w:rsidRPr="00704E2B">
        <w:rPr>
          <w:rFonts w:ascii="Cambria" w:hAnsi="Cambria"/>
          <w:color w:val="000000"/>
          <w:sz w:val="21"/>
          <w:szCs w:val="21"/>
        </w:rPr>
        <w:t>pertenece a la comunidad indígena zapoteca de Juchitán en el Estado de Oaxaca</w:t>
      </w:r>
      <w:r w:rsidR="00912424" w:rsidRPr="00704E2B">
        <w:rPr>
          <w:rFonts w:ascii="Cambria" w:hAnsi="Cambria"/>
          <w:color w:val="000000"/>
          <w:sz w:val="21"/>
          <w:szCs w:val="21"/>
        </w:rPr>
        <w:t xml:space="preserve"> y </w:t>
      </w:r>
      <w:r w:rsidRPr="00704E2B">
        <w:rPr>
          <w:rFonts w:ascii="Cambria" w:hAnsi="Cambria"/>
          <w:color w:val="000000"/>
          <w:sz w:val="21"/>
          <w:szCs w:val="21"/>
        </w:rPr>
        <w:t>ocupa el cargo de coordinadora</w:t>
      </w:r>
      <w:r w:rsidR="000C7D55" w:rsidRPr="00704E2B">
        <w:rPr>
          <w:rFonts w:ascii="Cambria" w:hAnsi="Cambria"/>
          <w:color w:val="000000"/>
          <w:sz w:val="21"/>
          <w:szCs w:val="21"/>
        </w:rPr>
        <w:t xml:space="preserve"> </w:t>
      </w:r>
      <w:r w:rsidRPr="00704E2B">
        <w:rPr>
          <w:rFonts w:ascii="Cambria" w:hAnsi="Cambria"/>
          <w:color w:val="000000"/>
          <w:sz w:val="21"/>
          <w:szCs w:val="21"/>
        </w:rPr>
        <w:t xml:space="preserve">de </w:t>
      </w:r>
      <w:r w:rsidR="00A413D8" w:rsidRPr="00704E2B">
        <w:rPr>
          <w:rFonts w:ascii="Cambria" w:hAnsi="Cambria"/>
          <w:color w:val="000000"/>
          <w:sz w:val="21"/>
          <w:szCs w:val="21"/>
        </w:rPr>
        <w:t xml:space="preserve">APOYO y </w:t>
      </w:r>
      <w:r w:rsidR="005D2B9C" w:rsidRPr="00704E2B">
        <w:rPr>
          <w:rFonts w:ascii="Cambria" w:hAnsi="Cambria"/>
          <w:color w:val="000000"/>
          <w:sz w:val="21"/>
          <w:szCs w:val="21"/>
        </w:rPr>
        <w:t xml:space="preserve">de </w:t>
      </w:r>
      <w:r w:rsidRPr="00704E2B">
        <w:rPr>
          <w:rFonts w:ascii="Cambria" w:hAnsi="Cambria"/>
          <w:color w:val="000000"/>
          <w:sz w:val="21"/>
          <w:szCs w:val="21"/>
        </w:rPr>
        <w:t xml:space="preserve">la </w:t>
      </w:r>
      <w:r w:rsidRPr="00704E2B">
        <w:rPr>
          <w:rFonts w:ascii="Cambria" w:hAnsi="Cambria"/>
          <w:color w:val="000000"/>
          <w:sz w:val="21"/>
          <w:szCs w:val="21"/>
        </w:rPr>
        <w:lastRenderedPageBreak/>
        <w:t>“Asamblea de los Pueblos Indígenas del Istmo de Tehuantepec en Defensa de la Tierra y del Terri</w:t>
      </w:r>
      <w:r w:rsidR="00912424" w:rsidRPr="00704E2B">
        <w:rPr>
          <w:rFonts w:ascii="Cambria" w:hAnsi="Cambria"/>
          <w:color w:val="000000"/>
          <w:sz w:val="21"/>
          <w:szCs w:val="21"/>
        </w:rPr>
        <w:t>torio”</w:t>
      </w:r>
      <w:r w:rsidR="00984817" w:rsidRPr="00704E2B">
        <w:rPr>
          <w:rFonts w:ascii="Cambria" w:hAnsi="Cambria"/>
          <w:color w:val="000000"/>
          <w:sz w:val="21"/>
          <w:szCs w:val="21"/>
        </w:rPr>
        <w:t xml:space="preserve"> (APIITDTT)</w:t>
      </w:r>
      <w:r w:rsidRPr="00704E2B">
        <w:rPr>
          <w:rFonts w:ascii="Cambria" w:hAnsi="Cambria"/>
          <w:color w:val="000000"/>
          <w:sz w:val="21"/>
          <w:szCs w:val="21"/>
        </w:rPr>
        <w:t>. Ella sería una reconocida defensora de los territorios indígenas, y lidera la oposición por medios pacíficos y legales de los avances de los proyectos de energía eólica.</w:t>
      </w:r>
      <w:r w:rsidR="00912424" w:rsidRPr="00704E2B">
        <w:rPr>
          <w:rFonts w:ascii="Cambria" w:hAnsi="Cambria"/>
          <w:color w:val="000000"/>
          <w:sz w:val="21"/>
          <w:szCs w:val="21"/>
        </w:rPr>
        <w:t xml:space="preserve"> </w:t>
      </w:r>
    </w:p>
    <w:p w:rsidR="00984817" w:rsidRPr="00704E2B" w:rsidRDefault="00984817" w:rsidP="00DD7BA1">
      <w:pPr>
        <w:pStyle w:val="ListParagraph"/>
        <w:spacing w:after="0" w:line="240" w:lineRule="auto"/>
        <w:ind w:left="360"/>
        <w:jc w:val="both"/>
        <w:rPr>
          <w:rFonts w:ascii="Cambria" w:hAnsi="Cambria"/>
          <w:color w:val="000000"/>
          <w:sz w:val="21"/>
          <w:szCs w:val="21"/>
        </w:rPr>
      </w:pPr>
    </w:p>
    <w:p w:rsidR="00476BD7" w:rsidRPr="00704E2B" w:rsidRDefault="00FA2C7A" w:rsidP="00DD7BA1">
      <w:pPr>
        <w:pStyle w:val="ListParagraph"/>
        <w:numPr>
          <w:ilvl w:val="0"/>
          <w:numId w:val="20"/>
        </w:numPr>
        <w:spacing w:after="0" w:line="240" w:lineRule="auto"/>
        <w:ind w:left="0" w:firstLine="360"/>
        <w:jc w:val="both"/>
        <w:rPr>
          <w:rFonts w:ascii="Cambria" w:hAnsi="Cambria"/>
          <w:color w:val="000000"/>
          <w:sz w:val="21"/>
          <w:szCs w:val="21"/>
        </w:rPr>
      </w:pPr>
      <w:r w:rsidRPr="00704E2B">
        <w:rPr>
          <w:rFonts w:ascii="Cambria" w:hAnsi="Cambria"/>
          <w:color w:val="000000"/>
          <w:sz w:val="21"/>
          <w:szCs w:val="21"/>
        </w:rPr>
        <w:t>Los solicitantes</w:t>
      </w:r>
      <w:r w:rsidR="00B93273" w:rsidRPr="00704E2B">
        <w:rPr>
          <w:rFonts w:ascii="Cambria" w:hAnsi="Cambria"/>
          <w:color w:val="000000"/>
          <w:sz w:val="21"/>
          <w:szCs w:val="21"/>
        </w:rPr>
        <w:t xml:space="preserve"> indicaron que Oaxaca se </w:t>
      </w:r>
      <w:r w:rsidR="0019484A" w:rsidRPr="00704E2B">
        <w:rPr>
          <w:rFonts w:ascii="Cambria" w:hAnsi="Cambria"/>
          <w:color w:val="000000"/>
          <w:sz w:val="21"/>
          <w:szCs w:val="21"/>
        </w:rPr>
        <w:t xml:space="preserve">encuentra </w:t>
      </w:r>
      <w:r w:rsidR="00B93273" w:rsidRPr="00704E2B">
        <w:rPr>
          <w:rFonts w:ascii="Cambria" w:hAnsi="Cambria"/>
          <w:color w:val="000000"/>
          <w:sz w:val="21"/>
          <w:szCs w:val="21"/>
        </w:rPr>
        <w:t xml:space="preserve">entre los tres primeros lugares en números de homicidios de personas defensoras; y Juchitán </w:t>
      </w:r>
      <w:r w:rsidR="0019484A" w:rsidRPr="00704E2B">
        <w:rPr>
          <w:rFonts w:ascii="Cambria" w:hAnsi="Cambria"/>
          <w:color w:val="000000"/>
          <w:sz w:val="21"/>
          <w:szCs w:val="21"/>
        </w:rPr>
        <w:t xml:space="preserve">presenta </w:t>
      </w:r>
      <w:r w:rsidR="00B93273" w:rsidRPr="00704E2B">
        <w:rPr>
          <w:rFonts w:ascii="Cambria" w:hAnsi="Cambria"/>
          <w:color w:val="000000"/>
          <w:sz w:val="21"/>
          <w:szCs w:val="21"/>
        </w:rPr>
        <w:t>una situación de conflictividad elevada.</w:t>
      </w:r>
      <w:r w:rsidR="00C42F10" w:rsidRPr="00704E2B">
        <w:rPr>
          <w:rFonts w:ascii="Cambria" w:hAnsi="Cambria"/>
          <w:color w:val="000000"/>
          <w:sz w:val="21"/>
          <w:szCs w:val="21"/>
        </w:rPr>
        <w:t xml:space="preserve"> </w:t>
      </w:r>
      <w:r w:rsidR="0019484A" w:rsidRPr="00704E2B">
        <w:rPr>
          <w:rFonts w:ascii="Cambria" w:hAnsi="Cambria"/>
          <w:color w:val="000000"/>
          <w:sz w:val="21"/>
          <w:szCs w:val="21"/>
        </w:rPr>
        <w:t>R</w:t>
      </w:r>
      <w:r w:rsidR="00B93273" w:rsidRPr="00704E2B">
        <w:rPr>
          <w:rFonts w:ascii="Cambria" w:hAnsi="Cambria"/>
          <w:color w:val="000000"/>
          <w:sz w:val="21"/>
          <w:szCs w:val="21"/>
        </w:rPr>
        <w:t xml:space="preserve">esaltaron </w:t>
      </w:r>
      <w:r w:rsidRPr="00704E2B">
        <w:rPr>
          <w:rFonts w:ascii="Cambria" w:hAnsi="Cambria"/>
          <w:color w:val="000000"/>
          <w:sz w:val="21"/>
          <w:szCs w:val="21"/>
        </w:rPr>
        <w:t xml:space="preserve">que en Oaxaca existen alrededor de 21 parques </w:t>
      </w:r>
      <w:r w:rsidR="00272C94" w:rsidRPr="00704E2B">
        <w:rPr>
          <w:rFonts w:ascii="Cambria" w:hAnsi="Cambria"/>
          <w:color w:val="000000"/>
          <w:sz w:val="21"/>
          <w:szCs w:val="21"/>
        </w:rPr>
        <w:t>e</w:t>
      </w:r>
      <w:r w:rsidRPr="00704E2B">
        <w:rPr>
          <w:rFonts w:ascii="Cambria" w:hAnsi="Cambria"/>
          <w:color w:val="000000"/>
          <w:sz w:val="21"/>
          <w:szCs w:val="21"/>
        </w:rPr>
        <w:t>ólicos en funcionamiento,</w:t>
      </w:r>
      <w:r w:rsidR="00984817" w:rsidRPr="00704E2B">
        <w:rPr>
          <w:rFonts w:ascii="Cambria" w:hAnsi="Cambria"/>
          <w:color w:val="000000"/>
          <w:sz w:val="21"/>
          <w:szCs w:val="21"/>
        </w:rPr>
        <w:t xml:space="preserve"> </w:t>
      </w:r>
      <w:r w:rsidRPr="00704E2B">
        <w:rPr>
          <w:rFonts w:ascii="Cambria" w:hAnsi="Cambria"/>
          <w:color w:val="000000"/>
          <w:sz w:val="21"/>
          <w:szCs w:val="21"/>
        </w:rPr>
        <w:t xml:space="preserve">cuya instalación ha ocasionado despojo de tierras, alteración de las formas de subsistencia, costumbres y creencias de las comunidades indígenas desde los años </w:t>
      </w:r>
      <w:r w:rsidR="005105CC" w:rsidRPr="00704E2B">
        <w:rPr>
          <w:rFonts w:ascii="Cambria" w:hAnsi="Cambria"/>
          <w:color w:val="000000"/>
          <w:sz w:val="21"/>
          <w:szCs w:val="21"/>
        </w:rPr>
        <w:t>90</w:t>
      </w:r>
      <w:r w:rsidRPr="00704E2B">
        <w:rPr>
          <w:rFonts w:ascii="Cambria" w:hAnsi="Cambria"/>
          <w:color w:val="000000"/>
          <w:sz w:val="21"/>
          <w:szCs w:val="21"/>
        </w:rPr>
        <w:t>.</w:t>
      </w:r>
      <w:r w:rsidR="00ED37BE" w:rsidRPr="00704E2B">
        <w:rPr>
          <w:rFonts w:ascii="Cambria" w:hAnsi="Cambria"/>
          <w:color w:val="000000"/>
          <w:sz w:val="21"/>
          <w:szCs w:val="21"/>
        </w:rPr>
        <w:t xml:space="preserve"> </w:t>
      </w:r>
      <w:r w:rsidRPr="00704E2B">
        <w:rPr>
          <w:rFonts w:ascii="Cambria" w:hAnsi="Cambria"/>
          <w:color w:val="000000"/>
          <w:sz w:val="21"/>
          <w:szCs w:val="21"/>
        </w:rPr>
        <w:t xml:space="preserve">Según los </w:t>
      </w:r>
      <w:r w:rsidR="00862C42" w:rsidRPr="00704E2B">
        <w:rPr>
          <w:rFonts w:ascii="Cambria" w:hAnsi="Cambria"/>
          <w:color w:val="000000"/>
          <w:sz w:val="21"/>
          <w:szCs w:val="21"/>
        </w:rPr>
        <w:t xml:space="preserve">solicitantes, en enero de 2015, </w:t>
      </w:r>
      <w:r w:rsidRPr="00704E2B">
        <w:rPr>
          <w:rFonts w:ascii="Cambria" w:hAnsi="Cambria"/>
          <w:color w:val="000000"/>
          <w:sz w:val="21"/>
          <w:szCs w:val="21"/>
        </w:rPr>
        <w:t>el Estado entregó un permiso a la empresa “Eólica del Sur” para</w:t>
      </w:r>
      <w:r w:rsidR="005B18A8" w:rsidRPr="00704E2B">
        <w:rPr>
          <w:rFonts w:ascii="Cambria" w:hAnsi="Cambria"/>
          <w:color w:val="000000"/>
          <w:sz w:val="21"/>
          <w:szCs w:val="21"/>
        </w:rPr>
        <w:t xml:space="preserve"> un proyecto eólico</w:t>
      </w:r>
      <w:r w:rsidR="008018C3" w:rsidRPr="00704E2B">
        <w:rPr>
          <w:rFonts w:ascii="Cambria" w:hAnsi="Cambria"/>
          <w:color w:val="000000"/>
          <w:sz w:val="21"/>
          <w:szCs w:val="21"/>
        </w:rPr>
        <w:t xml:space="preserve"> sin la debida consulta previa</w:t>
      </w:r>
      <w:r w:rsidR="00D8216D" w:rsidRPr="00704E2B">
        <w:rPr>
          <w:rFonts w:ascii="Cambria" w:hAnsi="Cambria"/>
          <w:color w:val="000000"/>
          <w:sz w:val="21"/>
          <w:szCs w:val="21"/>
        </w:rPr>
        <w:t>, libre e informada</w:t>
      </w:r>
      <w:r w:rsidRPr="00704E2B">
        <w:rPr>
          <w:rFonts w:ascii="Cambria" w:hAnsi="Cambria"/>
          <w:color w:val="000000"/>
          <w:sz w:val="21"/>
          <w:szCs w:val="21"/>
        </w:rPr>
        <w:t>.</w:t>
      </w:r>
      <w:r w:rsidR="00D8216D" w:rsidRPr="00704E2B">
        <w:rPr>
          <w:rFonts w:ascii="Cambria" w:hAnsi="Cambria"/>
          <w:color w:val="000000"/>
          <w:sz w:val="21"/>
          <w:szCs w:val="21"/>
        </w:rPr>
        <w:t xml:space="preserve"> </w:t>
      </w:r>
      <w:r w:rsidRPr="00704E2B">
        <w:rPr>
          <w:rFonts w:ascii="Cambria" w:hAnsi="Cambria"/>
          <w:color w:val="000000"/>
          <w:sz w:val="21"/>
          <w:szCs w:val="21"/>
        </w:rPr>
        <w:t>Este proyecto afectaría a la comunidad indígena za</w:t>
      </w:r>
      <w:r w:rsidR="00862C42" w:rsidRPr="00704E2B">
        <w:rPr>
          <w:rFonts w:ascii="Cambria" w:hAnsi="Cambria"/>
          <w:color w:val="000000"/>
          <w:sz w:val="21"/>
          <w:szCs w:val="21"/>
        </w:rPr>
        <w:t xml:space="preserve">poteca de Juchitán de Zaragoza, </w:t>
      </w:r>
      <w:r w:rsidRPr="00704E2B">
        <w:rPr>
          <w:rFonts w:ascii="Cambria" w:hAnsi="Cambria"/>
          <w:color w:val="000000"/>
          <w:sz w:val="21"/>
          <w:szCs w:val="21"/>
        </w:rPr>
        <w:t>Oaxaca en el Istmo de Tehuantepec.</w:t>
      </w:r>
    </w:p>
    <w:p w:rsidR="00476BD7" w:rsidRPr="00704E2B" w:rsidRDefault="00476BD7" w:rsidP="00476BD7">
      <w:pPr>
        <w:pStyle w:val="ListParagraph"/>
        <w:spacing w:after="0" w:line="240" w:lineRule="auto"/>
        <w:ind w:left="360"/>
        <w:jc w:val="both"/>
        <w:rPr>
          <w:rFonts w:ascii="Cambria" w:hAnsi="Cambria"/>
          <w:color w:val="000000"/>
          <w:sz w:val="21"/>
          <w:szCs w:val="21"/>
        </w:rPr>
      </w:pPr>
    </w:p>
    <w:p w:rsidR="00272C94" w:rsidRPr="00704E2B" w:rsidRDefault="005D2B9C" w:rsidP="005D2B9C">
      <w:pPr>
        <w:pStyle w:val="ListParagraph"/>
        <w:numPr>
          <w:ilvl w:val="0"/>
          <w:numId w:val="20"/>
        </w:numPr>
        <w:spacing w:after="0" w:line="240" w:lineRule="auto"/>
        <w:ind w:left="0" w:firstLine="360"/>
        <w:jc w:val="both"/>
        <w:rPr>
          <w:rFonts w:ascii="Cambria" w:hAnsi="Cambria"/>
          <w:color w:val="000000"/>
          <w:sz w:val="21"/>
          <w:szCs w:val="21"/>
        </w:rPr>
      </w:pPr>
      <w:r w:rsidRPr="00704E2B">
        <w:rPr>
          <w:rFonts w:ascii="Cambria" w:hAnsi="Cambria"/>
          <w:color w:val="000000"/>
          <w:sz w:val="21"/>
          <w:szCs w:val="21"/>
        </w:rPr>
        <w:t>L</w:t>
      </w:r>
      <w:r w:rsidR="0019484A" w:rsidRPr="00704E2B">
        <w:rPr>
          <w:rFonts w:ascii="Cambria" w:hAnsi="Cambria"/>
          <w:color w:val="000000"/>
          <w:sz w:val="21"/>
          <w:szCs w:val="21"/>
        </w:rPr>
        <w:t xml:space="preserve">os solicitantes señalaron que la situación de riesgo de la señora </w:t>
      </w:r>
      <w:proofErr w:type="spellStart"/>
      <w:r w:rsidR="0019484A" w:rsidRPr="00704E2B">
        <w:rPr>
          <w:rFonts w:ascii="Cambria" w:hAnsi="Cambria"/>
          <w:color w:val="000000"/>
          <w:sz w:val="21"/>
          <w:szCs w:val="21"/>
        </w:rPr>
        <w:t>Bettina</w:t>
      </w:r>
      <w:proofErr w:type="spellEnd"/>
      <w:r w:rsidR="0019484A" w:rsidRPr="00704E2B">
        <w:rPr>
          <w:rFonts w:ascii="Cambria" w:hAnsi="Cambria"/>
          <w:color w:val="000000"/>
          <w:sz w:val="21"/>
          <w:szCs w:val="21"/>
        </w:rPr>
        <w:t xml:space="preserve"> Cruz se enmarcaría dentro de las acciones que ha interpuesto en contra de la implementación de dicho proyecto desde el año 2015</w:t>
      </w:r>
      <w:r w:rsidR="00122809" w:rsidRPr="00704E2B">
        <w:rPr>
          <w:rStyle w:val="FootnoteReference"/>
          <w:rFonts w:ascii="Cambria" w:hAnsi="Cambria"/>
          <w:color w:val="000000"/>
          <w:sz w:val="21"/>
          <w:szCs w:val="21"/>
        </w:rPr>
        <w:footnoteReference w:id="4"/>
      </w:r>
      <w:r w:rsidR="00ED37BE" w:rsidRPr="00704E2B">
        <w:rPr>
          <w:rFonts w:ascii="Cambria" w:hAnsi="Cambria"/>
          <w:color w:val="000000"/>
          <w:sz w:val="21"/>
          <w:szCs w:val="21"/>
        </w:rPr>
        <w:t xml:space="preserve">. </w:t>
      </w:r>
      <w:r w:rsidR="00984817" w:rsidRPr="00704E2B">
        <w:rPr>
          <w:rFonts w:ascii="Cambria" w:hAnsi="Cambria"/>
          <w:color w:val="000000"/>
          <w:sz w:val="21"/>
          <w:szCs w:val="21"/>
        </w:rPr>
        <w:t xml:space="preserve">Según los solicitantes, </w:t>
      </w:r>
      <w:r w:rsidR="00FA2C7A" w:rsidRPr="00704E2B">
        <w:rPr>
          <w:rFonts w:ascii="Cambria" w:hAnsi="Cambria"/>
          <w:color w:val="000000"/>
          <w:sz w:val="21"/>
          <w:szCs w:val="21"/>
        </w:rPr>
        <w:t xml:space="preserve">de realizarse el proyecto </w:t>
      </w:r>
      <w:r w:rsidR="00984817" w:rsidRPr="00704E2B">
        <w:rPr>
          <w:rFonts w:ascii="Cambria" w:hAnsi="Cambria"/>
          <w:color w:val="000000"/>
          <w:sz w:val="21"/>
          <w:szCs w:val="21"/>
        </w:rPr>
        <w:t>s</w:t>
      </w:r>
      <w:r w:rsidR="00FA2C7A" w:rsidRPr="00704E2B">
        <w:rPr>
          <w:rFonts w:ascii="Cambria" w:hAnsi="Cambria"/>
          <w:color w:val="000000"/>
          <w:sz w:val="21"/>
          <w:szCs w:val="21"/>
        </w:rPr>
        <w:t>e</w:t>
      </w:r>
      <w:r w:rsidR="00984817" w:rsidRPr="00704E2B">
        <w:rPr>
          <w:rFonts w:ascii="Cambria" w:hAnsi="Cambria"/>
          <w:color w:val="000000"/>
          <w:sz w:val="21"/>
          <w:szCs w:val="21"/>
        </w:rPr>
        <w:t xml:space="preserve"> generará</w:t>
      </w:r>
      <w:r w:rsidR="00FA2C7A" w:rsidRPr="00704E2B">
        <w:rPr>
          <w:rFonts w:ascii="Cambria" w:hAnsi="Cambria"/>
          <w:color w:val="000000"/>
          <w:sz w:val="21"/>
          <w:szCs w:val="21"/>
        </w:rPr>
        <w:t xml:space="preserve">n daños irreparables a los derechos a la vida e integridad de las comunidades indígenas afectadas, </w:t>
      </w:r>
      <w:r w:rsidRPr="00704E2B">
        <w:rPr>
          <w:rFonts w:ascii="Cambria" w:hAnsi="Cambria"/>
          <w:color w:val="000000"/>
          <w:sz w:val="21"/>
          <w:szCs w:val="21"/>
        </w:rPr>
        <w:t xml:space="preserve">tanto en sus </w:t>
      </w:r>
      <w:r w:rsidR="00FA2C7A" w:rsidRPr="00704E2B">
        <w:rPr>
          <w:rFonts w:ascii="Cambria" w:hAnsi="Cambria"/>
          <w:color w:val="000000"/>
          <w:sz w:val="21"/>
          <w:szCs w:val="21"/>
        </w:rPr>
        <w:t xml:space="preserve">modos ancestrales de supervivencia </w:t>
      </w:r>
      <w:r w:rsidRPr="00704E2B">
        <w:rPr>
          <w:rFonts w:ascii="Cambria" w:hAnsi="Cambria"/>
          <w:color w:val="000000"/>
          <w:sz w:val="21"/>
          <w:szCs w:val="21"/>
        </w:rPr>
        <w:t xml:space="preserve">como para </w:t>
      </w:r>
      <w:r w:rsidR="00FA2C7A" w:rsidRPr="00704E2B">
        <w:rPr>
          <w:rFonts w:ascii="Cambria" w:hAnsi="Cambria"/>
          <w:color w:val="000000"/>
          <w:sz w:val="21"/>
          <w:szCs w:val="21"/>
        </w:rPr>
        <w:t xml:space="preserve">cumplir sus </w:t>
      </w:r>
      <w:r w:rsidR="0061431D" w:rsidRPr="00704E2B">
        <w:rPr>
          <w:rFonts w:ascii="Cambria" w:hAnsi="Cambria"/>
          <w:color w:val="000000"/>
          <w:sz w:val="21"/>
          <w:szCs w:val="21"/>
        </w:rPr>
        <w:t xml:space="preserve">ritos </w:t>
      </w:r>
      <w:r w:rsidR="00FA2C7A" w:rsidRPr="00704E2B">
        <w:rPr>
          <w:rFonts w:ascii="Cambria" w:hAnsi="Cambria"/>
          <w:color w:val="000000"/>
          <w:sz w:val="21"/>
          <w:szCs w:val="21"/>
        </w:rPr>
        <w:t xml:space="preserve">sagrados. </w:t>
      </w:r>
    </w:p>
    <w:p w:rsidR="00272C94" w:rsidRPr="00704E2B" w:rsidRDefault="00272C94" w:rsidP="00DD7BA1">
      <w:pPr>
        <w:pStyle w:val="ListParagraph"/>
        <w:spacing w:after="0" w:line="240" w:lineRule="auto"/>
        <w:ind w:left="360"/>
        <w:jc w:val="both"/>
        <w:rPr>
          <w:rFonts w:ascii="Cambria" w:hAnsi="Cambria"/>
          <w:color w:val="000000"/>
          <w:sz w:val="21"/>
          <w:szCs w:val="21"/>
        </w:rPr>
      </w:pPr>
    </w:p>
    <w:p w:rsidR="00191B7D" w:rsidRPr="00704E2B" w:rsidRDefault="00374568" w:rsidP="00191B7D">
      <w:pPr>
        <w:pStyle w:val="ListParagraph"/>
        <w:numPr>
          <w:ilvl w:val="0"/>
          <w:numId w:val="20"/>
        </w:numPr>
        <w:spacing w:after="0" w:line="240" w:lineRule="auto"/>
        <w:ind w:left="0" w:firstLine="360"/>
        <w:jc w:val="both"/>
        <w:rPr>
          <w:rFonts w:ascii="Cambria" w:hAnsi="Cambria"/>
          <w:sz w:val="21"/>
          <w:szCs w:val="21"/>
        </w:rPr>
      </w:pPr>
      <w:r w:rsidRPr="00704E2B">
        <w:rPr>
          <w:rFonts w:ascii="Cambria" w:hAnsi="Cambria"/>
          <w:color w:val="000000"/>
          <w:sz w:val="21"/>
          <w:szCs w:val="21"/>
        </w:rPr>
        <w:t>Los solicitantes indicaron que desde el año 2013 l</w:t>
      </w:r>
      <w:r w:rsidR="00B6272D" w:rsidRPr="00704E2B">
        <w:rPr>
          <w:rFonts w:ascii="Cambria" w:hAnsi="Cambria"/>
          <w:color w:val="000000"/>
          <w:sz w:val="21"/>
          <w:szCs w:val="21"/>
        </w:rPr>
        <w:t xml:space="preserve">a </w:t>
      </w:r>
      <w:r w:rsidRPr="00704E2B">
        <w:rPr>
          <w:rFonts w:ascii="Cambria" w:hAnsi="Cambria"/>
          <w:color w:val="000000"/>
          <w:sz w:val="21"/>
          <w:szCs w:val="21"/>
        </w:rPr>
        <w:t xml:space="preserve">señora </w:t>
      </w:r>
      <w:proofErr w:type="spellStart"/>
      <w:r w:rsidR="00B6272D" w:rsidRPr="00704E2B">
        <w:rPr>
          <w:rFonts w:ascii="Cambria" w:hAnsi="Cambria"/>
          <w:color w:val="000000"/>
          <w:sz w:val="21"/>
          <w:szCs w:val="21"/>
        </w:rPr>
        <w:t>Bettina</w:t>
      </w:r>
      <w:proofErr w:type="spellEnd"/>
      <w:r w:rsidR="00B6272D" w:rsidRPr="00704E2B">
        <w:rPr>
          <w:rFonts w:ascii="Cambria" w:hAnsi="Cambria"/>
          <w:color w:val="000000"/>
          <w:sz w:val="21"/>
          <w:szCs w:val="21"/>
        </w:rPr>
        <w:t xml:space="preserve"> </w:t>
      </w:r>
      <w:r w:rsidR="0019484A" w:rsidRPr="00704E2B">
        <w:rPr>
          <w:rFonts w:ascii="Cambria" w:hAnsi="Cambria"/>
          <w:color w:val="000000"/>
          <w:sz w:val="21"/>
          <w:szCs w:val="21"/>
        </w:rPr>
        <w:t xml:space="preserve">Cruz </w:t>
      </w:r>
      <w:r w:rsidRPr="00704E2B">
        <w:rPr>
          <w:rFonts w:ascii="Cambria" w:hAnsi="Cambria"/>
          <w:color w:val="000000"/>
          <w:sz w:val="21"/>
          <w:szCs w:val="21"/>
        </w:rPr>
        <w:t xml:space="preserve">fue calificada a nivel interno con </w:t>
      </w:r>
      <w:r w:rsidR="00FA2C7A" w:rsidRPr="00704E2B">
        <w:rPr>
          <w:rFonts w:ascii="Cambria" w:hAnsi="Cambria"/>
          <w:color w:val="000000"/>
          <w:sz w:val="21"/>
          <w:szCs w:val="21"/>
        </w:rPr>
        <w:t xml:space="preserve">“riesgo extraordinario”. </w:t>
      </w:r>
      <w:r w:rsidR="00CE468B" w:rsidRPr="00704E2B">
        <w:rPr>
          <w:rFonts w:ascii="Cambria" w:hAnsi="Cambria"/>
          <w:color w:val="000000"/>
          <w:sz w:val="21"/>
          <w:szCs w:val="21"/>
        </w:rPr>
        <w:t>E</w:t>
      </w:r>
      <w:r w:rsidR="0061431D" w:rsidRPr="00704E2B">
        <w:rPr>
          <w:rFonts w:ascii="Cambria" w:hAnsi="Cambria"/>
          <w:color w:val="000000"/>
          <w:sz w:val="21"/>
          <w:szCs w:val="21"/>
        </w:rPr>
        <w:t xml:space="preserve">n un contexto de desprestigio y difamación a sus labores, </w:t>
      </w:r>
      <w:r w:rsidRPr="00704E2B">
        <w:rPr>
          <w:rFonts w:ascii="Cambria" w:hAnsi="Cambria"/>
          <w:color w:val="000000"/>
          <w:sz w:val="21"/>
          <w:szCs w:val="21"/>
        </w:rPr>
        <w:t xml:space="preserve">la señora </w:t>
      </w:r>
      <w:proofErr w:type="spellStart"/>
      <w:r w:rsidR="002F12A6" w:rsidRPr="00704E2B">
        <w:rPr>
          <w:rFonts w:ascii="Cambria" w:hAnsi="Cambria"/>
          <w:color w:val="000000"/>
          <w:sz w:val="21"/>
          <w:szCs w:val="21"/>
        </w:rPr>
        <w:t>Bettina</w:t>
      </w:r>
      <w:proofErr w:type="spellEnd"/>
      <w:r w:rsidR="002F12A6" w:rsidRPr="00704E2B">
        <w:rPr>
          <w:rFonts w:ascii="Cambria" w:hAnsi="Cambria"/>
          <w:color w:val="000000"/>
          <w:sz w:val="21"/>
          <w:szCs w:val="21"/>
        </w:rPr>
        <w:t xml:space="preserve"> </w:t>
      </w:r>
      <w:r w:rsidRPr="00704E2B">
        <w:rPr>
          <w:rFonts w:ascii="Cambria" w:hAnsi="Cambria"/>
          <w:color w:val="000000"/>
          <w:sz w:val="21"/>
          <w:szCs w:val="21"/>
        </w:rPr>
        <w:t xml:space="preserve">Cruz </w:t>
      </w:r>
      <w:r w:rsidR="00C86815" w:rsidRPr="00704E2B">
        <w:rPr>
          <w:rFonts w:ascii="Cambria" w:hAnsi="Cambria"/>
          <w:color w:val="000000"/>
          <w:sz w:val="21"/>
          <w:szCs w:val="21"/>
        </w:rPr>
        <w:t xml:space="preserve">tendría especial preocupación por el uso de sicarios como “mecanismo de amedrentamiento”. Particularmente, refirió especial temor frente a una persona que estaría </w:t>
      </w:r>
      <w:r w:rsidR="002F12A6" w:rsidRPr="00704E2B">
        <w:rPr>
          <w:rFonts w:ascii="Cambria" w:hAnsi="Cambria"/>
          <w:color w:val="000000"/>
          <w:sz w:val="21"/>
          <w:szCs w:val="21"/>
        </w:rPr>
        <w:t>“ligado al ayuntamiento de Juchitán y a Eólica del Sur”</w:t>
      </w:r>
      <w:r w:rsidR="00C86815" w:rsidRPr="00704E2B">
        <w:rPr>
          <w:rFonts w:ascii="Cambria" w:hAnsi="Cambria"/>
          <w:color w:val="000000"/>
          <w:sz w:val="21"/>
          <w:szCs w:val="21"/>
        </w:rPr>
        <w:t xml:space="preserve"> </w:t>
      </w:r>
      <w:r w:rsidR="00122809" w:rsidRPr="00704E2B">
        <w:rPr>
          <w:rFonts w:ascii="Cambria" w:hAnsi="Cambria"/>
          <w:color w:val="000000"/>
          <w:sz w:val="21"/>
          <w:szCs w:val="21"/>
        </w:rPr>
        <w:t xml:space="preserve">y </w:t>
      </w:r>
      <w:r w:rsidR="00C86815" w:rsidRPr="00704E2B">
        <w:rPr>
          <w:rFonts w:ascii="Cambria" w:hAnsi="Cambria"/>
          <w:color w:val="000000"/>
          <w:sz w:val="21"/>
          <w:szCs w:val="21"/>
        </w:rPr>
        <w:t>que habría estado involucrado</w:t>
      </w:r>
      <w:r w:rsidR="002F12A6" w:rsidRPr="00704E2B">
        <w:rPr>
          <w:rFonts w:ascii="Cambria" w:hAnsi="Cambria"/>
          <w:color w:val="000000"/>
          <w:sz w:val="21"/>
          <w:szCs w:val="21"/>
        </w:rPr>
        <w:t xml:space="preserve"> </w:t>
      </w:r>
      <w:r w:rsidR="00C86815" w:rsidRPr="00704E2B">
        <w:rPr>
          <w:rFonts w:ascii="Cambria" w:hAnsi="Cambria"/>
          <w:color w:val="000000"/>
          <w:sz w:val="21"/>
          <w:szCs w:val="21"/>
        </w:rPr>
        <w:t xml:space="preserve">en </w:t>
      </w:r>
      <w:r w:rsidR="002F12A6" w:rsidRPr="00704E2B">
        <w:rPr>
          <w:rFonts w:ascii="Cambria" w:hAnsi="Cambria"/>
          <w:color w:val="000000"/>
          <w:sz w:val="21"/>
          <w:szCs w:val="21"/>
        </w:rPr>
        <w:t>“muchas muertes que han ocurrido en Juchitán</w:t>
      </w:r>
      <w:r w:rsidR="00C86815" w:rsidRPr="00704E2B">
        <w:rPr>
          <w:rFonts w:ascii="Cambria" w:hAnsi="Cambria"/>
          <w:color w:val="000000"/>
          <w:sz w:val="21"/>
          <w:szCs w:val="21"/>
        </w:rPr>
        <w:t>”</w:t>
      </w:r>
      <w:r w:rsidR="002F12A6" w:rsidRPr="00704E2B">
        <w:rPr>
          <w:rStyle w:val="FootnoteReference"/>
          <w:rFonts w:ascii="Cambria" w:hAnsi="Cambria"/>
          <w:color w:val="000000"/>
          <w:sz w:val="21"/>
          <w:szCs w:val="21"/>
        </w:rPr>
        <w:footnoteReference w:id="5"/>
      </w:r>
      <w:r w:rsidR="002F12A6" w:rsidRPr="00704E2B">
        <w:rPr>
          <w:rFonts w:ascii="Cambria" w:hAnsi="Cambria"/>
          <w:color w:val="000000"/>
          <w:sz w:val="21"/>
          <w:szCs w:val="21"/>
        </w:rPr>
        <w:t xml:space="preserve">. </w:t>
      </w:r>
    </w:p>
    <w:p w:rsidR="00191B7D" w:rsidRPr="00704E2B" w:rsidRDefault="00191B7D" w:rsidP="00191B7D">
      <w:pPr>
        <w:pStyle w:val="ListParagraph"/>
        <w:spacing w:after="0" w:line="240" w:lineRule="auto"/>
        <w:ind w:left="360"/>
        <w:jc w:val="both"/>
        <w:rPr>
          <w:rFonts w:ascii="Cambria" w:hAnsi="Cambria"/>
          <w:sz w:val="21"/>
          <w:szCs w:val="21"/>
        </w:rPr>
      </w:pPr>
    </w:p>
    <w:p w:rsidR="00A4401A" w:rsidRPr="00704E2B" w:rsidRDefault="00D44475" w:rsidP="00191B7D">
      <w:pPr>
        <w:pStyle w:val="ListParagraph"/>
        <w:numPr>
          <w:ilvl w:val="0"/>
          <w:numId w:val="20"/>
        </w:numPr>
        <w:spacing w:after="0" w:line="240" w:lineRule="auto"/>
        <w:ind w:left="0" w:firstLine="360"/>
        <w:jc w:val="both"/>
        <w:rPr>
          <w:rFonts w:ascii="Cambria" w:hAnsi="Cambria"/>
          <w:sz w:val="21"/>
          <w:szCs w:val="21"/>
        </w:rPr>
      </w:pPr>
      <w:r w:rsidRPr="00704E2B">
        <w:rPr>
          <w:rFonts w:ascii="Cambria" w:hAnsi="Cambria"/>
          <w:sz w:val="21"/>
          <w:szCs w:val="21"/>
        </w:rPr>
        <w:t>L</w:t>
      </w:r>
      <w:r w:rsidR="009F6102" w:rsidRPr="00704E2B">
        <w:rPr>
          <w:rFonts w:ascii="Cambria" w:hAnsi="Cambria"/>
          <w:sz w:val="21"/>
          <w:szCs w:val="21"/>
        </w:rPr>
        <w:t xml:space="preserve">os solicitantes indicaron que, en 2016, se dictó una sentencia absolutoria de un policía que habría agredido en el 2011 a la propuesta beneficiaria, </w:t>
      </w:r>
      <w:r w:rsidR="00C86815" w:rsidRPr="00704E2B">
        <w:rPr>
          <w:rFonts w:ascii="Cambria" w:hAnsi="Cambria"/>
          <w:sz w:val="21"/>
          <w:szCs w:val="21"/>
        </w:rPr>
        <w:t xml:space="preserve">poniéndole </w:t>
      </w:r>
      <w:r w:rsidR="009F6102" w:rsidRPr="00704E2B">
        <w:rPr>
          <w:rFonts w:ascii="Cambria" w:hAnsi="Cambria"/>
          <w:sz w:val="21"/>
          <w:szCs w:val="21"/>
        </w:rPr>
        <w:t xml:space="preserve">un arma de fuego en la cabeza. Si bien la propuesta beneficiaria </w:t>
      </w:r>
      <w:r w:rsidR="002D0849" w:rsidRPr="00704E2B">
        <w:rPr>
          <w:rFonts w:ascii="Cambria" w:hAnsi="Cambria"/>
          <w:sz w:val="21"/>
          <w:szCs w:val="21"/>
        </w:rPr>
        <w:t xml:space="preserve">inicialmente cuestionó </w:t>
      </w:r>
      <w:r w:rsidR="009F6102" w:rsidRPr="00704E2B">
        <w:rPr>
          <w:rFonts w:ascii="Cambria" w:hAnsi="Cambria"/>
          <w:sz w:val="21"/>
          <w:szCs w:val="21"/>
        </w:rPr>
        <w:t xml:space="preserve">dicha decisión, </w:t>
      </w:r>
      <w:r w:rsidR="002D0849" w:rsidRPr="00704E2B">
        <w:rPr>
          <w:rFonts w:ascii="Cambria" w:hAnsi="Cambria"/>
          <w:sz w:val="21"/>
          <w:szCs w:val="21"/>
        </w:rPr>
        <w:t xml:space="preserve">tendría temor de continuar denunciando en vista de que dicha situación la pondría </w:t>
      </w:r>
      <w:r w:rsidR="009F6102" w:rsidRPr="00704E2B">
        <w:rPr>
          <w:rFonts w:ascii="Cambria" w:hAnsi="Cambria"/>
          <w:sz w:val="21"/>
          <w:szCs w:val="21"/>
        </w:rPr>
        <w:t xml:space="preserve">en mayor de peligro. </w:t>
      </w:r>
      <w:r w:rsidR="000909E9" w:rsidRPr="00704E2B">
        <w:rPr>
          <w:rFonts w:ascii="Cambria" w:hAnsi="Cambria"/>
          <w:sz w:val="21"/>
          <w:szCs w:val="21"/>
        </w:rPr>
        <w:t>Según los solicitantes, la propuesta beneficiaria “teme por su vida con esta persona [el policía] en libertad”.</w:t>
      </w:r>
    </w:p>
    <w:p w:rsidR="000909E9" w:rsidRPr="00704E2B" w:rsidRDefault="000909E9" w:rsidP="00D44475">
      <w:pPr>
        <w:pStyle w:val="ListParagraph"/>
        <w:spacing w:after="0" w:line="240" w:lineRule="auto"/>
        <w:ind w:left="360"/>
        <w:jc w:val="both"/>
        <w:rPr>
          <w:rFonts w:ascii="Cambria" w:hAnsi="Cambria"/>
          <w:color w:val="000000"/>
          <w:sz w:val="21"/>
          <w:szCs w:val="21"/>
        </w:rPr>
      </w:pPr>
    </w:p>
    <w:p w:rsidR="00A4401A" w:rsidRPr="00704E2B" w:rsidRDefault="00D44475" w:rsidP="00A4401A">
      <w:pPr>
        <w:pStyle w:val="ListParagraph"/>
        <w:numPr>
          <w:ilvl w:val="0"/>
          <w:numId w:val="20"/>
        </w:numPr>
        <w:spacing w:after="0" w:line="240" w:lineRule="auto"/>
        <w:ind w:left="0" w:firstLine="360"/>
        <w:jc w:val="both"/>
        <w:rPr>
          <w:rFonts w:ascii="Cambria" w:hAnsi="Cambria"/>
          <w:color w:val="000000"/>
          <w:sz w:val="21"/>
          <w:szCs w:val="21"/>
        </w:rPr>
      </w:pPr>
      <w:r w:rsidRPr="00704E2B">
        <w:rPr>
          <w:rFonts w:ascii="Cambria" w:hAnsi="Cambria"/>
          <w:color w:val="000000"/>
          <w:sz w:val="21"/>
          <w:szCs w:val="21"/>
        </w:rPr>
        <w:t>L</w:t>
      </w:r>
      <w:r w:rsidR="00A4401A" w:rsidRPr="00704E2B">
        <w:rPr>
          <w:rFonts w:ascii="Cambria" w:hAnsi="Cambria"/>
          <w:color w:val="000000"/>
          <w:sz w:val="21"/>
          <w:szCs w:val="21"/>
        </w:rPr>
        <w:t xml:space="preserve">os solicitantes indicaron que el 10 de febrero de 2017 el esposo de </w:t>
      </w:r>
      <w:proofErr w:type="spellStart"/>
      <w:r w:rsidR="00A4401A" w:rsidRPr="00704E2B">
        <w:rPr>
          <w:rFonts w:ascii="Cambria" w:hAnsi="Cambria"/>
          <w:color w:val="000000"/>
          <w:sz w:val="21"/>
          <w:szCs w:val="21"/>
        </w:rPr>
        <w:t>Bettina</w:t>
      </w:r>
      <w:proofErr w:type="spellEnd"/>
      <w:r w:rsidR="00A4401A" w:rsidRPr="00704E2B">
        <w:rPr>
          <w:rFonts w:ascii="Cambria" w:hAnsi="Cambria"/>
          <w:color w:val="000000"/>
          <w:sz w:val="21"/>
          <w:szCs w:val="21"/>
        </w:rPr>
        <w:t xml:space="preserve"> </w:t>
      </w:r>
      <w:r w:rsidR="002D0849" w:rsidRPr="00704E2B">
        <w:rPr>
          <w:rFonts w:ascii="Cambria" w:hAnsi="Cambria"/>
          <w:color w:val="000000"/>
          <w:sz w:val="21"/>
          <w:szCs w:val="21"/>
        </w:rPr>
        <w:t xml:space="preserve">Cruz </w:t>
      </w:r>
      <w:r w:rsidR="00A4401A" w:rsidRPr="00704E2B">
        <w:rPr>
          <w:rFonts w:ascii="Cambria" w:hAnsi="Cambria"/>
          <w:color w:val="000000"/>
          <w:sz w:val="21"/>
          <w:szCs w:val="21"/>
        </w:rPr>
        <w:t xml:space="preserve">y otros compañeros “fueron asaltados afuera de su centro de trabajo por hombres armados”. El 24 de febrero de 2017 </w:t>
      </w:r>
      <w:r w:rsidR="002D0849" w:rsidRPr="00704E2B">
        <w:rPr>
          <w:rFonts w:ascii="Cambria" w:hAnsi="Cambria"/>
          <w:color w:val="000000"/>
          <w:sz w:val="21"/>
          <w:szCs w:val="21"/>
        </w:rPr>
        <w:t xml:space="preserve">otro </w:t>
      </w:r>
      <w:r w:rsidR="00A4401A" w:rsidRPr="00704E2B">
        <w:rPr>
          <w:rFonts w:ascii="Cambria" w:hAnsi="Cambria"/>
          <w:color w:val="000000"/>
          <w:sz w:val="21"/>
          <w:szCs w:val="21"/>
        </w:rPr>
        <w:t xml:space="preserve">hombre armado </w:t>
      </w:r>
      <w:r w:rsidRPr="00704E2B">
        <w:rPr>
          <w:rFonts w:ascii="Cambria" w:hAnsi="Cambria"/>
          <w:color w:val="000000"/>
          <w:sz w:val="21"/>
          <w:szCs w:val="21"/>
        </w:rPr>
        <w:t xml:space="preserve">habría llegado </w:t>
      </w:r>
      <w:r w:rsidR="00A4401A" w:rsidRPr="00704E2B">
        <w:rPr>
          <w:rFonts w:ascii="Cambria" w:hAnsi="Cambria"/>
          <w:color w:val="000000"/>
          <w:sz w:val="21"/>
          <w:szCs w:val="21"/>
        </w:rPr>
        <w:t xml:space="preserve">a la escuela donde trabaja </w:t>
      </w:r>
      <w:r w:rsidR="002D0849" w:rsidRPr="00704E2B">
        <w:rPr>
          <w:rFonts w:ascii="Cambria" w:hAnsi="Cambria"/>
          <w:color w:val="000000"/>
          <w:sz w:val="21"/>
          <w:szCs w:val="21"/>
        </w:rPr>
        <w:t xml:space="preserve">su </w:t>
      </w:r>
      <w:r w:rsidR="00A4401A" w:rsidRPr="00704E2B">
        <w:rPr>
          <w:rFonts w:ascii="Cambria" w:hAnsi="Cambria"/>
          <w:color w:val="000000"/>
          <w:sz w:val="21"/>
          <w:szCs w:val="21"/>
        </w:rPr>
        <w:t>esposo “preguntando donde se encontraba el profe Peñaloza</w:t>
      </w:r>
      <w:r w:rsidR="00ED78A7" w:rsidRPr="00704E2B">
        <w:rPr>
          <w:rFonts w:ascii="Cambria" w:hAnsi="Cambria"/>
          <w:color w:val="000000"/>
          <w:sz w:val="21"/>
          <w:szCs w:val="21"/>
        </w:rPr>
        <w:t xml:space="preserve"> </w:t>
      </w:r>
      <w:r w:rsidR="002D0849" w:rsidRPr="00704E2B">
        <w:rPr>
          <w:rFonts w:ascii="Cambria" w:hAnsi="Cambria"/>
          <w:color w:val="000000"/>
          <w:sz w:val="21"/>
          <w:szCs w:val="21"/>
          <w:lang w:val="es-MX"/>
        </w:rPr>
        <w:t>[refiriéndose a su esposo]</w:t>
      </w:r>
      <w:r w:rsidR="00A4401A" w:rsidRPr="00704E2B">
        <w:rPr>
          <w:rFonts w:ascii="Cambria" w:hAnsi="Cambria"/>
          <w:color w:val="000000"/>
          <w:sz w:val="21"/>
          <w:szCs w:val="21"/>
        </w:rPr>
        <w:t>”.</w:t>
      </w:r>
      <w:r w:rsidR="0061431D" w:rsidRPr="00704E2B">
        <w:rPr>
          <w:rFonts w:ascii="Cambria" w:hAnsi="Cambria"/>
          <w:color w:val="000000"/>
          <w:sz w:val="21"/>
          <w:szCs w:val="21"/>
        </w:rPr>
        <w:t xml:space="preserve"> </w:t>
      </w:r>
      <w:r w:rsidR="00A4401A" w:rsidRPr="00704E2B">
        <w:rPr>
          <w:rFonts w:ascii="Cambria" w:hAnsi="Cambria"/>
          <w:color w:val="000000"/>
          <w:sz w:val="21"/>
          <w:szCs w:val="21"/>
        </w:rPr>
        <w:t>Según los solicitantes, “la escuela tuvo que cerrar las puertas con canda</w:t>
      </w:r>
      <w:r w:rsidRPr="00704E2B">
        <w:rPr>
          <w:rFonts w:ascii="Cambria" w:hAnsi="Cambria"/>
          <w:color w:val="000000"/>
          <w:sz w:val="21"/>
          <w:szCs w:val="21"/>
        </w:rPr>
        <w:t xml:space="preserve">do para proteger a los alumnos”. El 19 de abril de 2017, </w:t>
      </w:r>
      <w:r w:rsidR="00A4401A" w:rsidRPr="00704E2B">
        <w:rPr>
          <w:rFonts w:ascii="Cambria" w:hAnsi="Cambria"/>
          <w:color w:val="000000"/>
          <w:sz w:val="21"/>
          <w:szCs w:val="21"/>
        </w:rPr>
        <w:t xml:space="preserve">una estación de radio local habría indicado falsamente que el esposo de </w:t>
      </w:r>
      <w:r w:rsidR="002D0849" w:rsidRPr="00704E2B">
        <w:rPr>
          <w:rFonts w:ascii="Cambria" w:hAnsi="Cambria"/>
          <w:color w:val="000000"/>
          <w:sz w:val="21"/>
          <w:szCs w:val="21"/>
        </w:rPr>
        <w:t xml:space="preserve">la propuesta beneficiaria </w:t>
      </w:r>
      <w:r w:rsidR="00A4401A" w:rsidRPr="00704E2B">
        <w:rPr>
          <w:rFonts w:ascii="Cambria" w:hAnsi="Cambria"/>
          <w:color w:val="000000"/>
          <w:sz w:val="21"/>
          <w:szCs w:val="21"/>
        </w:rPr>
        <w:t>“estaría recibiendo dinero de las empresas con los que manda a pasear a Europa a su esposa”</w:t>
      </w:r>
      <w:r w:rsidRPr="00704E2B">
        <w:rPr>
          <w:rFonts w:ascii="Cambria" w:hAnsi="Cambria"/>
          <w:color w:val="000000"/>
          <w:sz w:val="21"/>
          <w:szCs w:val="21"/>
        </w:rPr>
        <w:t xml:space="preserve">. El </w:t>
      </w:r>
      <w:r w:rsidR="00A4401A" w:rsidRPr="00704E2B">
        <w:rPr>
          <w:rFonts w:ascii="Cambria" w:hAnsi="Cambria"/>
          <w:color w:val="000000"/>
          <w:sz w:val="21"/>
          <w:szCs w:val="21"/>
        </w:rPr>
        <w:t>20 de abril de 2017</w:t>
      </w:r>
      <w:r w:rsidR="002D0849" w:rsidRPr="00704E2B">
        <w:rPr>
          <w:rFonts w:ascii="Cambria" w:hAnsi="Cambria"/>
          <w:color w:val="000000"/>
          <w:sz w:val="21"/>
          <w:szCs w:val="21"/>
        </w:rPr>
        <w:t xml:space="preserve"> la señora Cruz habría </w:t>
      </w:r>
      <w:r w:rsidR="00A4401A" w:rsidRPr="00704E2B">
        <w:rPr>
          <w:rFonts w:ascii="Cambria" w:hAnsi="Cambria"/>
          <w:color w:val="000000"/>
          <w:sz w:val="21"/>
          <w:szCs w:val="21"/>
        </w:rPr>
        <w:t>“</w:t>
      </w:r>
      <w:proofErr w:type="spellStart"/>
      <w:proofErr w:type="gramStart"/>
      <w:r w:rsidR="00A4401A" w:rsidRPr="00704E2B">
        <w:rPr>
          <w:rFonts w:ascii="Cambria" w:hAnsi="Cambria"/>
          <w:color w:val="000000"/>
          <w:sz w:val="21"/>
          <w:szCs w:val="21"/>
        </w:rPr>
        <w:t>detect</w:t>
      </w:r>
      <w:proofErr w:type="spellEnd"/>
      <w:r w:rsidR="002D0849" w:rsidRPr="00704E2B">
        <w:rPr>
          <w:rFonts w:ascii="Cambria" w:hAnsi="Cambria"/>
          <w:color w:val="000000"/>
          <w:sz w:val="21"/>
          <w:szCs w:val="21"/>
          <w:lang w:val="es-MX"/>
        </w:rPr>
        <w:t>[</w:t>
      </w:r>
      <w:proofErr w:type="spellStart"/>
      <w:proofErr w:type="gramEnd"/>
      <w:r w:rsidR="002D0849" w:rsidRPr="00704E2B">
        <w:rPr>
          <w:rFonts w:ascii="Cambria" w:hAnsi="Cambria"/>
          <w:color w:val="000000"/>
          <w:sz w:val="21"/>
          <w:szCs w:val="21"/>
          <w:lang w:val="es-MX"/>
        </w:rPr>
        <w:t>ado</w:t>
      </w:r>
      <w:proofErr w:type="spellEnd"/>
      <w:r w:rsidR="002D0849" w:rsidRPr="00704E2B">
        <w:rPr>
          <w:rFonts w:ascii="Cambria" w:hAnsi="Cambria"/>
          <w:color w:val="000000"/>
          <w:sz w:val="21"/>
          <w:szCs w:val="21"/>
          <w:lang w:val="es-MX"/>
        </w:rPr>
        <w:t>]</w:t>
      </w:r>
      <w:r w:rsidR="00A4401A" w:rsidRPr="00704E2B">
        <w:rPr>
          <w:rFonts w:ascii="Cambria" w:hAnsi="Cambria"/>
          <w:color w:val="000000"/>
          <w:sz w:val="21"/>
          <w:szCs w:val="21"/>
        </w:rPr>
        <w:t xml:space="preserve"> la presencia de un hombre que estaba averiguando c</w:t>
      </w:r>
      <w:r w:rsidR="00D452FD" w:rsidRPr="00704E2B">
        <w:rPr>
          <w:rFonts w:ascii="Cambria" w:hAnsi="Cambria"/>
          <w:color w:val="000000"/>
          <w:sz w:val="21"/>
          <w:szCs w:val="21"/>
        </w:rPr>
        <w:t>ó</w:t>
      </w:r>
      <w:r w:rsidR="00A4401A" w:rsidRPr="00704E2B">
        <w:rPr>
          <w:rFonts w:ascii="Cambria" w:hAnsi="Cambria"/>
          <w:color w:val="000000"/>
          <w:sz w:val="21"/>
          <w:szCs w:val="21"/>
        </w:rPr>
        <w:t xml:space="preserve">mo llegar a la oficina de la Asamblea de Pueblos Indígenas del Istmo”. </w:t>
      </w:r>
      <w:r w:rsidR="002D0849" w:rsidRPr="00704E2B">
        <w:rPr>
          <w:rFonts w:ascii="Cambria" w:hAnsi="Cambria"/>
          <w:color w:val="000000"/>
          <w:sz w:val="21"/>
          <w:szCs w:val="21"/>
        </w:rPr>
        <w:t>E</w:t>
      </w:r>
      <w:r w:rsidR="00A4401A" w:rsidRPr="00704E2B">
        <w:rPr>
          <w:rFonts w:ascii="Cambria" w:hAnsi="Cambria"/>
          <w:color w:val="000000"/>
          <w:sz w:val="21"/>
          <w:szCs w:val="21"/>
        </w:rPr>
        <w:t xml:space="preserve">ste señor </w:t>
      </w:r>
      <w:r w:rsidR="002D0849" w:rsidRPr="00704E2B">
        <w:rPr>
          <w:rFonts w:ascii="Cambria" w:hAnsi="Cambria"/>
          <w:color w:val="000000"/>
          <w:sz w:val="21"/>
          <w:szCs w:val="21"/>
        </w:rPr>
        <w:t xml:space="preserve">habría estado </w:t>
      </w:r>
      <w:r w:rsidR="00A4401A" w:rsidRPr="00704E2B">
        <w:rPr>
          <w:rFonts w:ascii="Cambria" w:hAnsi="Cambria"/>
          <w:color w:val="000000"/>
          <w:sz w:val="21"/>
          <w:szCs w:val="21"/>
        </w:rPr>
        <w:t>hablando por teléfono y dando detalles del lugar</w:t>
      </w:r>
      <w:r w:rsidRPr="00704E2B">
        <w:rPr>
          <w:rFonts w:ascii="Cambria" w:hAnsi="Cambria"/>
          <w:color w:val="000000"/>
          <w:sz w:val="21"/>
          <w:szCs w:val="21"/>
        </w:rPr>
        <w:t xml:space="preserve">. El 25 de abril de 2017, </w:t>
      </w:r>
      <w:r w:rsidR="00A4401A" w:rsidRPr="00704E2B">
        <w:rPr>
          <w:rFonts w:ascii="Cambria" w:hAnsi="Cambria"/>
          <w:color w:val="000000"/>
          <w:sz w:val="21"/>
          <w:szCs w:val="21"/>
        </w:rPr>
        <w:t xml:space="preserve">el esposo de </w:t>
      </w:r>
      <w:r w:rsidR="002D0849" w:rsidRPr="00704E2B">
        <w:rPr>
          <w:rFonts w:ascii="Cambria" w:hAnsi="Cambria"/>
          <w:color w:val="000000"/>
          <w:sz w:val="21"/>
          <w:szCs w:val="21"/>
        </w:rPr>
        <w:t>la señora Cruz habría encontrado</w:t>
      </w:r>
      <w:r w:rsidR="00A4401A" w:rsidRPr="00704E2B">
        <w:rPr>
          <w:rFonts w:ascii="Cambria" w:hAnsi="Cambria"/>
          <w:color w:val="000000"/>
          <w:sz w:val="21"/>
          <w:szCs w:val="21"/>
        </w:rPr>
        <w:t xml:space="preserve"> una nota amenazante en el parabrisas de su auto que decía “ya sabemos dónde estás es/</w:t>
      </w:r>
      <w:proofErr w:type="gramStart"/>
      <w:r w:rsidR="00A4401A" w:rsidRPr="00704E2B">
        <w:rPr>
          <w:rFonts w:ascii="Cambria" w:hAnsi="Cambria"/>
          <w:color w:val="000000"/>
          <w:sz w:val="21"/>
          <w:szCs w:val="21"/>
        </w:rPr>
        <w:t>ti</w:t>
      </w:r>
      <w:r w:rsidR="004B27E3" w:rsidRPr="00704E2B">
        <w:rPr>
          <w:rFonts w:ascii="Cambria" w:hAnsi="Cambria"/>
          <w:color w:val="000000"/>
          <w:sz w:val="21"/>
          <w:szCs w:val="21"/>
          <w:lang w:val="es-ES_tradnl"/>
        </w:rPr>
        <w:t>[</w:t>
      </w:r>
      <w:proofErr w:type="gramEnd"/>
      <w:r w:rsidR="004B27E3" w:rsidRPr="00704E2B">
        <w:rPr>
          <w:rFonts w:ascii="Cambria" w:hAnsi="Cambria"/>
          <w:color w:val="000000"/>
          <w:sz w:val="21"/>
          <w:szCs w:val="21"/>
          <w:lang w:val="es-ES_tradnl"/>
        </w:rPr>
        <w:t>sic]</w:t>
      </w:r>
      <w:r w:rsidR="00A4401A" w:rsidRPr="00704E2B">
        <w:rPr>
          <w:rFonts w:ascii="Cambria" w:hAnsi="Cambria"/>
          <w:color w:val="000000"/>
          <w:sz w:val="21"/>
          <w:szCs w:val="21"/>
        </w:rPr>
        <w:t>”.</w:t>
      </w:r>
    </w:p>
    <w:p w:rsidR="00A4401A" w:rsidRPr="00704E2B" w:rsidRDefault="00A4401A" w:rsidP="00D44475">
      <w:pPr>
        <w:pStyle w:val="ListParagraph"/>
        <w:spacing w:after="0" w:line="240" w:lineRule="auto"/>
        <w:ind w:left="360"/>
        <w:jc w:val="both"/>
        <w:rPr>
          <w:rFonts w:ascii="Cambria" w:hAnsi="Cambria"/>
          <w:color w:val="000000"/>
          <w:sz w:val="21"/>
          <w:szCs w:val="21"/>
        </w:rPr>
      </w:pPr>
    </w:p>
    <w:p w:rsidR="00E4276C" w:rsidRPr="00704E2B" w:rsidRDefault="00FA2C7A" w:rsidP="00E97283">
      <w:pPr>
        <w:pStyle w:val="ListParagraph"/>
        <w:numPr>
          <w:ilvl w:val="0"/>
          <w:numId w:val="20"/>
        </w:numPr>
        <w:spacing w:after="0" w:line="240" w:lineRule="auto"/>
        <w:ind w:left="0" w:firstLine="360"/>
        <w:jc w:val="both"/>
        <w:rPr>
          <w:rFonts w:ascii="Cambria" w:hAnsi="Cambria"/>
          <w:color w:val="000000"/>
          <w:sz w:val="21"/>
          <w:szCs w:val="21"/>
        </w:rPr>
      </w:pPr>
      <w:r w:rsidRPr="00704E2B">
        <w:rPr>
          <w:rFonts w:ascii="Cambria" w:hAnsi="Cambria"/>
          <w:color w:val="000000"/>
          <w:sz w:val="21"/>
          <w:szCs w:val="21"/>
        </w:rPr>
        <w:t xml:space="preserve">Los solicitantes indicaron que la propuesta beneficiaria “vive prácticamente escondida, trata de no desarrollar hábitos predecibles, ha dejado de salir a caminar y participar en las fiestas y </w:t>
      </w:r>
      <w:r w:rsidRPr="00704E2B">
        <w:rPr>
          <w:rFonts w:ascii="Cambria" w:hAnsi="Cambria"/>
          <w:color w:val="000000"/>
          <w:sz w:val="21"/>
          <w:szCs w:val="21"/>
        </w:rPr>
        <w:lastRenderedPageBreak/>
        <w:t xml:space="preserve">rituales”. Viviría con un “temor fundado de sufrir daños a su vida e integridad personal a su familia”, y habría recibido amenazas de muerte orales y por teléfono, siendo hostigada por personas desconocidas afuera de su casa, en auto o siguiéndole a </w:t>
      </w:r>
      <w:r w:rsidR="00032DB6" w:rsidRPr="00704E2B">
        <w:rPr>
          <w:rFonts w:ascii="Cambria" w:hAnsi="Cambria"/>
          <w:color w:val="000000"/>
          <w:sz w:val="21"/>
          <w:szCs w:val="21"/>
        </w:rPr>
        <w:t>los lugares donde realiza sus labores (sin precisar fechas)</w:t>
      </w:r>
      <w:r w:rsidRPr="00704E2B">
        <w:rPr>
          <w:rFonts w:ascii="Cambria" w:hAnsi="Cambria"/>
          <w:color w:val="000000"/>
          <w:sz w:val="21"/>
          <w:szCs w:val="21"/>
        </w:rPr>
        <w:t>.</w:t>
      </w:r>
      <w:r w:rsidR="00BD368E" w:rsidRPr="00704E2B">
        <w:rPr>
          <w:rFonts w:ascii="Cambria" w:hAnsi="Cambria"/>
          <w:color w:val="000000"/>
          <w:sz w:val="21"/>
          <w:szCs w:val="21"/>
        </w:rPr>
        <w:t xml:space="preserve"> </w:t>
      </w:r>
      <w:r w:rsidR="0061431D" w:rsidRPr="00704E2B">
        <w:rPr>
          <w:rFonts w:ascii="Cambria" w:hAnsi="Cambria"/>
          <w:color w:val="000000"/>
          <w:sz w:val="21"/>
          <w:szCs w:val="21"/>
        </w:rPr>
        <w:t xml:space="preserve"> Asimismo, </w:t>
      </w:r>
      <w:r w:rsidR="000909E9" w:rsidRPr="00704E2B">
        <w:rPr>
          <w:rFonts w:ascii="Cambria" w:hAnsi="Cambria"/>
          <w:color w:val="000000"/>
          <w:sz w:val="21"/>
          <w:szCs w:val="21"/>
        </w:rPr>
        <w:t>l</w:t>
      </w:r>
      <w:r w:rsidRPr="00704E2B">
        <w:rPr>
          <w:rFonts w:ascii="Cambria" w:hAnsi="Cambria"/>
          <w:color w:val="000000"/>
          <w:sz w:val="21"/>
          <w:szCs w:val="21"/>
        </w:rPr>
        <w:t xml:space="preserve">os solicitantes indicaron </w:t>
      </w:r>
      <w:r w:rsidR="000909E9" w:rsidRPr="00704E2B">
        <w:rPr>
          <w:rFonts w:ascii="Cambria" w:hAnsi="Cambria"/>
          <w:color w:val="000000"/>
          <w:sz w:val="21"/>
          <w:szCs w:val="21"/>
        </w:rPr>
        <w:t>que</w:t>
      </w:r>
      <w:r w:rsidR="0061431D" w:rsidRPr="00704E2B">
        <w:rPr>
          <w:rFonts w:ascii="Cambria" w:hAnsi="Cambria"/>
          <w:color w:val="000000"/>
          <w:sz w:val="21"/>
          <w:szCs w:val="21"/>
        </w:rPr>
        <w:t xml:space="preserve"> su situación de </w:t>
      </w:r>
      <w:r w:rsidR="00374568" w:rsidRPr="00704E2B">
        <w:rPr>
          <w:rFonts w:ascii="Cambria" w:hAnsi="Cambria"/>
          <w:color w:val="000000"/>
          <w:sz w:val="21"/>
          <w:szCs w:val="21"/>
        </w:rPr>
        <w:t xml:space="preserve">riesgo se agudizó tras </w:t>
      </w:r>
      <w:r w:rsidRPr="00704E2B">
        <w:rPr>
          <w:rFonts w:ascii="Cambria" w:hAnsi="Cambria"/>
          <w:color w:val="000000"/>
          <w:sz w:val="21"/>
          <w:szCs w:val="21"/>
        </w:rPr>
        <w:t xml:space="preserve">el asesinato </w:t>
      </w:r>
      <w:r w:rsidR="00A4401A" w:rsidRPr="00704E2B">
        <w:rPr>
          <w:rFonts w:ascii="Cambria" w:hAnsi="Cambria"/>
          <w:color w:val="000000"/>
          <w:sz w:val="21"/>
          <w:szCs w:val="21"/>
        </w:rPr>
        <w:t>de</w:t>
      </w:r>
      <w:r w:rsidR="000909E9" w:rsidRPr="00704E2B">
        <w:rPr>
          <w:rFonts w:ascii="Cambria" w:hAnsi="Cambria"/>
          <w:color w:val="000000"/>
          <w:sz w:val="21"/>
          <w:szCs w:val="21"/>
        </w:rPr>
        <w:t xml:space="preserve"> </w:t>
      </w:r>
      <w:r w:rsidR="00F067E1" w:rsidRPr="00704E2B">
        <w:rPr>
          <w:rFonts w:ascii="Cambria" w:hAnsi="Cambria"/>
          <w:color w:val="000000"/>
          <w:sz w:val="21"/>
          <w:szCs w:val="21"/>
        </w:rPr>
        <w:t>Alberto</w:t>
      </w:r>
      <w:r w:rsidR="00A4401A" w:rsidRPr="00704E2B">
        <w:rPr>
          <w:rFonts w:ascii="Cambria" w:hAnsi="Cambria"/>
          <w:color w:val="000000"/>
          <w:sz w:val="21"/>
          <w:szCs w:val="21"/>
        </w:rPr>
        <w:t xml:space="preserve"> Toledo Villalobos</w:t>
      </w:r>
      <w:r w:rsidR="000909E9" w:rsidRPr="00704E2B">
        <w:rPr>
          <w:rFonts w:ascii="Cambria" w:hAnsi="Cambria"/>
          <w:color w:val="000000"/>
          <w:sz w:val="21"/>
          <w:szCs w:val="21"/>
        </w:rPr>
        <w:t xml:space="preserve"> el 8 de abril de 2017</w:t>
      </w:r>
      <w:r w:rsidR="00A4401A" w:rsidRPr="00704E2B">
        <w:rPr>
          <w:rFonts w:ascii="Cambria" w:hAnsi="Cambria"/>
          <w:color w:val="000000"/>
          <w:sz w:val="21"/>
          <w:szCs w:val="21"/>
        </w:rPr>
        <w:t>,</w:t>
      </w:r>
      <w:r w:rsidR="000909E9" w:rsidRPr="00704E2B">
        <w:rPr>
          <w:rFonts w:ascii="Cambria" w:hAnsi="Cambria"/>
          <w:color w:val="000000"/>
          <w:sz w:val="21"/>
          <w:szCs w:val="21"/>
        </w:rPr>
        <w:t xml:space="preserve"> </w:t>
      </w:r>
      <w:r w:rsidRPr="00704E2B">
        <w:rPr>
          <w:rFonts w:ascii="Cambria" w:hAnsi="Cambria"/>
          <w:color w:val="000000"/>
          <w:sz w:val="21"/>
          <w:szCs w:val="21"/>
        </w:rPr>
        <w:t xml:space="preserve">unos de los coordinadores de la </w:t>
      </w:r>
      <w:r w:rsidR="00BD368E" w:rsidRPr="00704E2B">
        <w:rPr>
          <w:rFonts w:ascii="Cambria" w:hAnsi="Cambria"/>
          <w:color w:val="000000"/>
          <w:sz w:val="21"/>
          <w:szCs w:val="21"/>
        </w:rPr>
        <w:t xml:space="preserve">APIITDTT </w:t>
      </w:r>
      <w:r w:rsidRPr="00704E2B">
        <w:rPr>
          <w:rFonts w:ascii="Cambria" w:hAnsi="Cambria"/>
          <w:color w:val="000000"/>
          <w:sz w:val="21"/>
          <w:szCs w:val="21"/>
        </w:rPr>
        <w:t xml:space="preserve">de la cual </w:t>
      </w:r>
      <w:r w:rsidR="00374568" w:rsidRPr="00704E2B">
        <w:rPr>
          <w:rFonts w:ascii="Cambria" w:hAnsi="Cambria"/>
          <w:color w:val="000000"/>
          <w:sz w:val="21"/>
          <w:szCs w:val="21"/>
        </w:rPr>
        <w:t xml:space="preserve">la señora Cruz </w:t>
      </w:r>
      <w:r w:rsidR="00A4401A" w:rsidRPr="00704E2B">
        <w:rPr>
          <w:rFonts w:ascii="Cambria" w:hAnsi="Cambria"/>
          <w:color w:val="000000"/>
          <w:sz w:val="21"/>
          <w:szCs w:val="21"/>
        </w:rPr>
        <w:t xml:space="preserve">también </w:t>
      </w:r>
      <w:r w:rsidRPr="00704E2B">
        <w:rPr>
          <w:rFonts w:ascii="Cambria" w:hAnsi="Cambria"/>
          <w:color w:val="000000"/>
          <w:sz w:val="21"/>
          <w:szCs w:val="21"/>
        </w:rPr>
        <w:t>es coordinadora</w:t>
      </w:r>
      <w:r w:rsidR="002F12A6" w:rsidRPr="00704E2B">
        <w:rPr>
          <w:rFonts w:ascii="Cambria" w:hAnsi="Cambria"/>
          <w:color w:val="000000"/>
          <w:sz w:val="21"/>
          <w:szCs w:val="21"/>
        </w:rPr>
        <w:t xml:space="preserve">. </w:t>
      </w:r>
      <w:r w:rsidRPr="00704E2B">
        <w:rPr>
          <w:rFonts w:ascii="Cambria" w:hAnsi="Cambria"/>
          <w:color w:val="000000"/>
          <w:sz w:val="21"/>
          <w:szCs w:val="21"/>
        </w:rPr>
        <w:t xml:space="preserve">Para los solicitantes, “es evidente que los presuntos agresores conocen el lugar de la residencia de </w:t>
      </w:r>
      <w:proofErr w:type="spellStart"/>
      <w:r w:rsidRPr="00704E2B">
        <w:rPr>
          <w:rFonts w:ascii="Cambria" w:hAnsi="Cambria"/>
          <w:color w:val="000000"/>
          <w:sz w:val="21"/>
          <w:szCs w:val="21"/>
        </w:rPr>
        <w:t>Bettina</w:t>
      </w:r>
      <w:proofErr w:type="spellEnd"/>
      <w:r w:rsidRPr="00704E2B">
        <w:rPr>
          <w:rFonts w:ascii="Cambria" w:hAnsi="Cambria"/>
          <w:color w:val="000000"/>
          <w:sz w:val="21"/>
          <w:szCs w:val="21"/>
        </w:rPr>
        <w:t>, el lugar donde trabaja su espo</w:t>
      </w:r>
      <w:r w:rsidR="00EA76BA" w:rsidRPr="00704E2B">
        <w:rPr>
          <w:rFonts w:ascii="Cambria" w:hAnsi="Cambria"/>
          <w:color w:val="000000"/>
          <w:sz w:val="21"/>
          <w:szCs w:val="21"/>
        </w:rPr>
        <w:t xml:space="preserve">so, y sus actividades usuales”. </w:t>
      </w:r>
      <w:r w:rsidR="0061431D" w:rsidRPr="00704E2B">
        <w:rPr>
          <w:rFonts w:ascii="Cambria" w:hAnsi="Cambria"/>
          <w:color w:val="000000"/>
          <w:sz w:val="21"/>
          <w:szCs w:val="21"/>
        </w:rPr>
        <w:t xml:space="preserve"> </w:t>
      </w:r>
      <w:r w:rsidR="009F6102" w:rsidRPr="00704E2B">
        <w:rPr>
          <w:rFonts w:ascii="Cambria" w:hAnsi="Cambria"/>
          <w:color w:val="000000"/>
          <w:sz w:val="21"/>
          <w:szCs w:val="21"/>
        </w:rPr>
        <w:t xml:space="preserve">Frente al riesgo denunciado, los solicitantes han indicado que las medidas adoptadas por el mecanismo de protección interno no serían </w:t>
      </w:r>
      <w:r w:rsidR="0061431D" w:rsidRPr="00704E2B">
        <w:rPr>
          <w:rFonts w:ascii="Cambria" w:hAnsi="Cambria"/>
          <w:color w:val="000000"/>
          <w:sz w:val="21"/>
          <w:szCs w:val="21"/>
        </w:rPr>
        <w:t>“</w:t>
      </w:r>
      <w:r w:rsidR="009F6102" w:rsidRPr="00704E2B">
        <w:rPr>
          <w:rFonts w:ascii="Cambria" w:hAnsi="Cambria"/>
          <w:color w:val="000000"/>
          <w:sz w:val="21"/>
          <w:szCs w:val="21"/>
        </w:rPr>
        <w:t>integrales y sistemáticas</w:t>
      </w:r>
      <w:r w:rsidR="0061431D" w:rsidRPr="00704E2B">
        <w:rPr>
          <w:rFonts w:ascii="Cambria" w:hAnsi="Cambria"/>
          <w:color w:val="000000"/>
          <w:sz w:val="21"/>
          <w:szCs w:val="21"/>
        </w:rPr>
        <w:t>”</w:t>
      </w:r>
      <w:r w:rsidR="009F6102" w:rsidRPr="00704E2B">
        <w:rPr>
          <w:rStyle w:val="FootnoteReference"/>
          <w:rFonts w:ascii="Cambria" w:hAnsi="Cambria"/>
          <w:color w:val="000000"/>
          <w:sz w:val="21"/>
          <w:szCs w:val="21"/>
        </w:rPr>
        <w:footnoteReference w:id="6"/>
      </w:r>
      <w:r w:rsidR="009F6102" w:rsidRPr="00704E2B">
        <w:rPr>
          <w:rFonts w:ascii="Cambria" w:hAnsi="Cambria"/>
          <w:color w:val="000000"/>
          <w:sz w:val="21"/>
          <w:szCs w:val="21"/>
        </w:rPr>
        <w:t xml:space="preserve">. </w:t>
      </w:r>
    </w:p>
    <w:p w:rsidR="00E4276C" w:rsidRPr="00704E2B" w:rsidRDefault="00E4276C" w:rsidP="00E4276C">
      <w:pPr>
        <w:pStyle w:val="ListParagraph"/>
        <w:spacing w:after="0" w:line="240" w:lineRule="auto"/>
        <w:ind w:left="360"/>
        <w:jc w:val="both"/>
        <w:rPr>
          <w:rFonts w:ascii="Cambria" w:hAnsi="Cambria"/>
          <w:color w:val="000000"/>
          <w:sz w:val="21"/>
          <w:szCs w:val="21"/>
        </w:rPr>
      </w:pPr>
    </w:p>
    <w:p w:rsidR="00E4276C" w:rsidRPr="00704E2B" w:rsidRDefault="00E97283" w:rsidP="00E4276C">
      <w:pPr>
        <w:pStyle w:val="ListParagraph"/>
        <w:numPr>
          <w:ilvl w:val="0"/>
          <w:numId w:val="20"/>
        </w:numPr>
        <w:spacing w:after="0" w:line="240" w:lineRule="auto"/>
        <w:ind w:left="0" w:firstLine="360"/>
        <w:jc w:val="both"/>
        <w:rPr>
          <w:rFonts w:ascii="Cambria" w:hAnsi="Cambria"/>
          <w:color w:val="000000"/>
          <w:sz w:val="21"/>
          <w:szCs w:val="21"/>
        </w:rPr>
      </w:pPr>
      <w:r w:rsidRPr="00704E2B">
        <w:rPr>
          <w:rFonts w:ascii="Cambria" w:hAnsi="Cambria"/>
          <w:color w:val="000000"/>
          <w:sz w:val="21"/>
          <w:szCs w:val="21"/>
        </w:rPr>
        <w:t>En su</w:t>
      </w:r>
      <w:r w:rsidR="00224393" w:rsidRPr="00704E2B">
        <w:rPr>
          <w:rFonts w:ascii="Cambria" w:hAnsi="Cambria"/>
          <w:color w:val="000000"/>
          <w:sz w:val="21"/>
          <w:szCs w:val="21"/>
        </w:rPr>
        <w:t>s</w:t>
      </w:r>
      <w:r w:rsidRPr="00704E2B">
        <w:rPr>
          <w:rFonts w:ascii="Cambria" w:hAnsi="Cambria"/>
          <w:color w:val="000000"/>
          <w:sz w:val="21"/>
          <w:szCs w:val="21"/>
        </w:rPr>
        <w:t xml:space="preserve"> </w:t>
      </w:r>
      <w:r w:rsidR="00E4276C" w:rsidRPr="00704E2B">
        <w:rPr>
          <w:rFonts w:ascii="Cambria" w:hAnsi="Cambria"/>
          <w:color w:val="000000"/>
          <w:sz w:val="21"/>
          <w:szCs w:val="21"/>
        </w:rPr>
        <w:t>última</w:t>
      </w:r>
      <w:r w:rsidR="00224393" w:rsidRPr="00704E2B">
        <w:rPr>
          <w:rFonts w:ascii="Cambria" w:hAnsi="Cambria"/>
          <w:color w:val="000000"/>
          <w:sz w:val="21"/>
          <w:szCs w:val="21"/>
        </w:rPr>
        <w:t>s</w:t>
      </w:r>
      <w:r w:rsidRPr="00704E2B">
        <w:rPr>
          <w:rFonts w:ascii="Cambria" w:hAnsi="Cambria"/>
          <w:color w:val="000000"/>
          <w:sz w:val="21"/>
          <w:szCs w:val="21"/>
        </w:rPr>
        <w:t xml:space="preserve"> comunicaci</w:t>
      </w:r>
      <w:r w:rsidR="00224393" w:rsidRPr="00704E2B">
        <w:rPr>
          <w:rFonts w:ascii="Cambria" w:hAnsi="Cambria"/>
          <w:color w:val="000000"/>
          <w:sz w:val="21"/>
          <w:szCs w:val="21"/>
        </w:rPr>
        <w:t>ones</w:t>
      </w:r>
      <w:r w:rsidRPr="00704E2B">
        <w:rPr>
          <w:rFonts w:ascii="Cambria" w:hAnsi="Cambria"/>
          <w:color w:val="000000"/>
          <w:sz w:val="21"/>
          <w:szCs w:val="21"/>
        </w:rPr>
        <w:t xml:space="preserve"> de fecha</w:t>
      </w:r>
      <w:r w:rsidR="00B53E78" w:rsidRPr="00704E2B">
        <w:rPr>
          <w:rFonts w:ascii="Cambria" w:hAnsi="Cambria"/>
          <w:color w:val="000000"/>
          <w:sz w:val="21"/>
          <w:szCs w:val="21"/>
        </w:rPr>
        <w:t>s</w:t>
      </w:r>
      <w:r w:rsidRPr="00704E2B">
        <w:rPr>
          <w:rFonts w:ascii="Cambria" w:hAnsi="Cambria"/>
          <w:color w:val="000000"/>
          <w:sz w:val="21"/>
          <w:szCs w:val="21"/>
        </w:rPr>
        <w:t xml:space="preserve"> </w:t>
      </w:r>
      <w:r w:rsidR="00E4276C" w:rsidRPr="00704E2B">
        <w:rPr>
          <w:rFonts w:ascii="Cambria" w:hAnsi="Cambria"/>
          <w:color w:val="000000"/>
          <w:sz w:val="21"/>
          <w:szCs w:val="21"/>
        </w:rPr>
        <w:t>17 y 18 de octubre de 2017</w:t>
      </w:r>
      <w:r w:rsidR="00ED37BE" w:rsidRPr="00704E2B">
        <w:rPr>
          <w:rFonts w:ascii="Cambria" w:hAnsi="Cambria"/>
          <w:color w:val="000000"/>
          <w:sz w:val="21"/>
          <w:szCs w:val="21"/>
        </w:rPr>
        <w:t>, s</w:t>
      </w:r>
      <w:proofErr w:type="spellStart"/>
      <w:r w:rsidR="00ED37BE" w:rsidRPr="00704E2B">
        <w:rPr>
          <w:rFonts w:ascii="Cambria" w:eastAsia="Calibri" w:hAnsi="Cambria"/>
          <w:sz w:val="21"/>
          <w:szCs w:val="21"/>
          <w:lang w:val="es-PE"/>
        </w:rPr>
        <w:t>egún</w:t>
      </w:r>
      <w:proofErr w:type="spellEnd"/>
      <w:r w:rsidRPr="00704E2B">
        <w:rPr>
          <w:rFonts w:ascii="Cambria" w:eastAsia="Calibri" w:hAnsi="Cambria"/>
          <w:sz w:val="21"/>
          <w:szCs w:val="21"/>
          <w:lang w:val="es-PE"/>
        </w:rPr>
        <w:t xml:space="preserve"> los solicitantes, el riesgo seguiría latente con la repetición de incidentes de seguridad, su impunidad y el temor de ser víctima de </w:t>
      </w:r>
      <w:proofErr w:type="spellStart"/>
      <w:r w:rsidRPr="00704E2B">
        <w:rPr>
          <w:rFonts w:ascii="Cambria" w:eastAsia="Calibri" w:hAnsi="Cambria"/>
          <w:sz w:val="21"/>
          <w:szCs w:val="21"/>
          <w:lang w:val="es-PE"/>
        </w:rPr>
        <w:t>sicariato</w:t>
      </w:r>
      <w:proofErr w:type="spellEnd"/>
      <w:r w:rsidRPr="00704E2B">
        <w:rPr>
          <w:rFonts w:ascii="Cambria" w:eastAsia="Calibri" w:hAnsi="Cambria"/>
          <w:sz w:val="21"/>
          <w:szCs w:val="21"/>
          <w:lang w:val="es-PE"/>
        </w:rPr>
        <w:t xml:space="preserve">. En particular, el riesgo habría aumentado por dos factores: las acciones legales para acceder a información sobre el desarrollo eólico y la mayor vulnerabilidad tras el sismo que tuvo su epicentro en Juchitán que habría dejado a la señora </w:t>
      </w:r>
      <w:proofErr w:type="spellStart"/>
      <w:r w:rsidRPr="00704E2B">
        <w:rPr>
          <w:rFonts w:ascii="Cambria" w:eastAsia="Calibri" w:hAnsi="Cambria"/>
          <w:sz w:val="21"/>
          <w:szCs w:val="21"/>
          <w:lang w:val="es-PE"/>
        </w:rPr>
        <w:t>Bettina</w:t>
      </w:r>
      <w:proofErr w:type="spellEnd"/>
      <w:r w:rsidRPr="00704E2B">
        <w:rPr>
          <w:rFonts w:ascii="Cambria" w:eastAsia="Calibri" w:hAnsi="Cambria"/>
          <w:sz w:val="21"/>
          <w:szCs w:val="21"/>
          <w:lang w:val="es-PE"/>
        </w:rPr>
        <w:t xml:space="preserve"> Cruz viviendo en un campamento-albergue, donde se encontraría a la intemperie. Además, el sistema de radio de comunicación entre las comunidades estaría destruido y se habrían perdido documentos y cuadernos en donde llevaba recuento de los últimos incidentes de seguridad, copias de expedientes, etc.  Como resultado del terremoto habrían quedado bajo los escombros y el agua las anotaciones sobre los incidentes de seguridad ocurridos en contra de ella y la organización. Una de las notas que se habría logrado recuperar indicaría que el 24 de agosto de 2017 una camioneta pasó lentamente filmando la casa de la propuesta beneficiaria. </w:t>
      </w:r>
    </w:p>
    <w:p w:rsidR="00E4276C" w:rsidRPr="00704E2B" w:rsidRDefault="00E4276C" w:rsidP="00E4276C">
      <w:pPr>
        <w:pStyle w:val="ListParagraph"/>
        <w:spacing w:after="0" w:line="240" w:lineRule="auto"/>
        <w:ind w:left="360"/>
        <w:jc w:val="both"/>
        <w:rPr>
          <w:rFonts w:ascii="Cambria" w:hAnsi="Cambria"/>
          <w:color w:val="000000"/>
          <w:sz w:val="21"/>
          <w:szCs w:val="21"/>
        </w:rPr>
      </w:pPr>
    </w:p>
    <w:p w:rsidR="00E4276C" w:rsidRPr="00704E2B" w:rsidRDefault="00E97283" w:rsidP="00E4276C">
      <w:pPr>
        <w:pStyle w:val="ListParagraph"/>
        <w:numPr>
          <w:ilvl w:val="0"/>
          <w:numId w:val="20"/>
        </w:numPr>
        <w:spacing w:after="0" w:line="240" w:lineRule="auto"/>
        <w:ind w:left="0" w:firstLine="360"/>
        <w:jc w:val="both"/>
        <w:rPr>
          <w:rFonts w:ascii="Cambria" w:hAnsi="Cambria"/>
          <w:color w:val="000000"/>
          <w:sz w:val="21"/>
          <w:szCs w:val="21"/>
        </w:rPr>
      </w:pPr>
      <w:r w:rsidRPr="00704E2B">
        <w:rPr>
          <w:rFonts w:ascii="Cambria" w:eastAsia="Calibri" w:hAnsi="Cambria"/>
          <w:sz w:val="21"/>
          <w:szCs w:val="21"/>
          <w:lang w:val="es-PE"/>
        </w:rPr>
        <w:t>Los solicitantes informaron que desde abril de 2017</w:t>
      </w:r>
      <w:r w:rsidR="00ED37BE" w:rsidRPr="00704E2B">
        <w:rPr>
          <w:rFonts w:ascii="Cambria" w:eastAsia="Calibri" w:hAnsi="Cambria"/>
          <w:sz w:val="21"/>
          <w:szCs w:val="21"/>
          <w:lang w:val="es-PE"/>
        </w:rPr>
        <w:t xml:space="preserve"> </w:t>
      </w:r>
      <w:r w:rsidRPr="00704E2B">
        <w:rPr>
          <w:rFonts w:ascii="Cambria" w:eastAsia="Calibri" w:hAnsi="Cambria"/>
          <w:sz w:val="21"/>
          <w:szCs w:val="21"/>
          <w:lang w:val="es-PE"/>
        </w:rPr>
        <w:t xml:space="preserve">habrían informado al Mecanismo de Protección interno sobre amenazas, hostigamientos y violencia reciente, incluidos algunos con armas de fuego sufridos por el esposo de la propuesta beneficiaria en su lugar de trabajo así como el asesinato de uno de los líderes de la Asamblea. Según los solicitantes, requirieron diversas modificaciones al esquema de protección. </w:t>
      </w:r>
    </w:p>
    <w:p w:rsidR="00E4276C" w:rsidRPr="00704E2B" w:rsidRDefault="00E4276C" w:rsidP="00E4276C">
      <w:pPr>
        <w:pStyle w:val="ListParagraph"/>
        <w:spacing w:after="0" w:line="240" w:lineRule="auto"/>
        <w:ind w:left="360"/>
        <w:jc w:val="both"/>
        <w:rPr>
          <w:rFonts w:ascii="Cambria" w:eastAsia="Calibri" w:hAnsi="Cambria"/>
          <w:sz w:val="21"/>
          <w:szCs w:val="21"/>
          <w:lang w:val="es-PE"/>
        </w:rPr>
      </w:pPr>
    </w:p>
    <w:p w:rsidR="00E97283" w:rsidRPr="00704E2B" w:rsidRDefault="00E97283" w:rsidP="00E4276C">
      <w:pPr>
        <w:pStyle w:val="ListParagraph"/>
        <w:numPr>
          <w:ilvl w:val="0"/>
          <w:numId w:val="20"/>
        </w:numPr>
        <w:spacing w:after="0" w:line="240" w:lineRule="auto"/>
        <w:ind w:left="0" w:firstLine="360"/>
        <w:jc w:val="both"/>
        <w:rPr>
          <w:rFonts w:ascii="Cambria" w:hAnsi="Cambria"/>
          <w:color w:val="000000"/>
          <w:sz w:val="21"/>
          <w:szCs w:val="21"/>
        </w:rPr>
      </w:pPr>
      <w:r w:rsidRPr="00704E2B">
        <w:rPr>
          <w:rFonts w:ascii="Cambria" w:eastAsia="Calibri" w:hAnsi="Cambria"/>
          <w:sz w:val="21"/>
          <w:szCs w:val="21"/>
          <w:lang w:val="es-PE"/>
        </w:rPr>
        <w:t>En agosto de 2017</w:t>
      </w:r>
      <w:r w:rsidR="00ED37BE" w:rsidRPr="00704E2B">
        <w:rPr>
          <w:rFonts w:ascii="Cambria" w:eastAsia="Calibri" w:hAnsi="Cambria"/>
          <w:sz w:val="21"/>
          <w:szCs w:val="21"/>
          <w:lang w:val="es-PE"/>
        </w:rPr>
        <w:t xml:space="preserve"> la señora </w:t>
      </w:r>
      <w:proofErr w:type="spellStart"/>
      <w:r w:rsidRPr="00704E2B">
        <w:rPr>
          <w:rFonts w:ascii="Cambria" w:eastAsia="Calibri" w:hAnsi="Cambria"/>
          <w:sz w:val="21"/>
          <w:szCs w:val="21"/>
          <w:lang w:val="es-PE"/>
        </w:rPr>
        <w:t>Bettina</w:t>
      </w:r>
      <w:proofErr w:type="spellEnd"/>
      <w:r w:rsidRPr="00704E2B">
        <w:rPr>
          <w:rFonts w:ascii="Cambria" w:eastAsia="Calibri" w:hAnsi="Cambria"/>
          <w:sz w:val="21"/>
          <w:szCs w:val="21"/>
          <w:lang w:val="es-PE"/>
        </w:rPr>
        <w:t xml:space="preserve"> Cruz se habría reunido con autoridades de Oaxaca debido a la supuesta ineficacia de las medidas de protección.</w:t>
      </w:r>
      <w:r w:rsidR="00416C46" w:rsidRPr="00704E2B">
        <w:rPr>
          <w:rFonts w:ascii="Cambria" w:eastAsia="Calibri" w:hAnsi="Cambria"/>
          <w:sz w:val="21"/>
          <w:szCs w:val="21"/>
          <w:lang w:val="es-PE"/>
        </w:rPr>
        <w:t xml:space="preserve"> En dicha reunión, </w:t>
      </w:r>
      <w:r w:rsidR="0038775E" w:rsidRPr="00704E2B">
        <w:rPr>
          <w:rFonts w:ascii="Cambria" w:eastAsia="Calibri" w:hAnsi="Cambria"/>
          <w:sz w:val="21"/>
          <w:szCs w:val="21"/>
          <w:lang w:val="es-PE"/>
        </w:rPr>
        <w:t xml:space="preserve">los solicitantes </w:t>
      </w:r>
      <w:r w:rsidR="00416C46" w:rsidRPr="00704E2B">
        <w:rPr>
          <w:rFonts w:ascii="Cambria" w:eastAsia="Calibri" w:hAnsi="Cambria"/>
          <w:sz w:val="21"/>
          <w:szCs w:val="21"/>
          <w:lang w:val="es-PE"/>
        </w:rPr>
        <w:t>habría</w:t>
      </w:r>
      <w:r w:rsidR="0038775E" w:rsidRPr="00704E2B">
        <w:rPr>
          <w:rFonts w:ascii="Cambria" w:eastAsia="Calibri" w:hAnsi="Cambria"/>
          <w:sz w:val="21"/>
          <w:szCs w:val="21"/>
          <w:lang w:val="es-PE"/>
        </w:rPr>
        <w:t>n</w:t>
      </w:r>
      <w:r w:rsidR="00416C46" w:rsidRPr="00704E2B">
        <w:rPr>
          <w:rFonts w:ascii="Cambria" w:eastAsia="Calibri" w:hAnsi="Cambria"/>
          <w:sz w:val="21"/>
          <w:szCs w:val="21"/>
          <w:lang w:val="es-PE"/>
        </w:rPr>
        <w:t xml:space="preserve"> indicado que: (i) los rondines que debían darse en la escuela de su esposo no se realizan porque el personal está de “vacaciones”. Durante el mes de julio de 2017 no se hicieron los recorridos de seguridad porque el agente</w:t>
      </w:r>
      <w:r w:rsidR="00ED37BE" w:rsidRPr="00704E2B">
        <w:rPr>
          <w:rFonts w:ascii="Cambria" w:eastAsia="Calibri" w:hAnsi="Cambria"/>
          <w:sz w:val="21"/>
          <w:szCs w:val="21"/>
          <w:lang w:val="es-PE"/>
        </w:rPr>
        <w:t xml:space="preserve"> </w:t>
      </w:r>
      <w:r w:rsidR="00416C46" w:rsidRPr="00704E2B">
        <w:rPr>
          <w:rFonts w:ascii="Cambria" w:eastAsia="Calibri" w:hAnsi="Cambria"/>
          <w:sz w:val="21"/>
          <w:szCs w:val="21"/>
          <w:lang w:val="es-PE"/>
        </w:rPr>
        <w:t>“no estuvo en esas fechas”. Frente ello, no habría respuesta gubernamental; (ii) las cámaras de seguridad no funcionarían bien y generarían gastos adicionales a la propuesta beneficiaria; (iii) las reuniones no se realizarían con altas autoridades ya que el Gobernador por “cuestiones de agenda” ha indicado que no recibiría a la señora Cruz y su colectivo.</w:t>
      </w:r>
      <w:r w:rsidRPr="00704E2B">
        <w:rPr>
          <w:rFonts w:ascii="Cambria" w:eastAsia="Calibri" w:hAnsi="Cambria"/>
          <w:sz w:val="21"/>
          <w:szCs w:val="21"/>
          <w:lang w:val="es-PE"/>
        </w:rPr>
        <w:t xml:space="preserve"> La reunión de seguimiento de los acuerdos obtenidos en agosto se habría suspendido. En octubre de 2017, el Mecanismo no habría convocado formalmente a los representantes a una nueva reunión y no se tendría conocimiento que se requiriera a la Junta de Gobierno el cambio medidas ni que se hubiera tratado el asunto. Tampoco, se tendría conocimiento de alguna nueva evaluación del riesgo por parte del Mecanismo tras el vencimiento del plazo del plan de protección vigente. </w:t>
      </w:r>
    </w:p>
    <w:p w:rsidR="00FA2C7A" w:rsidRPr="00704E2B" w:rsidRDefault="00FA2C7A" w:rsidP="00DD7BA1">
      <w:pPr>
        <w:spacing w:after="0" w:line="240" w:lineRule="auto"/>
        <w:jc w:val="both"/>
        <w:rPr>
          <w:rFonts w:ascii="Cambria" w:hAnsi="Cambria"/>
          <w:sz w:val="21"/>
          <w:szCs w:val="21"/>
        </w:rPr>
      </w:pPr>
    </w:p>
    <w:p w:rsidR="00732E9E" w:rsidRPr="00704E2B" w:rsidRDefault="00732E9E" w:rsidP="00DD7BA1">
      <w:pPr>
        <w:pStyle w:val="ListParagraph"/>
        <w:numPr>
          <w:ilvl w:val="0"/>
          <w:numId w:val="34"/>
        </w:numPr>
        <w:spacing w:after="0" w:line="240" w:lineRule="auto"/>
        <w:ind w:left="630" w:hanging="270"/>
        <w:contextualSpacing/>
        <w:jc w:val="both"/>
        <w:rPr>
          <w:rFonts w:ascii="Cambria" w:eastAsia="Calibri" w:hAnsi="Cambria"/>
          <w:b/>
          <w:sz w:val="21"/>
          <w:szCs w:val="21"/>
          <w:lang w:val="es-ES_tradnl"/>
        </w:rPr>
      </w:pPr>
      <w:r w:rsidRPr="00704E2B">
        <w:rPr>
          <w:rFonts w:ascii="Cambria" w:eastAsia="Calibri" w:hAnsi="Cambria"/>
          <w:b/>
          <w:sz w:val="21"/>
          <w:szCs w:val="21"/>
          <w:lang w:val="es-ES_tradnl"/>
        </w:rPr>
        <w:lastRenderedPageBreak/>
        <w:t>Respuesta del Estado</w:t>
      </w:r>
    </w:p>
    <w:p w:rsidR="00732E9E" w:rsidRPr="00704E2B" w:rsidRDefault="00732E9E" w:rsidP="00DD7BA1">
      <w:pPr>
        <w:spacing w:after="0" w:line="240" w:lineRule="auto"/>
        <w:jc w:val="both"/>
        <w:rPr>
          <w:rFonts w:ascii="Cambria" w:eastAsia="Calibri" w:hAnsi="Cambria"/>
          <w:sz w:val="21"/>
          <w:szCs w:val="21"/>
          <w:lang w:val="es-ES_tradnl"/>
        </w:rPr>
      </w:pPr>
    </w:p>
    <w:p w:rsidR="007E4265" w:rsidRPr="00704E2B" w:rsidRDefault="00FD0B3F" w:rsidP="00E4276C">
      <w:pPr>
        <w:pStyle w:val="ListParagraph"/>
        <w:numPr>
          <w:ilvl w:val="0"/>
          <w:numId w:val="20"/>
        </w:numPr>
        <w:tabs>
          <w:tab w:val="left" w:pos="851"/>
        </w:tabs>
        <w:spacing w:after="160" w:line="240" w:lineRule="auto"/>
        <w:ind w:left="0" w:firstLine="360"/>
        <w:contextualSpacing/>
        <w:jc w:val="both"/>
        <w:rPr>
          <w:rFonts w:ascii="Cambria" w:eastAsia="Calibri" w:hAnsi="Cambria"/>
          <w:sz w:val="21"/>
          <w:szCs w:val="21"/>
          <w:lang w:val="es-PE"/>
        </w:rPr>
      </w:pPr>
      <w:r w:rsidRPr="00704E2B">
        <w:rPr>
          <w:rFonts w:ascii="Cambria" w:eastAsia="Calibri" w:hAnsi="Cambria"/>
          <w:sz w:val="21"/>
          <w:szCs w:val="21"/>
          <w:lang w:val="es-PE"/>
        </w:rPr>
        <w:t>El Estado requirió a la Comisión que desestime la solicitud de medidas cautelares toda vez que no se actualizan los requisitos del art. 25 del Reglamento de la CIDH</w:t>
      </w:r>
      <w:r w:rsidR="00E45DA5" w:rsidRPr="00704E2B">
        <w:rPr>
          <w:rFonts w:ascii="Cambria" w:eastAsia="Calibri" w:hAnsi="Cambria"/>
          <w:sz w:val="21"/>
          <w:szCs w:val="21"/>
          <w:lang w:val="es-PE"/>
        </w:rPr>
        <w:t xml:space="preserve">; </w:t>
      </w:r>
      <w:r w:rsidRPr="00704E2B">
        <w:rPr>
          <w:rFonts w:ascii="Cambria" w:eastAsia="Calibri" w:hAnsi="Cambria"/>
          <w:sz w:val="21"/>
          <w:szCs w:val="21"/>
          <w:lang w:val="es-PE"/>
        </w:rPr>
        <w:t xml:space="preserve">no existe una debida representación de </w:t>
      </w:r>
      <w:r w:rsidR="00E45DA5" w:rsidRPr="00704E2B">
        <w:rPr>
          <w:rFonts w:ascii="Cambria" w:eastAsia="Calibri" w:hAnsi="Cambria"/>
          <w:sz w:val="21"/>
          <w:szCs w:val="21"/>
          <w:lang w:val="es-PE"/>
        </w:rPr>
        <w:t xml:space="preserve">los propuestos beneficiarios; </w:t>
      </w:r>
      <w:r w:rsidR="009F6102" w:rsidRPr="00704E2B">
        <w:rPr>
          <w:rFonts w:ascii="Cambria" w:eastAsia="Calibri" w:hAnsi="Cambria"/>
          <w:sz w:val="21"/>
          <w:szCs w:val="21"/>
          <w:lang w:val="es-PE"/>
        </w:rPr>
        <w:t xml:space="preserve">iría </w:t>
      </w:r>
      <w:r w:rsidRPr="00704E2B">
        <w:rPr>
          <w:rFonts w:ascii="Cambria" w:eastAsia="Calibri" w:hAnsi="Cambria"/>
          <w:sz w:val="21"/>
          <w:szCs w:val="21"/>
          <w:lang w:val="es-PE"/>
        </w:rPr>
        <w:t>en contra del pr</w:t>
      </w:r>
      <w:r w:rsidR="00D315F3" w:rsidRPr="00704E2B">
        <w:rPr>
          <w:rFonts w:ascii="Cambria" w:eastAsia="Calibri" w:hAnsi="Cambria"/>
          <w:sz w:val="21"/>
          <w:szCs w:val="21"/>
          <w:lang w:val="es-PE"/>
        </w:rPr>
        <w:t>incip</w:t>
      </w:r>
      <w:r w:rsidR="00E45DA5" w:rsidRPr="00704E2B">
        <w:rPr>
          <w:rFonts w:ascii="Cambria" w:eastAsia="Calibri" w:hAnsi="Cambria"/>
          <w:sz w:val="21"/>
          <w:szCs w:val="21"/>
          <w:lang w:val="es-PE"/>
        </w:rPr>
        <w:t>io de complementariedad; y l</w:t>
      </w:r>
      <w:r w:rsidR="0015243A" w:rsidRPr="00704E2B">
        <w:rPr>
          <w:rFonts w:ascii="Cambria" w:eastAsia="Calibri" w:hAnsi="Cambria"/>
          <w:sz w:val="21"/>
          <w:szCs w:val="21"/>
          <w:lang w:val="es-PE"/>
        </w:rPr>
        <w:t xml:space="preserve">as acciones </w:t>
      </w:r>
      <w:r w:rsidR="00E45DA5" w:rsidRPr="00704E2B">
        <w:rPr>
          <w:rFonts w:ascii="Cambria" w:eastAsia="Calibri" w:hAnsi="Cambria"/>
          <w:sz w:val="21"/>
          <w:szCs w:val="21"/>
          <w:lang w:val="es-PE"/>
        </w:rPr>
        <w:t xml:space="preserve">estatales </w:t>
      </w:r>
      <w:r w:rsidR="009F6102" w:rsidRPr="00704E2B">
        <w:rPr>
          <w:rFonts w:ascii="Cambria" w:eastAsia="Calibri" w:hAnsi="Cambria"/>
          <w:sz w:val="21"/>
          <w:szCs w:val="21"/>
          <w:lang w:val="es-PE"/>
        </w:rPr>
        <w:t xml:space="preserve">adoptadas para la protección de los propuestos beneficiarios </w:t>
      </w:r>
      <w:r w:rsidR="00E45DA5" w:rsidRPr="00704E2B">
        <w:rPr>
          <w:rFonts w:ascii="Cambria" w:eastAsia="Calibri" w:hAnsi="Cambria"/>
          <w:sz w:val="21"/>
          <w:szCs w:val="21"/>
          <w:lang w:val="es-PE"/>
        </w:rPr>
        <w:t xml:space="preserve">son </w:t>
      </w:r>
      <w:r w:rsidR="0015243A" w:rsidRPr="00704E2B">
        <w:rPr>
          <w:rFonts w:ascii="Cambria" w:eastAsia="Calibri" w:hAnsi="Cambria"/>
          <w:sz w:val="21"/>
          <w:szCs w:val="21"/>
          <w:lang w:val="es-PE"/>
        </w:rPr>
        <w:t>eficaces. Particularmente, el Estado consideró</w:t>
      </w:r>
      <w:r w:rsidR="00E45DA5" w:rsidRPr="00704E2B">
        <w:rPr>
          <w:rFonts w:ascii="Cambria" w:eastAsia="Calibri" w:hAnsi="Cambria"/>
          <w:sz w:val="21"/>
          <w:szCs w:val="21"/>
          <w:lang w:val="es-PE"/>
        </w:rPr>
        <w:t xml:space="preserve"> </w:t>
      </w:r>
      <w:r w:rsidR="0015243A" w:rsidRPr="00704E2B">
        <w:rPr>
          <w:rFonts w:ascii="Cambria" w:eastAsia="Calibri" w:hAnsi="Cambria"/>
          <w:sz w:val="21"/>
          <w:szCs w:val="21"/>
          <w:lang w:val="es-PE"/>
        </w:rPr>
        <w:t>que</w:t>
      </w:r>
      <w:r w:rsidR="00E45DA5" w:rsidRPr="00704E2B">
        <w:rPr>
          <w:rFonts w:ascii="Cambria" w:eastAsia="Calibri" w:hAnsi="Cambria"/>
          <w:sz w:val="21"/>
          <w:szCs w:val="21"/>
          <w:lang w:val="es-PE"/>
        </w:rPr>
        <w:t xml:space="preserve"> la </w:t>
      </w:r>
      <w:r w:rsidR="0015243A" w:rsidRPr="00704E2B">
        <w:rPr>
          <w:rFonts w:ascii="Cambria" w:eastAsia="Calibri" w:hAnsi="Cambria"/>
          <w:sz w:val="21"/>
          <w:szCs w:val="21"/>
          <w:lang w:val="es-PE"/>
        </w:rPr>
        <w:t xml:space="preserve">consulta </w:t>
      </w:r>
      <w:r w:rsidR="009F6102" w:rsidRPr="00704E2B">
        <w:rPr>
          <w:rFonts w:ascii="Cambria" w:eastAsia="Calibri" w:hAnsi="Cambria"/>
          <w:sz w:val="21"/>
          <w:szCs w:val="21"/>
          <w:lang w:val="es-PE"/>
        </w:rPr>
        <w:t xml:space="preserve">para la implementación del proyecto eólico </w:t>
      </w:r>
      <w:r w:rsidR="0015243A" w:rsidRPr="00704E2B">
        <w:rPr>
          <w:rFonts w:ascii="Cambria" w:eastAsia="Calibri" w:hAnsi="Cambria"/>
          <w:sz w:val="21"/>
          <w:szCs w:val="21"/>
          <w:lang w:val="es-PE"/>
        </w:rPr>
        <w:t>se realizó de manera previa, informada, de buena fe, contemplando una evaluación de impacto ambiental, de manera adecuada y accesible</w:t>
      </w:r>
      <w:r w:rsidR="009F6102" w:rsidRPr="00704E2B">
        <w:rPr>
          <w:rFonts w:ascii="Cambria" w:eastAsia="Calibri" w:hAnsi="Cambria"/>
          <w:sz w:val="21"/>
          <w:szCs w:val="21"/>
          <w:lang w:val="es-PE"/>
        </w:rPr>
        <w:t xml:space="preserve"> de tal forma </w:t>
      </w:r>
      <w:r w:rsidR="0015243A" w:rsidRPr="00704E2B">
        <w:rPr>
          <w:rFonts w:ascii="Cambria" w:eastAsia="Calibri" w:hAnsi="Cambria"/>
          <w:sz w:val="21"/>
          <w:szCs w:val="21"/>
          <w:lang w:val="es-PE"/>
        </w:rPr>
        <w:t xml:space="preserve"> que un otorgamiento de medidas cautelares impactaría en el fondo del presente caso. </w:t>
      </w:r>
    </w:p>
    <w:p w:rsidR="007E4265" w:rsidRPr="00704E2B" w:rsidRDefault="007E4265" w:rsidP="00E4276C">
      <w:pPr>
        <w:pStyle w:val="ListParagraph"/>
        <w:tabs>
          <w:tab w:val="left" w:pos="851"/>
        </w:tabs>
        <w:spacing w:after="160" w:line="240" w:lineRule="auto"/>
        <w:ind w:left="0" w:firstLine="360"/>
        <w:contextualSpacing/>
        <w:jc w:val="both"/>
        <w:rPr>
          <w:rFonts w:ascii="Cambria" w:eastAsia="Calibri" w:hAnsi="Cambria"/>
          <w:sz w:val="21"/>
          <w:szCs w:val="21"/>
          <w:lang w:val="es-PE"/>
        </w:rPr>
      </w:pPr>
    </w:p>
    <w:p w:rsidR="007E4265" w:rsidRPr="00704E2B" w:rsidRDefault="00FD0B3F" w:rsidP="00E4276C">
      <w:pPr>
        <w:pStyle w:val="ListParagraph"/>
        <w:numPr>
          <w:ilvl w:val="0"/>
          <w:numId w:val="20"/>
        </w:numPr>
        <w:tabs>
          <w:tab w:val="left" w:pos="851"/>
        </w:tabs>
        <w:spacing w:after="160" w:line="240" w:lineRule="auto"/>
        <w:ind w:left="0" w:firstLine="360"/>
        <w:contextualSpacing/>
        <w:jc w:val="both"/>
        <w:rPr>
          <w:rFonts w:ascii="Cambria" w:eastAsia="Calibri" w:hAnsi="Cambria"/>
          <w:sz w:val="21"/>
          <w:szCs w:val="21"/>
          <w:lang w:val="es-PE"/>
        </w:rPr>
      </w:pPr>
      <w:r w:rsidRPr="00704E2B">
        <w:rPr>
          <w:rFonts w:ascii="Cambria" w:eastAsia="Calibri" w:hAnsi="Cambria"/>
          <w:sz w:val="21"/>
          <w:szCs w:val="21"/>
          <w:lang w:val="es-PE"/>
        </w:rPr>
        <w:t xml:space="preserve">El Estado </w:t>
      </w:r>
      <w:r w:rsidR="001D6460" w:rsidRPr="00704E2B">
        <w:rPr>
          <w:rFonts w:ascii="Cambria" w:eastAsia="Calibri" w:hAnsi="Cambria"/>
          <w:sz w:val="21"/>
          <w:szCs w:val="21"/>
          <w:lang w:val="es-PE"/>
        </w:rPr>
        <w:t xml:space="preserve">informó </w:t>
      </w:r>
      <w:r w:rsidRPr="00704E2B">
        <w:rPr>
          <w:rFonts w:ascii="Cambria" w:eastAsia="Calibri" w:hAnsi="Cambria"/>
          <w:sz w:val="21"/>
          <w:szCs w:val="21"/>
          <w:lang w:val="es-PE"/>
        </w:rPr>
        <w:t xml:space="preserve">sobre </w:t>
      </w:r>
      <w:r w:rsidR="006E5A52" w:rsidRPr="00704E2B">
        <w:rPr>
          <w:rFonts w:ascii="Cambria" w:eastAsia="Calibri" w:hAnsi="Cambria"/>
          <w:sz w:val="21"/>
          <w:szCs w:val="21"/>
          <w:lang w:val="es-PE"/>
        </w:rPr>
        <w:t xml:space="preserve">el marco normativo </w:t>
      </w:r>
      <w:r w:rsidRPr="00704E2B">
        <w:rPr>
          <w:rFonts w:ascii="Cambria" w:eastAsia="Calibri" w:hAnsi="Cambria"/>
          <w:sz w:val="21"/>
          <w:szCs w:val="21"/>
          <w:lang w:val="es-PE"/>
        </w:rPr>
        <w:t>del derecho a la consulta,</w:t>
      </w:r>
      <w:r w:rsidR="006E5A52" w:rsidRPr="00704E2B">
        <w:rPr>
          <w:rFonts w:ascii="Cambria" w:eastAsia="Calibri" w:hAnsi="Cambria"/>
          <w:sz w:val="21"/>
          <w:szCs w:val="21"/>
          <w:lang w:val="es-PE"/>
        </w:rPr>
        <w:t xml:space="preserve"> </w:t>
      </w:r>
      <w:r w:rsidRPr="00704E2B">
        <w:rPr>
          <w:rFonts w:ascii="Cambria" w:eastAsia="Calibri" w:hAnsi="Cambria"/>
          <w:sz w:val="21"/>
          <w:szCs w:val="21"/>
          <w:lang w:val="es-PE"/>
        </w:rPr>
        <w:t xml:space="preserve">específicamente aquella </w:t>
      </w:r>
      <w:r w:rsidR="006E5A52" w:rsidRPr="00704E2B">
        <w:rPr>
          <w:rFonts w:ascii="Cambria" w:eastAsia="Calibri" w:hAnsi="Cambria"/>
          <w:sz w:val="21"/>
          <w:szCs w:val="21"/>
          <w:lang w:val="es-PE"/>
        </w:rPr>
        <w:t xml:space="preserve">sobre </w:t>
      </w:r>
      <w:r w:rsidRPr="00704E2B">
        <w:rPr>
          <w:rFonts w:ascii="Cambria" w:eastAsia="Calibri" w:hAnsi="Cambria"/>
          <w:sz w:val="21"/>
          <w:szCs w:val="21"/>
          <w:lang w:val="es-PE"/>
        </w:rPr>
        <w:t>proyectos de infraestructura</w:t>
      </w:r>
      <w:r w:rsidR="006E5A52" w:rsidRPr="00704E2B">
        <w:rPr>
          <w:rFonts w:ascii="Cambria" w:eastAsia="Calibri" w:hAnsi="Cambria"/>
          <w:sz w:val="21"/>
          <w:szCs w:val="21"/>
          <w:lang w:val="es-PE"/>
        </w:rPr>
        <w:t xml:space="preserve"> </w:t>
      </w:r>
      <w:r w:rsidRPr="00704E2B">
        <w:rPr>
          <w:rFonts w:ascii="Cambria" w:eastAsia="Calibri" w:hAnsi="Cambria"/>
          <w:sz w:val="21"/>
          <w:szCs w:val="21"/>
          <w:lang w:val="es-PE"/>
        </w:rPr>
        <w:t>y/o</w:t>
      </w:r>
      <w:r w:rsidR="006E5A52" w:rsidRPr="00704E2B">
        <w:rPr>
          <w:rFonts w:ascii="Cambria" w:eastAsia="Calibri" w:hAnsi="Cambria"/>
          <w:sz w:val="21"/>
          <w:szCs w:val="21"/>
          <w:lang w:val="es-PE"/>
        </w:rPr>
        <w:t xml:space="preserve"> </w:t>
      </w:r>
      <w:r w:rsidRPr="00704E2B">
        <w:rPr>
          <w:rFonts w:ascii="Cambria" w:eastAsia="Calibri" w:hAnsi="Cambria"/>
          <w:sz w:val="21"/>
          <w:szCs w:val="21"/>
          <w:lang w:val="es-PE"/>
        </w:rPr>
        <w:t>desarrollo.</w:t>
      </w:r>
      <w:r w:rsidR="006E5A52" w:rsidRPr="00704E2B">
        <w:rPr>
          <w:rFonts w:ascii="Cambria" w:eastAsia="Calibri" w:hAnsi="Cambria"/>
          <w:sz w:val="21"/>
          <w:szCs w:val="21"/>
          <w:lang w:val="es-PE"/>
        </w:rPr>
        <w:t xml:space="preserve"> </w:t>
      </w:r>
      <w:r w:rsidRPr="00704E2B">
        <w:rPr>
          <w:rFonts w:ascii="Cambria" w:eastAsia="Calibri" w:hAnsi="Cambria"/>
          <w:sz w:val="21"/>
          <w:szCs w:val="21"/>
          <w:lang w:val="es-PE"/>
        </w:rPr>
        <w:t xml:space="preserve">Según el Estado, ello ha implicado retos </w:t>
      </w:r>
      <w:r w:rsidR="006E5A52" w:rsidRPr="00704E2B">
        <w:rPr>
          <w:rFonts w:ascii="Cambria" w:eastAsia="Calibri" w:hAnsi="Cambria"/>
          <w:sz w:val="21"/>
          <w:szCs w:val="21"/>
          <w:lang w:val="es-PE"/>
        </w:rPr>
        <w:t xml:space="preserve">importantes </w:t>
      </w:r>
      <w:r w:rsidRPr="00704E2B">
        <w:rPr>
          <w:rFonts w:ascii="Cambria" w:eastAsia="Calibri" w:hAnsi="Cambria"/>
          <w:sz w:val="21"/>
          <w:szCs w:val="21"/>
          <w:lang w:val="es-PE"/>
        </w:rPr>
        <w:t>abordados y atendidos durante el</w:t>
      </w:r>
      <w:r w:rsidR="006E5A52" w:rsidRPr="00704E2B">
        <w:rPr>
          <w:rFonts w:ascii="Cambria" w:eastAsia="Calibri" w:hAnsi="Cambria"/>
          <w:sz w:val="21"/>
          <w:szCs w:val="21"/>
          <w:lang w:val="es-PE"/>
        </w:rPr>
        <w:t xml:space="preserve"> </w:t>
      </w:r>
      <w:r w:rsidRPr="00704E2B">
        <w:rPr>
          <w:rFonts w:ascii="Cambria" w:eastAsia="Calibri" w:hAnsi="Cambria"/>
          <w:sz w:val="21"/>
          <w:szCs w:val="21"/>
          <w:lang w:val="es-PE"/>
        </w:rPr>
        <w:t>proceso de consulta con la comunidad indígena zapoteca de Juchitán de Zaragoza, Oaxaca con motivo del proyecto “Eólica del Sur”.</w:t>
      </w:r>
      <w:r w:rsidR="006E5A52" w:rsidRPr="00704E2B">
        <w:rPr>
          <w:rFonts w:ascii="Cambria" w:eastAsia="Calibri" w:hAnsi="Cambria"/>
          <w:sz w:val="21"/>
          <w:szCs w:val="21"/>
          <w:lang w:val="es-PE"/>
        </w:rPr>
        <w:t xml:space="preserve"> Es</w:t>
      </w:r>
      <w:r w:rsidR="00894280" w:rsidRPr="00704E2B">
        <w:rPr>
          <w:rFonts w:ascii="Cambria" w:eastAsia="Calibri" w:hAnsi="Cambria"/>
          <w:sz w:val="21"/>
          <w:szCs w:val="21"/>
          <w:lang w:val="es-PE"/>
        </w:rPr>
        <w:t>te proyecto</w:t>
      </w:r>
      <w:r w:rsidR="006E5A52" w:rsidRPr="00704E2B">
        <w:rPr>
          <w:rFonts w:ascii="Cambria" w:eastAsia="Calibri" w:hAnsi="Cambria"/>
          <w:sz w:val="21"/>
          <w:szCs w:val="21"/>
          <w:lang w:val="es-PE"/>
        </w:rPr>
        <w:t xml:space="preserve"> formaría parte </w:t>
      </w:r>
      <w:r w:rsidR="00894280" w:rsidRPr="00704E2B">
        <w:rPr>
          <w:rFonts w:ascii="Cambria" w:eastAsia="Calibri" w:hAnsi="Cambria"/>
          <w:sz w:val="21"/>
          <w:szCs w:val="21"/>
          <w:lang w:val="es-PE"/>
        </w:rPr>
        <w:t>de</w:t>
      </w:r>
      <w:r w:rsidR="006E5A52" w:rsidRPr="00704E2B">
        <w:rPr>
          <w:rFonts w:ascii="Cambria" w:eastAsia="Calibri" w:hAnsi="Cambria"/>
          <w:sz w:val="21"/>
          <w:szCs w:val="21"/>
          <w:lang w:val="es-PE"/>
        </w:rPr>
        <w:t xml:space="preserve"> una serie de metas y </w:t>
      </w:r>
      <w:r w:rsidR="00894280" w:rsidRPr="00704E2B">
        <w:rPr>
          <w:rFonts w:ascii="Cambria" w:eastAsia="Calibri" w:hAnsi="Cambria"/>
          <w:sz w:val="21"/>
          <w:szCs w:val="21"/>
          <w:lang w:val="es-PE"/>
        </w:rPr>
        <w:t>compromisos nacionales e internacionales</w:t>
      </w:r>
      <w:r w:rsidR="006E5A52" w:rsidRPr="00704E2B">
        <w:rPr>
          <w:rFonts w:ascii="Cambria" w:eastAsia="Calibri" w:hAnsi="Cambria"/>
          <w:sz w:val="21"/>
          <w:szCs w:val="21"/>
          <w:lang w:val="es-PE"/>
        </w:rPr>
        <w:t xml:space="preserve">, </w:t>
      </w:r>
      <w:r w:rsidR="00894280" w:rsidRPr="00704E2B">
        <w:rPr>
          <w:rFonts w:ascii="Cambria" w:eastAsia="Calibri" w:hAnsi="Cambria"/>
          <w:sz w:val="21"/>
          <w:szCs w:val="21"/>
          <w:lang w:val="es-PE"/>
        </w:rPr>
        <w:t>como el Acuerdo de Paris</w:t>
      </w:r>
      <w:r w:rsidR="00885074" w:rsidRPr="00704E2B">
        <w:rPr>
          <w:rFonts w:ascii="Cambria" w:eastAsia="Calibri" w:hAnsi="Cambria"/>
          <w:sz w:val="21"/>
          <w:szCs w:val="21"/>
          <w:lang w:val="es-PE"/>
        </w:rPr>
        <w:t xml:space="preserve">, </w:t>
      </w:r>
      <w:r w:rsidR="001F7F3E" w:rsidRPr="00704E2B">
        <w:rPr>
          <w:rFonts w:ascii="Cambria" w:eastAsia="Calibri" w:hAnsi="Cambria"/>
          <w:sz w:val="21"/>
          <w:szCs w:val="21"/>
          <w:lang w:val="es-PE"/>
        </w:rPr>
        <w:t>generando</w:t>
      </w:r>
      <w:r w:rsidR="00885074" w:rsidRPr="00704E2B">
        <w:rPr>
          <w:rFonts w:ascii="Cambria" w:eastAsia="Calibri" w:hAnsi="Cambria"/>
          <w:sz w:val="21"/>
          <w:szCs w:val="21"/>
          <w:lang w:val="es-PE"/>
        </w:rPr>
        <w:t xml:space="preserve"> </w:t>
      </w:r>
      <w:r w:rsidR="001F7F3E" w:rsidRPr="00704E2B">
        <w:rPr>
          <w:rFonts w:ascii="Cambria" w:eastAsia="Calibri" w:hAnsi="Cambria"/>
          <w:sz w:val="21"/>
          <w:szCs w:val="21"/>
          <w:lang w:val="es-PE"/>
        </w:rPr>
        <w:t xml:space="preserve">también </w:t>
      </w:r>
      <w:r w:rsidR="00885074" w:rsidRPr="00704E2B">
        <w:rPr>
          <w:rFonts w:ascii="Cambria" w:eastAsia="Calibri" w:hAnsi="Cambria"/>
          <w:sz w:val="21"/>
          <w:szCs w:val="21"/>
          <w:lang w:val="es-PE"/>
        </w:rPr>
        <w:t>benefici</w:t>
      </w:r>
      <w:r w:rsidR="001F7F3E" w:rsidRPr="00704E2B">
        <w:rPr>
          <w:rFonts w:ascii="Cambria" w:eastAsia="Calibri" w:hAnsi="Cambria"/>
          <w:sz w:val="21"/>
          <w:szCs w:val="21"/>
          <w:lang w:val="es-PE"/>
        </w:rPr>
        <w:t xml:space="preserve">os </w:t>
      </w:r>
      <w:r w:rsidR="00885074" w:rsidRPr="00704E2B">
        <w:rPr>
          <w:rFonts w:ascii="Cambria" w:eastAsia="Calibri" w:hAnsi="Cambria"/>
          <w:sz w:val="21"/>
          <w:szCs w:val="21"/>
          <w:lang w:val="es-PE"/>
        </w:rPr>
        <w:t>económicos en la región.</w:t>
      </w:r>
    </w:p>
    <w:p w:rsidR="007E4265" w:rsidRPr="00704E2B" w:rsidRDefault="007E4265" w:rsidP="00E4276C">
      <w:pPr>
        <w:pStyle w:val="ListParagraph"/>
        <w:tabs>
          <w:tab w:val="left" w:pos="851"/>
        </w:tabs>
        <w:spacing w:after="160" w:line="240" w:lineRule="auto"/>
        <w:ind w:left="0" w:firstLine="360"/>
        <w:contextualSpacing/>
        <w:jc w:val="both"/>
        <w:rPr>
          <w:rFonts w:ascii="Cambria" w:eastAsia="Calibri" w:hAnsi="Cambria"/>
          <w:sz w:val="21"/>
          <w:szCs w:val="21"/>
          <w:lang w:val="es-PE"/>
        </w:rPr>
      </w:pPr>
    </w:p>
    <w:p w:rsidR="007E4265" w:rsidRPr="00704E2B" w:rsidRDefault="009F6102" w:rsidP="00E4276C">
      <w:pPr>
        <w:pStyle w:val="ListParagraph"/>
        <w:numPr>
          <w:ilvl w:val="0"/>
          <w:numId w:val="20"/>
        </w:numPr>
        <w:tabs>
          <w:tab w:val="left" w:pos="851"/>
        </w:tabs>
        <w:spacing w:after="160" w:line="240" w:lineRule="auto"/>
        <w:ind w:left="0" w:firstLine="360"/>
        <w:contextualSpacing/>
        <w:jc w:val="both"/>
        <w:rPr>
          <w:rFonts w:ascii="Cambria" w:eastAsia="Calibri" w:hAnsi="Cambria"/>
          <w:sz w:val="21"/>
          <w:szCs w:val="21"/>
          <w:lang w:val="es-PE"/>
        </w:rPr>
      </w:pPr>
      <w:r w:rsidRPr="00704E2B">
        <w:rPr>
          <w:rFonts w:ascii="Cambria" w:eastAsia="Calibri" w:hAnsi="Cambria"/>
          <w:sz w:val="21"/>
          <w:szCs w:val="21"/>
          <w:lang w:val="es-PE"/>
        </w:rPr>
        <w:t xml:space="preserve">El Estado presentó diversa información en relación con la población de Juchitán, incluyendo información sobre las fases que habría seguido durante </w:t>
      </w:r>
      <w:r w:rsidR="00FD0B3F" w:rsidRPr="00704E2B">
        <w:rPr>
          <w:rFonts w:ascii="Cambria" w:eastAsia="Calibri" w:hAnsi="Cambria"/>
          <w:sz w:val="21"/>
          <w:szCs w:val="21"/>
          <w:lang w:val="es-PE"/>
        </w:rPr>
        <w:t>el proce</w:t>
      </w:r>
      <w:r w:rsidR="005D11A0" w:rsidRPr="00704E2B">
        <w:rPr>
          <w:rFonts w:ascii="Cambria" w:eastAsia="Calibri" w:hAnsi="Cambria"/>
          <w:sz w:val="21"/>
          <w:szCs w:val="21"/>
          <w:lang w:val="es-PE"/>
        </w:rPr>
        <w:t>dimiento</w:t>
      </w:r>
      <w:r w:rsidR="00FD0B3F" w:rsidRPr="00704E2B">
        <w:rPr>
          <w:rFonts w:ascii="Cambria" w:eastAsia="Calibri" w:hAnsi="Cambria"/>
          <w:sz w:val="21"/>
          <w:szCs w:val="21"/>
          <w:lang w:val="es-PE"/>
        </w:rPr>
        <w:t xml:space="preserve"> de </w:t>
      </w:r>
      <w:r w:rsidRPr="00704E2B">
        <w:rPr>
          <w:rFonts w:ascii="Cambria" w:eastAsia="Calibri" w:hAnsi="Cambria"/>
          <w:sz w:val="21"/>
          <w:szCs w:val="21"/>
          <w:lang w:val="es-PE"/>
        </w:rPr>
        <w:t xml:space="preserve">la </w:t>
      </w:r>
      <w:r w:rsidR="00FD0B3F" w:rsidRPr="00704E2B">
        <w:rPr>
          <w:rFonts w:ascii="Cambria" w:eastAsia="Calibri" w:hAnsi="Cambria"/>
          <w:sz w:val="21"/>
          <w:szCs w:val="21"/>
          <w:lang w:val="es-PE"/>
        </w:rPr>
        <w:t xml:space="preserve">consulta </w:t>
      </w:r>
      <w:r w:rsidRPr="00704E2B">
        <w:rPr>
          <w:rFonts w:ascii="Cambria" w:eastAsia="Calibri" w:hAnsi="Cambria"/>
          <w:sz w:val="21"/>
          <w:szCs w:val="21"/>
          <w:lang w:val="es-PE"/>
        </w:rPr>
        <w:t>que habría realizado en relación con el proyecto</w:t>
      </w:r>
      <w:r w:rsidR="00044280" w:rsidRPr="00704E2B">
        <w:rPr>
          <w:rStyle w:val="FootnoteReference"/>
          <w:rFonts w:ascii="Cambria" w:eastAsia="Calibri" w:hAnsi="Cambria"/>
          <w:sz w:val="21"/>
          <w:szCs w:val="21"/>
          <w:lang w:val="es-PE"/>
        </w:rPr>
        <w:footnoteReference w:id="7"/>
      </w:r>
      <w:r w:rsidRPr="00704E2B">
        <w:rPr>
          <w:rFonts w:ascii="Cambria" w:eastAsia="Calibri" w:hAnsi="Cambria"/>
          <w:sz w:val="21"/>
          <w:szCs w:val="21"/>
          <w:lang w:val="es-PE"/>
        </w:rPr>
        <w:t xml:space="preserve">, información sobre un </w:t>
      </w:r>
      <w:r w:rsidR="00E51BE9" w:rsidRPr="00704E2B">
        <w:rPr>
          <w:rFonts w:ascii="Cambria" w:eastAsia="Calibri" w:hAnsi="Cambria"/>
          <w:sz w:val="21"/>
          <w:szCs w:val="21"/>
          <w:lang w:val="es-PE"/>
        </w:rPr>
        <w:t xml:space="preserve">Estudio de Impacto Ambiental (EIA), </w:t>
      </w:r>
      <w:r w:rsidRPr="00704E2B">
        <w:rPr>
          <w:rFonts w:ascii="Cambria" w:eastAsia="Calibri" w:hAnsi="Cambria"/>
          <w:sz w:val="21"/>
          <w:szCs w:val="21"/>
          <w:lang w:val="es-PE"/>
        </w:rPr>
        <w:t xml:space="preserve">y la supuesta </w:t>
      </w:r>
      <w:r w:rsidR="00E51BE9" w:rsidRPr="00704E2B">
        <w:rPr>
          <w:rFonts w:ascii="Cambria" w:eastAsia="Calibri" w:hAnsi="Cambria"/>
          <w:sz w:val="21"/>
          <w:szCs w:val="21"/>
          <w:lang w:val="es-PE"/>
        </w:rPr>
        <w:t>participación de las comunidades indígenas</w:t>
      </w:r>
      <w:r w:rsidR="00FD0B3F" w:rsidRPr="00704E2B">
        <w:rPr>
          <w:rFonts w:ascii="Cambria" w:eastAsia="Calibri" w:hAnsi="Cambria"/>
          <w:sz w:val="21"/>
          <w:szCs w:val="21"/>
          <w:lang w:val="es-PE"/>
        </w:rPr>
        <w:t xml:space="preserve">. </w:t>
      </w:r>
    </w:p>
    <w:p w:rsidR="007E4265" w:rsidRPr="00704E2B" w:rsidRDefault="007E4265" w:rsidP="00E4276C">
      <w:pPr>
        <w:pStyle w:val="ListParagraph"/>
        <w:tabs>
          <w:tab w:val="left" w:pos="851"/>
        </w:tabs>
        <w:spacing w:after="160" w:line="240" w:lineRule="auto"/>
        <w:ind w:left="0" w:firstLine="360"/>
        <w:contextualSpacing/>
        <w:jc w:val="both"/>
        <w:rPr>
          <w:rFonts w:ascii="Cambria" w:eastAsia="Calibri" w:hAnsi="Cambria"/>
          <w:sz w:val="21"/>
          <w:szCs w:val="21"/>
          <w:lang w:val="es-PE"/>
        </w:rPr>
      </w:pPr>
    </w:p>
    <w:p w:rsidR="007E4265" w:rsidRPr="00704E2B" w:rsidRDefault="00FD0B3F" w:rsidP="00E4276C">
      <w:pPr>
        <w:pStyle w:val="ListParagraph"/>
        <w:numPr>
          <w:ilvl w:val="0"/>
          <w:numId w:val="20"/>
        </w:numPr>
        <w:tabs>
          <w:tab w:val="left" w:pos="851"/>
        </w:tabs>
        <w:spacing w:after="160" w:line="240" w:lineRule="auto"/>
        <w:ind w:left="0" w:firstLine="360"/>
        <w:contextualSpacing/>
        <w:jc w:val="both"/>
        <w:rPr>
          <w:rFonts w:ascii="Cambria" w:eastAsia="Calibri" w:hAnsi="Cambria"/>
          <w:sz w:val="21"/>
          <w:szCs w:val="21"/>
          <w:lang w:val="es-PE"/>
        </w:rPr>
      </w:pPr>
      <w:r w:rsidRPr="00704E2B">
        <w:rPr>
          <w:rFonts w:ascii="Cambria" w:eastAsia="Calibri" w:hAnsi="Cambria"/>
          <w:sz w:val="21"/>
          <w:szCs w:val="21"/>
          <w:lang w:val="es-PE"/>
        </w:rPr>
        <w:t>En lo que se refiere a los procesos judiciales, el Estado informó que el juicio de amparo 454/2015 se tramitó ante el Juzgado Séptimo de Distrito en Oaxaca con sede Salina Cruz por “omisión e inobservancia de una consulta libre, previa e informada, así como la obtención del consentimiento libre, previo e informado del pueblo indígena zapoteco”.</w:t>
      </w:r>
      <w:r w:rsidR="00EE6B34" w:rsidRPr="00704E2B">
        <w:rPr>
          <w:rFonts w:ascii="Cambria" w:eastAsia="Calibri" w:hAnsi="Cambria"/>
          <w:sz w:val="21"/>
          <w:szCs w:val="21"/>
          <w:lang w:val="es-PE"/>
        </w:rPr>
        <w:t xml:space="preserve"> </w:t>
      </w:r>
      <w:r w:rsidRPr="00704E2B">
        <w:rPr>
          <w:rFonts w:ascii="Cambria" w:eastAsia="Calibri" w:hAnsi="Cambria"/>
          <w:sz w:val="21"/>
          <w:szCs w:val="21"/>
          <w:lang w:val="es-PE"/>
        </w:rPr>
        <w:t>E</w:t>
      </w:r>
      <w:r w:rsidR="00FD1656" w:rsidRPr="00704E2B">
        <w:rPr>
          <w:rFonts w:ascii="Cambria" w:eastAsia="Calibri" w:hAnsi="Cambria"/>
          <w:sz w:val="21"/>
          <w:szCs w:val="21"/>
          <w:lang w:val="es-PE"/>
        </w:rPr>
        <w:t>l Estado informó  que e</w:t>
      </w:r>
      <w:r w:rsidRPr="00704E2B">
        <w:rPr>
          <w:rFonts w:ascii="Cambria" w:eastAsia="Calibri" w:hAnsi="Cambria"/>
          <w:sz w:val="21"/>
          <w:szCs w:val="21"/>
          <w:lang w:val="es-PE"/>
        </w:rPr>
        <w:t xml:space="preserve">n una resolución incidental del 11 de diciembre de 2015, el Juez concedió la suspensión definitiva para “que se mantengan las cosas en el estado que actualmente guardan; esto es, para que las autoridades </w:t>
      </w:r>
      <w:r w:rsidR="006D2318" w:rsidRPr="00704E2B">
        <w:rPr>
          <w:rFonts w:ascii="Cambria" w:eastAsia="Calibri" w:hAnsi="Cambria"/>
          <w:sz w:val="21"/>
          <w:szCs w:val="21"/>
          <w:lang w:val="es-PE"/>
        </w:rPr>
        <w:t xml:space="preserve">(…) </w:t>
      </w:r>
      <w:r w:rsidRPr="00704E2B">
        <w:rPr>
          <w:rFonts w:ascii="Cambria" w:eastAsia="Calibri" w:hAnsi="Cambria"/>
          <w:sz w:val="21"/>
          <w:szCs w:val="21"/>
          <w:lang w:val="es-PE"/>
        </w:rPr>
        <w:t>no ejecuten los permisos y autorizaciones concedidas, lo anterior a efecto de preservar la materia del amparo”. En sentencia de 9 de junio de 2016, el Juzgado determinó negar el amparo.</w:t>
      </w:r>
      <w:r w:rsidR="00044280" w:rsidRPr="00704E2B">
        <w:rPr>
          <w:rFonts w:ascii="Cambria" w:eastAsia="Calibri" w:hAnsi="Cambria"/>
          <w:sz w:val="21"/>
          <w:szCs w:val="21"/>
          <w:lang w:val="es-PE"/>
        </w:rPr>
        <w:t xml:space="preserve"> </w:t>
      </w:r>
      <w:r w:rsidRPr="00704E2B">
        <w:rPr>
          <w:rFonts w:ascii="Cambria" w:eastAsia="Calibri" w:hAnsi="Cambria"/>
          <w:sz w:val="21"/>
          <w:szCs w:val="21"/>
          <w:lang w:val="es-PE"/>
        </w:rPr>
        <w:t xml:space="preserve">Según el Estado, el Poder Judicial de la Federación consideró que se había realizado una consulta previa.  </w:t>
      </w:r>
    </w:p>
    <w:p w:rsidR="007E4265" w:rsidRPr="00704E2B" w:rsidRDefault="007E4265" w:rsidP="00E4276C">
      <w:pPr>
        <w:pStyle w:val="ListParagraph"/>
        <w:tabs>
          <w:tab w:val="left" w:pos="851"/>
        </w:tabs>
        <w:spacing w:after="160" w:line="240" w:lineRule="auto"/>
        <w:ind w:left="0" w:firstLine="360"/>
        <w:contextualSpacing/>
        <w:jc w:val="both"/>
        <w:rPr>
          <w:rFonts w:ascii="Cambria" w:eastAsia="Calibri" w:hAnsi="Cambria"/>
          <w:sz w:val="21"/>
          <w:szCs w:val="21"/>
          <w:lang w:val="es-PE"/>
        </w:rPr>
      </w:pPr>
    </w:p>
    <w:p w:rsidR="007E4265" w:rsidRPr="00704E2B" w:rsidRDefault="00FD0B3F" w:rsidP="00E4276C">
      <w:pPr>
        <w:pStyle w:val="ListParagraph"/>
        <w:numPr>
          <w:ilvl w:val="0"/>
          <w:numId w:val="20"/>
        </w:numPr>
        <w:tabs>
          <w:tab w:val="left" w:pos="851"/>
        </w:tabs>
        <w:spacing w:after="160" w:line="240" w:lineRule="auto"/>
        <w:ind w:left="0" w:firstLine="360"/>
        <w:contextualSpacing/>
        <w:jc w:val="both"/>
        <w:rPr>
          <w:rFonts w:ascii="Cambria" w:eastAsia="Calibri" w:hAnsi="Cambria"/>
          <w:sz w:val="21"/>
          <w:szCs w:val="21"/>
          <w:lang w:val="es-PE"/>
        </w:rPr>
      </w:pPr>
      <w:r w:rsidRPr="00704E2B">
        <w:rPr>
          <w:rFonts w:ascii="Cambria" w:eastAsia="Calibri" w:hAnsi="Cambria"/>
          <w:sz w:val="21"/>
          <w:szCs w:val="21"/>
          <w:lang w:val="es-PE"/>
        </w:rPr>
        <w:t>Según el Estado, el 26 de agosto de 2016, el Tribunal Colegiado en Materia Civil y Administrativa del Décimo Tercer Circuito, con sede en Oaxaca de Juárez, Oaxaca, revocó la sentencia interlocutoria dictada por el Juzgado Séptimo de Distrito, mediante la cual se otorgaba la suspensión definitiva que tenía como propósito “mantengan las cosas en el estado que actualmente guardan”. El 26 de octubre de 2016, este Tribunal admitió el recurso de revisión bajo el número 552/2016 en contra de la sentencia que sobresee y niega el amparo de 9 de junio de 2016. El 11 de abril de 2017</w:t>
      </w:r>
      <w:r w:rsidR="001D4FA8" w:rsidRPr="00704E2B">
        <w:rPr>
          <w:rFonts w:ascii="Cambria" w:eastAsia="Calibri" w:hAnsi="Cambria"/>
          <w:sz w:val="21"/>
          <w:szCs w:val="21"/>
          <w:lang w:val="es-PE"/>
        </w:rPr>
        <w:t xml:space="preserve">, el Tribunal informó que un </w:t>
      </w:r>
      <w:r w:rsidRPr="00704E2B">
        <w:rPr>
          <w:rFonts w:ascii="Cambria" w:eastAsia="Calibri" w:hAnsi="Cambria"/>
          <w:sz w:val="21"/>
          <w:szCs w:val="21"/>
          <w:lang w:val="es-PE"/>
        </w:rPr>
        <w:t>Minist</w:t>
      </w:r>
      <w:r w:rsidR="001D4FA8" w:rsidRPr="00704E2B">
        <w:rPr>
          <w:rFonts w:ascii="Cambria" w:eastAsia="Calibri" w:hAnsi="Cambria"/>
          <w:sz w:val="21"/>
          <w:szCs w:val="21"/>
          <w:lang w:val="es-PE"/>
        </w:rPr>
        <w:t xml:space="preserve">ro </w:t>
      </w:r>
      <w:r w:rsidRPr="00704E2B">
        <w:rPr>
          <w:rFonts w:ascii="Cambria" w:eastAsia="Calibri" w:hAnsi="Cambria"/>
          <w:sz w:val="21"/>
          <w:szCs w:val="21"/>
          <w:lang w:val="es-PE"/>
        </w:rPr>
        <w:t>decidió</w:t>
      </w:r>
      <w:r w:rsidR="001D4FA8" w:rsidRPr="00704E2B">
        <w:rPr>
          <w:rFonts w:ascii="Cambria" w:eastAsia="Calibri" w:hAnsi="Cambria"/>
          <w:sz w:val="21"/>
          <w:szCs w:val="21"/>
          <w:lang w:val="es-PE"/>
        </w:rPr>
        <w:t xml:space="preserve"> </w:t>
      </w:r>
      <w:r w:rsidRPr="00704E2B">
        <w:rPr>
          <w:rFonts w:ascii="Cambria" w:eastAsia="Calibri" w:hAnsi="Cambria"/>
          <w:sz w:val="21"/>
          <w:szCs w:val="21"/>
          <w:lang w:val="es-PE"/>
        </w:rPr>
        <w:t>de</w:t>
      </w:r>
      <w:r w:rsidR="001D4FA8" w:rsidRPr="00704E2B">
        <w:rPr>
          <w:rFonts w:ascii="Cambria" w:eastAsia="Calibri" w:hAnsi="Cambria"/>
          <w:sz w:val="21"/>
          <w:szCs w:val="21"/>
          <w:lang w:val="es-PE"/>
        </w:rPr>
        <w:t xml:space="preserve"> </w:t>
      </w:r>
      <w:r w:rsidRPr="00704E2B">
        <w:rPr>
          <w:rFonts w:ascii="Cambria" w:eastAsia="Calibri" w:hAnsi="Cambria"/>
          <w:sz w:val="21"/>
          <w:szCs w:val="21"/>
          <w:lang w:val="es-PE"/>
        </w:rPr>
        <w:t>oficio</w:t>
      </w:r>
      <w:r w:rsidR="001D4FA8" w:rsidRPr="00704E2B">
        <w:rPr>
          <w:rFonts w:ascii="Cambria" w:eastAsia="Calibri" w:hAnsi="Cambria"/>
          <w:sz w:val="21"/>
          <w:szCs w:val="21"/>
          <w:lang w:val="es-PE"/>
        </w:rPr>
        <w:t xml:space="preserve"> </w:t>
      </w:r>
      <w:r w:rsidRPr="00704E2B">
        <w:rPr>
          <w:rFonts w:ascii="Cambria" w:eastAsia="Calibri" w:hAnsi="Cambria"/>
          <w:sz w:val="21"/>
          <w:szCs w:val="21"/>
          <w:lang w:val="es-PE"/>
        </w:rPr>
        <w:t>hacer</w:t>
      </w:r>
      <w:r w:rsidR="001D4FA8" w:rsidRPr="00704E2B">
        <w:rPr>
          <w:rFonts w:ascii="Cambria" w:eastAsia="Calibri" w:hAnsi="Cambria"/>
          <w:sz w:val="21"/>
          <w:szCs w:val="21"/>
          <w:lang w:val="es-PE"/>
        </w:rPr>
        <w:t xml:space="preserve"> </w:t>
      </w:r>
      <w:r w:rsidRPr="00704E2B">
        <w:rPr>
          <w:rFonts w:ascii="Cambria" w:eastAsia="Calibri" w:hAnsi="Cambria"/>
          <w:sz w:val="21"/>
          <w:szCs w:val="21"/>
          <w:lang w:val="es-PE"/>
        </w:rPr>
        <w:t>suyo el escrito de solicitud de ejercicio de la facultad de atracción para que la Suprema Corte de Justicia de la Nación conozca el amparo en revisión 552/2016. El Estado informó que</w:t>
      </w:r>
      <w:r w:rsidR="00B86640" w:rsidRPr="00704E2B">
        <w:rPr>
          <w:rFonts w:ascii="Cambria" w:eastAsia="Calibri" w:hAnsi="Cambria"/>
          <w:sz w:val="21"/>
          <w:szCs w:val="21"/>
          <w:lang w:val="es-PE"/>
        </w:rPr>
        <w:t xml:space="preserve"> la Secretaria de Energía, autoridad responsable de la consulta, </w:t>
      </w:r>
      <w:r w:rsidRPr="00704E2B">
        <w:rPr>
          <w:rFonts w:ascii="Cambria" w:eastAsia="Calibri" w:hAnsi="Cambria"/>
          <w:sz w:val="21"/>
          <w:szCs w:val="21"/>
          <w:lang w:val="es-PE"/>
        </w:rPr>
        <w:t xml:space="preserve">se mostró a favor de la atracción en este caso y en los diversos juicios de amparo existentes. </w:t>
      </w:r>
      <w:r w:rsidR="001D4FA8" w:rsidRPr="00704E2B">
        <w:rPr>
          <w:rFonts w:ascii="Cambria" w:eastAsia="Calibri" w:hAnsi="Cambria"/>
          <w:sz w:val="21"/>
          <w:szCs w:val="21"/>
          <w:lang w:val="es-PE"/>
        </w:rPr>
        <w:t>El</w:t>
      </w:r>
      <w:r w:rsidRPr="00704E2B">
        <w:rPr>
          <w:rFonts w:ascii="Cambria" w:eastAsia="Calibri" w:hAnsi="Cambria"/>
          <w:sz w:val="21"/>
          <w:szCs w:val="21"/>
          <w:lang w:val="es-PE"/>
        </w:rPr>
        <w:t xml:space="preserve"> Estado resaltó que </w:t>
      </w:r>
      <w:r w:rsidR="00DE7830" w:rsidRPr="00704E2B">
        <w:rPr>
          <w:rFonts w:ascii="Cambria" w:eastAsia="Calibri" w:hAnsi="Cambria"/>
          <w:sz w:val="21"/>
          <w:szCs w:val="21"/>
          <w:lang w:val="es-PE"/>
        </w:rPr>
        <w:t xml:space="preserve">James Anaya, </w:t>
      </w:r>
      <w:r w:rsidRPr="00704E2B">
        <w:rPr>
          <w:rFonts w:ascii="Cambria" w:eastAsia="Calibri" w:hAnsi="Cambria"/>
          <w:sz w:val="21"/>
          <w:szCs w:val="21"/>
          <w:lang w:val="es-PE"/>
        </w:rPr>
        <w:t xml:space="preserve">ex Relator Especial de Naciones Unidas sobre los Derechos de los Pueblos Indígenas, emitió un </w:t>
      </w:r>
      <w:r w:rsidRPr="00704E2B">
        <w:rPr>
          <w:rFonts w:ascii="Cambria" w:eastAsia="Calibri" w:hAnsi="Cambria"/>
          <w:i/>
          <w:sz w:val="21"/>
          <w:szCs w:val="21"/>
          <w:lang w:val="es-PE"/>
        </w:rPr>
        <w:t xml:space="preserve">Comunicado </w:t>
      </w:r>
      <w:proofErr w:type="spellStart"/>
      <w:r w:rsidRPr="00704E2B">
        <w:rPr>
          <w:rFonts w:ascii="Cambria" w:eastAsia="Calibri" w:hAnsi="Cambria"/>
          <w:i/>
          <w:sz w:val="21"/>
          <w:szCs w:val="21"/>
          <w:lang w:val="es-PE"/>
        </w:rPr>
        <w:t>Clarificatorio</w:t>
      </w:r>
      <w:proofErr w:type="spellEnd"/>
      <w:r w:rsidRPr="00704E2B">
        <w:rPr>
          <w:rFonts w:ascii="Cambria" w:eastAsia="Calibri" w:hAnsi="Cambria"/>
          <w:sz w:val="21"/>
          <w:szCs w:val="21"/>
          <w:lang w:val="es-PE"/>
        </w:rPr>
        <w:t xml:space="preserve"> </w:t>
      </w:r>
      <w:r w:rsidR="001D4FA8" w:rsidRPr="00704E2B">
        <w:rPr>
          <w:rFonts w:ascii="Cambria" w:eastAsia="Calibri" w:hAnsi="Cambria"/>
          <w:sz w:val="21"/>
          <w:szCs w:val="21"/>
          <w:lang w:val="es-PE"/>
        </w:rPr>
        <w:t>en</w:t>
      </w:r>
      <w:r w:rsidRPr="00704E2B">
        <w:rPr>
          <w:rFonts w:ascii="Cambria" w:eastAsia="Calibri" w:hAnsi="Cambria"/>
          <w:sz w:val="21"/>
          <w:szCs w:val="21"/>
          <w:lang w:val="es-PE"/>
        </w:rPr>
        <w:t xml:space="preserve"> 2015, en el que indicó </w:t>
      </w:r>
      <w:r w:rsidRPr="00704E2B">
        <w:rPr>
          <w:rFonts w:ascii="Cambria" w:eastAsia="Calibri" w:hAnsi="Cambria"/>
          <w:sz w:val="21"/>
          <w:szCs w:val="21"/>
          <w:lang w:val="es-PE"/>
        </w:rPr>
        <w:lastRenderedPageBreak/>
        <w:t xml:space="preserve">que en ningún momento sus observaciones señalaban que el Estado viola los derechos de la comunidad Zapoteca en relación a la consulta. </w:t>
      </w:r>
    </w:p>
    <w:p w:rsidR="007E4265" w:rsidRPr="00704E2B" w:rsidRDefault="007E4265" w:rsidP="00E4276C">
      <w:pPr>
        <w:pStyle w:val="ListParagraph"/>
        <w:tabs>
          <w:tab w:val="left" w:pos="851"/>
        </w:tabs>
        <w:spacing w:after="160" w:line="240" w:lineRule="auto"/>
        <w:ind w:left="0" w:firstLine="360"/>
        <w:contextualSpacing/>
        <w:jc w:val="both"/>
        <w:rPr>
          <w:rFonts w:ascii="Cambria" w:eastAsia="Calibri" w:hAnsi="Cambria"/>
          <w:sz w:val="21"/>
          <w:szCs w:val="21"/>
          <w:lang w:val="es-PE"/>
        </w:rPr>
      </w:pPr>
    </w:p>
    <w:p w:rsidR="001D4FA8" w:rsidRPr="00704E2B" w:rsidRDefault="004E1D9A" w:rsidP="00E4276C">
      <w:pPr>
        <w:pStyle w:val="ListParagraph"/>
        <w:numPr>
          <w:ilvl w:val="0"/>
          <w:numId w:val="20"/>
        </w:numPr>
        <w:tabs>
          <w:tab w:val="left" w:pos="851"/>
        </w:tabs>
        <w:spacing w:after="0" w:line="240" w:lineRule="auto"/>
        <w:ind w:left="0" w:firstLine="360"/>
        <w:contextualSpacing/>
        <w:jc w:val="both"/>
        <w:rPr>
          <w:rFonts w:ascii="Cambria" w:eastAsia="Calibri" w:hAnsi="Cambria"/>
          <w:sz w:val="21"/>
          <w:szCs w:val="21"/>
          <w:lang w:val="es-PE"/>
        </w:rPr>
      </w:pPr>
      <w:r w:rsidRPr="00704E2B">
        <w:rPr>
          <w:rFonts w:ascii="Cambria" w:eastAsia="Calibri" w:hAnsi="Cambria"/>
          <w:sz w:val="21"/>
          <w:szCs w:val="21"/>
          <w:lang w:val="es-PE"/>
        </w:rPr>
        <w:t xml:space="preserve">El Estado </w:t>
      </w:r>
      <w:r w:rsidR="00C34D7D" w:rsidRPr="00704E2B">
        <w:rPr>
          <w:rFonts w:ascii="Cambria" w:eastAsia="Calibri" w:hAnsi="Cambria"/>
          <w:sz w:val="21"/>
          <w:szCs w:val="21"/>
          <w:lang w:val="es-PE"/>
        </w:rPr>
        <w:t xml:space="preserve">también </w:t>
      </w:r>
      <w:r w:rsidR="00787019" w:rsidRPr="00704E2B">
        <w:rPr>
          <w:rFonts w:ascii="Cambria" w:eastAsia="Calibri" w:hAnsi="Cambria"/>
          <w:sz w:val="21"/>
          <w:szCs w:val="21"/>
          <w:lang w:val="es-PE"/>
        </w:rPr>
        <w:t>indicó</w:t>
      </w:r>
      <w:r w:rsidRPr="00704E2B">
        <w:rPr>
          <w:rFonts w:ascii="Cambria" w:eastAsia="Calibri" w:hAnsi="Cambria"/>
          <w:sz w:val="21"/>
          <w:szCs w:val="21"/>
          <w:lang w:val="es-PE"/>
        </w:rPr>
        <w:t xml:space="preserve"> que </w:t>
      </w:r>
      <w:r w:rsidR="00ED37BE" w:rsidRPr="00704E2B">
        <w:rPr>
          <w:rFonts w:ascii="Cambria" w:eastAsia="Calibri" w:hAnsi="Cambria"/>
          <w:sz w:val="21"/>
          <w:szCs w:val="21"/>
          <w:lang w:val="es-PE"/>
        </w:rPr>
        <w:t xml:space="preserve">la señora </w:t>
      </w:r>
      <w:r w:rsidRPr="00704E2B">
        <w:rPr>
          <w:rFonts w:ascii="Cambria" w:eastAsia="Calibri" w:hAnsi="Cambria"/>
          <w:sz w:val="21"/>
          <w:szCs w:val="21"/>
          <w:lang w:val="es-PE"/>
        </w:rPr>
        <w:t xml:space="preserve">Lucila </w:t>
      </w:r>
      <w:proofErr w:type="spellStart"/>
      <w:r w:rsidRPr="00704E2B">
        <w:rPr>
          <w:rFonts w:ascii="Cambria" w:eastAsia="Calibri" w:hAnsi="Cambria"/>
          <w:sz w:val="21"/>
          <w:szCs w:val="21"/>
          <w:lang w:val="es-PE"/>
        </w:rPr>
        <w:t>Bettina</w:t>
      </w:r>
      <w:proofErr w:type="spellEnd"/>
      <w:r w:rsidRPr="00704E2B">
        <w:rPr>
          <w:rFonts w:ascii="Cambria" w:eastAsia="Calibri" w:hAnsi="Cambria"/>
          <w:sz w:val="21"/>
          <w:szCs w:val="21"/>
          <w:lang w:val="es-PE"/>
        </w:rPr>
        <w:t xml:space="preserve"> Cruz y la </w:t>
      </w:r>
      <w:r w:rsidR="001D4FA8" w:rsidRPr="00704E2B">
        <w:rPr>
          <w:rFonts w:ascii="Cambria" w:eastAsia="Calibri" w:hAnsi="Cambria"/>
          <w:sz w:val="21"/>
          <w:szCs w:val="21"/>
          <w:lang w:val="es-PE"/>
        </w:rPr>
        <w:t xml:space="preserve">APIITDTT </w:t>
      </w:r>
      <w:r w:rsidR="00463119" w:rsidRPr="00704E2B">
        <w:rPr>
          <w:rFonts w:ascii="Cambria" w:eastAsia="Calibri" w:hAnsi="Cambria"/>
          <w:sz w:val="21"/>
          <w:szCs w:val="21"/>
          <w:lang w:val="es-PE"/>
        </w:rPr>
        <w:t>tendrían medidas de protección</w:t>
      </w:r>
      <w:r w:rsidRPr="00704E2B">
        <w:rPr>
          <w:rFonts w:ascii="Cambria" w:eastAsia="Calibri" w:hAnsi="Cambria"/>
          <w:sz w:val="21"/>
          <w:szCs w:val="21"/>
          <w:lang w:val="es-PE"/>
        </w:rPr>
        <w:t xml:space="preserve"> desde marzo 2</w:t>
      </w:r>
      <w:r w:rsidR="00787019" w:rsidRPr="00704E2B">
        <w:rPr>
          <w:rFonts w:ascii="Cambria" w:eastAsia="Calibri" w:hAnsi="Cambria"/>
          <w:sz w:val="21"/>
          <w:szCs w:val="21"/>
          <w:lang w:val="es-PE"/>
        </w:rPr>
        <w:t xml:space="preserve">013, mediante procedimiento extraordinario. </w:t>
      </w:r>
      <w:r w:rsidR="004C701B" w:rsidRPr="00704E2B">
        <w:rPr>
          <w:rFonts w:ascii="Cambria" w:eastAsia="Calibri" w:hAnsi="Cambria"/>
          <w:sz w:val="21"/>
          <w:szCs w:val="21"/>
          <w:lang w:val="es-PE"/>
        </w:rPr>
        <w:t>El Estado brindó detalles sobre el plan de protección vigente desde septiembre de</w:t>
      </w:r>
      <w:r w:rsidR="00787019" w:rsidRPr="00704E2B">
        <w:rPr>
          <w:rFonts w:ascii="Cambria" w:eastAsia="Calibri" w:hAnsi="Cambria"/>
          <w:sz w:val="21"/>
          <w:szCs w:val="21"/>
          <w:lang w:val="es-PE"/>
        </w:rPr>
        <w:t xml:space="preserve"> </w:t>
      </w:r>
      <w:r w:rsidR="004C701B" w:rsidRPr="00704E2B">
        <w:rPr>
          <w:rFonts w:ascii="Cambria" w:eastAsia="Calibri" w:hAnsi="Cambria"/>
          <w:sz w:val="21"/>
          <w:szCs w:val="21"/>
          <w:lang w:val="es-PE"/>
        </w:rPr>
        <w:t>2016</w:t>
      </w:r>
      <w:r w:rsidR="004C701B" w:rsidRPr="00704E2B">
        <w:rPr>
          <w:rStyle w:val="FootnoteReference"/>
          <w:rFonts w:ascii="Cambria" w:eastAsia="Calibri" w:hAnsi="Cambria"/>
          <w:sz w:val="21"/>
          <w:szCs w:val="21"/>
          <w:lang w:val="es-PE"/>
        </w:rPr>
        <w:footnoteReference w:id="8"/>
      </w:r>
      <w:r w:rsidR="004C701B" w:rsidRPr="00704E2B">
        <w:rPr>
          <w:rFonts w:ascii="Cambria" w:eastAsia="Calibri" w:hAnsi="Cambria"/>
          <w:sz w:val="21"/>
          <w:szCs w:val="21"/>
          <w:lang w:val="es-PE"/>
        </w:rPr>
        <w:t xml:space="preserve">. </w:t>
      </w:r>
      <w:r w:rsidR="008B38E5" w:rsidRPr="00704E2B">
        <w:rPr>
          <w:rFonts w:ascii="Cambria" w:eastAsia="Calibri" w:hAnsi="Cambria"/>
          <w:sz w:val="21"/>
          <w:szCs w:val="21"/>
          <w:lang w:val="es-PE"/>
        </w:rPr>
        <w:t>Durante su vigencia de 12 meses, no se habría reportado ningún siniestro o se tuvo alguna contingencia que de forma potencial pusiera en riesgo</w:t>
      </w:r>
      <w:r w:rsidR="00ED37BE" w:rsidRPr="00704E2B">
        <w:rPr>
          <w:rFonts w:ascii="Cambria" w:eastAsia="Calibri" w:hAnsi="Cambria"/>
          <w:sz w:val="21"/>
          <w:szCs w:val="21"/>
          <w:lang w:val="es-PE"/>
        </w:rPr>
        <w:t xml:space="preserve"> a los propuestos beneficiarios. </w:t>
      </w:r>
      <w:r w:rsidR="008B38E5" w:rsidRPr="00704E2B">
        <w:rPr>
          <w:rFonts w:ascii="Cambria" w:eastAsia="Calibri" w:hAnsi="Cambria"/>
          <w:sz w:val="21"/>
          <w:szCs w:val="21"/>
          <w:lang w:val="es-PE"/>
        </w:rPr>
        <w:t xml:space="preserve">El Estado </w:t>
      </w:r>
      <w:r w:rsidR="000F6CA8" w:rsidRPr="00704E2B">
        <w:rPr>
          <w:rFonts w:ascii="Cambria" w:eastAsia="Calibri" w:hAnsi="Cambria"/>
          <w:sz w:val="21"/>
          <w:szCs w:val="21"/>
          <w:lang w:val="es-PE"/>
        </w:rPr>
        <w:t>indicó</w:t>
      </w:r>
      <w:r w:rsidR="008B38E5" w:rsidRPr="00704E2B">
        <w:rPr>
          <w:rFonts w:ascii="Cambria" w:eastAsia="Calibri" w:hAnsi="Cambria"/>
          <w:sz w:val="21"/>
          <w:szCs w:val="21"/>
          <w:lang w:val="es-PE"/>
        </w:rPr>
        <w:t xml:space="preserve"> que se </w:t>
      </w:r>
      <w:r w:rsidR="000F6CA8" w:rsidRPr="00704E2B">
        <w:rPr>
          <w:rFonts w:ascii="Cambria" w:eastAsia="Calibri" w:hAnsi="Cambria"/>
          <w:sz w:val="21"/>
          <w:szCs w:val="21"/>
          <w:lang w:val="es-PE"/>
        </w:rPr>
        <w:t>tenía</w:t>
      </w:r>
      <w:r w:rsidR="008B38E5" w:rsidRPr="00704E2B">
        <w:rPr>
          <w:rFonts w:ascii="Cambria" w:eastAsia="Calibri" w:hAnsi="Cambria"/>
          <w:sz w:val="21"/>
          <w:szCs w:val="21"/>
          <w:lang w:val="es-PE"/>
        </w:rPr>
        <w:t xml:space="preserve"> contemplado una reevaluación </w:t>
      </w:r>
      <w:r w:rsidR="000F6CA8" w:rsidRPr="00704E2B">
        <w:rPr>
          <w:rFonts w:ascii="Cambria" w:eastAsia="Calibri" w:hAnsi="Cambria"/>
          <w:sz w:val="21"/>
          <w:szCs w:val="21"/>
          <w:lang w:val="es-PE"/>
        </w:rPr>
        <w:t xml:space="preserve">de riesgo para octubre de 2017 a la beneficiaria Cruz y la </w:t>
      </w:r>
      <w:r w:rsidR="001D4FA8" w:rsidRPr="00704E2B">
        <w:rPr>
          <w:rFonts w:ascii="Cambria" w:eastAsia="Calibri" w:hAnsi="Cambria"/>
          <w:sz w:val="21"/>
          <w:szCs w:val="21"/>
          <w:lang w:val="es-PE"/>
        </w:rPr>
        <w:t>APIITDTT.</w:t>
      </w:r>
    </w:p>
    <w:p w:rsidR="007E4265" w:rsidRPr="00704E2B" w:rsidRDefault="007E4265" w:rsidP="00E4276C">
      <w:pPr>
        <w:pStyle w:val="ListParagraph"/>
        <w:spacing w:after="0" w:line="240" w:lineRule="auto"/>
        <w:ind w:left="0" w:firstLine="360"/>
        <w:rPr>
          <w:rFonts w:ascii="Cambria" w:eastAsia="Calibri" w:hAnsi="Cambria"/>
          <w:b/>
          <w:sz w:val="21"/>
          <w:szCs w:val="21"/>
          <w:lang w:val="es-PE"/>
        </w:rPr>
      </w:pPr>
    </w:p>
    <w:p w:rsidR="009D2768" w:rsidRPr="00704E2B" w:rsidRDefault="009D2768" w:rsidP="00DD7BA1">
      <w:pPr>
        <w:pStyle w:val="ListParagraph"/>
        <w:numPr>
          <w:ilvl w:val="0"/>
          <w:numId w:val="17"/>
        </w:numPr>
        <w:spacing w:after="0" w:line="240" w:lineRule="auto"/>
        <w:jc w:val="both"/>
        <w:rPr>
          <w:rFonts w:ascii="Cambria" w:hAnsi="Cambria"/>
          <w:b/>
          <w:sz w:val="21"/>
          <w:szCs w:val="21"/>
        </w:rPr>
      </w:pPr>
      <w:r w:rsidRPr="00704E2B">
        <w:rPr>
          <w:rFonts w:ascii="Cambria" w:hAnsi="Cambria"/>
          <w:b/>
          <w:sz w:val="21"/>
          <w:szCs w:val="21"/>
        </w:rPr>
        <w:t>ANALISIS SOBRE LOS ELEMENTOS DE GRAVEDAD, URGENCIA E IRREPARABILIDAD</w:t>
      </w:r>
    </w:p>
    <w:p w:rsidR="008E698E" w:rsidRPr="00704E2B" w:rsidRDefault="008E698E" w:rsidP="00DD7BA1">
      <w:pPr>
        <w:spacing w:after="0" w:line="240" w:lineRule="auto"/>
        <w:jc w:val="both"/>
        <w:rPr>
          <w:rFonts w:ascii="Cambria" w:hAnsi="Cambria"/>
          <w:sz w:val="21"/>
          <w:szCs w:val="21"/>
        </w:rPr>
      </w:pPr>
    </w:p>
    <w:p w:rsidR="009D2768" w:rsidRPr="00704E2B" w:rsidRDefault="009D2768" w:rsidP="00E4276C">
      <w:pPr>
        <w:pStyle w:val="ListParagraph"/>
        <w:numPr>
          <w:ilvl w:val="0"/>
          <w:numId w:val="20"/>
        </w:numPr>
        <w:tabs>
          <w:tab w:val="left" w:pos="851"/>
        </w:tabs>
        <w:spacing w:after="160" w:line="240" w:lineRule="auto"/>
        <w:ind w:left="0" w:firstLine="360"/>
        <w:contextualSpacing/>
        <w:jc w:val="both"/>
        <w:rPr>
          <w:rFonts w:ascii="Cambria" w:hAnsi="Cambria"/>
          <w:sz w:val="21"/>
          <w:szCs w:val="21"/>
        </w:rPr>
      </w:pPr>
      <w:r w:rsidRPr="00704E2B">
        <w:rPr>
          <w:rFonts w:ascii="Cambria" w:hAnsi="Cambria"/>
          <w:sz w:val="21"/>
          <w:szCs w:val="21"/>
        </w:rPr>
        <w:t xml:space="preserve">El mecanismo de medidas cautelares es parte de la función de la Comisión de supervisar el cumplimiento con las obligaciones de derechos humanos establecidas en el artículo 106 de la Carta de la Organización </w:t>
      </w:r>
      <w:r w:rsidR="00AB297E" w:rsidRPr="00704E2B">
        <w:rPr>
          <w:rFonts w:ascii="Cambria" w:hAnsi="Cambria"/>
          <w:sz w:val="21"/>
          <w:szCs w:val="21"/>
        </w:rPr>
        <w:t>de Estados Americanos. Estas</w:t>
      </w:r>
      <w:r w:rsidR="00F91608" w:rsidRPr="00704E2B">
        <w:rPr>
          <w:rFonts w:ascii="Cambria" w:hAnsi="Cambria"/>
          <w:sz w:val="21"/>
          <w:szCs w:val="21"/>
        </w:rPr>
        <w:t xml:space="preserve"> </w:t>
      </w:r>
      <w:r w:rsidRPr="00704E2B">
        <w:rPr>
          <w:rFonts w:ascii="Cambria" w:hAnsi="Cambria"/>
          <w:sz w:val="21"/>
          <w:szCs w:val="21"/>
        </w:rPr>
        <w:t>funciones generales de supervisión están establecidas en el artículo 41 (b) de la Convención Americana sobre Derechos Humanos, recogido también en el artículo 18 (b) del Estatuto de la CIDH</w:t>
      </w:r>
      <w:r w:rsidR="005557E9" w:rsidRPr="00704E2B">
        <w:rPr>
          <w:rFonts w:ascii="Cambria" w:hAnsi="Cambria"/>
          <w:sz w:val="21"/>
          <w:szCs w:val="21"/>
        </w:rPr>
        <w:t>.</w:t>
      </w:r>
      <w:r w:rsidRPr="00704E2B">
        <w:rPr>
          <w:rFonts w:ascii="Cambria" w:hAnsi="Cambria"/>
          <w:sz w:val="21"/>
          <w:szCs w:val="21"/>
        </w:rPr>
        <w:t xml:space="preserve"> </w:t>
      </w:r>
      <w:r w:rsidR="005557E9" w:rsidRPr="00704E2B">
        <w:rPr>
          <w:rFonts w:ascii="Cambria" w:hAnsi="Cambria"/>
          <w:sz w:val="21"/>
          <w:szCs w:val="21"/>
        </w:rPr>
        <w:t xml:space="preserve">El </w:t>
      </w:r>
      <w:r w:rsidRPr="00704E2B">
        <w:rPr>
          <w:rFonts w:ascii="Cambria" w:hAnsi="Cambria"/>
          <w:sz w:val="21"/>
          <w:szCs w:val="21"/>
        </w:rPr>
        <w:t xml:space="preserve">mecanismo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2716BD" w:rsidRPr="00704E2B" w:rsidRDefault="002716BD" w:rsidP="00E4276C">
      <w:pPr>
        <w:pStyle w:val="ListParagraph"/>
        <w:spacing w:after="0" w:line="240" w:lineRule="auto"/>
        <w:ind w:left="0" w:firstLine="360"/>
        <w:jc w:val="both"/>
        <w:rPr>
          <w:rFonts w:ascii="Cambria" w:hAnsi="Cambria"/>
          <w:sz w:val="21"/>
          <w:szCs w:val="21"/>
        </w:rPr>
      </w:pPr>
    </w:p>
    <w:p w:rsidR="009D2768" w:rsidRPr="00704E2B" w:rsidRDefault="009D2768" w:rsidP="00E4276C">
      <w:pPr>
        <w:pStyle w:val="ListParagraph"/>
        <w:numPr>
          <w:ilvl w:val="0"/>
          <w:numId w:val="20"/>
        </w:numPr>
        <w:spacing w:after="0" w:line="240" w:lineRule="auto"/>
        <w:ind w:left="0" w:firstLine="360"/>
        <w:jc w:val="both"/>
        <w:rPr>
          <w:rFonts w:ascii="Cambria" w:hAnsi="Cambria"/>
          <w:sz w:val="21"/>
          <w:szCs w:val="21"/>
        </w:rPr>
      </w:pPr>
      <w:r w:rsidRPr="00704E2B">
        <w:rPr>
          <w:rFonts w:ascii="Cambria" w:hAnsi="Cambria"/>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704E2B">
        <w:rPr>
          <w:rFonts w:ascii="Cambria" w:hAnsi="Cambria"/>
          <w:i/>
          <w:sz w:val="21"/>
          <w:szCs w:val="21"/>
        </w:rPr>
        <w:t>effet</w:t>
      </w:r>
      <w:proofErr w:type="spellEnd"/>
      <w:r w:rsidRPr="00704E2B">
        <w:rPr>
          <w:rFonts w:ascii="Cambria" w:hAnsi="Cambria"/>
          <w:i/>
          <w:sz w:val="21"/>
          <w:szCs w:val="21"/>
        </w:rPr>
        <w:t xml:space="preserve"> </w:t>
      </w:r>
      <w:proofErr w:type="spellStart"/>
      <w:r w:rsidRPr="00704E2B">
        <w:rPr>
          <w:rFonts w:ascii="Cambria" w:hAnsi="Cambria"/>
          <w:i/>
          <w:sz w:val="21"/>
          <w:szCs w:val="21"/>
        </w:rPr>
        <w:t>utile</w:t>
      </w:r>
      <w:proofErr w:type="spellEnd"/>
      <w:r w:rsidRPr="00704E2B">
        <w:rPr>
          <w:rFonts w:ascii="Cambria" w:hAnsi="Cambria"/>
          <w:sz w:val="21"/>
          <w:szCs w:val="21"/>
        </w:rPr>
        <w:t xml:space="preserve">) de la decisión final. En tal sentido, las medidas cautelares o provisionales permiten así que el Estado en cuestión pueda cumplir la decisión final y, de ser necesario, cumplir con las reparaciones ordenadas. </w:t>
      </w:r>
      <w:r w:rsidRPr="00704E2B">
        <w:rPr>
          <w:rFonts w:ascii="Cambria" w:hAnsi="Cambria"/>
          <w:sz w:val="21"/>
          <w:szCs w:val="21"/>
        </w:rPr>
        <w:lastRenderedPageBreak/>
        <w:t xml:space="preserve">Para los efectos de tomar una decisión, y de acuerdo con el artículo 25.2 de su Reglamento, la Comisión considera que: </w:t>
      </w:r>
    </w:p>
    <w:p w:rsidR="009D2768" w:rsidRPr="00704E2B" w:rsidRDefault="009D2768" w:rsidP="00E4276C">
      <w:pPr>
        <w:spacing w:after="0" w:line="240" w:lineRule="auto"/>
        <w:ind w:firstLine="360"/>
        <w:jc w:val="both"/>
        <w:rPr>
          <w:rFonts w:ascii="Cambria" w:hAnsi="Cambria"/>
          <w:sz w:val="21"/>
          <w:szCs w:val="21"/>
        </w:rPr>
      </w:pPr>
    </w:p>
    <w:p w:rsidR="009D2768" w:rsidRPr="00704E2B" w:rsidRDefault="009D2768" w:rsidP="00E4276C">
      <w:pPr>
        <w:numPr>
          <w:ilvl w:val="0"/>
          <w:numId w:val="3"/>
        </w:numPr>
        <w:spacing w:after="0" w:line="240" w:lineRule="auto"/>
        <w:ind w:left="360" w:firstLine="0"/>
        <w:jc w:val="both"/>
        <w:rPr>
          <w:rFonts w:ascii="Cambria" w:hAnsi="Cambria"/>
          <w:sz w:val="21"/>
          <w:szCs w:val="21"/>
        </w:rPr>
      </w:pPr>
      <w:r w:rsidRPr="00704E2B">
        <w:rPr>
          <w:rFonts w:ascii="Cambria" w:hAnsi="Cambria"/>
          <w:sz w:val="21"/>
          <w:szCs w:val="21"/>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9D2768" w:rsidRPr="00704E2B" w:rsidRDefault="009D2768" w:rsidP="00E4276C">
      <w:pPr>
        <w:numPr>
          <w:ilvl w:val="0"/>
          <w:numId w:val="3"/>
        </w:numPr>
        <w:spacing w:after="0" w:line="240" w:lineRule="auto"/>
        <w:ind w:left="360" w:firstLine="0"/>
        <w:jc w:val="both"/>
        <w:rPr>
          <w:rFonts w:ascii="Cambria" w:hAnsi="Cambria"/>
          <w:sz w:val="21"/>
          <w:szCs w:val="21"/>
        </w:rPr>
      </w:pPr>
      <w:r w:rsidRPr="00704E2B">
        <w:rPr>
          <w:rFonts w:ascii="Cambria" w:hAnsi="Cambria"/>
          <w:sz w:val="21"/>
          <w:szCs w:val="21"/>
        </w:rPr>
        <w:t xml:space="preserve">La “urgencia de la situación” se determina por medio de la información aportada, indicando el riesgo o la amenaza que puedan ser inminentes y materializarse, requiriendo de esa manera una acción preventiva o tutelar; y </w:t>
      </w:r>
    </w:p>
    <w:p w:rsidR="009D2768" w:rsidRPr="00704E2B" w:rsidRDefault="009D2768" w:rsidP="00E4276C">
      <w:pPr>
        <w:numPr>
          <w:ilvl w:val="0"/>
          <w:numId w:val="3"/>
        </w:numPr>
        <w:spacing w:after="0" w:line="240" w:lineRule="auto"/>
        <w:ind w:left="360" w:firstLine="0"/>
        <w:jc w:val="both"/>
        <w:rPr>
          <w:rFonts w:ascii="Cambria" w:hAnsi="Cambria"/>
          <w:sz w:val="21"/>
          <w:szCs w:val="21"/>
        </w:rPr>
      </w:pPr>
      <w:r w:rsidRPr="00704E2B">
        <w:rPr>
          <w:rFonts w:ascii="Cambria" w:hAnsi="Cambria"/>
          <w:sz w:val="21"/>
          <w:szCs w:val="21"/>
        </w:rPr>
        <w:t>El “daño irreparable” consiste en la afectación sobre derechos que, por su propia naturaleza, no son susceptibles de reparación, restauración o adecuada indemnización.</w:t>
      </w:r>
    </w:p>
    <w:p w:rsidR="009D2768" w:rsidRPr="00704E2B" w:rsidRDefault="009D2768" w:rsidP="00E4276C">
      <w:pPr>
        <w:spacing w:after="0" w:line="240" w:lineRule="auto"/>
        <w:ind w:firstLine="360"/>
        <w:jc w:val="both"/>
        <w:rPr>
          <w:rFonts w:ascii="Cambria" w:hAnsi="Cambria"/>
          <w:sz w:val="21"/>
          <w:szCs w:val="21"/>
        </w:rPr>
      </w:pPr>
    </w:p>
    <w:p w:rsidR="005557E9" w:rsidRPr="00704E2B" w:rsidRDefault="005557E9"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704E2B">
        <w:rPr>
          <w:rFonts w:ascii="Cambria" w:hAnsi="Cambria"/>
          <w:i/>
          <w:sz w:val="21"/>
          <w:szCs w:val="21"/>
          <w:lang w:val="es-MX"/>
        </w:rPr>
        <w:t>prima facie</w:t>
      </w:r>
      <w:r w:rsidRPr="00704E2B">
        <w:rPr>
          <w:rFonts w:ascii="Cambria" w:hAnsi="Cambria"/>
          <w:sz w:val="21"/>
          <w:szCs w:val="21"/>
          <w:lang w:val="es-MX"/>
        </w:rPr>
        <w:t xml:space="preserve"> que permita identificar una situación de gravedad y urgencia</w:t>
      </w:r>
      <w:r w:rsidRPr="00704E2B">
        <w:rPr>
          <w:vertAlign w:val="superscript"/>
        </w:rPr>
        <w:footnoteReference w:id="9"/>
      </w:r>
      <w:r w:rsidRPr="00704E2B">
        <w:rPr>
          <w:rFonts w:ascii="Cambria" w:hAnsi="Cambria"/>
          <w:sz w:val="21"/>
          <w:szCs w:val="21"/>
          <w:lang w:val="es-MX"/>
        </w:rPr>
        <w:t>.</w:t>
      </w:r>
    </w:p>
    <w:p w:rsidR="005557E9" w:rsidRPr="00704E2B" w:rsidRDefault="005557E9" w:rsidP="00E4276C">
      <w:pPr>
        <w:pStyle w:val="ListParagraph"/>
        <w:spacing w:after="0" w:line="240" w:lineRule="auto"/>
        <w:ind w:left="0" w:firstLine="360"/>
        <w:jc w:val="both"/>
        <w:rPr>
          <w:rFonts w:ascii="Cambria" w:hAnsi="Cambria"/>
          <w:sz w:val="21"/>
          <w:szCs w:val="21"/>
          <w:lang w:val="es-MX"/>
        </w:rPr>
      </w:pPr>
    </w:p>
    <w:p w:rsidR="00DD7BA1" w:rsidRPr="00704E2B" w:rsidRDefault="002D1836" w:rsidP="00E4276C">
      <w:pPr>
        <w:pStyle w:val="ListParagraph"/>
        <w:numPr>
          <w:ilvl w:val="0"/>
          <w:numId w:val="20"/>
        </w:numPr>
        <w:spacing w:after="0" w:line="240" w:lineRule="auto"/>
        <w:ind w:left="0" w:firstLine="360"/>
        <w:jc w:val="both"/>
        <w:rPr>
          <w:rFonts w:ascii="Cambria" w:eastAsia="Calibri" w:hAnsi="Cambria"/>
          <w:sz w:val="21"/>
          <w:szCs w:val="21"/>
          <w:lang w:val="es-MX"/>
        </w:rPr>
      </w:pPr>
      <w:r w:rsidRPr="00704E2B">
        <w:rPr>
          <w:rFonts w:ascii="Cambria" w:eastAsia="Calibri" w:hAnsi="Cambria"/>
          <w:sz w:val="21"/>
          <w:szCs w:val="21"/>
          <w:lang w:val="es-MX"/>
        </w:rPr>
        <w:t xml:space="preserve">Como un aspecto preliminar, la </w:t>
      </w:r>
      <w:r w:rsidR="00CB678A" w:rsidRPr="00704E2B">
        <w:rPr>
          <w:rFonts w:ascii="Cambria" w:eastAsia="Calibri" w:hAnsi="Cambria"/>
          <w:sz w:val="21"/>
          <w:szCs w:val="21"/>
          <w:lang w:val="es-MX"/>
        </w:rPr>
        <w:t xml:space="preserve">Comisión considera pertinente aclarar que en esta oportunidad no le corresponde pronunciarse sobre </w:t>
      </w:r>
      <w:r w:rsidR="00BE2A61" w:rsidRPr="00704E2B">
        <w:rPr>
          <w:rFonts w:ascii="Cambria" w:eastAsia="Calibri" w:hAnsi="Cambria"/>
          <w:sz w:val="21"/>
          <w:szCs w:val="21"/>
          <w:lang w:val="es-MX"/>
        </w:rPr>
        <w:t xml:space="preserve">el fondo de </w:t>
      </w:r>
      <w:r w:rsidR="00CB678A" w:rsidRPr="00704E2B">
        <w:rPr>
          <w:rFonts w:ascii="Cambria" w:eastAsia="Calibri" w:hAnsi="Cambria"/>
          <w:sz w:val="21"/>
          <w:szCs w:val="21"/>
          <w:lang w:val="es-MX"/>
        </w:rPr>
        <w:t xml:space="preserve">la </w:t>
      </w:r>
      <w:r w:rsidR="00374E58" w:rsidRPr="00704E2B">
        <w:rPr>
          <w:rFonts w:ascii="Cambria" w:eastAsia="Calibri" w:hAnsi="Cambria"/>
          <w:sz w:val="21"/>
          <w:szCs w:val="21"/>
          <w:lang w:val="es-MX"/>
        </w:rPr>
        <w:t>violación a los derechos de los propuestos beneficiarios, incluyendo el referido a la compatibilidad de la consulta realizada en relación con el proyecto eólico</w:t>
      </w:r>
      <w:r w:rsidR="00CB678A" w:rsidRPr="00704E2B">
        <w:rPr>
          <w:rFonts w:ascii="Cambria" w:eastAsia="Calibri" w:hAnsi="Cambria"/>
          <w:sz w:val="21"/>
          <w:szCs w:val="21"/>
          <w:lang w:val="es-MX"/>
        </w:rPr>
        <w:t xml:space="preserve">. El </w:t>
      </w:r>
      <w:r w:rsidR="00CB678A" w:rsidRPr="00704E2B">
        <w:rPr>
          <w:rFonts w:ascii="Cambria" w:eastAsia="Calibri" w:hAnsi="Cambria"/>
          <w:sz w:val="21"/>
          <w:szCs w:val="21"/>
          <w:lang w:val="es-ES_tradnl"/>
        </w:rPr>
        <w:t xml:space="preserve">análisis que la Comisión efectúa a continuación se relaciona exclusivamente con los requisitos de gravedad, urgencia y riesgo de daño irreparable establecidos en el artículo 25 de su Reglamento, los cuales pueden resolverse sin entrar en determinaciones de fondo. </w:t>
      </w:r>
    </w:p>
    <w:p w:rsidR="00DD7BA1" w:rsidRPr="00704E2B" w:rsidRDefault="00DD7BA1" w:rsidP="00E4276C">
      <w:pPr>
        <w:pStyle w:val="ListParagraph"/>
        <w:spacing w:after="0" w:line="240" w:lineRule="auto"/>
        <w:ind w:left="0" w:firstLine="360"/>
        <w:jc w:val="both"/>
        <w:rPr>
          <w:rFonts w:ascii="Cambria" w:eastAsia="Calibri" w:hAnsi="Cambria"/>
          <w:sz w:val="21"/>
          <w:szCs w:val="21"/>
          <w:lang w:val="es-MX"/>
        </w:rPr>
      </w:pPr>
    </w:p>
    <w:p w:rsidR="0011594C" w:rsidRPr="00704E2B" w:rsidRDefault="008B38A1" w:rsidP="00E4276C">
      <w:pPr>
        <w:pStyle w:val="ListParagraph"/>
        <w:numPr>
          <w:ilvl w:val="0"/>
          <w:numId w:val="20"/>
        </w:numPr>
        <w:spacing w:after="0" w:line="240" w:lineRule="auto"/>
        <w:ind w:left="0" w:firstLine="360"/>
        <w:jc w:val="both"/>
        <w:rPr>
          <w:rFonts w:asciiTheme="majorHAnsi" w:hAnsiTheme="majorHAnsi"/>
          <w:sz w:val="21"/>
          <w:szCs w:val="21"/>
          <w:lang w:val="es-MX"/>
        </w:rPr>
      </w:pPr>
      <w:r w:rsidRPr="00704E2B">
        <w:rPr>
          <w:rFonts w:ascii="Cambria" w:hAnsi="Cambria"/>
          <w:sz w:val="21"/>
          <w:szCs w:val="21"/>
          <w:lang w:val="es-MX"/>
        </w:rPr>
        <w:t xml:space="preserve">Al analizar el requisito de gravedad, la Comisión </w:t>
      </w:r>
      <w:r w:rsidR="0011594C" w:rsidRPr="00704E2B">
        <w:rPr>
          <w:rFonts w:ascii="Cambria" w:hAnsi="Cambria"/>
          <w:sz w:val="21"/>
          <w:szCs w:val="21"/>
          <w:lang w:val="es-MX"/>
        </w:rPr>
        <w:t>considera pertinente tener en cuenta a nivel contextual la situación de riesgo para personas defensoras en México, así como las características específicas de la propuesta beneficiaria, quien sería indígena y defensora de los derechos de los pueblos indígenas en el marco de un proyecto de desarrollo  que presuntamente afectaría sus territorios</w:t>
      </w:r>
      <w:r w:rsidR="00256DF0" w:rsidRPr="00704E2B">
        <w:rPr>
          <w:rStyle w:val="FootnoteReference"/>
          <w:rFonts w:ascii="Cambria" w:hAnsi="Cambria"/>
          <w:sz w:val="21"/>
          <w:szCs w:val="21"/>
          <w:lang w:val="es-MX"/>
        </w:rPr>
        <w:footnoteReference w:id="10"/>
      </w:r>
      <w:r w:rsidR="0011594C" w:rsidRPr="00704E2B">
        <w:rPr>
          <w:rFonts w:ascii="Cambria" w:hAnsi="Cambria"/>
          <w:sz w:val="21"/>
          <w:szCs w:val="21"/>
          <w:lang w:val="es-MX"/>
        </w:rPr>
        <w:t>.</w:t>
      </w:r>
    </w:p>
    <w:p w:rsidR="009641EE" w:rsidRPr="00704E2B" w:rsidRDefault="009641EE" w:rsidP="00E4276C">
      <w:pPr>
        <w:pStyle w:val="ListParagraph"/>
        <w:spacing w:after="0" w:line="240" w:lineRule="auto"/>
        <w:ind w:left="0" w:firstLine="360"/>
        <w:jc w:val="both"/>
        <w:rPr>
          <w:rFonts w:asciiTheme="majorHAnsi" w:hAnsiTheme="majorHAnsi"/>
          <w:sz w:val="21"/>
          <w:szCs w:val="21"/>
          <w:lang w:val="es-MX"/>
        </w:rPr>
      </w:pPr>
    </w:p>
    <w:p w:rsidR="0047194A" w:rsidRPr="00704E2B" w:rsidRDefault="0011594C" w:rsidP="00E4276C">
      <w:pPr>
        <w:pStyle w:val="ListParagraph"/>
        <w:numPr>
          <w:ilvl w:val="0"/>
          <w:numId w:val="20"/>
        </w:numPr>
        <w:spacing w:after="0" w:line="240" w:lineRule="auto"/>
        <w:ind w:left="0" w:firstLine="360"/>
        <w:jc w:val="both"/>
        <w:rPr>
          <w:rFonts w:asciiTheme="majorHAnsi" w:hAnsiTheme="majorHAnsi"/>
          <w:sz w:val="21"/>
          <w:szCs w:val="21"/>
          <w:lang w:val="es-MX"/>
        </w:rPr>
      </w:pPr>
      <w:r w:rsidRPr="00704E2B">
        <w:rPr>
          <w:rFonts w:ascii="Cambria" w:hAnsi="Cambria"/>
          <w:sz w:val="21"/>
          <w:szCs w:val="21"/>
          <w:lang w:val="es-MX"/>
        </w:rPr>
        <w:t xml:space="preserve">Así, </w:t>
      </w:r>
      <w:r w:rsidR="00F70904" w:rsidRPr="00704E2B">
        <w:rPr>
          <w:rFonts w:ascii="Cambria" w:hAnsi="Cambria"/>
          <w:sz w:val="21"/>
          <w:szCs w:val="21"/>
          <w:lang w:val="es-MX"/>
        </w:rPr>
        <w:t xml:space="preserve">en primer lugar, </w:t>
      </w:r>
      <w:r w:rsidRPr="00704E2B">
        <w:rPr>
          <w:rFonts w:ascii="Cambria" w:hAnsi="Cambria"/>
          <w:sz w:val="21"/>
          <w:szCs w:val="21"/>
          <w:lang w:val="es-MX"/>
        </w:rPr>
        <w:t xml:space="preserve">la Comisión advierte </w:t>
      </w:r>
      <w:r w:rsidR="001619DE" w:rsidRPr="00704E2B">
        <w:rPr>
          <w:rFonts w:ascii="Cambria" w:hAnsi="Cambria"/>
          <w:sz w:val="21"/>
          <w:szCs w:val="21"/>
          <w:lang w:val="es-MX"/>
        </w:rPr>
        <w:t xml:space="preserve">que </w:t>
      </w:r>
      <w:r w:rsidR="003F6D22" w:rsidRPr="00704E2B">
        <w:rPr>
          <w:rFonts w:ascii="Cambria" w:hAnsi="Cambria"/>
          <w:sz w:val="21"/>
          <w:szCs w:val="21"/>
          <w:lang w:val="es-MX"/>
        </w:rPr>
        <w:t>entre 2012 y 2015 en México se habr</w:t>
      </w:r>
      <w:r w:rsidR="003F6D22" w:rsidRPr="00704E2B">
        <w:rPr>
          <w:rFonts w:asciiTheme="majorHAnsi" w:hAnsiTheme="majorHAnsi"/>
          <w:sz w:val="21"/>
          <w:szCs w:val="21"/>
          <w:lang w:val="es-MX"/>
        </w:rPr>
        <w:t>ían reportado por lo menos 918 casos de violaciones de derechos humanos contra personas defensoras</w:t>
      </w:r>
      <w:r w:rsidR="003F6D22" w:rsidRPr="00704E2B">
        <w:rPr>
          <w:rStyle w:val="FootnoteReference"/>
          <w:rFonts w:asciiTheme="majorHAnsi" w:hAnsiTheme="majorHAnsi"/>
          <w:sz w:val="21"/>
          <w:szCs w:val="21"/>
          <w:lang w:val="es-MX"/>
        </w:rPr>
        <w:footnoteReference w:id="11"/>
      </w:r>
      <w:r w:rsidR="003F6D22" w:rsidRPr="00704E2B">
        <w:rPr>
          <w:rFonts w:asciiTheme="majorHAnsi" w:hAnsiTheme="majorHAnsi"/>
          <w:sz w:val="21"/>
          <w:szCs w:val="21"/>
          <w:lang w:val="es-MX"/>
        </w:rPr>
        <w:t xml:space="preserve">. </w:t>
      </w:r>
      <w:r w:rsidR="001619DE" w:rsidRPr="00704E2B">
        <w:rPr>
          <w:rFonts w:asciiTheme="majorHAnsi" w:hAnsiTheme="majorHAnsi"/>
          <w:sz w:val="21"/>
          <w:szCs w:val="21"/>
          <w:lang w:val="es-MX"/>
        </w:rPr>
        <w:t>E</w:t>
      </w:r>
      <w:r w:rsidR="004B09A9" w:rsidRPr="00704E2B">
        <w:rPr>
          <w:rFonts w:asciiTheme="majorHAnsi" w:hAnsiTheme="majorHAnsi"/>
          <w:sz w:val="21"/>
          <w:szCs w:val="21"/>
          <w:lang w:val="es-MX"/>
        </w:rPr>
        <w:t>n Oaxaca</w:t>
      </w:r>
      <w:r w:rsidR="001619DE" w:rsidRPr="00704E2B">
        <w:rPr>
          <w:rFonts w:asciiTheme="majorHAnsi" w:hAnsiTheme="majorHAnsi"/>
          <w:sz w:val="21"/>
          <w:szCs w:val="21"/>
          <w:lang w:val="es-MX"/>
        </w:rPr>
        <w:t>, en particular,</w:t>
      </w:r>
      <w:r w:rsidR="004B09A9" w:rsidRPr="00704E2B">
        <w:rPr>
          <w:rFonts w:asciiTheme="majorHAnsi" w:hAnsiTheme="majorHAnsi"/>
          <w:sz w:val="21"/>
          <w:szCs w:val="21"/>
          <w:lang w:val="es-MX"/>
        </w:rPr>
        <w:t xml:space="preserve"> se </w:t>
      </w:r>
      <w:r w:rsidR="003F6D22" w:rsidRPr="00704E2B">
        <w:rPr>
          <w:rFonts w:asciiTheme="majorHAnsi" w:hAnsiTheme="majorHAnsi"/>
          <w:sz w:val="21"/>
          <w:szCs w:val="21"/>
          <w:lang w:val="es-MX"/>
        </w:rPr>
        <w:t xml:space="preserve">habrían registrado </w:t>
      </w:r>
      <w:r w:rsidR="004B09A9" w:rsidRPr="00704E2B">
        <w:rPr>
          <w:rFonts w:asciiTheme="majorHAnsi" w:hAnsiTheme="majorHAnsi"/>
          <w:sz w:val="21"/>
          <w:szCs w:val="21"/>
          <w:lang w:val="es-MX"/>
        </w:rPr>
        <w:t>un alto</w:t>
      </w:r>
      <w:r w:rsidR="008B38A1" w:rsidRPr="00704E2B">
        <w:rPr>
          <w:rFonts w:asciiTheme="majorHAnsi" w:hAnsiTheme="majorHAnsi"/>
          <w:sz w:val="21"/>
          <w:szCs w:val="21"/>
          <w:lang w:val="es-MX"/>
        </w:rPr>
        <w:t xml:space="preserve"> número de reportes por agresiones contra defensoras y defensores</w:t>
      </w:r>
      <w:r w:rsidR="004B09A9" w:rsidRPr="00704E2B">
        <w:rPr>
          <w:rFonts w:asciiTheme="majorHAnsi" w:hAnsiTheme="majorHAnsi"/>
          <w:sz w:val="21"/>
          <w:szCs w:val="21"/>
          <w:lang w:val="es-MX"/>
        </w:rPr>
        <w:t xml:space="preserve"> </w:t>
      </w:r>
      <w:r w:rsidR="003F6D22" w:rsidRPr="00704E2B">
        <w:rPr>
          <w:rFonts w:asciiTheme="majorHAnsi" w:hAnsiTheme="majorHAnsi"/>
          <w:sz w:val="21"/>
          <w:szCs w:val="21"/>
          <w:lang w:val="es-MX"/>
        </w:rPr>
        <w:t xml:space="preserve">entre </w:t>
      </w:r>
      <w:r w:rsidR="004B09A9" w:rsidRPr="00704E2B">
        <w:rPr>
          <w:rFonts w:asciiTheme="majorHAnsi" w:hAnsiTheme="majorHAnsi"/>
          <w:sz w:val="21"/>
          <w:szCs w:val="21"/>
          <w:lang w:val="es-MX"/>
        </w:rPr>
        <w:t>2012</w:t>
      </w:r>
      <w:r w:rsidR="003F6D22" w:rsidRPr="00704E2B">
        <w:rPr>
          <w:rFonts w:asciiTheme="majorHAnsi" w:hAnsiTheme="majorHAnsi"/>
          <w:sz w:val="21"/>
          <w:szCs w:val="21"/>
          <w:lang w:val="es-MX"/>
        </w:rPr>
        <w:t xml:space="preserve"> y </w:t>
      </w:r>
      <w:r w:rsidR="004B09A9" w:rsidRPr="00704E2B">
        <w:rPr>
          <w:rFonts w:asciiTheme="majorHAnsi" w:hAnsiTheme="majorHAnsi"/>
          <w:sz w:val="21"/>
          <w:szCs w:val="21"/>
          <w:lang w:val="es-MX"/>
        </w:rPr>
        <w:t>2013</w:t>
      </w:r>
      <w:r w:rsidR="003F6D22" w:rsidRPr="00704E2B">
        <w:rPr>
          <w:rStyle w:val="FootnoteReference"/>
          <w:rFonts w:asciiTheme="majorHAnsi" w:hAnsiTheme="majorHAnsi"/>
          <w:sz w:val="21"/>
          <w:szCs w:val="21"/>
          <w:lang w:val="es-MX"/>
        </w:rPr>
        <w:footnoteReference w:id="12"/>
      </w:r>
      <w:r w:rsidR="001647F2" w:rsidRPr="00704E2B">
        <w:rPr>
          <w:rFonts w:asciiTheme="majorHAnsi" w:hAnsiTheme="majorHAnsi"/>
          <w:sz w:val="21"/>
          <w:szCs w:val="21"/>
          <w:lang w:val="es-MX"/>
        </w:rPr>
        <w:t xml:space="preserve">. </w:t>
      </w:r>
      <w:r w:rsidR="00BC5053" w:rsidRPr="00704E2B">
        <w:rPr>
          <w:rFonts w:asciiTheme="majorHAnsi" w:hAnsiTheme="majorHAnsi"/>
          <w:sz w:val="21"/>
          <w:szCs w:val="21"/>
          <w:lang w:val="es-MX"/>
        </w:rPr>
        <w:t>S</w:t>
      </w:r>
      <w:r w:rsidR="0047194A" w:rsidRPr="00704E2B">
        <w:rPr>
          <w:rFonts w:asciiTheme="majorHAnsi" w:hAnsiTheme="majorHAnsi"/>
          <w:sz w:val="21"/>
          <w:szCs w:val="21"/>
          <w:lang w:val="es-MX"/>
        </w:rPr>
        <w:t>egún la Defensoría de los Derechos Humanos del Pueblo de Oaxaca hasta se</w:t>
      </w:r>
      <w:r w:rsidR="00BC5053" w:rsidRPr="00704E2B">
        <w:rPr>
          <w:rFonts w:asciiTheme="majorHAnsi" w:hAnsiTheme="majorHAnsi"/>
          <w:sz w:val="21"/>
          <w:szCs w:val="21"/>
          <w:lang w:val="es-MX"/>
        </w:rPr>
        <w:t>p</w:t>
      </w:r>
      <w:r w:rsidR="0047194A" w:rsidRPr="00704E2B">
        <w:rPr>
          <w:rFonts w:asciiTheme="majorHAnsi" w:hAnsiTheme="majorHAnsi"/>
          <w:sz w:val="21"/>
          <w:szCs w:val="21"/>
          <w:lang w:val="es-MX"/>
        </w:rPr>
        <w:t xml:space="preserve">tiembre de 2016 </w:t>
      </w:r>
      <w:r w:rsidR="00DE2452" w:rsidRPr="00704E2B">
        <w:rPr>
          <w:rFonts w:asciiTheme="majorHAnsi" w:hAnsiTheme="majorHAnsi"/>
          <w:sz w:val="21"/>
          <w:szCs w:val="21"/>
          <w:lang w:val="es-MX"/>
        </w:rPr>
        <w:t xml:space="preserve">se </w:t>
      </w:r>
      <w:r w:rsidR="0047194A" w:rsidRPr="00704E2B">
        <w:rPr>
          <w:rFonts w:asciiTheme="majorHAnsi" w:hAnsiTheme="majorHAnsi"/>
          <w:sz w:val="21"/>
          <w:szCs w:val="21"/>
          <w:lang w:val="es-MX"/>
        </w:rPr>
        <w:t>reportaba al menos 124 agravios contra al menos 76 personas defensoras</w:t>
      </w:r>
      <w:r w:rsidR="0047194A" w:rsidRPr="00704E2B">
        <w:rPr>
          <w:rStyle w:val="FootnoteReference"/>
          <w:rFonts w:asciiTheme="majorHAnsi" w:hAnsiTheme="majorHAnsi"/>
          <w:sz w:val="21"/>
          <w:szCs w:val="21"/>
          <w:lang w:val="es-MX"/>
        </w:rPr>
        <w:footnoteReference w:id="13"/>
      </w:r>
      <w:r w:rsidR="0047194A" w:rsidRPr="00704E2B">
        <w:rPr>
          <w:rFonts w:asciiTheme="majorHAnsi" w:hAnsiTheme="majorHAnsi"/>
          <w:sz w:val="21"/>
          <w:szCs w:val="21"/>
          <w:lang w:val="es-MX"/>
        </w:rPr>
        <w:t xml:space="preserve">. </w:t>
      </w:r>
      <w:r w:rsidR="004B51FC" w:rsidRPr="00704E2B">
        <w:rPr>
          <w:rFonts w:asciiTheme="majorHAnsi" w:hAnsiTheme="majorHAnsi"/>
          <w:sz w:val="21"/>
          <w:szCs w:val="21"/>
          <w:lang w:val="es-MX"/>
        </w:rPr>
        <w:t>A</w:t>
      </w:r>
      <w:r w:rsidR="0047194A" w:rsidRPr="00704E2B">
        <w:rPr>
          <w:rFonts w:asciiTheme="majorHAnsi" w:hAnsiTheme="majorHAnsi"/>
          <w:sz w:val="21"/>
          <w:szCs w:val="21"/>
          <w:lang w:val="es-MX"/>
        </w:rPr>
        <w:t xml:space="preserve">l menos en 25 de estos incidentes </w:t>
      </w:r>
      <w:r w:rsidR="004B51FC" w:rsidRPr="00704E2B">
        <w:rPr>
          <w:rFonts w:asciiTheme="majorHAnsi" w:hAnsiTheme="majorHAnsi"/>
          <w:sz w:val="21"/>
          <w:szCs w:val="21"/>
          <w:lang w:val="es-MX"/>
        </w:rPr>
        <w:t xml:space="preserve">habría habido </w:t>
      </w:r>
      <w:r w:rsidR="0047194A" w:rsidRPr="00704E2B">
        <w:rPr>
          <w:rFonts w:asciiTheme="majorHAnsi" w:hAnsiTheme="majorHAnsi"/>
          <w:sz w:val="21"/>
          <w:szCs w:val="21"/>
          <w:lang w:val="es-MX"/>
        </w:rPr>
        <w:t>presencia evidente de armas de fuego</w:t>
      </w:r>
      <w:r w:rsidR="0047194A" w:rsidRPr="00704E2B">
        <w:rPr>
          <w:rStyle w:val="FootnoteReference"/>
          <w:rFonts w:asciiTheme="majorHAnsi" w:hAnsiTheme="majorHAnsi"/>
          <w:sz w:val="21"/>
          <w:szCs w:val="21"/>
          <w:lang w:val="es-MX"/>
        </w:rPr>
        <w:footnoteReference w:id="14"/>
      </w:r>
      <w:r w:rsidR="0047194A" w:rsidRPr="00704E2B">
        <w:rPr>
          <w:rFonts w:asciiTheme="majorHAnsi" w:hAnsiTheme="majorHAnsi"/>
          <w:sz w:val="21"/>
          <w:szCs w:val="21"/>
          <w:lang w:val="es-MX"/>
        </w:rPr>
        <w:t>.</w:t>
      </w:r>
    </w:p>
    <w:p w:rsidR="00F70904" w:rsidRPr="00704E2B" w:rsidRDefault="00F70904" w:rsidP="00E4276C">
      <w:pPr>
        <w:pStyle w:val="ListParagraph"/>
        <w:spacing w:after="0" w:line="240" w:lineRule="auto"/>
        <w:ind w:left="0" w:firstLine="360"/>
        <w:jc w:val="both"/>
        <w:rPr>
          <w:rFonts w:asciiTheme="majorHAnsi" w:hAnsiTheme="majorHAnsi"/>
          <w:sz w:val="21"/>
          <w:szCs w:val="21"/>
          <w:lang w:val="es-MX"/>
        </w:rPr>
      </w:pPr>
    </w:p>
    <w:p w:rsidR="00EC5448" w:rsidRPr="00704E2B" w:rsidRDefault="00F70904" w:rsidP="00E4276C">
      <w:pPr>
        <w:pStyle w:val="ListParagraph"/>
        <w:numPr>
          <w:ilvl w:val="0"/>
          <w:numId w:val="20"/>
        </w:numPr>
        <w:spacing w:after="0" w:line="240" w:lineRule="auto"/>
        <w:ind w:left="0" w:firstLine="360"/>
        <w:jc w:val="both"/>
        <w:rPr>
          <w:rFonts w:asciiTheme="majorHAnsi" w:hAnsiTheme="majorHAnsi"/>
          <w:sz w:val="21"/>
          <w:szCs w:val="21"/>
          <w:lang w:val="es-MX"/>
        </w:rPr>
      </w:pPr>
      <w:r w:rsidRPr="00704E2B">
        <w:rPr>
          <w:rFonts w:asciiTheme="majorHAnsi" w:hAnsiTheme="majorHAnsi"/>
          <w:lang w:val="es-MX"/>
        </w:rPr>
        <w:t xml:space="preserve">En segundo </w:t>
      </w:r>
      <w:r w:rsidR="00191B7D" w:rsidRPr="00704E2B">
        <w:rPr>
          <w:rFonts w:asciiTheme="majorHAnsi" w:hAnsiTheme="majorHAnsi"/>
          <w:lang w:val="es-MX"/>
        </w:rPr>
        <w:t>término,</w:t>
      </w:r>
      <w:r w:rsidRPr="00704E2B">
        <w:rPr>
          <w:rFonts w:asciiTheme="majorHAnsi" w:hAnsiTheme="majorHAnsi"/>
          <w:lang w:val="es-MX"/>
        </w:rPr>
        <w:t xml:space="preserve"> la Comisión observa que la señora </w:t>
      </w:r>
      <w:proofErr w:type="spellStart"/>
      <w:r w:rsidRPr="00704E2B">
        <w:rPr>
          <w:rFonts w:asciiTheme="majorHAnsi" w:hAnsiTheme="majorHAnsi"/>
          <w:lang w:val="es-MX"/>
        </w:rPr>
        <w:t>Bettina</w:t>
      </w:r>
      <w:proofErr w:type="spellEnd"/>
      <w:r w:rsidRPr="00704E2B">
        <w:rPr>
          <w:rFonts w:asciiTheme="majorHAnsi" w:hAnsiTheme="majorHAnsi"/>
          <w:lang w:val="es-MX"/>
        </w:rPr>
        <w:t xml:space="preserve"> Cruz sería una </w:t>
      </w:r>
      <w:r w:rsidR="00191B7D" w:rsidRPr="00704E2B">
        <w:rPr>
          <w:rFonts w:asciiTheme="majorHAnsi" w:hAnsiTheme="majorHAnsi"/>
          <w:lang w:val="es-MX"/>
        </w:rPr>
        <w:t>lideresa</w:t>
      </w:r>
      <w:r w:rsidRPr="00704E2B">
        <w:rPr>
          <w:rFonts w:asciiTheme="majorHAnsi" w:hAnsiTheme="majorHAnsi"/>
          <w:lang w:val="es-MX"/>
        </w:rPr>
        <w:t xml:space="preserve"> mujer indígena, defensora de derechos humanos, cuya situación de riesgo estaría relacionada con sus labores </w:t>
      </w:r>
      <w:r w:rsidR="004B51FC" w:rsidRPr="00704E2B">
        <w:rPr>
          <w:rFonts w:asciiTheme="majorHAnsi" w:hAnsiTheme="majorHAnsi"/>
          <w:lang w:val="es-MX"/>
        </w:rPr>
        <w:t xml:space="preserve">de defensa de </w:t>
      </w:r>
      <w:r w:rsidR="004A4724" w:rsidRPr="00704E2B">
        <w:rPr>
          <w:rFonts w:asciiTheme="majorHAnsi" w:hAnsiTheme="majorHAnsi"/>
          <w:lang w:val="es-MX"/>
        </w:rPr>
        <w:t xml:space="preserve">los pueblos </w:t>
      </w:r>
      <w:r w:rsidRPr="00704E2B">
        <w:rPr>
          <w:rFonts w:asciiTheme="majorHAnsi" w:hAnsiTheme="majorHAnsi"/>
          <w:lang w:val="es-MX"/>
        </w:rPr>
        <w:t xml:space="preserve">indígenas. </w:t>
      </w:r>
      <w:r w:rsidR="00371217" w:rsidRPr="00704E2B">
        <w:rPr>
          <w:rFonts w:asciiTheme="majorHAnsi" w:hAnsiTheme="majorHAnsi"/>
          <w:lang w:val="es-MX"/>
        </w:rPr>
        <w:t>L</w:t>
      </w:r>
      <w:r w:rsidRPr="00704E2B">
        <w:rPr>
          <w:rFonts w:asciiTheme="majorHAnsi" w:hAnsiTheme="majorHAnsi"/>
          <w:lang w:val="es-MX"/>
        </w:rPr>
        <w:t xml:space="preserve">a Comisión toma en cuenta que según lo ha identificado en sus labores de monitoreo </w:t>
      </w:r>
      <w:r w:rsidRPr="00704E2B">
        <w:rPr>
          <w:rFonts w:asciiTheme="majorHAnsi" w:hAnsiTheme="majorHAnsi"/>
          <w:sz w:val="21"/>
          <w:szCs w:val="21"/>
          <w:lang w:val="es-MX"/>
        </w:rPr>
        <w:t>las mujeres indígenas defensoras están expuestas a un mayor riesgo y a formas adicionales de discriminación</w:t>
      </w:r>
      <w:r w:rsidRPr="00704E2B">
        <w:rPr>
          <w:rStyle w:val="FootnoteReference"/>
          <w:rFonts w:asciiTheme="majorHAnsi" w:hAnsiTheme="majorHAnsi"/>
          <w:sz w:val="21"/>
          <w:szCs w:val="21"/>
          <w:lang w:val="es-MX"/>
        </w:rPr>
        <w:footnoteReference w:id="15"/>
      </w:r>
      <w:r w:rsidRPr="00704E2B">
        <w:rPr>
          <w:rFonts w:asciiTheme="majorHAnsi" w:hAnsiTheme="majorHAnsi"/>
          <w:sz w:val="21"/>
          <w:szCs w:val="21"/>
          <w:lang w:val="es-MX"/>
        </w:rPr>
        <w:t xml:space="preserve"> lo cual se traduce en un riesgo diferenciado en relación con otros grupos de personas defensoras.</w:t>
      </w:r>
    </w:p>
    <w:p w:rsidR="00EC5448" w:rsidRPr="00704E2B" w:rsidRDefault="00EC5448" w:rsidP="00E4276C">
      <w:pPr>
        <w:pStyle w:val="ListParagraph"/>
        <w:spacing w:after="0" w:line="240" w:lineRule="auto"/>
        <w:ind w:left="0" w:firstLine="360"/>
        <w:jc w:val="both"/>
        <w:rPr>
          <w:rFonts w:asciiTheme="majorHAnsi" w:hAnsiTheme="majorHAnsi"/>
          <w:sz w:val="21"/>
          <w:szCs w:val="21"/>
          <w:lang w:val="es-MX"/>
        </w:rPr>
      </w:pPr>
    </w:p>
    <w:p w:rsidR="00E22428" w:rsidRPr="00704E2B" w:rsidRDefault="00F70904" w:rsidP="00E4276C">
      <w:pPr>
        <w:pStyle w:val="ListParagraph"/>
        <w:numPr>
          <w:ilvl w:val="0"/>
          <w:numId w:val="20"/>
        </w:numPr>
        <w:spacing w:after="0" w:line="240" w:lineRule="auto"/>
        <w:ind w:left="0" w:firstLine="360"/>
        <w:jc w:val="both"/>
        <w:rPr>
          <w:rFonts w:asciiTheme="majorHAnsi" w:hAnsiTheme="majorHAnsi"/>
          <w:sz w:val="21"/>
          <w:szCs w:val="21"/>
          <w:lang w:val="es-MX"/>
        </w:rPr>
      </w:pPr>
      <w:r w:rsidRPr="00704E2B">
        <w:rPr>
          <w:rFonts w:asciiTheme="majorHAnsi" w:hAnsiTheme="majorHAnsi"/>
          <w:sz w:val="21"/>
          <w:szCs w:val="21"/>
          <w:lang w:val="es-MX"/>
        </w:rPr>
        <w:t xml:space="preserve">Finalmente, como un tercer elemento contextual, la Comisión ha identificado que las personas defensoras de derechos de pueblos indígenas frente a proyectos de desarrollo, </w:t>
      </w:r>
      <w:r w:rsidR="00374E58" w:rsidRPr="00704E2B">
        <w:rPr>
          <w:rFonts w:asciiTheme="majorHAnsi" w:hAnsiTheme="majorHAnsi"/>
          <w:sz w:val="21"/>
          <w:szCs w:val="21"/>
          <w:lang w:val="es-MX"/>
        </w:rPr>
        <w:t xml:space="preserve">son grupos que se encuentran en una especial situación </w:t>
      </w:r>
      <w:r w:rsidRPr="00704E2B">
        <w:rPr>
          <w:rFonts w:asciiTheme="majorHAnsi" w:hAnsiTheme="majorHAnsi"/>
          <w:sz w:val="21"/>
          <w:szCs w:val="21"/>
          <w:lang w:val="es-MX"/>
        </w:rPr>
        <w:t>de riesgo</w:t>
      </w:r>
      <w:r w:rsidR="00371217" w:rsidRPr="00704E2B">
        <w:rPr>
          <w:rFonts w:asciiTheme="majorHAnsi" w:hAnsiTheme="majorHAnsi"/>
          <w:sz w:val="21"/>
          <w:szCs w:val="21"/>
          <w:lang w:val="es-MX"/>
        </w:rPr>
        <w:t xml:space="preserve"> puesto que enfrentan </w:t>
      </w:r>
      <w:r w:rsidR="00374E58" w:rsidRPr="00704E2B">
        <w:rPr>
          <w:rFonts w:asciiTheme="majorHAnsi" w:hAnsiTheme="majorHAnsi"/>
          <w:sz w:val="21"/>
          <w:szCs w:val="21"/>
          <w:lang w:val="es-MX"/>
        </w:rPr>
        <w:t xml:space="preserve">diversos obstáculos que incluyen desde </w:t>
      </w:r>
      <w:r w:rsidRPr="00704E2B">
        <w:rPr>
          <w:rFonts w:asciiTheme="majorHAnsi" w:hAnsiTheme="majorHAnsi"/>
          <w:sz w:val="21"/>
          <w:szCs w:val="21"/>
          <w:lang w:val="es-MX"/>
        </w:rPr>
        <w:t>hostigamientos y criminalización</w:t>
      </w:r>
      <w:r w:rsidR="00374E58" w:rsidRPr="00704E2B">
        <w:rPr>
          <w:rFonts w:asciiTheme="majorHAnsi" w:hAnsiTheme="majorHAnsi"/>
          <w:sz w:val="21"/>
          <w:szCs w:val="21"/>
          <w:lang w:val="es-MX"/>
        </w:rPr>
        <w:t>, hasta que agresiones, amenazas y asesinatos</w:t>
      </w:r>
      <w:r w:rsidRPr="00704E2B">
        <w:rPr>
          <w:rStyle w:val="FootnoteReference"/>
          <w:rFonts w:asciiTheme="majorHAnsi" w:hAnsiTheme="majorHAnsi"/>
          <w:sz w:val="21"/>
          <w:szCs w:val="21"/>
          <w:lang w:val="es-MX"/>
        </w:rPr>
        <w:footnoteReference w:id="16"/>
      </w:r>
      <w:r w:rsidRPr="00704E2B">
        <w:rPr>
          <w:rFonts w:asciiTheme="majorHAnsi" w:hAnsiTheme="majorHAnsi"/>
          <w:sz w:val="21"/>
          <w:szCs w:val="21"/>
          <w:lang w:val="es-MX"/>
        </w:rPr>
        <w:t xml:space="preserve">. </w:t>
      </w:r>
      <w:r w:rsidR="00371217" w:rsidRPr="00704E2B">
        <w:rPr>
          <w:rFonts w:asciiTheme="majorHAnsi" w:hAnsiTheme="majorHAnsi"/>
          <w:sz w:val="21"/>
          <w:szCs w:val="21"/>
          <w:lang w:val="es-MX"/>
        </w:rPr>
        <w:t xml:space="preserve">En relación con este punto, la CIDH observa que por ejemplo, en </w:t>
      </w:r>
      <w:r w:rsidR="00046945" w:rsidRPr="00704E2B">
        <w:rPr>
          <w:rFonts w:asciiTheme="majorHAnsi" w:hAnsiTheme="majorHAnsi"/>
          <w:sz w:val="21"/>
          <w:szCs w:val="21"/>
          <w:lang w:val="es-MX"/>
        </w:rPr>
        <w:t xml:space="preserve">2017 el Relator Especial de las Naciones Unidas sobre la situación de los defensores de derechos humanos tras su visita a diversos estados de </w:t>
      </w:r>
      <w:r w:rsidR="00EC5448" w:rsidRPr="00704E2B">
        <w:rPr>
          <w:rFonts w:asciiTheme="majorHAnsi" w:hAnsiTheme="majorHAnsi"/>
          <w:sz w:val="21"/>
          <w:szCs w:val="21"/>
          <w:lang w:val="es-MX"/>
        </w:rPr>
        <w:t>México</w:t>
      </w:r>
      <w:r w:rsidR="00046945" w:rsidRPr="00704E2B">
        <w:rPr>
          <w:rFonts w:asciiTheme="majorHAnsi" w:hAnsiTheme="majorHAnsi"/>
          <w:sz w:val="21"/>
          <w:szCs w:val="21"/>
          <w:lang w:val="es-MX"/>
        </w:rPr>
        <w:t>, incluido Oaxaca</w:t>
      </w:r>
      <w:r w:rsidR="00EC5448" w:rsidRPr="00704E2B">
        <w:rPr>
          <w:rFonts w:asciiTheme="majorHAnsi" w:hAnsiTheme="majorHAnsi"/>
          <w:sz w:val="21"/>
          <w:szCs w:val="21"/>
          <w:lang w:val="es-MX"/>
        </w:rPr>
        <w:t>,</w:t>
      </w:r>
      <w:r w:rsidR="00046945" w:rsidRPr="00704E2B">
        <w:rPr>
          <w:rFonts w:asciiTheme="majorHAnsi" w:hAnsiTheme="majorHAnsi"/>
          <w:sz w:val="21"/>
          <w:szCs w:val="21"/>
          <w:lang w:val="es-MX"/>
        </w:rPr>
        <w:t xml:space="preserve"> indicó que </w:t>
      </w:r>
      <w:r w:rsidR="00EC5448" w:rsidRPr="00704E2B">
        <w:rPr>
          <w:rFonts w:asciiTheme="majorHAnsi" w:hAnsiTheme="majorHAnsi"/>
          <w:sz w:val="21"/>
          <w:szCs w:val="21"/>
          <w:lang w:val="es-MX"/>
        </w:rPr>
        <w:t>“</w:t>
      </w:r>
      <w:r w:rsidR="00046945" w:rsidRPr="00704E2B">
        <w:rPr>
          <w:rFonts w:asciiTheme="majorHAnsi" w:hAnsiTheme="majorHAnsi"/>
          <w:sz w:val="21"/>
          <w:szCs w:val="21"/>
          <w:lang w:val="es-MX"/>
        </w:rPr>
        <w:t>la situación de los derechos humanos indígenas es extremadamente preocupante y aquellos que defienden los derechos de estas comunidades enfrentan mayores riesgos</w:t>
      </w:r>
      <w:r w:rsidR="00EC5448" w:rsidRPr="00704E2B">
        <w:rPr>
          <w:rFonts w:asciiTheme="majorHAnsi" w:hAnsiTheme="majorHAnsi"/>
          <w:sz w:val="21"/>
          <w:szCs w:val="21"/>
          <w:lang w:val="es-MX"/>
        </w:rPr>
        <w:t>”</w:t>
      </w:r>
      <w:r w:rsidR="00EC5448" w:rsidRPr="00704E2B">
        <w:rPr>
          <w:rStyle w:val="FootnoteReference"/>
          <w:rFonts w:asciiTheme="majorHAnsi" w:hAnsiTheme="majorHAnsi"/>
          <w:sz w:val="21"/>
          <w:szCs w:val="21"/>
          <w:lang w:val="es-MX"/>
        </w:rPr>
        <w:footnoteReference w:id="17"/>
      </w:r>
      <w:r w:rsidR="00046945" w:rsidRPr="00704E2B">
        <w:rPr>
          <w:rFonts w:asciiTheme="majorHAnsi" w:hAnsiTheme="majorHAnsi"/>
          <w:sz w:val="21"/>
          <w:szCs w:val="21"/>
          <w:lang w:val="es-MX"/>
        </w:rPr>
        <w:t xml:space="preserve">.  </w:t>
      </w:r>
    </w:p>
    <w:p w:rsidR="00EC5448" w:rsidRPr="00704E2B" w:rsidRDefault="00EC5448" w:rsidP="00E4276C">
      <w:pPr>
        <w:pStyle w:val="ListParagraph"/>
        <w:spacing w:after="0" w:line="240" w:lineRule="auto"/>
        <w:ind w:left="0" w:firstLine="360"/>
        <w:jc w:val="both"/>
        <w:rPr>
          <w:rFonts w:asciiTheme="majorHAnsi" w:hAnsiTheme="majorHAnsi"/>
          <w:sz w:val="21"/>
          <w:szCs w:val="21"/>
          <w:lang w:val="es-MX"/>
        </w:rPr>
      </w:pPr>
    </w:p>
    <w:p w:rsidR="004A4724" w:rsidRPr="00704E2B" w:rsidRDefault="009C043F"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 xml:space="preserve">En relación con </w:t>
      </w:r>
      <w:r w:rsidR="00371217" w:rsidRPr="00704E2B">
        <w:rPr>
          <w:rFonts w:ascii="Cambria" w:hAnsi="Cambria"/>
          <w:sz w:val="21"/>
          <w:szCs w:val="21"/>
          <w:lang w:val="es-MX"/>
        </w:rPr>
        <w:t>los presuntos eventos de riesgo que habría enfrentado la señora Cruz</w:t>
      </w:r>
      <w:r w:rsidRPr="00704E2B">
        <w:rPr>
          <w:rFonts w:ascii="Cambria" w:hAnsi="Cambria"/>
          <w:sz w:val="21"/>
          <w:szCs w:val="21"/>
          <w:lang w:val="es-MX"/>
        </w:rPr>
        <w:t xml:space="preserve">, </w:t>
      </w:r>
      <w:r w:rsidR="00796606" w:rsidRPr="00704E2B">
        <w:rPr>
          <w:rFonts w:ascii="Cambria" w:hAnsi="Cambria"/>
          <w:sz w:val="21"/>
          <w:szCs w:val="21"/>
          <w:lang w:val="es-MX"/>
        </w:rPr>
        <w:t xml:space="preserve">la Comisión </w:t>
      </w:r>
      <w:r w:rsidRPr="00704E2B">
        <w:rPr>
          <w:rFonts w:ascii="Cambria" w:hAnsi="Cambria"/>
          <w:sz w:val="21"/>
          <w:szCs w:val="21"/>
          <w:lang w:val="es-MX"/>
        </w:rPr>
        <w:t xml:space="preserve">advierte </w:t>
      </w:r>
      <w:r w:rsidR="00796606" w:rsidRPr="00704E2B">
        <w:rPr>
          <w:rFonts w:ascii="Cambria" w:hAnsi="Cambria"/>
          <w:sz w:val="21"/>
          <w:szCs w:val="21"/>
          <w:lang w:val="es-MX"/>
        </w:rPr>
        <w:t xml:space="preserve">que </w:t>
      </w:r>
      <w:r w:rsidR="000E7AF7" w:rsidRPr="00704E2B">
        <w:rPr>
          <w:rFonts w:ascii="Cambria" w:hAnsi="Cambria"/>
          <w:sz w:val="21"/>
          <w:szCs w:val="21"/>
          <w:lang w:val="es-MX"/>
        </w:rPr>
        <w:t xml:space="preserve">habría sido objeto de </w:t>
      </w:r>
      <w:r w:rsidR="004A6363" w:rsidRPr="00704E2B">
        <w:rPr>
          <w:rFonts w:ascii="Cambria" w:hAnsi="Cambria"/>
          <w:sz w:val="21"/>
          <w:szCs w:val="21"/>
          <w:lang w:val="es-MX"/>
        </w:rPr>
        <w:t>campañas mediáticas de desprestigio</w:t>
      </w:r>
      <w:r w:rsidR="00B32904" w:rsidRPr="00704E2B">
        <w:rPr>
          <w:rFonts w:ascii="Cambria" w:hAnsi="Cambria"/>
          <w:sz w:val="21"/>
          <w:szCs w:val="21"/>
          <w:lang w:val="es-MX"/>
        </w:rPr>
        <w:t xml:space="preserve"> y difamación</w:t>
      </w:r>
      <w:r w:rsidR="00BA1A31" w:rsidRPr="00704E2B">
        <w:rPr>
          <w:rStyle w:val="FootnoteReference"/>
          <w:rFonts w:ascii="Cambria" w:hAnsi="Cambria"/>
          <w:sz w:val="21"/>
          <w:szCs w:val="21"/>
          <w:lang w:val="es-MX"/>
        </w:rPr>
        <w:footnoteReference w:id="18"/>
      </w:r>
      <w:r w:rsidR="00B32904" w:rsidRPr="00704E2B">
        <w:rPr>
          <w:rFonts w:ascii="Cambria" w:hAnsi="Cambria"/>
          <w:sz w:val="21"/>
          <w:szCs w:val="21"/>
          <w:lang w:val="es-MX"/>
        </w:rPr>
        <w:t xml:space="preserve">, </w:t>
      </w:r>
      <w:r w:rsidR="003137E9" w:rsidRPr="00704E2B">
        <w:rPr>
          <w:rFonts w:ascii="Cambria" w:hAnsi="Cambria"/>
          <w:sz w:val="21"/>
          <w:szCs w:val="21"/>
          <w:lang w:val="es-MX"/>
        </w:rPr>
        <w:t xml:space="preserve">lo que </w:t>
      </w:r>
      <w:r w:rsidR="004A4724" w:rsidRPr="00704E2B">
        <w:rPr>
          <w:rFonts w:ascii="Cambria" w:hAnsi="Cambria"/>
          <w:sz w:val="21"/>
          <w:szCs w:val="21"/>
          <w:lang w:val="es-MX"/>
        </w:rPr>
        <w:t xml:space="preserve">generaría </w:t>
      </w:r>
      <w:r w:rsidRPr="00704E2B">
        <w:rPr>
          <w:rFonts w:ascii="Cambria" w:hAnsi="Cambria"/>
          <w:sz w:val="21"/>
          <w:szCs w:val="21"/>
          <w:lang w:val="es-MX"/>
        </w:rPr>
        <w:t xml:space="preserve">un ambiente de animosidad </w:t>
      </w:r>
      <w:r w:rsidR="00374E58" w:rsidRPr="00704E2B">
        <w:rPr>
          <w:rFonts w:ascii="Cambria" w:hAnsi="Cambria"/>
          <w:sz w:val="21"/>
          <w:szCs w:val="21"/>
          <w:lang w:val="es-MX"/>
        </w:rPr>
        <w:t>incrementado en su contra</w:t>
      </w:r>
      <w:r w:rsidR="00B32904" w:rsidRPr="00704E2B">
        <w:rPr>
          <w:rFonts w:ascii="Cambria" w:hAnsi="Cambria"/>
          <w:sz w:val="21"/>
          <w:szCs w:val="21"/>
          <w:lang w:val="es-MX"/>
        </w:rPr>
        <w:t xml:space="preserve">. Según los solicitantes, </w:t>
      </w:r>
      <w:r w:rsidR="00B32904" w:rsidRPr="00704E2B">
        <w:rPr>
          <w:rFonts w:ascii="Cambria" w:hAnsi="Cambria"/>
          <w:color w:val="000000"/>
          <w:sz w:val="21"/>
          <w:szCs w:val="21"/>
        </w:rPr>
        <w:t>la propuesta beneficiaria viviría escondida, tratando de no desarrollar hábitos predecibles</w:t>
      </w:r>
      <w:r w:rsidR="00296F90" w:rsidRPr="00704E2B">
        <w:rPr>
          <w:rFonts w:ascii="Cambria" w:hAnsi="Cambria"/>
          <w:color w:val="000000"/>
          <w:sz w:val="21"/>
          <w:szCs w:val="21"/>
        </w:rPr>
        <w:t xml:space="preserve">, y </w:t>
      </w:r>
      <w:r w:rsidR="00B32904" w:rsidRPr="00704E2B">
        <w:rPr>
          <w:rFonts w:ascii="Cambria" w:hAnsi="Cambria"/>
          <w:color w:val="000000"/>
          <w:sz w:val="21"/>
          <w:szCs w:val="21"/>
        </w:rPr>
        <w:t xml:space="preserve">con un temor fundado de sufrir daños a su vida e integridad personal </w:t>
      </w:r>
      <w:r w:rsidR="004A4724" w:rsidRPr="00704E2B">
        <w:rPr>
          <w:rFonts w:ascii="Cambria" w:hAnsi="Cambria"/>
          <w:color w:val="000000"/>
          <w:sz w:val="21"/>
          <w:szCs w:val="21"/>
        </w:rPr>
        <w:t xml:space="preserve">de su </w:t>
      </w:r>
      <w:r w:rsidR="00B32904" w:rsidRPr="00704E2B">
        <w:rPr>
          <w:rFonts w:ascii="Cambria" w:hAnsi="Cambria"/>
          <w:color w:val="000000"/>
          <w:sz w:val="21"/>
          <w:szCs w:val="21"/>
        </w:rPr>
        <w:t>familia</w:t>
      </w:r>
      <w:r w:rsidRPr="00704E2B">
        <w:rPr>
          <w:rFonts w:ascii="Cambria" w:hAnsi="Cambria"/>
          <w:color w:val="000000"/>
          <w:sz w:val="21"/>
          <w:szCs w:val="21"/>
        </w:rPr>
        <w:t xml:space="preserve">. </w:t>
      </w:r>
    </w:p>
    <w:p w:rsidR="004A4724" w:rsidRPr="00704E2B" w:rsidRDefault="004A4724" w:rsidP="00E4276C">
      <w:pPr>
        <w:pStyle w:val="ListParagraph"/>
        <w:spacing w:after="0" w:line="240" w:lineRule="auto"/>
        <w:ind w:left="0" w:firstLine="360"/>
        <w:jc w:val="both"/>
        <w:rPr>
          <w:rFonts w:ascii="Cambria" w:hAnsi="Cambria"/>
          <w:sz w:val="21"/>
          <w:szCs w:val="21"/>
          <w:lang w:val="es-MX"/>
        </w:rPr>
      </w:pPr>
    </w:p>
    <w:p w:rsidR="009C043F" w:rsidRPr="00704E2B" w:rsidRDefault="009C043F"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color w:val="000000"/>
          <w:sz w:val="21"/>
          <w:szCs w:val="21"/>
        </w:rPr>
        <w:t xml:space="preserve">Específicamente, </w:t>
      </w:r>
      <w:r w:rsidR="00FD33D0" w:rsidRPr="00704E2B">
        <w:rPr>
          <w:rFonts w:ascii="Cambria" w:hAnsi="Cambria"/>
          <w:color w:val="000000"/>
          <w:sz w:val="21"/>
          <w:szCs w:val="21"/>
        </w:rPr>
        <w:t>los solicitantes han informado respecto de los siguientes presuntos hechos de riesgo</w:t>
      </w:r>
      <w:r w:rsidR="00371217" w:rsidRPr="00704E2B">
        <w:rPr>
          <w:rFonts w:ascii="Cambria" w:hAnsi="Cambria"/>
          <w:color w:val="000000"/>
          <w:sz w:val="21"/>
          <w:szCs w:val="21"/>
        </w:rPr>
        <w:t xml:space="preserve">: i) </w:t>
      </w:r>
      <w:r w:rsidRPr="00704E2B">
        <w:rPr>
          <w:rFonts w:ascii="Cambria" w:hAnsi="Cambria"/>
          <w:color w:val="000000"/>
          <w:sz w:val="21"/>
          <w:szCs w:val="21"/>
        </w:rPr>
        <w:t xml:space="preserve">la señora </w:t>
      </w:r>
      <w:proofErr w:type="spellStart"/>
      <w:r w:rsidRPr="00704E2B">
        <w:rPr>
          <w:rFonts w:ascii="Cambria" w:hAnsi="Cambria"/>
          <w:color w:val="000000"/>
          <w:sz w:val="21"/>
          <w:szCs w:val="21"/>
        </w:rPr>
        <w:t>Bettina</w:t>
      </w:r>
      <w:proofErr w:type="spellEnd"/>
      <w:r w:rsidRPr="00704E2B">
        <w:rPr>
          <w:rFonts w:ascii="Cambria" w:hAnsi="Cambria"/>
          <w:color w:val="000000"/>
          <w:sz w:val="21"/>
          <w:szCs w:val="21"/>
        </w:rPr>
        <w:t xml:space="preserve"> </w:t>
      </w:r>
      <w:r w:rsidR="004A4724" w:rsidRPr="00704E2B">
        <w:rPr>
          <w:rFonts w:ascii="Cambria" w:hAnsi="Cambria"/>
          <w:color w:val="000000"/>
          <w:sz w:val="21"/>
          <w:szCs w:val="21"/>
        </w:rPr>
        <w:t xml:space="preserve">Cruz </w:t>
      </w:r>
      <w:r w:rsidRPr="00704E2B">
        <w:rPr>
          <w:rFonts w:ascii="Cambria" w:hAnsi="Cambria"/>
          <w:color w:val="000000"/>
          <w:sz w:val="21"/>
          <w:szCs w:val="21"/>
        </w:rPr>
        <w:t xml:space="preserve">habría recibido </w:t>
      </w:r>
      <w:r w:rsidR="00B32904" w:rsidRPr="00704E2B">
        <w:rPr>
          <w:rFonts w:ascii="Cambria" w:hAnsi="Cambria"/>
          <w:color w:val="000000"/>
          <w:sz w:val="21"/>
          <w:szCs w:val="21"/>
        </w:rPr>
        <w:t xml:space="preserve">amenazas de muerte, </w:t>
      </w:r>
      <w:r w:rsidR="00296F90" w:rsidRPr="00704E2B">
        <w:rPr>
          <w:rFonts w:ascii="Cambria" w:hAnsi="Cambria"/>
          <w:color w:val="000000"/>
          <w:sz w:val="21"/>
          <w:szCs w:val="21"/>
        </w:rPr>
        <w:t>y</w:t>
      </w:r>
      <w:r w:rsidR="00B32904" w:rsidRPr="00704E2B">
        <w:rPr>
          <w:rFonts w:ascii="Cambria" w:hAnsi="Cambria"/>
          <w:color w:val="000000"/>
          <w:sz w:val="21"/>
          <w:szCs w:val="21"/>
        </w:rPr>
        <w:t xml:space="preserve"> </w:t>
      </w:r>
      <w:r w:rsidRPr="00704E2B">
        <w:rPr>
          <w:rFonts w:ascii="Cambria" w:hAnsi="Cambria"/>
          <w:color w:val="000000"/>
          <w:sz w:val="21"/>
          <w:szCs w:val="21"/>
        </w:rPr>
        <w:t>ha</w:t>
      </w:r>
      <w:r w:rsidR="00E51338" w:rsidRPr="00704E2B">
        <w:rPr>
          <w:rFonts w:ascii="Cambria" w:hAnsi="Cambria"/>
          <w:color w:val="000000"/>
          <w:sz w:val="21"/>
          <w:szCs w:val="21"/>
        </w:rPr>
        <w:t>bría</w:t>
      </w:r>
      <w:r w:rsidRPr="00704E2B">
        <w:rPr>
          <w:rFonts w:ascii="Cambria" w:hAnsi="Cambria"/>
          <w:color w:val="000000"/>
          <w:sz w:val="21"/>
          <w:szCs w:val="21"/>
        </w:rPr>
        <w:t xml:space="preserve"> sido </w:t>
      </w:r>
      <w:r w:rsidR="00B32904" w:rsidRPr="00704E2B">
        <w:rPr>
          <w:rFonts w:ascii="Cambria" w:hAnsi="Cambria"/>
          <w:color w:val="000000"/>
          <w:sz w:val="21"/>
          <w:szCs w:val="21"/>
        </w:rPr>
        <w:t>hostigada por personas desconocidas afuera de su casa, en auto o sigui</w:t>
      </w:r>
      <w:r w:rsidR="000E7AF7" w:rsidRPr="00704E2B">
        <w:rPr>
          <w:rFonts w:ascii="Cambria" w:hAnsi="Cambria"/>
          <w:color w:val="000000"/>
          <w:sz w:val="21"/>
          <w:szCs w:val="21"/>
        </w:rPr>
        <w:t xml:space="preserve">éndole a lugares donde </w:t>
      </w:r>
      <w:r w:rsidR="004A4724" w:rsidRPr="00704E2B">
        <w:rPr>
          <w:rFonts w:ascii="Cambria" w:hAnsi="Cambria"/>
          <w:color w:val="000000"/>
          <w:sz w:val="21"/>
          <w:szCs w:val="21"/>
        </w:rPr>
        <w:t>desarrolla sus labores</w:t>
      </w:r>
      <w:r w:rsidR="00371217" w:rsidRPr="00704E2B">
        <w:rPr>
          <w:rFonts w:ascii="Cambria" w:hAnsi="Cambria"/>
          <w:color w:val="000000"/>
          <w:sz w:val="21"/>
          <w:szCs w:val="21"/>
        </w:rPr>
        <w:t xml:space="preserve">; ii) </w:t>
      </w:r>
      <w:r w:rsidR="004A4724" w:rsidRPr="00704E2B">
        <w:rPr>
          <w:rFonts w:ascii="Cambria" w:hAnsi="Cambria"/>
          <w:sz w:val="21"/>
          <w:szCs w:val="21"/>
          <w:lang w:val="es-MX"/>
        </w:rPr>
        <w:t>un policía</w:t>
      </w:r>
      <w:r w:rsidR="00E51338" w:rsidRPr="00704E2B">
        <w:rPr>
          <w:rFonts w:ascii="Cambria" w:hAnsi="Cambria"/>
          <w:sz w:val="21"/>
          <w:szCs w:val="21"/>
          <w:lang w:val="es-MX"/>
        </w:rPr>
        <w:t>,</w:t>
      </w:r>
      <w:r w:rsidR="004A4724" w:rsidRPr="00704E2B">
        <w:rPr>
          <w:rFonts w:ascii="Cambria" w:hAnsi="Cambria"/>
          <w:sz w:val="21"/>
          <w:szCs w:val="21"/>
          <w:lang w:val="es-MX"/>
        </w:rPr>
        <w:t xml:space="preserve"> que habría agredido a la señora </w:t>
      </w:r>
      <w:proofErr w:type="spellStart"/>
      <w:r w:rsidR="004A4724" w:rsidRPr="00704E2B">
        <w:rPr>
          <w:rFonts w:ascii="Cambria" w:hAnsi="Cambria"/>
          <w:sz w:val="21"/>
          <w:szCs w:val="21"/>
          <w:lang w:val="es-MX"/>
        </w:rPr>
        <w:t>Bettina</w:t>
      </w:r>
      <w:proofErr w:type="spellEnd"/>
      <w:r w:rsidR="004A4724" w:rsidRPr="00704E2B">
        <w:rPr>
          <w:rFonts w:ascii="Cambria" w:hAnsi="Cambria"/>
          <w:sz w:val="21"/>
          <w:szCs w:val="21"/>
          <w:lang w:val="es-MX"/>
        </w:rPr>
        <w:t xml:space="preserve"> </w:t>
      </w:r>
      <w:r w:rsidR="00E51338" w:rsidRPr="00704E2B">
        <w:rPr>
          <w:rFonts w:ascii="Cambria" w:hAnsi="Cambria"/>
          <w:sz w:val="21"/>
          <w:szCs w:val="21"/>
          <w:lang w:val="es-MX"/>
        </w:rPr>
        <w:t xml:space="preserve">Cruz </w:t>
      </w:r>
      <w:r w:rsidR="004A4724" w:rsidRPr="00704E2B">
        <w:rPr>
          <w:rFonts w:ascii="Cambria" w:hAnsi="Cambria"/>
          <w:sz w:val="21"/>
          <w:szCs w:val="21"/>
          <w:lang w:val="es-MX"/>
        </w:rPr>
        <w:t>poniéndole un arma de fuego en la cabeza en 2011</w:t>
      </w:r>
      <w:r w:rsidR="00E51338" w:rsidRPr="00704E2B">
        <w:rPr>
          <w:rFonts w:ascii="Cambria" w:hAnsi="Cambria"/>
          <w:sz w:val="21"/>
          <w:szCs w:val="21"/>
          <w:lang w:val="es-MX"/>
        </w:rPr>
        <w:t>,</w:t>
      </w:r>
      <w:r w:rsidR="004A4724" w:rsidRPr="00704E2B">
        <w:rPr>
          <w:rFonts w:ascii="Cambria" w:hAnsi="Cambria"/>
          <w:sz w:val="21"/>
          <w:szCs w:val="21"/>
          <w:lang w:val="es-MX"/>
        </w:rPr>
        <w:t xml:space="preserve"> estaría en libertad después de haberlo denunciado, lo cual potenciaría su situación de riesgo</w:t>
      </w:r>
      <w:r w:rsidR="00371217" w:rsidRPr="00704E2B">
        <w:rPr>
          <w:rFonts w:ascii="Cambria" w:hAnsi="Cambria"/>
          <w:sz w:val="21"/>
          <w:szCs w:val="21"/>
          <w:lang w:val="es-MX"/>
        </w:rPr>
        <w:t xml:space="preserve">; iii)  </w:t>
      </w:r>
      <w:r w:rsidR="004A6363" w:rsidRPr="00704E2B">
        <w:rPr>
          <w:rFonts w:ascii="Cambria" w:hAnsi="Cambria"/>
          <w:color w:val="000000"/>
          <w:sz w:val="21"/>
          <w:szCs w:val="21"/>
        </w:rPr>
        <w:t>el 8 de abril de 2017</w:t>
      </w:r>
      <w:r w:rsidR="00F067E1" w:rsidRPr="00704E2B">
        <w:rPr>
          <w:rFonts w:ascii="Cambria" w:hAnsi="Cambria"/>
          <w:color w:val="000000"/>
          <w:sz w:val="21"/>
          <w:szCs w:val="21"/>
        </w:rPr>
        <w:t xml:space="preserve"> el señor Alberto Toledo,</w:t>
      </w:r>
      <w:r w:rsidR="004A6363" w:rsidRPr="00704E2B">
        <w:rPr>
          <w:rFonts w:ascii="Cambria" w:hAnsi="Cambria"/>
          <w:color w:val="000000"/>
          <w:sz w:val="21"/>
          <w:szCs w:val="21"/>
        </w:rPr>
        <w:t xml:space="preserve"> unos de los coordinadores de la Asamblea de la cual </w:t>
      </w:r>
      <w:r w:rsidR="00296F90" w:rsidRPr="00704E2B">
        <w:rPr>
          <w:rFonts w:ascii="Cambria" w:hAnsi="Cambria"/>
          <w:color w:val="000000"/>
          <w:sz w:val="21"/>
          <w:szCs w:val="21"/>
        </w:rPr>
        <w:t xml:space="preserve">la señora </w:t>
      </w:r>
      <w:proofErr w:type="spellStart"/>
      <w:r w:rsidR="004A6363" w:rsidRPr="00704E2B">
        <w:rPr>
          <w:rFonts w:ascii="Cambria" w:hAnsi="Cambria"/>
          <w:color w:val="000000"/>
          <w:sz w:val="21"/>
          <w:szCs w:val="21"/>
        </w:rPr>
        <w:t>Bettina</w:t>
      </w:r>
      <w:proofErr w:type="spellEnd"/>
      <w:r w:rsidR="004A6363" w:rsidRPr="00704E2B">
        <w:rPr>
          <w:rFonts w:ascii="Cambria" w:hAnsi="Cambria"/>
          <w:color w:val="000000"/>
          <w:sz w:val="21"/>
          <w:szCs w:val="21"/>
        </w:rPr>
        <w:t xml:space="preserve"> </w:t>
      </w:r>
      <w:r w:rsidR="00374E58" w:rsidRPr="00704E2B">
        <w:rPr>
          <w:rFonts w:ascii="Cambria" w:hAnsi="Cambria"/>
          <w:color w:val="000000"/>
          <w:sz w:val="21"/>
          <w:szCs w:val="21"/>
        </w:rPr>
        <w:t xml:space="preserve">Cruz </w:t>
      </w:r>
      <w:r w:rsidR="00F067E1" w:rsidRPr="00704E2B">
        <w:rPr>
          <w:rFonts w:ascii="Cambria" w:hAnsi="Cambria"/>
          <w:color w:val="000000"/>
          <w:sz w:val="21"/>
          <w:szCs w:val="21"/>
        </w:rPr>
        <w:t xml:space="preserve">también </w:t>
      </w:r>
      <w:r w:rsidR="004A6363" w:rsidRPr="00704E2B">
        <w:rPr>
          <w:rFonts w:ascii="Cambria" w:hAnsi="Cambria"/>
          <w:color w:val="000000"/>
          <w:sz w:val="21"/>
          <w:szCs w:val="21"/>
        </w:rPr>
        <w:t>es coordinadora</w:t>
      </w:r>
      <w:r w:rsidR="004A4724" w:rsidRPr="00704E2B">
        <w:rPr>
          <w:rFonts w:ascii="Cambria" w:hAnsi="Cambria"/>
          <w:color w:val="000000"/>
          <w:sz w:val="21"/>
          <w:szCs w:val="21"/>
        </w:rPr>
        <w:t>, habría sido asesinado</w:t>
      </w:r>
      <w:r w:rsidR="00296F90" w:rsidRPr="00704E2B">
        <w:rPr>
          <w:rFonts w:ascii="Cambria" w:hAnsi="Cambria"/>
          <w:color w:val="000000"/>
          <w:sz w:val="21"/>
          <w:szCs w:val="21"/>
        </w:rPr>
        <w:t xml:space="preserve">. </w:t>
      </w:r>
      <w:r w:rsidR="00F067E1" w:rsidRPr="00704E2B">
        <w:rPr>
          <w:rFonts w:ascii="Cambria" w:hAnsi="Cambria"/>
          <w:color w:val="000000"/>
          <w:sz w:val="21"/>
          <w:szCs w:val="21"/>
        </w:rPr>
        <w:t xml:space="preserve">Según medios, </w:t>
      </w:r>
      <w:r w:rsidR="004B51FC" w:rsidRPr="00704E2B">
        <w:rPr>
          <w:rFonts w:ascii="Cambria" w:hAnsi="Cambria"/>
          <w:color w:val="000000"/>
          <w:sz w:val="21"/>
          <w:szCs w:val="21"/>
        </w:rPr>
        <w:t xml:space="preserve">dicha persona </w:t>
      </w:r>
      <w:r w:rsidR="005615B2" w:rsidRPr="00704E2B">
        <w:rPr>
          <w:rFonts w:ascii="Cambria" w:hAnsi="Cambria"/>
          <w:color w:val="000000"/>
          <w:sz w:val="21"/>
          <w:szCs w:val="21"/>
        </w:rPr>
        <w:t>denunciaba las alta tarifas de energía eléctrica en una parte de la región del Istmo por lo que habría recibido amenazas de muerte</w:t>
      </w:r>
      <w:r w:rsidR="005615B2" w:rsidRPr="00704E2B">
        <w:rPr>
          <w:rStyle w:val="FootnoteReference"/>
          <w:rFonts w:ascii="Cambria" w:hAnsi="Cambria"/>
          <w:color w:val="000000"/>
          <w:sz w:val="21"/>
          <w:szCs w:val="21"/>
        </w:rPr>
        <w:footnoteReference w:id="19"/>
      </w:r>
      <w:r w:rsidR="008630ED" w:rsidRPr="00704E2B">
        <w:rPr>
          <w:rFonts w:ascii="Cambria" w:hAnsi="Cambria"/>
          <w:color w:val="000000"/>
          <w:sz w:val="21"/>
          <w:szCs w:val="21"/>
        </w:rPr>
        <w:t xml:space="preserve">;  iv) </w:t>
      </w:r>
      <w:r w:rsidR="00BA1A31" w:rsidRPr="00704E2B">
        <w:rPr>
          <w:rFonts w:ascii="Cambria" w:hAnsi="Cambria"/>
          <w:color w:val="000000"/>
          <w:sz w:val="21"/>
          <w:szCs w:val="21"/>
        </w:rPr>
        <w:t xml:space="preserve">una persona armada </w:t>
      </w:r>
      <w:r w:rsidR="008630ED" w:rsidRPr="00704E2B">
        <w:rPr>
          <w:rFonts w:ascii="Cambria" w:hAnsi="Cambria"/>
          <w:color w:val="000000"/>
          <w:sz w:val="21"/>
          <w:szCs w:val="21"/>
        </w:rPr>
        <w:t>habría llegado al centro de labores de su</w:t>
      </w:r>
      <w:r w:rsidR="00BA1A31" w:rsidRPr="00704E2B">
        <w:rPr>
          <w:rFonts w:ascii="Cambria" w:hAnsi="Cambria"/>
          <w:color w:val="000000"/>
          <w:sz w:val="21"/>
          <w:szCs w:val="21"/>
        </w:rPr>
        <w:t xml:space="preserve"> esposo</w:t>
      </w:r>
      <w:r w:rsidR="008630ED" w:rsidRPr="00704E2B">
        <w:rPr>
          <w:rFonts w:ascii="Cambria" w:hAnsi="Cambria"/>
          <w:color w:val="000000"/>
          <w:sz w:val="21"/>
          <w:szCs w:val="21"/>
        </w:rPr>
        <w:t>, preguntando por él, siendo necesario cerrar las puestas de la escuela con candados</w:t>
      </w:r>
      <w:r w:rsidR="00BA1A31" w:rsidRPr="00704E2B">
        <w:rPr>
          <w:rFonts w:ascii="Cambria" w:hAnsi="Cambria"/>
          <w:color w:val="000000"/>
          <w:sz w:val="21"/>
          <w:szCs w:val="21"/>
        </w:rPr>
        <w:t xml:space="preserve">; </w:t>
      </w:r>
      <w:r w:rsidR="008630ED" w:rsidRPr="00704E2B">
        <w:rPr>
          <w:rFonts w:ascii="Cambria" w:hAnsi="Cambria"/>
          <w:color w:val="000000"/>
          <w:sz w:val="21"/>
          <w:szCs w:val="21"/>
        </w:rPr>
        <w:t xml:space="preserve">v) otra </w:t>
      </w:r>
      <w:r w:rsidR="00E51338" w:rsidRPr="00704E2B">
        <w:rPr>
          <w:rFonts w:ascii="Cambria" w:hAnsi="Cambria"/>
          <w:color w:val="000000"/>
          <w:sz w:val="21"/>
          <w:szCs w:val="21"/>
        </w:rPr>
        <w:t>persona armada habría estado ind</w:t>
      </w:r>
      <w:r w:rsidR="008630ED" w:rsidRPr="00704E2B">
        <w:rPr>
          <w:rFonts w:ascii="Cambria" w:hAnsi="Cambria"/>
          <w:color w:val="000000"/>
          <w:sz w:val="21"/>
          <w:szCs w:val="21"/>
        </w:rPr>
        <w:t xml:space="preserve">agando sobre la manera de llegar a sus </w:t>
      </w:r>
      <w:r w:rsidR="008630ED" w:rsidRPr="00704E2B">
        <w:rPr>
          <w:rFonts w:ascii="Cambria" w:hAnsi="Cambria"/>
          <w:color w:val="000000"/>
          <w:sz w:val="21"/>
          <w:szCs w:val="21"/>
        </w:rPr>
        <w:lastRenderedPageBreak/>
        <w:t xml:space="preserve">oficinas; y vi) una persona habría dejado una nota amenazante en el parabrisas de su esposo </w:t>
      </w:r>
      <w:r w:rsidR="00BA1A31" w:rsidRPr="00704E2B">
        <w:rPr>
          <w:rFonts w:ascii="Cambria" w:hAnsi="Cambria"/>
          <w:color w:val="000000"/>
          <w:sz w:val="21"/>
          <w:szCs w:val="21"/>
        </w:rPr>
        <w:t>que decía “ya sabemos dónde estás es/ti</w:t>
      </w:r>
      <w:r w:rsidR="00E51338" w:rsidRPr="00704E2B">
        <w:rPr>
          <w:rFonts w:ascii="Cambria" w:hAnsi="Cambria"/>
          <w:color w:val="000000"/>
          <w:sz w:val="21"/>
          <w:szCs w:val="21"/>
        </w:rPr>
        <w:t>[sic]</w:t>
      </w:r>
      <w:r w:rsidR="00BA1A31" w:rsidRPr="00704E2B">
        <w:rPr>
          <w:rFonts w:ascii="Cambria" w:hAnsi="Cambria"/>
          <w:color w:val="000000"/>
          <w:sz w:val="21"/>
          <w:szCs w:val="21"/>
        </w:rPr>
        <w:t>”.</w:t>
      </w:r>
      <w:r w:rsidR="009D4495" w:rsidRPr="00704E2B">
        <w:rPr>
          <w:rFonts w:ascii="Cambria" w:hAnsi="Cambria"/>
          <w:color w:val="000000"/>
          <w:sz w:val="21"/>
          <w:szCs w:val="21"/>
        </w:rPr>
        <w:t xml:space="preserve"> </w:t>
      </w:r>
      <w:r w:rsidR="004A4724" w:rsidRPr="00704E2B">
        <w:rPr>
          <w:rFonts w:ascii="Cambria" w:hAnsi="Cambria"/>
          <w:color w:val="000000"/>
          <w:sz w:val="21"/>
          <w:szCs w:val="21"/>
        </w:rPr>
        <w:t>S</w:t>
      </w:r>
      <w:r w:rsidRPr="00704E2B">
        <w:rPr>
          <w:rFonts w:ascii="Cambria" w:hAnsi="Cambria"/>
          <w:color w:val="000000"/>
          <w:sz w:val="21"/>
          <w:szCs w:val="21"/>
        </w:rPr>
        <w:t xml:space="preserve">egún los solicitantes </w:t>
      </w:r>
      <w:r w:rsidR="004A6363" w:rsidRPr="00704E2B">
        <w:rPr>
          <w:rFonts w:ascii="Cambria" w:hAnsi="Cambria"/>
          <w:sz w:val="21"/>
          <w:szCs w:val="21"/>
          <w:lang w:val="es-MX"/>
        </w:rPr>
        <w:t xml:space="preserve">los presuntos agresores </w:t>
      </w:r>
      <w:r w:rsidR="00D3710B" w:rsidRPr="00704E2B">
        <w:rPr>
          <w:rFonts w:ascii="Cambria" w:hAnsi="Cambria"/>
          <w:sz w:val="21"/>
          <w:szCs w:val="21"/>
          <w:lang w:val="es-MX"/>
        </w:rPr>
        <w:t xml:space="preserve">conocerían </w:t>
      </w:r>
      <w:r w:rsidR="004A6363" w:rsidRPr="00704E2B">
        <w:rPr>
          <w:rFonts w:ascii="Cambria" w:hAnsi="Cambria"/>
          <w:sz w:val="21"/>
          <w:szCs w:val="21"/>
          <w:lang w:val="es-MX"/>
        </w:rPr>
        <w:t xml:space="preserve">el lugar de la residencia de </w:t>
      </w:r>
      <w:r w:rsidRPr="00704E2B">
        <w:rPr>
          <w:rFonts w:ascii="Cambria" w:hAnsi="Cambria"/>
          <w:sz w:val="21"/>
          <w:szCs w:val="21"/>
          <w:lang w:val="es-MX"/>
        </w:rPr>
        <w:t xml:space="preserve">la señora </w:t>
      </w:r>
      <w:proofErr w:type="spellStart"/>
      <w:r w:rsidR="004A6363" w:rsidRPr="00704E2B">
        <w:rPr>
          <w:rFonts w:ascii="Cambria" w:hAnsi="Cambria"/>
          <w:sz w:val="21"/>
          <w:szCs w:val="21"/>
          <w:lang w:val="es-MX"/>
        </w:rPr>
        <w:t>Bettina</w:t>
      </w:r>
      <w:proofErr w:type="spellEnd"/>
      <w:r w:rsidRPr="00704E2B">
        <w:rPr>
          <w:rFonts w:ascii="Cambria" w:hAnsi="Cambria"/>
          <w:sz w:val="21"/>
          <w:szCs w:val="21"/>
          <w:lang w:val="es-MX"/>
        </w:rPr>
        <w:t xml:space="preserve"> Cruz</w:t>
      </w:r>
      <w:r w:rsidR="004A6363" w:rsidRPr="00704E2B">
        <w:rPr>
          <w:rFonts w:ascii="Cambria" w:hAnsi="Cambria"/>
          <w:sz w:val="21"/>
          <w:szCs w:val="21"/>
          <w:lang w:val="es-MX"/>
        </w:rPr>
        <w:t>, el lugar donde trabaja su es</w:t>
      </w:r>
      <w:r w:rsidR="00D3710B" w:rsidRPr="00704E2B">
        <w:rPr>
          <w:rFonts w:ascii="Cambria" w:hAnsi="Cambria"/>
          <w:sz w:val="21"/>
          <w:szCs w:val="21"/>
          <w:lang w:val="es-MX"/>
        </w:rPr>
        <w:t>poso, y sus actividades usuales</w:t>
      </w:r>
      <w:r w:rsidR="004A6363" w:rsidRPr="00704E2B">
        <w:rPr>
          <w:rFonts w:ascii="Cambria" w:hAnsi="Cambria"/>
          <w:sz w:val="21"/>
          <w:szCs w:val="21"/>
          <w:lang w:val="es-MX"/>
        </w:rPr>
        <w:t xml:space="preserve">. </w:t>
      </w:r>
      <w:r w:rsidR="008630ED" w:rsidRPr="00704E2B">
        <w:rPr>
          <w:rFonts w:ascii="Cambria" w:hAnsi="Cambria"/>
          <w:sz w:val="21"/>
          <w:szCs w:val="21"/>
          <w:lang w:val="es-MX"/>
        </w:rPr>
        <w:t xml:space="preserve">En su última comunicación agregaron que se habrían producido </w:t>
      </w:r>
      <w:r w:rsidR="00BB5C1A" w:rsidRPr="00704E2B">
        <w:rPr>
          <w:rFonts w:ascii="Cambria" w:hAnsi="Cambria"/>
          <w:sz w:val="21"/>
          <w:szCs w:val="21"/>
          <w:lang w:val="es-MX"/>
        </w:rPr>
        <w:t xml:space="preserve">incidentes </w:t>
      </w:r>
      <w:r w:rsidR="008630ED" w:rsidRPr="00704E2B">
        <w:rPr>
          <w:rFonts w:ascii="Cambria" w:hAnsi="Cambria"/>
          <w:sz w:val="21"/>
          <w:szCs w:val="21"/>
          <w:lang w:val="es-MX"/>
        </w:rPr>
        <w:t xml:space="preserve">relacionados </w:t>
      </w:r>
      <w:r w:rsidR="00BB5C1A" w:rsidRPr="00704E2B">
        <w:rPr>
          <w:rFonts w:ascii="Cambria" w:hAnsi="Cambria"/>
          <w:sz w:val="21"/>
          <w:szCs w:val="21"/>
          <w:lang w:val="es-MX"/>
        </w:rPr>
        <w:t xml:space="preserve">con la vigilancia por los lugares de trabajo y vivienda de </w:t>
      </w:r>
      <w:r w:rsidRPr="00704E2B">
        <w:rPr>
          <w:rFonts w:ascii="Cambria" w:hAnsi="Cambria"/>
          <w:sz w:val="21"/>
          <w:szCs w:val="21"/>
          <w:lang w:val="es-MX"/>
        </w:rPr>
        <w:t>la propuesta beneficiaria</w:t>
      </w:r>
      <w:r w:rsidR="00BB5C1A" w:rsidRPr="00704E2B">
        <w:rPr>
          <w:rFonts w:ascii="Cambria" w:hAnsi="Cambria"/>
          <w:sz w:val="21"/>
          <w:szCs w:val="21"/>
          <w:lang w:val="es-MX"/>
        </w:rPr>
        <w:t>, su familia y el colectivo que representa</w:t>
      </w:r>
      <w:r w:rsidR="00BB5C1A" w:rsidRPr="00704E2B">
        <w:rPr>
          <w:rStyle w:val="FootnoteReference"/>
          <w:rFonts w:ascii="Cambria" w:hAnsi="Cambria"/>
          <w:sz w:val="21"/>
          <w:szCs w:val="21"/>
          <w:lang w:val="es-MX"/>
        </w:rPr>
        <w:footnoteReference w:id="20"/>
      </w:r>
      <w:r w:rsidR="00BB5C1A" w:rsidRPr="00704E2B">
        <w:rPr>
          <w:rFonts w:ascii="Cambria" w:hAnsi="Cambria"/>
          <w:sz w:val="21"/>
          <w:szCs w:val="21"/>
          <w:lang w:val="es-MX"/>
        </w:rPr>
        <w:t xml:space="preserve">. </w:t>
      </w:r>
    </w:p>
    <w:p w:rsidR="004A4724" w:rsidRPr="00704E2B" w:rsidRDefault="004A4724" w:rsidP="00E4276C">
      <w:pPr>
        <w:pStyle w:val="ListParagraph"/>
        <w:spacing w:after="0" w:line="240" w:lineRule="auto"/>
        <w:ind w:left="0" w:firstLine="360"/>
        <w:jc w:val="both"/>
        <w:rPr>
          <w:rFonts w:ascii="Cambria" w:hAnsi="Cambria"/>
          <w:sz w:val="21"/>
          <w:szCs w:val="21"/>
          <w:lang w:val="es-MX"/>
        </w:rPr>
      </w:pPr>
    </w:p>
    <w:p w:rsidR="00DD3FF4" w:rsidRPr="00704E2B" w:rsidRDefault="00AA0657" w:rsidP="002520B0">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Con base en lo anterior, la Comisión observa que la información presentada en su conjunto, sugiere que la</w:t>
      </w:r>
      <w:r w:rsidR="00CB602D" w:rsidRPr="00704E2B">
        <w:rPr>
          <w:rFonts w:ascii="Cambria" w:hAnsi="Cambria"/>
          <w:sz w:val="21"/>
          <w:szCs w:val="21"/>
          <w:lang w:val="es-MX"/>
        </w:rPr>
        <w:t xml:space="preserve"> propuesta beneficiaria se ha encontrado expuesta a </w:t>
      </w:r>
      <w:r w:rsidR="00416C46" w:rsidRPr="00704E2B">
        <w:rPr>
          <w:rFonts w:ascii="Cambria" w:hAnsi="Cambria"/>
          <w:sz w:val="21"/>
          <w:szCs w:val="21"/>
          <w:lang w:val="es-MX"/>
        </w:rPr>
        <w:t xml:space="preserve">recurrentes </w:t>
      </w:r>
      <w:r w:rsidR="00CB602D" w:rsidRPr="00704E2B">
        <w:rPr>
          <w:rFonts w:ascii="Cambria" w:hAnsi="Cambria"/>
          <w:sz w:val="21"/>
          <w:szCs w:val="21"/>
          <w:lang w:val="es-MX"/>
        </w:rPr>
        <w:t xml:space="preserve">situaciones </w:t>
      </w:r>
      <w:r w:rsidRPr="00704E2B">
        <w:rPr>
          <w:rFonts w:ascii="Cambria" w:hAnsi="Cambria"/>
          <w:sz w:val="21"/>
          <w:szCs w:val="21"/>
          <w:lang w:val="es-MX"/>
        </w:rPr>
        <w:t>de riesgo</w:t>
      </w:r>
      <w:r w:rsidR="00D52887" w:rsidRPr="00704E2B">
        <w:rPr>
          <w:rFonts w:ascii="Cambria" w:hAnsi="Cambria"/>
          <w:sz w:val="21"/>
          <w:szCs w:val="21"/>
          <w:lang w:val="es-MX"/>
        </w:rPr>
        <w:t xml:space="preserve"> entre los a</w:t>
      </w:r>
      <w:proofErr w:type="spellStart"/>
      <w:r w:rsidR="00D52887" w:rsidRPr="00704E2B">
        <w:rPr>
          <w:rFonts w:ascii="Cambria" w:hAnsi="Cambria"/>
          <w:sz w:val="21"/>
          <w:szCs w:val="21"/>
          <w:lang w:val="es-ES_tradnl"/>
        </w:rPr>
        <w:t>ños</w:t>
      </w:r>
      <w:proofErr w:type="spellEnd"/>
      <w:r w:rsidR="00D52887" w:rsidRPr="00704E2B">
        <w:rPr>
          <w:rFonts w:ascii="Cambria" w:hAnsi="Cambria"/>
          <w:sz w:val="21"/>
          <w:szCs w:val="21"/>
          <w:lang w:val="es-ES_tradnl"/>
        </w:rPr>
        <w:t xml:space="preserve"> 2016 y 2017</w:t>
      </w:r>
      <w:r w:rsidRPr="00704E2B">
        <w:rPr>
          <w:rFonts w:ascii="Cambria" w:hAnsi="Cambria"/>
          <w:sz w:val="21"/>
          <w:szCs w:val="21"/>
          <w:lang w:val="es-MX"/>
        </w:rPr>
        <w:t xml:space="preserve">, incluyendo </w:t>
      </w:r>
      <w:r w:rsidR="00D52887" w:rsidRPr="00704E2B">
        <w:rPr>
          <w:rFonts w:ascii="Cambria" w:hAnsi="Cambria"/>
          <w:sz w:val="21"/>
          <w:szCs w:val="21"/>
          <w:lang w:val="es-MX"/>
        </w:rPr>
        <w:t xml:space="preserve">presuntos hechos que pueden ser entendidos como </w:t>
      </w:r>
      <w:r w:rsidRPr="00704E2B">
        <w:rPr>
          <w:rFonts w:ascii="Cambria" w:hAnsi="Cambria"/>
          <w:sz w:val="21"/>
          <w:szCs w:val="21"/>
          <w:lang w:val="es-MX"/>
        </w:rPr>
        <w:t>amenazas</w:t>
      </w:r>
      <w:r w:rsidR="00D52887" w:rsidRPr="00704E2B">
        <w:rPr>
          <w:rFonts w:ascii="Cambria" w:hAnsi="Cambria"/>
          <w:sz w:val="21"/>
          <w:szCs w:val="21"/>
          <w:lang w:val="es-MX"/>
        </w:rPr>
        <w:t xml:space="preserve"> directas contra ella y su esposo</w:t>
      </w:r>
      <w:r w:rsidRPr="00704E2B">
        <w:rPr>
          <w:rFonts w:ascii="Cambria" w:hAnsi="Cambria"/>
          <w:sz w:val="21"/>
          <w:szCs w:val="21"/>
          <w:lang w:val="es-MX"/>
        </w:rPr>
        <w:t xml:space="preserve">, </w:t>
      </w:r>
      <w:r w:rsidR="00D52887" w:rsidRPr="00704E2B">
        <w:rPr>
          <w:rFonts w:ascii="Cambria" w:hAnsi="Cambria"/>
          <w:sz w:val="21"/>
          <w:szCs w:val="21"/>
          <w:lang w:val="es-MX"/>
        </w:rPr>
        <w:t xml:space="preserve">así como </w:t>
      </w:r>
      <w:r w:rsidRPr="00704E2B">
        <w:rPr>
          <w:rFonts w:ascii="Cambria" w:hAnsi="Cambria"/>
          <w:sz w:val="21"/>
          <w:szCs w:val="21"/>
          <w:lang w:val="es-MX"/>
        </w:rPr>
        <w:t>hostigamientos.</w:t>
      </w:r>
      <w:r w:rsidR="00CB602D" w:rsidRPr="00704E2B">
        <w:rPr>
          <w:rFonts w:ascii="Cambria" w:hAnsi="Cambria"/>
          <w:sz w:val="21"/>
          <w:szCs w:val="21"/>
          <w:lang w:val="es-MX"/>
        </w:rPr>
        <w:t xml:space="preserve"> L</w:t>
      </w:r>
      <w:r w:rsidR="00416C46" w:rsidRPr="00704E2B">
        <w:rPr>
          <w:rFonts w:ascii="Cambria" w:hAnsi="Cambria"/>
          <w:sz w:val="21"/>
          <w:szCs w:val="21"/>
          <w:lang w:val="es-MX"/>
        </w:rPr>
        <w:t>o</w:t>
      </w:r>
      <w:r w:rsidR="00CB602D" w:rsidRPr="00704E2B">
        <w:rPr>
          <w:rFonts w:ascii="Cambria" w:hAnsi="Cambria"/>
          <w:sz w:val="21"/>
          <w:szCs w:val="21"/>
          <w:lang w:val="es-MX"/>
        </w:rPr>
        <w:t xml:space="preserve"> anterior</w:t>
      </w:r>
      <w:r w:rsidR="00416C46" w:rsidRPr="00704E2B">
        <w:rPr>
          <w:rFonts w:ascii="Cambria" w:hAnsi="Cambria"/>
          <w:sz w:val="21"/>
          <w:szCs w:val="21"/>
          <w:lang w:val="es-MX"/>
        </w:rPr>
        <w:t xml:space="preserve">, </w:t>
      </w:r>
      <w:r w:rsidR="00D52887" w:rsidRPr="00704E2B">
        <w:rPr>
          <w:rFonts w:ascii="Cambria" w:hAnsi="Cambria"/>
          <w:sz w:val="21"/>
          <w:szCs w:val="21"/>
          <w:lang w:val="es-MX"/>
        </w:rPr>
        <w:t xml:space="preserve">en un contexto donde durante 2017 </w:t>
      </w:r>
      <w:r w:rsidR="002520B0" w:rsidRPr="00704E2B">
        <w:rPr>
          <w:rFonts w:ascii="Cambria" w:hAnsi="Cambria"/>
          <w:sz w:val="21"/>
          <w:szCs w:val="21"/>
          <w:lang w:val="es-MX"/>
        </w:rPr>
        <w:t>habría sido</w:t>
      </w:r>
      <w:r w:rsidR="00D52887" w:rsidRPr="00704E2B">
        <w:rPr>
          <w:rFonts w:ascii="Cambria" w:hAnsi="Cambria"/>
          <w:sz w:val="21"/>
          <w:szCs w:val="21"/>
          <w:lang w:val="es-MX"/>
        </w:rPr>
        <w:t xml:space="preserve"> asesinado una persona de la organización que ella coordina, tras presuntamente previamente recibir amenazas por su oposición a las tarifas de energía eléctrica. </w:t>
      </w:r>
      <w:r w:rsidR="00416C46" w:rsidRPr="00704E2B">
        <w:rPr>
          <w:rFonts w:ascii="Cambria" w:hAnsi="Cambria"/>
          <w:sz w:val="21"/>
          <w:szCs w:val="21"/>
          <w:lang w:val="es-MX"/>
        </w:rPr>
        <w:t xml:space="preserve">Asimismo,  </w:t>
      </w:r>
      <w:r w:rsidRPr="00704E2B">
        <w:rPr>
          <w:rFonts w:ascii="Cambria" w:hAnsi="Cambria"/>
          <w:sz w:val="21"/>
          <w:szCs w:val="21"/>
          <w:lang w:val="es-MX"/>
        </w:rPr>
        <w:t xml:space="preserve">según los solicitantes, </w:t>
      </w:r>
      <w:r w:rsidR="00416C46" w:rsidRPr="00704E2B">
        <w:rPr>
          <w:rFonts w:ascii="Cambria" w:hAnsi="Cambria"/>
          <w:sz w:val="21"/>
          <w:szCs w:val="21"/>
          <w:lang w:val="es-MX"/>
        </w:rPr>
        <w:t xml:space="preserve">la situación de riesgo </w:t>
      </w:r>
      <w:r w:rsidR="009C043F" w:rsidRPr="00704E2B">
        <w:rPr>
          <w:rFonts w:ascii="Cambria" w:hAnsi="Cambria"/>
          <w:sz w:val="21"/>
          <w:szCs w:val="21"/>
          <w:lang w:val="es-MX"/>
        </w:rPr>
        <w:t xml:space="preserve">se habría incrementado </w:t>
      </w:r>
      <w:r w:rsidRPr="00704E2B">
        <w:rPr>
          <w:rFonts w:ascii="Cambria" w:hAnsi="Cambria"/>
          <w:sz w:val="21"/>
          <w:szCs w:val="21"/>
          <w:lang w:val="es-MX"/>
        </w:rPr>
        <w:t xml:space="preserve">de manera reciente, </w:t>
      </w:r>
      <w:r w:rsidR="009C043F" w:rsidRPr="00704E2B">
        <w:rPr>
          <w:rFonts w:ascii="Cambria" w:hAnsi="Cambria"/>
          <w:sz w:val="21"/>
          <w:szCs w:val="21"/>
          <w:lang w:val="es-MX"/>
        </w:rPr>
        <w:t xml:space="preserve">en vista de que se habría tenido que desplazar </w:t>
      </w:r>
      <w:r w:rsidR="006C0B84" w:rsidRPr="00704E2B">
        <w:rPr>
          <w:rFonts w:ascii="Cambria" w:hAnsi="Cambria"/>
          <w:sz w:val="21"/>
          <w:szCs w:val="21"/>
          <w:lang w:val="es-MX"/>
        </w:rPr>
        <w:t>a un campamento tras el sismo</w:t>
      </w:r>
      <w:r w:rsidR="009C043F" w:rsidRPr="00704E2B">
        <w:rPr>
          <w:rFonts w:ascii="Cambria" w:hAnsi="Cambria"/>
          <w:sz w:val="21"/>
          <w:szCs w:val="21"/>
          <w:lang w:val="es-MX"/>
        </w:rPr>
        <w:t xml:space="preserve"> ocurrido en septiembre de este año</w:t>
      </w:r>
      <w:r w:rsidR="006C0B84" w:rsidRPr="00704E2B">
        <w:rPr>
          <w:rFonts w:ascii="Cambria" w:hAnsi="Cambria"/>
          <w:sz w:val="21"/>
          <w:szCs w:val="21"/>
          <w:lang w:val="es-MX"/>
        </w:rPr>
        <w:t xml:space="preserve">. </w:t>
      </w:r>
      <w:r w:rsidR="009C043F" w:rsidRPr="00704E2B">
        <w:rPr>
          <w:rFonts w:ascii="Cambria" w:hAnsi="Cambria"/>
          <w:sz w:val="21"/>
          <w:szCs w:val="21"/>
          <w:lang w:val="es-MX"/>
        </w:rPr>
        <w:t>Dicho riesgo</w:t>
      </w:r>
      <w:r w:rsidR="00D3710B" w:rsidRPr="00704E2B">
        <w:rPr>
          <w:rFonts w:ascii="Cambria" w:hAnsi="Cambria"/>
          <w:sz w:val="21"/>
          <w:szCs w:val="21"/>
          <w:lang w:val="es-MX"/>
        </w:rPr>
        <w:t xml:space="preserve">, </w:t>
      </w:r>
      <w:r w:rsidR="009C043F" w:rsidRPr="00704E2B">
        <w:rPr>
          <w:rFonts w:ascii="Cambria" w:hAnsi="Cambria"/>
          <w:sz w:val="21"/>
          <w:szCs w:val="21"/>
          <w:lang w:val="es-MX"/>
        </w:rPr>
        <w:t xml:space="preserve">estaría fundado en que, según </w:t>
      </w:r>
      <w:r w:rsidR="00D3710B" w:rsidRPr="00704E2B">
        <w:rPr>
          <w:rFonts w:ascii="Cambria" w:hAnsi="Cambria"/>
          <w:sz w:val="21"/>
          <w:szCs w:val="21"/>
          <w:lang w:val="es-MX"/>
        </w:rPr>
        <w:t>los solicitantes</w:t>
      </w:r>
      <w:r w:rsidR="009C043F" w:rsidRPr="00704E2B">
        <w:rPr>
          <w:rFonts w:ascii="Cambria" w:hAnsi="Cambria"/>
          <w:sz w:val="21"/>
          <w:szCs w:val="21"/>
          <w:lang w:val="es-MX"/>
        </w:rPr>
        <w:t>,</w:t>
      </w:r>
      <w:r w:rsidR="00D3710B" w:rsidRPr="00704E2B">
        <w:rPr>
          <w:rFonts w:ascii="Cambria" w:hAnsi="Cambria"/>
          <w:sz w:val="21"/>
          <w:szCs w:val="21"/>
          <w:lang w:val="es-MX"/>
        </w:rPr>
        <w:t xml:space="preserve"> existirían sicarios </w:t>
      </w:r>
      <w:r w:rsidR="004A6363" w:rsidRPr="00704E2B">
        <w:rPr>
          <w:rFonts w:ascii="Cambria" w:hAnsi="Cambria"/>
          <w:sz w:val="21"/>
          <w:szCs w:val="21"/>
          <w:lang w:val="es-MX"/>
        </w:rPr>
        <w:t>que operarían como “mecanismo de amedrentamiento”</w:t>
      </w:r>
      <w:r w:rsidR="009D4495" w:rsidRPr="00704E2B">
        <w:rPr>
          <w:rFonts w:ascii="Cambria" w:hAnsi="Cambria"/>
          <w:sz w:val="21"/>
          <w:szCs w:val="21"/>
          <w:lang w:val="es-MX"/>
        </w:rPr>
        <w:t xml:space="preserve">. En ese contexto, </w:t>
      </w:r>
      <w:r w:rsidR="009C043F" w:rsidRPr="00704E2B">
        <w:rPr>
          <w:rFonts w:ascii="Cambria" w:hAnsi="Cambria"/>
          <w:sz w:val="21"/>
          <w:szCs w:val="21"/>
          <w:lang w:val="es-MX"/>
        </w:rPr>
        <w:t xml:space="preserve">los solicitantes informaron </w:t>
      </w:r>
      <w:r w:rsidR="002520B0" w:rsidRPr="00704E2B">
        <w:rPr>
          <w:rFonts w:ascii="Cambria" w:hAnsi="Cambria"/>
          <w:sz w:val="21"/>
          <w:szCs w:val="21"/>
          <w:lang w:val="es-MX"/>
        </w:rPr>
        <w:t>respecto de una persona, presuntamente ligada</w:t>
      </w:r>
      <w:r w:rsidR="009D4495" w:rsidRPr="00704E2B">
        <w:rPr>
          <w:rFonts w:ascii="Cambria" w:hAnsi="Cambria"/>
          <w:sz w:val="21"/>
          <w:szCs w:val="21"/>
          <w:lang w:val="es-MX"/>
        </w:rPr>
        <w:t xml:space="preserve"> al ayuntamiento de Juchitán</w:t>
      </w:r>
      <w:r w:rsidR="002520B0" w:rsidRPr="00704E2B">
        <w:rPr>
          <w:rFonts w:ascii="Cambria" w:hAnsi="Cambria"/>
          <w:sz w:val="21"/>
          <w:szCs w:val="21"/>
          <w:lang w:val="es-MX"/>
        </w:rPr>
        <w:t xml:space="preserve"> y </w:t>
      </w:r>
      <w:r w:rsidR="009D4495" w:rsidRPr="00704E2B">
        <w:rPr>
          <w:rFonts w:ascii="Cambria" w:hAnsi="Cambria"/>
          <w:sz w:val="21"/>
          <w:szCs w:val="21"/>
          <w:lang w:val="es-MX"/>
        </w:rPr>
        <w:t xml:space="preserve">a </w:t>
      </w:r>
      <w:r w:rsidR="009C043F" w:rsidRPr="00704E2B">
        <w:rPr>
          <w:rFonts w:ascii="Cambria" w:hAnsi="Cambria"/>
          <w:sz w:val="21"/>
          <w:szCs w:val="21"/>
          <w:lang w:val="es-MX"/>
        </w:rPr>
        <w:t xml:space="preserve">la empresa que desarrolla el proyecto eólico, que habría participado en </w:t>
      </w:r>
      <w:r w:rsidR="009D4495" w:rsidRPr="00704E2B">
        <w:rPr>
          <w:rFonts w:ascii="Cambria" w:hAnsi="Cambria"/>
          <w:sz w:val="21"/>
          <w:szCs w:val="21"/>
          <w:lang w:val="es-MX"/>
        </w:rPr>
        <w:t>actividades ilícitas que involucrarían</w:t>
      </w:r>
      <w:r w:rsidR="002520B0" w:rsidRPr="00704E2B">
        <w:rPr>
          <w:rFonts w:ascii="Cambria" w:hAnsi="Cambria"/>
          <w:sz w:val="21"/>
          <w:szCs w:val="21"/>
          <w:lang w:val="es-MX"/>
        </w:rPr>
        <w:t xml:space="preserve"> presuntos</w:t>
      </w:r>
      <w:r w:rsidR="009D4495" w:rsidRPr="00704E2B">
        <w:rPr>
          <w:rFonts w:ascii="Cambria" w:hAnsi="Cambria"/>
          <w:sz w:val="21"/>
          <w:szCs w:val="21"/>
          <w:lang w:val="es-MX"/>
        </w:rPr>
        <w:t xml:space="preserve"> </w:t>
      </w:r>
      <w:r w:rsidR="002520B0" w:rsidRPr="00704E2B">
        <w:rPr>
          <w:rFonts w:ascii="Cambria" w:hAnsi="Cambria"/>
          <w:sz w:val="21"/>
          <w:szCs w:val="21"/>
          <w:lang w:val="es-MX"/>
        </w:rPr>
        <w:t xml:space="preserve">asesinatos </w:t>
      </w:r>
      <w:r w:rsidR="009D4495" w:rsidRPr="00704E2B">
        <w:rPr>
          <w:rFonts w:ascii="Cambria" w:hAnsi="Cambria"/>
          <w:sz w:val="21"/>
          <w:szCs w:val="21"/>
          <w:lang w:val="es-MX"/>
        </w:rPr>
        <w:t>en Juchitán</w:t>
      </w:r>
      <w:r w:rsidR="00C76A9B" w:rsidRPr="00704E2B">
        <w:rPr>
          <w:rFonts w:ascii="Cambria" w:hAnsi="Cambria"/>
          <w:sz w:val="21"/>
          <w:szCs w:val="21"/>
          <w:lang w:val="es-MX"/>
        </w:rPr>
        <w:t xml:space="preserve"> (ver supra párr. 7)</w:t>
      </w:r>
      <w:r w:rsidR="009D4495" w:rsidRPr="00704E2B">
        <w:rPr>
          <w:rFonts w:ascii="Cambria" w:hAnsi="Cambria"/>
          <w:sz w:val="21"/>
          <w:szCs w:val="21"/>
          <w:lang w:val="es-MX"/>
        </w:rPr>
        <w:t xml:space="preserve">. </w:t>
      </w:r>
    </w:p>
    <w:p w:rsidR="00DD3FF4" w:rsidRPr="00704E2B" w:rsidRDefault="00DD3FF4" w:rsidP="00E4276C">
      <w:pPr>
        <w:pStyle w:val="ListParagraph"/>
        <w:spacing w:after="0" w:line="240" w:lineRule="auto"/>
        <w:ind w:left="0" w:firstLine="360"/>
        <w:jc w:val="both"/>
        <w:rPr>
          <w:rFonts w:ascii="Cambria" w:hAnsi="Cambria"/>
          <w:sz w:val="21"/>
          <w:szCs w:val="21"/>
          <w:lang w:val="es-MX"/>
        </w:rPr>
      </w:pPr>
    </w:p>
    <w:p w:rsidR="0011594C" w:rsidRPr="00704E2B" w:rsidRDefault="00404EE2" w:rsidP="00AA0657">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 xml:space="preserve">Con base en lo anterior, teniendo en cuenta las características específicas del presente asunto, la Comisión considera que la suma de los elementos con que cuenta en el expediente, vistos desde el estándar </w:t>
      </w:r>
      <w:r w:rsidRPr="00704E2B">
        <w:rPr>
          <w:rFonts w:ascii="Cambria" w:hAnsi="Cambria"/>
          <w:i/>
          <w:sz w:val="21"/>
          <w:szCs w:val="21"/>
          <w:lang w:val="es-MX"/>
        </w:rPr>
        <w:t>prima facie</w:t>
      </w:r>
      <w:r w:rsidRPr="00704E2B">
        <w:rPr>
          <w:rFonts w:ascii="Cambria" w:hAnsi="Cambria"/>
          <w:sz w:val="21"/>
          <w:szCs w:val="21"/>
          <w:lang w:val="es-MX"/>
        </w:rPr>
        <w:t xml:space="preserve"> aplicable al mecanismo de medidas cautelares, permite considerar que la propuesta beneficiaria y su familia se encuentran en una situación de riesgo de sus derechos a la vida e integridad. </w:t>
      </w:r>
      <w:r w:rsidR="00DD3FF4" w:rsidRPr="00704E2B">
        <w:rPr>
          <w:rFonts w:ascii="Cambria" w:hAnsi="Cambria"/>
          <w:sz w:val="21"/>
          <w:szCs w:val="21"/>
          <w:lang w:val="es-MX"/>
        </w:rPr>
        <w:t xml:space="preserve"> </w:t>
      </w:r>
    </w:p>
    <w:p w:rsidR="00796606" w:rsidRPr="00704E2B" w:rsidRDefault="00796606" w:rsidP="00E4276C">
      <w:pPr>
        <w:pStyle w:val="ListParagraph"/>
        <w:spacing w:after="0" w:line="240" w:lineRule="auto"/>
        <w:ind w:left="0" w:firstLine="360"/>
        <w:jc w:val="both"/>
        <w:rPr>
          <w:rFonts w:ascii="Cambria" w:hAnsi="Cambria"/>
          <w:sz w:val="21"/>
          <w:szCs w:val="21"/>
          <w:lang w:val="es-MX"/>
        </w:rPr>
      </w:pPr>
    </w:p>
    <w:p w:rsidR="008630ED" w:rsidRPr="00704E2B" w:rsidRDefault="00796606"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 xml:space="preserve">En cuanto al requisito de urgencia, </w:t>
      </w:r>
      <w:r w:rsidR="00B3155A" w:rsidRPr="00704E2B">
        <w:rPr>
          <w:rFonts w:ascii="Cambria" w:hAnsi="Cambria"/>
          <w:sz w:val="21"/>
          <w:szCs w:val="21"/>
          <w:lang w:val="es-MX"/>
        </w:rPr>
        <w:t>l</w:t>
      </w:r>
      <w:r w:rsidR="005E117B" w:rsidRPr="00704E2B">
        <w:rPr>
          <w:rFonts w:ascii="Cambria" w:hAnsi="Cambria"/>
          <w:sz w:val="21"/>
          <w:szCs w:val="21"/>
          <w:lang w:val="es-MX"/>
        </w:rPr>
        <w:t xml:space="preserve">a Comisión </w:t>
      </w:r>
      <w:r w:rsidR="008630ED" w:rsidRPr="00704E2B">
        <w:rPr>
          <w:rFonts w:ascii="Cambria" w:hAnsi="Cambria"/>
          <w:sz w:val="21"/>
          <w:szCs w:val="21"/>
          <w:lang w:val="es-MX"/>
        </w:rPr>
        <w:t xml:space="preserve">advierte que </w:t>
      </w:r>
      <w:r w:rsidR="009306C8" w:rsidRPr="00704E2B">
        <w:rPr>
          <w:rFonts w:ascii="Cambria" w:hAnsi="Cambria"/>
          <w:sz w:val="21"/>
          <w:szCs w:val="21"/>
          <w:lang w:val="es-MX"/>
        </w:rPr>
        <w:t xml:space="preserve">frente a la situación de gravedad en que se encuentra </w:t>
      </w:r>
      <w:r w:rsidR="005E117B" w:rsidRPr="00704E2B">
        <w:rPr>
          <w:rFonts w:ascii="Cambria" w:hAnsi="Cambria"/>
          <w:sz w:val="21"/>
          <w:szCs w:val="21"/>
          <w:lang w:val="es-MX"/>
        </w:rPr>
        <w:t>la propuesta beneficiaria</w:t>
      </w:r>
      <w:r w:rsidR="008630ED" w:rsidRPr="00704E2B">
        <w:rPr>
          <w:rFonts w:ascii="Cambria" w:hAnsi="Cambria"/>
          <w:sz w:val="21"/>
          <w:szCs w:val="21"/>
          <w:lang w:val="es-MX"/>
        </w:rPr>
        <w:t xml:space="preserve">, el Estado ha </w:t>
      </w:r>
      <w:r w:rsidR="004B58B8" w:rsidRPr="00704E2B">
        <w:rPr>
          <w:rFonts w:ascii="Cambria" w:hAnsi="Cambria"/>
          <w:sz w:val="21"/>
          <w:szCs w:val="21"/>
          <w:lang w:val="es-MX"/>
        </w:rPr>
        <w:t xml:space="preserve">informado sobre las </w:t>
      </w:r>
      <w:r w:rsidR="005E117B" w:rsidRPr="00704E2B">
        <w:rPr>
          <w:rFonts w:ascii="Cambria" w:hAnsi="Cambria"/>
          <w:sz w:val="21"/>
          <w:szCs w:val="21"/>
          <w:lang w:val="es-MX"/>
        </w:rPr>
        <w:t xml:space="preserve">medidas de protección </w:t>
      </w:r>
      <w:r w:rsidR="008630ED" w:rsidRPr="00704E2B">
        <w:rPr>
          <w:rFonts w:ascii="Cambria" w:hAnsi="Cambria"/>
          <w:sz w:val="21"/>
          <w:szCs w:val="21"/>
          <w:lang w:val="es-MX"/>
        </w:rPr>
        <w:t>a</w:t>
      </w:r>
      <w:r w:rsidR="004B58B8" w:rsidRPr="00704E2B">
        <w:rPr>
          <w:rFonts w:ascii="Cambria" w:hAnsi="Cambria"/>
          <w:sz w:val="21"/>
          <w:szCs w:val="21"/>
          <w:lang w:val="es-MX"/>
        </w:rPr>
        <w:t xml:space="preserve">doptadas </w:t>
      </w:r>
      <w:r w:rsidR="008630ED" w:rsidRPr="00704E2B">
        <w:rPr>
          <w:rFonts w:ascii="Cambria" w:hAnsi="Cambria"/>
          <w:sz w:val="21"/>
          <w:szCs w:val="21"/>
          <w:lang w:val="es-MX"/>
        </w:rPr>
        <w:t xml:space="preserve"> su favor considerando que se encuentra </w:t>
      </w:r>
      <w:r w:rsidR="00C97EC3" w:rsidRPr="00704E2B">
        <w:rPr>
          <w:rFonts w:ascii="Cambria" w:hAnsi="Cambria"/>
          <w:sz w:val="21"/>
          <w:szCs w:val="21"/>
          <w:lang w:val="es-MX"/>
        </w:rPr>
        <w:t xml:space="preserve">bajo </w:t>
      </w:r>
      <w:r w:rsidR="004969FB" w:rsidRPr="00704E2B">
        <w:rPr>
          <w:rFonts w:ascii="Cambria" w:hAnsi="Cambria"/>
          <w:sz w:val="21"/>
          <w:szCs w:val="21"/>
          <w:lang w:val="es-MX"/>
        </w:rPr>
        <w:t>riesgo “extraordinario”</w:t>
      </w:r>
      <w:r w:rsidR="001647F2" w:rsidRPr="00704E2B">
        <w:rPr>
          <w:rFonts w:ascii="Cambria" w:hAnsi="Cambria"/>
          <w:sz w:val="21"/>
          <w:szCs w:val="21"/>
          <w:lang w:val="es-MX"/>
        </w:rPr>
        <w:t>.</w:t>
      </w:r>
      <w:r w:rsidR="00B014C2" w:rsidRPr="00704E2B">
        <w:rPr>
          <w:rFonts w:ascii="Cambria" w:hAnsi="Cambria"/>
          <w:sz w:val="21"/>
          <w:szCs w:val="21"/>
          <w:lang w:val="es-MX"/>
        </w:rPr>
        <w:t xml:space="preserve"> </w:t>
      </w:r>
    </w:p>
    <w:p w:rsidR="008630ED" w:rsidRPr="00704E2B" w:rsidRDefault="008630ED" w:rsidP="00E4276C">
      <w:pPr>
        <w:pStyle w:val="ListParagraph"/>
        <w:spacing w:after="0" w:line="240" w:lineRule="auto"/>
        <w:ind w:left="0" w:firstLine="360"/>
        <w:jc w:val="both"/>
        <w:rPr>
          <w:rFonts w:ascii="Cambria" w:hAnsi="Cambria"/>
          <w:sz w:val="21"/>
          <w:szCs w:val="21"/>
          <w:lang w:val="es-MX"/>
        </w:rPr>
      </w:pPr>
    </w:p>
    <w:p w:rsidR="00731BAE" w:rsidRPr="00704E2B" w:rsidRDefault="008630ED"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En relación con dicho esquema, l</w:t>
      </w:r>
      <w:r w:rsidR="00BA0DFD" w:rsidRPr="00704E2B">
        <w:rPr>
          <w:rFonts w:ascii="Cambria" w:hAnsi="Cambria"/>
          <w:sz w:val="21"/>
          <w:szCs w:val="21"/>
          <w:lang w:val="es-MX"/>
        </w:rPr>
        <w:t xml:space="preserve">os solicitantes </w:t>
      </w:r>
      <w:r w:rsidR="00C97EC3" w:rsidRPr="00704E2B">
        <w:rPr>
          <w:rFonts w:ascii="Cambria" w:hAnsi="Cambria"/>
          <w:sz w:val="21"/>
          <w:szCs w:val="21"/>
          <w:lang w:val="es-MX"/>
        </w:rPr>
        <w:t>han</w:t>
      </w:r>
      <w:r w:rsidR="00BA0DFD" w:rsidRPr="00704E2B">
        <w:rPr>
          <w:rFonts w:ascii="Cambria" w:hAnsi="Cambria"/>
          <w:sz w:val="21"/>
          <w:szCs w:val="21"/>
          <w:lang w:val="es-MX"/>
        </w:rPr>
        <w:t xml:space="preserve"> </w:t>
      </w:r>
      <w:r w:rsidRPr="00704E2B">
        <w:rPr>
          <w:rFonts w:ascii="Cambria" w:hAnsi="Cambria"/>
          <w:sz w:val="21"/>
          <w:szCs w:val="21"/>
          <w:lang w:val="es-MX"/>
        </w:rPr>
        <w:t>informado sobre una serie de presuntas falencias que harían que no resulte idóneo y efectivo</w:t>
      </w:r>
      <w:r w:rsidR="00374E58" w:rsidRPr="00704E2B">
        <w:rPr>
          <w:rFonts w:ascii="Cambria" w:hAnsi="Cambria"/>
          <w:sz w:val="21"/>
          <w:szCs w:val="21"/>
          <w:lang w:val="es-MX"/>
        </w:rPr>
        <w:t xml:space="preserve">. </w:t>
      </w:r>
      <w:r w:rsidR="0011594C" w:rsidRPr="00704E2B">
        <w:rPr>
          <w:rFonts w:ascii="Cambria" w:hAnsi="Cambria"/>
          <w:sz w:val="21"/>
          <w:szCs w:val="21"/>
          <w:lang w:val="es-MX"/>
        </w:rPr>
        <w:t>Concretamente</w:t>
      </w:r>
      <w:r w:rsidR="00837728" w:rsidRPr="00704E2B">
        <w:rPr>
          <w:rFonts w:ascii="Cambria" w:hAnsi="Cambria"/>
          <w:sz w:val="21"/>
          <w:szCs w:val="21"/>
          <w:lang w:val="es-MX"/>
        </w:rPr>
        <w:t>,</w:t>
      </w:r>
      <w:r w:rsidRPr="00704E2B">
        <w:rPr>
          <w:rFonts w:ascii="Cambria" w:hAnsi="Cambria"/>
          <w:sz w:val="21"/>
          <w:szCs w:val="21"/>
          <w:lang w:val="es-MX"/>
        </w:rPr>
        <w:t xml:space="preserve"> indicaron que: i) </w:t>
      </w:r>
      <w:r w:rsidR="00BA0DFD" w:rsidRPr="00704E2B">
        <w:rPr>
          <w:rFonts w:ascii="Cambria" w:hAnsi="Cambria"/>
          <w:sz w:val="21"/>
          <w:szCs w:val="21"/>
          <w:lang w:val="es-MX"/>
        </w:rPr>
        <w:t xml:space="preserve">las notificaciones </w:t>
      </w:r>
      <w:r w:rsidR="00837728" w:rsidRPr="00704E2B">
        <w:rPr>
          <w:rFonts w:ascii="Cambria" w:hAnsi="Cambria"/>
          <w:sz w:val="21"/>
          <w:szCs w:val="21"/>
          <w:lang w:val="es-MX"/>
        </w:rPr>
        <w:t xml:space="preserve">con </w:t>
      </w:r>
      <w:r w:rsidR="00BA0DFD" w:rsidRPr="00704E2B">
        <w:rPr>
          <w:rFonts w:ascii="Cambria" w:hAnsi="Cambria"/>
          <w:sz w:val="21"/>
          <w:szCs w:val="21"/>
          <w:lang w:val="es-MX"/>
        </w:rPr>
        <w:t xml:space="preserve">las autoridades </w:t>
      </w:r>
      <w:r w:rsidR="00837728" w:rsidRPr="00704E2B">
        <w:rPr>
          <w:rFonts w:ascii="Cambria" w:hAnsi="Cambria"/>
          <w:sz w:val="21"/>
          <w:szCs w:val="21"/>
          <w:lang w:val="es-MX"/>
        </w:rPr>
        <w:t xml:space="preserve">en cuanto a su situación de riesgo </w:t>
      </w:r>
      <w:r w:rsidR="00BA0DFD" w:rsidRPr="00704E2B">
        <w:rPr>
          <w:rFonts w:ascii="Cambria" w:hAnsi="Cambria"/>
          <w:sz w:val="21"/>
          <w:szCs w:val="21"/>
          <w:lang w:val="es-MX"/>
        </w:rPr>
        <w:t xml:space="preserve">terminan siendo un </w:t>
      </w:r>
      <w:r w:rsidR="00837728" w:rsidRPr="00704E2B">
        <w:rPr>
          <w:rFonts w:ascii="Cambria" w:hAnsi="Cambria"/>
          <w:sz w:val="21"/>
          <w:szCs w:val="21"/>
          <w:lang w:val="es-MX"/>
        </w:rPr>
        <w:t>“</w:t>
      </w:r>
      <w:r w:rsidR="00BA0DFD" w:rsidRPr="00704E2B">
        <w:rPr>
          <w:rFonts w:ascii="Cambria" w:hAnsi="Cambria"/>
          <w:sz w:val="21"/>
          <w:szCs w:val="21"/>
          <w:lang w:val="es-MX"/>
        </w:rPr>
        <w:t>simple cruce de cartas</w:t>
      </w:r>
      <w:r w:rsidR="00837728" w:rsidRPr="00704E2B">
        <w:rPr>
          <w:rFonts w:ascii="Cambria" w:hAnsi="Cambria"/>
          <w:sz w:val="21"/>
          <w:szCs w:val="21"/>
          <w:lang w:val="es-MX"/>
        </w:rPr>
        <w:t>”</w:t>
      </w:r>
      <w:r w:rsidR="00BA0DFD" w:rsidRPr="00704E2B">
        <w:rPr>
          <w:rFonts w:ascii="Cambria" w:hAnsi="Cambria"/>
          <w:sz w:val="21"/>
          <w:szCs w:val="21"/>
          <w:lang w:val="es-MX"/>
        </w:rPr>
        <w:t xml:space="preserve">; </w:t>
      </w:r>
      <w:r w:rsidR="00DB3EAA" w:rsidRPr="00704E2B">
        <w:rPr>
          <w:rFonts w:ascii="Cambria" w:hAnsi="Cambria"/>
          <w:sz w:val="21"/>
          <w:szCs w:val="21"/>
          <w:lang w:val="es-MX"/>
        </w:rPr>
        <w:t xml:space="preserve">el teléfono celular y el botón de pánico </w:t>
      </w:r>
      <w:r w:rsidR="00837728" w:rsidRPr="00704E2B">
        <w:rPr>
          <w:rFonts w:ascii="Cambria" w:hAnsi="Cambria"/>
          <w:sz w:val="21"/>
          <w:szCs w:val="21"/>
          <w:lang w:val="es-MX"/>
        </w:rPr>
        <w:t>no funcionarían de manera adecuada</w:t>
      </w:r>
      <w:r w:rsidR="00DB3EAA" w:rsidRPr="00704E2B">
        <w:rPr>
          <w:rFonts w:ascii="Cambria" w:hAnsi="Cambria"/>
          <w:sz w:val="21"/>
          <w:szCs w:val="21"/>
          <w:lang w:val="es-MX"/>
        </w:rPr>
        <w:t xml:space="preserve">; los rondines </w:t>
      </w:r>
      <w:proofErr w:type="spellStart"/>
      <w:r w:rsidR="00DB3EAA" w:rsidRPr="00704E2B">
        <w:rPr>
          <w:rFonts w:ascii="Cambria" w:hAnsi="Cambria"/>
          <w:sz w:val="21"/>
          <w:szCs w:val="21"/>
          <w:lang w:val="es-MX"/>
        </w:rPr>
        <w:t>bitacorados</w:t>
      </w:r>
      <w:proofErr w:type="spellEnd"/>
      <w:r w:rsidR="00DB3EAA" w:rsidRPr="00704E2B">
        <w:rPr>
          <w:rFonts w:ascii="Cambria" w:hAnsi="Cambria"/>
          <w:sz w:val="21"/>
          <w:szCs w:val="21"/>
          <w:lang w:val="es-MX"/>
        </w:rPr>
        <w:t xml:space="preserve">, no serían efectivos y la señora </w:t>
      </w:r>
      <w:proofErr w:type="spellStart"/>
      <w:r w:rsidR="00DB3EAA" w:rsidRPr="00704E2B">
        <w:rPr>
          <w:rFonts w:ascii="Cambria" w:hAnsi="Cambria"/>
          <w:sz w:val="21"/>
          <w:szCs w:val="21"/>
          <w:lang w:val="es-MX"/>
        </w:rPr>
        <w:t>Bettina</w:t>
      </w:r>
      <w:proofErr w:type="spellEnd"/>
      <w:r w:rsidR="00DB3EAA" w:rsidRPr="00704E2B">
        <w:rPr>
          <w:rFonts w:ascii="Cambria" w:hAnsi="Cambria"/>
          <w:sz w:val="21"/>
          <w:szCs w:val="21"/>
          <w:lang w:val="es-MX"/>
        </w:rPr>
        <w:t xml:space="preserve"> </w:t>
      </w:r>
      <w:r w:rsidR="00CE468B" w:rsidRPr="00704E2B">
        <w:rPr>
          <w:rFonts w:ascii="Cambria" w:hAnsi="Cambria"/>
          <w:sz w:val="21"/>
          <w:szCs w:val="21"/>
          <w:lang w:val="es-MX"/>
        </w:rPr>
        <w:t xml:space="preserve">Cruz de aceptarlos, tendría que costear su </w:t>
      </w:r>
      <w:r w:rsidR="00DB3EAA" w:rsidRPr="00704E2B">
        <w:rPr>
          <w:rFonts w:ascii="Cambria" w:hAnsi="Cambria"/>
          <w:sz w:val="21"/>
          <w:szCs w:val="21"/>
          <w:lang w:val="es-MX"/>
        </w:rPr>
        <w:t>comida y transporte</w:t>
      </w:r>
      <w:r w:rsidR="00837728" w:rsidRPr="00704E2B">
        <w:rPr>
          <w:rFonts w:ascii="Cambria" w:hAnsi="Cambria"/>
          <w:sz w:val="21"/>
          <w:szCs w:val="21"/>
          <w:lang w:val="es-MX"/>
        </w:rPr>
        <w:t xml:space="preserve">. Lo anterior, sin perjuicio de que </w:t>
      </w:r>
      <w:r w:rsidR="00DB3EAA" w:rsidRPr="00704E2B">
        <w:rPr>
          <w:rFonts w:ascii="Cambria" w:hAnsi="Cambria"/>
          <w:sz w:val="21"/>
          <w:szCs w:val="21"/>
          <w:lang w:val="es-MX"/>
        </w:rPr>
        <w:t>los agentes policiales n</w:t>
      </w:r>
      <w:r w:rsidR="002F12A6" w:rsidRPr="00704E2B">
        <w:rPr>
          <w:rFonts w:ascii="Cambria" w:hAnsi="Cambria"/>
          <w:sz w:val="21"/>
          <w:szCs w:val="21"/>
          <w:lang w:val="es-MX"/>
        </w:rPr>
        <w:t>o</w:t>
      </w:r>
      <w:r w:rsidR="00DB3EAA" w:rsidRPr="00704E2B">
        <w:rPr>
          <w:rFonts w:ascii="Cambria" w:hAnsi="Cambria"/>
          <w:sz w:val="21"/>
          <w:szCs w:val="21"/>
          <w:lang w:val="es-MX"/>
        </w:rPr>
        <w:t xml:space="preserve"> podrían acompañarla a las zonas donde ella necesita desplazarse</w:t>
      </w:r>
      <w:r w:rsidR="00837728" w:rsidRPr="00704E2B">
        <w:rPr>
          <w:rFonts w:ascii="Cambria" w:hAnsi="Cambria"/>
          <w:sz w:val="21"/>
          <w:szCs w:val="21"/>
          <w:lang w:val="es-MX"/>
        </w:rPr>
        <w:t xml:space="preserve"> para el desarrollo de sus labores. Los solicitantes también han indicado que </w:t>
      </w:r>
      <w:r w:rsidR="00DB3EAA" w:rsidRPr="00704E2B">
        <w:rPr>
          <w:rFonts w:ascii="Cambria" w:hAnsi="Cambria"/>
          <w:sz w:val="21"/>
          <w:szCs w:val="21"/>
          <w:lang w:val="es-MX"/>
        </w:rPr>
        <w:t xml:space="preserve">las cámaras instaladas en el domicilio incrementaron el costo de consumo energético y no funcionarían bien. </w:t>
      </w:r>
      <w:r w:rsidR="00837728" w:rsidRPr="00704E2B">
        <w:rPr>
          <w:rFonts w:ascii="Cambria" w:hAnsi="Cambria"/>
          <w:sz w:val="21"/>
          <w:szCs w:val="21"/>
          <w:lang w:val="es-MX"/>
        </w:rPr>
        <w:t>Finalmente</w:t>
      </w:r>
      <w:r w:rsidR="00C97EC3" w:rsidRPr="00704E2B">
        <w:rPr>
          <w:rFonts w:ascii="Cambria" w:hAnsi="Cambria"/>
          <w:sz w:val="21"/>
          <w:szCs w:val="21"/>
          <w:lang w:val="es-MX"/>
        </w:rPr>
        <w:t xml:space="preserve">, tras el sismo, el sistema de radio de comunicación entre las comunidades estaría destruido y se habría perdido documentos y cuadernos en donde </w:t>
      </w:r>
      <w:r w:rsidR="002F12A6" w:rsidRPr="00704E2B">
        <w:rPr>
          <w:rFonts w:ascii="Cambria" w:hAnsi="Cambria"/>
          <w:sz w:val="21"/>
          <w:szCs w:val="21"/>
          <w:lang w:val="es-MX"/>
        </w:rPr>
        <w:t xml:space="preserve">la señora </w:t>
      </w:r>
      <w:proofErr w:type="spellStart"/>
      <w:r w:rsidR="002F12A6" w:rsidRPr="00704E2B">
        <w:rPr>
          <w:rFonts w:ascii="Cambria" w:hAnsi="Cambria"/>
          <w:sz w:val="21"/>
          <w:szCs w:val="21"/>
          <w:lang w:val="es-MX"/>
        </w:rPr>
        <w:t>Bettina</w:t>
      </w:r>
      <w:proofErr w:type="spellEnd"/>
      <w:r w:rsidR="002F12A6" w:rsidRPr="00704E2B">
        <w:rPr>
          <w:rFonts w:ascii="Cambria" w:hAnsi="Cambria"/>
          <w:sz w:val="21"/>
          <w:szCs w:val="21"/>
          <w:lang w:val="es-MX"/>
        </w:rPr>
        <w:t xml:space="preserve"> </w:t>
      </w:r>
      <w:r w:rsidR="00CE468B" w:rsidRPr="00704E2B">
        <w:rPr>
          <w:rFonts w:ascii="Cambria" w:hAnsi="Cambria"/>
          <w:sz w:val="21"/>
          <w:szCs w:val="21"/>
          <w:lang w:val="es-MX"/>
        </w:rPr>
        <w:t xml:space="preserve">Cruz </w:t>
      </w:r>
      <w:r w:rsidR="00C97EC3" w:rsidRPr="00704E2B">
        <w:rPr>
          <w:rFonts w:ascii="Cambria" w:hAnsi="Cambria"/>
          <w:sz w:val="21"/>
          <w:szCs w:val="21"/>
          <w:lang w:val="es-MX"/>
        </w:rPr>
        <w:t xml:space="preserve">llevaba recuento de los últimos incidentes de seguridad, copias de expedientes, </w:t>
      </w:r>
      <w:r w:rsidR="00837728" w:rsidRPr="00704E2B">
        <w:rPr>
          <w:rFonts w:ascii="Cambria" w:hAnsi="Cambria"/>
          <w:sz w:val="21"/>
          <w:szCs w:val="21"/>
          <w:lang w:val="es-MX"/>
        </w:rPr>
        <w:t>entre otra información</w:t>
      </w:r>
      <w:r w:rsidR="00C97EC3" w:rsidRPr="00704E2B">
        <w:rPr>
          <w:rFonts w:ascii="Cambria" w:hAnsi="Cambria"/>
          <w:sz w:val="21"/>
          <w:szCs w:val="21"/>
          <w:lang w:val="es-MX"/>
        </w:rPr>
        <w:t>.</w:t>
      </w:r>
      <w:r w:rsidR="00E31205" w:rsidRPr="00704E2B">
        <w:rPr>
          <w:rFonts w:ascii="Cambria" w:hAnsi="Cambria"/>
          <w:sz w:val="21"/>
          <w:szCs w:val="21"/>
          <w:lang w:val="es-MX"/>
        </w:rPr>
        <w:t xml:space="preserve"> </w:t>
      </w:r>
    </w:p>
    <w:p w:rsidR="00731BAE" w:rsidRPr="00704E2B" w:rsidRDefault="00731BAE" w:rsidP="00E4276C">
      <w:pPr>
        <w:pStyle w:val="ListParagraph"/>
        <w:spacing w:after="0" w:line="240" w:lineRule="auto"/>
        <w:ind w:left="0" w:firstLine="360"/>
        <w:jc w:val="both"/>
        <w:rPr>
          <w:rFonts w:ascii="Cambria" w:hAnsi="Cambria"/>
          <w:sz w:val="21"/>
          <w:szCs w:val="21"/>
          <w:lang w:val="es-MX"/>
        </w:rPr>
      </w:pPr>
    </w:p>
    <w:p w:rsidR="008630ED" w:rsidRPr="00704E2B" w:rsidRDefault="00837728" w:rsidP="002C3C36">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 xml:space="preserve">Frente a esta información, </w:t>
      </w:r>
      <w:r w:rsidR="00133268" w:rsidRPr="00704E2B">
        <w:rPr>
          <w:rFonts w:ascii="Cambria" w:hAnsi="Cambria"/>
          <w:sz w:val="21"/>
          <w:szCs w:val="21"/>
          <w:lang w:val="es-MX"/>
        </w:rPr>
        <w:t>el Estado</w:t>
      </w:r>
      <w:r w:rsidR="004B58B8" w:rsidRPr="00704E2B">
        <w:rPr>
          <w:rFonts w:ascii="Cambria" w:hAnsi="Cambria"/>
          <w:sz w:val="21"/>
          <w:szCs w:val="21"/>
          <w:lang w:val="es-MX"/>
        </w:rPr>
        <w:t>:</w:t>
      </w:r>
      <w:r w:rsidR="00133268" w:rsidRPr="00704E2B">
        <w:rPr>
          <w:rFonts w:ascii="Cambria" w:hAnsi="Cambria"/>
          <w:sz w:val="21"/>
          <w:szCs w:val="21"/>
          <w:lang w:val="es-MX"/>
        </w:rPr>
        <w:t xml:space="preserve"> </w:t>
      </w:r>
      <w:r w:rsidR="004B58B8" w:rsidRPr="00704E2B">
        <w:rPr>
          <w:rFonts w:ascii="Cambria" w:hAnsi="Cambria"/>
          <w:sz w:val="21"/>
          <w:szCs w:val="21"/>
          <w:lang w:val="es-MX"/>
        </w:rPr>
        <w:t xml:space="preserve">i) </w:t>
      </w:r>
      <w:r w:rsidR="004B51FC" w:rsidRPr="00704E2B">
        <w:rPr>
          <w:rFonts w:ascii="Cambria" w:hAnsi="Cambria"/>
          <w:sz w:val="21"/>
          <w:szCs w:val="21"/>
          <w:lang w:val="es-MX"/>
        </w:rPr>
        <w:t xml:space="preserve">describió </w:t>
      </w:r>
      <w:r w:rsidR="00133268" w:rsidRPr="00704E2B">
        <w:rPr>
          <w:rFonts w:ascii="Cambria" w:hAnsi="Cambria"/>
          <w:sz w:val="21"/>
          <w:szCs w:val="21"/>
          <w:lang w:val="es-MX"/>
        </w:rPr>
        <w:t>el plan de protección vigente desde septiembre de 2016</w:t>
      </w:r>
      <w:r w:rsidR="00B014C2" w:rsidRPr="00704E2B">
        <w:rPr>
          <w:rFonts w:ascii="Cambria" w:hAnsi="Cambria"/>
          <w:sz w:val="21"/>
          <w:szCs w:val="21"/>
          <w:lang w:val="es-MX"/>
        </w:rPr>
        <w:t xml:space="preserve"> el cual</w:t>
      </w:r>
      <w:r w:rsidR="004B58B8" w:rsidRPr="00704E2B">
        <w:rPr>
          <w:rFonts w:ascii="Cambria" w:hAnsi="Cambria"/>
          <w:sz w:val="21"/>
          <w:szCs w:val="21"/>
          <w:lang w:val="es-MX"/>
        </w:rPr>
        <w:t>,</w:t>
      </w:r>
      <w:r w:rsidR="00B014C2" w:rsidRPr="00704E2B">
        <w:rPr>
          <w:rFonts w:ascii="Cambria" w:hAnsi="Cambria"/>
          <w:sz w:val="21"/>
          <w:szCs w:val="21"/>
          <w:lang w:val="es-MX"/>
        </w:rPr>
        <w:t xml:space="preserve"> conforme a lo infor</w:t>
      </w:r>
      <w:r w:rsidR="004B58B8" w:rsidRPr="00704E2B">
        <w:rPr>
          <w:rFonts w:ascii="Cambria" w:hAnsi="Cambria"/>
          <w:sz w:val="21"/>
          <w:szCs w:val="21"/>
          <w:lang w:val="es-MX"/>
        </w:rPr>
        <w:t>mado, consistiría</w:t>
      </w:r>
      <w:r w:rsidR="00B014C2" w:rsidRPr="00704E2B">
        <w:rPr>
          <w:rFonts w:ascii="Cambria" w:hAnsi="Cambria"/>
          <w:sz w:val="21"/>
          <w:szCs w:val="21"/>
          <w:lang w:val="es-MX"/>
        </w:rPr>
        <w:t xml:space="preserve"> en líneas y equipos de telefonía celular as</w:t>
      </w:r>
      <w:r w:rsidR="004B58B8" w:rsidRPr="00704E2B">
        <w:rPr>
          <w:rFonts w:ascii="Cambria" w:hAnsi="Cambria"/>
          <w:sz w:val="21"/>
          <w:szCs w:val="21"/>
          <w:lang w:val="es-MX"/>
        </w:rPr>
        <w:t>í</w:t>
      </w:r>
      <w:r w:rsidR="00B014C2" w:rsidRPr="00704E2B">
        <w:rPr>
          <w:rFonts w:ascii="Cambria" w:hAnsi="Cambria"/>
          <w:sz w:val="21"/>
          <w:szCs w:val="21"/>
          <w:lang w:val="es-MX"/>
        </w:rPr>
        <w:t xml:space="preserve"> como botones de </w:t>
      </w:r>
      <w:r w:rsidR="004B58B8" w:rsidRPr="00704E2B">
        <w:rPr>
          <w:rFonts w:ascii="Cambria" w:hAnsi="Cambria"/>
          <w:sz w:val="21"/>
          <w:szCs w:val="21"/>
          <w:lang w:val="es-MX"/>
        </w:rPr>
        <w:t xml:space="preserve">pánico </w:t>
      </w:r>
      <w:r w:rsidR="00B014C2" w:rsidRPr="00704E2B">
        <w:rPr>
          <w:rFonts w:ascii="Cambria" w:hAnsi="Cambria"/>
          <w:sz w:val="21"/>
          <w:szCs w:val="21"/>
          <w:lang w:val="es-MX"/>
        </w:rPr>
        <w:t xml:space="preserve">y </w:t>
      </w:r>
      <w:r w:rsidR="004B58B8" w:rsidRPr="00704E2B">
        <w:rPr>
          <w:rFonts w:ascii="Cambria" w:hAnsi="Cambria"/>
          <w:sz w:val="21"/>
          <w:szCs w:val="21"/>
          <w:lang w:val="es-MX"/>
        </w:rPr>
        <w:t xml:space="preserve">equipos de </w:t>
      </w:r>
      <w:r w:rsidR="00B014C2" w:rsidRPr="00704E2B">
        <w:rPr>
          <w:rFonts w:ascii="Cambria" w:hAnsi="Cambria"/>
          <w:sz w:val="21"/>
          <w:szCs w:val="21"/>
          <w:lang w:val="es-MX"/>
        </w:rPr>
        <w:t>radio de base comunitaria</w:t>
      </w:r>
      <w:r w:rsidR="004B58B8" w:rsidRPr="00704E2B">
        <w:rPr>
          <w:rFonts w:ascii="Cambria" w:hAnsi="Cambria"/>
          <w:sz w:val="21"/>
          <w:szCs w:val="21"/>
          <w:lang w:val="es-MX"/>
        </w:rPr>
        <w:t xml:space="preserve">; ii) informó sobre </w:t>
      </w:r>
      <w:r w:rsidR="004B58B8" w:rsidRPr="00704E2B">
        <w:rPr>
          <w:rFonts w:ascii="Cambria" w:hAnsi="Cambria"/>
          <w:sz w:val="21"/>
          <w:szCs w:val="21"/>
          <w:lang w:val="es-MX"/>
        </w:rPr>
        <w:lastRenderedPageBreak/>
        <w:t>algunas medidas adicionales que adoptaría</w:t>
      </w:r>
      <w:r w:rsidR="00C76A9B" w:rsidRPr="00704E2B">
        <w:rPr>
          <w:rFonts w:ascii="Cambria" w:hAnsi="Cambria"/>
          <w:sz w:val="21"/>
          <w:szCs w:val="21"/>
          <w:lang w:val="es-MX"/>
        </w:rPr>
        <w:t>, incluyendo rondines y acompañamiento</w:t>
      </w:r>
      <w:r w:rsidR="004B58B8" w:rsidRPr="00704E2B">
        <w:rPr>
          <w:rStyle w:val="FootnoteReference"/>
          <w:rFonts w:ascii="Cambria" w:eastAsia="Calibri" w:hAnsi="Cambria"/>
          <w:sz w:val="21"/>
          <w:szCs w:val="21"/>
          <w:lang w:val="es-PE"/>
        </w:rPr>
        <w:footnoteReference w:id="21"/>
      </w:r>
      <w:r w:rsidR="004B58B8" w:rsidRPr="00704E2B">
        <w:rPr>
          <w:rFonts w:ascii="Cambria" w:hAnsi="Cambria"/>
          <w:sz w:val="21"/>
          <w:szCs w:val="21"/>
          <w:lang w:val="es-PE"/>
        </w:rPr>
        <w:t xml:space="preserve">; iii) </w:t>
      </w:r>
      <w:r w:rsidR="00133268" w:rsidRPr="00704E2B">
        <w:rPr>
          <w:rFonts w:ascii="Cambria" w:hAnsi="Cambria"/>
          <w:sz w:val="21"/>
          <w:szCs w:val="21"/>
          <w:lang w:val="es-MX"/>
        </w:rPr>
        <w:t xml:space="preserve">indicó que durante </w:t>
      </w:r>
      <w:r w:rsidR="005F4218" w:rsidRPr="00704E2B">
        <w:rPr>
          <w:rFonts w:ascii="Cambria" w:hAnsi="Cambria"/>
          <w:sz w:val="21"/>
          <w:szCs w:val="21"/>
          <w:lang w:val="es-MX"/>
        </w:rPr>
        <w:t xml:space="preserve">la </w:t>
      </w:r>
      <w:r w:rsidR="00133268" w:rsidRPr="00704E2B">
        <w:rPr>
          <w:rFonts w:ascii="Cambria" w:hAnsi="Cambria"/>
          <w:sz w:val="21"/>
          <w:szCs w:val="21"/>
          <w:lang w:val="es-MX"/>
        </w:rPr>
        <w:t>vigencia de 12 meses no se habría reportado ningún siniestro o se tuvo alguna contingencia</w:t>
      </w:r>
      <w:r w:rsidR="005F4218" w:rsidRPr="00704E2B">
        <w:rPr>
          <w:rFonts w:ascii="Cambria" w:hAnsi="Cambria"/>
          <w:sz w:val="21"/>
          <w:szCs w:val="21"/>
          <w:lang w:val="es-MX"/>
        </w:rPr>
        <w:t>;</w:t>
      </w:r>
      <w:r w:rsidR="00133268" w:rsidRPr="00704E2B">
        <w:rPr>
          <w:rFonts w:ascii="Cambria" w:hAnsi="Cambria"/>
          <w:sz w:val="21"/>
          <w:szCs w:val="21"/>
          <w:lang w:val="es-MX"/>
        </w:rPr>
        <w:t xml:space="preserve"> </w:t>
      </w:r>
      <w:r w:rsidR="00B014C2" w:rsidRPr="00704E2B">
        <w:rPr>
          <w:rFonts w:ascii="Cambria" w:hAnsi="Cambria"/>
          <w:sz w:val="21"/>
          <w:szCs w:val="21"/>
          <w:lang w:val="es-MX"/>
        </w:rPr>
        <w:t xml:space="preserve">y </w:t>
      </w:r>
      <w:r w:rsidR="005F4218" w:rsidRPr="00704E2B">
        <w:rPr>
          <w:rFonts w:ascii="Cambria" w:hAnsi="Cambria"/>
          <w:sz w:val="21"/>
          <w:szCs w:val="21"/>
          <w:lang w:val="es-MX"/>
        </w:rPr>
        <w:t xml:space="preserve">iv) </w:t>
      </w:r>
      <w:r w:rsidR="00B014C2" w:rsidRPr="00704E2B">
        <w:rPr>
          <w:rFonts w:ascii="Cambria" w:hAnsi="Cambria"/>
          <w:sz w:val="21"/>
          <w:szCs w:val="21"/>
          <w:lang w:val="es-MX"/>
        </w:rPr>
        <w:t xml:space="preserve">que </w:t>
      </w:r>
      <w:r w:rsidR="005F4218" w:rsidRPr="00704E2B">
        <w:rPr>
          <w:rFonts w:ascii="Cambria" w:hAnsi="Cambria"/>
          <w:sz w:val="21"/>
          <w:szCs w:val="21"/>
          <w:lang w:val="es-MX"/>
        </w:rPr>
        <w:t xml:space="preserve">estaría programado </w:t>
      </w:r>
      <w:r w:rsidR="004B51FC" w:rsidRPr="00704E2B">
        <w:rPr>
          <w:rFonts w:ascii="Cambria" w:hAnsi="Cambria"/>
          <w:sz w:val="21"/>
          <w:szCs w:val="21"/>
          <w:lang w:val="es-MX"/>
        </w:rPr>
        <w:t xml:space="preserve">un nuevo estudio de riesgo en octubre de 2017. </w:t>
      </w:r>
      <w:r w:rsidR="008630ED" w:rsidRPr="00704E2B">
        <w:rPr>
          <w:rFonts w:ascii="Cambria" w:hAnsi="Cambria"/>
          <w:sz w:val="21"/>
          <w:szCs w:val="21"/>
          <w:lang w:val="es-MX"/>
        </w:rPr>
        <w:t xml:space="preserve">En relación con esta información, </w:t>
      </w:r>
      <w:r w:rsidR="005F4218" w:rsidRPr="00704E2B">
        <w:rPr>
          <w:rFonts w:ascii="Cambria" w:hAnsi="Cambria"/>
          <w:sz w:val="21"/>
          <w:szCs w:val="21"/>
          <w:lang w:val="es-MX"/>
        </w:rPr>
        <w:t>la Comisión observa que según lo informado</w:t>
      </w:r>
      <w:r w:rsidR="00E96718" w:rsidRPr="00704E2B">
        <w:rPr>
          <w:rFonts w:ascii="Cambria" w:hAnsi="Cambria"/>
          <w:sz w:val="21"/>
          <w:szCs w:val="21"/>
          <w:lang w:val="es-MX"/>
        </w:rPr>
        <w:t xml:space="preserve"> por los solicitantes</w:t>
      </w:r>
      <w:r w:rsidR="005F4218" w:rsidRPr="00704E2B">
        <w:rPr>
          <w:rFonts w:ascii="Cambria" w:hAnsi="Cambria"/>
          <w:sz w:val="21"/>
          <w:szCs w:val="21"/>
          <w:lang w:val="es-MX"/>
        </w:rPr>
        <w:t xml:space="preserve">, </w:t>
      </w:r>
      <w:r w:rsidR="00E96718" w:rsidRPr="00704E2B">
        <w:rPr>
          <w:rFonts w:ascii="Cambria" w:hAnsi="Cambria"/>
          <w:sz w:val="21"/>
          <w:szCs w:val="21"/>
          <w:lang w:val="es-MX"/>
        </w:rPr>
        <w:t xml:space="preserve">en primer lugar </w:t>
      </w:r>
      <w:r w:rsidR="005F4218" w:rsidRPr="00704E2B">
        <w:rPr>
          <w:rFonts w:ascii="Cambria" w:hAnsi="Cambria"/>
          <w:sz w:val="21"/>
          <w:szCs w:val="21"/>
          <w:lang w:val="es-MX"/>
        </w:rPr>
        <w:t>los teléfonos ni los botones de pánico funcionarían adecuadamente y</w:t>
      </w:r>
      <w:r w:rsidR="00E96718" w:rsidRPr="00704E2B">
        <w:rPr>
          <w:rFonts w:ascii="Cambria" w:hAnsi="Cambria"/>
          <w:sz w:val="21"/>
          <w:szCs w:val="21"/>
          <w:lang w:val="es-MX"/>
        </w:rPr>
        <w:t xml:space="preserve"> </w:t>
      </w:r>
      <w:r w:rsidR="005F4218" w:rsidRPr="00704E2B">
        <w:rPr>
          <w:rFonts w:ascii="Cambria" w:hAnsi="Cambria"/>
          <w:sz w:val="21"/>
          <w:szCs w:val="21"/>
          <w:lang w:val="es-MX"/>
        </w:rPr>
        <w:t xml:space="preserve">para que la propuesta beneficiaria fuera acompañada en sus desplazamientos, </w:t>
      </w:r>
      <w:r w:rsidR="00541DDB" w:rsidRPr="00704E2B">
        <w:rPr>
          <w:rFonts w:ascii="Cambria" w:hAnsi="Cambria"/>
          <w:sz w:val="21"/>
          <w:szCs w:val="21"/>
          <w:lang w:val="es-MX"/>
        </w:rPr>
        <w:t>o bie</w:t>
      </w:r>
      <w:r w:rsidR="00C76A9B" w:rsidRPr="00704E2B">
        <w:rPr>
          <w:rFonts w:ascii="Cambria" w:hAnsi="Cambria"/>
          <w:sz w:val="21"/>
          <w:szCs w:val="21"/>
          <w:lang w:val="es-MX"/>
        </w:rPr>
        <w:t xml:space="preserve">n, </w:t>
      </w:r>
      <w:r w:rsidR="00E96718" w:rsidRPr="00704E2B">
        <w:rPr>
          <w:rFonts w:ascii="Cambria" w:hAnsi="Cambria"/>
          <w:sz w:val="21"/>
          <w:szCs w:val="21"/>
          <w:lang w:val="es-MX"/>
        </w:rPr>
        <w:t xml:space="preserve">para el funcionamiento de las </w:t>
      </w:r>
      <w:r w:rsidR="00C76A9B" w:rsidRPr="00704E2B">
        <w:rPr>
          <w:rFonts w:ascii="Cambria" w:hAnsi="Cambria"/>
          <w:sz w:val="21"/>
          <w:szCs w:val="21"/>
          <w:lang w:val="es-MX"/>
        </w:rPr>
        <w:t>cámaras de seguridad,</w:t>
      </w:r>
      <w:r w:rsidR="00541DDB" w:rsidRPr="00704E2B">
        <w:rPr>
          <w:rFonts w:ascii="Cambria" w:hAnsi="Cambria"/>
          <w:sz w:val="21"/>
          <w:szCs w:val="21"/>
          <w:lang w:val="es-MX"/>
        </w:rPr>
        <w:t xml:space="preserve"> </w:t>
      </w:r>
      <w:r w:rsidR="005F4218" w:rsidRPr="00704E2B">
        <w:rPr>
          <w:rFonts w:ascii="Cambria" w:hAnsi="Cambria"/>
          <w:sz w:val="21"/>
          <w:szCs w:val="21"/>
          <w:lang w:val="es-MX"/>
        </w:rPr>
        <w:t xml:space="preserve">tendría que </w:t>
      </w:r>
      <w:r w:rsidR="00541DDB" w:rsidRPr="00704E2B">
        <w:rPr>
          <w:rFonts w:ascii="Cambria" w:hAnsi="Cambria"/>
          <w:sz w:val="21"/>
          <w:szCs w:val="21"/>
          <w:lang w:val="es-MX"/>
        </w:rPr>
        <w:t xml:space="preserve">incurrir en gastos adicionales. Además, el sistema de radio comunitario habría sido destruido por el terremoto. </w:t>
      </w:r>
      <w:r w:rsidR="00BF6BB0" w:rsidRPr="00704E2B">
        <w:rPr>
          <w:rFonts w:ascii="Cambria" w:hAnsi="Cambria"/>
          <w:sz w:val="21"/>
          <w:szCs w:val="21"/>
          <w:lang w:val="es-MX"/>
        </w:rPr>
        <w:t xml:space="preserve">En segundo término, según los solicitantes, </w:t>
      </w:r>
      <w:r w:rsidR="00964888" w:rsidRPr="00704E2B">
        <w:rPr>
          <w:rFonts w:ascii="Cambria" w:hAnsi="Cambria"/>
          <w:sz w:val="21"/>
          <w:szCs w:val="21"/>
          <w:lang w:val="es-MX"/>
        </w:rPr>
        <w:t xml:space="preserve">no obstante </w:t>
      </w:r>
      <w:r w:rsidR="00BF6BB0" w:rsidRPr="00704E2B">
        <w:rPr>
          <w:rFonts w:ascii="Cambria" w:hAnsi="Cambria"/>
          <w:sz w:val="21"/>
          <w:szCs w:val="21"/>
          <w:lang w:val="es-MX"/>
        </w:rPr>
        <w:t xml:space="preserve">sí </w:t>
      </w:r>
      <w:r w:rsidR="00964888" w:rsidRPr="00704E2B">
        <w:rPr>
          <w:rFonts w:ascii="Cambria" w:hAnsi="Cambria"/>
          <w:sz w:val="21"/>
          <w:szCs w:val="21"/>
          <w:lang w:val="es-MX"/>
        </w:rPr>
        <w:t xml:space="preserve">informaron </w:t>
      </w:r>
      <w:r w:rsidR="00BF6BB0" w:rsidRPr="00704E2B">
        <w:rPr>
          <w:rFonts w:ascii="Cambria" w:hAnsi="Cambria"/>
          <w:sz w:val="21"/>
          <w:szCs w:val="21"/>
          <w:lang w:val="es-MX"/>
        </w:rPr>
        <w:t xml:space="preserve">sobre eventos de riesgo ocurridos durante el transcurso del año en el marco del mecanismo de protección interno </w:t>
      </w:r>
      <w:r w:rsidR="002C3C36" w:rsidRPr="00704E2B">
        <w:rPr>
          <w:rFonts w:ascii="Cambria" w:hAnsi="Cambria"/>
          <w:sz w:val="21"/>
          <w:szCs w:val="21"/>
          <w:lang w:val="es-MX"/>
        </w:rPr>
        <w:t xml:space="preserve"> (ver supra párr. 12)</w:t>
      </w:r>
      <w:r w:rsidR="00964888" w:rsidRPr="00704E2B">
        <w:rPr>
          <w:rFonts w:ascii="Cambria" w:hAnsi="Cambria"/>
          <w:sz w:val="21"/>
          <w:szCs w:val="21"/>
          <w:lang w:val="es-MX"/>
        </w:rPr>
        <w:t xml:space="preserve"> no </w:t>
      </w:r>
      <w:r w:rsidR="00C76A9B" w:rsidRPr="00704E2B">
        <w:rPr>
          <w:rFonts w:ascii="Cambria" w:hAnsi="Cambria"/>
          <w:sz w:val="21"/>
          <w:szCs w:val="21"/>
          <w:lang w:val="es-MX"/>
        </w:rPr>
        <w:t xml:space="preserve">se </w:t>
      </w:r>
      <w:r w:rsidR="00964888" w:rsidRPr="00704E2B">
        <w:rPr>
          <w:rFonts w:ascii="Cambria" w:hAnsi="Cambria"/>
          <w:sz w:val="21"/>
          <w:szCs w:val="21"/>
          <w:lang w:val="es-MX"/>
        </w:rPr>
        <w:t xml:space="preserve">habrían </w:t>
      </w:r>
      <w:r w:rsidR="00C76A9B" w:rsidRPr="00704E2B">
        <w:rPr>
          <w:rFonts w:ascii="Cambria" w:hAnsi="Cambria"/>
          <w:sz w:val="21"/>
          <w:szCs w:val="21"/>
          <w:lang w:val="es-MX"/>
        </w:rPr>
        <w:t xml:space="preserve">realizado </w:t>
      </w:r>
      <w:r w:rsidR="00964888" w:rsidRPr="00704E2B">
        <w:rPr>
          <w:rFonts w:ascii="Cambria" w:hAnsi="Cambria"/>
          <w:sz w:val="21"/>
          <w:szCs w:val="21"/>
          <w:lang w:val="es-MX"/>
        </w:rPr>
        <w:t xml:space="preserve">cambios </w:t>
      </w:r>
      <w:r w:rsidR="00C76A9B" w:rsidRPr="00704E2B">
        <w:rPr>
          <w:rFonts w:ascii="Cambria" w:hAnsi="Cambria"/>
          <w:sz w:val="21"/>
          <w:szCs w:val="21"/>
          <w:lang w:val="es-MX"/>
        </w:rPr>
        <w:t xml:space="preserve">en </w:t>
      </w:r>
      <w:r w:rsidR="00964888" w:rsidRPr="00704E2B">
        <w:rPr>
          <w:rFonts w:ascii="Cambria" w:hAnsi="Cambria"/>
          <w:sz w:val="21"/>
          <w:szCs w:val="21"/>
          <w:lang w:val="es-MX"/>
        </w:rPr>
        <w:t>tal esquema de protección</w:t>
      </w:r>
      <w:r w:rsidR="00C76A9B" w:rsidRPr="00704E2B">
        <w:rPr>
          <w:rFonts w:ascii="Cambria" w:hAnsi="Cambria"/>
          <w:sz w:val="21"/>
          <w:szCs w:val="21"/>
          <w:lang w:val="es-MX"/>
        </w:rPr>
        <w:t xml:space="preserve"> o medidas que aseguraran su efectividad</w:t>
      </w:r>
      <w:r w:rsidR="00BF6BB0" w:rsidRPr="00704E2B">
        <w:rPr>
          <w:rFonts w:ascii="Cambria" w:hAnsi="Cambria"/>
          <w:sz w:val="21"/>
          <w:szCs w:val="21"/>
          <w:lang w:val="es-MX"/>
        </w:rPr>
        <w:t xml:space="preserve">. </w:t>
      </w:r>
      <w:r w:rsidR="002C3C36" w:rsidRPr="00704E2B">
        <w:rPr>
          <w:rFonts w:ascii="Cambria" w:hAnsi="Cambria"/>
          <w:sz w:val="21"/>
          <w:szCs w:val="21"/>
          <w:lang w:val="es-MX"/>
        </w:rPr>
        <w:t>Finalmente, en tercer término,</w:t>
      </w:r>
      <w:r w:rsidR="0011594C" w:rsidRPr="00704E2B">
        <w:rPr>
          <w:rFonts w:ascii="Cambria" w:hAnsi="Cambria"/>
          <w:sz w:val="21"/>
          <w:szCs w:val="21"/>
          <w:lang w:val="es-MX"/>
        </w:rPr>
        <w:t xml:space="preserve"> </w:t>
      </w:r>
      <w:r w:rsidR="002C3C36" w:rsidRPr="00704E2B">
        <w:rPr>
          <w:rFonts w:ascii="Cambria" w:hAnsi="Cambria"/>
          <w:sz w:val="21"/>
          <w:szCs w:val="21"/>
          <w:lang w:val="es-MX"/>
        </w:rPr>
        <w:t xml:space="preserve">no obstante </w:t>
      </w:r>
      <w:r w:rsidR="008630ED" w:rsidRPr="00704E2B">
        <w:rPr>
          <w:rFonts w:ascii="Cambria" w:hAnsi="Cambria"/>
          <w:sz w:val="21"/>
          <w:szCs w:val="21"/>
          <w:lang w:val="es-MX"/>
        </w:rPr>
        <w:t xml:space="preserve">la propuesta beneficiaria </w:t>
      </w:r>
      <w:r w:rsidR="009641EE" w:rsidRPr="00704E2B">
        <w:rPr>
          <w:rFonts w:ascii="Cambria" w:hAnsi="Cambria"/>
          <w:sz w:val="21"/>
          <w:szCs w:val="21"/>
          <w:lang w:val="es-MX"/>
        </w:rPr>
        <w:t xml:space="preserve">habría tenido </w:t>
      </w:r>
      <w:r w:rsidR="008630ED" w:rsidRPr="00704E2B">
        <w:rPr>
          <w:rFonts w:ascii="Cambria" w:hAnsi="Cambria"/>
          <w:sz w:val="21"/>
          <w:szCs w:val="21"/>
          <w:lang w:val="es-MX"/>
        </w:rPr>
        <w:t xml:space="preserve">programada una revisión de su esquema de protección para octubre de 2017, </w:t>
      </w:r>
      <w:r w:rsidR="009641EE" w:rsidRPr="00704E2B">
        <w:rPr>
          <w:rFonts w:ascii="Cambria" w:hAnsi="Cambria"/>
          <w:sz w:val="21"/>
          <w:szCs w:val="21"/>
          <w:lang w:val="es-MX"/>
        </w:rPr>
        <w:t>según los solicitantes</w:t>
      </w:r>
      <w:r w:rsidR="00964888" w:rsidRPr="00704E2B">
        <w:rPr>
          <w:rFonts w:ascii="Cambria" w:hAnsi="Cambria"/>
          <w:sz w:val="21"/>
          <w:szCs w:val="21"/>
          <w:lang w:val="es-MX"/>
        </w:rPr>
        <w:t xml:space="preserve"> la misma no se habría verificado</w:t>
      </w:r>
      <w:r w:rsidR="002C3C36" w:rsidRPr="00704E2B">
        <w:rPr>
          <w:rFonts w:ascii="Cambria" w:hAnsi="Cambria"/>
          <w:sz w:val="21"/>
          <w:szCs w:val="21"/>
          <w:lang w:val="es-MX"/>
        </w:rPr>
        <w:t xml:space="preserve">. Finalmente, la Comisión no cuenta con información </w:t>
      </w:r>
      <w:r w:rsidR="00964888" w:rsidRPr="00704E2B">
        <w:rPr>
          <w:rFonts w:ascii="Cambria" w:hAnsi="Cambria"/>
          <w:sz w:val="21"/>
          <w:szCs w:val="21"/>
          <w:lang w:val="es-MX"/>
        </w:rPr>
        <w:t xml:space="preserve">posterior </w:t>
      </w:r>
      <w:r w:rsidR="002C3C36" w:rsidRPr="00704E2B">
        <w:rPr>
          <w:rFonts w:ascii="Cambria" w:hAnsi="Cambria"/>
          <w:sz w:val="21"/>
          <w:szCs w:val="21"/>
          <w:lang w:val="es-MX"/>
        </w:rPr>
        <w:t>que permita considerar que los esquemas de protección a favor de la propuesta beneficiaria fueron fortalecidos</w:t>
      </w:r>
      <w:r w:rsidR="00964888" w:rsidRPr="00704E2B">
        <w:rPr>
          <w:rFonts w:ascii="Cambria" w:hAnsi="Cambria"/>
          <w:sz w:val="21"/>
          <w:szCs w:val="21"/>
          <w:lang w:val="es-MX"/>
        </w:rPr>
        <w:t xml:space="preserve"> atendiendo a sus circunstancias actuales</w:t>
      </w:r>
      <w:r w:rsidR="002C3C36" w:rsidRPr="00704E2B">
        <w:rPr>
          <w:rFonts w:ascii="Cambria" w:hAnsi="Cambria"/>
          <w:sz w:val="21"/>
          <w:szCs w:val="21"/>
          <w:lang w:val="es-MX"/>
        </w:rPr>
        <w:t>.</w:t>
      </w:r>
    </w:p>
    <w:p w:rsidR="00133268" w:rsidRPr="00704E2B" w:rsidRDefault="00133268" w:rsidP="00E4276C">
      <w:pPr>
        <w:pStyle w:val="ListParagraph"/>
        <w:spacing w:after="0" w:line="240" w:lineRule="auto"/>
        <w:ind w:left="0" w:firstLine="360"/>
        <w:jc w:val="both"/>
        <w:rPr>
          <w:rFonts w:ascii="Cambria" w:hAnsi="Cambria"/>
          <w:sz w:val="21"/>
          <w:szCs w:val="21"/>
          <w:lang w:val="es-MX"/>
        </w:rPr>
      </w:pPr>
    </w:p>
    <w:p w:rsidR="00964888" w:rsidRPr="00704E2B" w:rsidRDefault="005E117B" w:rsidP="00964888">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 xml:space="preserve">En vista de lo anterior, </w:t>
      </w:r>
      <w:r w:rsidR="002C3C36" w:rsidRPr="00704E2B">
        <w:rPr>
          <w:rFonts w:ascii="Cambria" w:hAnsi="Cambria"/>
          <w:sz w:val="21"/>
          <w:szCs w:val="21"/>
          <w:lang w:val="es-MX"/>
        </w:rPr>
        <w:t xml:space="preserve">ante los indicios de falta de efectividad de las medidas de protección adoptadas, la continuidad de los presuntos eventos de riesgo, así como la mayor situación de vulnerabilidad en que estaría expuesta la propuesta beneficiaria tras el terremoto, </w:t>
      </w:r>
      <w:r w:rsidRPr="00704E2B">
        <w:rPr>
          <w:rFonts w:ascii="Cambria" w:hAnsi="Cambria"/>
          <w:sz w:val="21"/>
          <w:szCs w:val="21"/>
          <w:lang w:val="es-MX"/>
        </w:rPr>
        <w:t xml:space="preserve">la Comisión considera que </w:t>
      </w:r>
      <w:r w:rsidR="009306C8" w:rsidRPr="00704E2B">
        <w:rPr>
          <w:rFonts w:ascii="Cambria" w:hAnsi="Cambria"/>
          <w:sz w:val="21"/>
          <w:szCs w:val="21"/>
          <w:lang w:val="es-MX"/>
        </w:rPr>
        <w:t>el requisito de urgencia está cumplido puesto que la información aportada sugiere que la situación de riesgo es susceptible de perdurar en el tiempo y materializarse en nuevos eventos, dada su labor como defensora de derechos humanos en el marco del proceso constitucional que seguiría en curso, entre otras acciones legales que viene impulsando</w:t>
      </w:r>
      <w:r w:rsidR="00E53B55" w:rsidRPr="00704E2B">
        <w:rPr>
          <w:rFonts w:ascii="Cambria" w:hAnsi="Cambria"/>
          <w:sz w:val="21"/>
          <w:szCs w:val="21"/>
          <w:lang w:val="es-MX"/>
        </w:rPr>
        <w:t xml:space="preserve"> en Oaxaca</w:t>
      </w:r>
      <w:r w:rsidR="009306C8" w:rsidRPr="00704E2B">
        <w:rPr>
          <w:rFonts w:ascii="Cambria" w:hAnsi="Cambria"/>
          <w:sz w:val="21"/>
          <w:szCs w:val="21"/>
          <w:lang w:val="es-MX"/>
        </w:rPr>
        <w:t>.</w:t>
      </w:r>
      <w:r w:rsidR="002C3C36" w:rsidRPr="00704E2B">
        <w:rPr>
          <w:rFonts w:ascii="Cambria" w:hAnsi="Cambria"/>
          <w:sz w:val="21"/>
          <w:szCs w:val="21"/>
          <w:lang w:val="es-MX"/>
        </w:rPr>
        <w:t xml:space="preserve"> </w:t>
      </w:r>
      <w:r w:rsidR="00964888" w:rsidRPr="00704E2B">
        <w:rPr>
          <w:rFonts w:ascii="Cambria" w:hAnsi="Cambria"/>
          <w:sz w:val="21"/>
          <w:szCs w:val="21"/>
          <w:lang w:val="es-MX"/>
        </w:rPr>
        <w:t>En particular, la Comisión considera que corresponde al Estado adoptar las medidas necesarias para asegurar la idoneidad y efectividad de los esquemas de protección</w:t>
      </w:r>
      <w:r w:rsidR="00BA2585" w:rsidRPr="00704E2B">
        <w:rPr>
          <w:rFonts w:ascii="Cambria" w:hAnsi="Cambria"/>
          <w:sz w:val="21"/>
          <w:szCs w:val="21"/>
          <w:lang w:val="es-MX"/>
        </w:rPr>
        <w:t xml:space="preserve">, lo cual requiere asegurar su adecuado funcionamiento y que no represente una carga desproporcionada a la señora </w:t>
      </w:r>
      <w:proofErr w:type="spellStart"/>
      <w:r w:rsidR="00BA2585" w:rsidRPr="00704E2B">
        <w:rPr>
          <w:rFonts w:ascii="Cambria" w:hAnsi="Cambria"/>
          <w:sz w:val="21"/>
          <w:szCs w:val="21"/>
          <w:lang w:val="es-MX"/>
        </w:rPr>
        <w:t>Bettina</w:t>
      </w:r>
      <w:proofErr w:type="spellEnd"/>
      <w:r w:rsidR="00BA2585" w:rsidRPr="00704E2B">
        <w:rPr>
          <w:rFonts w:ascii="Cambria" w:hAnsi="Cambria"/>
          <w:sz w:val="21"/>
          <w:szCs w:val="21"/>
          <w:lang w:val="es-MX"/>
        </w:rPr>
        <w:t xml:space="preserve"> Cruz</w:t>
      </w:r>
      <w:r w:rsidR="00964888" w:rsidRPr="00704E2B">
        <w:rPr>
          <w:rFonts w:ascii="Cambria" w:hAnsi="Cambria"/>
          <w:sz w:val="21"/>
          <w:szCs w:val="21"/>
          <w:lang w:val="es-MX"/>
        </w:rPr>
        <w:t xml:space="preserve">. A ese respecto, la Comisión </w:t>
      </w:r>
      <w:r w:rsidR="00C76A9B" w:rsidRPr="00704E2B">
        <w:rPr>
          <w:rFonts w:ascii="Cambria" w:hAnsi="Cambria"/>
          <w:sz w:val="21"/>
          <w:szCs w:val="21"/>
          <w:lang w:val="es-MX"/>
        </w:rPr>
        <w:t xml:space="preserve">recuerda que </w:t>
      </w:r>
      <w:r w:rsidR="00BA2585" w:rsidRPr="00704E2B">
        <w:rPr>
          <w:rFonts w:ascii="Cambria" w:hAnsi="Cambria"/>
          <w:sz w:val="21"/>
          <w:szCs w:val="21"/>
          <w:lang w:val="es-MX"/>
        </w:rPr>
        <w:t xml:space="preserve">para que las medidas sean adecuadas, por su propia naturaleza deben ser susceptibles de proteger a la persona frente a la situación de riesgo en que se encuentra y, para ser efectivas, deben producir los resultados de </w:t>
      </w:r>
      <w:r w:rsidR="00C76A9B" w:rsidRPr="00704E2B">
        <w:rPr>
          <w:rFonts w:ascii="Cambria" w:hAnsi="Cambria"/>
          <w:sz w:val="21"/>
          <w:szCs w:val="21"/>
          <w:lang w:val="es-MX"/>
        </w:rPr>
        <w:t xml:space="preserve">tal </w:t>
      </w:r>
      <w:r w:rsidR="00BA2585" w:rsidRPr="00704E2B">
        <w:rPr>
          <w:rFonts w:ascii="Cambria" w:hAnsi="Cambria"/>
          <w:sz w:val="21"/>
          <w:szCs w:val="21"/>
          <w:lang w:val="es-MX"/>
        </w:rPr>
        <w:t xml:space="preserve">manera que </w:t>
      </w:r>
      <w:r w:rsidR="00C76A9B" w:rsidRPr="00704E2B">
        <w:rPr>
          <w:rFonts w:ascii="Cambria" w:hAnsi="Cambria"/>
          <w:sz w:val="21"/>
          <w:szCs w:val="21"/>
          <w:lang w:val="es-MX"/>
        </w:rPr>
        <w:t xml:space="preserve">se </w:t>
      </w:r>
      <w:r w:rsidR="00BA2585" w:rsidRPr="00704E2B">
        <w:rPr>
          <w:rFonts w:ascii="Cambria" w:hAnsi="Cambria"/>
          <w:sz w:val="21"/>
          <w:szCs w:val="21"/>
          <w:lang w:val="es-MX"/>
        </w:rPr>
        <w:t>mitigue el riesgo</w:t>
      </w:r>
      <w:r w:rsidR="00BA2585" w:rsidRPr="00704E2B">
        <w:rPr>
          <w:rStyle w:val="FootnoteReference"/>
          <w:rFonts w:ascii="Cambria" w:hAnsi="Cambria"/>
          <w:sz w:val="21"/>
          <w:szCs w:val="21"/>
          <w:lang w:val="es-MX"/>
        </w:rPr>
        <w:footnoteReference w:id="22"/>
      </w:r>
      <w:r w:rsidR="00BA2585" w:rsidRPr="00704E2B">
        <w:t>.</w:t>
      </w:r>
    </w:p>
    <w:p w:rsidR="00BA2585" w:rsidRPr="00704E2B" w:rsidRDefault="00BA2585" w:rsidP="00BA2585">
      <w:pPr>
        <w:pStyle w:val="ListParagraph"/>
        <w:spacing w:after="0" w:line="240" w:lineRule="auto"/>
        <w:ind w:left="360"/>
        <w:jc w:val="both"/>
        <w:rPr>
          <w:rFonts w:ascii="Cambria" w:hAnsi="Cambria"/>
          <w:sz w:val="21"/>
          <w:szCs w:val="21"/>
          <w:lang w:val="es-MX"/>
        </w:rPr>
      </w:pPr>
    </w:p>
    <w:p w:rsidR="00A937E9" w:rsidRPr="00704E2B" w:rsidRDefault="00A937E9"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eastAsia="Calibri" w:hAnsi="Cambria"/>
          <w:sz w:val="21"/>
          <w:szCs w:val="21"/>
          <w:lang w:val="es-CO"/>
        </w:rPr>
        <w:t xml:space="preserve">En cuanto al requisito de </w:t>
      </w:r>
      <w:proofErr w:type="spellStart"/>
      <w:r w:rsidRPr="00704E2B">
        <w:rPr>
          <w:rFonts w:ascii="Cambria" w:eastAsia="Calibri" w:hAnsi="Cambria"/>
          <w:sz w:val="21"/>
          <w:szCs w:val="21"/>
          <w:lang w:val="es-CO"/>
        </w:rPr>
        <w:t>irreparabilidad</w:t>
      </w:r>
      <w:proofErr w:type="spellEnd"/>
      <w:r w:rsidRPr="00704E2B">
        <w:rPr>
          <w:rFonts w:ascii="Cambria" w:eastAsia="Calibri" w:hAnsi="Cambria"/>
          <w:sz w:val="21"/>
          <w:szCs w:val="21"/>
          <w:lang w:val="es-CO"/>
        </w:rPr>
        <w:t xml:space="preserve">, la Comisión estima que se encuentra cumplido, en la medida que la posible afectación al derecho a la vida e integridad personal constituye la máxima situación de </w:t>
      </w:r>
      <w:proofErr w:type="spellStart"/>
      <w:r w:rsidRPr="00704E2B">
        <w:rPr>
          <w:rFonts w:ascii="Cambria" w:eastAsia="Calibri" w:hAnsi="Cambria"/>
          <w:sz w:val="21"/>
          <w:szCs w:val="21"/>
          <w:lang w:val="es-CO"/>
        </w:rPr>
        <w:t>irreparabilidad</w:t>
      </w:r>
      <w:proofErr w:type="spellEnd"/>
      <w:r w:rsidRPr="00704E2B">
        <w:rPr>
          <w:rFonts w:ascii="Cambria" w:eastAsia="Calibri" w:hAnsi="Cambria"/>
          <w:sz w:val="21"/>
          <w:szCs w:val="21"/>
          <w:lang w:val="es-CO"/>
        </w:rPr>
        <w:t>. La Comisión toma especialmente en cuenta la importancia de salvaguardar sus derechos a efectos de que pueda continuar con sus labores como defensora de derechos humanos.</w:t>
      </w:r>
    </w:p>
    <w:p w:rsidR="00A937E9" w:rsidRPr="00704E2B" w:rsidRDefault="00A937E9" w:rsidP="00E4276C">
      <w:pPr>
        <w:pStyle w:val="ListParagraph"/>
        <w:spacing w:after="0" w:line="240" w:lineRule="auto"/>
        <w:ind w:left="0" w:firstLine="360"/>
        <w:jc w:val="both"/>
        <w:rPr>
          <w:rFonts w:ascii="Cambria" w:hAnsi="Cambria"/>
          <w:sz w:val="21"/>
          <w:szCs w:val="21"/>
          <w:lang w:val="es-MX"/>
        </w:rPr>
      </w:pPr>
    </w:p>
    <w:p w:rsidR="0011594C" w:rsidRPr="00704E2B" w:rsidRDefault="009641EE"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hAnsi="Cambria"/>
          <w:sz w:val="21"/>
          <w:szCs w:val="21"/>
          <w:lang w:val="es-MX"/>
        </w:rPr>
        <w:t>E</w:t>
      </w:r>
      <w:r w:rsidR="008630ED" w:rsidRPr="00704E2B">
        <w:rPr>
          <w:rFonts w:ascii="Cambria" w:hAnsi="Cambria"/>
          <w:sz w:val="21"/>
          <w:szCs w:val="21"/>
        </w:rPr>
        <w:t xml:space="preserve">n relación con los argumentos del Estado en relación con </w:t>
      </w:r>
      <w:r w:rsidR="00DD3FF4" w:rsidRPr="00704E2B">
        <w:rPr>
          <w:rFonts w:ascii="Cambria" w:hAnsi="Cambria"/>
          <w:sz w:val="21"/>
          <w:szCs w:val="21"/>
        </w:rPr>
        <w:t xml:space="preserve">el principio de complementariedad, </w:t>
      </w:r>
      <w:r w:rsidR="00DD3FF4" w:rsidRPr="00704E2B">
        <w:rPr>
          <w:rFonts w:ascii="Cambria" w:hAnsi="Cambria"/>
          <w:sz w:val="21"/>
          <w:szCs w:val="21"/>
          <w:lang w:val="es-MX"/>
        </w:rPr>
        <w:t>la Comisión considera pertinente recordar que dicho</w:t>
      </w:r>
      <w:r w:rsidR="00DD3FF4" w:rsidRPr="00704E2B">
        <w:rPr>
          <w:rFonts w:ascii="Cambria" w:eastAsia="Calibri" w:hAnsi="Cambria"/>
          <w:sz w:val="21"/>
          <w:szCs w:val="21"/>
          <w:lang w:val="es-ES_tradnl"/>
        </w:rPr>
        <w:t xml:space="preserve"> principio informa transversalmente al sistema interamericano, en cuanto a que la jurisdicción internacional es </w:t>
      </w:r>
      <w:r w:rsidR="00DD3FF4" w:rsidRPr="00704E2B">
        <w:rPr>
          <w:rFonts w:ascii="Cambria" w:eastAsia="Calibri" w:hAnsi="Cambria"/>
          <w:sz w:val="21"/>
          <w:szCs w:val="21"/>
          <w:lang w:val="es-ES_tradnl"/>
        </w:rPr>
        <w:lastRenderedPageBreak/>
        <w:t>“coadyuvante” de las jurisdicciones nacionales, sin que las sustituya</w:t>
      </w:r>
      <w:r w:rsidR="00DD3FF4" w:rsidRPr="00704E2B">
        <w:rPr>
          <w:vertAlign w:val="superscript"/>
          <w:lang w:val="es-ES_tradnl"/>
        </w:rPr>
        <w:footnoteReference w:id="23"/>
      </w:r>
      <w:r w:rsidR="00DD3FF4" w:rsidRPr="00704E2B">
        <w:rPr>
          <w:rFonts w:ascii="Cambria" w:eastAsia="Calibri" w:hAnsi="Cambria"/>
          <w:sz w:val="21"/>
          <w:szCs w:val="21"/>
          <w:lang w:val="es-ES_tradnl"/>
        </w:rPr>
        <w:t>. La Comisión considera sin embargo que la invocación del principio de complementariedad como sustento para considerar que no resulta procedente la adopción de medidas cautelares, supone que el Estado concernido satisfaga la carga de demostrar que las personas solicitantes no se encuentran en el supuesto establecido en el artículo 25 del Reglamento, en vista de que las medidas adoptadas por el propio Estado han tenido un impacto sustantivo en la disminución o mitigación de la situación de riesgo, de tal forma que no permita apreciar una situación que cumpla con el requisito de gravedad y urgencia que precisamente requieren la intervención internacional para prevenir daños irreparables</w:t>
      </w:r>
      <w:r w:rsidR="00DD3FF4" w:rsidRPr="00704E2B">
        <w:rPr>
          <w:rStyle w:val="FootnoteReference"/>
          <w:rFonts w:ascii="Cambria" w:eastAsia="Calibri" w:hAnsi="Cambria"/>
          <w:sz w:val="21"/>
          <w:szCs w:val="21"/>
          <w:lang w:val="es-ES_tradnl"/>
        </w:rPr>
        <w:footnoteReference w:id="24"/>
      </w:r>
      <w:r w:rsidR="00DD3FF4" w:rsidRPr="00704E2B">
        <w:rPr>
          <w:rFonts w:ascii="Cambria" w:eastAsia="Calibri" w:hAnsi="Cambria"/>
          <w:sz w:val="21"/>
          <w:szCs w:val="21"/>
          <w:lang w:val="es-ES_tradnl"/>
        </w:rPr>
        <w:t>.</w:t>
      </w:r>
      <w:r w:rsidR="00545C48" w:rsidRPr="00704E2B">
        <w:rPr>
          <w:rFonts w:ascii="Cambria" w:eastAsia="Calibri" w:hAnsi="Cambria"/>
          <w:sz w:val="21"/>
          <w:szCs w:val="21"/>
          <w:lang w:val="es-ES_tradnl"/>
        </w:rPr>
        <w:t xml:space="preserve"> </w:t>
      </w:r>
    </w:p>
    <w:p w:rsidR="0011594C" w:rsidRPr="00704E2B" w:rsidRDefault="0011594C" w:rsidP="00E4276C">
      <w:pPr>
        <w:pStyle w:val="ListParagraph"/>
        <w:spacing w:after="0" w:line="240" w:lineRule="auto"/>
        <w:ind w:left="0" w:firstLine="360"/>
        <w:jc w:val="both"/>
        <w:rPr>
          <w:rFonts w:ascii="Cambria" w:hAnsi="Cambria"/>
          <w:sz w:val="21"/>
          <w:szCs w:val="21"/>
          <w:lang w:val="es-MX"/>
        </w:rPr>
      </w:pPr>
    </w:p>
    <w:p w:rsidR="00DD3FF4" w:rsidRPr="00704E2B" w:rsidRDefault="00DD3FF4"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eastAsia="Calibri" w:hAnsi="Cambria"/>
          <w:sz w:val="21"/>
          <w:szCs w:val="21"/>
          <w:lang w:val="es-ES_tradnl"/>
        </w:rPr>
        <w:t xml:space="preserve">En el presente asunto, </w:t>
      </w:r>
      <w:r w:rsidR="008630ED" w:rsidRPr="00704E2B">
        <w:rPr>
          <w:rFonts w:ascii="Cambria" w:eastAsia="Calibri" w:hAnsi="Cambria"/>
          <w:sz w:val="21"/>
          <w:szCs w:val="21"/>
          <w:lang w:val="es-ES_tradnl"/>
        </w:rPr>
        <w:t xml:space="preserve">si bien la Comisión toma en cuenta las acciones adoptadas por el Estado para proteger los derechos de la propuesta beneficiaria, tras </w:t>
      </w:r>
      <w:r w:rsidR="0011594C" w:rsidRPr="00704E2B">
        <w:rPr>
          <w:rFonts w:ascii="Cambria" w:eastAsia="Calibri" w:hAnsi="Cambria"/>
          <w:sz w:val="21"/>
          <w:szCs w:val="21"/>
          <w:lang w:val="es-ES_tradnl"/>
        </w:rPr>
        <w:t xml:space="preserve">el </w:t>
      </w:r>
      <w:r w:rsidR="008630ED" w:rsidRPr="00704E2B">
        <w:rPr>
          <w:rFonts w:ascii="Cambria" w:eastAsia="Calibri" w:hAnsi="Cambria"/>
          <w:sz w:val="21"/>
          <w:szCs w:val="21"/>
          <w:lang w:val="es-ES_tradnl"/>
        </w:rPr>
        <w:t xml:space="preserve">análisis </w:t>
      </w:r>
      <w:r w:rsidR="0011594C" w:rsidRPr="00704E2B">
        <w:rPr>
          <w:rFonts w:ascii="Cambria" w:eastAsia="Calibri" w:hAnsi="Cambria"/>
          <w:sz w:val="21"/>
          <w:szCs w:val="21"/>
          <w:lang w:val="es-ES_tradnl"/>
        </w:rPr>
        <w:t xml:space="preserve">realizado sobre </w:t>
      </w:r>
      <w:r w:rsidR="008630ED" w:rsidRPr="00704E2B">
        <w:rPr>
          <w:rFonts w:ascii="Cambria" w:eastAsia="Calibri" w:hAnsi="Cambria"/>
          <w:sz w:val="21"/>
          <w:szCs w:val="21"/>
          <w:lang w:val="es-ES_tradnl"/>
        </w:rPr>
        <w:t xml:space="preserve">la situación planteada, observa </w:t>
      </w:r>
      <w:r w:rsidRPr="00704E2B">
        <w:rPr>
          <w:rFonts w:ascii="Cambria" w:eastAsia="Calibri" w:hAnsi="Cambria"/>
          <w:sz w:val="21"/>
          <w:szCs w:val="21"/>
          <w:lang w:val="es-ES_tradnl"/>
        </w:rPr>
        <w:t>los requisitos establecidos en el artículo 25 del Reglamento se encuentran cumplidos, de tal manera que resulta pertinente la adopción de medidas cautelares.</w:t>
      </w:r>
    </w:p>
    <w:p w:rsidR="00A966F2" w:rsidRPr="00704E2B" w:rsidRDefault="00A966F2" w:rsidP="00E4276C">
      <w:pPr>
        <w:pStyle w:val="ListParagraph"/>
        <w:spacing w:after="0" w:line="240" w:lineRule="auto"/>
        <w:ind w:left="0" w:firstLine="360"/>
        <w:jc w:val="both"/>
        <w:rPr>
          <w:rFonts w:ascii="Cambria" w:hAnsi="Cambria"/>
          <w:sz w:val="21"/>
          <w:szCs w:val="21"/>
          <w:lang w:val="es-MX"/>
        </w:rPr>
      </w:pPr>
    </w:p>
    <w:p w:rsidR="00A966F2" w:rsidRPr="00704E2B" w:rsidRDefault="009641EE" w:rsidP="00E4276C">
      <w:pPr>
        <w:pStyle w:val="ListParagraph"/>
        <w:numPr>
          <w:ilvl w:val="0"/>
          <w:numId w:val="20"/>
        </w:numPr>
        <w:spacing w:after="0" w:line="240" w:lineRule="auto"/>
        <w:ind w:left="0" w:firstLine="360"/>
        <w:jc w:val="both"/>
        <w:rPr>
          <w:rFonts w:ascii="Cambria" w:hAnsi="Cambria"/>
          <w:sz w:val="21"/>
          <w:szCs w:val="21"/>
          <w:lang w:val="es-MX"/>
        </w:rPr>
      </w:pPr>
      <w:r w:rsidRPr="00704E2B">
        <w:rPr>
          <w:rFonts w:ascii="Cambria" w:eastAsia="Calibri" w:hAnsi="Cambria"/>
          <w:sz w:val="21"/>
          <w:szCs w:val="21"/>
          <w:lang w:val="es-ES_tradnl"/>
        </w:rPr>
        <w:t>Finalmente, l</w:t>
      </w:r>
      <w:r w:rsidR="00A966F2" w:rsidRPr="00704E2B">
        <w:rPr>
          <w:rFonts w:ascii="Cambria" w:eastAsia="Calibri" w:hAnsi="Cambria"/>
          <w:sz w:val="21"/>
          <w:szCs w:val="21"/>
          <w:lang w:val="es-ES_tradnl"/>
        </w:rPr>
        <w:t>a Comisión observa que los solicitantes también han aportado información en relación con la situación en que se encontraría</w:t>
      </w:r>
      <w:r w:rsidR="00A966F2" w:rsidRPr="00704E2B">
        <w:rPr>
          <w:rFonts w:ascii="Cambria" w:hAnsi="Cambria"/>
          <w:sz w:val="21"/>
          <w:szCs w:val="21"/>
          <w:lang w:val="es-MX"/>
        </w:rPr>
        <w:t xml:space="preserve">n </w:t>
      </w:r>
      <w:r w:rsidR="00A966F2" w:rsidRPr="00704E2B">
        <w:rPr>
          <w:rFonts w:ascii="Cambria" w:hAnsi="Cambria"/>
          <w:sz w:val="21"/>
          <w:szCs w:val="21"/>
        </w:rPr>
        <w:t xml:space="preserve">miembros del pueblo indígena zapoteca de la región del Istmo de Tehuantepec en </w:t>
      </w:r>
      <w:proofErr w:type="spellStart"/>
      <w:r w:rsidR="00A966F2" w:rsidRPr="00704E2B">
        <w:rPr>
          <w:rFonts w:ascii="Cambria" w:hAnsi="Cambria"/>
          <w:sz w:val="21"/>
          <w:szCs w:val="21"/>
        </w:rPr>
        <w:t>Juchitan</w:t>
      </w:r>
      <w:proofErr w:type="spellEnd"/>
      <w:r w:rsidR="00A966F2" w:rsidRPr="00704E2B">
        <w:rPr>
          <w:rFonts w:ascii="Cambria" w:hAnsi="Cambria"/>
          <w:sz w:val="21"/>
          <w:szCs w:val="21"/>
        </w:rPr>
        <w:t xml:space="preserve"> de Zaragoza, quienes forman parte del colectivo APOYO y la </w:t>
      </w:r>
      <w:r w:rsidR="00A966F2" w:rsidRPr="00704E2B">
        <w:rPr>
          <w:rFonts w:ascii="Cambria" w:hAnsi="Cambria"/>
          <w:color w:val="000000"/>
          <w:sz w:val="21"/>
          <w:szCs w:val="21"/>
        </w:rPr>
        <w:t>APIITDTT. Si bien la Comisión identifica que la situación de riesgo descrita se enmarcaría en el contexto del desarrollo del proyecto eólico, dada la información con que cuenta, considera que no le resulta posible identificar cumplidos los requisitos del artículo 25 del Reglamento, en términos de gravedad y urgencia, siendo necesario contar con mayor información de las partes.</w:t>
      </w:r>
    </w:p>
    <w:p w:rsidR="00792884" w:rsidRPr="00704E2B" w:rsidRDefault="00792884" w:rsidP="00DD7BA1">
      <w:pPr>
        <w:spacing w:after="0" w:line="240" w:lineRule="auto"/>
        <w:jc w:val="both"/>
        <w:rPr>
          <w:rFonts w:ascii="Cambria" w:hAnsi="Cambria"/>
          <w:b/>
          <w:sz w:val="21"/>
          <w:szCs w:val="21"/>
          <w:lang w:val="es-MX"/>
        </w:rPr>
      </w:pPr>
    </w:p>
    <w:p w:rsidR="004A7406" w:rsidRPr="00704E2B" w:rsidRDefault="004A7406" w:rsidP="00DD7BA1">
      <w:pPr>
        <w:pStyle w:val="ListParagraph"/>
        <w:numPr>
          <w:ilvl w:val="0"/>
          <w:numId w:val="17"/>
        </w:numPr>
        <w:spacing w:after="0" w:line="240" w:lineRule="auto"/>
        <w:jc w:val="both"/>
        <w:rPr>
          <w:rFonts w:ascii="Cambria" w:hAnsi="Cambria"/>
          <w:b/>
          <w:sz w:val="21"/>
          <w:szCs w:val="21"/>
        </w:rPr>
      </w:pPr>
      <w:r w:rsidRPr="00704E2B">
        <w:rPr>
          <w:rFonts w:ascii="Cambria" w:hAnsi="Cambria"/>
          <w:b/>
          <w:sz w:val="21"/>
          <w:szCs w:val="21"/>
        </w:rPr>
        <w:t>BENEFICIARIOS</w:t>
      </w:r>
    </w:p>
    <w:p w:rsidR="0020622F" w:rsidRPr="00704E2B" w:rsidRDefault="0020622F" w:rsidP="00DD7BA1">
      <w:pPr>
        <w:pStyle w:val="ListParagraph"/>
        <w:spacing w:after="0" w:line="240" w:lineRule="auto"/>
        <w:jc w:val="both"/>
        <w:rPr>
          <w:rFonts w:ascii="Cambria" w:hAnsi="Cambria"/>
          <w:b/>
          <w:sz w:val="21"/>
          <w:szCs w:val="21"/>
        </w:rPr>
      </w:pPr>
    </w:p>
    <w:p w:rsidR="00F567B9" w:rsidRPr="00704E2B" w:rsidRDefault="00B31AB2" w:rsidP="00E4276C">
      <w:pPr>
        <w:pStyle w:val="ListParagraph"/>
        <w:numPr>
          <w:ilvl w:val="0"/>
          <w:numId w:val="20"/>
        </w:numPr>
        <w:spacing w:after="0" w:line="240" w:lineRule="auto"/>
        <w:ind w:left="0" w:firstLine="360"/>
        <w:jc w:val="both"/>
        <w:rPr>
          <w:rFonts w:ascii="Cambria" w:hAnsi="Cambria"/>
          <w:sz w:val="21"/>
          <w:szCs w:val="21"/>
        </w:rPr>
      </w:pPr>
      <w:r w:rsidRPr="00704E2B">
        <w:rPr>
          <w:rFonts w:ascii="Cambria" w:hAnsi="Cambria"/>
          <w:sz w:val="21"/>
          <w:szCs w:val="21"/>
        </w:rPr>
        <w:t>La CIDH considera como beneficiario de la presente medida cautelar a</w:t>
      </w:r>
      <w:r w:rsidR="00767979" w:rsidRPr="00704E2B">
        <w:rPr>
          <w:rFonts w:ascii="Cambria" w:hAnsi="Cambria"/>
          <w:sz w:val="21"/>
          <w:szCs w:val="21"/>
        </w:rPr>
        <w:t xml:space="preserve"> </w:t>
      </w:r>
      <w:r w:rsidR="00D677AE" w:rsidRPr="00704E2B">
        <w:rPr>
          <w:rFonts w:ascii="Cambria" w:hAnsi="Cambria"/>
          <w:sz w:val="21"/>
          <w:szCs w:val="21"/>
        </w:rPr>
        <w:t>l</w:t>
      </w:r>
      <w:r w:rsidR="00767979" w:rsidRPr="00704E2B">
        <w:rPr>
          <w:rFonts w:ascii="Cambria" w:hAnsi="Cambria"/>
          <w:sz w:val="21"/>
          <w:szCs w:val="21"/>
        </w:rPr>
        <w:t>a</w:t>
      </w:r>
      <w:r w:rsidR="00D677AE" w:rsidRPr="00704E2B">
        <w:rPr>
          <w:rFonts w:ascii="Cambria" w:hAnsi="Cambria"/>
          <w:sz w:val="21"/>
          <w:szCs w:val="21"/>
        </w:rPr>
        <w:t xml:space="preserve"> </w:t>
      </w:r>
      <w:r w:rsidR="00767979" w:rsidRPr="00704E2B">
        <w:rPr>
          <w:rFonts w:ascii="Cambria" w:hAnsi="Cambria"/>
          <w:sz w:val="21"/>
          <w:szCs w:val="21"/>
        </w:rPr>
        <w:t xml:space="preserve">señora </w:t>
      </w:r>
      <w:r w:rsidR="00A937E9" w:rsidRPr="00704E2B">
        <w:rPr>
          <w:rFonts w:ascii="Cambria" w:hAnsi="Cambria"/>
          <w:sz w:val="21"/>
          <w:szCs w:val="21"/>
        </w:rPr>
        <w:t xml:space="preserve">Lucila </w:t>
      </w:r>
      <w:proofErr w:type="spellStart"/>
      <w:r w:rsidR="00767979" w:rsidRPr="00704E2B">
        <w:rPr>
          <w:rFonts w:ascii="Cambria" w:hAnsi="Cambria"/>
          <w:sz w:val="21"/>
          <w:szCs w:val="21"/>
        </w:rPr>
        <w:t>Bettina</w:t>
      </w:r>
      <w:proofErr w:type="spellEnd"/>
      <w:r w:rsidR="00767979" w:rsidRPr="00704E2B">
        <w:rPr>
          <w:rFonts w:ascii="Cambria" w:hAnsi="Cambria"/>
          <w:sz w:val="21"/>
          <w:szCs w:val="21"/>
        </w:rPr>
        <w:t xml:space="preserve"> Cruz y su núcleo familiar</w:t>
      </w:r>
      <w:r w:rsidR="008278A6" w:rsidRPr="00704E2B">
        <w:rPr>
          <w:rFonts w:ascii="Cambria" w:hAnsi="Cambria"/>
          <w:sz w:val="21"/>
          <w:szCs w:val="21"/>
        </w:rPr>
        <w:t xml:space="preserve"> debidamente identificados en los términos del art. 25.3 del Reglamento de la CIDH. </w:t>
      </w:r>
    </w:p>
    <w:p w:rsidR="00E25FB1" w:rsidRPr="00704E2B" w:rsidRDefault="00E25FB1" w:rsidP="00DD7BA1">
      <w:pPr>
        <w:spacing w:after="0" w:line="240" w:lineRule="auto"/>
        <w:jc w:val="both"/>
        <w:rPr>
          <w:rFonts w:ascii="Cambria" w:hAnsi="Cambria"/>
          <w:sz w:val="21"/>
          <w:szCs w:val="21"/>
        </w:rPr>
      </w:pPr>
    </w:p>
    <w:p w:rsidR="004A7406" w:rsidRPr="00704E2B" w:rsidRDefault="00124373" w:rsidP="00DD7BA1">
      <w:pPr>
        <w:pStyle w:val="ListParagraph"/>
        <w:numPr>
          <w:ilvl w:val="0"/>
          <w:numId w:val="17"/>
        </w:numPr>
        <w:spacing w:after="0" w:line="240" w:lineRule="auto"/>
        <w:jc w:val="both"/>
        <w:rPr>
          <w:rFonts w:ascii="Cambria" w:hAnsi="Cambria"/>
          <w:b/>
          <w:sz w:val="21"/>
          <w:szCs w:val="21"/>
        </w:rPr>
      </w:pPr>
      <w:r w:rsidRPr="00704E2B">
        <w:rPr>
          <w:rFonts w:ascii="Cambria" w:hAnsi="Cambria"/>
          <w:b/>
          <w:sz w:val="21"/>
          <w:szCs w:val="21"/>
        </w:rPr>
        <w:t>DECISI</w:t>
      </w:r>
      <w:r w:rsidRPr="00704E2B">
        <w:rPr>
          <w:rFonts w:ascii="Cambria" w:hAnsi="Cambria"/>
          <w:b/>
          <w:sz w:val="21"/>
          <w:szCs w:val="21"/>
          <w:lang w:val="es-MX"/>
        </w:rPr>
        <w:t>ÓN</w:t>
      </w:r>
      <w:r w:rsidR="004A7406" w:rsidRPr="00704E2B">
        <w:rPr>
          <w:rFonts w:ascii="Cambria" w:hAnsi="Cambria"/>
          <w:b/>
          <w:sz w:val="21"/>
          <w:szCs w:val="21"/>
        </w:rPr>
        <w:t xml:space="preserve"> </w:t>
      </w:r>
    </w:p>
    <w:p w:rsidR="0020622F" w:rsidRPr="00704E2B" w:rsidRDefault="0020622F" w:rsidP="00DD7BA1">
      <w:pPr>
        <w:pStyle w:val="ListParagraph"/>
        <w:spacing w:after="0" w:line="240" w:lineRule="auto"/>
        <w:jc w:val="both"/>
        <w:rPr>
          <w:rFonts w:ascii="Cambria" w:hAnsi="Cambria"/>
          <w:b/>
          <w:sz w:val="21"/>
          <w:szCs w:val="21"/>
        </w:rPr>
      </w:pPr>
    </w:p>
    <w:p w:rsidR="004A7406" w:rsidRPr="00704E2B" w:rsidRDefault="004A7406" w:rsidP="00E4276C">
      <w:pPr>
        <w:pStyle w:val="ListParagraph"/>
        <w:numPr>
          <w:ilvl w:val="0"/>
          <w:numId w:val="20"/>
        </w:numPr>
        <w:spacing w:after="0" w:line="240" w:lineRule="auto"/>
        <w:ind w:left="0" w:firstLine="360"/>
        <w:jc w:val="both"/>
        <w:rPr>
          <w:rFonts w:ascii="Cambria" w:hAnsi="Cambria"/>
          <w:sz w:val="21"/>
          <w:szCs w:val="21"/>
        </w:rPr>
      </w:pPr>
      <w:r w:rsidRPr="00704E2B">
        <w:rPr>
          <w:rFonts w:ascii="Cambria" w:hAnsi="Cambria"/>
          <w:sz w:val="21"/>
          <w:szCs w:val="21"/>
        </w:rPr>
        <w:t xml:space="preserve">En vista de los antecedentes señalados, la CIDH considera que el presente asunto reúne </w:t>
      </w:r>
      <w:r w:rsidRPr="00704E2B">
        <w:rPr>
          <w:rFonts w:ascii="Cambria" w:hAnsi="Cambria"/>
          <w:i/>
          <w:sz w:val="21"/>
          <w:szCs w:val="21"/>
        </w:rPr>
        <w:t>prima facie</w:t>
      </w:r>
      <w:r w:rsidRPr="00704E2B">
        <w:rPr>
          <w:rFonts w:ascii="Cambria" w:hAnsi="Cambria"/>
          <w:sz w:val="21"/>
          <w:szCs w:val="21"/>
        </w:rPr>
        <w:t xml:space="preserve"> los requisitos de gravedad, urgencia e </w:t>
      </w:r>
      <w:proofErr w:type="spellStart"/>
      <w:r w:rsidRPr="00704E2B">
        <w:rPr>
          <w:rFonts w:ascii="Cambria" w:hAnsi="Cambria"/>
          <w:sz w:val="21"/>
          <w:szCs w:val="21"/>
        </w:rPr>
        <w:t>irreparabilidad</w:t>
      </w:r>
      <w:proofErr w:type="spellEnd"/>
      <w:r w:rsidRPr="00704E2B">
        <w:rPr>
          <w:rFonts w:ascii="Cambria" w:hAnsi="Cambria"/>
          <w:sz w:val="21"/>
          <w:szCs w:val="21"/>
        </w:rPr>
        <w:t xml:space="preserve"> contenidos en el artículo 25 de su Reglamento. En consecuencia, la Comisión solicita al Estado de </w:t>
      </w:r>
      <w:r w:rsidR="008F1E46" w:rsidRPr="00704E2B">
        <w:rPr>
          <w:rFonts w:ascii="Cambria" w:hAnsi="Cambria"/>
          <w:sz w:val="21"/>
          <w:szCs w:val="21"/>
        </w:rPr>
        <w:t>México</w:t>
      </w:r>
      <w:r w:rsidRPr="00704E2B">
        <w:rPr>
          <w:rFonts w:ascii="Cambria" w:hAnsi="Cambria"/>
          <w:sz w:val="21"/>
          <w:szCs w:val="21"/>
        </w:rPr>
        <w:t xml:space="preserve"> que:</w:t>
      </w:r>
    </w:p>
    <w:p w:rsidR="002115BB" w:rsidRPr="00704E2B" w:rsidRDefault="002115BB" w:rsidP="00DD7BA1">
      <w:pPr>
        <w:spacing w:after="0" w:line="240" w:lineRule="auto"/>
        <w:jc w:val="both"/>
        <w:rPr>
          <w:rFonts w:ascii="Cambria" w:hAnsi="Cambria"/>
          <w:sz w:val="21"/>
          <w:szCs w:val="21"/>
        </w:rPr>
      </w:pPr>
    </w:p>
    <w:p w:rsidR="00795BD7" w:rsidRPr="00704E2B" w:rsidRDefault="00795BD7" w:rsidP="00DD3FF4">
      <w:pPr>
        <w:pStyle w:val="ListParagraph"/>
        <w:numPr>
          <w:ilvl w:val="3"/>
          <w:numId w:val="38"/>
        </w:numPr>
        <w:spacing w:after="0" w:line="240" w:lineRule="auto"/>
        <w:ind w:left="720"/>
        <w:jc w:val="both"/>
        <w:rPr>
          <w:rFonts w:ascii="Cambria" w:hAnsi="Cambria"/>
          <w:sz w:val="21"/>
          <w:szCs w:val="21"/>
        </w:rPr>
      </w:pPr>
      <w:r w:rsidRPr="00704E2B">
        <w:rPr>
          <w:rFonts w:ascii="Cambria" w:hAnsi="Cambria"/>
          <w:sz w:val="21"/>
          <w:szCs w:val="21"/>
        </w:rPr>
        <w:t xml:space="preserve">Adopte las medidas necesarias para preservar la vida y la integridad personal de </w:t>
      </w:r>
      <w:r w:rsidR="002129C8" w:rsidRPr="00704E2B">
        <w:rPr>
          <w:rFonts w:ascii="Cambria" w:hAnsi="Cambria"/>
          <w:sz w:val="21"/>
          <w:szCs w:val="21"/>
          <w:lang w:val="es-CO"/>
        </w:rPr>
        <w:t xml:space="preserve">la señora Lucila </w:t>
      </w:r>
      <w:proofErr w:type="spellStart"/>
      <w:r w:rsidR="002129C8" w:rsidRPr="00704E2B">
        <w:rPr>
          <w:rFonts w:ascii="Cambria" w:hAnsi="Cambria"/>
          <w:sz w:val="21"/>
          <w:szCs w:val="21"/>
          <w:lang w:val="es-CO"/>
        </w:rPr>
        <w:t>Bettina</w:t>
      </w:r>
      <w:proofErr w:type="spellEnd"/>
      <w:r w:rsidR="002129C8" w:rsidRPr="00704E2B">
        <w:rPr>
          <w:rFonts w:ascii="Cambria" w:hAnsi="Cambria"/>
          <w:sz w:val="21"/>
          <w:szCs w:val="21"/>
          <w:lang w:val="es-CO"/>
        </w:rPr>
        <w:t xml:space="preserve"> Cruz y su núcleo familiar</w:t>
      </w:r>
      <w:r w:rsidRPr="00704E2B">
        <w:rPr>
          <w:rFonts w:ascii="Cambria" w:hAnsi="Cambria"/>
          <w:sz w:val="21"/>
          <w:szCs w:val="21"/>
        </w:rPr>
        <w:t xml:space="preserve">; </w:t>
      </w:r>
    </w:p>
    <w:p w:rsidR="002129C8" w:rsidRPr="00704E2B" w:rsidRDefault="002129C8" w:rsidP="00DD3FF4">
      <w:pPr>
        <w:pStyle w:val="ListParagraph"/>
        <w:numPr>
          <w:ilvl w:val="3"/>
          <w:numId w:val="38"/>
        </w:numPr>
        <w:spacing w:after="0" w:line="240" w:lineRule="auto"/>
        <w:ind w:left="720"/>
        <w:jc w:val="both"/>
        <w:rPr>
          <w:rFonts w:ascii="Cambria" w:hAnsi="Cambria"/>
          <w:sz w:val="21"/>
          <w:szCs w:val="21"/>
        </w:rPr>
      </w:pPr>
      <w:r w:rsidRPr="00704E2B">
        <w:rPr>
          <w:rFonts w:ascii="Cambria" w:hAnsi="Cambria"/>
          <w:sz w:val="21"/>
          <w:szCs w:val="21"/>
        </w:rPr>
        <w:t xml:space="preserve">Adopte las medidas necesarias para asegurar que la </w:t>
      </w:r>
      <w:r w:rsidR="00A937E9" w:rsidRPr="00704E2B">
        <w:rPr>
          <w:rFonts w:ascii="Cambria" w:hAnsi="Cambria"/>
          <w:sz w:val="21"/>
          <w:szCs w:val="21"/>
        </w:rPr>
        <w:t>señora</w:t>
      </w:r>
      <w:r w:rsidRPr="00704E2B">
        <w:rPr>
          <w:rFonts w:ascii="Cambria" w:hAnsi="Cambria"/>
          <w:sz w:val="21"/>
          <w:szCs w:val="21"/>
        </w:rPr>
        <w:t xml:space="preserve"> Lucila </w:t>
      </w:r>
      <w:proofErr w:type="spellStart"/>
      <w:r w:rsidRPr="00704E2B">
        <w:rPr>
          <w:rFonts w:ascii="Cambria" w:hAnsi="Cambria"/>
          <w:sz w:val="21"/>
          <w:szCs w:val="21"/>
        </w:rPr>
        <w:t>Bettina</w:t>
      </w:r>
      <w:proofErr w:type="spellEnd"/>
      <w:r w:rsidRPr="00704E2B">
        <w:rPr>
          <w:rFonts w:ascii="Cambria" w:hAnsi="Cambria"/>
          <w:sz w:val="21"/>
          <w:szCs w:val="21"/>
        </w:rPr>
        <w:t xml:space="preserve"> Cruz pueda desarrollar sus actividades como defensora de derechos humanos sin ser objeto de amenazas, hostigamientos y actos de violencia en el ejercicio de sus funciones;</w:t>
      </w:r>
    </w:p>
    <w:p w:rsidR="00795BD7" w:rsidRPr="00704E2B" w:rsidRDefault="00795BD7" w:rsidP="00DD3FF4">
      <w:pPr>
        <w:pStyle w:val="ListParagraph"/>
        <w:numPr>
          <w:ilvl w:val="3"/>
          <w:numId w:val="38"/>
        </w:numPr>
        <w:spacing w:after="0" w:line="240" w:lineRule="auto"/>
        <w:ind w:left="720"/>
        <w:jc w:val="both"/>
        <w:rPr>
          <w:rFonts w:ascii="Cambria" w:hAnsi="Cambria"/>
          <w:sz w:val="21"/>
          <w:szCs w:val="21"/>
        </w:rPr>
      </w:pPr>
      <w:r w:rsidRPr="00704E2B">
        <w:rPr>
          <w:rFonts w:ascii="Cambria" w:hAnsi="Cambria"/>
          <w:sz w:val="21"/>
          <w:szCs w:val="21"/>
        </w:rPr>
        <w:t xml:space="preserve">Concierte las medidas a adoptarse con </w:t>
      </w:r>
      <w:r w:rsidR="00267599" w:rsidRPr="00704E2B">
        <w:rPr>
          <w:rFonts w:ascii="Cambria" w:hAnsi="Cambria"/>
          <w:sz w:val="21"/>
          <w:szCs w:val="21"/>
        </w:rPr>
        <w:t>l</w:t>
      </w:r>
      <w:r w:rsidR="008278A6" w:rsidRPr="00704E2B">
        <w:rPr>
          <w:rFonts w:ascii="Cambria" w:hAnsi="Cambria"/>
          <w:sz w:val="21"/>
          <w:szCs w:val="21"/>
        </w:rPr>
        <w:t>os</w:t>
      </w:r>
      <w:r w:rsidR="00267599" w:rsidRPr="00704E2B">
        <w:rPr>
          <w:rFonts w:ascii="Cambria" w:hAnsi="Cambria"/>
          <w:sz w:val="21"/>
          <w:szCs w:val="21"/>
        </w:rPr>
        <w:t xml:space="preserve"> beneficiario</w:t>
      </w:r>
      <w:r w:rsidR="008278A6" w:rsidRPr="00704E2B">
        <w:rPr>
          <w:rFonts w:ascii="Cambria" w:hAnsi="Cambria"/>
          <w:sz w:val="21"/>
          <w:szCs w:val="21"/>
        </w:rPr>
        <w:t>s</w:t>
      </w:r>
      <w:r w:rsidRPr="00704E2B">
        <w:rPr>
          <w:rFonts w:ascii="Cambria" w:hAnsi="Cambria"/>
          <w:sz w:val="21"/>
          <w:szCs w:val="21"/>
        </w:rPr>
        <w:t xml:space="preserve"> y sus representantes; </w:t>
      </w:r>
      <w:r w:rsidR="008278A6" w:rsidRPr="00704E2B">
        <w:rPr>
          <w:rFonts w:ascii="Cambria" w:hAnsi="Cambria"/>
          <w:sz w:val="21"/>
          <w:szCs w:val="21"/>
        </w:rPr>
        <w:t>e</w:t>
      </w:r>
      <w:r w:rsidRPr="00704E2B">
        <w:rPr>
          <w:rFonts w:ascii="Cambria" w:hAnsi="Cambria"/>
          <w:sz w:val="21"/>
          <w:szCs w:val="21"/>
        </w:rPr>
        <w:t xml:space="preserve"> </w:t>
      </w:r>
    </w:p>
    <w:p w:rsidR="00B31AB2" w:rsidRPr="00704E2B" w:rsidRDefault="00795BD7" w:rsidP="00DD3FF4">
      <w:pPr>
        <w:pStyle w:val="ListParagraph"/>
        <w:numPr>
          <w:ilvl w:val="3"/>
          <w:numId w:val="38"/>
        </w:numPr>
        <w:spacing w:after="0" w:line="240" w:lineRule="auto"/>
        <w:ind w:left="720"/>
        <w:jc w:val="both"/>
        <w:rPr>
          <w:rFonts w:ascii="Cambria" w:hAnsi="Cambria"/>
          <w:sz w:val="21"/>
          <w:szCs w:val="21"/>
        </w:rPr>
      </w:pPr>
      <w:r w:rsidRPr="00704E2B">
        <w:rPr>
          <w:rFonts w:ascii="Cambria" w:hAnsi="Cambria"/>
          <w:sz w:val="21"/>
          <w:szCs w:val="21"/>
        </w:rPr>
        <w:t xml:space="preserve">Informe sobre las acciones adoptadas </w:t>
      </w:r>
      <w:r w:rsidR="0038775E" w:rsidRPr="00704E2B">
        <w:rPr>
          <w:rFonts w:ascii="Cambria" w:hAnsi="Cambria"/>
          <w:sz w:val="21"/>
          <w:szCs w:val="21"/>
        </w:rPr>
        <w:t xml:space="preserve">para </w:t>
      </w:r>
      <w:r w:rsidR="0089631F" w:rsidRPr="00704E2B">
        <w:rPr>
          <w:rFonts w:ascii="Cambria" w:hAnsi="Cambria"/>
          <w:sz w:val="21"/>
          <w:szCs w:val="21"/>
        </w:rPr>
        <w:t xml:space="preserve">asegurar la idoneidad y efectividad de </w:t>
      </w:r>
      <w:r w:rsidR="0038775E" w:rsidRPr="00704E2B">
        <w:rPr>
          <w:rFonts w:ascii="Cambria" w:hAnsi="Cambria"/>
          <w:sz w:val="21"/>
          <w:szCs w:val="21"/>
        </w:rPr>
        <w:t xml:space="preserve">las medidas </w:t>
      </w:r>
      <w:r w:rsidR="0089631F" w:rsidRPr="00704E2B">
        <w:rPr>
          <w:rFonts w:ascii="Cambria" w:hAnsi="Cambria"/>
          <w:sz w:val="21"/>
          <w:szCs w:val="21"/>
        </w:rPr>
        <w:t xml:space="preserve">de protección adoptadas, así como para </w:t>
      </w:r>
      <w:r w:rsidRPr="00704E2B">
        <w:rPr>
          <w:rFonts w:ascii="Cambria" w:hAnsi="Cambria"/>
          <w:sz w:val="21"/>
          <w:szCs w:val="21"/>
        </w:rPr>
        <w:t xml:space="preserve">investigar los hechos alegados que dieron lugar a la adopción de la presente medida cautelar </w:t>
      </w:r>
      <w:r w:rsidR="0038775E" w:rsidRPr="00704E2B">
        <w:rPr>
          <w:rFonts w:ascii="Cambria" w:hAnsi="Cambria"/>
          <w:sz w:val="21"/>
          <w:szCs w:val="21"/>
        </w:rPr>
        <w:t xml:space="preserve">a fin de </w:t>
      </w:r>
      <w:r w:rsidRPr="00704E2B">
        <w:rPr>
          <w:rFonts w:ascii="Cambria" w:hAnsi="Cambria"/>
          <w:sz w:val="21"/>
          <w:szCs w:val="21"/>
        </w:rPr>
        <w:t>así evitar su repetición.</w:t>
      </w:r>
    </w:p>
    <w:p w:rsidR="00767979" w:rsidRPr="00704E2B" w:rsidRDefault="00767979" w:rsidP="00DD7BA1">
      <w:pPr>
        <w:pStyle w:val="ListParagraph"/>
        <w:spacing w:after="0" w:line="240" w:lineRule="auto"/>
        <w:ind w:left="360"/>
        <w:jc w:val="both"/>
        <w:rPr>
          <w:rFonts w:ascii="Cambria" w:hAnsi="Cambria"/>
          <w:sz w:val="21"/>
          <w:szCs w:val="21"/>
        </w:rPr>
      </w:pPr>
    </w:p>
    <w:p w:rsidR="004A7406" w:rsidRPr="00704E2B" w:rsidRDefault="004A7406" w:rsidP="00E4276C">
      <w:pPr>
        <w:pStyle w:val="ListParagraph"/>
        <w:numPr>
          <w:ilvl w:val="0"/>
          <w:numId w:val="20"/>
        </w:numPr>
        <w:tabs>
          <w:tab w:val="left" w:pos="0"/>
        </w:tabs>
        <w:spacing w:after="0" w:line="240" w:lineRule="auto"/>
        <w:ind w:left="0" w:firstLine="360"/>
        <w:jc w:val="both"/>
        <w:rPr>
          <w:rFonts w:ascii="Cambria" w:hAnsi="Cambria"/>
          <w:sz w:val="21"/>
          <w:szCs w:val="21"/>
        </w:rPr>
      </w:pPr>
      <w:r w:rsidRPr="00704E2B">
        <w:rPr>
          <w:rFonts w:ascii="Cambria" w:hAnsi="Cambria"/>
          <w:sz w:val="21"/>
          <w:szCs w:val="21"/>
        </w:rPr>
        <w:t xml:space="preserve">La Comisión también solicita al Gobierno </w:t>
      </w:r>
      <w:r w:rsidR="00357B1A" w:rsidRPr="00704E2B">
        <w:rPr>
          <w:rFonts w:ascii="Cambria" w:hAnsi="Cambria"/>
          <w:sz w:val="21"/>
          <w:szCs w:val="21"/>
        </w:rPr>
        <w:t xml:space="preserve">de </w:t>
      </w:r>
      <w:r w:rsidR="008F1E46" w:rsidRPr="00704E2B">
        <w:rPr>
          <w:rFonts w:ascii="Cambria" w:hAnsi="Cambria"/>
          <w:sz w:val="21"/>
          <w:szCs w:val="21"/>
        </w:rPr>
        <w:t>México</w:t>
      </w:r>
      <w:r w:rsidR="00357B1A" w:rsidRPr="00704E2B">
        <w:rPr>
          <w:rFonts w:ascii="Cambria" w:hAnsi="Cambria"/>
          <w:sz w:val="21"/>
          <w:szCs w:val="21"/>
        </w:rPr>
        <w:t xml:space="preserve"> </w:t>
      </w:r>
      <w:r w:rsidRPr="00704E2B">
        <w:rPr>
          <w:rFonts w:ascii="Cambria" w:hAnsi="Cambria"/>
          <w:sz w:val="21"/>
          <w:szCs w:val="21"/>
        </w:rPr>
        <w:t>tenga a bien informar a la</w:t>
      </w:r>
      <w:r w:rsidR="009C6606" w:rsidRPr="00704E2B">
        <w:rPr>
          <w:rFonts w:ascii="Cambria" w:hAnsi="Cambria"/>
          <w:sz w:val="21"/>
          <w:szCs w:val="21"/>
        </w:rPr>
        <w:t xml:space="preserve"> Comisión dentro del plazo de </w:t>
      </w:r>
      <w:r w:rsidR="007C27C6" w:rsidRPr="00704E2B">
        <w:rPr>
          <w:rFonts w:ascii="Cambria" w:hAnsi="Cambria"/>
          <w:sz w:val="21"/>
          <w:szCs w:val="21"/>
        </w:rPr>
        <w:t>15</w:t>
      </w:r>
      <w:r w:rsidRPr="00704E2B">
        <w:rPr>
          <w:rFonts w:ascii="Cambria" w:hAnsi="Cambria"/>
          <w:sz w:val="21"/>
          <w:szCs w:val="21"/>
        </w:rPr>
        <w:t xml:space="preserve"> días contados a partir de la fecha de la presente comunicación, sobre la adopción de las medidas cautelares acordadas y actualizar dicha información en forma periódica.  </w:t>
      </w:r>
    </w:p>
    <w:p w:rsidR="004A7406" w:rsidRPr="00704E2B" w:rsidRDefault="004A7406" w:rsidP="00E4276C">
      <w:pPr>
        <w:tabs>
          <w:tab w:val="left" w:pos="0"/>
        </w:tabs>
        <w:spacing w:after="0" w:line="240" w:lineRule="auto"/>
        <w:ind w:firstLine="360"/>
        <w:jc w:val="both"/>
        <w:rPr>
          <w:rFonts w:ascii="Cambria" w:hAnsi="Cambria"/>
          <w:sz w:val="21"/>
          <w:szCs w:val="21"/>
        </w:rPr>
      </w:pPr>
    </w:p>
    <w:p w:rsidR="004A7406" w:rsidRPr="00704E2B" w:rsidRDefault="004A7406" w:rsidP="00E4276C">
      <w:pPr>
        <w:pStyle w:val="ListParagraph"/>
        <w:numPr>
          <w:ilvl w:val="0"/>
          <w:numId w:val="20"/>
        </w:numPr>
        <w:tabs>
          <w:tab w:val="left" w:pos="0"/>
        </w:tabs>
        <w:spacing w:after="0" w:line="240" w:lineRule="auto"/>
        <w:ind w:left="0" w:firstLine="360"/>
        <w:jc w:val="both"/>
        <w:rPr>
          <w:rFonts w:ascii="Cambria" w:hAnsi="Cambria"/>
          <w:sz w:val="21"/>
          <w:szCs w:val="21"/>
        </w:rPr>
      </w:pPr>
      <w:r w:rsidRPr="00704E2B">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4A7406" w:rsidRPr="00704E2B" w:rsidRDefault="004A7406" w:rsidP="00E4276C">
      <w:pPr>
        <w:tabs>
          <w:tab w:val="left" w:pos="0"/>
        </w:tabs>
        <w:spacing w:after="0" w:line="240" w:lineRule="auto"/>
        <w:ind w:firstLine="360"/>
        <w:jc w:val="both"/>
        <w:rPr>
          <w:rFonts w:ascii="Cambria" w:hAnsi="Cambria"/>
          <w:sz w:val="21"/>
          <w:szCs w:val="21"/>
        </w:rPr>
      </w:pPr>
    </w:p>
    <w:p w:rsidR="00C34206" w:rsidRPr="00704E2B" w:rsidRDefault="004A7406" w:rsidP="00E4276C">
      <w:pPr>
        <w:pStyle w:val="ListParagraph"/>
        <w:numPr>
          <w:ilvl w:val="0"/>
          <w:numId w:val="20"/>
        </w:numPr>
        <w:tabs>
          <w:tab w:val="left" w:pos="0"/>
        </w:tabs>
        <w:spacing w:after="0" w:line="240" w:lineRule="auto"/>
        <w:ind w:left="0" w:firstLine="360"/>
        <w:jc w:val="both"/>
        <w:rPr>
          <w:rFonts w:ascii="Cambria" w:hAnsi="Cambria"/>
          <w:sz w:val="21"/>
          <w:szCs w:val="21"/>
        </w:rPr>
      </w:pPr>
      <w:r w:rsidRPr="00704E2B">
        <w:rPr>
          <w:rFonts w:ascii="Cambria" w:hAnsi="Cambria"/>
          <w:sz w:val="21"/>
          <w:szCs w:val="21"/>
        </w:rPr>
        <w:t xml:space="preserve">La Comisión </w:t>
      </w:r>
      <w:r w:rsidR="00E048A6" w:rsidRPr="00704E2B">
        <w:rPr>
          <w:rFonts w:ascii="Cambria" w:hAnsi="Cambria"/>
          <w:sz w:val="21"/>
          <w:szCs w:val="21"/>
        </w:rPr>
        <w:t xml:space="preserve">requiere </w:t>
      </w:r>
      <w:r w:rsidRPr="00704E2B">
        <w:rPr>
          <w:rFonts w:ascii="Cambria" w:hAnsi="Cambria"/>
          <w:sz w:val="21"/>
          <w:szCs w:val="21"/>
        </w:rPr>
        <w:t xml:space="preserve">que la Secretaría de la Comisión Interamericana notifique la presente Resolución al Estado de </w:t>
      </w:r>
      <w:r w:rsidR="008F1E46" w:rsidRPr="00704E2B">
        <w:rPr>
          <w:rFonts w:ascii="Cambria" w:hAnsi="Cambria"/>
          <w:sz w:val="21"/>
          <w:szCs w:val="21"/>
        </w:rPr>
        <w:t>México</w:t>
      </w:r>
      <w:r w:rsidRPr="00704E2B">
        <w:rPr>
          <w:rFonts w:ascii="Cambria" w:hAnsi="Cambria"/>
          <w:sz w:val="21"/>
          <w:szCs w:val="21"/>
        </w:rPr>
        <w:t xml:space="preserve"> y a los solicitantes.</w:t>
      </w:r>
    </w:p>
    <w:p w:rsidR="00C34206" w:rsidRPr="00704E2B" w:rsidRDefault="00C34206" w:rsidP="00E4276C">
      <w:pPr>
        <w:pStyle w:val="ListParagraph"/>
        <w:tabs>
          <w:tab w:val="left" w:pos="0"/>
        </w:tabs>
        <w:spacing w:after="0" w:line="240" w:lineRule="auto"/>
        <w:ind w:left="0" w:firstLine="360"/>
        <w:jc w:val="both"/>
        <w:rPr>
          <w:rFonts w:ascii="Cambria" w:hAnsi="Cambria"/>
          <w:sz w:val="21"/>
          <w:szCs w:val="21"/>
        </w:rPr>
      </w:pPr>
    </w:p>
    <w:p w:rsidR="001A5E49" w:rsidRPr="00704E2B" w:rsidRDefault="00FB00C4" w:rsidP="00E4276C">
      <w:pPr>
        <w:pStyle w:val="ListParagraph"/>
        <w:numPr>
          <w:ilvl w:val="0"/>
          <w:numId w:val="20"/>
        </w:numPr>
        <w:tabs>
          <w:tab w:val="left" w:pos="0"/>
        </w:tabs>
        <w:spacing w:after="0" w:line="240" w:lineRule="auto"/>
        <w:ind w:left="0" w:firstLine="360"/>
        <w:jc w:val="both"/>
        <w:rPr>
          <w:rFonts w:ascii="Cambria" w:hAnsi="Cambria"/>
          <w:sz w:val="21"/>
          <w:szCs w:val="21"/>
        </w:rPr>
      </w:pPr>
      <w:r w:rsidRPr="00704E2B">
        <w:rPr>
          <w:rFonts w:ascii="Cambria" w:hAnsi="Cambria"/>
          <w:sz w:val="21"/>
          <w:szCs w:val="21"/>
        </w:rPr>
        <w:t xml:space="preserve">Aprobado </w:t>
      </w:r>
      <w:r w:rsidR="001647F2" w:rsidRPr="00704E2B">
        <w:rPr>
          <w:rFonts w:ascii="Cambria" w:hAnsi="Cambria"/>
          <w:sz w:val="21"/>
          <w:szCs w:val="21"/>
        </w:rPr>
        <w:t xml:space="preserve">el 4 de enero de </w:t>
      </w:r>
      <w:r w:rsidR="00625117" w:rsidRPr="00704E2B">
        <w:rPr>
          <w:rFonts w:ascii="Cambria" w:hAnsi="Cambria"/>
          <w:sz w:val="21"/>
          <w:szCs w:val="21"/>
        </w:rPr>
        <w:t>2018</w:t>
      </w:r>
      <w:r w:rsidRPr="00704E2B">
        <w:rPr>
          <w:rFonts w:ascii="Cambria" w:hAnsi="Cambria"/>
          <w:sz w:val="21"/>
          <w:szCs w:val="21"/>
        </w:rPr>
        <w:t xml:space="preserve"> por: </w:t>
      </w:r>
      <w:r w:rsidR="001647F2" w:rsidRPr="00704E2B">
        <w:rPr>
          <w:rFonts w:ascii="Cambria" w:hAnsi="Cambria"/>
          <w:sz w:val="21"/>
          <w:szCs w:val="21"/>
          <w:lang w:val="es-MX"/>
        </w:rPr>
        <w:t xml:space="preserve">Francisco José </w:t>
      </w:r>
      <w:proofErr w:type="spellStart"/>
      <w:r w:rsidR="001647F2" w:rsidRPr="00704E2B">
        <w:rPr>
          <w:rFonts w:ascii="Cambria" w:hAnsi="Cambria"/>
          <w:sz w:val="21"/>
          <w:szCs w:val="21"/>
          <w:lang w:val="es-MX"/>
        </w:rPr>
        <w:t>Eguiguren</w:t>
      </w:r>
      <w:proofErr w:type="spellEnd"/>
      <w:r w:rsidR="001647F2" w:rsidRPr="00704E2B">
        <w:rPr>
          <w:rFonts w:ascii="Cambria" w:hAnsi="Cambria"/>
          <w:sz w:val="21"/>
          <w:szCs w:val="21"/>
          <w:lang w:val="es-MX"/>
        </w:rPr>
        <w:t xml:space="preserve"> </w:t>
      </w:r>
      <w:proofErr w:type="spellStart"/>
      <w:r w:rsidR="001647F2" w:rsidRPr="00704E2B">
        <w:rPr>
          <w:rFonts w:ascii="Cambria" w:hAnsi="Cambria"/>
          <w:sz w:val="21"/>
          <w:szCs w:val="21"/>
          <w:lang w:val="es-MX"/>
        </w:rPr>
        <w:t>Praeli</w:t>
      </w:r>
      <w:proofErr w:type="spellEnd"/>
      <w:r w:rsidR="001647F2" w:rsidRPr="00704E2B">
        <w:rPr>
          <w:rFonts w:ascii="Cambria" w:hAnsi="Cambria"/>
          <w:sz w:val="21"/>
          <w:szCs w:val="21"/>
          <w:lang w:val="es-MX"/>
        </w:rPr>
        <w:t xml:space="preserve">, Presidente; Margarette </w:t>
      </w:r>
      <w:proofErr w:type="spellStart"/>
      <w:r w:rsidR="001647F2" w:rsidRPr="00704E2B">
        <w:rPr>
          <w:rFonts w:ascii="Cambria" w:hAnsi="Cambria"/>
          <w:sz w:val="21"/>
          <w:szCs w:val="21"/>
          <w:lang w:val="es-MX"/>
        </w:rPr>
        <w:t>May</w:t>
      </w:r>
      <w:proofErr w:type="spellEnd"/>
      <w:r w:rsidR="001647F2" w:rsidRPr="00704E2B">
        <w:rPr>
          <w:rFonts w:ascii="Cambria" w:hAnsi="Cambria"/>
          <w:sz w:val="21"/>
          <w:szCs w:val="21"/>
          <w:lang w:val="es-MX"/>
        </w:rPr>
        <w:t xml:space="preserve"> Macaulay, Primera Vicepresidenta; Esmeralda Arosemena de </w:t>
      </w:r>
      <w:proofErr w:type="spellStart"/>
      <w:r w:rsidR="001647F2" w:rsidRPr="00704E2B">
        <w:rPr>
          <w:rFonts w:ascii="Cambria" w:hAnsi="Cambria"/>
          <w:sz w:val="21"/>
          <w:szCs w:val="21"/>
          <w:lang w:val="es-MX"/>
        </w:rPr>
        <w:t>Troitiño</w:t>
      </w:r>
      <w:proofErr w:type="spellEnd"/>
      <w:r w:rsidR="001647F2" w:rsidRPr="00704E2B">
        <w:rPr>
          <w:rFonts w:ascii="Cambria" w:hAnsi="Cambria"/>
          <w:sz w:val="21"/>
          <w:szCs w:val="21"/>
          <w:lang w:val="es-MX"/>
        </w:rPr>
        <w:t xml:space="preserve">, Segunda Vicepresidenta; Luis Ernesto Vargas, </w:t>
      </w:r>
      <w:r w:rsidR="00977156" w:rsidRPr="00704E2B">
        <w:rPr>
          <w:rFonts w:ascii="Cambria" w:hAnsi="Cambria"/>
          <w:sz w:val="21"/>
          <w:szCs w:val="21"/>
          <w:lang w:val="es-MX"/>
        </w:rPr>
        <w:t xml:space="preserve">Flavia </w:t>
      </w:r>
      <w:proofErr w:type="spellStart"/>
      <w:r w:rsidR="00977156" w:rsidRPr="00704E2B">
        <w:rPr>
          <w:rFonts w:ascii="Cambria" w:hAnsi="Cambria"/>
          <w:sz w:val="21"/>
          <w:szCs w:val="21"/>
          <w:lang w:val="es-MX"/>
        </w:rPr>
        <w:t>Piovesan</w:t>
      </w:r>
      <w:proofErr w:type="spellEnd"/>
      <w:r w:rsidR="00977156" w:rsidRPr="00704E2B">
        <w:rPr>
          <w:rFonts w:ascii="Cambria" w:hAnsi="Cambria"/>
          <w:sz w:val="21"/>
          <w:szCs w:val="21"/>
          <w:lang w:val="es-MX"/>
        </w:rPr>
        <w:t xml:space="preserve"> y Antonia </w:t>
      </w:r>
      <w:proofErr w:type="spellStart"/>
      <w:r w:rsidR="00977156" w:rsidRPr="00704E2B">
        <w:rPr>
          <w:rFonts w:ascii="Cambria" w:hAnsi="Cambria"/>
          <w:sz w:val="21"/>
          <w:szCs w:val="21"/>
          <w:lang w:val="es-MX"/>
        </w:rPr>
        <w:t>Urrejola</w:t>
      </w:r>
      <w:proofErr w:type="spellEnd"/>
      <w:r w:rsidR="00977156" w:rsidRPr="00704E2B">
        <w:rPr>
          <w:rFonts w:ascii="Cambria" w:hAnsi="Cambria"/>
          <w:sz w:val="21"/>
          <w:szCs w:val="21"/>
          <w:lang w:val="es-MX"/>
        </w:rPr>
        <w:t xml:space="preserve">, </w:t>
      </w:r>
      <w:r w:rsidR="001647F2" w:rsidRPr="00704E2B">
        <w:rPr>
          <w:rFonts w:ascii="Cambria" w:hAnsi="Cambria"/>
          <w:sz w:val="21"/>
          <w:szCs w:val="21"/>
          <w:lang w:val="es-MX"/>
        </w:rPr>
        <w:t>miembros de la CIDH</w:t>
      </w:r>
      <w:r w:rsidR="00977156" w:rsidRPr="00704E2B">
        <w:rPr>
          <w:rFonts w:ascii="Cambria" w:hAnsi="Cambria"/>
          <w:sz w:val="21"/>
          <w:szCs w:val="21"/>
          <w:lang w:val="es-MX"/>
        </w:rPr>
        <w:t>.</w:t>
      </w:r>
    </w:p>
    <w:p w:rsidR="00977156" w:rsidRPr="00704E2B" w:rsidRDefault="00977156" w:rsidP="00977156">
      <w:pPr>
        <w:pStyle w:val="ListParagraph"/>
        <w:rPr>
          <w:rFonts w:ascii="Cambria" w:hAnsi="Cambria"/>
          <w:sz w:val="21"/>
          <w:szCs w:val="21"/>
        </w:rPr>
      </w:pPr>
    </w:p>
    <w:p w:rsidR="00977156" w:rsidRPr="00704E2B" w:rsidRDefault="00977156" w:rsidP="00977156">
      <w:pPr>
        <w:pStyle w:val="ListParagraph"/>
        <w:rPr>
          <w:rFonts w:ascii="Cambria" w:hAnsi="Cambria"/>
          <w:sz w:val="21"/>
          <w:szCs w:val="21"/>
        </w:rPr>
      </w:pPr>
    </w:p>
    <w:p w:rsidR="00704E2B" w:rsidRPr="00704E2B" w:rsidRDefault="00704E2B" w:rsidP="00977156">
      <w:pPr>
        <w:pStyle w:val="ListParagraph"/>
        <w:rPr>
          <w:rFonts w:ascii="Cambria" w:hAnsi="Cambria"/>
          <w:sz w:val="21"/>
          <w:szCs w:val="21"/>
        </w:rPr>
      </w:pPr>
    </w:p>
    <w:p w:rsidR="00977156" w:rsidRPr="00704E2B" w:rsidRDefault="00977156" w:rsidP="00977156">
      <w:pPr>
        <w:tabs>
          <w:tab w:val="left" w:pos="0"/>
        </w:tabs>
        <w:spacing w:after="0" w:line="240" w:lineRule="auto"/>
        <w:jc w:val="both"/>
        <w:rPr>
          <w:rFonts w:ascii="Cambria" w:hAnsi="Cambria"/>
          <w:sz w:val="21"/>
          <w:szCs w:val="21"/>
        </w:rPr>
      </w:pPr>
    </w:p>
    <w:p w:rsidR="00977156" w:rsidRPr="00704E2B" w:rsidRDefault="00977156" w:rsidP="00977156">
      <w:pPr>
        <w:tabs>
          <w:tab w:val="left" w:pos="0"/>
        </w:tabs>
        <w:spacing w:after="0" w:line="240" w:lineRule="auto"/>
        <w:jc w:val="center"/>
        <w:rPr>
          <w:rFonts w:ascii="Cambria" w:hAnsi="Cambria"/>
          <w:sz w:val="21"/>
          <w:szCs w:val="21"/>
        </w:rPr>
      </w:pPr>
      <w:r w:rsidRPr="00704E2B">
        <w:rPr>
          <w:rFonts w:ascii="Cambria" w:hAnsi="Cambria"/>
          <w:sz w:val="21"/>
          <w:szCs w:val="21"/>
        </w:rPr>
        <w:t>Elizabeth Abi-Mershed</w:t>
      </w:r>
    </w:p>
    <w:p w:rsidR="00977156" w:rsidRPr="00977156" w:rsidRDefault="00977156" w:rsidP="00977156">
      <w:pPr>
        <w:tabs>
          <w:tab w:val="left" w:pos="0"/>
        </w:tabs>
        <w:spacing w:after="0" w:line="240" w:lineRule="auto"/>
        <w:jc w:val="center"/>
        <w:rPr>
          <w:rFonts w:ascii="Cambria" w:hAnsi="Cambria"/>
          <w:sz w:val="21"/>
          <w:szCs w:val="21"/>
        </w:rPr>
      </w:pPr>
      <w:r w:rsidRPr="00704E2B">
        <w:rPr>
          <w:rFonts w:ascii="Cambria" w:hAnsi="Cambria"/>
          <w:sz w:val="21"/>
          <w:szCs w:val="21"/>
        </w:rPr>
        <w:t>Secretaria Ejecutiva Adjunta</w:t>
      </w:r>
    </w:p>
    <w:sectPr w:rsidR="00977156" w:rsidRPr="00977156" w:rsidSect="0040594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9E" w:rsidRDefault="008E379E" w:rsidP="00666672">
      <w:pPr>
        <w:spacing w:after="0" w:line="240" w:lineRule="auto"/>
      </w:pPr>
      <w:r>
        <w:separator/>
      </w:r>
    </w:p>
  </w:endnote>
  <w:endnote w:type="continuationSeparator" w:id="0">
    <w:p w:rsidR="008E379E" w:rsidRDefault="008E379E"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F" w:rsidRPr="00C522EB" w:rsidRDefault="009C043F" w:rsidP="00FE10EC">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322763">
      <w:rPr>
        <w:rStyle w:val="PageNumber"/>
        <w:rFonts w:asciiTheme="majorHAnsi" w:hAnsiTheme="majorHAnsi"/>
        <w:noProof/>
        <w:sz w:val="16"/>
      </w:rPr>
      <w:t>1</w:t>
    </w:r>
    <w:r w:rsidRPr="00C522EB">
      <w:rPr>
        <w:rStyle w:val="PageNumber"/>
        <w:rFonts w:asciiTheme="majorHAnsi" w:hAnsiTheme="majorHAnsi"/>
        <w:sz w:val="16"/>
      </w:rPr>
      <w:fldChar w:fldCharType="end"/>
    </w:r>
  </w:p>
  <w:p w:rsidR="009C043F" w:rsidRDefault="009C043F" w:rsidP="00FE10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9E" w:rsidRDefault="008E379E" w:rsidP="00666672">
      <w:pPr>
        <w:spacing w:after="0" w:line="240" w:lineRule="auto"/>
      </w:pPr>
      <w:r>
        <w:separator/>
      </w:r>
    </w:p>
  </w:footnote>
  <w:footnote w:type="continuationSeparator" w:id="0">
    <w:p w:rsidR="008E379E" w:rsidRDefault="008E379E" w:rsidP="00666672">
      <w:pPr>
        <w:spacing w:after="0" w:line="240" w:lineRule="auto"/>
      </w:pPr>
      <w:r>
        <w:continuationSeparator/>
      </w:r>
    </w:p>
  </w:footnote>
  <w:footnote w:id="1">
    <w:p w:rsidR="009C043F" w:rsidRPr="001647F2" w:rsidRDefault="009C043F" w:rsidP="001647F2">
      <w:pPr>
        <w:pStyle w:val="FootnoteText"/>
        <w:spacing w:after="0" w:line="240" w:lineRule="auto"/>
        <w:ind w:firstLine="540"/>
        <w:jc w:val="both"/>
        <w:rPr>
          <w:rFonts w:ascii="Calibri Light" w:hAnsi="Calibri Light" w:cs="Calibri Light"/>
          <w:sz w:val="16"/>
          <w:szCs w:val="16"/>
          <w:lang w:val="es-CO"/>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lang w:val="es-CO"/>
        </w:rPr>
        <w:t xml:space="preserve"> De conformidad con el artículo 17.2.a del Reglamento de la CIDH, el Comisionado </w:t>
      </w:r>
      <w:r w:rsidR="00D66C80" w:rsidRPr="001647F2">
        <w:rPr>
          <w:rFonts w:ascii="Calibri Light" w:hAnsi="Calibri Light" w:cs="Calibri Light"/>
          <w:sz w:val="16"/>
          <w:szCs w:val="16"/>
          <w:lang w:val="es-CO"/>
        </w:rPr>
        <w:t>Joel Antonio Hernández García</w:t>
      </w:r>
      <w:r w:rsidRPr="001647F2">
        <w:rPr>
          <w:rFonts w:ascii="Calibri Light" w:hAnsi="Calibri Light" w:cs="Calibri Light"/>
          <w:sz w:val="16"/>
          <w:szCs w:val="16"/>
          <w:lang w:val="es-CO"/>
        </w:rPr>
        <w:t xml:space="preserve">, de nacionalidad mexicana, no participó en el debate y deliberación del presente asunto. </w:t>
      </w:r>
    </w:p>
  </w:footnote>
  <w:footnote w:id="2">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Mediante comunicación del 7 de noviembre de 2016, se designó como </w:t>
      </w:r>
      <w:proofErr w:type="spellStart"/>
      <w:r w:rsidRPr="001647F2">
        <w:rPr>
          <w:rFonts w:ascii="Calibri Light" w:hAnsi="Calibri Light" w:cs="Calibri Light"/>
          <w:sz w:val="16"/>
          <w:szCs w:val="16"/>
        </w:rPr>
        <w:t>co</w:t>
      </w:r>
      <w:proofErr w:type="spellEnd"/>
      <w:r w:rsidRPr="001647F2">
        <w:rPr>
          <w:rFonts w:ascii="Calibri Light" w:hAnsi="Calibri Light" w:cs="Calibri Light"/>
          <w:sz w:val="16"/>
          <w:szCs w:val="16"/>
        </w:rPr>
        <w:t xml:space="preserve">-solicitante a Alejandra </w:t>
      </w:r>
      <w:proofErr w:type="spellStart"/>
      <w:r w:rsidRPr="001647F2">
        <w:rPr>
          <w:rFonts w:ascii="Calibri Light" w:hAnsi="Calibri Light" w:cs="Calibri Light"/>
          <w:sz w:val="16"/>
          <w:szCs w:val="16"/>
        </w:rPr>
        <w:t>Gonza</w:t>
      </w:r>
      <w:proofErr w:type="spellEnd"/>
      <w:r w:rsidRPr="001647F2">
        <w:rPr>
          <w:rFonts w:ascii="Calibri Light" w:hAnsi="Calibri Light" w:cs="Calibri Light"/>
          <w:sz w:val="16"/>
          <w:szCs w:val="16"/>
        </w:rPr>
        <w:t xml:space="preserve"> con el apoyo de estudiantes de la escuela de derecho de la Clínica Internacional de Derechos Humanos de la Universidad de Washington. </w:t>
      </w:r>
    </w:p>
  </w:footnote>
  <w:footnote w:id="3">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Según la solicitud, el núcleo familiar de </w:t>
      </w:r>
      <w:proofErr w:type="spellStart"/>
      <w:r w:rsidRPr="001647F2">
        <w:rPr>
          <w:rFonts w:ascii="Calibri Light" w:hAnsi="Calibri Light" w:cs="Calibri Light"/>
          <w:sz w:val="16"/>
          <w:szCs w:val="16"/>
        </w:rPr>
        <w:t>Bettina</w:t>
      </w:r>
      <w:proofErr w:type="spellEnd"/>
      <w:r w:rsidRPr="001647F2">
        <w:rPr>
          <w:rFonts w:ascii="Calibri Light" w:hAnsi="Calibri Light" w:cs="Calibri Light"/>
          <w:sz w:val="16"/>
          <w:szCs w:val="16"/>
        </w:rPr>
        <w:t xml:space="preserve"> Cruz abarcaría su esposo Rodrigo Flores Peñaloza, quien es profesor e integrante de la Sección XXII del Sindicato Nacional de Trabajadores de la Educación, y sus hijas Abril Flores Cruz y Rosa Marina Flores Cruz.  </w:t>
      </w:r>
    </w:p>
  </w:footnote>
  <w:footnote w:id="4">
    <w:p w:rsidR="00122809" w:rsidRPr="001647F2" w:rsidRDefault="00122809"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w:t>
      </w:r>
      <w:r w:rsidRPr="001647F2">
        <w:rPr>
          <w:rFonts w:ascii="Calibri Light" w:hAnsi="Calibri Light" w:cs="Calibri Light"/>
          <w:color w:val="000000"/>
          <w:sz w:val="16"/>
          <w:szCs w:val="16"/>
        </w:rPr>
        <w:t xml:space="preserve">Así, indicaron que en 2015, tras la interposición de un amparo por la señora Cruz, se concedió “la suspensión provisional de la construcción y operación del megaproyecto de Energía Eólica del Sur, en favor de los derechos de los indígenas juchitecos”. Sin embargo, después la empresa habría interpuesto recursos revisión a las decisiones y, en agosto de 2016, un Tribunal de Oaxaca habría revocado la suspensión. Actualmente estaría pendiente una solicitud de “atracción del caso” ante la Suprema Corte de Justicia.  </w:t>
      </w:r>
    </w:p>
  </w:footnote>
  <w:footnote w:id="5">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Según los medios de comunicación a los que se refieren los solicitantes, </w:t>
      </w:r>
      <w:r w:rsidR="00122809" w:rsidRPr="001647F2">
        <w:rPr>
          <w:rFonts w:ascii="Calibri Light" w:hAnsi="Calibri Light" w:cs="Calibri Light"/>
          <w:sz w:val="16"/>
          <w:szCs w:val="16"/>
        </w:rPr>
        <w:t xml:space="preserve">dicha persona </w:t>
      </w:r>
      <w:r w:rsidRPr="001647F2">
        <w:rPr>
          <w:rFonts w:ascii="Calibri Light" w:hAnsi="Calibri Light" w:cs="Calibri Light"/>
          <w:sz w:val="16"/>
          <w:szCs w:val="16"/>
        </w:rPr>
        <w:t>ha</w:t>
      </w:r>
      <w:r w:rsidR="00122809" w:rsidRPr="001647F2">
        <w:rPr>
          <w:rFonts w:ascii="Calibri Light" w:hAnsi="Calibri Light" w:cs="Calibri Light"/>
          <w:sz w:val="16"/>
          <w:szCs w:val="16"/>
        </w:rPr>
        <w:t>bría sido vinculada</w:t>
      </w:r>
      <w:r w:rsidRPr="001647F2">
        <w:rPr>
          <w:rFonts w:ascii="Calibri Light" w:hAnsi="Calibri Light" w:cs="Calibri Light"/>
          <w:sz w:val="16"/>
          <w:szCs w:val="16"/>
        </w:rPr>
        <w:t xml:space="preserve"> con varios delitos incluyendo narcomenudeo, asaltos, invasiones y ejecuciones.</w:t>
      </w:r>
    </w:p>
  </w:footnote>
  <w:footnote w:id="6">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Según los solicitantes, los cuestionamientos en base al plan vigente consistirían, entre otros: (1) Notificar al Gobierno del Estado de Oaxaca y autoridades municipales de Juchitán que la Asamblea se encuentra incorporada al mecanismo, exhortándose a que tomen medidas que garanticen su seguridad, lo que termina siendo un “simple cruce de cartas”; (2) Que la Unidad para la Defensa de Derechos Humanos realice reuniones con el Gobierno del Estado de Oaxaca y las autoridades municipales de Juchitán para que garantice seguridad; (3) continuidad de arrendamiento de telefonía celular y botón de pánico, las cuales funcionarían mal y en dos veces que se activó no funcionó; (4) sistema de radios, el cual solicitan que esté fuera de la frecuencia de la agencia municipal; (5) número de contactos de emergencia; y (6) rondines </w:t>
      </w:r>
      <w:proofErr w:type="spellStart"/>
      <w:r w:rsidRPr="001647F2">
        <w:rPr>
          <w:rFonts w:ascii="Calibri Light" w:hAnsi="Calibri Light" w:cs="Calibri Light"/>
          <w:sz w:val="16"/>
          <w:szCs w:val="16"/>
        </w:rPr>
        <w:t>bitacorados</w:t>
      </w:r>
      <w:proofErr w:type="spellEnd"/>
      <w:r w:rsidRPr="001647F2">
        <w:rPr>
          <w:rFonts w:ascii="Calibri Light" w:hAnsi="Calibri Light" w:cs="Calibri Light"/>
          <w:sz w:val="16"/>
          <w:szCs w:val="16"/>
        </w:rPr>
        <w:t xml:space="preserve">, los cuales no serían efectivos y </w:t>
      </w:r>
      <w:proofErr w:type="spellStart"/>
      <w:r w:rsidRPr="001647F2">
        <w:rPr>
          <w:rFonts w:ascii="Calibri Light" w:hAnsi="Calibri Light" w:cs="Calibri Light"/>
          <w:sz w:val="16"/>
          <w:szCs w:val="16"/>
        </w:rPr>
        <w:t>Bettina</w:t>
      </w:r>
      <w:proofErr w:type="spellEnd"/>
      <w:r w:rsidRPr="001647F2">
        <w:rPr>
          <w:rFonts w:ascii="Calibri Light" w:hAnsi="Calibri Light" w:cs="Calibri Light"/>
          <w:sz w:val="16"/>
          <w:szCs w:val="16"/>
        </w:rPr>
        <w:t xml:space="preserve"> no quiere contar con guardias, debido a que se transforman a veces en amenaza y otras veces en una carga económica adicional, debido a que no les pagan comidas y transporte. Los agentes policiales nunca podrían acompañarla a las zonas donde ella necesita desplazarse, prefiriendo diseñar acompañamiento por gente de confianza. También, las cámaras instaladas en el domicilio incrementaron el costo de consumo energético para </w:t>
      </w:r>
      <w:proofErr w:type="spellStart"/>
      <w:r w:rsidRPr="001647F2">
        <w:rPr>
          <w:rFonts w:ascii="Calibri Light" w:hAnsi="Calibri Light" w:cs="Calibri Light"/>
          <w:sz w:val="16"/>
          <w:szCs w:val="16"/>
        </w:rPr>
        <w:t>Bettina</w:t>
      </w:r>
      <w:proofErr w:type="spellEnd"/>
      <w:r w:rsidRPr="001647F2">
        <w:rPr>
          <w:rFonts w:ascii="Calibri Light" w:hAnsi="Calibri Light" w:cs="Calibri Light"/>
          <w:sz w:val="16"/>
          <w:szCs w:val="16"/>
        </w:rPr>
        <w:t xml:space="preserve">. </w:t>
      </w:r>
    </w:p>
  </w:footnote>
  <w:footnote w:id="7">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El Estado informó, entre otros, la fase informativa del proceso realizada del 3 de diciembre de 2014 al 20 de abril de 2015; diferentes aspectos y alcances de la evaluación de impacto ambiental; la fase deliberativa del proceso que inició el 20 de abril de 2015; la fase consultiva realizada por medio de una convocatoria a una Asamblea celebrada el 30 de julio de 2015. Según el Estado, en dicha Asamblea se tuvo como resultado el acuerdo y consentimiento de las instancias representativas de la comunidad para la construcción y operación del proyecto propuesto por la empresa Energía Eólica del Sur, S.A.P.I. de C.V., y se acordó la propuesta de beneficios presentada. El Estado también informó sobre los acuerdos derivados del proceso de consulta en Acta suscrita el 13 de septiembre de 2015; y el estado de cumplimiento de tales acuerdos.</w:t>
      </w:r>
    </w:p>
  </w:footnote>
  <w:footnote w:id="8">
    <w:p w:rsidR="0089631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w:t>
      </w:r>
      <w:r w:rsidR="0089631F" w:rsidRPr="001647F2">
        <w:rPr>
          <w:rFonts w:ascii="Calibri Light" w:hAnsi="Calibri Light" w:cs="Calibri Light"/>
          <w:sz w:val="16"/>
          <w:szCs w:val="16"/>
        </w:rPr>
        <w:t>Textualmente el Estado indicó que el plan de protección consiste en “</w:t>
      </w:r>
      <w:r w:rsidR="0089631F" w:rsidRPr="001647F2">
        <w:rPr>
          <w:rFonts w:ascii="Calibri Light" w:hAnsi="Calibri Light" w:cs="Calibri Light"/>
          <w:sz w:val="16"/>
          <w:szCs w:val="16"/>
          <w:lang w:val="es-ES_tradnl"/>
        </w:rPr>
        <w:t>[c]</w:t>
      </w:r>
      <w:proofErr w:type="spellStart"/>
      <w:r w:rsidR="0089631F" w:rsidRPr="001647F2">
        <w:rPr>
          <w:rFonts w:ascii="Calibri Light" w:hAnsi="Calibri Light" w:cs="Calibri Light"/>
          <w:sz w:val="16"/>
          <w:szCs w:val="16"/>
        </w:rPr>
        <w:t>ontinuar</w:t>
      </w:r>
      <w:proofErr w:type="spellEnd"/>
      <w:r w:rsidR="0089631F" w:rsidRPr="001647F2">
        <w:rPr>
          <w:rFonts w:ascii="Calibri Light" w:hAnsi="Calibri Light" w:cs="Calibri Light"/>
          <w:sz w:val="16"/>
          <w:szCs w:val="16"/>
        </w:rPr>
        <w:t xml:space="preserve"> con el arrendamiento de líneas y equipos de telefonía celular con aplicación de localización para sistemas de reacción rápida (botón de asistencia) para los beneficiarios Rodrigo Flores Peñaloza, Lucila </w:t>
      </w:r>
      <w:proofErr w:type="spellStart"/>
      <w:r w:rsidR="0089631F" w:rsidRPr="001647F2">
        <w:rPr>
          <w:rFonts w:ascii="Calibri Light" w:hAnsi="Calibri Light" w:cs="Calibri Light"/>
          <w:sz w:val="16"/>
          <w:szCs w:val="16"/>
        </w:rPr>
        <w:t>Bettina</w:t>
      </w:r>
      <w:proofErr w:type="spellEnd"/>
      <w:r w:rsidR="0089631F" w:rsidRPr="001647F2">
        <w:rPr>
          <w:rFonts w:ascii="Calibri Light" w:hAnsi="Calibri Light" w:cs="Calibri Light"/>
          <w:sz w:val="16"/>
          <w:szCs w:val="16"/>
        </w:rPr>
        <w:t xml:space="preserve"> Cruz Velázquez y otros, solicitando que se verifique el buen funcionamiento de los mismos para ser reemplazados en caso de defecto; </w:t>
      </w:r>
      <w:r w:rsidR="002520B0" w:rsidRPr="001647F2">
        <w:rPr>
          <w:rFonts w:ascii="Calibri Light" w:hAnsi="Calibri Light" w:cs="Calibri Light"/>
          <w:sz w:val="16"/>
          <w:szCs w:val="16"/>
          <w:lang w:val="es-ES_tradnl"/>
        </w:rPr>
        <w:t>[c]</w:t>
      </w:r>
      <w:proofErr w:type="spellStart"/>
      <w:r w:rsidR="0089631F" w:rsidRPr="001647F2">
        <w:rPr>
          <w:rFonts w:ascii="Calibri Light" w:hAnsi="Calibri Light" w:cs="Calibri Light"/>
          <w:sz w:val="16"/>
          <w:szCs w:val="16"/>
        </w:rPr>
        <w:t>ontinuar</w:t>
      </w:r>
      <w:proofErr w:type="spellEnd"/>
      <w:r w:rsidR="0089631F" w:rsidRPr="001647F2">
        <w:rPr>
          <w:rFonts w:ascii="Calibri Light" w:hAnsi="Calibri Light" w:cs="Calibri Light"/>
          <w:sz w:val="16"/>
          <w:szCs w:val="16"/>
        </w:rPr>
        <w:t xml:space="preserve"> con el sistema de radio base comunitaria el cual consiste en: 12 equipos de radio base móvil y digital, 35 piezas de radio portátil digital, solicitándose en su momento la reubicación de dos lugares de radio base, San Francisco y Alvaro Obregón pues no funciona correctamente, asimismo se otorga el arrendamiento de una pieza más de radio portátil digital; </w:t>
      </w:r>
      <w:r w:rsidR="002520B0" w:rsidRPr="001647F2">
        <w:rPr>
          <w:rFonts w:ascii="Calibri Light" w:hAnsi="Calibri Light" w:cs="Calibri Light"/>
          <w:sz w:val="16"/>
          <w:szCs w:val="16"/>
        </w:rPr>
        <w:t>[n]</w:t>
      </w:r>
      <w:proofErr w:type="spellStart"/>
      <w:r w:rsidR="0089631F" w:rsidRPr="001647F2">
        <w:rPr>
          <w:rFonts w:ascii="Calibri Light" w:hAnsi="Calibri Light" w:cs="Calibri Light"/>
          <w:sz w:val="16"/>
          <w:szCs w:val="16"/>
        </w:rPr>
        <w:t>otificación</w:t>
      </w:r>
      <w:proofErr w:type="spellEnd"/>
      <w:r w:rsidR="0089631F" w:rsidRPr="001647F2">
        <w:rPr>
          <w:rFonts w:ascii="Calibri Light" w:hAnsi="Calibri Light" w:cs="Calibri Light"/>
          <w:sz w:val="16"/>
          <w:szCs w:val="16"/>
        </w:rPr>
        <w:t xml:space="preserve"> al Gobierno del Estado de Oaxaca y a las autoridades municipales de </w:t>
      </w:r>
      <w:proofErr w:type="spellStart"/>
      <w:r w:rsidR="0089631F" w:rsidRPr="001647F2">
        <w:rPr>
          <w:rFonts w:ascii="Calibri Light" w:hAnsi="Calibri Light" w:cs="Calibri Light"/>
          <w:sz w:val="16"/>
          <w:szCs w:val="16"/>
        </w:rPr>
        <w:t>Juchitan</w:t>
      </w:r>
      <w:proofErr w:type="spellEnd"/>
      <w:r w:rsidR="0089631F" w:rsidRPr="001647F2">
        <w:rPr>
          <w:rFonts w:ascii="Calibri Light" w:hAnsi="Calibri Light" w:cs="Calibri Light"/>
          <w:sz w:val="16"/>
          <w:szCs w:val="16"/>
        </w:rPr>
        <w:t xml:space="preserve">, que los beneficiarios Rodrigo Flores Peñaloza, Lucila </w:t>
      </w:r>
      <w:proofErr w:type="spellStart"/>
      <w:r w:rsidR="0089631F" w:rsidRPr="001647F2">
        <w:rPr>
          <w:rFonts w:ascii="Calibri Light" w:hAnsi="Calibri Light" w:cs="Calibri Light"/>
          <w:sz w:val="16"/>
          <w:szCs w:val="16"/>
        </w:rPr>
        <w:t>Bettina</w:t>
      </w:r>
      <w:proofErr w:type="spellEnd"/>
      <w:r w:rsidR="0089631F" w:rsidRPr="001647F2">
        <w:rPr>
          <w:rFonts w:ascii="Calibri Light" w:hAnsi="Calibri Light" w:cs="Calibri Light"/>
          <w:sz w:val="16"/>
          <w:szCs w:val="16"/>
        </w:rPr>
        <w:t xml:space="preserve"> Cruz Velázquez y otros, se encuentran incorporados al Mecanismo de Protección, exhortándolos a que tomen las medidas necesarias que garanticen la seguridad de los integrantes; </w:t>
      </w:r>
      <w:r w:rsidR="002520B0" w:rsidRPr="001647F2">
        <w:rPr>
          <w:rFonts w:ascii="Calibri Light" w:hAnsi="Calibri Light" w:cs="Calibri Light"/>
          <w:sz w:val="16"/>
          <w:szCs w:val="16"/>
        </w:rPr>
        <w:t>[s]</w:t>
      </w:r>
      <w:r w:rsidR="0089631F" w:rsidRPr="001647F2">
        <w:rPr>
          <w:rFonts w:ascii="Calibri Light" w:hAnsi="Calibri Light" w:cs="Calibri Light"/>
          <w:sz w:val="16"/>
          <w:szCs w:val="16"/>
        </w:rPr>
        <w:t xml:space="preserve">e solicitará a la Secretaria de Seguridad Pública del Estado de Oaxaca, a fin de que proporcione números de contacto de emergencia a los integrantes del colectivo de los destacamentos más cercanos a las comunidades de San Dionisio del Marc, Santa Maria </w:t>
      </w:r>
      <w:proofErr w:type="spellStart"/>
      <w:r w:rsidR="0089631F" w:rsidRPr="001647F2">
        <w:rPr>
          <w:rFonts w:ascii="Calibri Light" w:hAnsi="Calibri Light" w:cs="Calibri Light"/>
          <w:sz w:val="16"/>
          <w:szCs w:val="16"/>
        </w:rPr>
        <w:t>Xadani</w:t>
      </w:r>
      <w:proofErr w:type="spellEnd"/>
      <w:r w:rsidR="0089631F" w:rsidRPr="001647F2">
        <w:rPr>
          <w:rFonts w:ascii="Calibri Light" w:hAnsi="Calibri Light" w:cs="Calibri Light"/>
          <w:sz w:val="16"/>
          <w:szCs w:val="16"/>
        </w:rPr>
        <w:t xml:space="preserve">, </w:t>
      </w:r>
      <w:proofErr w:type="spellStart"/>
      <w:r w:rsidR="0089631F" w:rsidRPr="001647F2">
        <w:rPr>
          <w:rFonts w:ascii="Calibri Light" w:hAnsi="Calibri Light" w:cs="Calibri Light"/>
          <w:sz w:val="16"/>
          <w:szCs w:val="16"/>
        </w:rPr>
        <w:t>Union</w:t>
      </w:r>
      <w:proofErr w:type="spellEnd"/>
      <w:r w:rsidR="0089631F" w:rsidRPr="001647F2">
        <w:rPr>
          <w:rFonts w:ascii="Calibri Light" w:hAnsi="Calibri Light" w:cs="Calibri Light"/>
          <w:sz w:val="16"/>
          <w:szCs w:val="16"/>
        </w:rPr>
        <w:t xml:space="preserve"> Hidalgo, San Francisco del Mar y Alvaro Obregón; </w:t>
      </w:r>
      <w:r w:rsidR="002520B0" w:rsidRPr="001647F2">
        <w:rPr>
          <w:rFonts w:ascii="Calibri Light" w:hAnsi="Calibri Light" w:cs="Calibri Light"/>
          <w:sz w:val="16"/>
          <w:szCs w:val="16"/>
        </w:rPr>
        <w:t>[s]</w:t>
      </w:r>
      <w:r w:rsidR="0089631F" w:rsidRPr="001647F2">
        <w:rPr>
          <w:rFonts w:ascii="Calibri Light" w:hAnsi="Calibri Light" w:cs="Calibri Light"/>
          <w:sz w:val="16"/>
          <w:szCs w:val="16"/>
        </w:rPr>
        <w:t xml:space="preserve">e solicitará a la Secretaria de Seguridad Pública del Estado de Oaxaca que realice rondines </w:t>
      </w:r>
      <w:proofErr w:type="spellStart"/>
      <w:r w:rsidR="0089631F" w:rsidRPr="001647F2">
        <w:rPr>
          <w:rFonts w:ascii="Calibri Light" w:hAnsi="Calibri Light" w:cs="Calibri Light"/>
          <w:sz w:val="16"/>
          <w:szCs w:val="16"/>
        </w:rPr>
        <w:t>bitacorados</w:t>
      </w:r>
      <w:proofErr w:type="spellEnd"/>
      <w:r w:rsidR="0089631F" w:rsidRPr="001647F2">
        <w:rPr>
          <w:rFonts w:ascii="Calibri Light" w:hAnsi="Calibri Light" w:cs="Calibri Light"/>
          <w:sz w:val="16"/>
          <w:szCs w:val="16"/>
        </w:rPr>
        <w:t xml:space="preserve"> en el domicilio de la beneficiaria </w:t>
      </w:r>
      <w:proofErr w:type="spellStart"/>
      <w:r w:rsidR="0089631F" w:rsidRPr="001647F2">
        <w:rPr>
          <w:rFonts w:ascii="Calibri Light" w:hAnsi="Calibri Light" w:cs="Calibri Light"/>
          <w:sz w:val="16"/>
          <w:szCs w:val="16"/>
        </w:rPr>
        <w:t>Bettina</w:t>
      </w:r>
      <w:proofErr w:type="spellEnd"/>
      <w:r w:rsidR="0089631F" w:rsidRPr="001647F2">
        <w:rPr>
          <w:rFonts w:ascii="Calibri Light" w:hAnsi="Calibri Light" w:cs="Calibri Light"/>
          <w:sz w:val="16"/>
          <w:szCs w:val="16"/>
        </w:rPr>
        <w:t xml:space="preserve"> Cruz y otro, así como en el domicilio de las instalaciones de la organización; </w:t>
      </w:r>
      <w:r w:rsidR="002520B0" w:rsidRPr="001647F2">
        <w:rPr>
          <w:rFonts w:ascii="Calibri Light" w:hAnsi="Calibri Light" w:cs="Calibri Light"/>
          <w:sz w:val="16"/>
          <w:szCs w:val="16"/>
        </w:rPr>
        <w:t>[s]</w:t>
      </w:r>
      <w:r w:rsidR="0089631F" w:rsidRPr="001647F2">
        <w:rPr>
          <w:rFonts w:ascii="Calibri Light" w:hAnsi="Calibri Light" w:cs="Calibri Light"/>
          <w:sz w:val="16"/>
          <w:szCs w:val="16"/>
        </w:rPr>
        <w:t>e reiterar</w:t>
      </w:r>
      <w:r w:rsidR="0038775E" w:rsidRPr="001647F2">
        <w:rPr>
          <w:rFonts w:ascii="Calibri Light" w:hAnsi="Calibri Light" w:cs="Calibri Light"/>
          <w:sz w:val="16"/>
          <w:szCs w:val="16"/>
        </w:rPr>
        <w:t>á</w:t>
      </w:r>
      <w:r w:rsidR="0089631F" w:rsidRPr="001647F2">
        <w:rPr>
          <w:rFonts w:ascii="Calibri Light" w:hAnsi="Calibri Light" w:cs="Calibri Light"/>
          <w:sz w:val="16"/>
          <w:szCs w:val="16"/>
        </w:rPr>
        <w:t xml:space="preserve"> la solicitud de que se lleve a cabo un reconocimiento público sobre la labor de Defensa de los Derechos Humanos que llevan a cabo los beneficiarios por parte del Gobierno Estatal y la Autoridad Municipal de Juchitán de Zaragoza, Oaxaca, así como por parte del Mecanismo para la Protección de Personas Defensoras de Derechos Humanos y Periodistas una vez que la Junta de Gobierno defina los criterios para su realización; </w:t>
      </w:r>
      <w:r w:rsidR="002520B0" w:rsidRPr="001647F2">
        <w:rPr>
          <w:rFonts w:ascii="Calibri Light" w:hAnsi="Calibri Light" w:cs="Calibri Light"/>
          <w:sz w:val="16"/>
          <w:szCs w:val="16"/>
        </w:rPr>
        <w:t>[s]</w:t>
      </w:r>
      <w:r w:rsidR="0089631F" w:rsidRPr="001647F2">
        <w:rPr>
          <w:rFonts w:ascii="Calibri Light" w:hAnsi="Calibri Light" w:cs="Calibri Light"/>
          <w:sz w:val="16"/>
          <w:szCs w:val="16"/>
        </w:rPr>
        <w:t xml:space="preserve">e solicitara que se brinden acompañamientos a la beneficiaria </w:t>
      </w:r>
      <w:proofErr w:type="spellStart"/>
      <w:r w:rsidR="0089631F" w:rsidRPr="001647F2">
        <w:rPr>
          <w:rFonts w:ascii="Calibri Light" w:hAnsi="Calibri Light" w:cs="Calibri Light"/>
          <w:sz w:val="16"/>
          <w:szCs w:val="16"/>
        </w:rPr>
        <w:t>Bettina</w:t>
      </w:r>
      <w:proofErr w:type="spellEnd"/>
      <w:r w:rsidR="0089631F" w:rsidRPr="001647F2">
        <w:rPr>
          <w:rFonts w:ascii="Calibri Light" w:hAnsi="Calibri Light" w:cs="Calibri Light"/>
          <w:sz w:val="16"/>
          <w:szCs w:val="16"/>
        </w:rPr>
        <w:t xml:space="preserve"> Cruz, Rodrigo Flores Peñaloza, y otros, durante sus traslados a las comunidades de Unión Hidalgo, Santa Maria </w:t>
      </w:r>
      <w:proofErr w:type="spellStart"/>
      <w:r w:rsidR="0089631F" w:rsidRPr="001647F2">
        <w:rPr>
          <w:rFonts w:ascii="Calibri Light" w:hAnsi="Calibri Light" w:cs="Calibri Light"/>
          <w:sz w:val="16"/>
          <w:szCs w:val="16"/>
        </w:rPr>
        <w:t>Xadani</w:t>
      </w:r>
      <w:proofErr w:type="spellEnd"/>
      <w:r w:rsidR="0089631F" w:rsidRPr="001647F2">
        <w:rPr>
          <w:rFonts w:ascii="Calibri Light" w:hAnsi="Calibri Light" w:cs="Calibri Light"/>
          <w:sz w:val="16"/>
          <w:szCs w:val="16"/>
        </w:rPr>
        <w:t xml:space="preserve">, San Dionisio del Mar, San Francisco del Mar, Alvaro </w:t>
      </w:r>
      <w:proofErr w:type="spellStart"/>
      <w:r w:rsidR="0089631F" w:rsidRPr="001647F2">
        <w:rPr>
          <w:rFonts w:ascii="Calibri Light" w:hAnsi="Calibri Light" w:cs="Calibri Light"/>
          <w:sz w:val="16"/>
          <w:szCs w:val="16"/>
        </w:rPr>
        <w:t>Obregon</w:t>
      </w:r>
      <w:proofErr w:type="spellEnd"/>
      <w:r w:rsidR="0089631F" w:rsidRPr="001647F2">
        <w:rPr>
          <w:rFonts w:ascii="Calibri Light" w:hAnsi="Calibri Light" w:cs="Calibri Light"/>
          <w:sz w:val="16"/>
          <w:szCs w:val="16"/>
        </w:rPr>
        <w:t xml:space="preserve"> y San Mateo del Mar, por parte de la Policía Estatal de Oaxaca, previo aviso de los beneficiarios con 48 horas de anticipación; </w:t>
      </w:r>
      <w:r w:rsidR="002520B0" w:rsidRPr="001647F2">
        <w:rPr>
          <w:rFonts w:ascii="Calibri Light" w:hAnsi="Calibri Light" w:cs="Calibri Light"/>
          <w:sz w:val="16"/>
          <w:szCs w:val="16"/>
        </w:rPr>
        <w:t>[s]e solicitó</w:t>
      </w:r>
      <w:r w:rsidR="0089631F" w:rsidRPr="001647F2">
        <w:rPr>
          <w:rFonts w:ascii="Calibri Light" w:hAnsi="Calibri Light" w:cs="Calibri Light"/>
          <w:sz w:val="16"/>
          <w:szCs w:val="16"/>
        </w:rPr>
        <w:t xml:space="preserve"> a la empresa RCU, se lleve a cabo una visita técnica con el objetivo de instalar las medidas de infraestructura que consideren pertinentes en el domicilio de la benefici</w:t>
      </w:r>
      <w:r w:rsidR="0038775E" w:rsidRPr="001647F2">
        <w:rPr>
          <w:rFonts w:ascii="Calibri Light" w:hAnsi="Calibri Light" w:cs="Calibri Light"/>
          <w:sz w:val="16"/>
          <w:szCs w:val="16"/>
        </w:rPr>
        <w:t xml:space="preserve">aria </w:t>
      </w:r>
      <w:proofErr w:type="spellStart"/>
      <w:r w:rsidR="0038775E" w:rsidRPr="001647F2">
        <w:rPr>
          <w:rFonts w:ascii="Calibri Light" w:hAnsi="Calibri Light" w:cs="Calibri Light"/>
          <w:sz w:val="16"/>
          <w:szCs w:val="16"/>
        </w:rPr>
        <w:t>Bettina</w:t>
      </w:r>
      <w:proofErr w:type="spellEnd"/>
      <w:r w:rsidR="0038775E" w:rsidRPr="001647F2">
        <w:rPr>
          <w:rFonts w:ascii="Calibri Light" w:hAnsi="Calibri Light" w:cs="Calibri Light"/>
          <w:sz w:val="16"/>
          <w:szCs w:val="16"/>
        </w:rPr>
        <w:t xml:space="preserve"> Cruz Velázquez; y a</w:t>
      </w:r>
      <w:r w:rsidR="0089631F" w:rsidRPr="001647F2">
        <w:rPr>
          <w:rFonts w:ascii="Calibri Light" w:hAnsi="Calibri Light" w:cs="Calibri Light"/>
          <w:sz w:val="16"/>
          <w:szCs w:val="16"/>
        </w:rPr>
        <w:t>simismo se dio por concluida la incorporación de una persona por fallecimiento e indicó que deberá solicitarse la apertura de un nuevo expediente para otros”.</w:t>
      </w:r>
      <w:r w:rsidR="0089631F" w:rsidRPr="001647F2">
        <w:rPr>
          <w:rFonts w:ascii="Calibri Light" w:hAnsi="Calibri Light" w:cs="Calibri Light"/>
          <w:sz w:val="16"/>
          <w:szCs w:val="16"/>
        </w:rPr>
        <w:br/>
      </w:r>
    </w:p>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p>
  </w:footnote>
  <w:footnote w:id="9">
    <w:p w:rsidR="009C043F" w:rsidRPr="001647F2" w:rsidRDefault="009C043F" w:rsidP="001647F2">
      <w:pPr>
        <w:pStyle w:val="FootnoteText"/>
        <w:spacing w:after="0" w:line="240" w:lineRule="auto"/>
        <w:ind w:firstLine="540"/>
        <w:jc w:val="both"/>
        <w:rPr>
          <w:rFonts w:ascii="Calibri Light" w:hAnsi="Calibri Light" w:cs="Calibri Light"/>
          <w:sz w:val="16"/>
          <w:szCs w:val="16"/>
          <w:lang w:val="es-MX"/>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lang w:val="es-MX"/>
        </w:rPr>
        <w:t xml:space="preserve"> Al respecto, por ejemplo, refiriéndose a las medidas provisionales, la Corte Interamericana ha indicado que se requiere un mínimo de detalle e información que permitan apreciar prima facie una situación de extrema gravedad y urgencia. Corte IDH, </w:t>
      </w:r>
      <w:r w:rsidRPr="001647F2">
        <w:rPr>
          <w:rFonts w:ascii="Calibri Light" w:hAnsi="Calibri Light" w:cs="Calibri Light"/>
          <w:i/>
          <w:sz w:val="16"/>
          <w:szCs w:val="16"/>
          <w:lang w:val="es-MX"/>
        </w:rPr>
        <w:t xml:space="preserve">Asunto de los niños y adolescentes privados de libertad en el “Complexo do </w:t>
      </w:r>
      <w:proofErr w:type="spellStart"/>
      <w:r w:rsidRPr="001647F2">
        <w:rPr>
          <w:rFonts w:ascii="Calibri Light" w:hAnsi="Calibri Light" w:cs="Calibri Light"/>
          <w:i/>
          <w:sz w:val="16"/>
          <w:szCs w:val="16"/>
          <w:lang w:val="es-MX"/>
        </w:rPr>
        <w:t>Tatuapé</w:t>
      </w:r>
      <w:proofErr w:type="spellEnd"/>
      <w:r w:rsidRPr="001647F2">
        <w:rPr>
          <w:rFonts w:ascii="Calibri Light" w:hAnsi="Calibri Light" w:cs="Calibri Light"/>
          <w:i/>
          <w:sz w:val="16"/>
          <w:szCs w:val="16"/>
          <w:lang w:val="es-MX"/>
        </w:rPr>
        <w:t xml:space="preserve">” de la </w:t>
      </w:r>
      <w:proofErr w:type="spellStart"/>
      <w:r w:rsidRPr="001647F2">
        <w:rPr>
          <w:rFonts w:ascii="Calibri Light" w:hAnsi="Calibri Light" w:cs="Calibri Light"/>
          <w:i/>
          <w:sz w:val="16"/>
          <w:szCs w:val="16"/>
          <w:lang w:val="es-MX"/>
        </w:rPr>
        <w:t>Fundação</w:t>
      </w:r>
      <w:proofErr w:type="spellEnd"/>
      <w:r w:rsidRPr="001647F2">
        <w:rPr>
          <w:rFonts w:ascii="Calibri Light" w:hAnsi="Calibri Light" w:cs="Calibri Light"/>
          <w:i/>
          <w:sz w:val="16"/>
          <w:szCs w:val="16"/>
          <w:lang w:val="es-MX"/>
        </w:rPr>
        <w:t xml:space="preserve"> CASA</w:t>
      </w:r>
      <w:r w:rsidRPr="001647F2">
        <w:rPr>
          <w:rFonts w:ascii="Calibri Light" w:hAnsi="Calibri Light" w:cs="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10">
    <w:p w:rsidR="00256DF0" w:rsidRPr="001647F2" w:rsidRDefault="00256DF0"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w:t>
      </w:r>
      <w:r w:rsidR="0038775E" w:rsidRPr="001647F2">
        <w:rPr>
          <w:rFonts w:ascii="Calibri Light" w:hAnsi="Calibri Light" w:cs="Calibri Light"/>
          <w:sz w:val="16"/>
          <w:szCs w:val="16"/>
        </w:rPr>
        <w:t xml:space="preserve">Al respecto, por ejemplo, en relación con la valoración del contexto, la Corte Interamericana ha indicado que </w:t>
      </w:r>
      <w:r w:rsidRPr="001647F2">
        <w:rPr>
          <w:rFonts w:ascii="Calibri Light" w:hAnsi="Calibri Light" w:cs="Calibri Light"/>
          <w:sz w:val="16"/>
          <w:szCs w:val="16"/>
        </w:rPr>
        <w:t>“</w:t>
      </w:r>
      <w:r w:rsidR="0038775E" w:rsidRPr="001647F2">
        <w:rPr>
          <w:rFonts w:ascii="Calibri Light" w:hAnsi="Calibri Light" w:cs="Calibri Light"/>
          <w:sz w:val="16"/>
          <w:szCs w:val="16"/>
        </w:rPr>
        <w:t>[…]</w:t>
      </w:r>
      <w:r w:rsidRPr="001647F2">
        <w:rPr>
          <w:rFonts w:ascii="Calibri Light" w:hAnsi="Calibri Light" w:cs="Calibri Light"/>
          <w:sz w:val="16"/>
          <w:szCs w:val="16"/>
        </w:rPr>
        <w:t xml:space="preserve"> si bien una situación generalizada o contextual no podría, en principio, por si misma, justificar la adopción de medidas provisionales, sí es factible que circunstancias que denotan un riesgo especifico respecto de ciertas personas sean evaluadas teniendo en cuenta la situación en la que se enmarcan</w:t>
      </w:r>
      <w:r w:rsidR="00BF706B" w:rsidRPr="001647F2">
        <w:rPr>
          <w:rFonts w:ascii="Calibri Light" w:hAnsi="Calibri Light" w:cs="Calibri Light"/>
          <w:sz w:val="16"/>
          <w:szCs w:val="16"/>
        </w:rPr>
        <w:t>”</w:t>
      </w:r>
      <w:r w:rsidRPr="001647F2">
        <w:rPr>
          <w:rFonts w:ascii="Calibri Light" w:hAnsi="Calibri Light" w:cs="Calibri Light"/>
          <w:sz w:val="16"/>
          <w:szCs w:val="16"/>
        </w:rPr>
        <w:t>.</w:t>
      </w:r>
      <w:r w:rsidR="00BF706B" w:rsidRPr="001647F2">
        <w:rPr>
          <w:rFonts w:ascii="Calibri Light" w:hAnsi="Calibri Light" w:cs="Calibri Light"/>
          <w:sz w:val="16"/>
          <w:szCs w:val="16"/>
        </w:rPr>
        <w:t xml:space="preserve"> En: Corte IDH, </w:t>
      </w:r>
      <w:r w:rsidR="00BF706B" w:rsidRPr="001647F2">
        <w:rPr>
          <w:rFonts w:ascii="Calibri Light" w:hAnsi="Calibri Light" w:cs="Calibri Light"/>
          <w:i/>
          <w:sz w:val="16"/>
          <w:szCs w:val="16"/>
        </w:rPr>
        <w:t>Asunto Almanza Suarez respecto de Colombia, Medidas provisionales, Resolución de 23 de noviembre de 2017</w:t>
      </w:r>
      <w:r w:rsidR="00BF706B" w:rsidRPr="001647F2">
        <w:rPr>
          <w:rFonts w:ascii="Calibri Light" w:hAnsi="Calibri Light" w:cs="Calibri Light"/>
          <w:sz w:val="16"/>
          <w:szCs w:val="16"/>
        </w:rPr>
        <w:t xml:space="preserve">, párr. 13. Disponible en: </w:t>
      </w:r>
      <w:r w:rsidRPr="001647F2">
        <w:rPr>
          <w:rFonts w:ascii="Calibri Light" w:hAnsi="Calibri Light" w:cs="Calibri Light"/>
          <w:sz w:val="16"/>
          <w:szCs w:val="16"/>
        </w:rPr>
        <w:t xml:space="preserve"> </w:t>
      </w:r>
      <w:hyperlink r:id="rId1" w:history="1">
        <w:r w:rsidR="00BF706B" w:rsidRPr="001647F2">
          <w:rPr>
            <w:rStyle w:val="Hyperlink"/>
            <w:rFonts w:ascii="Calibri Light" w:hAnsi="Calibri Light" w:cs="Calibri Light"/>
            <w:sz w:val="16"/>
            <w:szCs w:val="16"/>
          </w:rPr>
          <w:t>http://www.corteidh.or.cr/docs/medidas/almanza_se_01.pdf</w:t>
        </w:r>
      </w:hyperlink>
      <w:r w:rsidR="00BF706B" w:rsidRPr="001647F2">
        <w:rPr>
          <w:rFonts w:ascii="Calibri Light" w:hAnsi="Calibri Light" w:cs="Calibri Light"/>
          <w:sz w:val="16"/>
          <w:szCs w:val="16"/>
        </w:rPr>
        <w:t xml:space="preserve"> </w:t>
      </w:r>
    </w:p>
  </w:footnote>
  <w:footnote w:id="11">
    <w:p w:rsidR="009C043F" w:rsidRPr="001647F2" w:rsidRDefault="009C043F" w:rsidP="001647F2">
      <w:pPr>
        <w:pStyle w:val="FootnoteText"/>
        <w:spacing w:after="0" w:line="240" w:lineRule="auto"/>
        <w:ind w:firstLine="540"/>
        <w:jc w:val="both"/>
        <w:rPr>
          <w:rFonts w:ascii="Calibri Light" w:hAnsi="Calibri Light" w:cs="Calibri Light"/>
          <w:sz w:val="16"/>
          <w:szCs w:val="16"/>
          <w:lang w:val="es-PE"/>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CIDH, </w:t>
      </w:r>
      <w:r w:rsidRPr="001647F2">
        <w:rPr>
          <w:rFonts w:ascii="Calibri Light" w:hAnsi="Calibri Light" w:cs="Calibri Light"/>
          <w:i/>
          <w:sz w:val="16"/>
          <w:szCs w:val="16"/>
        </w:rPr>
        <w:t xml:space="preserve">Situación de los derechos humanos en </w:t>
      </w:r>
      <w:r w:rsidRPr="001647F2">
        <w:rPr>
          <w:rFonts w:ascii="Calibri Light" w:hAnsi="Calibri Light" w:cs="Calibri Light"/>
          <w:i/>
          <w:sz w:val="16"/>
          <w:szCs w:val="16"/>
          <w:lang w:val="es-PE"/>
        </w:rPr>
        <w:t>México</w:t>
      </w:r>
      <w:r w:rsidRPr="001647F2">
        <w:rPr>
          <w:rFonts w:ascii="Calibri Light" w:hAnsi="Calibri Light" w:cs="Calibri Light"/>
          <w:sz w:val="16"/>
          <w:szCs w:val="16"/>
          <w:lang w:val="es-PE"/>
        </w:rPr>
        <w:t xml:space="preserve">, 31 de diciembre de 2015, párr. 362. Disponible en: </w:t>
      </w:r>
      <w:hyperlink r:id="rId2" w:history="1">
        <w:r w:rsidRPr="001647F2">
          <w:rPr>
            <w:rStyle w:val="Hyperlink"/>
            <w:rFonts w:ascii="Calibri Light" w:hAnsi="Calibri Light" w:cs="Calibri Light"/>
            <w:sz w:val="16"/>
            <w:szCs w:val="16"/>
            <w:lang w:val="es-PE"/>
          </w:rPr>
          <w:t>http://www.oas.org/es/cidh/informes/pdfs/Mexico2016-es.pdf</w:t>
        </w:r>
      </w:hyperlink>
      <w:r w:rsidRPr="001647F2">
        <w:rPr>
          <w:rFonts w:ascii="Calibri Light" w:hAnsi="Calibri Light" w:cs="Calibri Light"/>
          <w:sz w:val="16"/>
          <w:szCs w:val="16"/>
          <w:lang w:val="es-PE"/>
        </w:rPr>
        <w:t xml:space="preserve"> </w:t>
      </w:r>
    </w:p>
  </w:footnote>
  <w:footnote w:id="12">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Ibídem</w:t>
      </w:r>
    </w:p>
  </w:footnote>
  <w:footnote w:id="13">
    <w:p w:rsidR="0047194A" w:rsidRPr="001647F2" w:rsidRDefault="0047194A"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Además, según esta Defensoría del total de agravios 53 fueron contra mujeres y 71 contra hombres. La mayoría de los agravios fueron contra tres grupos específicos de defensoras y defensores: sindicalistas (29), defensoras y defensores de la tierra y el territorio (28), y quienes defienden causas relacionadas con el derecho de acceso a la justicia (26). Véase: DEFENSORIA DE LOS DERECHOS HUMANOS DEL PUEBLO DE OAXACA. </w:t>
      </w:r>
      <w:r w:rsidRPr="001647F2">
        <w:rPr>
          <w:rFonts w:ascii="Calibri Light" w:hAnsi="Calibri Light" w:cs="Calibri Light"/>
          <w:i/>
          <w:sz w:val="16"/>
          <w:szCs w:val="16"/>
        </w:rPr>
        <w:t>Exige Defensoría proteger a defensoras y defensores de derechos humanos</w:t>
      </w:r>
      <w:r w:rsidRPr="001647F2">
        <w:rPr>
          <w:rFonts w:ascii="Calibri Light" w:hAnsi="Calibri Light" w:cs="Calibri Light"/>
          <w:sz w:val="16"/>
          <w:szCs w:val="16"/>
        </w:rPr>
        <w:t xml:space="preserve">. Boletín 466. 15 de setiembre de 2017. Disponible en: </w:t>
      </w:r>
      <w:hyperlink r:id="rId3" w:history="1">
        <w:r w:rsidRPr="001647F2">
          <w:rPr>
            <w:rStyle w:val="Hyperlink"/>
            <w:rFonts w:ascii="Calibri Light" w:hAnsi="Calibri Light" w:cs="Calibri Light"/>
            <w:sz w:val="16"/>
            <w:szCs w:val="16"/>
          </w:rPr>
          <w:t>http://www.derechoshumanosoaxaca.org/noticia.php?idnoticia=665</w:t>
        </w:r>
      </w:hyperlink>
      <w:r w:rsidRPr="001647F2">
        <w:rPr>
          <w:rFonts w:ascii="Calibri Light" w:hAnsi="Calibri Light" w:cs="Calibri Light"/>
          <w:sz w:val="16"/>
          <w:szCs w:val="16"/>
        </w:rPr>
        <w:t xml:space="preserve"> </w:t>
      </w:r>
    </w:p>
  </w:footnote>
  <w:footnote w:id="14">
    <w:p w:rsidR="0047194A" w:rsidRPr="001647F2" w:rsidRDefault="0047194A"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Ibídem </w:t>
      </w:r>
    </w:p>
  </w:footnote>
  <w:footnote w:id="15">
    <w:p w:rsidR="009C043F" w:rsidRPr="001647F2" w:rsidRDefault="009C043F" w:rsidP="001647F2">
      <w:pPr>
        <w:pStyle w:val="FootnoteText"/>
        <w:spacing w:after="0" w:line="240" w:lineRule="auto"/>
        <w:ind w:firstLine="540"/>
        <w:jc w:val="both"/>
        <w:rPr>
          <w:rFonts w:ascii="Calibri Light" w:hAnsi="Calibri Light" w:cs="Calibri Light"/>
          <w:sz w:val="16"/>
          <w:szCs w:val="16"/>
          <w:lang w:val="es-PE"/>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CIDH, </w:t>
      </w:r>
      <w:r w:rsidRPr="001647F2">
        <w:rPr>
          <w:rFonts w:ascii="Calibri Light" w:hAnsi="Calibri Light" w:cs="Calibri Light"/>
          <w:i/>
          <w:sz w:val="16"/>
          <w:szCs w:val="16"/>
        </w:rPr>
        <w:t>Las mujeres indígenas y sus derechos humanos en las Américas</w:t>
      </w:r>
      <w:r w:rsidRPr="001647F2">
        <w:rPr>
          <w:rFonts w:ascii="Calibri Light" w:hAnsi="Calibri Light" w:cs="Calibri Light"/>
          <w:sz w:val="16"/>
          <w:szCs w:val="16"/>
        </w:rPr>
        <w:t xml:space="preserve">, 17 de abril de 2017, párr. 122-126. Disponible en: </w:t>
      </w:r>
      <w:hyperlink r:id="rId4" w:history="1">
        <w:r w:rsidRPr="001647F2">
          <w:rPr>
            <w:rStyle w:val="Hyperlink"/>
            <w:rFonts w:ascii="Calibri Light" w:hAnsi="Calibri Light" w:cs="Calibri Light"/>
            <w:sz w:val="16"/>
            <w:szCs w:val="16"/>
          </w:rPr>
          <w:t>http://www.oas.org/es/cidh/informes/pdfs/MujeresIndigenas.pdf</w:t>
        </w:r>
      </w:hyperlink>
      <w:r w:rsidRPr="001647F2">
        <w:rPr>
          <w:rFonts w:ascii="Calibri Light" w:hAnsi="Calibri Light" w:cs="Calibri Light"/>
          <w:sz w:val="16"/>
          <w:szCs w:val="16"/>
        </w:rPr>
        <w:t xml:space="preserve"> </w:t>
      </w:r>
    </w:p>
  </w:footnote>
  <w:footnote w:id="16">
    <w:p w:rsidR="009C043F" w:rsidRPr="001647F2" w:rsidRDefault="009C043F" w:rsidP="001647F2">
      <w:pPr>
        <w:pStyle w:val="FootnoteText"/>
        <w:spacing w:after="0" w:line="240" w:lineRule="auto"/>
        <w:ind w:firstLine="540"/>
        <w:jc w:val="both"/>
        <w:rPr>
          <w:rFonts w:ascii="Calibri Light" w:hAnsi="Calibri Light" w:cs="Calibri Light"/>
          <w:sz w:val="16"/>
          <w:szCs w:val="16"/>
          <w:lang w:val="es-PE"/>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CIDH, </w:t>
      </w:r>
      <w:r w:rsidRPr="001647F2">
        <w:rPr>
          <w:rFonts w:ascii="Calibri Light" w:hAnsi="Calibri Light" w:cs="Calibri Light"/>
          <w:i/>
          <w:sz w:val="16"/>
          <w:szCs w:val="16"/>
        </w:rPr>
        <w:t>Pueblos indígenas, comunidad afrodescendientes y recursos naturales: protección de derechos humanos en el contexto de actividades de extracción, explotación y desarrollo</w:t>
      </w:r>
      <w:r w:rsidRPr="001647F2">
        <w:rPr>
          <w:rFonts w:ascii="Calibri Light" w:hAnsi="Calibri Light" w:cs="Calibri Light"/>
          <w:sz w:val="16"/>
          <w:szCs w:val="16"/>
        </w:rPr>
        <w:t xml:space="preserve">, 31 de diciembre de 2015, párr. </w:t>
      </w:r>
      <w:r w:rsidRPr="001647F2">
        <w:rPr>
          <w:rFonts w:ascii="Calibri Light" w:hAnsi="Calibri Light" w:cs="Calibri Light"/>
          <w:sz w:val="16"/>
          <w:szCs w:val="16"/>
          <w:lang w:val="es-PE"/>
        </w:rPr>
        <w:t xml:space="preserve">316. Disponible en: </w:t>
      </w:r>
      <w:hyperlink r:id="rId5" w:history="1">
        <w:r w:rsidRPr="001647F2">
          <w:rPr>
            <w:rStyle w:val="Hyperlink"/>
            <w:rFonts w:ascii="Calibri Light" w:hAnsi="Calibri Light" w:cs="Calibri Light"/>
            <w:sz w:val="16"/>
            <w:szCs w:val="16"/>
            <w:lang w:val="es-PE"/>
          </w:rPr>
          <w:t>http://www.oas.org/es/cidh/informes/pdfs/IndustriasExtractivas2016.pdf</w:t>
        </w:r>
      </w:hyperlink>
      <w:r w:rsidRPr="001647F2">
        <w:rPr>
          <w:rFonts w:ascii="Calibri Light" w:hAnsi="Calibri Light" w:cs="Calibri Light"/>
          <w:sz w:val="16"/>
          <w:szCs w:val="16"/>
          <w:lang w:val="es-PE"/>
        </w:rPr>
        <w:t xml:space="preserve"> </w:t>
      </w:r>
    </w:p>
  </w:footnote>
  <w:footnote w:id="17">
    <w:p w:rsidR="00EC5448" w:rsidRPr="001647F2" w:rsidRDefault="00EC5448"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w:t>
      </w:r>
      <w:r w:rsidR="00EE7C39" w:rsidRPr="001647F2">
        <w:rPr>
          <w:rFonts w:ascii="Calibri Light" w:hAnsi="Calibri Light" w:cs="Calibri Light"/>
          <w:sz w:val="16"/>
          <w:szCs w:val="16"/>
        </w:rPr>
        <w:t xml:space="preserve">OFICINA DEL ALTO COMISIONADO DE LAS NACIONES UNIDAS. </w:t>
      </w:r>
      <w:r w:rsidR="00EE7C39" w:rsidRPr="001647F2">
        <w:rPr>
          <w:rFonts w:ascii="Calibri Light" w:hAnsi="Calibri Light" w:cs="Calibri Light"/>
          <w:i/>
          <w:sz w:val="16"/>
          <w:szCs w:val="16"/>
        </w:rPr>
        <w:t xml:space="preserve">Informe del final de la misión del Relator Especial de las Naciones Unidas sobre la situación de los defensores de derechos humanos Michel </w:t>
      </w:r>
      <w:proofErr w:type="spellStart"/>
      <w:r w:rsidR="00EE7C39" w:rsidRPr="001647F2">
        <w:rPr>
          <w:rFonts w:ascii="Calibri Light" w:hAnsi="Calibri Light" w:cs="Calibri Light"/>
          <w:i/>
          <w:sz w:val="16"/>
          <w:szCs w:val="16"/>
        </w:rPr>
        <w:t>Forst</w:t>
      </w:r>
      <w:proofErr w:type="spellEnd"/>
      <w:r w:rsidR="00EE7C39" w:rsidRPr="001647F2">
        <w:rPr>
          <w:rFonts w:ascii="Calibri Light" w:hAnsi="Calibri Light" w:cs="Calibri Light"/>
          <w:i/>
          <w:sz w:val="16"/>
          <w:szCs w:val="16"/>
        </w:rPr>
        <w:t>, visita a México</w:t>
      </w:r>
      <w:r w:rsidR="00EE7C39" w:rsidRPr="001647F2">
        <w:rPr>
          <w:rFonts w:ascii="Calibri Light" w:hAnsi="Calibri Light" w:cs="Calibri Light"/>
          <w:sz w:val="16"/>
          <w:szCs w:val="16"/>
        </w:rPr>
        <w:t>, 16 al 24 de enero de 2017</w:t>
      </w:r>
      <w:r w:rsidR="00731BAE" w:rsidRPr="001647F2">
        <w:rPr>
          <w:rFonts w:ascii="Calibri Light" w:hAnsi="Calibri Light" w:cs="Calibri Light"/>
          <w:sz w:val="16"/>
          <w:szCs w:val="16"/>
        </w:rPr>
        <w:t xml:space="preserve">, </w:t>
      </w:r>
      <w:r w:rsidR="00EE7C39" w:rsidRPr="001647F2">
        <w:rPr>
          <w:rFonts w:ascii="Calibri Light" w:hAnsi="Calibri Light" w:cs="Calibri Light"/>
          <w:sz w:val="16"/>
          <w:szCs w:val="16"/>
        </w:rPr>
        <w:t xml:space="preserve">24 de enero de 2017. </w:t>
      </w:r>
      <w:r w:rsidRPr="001647F2">
        <w:rPr>
          <w:rFonts w:ascii="Calibri Light" w:hAnsi="Calibri Light" w:cs="Calibri Light"/>
          <w:sz w:val="16"/>
          <w:szCs w:val="16"/>
        </w:rPr>
        <w:t xml:space="preserve">Disponible en: </w:t>
      </w:r>
      <w:hyperlink r:id="rId6" w:history="1">
        <w:r w:rsidRPr="001647F2">
          <w:rPr>
            <w:rStyle w:val="Hyperlink"/>
            <w:rFonts w:ascii="Calibri Light" w:hAnsi="Calibri Light" w:cs="Calibri Light"/>
            <w:sz w:val="16"/>
            <w:szCs w:val="16"/>
          </w:rPr>
          <w:t>http://www.ohchr.org/SP/NewsEvents/Pages/DisplayNews.aspx?NewsID=21111&amp;LangID=S</w:t>
        </w:r>
      </w:hyperlink>
      <w:r w:rsidRPr="001647F2">
        <w:rPr>
          <w:rFonts w:ascii="Calibri Light" w:hAnsi="Calibri Light" w:cs="Calibri Light"/>
          <w:sz w:val="16"/>
          <w:szCs w:val="16"/>
        </w:rPr>
        <w:t xml:space="preserve"> </w:t>
      </w:r>
    </w:p>
  </w:footnote>
  <w:footnote w:id="18">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Por ejemplo, los solicitantes informaron que el 19 de abril de 2017: “en una estación de radio local prosiguieron con campañas de difamación del trabajo de los defensores de los derechos humanos”. Según los solicitantes, este medio habría indicado falsamente que el esposo de </w:t>
      </w:r>
      <w:proofErr w:type="spellStart"/>
      <w:r w:rsidRPr="001647F2">
        <w:rPr>
          <w:rFonts w:ascii="Calibri Light" w:hAnsi="Calibri Light" w:cs="Calibri Light"/>
          <w:sz w:val="16"/>
          <w:szCs w:val="16"/>
        </w:rPr>
        <w:t>Bettina</w:t>
      </w:r>
      <w:proofErr w:type="spellEnd"/>
      <w:r w:rsidRPr="001647F2">
        <w:rPr>
          <w:rFonts w:ascii="Calibri Light" w:hAnsi="Calibri Light" w:cs="Calibri Light"/>
          <w:sz w:val="16"/>
          <w:szCs w:val="16"/>
        </w:rPr>
        <w:t xml:space="preserve"> “estaría recibiendo dinero de las empresas con los que manda a pasear a Europa a su esposa”.</w:t>
      </w:r>
    </w:p>
  </w:footnote>
  <w:footnote w:id="19">
    <w:p w:rsidR="005615B2" w:rsidRPr="001647F2" w:rsidRDefault="005615B2"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w:t>
      </w:r>
      <w:r w:rsidR="00731BAE" w:rsidRPr="001647F2">
        <w:rPr>
          <w:rFonts w:ascii="Calibri Light" w:hAnsi="Calibri Light" w:cs="Calibri Light"/>
          <w:sz w:val="16"/>
          <w:szCs w:val="16"/>
        </w:rPr>
        <w:t xml:space="preserve">Véase </w:t>
      </w:r>
      <w:r w:rsidR="00731BAE" w:rsidRPr="001647F2">
        <w:rPr>
          <w:rFonts w:ascii="Calibri Light" w:hAnsi="Calibri Light" w:cs="Calibri Light"/>
          <w:i/>
          <w:sz w:val="16"/>
          <w:szCs w:val="16"/>
        </w:rPr>
        <w:t xml:space="preserve">inter </w:t>
      </w:r>
      <w:proofErr w:type="spellStart"/>
      <w:r w:rsidR="00731BAE" w:rsidRPr="001647F2">
        <w:rPr>
          <w:rFonts w:ascii="Calibri Light" w:hAnsi="Calibri Light" w:cs="Calibri Light"/>
          <w:i/>
          <w:sz w:val="16"/>
          <w:szCs w:val="16"/>
        </w:rPr>
        <w:t>alia</w:t>
      </w:r>
      <w:proofErr w:type="spellEnd"/>
      <w:r w:rsidR="00731BAE" w:rsidRPr="001647F2">
        <w:rPr>
          <w:rFonts w:ascii="Calibri Light" w:hAnsi="Calibri Light" w:cs="Calibri Light"/>
          <w:sz w:val="16"/>
          <w:szCs w:val="16"/>
        </w:rPr>
        <w:t xml:space="preserve">: EDUCAOXACA. </w:t>
      </w:r>
      <w:r w:rsidR="00731BAE" w:rsidRPr="001647F2">
        <w:rPr>
          <w:rFonts w:ascii="Calibri Light" w:hAnsi="Calibri Light" w:cs="Calibri Light"/>
          <w:i/>
          <w:sz w:val="16"/>
          <w:szCs w:val="16"/>
        </w:rPr>
        <w:t>Denuncia Apoyo asesinato de José Alberto Toledo, defensor de los derechos humanos en el Istmo</w:t>
      </w:r>
      <w:r w:rsidR="00731BAE" w:rsidRPr="001647F2">
        <w:rPr>
          <w:rFonts w:ascii="Calibri Light" w:hAnsi="Calibri Light" w:cs="Calibri Light"/>
          <w:sz w:val="16"/>
          <w:szCs w:val="16"/>
        </w:rPr>
        <w:t xml:space="preserve">, 11 de abril de 2017. Disponible en: </w:t>
      </w:r>
      <w:hyperlink r:id="rId7" w:history="1">
        <w:r w:rsidRPr="001647F2">
          <w:rPr>
            <w:rStyle w:val="Hyperlink"/>
            <w:rFonts w:ascii="Calibri Light" w:hAnsi="Calibri Light" w:cs="Calibri Light"/>
            <w:sz w:val="16"/>
            <w:szCs w:val="16"/>
          </w:rPr>
          <w:t>https://www.educaoaxaca.org/la-minuta/2240-denuncia-apoyo-asesinato-de-josé-alberto-toledo</w:t>
        </w:r>
      </w:hyperlink>
      <w:r w:rsidRPr="001647F2">
        <w:rPr>
          <w:rFonts w:ascii="Calibri Light" w:hAnsi="Calibri Light" w:cs="Calibri Light"/>
          <w:sz w:val="16"/>
          <w:szCs w:val="16"/>
        </w:rPr>
        <w:t xml:space="preserve"> </w:t>
      </w:r>
      <w:r w:rsidR="008630ED" w:rsidRPr="001647F2">
        <w:rPr>
          <w:rFonts w:ascii="Calibri Light" w:hAnsi="Calibri Light" w:cs="Calibri Light"/>
          <w:sz w:val="16"/>
          <w:szCs w:val="16"/>
        </w:rPr>
        <w:t xml:space="preserve">. </w:t>
      </w:r>
      <w:r w:rsidR="008630ED" w:rsidRPr="001647F2">
        <w:rPr>
          <w:rFonts w:ascii="Calibri Light" w:hAnsi="Calibri Light" w:cs="Calibri Light"/>
          <w:color w:val="000000"/>
          <w:sz w:val="16"/>
          <w:szCs w:val="16"/>
        </w:rPr>
        <w:t xml:space="preserve">El señor habría quedado gravemente herido por sujetos desconocidos quienes lo dejaron al costado de una carretera. </w:t>
      </w:r>
      <w:r w:rsidR="008630ED" w:rsidRPr="001647F2">
        <w:rPr>
          <w:rFonts w:ascii="Calibri Light" w:hAnsi="Calibri Light" w:cs="Calibri Light"/>
          <w:sz w:val="16"/>
          <w:szCs w:val="16"/>
        </w:rPr>
        <w:t xml:space="preserve">Véase </w:t>
      </w:r>
      <w:r w:rsidR="008630ED" w:rsidRPr="001647F2">
        <w:rPr>
          <w:rFonts w:ascii="Calibri Light" w:hAnsi="Calibri Light" w:cs="Calibri Light"/>
          <w:i/>
          <w:sz w:val="16"/>
          <w:szCs w:val="16"/>
        </w:rPr>
        <w:t xml:space="preserve">inter </w:t>
      </w:r>
      <w:proofErr w:type="spellStart"/>
      <w:r w:rsidR="008630ED" w:rsidRPr="001647F2">
        <w:rPr>
          <w:rFonts w:ascii="Calibri Light" w:hAnsi="Calibri Light" w:cs="Calibri Light"/>
          <w:i/>
          <w:sz w:val="16"/>
          <w:szCs w:val="16"/>
        </w:rPr>
        <w:t>alia</w:t>
      </w:r>
      <w:proofErr w:type="spellEnd"/>
      <w:r w:rsidR="008630ED" w:rsidRPr="001647F2">
        <w:rPr>
          <w:rFonts w:ascii="Calibri Light" w:hAnsi="Calibri Light" w:cs="Calibri Light"/>
          <w:sz w:val="16"/>
          <w:szCs w:val="16"/>
        </w:rPr>
        <w:t xml:space="preserve">: NVI Noticias. Exigen justicia para activista asesinado en el Istmo, 20 de abril de 2017. Disponible en: </w:t>
      </w:r>
      <w:hyperlink r:id="rId8" w:history="1">
        <w:r w:rsidR="008630ED" w:rsidRPr="001647F2">
          <w:rPr>
            <w:rStyle w:val="Hyperlink"/>
            <w:rFonts w:ascii="Calibri Light" w:hAnsi="Calibri Light" w:cs="Calibri Light"/>
            <w:sz w:val="16"/>
            <w:szCs w:val="16"/>
          </w:rPr>
          <w:t>http://www.nvinoticias.com/nota/57139/exigen-justicia-para-activista-asesinado-en-el-istmo</w:t>
        </w:r>
      </w:hyperlink>
      <w:r w:rsidR="008630ED" w:rsidRPr="001647F2">
        <w:rPr>
          <w:rFonts w:ascii="Calibri Light" w:hAnsi="Calibri Light" w:cs="Calibri Light"/>
          <w:sz w:val="16"/>
          <w:szCs w:val="16"/>
        </w:rPr>
        <w:t xml:space="preserve">; e ISTMO PRESS. </w:t>
      </w:r>
      <w:r w:rsidR="008630ED" w:rsidRPr="001647F2">
        <w:rPr>
          <w:rFonts w:ascii="Calibri Light" w:hAnsi="Calibri Light" w:cs="Calibri Light"/>
          <w:i/>
          <w:sz w:val="16"/>
          <w:szCs w:val="16"/>
        </w:rPr>
        <w:t>Denuncia Apoyo asesinato de José Alberto Toledo, defensor de los derechos humanos</w:t>
      </w:r>
      <w:r w:rsidR="008630ED" w:rsidRPr="001647F2">
        <w:rPr>
          <w:rFonts w:ascii="Calibri Light" w:hAnsi="Calibri Light" w:cs="Calibri Light"/>
          <w:sz w:val="16"/>
          <w:szCs w:val="16"/>
        </w:rPr>
        <w:t xml:space="preserve">, 11 de abril de 2017. Disponible en: </w:t>
      </w:r>
      <w:hyperlink r:id="rId9" w:history="1">
        <w:r w:rsidR="008630ED" w:rsidRPr="001647F2">
          <w:rPr>
            <w:rStyle w:val="Hyperlink"/>
            <w:rFonts w:ascii="Calibri Light" w:hAnsi="Calibri Light" w:cs="Calibri Light"/>
            <w:sz w:val="16"/>
            <w:szCs w:val="16"/>
          </w:rPr>
          <w:t>http://www.istmopress.com.mx/istmo/denuncia-apoyo-asesinato-de-jose-alberto-toledo-defensor-de-los-derechos-humanos/</w:t>
        </w:r>
      </w:hyperlink>
    </w:p>
  </w:footnote>
  <w:footnote w:id="20">
    <w:p w:rsidR="009C043F" w:rsidRPr="001647F2" w:rsidRDefault="009C043F"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Estos incidentes habrían sido anotados en un cuaderno que por el terremoto quedó tapado en su oficina bajo escombros y agua después que se viera obligada a dejar el lugar. Una de las notas que logró recuperar indicaría, por ejemplo, que el 24 de agosto de 2017 una camioneta pasó lentamente filmando la casa de </w:t>
      </w:r>
      <w:r w:rsidR="0011594C" w:rsidRPr="001647F2">
        <w:rPr>
          <w:rFonts w:ascii="Calibri Light" w:hAnsi="Calibri Light" w:cs="Calibri Light"/>
          <w:sz w:val="16"/>
          <w:szCs w:val="16"/>
        </w:rPr>
        <w:t>la propuesta beneficiaria</w:t>
      </w:r>
      <w:r w:rsidRPr="001647F2">
        <w:rPr>
          <w:rFonts w:ascii="Calibri Light" w:hAnsi="Calibri Light" w:cs="Calibri Light"/>
          <w:sz w:val="16"/>
          <w:szCs w:val="16"/>
        </w:rPr>
        <w:t>.</w:t>
      </w:r>
    </w:p>
  </w:footnote>
  <w:footnote w:id="21">
    <w:p w:rsidR="004B58B8" w:rsidRPr="001647F2" w:rsidRDefault="004B58B8"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El Estado indicó que: se solicitará a la Secretaria de Seguridad Pública del Estado de Oaxaca, a fin de que proporcione números de contacto de emergencia a los integrantes del colectivo de los destacamentos más cercanos a las comunidades de San Dionisio del Marc, Santa Maria </w:t>
      </w:r>
      <w:proofErr w:type="spellStart"/>
      <w:r w:rsidRPr="001647F2">
        <w:rPr>
          <w:rFonts w:ascii="Calibri Light" w:hAnsi="Calibri Light" w:cs="Calibri Light"/>
          <w:sz w:val="16"/>
          <w:szCs w:val="16"/>
        </w:rPr>
        <w:t>Xadani</w:t>
      </w:r>
      <w:proofErr w:type="spellEnd"/>
      <w:r w:rsidRPr="001647F2">
        <w:rPr>
          <w:rFonts w:ascii="Calibri Light" w:hAnsi="Calibri Light" w:cs="Calibri Light"/>
          <w:sz w:val="16"/>
          <w:szCs w:val="16"/>
        </w:rPr>
        <w:t xml:space="preserve">, </w:t>
      </w:r>
      <w:proofErr w:type="spellStart"/>
      <w:r w:rsidRPr="001647F2">
        <w:rPr>
          <w:rFonts w:ascii="Calibri Light" w:hAnsi="Calibri Light" w:cs="Calibri Light"/>
          <w:sz w:val="16"/>
          <w:szCs w:val="16"/>
        </w:rPr>
        <w:t>Union</w:t>
      </w:r>
      <w:proofErr w:type="spellEnd"/>
      <w:r w:rsidRPr="001647F2">
        <w:rPr>
          <w:rFonts w:ascii="Calibri Light" w:hAnsi="Calibri Light" w:cs="Calibri Light"/>
          <w:sz w:val="16"/>
          <w:szCs w:val="16"/>
        </w:rPr>
        <w:t xml:space="preserve"> Hidalgo, San Francisco del Mar y Alvaro Obregón; se solicitará a la Secretaria de Seguridad Pública del Estado de Oaxaca que realice rondines </w:t>
      </w:r>
      <w:proofErr w:type="spellStart"/>
      <w:r w:rsidRPr="001647F2">
        <w:rPr>
          <w:rFonts w:ascii="Calibri Light" w:hAnsi="Calibri Light" w:cs="Calibri Light"/>
          <w:sz w:val="16"/>
          <w:szCs w:val="16"/>
        </w:rPr>
        <w:t>bitacorados</w:t>
      </w:r>
      <w:proofErr w:type="spellEnd"/>
      <w:r w:rsidRPr="001647F2">
        <w:rPr>
          <w:rFonts w:ascii="Calibri Light" w:hAnsi="Calibri Light" w:cs="Calibri Light"/>
          <w:sz w:val="16"/>
          <w:szCs w:val="16"/>
        </w:rPr>
        <w:t xml:space="preserve"> en el domicilio de la beneficiaria </w:t>
      </w:r>
      <w:proofErr w:type="spellStart"/>
      <w:r w:rsidRPr="001647F2">
        <w:rPr>
          <w:rFonts w:ascii="Calibri Light" w:hAnsi="Calibri Light" w:cs="Calibri Light"/>
          <w:sz w:val="16"/>
          <w:szCs w:val="16"/>
        </w:rPr>
        <w:t>Bettina</w:t>
      </w:r>
      <w:proofErr w:type="spellEnd"/>
      <w:r w:rsidRPr="001647F2">
        <w:rPr>
          <w:rFonts w:ascii="Calibri Light" w:hAnsi="Calibri Light" w:cs="Calibri Light"/>
          <w:sz w:val="16"/>
          <w:szCs w:val="16"/>
        </w:rPr>
        <w:t xml:space="preserve"> Cruz y otro, así como en el domicilio de las instalaciones de la organización; se reiterará la solicitud de que se lleve a cabo un reconocimiento público sobre la labor de Defensa de los Derechos Humanos que llevan a cabo los beneficiarios; se solicitara que se brinden acompañamientos, durante sus traslados a las comunidades de Unión Hidalgo, Santa Maria </w:t>
      </w:r>
      <w:proofErr w:type="spellStart"/>
      <w:r w:rsidRPr="001647F2">
        <w:rPr>
          <w:rFonts w:ascii="Calibri Light" w:hAnsi="Calibri Light" w:cs="Calibri Light"/>
          <w:sz w:val="16"/>
          <w:szCs w:val="16"/>
        </w:rPr>
        <w:t>Xadani</w:t>
      </w:r>
      <w:proofErr w:type="spellEnd"/>
      <w:r w:rsidRPr="001647F2">
        <w:rPr>
          <w:rFonts w:ascii="Calibri Light" w:hAnsi="Calibri Light" w:cs="Calibri Light"/>
          <w:sz w:val="16"/>
          <w:szCs w:val="16"/>
        </w:rPr>
        <w:t xml:space="preserve">, San Dionisio del Mar, San Francisco del Mar, Alvaro Obregón y San Mateo del Mar, por parte de la Policía Estatal de Oaxaca, previo aviso de los beneficiarios con 48 horas de anticipación; se solicitó a la empresa RCU, se lleve a cabo una visita técnica con el objetivo de instalar las medidas de infraestructura que consideren pertinentes en el domicilio; </w:t>
      </w:r>
      <w:r w:rsidR="005F4218" w:rsidRPr="001647F2">
        <w:rPr>
          <w:rFonts w:ascii="Calibri Light" w:hAnsi="Calibri Light" w:cs="Calibri Light"/>
          <w:sz w:val="16"/>
          <w:szCs w:val="16"/>
        </w:rPr>
        <w:t xml:space="preserve">se solicitará que se brinden acompañamientos a </w:t>
      </w:r>
      <w:proofErr w:type="spellStart"/>
      <w:r w:rsidR="005F4218" w:rsidRPr="001647F2">
        <w:rPr>
          <w:rFonts w:ascii="Calibri Light" w:hAnsi="Calibri Light" w:cs="Calibri Light"/>
          <w:sz w:val="16"/>
          <w:szCs w:val="16"/>
        </w:rPr>
        <w:t>Bettina</w:t>
      </w:r>
      <w:proofErr w:type="spellEnd"/>
      <w:r w:rsidR="005F4218" w:rsidRPr="001647F2">
        <w:rPr>
          <w:rFonts w:ascii="Calibri Light" w:hAnsi="Calibri Light" w:cs="Calibri Light"/>
          <w:sz w:val="16"/>
          <w:szCs w:val="16"/>
        </w:rPr>
        <w:t xml:space="preserve"> Cruz, su esposo, entre otras personas durante sus traslados a determinadas comunidades, previo aviso de los beneficiarios.</w:t>
      </w:r>
    </w:p>
  </w:footnote>
  <w:footnote w:id="22">
    <w:p w:rsidR="00BA2585" w:rsidRPr="001647F2" w:rsidRDefault="00BA2585" w:rsidP="001647F2">
      <w:pPr>
        <w:pStyle w:val="FootnoteText"/>
        <w:spacing w:after="0" w:line="240" w:lineRule="auto"/>
        <w:ind w:firstLine="540"/>
        <w:jc w:val="both"/>
        <w:rPr>
          <w:rFonts w:ascii="Calibri Light" w:hAnsi="Calibri Light" w:cs="Calibri Light"/>
          <w:sz w:val="16"/>
          <w:szCs w:val="16"/>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rPr>
        <w:t xml:space="preserve"> Ver CIDH, </w:t>
      </w:r>
      <w:r w:rsidRPr="001647F2">
        <w:rPr>
          <w:rFonts w:ascii="Calibri Light" w:hAnsi="Calibri Light" w:cs="Calibri Light"/>
          <w:i/>
          <w:sz w:val="16"/>
          <w:szCs w:val="16"/>
        </w:rPr>
        <w:t xml:space="preserve">Segundo Informe sobre la Situación de Defensoras y Defensores de Derechos Humanos en las Américas, </w:t>
      </w:r>
      <w:r w:rsidRPr="001647F2">
        <w:rPr>
          <w:rFonts w:ascii="Calibri Light" w:hAnsi="Calibri Light" w:cs="Calibri Light"/>
          <w:sz w:val="16"/>
          <w:szCs w:val="16"/>
        </w:rPr>
        <w:t xml:space="preserve">31 de diciembre de 2011, párr. 521. </w:t>
      </w:r>
    </w:p>
  </w:footnote>
  <w:footnote w:id="23">
    <w:p w:rsidR="00DD3FF4" w:rsidRPr="001647F2" w:rsidRDefault="00DD3FF4" w:rsidP="001647F2">
      <w:pPr>
        <w:pStyle w:val="FootnoteText"/>
        <w:spacing w:after="0" w:line="240" w:lineRule="auto"/>
        <w:ind w:firstLine="540"/>
        <w:jc w:val="both"/>
        <w:rPr>
          <w:rFonts w:ascii="Calibri Light" w:hAnsi="Calibri Light" w:cs="Calibri Light"/>
          <w:sz w:val="16"/>
          <w:szCs w:val="16"/>
          <w:lang w:val="es-PE"/>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lang w:val="es-CO"/>
        </w:rPr>
        <w:t xml:space="preserve"> </w:t>
      </w:r>
      <w:r w:rsidR="00731BAE" w:rsidRPr="001647F2">
        <w:rPr>
          <w:rFonts w:ascii="Calibri Light" w:hAnsi="Calibri Light" w:cs="Calibri Light"/>
          <w:sz w:val="16"/>
          <w:szCs w:val="16"/>
          <w:lang w:val="es-CO"/>
        </w:rPr>
        <w:t xml:space="preserve">Véase </w:t>
      </w:r>
      <w:r w:rsidR="00731BAE" w:rsidRPr="001647F2">
        <w:rPr>
          <w:rFonts w:ascii="Calibri Light" w:hAnsi="Calibri Light" w:cs="Calibri Light"/>
          <w:i/>
          <w:sz w:val="16"/>
          <w:szCs w:val="16"/>
          <w:lang w:val="es-CO"/>
        </w:rPr>
        <w:t xml:space="preserve">inter </w:t>
      </w:r>
      <w:proofErr w:type="spellStart"/>
      <w:r w:rsidR="00731BAE" w:rsidRPr="001647F2">
        <w:rPr>
          <w:rFonts w:ascii="Calibri Light" w:hAnsi="Calibri Light" w:cs="Calibri Light"/>
          <w:i/>
          <w:sz w:val="16"/>
          <w:szCs w:val="16"/>
          <w:lang w:val="es-CO"/>
        </w:rPr>
        <w:t>alia</w:t>
      </w:r>
      <w:proofErr w:type="spellEnd"/>
      <w:r w:rsidR="00731BAE" w:rsidRPr="001647F2">
        <w:rPr>
          <w:rFonts w:ascii="Calibri Light" w:hAnsi="Calibri Light" w:cs="Calibri Light"/>
          <w:sz w:val="16"/>
          <w:szCs w:val="16"/>
          <w:lang w:val="es-CO"/>
        </w:rPr>
        <w:t xml:space="preserve">: </w:t>
      </w:r>
      <w:r w:rsidRPr="001647F2">
        <w:rPr>
          <w:rFonts w:ascii="Calibri Light" w:hAnsi="Calibri Light" w:cs="Calibri Light"/>
          <w:sz w:val="16"/>
          <w:szCs w:val="16"/>
          <w:lang w:val="es-CO"/>
        </w:rPr>
        <w:t xml:space="preserve">CIDH, </w:t>
      </w:r>
      <w:r w:rsidRPr="001647F2">
        <w:rPr>
          <w:rFonts w:ascii="Calibri Light" w:hAnsi="Calibri Light" w:cs="Calibri Light"/>
          <w:i/>
          <w:sz w:val="16"/>
          <w:szCs w:val="16"/>
          <w:lang w:val="es-CO"/>
        </w:rPr>
        <w:t>Francisco Javier Barraza Gómez respecto de México</w:t>
      </w:r>
      <w:r w:rsidRPr="001647F2">
        <w:rPr>
          <w:rFonts w:ascii="Calibri Light" w:hAnsi="Calibri Light" w:cs="Calibri Light"/>
          <w:sz w:val="16"/>
          <w:szCs w:val="16"/>
          <w:lang w:val="es-CO"/>
        </w:rPr>
        <w:t xml:space="preserve"> (MC-209-14), Resolución de 15 de agosto de 2017,</w:t>
      </w:r>
      <w:r w:rsidR="00731BAE" w:rsidRPr="001647F2">
        <w:rPr>
          <w:rFonts w:ascii="Calibri Light" w:hAnsi="Calibri Light" w:cs="Calibri Light"/>
          <w:sz w:val="16"/>
          <w:szCs w:val="16"/>
          <w:lang w:val="es-CO"/>
        </w:rPr>
        <w:t xml:space="preserve"> párr. 22. D</w:t>
      </w:r>
      <w:r w:rsidRPr="001647F2">
        <w:rPr>
          <w:rFonts w:ascii="Calibri Light" w:hAnsi="Calibri Light" w:cs="Calibri Light"/>
          <w:sz w:val="16"/>
          <w:szCs w:val="16"/>
          <w:lang w:val="es-CO"/>
        </w:rPr>
        <w:t xml:space="preserve">isponible en: </w:t>
      </w:r>
      <w:hyperlink r:id="rId10" w:history="1">
        <w:r w:rsidRPr="001647F2">
          <w:rPr>
            <w:rStyle w:val="Hyperlink"/>
            <w:rFonts w:ascii="Calibri Light" w:hAnsi="Calibri Light" w:cs="Calibri Light"/>
            <w:sz w:val="16"/>
            <w:szCs w:val="16"/>
            <w:lang w:val="es-CO"/>
          </w:rPr>
          <w:t>http://www.oas.org/es/cidh/decisiones/cautelares.asp</w:t>
        </w:r>
      </w:hyperlink>
      <w:r w:rsidR="009471D5" w:rsidRPr="001647F2">
        <w:rPr>
          <w:rFonts w:ascii="Calibri Light" w:hAnsi="Calibri Light" w:cs="Calibri Light"/>
          <w:sz w:val="16"/>
          <w:szCs w:val="16"/>
          <w:lang w:val="es-CO"/>
        </w:rPr>
        <w:t xml:space="preserve">; </w:t>
      </w:r>
      <w:r w:rsidR="00731BAE" w:rsidRPr="001647F2">
        <w:rPr>
          <w:rFonts w:ascii="Calibri Light" w:hAnsi="Calibri Light" w:cs="Calibri Light"/>
          <w:sz w:val="16"/>
          <w:szCs w:val="16"/>
          <w:lang w:val="es-PE"/>
        </w:rPr>
        <w:t xml:space="preserve">CIDH, </w:t>
      </w:r>
      <w:r w:rsidR="00731BAE" w:rsidRPr="001647F2">
        <w:rPr>
          <w:rFonts w:ascii="Calibri Light" w:hAnsi="Calibri Light" w:cs="Calibri Light"/>
          <w:i/>
          <w:sz w:val="16"/>
          <w:szCs w:val="16"/>
          <w:lang w:val="es-PE"/>
        </w:rPr>
        <w:t>Paulina Mateo Chic respecto de Guatemala</w:t>
      </w:r>
      <w:r w:rsidR="00731BAE" w:rsidRPr="001647F2">
        <w:rPr>
          <w:rFonts w:ascii="Calibri Light" w:hAnsi="Calibri Light" w:cs="Calibri Light"/>
          <w:sz w:val="16"/>
          <w:szCs w:val="16"/>
          <w:lang w:val="es-PE"/>
        </w:rPr>
        <w:t xml:space="preserve"> (MC 782-17), Resolución de 1 de diciembre de 2017, párr. 34; Disponible en: </w:t>
      </w:r>
      <w:hyperlink r:id="rId11" w:history="1">
        <w:r w:rsidR="00731BAE" w:rsidRPr="001647F2">
          <w:rPr>
            <w:rStyle w:val="Hyperlink"/>
            <w:rFonts w:ascii="Calibri Light" w:hAnsi="Calibri Light" w:cs="Calibri Light"/>
            <w:sz w:val="16"/>
            <w:szCs w:val="16"/>
            <w:lang w:val="es-PE"/>
          </w:rPr>
          <w:t>http://www.oas.org/es/cidh/decisiones/pdf/2017/49-17MC782-17-GU.pdf</w:t>
        </w:r>
      </w:hyperlink>
      <w:r w:rsidR="00731BAE" w:rsidRPr="001647F2">
        <w:rPr>
          <w:rFonts w:ascii="Calibri Light" w:hAnsi="Calibri Light" w:cs="Calibri Light"/>
          <w:sz w:val="16"/>
          <w:szCs w:val="16"/>
          <w:lang w:val="es-PE"/>
        </w:rPr>
        <w:t xml:space="preserve"> ; y CIDH,  </w:t>
      </w:r>
      <w:r w:rsidR="00731BAE" w:rsidRPr="001647F2">
        <w:rPr>
          <w:rFonts w:ascii="Calibri Light" w:hAnsi="Calibri Light" w:cs="Calibri Light"/>
          <w:i/>
          <w:sz w:val="16"/>
          <w:szCs w:val="16"/>
          <w:lang w:val="es-PE"/>
        </w:rPr>
        <w:t xml:space="preserve">Santiago Maldonado respecto de Argentina (MC 564-2017), </w:t>
      </w:r>
      <w:r w:rsidR="00A570A9" w:rsidRPr="001647F2">
        <w:rPr>
          <w:rFonts w:ascii="Calibri Light" w:hAnsi="Calibri Light" w:cs="Calibri Light"/>
          <w:sz w:val="16"/>
          <w:szCs w:val="16"/>
          <w:lang w:val="es-PE"/>
        </w:rPr>
        <w:t>Resolución</w:t>
      </w:r>
      <w:r w:rsidR="00731BAE" w:rsidRPr="001647F2">
        <w:rPr>
          <w:rFonts w:ascii="Calibri Light" w:hAnsi="Calibri Light" w:cs="Calibri Light"/>
          <w:sz w:val="16"/>
          <w:szCs w:val="16"/>
          <w:lang w:val="es-PE"/>
        </w:rPr>
        <w:t xml:space="preserve"> de 22 de agosto de 2017</w:t>
      </w:r>
      <w:r w:rsidR="00A570A9" w:rsidRPr="001647F2">
        <w:rPr>
          <w:rFonts w:ascii="Calibri Light" w:hAnsi="Calibri Light" w:cs="Calibri Light"/>
          <w:sz w:val="16"/>
          <w:szCs w:val="16"/>
          <w:lang w:val="es-PE"/>
        </w:rPr>
        <w:t xml:space="preserve">, párr. 16. </w:t>
      </w:r>
      <w:r w:rsidR="00731BAE" w:rsidRPr="001647F2">
        <w:rPr>
          <w:rFonts w:ascii="Calibri Light" w:hAnsi="Calibri Light" w:cs="Calibri Light"/>
          <w:sz w:val="16"/>
          <w:szCs w:val="16"/>
          <w:lang w:val="es-PE"/>
        </w:rPr>
        <w:t xml:space="preserve">Disponible en: </w:t>
      </w:r>
      <w:hyperlink r:id="rId12" w:history="1">
        <w:r w:rsidR="00731BAE" w:rsidRPr="001647F2">
          <w:rPr>
            <w:rStyle w:val="Hyperlink"/>
            <w:rFonts w:ascii="Calibri Light" w:hAnsi="Calibri Light" w:cs="Calibri Light"/>
            <w:sz w:val="16"/>
            <w:szCs w:val="16"/>
            <w:lang w:val="es-PE"/>
          </w:rPr>
          <w:t>http://www.oas.org/es/cidh/decisiones/pdf/2017/32-17MC564-17-AR.pdf</w:t>
        </w:r>
      </w:hyperlink>
      <w:r w:rsidR="00731BAE" w:rsidRPr="001647F2">
        <w:rPr>
          <w:rFonts w:ascii="Calibri Light" w:hAnsi="Calibri Light" w:cs="Calibri Light"/>
          <w:sz w:val="16"/>
          <w:szCs w:val="16"/>
          <w:lang w:val="es-PE"/>
        </w:rPr>
        <w:t xml:space="preserve"> </w:t>
      </w:r>
    </w:p>
  </w:footnote>
  <w:footnote w:id="24">
    <w:p w:rsidR="00DD3FF4" w:rsidRPr="001647F2" w:rsidRDefault="00DD3FF4" w:rsidP="001647F2">
      <w:pPr>
        <w:pStyle w:val="FootnoteText"/>
        <w:spacing w:after="0" w:line="240" w:lineRule="auto"/>
        <w:ind w:firstLine="540"/>
        <w:jc w:val="both"/>
        <w:rPr>
          <w:rFonts w:ascii="Calibri Light" w:hAnsi="Calibri Light" w:cs="Calibri Light"/>
          <w:sz w:val="16"/>
          <w:szCs w:val="16"/>
          <w:lang w:val="es-PE"/>
        </w:rPr>
      </w:pPr>
      <w:r w:rsidRPr="001647F2">
        <w:rPr>
          <w:rStyle w:val="FootnoteReference"/>
          <w:rFonts w:ascii="Calibri Light" w:hAnsi="Calibri Light" w:cs="Calibri Light"/>
          <w:sz w:val="16"/>
          <w:szCs w:val="16"/>
        </w:rPr>
        <w:footnoteRef/>
      </w:r>
      <w:r w:rsidRPr="001647F2">
        <w:rPr>
          <w:rFonts w:ascii="Calibri Light" w:hAnsi="Calibri Light" w:cs="Calibri Light"/>
          <w:sz w:val="16"/>
          <w:szCs w:val="16"/>
          <w:lang w:val="es-PE"/>
        </w:rPr>
        <w:t xml:space="preserve"> </w:t>
      </w:r>
      <w:r w:rsidR="00731BAE" w:rsidRPr="001647F2">
        <w:rPr>
          <w:rFonts w:ascii="Calibri Light" w:hAnsi="Calibri Light" w:cs="Calibri Light"/>
          <w:sz w:val="16"/>
          <w:szCs w:val="16"/>
          <w:lang w:val="es-PE"/>
        </w:rPr>
        <w:t xml:space="preserve">Ibídem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F" w:rsidRPr="006A2671" w:rsidRDefault="009C043F" w:rsidP="00124373">
    <w:pPr>
      <w:tabs>
        <w:tab w:val="left" w:pos="4040"/>
        <w:tab w:val="left" w:pos="4333"/>
        <w:tab w:val="center" w:pos="4680"/>
        <w:tab w:val="right" w:pos="9360"/>
      </w:tabs>
      <w:jc w:val="both"/>
      <w:rPr>
        <w:rFonts w:eastAsia="Calibri"/>
      </w:rPr>
    </w:pPr>
    <w:r>
      <w:rPr>
        <w:rFonts w:eastAsia="Calibri"/>
        <w:noProof/>
        <w:lang w:val="es-UY" w:eastAsia="es-UY"/>
      </w:rPr>
      <w:drawing>
        <wp:inline distT="0" distB="0" distL="0" distR="0" wp14:anchorId="26A1057A" wp14:editId="0A5BD498">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val="es-UY" w:eastAsia="es-UY"/>
      </w:rPr>
      <w:drawing>
        <wp:inline distT="0" distB="0" distL="0" distR="0" wp14:anchorId="7FF77254" wp14:editId="52E9F9AD">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9C043F" w:rsidRPr="006A2671" w:rsidRDefault="009C043F" w:rsidP="00124373">
    <w:pPr>
      <w:pBdr>
        <w:bottom w:val="single" w:sz="6" w:space="1" w:color="auto"/>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0669"/>
    <w:multiLevelType w:val="hybridMultilevel"/>
    <w:tmpl w:val="02560DBA"/>
    <w:lvl w:ilvl="0" w:tplc="88C221E2">
      <w:start w:val="9"/>
      <w:numFmt w:val="lowerLetter"/>
      <w:lvlText w:val="%1."/>
      <w:lvlJc w:val="left"/>
      <w:pPr>
        <w:ind w:left="707" w:hanging="360"/>
      </w:pPr>
      <w:rPr>
        <w:rFonts w:hint="default"/>
      </w:rPr>
    </w:lvl>
    <w:lvl w:ilvl="1" w:tplc="04090019">
      <w:start w:val="1"/>
      <w:numFmt w:val="lowerLetter"/>
      <w:lvlText w:val="%2."/>
      <w:lvlJc w:val="left"/>
      <w:pPr>
        <w:ind w:left="1427" w:hanging="360"/>
      </w:pPr>
    </w:lvl>
    <w:lvl w:ilvl="2" w:tplc="0409001B">
      <w:start w:val="1"/>
      <w:numFmt w:val="lowerRoman"/>
      <w:lvlText w:val="%3."/>
      <w:lvlJc w:val="right"/>
      <w:pPr>
        <w:ind w:left="2147" w:hanging="180"/>
      </w:pPr>
    </w:lvl>
    <w:lvl w:ilvl="3" w:tplc="5D726B96">
      <w:start w:val="1"/>
      <w:numFmt w:val="upperLetter"/>
      <w:lvlText w:val="%4."/>
      <w:lvlJc w:val="left"/>
      <w:pPr>
        <w:ind w:left="2867" w:hanging="360"/>
      </w:pPr>
      <w:rPr>
        <w:rFonts w:hint="default"/>
      </w:rPr>
    </w:lvl>
    <w:lvl w:ilvl="4" w:tplc="D9D43982">
      <w:start w:val="1"/>
      <w:numFmt w:val="decimal"/>
      <w:lvlText w:val="%5."/>
      <w:lvlJc w:val="left"/>
      <w:pPr>
        <w:ind w:left="3587" w:hanging="360"/>
      </w:pPr>
      <w:rPr>
        <w:rFonts w:hint="default"/>
      </w:r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343B8"/>
    <w:multiLevelType w:val="hybridMultilevel"/>
    <w:tmpl w:val="BD3E9ACA"/>
    <w:lvl w:ilvl="0" w:tplc="B54E15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43670"/>
    <w:multiLevelType w:val="hybridMultilevel"/>
    <w:tmpl w:val="56B0073E"/>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315C9"/>
    <w:multiLevelType w:val="hybridMultilevel"/>
    <w:tmpl w:val="A6B85ADC"/>
    <w:lvl w:ilvl="0" w:tplc="0F860E2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5D5922"/>
    <w:multiLevelType w:val="hybridMultilevel"/>
    <w:tmpl w:val="7C52BFC2"/>
    <w:lvl w:ilvl="0" w:tplc="3D9CF4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AB3156"/>
    <w:multiLevelType w:val="hybridMultilevel"/>
    <w:tmpl w:val="5A62CF4C"/>
    <w:lvl w:ilvl="0" w:tplc="2DD253C4">
      <w:start w:val="1"/>
      <w:numFmt w:val="decimal"/>
      <w:lvlText w:val="%1."/>
      <w:lvlJc w:val="left"/>
      <w:pPr>
        <w:ind w:left="1440" w:hanging="360"/>
      </w:pPr>
      <w:rPr>
        <w:rFonts w:hint="default"/>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D2196"/>
    <w:multiLevelType w:val="hybridMultilevel"/>
    <w:tmpl w:val="FB163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44C05"/>
    <w:multiLevelType w:val="hybridMultilevel"/>
    <w:tmpl w:val="FD02C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725CC"/>
    <w:multiLevelType w:val="hybridMultilevel"/>
    <w:tmpl w:val="50BA79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831DC"/>
    <w:multiLevelType w:val="hybridMultilevel"/>
    <w:tmpl w:val="6366B32C"/>
    <w:lvl w:ilvl="0" w:tplc="2DD253C4">
      <w:start w:val="1"/>
      <w:numFmt w:val="decimal"/>
      <w:lvlText w:val="%1."/>
      <w:lvlJc w:val="left"/>
      <w:pPr>
        <w:ind w:left="1440" w:hanging="360"/>
      </w:pPr>
      <w:rPr>
        <w:rFonts w:hint="default"/>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0258F0"/>
    <w:multiLevelType w:val="hybridMultilevel"/>
    <w:tmpl w:val="06949844"/>
    <w:lvl w:ilvl="0" w:tplc="E9F2B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16AA6"/>
    <w:multiLevelType w:val="hybridMultilevel"/>
    <w:tmpl w:val="A4EA4A24"/>
    <w:lvl w:ilvl="0" w:tplc="AE6E49C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70EC6913"/>
    <w:multiLevelType w:val="hybridMultilevel"/>
    <w:tmpl w:val="0F9049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048A4"/>
    <w:multiLevelType w:val="hybridMultilevel"/>
    <w:tmpl w:val="5A62CF4C"/>
    <w:lvl w:ilvl="0" w:tplc="2DD253C4">
      <w:start w:val="1"/>
      <w:numFmt w:val="decimal"/>
      <w:lvlText w:val="%1."/>
      <w:lvlJc w:val="left"/>
      <w:pPr>
        <w:ind w:left="1440" w:hanging="360"/>
      </w:pPr>
      <w:rPr>
        <w:rFonts w:hint="default"/>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E32E5D"/>
    <w:multiLevelType w:val="hybridMultilevel"/>
    <w:tmpl w:val="E30E53F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D0427B"/>
    <w:multiLevelType w:val="hybridMultilevel"/>
    <w:tmpl w:val="4E70AA0A"/>
    <w:lvl w:ilvl="0" w:tplc="DA3CD5FC">
      <w:start w:val="1"/>
      <w:numFmt w:val="decimal"/>
      <w:lvlText w:val="%1."/>
      <w:lvlJc w:val="left"/>
      <w:pPr>
        <w:ind w:left="720" w:hanging="360"/>
      </w:pPr>
      <w:rPr>
        <w:rFonts w:hint="default"/>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6"/>
  </w:num>
  <w:num w:numId="4">
    <w:abstractNumId w:val="0"/>
  </w:num>
  <w:num w:numId="5">
    <w:abstractNumId w:val="24"/>
  </w:num>
  <w:num w:numId="6">
    <w:abstractNumId w:val="7"/>
  </w:num>
  <w:num w:numId="7">
    <w:abstractNumId w:val="28"/>
  </w:num>
  <w:num w:numId="8">
    <w:abstractNumId w:val="15"/>
  </w:num>
  <w:num w:numId="9">
    <w:abstractNumId w:val="37"/>
  </w:num>
  <w:num w:numId="10">
    <w:abstractNumId w:val="8"/>
  </w:num>
  <w:num w:numId="11">
    <w:abstractNumId w:val="18"/>
  </w:num>
  <w:num w:numId="12">
    <w:abstractNumId w:val="3"/>
  </w:num>
  <w:num w:numId="13">
    <w:abstractNumId w:val="26"/>
  </w:num>
  <w:num w:numId="14">
    <w:abstractNumId w:val="35"/>
  </w:num>
  <w:num w:numId="15">
    <w:abstractNumId w:val="16"/>
  </w:num>
  <w:num w:numId="16">
    <w:abstractNumId w:val="30"/>
  </w:num>
  <w:num w:numId="17">
    <w:abstractNumId w:val="32"/>
  </w:num>
  <w:num w:numId="18">
    <w:abstractNumId w:val="20"/>
  </w:num>
  <w:num w:numId="19">
    <w:abstractNumId w:val="22"/>
  </w:num>
  <w:num w:numId="20">
    <w:abstractNumId w:val="21"/>
  </w:num>
  <w:num w:numId="21">
    <w:abstractNumId w:val="25"/>
  </w:num>
  <w:num w:numId="22">
    <w:abstractNumId w:val="29"/>
  </w:num>
  <w:num w:numId="23">
    <w:abstractNumId w:val="10"/>
  </w:num>
  <w:num w:numId="24">
    <w:abstractNumId w:val="17"/>
  </w:num>
  <w:num w:numId="25">
    <w:abstractNumId w:val="2"/>
  </w:num>
  <w:num w:numId="26">
    <w:abstractNumId w:val="1"/>
  </w:num>
  <w:num w:numId="27">
    <w:abstractNumId w:val="3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27"/>
  </w:num>
  <w:num w:numId="32">
    <w:abstractNumId w:val="9"/>
  </w:num>
  <w:num w:numId="33">
    <w:abstractNumId w:val="19"/>
  </w:num>
  <w:num w:numId="34">
    <w:abstractNumId w:val="31"/>
  </w:num>
  <w:num w:numId="35">
    <w:abstractNumId w:val="36"/>
  </w:num>
  <w:num w:numId="36">
    <w:abstractNumId w:val="5"/>
  </w:num>
  <w:num w:numId="37">
    <w:abstractNumId w:val="38"/>
  </w:num>
  <w:num w:numId="38">
    <w:abstractNumId w:val="1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1"/>
    <w:rsid w:val="000022B9"/>
    <w:rsid w:val="000044F5"/>
    <w:rsid w:val="0002219D"/>
    <w:rsid w:val="0002432C"/>
    <w:rsid w:val="00026EF4"/>
    <w:rsid w:val="00032DB6"/>
    <w:rsid w:val="0003711E"/>
    <w:rsid w:val="00041AD4"/>
    <w:rsid w:val="000439E6"/>
    <w:rsid w:val="00044280"/>
    <w:rsid w:val="00046945"/>
    <w:rsid w:val="00046EE2"/>
    <w:rsid w:val="00047597"/>
    <w:rsid w:val="00054B0A"/>
    <w:rsid w:val="00057176"/>
    <w:rsid w:val="00074408"/>
    <w:rsid w:val="000848C8"/>
    <w:rsid w:val="00084DBB"/>
    <w:rsid w:val="000865EC"/>
    <w:rsid w:val="000909E9"/>
    <w:rsid w:val="00092480"/>
    <w:rsid w:val="000968E9"/>
    <w:rsid w:val="00096995"/>
    <w:rsid w:val="000A24F5"/>
    <w:rsid w:val="000A7684"/>
    <w:rsid w:val="000A79D9"/>
    <w:rsid w:val="000B6295"/>
    <w:rsid w:val="000C2615"/>
    <w:rsid w:val="000C29E8"/>
    <w:rsid w:val="000C35D0"/>
    <w:rsid w:val="000C3FFC"/>
    <w:rsid w:val="000C51B0"/>
    <w:rsid w:val="000C7D55"/>
    <w:rsid w:val="000D25E9"/>
    <w:rsid w:val="000D434D"/>
    <w:rsid w:val="000E0668"/>
    <w:rsid w:val="000E7AF7"/>
    <w:rsid w:val="000F0742"/>
    <w:rsid w:val="000F29D0"/>
    <w:rsid w:val="000F4E32"/>
    <w:rsid w:val="000F6CA8"/>
    <w:rsid w:val="00114773"/>
    <w:rsid w:val="0011594C"/>
    <w:rsid w:val="001163CE"/>
    <w:rsid w:val="00121AF2"/>
    <w:rsid w:val="00122809"/>
    <w:rsid w:val="00124373"/>
    <w:rsid w:val="00133268"/>
    <w:rsid w:val="00137B2D"/>
    <w:rsid w:val="00142D3F"/>
    <w:rsid w:val="001434CC"/>
    <w:rsid w:val="001508E7"/>
    <w:rsid w:val="0015120E"/>
    <w:rsid w:val="0015243A"/>
    <w:rsid w:val="00153585"/>
    <w:rsid w:val="00157657"/>
    <w:rsid w:val="001619DE"/>
    <w:rsid w:val="001620E8"/>
    <w:rsid w:val="001642C9"/>
    <w:rsid w:val="001647F2"/>
    <w:rsid w:val="0017045C"/>
    <w:rsid w:val="00176F27"/>
    <w:rsid w:val="0018027F"/>
    <w:rsid w:val="001811EE"/>
    <w:rsid w:val="00181B74"/>
    <w:rsid w:val="00181CD0"/>
    <w:rsid w:val="00182C40"/>
    <w:rsid w:val="00191B7D"/>
    <w:rsid w:val="0019484A"/>
    <w:rsid w:val="00194B8F"/>
    <w:rsid w:val="001955A8"/>
    <w:rsid w:val="00196816"/>
    <w:rsid w:val="00197D73"/>
    <w:rsid w:val="001A34DE"/>
    <w:rsid w:val="001A5E49"/>
    <w:rsid w:val="001A6271"/>
    <w:rsid w:val="001B705D"/>
    <w:rsid w:val="001C5E47"/>
    <w:rsid w:val="001C7FBA"/>
    <w:rsid w:val="001D1F98"/>
    <w:rsid w:val="001D41A4"/>
    <w:rsid w:val="001D4475"/>
    <w:rsid w:val="001D4F40"/>
    <w:rsid w:val="001D4FA8"/>
    <w:rsid w:val="001D6460"/>
    <w:rsid w:val="001E0804"/>
    <w:rsid w:val="001E082A"/>
    <w:rsid w:val="001E1A1E"/>
    <w:rsid w:val="001E694B"/>
    <w:rsid w:val="001E6D88"/>
    <w:rsid w:val="001E6E06"/>
    <w:rsid w:val="001E75C3"/>
    <w:rsid w:val="001F01F6"/>
    <w:rsid w:val="001F3F3D"/>
    <w:rsid w:val="001F45E8"/>
    <w:rsid w:val="001F7F3E"/>
    <w:rsid w:val="00201B6C"/>
    <w:rsid w:val="00202BD3"/>
    <w:rsid w:val="002047DE"/>
    <w:rsid w:val="0020622F"/>
    <w:rsid w:val="00210005"/>
    <w:rsid w:val="002115BB"/>
    <w:rsid w:val="002129C8"/>
    <w:rsid w:val="002129E0"/>
    <w:rsid w:val="00214C54"/>
    <w:rsid w:val="0021676B"/>
    <w:rsid w:val="00224393"/>
    <w:rsid w:val="002244C7"/>
    <w:rsid w:val="002262D6"/>
    <w:rsid w:val="00227176"/>
    <w:rsid w:val="002273FB"/>
    <w:rsid w:val="00227FA6"/>
    <w:rsid w:val="00231FC6"/>
    <w:rsid w:val="00233DFE"/>
    <w:rsid w:val="00233EAF"/>
    <w:rsid w:val="0023548B"/>
    <w:rsid w:val="00245C81"/>
    <w:rsid w:val="002512B4"/>
    <w:rsid w:val="00251CD7"/>
    <w:rsid w:val="002520B0"/>
    <w:rsid w:val="00255C76"/>
    <w:rsid w:val="00256DF0"/>
    <w:rsid w:val="00265AB9"/>
    <w:rsid w:val="00266CB6"/>
    <w:rsid w:val="00267599"/>
    <w:rsid w:val="002716BD"/>
    <w:rsid w:val="00272C94"/>
    <w:rsid w:val="00275D4A"/>
    <w:rsid w:val="002768DF"/>
    <w:rsid w:val="00276C1D"/>
    <w:rsid w:val="002826C3"/>
    <w:rsid w:val="00282F1E"/>
    <w:rsid w:val="00293474"/>
    <w:rsid w:val="00294A13"/>
    <w:rsid w:val="00296F90"/>
    <w:rsid w:val="002A24C7"/>
    <w:rsid w:val="002C0C5D"/>
    <w:rsid w:val="002C1BB1"/>
    <w:rsid w:val="002C3C36"/>
    <w:rsid w:val="002C4A93"/>
    <w:rsid w:val="002C57CC"/>
    <w:rsid w:val="002D0849"/>
    <w:rsid w:val="002D1836"/>
    <w:rsid w:val="002D6075"/>
    <w:rsid w:val="002E1D15"/>
    <w:rsid w:val="002E21EC"/>
    <w:rsid w:val="002E48B6"/>
    <w:rsid w:val="002E4E8A"/>
    <w:rsid w:val="002E5F4A"/>
    <w:rsid w:val="002E718B"/>
    <w:rsid w:val="002F12A6"/>
    <w:rsid w:val="002F48D4"/>
    <w:rsid w:val="002F721B"/>
    <w:rsid w:val="00302878"/>
    <w:rsid w:val="003050C8"/>
    <w:rsid w:val="0030538A"/>
    <w:rsid w:val="00306BBF"/>
    <w:rsid w:val="00306D05"/>
    <w:rsid w:val="00307556"/>
    <w:rsid w:val="00310CA6"/>
    <w:rsid w:val="003137E9"/>
    <w:rsid w:val="00314129"/>
    <w:rsid w:val="003147BD"/>
    <w:rsid w:val="0031709F"/>
    <w:rsid w:val="00321B5B"/>
    <w:rsid w:val="00322763"/>
    <w:rsid w:val="00326E45"/>
    <w:rsid w:val="00332E1D"/>
    <w:rsid w:val="00333876"/>
    <w:rsid w:val="00333CE5"/>
    <w:rsid w:val="00340385"/>
    <w:rsid w:val="00345820"/>
    <w:rsid w:val="00345C00"/>
    <w:rsid w:val="003475E3"/>
    <w:rsid w:val="0035131B"/>
    <w:rsid w:val="00356DF0"/>
    <w:rsid w:val="003574FD"/>
    <w:rsid w:val="0035798F"/>
    <w:rsid w:val="00357B1A"/>
    <w:rsid w:val="003711EA"/>
    <w:rsid w:val="00371217"/>
    <w:rsid w:val="00372304"/>
    <w:rsid w:val="003727A5"/>
    <w:rsid w:val="00374568"/>
    <w:rsid w:val="00374E58"/>
    <w:rsid w:val="003802C7"/>
    <w:rsid w:val="0038183E"/>
    <w:rsid w:val="00386530"/>
    <w:rsid w:val="0038775E"/>
    <w:rsid w:val="00390822"/>
    <w:rsid w:val="00390845"/>
    <w:rsid w:val="00394126"/>
    <w:rsid w:val="00394B7B"/>
    <w:rsid w:val="00397848"/>
    <w:rsid w:val="003A1A49"/>
    <w:rsid w:val="003A2B61"/>
    <w:rsid w:val="003A664C"/>
    <w:rsid w:val="003B5DA6"/>
    <w:rsid w:val="003C1B44"/>
    <w:rsid w:val="003C385C"/>
    <w:rsid w:val="003D404F"/>
    <w:rsid w:val="003D5261"/>
    <w:rsid w:val="003D6215"/>
    <w:rsid w:val="003D676C"/>
    <w:rsid w:val="003E2D2F"/>
    <w:rsid w:val="003E369C"/>
    <w:rsid w:val="003F1180"/>
    <w:rsid w:val="003F6D22"/>
    <w:rsid w:val="003F73DD"/>
    <w:rsid w:val="00404EE2"/>
    <w:rsid w:val="00405944"/>
    <w:rsid w:val="004060AE"/>
    <w:rsid w:val="00406C02"/>
    <w:rsid w:val="00416C46"/>
    <w:rsid w:val="00421B9D"/>
    <w:rsid w:val="004238D7"/>
    <w:rsid w:val="004240D1"/>
    <w:rsid w:val="0042535F"/>
    <w:rsid w:val="00425894"/>
    <w:rsid w:val="00436F0A"/>
    <w:rsid w:val="00436FC1"/>
    <w:rsid w:val="00444823"/>
    <w:rsid w:val="00447E13"/>
    <w:rsid w:val="00450E68"/>
    <w:rsid w:val="004516AF"/>
    <w:rsid w:val="00451D1D"/>
    <w:rsid w:val="004526CF"/>
    <w:rsid w:val="00455289"/>
    <w:rsid w:val="0046252D"/>
    <w:rsid w:val="00463119"/>
    <w:rsid w:val="004632BB"/>
    <w:rsid w:val="004633CC"/>
    <w:rsid w:val="0046345A"/>
    <w:rsid w:val="0047194A"/>
    <w:rsid w:val="0047570A"/>
    <w:rsid w:val="00476348"/>
    <w:rsid w:val="00476BD7"/>
    <w:rsid w:val="004806C5"/>
    <w:rsid w:val="00482CE4"/>
    <w:rsid w:val="0048799E"/>
    <w:rsid w:val="00490833"/>
    <w:rsid w:val="004931B0"/>
    <w:rsid w:val="00494E2C"/>
    <w:rsid w:val="004969FB"/>
    <w:rsid w:val="00496E28"/>
    <w:rsid w:val="004A384A"/>
    <w:rsid w:val="004A4724"/>
    <w:rsid w:val="004A47C3"/>
    <w:rsid w:val="004A6363"/>
    <w:rsid w:val="004A7406"/>
    <w:rsid w:val="004B072D"/>
    <w:rsid w:val="004B09A9"/>
    <w:rsid w:val="004B27E3"/>
    <w:rsid w:val="004B51FC"/>
    <w:rsid w:val="004B58B8"/>
    <w:rsid w:val="004C07EB"/>
    <w:rsid w:val="004C1249"/>
    <w:rsid w:val="004C2439"/>
    <w:rsid w:val="004C46E7"/>
    <w:rsid w:val="004C701B"/>
    <w:rsid w:val="004C73C5"/>
    <w:rsid w:val="004D20E7"/>
    <w:rsid w:val="004D47DA"/>
    <w:rsid w:val="004D6ADF"/>
    <w:rsid w:val="004E1D9A"/>
    <w:rsid w:val="004E4A30"/>
    <w:rsid w:val="004F1B4A"/>
    <w:rsid w:val="004F40AF"/>
    <w:rsid w:val="004F6A9C"/>
    <w:rsid w:val="005008E9"/>
    <w:rsid w:val="0050147E"/>
    <w:rsid w:val="00505C96"/>
    <w:rsid w:val="005074E6"/>
    <w:rsid w:val="00507FDA"/>
    <w:rsid w:val="005105CC"/>
    <w:rsid w:val="00510ECB"/>
    <w:rsid w:val="00513C13"/>
    <w:rsid w:val="00514DD5"/>
    <w:rsid w:val="0051632E"/>
    <w:rsid w:val="00524101"/>
    <w:rsid w:val="005249F5"/>
    <w:rsid w:val="00527C05"/>
    <w:rsid w:val="00530BAB"/>
    <w:rsid w:val="00532020"/>
    <w:rsid w:val="0053420C"/>
    <w:rsid w:val="005349A6"/>
    <w:rsid w:val="00534A45"/>
    <w:rsid w:val="0053657D"/>
    <w:rsid w:val="005372FE"/>
    <w:rsid w:val="00540F9A"/>
    <w:rsid w:val="00540FE9"/>
    <w:rsid w:val="005411E4"/>
    <w:rsid w:val="00541674"/>
    <w:rsid w:val="00541DDB"/>
    <w:rsid w:val="0054222B"/>
    <w:rsid w:val="00542C9E"/>
    <w:rsid w:val="005441E6"/>
    <w:rsid w:val="00545C48"/>
    <w:rsid w:val="00546FC9"/>
    <w:rsid w:val="00550D76"/>
    <w:rsid w:val="00553D76"/>
    <w:rsid w:val="005557E9"/>
    <w:rsid w:val="005602E0"/>
    <w:rsid w:val="005615B2"/>
    <w:rsid w:val="00572A88"/>
    <w:rsid w:val="0057408C"/>
    <w:rsid w:val="00586B5F"/>
    <w:rsid w:val="00596C6E"/>
    <w:rsid w:val="0059771F"/>
    <w:rsid w:val="00597E31"/>
    <w:rsid w:val="005A125C"/>
    <w:rsid w:val="005A3E21"/>
    <w:rsid w:val="005B18A8"/>
    <w:rsid w:val="005B3971"/>
    <w:rsid w:val="005C230E"/>
    <w:rsid w:val="005C2501"/>
    <w:rsid w:val="005C5ECF"/>
    <w:rsid w:val="005D11A0"/>
    <w:rsid w:val="005D2B9C"/>
    <w:rsid w:val="005E0C2B"/>
    <w:rsid w:val="005E117B"/>
    <w:rsid w:val="005E4CFC"/>
    <w:rsid w:val="005F4218"/>
    <w:rsid w:val="005F44D5"/>
    <w:rsid w:val="005F62A4"/>
    <w:rsid w:val="005F6A3A"/>
    <w:rsid w:val="0060235E"/>
    <w:rsid w:val="0061431D"/>
    <w:rsid w:val="00615750"/>
    <w:rsid w:val="0061730F"/>
    <w:rsid w:val="00623D5E"/>
    <w:rsid w:val="00625117"/>
    <w:rsid w:val="00625585"/>
    <w:rsid w:val="00630300"/>
    <w:rsid w:val="006307CB"/>
    <w:rsid w:val="00631145"/>
    <w:rsid w:val="00640E03"/>
    <w:rsid w:val="00646B79"/>
    <w:rsid w:val="00647759"/>
    <w:rsid w:val="00655E12"/>
    <w:rsid w:val="00657D4D"/>
    <w:rsid w:val="00666313"/>
    <w:rsid w:val="00666672"/>
    <w:rsid w:val="00671D02"/>
    <w:rsid w:val="00675E78"/>
    <w:rsid w:val="00682C0B"/>
    <w:rsid w:val="006856F3"/>
    <w:rsid w:val="00697C2D"/>
    <w:rsid w:val="006A0166"/>
    <w:rsid w:val="006A4052"/>
    <w:rsid w:val="006A495B"/>
    <w:rsid w:val="006A6459"/>
    <w:rsid w:val="006A6D49"/>
    <w:rsid w:val="006B13FF"/>
    <w:rsid w:val="006B5F28"/>
    <w:rsid w:val="006B6AE0"/>
    <w:rsid w:val="006C0B84"/>
    <w:rsid w:val="006C6D28"/>
    <w:rsid w:val="006D2318"/>
    <w:rsid w:val="006D3218"/>
    <w:rsid w:val="006D3A38"/>
    <w:rsid w:val="006D6C75"/>
    <w:rsid w:val="006D70E5"/>
    <w:rsid w:val="006E34BE"/>
    <w:rsid w:val="006E5A52"/>
    <w:rsid w:val="006E5A87"/>
    <w:rsid w:val="006F7A3B"/>
    <w:rsid w:val="006F7B91"/>
    <w:rsid w:val="0070101F"/>
    <w:rsid w:val="007014B1"/>
    <w:rsid w:val="007036AE"/>
    <w:rsid w:val="00704E2B"/>
    <w:rsid w:val="00712121"/>
    <w:rsid w:val="00720149"/>
    <w:rsid w:val="007256BC"/>
    <w:rsid w:val="00727596"/>
    <w:rsid w:val="00730F45"/>
    <w:rsid w:val="00731BAE"/>
    <w:rsid w:val="00732E9E"/>
    <w:rsid w:val="00742F21"/>
    <w:rsid w:val="00744E6B"/>
    <w:rsid w:val="0074781D"/>
    <w:rsid w:val="00750FAB"/>
    <w:rsid w:val="0075170B"/>
    <w:rsid w:val="00751DAA"/>
    <w:rsid w:val="007528C0"/>
    <w:rsid w:val="007531B5"/>
    <w:rsid w:val="00756C38"/>
    <w:rsid w:val="00757D41"/>
    <w:rsid w:val="00767979"/>
    <w:rsid w:val="00767A1D"/>
    <w:rsid w:val="00771B07"/>
    <w:rsid w:val="00772627"/>
    <w:rsid w:val="0077739C"/>
    <w:rsid w:val="0077778B"/>
    <w:rsid w:val="00784689"/>
    <w:rsid w:val="00787019"/>
    <w:rsid w:val="007878E2"/>
    <w:rsid w:val="00790D42"/>
    <w:rsid w:val="0079127D"/>
    <w:rsid w:val="00792884"/>
    <w:rsid w:val="007933F0"/>
    <w:rsid w:val="0079363F"/>
    <w:rsid w:val="00794698"/>
    <w:rsid w:val="00795BD7"/>
    <w:rsid w:val="00796606"/>
    <w:rsid w:val="007A3CFC"/>
    <w:rsid w:val="007B0061"/>
    <w:rsid w:val="007B2FC1"/>
    <w:rsid w:val="007B5E34"/>
    <w:rsid w:val="007C27C6"/>
    <w:rsid w:val="007C2E88"/>
    <w:rsid w:val="007C38D2"/>
    <w:rsid w:val="007C3EA0"/>
    <w:rsid w:val="007C4C8B"/>
    <w:rsid w:val="007D0C31"/>
    <w:rsid w:val="007E31BE"/>
    <w:rsid w:val="007E4265"/>
    <w:rsid w:val="007E781D"/>
    <w:rsid w:val="007F1168"/>
    <w:rsid w:val="007F5ECF"/>
    <w:rsid w:val="007F632F"/>
    <w:rsid w:val="007F75AD"/>
    <w:rsid w:val="008018C3"/>
    <w:rsid w:val="00802A69"/>
    <w:rsid w:val="00813B96"/>
    <w:rsid w:val="00816017"/>
    <w:rsid w:val="00816174"/>
    <w:rsid w:val="008206D6"/>
    <w:rsid w:val="00822F2C"/>
    <w:rsid w:val="00825FC1"/>
    <w:rsid w:val="008278A6"/>
    <w:rsid w:val="0083375F"/>
    <w:rsid w:val="0083405E"/>
    <w:rsid w:val="00835C85"/>
    <w:rsid w:val="00835E0C"/>
    <w:rsid w:val="00837728"/>
    <w:rsid w:val="00853168"/>
    <w:rsid w:val="00855522"/>
    <w:rsid w:val="00860B05"/>
    <w:rsid w:val="00860F2D"/>
    <w:rsid w:val="00862C42"/>
    <w:rsid w:val="008630ED"/>
    <w:rsid w:val="00866086"/>
    <w:rsid w:val="008677AF"/>
    <w:rsid w:val="00870A7A"/>
    <w:rsid w:val="00877242"/>
    <w:rsid w:val="00885074"/>
    <w:rsid w:val="00885925"/>
    <w:rsid w:val="00886FE4"/>
    <w:rsid w:val="0089182B"/>
    <w:rsid w:val="00892AFA"/>
    <w:rsid w:val="00894280"/>
    <w:rsid w:val="0089631F"/>
    <w:rsid w:val="00897A5F"/>
    <w:rsid w:val="008A1F72"/>
    <w:rsid w:val="008A380E"/>
    <w:rsid w:val="008A448D"/>
    <w:rsid w:val="008A6ADE"/>
    <w:rsid w:val="008A7035"/>
    <w:rsid w:val="008A7F46"/>
    <w:rsid w:val="008B0769"/>
    <w:rsid w:val="008B0FEB"/>
    <w:rsid w:val="008B1934"/>
    <w:rsid w:val="008B38A1"/>
    <w:rsid w:val="008B38E5"/>
    <w:rsid w:val="008D0252"/>
    <w:rsid w:val="008D3E44"/>
    <w:rsid w:val="008D4D34"/>
    <w:rsid w:val="008E379E"/>
    <w:rsid w:val="008E4CB5"/>
    <w:rsid w:val="008E4E4C"/>
    <w:rsid w:val="008E698E"/>
    <w:rsid w:val="008E7E52"/>
    <w:rsid w:val="008F1E46"/>
    <w:rsid w:val="008F3B8E"/>
    <w:rsid w:val="008F4E05"/>
    <w:rsid w:val="008F5411"/>
    <w:rsid w:val="00903E16"/>
    <w:rsid w:val="00907484"/>
    <w:rsid w:val="00910532"/>
    <w:rsid w:val="00912424"/>
    <w:rsid w:val="00913979"/>
    <w:rsid w:val="00915511"/>
    <w:rsid w:val="009162FC"/>
    <w:rsid w:val="0092230D"/>
    <w:rsid w:val="00925952"/>
    <w:rsid w:val="00926749"/>
    <w:rsid w:val="009306C8"/>
    <w:rsid w:val="009311C0"/>
    <w:rsid w:val="009359B9"/>
    <w:rsid w:val="00935BC4"/>
    <w:rsid w:val="00941758"/>
    <w:rsid w:val="009423F8"/>
    <w:rsid w:val="00942E13"/>
    <w:rsid w:val="009471D5"/>
    <w:rsid w:val="00954314"/>
    <w:rsid w:val="009641EE"/>
    <w:rsid w:val="00964888"/>
    <w:rsid w:val="00964CC1"/>
    <w:rsid w:val="009663A2"/>
    <w:rsid w:val="00966DC2"/>
    <w:rsid w:val="00966DF4"/>
    <w:rsid w:val="00971BCB"/>
    <w:rsid w:val="00977156"/>
    <w:rsid w:val="00977718"/>
    <w:rsid w:val="00977CD7"/>
    <w:rsid w:val="00981E9B"/>
    <w:rsid w:val="00982C80"/>
    <w:rsid w:val="00984817"/>
    <w:rsid w:val="00987284"/>
    <w:rsid w:val="009915D9"/>
    <w:rsid w:val="00991A7C"/>
    <w:rsid w:val="00993CBC"/>
    <w:rsid w:val="00995202"/>
    <w:rsid w:val="009973AF"/>
    <w:rsid w:val="009A14C2"/>
    <w:rsid w:val="009A3532"/>
    <w:rsid w:val="009A3C79"/>
    <w:rsid w:val="009A7179"/>
    <w:rsid w:val="009B126F"/>
    <w:rsid w:val="009B2432"/>
    <w:rsid w:val="009B2865"/>
    <w:rsid w:val="009B2D09"/>
    <w:rsid w:val="009B37FA"/>
    <w:rsid w:val="009B67BC"/>
    <w:rsid w:val="009B7B05"/>
    <w:rsid w:val="009C043F"/>
    <w:rsid w:val="009C6242"/>
    <w:rsid w:val="009C6606"/>
    <w:rsid w:val="009D2768"/>
    <w:rsid w:val="009D4495"/>
    <w:rsid w:val="009D5ECD"/>
    <w:rsid w:val="009E21EF"/>
    <w:rsid w:val="009E2248"/>
    <w:rsid w:val="009E2941"/>
    <w:rsid w:val="009E35C0"/>
    <w:rsid w:val="009E6719"/>
    <w:rsid w:val="009F1828"/>
    <w:rsid w:val="009F6102"/>
    <w:rsid w:val="00A00CA3"/>
    <w:rsid w:val="00A01F49"/>
    <w:rsid w:val="00A06E94"/>
    <w:rsid w:val="00A06FD8"/>
    <w:rsid w:val="00A07C4D"/>
    <w:rsid w:val="00A12888"/>
    <w:rsid w:val="00A12D82"/>
    <w:rsid w:val="00A15AF1"/>
    <w:rsid w:val="00A17DC2"/>
    <w:rsid w:val="00A251E6"/>
    <w:rsid w:val="00A26EA5"/>
    <w:rsid w:val="00A32768"/>
    <w:rsid w:val="00A32EC1"/>
    <w:rsid w:val="00A347CA"/>
    <w:rsid w:val="00A37350"/>
    <w:rsid w:val="00A413D8"/>
    <w:rsid w:val="00A434FB"/>
    <w:rsid w:val="00A43994"/>
    <w:rsid w:val="00A4401A"/>
    <w:rsid w:val="00A45F51"/>
    <w:rsid w:val="00A466B4"/>
    <w:rsid w:val="00A5485A"/>
    <w:rsid w:val="00A570A9"/>
    <w:rsid w:val="00A57839"/>
    <w:rsid w:val="00A61A30"/>
    <w:rsid w:val="00A6287F"/>
    <w:rsid w:val="00A631F3"/>
    <w:rsid w:val="00A644D5"/>
    <w:rsid w:val="00A650C6"/>
    <w:rsid w:val="00A67735"/>
    <w:rsid w:val="00A7003A"/>
    <w:rsid w:val="00A701EA"/>
    <w:rsid w:val="00A72D5C"/>
    <w:rsid w:val="00A74888"/>
    <w:rsid w:val="00A8087E"/>
    <w:rsid w:val="00A83272"/>
    <w:rsid w:val="00A909CE"/>
    <w:rsid w:val="00A937E9"/>
    <w:rsid w:val="00A94774"/>
    <w:rsid w:val="00A961FE"/>
    <w:rsid w:val="00A9635D"/>
    <w:rsid w:val="00A9655D"/>
    <w:rsid w:val="00A966F2"/>
    <w:rsid w:val="00AA0657"/>
    <w:rsid w:val="00AA2910"/>
    <w:rsid w:val="00AB297E"/>
    <w:rsid w:val="00AC7F75"/>
    <w:rsid w:val="00AD53F0"/>
    <w:rsid w:val="00AE0AE5"/>
    <w:rsid w:val="00AE66A1"/>
    <w:rsid w:val="00AE7AC7"/>
    <w:rsid w:val="00AF1988"/>
    <w:rsid w:val="00AF2DB0"/>
    <w:rsid w:val="00AF2E95"/>
    <w:rsid w:val="00AF4313"/>
    <w:rsid w:val="00AF5BE5"/>
    <w:rsid w:val="00AF7195"/>
    <w:rsid w:val="00B014C2"/>
    <w:rsid w:val="00B02404"/>
    <w:rsid w:val="00B03B3D"/>
    <w:rsid w:val="00B046A2"/>
    <w:rsid w:val="00B15595"/>
    <w:rsid w:val="00B17DE0"/>
    <w:rsid w:val="00B3155A"/>
    <w:rsid w:val="00B31AB2"/>
    <w:rsid w:val="00B32904"/>
    <w:rsid w:val="00B36963"/>
    <w:rsid w:val="00B406B5"/>
    <w:rsid w:val="00B41B72"/>
    <w:rsid w:val="00B53E78"/>
    <w:rsid w:val="00B6008F"/>
    <w:rsid w:val="00B6272D"/>
    <w:rsid w:val="00B655FF"/>
    <w:rsid w:val="00B7034B"/>
    <w:rsid w:val="00B72651"/>
    <w:rsid w:val="00B76BA0"/>
    <w:rsid w:val="00B76F29"/>
    <w:rsid w:val="00B8084C"/>
    <w:rsid w:val="00B82FE9"/>
    <w:rsid w:val="00B857D4"/>
    <w:rsid w:val="00B86640"/>
    <w:rsid w:val="00B90A56"/>
    <w:rsid w:val="00B915E9"/>
    <w:rsid w:val="00B93273"/>
    <w:rsid w:val="00B9619C"/>
    <w:rsid w:val="00B97242"/>
    <w:rsid w:val="00BA0DFD"/>
    <w:rsid w:val="00BA1A31"/>
    <w:rsid w:val="00BA1AF2"/>
    <w:rsid w:val="00BA2585"/>
    <w:rsid w:val="00BA6C34"/>
    <w:rsid w:val="00BB16C0"/>
    <w:rsid w:val="00BB5A20"/>
    <w:rsid w:val="00BB5C1A"/>
    <w:rsid w:val="00BC5053"/>
    <w:rsid w:val="00BC5C41"/>
    <w:rsid w:val="00BC601B"/>
    <w:rsid w:val="00BC713A"/>
    <w:rsid w:val="00BD0121"/>
    <w:rsid w:val="00BD21EF"/>
    <w:rsid w:val="00BD329C"/>
    <w:rsid w:val="00BD368E"/>
    <w:rsid w:val="00BE2503"/>
    <w:rsid w:val="00BE2A61"/>
    <w:rsid w:val="00BE38E9"/>
    <w:rsid w:val="00BF1E83"/>
    <w:rsid w:val="00BF319F"/>
    <w:rsid w:val="00BF6BB0"/>
    <w:rsid w:val="00BF706B"/>
    <w:rsid w:val="00BF7DE5"/>
    <w:rsid w:val="00C025C5"/>
    <w:rsid w:val="00C17372"/>
    <w:rsid w:val="00C2422F"/>
    <w:rsid w:val="00C275B7"/>
    <w:rsid w:val="00C32A8D"/>
    <w:rsid w:val="00C32BBE"/>
    <w:rsid w:val="00C34206"/>
    <w:rsid w:val="00C34D7D"/>
    <w:rsid w:val="00C40274"/>
    <w:rsid w:val="00C41206"/>
    <w:rsid w:val="00C420F4"/>
    <w:rsid w:val="00C42F10"/>
    <w:rsid w:val="00C4340E"/>
    <w:rsid w:val="00C43604"/>
    <w:rsid w:val="00C44C8D"/>
    <w:rsid w:val="00C470C1"/>
    <w:rsid w:val="00C5329F"/>
    <w:rsid w:val="00C60408"/>
    <w:rsid w:val="00C6247D"/>
    <w:rsid w:val="00C632BC"/>
    <w:rsid w:val="00C63CAE"/>
    <w:rsid w:val="00C63EDF"/>
    <w:rsid w:val="00C714C8"/>
    <w:rsid w:val="00C7645D"/>
    <w:rsid w:val="00C76A9B"/>
    <w:rsid w:val="00C77F81"/>
    <w:rsid w:val="00C83FCC"/>
    <w:rsid w:val="00C85954"/>
    <w:rsid w:val="00C86815"/>
    <w:rsid w:val="00C903C4"/>
    <w:rsid w:val="00C97EC3"/>
    <w:rsid w:val="00CA043E"/>
    <w:rsid w:val="00CA0E3E"/>
    <w:rsid w:val="00CA3391"/>
    <w:rsid w:val="00CA5443"/>
    <w:rsid w:val="00CA57BA"/>
    <w:rsid w:val="00CB602D"/>
    <w:rsid w:val="00CB678A"/>
    <w:rsid w:val="00CC0AEA"/>
    <w:rsid w:val="00CE2C1F"/>
    <w:rsid w:val="00CE2DD0"/>
    <w:rsid w:val="00CE468B"/>
    <w:rsid w:val="00CE4EEA"/>
    <w:rsid w:val="00CE51BE"/>
    <w:rsid w:val="00CE5837"/>
    <w:rsid w:val="00CE7602"/>
    <w:rsid w:val="00CE7D27"/>
    <w:rsid w:val="00CF25E8"/>
    <w:rsid w:val="00CF74E1"/>
    <w:rsid w:val="00D0113D"/>
    <w:rsid w:val="00D057A9"/>
    <w:rsid w:val="00D1116D"/>
    <w:rsid w:val="00D13305"/>
    <w:rsid w:val="00D17583"/>
    <w:rsid w:val="00D1774B"/>
    <w:rsid w:val="00D21251"/>
    <w:rsid w:val="00D21B3B"/>
    <w:rsid w:val="00D27E09"/>
    <w:rsid w:val="00D315F3"/>
    <w:rsid w:val="00D31C2A"/>
    <w:rsid w:val="00D34F85"/>
    <w:rsid w:val="00D3710B"/>
    <w:rsid w:val="00D41A33"/>
    <w:rsid w:val="00D44475"/>
    <w:rsid w:val="00D452FD"/>
    <w:rsid w:val="00D52887"/>
    <w:rsid w:val="00D54629"/>
    <w:rsid w:val="00D56CB6"/>
    <w:rsid w:val="00D66C80"/>
    <w:rsid w:val="00D677AE"/>
    <w:rsid w:val="00D8046F"/>
    <w:rsid w:val="00D8216D"/>
    <w:rsid w:val="00D8591B"/>
    <w:rsid w:val="00D85C7D"/>
    <w:rsid w:val="00D96888"/>
    <w:rsid w:val="00DB3EAA"/>
    <w:rsid w:val="00DB74F6"/>
    <w:rsid w:val="00DC05D3"/>
    <w:rsid w:val="00DC19D8"/>
    <w:rsid w:val="00DC3C0B"/>
    <w:rsid w:val="00DC3E89"/>
    <w:rsid w:val="00DC5AEC"/>
    <w:rsid w:val="00DC69D2"/>
    <w:rsid w:val="00DC6C7C"/>
    <w:rsid w:val="00DC7F17"/>
    <w:rsid w:val="00DD29E6"/>
    <w:rsid w:val="00DD31DD"/>
    <w:rsid w:val="00DD3B41"/>
    <w:rsid w:val="00DD3FF4"/>
    <w:rsid w:val="00DD6B6B"/>
    <w:rsid w:val="00DD7BA1"/>
    <w:rsid w:val="00DE01E7"/>
    <w:rsid w:val="00DE2452"/>
    <w:rsid w:val="00DE580A"/>
    <w:rsid w:val="00DE7830"/>
    <w:rsid w:val="00DE7905"/>
    <w:rsid w:val="00DF012B"/>
    <w:rsid w:val="00DF168D"/>
    <w:rsid w:val="00DF1C65"/>
    <w:rsid w:val="00DF467A"/>
    <w:rsid w:val="00E00667"/>
    <w:rsid w:val="00E01238"/>
    <w:rsid w:val="00E048A6"/>
    <w:rsid w:val="00E05A9A"/>
    <w:rsid w:val="00E0612B"/>
    <w:rsid w:val="00E06382"/>
    <w:rsid w:val="00E14F10"/>
    <w:rsid w:val="00E2048D"/>
    <w:rsid w:val="00E22428"/>
    <w:rsid w:val="00E25FB1"/>
    <w:rsid w:val="00E3045A"/>
    <w:rsid w:val="00E31205"/>
    <w:rsid w:val="00E40C4D"/>
    <w:rsid w:val="00E4276C"/>
    <w:rsid w:val="00E43E22"/>
    <w:rsid w:val="00E44CEB"/>
    <w:rsid w:val="00E45DA5"/>
    <w:rsid w:val="00E51119"/>
    <w:rsid w:val="00E51338"/>
    <w:rsid w:val="00E51BE9"/>
    <w:rsid w:val="00E53B55"/>
    <w:rsid w:val="00E625B8"/>
    <w:rsid w:val="00E63D63"/>
    <w:rsid w:val="00E649CA"/>
    <w:rsid w:val="00E674E1"/>
    <w:rsid w:val="00E677EF"/>
    <w:rsid w:val="00E711B4"/>
    <w:rsid w:val="00E73847"/>
    <w:rsid w:val="00E738BA"/>
    <w:rsid w:val="00E739E4"/>
    <w:rsid w:val="00E76866"/>
    <w:rsid w:val="00E80CCF"/>
    <w:rsid w:val="00E824F8"/>
    <w:rsid w:val="00E85B0E"/>
    <w:rsid w:val="00E860A9"/>
    <w:rsid w:val="00E9118E"/>
    <w:rsid w:val="00E92996"/>
    <w:rsid w:val="00E94388"/>
    <w:rsid w:val="00E96718"/>
    <w:rsid w:val="00E96B43"/>
    <w:rsid w:val="00E97125"/>
    <w:rsid w:val="00E97283"/>
    <w:rsid w:val="00EA1FBA"/>
    <w:rsid w:val="00EA4ADA"/>
    <w:rsid w:val="00EA76BA"/>
    <w:rsid w:val="00EC138A"/>
    <w:rsid w:val="00EC33C4"/>
    <w:rsid w:val="00EC34A6"/>
    <w:rsid w:val="00EC423D"/>
    <w:rsid w:val="00EC4751"/>
    <w:rsid w:val="00EC5448"/>
    <w:rsid w:val="00EC5CA1"/>
    <w:rsid w:val="00ED16B8"/>
    <w:rsid w:val="00ED37BE"/>
    <w:rsid w:val="00ED63C5"/>
    <w:rsid w:val="00ED78A7"/>
    <w:rsid w:val="00EE0BE6"/>
    <w:rsid w:val="00EE6B34"/>
    <w:rsid w:val="00EE6E0E"/>
    <w:rsid w:val="00EE6E88"/>
    <w:rsid w:val="00EE7C39"/>
    <w:rsid w:val="00EF1156"/>
    <w:rsid w:val="00EF7752"/>
    <w:rsid w:val="00F067E1"/>
    <w:rsid w:val="00F13D77"/>
    <w:rsid w:val="00F15758"/>
    <w:rsid w:val="00F20735"/>
    <w:rsid w:val="00F33525"/>
    <w:rsid w:val="00F33AE7"/>
    <w:rsid w:val="00F40B84"/>
    <w:rsid w:val="00F41953"/>
    <w:rsid w:val="00F42369"/>
    <w:rsid w:val="00F42D09"/>
    <w:rsid w:val="00F44919"/>
    <w:rsid w:val="00F464D2"/>
    <w:rsid w:val="00F5034F"/>
    <w:rsid w:val="00F51429"/>
    <w:rsid w:val="00F53487"/>
    <w:rsid w:val="00F544BD"/>
    <w:rsid w:val="00F549AD"/>
    <w:rsid w:val="00F567B9"/>
    <w:rsid w:val="00F56A0B"/>
    <w:rsid w:val="00F620EE"/>
    <w:rsid w:val="00F62AFD"/>
    <w:rsid w:val="00F66169"/>
    <w:rsid w:val="00F702E0"/>
    <w:rsid w:val="00F70904"/>
    <w:rsid w:val="00F70CD4"/>
    <w:rsid w:val="00F810CB"/>
    <w:rsid w:val="00F8294D"/>
    <w:rsid w:val="00F85743"/>
    <w:rsid w:val="00F86E8C"/>
    <w:rsid w:val="00F91608"/>
    <w:rsid w:val="00FA01A6"/>
    <w:rsid w:val="00FA2C7A"/>
    <w:rsid w:val="00FA6BE0"/>
    <w:rsid w:val="00FA7F41"/>
    <w:rsid w:val="00FB00C4"/>
    <w:rsid w:val="00FB28D7"/>
    <w:rsid w:val="00FC34EC"/>
    <w:rsid w:val="00FC4655"/>
    <w:rsid w:val="00FC7B97"/>
    <w:rsid w:val="00FD0B3F"/>
    <w:rsid w:val="00FD1656"/>
    <w:rsid w:val="00FD22CD"/>
    <w:rsid w:val="00FD33D0"/>
    <w:rsid w:val="00FD3E87"/>
    <w:rsid w:val="00FD5C13"/>
    <w:rsid w:val="00FE10EC"/>
    <w:rsid w:val="00FE5DEA"/>
    <w:rsid w:val="00FF0022"/>
    <w:rsid w:val="00FF0F66"/>
    <w:rsid w:val="00FF1C88"/>
    <w:rsid w:val="00FF3117"/>
    <w:rsid w:val="00FF393E"/>
    <w:rsid w:val="00FF5138"/>
    <w:rsid w:val="00FF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Char2"/>
    <w:unhideWhenUsed/>
    <w:qFormat/>
    <w:rsid w:val="00666672"/>
    <w:rPr>
      <w:vertAlign w:val="superscript"/>
    </w:rPr>
  </w:style>
  <w:style w:type="character" w:styleId="Hyperlink">
    <w:name w:val="Hyperlink"/>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rsid w:val="00B406B5"/>
    <w:pPr>
      <w:spacing w:after="160" w:line="240" w:lineRule="exact"/>
    </w:pPr>
    <w:rPr>
      <w:sz w:val="20"/>
      <w:szCs w:val="20"/>
      <w:vertAlign w:val="superscript"/>
      <w:lang w:val="en-US"/>
    </w:rPr>
  </w:style>
  <w:style w:type="paragraph" w:customStyle="1" w:styleId="Appelnotedebasde">
    <w:name w:val="Appel note de bas de..."/>
    <w:basedOn w:val="Normal"/>
    <w:rsid w:val="0051632E"/>
    <w:pPr>
      <w:spacing w:after="160" w:line="240" w:lineRule="exact"/>
    </w:pPr>
    <w:rPr>
      <w:rFonts w:asciiTheme="minorHAnsi" w:eastAsiaTheme="minorHAnsi" w:hAnsiTheme="minorHAnsi" w:cstheme="minorBidi"/>
      <w:sz w:val="24"/>
      <w:szCs w:val="24"/>
      <w:vertAlign w:val="superscript"/>
      <w:lang w:val="en-US"/>
    </w:rPr>
  </w:style>
  <w:style w:type="table" w:styleId="TableGrid">
    <w:name w:val="Table Grid"/>
    <w:basedOn w:val="TableNormal"/>
    <w:rsid w:val="008F1E46"/>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35C0"/>
    <w:rPr>
      <w:sz w:val="16"/>
      <w:szCs w:val="16"/>
    </w:rPr>
  </w:style>
  <w:style w:type="paragraph" w:styleId="CommentText">
    <w:name w:val="annotation text"/>
    <w:basedOn w:val="Normal"/>
    <w:link w:val="CommentTextChar"/>
    <w:uiPriority w:val="99"/>
    <w:semiHidden/>
    <w:unhideWhenUsed/>
    <w:rsid w:val="009E35C0"/>
    <w:pPr>
      <w:spacing w:line="240" w:lineRule="auto"/>
    </w:pPr>
    <w:rPr>
      <w:sz w:val="20"/>
      <w:szCs w:val="20"/>
    </w:rPr>
  </w:style>
  <w:style w:type="character" w:customStyle="1" w:styleId="CommentTextChar">
    <w:name w:val="Comment Text Char"/>
    <w:basedOn w:val="DefaultParagraphFont"/>
    <w:link w:val="CommentText"/>
    <w:uiPriority w:val="99"/>
    <w:semiHidden/>
    <w:rsid w:val="009E35C0"/>
    <w:rPr>
      <w:lang w:val="es-ES"/>
    </w:rPr>
  </w:style>
  <w:style w:type="paragraph" w:styleId="CommentSubject">
    <w:name w:val="annotation subject"/>
    <w:basedOn w:val="CommentText"/>
    <w:next w:val="CommentText"/>
    <w:link w:val="CommentSubjectChar"/>
    <w:uiPriority w:val="99"/>
    <w:semiHidden/>
    <w:unhideWhenUsed/>
    <w:rsid w:val="009E35C0"/>
    <w:rPr>
      <w:b/>
      <w:bCs/>
    </w:rPr>
  </w:style>
  <w:style w:type="character" w:customStyle="1" w:styleId="CommentSubjectChar">
    <w:name w:val="Comment Subject Char"/>
    <w:basedOn w:val="CommentTextChar"/>
    <w:link w:val="CommentSubject"/>
    <w:uiPriority w:val="99"/>
    <w:semiHidden/>
    <w:rsid w:val="009E35C0"/>
    <w:rPr>
      <w:b/>
      <w:bCs/>
      <w:lang w:val="es-ES"/>
    </w:rPr>
  </w:style>
  <w:style w:type="paragraph" w:styleId="Revision">
    <w:name w:val="Revision"/>
    <w:hidden/>
    <w:uiPriority w:val="99"/>
    <w:semiHidden/>
    <w:rsid w:val="009E35C0"/>
    <w:rPr>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Char2"/>
    <w:unhideWhenUsed/>
    <w:qFormat/>
    <w:rsid w:val="00666672"/>
    <w:rPr>
      <w:vertAlign w:val="superscript"/>
    </w:rPr>
  </w:style>
  <w:style w:type="character" w:styleId="Hyperlink">
    <w:name w:val="Hyperlink"/>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rsid w:val="00B406B5"/>
    <w:pPr>
      <w:spacing w:after="160" w:line="240" w:lineRule="exact"/>
    </w:pPr>
    <w:rPr>
      <w:sz w:val="20"/>
      <w:szCs w:val="20"/>
      <w:vertAlign w:val="superscript"/>
      <w:lang w:val="en-US"/>
    </w:rPr>
  </w:style>
  <w:style w:type="paragraph" w:customStyle="1" w:styleId="Appelnotedebasde">
    <w:name w:val="Appel note de bas de..."/>
    <w:basedOn w:val="Normal"/>
    <w:rsid w:val="0051632E"/>
    <w:pPr>
      <w:spacing w:after="160" w:line="240" w:lineRule="exact"/>
    </w:pPr>
    <w:rPr>
      <w:rFonts w:asciiTheme="minorHAnsi" w:eastAsiaTheme="minorHAnsi" w:hAnsiTheme="minorHAnsi" w:cstheme="minorBidi"/>
      <w:sz w:val="24"/>
      <w:szCs w:val="24"/>
      <w:vertAlign w:val="superscript"/>
      <w:lang w:val="en-US"/>
    </w:rPr>
  </w:style>
  <w:style w:type="table" w:styleId="TableGrid">
    <w:name w:val="Table Grid"/>
    <w:basedOn w:val="TableNormal"/>
    <w:rsid w:val="008F1E46"/>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35C0"/>
    <w:rPr>
      <w:sz w:val="16"/>
      <w:szCs w:val="16"/>
    </w:rPr>
  </w:style>
  <w:style w:type="paragraph" w:styleId="CommentText">
    <w:name w:val="annotation text"/>
    <w:basedOn w:val="Normal"/>
    <w:link w:val="CommentTextChar"/>
    <w:uiPriority w:val="99"/>
    <w:semiHidden/>
    <w:unhideWhenUsed/>
    <w:rsid w:val="009E35C0"/>
    <w:pPr>
      <w:spacing w:line="240" w:lineRule="auto"/>
    </w:pPr>
    <w:rPr>
      <w:sz w:val="20"/>
      <w:szCs w:val="20"/>
    </w:rPr>
  </w:style>
  <w:style w:type="character" w:customStyle="1" w:styleId="CommentTextChar">
    <w:name w:val="Comment Text Char"/>
    <w:basedOn w:val="DefaultParagraphFont"/>
    <w:link w:val="CommentText"/>
    <w:uiPriority w:val="99"/>
    <w:semiHidden/>
    <w:rsid w:val="009E35C0"/>
    <w:rPr>
      <w:lang w:val="es-ES"/>
    </w:rPr>
  </w:style>
  <w:style w:type="paragraph" w:styleId="CommentSubject">
    <w:name w:val="annotation subject"/>
    <w:basedOn w:val="CommentText"/>
    <w:next w:val="CommentText"/>
    <w:link w:val="CommentSubjectChar"/>
    <w:uiPriority w:val="99"/>
    <w:semiHidden/>
    <w:unhideWhenUsed/>
    <w:rsid w:val="009E35C0"/>
    <w:rPr>
      <w:b/>
      <w:bCs/>
    </w:rPr>
  </w:style>
  <w:style w:type="character" w:customStyle="1" w:styleId="CommentSubjectChar">
    <w:name w:val="Comment Subject Char"/>
    <w:basedOn w:val="CommentTextChar"/>
    <w:link w:val="CommentSubject"/>
    <w:uiPriority w:val="99"/>
    <w:semiHidden/>
    <w:rsid w:val="009E35C0"/>
    <w:rPr>
      <w:b/>
      <w:bCs/>
      <w:lang w:val="es-ES"/>
    </w:rPr>
  </w:style>
  <w:style w:type="paragraph" w:styleId="Revision">
    <w:name w:val="Revision"/>
    <w:hidden/>
    <w:uiPriority w:val="99"/>
    <w:semiHidden/>
    <w:rsid w:val="009E35C0"/>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9769">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nvinoticias.com/nota/57139/exigen-justicia-para-activista-asesinado-en-el-istmo" TargetMode="External"/><Relationship Id="rId3" Type="http://schemas.openxmlformats.org/officeDocument/2006/relationships/hyperlink" Target="http://www.derechoshumanosoaxaca.org/noticia.php?idnoticia=665" TargetMode="External"/><Relationship Id="rId7" Type="http://schemas.openxmlformats.org/officeDocument/2006/relationships/hyperlink" Target="https://www.educaoaxaca.org/la-minuta/2240-denuncia-apoyo-asesinato-de-jos&#233;-alberto-toledo" TargetMode="External"/><Relationship Id="rId12" Type="http://schemas.openxmlformats.org/officeDocument/2006/relationships/hyperlink" Target="http://www.oas.org/es/cidh/decisiones/pdf/2017/32-17MC564-17-AR.pdf" TargetMode="External"/><Relationship Id="rId2" Type="http://schemas.openxmlformats.org/officeDocument/2006/relationships/hyperlink" Target="http://www.oas.org/es/cidh/informes/pdfs/Mexico2016-es.pdf" TargetMode="External"/><Relationship Id="rId1" Type="http://schemas.openxmlformats.org/officeDocument/2006/relationships/hyperlink" Target="http://www.corteidh.or.cr/docs/medidas/almanza_se_01.pdf" TargetMode="External"/><Relationship Id="rId6" Type="http://schemas.openxmlformats.org/officeDocument/2006/relationships/hyperlink" Target="http://www.ohchr.org/SP/NewsEvents/Pages/DisplayNews.aspx?NewsID=21111&amp;LangID=S" TargetMode="External"/><Relationship Id="rId11" Type="http://schemas.openxmlformats.org/officeDocument/2006/relationships/hyperlink" Target="http://www.oas.org/es/cidh/decisiones/pdf/2017/49-17MC782-17-GU.pdf" TargetMode="External"/><Relationship Id="rId5" Type="http://schemas.openxmlformats.org/officeDocument/2006/relationships/hyperlink" Target="http://www.oas.org/es/cidh/informes/pdfs/IndustriasExtractivas2016.pdf" TargetMode="External"/><Relationship Id="rId10" Type="http://schemas.openxmlformats.org/officeDocument/2006/relationships/hyperlink" Target="http://www.oas.org/es/cidh/decisiones/cautelares.asp" TargetMode="External"/><Relationship Id="rId4" Type="http://schemas.openxmlformats.org/officeDocument/2006/relationships/hyperlink" Target="http://www.oas.org/es/cidh/informes/pdfs/MujeresIndigenas.pdf" TargetMode="External"/><Relationship Id="rId9" Type="http://schemas.openxmlformats.org/officeDocument/2006/relationships/hyperlink" Target="http://www.istmopress.com.mx/istmo/denuncia-apoyo-asesinato-de-jose-alberto-toledo-defensor-de-los-derechos-human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4554-95AF-4707-847E-E050DD8E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5148</Words>
  <Characters>28317</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Fontana, Maria Eva</cp:lastModifiedBy>
  <cp:revision>3</cp:revision>
  <cp:lastPrinted>2017-11-10T21:30:00Z</cp:lastPrinted>
  <dcterms:created xsi:type="dcterms:W3CDTF">2018-01-23T17:15:00Z</dcterms:created>
  <dcterms:modified xsi:type="dcterms:W3CDTF">2018-01-31T21:11:00Z</dcterms:modified>
</cp:coreProperties>
</file>