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ECF6A" w14:textId="77777777" w:rsidR="00610A15" w:rsidRPr="001E3078" w:rsidRDefault="00610A15" w:rsidP="00BA3CEA">
      <w:pPr>
        <w:jc w:val="both"/>
        <w:rPr>
          <w:rFonts w:ascii="Cambria" w:hAnsi="Cambria" w:cs="Univers"/>
          <w:b/>
          <w:bCs/>
          <w:sz w:val="20"/>
          <w:szCs w:val="20"/>
          <w:lang w:val="es-ES_tradnl"/>
        </w:rPr>
      </w:pPr>
      <w:r w:rsidRPr="001E3078">
        <w:rPr>
          <w:rFonts w:ascii="Cambria" w:hAnsi="Cambria"/>
          <w:noProof/>
          <w:sz w:val="20"/>
          <w:szCs w:val="20"/>
        </w:rPr>
        <mc:AlternateContent>
          <mc:Choice Requires="wps">
            <w:drawing>
              <wp:anchor distT="0" distB="0" distL="114300" distR="114300" simplePos="0" relativeHeight="251659264" behindDoc="0" locked="0" layoutInCell="1" allowOverlap="1" wp14:anchorId="65EE7E1D" wp14:editId="0968FE99">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OQi9tvhAAAADAEAAA8AAABkcnMvZG93bnJldi54bWxM&#10;j8FOwzAQRO9I/IO1SNxah4SkJcSpEAJxolJDhXrcJkscEdtR7LQuX49zgtvszmj2bbHxqmcnGm1n&#10;tIC7ZQSMdG2aTrcC9h+vizUw61A32BtNAi5kYVNeXxWYN+asd3SqXMtCibY5CpDODTnntpak0C7N&#10;QDp4X2ZU6MI4trwZ8RzKVc/jKMq4wk6HCxIHepZUf1eTElBRnL5tD58/777dT+gvO7x/kULc3vin&#10;R2COvPsLw4wf0KEMTEcz6cayXsAiS9MQncVDDGxOrFZhcwwiyZIEeFnw/0+UvwAAAP//AwBQSwEC&#10;LQAUAAYACAAAACEAtoM4kv4AAADhAQAAEwAAAAAAAAAAAAAAAAAAAAAAW0NvbnRlbnRfVHlwZXNd&#10;LnhtbFBLAQItABQABgAIAAAAIQA4/SH/1gAAAJQBAAALAAAAAAAAAAAAAAAAAC8BAABfcmVscy8u&#10;cmVsc1BLAQItABQABgAIAAAAIQBz6LtFlwIAAIYFAAAOAAAAAAAAAAAAAAAAAC4CAABkcnMvZTJv&#10;RG9jLnhtbFBLAQItABQABgAIAAAAIQDkIvbb4QAAAAwBAAAPAAAAAAAAAAAAAAAAAPEEAABkcnMv&#10;ZG93bnJldi54bWxQSwUGAAAAAAQABADzAAAA/wUAAAAA&#10;" fillcolor="#4a7194" stroked="f" strokeweight="1pt"/>
            </w:pict>
          </mc:Fallback>
        </mc:AlternateContent>
      </w:r>
      <w:r w:rsidRPr="001E3078">
        <w:rPr>
          <w:rFonts w:ascii="Cambria" w:hAnsi="Cambria"/>
          <w:noProof/>
          <w:sz w:val="20"/>
          <w:szCs w:val="20"/>
        </w:rPr>
        <mc:AlternateContent>
          <mc:Choice Requires="wps">
            <w:drawing>
              <wp:anchor distT="0" distB="0" distL="114300" distR="114300" simplePos="0" relativeHeight="251663360" behindDoc="0" locked="0" layoutInCell="1" allowOverlap="1" wp14:anchorId="1BFBE1D1" wp14:editId="2912C52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77E137" w14:textId="77777777" w:rsidR="000D7A15" w:rsidRDefault="000D7A15" w:rsidP="00610A15">
                            <w:r>
                              <w:rPr>
                                <w:noProof/>
                              </w:rPr>
                              <w:drawing>
                                <wp:inline distT="0" distB="0" distL="0" distR="0" wp14:anchorId="3A6DCD7B" wp14:editId="2170ADD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BE1D1"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977E137" w14:textId="77777777" w:rsidR="000D7A15" w:rsidRDefault="000D7A15" w:rsidP="00610A15">
                      <w:r>
                        <w:rPr>
                          <w:noProof/>
                        </w:rPr>
                        <w:drawing>
                          <wp:inline distT="0" distB="0" distL="0" distR="0" wp14:anchorId="3A6DCD7B" wp14:editId="2170ADD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6A67D306" w14:textId="77777777" w:rsidR="00610A15" w:rsidRPr="001E3078" w:rsidRDefault="00610A15" w:rsidP="00BA3CEA">
      <w:pPr>
        <w:tabs>
          <w:tab w:val="center" w:pos="5400"/>
        </w:tabs>
        <w:suppressAutoHyphens/>
        <w:jc w:val="both"/>
        <w:rPr>
          <w:rFonts w:ascii="Cambria" w:hAnsi="Cambria"/>
          <w:sz w:val="20"/>
          <w:szCs w:val="20"/>
          <w:lang w:val="es-ES"/>
        </w:rPr>
      </w:pPr>
    </w:p>
    <w:p w14:paraId="2C176BE4" w14:textId="77777777" w:rsidR="00610A15" w:rsidRPr="001E3078" w:rsidRDefault="00610A15" w:rsidP="00BA3CEA">
      <w:pPr>
        <w:tabs>
          <w:tab w:val="center" w:pos="5400"/>
        </w:tabs>
        <w:suppressAutoHyphens/>
        <w:jc w:val="both"/>
        <w:rPr>
          <w:rFonts w:ascii="Cambria" w:hAnsi="Cambria"/>
          <w:sz w:val="20"/>
          <w:szCs w:val="20"/>
          <w:lang w:val="es-ES"/>
        </w:rPr>
      </w:pPr>
    </w:p>
    <w:p w14:paraId="1992D416" w14:textId="77777777" w:rsidR="00610A15" w:rsidRPr="001E3078" w:rsidRDefault="00610A15" w:rsidP="00BA3CEA">
      <w:pPr>
        <w:tabs>
          <w:tab w:val="center" w:pos="5400"/>
        </w:tabs>
        <w:suppressAutoHyphens/>
        <w:rPr>
          <w:rFonts w:ascii="Cambria" w:hAnsi="Cambria"/>
          <w:sz w:val="20"/>
          <w:szCs w:val="20"/>
          <w:lang w:val="es-ES_tradnl"/>
        </w:rPr>
      </w:pPr>
    </w:p>
    <w:p w14:paraId="30DF03B2" w14:textId="77777777" w:rsidR="00610A15" w:rsidRPr="001E3078" w:rsidRDefault="00610A15" w:rsidP="00BA3CEA">
      <w:pPr>
        <w:tabs>
          <w:tab w:val="center" w:pos="5400"/>
        </w:tabs>
        <w:suppressAutoHyphens/>
        <w:rPr>
          <w:rFonts w:ascii="Cambria" w:hAnsi="Cambria"/>
          <w:sz w:val="20"/>
          <w:szCs w:val="20"/>
          <w:lang w:val="es-ES_tradnl"/>
        </w:rPr>
      </w:pPr>
    </w:p>
    <w:p w14:paraId="769D83E0" w14:textId="77777777" w:rsidR="00610A15" w:rsidRPr="001E3078" w:rsidRDefault="00610A15" w:rsidP="00BA3CEA">
      <w:pPr>
        <w:tabs>
          <w:tab w:val="center" w:pos="5400"/>
        </w:tabs>
        <w:suppressAutoHyphens/>
        <w:rPr>
          <w:rFonts w:ascii="Cambria" w:hAnsi="Cambria"/>
          <w:sz w:val="20"/>
          <w:szCs w:val="20"/>
          <w:lang w:val="es-ES_tradnl"/>
        </w:rPr>
      </w:pPr>
    </w:p>
    <w:p w14:paraId="13D91BC5" w14:textId="77777777" w:rsidR="00610A15" w:rsidRPr="001E3078" w:rsidRDefault="00610A15" w:rsidP="00BA3CEA">
      <w:pPr>
        <w:tabs>
          <w:tab w:val="center" w:pos="5400"/>
        </w:tabs>
        <w:suppressAutoHyphens/>
        <w:jc w:val="center"/>
        <w:rPr>
          <w:rFonts w:ascii="Cambria" w:hAnsi="Cambria"/>
          <w:sz w:val="20"/>
          <w:szCs w:val="20"/>
          <w:lang w:val="es-ES_tradnl"/>
        </w:rPr>
      </w:pPr>
    </w:p>
    <w:p w14:paraId="0B0AFD8E" w14:textId="77777777" w:rsidR="00610A15" w:rsidRPr="001E3078" w:rsidRDefault="00610A15" w:rsidP="00BA3CEA">
      <w:pPr>
        <w:tabs>
          <w:tab w:val="center" w:pos="5400"/>
        </w:tabs>
        <w:suppressAutoHyphens/>
        <w:jc w:val="center"/>
        <w:rPr>
          <w:rFonts w:ascii="Cambria" w:hAnsi="Cambria"/>
          <w:sz w:val="20"/>
          <w:szCs w:val="20"/>
          <w:lang w:val="es-ES_tradnl"/>
        </w:rPr>
      </w:pPr>
    </w:p>
    <w:p w14:paraId="3FADF1C6" w14:textId="77777777" w:rsidR="00610A15" w:rsidRPr="001E3078" w:rsidRDefault="00610A15" w:rsidP="00BA3CEA">
      <w:pPr>
        <w:tabs>
          <w:tab w:val="center" w:pos="5400"/>
        </w:tabs>
        <w:suppressAutoHyphens/>
        <w:jc w:val="center"/>
        <w:rPr>
          <w:rFonts w:ascii="Cambria" w:hAnsi="Cambria"/>
          <w:sz w:val="20"/>
          <w:szCs w:val="20"/>
          <w:lang w:val="es-ES_tradnl"/>
        </w:rPr>
      </w:pPr>
    </w:p>
    <w:p w14:paraId="0F2113D2" w14:textId="77777777" w:rsidR="00610A15" w:rsidRPr="001E3078" w:rsidRDefault="00610A15" w:rsidP="00BA3CEA">
      <w:pPr>
        <w:tabs>
          <w:tab w:val="center" w:pos="5400"/>
        </w:tabs>
        <w:suppressAutoHyphens/>
        <w:jc w:val="center"/>
        <w:rPr>
          <w:rFonts w:ascii="Cambria" w:hAnsi="Cambria"/>
          <w:sz w:val="20"/>
          <w:szCs w:val="20"/>
          <w:lang w:val="es-ES_tradnl"/>
        </w:rPr>
      </w:pPr>
    </w:p>
    <w:p w14:paraId="03021F6F" w14:textId="77777777" w:rsidR="00610A15" w:rsidRPr="001E3078" w:rsidRDefault="00610A15" w:rsidP="00BA3CEA">
      <w:pPr>
        <w:tabs>
          <w:tab w:val="center" w:pos="5400"/>
        </w:tabs>
        <w:suppressAutoHyphens/>
        <w:jc w:val="center"/>
        <w:rPr>
          <w:rFonts w:ascii="Cambria" w:hAnsi="Cambria"/>
          <w:sz w:val="20"/>
          <w:szCs w:val="20"/>
          <w:lang w:val="es-ES_tradnl"/>
        </w:rPr>
      </w:pPr>
    </w:p>
    <w:p w14:paraId="037C8506" w14:textId="77777777" w:rsidR="00610A15" w:rsidRPr="001E3078" w:rsidRDefault="00610A15" w:rsidP="00BA3CEA">
      <w:pPr>
        <w:tabs>
          <w:tab w:val="center" w:pos="5400"/>
        </w:tabs>
        <w:suppressAutoHyphens/>
        <w:jc w:val="center"/>
        <w:rPr>
          <w:rFonts w:ascii="Cambria" w:hAnsi="Cambria"/>
          <w:sz w:val="20"/>
          <w:szCs w:val="20"/>
          <w:lang w:val="es-ES_tradnl"/>
        </w:rPr>
      </w:pPr>
    </w:p>
    <w:p w14:paraId="5B07E44A" w14:textId="77777777" w:rsidR="00610A15" w:rsidRPr="001E3078" w:rsidRDefault="00610A15" w:rsidP="00BA3CEA">
      <w:pPr>
        <w:tabs>
          <w:tab w:val="center" w:pos="5400"/>
        </w:tabs>
        <w:suppressAutoHyphens/>
        <w:jc w:val="center"/>
        <w:rPr>
          <w:rFonts w:ascii="Cambria" w:hAnsi="Cambria"/>
          <w:sz w:val="20"/>
          <w:szCs w:val="20"/>
          <w:lang w:val="es-ES_tradnl"/>
        </w:rPr>
      </w:pPr>
    </w:p>
    <w:p w14:paraId="58CDC2B0" w14:textId="77777777" w:rsidR="00610A15" w:rsidRPr="001E3078" w:rsidRDefault="00610A15" w:rsidP="00BA3CEA">
      <w:pPr>
        <w:tabs>
          <w:tab w:val="center" w:pos="5400"/>
        </w:tabs>
        <w:suppressAutoHyphens/>
        <w:jc w:val="center"/>
        <w:rPr>
          <w:rFonts w:ascii="Cambria" w:hAnsi="Cambria"/>
          <w:sz w:val="20"/>
          <w:szCs w:val="20"/>
          <w:lang w:val="es-ES_tradnl"/>
        </w:rPr>
      </w:pPr>
      <w:r w:rsidRPr="001E3078">
        <w:rPr>
          <w:rFonts w:ascii="Cambria" w:hAnsi="Cambria"/>
          <w:noProof/>
          <w:sz w:val="20"/>
          <w:szCs w:val="20"/>
        </w:rPr>
        <mc:AlternateContent>
          <mc:Choice Requires="wps">
            <w:drawing>
              <wp:anchor distT="0" distB="0" distL="114300" distR="114300" simplePos="0" relativeHeight="251660288" behindDoc="0" locked="0" layoutInCell="1" allowOverlap="1" wp14:anchorId="5023164E" wp14:editId="6D1B88B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0B84F7" w14:textId="7EB3ABD8" w:rsidR="000D7A15" w:rsidRPr="00430348" w:rsidRDefault="000D7A15" w:rsidP="00610A15">
                            <w:pPr>
                              <w:spacing w:line="276" w:lineRule="auto"/>
                              <w:rPr>
                                <w:rFonts w:ascii="Cambria" w:hAnsi="Cambria" w:cs="Arial"/>
                                <w:b/>
                                <w:color w:val="0D0D0D" w:themeColor="text1" w:themeTint="F2"/>
                                <w:sz w:val="36"/>
                                <w:szCs w:val="22"/>
                                <w:lang w:val="es-VE"/>
                              </w:rPr>
                            </w:pPr>
                            <w:r w:rsidRPr="00430348">
                              <w:rPr>
                                <w:rFonts w:ascii="Cambria" w:hAnsi="Cambria" w:cs="Arial"/>
                                <w:b/>
                                <w:bCs/>
                                <w:color w:val="0D0D0D" w:themeColor="text1" w:themeTint="F2"/>
                                <w:sz w:val="36"/>
                                <w:szCs w:val="22"/>
                                <w:lang w:val="es-VE"/>
                              </w:rPr>
                              <w:t xml:space="preserve">INFORME </w:t>
                            </w:r>
                            <w:r w:rsidRPr="00430348">
                              <w:rPr>
                                <w:rFonts w:ascii="Cambria" w:hAnsi="Cambria" w:cs="Arial"/>
                                <w:b/>
                                <w:bCs/>
                                <w:color w:val="0D0D0D" w:themeColor="text1" w:themeTint="F2"/>
                                <w:sz w:val="36"/>
                                <w:szCs w:val="40"/>
                                <w:lang w:val="es-VE"/>
                              </w:rPr>
                              <w:t>No.</w:t>
                            </w:r>
                            <w:r w:rsidR="006A6783">
                              <w:rPr>
                                <w:rFonts w:ascii="Cambria" w:hAnsi="Cambria" w:cs="Arial"/>
                                <w:b/>
                                <w:bCs/>
                                <w:color w:val="0D0D0D" w:themeColor="text1" w:themeTint="F2"/>
                                <w:sz w:val="36"/>
                                <w:szCs w:val="22"/>
                                <w:lang w:val="es-VE"/>
                              </w:rPr>
                              <w:t xml:space="preserve"> 112</w:t>
                            </w:r>
                            <w:r>
                              <w:rPr>
                                <w:rFonts w:ascii="Cambria" w:hAnsi="Cambria" w:cs="Arial"/>
                                <w:b/>
                                <w:bCs/>
                                <w:color w:val="0D0D0D" w:themeColor="text1" w:themeTint="F2"/>
                                <w:sz w:val="36"/>
                                <w:szCs w:val="22"/>
                                <w:lang w:val="es-VE"/>
                              </w:rPr>
                              <w:t>/18</w:t>
                            </w:r>
                          </w:p>
                          <w:p w14:paraId="12F8CF1A" w14:textId="77777777" w:rsidR="000D7A15" w:rsidRPr="00430348" w:rsidRDefault="000D7A15" w:rsidP="00610A15">
                            <w:pPr>
                              <w:spacing w:line="276" w:lineRule="auto"/>
                              <w:rPr>
                                <w:rFonts w:ascii="Cambria" w:hAnsi="Cambria" w:cs="Arial"/>
                                <w:b/>
                                <w:color w:val="0D0D0D" w:themeColor="text1" w:themeTint="F2"/>
                                <w:sz w:val="36"/>
                                <w:szCs w:val="22"/>
                                <w:lang w:val="es-VE"/>
                              </w:rPr>
                            </w:pPr>
                            <w:r>
                              <w:rPr>
                                <w:rFonts w:ascii="Cambria" w:hAnsi="Cambria" w:cs="Arial"/>
                                <w:b/>
                                <w:color w:val="0D0D0D" w:themeColor="text1" w:themeTint="F2"/>
                                <w:sz w:val="36"/>
                                <w:szCs w:val="22"/>
                                <w:lang w:val="es-VE"/>
                              </w:rPr>
                              <w:t xml:space="preserve"> CASO 12.910</w:t>
                            </w:r>
                          </w:p>
                          <w:p w14:paraId="6E2DC3FA" w14:textId="77777777" w:rsidR="000D7A15" w:rsidRPr="00430348" w:rsidRDefault="000D7A15" w:rsidP="00610A15">
                            <w:pPr>
                              <w:spacing w:line="276" w:lineRule="auto"/>
                              <w:rPr>
                                <w:rFonts w:ascii="Cambria" w:hAnsi="Cambria" w:cs="Arial"/>
                                <w:color w:val="0D0D0D" w:themeColor="text1" w:themeTint="F2"/>
                                <w:szCs w:val="22"/>
                                <w:lang w:val="es-ES_tradnl"/>
                              </w:rPr>
                            </w:pPr>
                            <w:r w:rsidRPr="00430348">
                              <w:rPr>
                                <w:rFonts w:ascii="Cambria" w:hAnsi="Cambria" w:cs="Arial"/>
                                <w:color w:val="0D0D0D" w:themeColor="text1" w:themeTint="F2"/>
                                <w:szCs w:val="22"/>
                                <w:lang w:val="es-ES_tradnl"/>
                              </w:rPr>
                              <w:t>INFORME DE FONDO</w:t>
                            </w:r>
                          </w:p>
                          <w:p w14:paraId="6CC43C1D" w14:textId="77777777" w:rsidR="000D7A15" w:rsidRPr="00430348" w:rsidRDefault="000D7A15" w:rsidP="00610A15">
                            <w:pPr>
                              <w:spacing w:line="276" w:lineRule="auto"/>
                              <w:rPr>
                                <w:rFonts w:ascii="Cambria" w:hAnsi="Cambria" w:cs="Arial"/>
                                <w:color w:val="0D0D0D" w:themeColor="text1" w:themeTint="F2"/>
                                <w:szCs w:val="22"/>
                                <w:lang w:val="es-ES_tradnl"/>
                              </w:rPr>
                            </w:pPr>
                            <w:bookmarkStart w:id="0" w:name="_ftnref1"/>
                          </w:p>
                          <w:p w14:paraId="3F430CC3" w14:textId="77777777" w:rsidR="000D7A15" w:rsidRPr="00430348" w:rsidRDefault="000D7A15" w:rsidP="00610A15">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CARLOS JULIO AGUINAGA AILLÓN</w:t>
                            </w:r>
                          </w:p>
                          <w:bookmarkEnd w:id="0"/>
                          <w:p w14:paraId="0A4D61CB" w14:textId="77777777" w:rsidR="000D7A15" w:rsidRPr="00430348" w:rsidRDefault="000D7A15" w:rsidP="00610A15">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ECUADOR</w:t>
                            </w:r>
                          </w:p>
                          <w:p w14:paraId="55AD7120" w14:textId="77777777" w:rsidR="000D7A15" w:rsidRPr="00AE5488" w:rsidRDefault="000D7A15" w:rsidP="00610A15">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3164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60B84F7" w14:textId="7EB3ABD8" w:rsidR="000D7A15" w:rsidRPr="00430348" w:rsidRDefault="000D7A15" w:rsidP="00610A15">
                      <w:pPr>
                        <w:spacing w:line="276" w:lineRule="auto"/>
                        <w:rPr>
                          <w:rFonts w:ascii="Cambria" w:hAnsi="Cambria" w:cs="Arial"/>
                          <w:b/>
                          <w:color w:val="0D0D0D" w:themeColor="text1" w:themeTint="F2"/>
                          <w:sz w:val="36"/>
                          <w:szCs w:val="22"/>
                          <w:lang w:val="es-VE"/>
                        </w:rPr>
                      </w:pPr>
                      <w:r w:rsidRPr="00430348">
                        <w:rPr>
                          <w:rFonts w:ascii="Cambria" w:hAnsi="Cambria" w:cs="Arial"/>
                          <w:b/>
                          <w:bCs/>
                          <w:color w:val="0D0D0D" w:themeColor="text1" w:themeTint="F2"/>
                          <w:sz w:val="36"/>
                          <w:szCs w:val="22"/>
                          <w:lang w:val="es-VE"/>
                        </w:rPr>
                        <w:t xml:space="preserve">INFORME </w:t>
                      </w:r>
                      <w:r w:rsidRPr="00430348">
                        <w:rPr>
                          <w:rFonts w:ascii="Cambria" w:hAnsi="Cambria" w:cs="Arial"/>
                          <w:b/>
                          <w:bCs/>
                          <w:color w:val="0D0D0D" w:themeColor="text1" w:themeTint="F2"/>
                          <w:sz w:val="36"/>
                          <w:szCs w:val="40"/>
                          <w:lang w:val="es-VE"/>
                        </w:rPr>
                        <w:t>No.</w:t>
                      </w:r>
                      <w:r w:rsidR="006A6783">
                        <w:rPr>
                          <w:rFonts w:ascii="Cambria" w:hAnsi="Cambria" w:cs="Arial"/>
                          <w:b/>
                          <w:bCs/>
                          <w:color w:val="0D0D0D" w:themeColor="text1" w:themeTint="F2"/>
                          <w:sz w:val="36"/>
                          <w:szCs w:val="22"/>
                          <w:lang w:val="es-VE"/>
                        </w:rPr>
                        <w:t xml:space="preserve"> 112</w:t>
                      </w:r>
                      <w:r>
                        <w:rPr>
                          <w:rFonts w:ascii="Cambria" w:hAnsi="Cambria" w:cs="Arial"/>
                          <w:b/>
                          <w:bCs/>
                          <w:color w:val="0D0D0D" w:themeColor="text1" w:themeTint="F2"/>
                          <w:sz w:val="36"/>
                          <w:szCs w:val="22"/>
                          <w:lang w:val="es-VE"/>
                        </w:rPr>
                        <w:t>/18</w:t>
                      </w:r>
                    </w:p>
                    <w:p w14:paraId="12F8CF1A" w14:textId="77777777" w:rsidR="000D7A15" w:rsidRPr="00430348" w:rsidRDefault="000D7A15" w:rsidP="00610A15">
                      <w:pPr>
                        <w:spacing w:line="276" w:lineRule="auto"/>
                        <w:rPr>
                          <w:rFonts w:ascii="Cambria" w:hAnsi="Cambria" w:cs="Arial"/>
                          <w:b/>
                          <w:color w:val="0D0D0D" w:themeColor="text1" w:themeTint="F2"/>
                          <w:sz w:val="36"/>
                          <w:szCs w:val="22"/>
                          <w:lang w:val="es-VE"/>
                        </w:rPr>
                      </w:pPr>
                      <w:r>
                        <w:rPr>
                          <w:rFonts w:ascii="Cambria" w:hAnsi="Cambria" w:cs="Arial"/>
                          <w:b/>
                          <w:color w:val="0D0D0D" w:themeColor="text1" w:themeTint="F2"/>
                          <w:sz w:val="36"/>
                          <w:szCs w:val="22"/>
                          <w:lang w:val="es-VE"/>
                        </w:rPr>
                        <w:t xml:space="preserve"> CASO 12.910</w:t>
                      </w:r>
                    </w:p>
                    <w:p w14:paraId="6E2DC3FA" w14:textId="77777777" w:rsidR="000D7A15" w:rsidRPr="00430348" w:rsidRDefault="000D7A15" w:rsidP="00610A15">
                      <w:pPr>
                        <w:spacing w:line="276" w:lineRule="auto"/>
                        <w:rPr>
                          <w:rFonts w:ascii="Cambria" w:hAnsi="Cambria" w:cs="Arial"/>
                          <w:color w:val="0D0D0D" w:themeColor="text1" w:themeTint="F2"/>
                          <w:szCs w:val="22"/>
                          <w:lang w:val="es-ES_tradnl"/>
                        </w:rPr>
                      </w:pPr>
                      <w:r w:rsidRPr="00430348">
                        <w:rPr>
                          <w:rFonts w:ascii="Cambria" w:hAnsi="Cambria" w:cs="Arial"/>
                          <w:color w:val="0D0D0D" w:themeColor="text1" w:themeTint="F2"/>
                          <w:szCs w:val="22"/>
                          <w:lang w:val="es-ES_tradnl"/>
                        </w:rPr>
                        <w:t>INFORME DE FONDO</w:t>
                      </w:r>
                    </w:p>
                    <w:p w14:paraId="6CC43C1D" w14:textId="77777777" w:rsidR="000D7A15" w:rsidRPr="00430348" w:rsidRDefault="000D7A15" w:rsidP="00610A15">
                      <w:pPr>
                        <w:spacing w:line="276" w:lineRule="auto"/>
                        <w:rPr>
                          <w:rFonts w:ascii="Cambria" w:hAnsi="Cambria" w:cs="Arial"/>
                          <w:color w:val="0D0D0D" w:themeColor="text1" w:themeTint="F2"/>
                          <w:szCs w:val="22"/>
                          <w:lang w:val="es-ES_tradnl"/>
                        </w:rPr>
                      </w:pPr>
                      <w:bookmarkStart w:id="1" w:name="_ftnref1"/>
                    </w:p>
                    <w:p w14:paraId="3F430CC3" w14:textId="77777777" w:rsidR="000D7A15" w:rsidRPr="00430348" w:rsidRDefault="000D7A15" w:rsidP="00610A15">
                      <w:pPr>
                        <w:spacing w:line="276" w:lineRule="auto"/>
                        <w:rPr>
                          <w:rFonts w:ascii="Cambria" w:hAnsi="Cambria" w:cs="Arial"/>
                          <w:color w:val="0D0D0D" w:themeColor="text1" w:themeTint="F2"/>
                          <w:szCs w:val="22"/>
                          <w:lang w:val="es-ES_tradnl"/>
                        </w:rPr>
                      </w:pPr>
                      <w:r>
                        <w:rPr>
                          <w:rFonts w:ascii="Cambria" w:hAnsi="Cambria" w:cs="Arial"/>
                          <w:color w:val="0D0D0D" w:themeColor="text1" w:themeTint="F2"/>
                          <w:szCs w:val="22"/>
                          <w:lang w:val="es-ES_tradnl"/>
                        </w:rPr>
                        <w:t>CARLOS JULIO AGUINAGA AILLÓN</w:t>
                      </w:r>
                    </w:p>
                    <w:bookmarkEnd w:id="1"/>
                    <w:p w14:paraId="0A4D61CB" w14:textId="77777777" w:rsidR="000D7A15" w:rsidRPr="00430348" w:rsidRDefault="000D7A15" w:rsidP="00610A15">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ECUADOR</w:t>
                      </w:r>
                    </w:p>
                    <w:p w14:paraId="55AD7120" w14:textId="77777777" w:rsidR="000D7A15" w:rsidRPr="00AE5488" w:rsidRDefault="000D7A15" w:rsidP="00610A15">
                      <w:pPr>
                        <w:rPr>
                          <w:color w:val="0D0D0D" w:themeColor="text1" w:themeTint="F2"/>
                          <w:lang w:val="es-ES_tradnl"/>
                        </w:rPr>
                      </w:pPr>
                    </w:p>
                  </w:txbxContent>
                </v:textbox>
              </v:shape>
            </w:pict>
          </mc:Fallback>
        </mc:AlternateContent>
      </w:r>
      <w:r w:rsidRPr="001E3078">
        <w:rPr>
          <w:rFonts w:ascii="Cambria" w:hAnsi="Cambria"/>
          <w:noProof/>
          <w:sz w:val="20"/>
          <w:szCs w:val="20"/>
        </w:rPr>
        <mc:AlternateContent>
          <mc:Choice Requires="wps">
            <w:drawing>
              <wp:anchor distT="0" distB="0" distL="114300" distR="114300" simplePos="0" relativeHeight="251662336" behindDoc="0" locked="0" layoutInCell="1" allowOverlap="1" wp14:anchorId="5458171D" wp14:editId="527B9684">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4C7220" w14:textId="2815F9E7" w:rsidR="000D7A15" w:rsidRPr="00B17B12" w:rsidRDefault="006A6783" w:rsidP="009D70A3">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OEA/Ser.L/V/II.169</w:t>
                            </w:r>
                          </w:p>
                          <w:p w14:paraId="39C2F949" w14:textId="0BCD1907" w:rsidR="000D7A15" w:rsidRPr="00B17B12" w:rsidRDefault="006A6783" w:rsidP="009D70A3">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129</w:t>
                            </w:r>
                          </w:p>
                          <w:p w14:paraId="07E24030" w14:textId="56019B2A" w:rsidR="000D7A15" w:rsidRPr="009D70A3" w:rsidRDefault="006A6783" w:rsidP="009D70A3">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5 octubre 2018</w:t>
                            </w:r>
                          </w:p>
                          <w:p w14:paraId="0DC51CAD" w14:textId="77777777" w:rsidR="000D7A15" w:rsidRPr="00E33B22" w:rsidRDefault="000D7A15" w:rsidP="009D70A3">
                            <w:pPr>
                              <w:spacing w:line="276" w:lineRule="auto"/>
                              <w:jc w:val="right"/>
                              <w:rPr>
                                <w:rFonts w:asciiTheme="minorHAnsi" w:hAnsiTheme="minorHAnsi"/>
                                <w:color w:val="FFFFFF" w:themeColor="background1"/>
                                <w:sz w:val="22"/>
                                <w:lang w:val="es-VE"/>
                              </w:rPr>
                            </w:pPr>
                            <w:r w:rsidRPr="00E33B22">
                              <w:rPr>
                                <w:rFonts w:asciiTheme="minorHAnsi" w:hAnsiTheme="minorHAnsi"/>
                                <w:color w:val="FFFFFF" w:themeColor="background1"/>
                                <w:sz w:val="22"/>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8171D"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24C7220" w14:textId="2815F9E7" w:rsidR="000D7A15" w:rsidRPr="00B17B12" w:rsidRDefault="006A6783" w:rsidP="009D70A3">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OEA/Ser.L/V/II.169</w:t>
                      </w:r>
                    </w:p>
                    <w:p w14:paraId="39C2F949" w14:textId="0BCD1907" w:rsidR="000D7A15" w:rsidRPr="00B17B12" w:rsidRDefault="006A6783" w:rsidP="009D70A3">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129</w:t>
                      </w:r>
                    </w:p>
                    <w:p w14:paraId="07E24030" w14:textId="56019B2A" w:rsidR="000D7A15" w:rsidRPr="009D70A3" w:rsidRDefault="006A6783" w:rsidP="009D70A3">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5 octubre 2018</w:t>
                      </w:r>
                    </w:p>
                    <w:p w14:paraId="0DC51CAD" w14:textId="77777777" w:rsidR="000D7A15" w:rsidRPr="00E33B22" w:rsidRDefault="000D7A15" w:rsidP="009D70A3">
                      <w:pPr>
                        <w:spacing w:line="276" w:lineRule="auto"/>
                        <w:jc w:val="right"/>
                        <w:rPr>
                          <w:rFonts w:asciiTheme="minorHAnsi" w:hAnsiTheme="minorHAnsi"/>
                          <w:color w:val="FFFFFF" w:themeColor="background1"/>
                          <w:sz w:val="22"/>
                          <w:lang w:val="es-VE"/>
                        </w:rPr>
                      </w:pPr>
                      <w:r w:rsidRPr="00E33B22">
                        <w:rPr>
                          <w:rFonts w:asciiTheme="minorHAnsi" w:hAnsiTheme="minorHAnsi"/>
                          <w:color w:val="FFFFFF" w:themeColor="background1"/>
                          <w:sz w:val="22"/>
                          <w:lang w:val="es-VE"/>
                        </w:rPr>
                        <w:t>Original: español</w:t>
                      </w:r>
                    </w:p>
                  </w:txbxContent>
                </v:textbox>
              </v:shape>
            </w:pict>
          </mc:Fallback>
        </mc:AlternateContent>
      </w:r>
    </w:p>
    <w:p w14:paraId="68B2C65B" w14:textId="77777777" w:rsidR="00610A15" w:rsidRPr="001E3078" w:rsidRDefault="00610A15" w:rsidP="00BA3CEA">
      <w:pPr>
        <w:tabs>
          <w:tab w:val="center" w:pos="5400"/>
        </w:tabs>
        <w:suppressAutoHyphens/>
        <w:jc w:val="center"/>
        <w:rPr>
          <w:rFonts w:ascii="Cambria" w:hAnsi="Cambria"/>
          <w:sz w:val="20"/>
          <w:szCs w:val="20"/>
          <w:lang w:val="es-ES_tradnl"/>
        </w:rPr>
      </w:pPr>
    </w:p>
    <w:p w14:paraId="2D708AE5" w14:textId="77777777" w:rsidR="00610A15" w:rsidRPr="001E3078" w:rsidRDefault="00610A15" w:rsidP="00BA3CEA">
      <w:pPr>
        <w:tabs>
          <w:tab w:val="center" w:pos="5400"/>
        </w:tabs>
        <w:suppressAutoHyphens/>
        <w:jc w:val="center"/>
        <w:rPr>
          <w:rFonts w:ascii="Cambria" w:hAnsi="Cambria"/>
          <w:sz w:val="20"/>
          <w:szCs w:val="20"/>
          <w:lang w:val="es-ES_tradnl"/>
        </w:rPr>
      </w:pPr>
    </w:p>
    <w:p w14:paraId="518D3401" w14:textId="77777777" w:rsidR="00610A15" w:rsidRPr="001E3078" w:rsidRDefault="00610A15" w:rsidP="00BA3CEA">
      <w:pPr>
        <w:tabs>
          <w:tab w:val="center" w:pos="5400"/>
        </w:tabs>
        <w:suppressAutoHyphens/>
        <w:jc w:val="center"/>
        <w:rPr>
          <w:rFonts w:ascii="Cambria" w:hAnsi="Cambria" w:cs="Arial"/>
          <w:sz w:val="20"/>
          <w:szCs w:val="20"/>
          <w:lang w:val="es-ES_tradnl"/>
        </w:rPr>
      </w:pPr>
    </w:p>
    <w:p w14:paraId="3110E8C6" w14:textId="77777777" w:rsidR="00610A15" w:rsidRPr="001E3078" w:rsidRDefault="00610A15" w:rsidP="00BA3CEA">
      <w:pPr>
        <w:tabs>
          <w:tab w:val="center" w:pos="5400"/>
        </w:tabs>
        <w:suppressAutoHyphens/>
        <w:jc w:val="center"/>
        <w:rPr>
          <w:rFonts w:ascii="Cambria" w:hAnsi="Cambria"/>
          <w:sz w:val="20"/>
          <w:szCs w:val="20"/>
          <w:lang w:val="es-ES_tradnl"/>
        </w:rPr>
      </w:pPr>
    </w:p>
    <w:p w14:paraId="70BEC8AC" w14:textId="77777777" w:rsidR="00610A15" w:rsidRPr="001E3078" w:rsidRDefault="00610A15" w:rsidP="00BA3CEA">
      <w:pPr>
        <w:tabs>
          <w:tab w:val="center" w:pos="5400"/>
        </w:tabs>
        <w:suppressAutoHyphens/>
        <w:jc w:val="center"/>
        <w:rPr>
          <w:rFonts w:ascii="Cambria" w:hAnsi="Cambria"/>
          <w:sz w:val="20"/>
          <w:szCs w:val="20"/>
          <w:lang w:val="es-ES_tradnl"/>
        </w:rPr>
      </w:pPr>
    </w:p>
    <w:p w14:paraId="62255908" w14:textId="77777777" w:rsidR="00610A15" w:rsidRPr="001E3078" w:rsidRDefault="00610A15" w:rsidP="00BA3CEA">
      <w:pPr>
        <w:tabs>
          <w:tab w:val="center" w:pos="5400"/>
        </w:tabs>
        <w:suppressAutoHyphens/>
        <w:jc w:val="center"/>
        <w:rPr>
          <w:rFonts w:ascii="Cambria" w:hAnsi="Cambria"/>
          <w:sz w:val="20"/>
          <w:szCs w:val="20"/>
          <w:lang w:val="es-ES_tradnl"/>
        </w:rPr>
      </w:pPr>
    </w:p>
    <w:p w14:paraId="4DD56D22" w14:textId="77777777" w:rsidR="00610A15" w:rsidRPr="001E3078" w:rsidRDefault="00610A15" w:rsidP="00BA3CEA">
      <w:pPr>
        <w:tabs>
          <w:tab w:val="center" w:pos="5400"/>
        </w:tabs>
        <w:suppressAutoHyphens/>
        <w:jc w:val="center"/>
        <w:rPr>
          <w:rFonts w:ascii="Cambria" w:hAnsi="Cambria"/>
          <w:sz w:val="20"/>
          <w:szCs w:val="20"/>
          <w:lang w:val="es-ES_tradnl"/>
        </w:rPr>
      </w:pPr>
    </w:p>
    <w:p w14:paraId="0FC89A67" w14:textId="77777777" w:rsidR="00610A15" w:rsidRPr="001E3078" w:rsidRDefault="00610A15" w:rsidP="00BA3CEA">
      <w:pPr>
        <w:tabs>
          <w:tab w:val="center" w:pos="5400"/>
        </w:tabs>
        <w:suppressAutoHyphens/>
        <w:jc w:val="center"/>
        <w:rPr>
          <w:rFonts w:ascii="Cambria" w:hAnsi="Cambria"/>
          <w:sz w:val="20"/>
          <w:szCs w:val="20"/>
          <w:lang w:val="es-ES_tradnl"/>
        </w:rPr>
      </w:pPr>
    </w:p>
    <w:p w14:paraId="1DD82E39" w14:textId="77777777" w:rsidR="00610A15" w:rsidRPr="001E3078" w:rsidRDefault="00610A15" w:rsidP="00BA3CEA">
      <w:pPr>
        <w:tabs>
          <w:tab w:val="center" w:pos="5400"/>
        </w:tabs>
        <w:suppressAutoHyphens/>
        <w:jc w:val="center"/>
        <w:rPr>
          <w:rFonts w:ascii="Cambria" w:hAnsi="Cambria"/>
          <w:sz w:val="20"/>
          <w:szCs w:val="20"/>
          <w:lang w:val="es-ES_tradnl"/>
        </w:rPr>
      </w:pPr>
    </w:p>
    <w:p w14:paraId="0971FB28" w14:textId="77777777" w:rsidR="00610A15" w:rsidRPr="001E3078" w:rsidRDefault="00610A15" w:rsidP="00BA3CEA">
      <w:pPr>
        <w:tabs>
          <w:tab w:val="center" w:pos="5400"/>
        </w:tabs>
        <w:suppressAutoHyphens/>
        <w:jc w:val="center"/>
        <w:rPr>
          <w:rFonts w:ascii="Cambria" w:hAnsi="Cambria"/>
          <w:sz w:val="20"/>
          <w:szCs w:val="20"/>
          <w:lang w:val="es-ES_tradnl"/>
        </w:rPr>
      </w:pPr>
    </w:p>
    <w:p w14:paraId="74BCD4B7" w14:textId="77777777" w:rsidR="00610A15" w:rsidRPr="001E3078" w:rsidRDefault="00610A15" w:rsidP="00BA3CEA">
      <w:pPr>
        <w:tabs>
          <w:tab w:val="center" w:pos="5400"/>
        </w:tabs>
        <w:suppressAutoHyphens/>
        <w:jc w:val="center"/>
        <w:rPr>
          <w:rFonts w:ascii="Cambria" w:hAnsi="Cambria"/>
          <w:sz w:val="20"/>
          <w:szCs w:val="20"/>
          <w:lang w:val="es-ES_tradnl"/>
        </w:rPr>
      </w:pPr>
    </w:p>
    <w:p w14:paraId="0B39709D" w14:textId="77777777" w:rsidR="00610A15" w:rsidRPr="001E3078" w:rsidRDefault="00610A15" w:rsidP="00BA3CEA">
      <w:pPr>
        <w:tabs>
          <w:tab w:val="center" w:pos="5400"/>
        </w:tabs>
        <w:suppressAutoHyphens/>
        <w:jc w:val="center"/>
        <w:rPr>
          <w:rFonts w:ascii="Cambria" w:hAnsi="Cambria"/>
          <w:sz w:val="20"/>
          <w:szCs w:val="20"/>
          <w:lang w:val="es-ES_tradnl"/>
        </w:rPr>
      </w:pPr>
    </w:p>
    <w:p w14:paraId="35A1DB87" w14:textId="77777777" w:rsidR="00610A15" w:rsidRPr="001E3078" w:rsidRDefault="00610A15" w:rsidP="00BA3CEA">
      <w:pPr>
        <w:tabs>
          <w:tab w:val="center" w:pos="5400"/>
        </w:tabs>
        <w:suppressAutoHyphens/>
        <w:jc w:val="center"/>
        <w:rPr>
          <w:rFonts w:ascii="Cambria" w:hAnsi="Cambria"/>
          <w:sz w:val="20"/>
          <w:szCs w:val="20"/>
          <w:lang w:val="es-ES_tradnl"/>
        </w:rPr>
      </w:pPr>
    </w:p>
    <w:p w14:paraId="1D6F8F21" w14:textId="77777777" w:rsidR="00610A15" w:rsidRPr="001E3078" w:rsidRDefault="00610A15" w:rsidP="00BA3CEA">
      <w:pPr>
        <w:tabs>
          <w:tab w:val="center" w:pos="5400"/>
        </w:tabs>
        <w:suppressAutoHyphens/>
        <w:jc w:val="center"/>
        <w:rPr>
          <w:rFonts w:ascii="Cambria" w:hAnsi="Cambria"/>
          <w:sz w:val="20"/>
          <w:szCs w:val="20"/>
          <w:lang w:val="es-ES_tradnl"/>
        </w:rPr>
      </w:pPr>
    </w:p>
    <w:p w14:paraId="5BD2AA98" w14:textId="77777777" w:rsidR="00610A15" w:rsidRPr="001E3078" w:rsidRDefault="00610A15" w:rsidP="00BA3CEA">
      <w:pPr>
        <w:tabs>
          <w:tab w:val="center" w:pos="5400"/>
        </w:tabs>
        <w:suppressAutoHyphens/>
        <w:jc w:val="center"/>
        <w:rPr>
          <w:rFonts w:ascii="Cambria" w:hAnsi="Cambria"/>
          <w:sz w:val="20"/>
          <w:szCs w:val="20"/>
          <w:lang w:val="es-ES_tradnl"/>
        </w:rPr>
      </w:pPr>
    </w:p>
    <w:p w14:paraId="3BE77F9B" w14:textId="77777777" w:rsidR="00610A15" w:rsidRPr="001E3078" w:rsidRDefault="00610A15" w:rsidP="00BA3CEA">
      <w:pPr>
        <w:tabs>
          <w:tab w:val="center" w:pos="5400"/>
        </w:tabs>
        <w:suppressAutoHyphens/>
        <w:jc w:val="center"/>
        <w:rPr>
          <w:rFonts w:ascii="Cambria" w:hAnsi="Cambria"/>
          <w:sz w:val="20"/>
          <w:szCs w:val="20"/>
          <w:lang w:val="es-ES_tradnl"/>
        </w:rPr>
      </w:pPr>
    </w:p>
    <w:p w14:paraId="3B1736D9" w14:textId="77777777" w:rsidR="00610A15" w:rsidRPr="001E3078" w:rsidRDefault="00610A15" w:rsidP="00BA3CEA">
      <w:pPr>
        <w:tabs>
          <w:tab w:val="center" w:pos="5400"/>
        </w:tabs>
        <w:suppressAutoHyphens/>
        <w:jc w:val="center"/>
        <w:rPr>
          <w:rFonts w:ascii="Cambria" w:hAnsi="Cambria"/>
          <w:sz w:val="20"/>
          <w:szCs w:val="20"/>
          <w:lang w:val="es-ES_tradnl"/>
        </w:rPr>
      </w:pPr>
    </w:p>
    <w:p w14:paraId="049FFEFF" w14:textId="77777777" w:rsidR="00610A15" w:rsidRPr="001E3078" w:rsidRDefault="00610A15" w:rsidP="00BA3CEA">
      <w:pPr>
        <w:tabs>
          <w:tab w:val="center" w:pos="5400"/>
        </w:tabs>
        <w:suppressAutoHyphens/>
        <w:jc w:val="center"/>
        <w:rPr>
          <w:rFonts w:ascii="Cambria" w:hAnsi="Cambria"/>
          <w:sz w:val="20"/>
          <w:szCs w:val="20"/>
          <w:lang w:val="es-ES_tradnl"/>
        </w:rPr>
      </w:pPr>
    </w:p>
    <w:p w14:paraId="09064027" w14:textId="77777777" w:rsidR="00610A15" w:rsidRPr="001E3078" w:rsidRDefault="00610A15" w:rsidP="00BA3CEA">
      <w:pPr>
        <w:tabs>
          <w:tab w:val="center" w:pos="5400"/>
        </w:tabs>
        <w:suppressAutoHyphens/>
        <w:jc w:val="center"/>
        <w:rPr>
          <w:rFonts w:ascii="Cambria" w:hAnsi="Cambria"/>
          <w:sz w:val="20"/>
          <w:szCs w:val="20"/>
          <w:lang w:val="es-ES_tradnl"/>
        </w:rPr>
      </w:pPr>
    </w:p>
    <w:p w14:paraId="4FD7BE88" w14:textId="77777777" w:rsidR="00610A15" w:rsidRPr="001E3078" w:rsidRDefault="00610A15" w:rsidP="00BA3CEA">
      <w:pPr>
        <w:tabs>
          <w:tab w:val="center" w:pos="5400"/>
        </w:tabs>
        <w:suppressAutoHyphens/>
        <w:jc w:val="center"/>
        <w:rPr>
          <w:rFonts w:ascii="Cambria" w:hAnsi="Cambria"/>
          <w:sz w:val="20"/>
          <w:szCs w:val="20"/>
          <w:lang w:val="es-ES_tradnl"/>
        </w:rPr>
      </w:pPr>
    </w:p>
    <w:p w14:paraId="22B5413F" w14:textId="77777777" w:rsidR="00610A15" w:rsidRPr="001E3078" w:rsidRDefault="00610A15" w:rsidP="00BA3CEA">
      <w:pPr>
        <w:tabs>
          <w:tab w:val="center" w:pos="5400"/>
        </w:tabs>
        <w:suppressAutoHyphens/>
        <w:jc w:val="center"/>
        <w:rPr>
          <w:rFonts w:ascii="Cambria" w:hAnsi="Cambria"/>
          <w:sz w:val="20"/>
          <w:szCs w:val="20"/>
          <w:lang w:val="es-CO"/>
        </w:rPr>
      </w:pPr>
    </w:p>
    <w:p w14:paraId="1E94DF90" w14:textId="77777777" w:rsidR="00610A15" w:rsidRPr="001E3078" w:rsidRDefault="00610A15" w:rsidP="00BA3CEA">
      <w:pPr>
        <w:tabs>
          <w:tab w:val="center" w:pos="5400"/>
        </w:tabs>
        <w:suppressAutoHyphens/>
        <w:jc w:val="center"/>
        <w:rPr>
          <w:rFonts w:ascii="Cambria" w:hAnsi="Cambria"/>
          <w:sz w:val="20"/>
          <w:szCs w:val="20"/>
          <w:lang w:val="es-ES_tradnl"/>
        </w:rPr>
      </w:pPr>
    </w:p>
    <w:p w14:paraId="50514A57" w14:textId="77777777" w:rsidR="00610A15" w:rsidRPr="001E3078" w:rsidRDefault="00610A15" w:rsidP="00BA3CEA">
      <w:pPr>
        <w:tabs>
          <w:tab w:val="center" w:pos="5400"/>
        </w:tabs>
        <w:suppressAutoHyphens/>
        <w:jc w:val="center"/>
        <w:rPr>
          <w:rFonts w:ascii="Cambria" w:hAnsi="Cambria"/>
          <w:sz w:val="20"/>
          <w:szCs w:val="20"/>
          <w:lang w:val="es-ES_tradnl"/>
        </w:rPr>
      </w:pPr>
    </w:p>
    <w:p w14:paraId="599DB9D4" w14:textId="77777777" w:rsidR="00610A15" w:rsidRPr="001E3078" w:rsidRDefault="00610A15" w:rsidP="00BA3CEA">
      <w:pPr>
        <w:tabs>
          <w:tab w:val="center" w:pos="5400"/>
        </w:tabs>
        <w:suppressAutoHyphens/>
        <w:jc w:val="center"/>
        <w:rPr>
          <w:rFonts w:ascii="Cambria" w:hAnsi="Cambria"/>
          <w:sz w:val="20"/>
          <w:szCs w:val="20"/>
          <w:lang w:val="es-ES_tradnl"/>
        </w:rPr>
      </w:pPr>
    </w:p>
    <w:p w14:paraId="12EEEC22" w14:textId="77777777" w:rsidR="00610A15" w:rsidRPr="001E3078" w:rsidRDefault="00610A15" w:rsidP="00BA3CEA">
      <w:pPr>
        <w:tabs>
          <w:tab w:val="center" w:pos="5400"/>
        </w:tabs>
        <w:suppressAutoHyphens/>
        <w:jc w:val="center"/>
        <w:rPr>
          <w:rFonts w:ascii="Cambria" w:hAnsi="Cambria"/>
          <w:sz w:val="20"/>
          <w:szCs w:val="20"/>
          <w:lang w:val="es-ES_tradnl"/>
        </w:rPr>
      </w:pPr>
    </w:p>
    <w:p w14:paraId="72E5A053" w14:textId="77777777" w:rsidR="00610A15" w:rsidRPr="001E3078" w:rsidRDefault="00610A15" w:rsidP="00BA3CEA">
      <w:pPr>
        <w:tabs>
          <w:tab w:val="center" w:pos="5400"/>
        </w:tabs>
        <w:suppressAutoHyphens/>
        <w:jc w:val="center"/>
        <w:rPr>
          <w:rFonts w:ascii="Cambria" w:hAnsi="Cambria"/>
          <w:sz w:val="20"/>
          <w:szCs w:val="20"/>
          <w:lang w:val="es-ES_tradnl"/>
        </w:rPr>
      </w:pPr>
    </w:p>
    <w:p w14:paraId="6E449765" w14:textId="77777777" w:rsidR="00610A15" w:rsidRPr="001E3078" w:rsidRDefault="00610A15" w:rsidP="00BA3CEA">
      <w:pPr>
        <w:tabs>
          <w:tab w:val="center" w:pos="5400"/>
        </w:tabs>
        <w:suppressAutoHyphens/>
        <w:jc w:val="center"/>
        <w:rPr>
          <w:rFonts w:ascii="Cambria" w:hAnsi="Cambria"/>
          <w:sz w:val="20"/>
          <w:szCs w:val="20"/>
          <w:lang w:val="es-ES_tradnl"/>
        </w:rPr>
      </w:pPr>
    </w:p>
    <w:p w14:paraId="5870F8A6" w14:textId="77777777" w:rsidR="00610A15" w:rsidRPr="001E3078" w:rsidRDefault="00610A15" w:rsidP="00BA3CEA">
      <w:pPr>
        <w:tabs>
          <w:tab w:val="center" w:pos="5400"/>
        </w:tabs>
        <w:suppressAutoHyphens/>
        <w:jc w:val="center"/>
        <w:rPr>
          <w:rFonts w:ascii="Cambria" w:hAnsi="Cambria"/>
          <w:sz w:val="20"/>
          <w:szCs w:val="20"/>
          <w:lang w:val="es-ES_tradnl"/>
        </w:rPr>
      </w:pPr>
    </w:p>
    <w:p w14:paraId="00FFD4FF" w14:textId="77777777" w:rsidR="00610A15" w:rsidRPr="001E3078" w:rsidRDefault="00610A15" w:rsidP="00BA3CEA">
      <w:pPr>
        <w:tabs>
          <w:tab w:val="center" w:pos="5400"/>
        </w:tabs>
        <w:suppressAutoHyphens/>
        <w:jc w:val="center"/>
        <w:rPr>
          <w:rFonts w:ascii="Cambria" w:hAnsi="Cambria"/>
          <w:sz w:val="20"/>
          <w:szCs w:val="20"/>
          <w:lang w:val="es-ES_tradnl"/>
        </w:rPr>
      </w:pPr>
      <w:r w:rsidRPr="001E3078">
        <w:rPr>
          <w:rFonts w:ascii="Cambria" w:hAnsi="Cambria"/>
          <w:noProof/>
          <w:sz w:val="20"/>
          <w:szCs w:val="20"/>
        </w:rPr>
        <mc:AlternateContent>
          <mc:Choice Requires="wps">
            <w:drawing>
              <wp:anchor distT="0" distB="0" distL="114300" distR="114300" simplePos="0" relativeHeight="251661312" behindDoc="0" locked="0" layoutInCell="1" allowOverlap="1" wp14:anchorId="6A4A1DC4" wp14:editId="3864E3E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33CAA0" w14:textId="793A161F" w:rsidR="000D7A15" w:rsidRPr="00445986" w:rsidRDefault="000D7A15" w:rsidP="00610A15">
                            <w:pPr>
                              <w:tabs>
                                <w:tab w:val="center" w:pos="5400"/>
                              </w:tabs>
                              <w:suppressAutoHyphens/>
                              <w:spacing w:before="60"/>
                              <w:rPr>
                                <w:rFonts w:ascii="Cambria" w:hAnsi="Cambria" w:cs="Univers"/>
                                <w:color w:val="0D0D0D" w:themeColor="text1" w:themeTint="F2"/>
                                <w:sz w:val="18"/>
                                <w:szCs w:val="20"/>
                                <w:lang w:val="es-ES_tradnl"/>
                              </w:rPr>
                            </w:pPr>
                            <w:r w:rsidRPr="00445986">
                              <w:rPr>
                                <w:rFonts w:ascii="Cambria" w:hAnsi="Cambria"/>
                                <w:color w:val="0D0D0D" w:themeColor="text1" w:themeTint="F2"/>
                                <w:sz w:val="18"/>
                                <w:szCs w:val="20"/>
                                <w:lang w:val="es-ES"/>
                              </w:rPr>
                              <w:t>Aprobado por</w:t>
                            </w:r>
                            <w:r w:rsidR="00C16812">
                              <w:rPr>
                                <w:rFonts w:ascii="Cambria" w:hAnsi="Cambria"/>
                                <w:color w:val="0D0D0D" w:themeColor="text1" w:themeTint="F2"/>
                                <w:sz w:val="18"/>
                                <w:szCs w:val="20"/>
                                <w:lang w:val="es-ES"/>
                              </w:rPr>
                              <w:t xml:space="preserve"> la Comisión en su S</w:t>
                            </w:r>
                            <w:r w:rsidR="006A6783">
                              <w:rPr>
                                <w:rFonts w:ascii="Cambria" w:hAnsi="Cambria"/>
                                <w:color w:val="0D0D0D" w:themeColor="text1" w:themeTint="F2"/>
                                <w:sz w:val="18"/>
                                <w:szCs w:val="20"/>
                                <w:lang w:val="es-ES"/>
                              </w:rPr>
                              <w:t>esión No. 2137</w:t>
                            </w:r>
                            <w:r w:rsidRPr="00445986">
                              <w:rPr>
                                <w:rFonts w:ascii="Cambria" w:hAnsi="Cambria"/>
                                <w:color w:val="0D0D0D" w:themeColor="text1" w:themeTint="F2"/>
                                <w:sz w:val="18"/>
                                <w:szCs w:val="20"/>
                                <w:lang w:val="es-ES"/>
                              </w:rPr>
                              <w:t xml:space="preserve"> celebrada el </w:t>
                            </w:r>
                            <w:r w:rsidR="006A6783">
                              <w:rPr>
                                <w:rFonts w:ascii="Cambria" w:hAnsi="Cambria"/>
                                <w:color w:val="0D0D0D" w:themeColor="text1" w:themeTint="F2"/>
                                <w:sz w:val="18"/>
                                <w:szCs w:val="20"/>
                                <w:lang w:val="es-ES"/>
                              </w:rPr>
                              <w:t>5</w:t>
                            </w:r>
                            <w:r w:rsidRPr="00445986">
                              <w:rPr>
                                <w:rFonts w:ascii="Cambria" w:hAnsi="Cambria"/>
                                <w:color w:val="0D0D0D" w:themeColor="text1" w:themeTint="F2"/>
                                <w:sz w:val="18"/>
                                <w:szCs w:val="20"/>
                                <w:lang w:val="es-ES"/>
                              </w:rPr>
                              <w:t xml:space="preserve"> de </w:t>
                            </w:r>
                            <w:r w:rsidR="006A6783">
                              <w:rPr>
                                <w:rFonts w:ascii="Cambria" w:hAnsi="Cambria"/>
                                <w:color w:val="0D0D0D" w:themeColor="text1" w:themeTint="F2"/>
                                <w:sz w:val="18"/>
                                <w:szCs w:val="20"/>
                                <w:lang w:val="es-ES"/>
                              </w:rPr>
                              <w:t>octubre</w:t>
                            </w:r>
                            <w:r>
                              <w:rPr>
                                <w:rFonts w:ascii="Cambria" w:hAnsi="Cambria"/>
                                <w:color w:val="0D0D0D" w:themeColor="text1" w:themeTint="F2"/>
                                <w:sz w:val="18"/>
                                <w:szCs w:val="20"/>
                                <w:lang w:val="es-ES"/>
                              </w:rPr>
                              <w:t xml:space="preserve"> de 2018</w:t>
                            </w:r>
                            <w:r w:rsidRPr="00445986">
                              <w:rPr>
                                <w:rFonts w:ascii="Cambria" w:hAnsi="Cambria"/>
                                <w:color w:val="0D0D0D" w:themeColor="text1" w:themeTint="F2"/>
                                <w:sz w:val="18"/>
                                <w:szCs w:val="20"/>
                                <w:lang w:val="es-ES"/>
                              </w:rPr>
                              <w:br/>
                            </w:r>
                            <w:r w:rsidR="006A6783">
                              <w:rPr>
                                <w:rFonts w:ascii="Cambria" w:hAnsi="Cambria" w:cs="Univers"/>
                                <w:color w:val="0D0D0D" w:themeColor="text1" w:themeTint="F2"/>
                                <w:sz w:val="18"/>
                                <w:szCs w:val="20"/>
                                <w:lang w:val="es-ES_tradnl"/>
                              </w:rPr>
                              <w:t>169</w:t>
                            </w:r>
                            <w:r w:rsidRPr="00445986">
                              <w:rPr>
                                <w:rFonts w:ascii="Cambria" w:hAnsi="Cambria" w:cs="Univers"/>
                                <w:color w:val="0D0D0D" w:themeColor="text1" w:themeTint="F2"/>
                                <w:sz w:val="18"/>
                                <w:szCs w:val="20"/>
                                <w:lang w:val="es-ES_tradnl"/>
                              </w:rPr>
                              <w:t xml:space="preserve"> </w:t>
                            </w:r>
                            <w:r w:rsidR="00C16812">
                              <w:rPr>
                                <w:rFonts w:ascii="Cambria" w:hAnsi="Cambria" w:cs="Univers"/>
                                <w:color w:val="0D0D0D" w:themeColor="text1" w:themeTint="F2"/>
                                <w:sz w:val="18"/>
                                <w:szCs w:val="20"/>
                                <w:lang w:val="es-ES_tradnl"/>
                              </w:rPr>
                              <w:t>Período O</w:t>
                            </w:r>
                            <w:r w:rsidRPr="00445986">
                              <w:rPr>
                                <w:rFonts w:ascii="Cambria" w:hAnsi="Cambria" w:cs="Univers"/>
                                <w:color w:val="0D0D0D" w:themeColor="text1" w:themeTint="F2"/>
                                <w:sz w:val="18"/>
                                <w:szCs w:val="20"/>
                                <w:lang w:val="es-ES_tradnl"/>
                              </w:rPr>
                              <w:t xml:space="preserve">rdinario de </w:t>
                            </w:r>
                            <w:r w:rsidR="00C16812">
                              <w:rPr>
                                <w:rFonts w:ascii="Cambria" w:hAnsi="Cambria" w:cs="Univers"/>
                                <w:color w:val="0D0D0D" w:themeColor="text1" w:themeTint="F2"/>
                                <w:sz w:val="18"/>
                                <w:szCs w:val="20"/>
                                <w:lang w:val="es-ES_tradnl"/>
                              </w:rPr>
                              <w:t>S</w:t>
                            </w:r>
                            <w:r w:rsidRPr="00445986">
                              <w:rPr>
                                <w:rFonts w:ascii="Cambria" w:hAnsi="Cambria" w:cs="Univers"/>
                                <w:color w:val="0D0D0D" w:themeColor="text1" w:themeTint="F2"/>
                                <w:sz w:val="18"/>
                                <w:szCs w:val="20"/>
                                <w:lang w:val="es-ES_tradnl"/>
                              </w:rPr>
                              <w:t>esiones</w:t>
                            </w:r>
                            <w:r w:rsidR="006A6783">
                              <w:rPr>
                                <w:rFonts w:ascii="Cambria" w:hAnsi="Cambria" w:cs="Univers"/>
                                <w:color w:val="0D0D0D" w:themeColor="text1" w:themeTint="F2"/>
                                <w:sz w:val="18"/>
                                <w:szCs w:val="20"/>
                                <w:lang w:val="es-ES_tradnl"/>
                              </w:rPr>
                              <w:t>.</w:t>
                            </w:r>
                          </w:p>
                          <w:p w14:paraId="19F14DDE" w14:textId="77777777" w:rsidR="000D7A15" w:rsidRPr="00167A34" w:rsidRDefault="000D7A15" w:rsidP="00610A15">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A1DC4"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C33CAA0" w14:textId="793A161F" w:rsidR="000D7A15" w:rsidRPr="00445986" w:rsidRDefault="000D7A15" w:rsidP="00610A15">
                      <w:pPr>
                        <w:tabs>
                          <w:tab w:val="center" w:pos="5400"/>
                        </w:tabs>
                        <w:suppressAutoHyphens/>
                        <w:spacing w:before="60"/>
                        <w:rPr>
                          <w:rFonts w:ascii="Cambria" w:hAnsi="Cambria" w:cs="Univers"/>
                          <w:color w:val="0D0D0D" w:themeColor="text1" w:themeTint="F2"/>
                          <w:sz w:val="18"/>
                          <w:szCs w:val="20"/>
                          <w:lang w:val="es-ES_tradnl"/>
                        </w:rPr>
                      </w:pPr>
                      <w:r w:rsidRPr="00445986">
                        <w:rPr>
                          <w:rFonts w:ascii="Cambria" w:hAnsi="Cambria"/>
                          <w:color w:val="0D0D0D" w:themeColor="text1" w:themeTint="F2"/>
                          <w:sz w:val="18"/>
                          <w:szCs w:val="20"/>
                          <w:lang w:val="es-ES"/>
                        </w:rPr>
                        <w:t>Aprobado por</w:t>
                      </w:r>
                      <w:r w:rsidR="00C16812">
                        <w:rPr>
                          <w:rFonts w:ascii="Cambria" w:hAnsi="Cambria"/>
                          <w:color w:val="0D0D0D" w:themeColor="text1" w:themeTint="F2"/>
                          <w:sz w:val="18"/>
                          <w:szCs w:val="20"/>
                          <w:lang w:val="es-ES"/>
                        </w:rPr>
                        <w:t xml:space="preserve"> la Comisión en su S</w:t>
                      </w:r>
                      <w:r w:rsidR="006A6783">
                        <w:rPr>
                          <w:rFonts w:ascii="Cambria" w:hAnsi="Cambria"/>
                          <w:color w:val="0D0D0D" w:themeColor="text1" w:themeTint="F2"/>
                          <w:sz w:val="18"/>
                          <w:szCs w:val="20"/>
                          <w:lang w:val="es-ES"/>
                        </w:rPr>
                        <w:t>esión No. 2137</w:t>
                      </w:r>
                      <w:r w:rsidRPr="00445986">
                        <w:rPr>
                          <w:rFonts w:ascii="Cambria" w:hAnsi="Cambria"/>
                          <w:color w:val="0D0D0D" w:themeColor="text1" w:themeTint="F2"/>
                          <w:sz w:val="18"/>
                          <w:szCs w:val="20"/>
                          <w:lang w:val="es-ES"/>
                        </w:rPr>
                        <w:t xml:space="preserve"> celebrada el </w:t>
                      </w:r>
                      <w:r w:rsidR="006A6783">
                        <w:rPr>
                          <w:rFonts w:ascii="Cambria" w:hAnsi="Cambria"/>
                          <w:color w:val="0D0D0D" w:themeColor="text1" w:themeTint="F2"/>
                          <w:sz w:val="18"/>
                          <w:szCs w:val="20"/>
                          <w:lang w:val="es-ES"/>
                        </w:rPr>
                        <w:t>5</w:t>
                      </w:r>
                      <w:r w:rsidRPr="00445986">
                        <w:rPr>
                          <w:rFonts w:ascii="Cambria" w:hAnsi="Cambria"/>
                          <w:color w:val="0D0D0D" w:themeColor="text1" w:themeTint="F2"/>
                          <w:sz w:val="18"/>
                          <w:szCs w:val="20"/>
                          <w:lang w:val="es-ES"/>
                        </w:rPr>
                        <w:t xml:space="preserve"> de </w:t>
                      </w:r>
                      <w:r w:rsidR="006A6783">
                        <w:rPr>
                          <w:rFonts w:ascii="Cambria" w:hAnsi="Cambria"/>
                          <w:color w:val="0D0D0D" w:themeColor="text1" w:themeTint="F2"/>
                          <w:sz w:val="18"/>
                          <w:szCs w:val="20"/>
                          <w:lang w:val="es-ES"/>
                        </w:rPr>
                        <w:t>octubre</w:t>
                      </w:r>
                      <w:r>
                        <w:rPr>
                          <w:rFonts w:ascii="Cambria" w:hAnsi="Cambria"/>
                          <w:color w:val="0D0D0D" w:themeColor="text1" w:themeTint="F2"/>
                          <w:sz w:val="18"/>
                          <w:szCs w:val="20"/>
                          <w:lang w:val="es-ES"/>
                        </w:rPr>
                        <w:t xml:space="preserve"> de 2018</w:t>
                      </w:r>
                      <w:r w:rsidRPr="00445986">
                        <w:rPr>
                          <w:rFonts w:ascii="Cambria" w:hAnsi="Cambria"/>
                          <w:color w:val="0D0D0D" w:themeColor="text1" w:themeTint="F2"/>
                          <w:sz w:val="18"/>
                          <w:szCs w:val="20"/>
                          <w:lang w:val="es-ES"/>
                        </w:rPr>
                        <w:br/>
                      </w:r>
                      <w:r w:rsidR="006A6783">
                        <w:rPr>
                          <w:rFonts w:ascii="Cambria" w:hAnsi="Cambria" w:cs="Univers"/>
                          <w:color w:val="0D0D0D" w:themeColor="text1" w:themeTint="F2"/>
                          <w:sz w:val="18"/>
                          <w:szCs w:val="20"/>
                          <w:lang w:val="es-ES_tradnl"/>
                        </w:rPr>
                        <w:t>169</w:t>
                      </w:r>
                      <w:r w:rsidRPr="00445986">
                        <w:rPr>
                          <w:rFonts w:ascii="Cambria" w:hAnsi="Cambria" w:cs="Univers"/>
                          <w:color w:val="0D0D0D" w:themeColor="text1" w:themeTint="F2"/>
                          <w:sz w:val="18"/>
                          <w:szCs w:val="20"/>
                          <w:lang w:val="es-ES_tradnl"/>
                        </w:rPr>
                        <w:t xml:space="preserve"> </w:t>
                      </w:r>
                      <w:r w:rsidR="00C16812">
                        <w:rPr>
                          <w:rFonts w:ascii="Cambria" w:hAnsi="Cambria" w:cs="Univers"/>
                          <w:color w:val="0D0D0D" w:themeColor="text1" w:themeTint="F2"/>
                          <w:sz w:val="18"/>
                          <w:szCs w:val="20"/>
                          <w:lang w:val="es-ES_tradnl"/>
                        </w:rPr>
                        <w:t>Período O</w:t>
                      </w:r>
                      <w:r w:rsidRPr="00445986">
                        <w:rPr>
                          <w:rFonts w:ascii="Cambria" w:hAnsi="Cambria" w:cs="Univers"/>
                          <w:color w:val="0D0D0D" w:themeColor="text1" w:themeTint="F2"/>
                          <w:sz w:val="18"/>
                          <w:szCs w:val="20"/>
                          <w:lang w:val="es-ES_tradnl"/>
                        </w:rPr>
                        <w:t xml:space="preserve">rdinario de </w:t>
                      </w:r>
                      <w:r w:rsidR="00C16812">
                        <w:rPr>
                          <w:rFonts w:ascii="Cambria" w:hAnsi="Cambria" w:cs="Univers"/>
                          <w:color w:val="0D0D0D" w:themeColor="text1" w:themeTint="F2"/>
                          <w:sz w:val="18"/>
                          <w:szCs w:val="20"/>
                          <w:lang w:val="es-ES_tradnl"/>
                        </w:rPr>
                        <w:t>S</w:t>
                      </w:r>
                      <w:r w:rsidRPr="00445986">
                        <w:rPr>
                          <w:rFonts w:ascii="Cambria" w:hAnsi="Cambria" w:cs="Univers"/>
                          <w:color w:val="0D0D0D" w:themeColor="text1" w:themeTint="F2"/>
                          <w:sz w:val="18"/>
                          <w:szCs w:val="20"/>
                          <w:lang w:val="es-ES_tradnl"/>
                        </w:rPr>
                        <w:t>esiones</w:t>
                      </w:r>
                      <w:r w:rsidR="006A6783">
                        <w:rPr>
                          <w:rFonts w:ascii="Cambria" w:hAnsi="Cambria" w:cs="Univers"/>
                          <w:color w:val="0D0D0D" w:themeColor="text1" w:themeTint="F2"/>
                          <w:sz w:val="18"/>
                          <w:szCs w:val="20"/>
                          <w:lang w:val="es-ES_tradnl"/>
                        </w:rPr>
                        <w:t>.</w:t>
                      </w:r>
                    </w:p>
                    <w:p w14:paraId="19F14DDE" w14:textId="77777777" w:rsidR="000D7A15" w:rsidRPr="00167A34" w:rsidRDefault="000D7A15" w:rsidP="00610A15">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19AE232" w14:textId="77777777" w:rsidR="00610A15" w:rsidRPr="001E3078" w:rsidRDefault="00610A15" w:rsidP="00BA3CEA">
      <w:pPr>
        <w:tabs>
          <w:tab w:val="center" w:pos="5400"/>
        </w:tabs>
        <w:suppressAutoHyphens/>
        <w:jc w:val="center"/>
        <w:rPr>
          <w:rFonts w:ascii="Cambria" w:hAnsi="Cambria"/>
          <w:sz w:val="20"/>
          <w:szCs w:val="20"/>
          <w:lang w:val="es-ES_tradnl"/>
        </w:rPr>
      </w:pPr>
    </w:p>
    <w:p w14:paraId="5DE494C5" w14:textId="77777777" w:rsidR="00610A15" w:rsidRPr="001E3078" w:rsidRDefault="00610A15" w:rsidP="00BA3CEA">
      <w:pPr>
        <w:tabs>
          <w:tab w:val="center" w:pos="5400"/>
        </w:tabs>
        <w:suppressAutoHyphens/>
        <w:jc w:val="center"/>
        <w:rPr>
          <w:rFonts w:ascii="Cambria" w:hAnsi="Cambria"/>
          <w:sz w:val="20"/>
          <w:szCs w:val="20"/>
          <w:lang w:val="es-ES_tradnl"/>
        </w:rPr>
      </w:pPr>
    </w:p>
    <w:p w14:paraId="252C31A5" w14:textId="77777777" w:rsidR="00610A15" w:rsidRPr="001E3078" w:rsidRDefault="00610A15" w:rsidP="00BA3CEA">
      <w:pPr>
        <w:tabs>
          <w:tab w:val="center" w:pos="5400"/>
        </w:tabs>
        <w:suppressAutoHyphens/>
        <w:jc w:val="center"/>
        <w:rPr>
          <w:rFonts w:ascii="Cambria" w:hAnsi="Cambria"/>
          <w:sz w:val="20"/>
          <w:szCs w:val="20"/>
          <w:lang w:val="es-ES_tradnl"/>
        </w:rPr>
      </w:pPr>
    </w:p>
    <w:p w14:paraId="2B7945E2" w14:textId="77777777" w:rsidR="00610A15" w:rsidRPr="001E3078" w:rsidRDefault="00610A15" w:rsidP="00BA3CEA">
      <w:pPr>
        <w:tabs>
          <w:tab w:val="center" w:pos="5400"/>
        </w:tabs>
        <w:suppressAutoHyphens/>
        <w:jc w:val="center"/>
        <w:rPr>
          <w:rFonts w:ascii="Cambria" w:hAnsi="Cambria"/>
          <w:sz w:val="20"/>
          <w:szCs w:val="20"/>
          <w:lang w:val="es-ES_tradnl"/>
        </w:rPr>
      </w:pPr>
    </w:p>
    <w:p w14:paraId="667AB8C1" w14:textId="77777777" w:rsidR="00610A15" w:rsidRPr="001E3078" w:rsidRDefault="00610A15" w:rsidP="00BA3CEA">
      <w:pPr>
        <w:tabs>
          <w:tab w:val="center" w:pos="5400"/>
        </w:tabs>
        <w:suppressAutoHyphens/>
        <w:jc w:val="center"/>
        <w:rPr>
          <w:rFonts w:ascii="Cambria" w:hAnsi="Cambria"/>
          <w:sz w:val="20"/>
          <w:szCs w:val="20"/>
          <w:lang w:val="es-ES_tradnl"/>
        </w:rPr>
      </w:pPr>
      <w:r w:rsidRPr="001E3078">
        <w:rPr>
          <w:rFonts w:ascii="Cambria" w:hAnsi="Cambria"/>
          <w:noProof/>
          <w:sz w:val="20"/>
          <w:szCs w:val="20"/>
        </w:rPr>
        <mc:AlternateContent>
          <mc:Choice Requires="wps">
            <w:drawing>
              <wp:anchor distT="0" distB="0" distL="114300" distR="114300" simplePos="0" relativeHeight="251664384" behindDoc="0" locked="0" layoutInCell="1" allowOverlap="1" wp14:anchorId="11883737" wp14:editId="31BAFD1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1BF9AC" w14:textId="2CAF7657" w:rsidR="000D7A15" w:rsidRPr="009D70A3" w:rsidRDefault="000D7A15" w:rsidP="00610A15">
                            <w:pPr>
                              <w:spacing w:line="276" w:lineRule="auto"/>
                              <w:rPr>
                                <w:rFonts w:ascii="Cambria" w:hAnsi="Cambria"/>
                                <w:color w:val="595959" w:themeColor="text1" w:themeTint="A6"/>
                                <w:sz w:val="18"/>
                                <w:szCs w:val="18"/>
                                <w:lang w:val="es-VE"/>
                              </w:rPr>
                            </w:pPr>
                            <w:r w:rsidRPr="00445986">
                              <w:rPr>
                                <w:rFonts w:ascii="Cambria" w:hAnsi="Cambria"/>
                                <w:b/>
                                <w:color w:val="595959" w:themeColor="text1" w:themeTint="A6"/>
                                <w:sz w:val="18"/>
                                <w:szCs w:val="18"/>
                                <w:lang w:val="pt-BR"/>
                              </w:rPr>
                              <w:t>Citar como:</w:t>
                            </w:r>
                            <w:r w:rsidRPr="00445986">
                              <w:rPr>
                                <w:rFonts w:ascii="Cambria" w:hAnsi="Cambria"/>
                                <w:color w:val="595959" w:themeColor="text1" w:themeTint="A6"/>
                                <w:sz w:val="18"/>
                                <w:szCs w:val="18"/>
                                <w:lang w:val="pt-BR"/>
                              </w:rPr>
                              <w:t xml:space="preserve"> CIDH, Informe No. </w:t>
                            </w:r>
                            <w:r w:rsidR="006A6783" w:rsidRPr="006A6783">
                              <w:rPr>
                                <w:rFonts w:ascii="Cambria" w:hAnsi="Cambria"/>
                                <w:color w:val="595959" w:themeColor="text1" w:themeTint="A6"/>
                                <w:sz w:val="18"/>
                                <w:szCs w:val="18"/>
                                <w:lang w:val="pt-BR"/>
                              </w:rPr>
                              <w:t>112</w:t>
                            </w:r>
                            <w:r w:rsidRPr="006A6783">
                              <w:rPr>
                                <w:rFonts w:ascii="Cambria" w:hAnsi="Cambria"/>
                                <w:color w:val="595959" w:themeColor="text1" w:themeTint="A6"/>
                                <w:sz w:val="18"/>
                                <w:szCs w:val="18"/>
                                <w:lang w:val="pt-BR"/>
                              </w:rPr>
                              <w:t xml:space="preserve">/18, Caso 12.910. </w:t>
                            </w:r>
                            <w:r w:rsidRPr="00445986">
                              <w:rPr>
                                <w:rFonts w:ascii="Cambria" w:hAnsi="Cambria"/>
                                <w:color w:val="595959" w:themeColor="text1" w:themeTint="A6"/>
                                <w:sz w:val="18"/>
                                <w:szCs w:val="18"/>
                                <w:lang w:val="es-ES_tradnl"/>
                              </w:rPr>
                              <w:t>Fondo.</w:t>
                            </w:r>
                            <w:r>
                              <w:rPr>
                                <w:rFonts w:ascii="Cambria" w:hAnsi="Cambria"/>
                                <w:color w:val="595959" w:themeColor="text1" w:themeTint="A6"/>
                                <w:sz w:val="18"/>
                                <w:szCs w:val="18"/>
                                <w:lang w:val="es-ES_tradnl"/>
                              </w:rPr>
                              <w:t xml:space="preserve"> Carlos Julio Aguinaga Aillón. Ecuador</w:t>
                            </w:r>
                            <w:r w:rsidRPr="00445986">
                              <w:rPr>
                                <w:rFonts w:ascii="Cambria" w:hAnsi="Cambria"/>
                                <w:color w:val="595959" w:themeColor="text1" w:themeTint="A6"/>
                                <w:sz w:val="18"/>
                                <w:szCs w:val="18"/>
                                <w:lang w:val="es-ES_tradnl"/>
                              </w:rPr>
                              <w:t xml:space="preserve">. </w:t>
                            </w:r>
                            <w:r w:rsidR="006A6783">
                              <w:rPr>
                                <w:rFonts w:ascii="Cambria" w:hAnsi="Cambria"/>
                                <w:color w:val="595959" w:themeColor="text1" w:themeTint="A6"/>
                                <w:sz w:val="18"/>
                                <w:szCs w:val="18"/>
                                <w:lang w:val="es-VE"/>
                              </w:rPr>
                              <w:t>5</w:t>
                            </w:r>
                            <w:r w:rsidRPr="009D70A3">
                              <w:rPr>
                                <w:rFonts w:ascii="Cambria" w:hAnsi="Cambria"/>
                                <w:color w:val="595959" w:themeColor="text1" w:themeTint="A6"/>
                                <w:sz w:val="18"/>
                                <w:szCs w:val="18"/>
                                <w:lang w:val="es-VE"/>
                              </w:rPr>
                              <w:t xml:space="preserve"> de </w:t>
                            </w:r>
                            <w:r w:rsidR="006A6783">
                              <w:rPr>
                                <w:rFonts w:ascii="Cambria" w:hAnsi="Cambria"/>
                                <w:color w:val="595959" w:themeColor="text1" w:themeTint="A6"/>
                                <w:sz w:val="18"/>
                                <w:szCs w:val="18"/>
                                <w:lang w:val="es-VE"/>
                              </w:rPr>
                              <w:t>octubre de 2018</w:t>
                            </w:r>
                            <w:r w:rsidRPr="009D70A3">
                              <w:rPr>
                                <w:rFonts w:ascii="Cambria" w:hAnsi="Cambria"/>
                                <w:color w:val="595959" w:themeColor="text1" w:themeTint="A6"/>
                                <w:sz w:val="18"/>
                                <w:szCs w:val="18"/>
                                <w:lang w:val="es-V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83737"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91BF9AC" w14:textId="2CAF7657" w:rsidR="000D7A15" w:rsidRPr="009D70A3" w:rsidRDefault="000D7A15" w:rsidP="00610A15">
                      <w:pPr>
                        <w:spacing w:line="276" w:lineRule="auto"/>
                        <w:rPr>
                          <w:rFonts w:ascii="Cambria" w:hAnsi="Cambria"/>
                          <w:color w:val="595959" w:themeColor="text1" w:themeTint="A6"/>
                          <w:sz w:val="18"/>
                          <w:szCs w:val="18"/>
                          <w:lang w:val="es-VE"/>
                        </w:rPr>
                      </w:pPr>
                      <w:r w:rsidRPr="00445986">
                        <w:rPr>
                          <w:rFonts w:ascii="Cambria" w:hAnsi="Cambria"/>
                          <w:b/>
                          <w:color w:val="595959" w:themeColor="text1" w:themeTint="A6"/>
                          <w:sz w:val="18"/>
                          <w:szCs w:val="18"/>
                          <w:lang w:val="pt-BR"/>
                        </w:rPr>
                        <w:t>Citar como:</w:t>
                      </w:r>
                      <w:r w:rsidRPr="00445986">
                        <w:rPr>
                          <w:rFonts w:ascii="Cambria" w:hAnsi="Cambria"/>
                          <w:color w:val="595959" w:themeColor="text1" w:themeTint="A6"/>
                          <w:sz w:val="18"/>
                          <w:szCs w:val="18"/>
                          <w:lang w:val="pt-BR"/>
                        </w:rPr>
                        <w:t xml:space="preserve"> CIDH, Informe No. </w:t>
                      </w:r>
                      <w:r w:rsidR="006A6783" w:rsidRPr="006A6783">
                        <w:rPr>
                          <w:rFonts w:ascii="Cambria" w:hAnsi="Cambria"/>
                          <w:color w:val="595959" w:themeColor="text1" w:themeTint="A6"/>
                          <w:sz w:val="18"/>
                          <w:szCs w:val="18"/>
                          <w:lang w:val="pt-BR"/>
                        </w:rPr>
                        <w:t>112</w:t>
                      </w:r>
                      <w:r w:rsidRPr="006A6783">
                        <w:rPr>
                          <w:rFonts w:ascii="Cambria" w:hAnsi="Cambria"/>
                          <w:color w:val="595959" w:themeColor="text1" w:themeTint="A6"/>
                          <w:sz w:val="18"/>
                          <w:szCs w:val="18"/>
                          <w:lang w:val="pt-BR"/>
                        </w:rPr>
                        <w:t xml:space="preserve">/18, Caso 12.910. </w:t>
                      </w:r>
                      <w:r w:rsidRPr="00445986">
                        <w:rPr>
                          <w:rFonts w:ascii="Cambria" w:hAnsi="Cambria"/>
                          <w:color w:val="595959" w:themeColor="text1" w:themeTint="A6"/>
                          <w:sz w:val="18"/>
                          <w:szCs w:val="18"/>
                          <w:lang w:val="es-ES_tradnl"/>
                        </w:rPr>
                        <w:t>Fondo.</w:t>
                      </w:r>
                      <w:r>
                        <w:rPr>
                          <w:rFonts w:ascii="Cambria" w:hAnsi="Cambria"/>
                          <w:color w:val="595959" w:themeColor="text1" w:themeTint="A6"/>
                          <w:sz w:val="18"/>
                          <w:szCs w:val="18"/>
                          <w:lang w:val="es-ES_tradnl"/>
                        </w:rPr>
                        <w:t xml:space="preserve"> Carlos Julio Aguinaga Aillón. Ecuador</w:t>
                      </w:r>
                      <w:r w:rsidRPr="00445986">
                        <w:rPr>
                          <w:rFonts w:ascii="Cambria" w:hAnsi="Cambria"/>
                          <w:color w:val="595959" w:themeColor="text1" w:themeTint="A6"/>
                          <w:sz w:val="18"/>
                          <w:szCs w:val="18"/>
                          <w:lang w:val="es-ES_tradnl"/>
                        </w:rPr>
                        <w:t xml:space="preserve">. </w:t>
                      </w:r>
                      <w:r w:rsidR="006A6783">
                        <w:rPr>
                          <w:rFonts w:ascii="Cambria" w:hAnsi="Cambria"/>
                          <w:color w:val="595959" w:themeColor="text1" w:themeTint="A6"/>
                          <w:sz w:val="18"/>
                          <w:szCs w:val="18"/>
                          <w:lang w:val="es-VE"/>
                        </w:rPr>
                        <w:t>5</w:t>
                      </w:r>
                      <w:r w:rsidRPr="009D70A3">
                        <w:rPr>
                          <w:rFonts w:ascii="Cambria" w:hAnsi="Cambria"/>
                          <w:color w:val="595959" w:themeColor="text1" w:themeTint="A6"/>
                          <w:sz w:val="18"/>
                          <w:szCs w:val="18"/>
                          <w:lang w:val="es-VE"/>
                        </w:rPr>
                        <w:t xml:space="preserve"> de </w:t>
                      </w:r>
                      <w:r w:rsidR="006A6783">
                        <w:rPr>
                          <w:rFonts w:ascii="Cambria" w:hAnsi="Cambria"/>
                          <w:color w:val="595959" w:themeColor="text1" w:themeTint="A6"/>
                          <w:sz w:val="18"/>
                          <w:szCs w:val="18"/>
                          <w:lang w:val="es-VE"/>
                        </w:rPr>
                        <w:t>octubre de 2018</w:t>
                      </w:r>
                      <w:r w:rsidRPr="009D70A3">
                        <w:rPr>
                          <w:rFonts w:ascii="Cambria" w:hAnsi="Cambria"/>
                          <w:color w:val="595959" w:themeColor="text1" w:themeTint="A6"/>
                          <w:sz w:val="18"/>
                          <w:szCs w:val="18"/>
                          <w:lang w:val="es-VE"/>
                        </w:rPr>
                        <w:t>.</w:t>
                      </w:r>
                    </w:p>
                  </w:txbxContent>
                </v:textbox>
              </v:shape>
            </w:pict>
          </mc:Fallback>
        </mc:AlternateContent>
      </w:r>
    </w:p>
    <w:p w14:paraId="0D0EB329" w14:textId="77777777" w:rsidR="00610A15" w:rsidRPr="001E3078" w:rsidRDefault="00610A15" w:rsidP="00BA3CEA">
      <w:pPr>
        <w:tabs>
          <w:tab w:val="center" w:pos="5400"/>
        </w:tabs>
        <w:suppressAutoHyphens/>
        <w:jc w:val="center"/>
        <w:rPr>
          <w:rFonts w:ascii="Cambria" w:hAnsi="Cambria"/>
          <w:sz w:val="20"/>
          <w:szCs w:val="20"/>
          <w:lang w:val="es-ES_tradnl"/>
        </w:rPr>
      </w:pPr>
    </w:p>
    <w:p w14:paraId="07FBE6B8" w14:textId="77777777" w:rsidR="00610A15" w:rsidRPr="001E3078" w:rsidRDefault="00610A15" w:rsidP="00BA3CEA">
      <w:pPr>
        <w:tabs>
          <w:tab w:val="center" w:pos="5400"/>
        </w:tabs>
        <w:suppressAutoHyphens/>
        <w:jc w:val="center"/>
        <w:rPr>
          <w:rFonts w:ascii="Cambria" w:hAnsi="Cambria"/>
          <w:b/>
          <w:sz w:val="20"/>
          <w:szCs w:val="20"/>
          <w:lang w:val="es-ES_tradnl"/>
        </w:rPr>
      </w:pPr>
      <w:r w:rsidRPr="001E3078">
        <w:rPr>
          <w:rFonts w:ascii="Cambria" w:hAnsi="Cambria"/>
          <w:noProof/>
          <w:sz w:val="20"/>
          <w:szCs w:val="20"/>
        </w:rPr>
        <mc:AlternateContent>
          <mc:Choice Requires="wps">
            <w:drawing>
              <wp:anchor distT="0" distB="0" distL="114300" distR="114300" simplePos="0" relativeHeight="251665408" behindDoc="0" locked="0" layoutInCell="1" allowOverlap="1" wp14:anchorId="6D8C3977" wp14:editId="3785697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5CBD78" w14:textId="77777777" w:rsidR="000D7A15" w:rsidRPr="00D72DC6" w:rsidRDefault="000D7A15" w:rsidP="00610A15">
                            <w:pPr>
                              <w:rPr>
                                <w:color w:val="FFFFFF" w:themeColor="background1"/>
                                <w14:textFill>
                                  <w14:noFill/>
                                </w14:textFill>
                              </w:rPr>
                            </w:pPr>
                            <w:r w:rsidRPr="00D72DC6">
                              <w:rPr>
                                <w:noProof/>
                                <w:color w:val="FFFFFF" w:themeColor="background1"/>
                                <w14:textFill>
                                  <w14:noFill/>
                                </w14:textFill>
                              </w:rPr>
                              <w:drawing>
                                <wp:inline distT="0" distB="0" distL="0" distR="0" wp14:anchorId="7AC9055C" wp14:editId="0CDFA3D8">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C3977"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65CBD78" w14:textId="77777777" w:rsidR="000D7A15" w:rsidRPr="00D72DC6" w:rsidRDefault="000D7A15" w:rsidP="00610A15">
                      <w:pPr>
                        <w:rPr>
                          <w:color w:val="FFFFFF" w:themeColor="background1"/>
                          <w14:textFill>
                            <w14:noFill/>
                          </w14:textFill>
                        </w:rPr>
                      </w:pPr>
                      <w:r w:rsidRPr="00D72DC6">
                        <w:rPr>
                          <w:noProof/>
                          <w:color w:val="FFFFFF" w:themeColor="background1"/>
                          <w14:textFill>
                            <w14:noFill/>
                          </w14:textFill>
                        </w:rPr>
                        <w:drawing>
                          <wp:inline distT="0" distB="0" distL="0" distR="0" wp14:anchorId="7AC9055C" wp14:editId="0CDFA3D8">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1E3078">
        <w:rPr>
          <w:rFonts w:ascii="Cambria" w:hAnsi="Cambria"/>
          <w:noProof/>
          <w:sz w:val="20"/>
          <w:szCs w:val="20"/>
        </w:rPr>
        <mc:AlternateContent>
          <mc:Choice Requires="wps">
            <w:drawing>
              <wp:anchor distT="0" distB="0" distL="114300" distR="114300" simplePos="0" relativeHeight="251666432" behindDoc="0" locked="0" layoutInCell="1" allowOverlap="1" wp14:anchorId="142BCEFA" wp14:editId="6FB0110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34F473" w14:textId="77777777" w:rsidR="000D7A15" w:rsidRPr="004B7EB6" w:rsidRDefault="000D7A15" w:rsidP="00610A15">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BCEFA" id="Text Box 4" o:spid="_x0000_s1032"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D34F473" w14:textId="77777777" w:rsidR="000D7A15" w:rsidRPr="004B7EB6" w:rsidRDefault="000D7A15" w:rsidP="00610A15">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5CEC482" w14:textId="77777777" w:rsidR="00610A15" w:rsidRPr="001E3078" w:rsidRDefault="00610A15" w:rsidP="00BA3CEA">
      <w:pPr>
        <w:tabs>
          <w:tab w:val="center" w:pos="5400"/>
        </w:tabs>
        <w:suppressAutoHyphens/>
        <w:rPr>
          <w:rFonts w:ascii="Cambria" w:hAnsi="Cambria"/>
          <w:b/>
          <w:sz w:val="20"/>
          <w:szCs w:val="20"/>
          <w:lang w:val="es-ES_tradnl"/>
        </w:rPr>
        <w:sectPr w:rsidR="00610A15" w:rsidRPr="001E3078" w:rsidSect="00610A15">
          <w:headerReference w:type="even" r:id="rId10"/>
          <w:headerReference w:type="default" r:id="rId11"/>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26"/>
        </w:sectPr>
      </w:pPr>
    </w:p>
    <w:p w14:paraId="289CA736" w14:textId="77777777" w:rsidR="006F3BE6" w:rsidRDefault="006F3BE6" w:rsidP="00CA2FD8">
      <w:pPr>
        <w:tabs>
          <w:tab w:val="center" w:pos="5400"/>
        </w:tabs>
        <w:suppressAutoHyphens/>
        <w:jc w:val="center"/>
        <w:rPr>
          <w:rFonts w:ascii="Cambria" w:hAnsi="Cambria"/>
          <w:b/>
          <w:sz w:val="18"/>
          <w:szCs w:val="18"/>
          <w:lang w:val="es-ES_tradnl"/>
        </w:rPr>
      </w:pPr>
    </w:p>
    <w:p w14:paraId="48559AC0" w14:textId="4DAC2F42" w:rsidR="00610A15" w:rsidRPr="006F3BE6" w:rsidRDefault="006A6783" w:rsidP="00CA2FD8">
      <w:pPr>
        <w:tabs>
          <w:tab w:val="center" w:pos="5400"/>
        </w:tabs>
        <w:suppressAutoHyphens/>
        <w:jc w:val="center"/>
        <w:rPr>
          <w:rFonts w:ascii="Cambria" w:hAnsi="Cambria"/>
          <w:b/>
          <w:sz w:val="18"/>
          <w:szCs w:val="18"/>
          <w:lang w:val="es-ES_tradnl"/>
        </w:rPr>
      </w:pPr>
      <w:r w:rsidRPr="006F3BE6">
        <w:rPr>
          <w:rFonts w:ascii="Cambria" w:hAnsi="Cambria"/>
          <w:b/>
          <w:sz w:val="18"/>
          <w:szCs w:val="18"/>
          <w:lang w:val="es-ES_tradnl"/>
        </w:rPr>
        <w:t>INFORME No. 112</w:t>
      </w:r>
      <w:r w:rsidR="005B727C" w:rsidRPr="006F3BE6">
        <w:rPr>
          <w:rFonts w:ascii="Cambria" w:hAnsi="Cambria"/>
          <w:b/>
          <w:sz w:val="18"/>
          <w:szCs w:val="18"/>
          <w:lang w:val="es-ES_tradnl"/>
        </w:rPr>
        <w:t>/18</w:t>
      </w:r>
    </w:p>
    <w:p w14:paraId="171E8454" w14:textId="77777777" w:rsidR="00610A15" w:rsidRPr="006F3BE6" w:rsidRDefault="005B727C" w:rsidP="00CA2FD8">
      <w:pPr>
        <w:tabs>
          <w:tab w:val="center" w:pos="5400"/>
        </w:tabs>
        <w:suppressAutoHyphens/>
        <w:jc w:val="center"/>
        <w:rPr>
          <w:rFonts w:ascii="Cambria" w:hAnsi="Cambria"/>
          <w:b/>
          <w:sz w:val="18"/>
          <w:szCs w:val="18"/>
          <w:lang w:val="es-ES_tradnl"/>
        </w:rPr>
      </w:pPr>
      <w:r w:rsidRPr="006F3BE6">
        <w:rPr>
          <w:rFonts w:ascii="Cambria" w:hAnsi="Cambria"/>
          <w:b/>
          <w:sz w:val="18"/>
          <w:szCs w:val="18"/>
          <w:lang w:val="es-ES_tradnl"/>
        </w:rPr>
        <w:t>CASO 12.</w:t>
      </w:r>
      <w:r w:rsidR="009D70A3" w:rsidRPr="006F3BE6">
        <w:rPr>
          <w:rFonts w:ascii="Cambria" w:hAnsi="Cambria"/>
          <w:b/>
          <w:sz w:val="18"/>
          <w:szCs w:val="18"/>
          <w:lang w:val="es-ES_tradnl"/>
        </w:rPr>
        <w:t>9</w:t>
      </w:r>
      <w:r w:rsidRPr="006F3BE6">
        <w:rPr>
          <w:rFonts w:ascii="Cambria" w:hAnsi="Cambria"/>
          <w:b/>
          <w:sz w:val="18"/>
          <w:szCs w:val="18"/>
          <w:lang w:val="es-ES_tradnl"/>
        </w:rPr>
        <w:t>10</w:t>
      </w:r>
    </w:p>
    <w:p w14:paraId="08C7566C" w14:textId="77777777" w:rsidR="00610A15" w:rsidRPr="006F3BE6" w:rsidRDefault="00610A15" w:rsidP="00CA2FD8">
      <w:pPr>
        <w:tabs>
          <w:tab w:val="center" w:pos="5400"/>
        </w:tabs>
        <w:suppressAutoHyphens/>
        <w:jc w:val="center"/>
        <w:rPr>
          <w:rFonts w:ascii="Cambria" w:hAnsi="Cambria"/>
          <w:sz w:val="18"/>
          <w:szCs w:val="18"/>
          <w:lang w:val="es-ES_tradnl"/>
        </w:rPr>
      </w:pPr>
      <w:r w:rsidRPr="006F3BE6">
        <w:rPr>
          <w:rFonts w:ascii="Cambria" w:hAnsi="Cambria"/>
          <w:sz w:val="18"/>
          <w:szCs w:val="18"/>
          <w:lang w:val="es-ES_tradnl"/>
        </w:rPr>
        <w:t xml:space="preserve">INFORME DE FONDO </w:t>
      </w:r>
    </w:p>
    <w:p w14:paraId="624B20C9" w14:textId="77777777" w:rsidR="00610A15" w:rsidRPr="006F3BE6" w:rsidRDefault="005B727C" w:rsidP="00CA2FD8">
      <w:pPr>
        <w:tabs>
          <w:tab w:val="center" w:pos="5400"/>
        </w:tabs>
        <w:suppressAutoHyphens/>
        <w:jc w:val="center"/>
        <w:rPr>
          <w:rFonts w:ascii="Cambria" w:hAnsi="Cambria"/>
          <w:sz w:val="18"/>
          <w:szCs w:val="18"/>
          <w:lang w:val="es-ES_tradnl"/>
        </w:rPr>
      </w:pPr>
      <w:r w:rsidRPr="006F3BE6">
        <w:rPr>
          <w:rFonts w:ascii="Cambria" w:hAnsi="Cambria"/>
          <w:sz w:val="18"/>
          <w:szCs w:val="18"/>
          <w:lang w:val="es-ES_tradnl"/>
        </w:rPr>
        <w:t>CARLOS JULIO AGUINAGA AILLÓN</w:t>
      </w:r>
    </w:p>
    <w:p w14:paraId="773597A8" w14:textId="77777777" w:rsidR="00610A15" w:rsidRPr="006F3BE6" w:rsidRDefault="005B727C" w:rsidP="00CA2FD8">
      <w:pPr>
        <w:tabs>
          <w:tab w:val="center" w:pos="5400"/>
        </w:tabs>
        <w:suppressAutoHyphens/>
        <w:jc w:val="center"/>
        <w:rPr>
          <w:rFonts w:ascii="Cambria" w:hAnsi="Cambria"/>
          <w:sz w:val="18"/>
          <w:szCs w:val="18"/>
          <w:lang w:val="es-ES_tradnl"/>
        </w:rPr>
      </w:pPr>
      <w:r w:rsidRPr="006F3BE6">
        <w:rPr>
          <w:rFonts w:ascii="Cambria" w:hAnsi="Cambria"/>
          <w:sz w:val="18"/>
          <w:szCs w:val="18"/>
          <w:lang w:val="es-ES_tradnl"/>
        </w:rPr>
        <w:t>ECUADOR</w:t>
      </w:r>
    </w:p>
    <w:p w14:paraId="5E0803A9" w14:textId="170B34EC" w:rsidR="00610A15" w:rsidRPr="006F3BE6" w:rsidRDefault="006A6783" w:rsidP="00CA2FD8">
      <w:pPr>
        <w:tabs>
          <w:tab w:val="center" w:pos="5400"/>
        </w:tabs>
        <w:suppressAutoHyphens/>
        <w:jc w:val="center"/>
        <w:rPr>
          <w:rFonts w:ascii="Cambria" w:hAnsi="Cambria"/>
          <w:sz w:val="18"/>
          <w:szCs w:val="18"/>
          <w:lang w:val="es-ES_tradnl"/>
        </w:rPr>
      </w:pPr>
      <w:r w:rsidRPr="006F3BE6">
        <w:rPr>
          <w:rFonts w:ascii="Cambria" w:hAnsi="Cambria"/>
          <w:sz w:val="18"/>
          <w:szCs w:val="18"/>
          <w:lang w:val="es-ES_tradnl"/>
        </w:rPr>
        <w:t>5</w:t>
      </w:r>
      <w:r w:rsidR="00610A15" w:rsidRPr="006F3BE6">
        <w:rPr>
          <w:rFonts w:ascii="Cambria" w:hAnsi="Cambria"/>
          <w:sz w:val="18"/>
          <w:szCs w:val="18"/>
          <w:lang w:val="es-ES_tradnl"/>
        </w:rPr>
        <w:t xml:space="preserve"> DE </w:t>
      </w:r>
      <w:r w:rsidRPr="006F3BE6">
        <w:rPr>
          <w:rFonts w:ascii="Cambria" w:hAnsi="Cambria"/>
          <w:sz w:val="18"/>
          <w:szCs w:val="18"/>
          <w:lang w:val="es-ES_tradnl"/>
        </w:rPr>
        <w:t>OCTUBRE</w:t>
      </w:r>
      <w:r w:rsidR="00761A05" w:rsidRPr="006F3BE6">
        <w:rPr>
          <w:rFonts w:ascii="Cambria" w:hAnsi="Cambria"/>
          <w:sz w:val="18"/>
          <w:szCs w:val="18"/>
          <w:lang w:val="es-ES_tradnl"/>
        </w:rPr>
        <w:t xml:space="preserve"> </w:t>
      </w:r>
      <w:r w:rsidR="005B727C" w:rsidRPr="006F3BE6">
        <w:rPr>
          <w:rFonts w:ascii="Cambria" w:hAnsi="Cambria"/>
          <w:sz w:val="18"/>
          <w:szCs w:val="18"/>
          <w:lang w:val="es-ES_tradnl"/>
        </w:rPr>
        <w:t>DE 2018</w:t>
      </w:r>
    </w:p>
    <w:p w14:paraId="74815F81" w14:textId="77777777" w:rsidR="00610A15" w:rsidRPr="001E3078" w:rsidRDefault="00610A15" w:rsidP="00C807B7">
      <w:pPr>
        <w:tabs>
          <w:tab w:val="center" w:pos="5400"/>
        </w:tabs>
        <w:suppressAutoHyphens/>
        <w:rPr>
          <w:rFonts w:ascii="Cambria" w:hAnsi="Cambria"/>
          <w:sz w:val="20"/>
          <w:szCs w:val="20"/>
          <w:lang w:val="es-ES_tradnl"/>
        </w:rPr>
      </w:pPr>
    </w:p>
    <w:p w14:paraId="2239D465" w14:textId="77777777" w:rsidR="00610A15" w:rsidRPr="001E3078" w:rsidRDefault="00610A15" w:rsidP="00CA2FD8">
      <w:pPr>
        <w:tabs>
          <w:tab w:val="center" w:pos="5400"/>
        </w:tabs>
        <w:suppressAutoHyphens/>
        <w:jc w:val="center"/>
        <w:rPr>
          <w:rFonts w:ascii="Cambria" w:hAnsi="Cambria"/>
          <w:b/>
          <w:sz w:val="20"/>
          <w:szCs w:val="20"/>
          <w:lang w:val="es-ES_tradnl"/>
        </w:rPr>
      </w:pPr>
      <w:r w:rsidRPr="001E3078">
        <w:rPr>
          <w:rFonts w:ascii="Cambria" w:hAnsi="Cambria"/>
          <w:b/>
          <w:sz w:val="20"/>
          <w:szCs w:val="20"/>
          <w:lang w:val="es-ES_tradnl"/>
        </w:rPr>
        <w:t>ÍNDICE</w:t>
      </w:r>
    </w:p>
    <w:sdt>
      <w:sdtPr>
        <w:rPr>
          <w:rFonts w:ascii="Times New Roman" w:eastAsia="Arial Unicode MS" w:hAnsi="Times New Roman" w:cs="Times New Roman"/>
          <w:b w:val="0"/>
          <w:bCs w:val="0"/>
          <w:color w:val="auto"/>
          <w:sz w:val="24"/>
          <w:szCs w:val="24"/>
          <w:bdr w:val="nil"/>
          <w:lang w:eastAsia="en-US"/>
        </w:rPr>
        <w:id w:val="-2143880512"/>
        <w:docPartObj>
          <w:docPartGallery w:val="Table of Contents"/>
          <w:docPartUnique/>
        </w:docPartObj>
      </w:sdtPr>
      <w:sdtEndPr>
        <w:rPr>
          <w:noProof/>
        </w:rPr>
      </w:sdtEndPr>
      <w:sdtContent>
        <w:p w14:paraId="1F95FC56" w14:textId="77777777" w:rsidR="00217221" w:rsidRPr="005B727C" w:rsidRDefault="00217221" w:rsidP="00CA2FD8">
          <w:pPr>
            <w:pStyle w:val="TOCHeading"/>
            <w:spacing w:before="0" w:line="240" w:lineRule="auto"/>
            <w:rPr>
              <w:rFonts w:ascii="Cambria" w:hAnsi="Cambria"/>
              <w:b w:val="0"/>
              <w:sz w:val="20"/>
              <w:szCs w:val="20"/>
              <w:lang w:val="es-CO"/>
            </w:rPr>
          </w:pPr>
        </w:p>
        <w:p w14:paraId="352B1A12" w14:textId="51B2656B" w:rsidR="00C12DCE" w:rsidRPr="00C12DCE" w:rsidRDefault="00217221">
          <w:pPr>
            <w:pStyle w:val="TOC1"/>
            <w:rPr>
              <w:rFonts w:eastAsiaTheme="minorEastAsia" w:cstheme="minorBidi"/>
              <w:b w:val="0"/>
              <w:bCs w:val="0"/>
              <w:bdr w:val="none" w:sz="0" w:space="0" w:color="auto"/>
              <w:lang w:val="en-US"/>
            </w:rPr>
          </w:pPr>
          <w:r w:rsidRPr="001E3078">
            <w:fldChar w:fldCharType="begin"/>
          </w:r>
          <w:r w:rsidRPr="001E3078">
            <w:instrText xml:space="preserve"> TOC \o "1-3" \h \z \u </w:instrText>
          </w:r>
          <w:r w:rsidRPr="001E3078">
            <w:fldChar w:fldCharType="separate"/>
          </w:r>
          <w:hyperlink w:anchor="_Toc516681993" w:history="1">
            <w:r w:rsidR="00C12DCE" w:rsidRPr="00C12DCE">
              <w:rPr>
                <w:rStyle w:val="Hyperlink"/>
              </w:rPr>
              <w:t>I.</w:t>
            </w:r>
            <w:r w:rsidR="00C12DCE" w:rsidRPr="00C12DCE">
              <w:rPr>
                <w:rFonts w:eastAsiaTheme="minorEastAsia" w:cstheme="minorBidi"/>
                <w:b w:val="0"/>
                <w:bCs w:val="0"/>
                <w:bdr w:val="none" w:sz="0" w:space="0" w:color="auto"/>
                <w:lang w:val="en-US"/>
              </w:rPr>
              <w:tab/>
            </w:r>
            <w:r w:rsidR="00C12DCE" w:rsidRPr="00C12DCE">
              <w:rPr>
                <w:rStyle w:val="Hyperlink"/>
              </w:rPr>
              <w:t>RESUMEN</w:t>
            </w:r>
            <w:r w:rsidR="00C12DCE" w:rsidRPr="00C12DCE">
              <w:rPr>
                <w:webHidden/>
              </w:rPr>
              <w:tab/>
            </w:r>
            <w:r w:rsidR="00C12DCE" w:rsidRPr="00C12DCE">
              <w:rPr>
                <w:webHidden/>
              </w:rPr>
              <w:fldChar w:fldCharType="begin"/>
            </w:r>
            <w:r w:rsidR="00C12DCE" w:rsidRPr="00C12DCE">
              <w:rPr>
                <w:webHidden/>
              </w:rPr>
              <w:instrText xml:space="preserve"> PAGEREF _Toc516681993 \h </w:instrText>
            </w:r>
            <w:r w:rsidR="00C12DCE" w:rsidRPr="00C12DCE">
              <w:rPr>
                <w:webHidden/>
              </w:rPr>
            </w:r>
            <w:r w:rsidR="00C12DCE" w:rsidRPr="00C12DCE">
              <w:rPr>
                <w:webHidden/>
              </w:rPr>
              <w:fldChar w:fldCharType="separate"/>
            </w:r>
            <w:r w:rsidR="00D150B7">
              <w:rPr>
                <w:webHidden/>
              </w:rPr>
              <w:t>2</w:t>
            </w:r>
            <w:r w:rsidR="00C12DCE" w:rsidRPr="00C12DCE">
              <w:rPr>
                <w:webHidden/>
              </w:rPr>
              <w:fldChar w:fldCharType="end"/>
            </w:r>
          </w:hyperlink>
        </w:p>
        <w:p w14:paraId="5193F66F" w14:textId="2FD7A068" w:rsidR="00C12DCE" w:rsidRPr="00C12DCE" w:rsidRDefault="00D150B7">
          <w:pPr>
            <w:pStyle w:val="TOC1"/>
            <w:rPr>
              <w:rFonts w:eastAsiaTheme="minorEastAsia" w:cstheme="minorBidi"/>
              <w:b w:val="0"/>
              <w:bCs w:val="0"/>
              <w:bdr w:val="none" w:sz="0" w:space="0" w:color="auto"/>
              <w:lang w:val="en-US"/>
            </w:rPr>
          </w:pPr>
          <w:hyperlink w:anchor="_Toc516681994" w:history="1">
            <w:r w:rsidR="00C12DCE" w:rsidRPr="00C12DCE">
              <w:rPr>
                <w:rStyle w:val="Hyperlink"/>
              </w:rPr>
              <w:t>II.</w:t>
            </w:r>
            <w:r w:rsidR="00C12DCE" w:rsidRPr="00C12DCE">
              <w:rPr>
                <w:rFonts w:eastAsiaTheme="minorEastAsia" w:cstheme="minorBidi"/>
                <w:b w:val="0"/>
                <w:bCs w:val="0"/>
                <w:bdr w:val="none" w:sz="0" w:space="0" w:color="auto"/>
                <w:lang w:val="en-US"/>
              </w:rPr>
              <w:tab/>
            </w:r>
            <w:r w:rsidR="00C12DCE" w:rsidRPr="00C12DCE">
              <w:rPr>
                <w:rStyle w:val="Hyperlink"/>
              </w:rPr>
              <w:t>POSICIONES DE LAS PARTES</w:t>
            </w:r>
            <w:r w:rsidR="00C12DCE" w:rsidRPr="00C12DCE">
              <w:rPr>
                <w:webHidden/>
              </w:rPr>
              <w:tab/>
            </w:r>
            <w:r w:rsidR="00C12DCE" w:rsidRPr="00C12DCE">
              <w:rPr>
                <w:webHidden/>
              </w:rPr>
              <w:fldChar w:fldCharType="begin"/>
            </w:r>
            <w:r w:rsidR="00C12DCE" w:rsidRPr="00C12DCE">
              <w:rPr>
                <w:webHidden/>
              </w:rPr>
              <w:instrText xml:space="preserve"> PAGEREF _Toc516681994 \h </w:instrText>
            </w:r>
            <w:r w:rsidR="00C12DCE" w:rsidRPr="00C12DCE">
              <w:rPr>
                <w:webHidden/>
              </w:rPr>
            </w:r>
            <w:r w:rsidR="00C12DCE" w:rsidRPr="00C12DCE">
              <w:rPr>
                <w:webHidden/>
              </w:rPr>
              <w:fldChar w:fldCharType="separate"/>
            </w:r>
            <w:r>
              <w:rPr>
                <w:webHidden/>
              </w:rPr>
              <w:t>2</w:t>
            </w:r>
            <w:r w:rsidR="00C12DCE" w:rsidRPr="00C12DCE">
              <w:rPr>
                <w:webHidden/>
              </w:rPr>
              <w:fldChar w:fldCharType="end"/>
            </w:r>
          </w:hyperlink>
        </w:p>
        <w:p w14:paraId="3461EE9F" w14:textId="4A746591" w:rsidR="00C12DCE" w:rsidRPr="00C12DCE" w:rsidRDefault="00D150B7">
          <w:pPr>
            <w:pStyle w:val="TOC2"/>
            <w:rPr>
              <w:rFonts w:eastAsiaTheme="minorEastAsia" w:cstheme="minorBidi"/>
              <w:bdr w:val="none" w:sz="0" w:space="0" w:color="auto"/>
              <w:lang w:val="en-US" w:eastAsia="en-US"/>
            </w:rPr>
          </w:pPr>
          <w:hyperlink w:anchor="_Toc516681995" w:history="1">
            <w:r w:rsidR="00C12DCE" w:rsidRPr="00C12DCE">
              <w:rPr>
                <w:rStyle w:val="Hyperlink"/>
                <w:lang w:val="es-CO"/>
              </w:rPr>
              <w:t>A.</w:t>
            </w:r>
            <w:r w:rsidR="00C12DCE" w:rsidRPr="00C12DCE">
              <w:rPr>
                <w:rFonts w:eastAsiaTheme="minorEastAsia" w:cstheme="minorBidi"/>
                <w:bdr w:val="none" w:sz="0" w:space="0" w:color="auto"/>
                <w:lang w:val="en-US" w:eastAsia="en-US"/>
              </w:rPr>
              <w:tab/>
            </w:r>
            <w:r w:rsidR="00C12DCE" w:rsidRPr="00C12DCE">
              <w:rPr>
                <w:rStyle w:val="Hyperlink"/>
                <w:lang w:val="es-VE"/>
              </w:rPr>
              <w:t>Parte peticionaria</w:t>
            </w:r>
            <w:r w:rsidR="00C12DCE" w:rsidRPr="00C12DCE">
              <w:rPr>
                <w:webHidden/>
              </w:rPr>
              <w:tab/>
            </w:r>
            <w:r w:rsidR="00C12DCE" w:rsidRPr="00C12DCE">
              <w:rPr>
                <w:webHidden/>
              </w:rPr>
              <w:fldChar w:fldCharType="begin"/>
            </w:r>
            <w:r w:rsidR="00C12DCE" w:rsidRPr="00C12DCE">
              <w:rPr>
                <w:webHidden/>
              </w:rPr>
              <w:instrText xml:space="preserve"> PAGEREF _Toc516681995 \h </w:instrText>
            </w:r>
            <w:r w:rsidR="00C12DCE" w:rsidRPr="00C12DCE">
              <w:rPr>
                <w:webHidden/>
              </w:rPr>
            </w:r>
            <w:r w:rsidR="00C12DCE" w:rsidRPr="00C12DCE">
              <w:rPr>
                <w:webHidden/>
              </w:rPr>
              <w:fldChar w:fldCharType="separate"/>
            </w:r>
            <w:r>
              <w:rPr>
                <w:webHidden/>
              </w:rPr>
              <w:t>2</w:t>
            </w:r>
            <w:r w:rsidR="00C12DCE" w:rsidRPr="00C12DCE">
              <w:rPr>
                <w:webHidden/>
              </w:rPr>
              <w:fldChar w:fldCharType="end"/>
            </w:r>
          </w:hyperlink>
        </w:p>
        <w:p w14:paraId="2C0C0BA0" w14:textId="5A5FCACF" w:rsidR="00C12DCE" w:rsidRPr="00C12DCE" w:rsidRDefault="00D150B7">
          <w:pPr>
            <w:pStyle w:val="TOC2"/>
            <w:rPr>
              <w:rFonts w:eastAsiaTheme="minorEastAsia" w:cstheme="minorBidi"/>
              <w:bdr w:val="none" w:sz="0" w:space="0" w:color="auto"/>
              <w:lang w:val="en-US" w:eastAsia="en-US"/>
            </w:rPr>
          </w:pPr>
          <w:hyperlink w:anchor="_Toc516681996" w:history="1">
            <w:r w:rsidR="00C12DCE" w:rsidRPr="00C12DCE">
              <w:rPr>
                <w:rStyle w:val="Hyperlink"/>
              </w:rPr>
              <w:t>B.</w:t>
            </w:r>
            <w:r w:rsidR="00C12DCE" w:rsidRPr="00C12DCE">
              <w:rPr>
                <w:rFonts w:eastAsiaTheme="minorEastAsia" w:cstheme="minorBidi"/>
                <w:bdr w:val="none" w:sz="0" w:space="0" w:color="auto"/>
                <w:lang w:val="en-US" w:eastAsia="en-US"/>
              </w:rPr>
              <w:tab/>
            </w:r>
            <w:r w:rsidR="00C12DCE" w:rsidRPr="00C12DCE">
              <w:rPr>
                <w:rStyle w:val="Hyperlink"/>
              </w:rPr>
              <w:t>Posición del Estado</w:t>
            </w:r>
            <w:r w:rsidR="00C12DCE" w:rsidRPr="00C12DCE">
              <w:rPr>
                <w:webHidden/>
              </w:rPr>
              <w:tab/>
            </w:r>
            <w:r w:rsidR="00C12DCE" w:rsidRPr="00C12DCE">
              <w:rPr>
                <w:webHidden/>
              </w:rPr>
              <w:fldChar w:fldCharType="begin"/>
            </w:r>
            <w:r w:rsidR="00C12DCE" w:rsidRPr="00C12DCE">
              <w:rPr>
                <w:webHidden/>
              </w:rPr>
              <w:instrText xml:space="preserve"> PAGEREF _Toc516681996 \h </w:instrText>
            </w:r>
            <w:r w:rsidR="00C12DCE" w:rsidRPr="00C12DCE">
              <w:rPr>
                <w:webHidden/>
              </w:rPr>
            </w:r>
            <w:r w:rsidR="00C12DCE" w:rsidRPr="00C12DCE">
              <w:rPr>
                <w:webHidden/>
              </w:rPr>
              <w:fldChar w:fldCharType="separate"/>
            </w:r>
            <w:r>
              <w:rPr>
                <w:webHidden/>
              </w:rPr>
              <w:t>4</w:t>
            </w:r>
            <w:r w:rsidR="00C12DCE" w:rsidRPr="00C12DCE">
              <w:rPr>
                <w:webHidden/>
              </w:rPr>
              <w:fldChar w:fldCharType="end"/>
            </w:r>
          </w:hyperlink>
        </w:p>
        <w:p w14:paraId="6526C600" w14:textId="63ABC90F" w:rsidR="00C12DCE" w:rsidRPr="00C12DCE" w:rsidRDefault="00D150B7">
          <w:pPr>
            <w:pStyle w:val="TOC1"/>
            <w:rPr>
              <w:rFonts w:eastAsiaTheme="minorEastAsia" w:cstheme="minorBidi"/>
              <w:b w:val="0"/>
              <w:bCs w:val="0"/>
              <w:bdr w:val="none" w:sz="0" w:space="0" w:color="auto"/>
              <w:lang w:val="en-US"/>
            </w:rPr>
          </w:pPr>
          <w:hyperlink w:anchor="_Toc516681997" w:history="1">
            <w:r w:rsidR="00C12DCE" w:rsidRPr="00C12DCE">
              <w:rPr>
                <w:rStyle w:val="Hyperlink"/>
              </w:rPr>
              <w:t>III.</w:t>
            </w:r>
            <w:r w:rsidR="00C12DCE" w:rsidRPr="00C12DCE">
              <w:rPr>
                <w:rFonts w:eastAsiaTheme="minorEastAsia" w:cstheme="minorBidi"/>
                <w:b w:val="0"/>
                <w:bCs w:val="0"/>
                <w:bdr w:val="none" w:sz="0" w:space="0" w:color="auto"/>
                <w:lang w:val="en-US"/>
              </w:rPr>
              <w:tab/>
            </w:r>
            <w:r w:rsidR="00C12DCE" w:rsidRPr="00C12DCE">
              <w:rPr>
                <w:rStyle w:val="Hyperlink"/>
              </w:rPr>
              <w:t>DETERMINACIONES DE HECHO</w:t>
            </w:r>
            <w:r w:rsidR="00C12DCE" w:rsidRPr="00C12DCE">
              <w:rPr>
                <w:webHidden/>
              </w:rPr>
              <w:tab/>
            </w:r>
            <w:r w:rsidR="00C12DCE" w:rsidRPr="00C12DCE">
              <w:rPr>
                <w:webHidden/>
              </w:rPr>
              <w:fldChar w:fldCharType="begin"/>
            </w:r>
            <w:r w:rsidR="00C12DCE" w:rsidRPr="00C12DCE">
              <w:rPr>
                <w:webHidden/>
              </w:rPr>
              <w:instrText xml:space="preserve"> PAGEREF _Toc516681997 \h </w:instrText>
            </w:r>
            <w:r w:rsidR="00C12DCE" w:rsidRPr="00C12DCE">
              <w:rPr>
                <w:webHidden/>
              </w:rPr>
            </w:r>
            <w:r w:rsidR="00C12DCE" w:rsidRPr="00C12DCE">
              <w:rPr>
                <w:webHidden/>
              </w:rPr>
              <w:fldChar w:fldCharType="separate"/>
            </w:r>
            <w:r>
              <w:rPr>
                <w:webHidden/>
              </w:rPr>
              <w:t>5</w:t>
            </w:r>
            <w:r w:rsidR="00C12DCE" w:rsidRPr="00C12DCE">
              <w:rPr>
                <w:webHidden/>
              </w:rPr>
              <w:fldChar w:fldCharType="end"/>
            </w:r>
          </w:hyperlink>
        </w:p>
        <w:p w14:paraId="1B86D5C7" w14:textId="39DA8B31" w:rsidR="00C12DCE" w:rsidRPr="00C12DCE" w:rsidRDefault="00D150B7">
          <w:pPr>
            <w:pStyle w:val="TOC2"/>
            <w:rPr>
              <w:rFonts w:eastAsiaTheme="minorEastAsia" w:cstheme="minorBidi"/>
              <w:bdr w:val="none" w:sz="0" w:space="0" w:color="auto"/>
              <w:lang w:val="en-US" w:eastAsia="en-US"/>
            </w:rPr>
          </w:pPr>
          <w:hyperlink w:anchor="_Toc516681998" w:history="1">
            <w:r w:rsidR="00C12DCE" w:rsidRPr="00C12DCE">
              <w:rPr>
                <w:rStyle w:val="Hyperlink"/>
                <w:lang w:val="es-VE"/>
              </w:rPr>
              <w:t>A.</w:t>
            </w:r>
            <w:r w:rsidR="00C12DCE" w:rsidRPr="00C12DCE">
              <w:rPr>
                <w:rFonts w:eastAsiaTheme="minorEastAsia" w:cstheme="minorBidi"/>
                <w:bdr w:val="none" w:sz="0" w:space="0" w:color="auto"/>
                <w:lang w:val="en-US" w:eastAsia="en-US"/>
              </w:rPr>
              <w:tab/>
            </w:r>
            <w:r w:rsidR="00C12DCE" w:rsidRPr="00C12DCE">
              <w:rPr>
                <w:rStyle w:val="Hyperlink"/>
                <w:lang w:val="es-VE"/>
              </w:rPr>
              <w:t>Contexto</w:t>
            </w:r>
            <w:r w:rsidR="00C12DCE" w:rsidRPr="00C12DCE">
              <w:rPr>
                <w:webHidden/>
              </w:rPr>
              <w:tab/>
            </w:r>
            <w:r w:rsidR="00C12DCE" w:rsidRPr="00C12DCE">
              <w:rPr>
                <w:webHidden/>
              </w:rPr>
              <w:fldChar w:fldCharType="begin"/>
            </w:r>
            <w:r w:rsidR="00C12DCE" w:rsidRPr="00C12DCE">
              <w:rPr>
                <w:webHidden/>
              </w:rPr>
              <w:instrText xml:space="preserve"> PAGEREF _Toc516681998 \h </w:instrText>
            </w:r>
            <w:r w:rsidR="00C12DCE" w:rsidRPr="00C12DCE">
              <w:rPr>
                <w:webHidden/>
              </w:rPr>
            </w:r>
            <w:r w:rsidR="00C12DCE" w:rsidRPr="00C12DCE">
              <w:rPr>
                <w:webHidden/>
              </w:rPr>
              <w:fldChar w:fldCharType="separate"/>
            </w:r>
            <w:r>
              <w:rPr>
                <w:webHidden/>
              </w:rPr>
              <w:t>5</w:t>
            </w:r>
            <w:r w:rsidR="00C12DCE" w:rsidRPr="00C12DCE">
              <w:rPr>
                <w:webHidden/>
              </w:rPr>
              <w:fldChar w:fldCharType="end"/>
            </w:r>
          </w:hyperlink>
        </w:p>
        <w:p w14:paraId="1EC3FCBA" w14:textId="6C16C851" w:rsidR="00C12DCE" w:rsidRPr="00C12DCE" w:rsidRDefault="00D150B7">
          <w:pPr>
            <w:pStyle w:val="TOC2"/>
            <w:rPr>
              <w:rFonts w:eastAsiaTheme="minorEastAsia" w:cstheme="minorBidi"/>
              <w:bdr w:val="none" w:sz="0" w:space="0" w:color="auto"/>
              <w:lang w:val="en-US" w:eastAsia="en-US"/>
            </w:rPr>
          </w:pPr>
          <w:hyperlink w:anchor="_Toc516681999" w:history="1">
            <w:r w:rsidR="00C12DCE" w:rsidRPr="00C12DCE">
              <w:rPr>
                <w:rStyle w:val="Hyperlink"/>
                <w:lang w:val="es-VE"/>
              </w:rPr>
              <w:t>B.</w:t>
            </w:r>
            <w:r w:rsidR="00C12DCE" w:rsidRPr="00C12DCE">
              <w:rPr>
                <w:rFonts w:eastAsiaTheme="minorEastAsia" w:cstheme="minorBidi"/>
                <w:bdr w:val="none" w:sz="0" w:space="0" w:color="auto"/>
                <w:lang w:val="en-US" w:eastAsia="en-US"/>
              </w:rPr>
              <w:tab/>
            </w:r>
            <w:r w:rsidR="00C12DCE" w:rsidRPr="00C12DCE">
              <w:rPr>
                <w:rStyle w:val="Hyperlink"/>
                <w:lang w:val="es-VE"/>
              </w:rPr>
              <w:t>Marco normativo relevante</w:t>
            </w:r>
            <w:r w:rsidR="00C12DCE" w:rsidRPr="00C12DCE">
              <w:rPr>
                <w:webHidden/>
              </w:rPr>
              <w:tab/>
            </w:r>
            <w:r w:rsidR="00C12DCE" w:rsidRPr="00C12DCE">
              <w:rPr>
                <w:webHidden/>
              </w:rPr>
              <w:fldChar w:fldCharType="begin"/>
            </w:r>
            <w:r w:rsidR="00C12DCE" w:rsidRPr="00C12DCE">
              <w:rPr>
                <w:webHidden/>
              </w:rPr>
              <w:instrText xml:space="preserve"> PAGEREF _Toc516681999 \h </w:instrText>
            </w:r>
            <w:r w:rsidR="00C12DCE" w:rsidRPr="00C12DCE">
              <w:rPr>
                <w:webHidden/>
              </w:rPr>
            </w:r>
            <w:r w:rsidR="00C12DCE" w:rsidRPr="00C12DCE">
              <w:rPr>
                <w:webHidden/>
              </w:rPr>
              <w:fldChar w:fldCharType="separate"/>
            </w:r>
            <w:r>
              <w:rPr>
                <w:webHidden/>
              </w:rPr>
              <w:t>6</w:t>
            </w:r>
            <w:r w:rsidR="00C12DCE" w:rsidRPr="00C12DCE">
              <w:rPr>
                <w:webHidden/>
              </w:rPr>
              <w:fldChar w:fldCharType="end"/>
            </w:r>
          </w:hyperlink>
        </w:p>
        <w:p w14:paraId="5FC31F58" w14:textId="11AE2328" w:rsidR="00C12DCE" w:rsidRPr="00C12DCE" w:rsidRDefault="00D150B7">
          <w:pPr>
            <w:pStyle w:val="TOC2"/>
            <w:rPr>
              <w:rFonts w:eastAsiaTheme="minorEastAsia" w:cstheme="minorBidi"/>
              <w:bdr w:val="none" w:sz="0" w:space="0" w:color="auto"/>
              <w:lang w:val="en-US" w:eastAsia="en-US"/>
            </w:rPr>
          </w:pPr>
          <w:hyperlink w:anchor="_Toc516682000" w:history="1">
            <w:r w:rsidR="00C12DCE" w:rsidRPr="00C12DCE">
              <w:rPr>
                <w:rStyle w:val="Hyperlink"/>
                <w:lang w:val="es-VE"/>
              </w:rPr>
              <w:t>C.</w:t>
            </w:r>
            <w:r w:rsidR="00C12DCE" w:rsidRPr="00C12DCE">
              <w:rPr>
                <w:rFonts w:eastAsiaTheme="minorEastAsia" w:cstheme="minorBidi"/>
                <w:bdr w:val="none" w:sz="0" w:space="0" w:color="auto"/>
                <w:lang w:val="en-US" w:eastAsia="en-US"/>
              </w:rPr>
              <w:tab/>
            </w:r>
            <w:r w:rsidR="00C12DCE" w:rsidRPr="00C12DCE">
              <w:rPr>
                <w:rStyle w:val="Hyperlink"/>
                <w:lang w:val="es-VE"/>
              </w:rPr>
              <w:t>Proceso de nombramiento  de la presunta víctima en el Tribunal Supremo Electoral</w:t>
            </w:r>
            <w:r w:rsidR="00C12DCE" w:rsidRPr="00C12DCE">
              <w:rPr>
                <w:webHidden/>
              </w:rPr>
              <w:tab/>
            </w:r>
            <w:r w:rsidR="00C12DCE" w:rsidRPr="00C12DCE">
              <w:rPr>
                <w:webHidden/>
              </w:rPr>
              <w:fldChar w:fldCharType="begin"/>
            </w:r>
            <w:r w:rsidR="00C12DCE" w:rsidRPr="00C12DCE">
              <w:rPr>
                <w:webHidden/>
              </w:rPr>
              <w:instrText xml:space="preserve"> PAGEREF _Toc516682000 \h </w:instrText>
            </w:r>
            <w:r w:rsidR="00C12DCE" w:rsidRPr="00C12DCE">
              <w:rPr>
                <w:webHidden/>
              </w:rPr>
            </w:r>
            <w:r w:rsidR="00C12DCE" w:rsidRPr="00C12DCE">
              <w:rPr>
                <w:webHidden/>
              </w:rPr>
              <w:fldChar w:fldCharType="separate"/>
            </w:r>
            <w:r>
              <w:rPr>
                <w:webHidden/>
              </w:rPr>
              <w:t>7</w:t>
            </w:r>
            <w:r w:rsidR="00C12DCE" w:rsidRPr="00C12DCE">
              <w:rPr>
                <w:webHidden/>
              </w:rPr>
              <w:fldChar w:fldCharType="end"/>
            </w:r>
          </w:hyperlink>
        </w:p>
        <w:p w14:paraId="5B966083" w14:textId="497A795E" w:rsidR="00C12DCE" w:rsidRPr="00C12DCE" w:rsidRDefault="00D150B7">
          <w:pPr>
            <w:pStyle w:val="TOC2"/>
            <w:rPr>
              <w:rFonts w:eastAsiaTheme="minorEastAsia" w:cstheme="minorBidi"/>
              <w:bdr w:val="none" w:sz="0" w:space="0" w:color="auto"/>
              <w:lang w:val="en-US" w:eastAsia="en-US"/>
            </w:rPr>
          </w:pPr>
          <w:hyperlink w:anchor="_Toc516682001" w:history="1">
            <w:r w:rsidR="00C12DCE" w:rsidRPr="00C12DCE">
              <w:rPr>
                <w:rStyle w:val="Hyperlink"/>
                <w:lang w:val="es-VE"/>
              </w:rPr>
              <w:t>D.</w:t>
            </w:r>
            <w:r w:rsidR="00C12DCE" w:rsidRPr="00C12DCE">
              <w:rPr>
                <w:rFonts w:eastAsiaTheme="minorEastAsia" w:cstheme="minorBidi"/>
                <w:bdr w:val="none" w:sz="0" w:space="0" w:color="auto"/>
                <w:lang w:val="en-US" w:eastAsia="en-US"/>
              </w:rPr>
              <w:tab/>
            </w:r>
            <w:r w:rsidR="00C12DCE" w:rsidRPr="00C12DCE">
              <w:rPr>
                <w:rStyle w:val="Hyperlink"/>
                <w:lang w:val="es-VE"/>
              </w:rPr>
              <w:t>Cese del Tribunal Supremo Electoral</w:t>
            </w:r>
            <w:r w:rsidR="00C12DCE" w:rsidRPr="00C12DCE">
              <w:rPr>
                <w:webHidden/>
              </w:rPr>
              <w:tab/>
            </w:r>
            <w:r w:rsidR="00C12DCE" w:rsidRPr="00C12DCE">
              <w:rPr>
                <w:webHidden/>
              </w:rPr>
              <w:fldChar w:fldCharType="begin"/>
            </w:r>
            <w:r w:rsidR="00C12DCE" w:rsidRPr="00C12DCE">
              <w:rPr>
                <w:webHidden/>
              </w:rPr>
              <w:instrText xml:space="preserve"> PAGEREF _Toc516682001 \h </w:instrText>
            </w:r>
            <w:r w:rsidR="00C12DCE" w:rsidRPr="00C12DCE">
              <w:rPr>
                <w:webHidden/>
              </w:rPr>
            </w:r>
            <w:r w:rsidR="00C12DCE" w:rsidRPr="00C12DCE">
              <w:rPr>
                <w:webHidden/>
              </w:rPr>
              <w:fldChar w:fldCharType="separate"/>
            </w:r>
            <w:r>
              <w:rPr>
                <w:webHidden/>
              </w:rPr>
              <w:t>8</w:t>
            </w:r>
            <w:r w:rsidR="00C12DCE" w:rsidRPr="00C12DCE">
              <w:rPr>
                <w:webHidden/>
              </w:rPr>
              <w:fldChar w:fldCharType="end"/>
            </w:r>
          </w:hyperlink>
        </w:p>
        <w:p w14:paraId="330170DC" w14:textId="5763AA8A" w:rsidR="00C12DCE" w:rsidRPr="00C12DCE" w:rsidRDefault="00D150B7">
          <w:pPr>
            <w:pStyle w:val="TOC1"/>
            <w:rPr>
              <w:rFonts w:eastAsiaTheme="minorEastAsia" w:cstheme="minorBidi"/>
              <w:b w:val="0"/>
              <w:bCs w:val="0"/>
              <w:bdr w:val="none" w:sz="0" w:space="0" w:color="auto"/>
              <w:lang w:val="en-US"/>
            </w:rPr>
          </w:pPr>
          <w:hyperlink w:anchor="_Toc516682002" w:history="1">
            <w:r w:rsidR="00C12DCE" w:rsidRPr="00C12DCE">
              <w:rPr>
                <w:rStyle w:val="Hyperlink"/>
              </w:rPr>
              <w:t>IV.</w:t>
            </w:r>
            <w:r w:rsidR="00C12DCE" w:rsidRPr="00C12DCE">
              <w:rPr>
                <w:rFonts w:eastAsiaTheme="minorEastAsia" w:cstheme="minorBidi"/>
                <w:b w:val="0"/>
                <w:bCs w:val="0"/>
                <w:bdr w:val="none" w:sz="0" w:space="0" w:color="auto"/>
                <w:lang w:val="en-US"/>
              </w:rPr>
              <w:tab/>
            </w:r>
            <w:r w:rsidR="00C12DCE" w:rsidRPr="00C12DCE">
              <w:rPr>
                <w:rStyle w:val="Hyperlink"/>
              </w:rPr>
              <w:t>ANALISIS DE DERECHO</w:t>
            </w:r>
            <w:r w:rsidR="00C12DCE" w:rsidRPr="00C12DCE">
              <w:rPr>
                <w:webHidden/>
              </w:rPr>
              <w:tab/>
            </w:r>
            <w:r w:rsidR="00C12DCE" w:rsidRPr="00C12DCE">
              <w:rPr>
                <w:webHidden/>
              </w:rPr>
              <w:fldChar w:fldCharType="begin"/>
            </w:r>
            <w:r w:rsidR="00C12DCE" w:rsidRPr="00C12DCE">
              <w:rPr>
                <w:webHidden/>
              </w:rPr>
              <w:instrText xml:space="preserve"> PAGEREF _Toc516682002 \h </w:instrText>
            </w:r>
            <w:r w:rsidR="00C12DCE" w:rsidRPr="00C12DCE">
              <w:rPr>
                <w:webHidden/>
              </w:rPr>
            </w:r>
            <w:r w:rsidR="00C12DCE" w:rsidRPr="00C12DCE">
              <w:rPr>
                <w:webHidden/>
              </w:rPr>
              <w:fldChar w:fldCharType="separate"/>
            </w:r>
            <w:r>
              <w:rPr>
                <w:webHidden/>
              </w:rPr>
              <w:t>9</w:t>
            </w:r>
            <w:r w:rsidR="00C12DCE" w:rsidRPr="00C12DCE">
              <w:rPr>
                <w:webHidden/>
              </w:rPr>
              <w:fldChar w:fldCharType="end"/>
            </w:r>
          </w:hyperlink>
        </w:p>
        <w:p w14:paraId="595377A5" w14:textId="77077451" w:rsidR="00C12DCE" w:rsidRPr="00C12DCE" w:rsidRDefault="00D150B7">
          <w:pPr>
            <w:pStyle w:val="TOC2"/>
            <w:rPr>
              <w:rFonts w:eastAsiaTheme="minorEastAsia" w:cstheme="minorBidi"/>
              <w:bdr w:val="none" w:sz="0" w:space="0" w:color="auto"/>
              <w:lang w:val="en-US" w:eastAsia="en-US"/>
            </w:rPr>
          </w:pPr>
          <w:hyperlink w:anchor="_Toc516682003" w:history="1">
            <w:r w:rsidR="00C12DCE" w:rsidRPr="00C12DCE">
              <w:rPr>
                <w:rStyle w:val="Hyperlink"/>
              </w:rPr>
              <w:t>A.</w:t>
            </w:r>
            <w:r w:rsidR="00C12DCE" w:rsidRPr="00C12DCE">
              <w:rPr>
                <w:rFonts w:eastAsiaTheme="minorEastAsia" w:cstheme="minorBidi"/>
                <w:bdr w:val="none" w:sz="0" w:space="0" w:color="auto"/>
                <w:lang w:val="en-US" w:eastAsia="en-US"/>
              </w:rPr>
              <w:tab/>
            </w:r>
            <w:r w:rsidR="00C12DCE" w:rsidRPr="00C12DCE">
              <w:rPr>
                <w:rStyle w:val="Hyperlink"/>
              </w:rPr>
              <w:t>Cuestión previa</w:t>
            </w:r>
            <w:r w:rsidR="00C12DCE" w:rsidRPr="00C12DCE">
              <w:rPr>
                <w:webHidden/>
              </w:rPr>
              <w:tab/>
            </w:r>
            <w:r w:rsidR="00C12DCE" w:rsidRPr="00C12DCE">
              <w:rPr>
                <w:webHidden/>
              </w:rPr>
              <w:fldChar w:fldCharType="begin"/>
            </w:r>
            <w:r w:rsidR="00C12DCE" w:rsidRPr="00C12DCE">
              <w:rPr>
                <w:webHidden/>
              </w:rPr>
              <w:instrText xml:space="preserve"> PAGEREF _Toc516682003 \h </w:instrText>
            </w:r>
            <w:r w:rsidR="00C12DCE" w:rsidRPr="00C12DCE">
              <w:rPr>
                <w:webHidden/>
              </w:rPr>
            </w:r>
            <w:r w:rsidR="00C12DCE" w:rsidRPr="00C12DCE">
              <w:rPr>
                <w:webHidden/>
              </w:rPr>
              <w:fldChar w:fldCharType="separate"/>
            </w:r>
            <w:r>
              <w:rPr>
                <w:webHidden/>
              </w:rPr>
              <w:t>9</w:t>
            </w:r>
            <w:r w:rsidR="00C12DCE" w:rsidRPr="00C12DCE">
              <w:rPr>
                <w:webHidden/>
              </w:rPr>
              <w:fldChar w:fldCharType="end"/>
            </w:r>
          </w:hyperlink>
        </w:p>
        <w:p w14:paraId="7221D8F8" w14:textId="2FA640DC" w:rsidR="00C12DCE" w:rsidRPr="00C12DCE" w:rsidRDefault="00D150B7">
          <w:pPr>
            <w:pStyle w:val="TOC3"/>
            <w:tabs>
              <w:tab w:val="left" w:pos="2160"/>
            </w:tabs>
            <w:rPr>
              <w:rFonts w:ascii="Cambria" w:eastAsiaTheme="minorEastAsia" w:hAnsi="Cambria" w:cstheme="minorBidi"/>
              <w:noProof/>
              <w:sz w:val="20"/>
              <w:szCs w:val="20"/>
              <w:bdr w:val="none" w:sz="0" w:space="0" w:color="auto"/>
            </w:rPr>
          </w:pPr>
          <w:hyperlink w:anchor="_Toc516682004" w:history="1">
            <w:r w:rsidR="00C12DCE" w:rsidRPr="00C12DCE">
              <w:rPr>
                <w:rStyle w:val="Hyperlink"/>
                <w:rFonts w:ascii="Cambria" w:hAnsi="Cambria"/>
                <w:noProof/>
                <w:sz w:val="20"/>
                <w:szCs w:val="20"/>
                <w:lang w:val="es-ES_tradnl"/>
              </w:rPr>
              <w:t>1.</w:t>
            </w:r>
            <w:r w:rsidR="00C12DCE" w:rsidRPr="00C12DCE">
              <w:rPr>
                <w:rFonts w:ascii="Cambria" w:eastAsiaTheme="minorEastAsia" w:hAnsi="Cambria" w:cstheme="minorBidi"/>
                <w:noProof/>
                <w:sz w:val="20"/>
                <w:szCs w:val="20"/>
                <w:bdr w:val="none" w:sz="0" w:space="0" w:color="auto"/>
              </w:rPr>
              <w:tab/>
            </w:r>
            <w:r w:rsidR="00C12DCE" w:rsidRPr="00C12DCE">
              <w:rPr>
                <w:rStyle w:val="Hyperlink"/>
                <w:rFonts w:ascii="Cambria" w:hAnsi="Cambria"/>
                <w:noProof/>
                <w:sz w:val="20"/>
                <w:szCs w:val="20"/>
                <w:lang w:val="es-ES_tradnl"/>
              </w:rPr>
              <w:t>Consideraciones generales sobre las garantías aplicables y el principio de independencia judicial</w:t>
            </w:r>
            <w:r w:rsidR="00C12DCE" w:rsidRPr="00C12DCE">
              <w:rPr>
                <w:rFonts w:ascii="Cambria" w:hAnsi="Cambria"/>
                <w:noProof/>
                <w:webHidden/>
                <w:sz w:val="20"/>
                <w:szCs w:val="20"/>
              </w:rPr>
              <w:tab/>
            </w:r>
            <w:r w:rsidR="00C12DCE" w:rsidRPr="00C12DCE">
              <w:rPr>
                <w:rFonts w:ascii="Cambria" w:hAnsi="Cambria"/>
                <w:noProof/>
                <w:webHidden/>
                <w:sz w:val="20"/>
                <w:szCs w:val="20"/>
              </w:rPr>
              <w:fldChar w:fldCharType="begin"/>
            </w:r>
            <w:r w:rsidR="00C12DCE" w:rsidRPr="00C12DCE">
              <w:rPr>
                <w:rFonts w:ascii="Cambria" w:hAnsi="Cambria"/>
                <w:noProof/>
                <w:webHidden/>
                <w:sz w:val="20"/>
                <w:szCs w:val="20"/>
              </w:rPr>
              <w:instrText xml:space="preserve"> PAGEREF _Toc516682004 \h </w:instrText>
            </w:r>
            <w:r w:rsidR="00C12DCE" w:rsidRPr="00C12DCE">
              <w:rPr>
                <w:rFonts w:ascii="Cambria" w:hAnsi="Cambria"/>
                <w:noProof/>
                <w:webHidden/>
                <w:sz w:val="20"/>
                <w:szCs w:val="20"/>
              </w:rPr>
            </w:r>
            <w:r w:rsidR="00C12DCE" w:rsidRPr="00C12DCE">
              <w:rPr>
                <w:rFonts w:ascii="Cambria" w:hAnsi="Cambria"/>
                <w:noProof/>
                <w:webHidden/>
                <w:sz w:val="20"/>
                <w:szCs w:val="20"/>
              </w:rPr>
              <w:fldChar w:fldCharType="separate"/>
            </w:r>
            <w:r>
              <w:rPr>
                <w:rFonts w:ascii="Cambria" w:hAnsi="Cambria"/>
                <w:noProof/>
                <w:webHidden/>
                <w:sz w:val="20"/>
                <w:szCs w:val="20"/>
              </w:rPr>
              <w:t>10</w:t>
            </w:r>
            <w:r w:rsidR="00C12DCE" w:rsidRPr="00C12DCE">
              <w:rPr>
                <w:rFonts w:ascii="Cambria" w:hAnsi="Cambria"/>
                <w:noProof/>
                <w:webHidden/>
                <w:sz w:val="20"/>
                <w:szCs w:val="20"/>
              </w:rPr>
              <w:fldChar w:fldCharType="end"/>
            </w:r>
          </w:hyperlink>
        </w:p>
        <w:p w14:paraId="178D8EBE" w14:textId="29E5EDD5" w:rsidR="00C12DCE" w:rsidRPr="00C12DCE" w:rsidRDefault="00D150B7">
          <w:pPr>
            <w:pStyle w:val="TOC3"/>
            <w:tabs>
              <w:tab w:val="left" w:pos="2160"/>
            </w:tabs>
            <w:rPr>
              <w:rFonts w:ascii="Cambria" w:eastAsiaTheme="minorEastAsia" w:hAnsi="Cambria" w:cstheme="minorBidi"/>
              <w:noProof/>
              <w:sz w:val="20"/>
              <w:szCs w:val="20"/>
              <w:bdr w:val="none" w:sz="0" w:space="0" w:color="auto"/>
            </w:rPr>
          </w:pPr>
          <w:hyperlink w:anchor="_Toc516682005" w:history="1">
            <w:r w:rsidR="00C12DCE" w:rsidRPr="00C12DCE">
              <w:rPr>
                <w:rStyle w:val="Hyperlink"/>
                <w:rFonts w:ascii="Cambria" w:hAnsi="Cambria"/>
                <w:noProof/>
                <w:sz w:val="20"/>
                <w:szCs w:val="20"/>
                <w:lang w:val="es-ES_tradnl"/>
              </w:rPr>
              <w:t>2.</w:t>
            </w:r>
            <w:r w:rsidR="00C12DCE" w:rsidRPr="00C12DCE">
              <w:rPr>
                <w:rFonts w:ascii="Cambria" w:eastAsiaTheme="minorEastAsia" w:hAnsi="Cambria" w:cstheme="minorBidi"/>
                <w:noProof/>
                <w:sz w:val="20"/>
                <w:szCs w:val="20"/>
                <w:bdr w:val="none" w:sz="0" w:space="0" w:color="auto"/>
              </w:rPr>
              <w:tab/>
            </w:r>
            <w:r w:rsidR="00C12DCE" w:rsidRPr="00C12DCE">
              <w:rPr>
                <w:rStyle w:val="Hyperlink"/>
                <w:rFonts w:ascii="Cambria" w:hAnsi="Cambria"/>
                <w:noProof/>
                <w:sz w:val="20"/>
                <w:szCs w:val="20"/>
                <w:lang w:val="es-ES_tradnl"/>
              </w:rPr>
              <w:t>El derecho a contar con una autoridad competente mediante procedimientos previamente establecidos y principio de legalidad</w:t>
            </w:r>
            <w:r w:rsidR="00C12DCE" w:rsidRPr="00C12DCE">
              <w:rPr>
                <w:rFonts w:ascii="Cambria" w:hAnsi="Cambria"/>
                <w:noProof/>
                <w:webHidden/>
                <w:sz w:val="20"/>
                <w:szCs w:val="20"/>
              </w:rPr>
              <w:tab/>
            </w:r>
            <w:r w:rsidR="00C12DCE" w:rsidRPr="00C12DCE">
              <w:rPr>
                <w:rFonts w:ascii="Cambria" w:hAnsi="Cambria"/>
                <w:noProof/>
                <w:webHidden/>
                <w:sz w:val="20"/>
                <w:szCs w:val="20"/>
              </w:rPr>
              <w:fldChar w:fldCharType="begin"/>
            </w:r>
            <w:r w:rsidR="00C12DCE" w:rsidRPr="00C12DCE">
              <w:rPr>
                <w:rFonts w:ascii="Cambria" w:hAnsi="Cambria"/>
                <w:noProof/>
                <w:webHidden/>
                <w:sz w:val="20"/>
                <w:szCs w:val="20"/>
              </w:rPr>
              <w:instrText xml:space="preserve"> PAGEREF _Toc516682005 \h </w:instrText>
            </w:r>
            <w:r w:rsidR="00C12DCE" w:rsidRPr="00C12DCE">
              <w:rPr>
                <w:rFonts w:ascii="Cambria" w:hAnsi="Cambria"/>
                <w:noProof/>
                <w:webHidden/>
                <w:sz w:val="20"/>
                <w:szCs w:val="20"/>
              </w:rPr>
            </w:r>
            <w:r w:rsidR="00C12DCE" w:rsidRPr="00C12DCE">
              <w:rPr>
                <w:rFonts w:ascii="Cambria" w:hAnsi="Cambria"/>
                <w:noProof/>
                <w:webHidden/>
                <w:sz w:val="20"/>
                <w:szCs w:val="20"/>
              </w:rPr>
              <w:fldChar w:fldCharType="separate"/>
            </w:r>
            <w:r>
              <w:rPr>
                <w:rFonts w:ascii="Cambria" w:hAnsi="Cambria"/>
                <w:noProof/>
                <w:webHidden/>
                <w:sz w:val="20"/>
                <w:szCs w:val="20"/>
              </w:rPr>
              <w:t>11</w:t>
            </w:r>
            <w:r w:rsidR="00C12DCE" w:rsidRPr="00C12DCE">
              <w:rPr>
                <w:rFonts w:ascii="Cambria" w:hAnsi="Cambria"/>
                <w:noProof/>
                <w:webHidden/>
                <w:sz w:val="20"/>
                <w:szCs w:val="20"/>
              </w:rPr>
              <w:fldChar w:fldCharType="end"/>
            </w:r>
          </w:hyperlink>
        </w:p>
        <w:p w14:paraId="2CA9D130" w14:textId="12F25740" w:rsidR="00C12DCE" w:rsidRPr="00C12DCE" w:rsidRDefault="00D150B7">
          <w:pPr>
            <w:pStyle w:val="TOC3"/>
            <w:tabs>
              <w:tab w:val="left" w:pos="2160"/>
            </w:tabs>
            <w:rPr>
              <w:rFonts w:ascii="Cambria" w:eastAsiaTheme="minorEastAsia" w:hAnsi="Cambria" w:cstheme="minorBidi"/>
              <w:noProof/>
              <w:sz w:val="20"/>
              <w:szCs w:val="20"/>
              <w:bdr w:val="none" w:sz="0" w:space="0" w:color="auto"/>
            </w:rPr>
          </w:pPr>
          <w:hyperlink w:anchor="_Toc516682006" w:history="1">
            <w:r w:rsidR="00C12DCE" w:rsidRPr="00C12DCE">
              <w:rPr>
                <w:rStyle w:val="Hyperlink"/>
                <w:rFonts w:ascii="Cambria" w:hAnsi="Cambria"/>
                <w:noProof/>
                <w:sz w:val="20"/>
                <w:szCs w:val="20"/>
                <w:lang w:val="es-ES_tradnl"/>
              </w:rPr>
              <w:t>3.</w:t>
            </w:r>
            <w:r w:rsidR="00C12DCE" w:rsidRPr="00C12DCE">
              <w:rPr>
                <w:rFonts w:ascii="Cambria" w:eastAsiaTheme="minorEastAsia" w:hAnsi="Cambria" w:cstheme="minorBidi"/>
                <w:noProof/>
                <w:sz w:val="20"/>
                <w:szCs w:val="20"/>
                <w:bdr w:val="none" w:sz="0" w:space="0" w:color="auto"/>
              </w:rPr>
              <w:tab/>
            </w:r>
            <w:r w:rsidR="00C12DCE" w:rsidRPr="00C12DCE">
              <w:rPr>
                <w:rStyle w:val="Hyperlink"/>
                <w:rFonts w:ascii="Cambria" w:hAnsi="Cambria"/>
                <w:noProof/>
                <w:sz w:val="20"/>
                <w:szCs w:val="20"/>
                <w:lang w:val="es-ES_tradnl"/>
              </w:rPr>
              <w:t>Derecho a conocer previa y detalladamente la acusación formulada y de tener el tiempo y los medios adecuados para la defensa</w:t>
            </w:r>
            <w:r w:rsidR="00C12DCE" w:rsidRPr="00C12DCE">
              <w:rPr>
                <w:rFonts w:ascii="Cambria" w:hAnsi="Cambria"/>
                <w:noProof/>
                <w:webHidden/>
                <w:sz w:val="20"/>
                <w:szCs w:val="20"/>
              </w:rPr>
              <w:tab/>
            </w:r>
            <w:r w:rsidR="00C12DCE" w:rsidRPr="00C12DCE">
              <w:rPr>
                <w:rFonts w:ascii="Cambria" w:hAnsi="Cambria"/>
                <w:noProof/>
                <w:webHidden/>
                <w:sz w:val="20"/>
                <w:szCs w:val="20"/>
              </w:rPr>
              <w:fldChar w:fldCharType="begin"/>
            </w:r>
            <w:r w:rsidR="00C12DCE" w:rsidRPr="00C12DCE">
              <w:rPr>
                <w:rFonts w:ascii="Cambria" w:hAnsi="Cambria"/>
                <w:noProof/>
                <w:webHidden/>
                <w:sz w:val="20"/>
                <w:szCs w:val="20"/>
              </w:rPr>
              <w:instrText xml:space="preserve"> PAGEREF _Toc516682006 \h </w:instrText>
            </w:r>
            <w:r w:rsidR="00C12DCE" w:rsidRPr="00C12DCE">
              <w:rPr>
                <w:rFonts w:ascii="Cambria" w:hAnsi="Cambria"/>
                <w:noProof/>
                <w:webHidden/>
                <w:sz w:val="20"/>
                <w:szCs w:val="20"/>
              </w:rPr>
            </w:r>
            <w:r w:rsidR="00C12DCE" w:rsidRPr="00C12DCE">
              <w:rPr>
                <w:rFonts w:ascii="Cambria" w:hAnsi="Cambria"/>
                <w:noProof/>
                <w:webHidden/>
                <w:sz w:val="20"/>
                <w:szCs w:val="20"/>
              </w:rPr>
              <w:fldChar w:fldCharType="separate"/>
            </w:r>
            <w:r>
              <w:rPr>
                <w:rFonts w:ascii="Cambria" w:hAnsi="Cambria"/>
                <w:noProof/>
                <w:webHidden/>
                <w:sz w:val="20"/>
                <w:szCs w:val="20"/>
              </w:rPr>
              <w:t>12</w:t>
            </w:r>
            <w:r w:rsidR="00C12DCE" w:rsidRPr="00C12DCE">
              <w:rPr>
                <w:rFonts w:ascii="Cambria" w:hAnsi="Cambria"/>
                <w:noProof/>
                <w:webHidden/>
                <w:sz w:val="20"/>
                <w:szCs w:val="20"/>
              </w:rPr>
              <w:fldChar w:fldCharType="end"/>
            </w:r>
          </w:hyperlink>
        </w:p>
        <w:p w14:paraId="09CAE0D4" w14:textId="75D2D5D3" w:rsidR="00C12DCE" w:rsidRPr="00C12DCE" w:rsidRDefault="00D150B7">
          <w:pPr>
            <w:pStyle w:val="TOC3"/>
            <w:tabs>
              <w:tab w:val="left" w:pos="2160"/>
            </w:tabs>
            <w:rPr>
              <w:rFonts w:ascii="Cambria" w:eastAsiaTheme="minorEastAsia" w:hAnsi="Cambria" w:cstheme="minorBidi"/>
              <w:noProof/>
              <w:sz w:val="20"/>
              <w:szCs w:val="20"/>
              <w:bdr w:val="none" w:sz="0" w:space="0" w:color="auto"/>
            </w:rPr>
          </w:pPr>
          <w:hyperlink w:anchor="_Toc516682007" w:history="1">
            <w:r w:rsidR="00C12DCE" w:rsidRPr="00C12DCE">
              <w:rPr>
                <w:rStyle w:val="Hyperlink"/>
                <w:rFonts w:ascii="Cambria" w:hAnsi="Cambria"/>
                <w:noProof/>
                <w:sz w:val="20"/>
                <w:szCs w:val="20"/>
                <w:lang w:val="es-ES_tradnl"/>
              </w:rPr>
              <w:t>4.</w:t>
            </w:r>
            <w:r w:rsidR="00C12DCE" w:rsidRPr="00C12DCE">
              <w:rPr>
                <w:rFonts w:ascii="Cambria" w:eastAsiaTheme="minorEastAsia" w:hAnsi="Cambria" w:cstheme="minorBidi"/>
                <w:noProof/>
                <w:sz w:val="20"/>
                <w:szCs w:val="20"/>
                <w:bdr w:val="none" w:sz="0" w:space="0" w:color="auto"/>
              </w:rPr>
              <w:tab/>
            </w:r>
            <w:r w:rsidR="00C12DCE" w:rsidRPr="00C12DCE">
              <w:rPr>
                <w:rStyle w:val="Hyperlink"/>
                <w:rFonts w:ascii="Cambria" w:hAnsi="Cambria"/>
                <w:noProof/>
                <w:sz w:val="20"/>
                <w:szCs w:val="20"/>
                <w:lang w:val="es-ES_tradnl"/>
              </w:rPr>
              <w:t>El derecho a recurrir el fallo y el derecho a la protección judicial</w:t>
            </w:r>
            <w:r w:rsidR="00C12DCE" w:rsidRPr="00C12DCE">
              <w:rPr>
                <w:rFonts w:ascii="Cambria" w:hAnsi="Cambria"/>
                <w:noProof/>
                <w:webHidden/>
                <w:sz w:val="20"/>
                <w:szCs w:val="20"/>
              </w:rPr>
              <w:tab/>
            </w:r>
            <w:r w:rsidR="00C12DCE" w:rsidRPr="00C12DCE">
              <w:rPr>
                <w:rFonts w:ascii="Cambria" w:hAnsi="Cambria"/>
                <w:noProof/>
                <w:webHidden/>
                <w:sz w:val="20"/>
                <w:szCs w:val="20"/>
              </w:rPr>
              <w:fldChar w:fldCharType="begin"/>
            </w:r>
            <w:r w:rsidR="00C12DCE" w:rsidRPr="00C12DCE">
              <w:rPr>
                <w:rFonts w:ascii="Cambria" w:hAnsi="Cambria"/>
                <w:noProof/>
                <w:webHidden/>
                <w:sz w:val="20"/>
                <w:szCs w:val="20"/>
              </w:rPr>
              <w:instrText xml:space="preserve"> PAGEREF _Toc516682007 \h </w:instrText>
            </w:r>
            <w:r w:rsidR="00C12DCE" w:rsidRPr="00C12DCE">
              <w:rPr>
                <w:rFonts w:ascii="Cambria" w:hAnsi="Cambria"/>
                <w:noProof/>
                <w:webHidden/>
                <w:sz w:val="20"/>
                <w:szCs w:val="20"/>
              </w:rPr>
            </w:r>
            <w:r w:rsidR="00C12DCE" w:rsidRPr="00C12DCE">
              <w:rPr>
                <w:rFonts w:ascii="Cambria" w:hAnsi="Cambria"/>
                <w:noProof/>
                <w:webHidden/>
                <w:sz w:val="20"/>
                <w:szCs w:val="20"/>
              </w:rPr>
              <w:fldChar w:fldCharType="separate"/>
            </w:r>
            <w:r>
              <w:rPr>
                <w:rFonts w:ascii="Cambria" w:hAnsi="Cambria"/>
                <w:noProof/>
                <w:webHidden/>
                <w:sz w:val="20"/>
                <w:szCs w:val="20"/>
              </w:rPr>
              <w:t>13</w:t>
            </w:r>
            <w:r w:rsidR="00C12DCE" w:rsidRPr="00C12DCE">
              <w:rPr>
                <w:rFonts w:ascii="Cambria" w:hAnsi="Cambria"/>
                <w:noProof/>
                <w:webHidden/>
                <w:sz w:val="20"/>
                <w:szCs w:val="20"/>
              </w:rPr>
              <w:fldChar w:fldCharType="end"/>
            </w:r>
          </w:hyperlink>
        </w:p>
        <w:p w14:paraId="471FD5F2" w14:textId="2CC9DB84" w:rsidR="00C12DCE" w:rsidRPr="00C12DCE" w:rsidRDefault="00D150B7">
          <w:pPr>
            <w:pStyle w:val="TOC1"/>
            <w:rPr>
              <w:rFonts w:eastAsiaTheme="minorEastAsia" w:cstheme="minorBidi"/>
              <w:b w:val="0"/>
              <w:bCs w:val="0"/>
              <w:bdr w:val="none" w:sz="0" w:space="0" w:color="auto"/>
              <w:lang w:val="en-US"/>
            </w:rPr>
          </w:pPr>
          <w:hyperlink w:anchor="_Toc516682008" w:history="1">
            <w:r w:rsidR="00C12DCE" w:rsidRPr="00C12DCE">
              <w:rPr>
                <w:rStyle w:val="Hyperlink"/>
              </w:rPr>
              <w:t>V.</w:t>
            </w:r>
            <w:r w:rsidR="00C12DCE" w:rsidRPr="00C12DCE">
              <w:rPr>
                <w:rFonts w:eastAsiaTheme="minorEastAsia" w:cstheme="minorBidi"/>
                <w:b w:val="0"/>
                <w:bCs w:val="0"/>
                <w:bdr w:val="none" w:sz="0" w:space="0" w:color="auto"/>
                <w:lang w:val="en-US"/>
              </w:rPr>
              <w:tab/>
            </w:r>
            <w:r w:rsidR="00C12DCE" w:rsidRPr="00C12DCE">
              <w:rPr>
                <w:rStyle w:val="Hyperlink"/>
              </w:rPr>
              <w:t>CONCLUSIONES Y RECOMENDACIONES</w:t>
            </w:r>
            <w:r w:rsidR="00C12DCE" w:rsidRPr="00C12DCE">
              <w:rPr>
                <w:webHidden/>
              </w:rPr>
              <w:tab/>
            </w:r>
            <w:r w:rsidR="00C12DCE" w:rsidRPr="00C12DCE">
              <w:rPr>
                <w:webHidden/>
              </w:rPr>
              <w:fldChar w:fldCharType="begin"/>
            </w:r>
            <w:r w:rsidR="00C12DCE" w:rsidRPr="00C12DCE">
              <w:rPr>
                <w:webHidden/>
              </w:rPr>
              <w:instrText xml:space="preserve"> PAGEREF _Toc516682008 \h </w:instrText>
            </w:r>
            <w:r w:rsidR="00C12DCE" w:rsidRPr="00C12DCE">
              <w:rPr>
                <w:webHidden/>
              </w:rPr>
            </w:r>
            <w:r w:rsidR="00C12DCE" w:rsidRPr="00C12DCE">
              <w:rPr>
                <w:webHidden/>
              </w:rPr>
              <w:fldChar w:fldCharType="separate"/>
            </w:r>
            <w:r>
              <w:rPr>
                <w:webHidden/>
              </w:rPr>
              <w:t>13</w:t>
            </w:r>
            <w:r w:rsidR="00C12DCE" w:rsidRPr="00C12DCE">
              <w:rPr>
                <w:webHidden/>
              </w:rPr>
              <w:fldChar w:fldCharType="end"/>
            </w:r>
          </w:hyperlink>
        </w:p>
        <w:p w14:paraId="0283302D" w14:textId="77777777" w:rsidR="00217221" w:rsidRPr="001E3078" w:rsidRDefault="00217221" w:rsidP="00BA3CEA">
          <w:r w:rsidRPr="001E3078">
            <w:rPr>
              <w:rFonts w:ascii="Cambria" w:hAnsi="Cambria"/>
              <w:bCs/>
              <w:noProof/>
              <w:sz w:val="20"/>
              <w:szCs w:val="20"/>
            </w:rPr>
            <w:fldChar w:fldCharType="end"/>
          </w:r>
        </w:p>
      </w:sdtContent>
    </w:sdt>
    <w:p w14:paraId="7DDBCFFD" w14:textId="77777777" w:rsidR="00610A15" w:rsidRPr="001E3078" w:rsidRDefault="00610A15" w:rsidP="00BF076F">
      <w:pPr>
        <w:tabs>
          <w:tab w:val="center" w:pos="5400"/>
        </w:tabs>
        <w:suppressAutoHyphens/>
        <w:rPr>
          <w:rFonts w:ascii="Cambria" w:hAnsi="Cambria"/>
          <w:sz w:val="20"/>
          <w:szCs w:val="20"/>
          <w:lang w:val="es-ES_tradnl"/>
        </w:rPr>
      </w:pPr>
    </w:p>
    <w:p w14:paraId="74C70C1A" w14:textId="77777777" w:rsidR="00610A15" w:rsidRPr="001E3078" w:rsidRDefault="00610A15" w:rsidP="00BA3CEA">
      <w:pPr>
        <w:rPr>
          <w:rFonts w:ascii="Cambria" w:hAnsi="Cambria" w:cs="Calibri"/>
          <w:sz w:val="20"/>
          <w:szCs w:val="20"/>
          <w:lang w:val="es-ES"/>
        </w:rPr>
      </w:pPr>
    </w:p>
    <w:p w14:paraId="132847A5" w14:textId="77777777" w:rsidR="00F913F4" w:rsidRDefault="00F913F4" w:rsidP="00BF076F">
      <w:pPr>
        <w:tabs>
          <w:tab w:val="center" w:pos="5400"/>
        </w:tabs>
        <w:suppressAutoHyphens/>
        <w:jc w:val="center"/>
        <w:rPr>
          <w:rFonts w:ascii="Cambria" w:hAnsi="Cambria"/>
          <w:b/>
          <w:sz w:val="20"/>
          <w:szCs w:val="20"/>
          <w:lang w:val="es-ES_tradnl"/>
        </w:rPr>
      </w:pPr>
    </w:p>
    <w:p w14:paraId="0B5144B5" w14:textId="77777777" w:rsidR="00F913F4" w:rsidRDefault="00F913F4" w:rsidP="00BF076F">
      <w:pPr>
        <w:tabs>
          <w:tab w:val="center" w:pos="5400"/>
        </w:tabs>
        <w:suppressAutoHyphens/>
        <w:jc w:val="center"/>
        <w:rPr>
          <w:rFonts w:ascii="Cambria" w:hAnsi="Cambria"/>
          <w:b/>
          <w:sz w:val="20"/>
          <w:szCs w:val="20"/>
          <w:lang w:val="es-ES_tradnl"/>
        </w:rPr>
      </w:pPr>
    </w:p>
    <w:p w14:paraId="47C59D55" w14:textId="77777777" w:rsidR="00F913F4" w:rsidRDefault="00F913F4" w:rsidP="00BF076F">
      <w:pPr>
        <w:tabs>
          <w:tab w:val="center" w:pos="5400"/>
        </w:tabs>
        <w:suppressAutoHyphens/>
        <w:jc w:val="center"/>
        <w:rPr>
          <w:rFonts w:ascii="Cambria" w:hAnsi="Cambria"/>
          <w:b/>
          <w:sz w:val="20"/>
          <w:szCs w:val="20"/>
          <w:lang w:val="es-ES_tradnl"/>
        </w:rPr>
      </w:pPr>
    </w:p>
    <w:p w14:paraId="0331ADF5" w14:textId="77777777" w:rsidR="00F913F4" w:rsidRDefault="00F913F4" w:rsidP="00BF076F">
      <w:pPr>
        <w:tabs>
          <w:tab w:val="center" w:pos="5400"/>
        </w:tabs>
        <w:suppressAutoHyphens/>
        <w:jc w:val="center"/>
        <w:rPr>
          <w:rFonts w:ascii="Cambria" w:hAnsi="Cambria"/>
          <w:b/>
          <w:sz w:val="20"/>
          <w:szCs w:val="20"/>
          <w:lang w:val="es-ES_tradnl"/>
        </w:rPr>
      </w:pPr>
    </w:p>
    <w:p w14:paraId="23EB4EF2" w14:textId="77777777" w:rsidR="00F913F4" w:rsidRDefault="00F913F4" w:rsidP="00BF076F">
      <w:pPr>
        <w:tabs>
          <w:tab w:val="center" w:pos="5400"/>
        </w:tabs>
        <w:suppressAutoHyphens/>
        <w:jc w:val="center"/>
        <w:rPr>
          <w:rFonts w:ascii="Cambria" w:hAnsi="Cambria"/>
          <w:b/>
          <w:sz w:val="20"/>
          <w:szCs w:val="20"/>
          <w:lang w:val="es-ES_tradnl"/>
        </w:rPr>
      </w:pPr>
    </w:p>
    <w:p w14:paraId="15406393" w14:textId="77777777" w:rsidR="00F913F4" w:rsidRDefault="00F913F4" w:rsidP="00BF076F">
      <w:pPr>
        <w:tabs>
          <w:tab w:val="center" w:pos="5400"/>
        </w:tabs>
        <w:suppressAutoHyphens/>
        <w:jc w:val="center"/>
        <w:rPr>
          <w:rFonts w:ascii="Cambria" w:hAnsi="Cambria"/>
          <w:b/>
          <w:sz w:val="20"/>
          <w:szCs w:val="20"/>
          <w:lang w:val="es-ES_tradnl"/>
        </w:rPr>
      </w:pPr>
    </w:p>
    <w:p w14:paraId="6238B7B9" w14:textId="77777777" w:rsidR="00F913F4" w:rsidRDefault="00F913F4" w:rsidP="00BF076F">
      <w:pPr>
        <w:tabs>
          <w:tab w:val="center" w:pos="5400"/>
        </w:tabs>
        <w:suppressAutoHyphens/>
        <w:jc w:val="center"/>
        <w:rPr>
          <w:rFonts w:ascii="Cambria" w:hAnsi="Cambria"/>
          <w:b/>
          <w:sz w:val="20"/>
          <w:szCs w:val="20"/>
          <w:lang w:val="es-ES_tradnl"/>
        </w:rPr>
      </w:pPr>
    </w:p>
    <w:p w14:paraId="34ED0C53" w14:textId="77777777" w:rsidR="00F913F4" w:rsidRDefault="00F913F4" w:rsidP="00BF076F">
      <w:pPr>
        <w:tabs>
          <w:tab w:val="center" w:pos="5400"/>
        </w:tabs>
        <w:suppressAutoHyphens/>
        <w:jc w:val="center"/>
        <w:rPr>
          <w:rFonts w:ascii="Cambria" w:hAnsi="Cambria"/>
          <w:b/>
          <w:sz w:val="20"/>
          <w:szCs w:val="20"/>
          <w:lang w:val="es-ES_tradnl"/>
        </w:rPr>
      </w:pPr>
    </w:p>
    <w:p w14:paraId="04FE9702" w14:textId="77777777" w:rsidR="00761A05" w:rsidRDefault="00761A05" w:rsidP="00BF076F">
      <w:pPr>
        <w:tabs>
          <w:tab w:val="center" w:pos="5400"/>
        </w:tabs>
        <w:suppressAutoHyphens/>
        <w:jc w:val="center"/>
        <w:rPr>
          <w:rFonts w:ascii="Cambria" w:hAnsi="Cambria"/>
          <w:b/>
          <w:sz w:val="20"/>
          <w:szCs w:val="20"/>
          <w:lang w:val="es-ES_tradnl"/>
        </w:rPr>
      </w:pPr>
    </w:p>
    <w:p w14:paraId="35F3ECD0" w14:textId="77777777" w:rsidR="00761A05" w:rsidRDefault="00761A05" w:rsidP="00BF076F">
      <w:pPr>
        <w:tabs>
          <w:tab w:val="center" w:pos="5400"/>
        </w:tabs>
        <w:suppressAutoHyphens/>
        <w:jc w:val="center"/>
        <w:rPr>
          <w:rFonts w:ascii="Cambria" w:hAnsi="Cambria"/>
          <w:b/>
          <w:sz w:val="20"/>
          <w:szCs w:val="20"/>
          <w:lang w:val="es-ES_tradnl"/>
        </w:rPr>
      </w:pPr>
    </w:p>
    <w:p w14:paraId="69D0AD2B" w14:textId="77777777" w:rsidR="00761A05" w:rsidRDefault="00761A05" w:rsidP="00BF076F">
      <w:pPr>
        <w:tabs>
          <w:tab w:val="center" w:pos="5400"/>
        </w:tabs>
        <w:suppressAutoHyphens/>
        <w:jc w:val="center"/>
        <w:rPr>
          <w:rFonts w:ascii="Cambria" w:hAnsi="Cambria"/>
          <w:b/>
          <w:sz w:val="20"/>
          <w:szCs w:val="20"/>
          <w:lang w:val="es-ES_tradnl"/>
        </w:rPr>
      </w:pPr>
    </w:p>
    <w:p w14:paraId="05904103" w14:textId="77777777" w:rsidR="00761A05" w:rsidRDefault="00761A05" w:rsidP="00BF076F">
      <w:pPr>
        <w:tabs>
          <w:tab w:val="center" w:pos="5400"/>
        </w:tabs>
        <w:suppressAutoHyphens/>
        <w:jc w:val="center"/>
        <w:rPr>
          <w:rFonts w:ascii="Cambria" w:hAnsi="Cambria"/>
          <w:b/>
          <w:sz w:val="20"/>
          <w:szCs w:val="20"/>
          <w:lang w:val="es-ES_tradnl"/>
        </w:rPr>
      </w:pPr>
    </w:p>
    <w:p w14:paraId="3FC1E3DE" w14:textId="77777777" w:rsidR="00761A05" w:rsidRDefault="00761A05" w:rsidP="00BF076F">
      <w:pPr>
        <w:tabs>
          <w:tab w:val="center" w:pos="5400"/>
        </w:tabs>
        <w:suppressAutoHyphens/>
        <w:jc w:val="center"/>
        <w:rPr>
          <w:rFonts w:ascii="Cambria" w:hAnsi="Cambria"/>
          <w:b/>
          <w:sz w:val="20"/>
          <w:szCs w:val="20"/>
          <w:lang w:val="es-ES_tradnl"/>
        </w:rPr>
      </w:pPr>
    </w:p>
    <w:p w14:paraId="0C4F7F2A" w14:textId="77777777" w:rsidR="00761A05" w:rsidRDefault="00761A05" w:rsidP="00BF076F">
      <w:pPr>
        <w:tabs>
          <w:tab w:val="center" w:pos="5400"/>
        </w:tabs>
        <w:suppressAutoHyphens/>
        <w:jc w:val="center"/>
        <w:rPr>
          <w:rFonts w:ascii="Cambria" w:hAnsi="Cambria"/>
          <w:b/>
          <w:sz w:val="20"/>
          <w:szCs w:val="20"/>
          <w:lang w:val="es-ES_tradnl"/>
        </w:rPr>
      </w:pPr>
    </w:p>
    <w:p w14:paraId="60CE149F" w14:textId="77777777" w:rsidR="00761A05" w:rsidRDefault="00761A05" w:rsidP="00BF076F">
      <w:pPr>
        <w:tabs>
          <w:tab w:val="center" w:pos="5400"/>
        </w:tabs>
        <w:suppressAutoHyphens/>
        <w:jc w:val="center"/>
        <w:rPr>
          <w:rFonts w:ascii="Cambria" w:hAnsi="Cambria"/>
          <w:b/>
          <w:sz w:val="20"/>
          <w:szCs w:val="20"/>
          <w:lang w:val="es-ES_tradnl"/>
        </w:rPr>
      </w:pPr>
    </w:p>
    <w:p w14:paraId="5CF9F199" w14:textId="77777777" w:rsidR="00761A05" w:rsidRDefault="00761A05" w:rsidP="00BF076F">
      <w:pPr>
        <w:tabs>
          <w:tab w:val="center" w:pos="5400"/>
        </w:tabs>
        <w:suppressAutoHyphens/>
        <w:jc w:val="center"/>
        <w:rPr>
          <w:rFonts w:ascii="Cambria" w:hAnsi="Cambria"/>
          <w:b/>
          <w:sz w:val="20"/>
          <w:szCs w:val="20"/>
          <w:lang w:val="es-ES_tradnl"/>
        </w:rPr>
      </w:pPr>
    </w:p>
    <w:p w14:paraId="7BB6729D" w14:textId="77777777" w:rsidR="00F913F4" w:rsidRDefault="00F913F4" w:rsidP="00B6518A">
      <w:pPr>
        <w:tabs>
          <w:tab w:val="center" w:pos="5400"/>
        </w:tabs>
        <w:suppressAutoHyphens/>
        <w:rPr>
          <w:rFonts w:ascii="Cambria" w:hAnsi="Cambria"/>
          <w:b/>
          <w:sz w:val="20"/>
          <w:szCs w:val="20"/>
          <w:lang w:val="es-ES_tradnl"/>
        </w:rPr>
      </w:pPr>
    </w:p>
    <w:p w14:paraId="2157F0CA" w14:textId="0932B6A1" w:rsidR="00610A15" w:rsidRPr="006F3BE6" w:rsidRDefault="006A6783" w:rsidP="00BF076F">
      <w:pPr>
        <w:tabs>
          <w:tab w:val="center" w:pos="5400"/>
        </w:tabs>
        <w:suppressAutoHyphens/>
        <w:jc w:val="center"/>
        <w:rPr>
          <w:rFonts w:ascii="Cambria" w:hAnsi="Cambria"/>
          <w:b/>
          <w:sz w:val="18"/>
          <w:szCs w:val="18"/>
          <w:lang w:val="es-ES_tradnl"/>
        </w:rPr>
      </w:pPr>
      <w:r w:rsidRPr="006F3BE6">
        <w:rPr>
          <w:rFonts w:ascii="Cambria" w:hAnsi="Cambria"/>
          <w:b/>
          <w:sz w:val="18"/>
          <w:szCs w:val="18"/>
          <w:lang w:val="es-ES_tradnl"/>
        </w:rPr>
        <w:lastRenderedPageBreak/>
        <w:t>INFORME No. 112</w:t>
      </w:r>
      <w:r w:rsidR="00751EF8" w:rsidRPr="006F3BE6">
        <w:rPr>
          <w:rFonts w:ascii="Cambria" w:hAnsi="Cambria"/>
          <w:b/>
          <w:sz w:val="18"/>
          <w:szCs w:val="18"/>
          <w:lang w:val="es-ES_tradnl"/>
        </w:rPr>
        <w:t>/18</w:t>
      </w:r>
    </w:p>
    <w:p w14:paraId="45BD43AF" w14:textId="77777777" w:rsidR="00610A15" w:rsidRPr="006F3BE6" w:rsidRDefault="00751EF8" w:rsidP="00BF076F">
      <w:pPr>
        <w:tabs>
          <w:tab w:val="center" w:pos="5400"/>
        </w:tabs>
        <w:suppressAutoHyphens/>
        <w:jc w:val="center"/>
        <w:rPr>
          <w:rFonts w:ascii="Cambria" w:hAnsi="Cambria"/>
          <w:b/>
          <w:sz w:val="18"/>
          <w:szCs w:val="18"/>
          <w:lang w:val="es-ES_tradnl"/>
        </w:rPr>
      </w:pPr>
      <w:r w:rsidRPr="006F3BE6">
        <w:rPr>
          <w:rFonts w:ascii="Cambria" w:hAnsi="Cambria"/>
          <w:b/>
          <w:sz w:val="18"/>
          <w:szCs w:val="18"/>
          <w:lang w:val="es-ES_tradnl"/>
        </w:rPr>
        <w:t>CASO 12.</w:t>
      </w:r>
      <w:r w:rsidR="009D70A3" w:rsidRPr="006F3BE6">
        <w:rPr>
          <w:rFonts w:ascii="Cambria" w:hAnsi="Cambria"/>
          <w:b/>
          <w:sz w:val="18"/>
          <w:szCs w:val="18"/>
          <w:lang w:val="es-ES_tradnl"/>
        </w:rPr>
        <w:t>9</w:t>
      </w:r>
      <w:r w:rsidRPr="006F3BE6">
        <w:rPr>
          <w:rFonts w:ascii="Cambria" w:hAnsi="Cambria"/>
          <w:b/>
          <w:sz w:val="18"/>
          <w:szCs w:val="18"/>
          <w:lang w:val="es-ES_tradnl"/>
        </w:rPr>
        <w:t>10</w:t>
      </w:r>
    </w:p>
    <w:p w14:paraId="08DA634C" w14:textId="77777777" w:rsidR="00610A15" w:rsidRPr="006F3BE6" w:rsidRDefault="00610A15" w:rsidP="00BF076F">
      <w:pPr>
        <w:tabs>
          <w:tab w:val="center" w:pos="5400"/>
        </w:tabs>
        <w:suppressAutoHyphens/>
        <w:jc w:val="center"/>
        <w:rPr>
          <w:rFonts w:ascii="Cambria" w:hAnsi="Cambria"/>
          <w:sz w:val="18"/>
          <w:szCs w:val="18"/>
          <w:lang w:val="es-ES_tradnl"/>
        </w:rPr>
      </w:pPr>
      <w:r w:rsidRPr="006F3BE6">
        <w:rPr>
          <w:rFonts w:ascii="Cambria" w:hAnsi="Cambria"/>
          <w:sz w:val="18"/>
          <w:szCs w:val="18"/>
          <w:lang w:val="es-ES_tradnl"/>
        </w:rPr>
        <w:t xml:space="preserve">INFORME DE FONDO </w:t>
      </w:r>
    </w:p>
    <w:p w14:paraId="3D202277" w14:textId="77777777" w:rsidR="00610A15" w:rsidRPr="006F3BE6" w:rsidRDefault="00751EF8" w:rsidP="00BF076F">
      <w:pPr>
        <w:tabs>
          <w:tab w:val="center" w:pos="5400"/>
        </w:tabs>
        <w:suppressAutoHyphens/>
        <w:jc w:val="center"/>
        <w:rPr>
          <w:rFonts w:ascii="Cambria" w:hAnsi="Cambria"/>
          <w:sz w:val="18"/>
          <w:szCs w:val="18"/>
          <w:lang w:val="es-ES_tradnl"/>
        </w:rPr>
      </w:pPr>
      <w:r w:rsidRPr="006F3BE6">
        <w:rPr>
          <w:rFonts w:ascii="Cambria" w:hAnsi="Cambria"/>
          <w:sz w:val="18"/>
          <w:szCs w:val="18"/>
          <w:lang w:val="es-ES_tradnl"/>
        </w:rPr>
        <w:t>CARLOS JULIO AGUINAGA AILLÓN</w:t>
      </w:r>
    </w:p>
    <w:p w14:paraId="14D7107E" w14:textId="77777777" w:rsidR="00610A15" w:rsidRPr="006F3BE6" w:rsidRDefault="00751EF8" w:rsidP="00BF076F">
      <w:pPr>
        <w:tabs>
          <w:tab w:val="center" w:pos="5400"/>
        </w:tabs>
        <w:suppressAutoHyphens/>
        <w:jc w:val="center"/>
        <w:rPr>
          <w:rFonts w:ascii="Cambria" w:hAnsi="Cambria"/>
          <w:sz w:val="18"/>
          <w:szCs w:val="18"/>
          <w:lang w:val="es-ES_tradnl"/>
        </w:rPr>
      </w:pPr>
      <w:r w:rsidRPr="006F3BE6">
        <w:rPr>
          <w:rFonts w:ascii="Cambria" w:hAnsi="Cambria"/>
          <w:sz w:val="18"/>
          <w:szCs w:val="18"/>
          <w:lang w:val="es-ES_tradnl"/>
        </w:rPr>
        <w:t>ECUADOR</w:t>
      </w:r>
    </w:p>
    <w:p w14:paraId="19A05C69" w14:textId="1E1A2F53" w:rsidR="00610A15" w:rsidRPr="006F3BE6" w:rsidRDefault="006A6783" w:rsidP="00BF076F">
      <w:pPr>
        <w:tabs>
          <w:tab w:val="center" w:pos="5400"/>
        </w:tabs>
        <w:suppressAutoHyphens/>
        <w:jc w:val="center"/>
        <w:rPr>
          <w:rFonts w:ascii="Cambria" w:hAnsi="Cambria"/>
          <w:sz w:val="18"/>
          <w:szCs w:val="18"/>
          <w:lang w:val="es-ES_tradnl"/>
        </w:rPr>
      </w:pPr>
      <w:r w:rsidRPr="006F3BE6">
        <w:rPr>
          <w:rFonts w:ascii="Cambria" w:hAnsi="Cambria"/>
          <w:sz w:val="18"/>
          <w:szCs w:val="18"/>
          <w:lang w:val="es-ES_tradnl"/>
        </w:rPr>
        <w:t>5</w:t>
      </w:r>
      <w:r w:rsidR="00610A15" w:rsidRPr="006F3BE6">
        <w:rPr>
          <w:rFonts w:ascii="Cambria" w:hAnsi="Cambria"/>
          <w:sz w:val="18"/>
          <w:szCs w:val="18"/>
          <w:lang w:val="es-ES_tradnl"/>
        </w:rPr>
        <w:t xml:space="preserve"> DE </w:t>
      </w:r>
      <w:r w:rsidRPr="006F3BE6">
        <w:rPr>
          <w:rFonts w:ascii="Cambria" w:hAnsi="Cambria"/>
          <w:sz w:val="18"/>
          <w:szCs w:val="18"/>
          <w:lang w:val="es-ES_tradnl"/>
        </w:rPr>
        <w:t>OCTUBRE</w:t>
      </w:r>
      <w:r w:rsidR="00751EF8" w:rsidRPr="006F3BE6">
        <w:rPr>
          <w:rFonts w:ascii="Cambria" w:hAnsi="Cambria"/>
          <w:sz w:val="18"/>
          <w:szCs w:val="18"/>
          <w:lang w:val="es-ES_tradnl"/>
        </w:rPr>
        <w:t xml:space="preserve"> DE 2018</w:t>
      </w:r>
    </w:p>
    <w:p w14:paraId="3805E92F" w14:textId="77777777" w:rsidR="00610A15" w:rsidRPr="001E3078" w:rsidRDefault="00610A15" w:rsidP="00BF076F">
      <w:pPr>
        <w:tabs>
          <w:tab w:val="center" w:pos="5400"/>
        </w:tabs>
        <w:suppressAutoHyphens/>
        <w:jc w:val="center"/>
        <w:rPr>
          <w:rFonts w:ascii="Cambria" w:hAnsi="Cambria"/>
          <w:sz w:val="20"/>
          <w:szCs w:val="20"/>
          <w:lang w:val="es-ES_tradnl"/>
        </w:rPr>
      </w:pPr>
    </w:p>
    <w:p w14:paraId="55CF7D06" w14:textId="77777777" w:rsidR="00610A15" w:rsidRPr="00BD18BB" w:rsidRDefault="00610A15" w:rsidP="00BA3CEA">
      <w:pPr>
        <w:pStyle w:val="Heading1"/>
        <w:spacing w:before="0"/>
        <w:ind w:firstLine="0"/>
        <w:rPr>
          <w:rFonts w:ascii="Cambria" w:hAnsi="Cambria"/>
          <w:color w:val="auto"/>
          <w:sz w:val="20"/>
          <w:szCs w:val="20"/>
          <w:lang w:val="es-VE"/>
        </w:rPr>
      </w:pPr>
      <w:bookmarkStart w:id="2" w:name="_Toc370840743"/>
      <w:bookmarkStart w:id="3" w:name="_Toc370840839"/>
      <w:bookmarkStart w:id="4" w:name="_Toc423514405"/>
      <w:bookmarkStart w:id="5" w:name="_Toc441166725"/>
      <w:bookmarkStart w:id="6" w:name="_Toc477355340"/>
      <w:bookmarkStart w:id="7" w:name="_Toc516681993"/>
      <w:r w:rsidRPr="00BD18BB">
        <w:rPr>
          <w:rFonts w:ascii="Cambria" w:hAnsi="Cambria"/>
          <w:color w:val="auto"/>
          <w:sz w:val="20"/>
          <w:szCs w:val="20"/>
          <w:lang w:val="es-VE"/>
        </w:rPr>
        <w:t>RESUMEN</w:t>
      </w:r>
      <w:bookmarkEnd w:id="2"/>
      <w:bookmarkEnd w:id="3"/>
      <w:bookmarkEnd w:id="4"/>
      <w:bookmarkEnd w:id="5"/>
      <w:bookmarkEnd w:id="6"/>
      <w:bookmarkEnd w:id="7"/>
    </w:p>
    <w:p w14:paraId="13FC3DED" w14:textId="77777777" w:rsidR="005B727C" w:rsidRDefault="005B727C" w:rsidP="005B727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14:paraId="4EE07268" w14:textId="77777777" w:rsidR="005B727C" w:rsidRPr="007E779B" w:rsidRDefault="005B727C" w:rsidP="007E779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szCs w:val="20"/>
          <w:lang w:val="es-VE"/>
        </w:rPr>
      </w:pPr>
      <w:r w:rsidRPr="007E779B">
        <w:rPr>
          <w:rFonts w:ascii="Cambria" w:hAnsi="Cambria"/>
          <w:sz w:val="20"/>
          <w:szCs w:val="20"/>
          <w:lang w:val="es-VE"/>
        </w:rPr>
        <w:t>El</w:t>
      </w:r>
      <w:r w:rsidRPr="007E779B">
        <w:rPr>
          <w:rFonts w:ascii="Cambria" w:hAnsi="Cambria"/>
          <w:color w:val="000000"/>
          <w:sz w:val="20"/>
          <w:szCs w:val="20"/>
          <w:lang w:val="es-VE"/>
        </w:rPr>
        <w:t xml:space="preserve"> 26 de mayo de 2005 la Comisión Interamericana de Derechos Humanos (en adelante “la Comisión Interamericana”, “la Comisión” o “la CIDH”) recibió una petición presentada por Carlos Julio Aguinaga Aillón (en adelante “la parte peticionaria”) en la cual alega la responsabilidad internacional de la República del Ecuador (en adelante “el Estado ecuatoriano”, “el Estado” o “Ecuador”) por una serie de supuestas violaciones </w:t>
      </w:r>
      <w:r w:rsidR="00A6406B">
        <w:rPr>
          <w:rFonts w:ascii="Cambria" w:hAnsi="Cambria"/>
          <w:color w:val="000000"/>
          <w:sz w:val="20"/>
          <w:szCs w:val="20"/>
          <w:lang w:val="es-VE"/>
        </w:rPr>
        <w:t xml:space="preserve">de derechos humanos </w:t>
      </w:r>
      <w:r w:rsidRPr="007E779B">
        <w:rPr>
          <w:rFonts w:ascii="Cambria" w:hAnsi="Cambria"/>
          <w:color w:val="000000"/>
          <w:sz w:val="20"/>
          <w:szCs w:val="20"/>
          <w:lang w:val="es-VE"/>
        </w:rPr>
        <w:t xml:space="preserve">cometidas en su perjuicio. </w:t>
      </w:r>
    </w:p>
    <w:p w14:paraId="1391DA4C" w14:textId="77777777" w:rsidR="005B727C" w:rsidRPr="007E779B" w:rsidRDefault="005B727C" w:rsidP="007E779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color w:val="000000"/>
          <w:sz w:val="20"/>
          <w:szCs w:val="20"/>
          <w:lang w:val="es-VE"/>
        </w:rPr>
      </w:pPr>
    </w:p>
    <w:p w14:paraId="34E56142" w14:textId="77777777" w:rsidR="00B442FE" w:rsidRDefault="005B727C" w:rsidP="00B442FE">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szCs w:val="20"/>
          <w:lang w:val="es-VE"/>
        </w:rPr>
      </w:pPr>
      <w:r w:rsidRPr="007E779B">
        <w:rPr>
          <w:rFonts w:ascii="Cambria" w:hAnsi="Cambria"/>
          <w:sz w:val="20"/>
          <w:szCs w:val="20"/>
          <w:lang w:val="es-MX"/>
        </w:rPr>
        <w:t>La Comisión aprobó el informe de admisibilidad No. 42/13 el 11 de julio de 2013</w:t>
      </w:r>
      <w:r w:rsidR="002D2CC4" w:rsidRPr="007E779B">
        <w:rPr>
          <w:rStyle w:val="FootnoteReference"/>
          <w:rFonts w:ascii="Cambria" w:hAnsi="Cambria"/>
          <w:sz w:val="20"/>
          <w:szCs w:val="20"/>
          <w:lang w:val="es-MX"/>
        </w:rPr>
        <w:footnoteReference w:id="1"/>
      </w:r>
      <w:r w:rsidRPr="007E779B">
        <w:rPr>
          <w:rFonts w:ascii="Cambria" w:hAnsi="Cambria"/>
          <w:sz w:val="20"/>
          <w:szCs w:val="20"/>
          <w:lang w:val="es-MX"/>
        </w:rPr>
        <w:t>. El 14 de agosto de 2013 la Comisión notificó dicho informe a las partes y se puso a su disposición a fin de llegar a una solución amistosa. Las partes contaron con los plazos reglamentarios para presentar sus observaciones adicionales sobre el fondo</w:t>
      </w:r>
      <w:r w:rsidR="0052716E" w:rsidRPr="007E779B">
        <w:rPr>
          <w:rFonts w:ascii="Cambria" w:hAnsi="Cambria"/>
          <w:sz w:val="20"/>
          <w:szCs w:val="20"/>
          <w:lang w:val="es-MX"/>
        </w:rPr>
        <w:t xml:space="preserve">. </w:t>
      </w:r>
    </w:p>
    <w:p w14:paraId="10D44561" w14:textId="77777777" w:rsidR="00B442FE" w:rsidRDefault="00B442FE" w:rsidP="00B442FE">
      <w:pPr>
        <w:pStyle w:val="ListParagraph"/>
        <w:rPr>
          <w:sz w:val="20"/>
          <w:szCs w:val="20"/>
          <w:highlight w:val="cyan"/>
          <w:lang w:val="es-MX"/>
        </w:rPr>
      </w:pPr>
    </w:p>
    <w:p w14:paraId="0D47471A" w14:textId="5ED0F1AC" w:rsidR="00DC195F" w:rsidRPr="004F3BB4" w:rsidRDefault="005B727C" w:rsidP="00B442FE">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szCs w:val="20"/>
          <w:lang w:val="es-VE"/>
        </w:rPr>
      </w:pPr>
      <w:r w:rsidRPr="00B442FE">
        <w:rPr>
          <w:rFonts w:ascii="Cambria" w:hAnsi="Cambria"/>
          <w:sz w:val="20"/>
          <w:szCs w:val="20"/>
          <w:lang w:val="es-MX"/>
        </w:rPr>
        <w:t>L</w:t>
      </w:r>
      <w:r w:rsidR="00DC195F" w:rsidRPr="00B442FE">
        <w:rPr>
          <w:rFonts w:ascii="Cambria" w:hAnsi="Cambria"/>
          <w:sz w:val="20"/>
          <w:szCs w:val="20"/>
          <w:lang w:val="es-MX"/>
        </w:rPr>
        <w:t>a parte peticionaria indic</w:t>
      </w:r>
      <w:r w:rsidR="00B442FE" w:rsidRPr="00B442FE">
        <w:rPr>
          <w:rFonts w:ascii="Cambria" w:hAnsi="Cambria"/>
          <w:sz w:val="20"/>
          <w:szCs w:val="20"/>
          <w:lang w:val="es-MX"/>
        </w:rPr>
        <w:t xml:space="preserve">ó que en diciembre de 1998 fue designado por el Congreso de la República como Vocal del Tribunal Supremo Electoral para el periodo 1998-2003 y posteriormente fue reelecto para el periodo 2003-2007, sin embargo el 25 de noviembre de 2004 el Congreso Nacional mediante una resolución dispuso su cesación ilegitima, pese a que la legislación interna establecía que las únicas formas en las que el Congreso podía cesarlo eran la fiscalización y el juicio político. Refirió que con ello el Estado ecuatoriano violó diversos derechos reconocidos en la Convención Americana. </w:t>
      </w:r>
    </w:p>
    <w:p w14:paraId="75428FCE" w14:textId="77777777" w:rsidR="004F3BB4" w:rsidRDefault="004F3BB4" w:rsidP="004F3BB4">
      <w:pPr>
        <w:pStyle w:val="ListParagraph"/>
        <w:rPr>
          <w:sz w:val="20"/>
          <w:szCs w:val="20"/>
          <w:lang w:val="es-VE"/>
        </w:rPr>
      </w:pPr>
    </w:p>
    <w:p w14:paraId="59322F04" w14:textId="5AA9BB87" w:rsidR="004F3BB4" w:rsidRPr="00B442FE" w:rsidRDefault="004F3BB4" w:rsidP="00B442FE">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szCs w:val="20"/>
          <w:lang w:val="es-VE"/>
        </w:rPr>
      </w:pPr>
      <w:r>
        <w:rPr>
          <w:rFonts w:ascii="Cambria" w:hAnsi="Cambria"/>
          <w:color w:val="000000"/>
          <w:sz w:val="20"/>
          <w:szCs w:val="20"/>
          <w:lang w:val="es-VE"/>
        </w:rPr>
        <w:t xml:space="preserve">El Estado indicó que </w:t>
      </w:r>
      <w:r w:rsidR="003D08E9">
        <w:rPr>
          <w:rFonts w:ascii="Cambria" w:hAnsi="Cambria"/>
          <w:color w:val="000000"/>
          <w:sz w:val="20"/>
          <w:szCs w:val="20"/>
          <w:lang w:val="es-VE"/>
        </w:rPr>
        <w:t xml:space="preserve">la resolución de cese de los vocales del Tribunal Supremo Electoral fue adoptada legítimamente por el Congreso Nacional ya que la Constitución establecía que el Congreso era el encargado de nombrar a los vocales del Tribunal Supremo Electoral y designar sus reemplazos. Refirió que la decisión adoptada por el Congreso no violó ninguna disposición interna ni obligaciones internacionales contraídas por la República del Ecuador. </w:t>
      </w:r>
    </w:p>
    <w:p w14:paraId="2D383A3D" w14:textId="77777777" w:rsidR="005B727C" w:rsidRPr="003D08E9" w:rsidRDefault="005B727C" w:rsidP="003D08E9">
      <w:pPr>
        <w:jc w:val="both"/>
        <w:rPr>
          <w:sz w:val="20"/>
          <w:szCs w:val="20"/>
          <w:highlight w:val="yellow"/>
          <w:lang w:val="es-MX"/>
        </w:rPr>
      </w:pPr>
    </w:p>
    <w:p w14:paraId="611F0CB3" w14:textId="032A0CDA" w:rsidR="005B727C" w:rsidRPr="00D542F0" w:rsidRDefault="005B727C" w:rsidP="007E779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olor w:val="000000"/>
          <w:sz w:val="20"/>
          <w:szCs w:val="20"/>
          <w:lang w:val="es-VE"/>
        </w:rPr>
      </w:pPr>
      <w:r w:rsidRPr="00D542F0">
        <w:rPr>
          <w:rFonts w:ascii="Cambria" w:hAnsi="Cambria"/>
          <w:sz w:val="20"/>
          <w:szCs w:val="20"/>
          <w:lang w:val="es-MX"/>
        </w:rPr>
        <w:t xml:space="preserve">Con base en las determinaciones de hecho y de derecho, la Comisión Interamericana concluyó que el Estado </w:t>
      </w:r>
      <w:r w:rsidR="009D4D35">
        <w:rPr>
          <w:rFonts w:ascii="Cambria" w:hAnsi="Cambria"/>
          <w:sz w:val="20"/>
          <w:szCs w:val="20"/>
          <w:lang w:val="es-MX"/>
        </w:rPr>
        <w:t xml:space="preserve">ecuatoriano </w:t>
      </w:r>
      <w:r w:rsidRPr="00D542F0">
        <w:rPr>
          <w:rFonts w:ascii="Cambria" w:hAnsi="Cambria"/>
          <w:sz w:val="20"/>
          <w:szCs w:val="20"/>
          <w:lang w:val="es-MX"/>
        </w:rPr>
        <w:t>es responsable por la violación</w:t>
      </w:r>
      <w:r w:rsidR="008E6EBF" w:rsidRPr="00D542F0">
        <w:rPr>
          <w:rFonts w:ascii="Cambria" w:hAnsi="Cambria"/>
          <w:sz w:val="20"/>
          <w:szCs w:val="20"/>
          <w:lang w:val="es-MX"/>
        </w:rPr>
        <w:t xml:space="preserve"> de los artículos </w:t>
      </w:r>
      <w:r w:rsidR="00C732BA" w:rsidRPr="00D542F0">
        <w:rPr>
          <w:rFonts w:ascii="Cambria" w:hAnsi="Cambria" w:cs="Arial"/>
          <w:sz w:val="20"/>
          <w:szCs w:val="20"/>
          <w:lang w:val="es-MX"/>
        </w:rPr>
        <w:t>8</w:t>
      </w:r>
      <w:r w:rsidR="00CB34B5">
        <w:rPr>
          <w:rFonts w:ascii="Cambria" w:hAnsi="Cambria" w:cs="Arial"/>
          <w:sz w:val="20"/>
          <w:szCs w:val="20"/>
          <w:lang w:val="es-MX"/>
        </w:rPr>
        <w:t>.1, 8.2 b), 8.2 c), 8.2 h)</w:t>
      </w:r>
      <w:r w:rsidR="008E6EBF" w:rsidRPr="00D542F0">
        <w:rPr>
          <w:rFonts w:ascii="Cambria" w:hAnsi="Cambria" w:cs="Arial"/>
          <w:sz w:val="20"/>
          <w:szCs w:val="20"/>
          <w:lang w:val="es-MX"/>
        </w:rPr>
        <w:t xml:space="preserve"> (</w:t>
      </w:r>
      <w:r w:rsidR="00390C27" w:rsidRPr="00D542F0">
        <w:rPr>
          <w:rFonts w:ascii="Cambria" w:hAnsi="Cambria" w:cs="Arial"/>
          <w:sz w:val="20"/>
          <w:szCs w:val="20"/>
          <w:lang w:val="es-MX"/>
        </w:rPr>
        <w:t>Garantías Judiciales</w:t>
      </w:r>
      <w:r w:rsidR="008E6EBF" w:rsidRPr="00D542F0">
        <w:rPr>
          <w:rFonts w:ascii="Cambria" w:hAnsi="Cambria" w:cs="Arial"/>
          <w:sz w:val="20"/>
          <w:szCs w:val="20"/>
          <w:lang w:val="es-MX"/>
        </w:rPr>
        <w:t>)</w:t>
      </w:r>
      <w:r w:rsidR="00C732BA" w:rsidRPr="00D542F0">
        <w:rPr>
          <w:rFonts w:ascii="Cambria" w:hAnsi="Cambria" w:cs="Arial"/>
          <w:sz w:val="20"/>
          <w:szCs w:val="20"/>
          <w:lang w:val="es-MX"/>
        </w:rPr>
        <w:t>, 9</w:t>
      </w:r>
      <w:r w:rsidR="008E6EBF" w:rsidRPr="00D542F0">
        <w:rPr>
          <w:rFonts w:ascii="Cambria" w:hAnsi="Cambria" w:cs="Arial"/>
          <w:sz w:val="20"/>
          <w:szCs w:val="20"/>
          <w:lang w:val="es-MX"/>
        </w:rPr>
        <w:t xml:space="preserve"> (</w:t>
      </w:r>
      <w:r w:rsidR="00390C27" w:rsidRPr="00D542F0">
        <w:rPr>
          <w:rFonts w:ascii="Cambria" w:hAnsi="Cambria" w:cs="Arial"/>
          <w:sz w:val="20"/>
          <w:szCs w:val="20"/>
          <w:lang w:val="es-MX"/>
        </w:rPr>
        <w:t>Principio de Legalidad</w:t>
      </w:r>
      <w:r w:rsidR="008E6EBF" w:rsidRPr="00D542F0">
        <w:rPr>
          <w:rFonts w:ascii="Cambria" w:hAnsi="Cambria" w:cs="Arial"/>
          <w:sz w:val="20"/>
          <w:szCs w:val="20"/>
          <w:lang w:val="es-MX"/>
        </w:rPr>
        <w:t>) y 25</w:t>
      </w:r>
      <w:r w:rsidR="00CB34B5">
        <w:rPr>
          <w:rFonts w:ascii="Cambria" w:hAnsi="Cambria" w:cs="Arial"/>
          <w:sz w:val="20"/>
          <w:szCs w:val="20"/>
          <w:lang w:val="es-MX"/>
        </w:rPr>
        <w:t>.1</w:t>
      </w:r>
      <w:r w:rsidR="008E6EBF" w:rsidRPr="00D542F0">
        <w:rPr>
          <w:rFonts w:ascii="Cambria" w:hAnsi="Cambria" w:cs="Arial"/>
          <w:sz w:val="20"/>
          <w:szCs w:val="20"/>
          <w:lang w:val="es-MX"/>
        </w:rPr>
        <w:t xml:space="preserve"> (</w:t>
      </w:r>
      <w:r w:rsidR="00390C27" w:rsidRPr="00D542F0">
        <w:rPr>
          <w:rFonts w:ascii="Cambria" w:hAnsi="Cambria" w:cs="Arial"/>
          <w:sz w:val="20"/>
          <w:szCs w:val="20"/>
          <w:lang w:val="es-MX"/>
        </w:rPr>
        <w:t>Protección Judicial</w:t>
      </w:r>
      <w:r w:rsidR="008E6EBF" w:rsidRPr="00D542F0">
        <w:rPr>
          <w:rFonts w:ascii="Cambria" w:hAnsi="Cambria" w:cs="Arial"/>
          <w:sz w:val="20"/>
          <w:szCs w:val="20"/>
          <w:lang w:val="es-MX"/>
        </w:rPr>
        <w:t xml:space="preserve">) </w:t>
      </w:r>
      <w:r w:rsidR="00C732BA" w:rsidRPr="00D542F0">
        <w:rPr>
          <w:rFonts w:ascii="Cambria" w:hAnsi="Cambria" w:cs="Arial"/>
          <w:sz w:val="20"/>
          <w:szCs w:val="20"/>
          <w:lang w:val="es-MX"/>
        </w:rPr>
        <w:t>de la Convención Americana</w:t>
      </w:r>
      <w:r w:rsidR="008E6EBF" w:rsidRPr="00D542F0">
        <w:rPr>
          <w:rFonts w:ascii="Cambria" w:hAnsi="Cambria" w:cs="Arial"/>
          <w:sz w:val="20"/>
          <w:szCs w:val="20"/>
          <w:lang w:val="es-MX"/>
        </w:rPr>
        <w:t xml:space="preserve"> sobre Derechos Humanos (en adelante “la Convención Americana” o “la Convención”)</w:t>
      </w:r>
      <w:r w:rsidR="00C732BA" w:rsidRPr="00D542F0">
        <w:rPr>
          <w:rFonts w:ascii="Cambria" w:hAnsi="Cambria" w:cs="Arial"/>
          <w:sz w:val="20"/>
          <w:szCs w:val="20"/>
          <w:lang w:val="es-MX"/>
        </w:rPr>
        <w:t xml:space="preserve">, en relación con las obligaciones establecidas en los artículos 1.1 y 2 del mismo </w:t>
      </w:r>
      <w:r w:rsidR="008E6EBF" w:rsidRPr="00D542F0">
        <w:rPr>
          <w:rFonts w:ascii="Cambria" w:hAnsi="Cambria" w:cs="Arial"/>
          <w:sz w:val="20"/>
          <w:szCs w:val="20"/>
          <w:lang w:val="es-MX"/>
        </w:rPr>
        <w:t>instrumento</w:t>
      </w:r>
      <w:r w:rsidR="008E6EBF" w:rsidRPr="00D542F0">
        <w:rPr>
          <w:rFonts w:ascii="Cambria" w:hAnsi="Cambria"/>
          <w:sz w:val="20"/>
          <w:szCs w:val="20"/>
          <w:lang w:val="es-MX"/>
        </w:rPr>
        <w:t>. La</w:t>
      </w:r>
      <w:r w:rsidRPr="00D542F0">
        <w:rPr>
          <w:rFonts w:ascii="Cambria" w:hAnsi="Cambria"/>
          <w:sz w:val="20"/>
          <w:szCs w:val="20"/>
          <w:lang w:val="es-MX"/>
        </w:rPr>
        <w:t xml:space="preserve"> Comisión formuló las recomendaciones respectivas. </w:t>
      </w:r>
    </w:p>
    <w:p w14:paraId="7F37275C" w14:textId="77777777" w:rsidR="00D4468F" w:rsidRPr="007E779B" w:rsidRDefault="00D4468F" w:rsidP="007E779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VE"/>
        </w:rPr>
      </w:pPr>
    </w:p>
    <w:p w14:paraId="01EDE9B0" w14:textId="77777777" w:rsidR="00610A15" w:rsidRPr="007E779B" w:rsidRDefault="00610A15" w:rsidP="007E779B">
      <w:pPr>
        <w:pStyle w:val="Heading1"/>
        <w:spacing w:before="0"/>
        <w:ind w:firstLine="0"/>
        <w:jc w:val="both"/>
        <w:rPr>
          <w:rFonts w:ascii="Cambria" w:hAnsi="Cambria"/>
          <w:color w:val="auto"/>
          <w:sz w:val="20"/>
          <w:szCs w:val="20"/>
          <w:lang w:val="es-VE"/>
        </w:rPr>
      </w:pPr>
      <w:bookmarkStart w:id="8" w:name="_Toc477355342"/>
      <w:bookmarkStart w:id="9" w:name="_Toc516681994"/>
      <w:r w:rsidRPr="007E779B">
        <w:rPr>
          <w:rFonts w:ascii="Cambria" w:hAnsi="Cambria"/>
          <w:color w:val="auto"/>
          <w:sz w:val="20"/>
          <w:szCs w:val="20"/>
          <w:lang w:val="es-VE"/>
        </w:rPr>
        <w:t>POSICIONES DE LAS PARTES</w:t>
      </w:r>
      <w:bookmarkEnd w:id="8"/>
      <w:bookmarkEnd w:id="9"/>
    </w:p>
    <w:p w14:paraId="1F2AC2C1" w14:textId="77777777" w:rsidR="00610A15" w:rsidRPr="007E779B" w:rsidRDefault="00610A15" w:rsidP="007E779B">
      <w:pPr>
        <w:tabs>
          <w:tab w:val="left" w:pos="1440"/>
        </w:tabs>
        <w:jc w:val="both"/>
        <w:rPr>
          <w:rFonts w:ascii="Cambria" w:hAnsi="Cambria"/>
          <w:sz w:val="20"/>
          <w:szCs w:val="20"/>
          <w:lang w:val="es-VE"/>
        </w:rPr>
      </w:pPr>
    </w:p>
    <w:p w14:paraId="467E3A56" w14:textId="77777777" w:rsidR="00610A15" w:rsidRPr="007E779B" w:rsidRDefault="00610A15" w:rsidP="007E779B">
      <w:pPr>
        <w:pStyle w:val="Heading2"/>
        <w:numPr>
          <w:ilvl w:val="0"/>
          <w:numId w:val="52"/>
        </w:numPr>
        <w:spacing w:before="0" w:after="0"/>
        <w:jc w:val="both"/>
        <w:rPr>
          <w:rFonts w:ascii="Cambria" w:hAnsi="Cambria"/>
          <w:i w:val="0"/>
          <w:sz w:val="20"/>
          <w:szCs w:val="20"/>
          <w:lang w:val="es-CO"/>
        </w:rPr>
      </w:pPr>
      <w:bookmarkStart w:id="10" w:name="_Toc423514408"/>
      <w:bookmarkStart w:id="11" w:name="_Toc441166728"/>
      <w:bookmarkStart w:id="12" w:name="_Toc477355343"/>
      <w:bookmarkStart w:id="13" w:name="_Toc516681995"/>
      <w:r w:rsidRPr="007E779B">
        <w:rPr>
          <w:rFonts w:ascii="Cambria" w:hAnsi="Cambria"/>
          <w:i w:val="0"/>
          <w:sz w:val="20"/>
          <w:szCs w:val="20"/>
          <w:lang w:val="es-VE"/>
        </w:rPr>
        <w:t>P</w:t>
      </w:r>
      <w:bookmarkEnd w:id="10"/>
      <w:bookmarkEnd w:id="11"/>
      <w:bookmarkEnd w:id="12"/>
      <w:r w:rsidR="006E24AF">
        <w:rPr>
          <w:rFonts w:ascii="Cambria" w:hAnsi="Cambria"/>
          <w:i w:val="0"/>
          <w:sz w:val="20"/>
          <w:szCs w:val="20"/>
          <w:lang w:val="es-VE"/>
        </w:rPr>
        <w:t>arte</w:t>
      </w:r>
      <w:r w:rsidR="005B727C" w:rsidRPr="007E779B">
        <w:rPr>
          <w:rFonts w:ascii="Cambria" w:hAnsi="Cambria"/>
          <w:i w:val="0"/>
          <w:sz w:val="20"/>
          <w:szCs w:val="20"/>
          <w:lang w:val="es-VE"/>
        </w:rPr>
        <w:t xml:space="preserve"> </w:t>
      </w:r>
      <w:r w:rsidR="006E24AF">
        <w:rPr>
          <w:rFonts w:ascii="Cambria" w:hAnsi="Cambria"/>
          <w:i w:val="0"/>
          <w:sz w:val="20"/>
          <w:szCs w:val="20"/>
          <w:lang w:val="es-VE"/>
        </w:rPr>
        <w:t>peticionaria</w:t>
      </w:r>
      <w:bookmarkEnd w:id="13"/>
      <w:r w:rsidR="005B727C" w:rsidRPr="007E779B">
        <w:rPr>
          <w:rFonts w:ascii="Cambria" w:hAnsi="Cambria"/>
          <w:i w:val="0"/>
          <w:sz w:val="20"/>
          <w:szCs w:val="20"/>
          <w:lang w:val="es-VE"/>
        </w:rPr>
        <w:t xml:space="preserve"> </w:t>
      </w:r>
    </w:p>
    <w:p w14:paraId="7390C603" w14:textId="77777777" w:rsidR="005B727C" w:rsidRPr="007E779B" w:rsidRDefault="005B727C" w:rsidP="007E779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AR"/>
        </w:rPr>
      </w:pPr>
    </w:p>
    <w:p w14:paraId="140959F4" w14:textId="7D9776E1" w:rsidR="005B727C" w:rsidRPr="007E779B" w:rsidRDefault="005B727C" w:rsidP="007E779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7E779B">
        <w:rPr>
          <w:rFonts w:ascii="Cambria" w:hAnsi="Cambria"/>
          <w:sz w:val="20"/>
          <w:szCs w:val="20"/>
          <w:lang w:val="es-MX"/>
        </w:rPr>
        <w:t>La parte peticionaria indicó, que los hechos y violaciones del presente caso son similares a los de los casos Quintana Coello</w:t>
      </w:r>
      <w:r w:rsidR="0019656F">
        <w:rPr>
          <w:rFonts w:ascii="Cambria" w:hAnsi="Cambria"/>
          <w:sz w:val="20"/>
          <w:szCs w:val="20"/>
          <w:lang w:val="es-MX"/>
        </w:rPr>
        <w:t xml:space="preserve"> y otros;</w:t>
      </w:r>
      <w:r w:rsidRPr="007E779B">
        <w:rPr>
          <w:rFonts w:ascii="Cambria" w:hAnsi="Cambria"/>
          <w:sz w:val="20"/>
          <w:szCs w:val="20"/>
          <w:lang w:val="es-MX"/>
        </w:rPr>
        <w:t xml:space="preserve"> y Camba Campos</w:t>
      </w:r>
      <w:r w:rsidR="0019656F">
        <w:rPr>
          <w:rFonts w:ascii="Cambria" w:hAnsi="Cambria"/>
          <w:sz w:val="20"/>
          <w:szCs w:val="20"/>
          <w:lang w:val="es-MX"/>
        </w:rPr>
        <w:t xml:space="preserve"> y otros</w:t>
      </w:r>
      <w:r w:rsidRPr="007E779B">
        <w:rPr>
          <w:rFonts w:ascii="Cambria" w:hAnsi="Cambria"/>
          <w:sz w:val="20"/>
          <w:szCs w:val="20"/>
          <w:lang w:val="es-MX"/>
        </w:rPr>
        <w:t>, decididos en su oportunidad por la Corte Interamericana</w:t>
      </w:r>
      <w:r w:rsidR="0019656F">
        <w:rPr>
          <w:rFonts w:ascii="Cambria" w:hAnsi="Cambria"/>
          <w:sz w:val="20"/>
          <w:szCs w:val="20"/>
          <w:lang w:val="es-MX"/>
        </w:rPr>
        <w:t xml:space="preserve">, relativos al cese de los magistrados de la Corte Suprema de Justicia y vocales del Tribunal Constitucional, respectivamente, en el año 2004. </w:t>
      </w:r>
    </w:p>
    <w:p w14:paraId="45CC98AB" w14:textId="77777777" w:rsidR="005B727C" w:rsidRDefault="005B727C" w:rsidP="007E779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MX"/>
        </w:rPr>
      </w:pPr>
    </w:p>
    <w:p w14:paraId="446FAEA1" w14:textId="77777777" w:rsidR="00C16812" w:rsidRDefault="00C16812" w:rsidP="007E779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MX"/>
        </w:rPr>
      </w:pPr>
    </w:p>
    <w:p w14:paraId="0B8B2AA3" w14:textId="77777777" w:rsidR="00C16812" w:rsidRPr="007E779B" w:rsidRDefault="00C16812" w:rsidP="007E779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MX"/>
        </w:rPr>
      </w:pPr>
    </w:p>
    <w:p w14:paraId="5509A658" w14:textId="77777777" w:rsidR="005B727C" w:rsidRPr="007E779B" w:rsidRDefault="00D01FC0" w:rsidP="007E779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Pr>
          <w:rFonts w:ascii="Cambria" w:hAnsi="Cambria"/>
          <w:sz w:val="20"/>
          <w:szCs w:val="20"/>
          <w:lang w:val="es-MX"/>
        </w:rPr>
        <w:t>A</w:t>
      </w:r>
      <w:r w:rsidR="005B727C" w:rsidRPr="007E779B">
        <w:rPr>
          <w:rFonts w:ascii="Cambria" w:hAnsi="Cambria"/>
          <w:sz w:val="20"/>
          <w:szCs w:val="20"/>
          <w:lang w:val="es-MX"/>
        </w:rPr>
        <w:t xml:space="preserve">firmó que el día 2 de diciembre de 1998 fue designado </w:t>
      </w:r>
      <w:r w:rsidR="00622E5D">
        <w:rPr>
          <w:rFonts w:ascii="Cambria" w:hAnsi="Cambria"/>
          <w:sz w:val="20"/>
          <w:szCs w:val="20"/>
          <w:lang w:val="es-MX"/>
        </w:rPr>
        <w:t xml:space="preserve">por el Congreso de la República </w:t>
      </w:r>
      <w:r w:rsidR="005B727C" w:rsidRPr="007E779B">
        <w:rPr>
          <w:rFonts w:ascii="Cambria" w:hAnsi="Cambria"/>
          <w:sz w:val="20"/>
          <w:szCs w:val="20"/>
          <w:lang w:val="es-MX"/>
        </w:rPr>
        <w:t>como Vocal del Tribunal Supremo Electoral del Ecuador para el período 1998-2003, habiendo sido posteriormente reelegido legítimamente para desempeñarse en el cargo en el período 2003-2007.</w:t>
      </w:r>
    </w:p>
    <w:p w14:paraId="6E3F7015" w14:textId="77777777" w:rsidR="005B727C" w:rsidRPr="007E779B" w:rsidRDefault="005B727C" w:rsidP="007E779B">
      <w:pPr>
        <w:pStyle w:val="ListParagraph"/>
        <w:jc w:val="both"/>
        <w:rPr>
          <w:sz w:val="20"/>
          <w:szCs w:val="20"/>
          <w:lang w:val="es-MX"/>
        </w:rPr>
      </w:pPr>
    </w:p>
    <w:p w14:paraId="12BBC7F9" w14:textId="36B88BC0" w:rsidR="005B727C" w:rsidRPr="007E779B" w:rsidRDefault="005B727C" w:rsidP="007E779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7E779B">
        <w:rPr>
          <w:rFonts w:ascii="Cambria" w:hAnsi="Cambria"/>
          <w:sz w:val="20"/>
          <w:szCs w:val="20"/>
          <w:lang w:val="es-MX"/>
        </w:rPr>
        <w:t>Indicó que tanto su elección como su reelección fueron posibilitadas por la reforma constitucional del año 1997, producto de una consulta popular realizada el día 25 de mayo de 1997. Refi</w:t>
      </w:r>
      <w:r w:rsidR="00942646">
        <w:rPr>
          <w:rFonts w:ascii="Cambria" w:hAnsi="Cambria"/>
          <w:sz w:val="20"/>
          <w:szCs w:val="20"/>
          <w:lang w:val="es-MX"/>
        </w:rPr>
        <w:t>rió que al ser designado como v</w:t>
      </w:r>
      <w:r w:rsidRPr="007E779B">
        <w:rPr>
          <w:rFonts w:ascii="Cambria" w:hAnsi="Cambria"/>
          <w:sz w:val="20"/>
          <w:szCs w:val="20"/>
          <w:lang w:val="es-MX"/>
        </w:rPr>
        <w:t xml:space="preserve">ocal, el Congreso Nacional valoró las normas constitucionales, legales y reglamentarias pertinentes y </w:t>
      </w:r>
      <w:r w:rsidR="00FC0396">
        <w:rPr>
          <w:rFonts w:ascii="Cambria" w:hAnsi="Cambria"/>
          <w:sz w:val="20"/>
          <w:szCs w:val="20"/>
          <w:lang w:val="es-MX"/>
        </w:rPr>
        <w:t>procedió a una elección de</w:t>
      </w:r>
      <w:r w:rsidRPr="007E779B">
        <w:rPr>
          <w:rFonts w:ascii="Cambria" w:hAnsi="Cambria"/>
          <w:sz w:val="20"/>
          <w:szCs w:val="20"/>
          <w:lang w:val="es-MX"/>
        </w:rPr>
        <w:t xml:space="preserve"> conformidad con el marco jurídico ecuatoriano vigente a la época de los hechos, en especial, la Ley Orgánica de Elecciones de la República del Ecuador y su Reglamento General.</w:t>
      </w:r>
    </w:p>
    <w:p w14:paraId="48F35620" w14:textId="77777777" w:rsidR="005B727C" w:rsidRPr="007E779B" w:rsidRDefault="005B727C" w:rsidP="007E779B">
      <w:pPr>
        <w:pStyle w:val="ListParagraph"/>
        <w:jc w:val="both"/>
        <w:rPr>
          <w:sz w:val="20"/>
          <w:szCs w:val="20"/>
          <w:lang w:val="es-MX"/>
        </w:rPr>
      </w:pPr>
    </w:p>
    <w:p w14:paraId="3A3BEC15" w14:textId="0533B94C" w:rsidR="005B727C" w:rsidRPr="007E779B" w:rsidRDefault="005B727C" w:rsidP="007E779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7E779B">
        <w:rPr>
          <w:rFonts w:ascii="Cambria" w:hAnsi="Cambria"/>
          <w:sz w:val="20"/>
          <w:szCs w:val="20"/>
          <w:lang w:val="es-MX"/>
        </w:rPr>
        <w:t>Expresó que el 25 de noviembre de 2004 el Congreso Nacional, mediante resolución n° R-25-160, declaró que los Vocales del Tribunal Constitucional y del Tribunal Supremo Electoral fueron designados en forma ilegal, sin observar el artículo 209 de la Carta Magna</w:t>
      </w:r>
      <w:r w:rsidR="00964EE0">
        <w:rPr>
          <w:rFonts w:ascii="Cambria" w:hAnsi="Cambria"/>
          <w:sz w:val="20"/>
          <w:szCs w:val="20"/>
          <w:lang w:val="es-MX"/>
        </w:rPr>
        <w:t>, sobre todo en lo que concierne a la manera de votación</w:t>
      </w:r>
      <w:r w:rsidRPr="007E779B">
        <w:rPr>
          <w:rFonts w:ascii="Cambria" w:hAnsi="Cambria"/>
          <w:sz w:val="20"/>
          <w:szCs w:val="20"/>
          <w:lang w:val="es-MX"/>
        </w:rPr>
        <w:t xml:space="preserve">, y dispuso que se procediera a </w:t>
      </w:r>
      <w:r w:rsidR="00666014">
        <w:rPr>
          <w:rFonts w:ascii="Cambria" w:hAnsi="Cambria"/>
          <w:sz w:val="20"/>
          <w:szCs w:val="20"/>
          <w:lang w:val="es-MX"/>
        </w:rPr>
        <w:t xml:space="preserve">su remoción y a la designación de </w:t>
      </w:r>
      <w:r w:rsidRPr="007E779B">
        <w:rPr>
          <w:rFonts w:ascii="Cambria" w:hAnsi="Cambria"/>
          <w:sz w:val="20"/>
          <w:szCs w:val="20"/>
          <w:lang w:val="es-MX"/>
        </w:rPr>
        <w:t xml:space="preserve">otros vocales de acuerdo a la Constitución Política de la República y la ley, de entre las ternas recibidas en su momento por el Congreso Nacional. Resaltó que uno de los artículos de la resolución estipulaba que la misma entraría en vigencia de inmediato, sin perjuicio de su publicación en el Registro Oficial. La parte peticionaria expresó que ello era a todas luces inconstitucional. </w:t>
      </w:r>
    </w:p>
    <w:p w14:paraId="27DCAF08" w14:textId="77777777" w:rsidR="005B727C" w:rsidRPr="007E779B" w:rsidRDefault="005B727C" w:rsidP="007E779B">
      <w:pPr>
        <w:pStyle w:val="ListParagraph"/>
        <w:jc w:val="both"/>
        <w:rPr>
          <w:sz w:val="20"/>
          <w:szCs w:val="20"/>
          <w:highlight w:val="yellow"/>
          <w:lang w:val="es-MX"/>
        </w:rPr>
      </w:pPr>
    </w:p>
    <w:p w14:paraId="583391BC" w14:textId="2C584245" w:rsidR="005B727C" w:rsidRPr="00D01FC0" w:rsidRDefault="005B727C" w:rsidP="007E779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D01FC0">
        <w:rPr>
          <w:rFonts w:ascii="Cambria" w:hAnsi="Cambria"/>
          <w:sz w:val="20"/>
          <w:szCs w:val="20"/>
          <w:lang w:val="es-MX"/>
        </w:rPr>
        <w:t>Indicó que, días después, el Congreso Nacional destituyó a los magistrados de la Corte Suprema de Justicia, coartando la</w:t>
      </w:r>
      <w:r w:rsidR="006B1B0B">
        <w:rPr>
          <w:rFonts w:ascii="Cambria" w:hAnsi="Cambria"/>
          <w:sz w:val="20"/>
          <w:szCs w:val="20"/>
          <w:lang w:val="es-MX"/>
        </w:rPr>
        <w:t xml:space="preserve"> independencia e imparcialidad de la</w:t>
      </w:r>
      <w:r w:rsidRPr="00D01FC0">
        <w:rPr>
          <w:rFonts w:ascii="Cambria" w:hAnsi="Cambria"/>
          <w:sz w:val="20"/>
          <w:szCs w:val="20"/>
          <w:lang w:val="es-MX"/>
        </w:rPr>
        <w:t xml:space="preserve"> administración de justicia en la República del Ecuador. </w:t>
      </w:r>
    </w:p>
    <w:p w14:paraId="4D6AAC3E" w14:textId="77777777" w:rsidR="005B727C" w:rsidRPr="007E779B" w:rsidRDefault="005B727C" w:rsidP="007E779B">
      <w:pPr>
        <w:pStyle w:val="ListParagraph"/>
        <w:jc w:val="both"/>
        <w:rPr>
          <w:sz w:val="20"/>
          <w:szCs w:val="20"/>
          <w:lang w:val="es-MX"/>
        </w:rPr>
      </w:pPr>
    </w:p>
    <w:p w14:paraId="105EA34A" w14:textId="3D6CDD78" w:rsidR="005B727C" w:rsidRPr="007E779B" w:rsidRDefault="005B727C" w:rsidP="007E779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7E779B">
        <w:rPr>
          <w:rFonts w:ascii="Cambria" w:hAnsi="Cambria"/>
          <w:sz w:val="20"/>
          <w:szCs w:val="20"/>
          <w:lang w:val="es-MX"/>
        </w:rPr>
        <w:t>Refirió que la resolución citada fue violatoria de la Constitución, al desconocer que existían artículos constitucionales que regulaban el nombramiento y la duración en el cargo. Asimismo, alegó que la resolución carece de valor jurídico, por cuanto el Congreso Nacional no tiene competencias jurisdiccionales de declaratoria de ilegalidad. Añadió que la misma causó un daño irreparable al sistema democrático del Ecuador, provocando una de las mayores crisis de</w:t>
      </w:r>
      <w:r w:rsidR="00C642C3">
        <w:rPr>
          <w:rFonts w:ascii="Cambria" w:hAnsi="Cambria"/>
          <w:sz w:val="20"/>
          <w:szCs w:val="20"/>
          <w:lang w:val="es-MX"/>
        </w:rPr>
        <w:t xml:space="preserve"> la</w:t>
      </w:r>
      <w:r w:rsidRPr="007E779B">
        <w:rPr>
          <w:rFonts w:ascii="Cambria" w:hAnsi="Cambria"/>
          <w:sz w:val="20"/>
          <w:szCs w:val="20"/>
          <w:lang w:val="es-MX"/>
        </w:rPr>
        <w:t xml:space="preserve"> institucionalidad jurídica y política en el período de noviembre 2004 a abril de 2005.</w:t>
      </w:r>
    </w:p>
    <w:p w14:paraId="19AAFC6A" w14:textId="77777777" w:rsidR="005B727C" w:rsidRPr="007E779B" w:rsidRDefault="005B727C" w:rsidP="007E779B">
      <w:pPr>
        <w:pStyle w:val="ListParagraph"/>
        <w:jc w:val="both"/>
        <w:rPr>
          <w:sz w:val="20"/>
          <w:szCs w:val="20"/>
          <w:highlight w:val="yellow"/>
          <w:lang w:val="es-MX"/>
        </w:rPr>
      </w:pPr>
    </w:p>
    <w:p w14:paraId="4FA240A1" w14:textId="52140229" w:rsidR="005B727C" w:rsidRPr="00D01FC0" w:rsidRDefault="005B727C" w:rsidP="007E779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D01FC0">
        <w:rPr>
          <w:rFonts w:ascii="Cambria" w:hAnsi="Cambria"/>
          <w:sz w:val="20"/>
          <w:szCs w:val="20"/>
          <w:lang w:val="es-MX"/>
        </w:rPr>
        <w:t>Sostuvo que, en caso de que su designación como Vocal hubiese sido ilegal o inconstitucional, como dispuso el Congreso Nacional al cesarlo, éste órgano se encontraba en la obligación de iniciar una acción de inconstitucionalidad o bien un juicio político por infracciones constitucionales o legales, lo cual nunca sucedió. La parte peticionaria alegó que esto último quedó evidencia</w:t>
      </w:r>
      <w:r w:rsidR="00D01FC0" w:rsidRPr="00D01FC0">
        <w:rPr>
          <w:rFonts w:ascii="Cambria" w:hAnsi="Cambria"/>
          <w:sz w:val="20"/>
          <w:szCs w:val="20"/>
          <w:lang w:val="es-MX"/>
        </w:rPr>
        <w:t xml:space="preserve">do y probado en </w:t>
      </w:r>
      <w:r w:rsidR="00C642C3">
        <w:rPr>
          <w:rFonts w:ascii="Cambria" w:hAnsi="Cambria"/>
          <w:sz w:val="20"/>
          <w:szCs w:val="20"/>
          <w:lang w:val="es-MX"/>
        </w:rPr>
        <w:t xml:space="preserve">las sentencias de la Corte Interamericana en los casos referidos anteriormente. </w:t>
      </w:r>
      <w:r w:rsidR="00D01FC0" w:rsidRPr="00D01FC0">
        <w:rPr>
          <w:rFonts w:ascii="Cambria" w:hAnsi="Cambria"/>
          <w:sz w:val="20"/>
          <w:szCs w:val="20"/>
          <w:lang w:val="es-MX"/>
        </w:rPr>
        <w:t xml:space="preserve"> </w:t>
      </w:r>
    </w:p>
    <w:p w14:paraId="1E963D54" w14:textId="77777777" w:rsidR="005B727C" w:rsidRPr="007E779B" w:rsidRDefault="005B727C" w:rsidP="007E779B">
      <w:pPr>
        <w:pStyle w:val="ListParagraph"/>
        <w:jc w:val="both"/>
        <w:rPr>
          <w:sz w:val="20"/>
          <w:szCs w:val="20"/>
          <w:lang w:val="es-MX"/>
        </w:rPr>
      </w:pPr>
    </w:p>
    <w:p w14:paraId="04BB7505" w14:textId="77E196BE" w:rsidR="005B727C" w:rsidRPr="007E779B" w:rsidRDefault="005B727C" w:rsidP="007E779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7E779B">
        <w:rPr>
          <w:rFonts w:ascii="Cambria" w:hAnsi="Cambria"/>
          <w:sz w:val="20"/>
          <w:szCs w:val="20"/>
          <w:lang w:val="es-MX"/>
        </w:rPr>
        <w:t>Argumentó</w:t>
      </w:r>
      <w:r w:rsidR="00890073">
        <w:rPr>
          <w:rFonts w:ascii="Cambria" w:hAnsi="Cambria"/>
          <w:sz w:val="20"/>
          <w:szCs w:val="20"/>
          <w:lang w:val="es-MX"/>
        </w:rPr>
        <w:t xml:space="preserve"> más específicamente</w:t>
      </w:r>
      <w:r w:rsidRPr="007E779B">
        <w:rPr>
          <w:rFonts w:ascii="Cambria" w:hAnsi="Cambria"/>
          <w:sz w:val="20"/>
          <w:szCs w:val="20"/>
          <w:lang w:val="es-MX"/>
        </w:rPr>
        <w:t xml:space="preserve"> que las únicas figuras contempladas en el ordenamiento interno mediante las cuales el Congreso podía cesarlo en su cargo eran la </w:t>
      </w:r>
      <w:r w:rsidR="00890073">
        <w:rPr>
          <w:rFonts w:ascii="Cambria" w:hAnsi="Cambria"/>
          <w:sz w:val="20"/>
          <w:szCs w:val="20"/>
          <w:lang w:val="es-MX"/>
        </w:rPr>
        <w:t>“</w:t>
      </w:r>
      <w:r w:rsidRPr="007E779B">
        <w:rPr>
          <w:rFonts w:ascii="Cambria" w:hAnsi="Cambria"/>
          <w:sz w:val="20"/>
          <w:szCs w:val="20"/>
          <w:lang w:val="es-MX"/>
        </w:rPr>
        <w:t>fiscalización</w:t>
      </w:r>
      <w:r w:rsidR="00890073">
        <w:rPr>
          <w:rFonts w:ascii="Cambria" w:hAnsi="Cambria"/>
          <w:sz w:val="20"/>
          <w:szCs w:val="20"/>
          <w:lang w:val="es-MX"/>
        </w:rPr>
        <w:t>”</w:t>
      </w:r>
      <w:r w:rsidRPr="007E779B">
        <w:rPr>
          <w:rFonts w:ascii="Cambria" w:hAnsi="Cambria"/>
          <w:sz w:val="20"/>
          <w:szCs w:val="20"/>
          <w:lang w:val="es-MX"/>
        </w:rPr>
        <w:t xml:space="preserve"> y el juicio político. Respecto de la primera, alegó que no se encontraba </w:t>
      </w:r>
      <w:r w:rsidR="00F76E06">
        <w:rPr>
          <w:rFonts w:ascii="Cambria" w:hAnsi="Cambria"/>
          <w:sz w:val="20"/>
          <w:szCs w:val="20"/>
          <w:lang w:val="es-MX"/>
        </w:rPr>
        <w:t xml:space="preserve">inmerso </w:t>
      </w:r>
      <w:r w:rsidRPr="007E779B">
        <w:rPr>
          <w:rFonts w:ascii="Cambria" w:hAnsi="Cambria"/>
          <w:sz w:val="20"/>
          <w:szCs w:val="20"/>
          <w:lang w:val="es-MX"/>
        </w:rPr>
        <w:t xml:space="preserve">en ninguna de las </w:t>
      </w:r>
      <w:r w:rsidR="00D01FC0">
        <w:rPr>
          <w:rFonts w:ascii="Cambria" w:hAnsi="Cambria"/>
          <w:sz w:val="20"/>
          <w:szCs w:val="20"/>
          <w:lang w:val="es-MX"/>
        </w:rPr>
        <w:t>causales</w:t>
      </w:r>
      <w:r w:rsidRPr="007E779B">
        <w:rPr>
          <w:rFonts w:ascii="Cambria" w:hAnsi="Cambria"/>
          <w:sz w:val="20"/>
          <w:szCs w:val="20"/>
          <w:lang w:val="es-MX"/>
        </w:rPr>
        <w:t xml:space="preserve"> de excusa o impedimento para el ejercicio del cargo. En cuanto a la segunda, sostuvo que no había causa que ameritara </w:t>
      </w:r>
      <w:r w:rsidR="00F76E06">
        <w:rPr>
          <w:rFonts w:ascii="Cambria" w:hAnsi="Cambria"/>
          <w:sz w:val="20"/>
          <w:szCs w:val="20"/>
          <w:lang w:val="es-MX"/>
        </w:rPr>
        <w:t xml:space="preserve">dicho </w:t>
      </w:r>
      <w:r w:rsidRPr="007E779B">
        <w:rPr>
          <w:rFonts w:ascii="Cambria" w:hAnsi="Cambria"/>
          <w:sz w:val="20"/>
          <w:szCs w:val="20"/>
          <w:lang w:val="es-MX"/>
        </w:rPr>
        <w:t xml:space="preserve">proceso. </w:t>
      </w:r>
    </w:p>
    <w:p w14:paraId="2684E875" w14:textId="77777777" w:rsidR="005B727C" w:rsidRPr="007E779B" w:rsidRDefault="005B727C" w:rsidP="007E779B">
      <w:pPr>
        <w:pStyle w:val="ListParagraph"/>
        <w:jc w:val="both"/>
        <w:rPr>
          <w:sz w:val="20"/>
          <w:szCs w:val="20"/>
          <w:lang w:val="es-MX"/>
        </w:rPr>
      </w:pPr>
    </w:p>
    <w:p w14:paraId="53D6875A" w14:textId="77777777" w:rsidR="005B727C" w:rsidRPr="007E779B" w:rsidRDefault="005B727C" w:rsidP="007E779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7E779B">
        <w:rPr>
          <w:rFonts w:ascii="Cambria" w:hAnsi="Cambria"/>
          <w:sz w:val="20"/>
          <w:szCs w:val="20"/>
          <w:lang w:val="es-MX"/>
        </w:rPr>
        <w:t>Añadió que, eventualmente, si el Congreso hubiese hecho cesar a los vocales titulares por fiscalización o juicio político, hubiese correspondido aplicar la figura de la subrogación, asumiendo los vocales suplentes la titularidad de las magistraturas electorales. No obstante, la parte peticionaria manifestó que el acuerdo del legislativo fue tan violatorio de la Constitución y los derechos humanos, que incluso se cesó a los suplentes designados.</w:t>
      </w:r>
    </w:p>
    <w:p w14:paraId="68136009" w14:textId="77777777" w:rsidR="005B727C" w:rsidRPr="00D01FC0" w:rsidRDefault="005B727C" w:rsidP="00D01FC0">
      <w:pPr>
        <w:jc w:val="both"/>
        <w:rPr>
          <w:sz w:val="20"/>
          <w:szCs w:val="20"/>
          <w:lang w:val="es-MX"/>
        </w:rPr>
      </w:pPr>
    </w:p>
    <w:p w14:paraId="4A581907" w14:textId="60D621E2" w:rsidR="005B727C" w:rsidRPr="007E779B" w:rsidRDefault="00D01FC0" w:rsidP="007E779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Pr>
          <w:rFonts w:ascii="Cambria" w:hAnsi="Cambria"/>
          <w:sz w:val="20"/>
          <w:szCs w:val="20"/>
          <w:lang w:val="es-MX"/>
        </w:rPr>
        <w:t>S</w:t>
      </w:r>
      <w:r w:rsidR="005B727C" w:rsidRPr="007E779B">
        <w:rPr>
          <w:rFonts w:ascii="Cambria" w:hAnsi="Cambria"/>
          <w:sz w:val="20"/>
          <w:szCs w:val="20"/>
          <w:lang w:val="es-MX"/>
        </w:rPr>
        <w:t xml:space="preserve">ostuvo que a pesar de que el Tribunal Supremo Electoral no era un órgano parte de la Función Judicial a la luz de la Constitución Política del Ecuador de 1998, éste ejercía jurisdicción material y, por lo tanto, el estándar interamericano sobre la independencia judicial es aplicable, especialmente en relación </w:t>
      </w:r>
      <w:r w:rsidR="00F76E06">
        <w:rPr>
          <w:rFonts w:ascii="Cambria" w:hAnsi="Cambria"/>
          <w:sz w:val="20"/>
          <w:szCs w:val="20"/>
          <w:lang w:val="es-MX"/>
        </w:rPr>
        <w:t>con</w:t>
      </w:r>
      <w:r w:rsidR="005B727C" w:rsidRPr="007E779B">
        <w:rPr>
          <w:rFonts w:ascii="Cambria" w:hAnsi="Cambria"/>
          <w:sz w:val="20"/>
          <w:szCs w:val="20"/>
          <w:lang w:val="es-MX"/>
        </w:rPr>
        <w:t xml:space="preserve"> la inamovilidad del cargo.</w:t>
      </w:r>
    </w:p>
    <w:p w14:paraId="30C500A1" w14:textId="77777777" w:rsidR="005B727C" w:rsidRDefault="005B727C" w:rsidP="007E779B">
      <w:pPr>
        <w:pStyle w:val="ListParagraph"/>
        <w:jc w:val="both"/>
        <w:rPr>
          <w:sz w:val="20"/>
          <w:szCs w:val="20"/>
          <w:lang w:val="es-MX"/>
        </w:rPr>
      </w:pPr>
    </w:p>
    <w:p w14:paraId="74EF6203" w14:textId="77777777" w:rsidR="00C16812" w:rsidRDefault="00C16812" w:rsidP="007E779B">
      <w:pPr>
        <w:pStyle w:val="ListParagraph"/>
        <w:jc w:val="both"/>
        <w:rPr>
          <w:sz w:val="20"/>
          <w:szCs w:val="20"/>
          <w:lang w:val="es-MX"/>
        </w:rPr>
      </w:pPr>
    </w:p>
    <w:p w14:paraId="1E901324" w14:textId="77777777" w:rsidR="00C16812" w:rsidRPr="007E779B" w:rsidRDefault="00C16812" w:rsidP="007E779B">
      <w:pPr>
        <w:pStyle w:val="ListParagraph"/>
        <w:jc w:val="both"/>
        <w:rPr>
          <w:sz w:val="20"/>
          <w:szCs w:val="20"/>
          <w:lang w:val="es-MX"/>
        </w:rPr>
      </w:pPr>
    </w:p>
    <w:p w14:paraId="2D743B2B" w14:textId="09BA4620" w:rsidR="005B727C" w:rsidRPr="004112A3" w:rsidRDefault="005B727C" w:rsidP="007E779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7E779B">
        <w:rPr>
          <w:rFonts w:ascii="Cambria" w:hAnsi="Cambria"/>
          <w:sz w:val="20"/>
          <w:szCs w:val="20"/>
          <w:lang w:val="es-MX"/>
        </w:rPr>
        <w:t xml:space="preserve">En cuanto al derecho, la parte peticionaria argumentó la violación de los derechos a las garantías judiciales, principio de legalidad, derechos políticos y protección judicial. </w:t>
      </w:r>
    </w:p>
    <w:p w14:paraId="5F0EA2B5" w14:textId="34DCD622" w:rsidR="005B727C" w:rsidRPr="007E779B" w:rsidRDefault="005B727C" w:rsidP="007E779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7E779B">
        <w:rPr>
          <w:rFonts w:ascii="Cambria" w:hAnsi="Cambria"/>
          <w:sz w:val="20"/>
          <w:szCs w:val="20"/>
          <w:lang w:val="es-MX"/>
        </w:rPr>
        <w:t>Con respecto a las</w:t>
      </w:r>
      <w:r w:rsidRPr="007E779B">
        <w:rPr>
          <w:rFonts w:ascii="Cambria" w:hAnsi="Cambria"/>
          <w:b/>
          <w:sz w:val="20"/>
          <w:szCs w:val="20"/>
          <w:lang w:val="es-MX"/>
        </w:rPr>
        <w:t xml:space="preserve"> garantías judiciales</w:t>
      </w:r>
      <w:r w:rsidRPr="007E779B">
        <w:rPr>
          <w:rFonts w:ascii="Cambria" w:hAnsi="Cambria"/>
          <w:sz w:val="20"/>
          <w:szCs w:val="20"/>
          <w:lang w:val="es-MX"/>
        </w:rPr>
        <w:t xml:space="preserve">, indicó que el Estado incumplió con su derecho a ser oído por un juez competente, independiente e imparcial, puesto que el Congreso decidió sobre una situación que repercutió en su derecho adquirido a permanecer en su cargo, sin brindarle oportunidad de expresarse al respecto y sin respetar garantías mínimas.  </w:t>
      </w:r>
    </w:p>
    <w:p w14:paraId="4F84DB89" w14:textId="77777777" w:rsidR="007B45AE" w:rsidRPr="007E779B" w:rsidRDefault="007B45AE" w:rsidP="007E779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MX"/>
        </w:rPr>
      </w:pPr>
    </w:p>
    <w:p w14:paraId="36E6F22F" w14:textId="77777777" w:rsidR="005B727C" w:rsidRDefault="005B727C" w:rsidP="007E779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7E779B">
        <w:rPr>
          <w:rFonts w:ascii="Cambria" w:hAnsi="Cambria"/>
          <w:sz w:val="20"/>
          <w:szCs w:val="20"/>
          <w:lang w:val="es-MX"/>
        </w:rPr>
        <w:t xml:space="preserve">Refirió que se violó el </w:t>
      </w:r>
      <w:r w:rsidRPr="007E779B">
        <w:rPr>
          <w:rFonts w:ascii="Cambria" w:hAnsi="Cambria"/>
          <w:b/>
          <w:sz w:val="20"/>
          <w:szCs w:val="20"/>
          <w:lang w:val="es-MX"/>
        </w:rPr>
        <w:t>principio de legalidad en relación con su derecho defensa</w:t>
      </w:r>
      <w:r w:rsidRPr="007E779B">
        <w:rPr>
          <w:rFonts w:ascii="Cambria" w:hAnsi="Cambria"/>
          <w:sz w:val="20"/>
          <w:szCs w:val="20"/>
          <w:lang w:val="es-MX"/>
        </w:rPr>
        <w:t xml:space="preserve">, porque no estaba prevista en ninguna ley la posibilidad del cese en su cargo, a través de un Decreto como el que emitió el Congreso, y añadió que la resolución carece de motivación, por lo que no se refiere a las razones y normas en las que se sustentó el cese en su cargo. </w:t>
      </w:r>
    </w:p>
    <w:p w14:paraId="54E5BFA0" w14:textId="77777777" w:rsidR="00C14CF8" w:rsidRPr="00832D69" w:rsidRDefault="00C14CF8" w:rsidP="00C14CF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MX"/>
        </w:rPr>
      </w:pPr>
    </w:p>
    <w:p w14:paraId="0CF55311" w14:textId="11DED2D7" w:rsidR="005B727C" w:rsidRPr="007E779B" w:rsidRDefault="005B727C" w:rsidP="007E779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7E779B">
        <w:rPr>
          <w:rFonts w:ascii="Cambria" w:hAnsi="Cambria"/>
          <w:sz w:val="20"/>
          <w:szCs w:val="20"/>
          <w:lang w:val="es-MX"/>
        </w:rPr>
        <w:t xml:space="preserve">Argumentó la violación al </w:t>
      </w:r>
      <w:r w:rsidRPr="007E779B">
        <w:rPr>
          <w:rFonts w:ascii="Cambria" w:hAnsi="Cambria"/>
          <w:b/>
          <w:sz w:val="20"/>
          <w:szCs w:val="20"/>
          <w:lang w:val="es-MX"/>
        </w:rPr>
        <w:t>derecho a la protección judicial</w:t>
      </w:r>
      <w:r w:rsidR="00541F27">
        <w:rPr>
          <w:rFonts w:ascii="Cambria" w:hAnsi="Cambria"/>
          <w:sz w:val="20"/>
          <w:szCs w:val="20"/>
          <w:lang w:val="es-MX"/>
        </w:rPr>
        <w:t xml:space="preserve"> pues </w:t>
      </w:r>
      <w:r w:rsidRPr="007E779B">
        <w:rPr>
          <w:rFonts w:ascii="Cambria" w:hAnsi="Cambria"/>
          <w:sz w:val="20"/>
          <w:szCs w:val="20"/>
          <w:lang w:val="es-MX"/>
        </w:rPr>
        <w:t xml:space="preserve">si bien el recurso previsto en la Constitución vigente a la época de los hechos era la acción de amparo, este no era efectivo, ya que una resolución emitida por el Congreso establecía que la única vía para suspender los efectos de una resolución parlamentaria por supuesta violación a la Constitución era la acción de inconstitucionalidad. Expresó que la acción de inconstitucionalidad tampoco era efectiva y </w:t>
      </w:r>
      <w:r w:rsidR="00541F27">
        <w:rPr>
          <w:rFonts w:ascii="Cambria" w:hAnsi="Cambria"/>
          <w:sz w:val="20"/>
          <w:szCs w:val="20"/>
          <w:lang w:val="es-MX"/>
        </w:rPr>
        <w:t xml:space="preserve">que </w:t>
      </w:r>
      <w:r w:rsidRPr="007E779B">
        <w:rPr>
          <w:rFonts w:ascii="Cambria" w:hAnsi="Cambria"/>
          <w:sz w:val="20"/>
          <w:szCs w:val="20"/>
          <w:lang w:val="es-MX"/>
        </w:rPr>
        <w:t>su presentación hubiera producido un resultado manifiestamente absurdo debido a que una declaratoria de inconstitucionalidad de la Resolución R-25-160 hubiese tenido como efecto que los propios nuevos vocales del Tribunal Constitucional de facto declaren que sus nombramientos fueron hechos de manera arbitraria y, en consecuencia, la separación de sus cargos. En cuanto a la vía contencioso administrativa, sostuvo que no es idónea, puesto</w:t>
      </w:r>
      <w:r w:rsidR="004826C3">
        <w:rPr>
          <w:rFonts w:ascii="Cambria" w:hAnsi="Cambria"/>
          <w:sz w:val="20"/>
          <w:szCs w:val="20"/>
          <w:lang w:val="es-MX"/>
        </w:rPr>
        <w:t xml:space="preserve"> que</w:t>
      </w:r>
      <w:r w:rsidRPr="007E779B">
        <w:rPr>
          <w:rFonts w:ascii="Cambria" w:hAnsi="Cambria"/>
          <w:sz w:val="20"/>
          <w:szCs w:val="20"/>
          <w:lang w:val="es-MX"/>
        </w:rPr>
        <w:t xml:space="preserve"> esta jurisdicción estaría excluida por la Ley de la Jurisdicción Contenciosa Administrativa. </w:t>
      </w:r>
    </w:p>
    <w:p w14:paraId="3A8062E8" w14:textId="77777777" w:rsidR="005B727C" w:rsidRPr="007E779B" w:rsidRDefault="005B727C" w:rsidP="007E779B">
      <w:pPr>
        <w:pStyle w:val="ListParagraph"/>
        <w:jc w:val="both"/>
        <w:rPr>
          <w:sz w:val="20"/>
          <w:szCs w:val="20"/>
          <w:lang w:val="es-MX"/>
        </w:rPr>
      </w:pPr>
    </w:p>
    <w:p w14:paraId="6A5F2CCE" w14:textId="2C4B3FA0" w:rsidR="005B727C" w:rsidRDefault="005B727C" w:rsidP="007E779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7E779B">
        <w:rPr>
          <w:rFonts w:ascii="Cambria" w:hAnsi="Cambria"/>
          <w:sz w:val="20"/>
          <w:szCs w:val="20"/>
          <w:lang w:val="es-MX"/>
        </w:rPr>
        <w:t xml:space="preserve">Manifestó que la falta de un recurso efectivo se vio agravada por el hecho de que durante varios meses del año 2005, el país no contó con un Tribunal Constitucional, puesto que el Congreso Nacional, mediante otra resolución, había destituido a los </w:t>
      </w:r>
      <w:r w:rsidR="00E42BC7">
        <w:rPr>
          <w:rFonts w:ascii="Cambria" w:hAnsi="Cambria"/>
          <w:sz w:val="20"/>
          <w:szCs w:val="20"/>
          <w:lang w:val="es-MX"/>
        </w:rPr>
        <w:t>V</w:t>
      </w:r>
      <w:r w:rsidRPr="007E779B">
        <w:rPr>
          <w:rFonts w:ascii="Cambria" w:hAnsi="Cambria"/>
          <w:sz w:val="20"/>
          <w:szCs w:val="20"/>
          <w:lang w:val="es-MX"/>
        </w:rPr>
        <w:t>ocales que habían sido designados arbitrariamente el 25 de noviembre de 2004.</w:t>
      </w:r>
    </w:p>
    <w:p w14:paraId="6046C276" w14:textId="77777777" w:rsidR="00C14CF8" w:rsidRDefault="00C14CF8" w:rsidP="00C14CF8">
      <w:pPr>
        <w:pStyle w:val="ListParagraph"/>
        <w:rPr>
          <w:sz w:val="20"/>
          <w:szCs w:val="20"/>
          <w:lang w:val="es-MX"/>
        </w:rPr>
      </w:pPr>
    </w:p>
    <w:p w14:paraId="159F0ABA" w14:textId="77777777" w:rsidR="00C14CF8" w:rsidRPr="007E779B" w:rsidRDefault="00C14CF8" w:rsidP="007E779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Pr>
          <w:rFonts w:ascii="Cambria" w:hAnsi="Cambria"/>
          <w:sz w:val="20"/>
          <w:szCs w:val="20"/>
          <w:lang w:val="es-MX"/>
        </w:rPr>
        <w:t xml:space="preserve">La CIDH no se referirá a los argumentos relacionados con derechos políticos tomando en cuenta que en su pronunciamiento de admisibilidad declaró dichos reclamos inadmisibles. </w:t>
      </w:r>
    </w:p>
    <w:p w14:paraId="116B3D97" w14:textId="77777777" w:rsidR="00805C72" w:rsidRPr="007E779B" w:rsidRDefault="00805C72" w:rsidP="007E779B">
      <w:pPr>
        <w:jc w:val="both"/>
        <w:rPr>
          <w:rFonts w:ascii="Cambria" w:hAnsi="Cambria"/>
          <w:sz w:val="20"/>
          <w:szCs w:val="20"/>
          <w:lang w:val="es-VE"/>
        </w:rPr>
      </w:pPr>
      <w:bookmarkStart w:id="14" w:name="_Toc477355344"/>
    </w:p>
    <w:p w14:paraId="5A269049" w14:textId="77777777" w:rsidR="002D2CC4" w:rsidRPr="007E779B" w:rsidRDefault="00610A15" w:rsidP="007E779B">
      <w:pPr>
        <w:pStyle w:val="Heading2"/>
        <w:numPr>
          <w:ilvl w:val="0"/>
          <w:numId w:val="52"/>
        </w:numPr>
        <w:spacing w:before="0" w:after="0"/>
        <w:jc w:val="both"/>
        <w:rPr>
          <w:rFonts w:ascii="Cambria" w:hAnsi="Cambria"/>
          <w:i w:val="0"/>
          <w:sz w:val="20"/>
          <w:szCs w:val="20"/>
        </w:rPr>
      </w:pPr>
      <w:bookmarkStart w:id="15" w:name="_Toc516681996"/>
      <w:r w:rsidRPr="007E779B">
        <w:rPr>
          <w:rFonts w:ascii="Cambria" w:hAnsi="Cambria"/>
          <w:i w:val="0"/>
          <w:sz w:val="20"/>
          <w:szCs w:val="20"/>
        </w:rPr>
        <w:t>Posición del Estado</w:t>
      </w:r>
      <w:bookmarkEnd w:id="14"/>
      <w:bookmarkEnd w:id="15"/>
    </w:p>
    <w:p w14:paraId="147A36D6" w14:textId="77777777" w:rsidR="002D2CC4" w:rsidRPr="007E779B" w:rsidRDefault="002D2CC4" w:rsidP="007E779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AR"/>
        </w:rPr>
      </w:pPr>
    </w:p>
    <w:p w14:paraId="2F965BF4" w14:textId="77777777" w:rsidR="002D2CC4" w:rsidRPr="007E779B" w:rsidRDefault="002D2CC4" w:rsidP="007E779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7E779B">
        <w:rPr>
          <w:rFonts w:ascii="Cambria" w:hAnsi="Cambria"/>
          <w:sz w:val="20"/>
          <w:szCs w:val="20"/>
          <w:lang w:val="es-MX"/>
        </w:rPr>
        <w:t xml:space="preserve">El Estado indicó que la Resolución R-25-160 es un acto administrativo emanado de una autoridad competente, pues la Constitución Política de la República del Ecuador de 1998 establecía que el Congreso Nacional era el encargado de nombrar a los vocales del Tribunal Supremo Electoral, conocer sus excusas y también designar sus reemplazos. </w:t>
      </w:r>
    </w:p>
    <w:p w14:paraId="36525990" w14:textId="77777777" w:rsidR="002D2CC4" w:rsidRPr="007E779B" w:rsidRDefault="002D2CC4" w:rsidP="007E779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MX"/>
        </w:rPr>
      </w:pPr>
    </w:p>
    <w:p w14:paraId="1042AC74" w14:textId="744C0650" w:rsidR="002D2CC4" w:rsidRPr="007E779B" w:rsidRDefault="002D2CC4" w:rsidP="007E779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7E779B">
        <w:rPr>
          <w:rFonts w:ascii="Cambria" w:hAnsi="Cambria"/>
          <w:sz w:val="20"/>
          <w:szCs w:val="20"/>
          <w:lang w:val="es-MX"/>
        </w:rPr>
        <w:t>Sostuvo que del ordenamiento jurídico interno ecuatoriano no se desprende que existan cualidades jurisdiccionales en las funciones o atribuciones del Tribunal Supremo Electoral, y que el argumento de pretender asimilarlo con un</w:t>
      </w:r>
      <w:r w:rsidR="00E42BC7">
        <w:rPr>
          <w:rFonts w:ascii="Cambria" w:hAnsi="Cambria"/>
          <w:sz w:val="20"/>
          <w:szCs w:val="20"/>
          <w:lang w:val="es-MX"/>
        </w:rPr>
        <w:t>a autoridad j</w:t>
      </w:r>
      <w:r w:rsidRPr="007E779B">
        <w:rPr>
          <w:rFonts w:ascii="Cambria" w:hAnsi="Cambria"/>
          <w:sz w:val="20"/>
          <w:szCs w:val="20"/>
          <w:lang w:val="es-MX"/>
        </w:rPr>
        <w:t xml:space="preserve">udicial es débil por la naturaleza distinta de las funciones que desempeñan. Advirtió además que el cargo de Vocal del Tribunal Supremo no se ejerció a título de derecho subjetivo propio, sino como derecho público subjetivo en representación de la sociedad. </w:t>
      </w:r>
    </w:p>
    <w:p w14:paraId="68DE8806" w14:textId="77777777" w:rsidR="002D2CC4" w:rsidRPr="007E779B" w:rsidRDefault="002D2CC4" w:rsidP="007E779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MX"/>
        </w:rPr>
      </w:pPr>
    </w:p>
    <w:p w14:paraId="3C153CA0" w14:textId="239B2100" w:rsidR="002D2CC4" w:rsidRPr="007E779B" w:rsidRDefault="0088493A" w:rsidP="007E779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Pr>
          <w:rFonts w:ascii="Cambria" w:hAnsi="Cambria"/>
          <w:sz w:val="20"/>
          <w:szCs w:val="20"/>
          <w:lang w:val="es-MX"/>
        </w:rPr>
        <w:t>Manifestó</w:t>
      </w:r>
      <w:r w:rsidR="002D2CC4" w:rsidRPr="007E779B">
        <w:rPr>
          <w:rFonts w:ascii="Cambria" w:hAnsi="Cambria"/>
          <w:sz w:val="20"/>
          <w:szCs w:val="20"/>
          <w:lang w:val="es-MX"/>
        </w:rPr>
        <w:t xml:space="preserve"> que, de deducirse, sin consideraciones </w:t>
      </w:r>
      <w:r w:rsidR="00D30C16">
        <w:rPr>
          <w:rFonts w:ascii="Cambria" w:hAnsi="Cambria"/>
          <w:sz w:val="20"/>
          <w:szCs w:val="20"/>
          <w:lang w:val="es-MX"/>
        </w:rPr>
        <w:t>sobre e</w:t>
      </w:r>
      <w:r w:rsidR="002D2CC4" w:rsidRPr="007E779B">
        <w:rPr>
          <w:rFonts w:ascii="Cambria" w:hAnsi="Cambria"/>
          <w:sz w:val="20"/>
          <w:szCs w:val="20"/>
          <w:lang w:val="es-MX"/>
        </w:rPr>
        <w:t>l contexto, que las resoluciones de la Corte Interamericana en los casos Camba Campos</w:t>
      </w:r>
      <w:r w:rsidR="00D30C16">
        <w:rPr>
          <w:rFonts w:ascii="Cambria" w:hAnsi="Cambria"/>
          <w:sz w:val="20"/>
          <w:szCs w:val="20"/>
          <w:lang w:val="es-MX"/>
        </w:rPr>
        <w:t xml:space="preserve"> y otros</w:t>
      </w:r>
      <w:r w:rsidR="002D2CC4" w:rsidRPr="007E779B">
        <w:rPr>
          <w:rFonts w:ascii="Cambria" w:hAnsi="Cambria"/>
          <w:sz w:val="20"/>
          <w:szCs w:val="20"/>
          <w:lang w:val="es-MX"/>
        </w:rPr>
        <w:t xml:space="preserve"> y Quintana Coello</w:t>
      </w:r>
      <w:r w:rsidR="00D30C16">
        <w:rPr>
          <w:rFonts w:ascii="Cambria" w:hAnsi="Cambria"/>
          <w:sz w:val="20"/>
          <w:szCs w:val="20"/>
          <w:lang w:val="es-MX"/>
        </w:rPr>
        <w:t xml:space="preserve"> y otros</w:t>
      </w:r>
      <w:r w:rsidR="005229EA">
        <w:rPr>
          <w:rFonts w:ascii="Cambria" w:hAnsi="Cambria"/>
          <w:sz w:val="20"/>
          <w:szCs w:val="20"/>
          <w:lang w:val="es-MX"/>
        </w:rPr>
        <w:t>,</w:t>
      </w:r>
      <w:r w:rsidR="002D2CC4" w:rsidRPr="007E779B">
        <w:rPr>
          <w:rFonts w:ascii="Cambria" w:hAnsi="Cambria"/>
          <w:sz w:val="20"/>
          <w:szCs w:val="20"/>
          <w:lang w:val="es-MX"/>
        </w:rPr>
        <w:t xml:space="preserve"> son hechos probados en el presente caso, se atentaría irremediablemente contra el derecho de defensa del Estado ecuatoriano, y los principios básicos procesales del sistema interamericano.</w:t>
      </w:r>
    </w:p>
    <w:p w14:paraId="15C395ED" w14:textId="77777777" w:rsidR="002D2CC4" w:rsidRPr="007E779B" w:rsidRDefault="002D2CC4" w:rsidP="007E779B">
      <w:pPr>
        <w:pStyle w:val="ListParagraph"/>
        <w:jc w:val="both"/>
        <w:rPr>
          <w:sz w:val="20"/>
          <w:szCs w:val="20"/>
          <w:lang w:val="es-MX"/>
        </w:rPr>
      </w:pPr>
    </w:p>
    <w:p w14:paraId="0B5B69BC" w14:textId="77777777" w:rsidR="002D2CC4" w:rsidRDefault="002D2CC4" w:rsidP="007E779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7E779B">
        <w:rPr>
          <w:rFonts w:ascii="Cambria" w:hAnsi="Cambria"/>
          <w:sz w:val="20"/>
          <w:szCs w:val="20"/>
          <w:lang w:val="es-MX"/>
        </w:rPr>
        <w:t>Asimismo, indicó que la parte peticionaria no logró demostrar satisfactoriamente las razones por las que la petición fue únicamente presentada por su persona, y no por los demás Vocales del Tribunal Supremo Electoral que, según sus afirmaciones, también fueron afectados por el Estado ecuatoriano.</w:t>
      </w:r>
    </w:p>
    <w:p w14:paraId="4CF41375" w14:textId="77777777" w:rsidR="002D2CC4" w:rsidRDefault="002D2CC4" w:rsidP="007E779B">
      <w:pPr>
        <w:pStyle w:val="ListParagraph"/>
        <w:jc w:val="both"/>
        <w:rPr>
          <w:sz w:val="20"/>
          <w:szCs w:val="20"/>
          <w:lang w:val="es-MX"/>
        </w:rPr>
      </w:pPr>
    </w:p>
    <w:p w14:paraId="183AFDE8" w14:textId="77777777" w:rsidR="00C16812" w:rsidRDefault="00C16812" w:rsidP="007E779B">
      <w:pPr>
        <w:pStyle w:val="ListParagraph"/>
        <w:jc w:val="both"/>
        <w:rPr>
          <w:sz w:val="20"/>
          <w:szCs w:val="20"/>
          <w:lang w:val="es-MX"/>
        </w:rPr>
      </w:pPr>
    </w:p>
    <w:p w14:paraId="2A2B7F1B" w14:textId="77777777" w:rsidR="00C16812" w:rsidRDefault="00C16812" w:rsidP="007E779B">
      <w:pPr>
        <w:pStyle w:val="ListParagraph"/>
        <w:jc w:val="both"/>
        <w:rPr>
          <w:sz w:val="20"/>
          <w:szCs w:val="20"/>
          <w:lang w:val="es-MX"/>
        </w:rPr>
      </w:pPr>
    </w:p>
    <w:p w14:paraId="61B7EFC5" w14:textId="77777777" w:rsidR="00C16812" w:rsidRPr="007E779B" w:rsidRDefault="00C16812" w:rsidP="007E779B">
      <w:pPr>
        <w:pStyle w:val="ListParagraph"/>
        <w:jc w:val="both"/>
        <w:rPr>
          <w:sz w:val="20"/>
          <w:szCs w:val="20"/>
          <w:lang w:val="es-MX"/>
        </w:rPr>
      </w:pPr>
    </w:p>
    <w:p w14:paraId="4A9B5841" w14:textId="114DD319" w:rsidR="002D2CC4" w:rsidRPr="007E779B" w:rsidRDefault="002D2CC4" w:rsidP="007E779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7E779B">
        <w:rPr>
          <w:rFonts w:ascii="Cambria" w:hAnsi="Cambria"/>
          <w:sz w:val="20"/>
          <w:szCs w:val="20"/>
          <w:lang w:val="es-MX"/>
        </w:rPr>
        <w:t>En cuanto al derecho, argumentó que no se violaron las</w:t>
      </w:r>
      <w:r w:rsidRPr="007E779B">
        <w:rPr>
          <w:rFonts w:ascii="Cambria" w:hAnsi="Cambria"/>
          <w:b/>
          <w:sz w:val="20"/>
          <w:szCs w:val="20"/>
          <w:lang w:val="es-MX"/>
        </w:rPr>
        <w:t xml:space="preserve"> garantías judiciales</w:t>
      </w:r>
      <w:r w:rsidRPr="007E779B">
        <w:rPr>
          <w:rFonts w:ascii="Cambria" w:hAnsi="Cambria"/>
          <w:sz w:val="20"/>
          <w:szCs w:val="20"/>
          <w:lang w:val="es-MX"/>
        </w:rPr>
        <w:t xml:space="preserve">. Refirió que la Corte Interamericana ha reconocido que las garantías judiciales no aplican de la misma manera en procesos que no son de naturaleza judicial y refirió que de la normativa vigente en la época de los hechos del presente caso se desprende que el Tribunal Supremo Electoral no era una Corte o </w:t>
      </w:r>
      <w:r w:rsidR="005229EA">
        <w:rPr>
          <w:rFonts w:ascii="Cambria" w:hAnsi="Cambria"/>
          <w:sz w:val="20"/>
          <w:szCs w:val="20"/>
          <w:lang w:val="es-MX"/>
        </w:rPr>
        <w:t>j</w:t>
      </w:r>
      <w:r w:rsidRPr="007E779B">
        <w:rPr>
          <w:rFonts w:ascii="Cambria" w:hAnsi="Cambria"/>
          <w:sz w:val="20"/>
          <w:szCs w:val="20"/>
          <w:lang w:val="es-MX"/>
        </w:rPr>
        <w:t xml:space="preserve">udicatura sino una institución con carácter operativo electoral, por lo que no resulta aplicable la garantía de ser oído por un tribunal competente, independiente e imparcial. </w:t>
      </w:r>
    </w:p>
    <w:p w14:paraId="44958CE8" w14:textId="77777777" w:rsidR="002D2CC4" w:rsidRPr="007E779B" w:rsidRDefault="002D2CC4" w:rsidP="007E779B">
      <w:pPr>
        <w:pStyle w:val="ListParagraph"/>
        <w:jc w:val="both"/>
        <w:rPr>
          <w:sz w:val="20"/>
          <w:szCs w:val="20"/>
          <w:lang w:val="es-MX"/>
        </w:rPr>
      </w:pPr>
    </w:p>
    <w:p w14:paraId="384B6B36" w14:textId="77777777" w:rsidR="002D2CC4" w:rsidRPr="007E779B" w:rsidRDefault="002D2CC4" w:rsidP="007E779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7E779B">
        <w:rPr>
          <w:rFonts w:ascii="Cambria" w:hAnsi="Cambria"/>
          <w:sz w:val="20"/>
          <w:szCs w:val="20"/>
          <w:lang w:val="es-MX"/>
        </w:rPr>
        <w:t xml:space="preserve">Refirió que no se violó el </w:t>
      </w:r>
      <w:r w:rsidRPr="007E779B">
        <w:rPr>
          <w:rFonts w:ascii="Cambria" w:hAnsi="Cambria"/>
          <w:b/>
          <w:sz w:val="20"/>
          <w:szCs w:val="20"/>
          <w:lang w:val="es-MX"/>
        </w:rPr>
        <w:t>principio de legalidad</w:t>
      </w:r>
      <w:r w:rsidRPr="007E779B">
        <w:rPr>
          <w:rFonts w:ascii="Cambria" w:hAnsi="Cambria"/>
          <w:sz w:val="20"/>
          <w:szCs w:val="20"/>
          <w:lang w:val="es-MX"/>
        </w:rPr>
        <w:t xml:space="preserve">, tomando en cuenta la naturaleza del control político ejercido. Indicó que es incomprensible que la parte peticionaria señale por un lado que existía una Ley de Elecciones como fundamento normativo, y que por otro refiera que había un “vacío de legalidad”. Refirió que la norma citada establecía las facultades de fiscalización del Congreso Nacional de manera plenamente reglada. </w:t>
      </w:r>
    </w:p>
    <w:p w14:paraId="405CC2AB" w14:textId="77777777" w:rsidR="002D2CC4" w:rsidRPr="007E779B" w:rsidRDefault="002D2CC4" w:rsidP="007E779B">
      <w:pPr>
        <w:jc w:val="both"/>
        <w:rPr>
          <w:rFonts w:ascii="Cambria" w:hAnsi="Cambria"/>
          <w:sz w:val="20"/>
          <w:szCs w:val="20"/>
          <w:lang w:val="es-MX"/>
        </w:rPr>
      </w:pPr>
    </w:p>
    <w:p w14:paraId="41A501F9" w14:textId="0E53B40C" w:rsidR="002D2CC4" w:rsidRPr="00D80650" w:rsidRDefault="00D80650" w:rsidP="00D8065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Pr>
          <w:rFonts w:ascii="Cambria" w:hAnsi="Cambria"/>
          <w:sz w:val="20"/>
          <w:szCs w:val="20"/>
          <w:lang w:val="es-MX"/>
        </w:rPr>
        <w:t>Argumentó</w:t>
      </w:r>
      <w:r w:rsidR="002D2CC4" w:rsidRPr="007E779B">
        <w:rPr>
          <w:rFonts w:ascii="Cambria" w:hAnsi="Cambria"/>
          <w:sz w:val="20"/>
          <w:szCs w:val="20"/>
          <w:lang w:val="es-MX"/>
        </w:rPr>
        <w:t xml:space="preserve"> que no se vulneró el </w:t>
      </w:r>
      <w:r w:rsidR="002D2CC4" w:rsidRPr="007E779B">
        <w:rPr>
          <w:rFonts w:ascii="Cambria" w:hAnsi="Cambria"/>
          <w:b/>
          <w:sz w:val="20"/>
          <w:szCs w:val="20"/>
          <w:lang w:val="es-MX"/>
        </w:rPr>
        <w:t>derecho a la protección judicial</w:t>
      </w:r>
      <w:r w:rsidR="002D2CC4" w:rsidRPr="007E779B">
        <w:rPr>
          <w:rFonts w:ascii="Cambria" w:hAnsi="Cambria"/>
          <w:sz w:val="20"/>
          <w:szCs w:val="20"/>
          <w:lang w:val="es-MX"/>
        </w:rPr>
        <w:t xml:space="preserve"> porque la parte peticionaria no logró demostrar la inefectividad de los recursos disponibles. Agregó que la parte peticionaria contaba también con la vía contencioso administrativa </w:t>
      </w:r>
      <w:r w:rsidR="00C759E6">
        <w:rPr>
          <w:rFonts w:ascii="Cambria" w:hAnsi="Cambria"/>
          <w:sz w:val="20"/>
          <w:szCs w:val="20"/>
          <w:lang w:val="es-MX"/>
        </w:rPr>
        <w:t>como recurso disponible contra r</w:t>
      </w:r>
      <w:r w:rsidR="002D2CC4" w:rsidRPr="007E779B">
        <w:rPr>
          <w:rFonts w:ascii="Cambria" w:hAnsi="Cambria"/>
          <w:sz w:val="20"/>
          <w:szCs w:val="20"/>
          <w:lang w:val="es-MX"/>
        </w:rPr>
        <w:t xml:space="preserve">esoluciones de órganos de la </w:t>
      </w:r>
      <w:r w:rsidR="00715999">
        <w:rPr>
          <w:rFonts w:ascii="Cambria" w:hAnsi="Cambria"/>
          <w:sz w:val="20"/>
          <w:szCs w:val="20"/>
          <w:lang w:val="es-MX"/>
        </w:rPr>
        <w:t>a</w:t>
      </w:r>
      <w:r w:rsidR="002D2CC4" w:rsidRPr="007E779B">
        <w:rPr>
          <w:rFonts w:ascii="Cambria" w:hAnsi="Cambria"/>
          <w:sz w:val="20"/>
          <w:szCs w:val="20"/>
          <w:lang w:val="es-MX"/>
        </w:rPr>
        <w:t xml:space="preserve">dministración </w:t>
      </w:r>
      <w:r w:rsidR="00715999">
        <w:rPr>
          <w:rFonts w:ascii="Cambria" w:hAnsi="Cambria"/>
          <w:sz w:val="20"/>
          <w:szCs w:val="20"/>
          <w:lang w:val="es-MX"/>
        </w:rPr>
        <w:t>p</w:t>
      </w:r>
      <w:r w:rsidR="002D2CC4" w:rsidRPr="007E779B">
        <w:rPr>
          <w:rFonts w:ascii="Cambria" w:hAnsi="Cambria"/>
          <w:sz w:val="20"/>
          <w:szCs w:val="20"/>
          <w:lang w:val="es-MX"/>
        </w:rPr>
        <w:t>ública que vulneran derechos fundamentales.</w:t>
      </w:r>
      <w:r w:rsidR="002D2CC4" w:rsidRPr="007E779B" w:rsidDel="00567D6B">
        <w:rPr>
          <w:rFonts w:ascii="Cambria" w:hAnsi="Cambria"/>
          <w:sz w:val="20"/>
          <w:szCs w:val="20"/>
          <w:lang w:val="es-MX"/>
        </w:rPr>
        <w:t xml:space="preserve"> </w:t>
      </w:r>
      <w:r>
        <w:rPr>
          <w:rFonts w:ascii="Cambria" w:hAnsi="Cambria"/>
          <w:sz w:val="20"/>
          <w:szCs w:val="20"/>
          <w:lang w:val="es-MX"/>
        </w:rPr>
        <w:t xml:space="preserve">Indicó que </w:t>
      </w:r>
      <w:r w:rsidR="002D2CC4" w:rsidRPr="00D80650">
        <w:rPr>
          <w:rFonts w:ascii="Cambria" w:hAnsi="Cambria"/>
          <w:sz w:val="20"/>
          <w:szCs w:val="20"/>
          <w:lang w:val="es-MX"/>
        </w:rPr>
        <w:t>la presunta parcialidad del Tribunal Constitucional no ha sido demostrada y</w:t>
      </w:r>
      <w:r w:rsidR="000622D9">
        <w:rPr>
          <w:rFonts w:ascii="Cambria" w:hAnsi="Cambria"/>
          <w:sz w:val="20"/>
          <w:szCs w:val="20"/>
          <w:lang w:val="es-MX"/>
        </w:rPr>
        <w:t>,</w:t>
      </w:r>
      <w:r w:rsidR="002D2CC4" w:rsidRPr="00D80650">
        <w:rPr>
          <w:rFonts w:ascii="Cambria" w:hAnsi="Cambria"/>
          <w:sz w:val="20"/>
          <w:szCs w:val="20"/>
          <w:lang w:val="es-MX"/>
        </w:rPr>
        <w:t xml:space="preserve"> por</w:t>
      </w:r>
      <w:r w:rsidR="000622D9">
        <w:rPr>
          <w:rFonts w:ascii="Cambria" w:hAnsi="Cambria"/>
          <w:sz w:val="20"/>
          <w:szCs w:val="20"/>
          <w:lang w:val="es-MX"/>
        </w:rPr>
        <w:t xml:space="preserve"> l</w:t>
      </w:r>
      <w:r w:rsidR="003876A6">
        <w:rPr>
          <w:rFonts w:ascii="Cambria" w:hAnsi="Cambria"/>
          <w:sz w:val="20"/>
          <w:szCs w:val="20"/>
          <w:lang w:val="es-MX"/>
        </w:rPr>
        <w:t>o</w:t>
      </w:r>
      <w:r w:rsidR="002D2CC4" w:rsidRPr="00D80650">
        <w:rPr>
          <w:rFonts w:ascii="Cambria" w:hAnsi="Cambria"/>
          <w:sz w:val="20"/>
          <w:szCs w:val="20"/>
          <w:lang w:val="es-MX"/>
        </w:rPr>
        <w:t xml:space="preserve"> tanto, la vía de protección judicial era expedita a nivel constitucional.</w:t>
      </w:r>
    </w:p>
    <w:p w14:paraId="72497DDA" w14:textId="77777777" w:rsidR="002D2CC4" w:rsidRPr="007E779B" w:rsidRDefault="002D2CC4" w:rsidP="007E779B">
      <w:pPr>
        <w:pStyle w:val="ListParagraph"/>
        <w:jc w:val="both"/>
        <w:rPr>
          <w:sz w:val="20"/>
          <w:szCs w:val="20"/>
          <w:highlight w:val="yellow"/>
          <w:lang w:val="es-MX"/>
        </w:rPr>
      </w:pPr>
    </w:p>
    <w:p w14:paraId="086E1094" w14:textId="354A04A6" w:rsidR="00ED1400" w:rsidRPr="00D542F0" w:rsidRDefault="002D2CC4" w:rsidP="007E779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7E779B">
        <w:rPr>
          <w:rFonts w:ascii="Cambria" w:hAnsi="Cambria"/>
          <w:sz w:val="20"/>
          <w:szCs w:val="20"/>
          <w:lang w:val="es-MX"/>
        </w:rPr>
        <w:t xml:space="preserve">Finalmente, en cuanto a la </w:t>
      </w:r>
      <w:r w:rsidRPr="00D80650">
        <w:rPr>
          <w:rFonts w:ascii="Cambria" w:hAnsi="Cambria"/>
          <w:b/>
          <w:sz w:val="20"/>
          <w:szCs w:val="20"/>
          <w:lang w:val="es-MX"/>
        </w:rPr>
        <w:t xml:space="preserve">obligación de </w:t>
      </w:r>
      <w:r w:rsidR="00D80650" w:rsidRPr="00D80650">
        <w:rPr>
          <w:rFonts w:ascii="Cambria" w:hAnsi="Cambria"/>
          <w:b/>
          <w:sz w:val="20"/>
          <w:szCs w:val="20"/>
          <w:lang w:val="es-MX"/>
        </w:rPr>
        <w:t>respetar los derechos</w:t>
      </w:r>
      <w:r w:rsidR="00D80650">
        <w:rPr>
          <w:rFonts w:ascii="Cambria" w:hAnsi="Cambria"/>
          <w:sz w:val="20"/>
          <w:szCs w:val="20"/>
          <w:lang w:val="es-MX"/>
        </w:rPr>
        <w:t xml:space="preserve"> de la Convención Americana</w:t>
      </w:r>
      <w:r w:rsidRPr="007E779B">
        <w:rPr>
          <w:rFonts w:ascii="Cambria" w:hAnsi="Cambria"/>
          <w:sz w:val="20"/>
          <w:szCs w:val="20"/>
          <w:lang w:val="es-MX"/>
        </w:rPr>
        <w:t xml:space="preserve"> y al </w:t>
      </w:r>
      <w:r w:rsidRPr="003876A6">
        <w:rPr>
          <w:rFonts w:ascii="Cambria" w:hAnsi="Cambria"/>
          <w:b/>
          <w:sz w:val="20"/>
          <w:szCs w:val="20"/>
          <w:lang w:val="es-MX"/>
        </w:rPr>
        <w:t>deber de adoptar disposiciones del derecho interno</w:t>
      </w:r>
      <w:r w:rsidRPr="007E779B">
        <w:rPr>
          <w:rFonts w:ascii="Cambria" w:hAnsi="Cambria"/>
          <w:sz w:val="20"/>
          <w:szCs w:val="20"/>
          <w:lang w:val="es-MX"/>
        </w:rPr>
        <w:t>, el Estado sostuvo que ha modificado sustancialmente su institucionalidad en materia electoral para adecuarse al estándar interamericano</w:t>
      </w:r>
      <w:r w:rsidR="000622D9">
        <w:rPr>
          <w:rFonts w:ascii="Cambria" w:hAnsi="Cambria"/>
          <w:sz w:val="20"/>
          <w:szCs w:val="20"/>
          <w:lang w:val="es-MX"/>
        </w:rPr>
        <w:t>;</w:t>
      </w:r>
      <w:r w:rsidRPr="007E779B">
        <w:rPr>
          <w:rFonts w:ascii="Cambria" w:hAnsi="Cambria"/>
          <w:sz w:val="20"/>
          <w:szCs w:val="20"/>
          <w:lang w:val="es-MX"/>
        </w:rPr>
        <w:t xml:space="preserve"> y que ello debe considera</w:t>
      </w:r>
      <w:r w:rsidR="000622D9">
        <w:rPr>
          <w:rFonts w:ascii="Cambria" w:hAnsi="Cambria"/>
          <w:sz w:val="20"/>
          <w:szCs w:val="20"/>
          <w:lang w:val="es-MX"/>
        </w:rPr>
        <w:t>r</w:t>
      </w:r>
      <w:r w:rsidRPr="007E779B">
        <w:rPr>
          <w:rFonts w:ascii="Cambria" w:hAnsi="Cambria"/>
          <w:sz w:val="20"/>
          <w:szCs w:val="20"/>
          <w:lang w:val="es-MX"/>
        </w:rPr>
        <w:t xml:space="preserve">se integralmente como una garantía de no repetición y observancia del contenido de las obligaciones </w:t>
      </w:r>
      <w:r w:rsidR="000622D9">
        <w:rPr>
          <w:rFonts w:ascii="Cambria" w:hAnsi="Cambria"/>
          <w:sz w:val="20"/>
          <w:szCs w:val="20"/>
          <w:lang w:val="es-MX"/>
        </w:rPr>
        <w:t>que se desprenden de dicho estándar.</w:t>
      </w:r>
    </w:p>
    <w:p w14:paraId="017EC554" w14:textId="77777777" w:rsidR="002D2CC4" w:rsidRPr="007E779B" w:rsidRDefault="002D2CC4" w:rsidP="007E779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7764C688" w14:textId="77777777" w:rsidR="00CB37D9" w:rsidRPr="00364445" w:rsidRDefault="007B45AE" w:rsidP="007E779B">
      <w:pPr>
        <w:pStyle w:val="Heading1"/>
        <w:spacing w:before="0"/>
        <w:ind w:firstLine="0"/>
        <w:jc w:val="both"/>
        <w:rPr>
          <w:rFonts w:ascii="Cambria" w:hAnsi="Cambria"/>
          <w:color w:val="auto"/>
          <w:sz w:val="20"/>
          <w:szCs w:val="20"/>
          <w:lang w:val="es-VE"/>
        </w:rPr>
      </w:pPr>
      <w:bookmarkStart w:id="16" w:name="_Toc516681997"/>
      <w:bookmarkStart w:id="17" w:name="_Toc423514424"/>
      <w:bookmarkStart w:id="18" w:name="_Toc441166736"/>
      <w:r w:rsidRPr="00364445">
        <w:rPr>
          <w:rFonts w:ascii="Cambria" w:hAnsi="Cambria"/>
          <w:color w:val="auto"/>
          <w:sz w:val="20"/>
          <w:szCs w:val="20"/>
          <w:lang w:val="es-VE"/>
        </w:rPr>
        <w:t>DETERMINACIONES DE HECHO</w:t>
      </w:r>
      <w:bookmarkEnd w:id="16"/>
    </w:p>
    <w:p w14:paraId="70215740" w14:textId="77777777" w:rsidR="00511C91" w:rsidRPr="007E779B" w:rsidRDefault="00511C91" w:rsidP="007E779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Times New Roman" w:hAnsi="Cambria"/>
          <w:sz w:val="20"/>
          <w:szCs w:val="20"/>
          <w:bdr w:val="none" w:sz="0" w:space="0" w:color="auto"/>
          <w:lang w:val="es-CO"/>
        </w:rPr>
      </w:pPr>
    </w:p>
    <w:p w14:paraId="4A1D23C4" w14:textId="77777777" w:rsidR="005961DE" w:rsidRDefault="005961DE" w:rsidP="007E779B">
      <w:pPr>
        <w:pStyle w:val="Heading2"/>
        <w:numPr>
          <w:ilvl w:val="0"/>
          <w:numId w:val="53"/>
        </w:numPr>
        <w:spacing w:before="0" w:after="0"/>
        <w:jc w:val="both"/>
        <w:rPr>
          <w:rFonts w:ascii="Cambria" w:hAnsi="Cambria"/>
          <w:i w:val="0"/>
          <w:sz w:val="20"/>
          <w:szCs w:val="20"/>
          <w:lang w:val="es-VE"/>
        </w:rPr>
      </w:pPr>
      <w:bookmarkStart w:id="19" w:name="_Toc516681998"/>
      <w:r>
        <w:rPr>
          <w:rFonts w:ascii="Cambria" w:hAnsi="Cambria"/>
          <w:i w:val="0"/>
          <w:sz w:val="20"/>
          <w:szCs w:val="20"/>
          <w:lang w:val="es-VE"/>
        </w:rPr>
        <w:t>Contexto</w:t>
      </w:r>
      <w:bookmarkEnd w:id="19"/>
    </w:p>
    <w:p w14:paraId="5AF1F73C" w14:textId="77777777" w:rsidR="005961DE" w:rsidRDefault="005961DE" w:rsidP="005961DE">
      <w:pPr>
        <w:rPr>
          <w:lang w:val="es-VE"/>
        </w:rPr>
      </w:pPr>
    </w:p>
    <w:p w14:paraId="05918347" w14:textId="4D71D140" w:rsidR="00A541F0" w:rsidRDefault="00216B73" w:rsidP="003F345C">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lang w:val="es-VE"/>
        </w:rPr>
      </w:pPr>
      <w:r>
        <w:rPr>
          <w:rFonts w:ascii="Cambria" w:hAnsi="Cambria"/>
          <w:sz w:val="20"/>
          <w:szCs w:val="20"/>
          <w:lang w:val="es-MX"/>
        </w:rPr>
        <w:t>La Comisión considera que resulta</w:t>
      </w:r>
      <w:r w:rsidR="00427999">
        <w:rPr>
          <w:rFonts w:ascii="Cambria" w:hAnsi="Cambria"/>
          <w:sz w:val="20"/>
          <w:szCs w:val="20"/>
          <w:lang w:val="es-MX"/>
        </w:rPr>
        <w:t>n</w:t>
      </w:r>
      <w:r>
        <w:rPr>
          <w:rFonts w:ascii="Cambria" w:hAnsi="Cambria"/>
          <w:sz w:val="20"/>
          <w:szCs w:val="20"/>
          <w:lang w:val="es-MX"/>
        </w:rPr>
        <w:t xml:space="preserve"> aplicable</w:t>
      </w:r>
      <w:r w:rsidR="001E50DF">
        <w:rPr>
          <w:rFonts w:ascii="Cambria" w:hAnsi="Cambria"/>
          <w:sz w:val="20"/>
          <w:szCs w:val="20"/>
          <w:lang w:val="es-MX"/>
        </w:rPr>
        <w:t>s</w:t>
      </w:r>
      <w:r>
        <w:rPr>
          <w:rFonts w:ascii="Cambria" w:hAnsi="Cambria"/>
          <w:sz w:val="20"/>
          <w:szCs w:val="20"/>
          <w:lang w:val="es-MX"/>
        </w:rPr>
        <w:t xml:space="preserve"> al presente caso </w:t>
      </w:r>
      <w:r w:rsidR="00427999">
        <w:rPr>
          <w:rFonts w:ascii="Cambria" w:hAnsi="Cambria"/>
          <w:sz w:val="20"/>
          <w:szCs w:val="20"/>
          <w:lang w:val="es-MX"/>
        </w:rPr>
        <w:t>los antecedentes y contexto</w:t>
      </w:r>
      <w:r>
        <w:rPr>
          <w:rFonts w:ascii="Cambria" w:hAnsi="Cambria"/>
          <w:sz w:val="20"/>
          <w:szCs w:val="20"/>
          <w:lang w:val="es-MX"/>
        </w:rPr>
        <w:t xml:space="preserve"> que la Corte Interamericana tuvo por acreditado</w:t>
      </w:r>
      <w:r w:rsidR="00427999">
        <w:rPr>
          <w:rFonts w:ascii="Cambria" w:hAnsi="Cambria"/>
          <w:sz w:val="20"/>
          <w:szCs w:val="20"/>
          <w:lang w:val="es-MX"/>
        </w:rPr>
        <w:t>s</w:t>
      </w:r>
      <w:r>
        <w:rPr>
          <w:rFonts w:ascii="Cambria" w:hAnsi="Cambria"/>
          <w:sz w:val="20"/>
          <w:szCs w:val="20"/>
          <w:lang w:val="es-MX"/>
        </w:rPr>
        <w:t xml:space="preserve"> en los casos</w:t>
      </w:r>
      <w:r>
        <w:rPr>
          <w:lang w:val="es-VE"/>
        </w:rPr>
        <w:t xml:space="preserve"> </w:t>
      </w:r>
      <w:r w:rsidRPr="00216B73">
        <w:rPr>
          <w:rFonts w:ascii="Cambria" w:hAnsi="Cambria"/>
          <w:sz w:val="20"/>
          <w:szCs w:val="20"/>
          <w:lang w:val="es-MX"/>
        </w:rPr>
        <w:t>Quintana Coello y Camba Campos contra Ecuador</w:t>
      </w:r>
      <w:r w:rsidR="00A541F0">
        <w:rPr>
          <w:rFonts w:ascii="Cambria" w:hAnsi="Cambria"/>
          <w:sz w:val="20"/>
          <w:szCs w:val="20"/>
          <w:lang w:val="es-MX"/>
        </w:rPr>
        <w:t xml:space="preserve">. En particular, la Comisión recapitula los siguientes: </w:t>
      </w:r>
    </w:p>
    <w:p w14:paraId="103D33B0" w14:textId="77777777" w:rsidR="003F345C" w:rsidRDefault="003F345C" w:rsidP="003F345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lang w:val="es-VE"/>
        </w:rPr>
      </w:pPr>
    </w:p>
    <w:p w14:paraId="1BACA68F" w14:textId="77777777" w:rsidR="00995B59" w:rsidRPr="00995B59" w:rsidRDefault="00995B59" w:rsidP="00995B59">
      <w:pPr>
        <w:tabs>
          <w:tab w:val="left" w:pos="709"/>
        </w:tabs>
        <w:suppressAutoHyphens/>
        <w:ind w:left="720" w:right="720"/>
        <w:contextualSpacing/>
        <w:jc w:val="both"/>
        <w:rPr>
          <w:rFonts w:ascii="Cambria" w:hAnsi="Cambria" w:cs="Tahoma"/>
          <w:sz w:val="20"/>
          <w:szCs w:val="20"/>
          <w:lang w:val="es-CO"/>
        </w:rPr>
      </w:pPr>
      <w:r w:rsidRPr="00995B59">
        <w:rPr>
          <w:rFonts w:ascii="Cambria" w:hAnsi="Cambria" w:cs="Tahoma"/>
          <w:sz w:val="20"/>
          <w:szCs w:val="20"/>
          <w:lang w:val="es-CO"/>
        </w:rPr>
        <w:t xml:space="preserve">Desde 1996 hasta 2007 en Ecuador se desempeñaron siete presidentes de la República. En ese lapso ninguno de ellos pudo cumplir con el mandato constitucional de cuatro años. </w:t>
      </w:r>
    </w:p>
    <w:p w14:paraId="497E8F0B" w14:textId="77777777" w:rsidR="00995B59" w:rsidRPr="00995B59" w:rsidRDefault="00995B59" w:rsidP="00995B59">
      <w:pPr>
        <w:suppressAutoHyphens/>
        <w:ind w:left="720" w:right="720"/>
        <w:contextualSpacing/>
        <w:jc w:val="both"/>
        <w:rPr>
          <w:rFonts w:ascii="Cambria" w:hAnsi="Cambria" w:cs="Tahoma"/>
          <w:sz w:val="20"/>
          <w:szCs w:val="20"/>
          <w:lang w:val="es-CO"/>
        </w:rPr>
      </w:pPr>
      <w:r w:rsidRPr="00995B59">
        <w:rPr>
          <w:rFonts w:ascii="Cambria" w:hAnsi="Cambria" w:cs="Tahoma"/>
          <w:sz w:val="20"/>
          <w:szCs w:val="20"/>
          <w:lang w:val="es-CO"/>
        </w:rPr>
        <w:t>(…)</w:t>
      </w:r>
    </w:p>
    <w:p w14:paraId="174283B2" w14:textId="77777777" w:rsidR="00995B59" w:rsidRPr="00995B59" w:rsidRDefault="00995B59" w:rsidP="00995B59">
      <w:pPr>
        <w:suppressAutoHyphens/>
        <w:ind w:left="720" w:right="720"/>
        <w:contextualSpacing/>
        <w:jc w:val="both"/>
        <w:rPr>
          <w:rFonts w:ascii="Cambria" w:hAnsi="Cambria" w:cs="Tahoma"/>
          <w:sz w:val="20"/>
          <w:szCs w:val="20"/>
          <w:lang w:val="es-CO"/>
        </w:rPr>
      </w:pPr>
      <w:r w:rsidRPr="00995B59">
        <w:rPr>
          <w:rFonts w:ascii="Cambria" w:hAnsi="Cambria"/>
          <w:sz w:val="20"/>
          <w:szCs w:val="20"/>
          <w:lang w:val="es-CO"/>
        </w:rPr>
        <w:t xml:space="preserve">En Ecuador han sido frecuentes históricamente las reformas estructurales y en la composición de las Altas Cortes. En algunos momentos las Altas Cortes fueron intervenidas desde el poder político. Según la perita Mónica Rodríguez, propuesta por el Estado, “[e]n Ecuador, la independencia de la Corte Suprema de Justicia ha sido comprometida, y la institución instrumentalizada a lo largo de la historia”. </w:t>
      </w:r>
    </w:p>
    <w:p w14:paraId="6DC31050" w14:textId="77777777" w:rsidR="00995B59" w:rsidRPr="00995B59" w:rsidRDefault="00995B59" w:rsidP="00995B59">
      <w:pPr>
        <w:suppressAutoHyphens/>
        <w:ind w:left="720" w:right="720"/>
        <w:contextualSpacing/>
        <w:jc w:val="both"/>
        <w:rPr>
          <w:rFonts w:ascii="Cambria" w:hAnsi="Cambria" w:cs="Tahoma"/>
          <w:sz w:val="20"/>
          <w:szCs w:val="20"/>
          <w:lang w:val="es-CO"/>
        </w:rPr>
      </w:pPr>
    </w:p>
    <w:p w14:paraId="6F55C64B" w14:textId="77777777" w:rsidR="00995B59" w:rsidRPr="00995B59" w:rsidRDefault="00995B59" w:rsidP="00995B59">
      <w:pPr>
        <w:tabs>
          <w:tab w:val="left" w:pos="709"/>
        </w:tabs>
        <w:suppressAutoHyphens/>
        <w:ind w:left="720" w:right="720"/>
        <w:contextualSpacing/>
        <w:jc w:val="both"/>
        <w:rPr>
          <w:rFonts w:ascii="Cambria" w:hAnsi="Cambria" w:cs="Tahoma"/>
          <w:sz w:val="20"/>
          <w:szCs w:val="20"/>
          <w:lang w:val="es-CR"/>
        </w:rPr>
      </w:pPr>
      <w:r w:rsidRPr="00995B59">
        <w:rPr>
          <w:rFonts w:ascii="Cambria" w:hAnsi="Cambria" w:cs="Tahoma"/>
          <w:sz w:val="20"/>
          <w:szCs w:val="20"/>
          <w:lang w:val="es-CO"/>
        </w:rPr>
        <w:t>El contexto del presente caso se relaciona con los ceses del Tribunal Constitucional, el Tribunal Supremo Electoral y la Corte Suprema de Justicia del Ecuador, los cuales ocurrieron en noviembre y diciembre de 2004. Dichos ceses fueron impulsados por el Congreso Nacional</w:t>
      </w:r>
      <w:r w:rsidRPr="00995B59">
        <w:rPr>
          <w:rFonts w:ascii="Cambria" w:hAnsi="Cambria" w:cs="Tahoma"/>
          <w:sz w:val="20"/>
          <w:szCs w:val="20"/>
          <w:lang w:val="es-CR"/>
        </w:rPr>
        <w:t xml:space="preserve">. </w:t>
      </w:r>
    </w:p>
    <w:p w14:paraId="48A52767" w14:textId="77777777" w:rsidR="00995B59" w:rsidRPr="00995B59" w:rsidRDefault="00995B59" w:rsidP="00995B59">
      <w:pPr>
        <w:suppressAutoHyphens/>
        <w:ind w:left="720" w:right="720"/>
        <w:contextualSpacing/>
        <w:jc w:val="both"/>
        <w:rPr>
          <w:rFonts w:ascii="Cambria" w:hAnsi="Cambria" w:cs="Tahoma"/>
          <w:sz w:val="20"/>
          <w:szCs w:val="20"/>
          <w:lang w:val="es-CO"/>
        </w:rPr>
      </w:pPr>
      <w:r w:rsidRPr="00995B59">
        <w:rPr>
          <w:rFonts w:ascii="Cambria" w:hAnsi="Cambria" w:cs="Tahoma"/>
          <w:sz w:val="20"/>
          <w:szCs w:val="20"/>
          <w:lang w:val="es-CR"/>
        </w:rPr>
        <w:t>(…)</w:t>
      </w:r>
    </w:p>
    <w:p w14:paraId="02E57383" w14:textId="77777777" w:rsidR="00995B59" w:rsidRPr="00995B59" w:rsidRDefault="00995B59" w:rsidP="00995B59">
      <w:pPr>
        <w:suppressAutoHyphens/>
        <w:ind w:left="720" w:right="720"/>
        <w:contextualSpacing/>
        <w:jc w:val="both"/>
        <w:rPr>
          <w:rFonts w:ascii="Cambria" w:hAnsi="Cambria" w:cs="Tahoma"/>
          <w:sz w:val="20"/>
          <w:szCs w:val="20"/>
          <w:lang w:val="es-CO"/>
        </w:rPr>
      </w:pPr>
      <w:r w:rsidRPr="00995B59">
        <w:rPr>
          <w:rFonts w:ascii="Cambria" w:hAnsi="Cambria"/>
          <w:sz w:val="20"/>
          <w:szCs w:val="20"/>
          <w:lang w:val="es-CO"/>
        </w:rPr>
        <w:t xml:space="preserve">El presidente Abdalá Bucaram fue elegido el 10 de agosto de 1996, sin embargo su gobierno sólo duró 180 días, ya que fue destituido por el Congreso en febrero de 1997. </w:t>
      </w:r>
    </w:p>
    <w:p w14:paraId="378D1AF1" w14:textId="77777777" w:rsidR="00995B59" w:rsidRPr="00995B59" w:rsidRDefault="00995B59" w:rsidP="00995B59">
      <w:pPr>
        <w:suppressAutoHyphens/>
        <w:ind w:left="720" w:right="720"/>
        <w:contextualSpacing/>
        <w:jc w:val="both"/>
        <w:rPr>
          <w:rFonts w:ascii="Cambria" w:hAnsi="Cambria" w:cs="Tahoma"/>
          <w:sz w:val="20"/>
          <w:szCs w:val="20"/>
          <w:lang w:val="es-CO"/>
        </w:rPr>
      </w:pPr>
      <w:bookmarkStart w:id="20" w:name="_Ref369180585"/>
    </w:p>
    <w:p w14:paraId="3B4F6BCA" w14:textId="77777777" w:rsidR="00995B59" w:rsidRPr="00995B59" w:rsidRDefault="00995B59" w:rsidP="00995B59">
      <w:pPr>
        <w:suppressAutoHyphens/>
        <w:ind w:left="720" w:right="720"/>
        <w:contextualSpacing/>
        <w:jc w:val="both"/>
        <w:rPr>
          <w:rFonts w:ascii="Cambria" w:hAnsi="Cambria" w:cs="Tahoma"/>
          <w:sz w:val="20"/>
          <w:szCs w:val="20"/>
          <w:lang w:val="es-CO"/>
        </w:rPr>
      </w:pPr>
      <w:r w:rsidRPr="00995B59">
        <w:rPr>
          <w:rFonts w:ascii="Cambria" w:hAnsi="Cambria" w:cs="Tahoma"/>
          <w:sz w:val="20"/>
          <w:szCs w:val="20"/>
          <w:lang w:val="es-CO"/>
        </w:rPr>
        <w:t xml:space="preserve">Al ser destituido, se designó a Fabián Alarcón Rivera como Presidente de la República Interino. Dicho Presidente convocó a una consulta popular, </w:t>
      </w:r>
      <w:r w:rsidRPr="00995B59">
        <w:rPr>
          <w:rFonts w:ascii="Cambria" w:hAnsi="Cambria"/>
          <w:sz w:val="20"/>
          <w:szCs w:val="20"/>
          <w:lang w:val="es-CO"/>
        </w:rPr>
        <w:t xml:space="preserve">el 7 de abril de 1997, mediante Decreto Ejecutivo No. 201. La consulta popular tenía un objetivo político que era legitimar el </w:t>
      </w:r>
      <w:r w:rsidRPr="00995B59">
        <w:rPr>
          <w:rFonts w:ascii="Cambria" w:hAnsi="Cambria"/>
          <w:sz w:val="20"/>
          <w:szCs w:val="20"/>
          <w:lang w:val="es-CO"/>
        </w:rPr>
        <w:lastRenderedPageBreak/>
        <w:t xml:space="preserve">gobierno de Alarcón cuestionado en cuanto a la constitucionalidad de su designación. Asimismo, la consulta </w:t>
      </w:r>
      <w:r w:rsidRPr="00995B59">
        <w:rPr>
          <w:rFonts w:ascii="Cambria" w:hAnsi="Cambria" w:cs="Tahoma"/>
          <w:sz w:val="20"/>
          <w:szCs w:val="20"/>
          <w:lang w:val="es-CO"/>
        </w:rPr>
        <w:t>tenía otros dos claros objetivos: legitimar las actuaciones de los órganos públicos y reinstitucionalizar el país. La Consulta autorizó cambiar la Constitución y, además, constituyó la base para convocar a una Asamblea Constituyente.</w:t>
      </w:r>
      <w:bookmarkEnd w:id="20"/>
    </w:p>
    <w:p w14:paraId="70E705DD" w14:textId="77777777" w:rsidR="00995B59" w:rsidRPr="00995B59" w:rsidRDefault="00995B59" w:rsidP="00995B59">
      <w:pPr>
        <w:ind w:left="720" w:right="720"/>
        <w:jc w:val="both"/>
        <w:rPr>
          <w:rFonts w:ascii="Cambria" w:hAnsi="Cambria"/>
          <w:sz w:val="20"/>
          <w:szCs w:val="20"/>
          <w:lang w:val="es-CO"/>
        </w:rPr>
      </w:pPr>
      <w:r w:rsidRPr="00995B59">
        <w:rPr>
          <w:rFonts w:ascii="Cambria" w:hAnsi="Cambria"/>
          <w:sz w:val="20"/>
          <w:szCs w:val="20"/>
          <w:lang w:val="es-CO"/>
        </w:rPr>
        <w:t>(…)</w:t>
      </w:r>
    </w:p>
    <w:p w14:paraId="69D8D52F" w14:textId="77777777" w:rsidR="00995B59" w:rsidRPr="00995B59" w:rsidRDefault="00995B59" w:rsidP="00995B59">
      <w:pPr>
        <w:tabs>
          <w:tab w:val="left" w:pos="709"/>
        </w:tabs>
        <w:suppressAutoHyphens/>
        <w:ind w:left="720" w:right="720"/>
        <w:jc w:val="both"/>
        <w:rPr>
          <w:rFonts w:ascii="Cambria" w:hAnsi="Cambria" w:cs="Tahoma"/>
          <w:sz w:val="20"/>
          <w:szCs w:val="20"/>
          <w:lang w:val="es-CO"/>
        </w:rPr>
      </w:pPr>
      <w:r w:rsidRPr="00995B59">
        <w:rPr>
          <w:rFonts w:ascii="Cambria" w:hAnsi="Cambria" w:cs="Tahoma"/>
          <w:sz w:val="20"/>
          <w:szCs w:val="20"/>
          <w:lang w:val="es-CO"/>
        </w:rPr>
        <w:t xml:space="preserve">El 25 de mayo de 1997 tuvo lugar la Consulta Popular y todas las preguntas de la consulta fueron contestadas mayoritariamente de forma afirmativa. </w:t>
      </w:r>
    </w:p>
    <w:p w14:paraId="3E776D7A" w14:textId="77777777" w:rsidR="00995B59" w:rsidRPr="00995B59" w:rsidRDefault="00995B59" w:rsidP="00995B59">
      <w:pPr>
        <w:suppressAutoHyphens/>
        <w:ind w:left="720" w:right="720"/>
        <w:jc w:val="both"/>
        <w:rPr>
          <w:rFonts w:ascii="Cambria" w:hAnsi="Cambria" w:cs="Tahoma"/>
          <w:sz w:val="20"/>
          <w:szCs w:val="20"/>
          <w:lang w:val="es-CO"/>
        </w:rPr>
      </w:pPr>
      <w:r w:rsidRPr="00995B59">
        <w:rPr>
          <w:rFonts w:ascii="Cambria" w:hAnsi="Cambria" w:cs="Tahoma"/>
          <w:sz w:val="20"/>
          <w:szCs w:val="20"/>
          <w:lang w:val="es-CO"/>
        </w:rPr>
        <w:t>(…)</w:t>
      </w:r>
    </w:p>
    <w:p w14:paraId="1E28154F" w14:textId="77777777" w:rsidR="0054044C" w:rsidRDefault="00995B59" w:rsidP="0054044C">
      <w:pPr>
        <w:ind w:left="720" w:right="720"/>
        <w:jc w:val="both"/>
        <w:rPr>
          <w:rFonts w:ascii="Cambria" w:hAnsi="Cambria"/>
          <w:sz w:val="20"/>
          <w:szCs w:val="20"/>
          <w:lang w:val="es-CO"/>
        </w:rPr>
      </w:pPr>
      <w:r w:rsidRPr="00995B59">
        <w:rPr>
          <w:rFonts w:ascii="Cambria" w:hAnsi="Cambria"/>
          <w:sz w:val="20"/>
          <w:szCs w:val="20"/>
          <w:lang w:val="es-CO"/>
        </w:rPr>
        <w:t xml:space="preserve">Como se mencionó anteriormente, en la consulta popular también se aceptó la creación de una Asamblea Nacional Constituyente. (…) </w:t>
      </w:r>
      <w:r w:rsidRPr="00995B59">
        <w:rPr>
          <w:rFonts w:ascii="Cambria" w:hAnsi="Cambria" w:cs="Tahoma"/>
          <w:sz w:val="20"/>
          <w:szCs w:val="20"/>
          <w:lang w:val="es-CO"/>
        </w:rPr>
        <w:t>La Asamblea aprobó la nueva Constitución Política de la República del Ecuador, la cual fue publicada el 11 de agosto de 1998.</w:t>
      </w:r>
      <w:bookmarkStart w:id="21" w:name="_Ref369180478"/>
    </w:p>
    <w:p w14:paraId="0778EEC4" w14:textId="77777777" w:rsidR="0054044C" w:rsidRDefault="0054044C" w:rsidP="0054044C">
      <w:pPr>
        <w:ind w:left="720" w:right="720"/>
        <w:jc w:val="both"/>
        <w:rPr>
          <w:rFonts w:ascii="Cambria" w:hAnsi="Cambria"/>
          <w:sz w:val="20"/>
          <w:szCs w:val="20"/>
          <w:lang w:val="es-CO"/>
        </w:rPr>
      </w:pPr>
    </w:p>
    <w:p w14:paraId="77E52DC2" w14:textId="456C7FFD" w:rsidR="0054044C" w:rsidRPr="0054044C" w:rsidRDefault="00995B59" w:rsidP="0054044C">
      <w:pPr>
        <w:ind w:left="720" w:right="720"/>
        <w:jc w:val="both"/>
        <w:rPr>
          <w:rFonts w:ascii="Cambria" w:hAnsi="Cambria"/>
          <w:sz w:val="20"/>
          <w:szCs w:val="20"/>
          <w:lang w:val="es-CO"/>
        </w:rPr>
      </w:pPr>
      <w:r w:rsidRPr="00995B59">
        <w:rPr>
          <w:rFonts w:ascii="Cambria" w:hAnsi="Cambria" w:cs="Tahoma"/>
          <w:sz w:val="20"/>
          <w:szCs w:val="20"/>
          <w:lang w:val="es-CO"/>
        </w:rPr>
        <w:t>La nueva Constitución consagró normas para garantizar la independencia judicial. En primer lugar, estableció el principio de división de poderes y de independencia judicial mediante el artículo 199. En segundo lugar, determinó que en derecho público los poderes públicos sólo pueden hacer lo que está establecido en la Constitución y privó de competencia al Congreso Nacional para conocer asuntos de la Función Judicial</w:t>
      </w:r>
      <w:r w:rsidRPr="00995B59">
        <w:rPr>
          <w:rStyle w:val="FootnoteReference"/>
          <w:rFonts w:ascii="Cambria" w:hAnsi="Cambria"/>
          <w:sz w:val="20"/>
          <w:szCs w:val="20"/>
          <w:lang w:val="es-MX"/>
        </w:rPr>
        <w:footnoteReference w:id="2"/>
      </w:r>
      <w:r w:rsidRPr="00995B59">
        <w:rPr>
          <w:rFonts w:ascii="Cambria" w:hAnsi="Cambria" w:cs="Tahoma"/>
          <w:sz w:val="20"/>
          <w:szCs w:val="20"/>
          <w:lang w:val="es-CO"/>
        </w:rPr>
        <w:t>.</w:t>
      </w:r>
      <w:bookmarkEnd w:id="21"/>
      <w:r w:rsidRPr="00995B59">
        <w:rPr>
          <w:rFonts w:ascii="Cambria" w:hAnsi="Cambria" w:cs="Tahoma"/>
          <w:sz w:val="20"/>
          <w:szCs w:val="20"/>
          <w:lang w:val="es-CO"/>
        </w:rPr>
        <w:t xml:space="preserve"> </w:t>
      </w:r>
    </w:p>
    <w:p w14:paraId="2E19687F" w14:textId="77777777" w:rsidR="0054044C" w:rsidRPr="008E78CC" w:rsidRDefault="0054044C" w:rsidP="0063337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lang w:val="es-VE"/>
        </w:rPr>
      </w:pPr>
    </w:p>
    <w:p w14:paraId="3A1E9748" w14:textId="7F965C9F" w:rsidR="00F73497" w:rsidRPr="007E779B" w:rsidRDefault="00423F48" w:rsidP="007E779B">
      <w:pPr>
        <w:pStyle w:val="Heading2"/>
        <w:numPr>
          <w:ilvl w:val="0"/>
          <w:numId w:val="53"/>
        </w:numPr>
        <w:spacing w:before="0" w:after="0"/>
        <w:jc w:val="both"/>
        <w:rPr>
          <w:rFonts w:ascii="Cambria" w:hAnsi="Cambria"/>
          <w:i w:val="0"/>
          <w:sz w:val="20"/>
          <w:szCs w:val="20"/>
          <w:lang w:val="es-VE"/>
        </w:rPr>
      </w:pPr>
      <w:bookmarkStart w:id="22" w:name="_Toc516681999"/>
      <w:r w:rsidRPr="007E779B">
        <w:rPr>
          <w:rFonts w:ascii="Cambria" w:hAnsi="Cambria"/>
          <w:i w:val="0"/>
          <w:sz w:val="20"/>
          <w:szCs w:val="20"/>
          <w:lang w:val="es-VE"/>
        </w:rPr>
        <w:t xml:space="preserve">Marco </w:t>
      </w:r>
      <w:r w:rsidR="008B4B8A">
        <w:rPr>
          <w:rFonts w:ascii="Cambria" w:hAnsi="Cambria"/>
          <w:i w:val="0"/>
          <w:sz w:val="20"/>
          <w:szCs w:val="20"/>
          <w:lang w:val="es-VE"/>
        </w:rPr>
        <w:t>n</w:t>
      </w:r>
      <w:r w:rsidRPr="007E779B">
        <w:rPr>
          <w:rFonts w:ascii="Cambria" w:hAnsi="Cambria"/>
          <w:i w:val="0"/>
          <w:sz w:val="20"/>
          <w:szCs w:val="20"/>
          <w:lang w:val="es-VE"/>
        </w:rPr>
        <w:t xml:space="preserve">ormativo </w:t>
      </w:r>
      <w:r w:rsidR="00C87A5F">
        <w:rPr>
          <w:rFonts w:ascii="Cambria" w:hAnsi="Cambria"/>
          <w:i w:val="0"/>
          <w:sz w:val="20"/>
          <w:szCs w:val="20"/>
          <w:lang w:val="es-VE"/>
        </w:rPr>
        <w:t>relevante</w:t>
      </w:r>
      <w:bookmarkEnd w:id="22"/>
      <w:r w:rsidRPr="007E779B">
        <w:rPr>
          <w:rFonts w:ascii="Cambria" w:hAnsi="Cambria"/>
          <w:i w:val="0"/>
          <w:sz w:val="20"/>
          <w:szCs w:val="20"/>
          <w:lang w:val="es-VE"/>
        </w:rPr>
        <w:t xml:space="preserve"> </w:t>
      </w:r>
    </w:p>
    <w:p w14:paraId="429E781A" w14:textId="77777777" w:rsidR="005D3632" w:rsidRPr="007E779B" w:rsidRDefault="005D3632" w:rsidP="007E779B">
      <w:pPr>
        <w:jc w:val="both"/>
        <w:rPr>
          <w:rFonts w:ascii="Cambria" w:hAnsi="Cambria"/>
          <w:sz w:val="20"/>
          <w:szCs w:val="20"/>
          <w:lang w:val="es-VE"/>
        </w:rPr>
      </w:pPr>
    </w:p>
    <w:p w14:paraId="54725A35" w14:textId="77777777" w:rsidR="005D3632" w:rsidRPr="007E779B" w:rsidRDefault="005D3632" w:rsidP="0090741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sidRPr="007E779B">
        <w:rPr>
          <w:rFonts w:ascii="Cambria" w:hAnsi="Cambria"/>
          <w:sz w:val="20"/>
          <w:szCs w:val="20"/>
          <w:lang w:val="es-MX"/>
        </w:rPr>
        <w:t>La Constitución Política de la República del Ecuador de 1998</w:t>
      </w:r>
      <w:r w:rsidRPr="007E779B">
        <w:rPr>
          <w:rStyle w:val="FootnoteReference"/>
          <w:rFonts w:ascii="Cambria" w:hAnsi="Cambria"/>
          <w:sz w:val="20"/>
          <w:szCs w:val="20"/>
        </w:rPr>
        <w:footnoteReference w:id="3"/>
      </w:r>
      <w:r w:rsidRPr="007E779B">
        <w:rPr>
          <w:rFonts w:ascii="Cambria" w:hAnsi="Cambria"/>
          <w:sz w:val="20"/>
          <w:szCs w:val="20"/>
          <w:lang w:val="es-MX"/>
        </w:rPr>
        <w:t xml:space="preserve"> estipula, en lo pertinente:</w:t>
      </w:r>
    </w:p>
    <w:p w14:paraId="41FB7826" w14:textId="77777777" w:rsidR="005D3632" w:rsidRPr="007E779B" w:rsidRDefault="005D3632" w:rsidP="007E779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MX"/>
        </w:rPr>
      </w:pPr>
    </w:p>
    <w:p w14:paraId="673D1BED" w14:textId="77777777" w:rsidR="005D3632" w:rsidRPr="007E779B" w:rsidRDefault="001F2AF1" w:rsidP="00A810C0">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7E779B">
        <w:rPr>
          <w:rFonts w:ascii="Cambria" w:eastAsia="Calibri" w:hAnsi="Cambria" w:cs="Cambria"/>
          <w:color w:val="000000"/>
          <w:sz w:val="20"/>
          <w:szCs w:val="20"/>
          <w:u w:color="000000"/>
          <w:bdr w:val="none" w:sz="0" w:space="0" w:color="auto"/>
          <w:lang w:val="es-MX" w:eastAsia="es-ES"/>
        </w:rPr>
        <w:t>Artículo 130. El Congreso Nacional tendrá los siguientes deberes y atribuciones: (…)</w:t>
      </w:r>
    </w:p>
    <w:p w14:paraId="2E652FEF" w14:textId="77777777" w:rsidR="005D3632" w:rsidRPr="007E779B" w:rsidRDefault="005D3632" w:rsidP="00A810C0">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7E779B">
        <w:rPr>
          <w:rFonts w:ascii="Cambria" w:eastAsia="Calibri" w:hAnsi="Cambria" w:cs="Cambria"/>
          <w:color w:val="000000"/>
          <w:sz w:val="20"/>
          <w:szCs w:val="20"/>
          <w:u w:color="000000"/>
          <w:bdr w:val="none" w:sz="0" w:space="0" w:color="auto"/>
          <w:lang w:val="es-MX" w:eastAsia="es-ES"/>
        </w:rPr>
        <w:t>9. Proceder al enjuiciamiento político, a solicitud de al menos una cuarta parte de los integrantes del Congreso Nacional, (…) de los vocales del Tribunal Constitucional y del Tribunal Supremo Electoral, durante el ejercicio de sus funciones y hasta un año después de terminadas.</w:t>
      </w:r>
    </w:p>
    <w:p w14:paraId="7AECBFAF" w14:textId="77777777" w:rsidR="005D3632" w:rsidRPr="007E779B" w:rsidRDefault="005D3632" w:rsidP="00A810C0">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7E779B">
        <w:rPr>
          <w:rFonts w:ascii="Cambria" w:eastAsia="Calibri" w:hAnsi="Cambria" w:cs="Cambria"/>
          <w:color w:val="000000"/>
          <w:sz w:val="20"/>
          <w:szCs w:val="20"/>
          <w:u w:color="000000"/>
          <w:bdr w:val="none" w:sz="0" w:space="0" w:color="auto"/>
          <w:lang w:val="es-MX" w:eastAsia="es-ES"/>
        </w:rPr>
        <w:t>(…) podrán ser enjuiciados políticamente por infracciones constitucionales o legales, cometidas en el desempeño del cargo. El Congreso podrá censurarlos en el caso de declaratoria de culpabilidad, por mayoría de sus integrantes.</w:t>
      </w:r>
    </w:p>
    <w:p w14:paraId="678290F0" w14:textId="77777777" w:rsidR="005D3632" w:rsidRPr="007E779B" w:rsidRDefault="005D3632" w:rsidP="00A810C0">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color w:val="000000"/>
          <w:sz w:val="20"/>
          <w:szCs w:val="20"/>
          <w:u w:color="000000"/>
          <w:bdr w:val="none" w:sz="0" w:space="0" w:color="auto"/>
          <w:lang w:val="es-MX" w:eastAsia="es-ES"/>
        </w:rPr>
      </w:pPr>
      <w:r w:rsidRPr="007E779B">
        <w:rPr>
          <w:rFonts w:ascii="Cambria" w:eastAsia="Calibri" w:hAnsi="Cambria" w:cs="Cambria"/>
          <w:color w:val="000000"/>
          <w:sz w:val="20"/>
          <w:szCs w:val="20"/>
          <w:u w:color="000000"/>
          <w:bdr w:val="none" w:sz="0" w:space="0" w:color="auto"/>
          <w:lang w:val="es-MX" w:eastAsia="es-ES"/>
        </w:rPr>
        <w:t>La censura producirá la inmediata destitución del funcionario, salvo en el caso de los ministros de estado, cuya permanencia en el cargo corresponderá decidir al Presidente de la República.</w:t>
      </w:r>
    </w:p>
    <w:p w14:paraId="16FF247A" w14:textId="77777777" w:rsidR="005D3632" w:rsidRPr="007E779B" w:rsidRDefault="005D3632" w:rsidP="00A810C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ind w:right="720"/>
        <w:jc w:val="both"/>
        <w:rPr>
          <w:rFonts w:eastAsia="Calibri"/>
          <w:bCs/>
          <w:sz w:val="20"/>
          <w:szCs w:val="20"/>
          <w:bdr w:val="none" w:sz="0" w:space="0" w:color="auto"/>
          <w:lang w:val="es-MX"/>
        </w:rPr>
      </w:pPr>
      <w:r w:rsidRPr="007E779B">
        <w:rPr>
          <w:rFonts w:eastAsia="Calibri"/>
          <w:bCs/>
          <w:sz w:val="20"/>
          <w:szCs w:val="20"/>
          <w:bdr w:val="none" w:sz="0" w:space="0" w:color="auto"/>
          <w:lang w:val="es-MX"/>
        </w:rPr>
        <w:t>11. Nombrar (…) a los vocales del Tribunal Constitucional y Tribunal Supremo Electoral (…) conocer sus excusas o renuncias, y designar a sus reemplazos.</w:t>
      </w:r>
    </w:p>
    <w:p w14:paraId="55271544" w14:textId="77777777" w:rsidR="005D3632" w:rsidRPr="007E779B" w:rsidRDefault="005D3632" w:rsidP="00A810C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ind w:right="720"/>
        <w:jc w:val="both"/>
        <w:rPr>
          <w:rFonts w:eastAsia="Calibri"/>
          <w:bCs/>
          <w:sz w:val="20"/>
          <w:szCs w:val="20"/>
          <w:bdr w:val="none" w:sz="0" w:space="0" w:color="auto"/>
          <w:lang w:val="es-MX"/>
        </w:rPr>
      </w:pPr>
      <w:r w:rsidRPr="007E779B">
        <w:rPr>
          <w:rFonts w:eastAsia="Calibri"/>
          <w:bCs/>
          <w:sz w:val="20"/>
          <w:szCs w:val="20"/>
          <w:bdr w:val="none" w:sz="0" w:space="0" w:color="auto"/>
          <w:lang w:val="es-MX"/>
        </w:rPr>
        <w:t>En los casos en que los nombramientos procedan de ternas, éstas deberán ser presentadas dentro de los veinte días subsiguientes a la vacancia del cargo. De no recibirse tales ternas en este plazo, el Congreso procederá a los nombramientos, sin ellas.</w:t>
      </w:r>
    </w:p>
    <w:p w14:paraId="5767AD57" w14:textId="77777777" w:rsidR="005D3632" w:rsidRPr="007E779B" w:rsidRDefault="005D3632" w:rsidP="00A810C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ind w:right="720"/>
        <w:jc w:val="both"/>
        <w:rPr>
          <w:rFonts w:eastAsia="Calibri"/>
          <w:sz w:val="20"/>
          <w:szCs w:val="20"/>
          <w:bdr w:val="none" w:sz="0" w:space="0" w:color="auto"/>
          <w:lang w:val="es-MX"/>
        </w:rPr>
      </w:pPr>
      <w:r w:rsidRPr="007E779B">
        <w:rPr>
          <w:rFonts w:eastAsia="Calibri"/>
          <w:bCs/>
          <w:sz w:val="20"/>
          <w:szCs w:val="20"/>
          <w:bdr w:val="none" w:sz="0" w:space="0" w:color="auto"/>
          <w:lang w:val="es-MX"/>
        </w:rPr>
        <w:t>El Congreso Nacional efectuará las designaciones dentro del plazo de treinta días contados a partir de la fecha de recepción de cada terna. De no hacerlo, se entenderá designada la persona que conste en el primer lugar de dicha terna. (…)</w:t>
      </w:r>
    </w:p>
    <w:p w14:paraId="3F71C211" w14:textId="77777777" w:rsidR="005D3632" w:rsidRPr="007E779B" w:rsidRDefault="001F2AF1" w:rsidP="00A810C0">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bCs/>
          <w:color w:val="000000"/>
          <w:sz w:val="20"/>
          <w:szCs w:val="20"/>
          <w:u w:color="000000"/>
          <w:bdr w:val="none" w:sz="0" w:space="0" w:color="auto"/>
          <w:lang w:val="es-MX" w:eastAsia="es-ES"/>
        </w:rPr>
      </w:pPr>
      <w:r w:rsidRPr="007E779B">
        <w:rPr>
          <w:rFonts w:ascii="Cambria" w:eastAsia="Calibri" w:hAnsi="Cambria" w:cs="Cambria"/>
          <w:color w:val="000000"/>
          <w:sz w:val="20"/>
          <w:szCs w:val="20"/>
          <w:u w:color="000000"/>
          <w:bdr w:val="none" w:sz="0" w:space="0" w:color="auto"/>
          <w:lang w:val="es-ES" w:eastAsia="es-ES"/>
        </w:rPr>
        <w:t xml:space="preserve">Artículo 209. </w:t>
      </w:r>
      <w:r w:rsidRPr="007E779B">
        <w:rPr>
          <w:rFonts w:ascii="Cambria" w:eastAsia="Calibri" w:hAnsi="Cambria" w:cs="Cambria"/>
          <w:bCs/>
          <w:color w:val="000000"/>
          <w:sz w:val="20"/>
          <w:szCs w:val="20"/>
          <w:u w:color="000000"/>
          <w:bdr w:val="none" w:sz="0" w:space="0" w:color="auto"/>
          <w:lang w:val="es-MX" w:eastAsia="es-ES"/>
        </w:rPr>
        <w:t xml:space="preserve">El Tribunal Supremo Electoral, con sede en Quito y jurisdicción en el territorio nacional, es persona jurídica de derecho público. Gozará de autonomía administrativa y económica, para su organización y el cumplimiento de sus funciones de organizar, dirigir, vigilar y garantizar los procesos electorales, y juzgar las cuentas que rindan los partidos, </w:t>
      </w:r>
      <w:r w:rsidRPr="007E779B">
        <w:rPr>
          <w:rFonts w:ascii="Cambria" w:eastAsia="Calibri" w:hAnsi="Cambria" w:cs="Cambria"/>
          <w:bCs/>
          <w:color w:val="000000"/>
          <w:sz w:val="20"/>
          <w:szCs w:val="20"/>
          <w:u w:color="000000"/>
          <w:bdr w:val="none" w:sz="0" w:space="0" w:color="auto"/>
          <w:lang w:val="es-MX" w:eastAsia="es-ES"/>
        </w:rPr>
        <w:lastRenderedPageBreak/>
        <w:t>movimientos políticos, organizaciones y candidatos, sobre el monto, origen y destino de los recursos que utilicen en las campañas electorales.</w:t>
      </w:r>
      <w:r w:rsidR="005D3632" w:rsidRPr="007E779B">
        <w:rPr>
          <w:rFonts w:ascii="Cambria" w:eastAsia="Calibri" w:hAnsi="Cambria" w:cs="Cambria"/>
          <w:bCs/>
          <w:color w:val="000000"/>
          <w:sz w:val="20"/>
          <w:szCs w:val="20"/>
          <w:u w:color="000000"/>
          <w:bdr w:val="none" w:sz="0" w:space="0" w:color="auto"/>
          <w:lang w:val="es-MX" w:eastAsia="es-ES"/>
        </w:rPr>
        <w:t xml:space="preserve"> </w:t>
      </w:r>
    </w:p>
    <w:p w14:paraId="0A2EC964" w14:textId="77777777" w:rsidR="005D3632" w:rsidRPr="007E779B" w:rsidRDefault="005D3632" w:rsidP="00A810C0">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bCs/>
          <w:color w:val="000000"/>
          <w:sz w:val="20"/>
          <w:szCs w:val="20"/>
          <w:u w:color="000000"/>
          <w:bdr w:val="none" w:sz="0" w:space="0" w:color="auto"/>
          <w:lang w:val="es-MX" w:eastAsia="es-ES"/>
        </w:rPr>
      </w:pPr>
      <w:r w:rsidRPr="007E779B">
        <w:rPr>
          <w:rFonts w:ascii="Cambria" w:eastAsia="Calibri" w:hAnsi="Cambria" w:cs="Cambria"/>
          <w:bCs/>
          <w:color w:val="000000"/>
          <w:sz w:val="20"/>
          <w:szCs w:val="20"/>
          <w:u w:color="000000"/>
          <w:bdr w:val="none" w:sz="0" w:space="0" w:color="auto"/>
          <w:lang w:val="es-MX" w:eastAsia="es-ES"/>
        </w:rPr>
        <w:t>Su organización, deberes y atribuciones se determinarán en la ley.</w:t>
      </w:r>
    </w:p>
    <w:p w14:paraId="3FF0B22F" w14:textId="77777777" w:rsidR="005D3632" w:rsidRPr="007E779B" w:rsidRDefault="005D3632" w:rsidP="00A810C0">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bCs/>
          <w:color w:val="000000"/>
          <w:sz w:val="20"/>
          <w:szCs w:val="20"/>
          <w:u w:color="000000"/>
          <w:bdr w:val="none" w:sz="0" w:space="0" w:color="auto"/>
          <w:lang w:val="es-MX" w:eastAsia="es-ES"/>
        </w:rPr>
      </w:pPr>
      <w:r w:rsidRPr="007E779B">
        <w:rPr>
          <w:rFonts w:ascii="Cambria" w:eastAsia="Calibri" w:hAnsi="Cambria" w:cs="Cambria"/>
          <w:bCs/>
          <w:color w:val="000000"/>
          <w:sz w:val="20"/>
          <w:szCs w:val="20"/>
          <w:u w:color="000000"/>
          <w:bdr w:val="none" w:sz="0" w:space="0" w:color="auto"/>
          <w:lang w:val="es-MX" w:eastAsia="es-ES"/>
        </w:rPr>
        <w:t>Se integrará con siete vocales principales, quienes tendrán sus respectivos suplentes, en representación de los partidos políticos, movimientos o alianzas políticas que hayan obtenido las más altas votaciones en las últimas elecciones pluripersonales, en el ámbito nacional, los que presentarán al Congreso Nacional las ternas de las que se elegirán los vocales principales y suplentes.</w:t>
      </w:r>
    </w:p>
    <w:p w14:paraId="0FF0790A" w14:textId="77777777" w:rsidR="00C759E6" w:rsidRPr="007E779B" w:rsidRDefault="005D3632" w:rsidP="00A810C0">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bCs/>
          <w:color w:val="000000"/>
          <w:sz w:val="20"/>
          <w:szCs w:val="20"/>
          <w:u w:color="000000"/>
          <w:bdr w:val="none" w:sz="0" w:space="0" w:color="auto"/>
          <w:lang w:val="es-MX" w:eastAsia="es-ES"/>
        </w:rPr>
      </w:pPr>
      <w:r w:rsidRPr="007E779B">
        <w:rPr>
          <w:rFonts w:ascii="Cambria" w:eastAsia="Calibri" w:hAnsi="Cambria" w:cs="Cambria"/>
          <w:bCs/>
          <w:color w:val="000000"/>
          <w:sz w:val="20"/>
          <w:szCs w:val="20"/>
          <w:u w:color="000000"/>
          <w:bdr w:val="none" w:sz="0" w:space="0" w:color="auto"/>
          <w:lang w:val="es-MX" w:eastAsia="es-ES"/>
        </w:rPr>
        <w:t>Los vocales serán designados por la mayoría de los integrantes del Congreso, permanecerán cuatro años en sus fu</w:t>
      </w:r>
      <w:r w:rsidR="00C759E6">
        <w:rPr>
          <w:rFonts w:ascii="Cambria" w:eastAsia="Calibri" w:hAnsi="Cambria" w:cs="Cambria"/>
          <w:bCs/>
          <w:color w:val="000000"/>
          <w:sz w:val="20"/>
          <w:szCs w:val="20"/>
          <w:u w:color="000000"/>
          <w:bdr w:val="none" w:sz="0" w:space="0" w:color="auto"/>
          <w:lang w:val="es-MX" w:eastAsia="es-ES"/>
        </w:rPr>
        <w:t>nciones y podrán ser reelegidos (…)</w:t>
      </w:r>
    </w:p>
    <w:p w14:paraId="17601E72" w14:textId="77777777" w:rsidR="005D3632" w:rsidRPr="007E779B" w:rsidRDefault="005D3632" w:rsidP="00A810C0">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bCs/>
          <w:color w:val="000000"/>
          <w:sz w:val="20"/>
          <w:szCs w:val="20"/>
          <w:u w:color="000000"/>
          <w:bdr w:val="none" w:sz="0" w:space="0" w:color="auto"/>
          <w:lang w:val="es-MX" w:eastAsia="es-ES"/>
        </w:rPr>
      </w:pPr>
      <w:r w:rsidRPr="007E779B">
        <w:rPr>
          <w:rFonts w:ascii="Cambria" w:eastAsia="Calibri" w:hAnsi="Cambria" w:cs="Cambria"/>
          <w:bCs/>
          <w:color w:val="000000"/>
          <w:sz w:val="20"/>
          <w:szCs w:val="20"/>
          <w:u w:color="000000"/>
          <w:bdr w:val="none" w:sz="0" w:space="0" w:color="auto"/>
          <w:lang w:val="es-MX" w:eastAsia="es-ES"/>
        </w:rPr>
        <w:t>Artículo 276. Competerá al Tribunal Constitucional:</w:t>
      </w:r>
    </w:p>
    <w:p w14:paraId="5D7CBC86" w14:textId="77777777" w:rsidR="005D3632" w:rsidRPr="007E779B" w:rsidRDefault="005D3632" w:rsidP="00A810C0">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bCs/>
          <w:color w:val="000000"/>
          <w:sz w:val="20"/>
          <w:szCs w:val="20"/>
          <w:u w:color="000000"/>
          <w:bdr w:val="none" w:sz="0" w:space="0" w:color="auto"/>
          <w:lang w:val="es-MX" w:eastAsia="es-ES"/>
        </w:rPr>
      </w:pPr>
      <w:r w:rsidRPr="007E779B">
        <w:rPr>
          <w:rFonts w:ascii="Cambria" w:eastAsia="Calibri" w:hAnsi="Cambria" w:cs="Cambria"/>
          <w:bCs/>
          <w:color w:val="000000"/>
          <w:sz w:val="20"/>
          <w:szCs w:val="20"/>
          <w:u w:color="000000"/>
          <w:bdr w:val="none" w:sz="0" w:space="0" w:color="auto"/>
          <w:lang w:val="es-MX" w:eastAsia="es-ES"/>
        </w:rPr>
        <w:t>1.</w:t>
      </w:r>
      <w:r w:rsidRPr="007E779B">
        <w:rPr>
          <w:rFonts w:ascii="Cambria" w:eastAsia="Calibri" w:hAnsi="Cambria" w:cs="Cambria"/>
          <w:bCs/>
          <w:color w:val="000000"/>
          <w:sz w:val="20"/>
          <w:szCs w:val="20"/>
          <w:u w:color="000000"/>
          <w:bdr w:val="none" w:sz="0" w:space="0" w:color="auto"/>
          <w:lang w:val="es-MX" w:eastAsia="es-ES"/>
        </w:rPr>
        <w:tab/>
        <w:t>Conocer y resolver las demandas de inconstitucionalidad, de fondo o de forma, que se presenten sobre leyes orgánicas y ordinarias, decretos-leyes, decretos, ordenanzas; estatutos, reglamentos y resoluciones, emitidos por órganos de las instituciones del Estado, y suspender total o parcialmente sus efectos.</w:t>
      </w:r>
    </w:p>
    <w:p w14:paraId="15595AF7" w14:textId="77777777" w:rsidR="005D3632" w:rsidRPr="007E779B" w:rsidRDefault="005D3632" w:rsidP="00A810C0">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bCs/>
          <w:color w:val="000000"/>
          <w:sz w:val="20"/>
          <w:szCs w:val="20"/>
          <w:u w:color="000000"/>
          <w:bdr w:val="none" w:sz="0" w:space="0" w:color="auto"/>
          <w:lang w:val="es-MX" w:eastAsia="es-ES"/>
        </w:rPr>
      </w:pPr>
      <w:r w:rsidRPr="007E779B">
        <w:rPr>
          <w:rFonts w:ascii="Cambria" w:eastAsia="Calibri" w:hAnsi="Cambria" w:cs="Cambria"/>
          <w:bCs/>
          <w:color w:val="000000"/>
          <w:sz w:val="20"/>
          <w:szCs w:val="20"/>
          <w:u w:color="000000"/>
          <w:bdr w:val="none" w:sz="0" w:space="0" w:color="auto"/>
          <w:lang w:val="es-MX" w:eastAsia="es-ES"/>
        </w:rPr>
        <w:t>2.</w:t>
      </w:r>
      <w:r w:rsidRPr="007E779B">
        <w:rPr>
          <w:rFonts w:ascii="Cambria" w:eastAsia="Calibri" w:hAnsi="Cambria" w:cs="Cambria"/>
          <w:bCs/>
          <w:color w:val="000000"/>
          <w:sz w:val="20"/>
          <w:szCs w:val="20"/>
          <w:u w:color="000000"/>
          <w:bdr w:val="none" w:sz="0" w:space="0" w:color="auto"/>
          <w:lang w:val="es-MX" w:eastAsia="es-ES"/>
        </w:rPr>
        <w:tab/>
        <w:t>Conocer y resolver sobre la inconstitucionalidad de los actos administrativos de toda autoridad pública. La declaratoria de inconstitucionalidad conlleva la revocatoria del acto, sin perjuicio de que el órgano administrativo adopte las medidas necesarias para preservar el respeto a las normas constitucionales. (…)</w:t>
      </w:r>
    </w:p>
    <w:p w14:paraId="200379FE" w14:textId="673552C1" w:rsidR="005D3632" w:rsidRPr="007E779B" w:rsidRDefault="001F2AF1" w:rsidP="00A810C0">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bCs/>
          <w:color w:val="000000"/>
          <w:sz w:val="20"/>
          <w:szCs w:val="20"/>
          <w:u w:color="000000"/>
          <w:bdr w:val="none" w:sz="0" w:space="0" w:color="auto"/>
          <w:lang w:val="es-MX" w:eastAsia="es-ES"/>
        </w:rPr>
      </w:pPr>
      <w:r w:rsidRPr="007E779B">
        <w:rPr>
          <w:rFonts w:ascii="Cambria" w:eastAsia="Calibri" w:hAnsi="Cambria" w:cs="Cambria"/>
          <w:bCs/>
          <w:color w:val="000000"/>
          <w:sz w:val="20"/>
          <w:szCs w:val="20"/>
          <w:u w:color="000000"/>
          <w:bdr w:val="none" w:sz="0" w:space="0" w:color="auto"/>
          <w:lang w:val="es-MX" w:eastAsia="es-ES"/>
        </w:rPr>
        <w:t xml:space="preserve">Artículo 277. Las demandas de inconstitucionalidad podrán ser presentadas por: </w:t>
      </w:r>
      <w:r w:rsidR="005D3632" w:rsidRPr="007E779B">
        <w:rPr>
          <w:rFonts w:ascii="Cambria" w:eastAsia="Calibri" w:hAnsi="Cambria" w:cs="Cambria"/>
          <w:bCs/>
          <w:color w:val="000000"/>
          <w:sz w:val="20"/>
          <w:szCs w:val="20"/>
          <w:u w:color="000000"/>
          <w:bdr w:val="none" w:sz="0" w:space="0" w:color="auto"/>
          <w:lang w:val="es-MX" w:eastAsia="es-ES"/>
        </w:rPr>
        <w:t xml:space="preserve"> (…) </w:t>
      </w:r>
      <w:r w:rsidRPr="007E779B">
        <w:rPr>
          <w:rFonts w:ascii="Cambria" w:eastAsia="Calibri" w:hAnsi="Cambria" w:cs="Cambria"/>
          <w:bCs/>
          <w:color w:val="000000"/>
          <w:sz w:val="20"/>
          <w:szCs w:val="20"/>
          <w:u w:color="000000"/>
          <w:bdr w:val="none" w:sz="0" w:space="0" w:color="auto"/>
          <w:lang w:val="es-MX" w:eastAsia="es-ES"/>
        </w:rPr>
        <w:t>5.Mil ciudadanos en goce de derechos políticos, o cualquier persona previo informe favorable del Defensor del Pueblo sobre su procedencia, en los casos de los números 1 y 2 del mismo artículo (…)</w:t>
      </w:r>
      <w:r w:rsidR="00F30E47">
        <w:rPr>
          <w:rFonts w:ascii="Cambria" w:eastAsia="Calibri" w:hAnsi="Cambria" w:cs="Cambria"/>
          <w:bCs/>
          <w:color w:val="000000"/>
          <w:sz w:val="20"/>
          <w:szCs w:val="20"/>
          <w:u w:color="000000"/>
          <w:bdr w:val="none" w:sz="0" w:space="0" w:color="auto"/>
          <w:lang w:val="es-MX" w:eastAsia="es-ES"/>
        </w:rPr>
        <w:t>.</w:t>
      </w:r>
    </w:p>
    <w:p w14:paraId="406BCAF5" w14:textId="77777777" w:rsidR="005D3632" w:rsidRPr="007E779B" w:rsidRDefault="00887066" w:rsidP="0090741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jc w:val="both"/>
        <w:rPr>
          <w:rFonts w:ascii="Cambria" w:hAnsi="Cambria"/>
          <w:bCs/>
          <w:sz w:val="20"/>
          <w:szCs w:val="20"/>
          <w:lang w:val="es-MX"/>
        </w:rPr>
      </w:pPr>
      <w:r>
        <w:rPr>
          <w:rFonts w:ascii="Cambria" w:hAnsi="Cambria"/>
          <w:sz w:val="20"/>
          <w:szCs w:val="20"/>
          <w:lang w:val="es-ES"/>
        </w:rPr>
        <w:t>Finalmente, l</w:t>
      </w:r>
      <w:r w:rsidR="005D3632" w:rsidRPr="007E779B">
        <w:rPr>
          <w:rFonts w:ascii="Cambria" w:hAnsi="Cambria"/>
          <w:sz w:val="20"/>
          <w:szCs w:val="20"/>
          <w:lang w:val="es-ES"/>
        </w:rPr>
        <w:t>a Ley de Jurisdicción Contenciosa Administrativa dispone, en lo pertinente:</w:t>
      </w:r>
    </w:p>
    <w:p w14:paraId="0255F000" w14:textId="77777777" w:rsidR="005D3632" w:rsidRPr="007E779B" w:rsidRDefault="005D3632" w:rsidP="007E779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ES"/>
        </w:rPr>
      </w:pPr>
    </w:p>
    <w:p w14:paraId="35E4DF0E" w14:textId="77777777" w:rsidR="0061347F" w:rsidRPr="00907410" w:rsidRDefault="005D3632" w:rsidP="0024444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right="720"/>
        <w:jc w:val="both"/>
        <w:rPr>
          <w:rFonts w:ascii="Cambria" w:hAnsi="Cambria"/>
          <w:bCs/>
          <w:sz w:val="20"/>
          <w:szCs w:val="20"/>
          <w:lang w:val="es-MX"/>
        </w:rPr>
      </w:pPr>
      <w:r w:rsidRPr="007E779B">
        <w:rPr>
          <w:rFonts w:ascii="Cambria" w:hAnsi="Cambria"/>
          <w:sz w:val="20"/>
          <w:szCs w:val="20"/>
          <w:lang w:val="es-ES"/>
        </w:rPr>
        <w:t xml:space="preserve">Artículo 6. No corresponden a la jurisdicción Contencioso-administrativa: (…) c) Las cuestiones que se susciten en relación con los actos políticos del Gobierno (…) d) Las resoluciones expedidas por los organismos electorales. (…) </w:t>
      </w:r>
    </w:p>
    <w:p w14:paraId="284DF8A0" w14:textId="77777777" w:rsidR="0061347F" w:rsidRPr="007E779B" w:rsidRDefault="0061347F" w:rsidP="007E779B">
      <w:pPr>
        <w:jc w:val="both"/>
        <w:rPr>
          <w:rFonts w:ascii="Cambria" w:hAnsi="Cambria"/>
          <w:sz w:val="20"/>
          <w:szCs w:val="20"/>
          <w:lang w:val="es-VE"/>
        </w:rPr>
      </w:pPr>
    </w:p>
    <w:p w14:paraId="5247E91E" w14:textId="77777777" w:rsidR="00423F48" w:rsidRPr="007E779B" w:rsidRDefault="00423F48" w:rsidP="007E779B">
      <w:pPr>
        <w:pStyle w:val="Heading2"/>
        <w:numPr>
          <w:ilvl w:val="0"/>
          <w:numId w:val="53"/>
        </w:numPr>
        <w:spacing w:before="0" w:after="0"/>
        <w:jc w:val="both"/>
        <w:rPr>
          <w:rFonts w:ascii="Cambria" w:hAnsi="Cambria"/>
          <w:i w:val="0"/>
          <w:sz w:val="20"/>
          <w:szCs w:val="20"/>
          <w:lang w:val="es-VE"/>
        </w:rPr>
      </w:pPr>
      <w:bookmarkStart w:id="23" w:name="_Toc516682000"/>
      <w:r w:rsidRPr="007E779B">
        <w:rPr>
          <w:rFonts w:ascii="Cambria" w:hAnsi="Cambria"/>
          <w:i w:val="0"/>
          <w:sz w:val="20"/>
          <w:szCs w:val="20"/>
          <w:lang w:val="es-VE"/>
        </w:rPr>
        <w:t xml:space="preserve">Proceso de nombramiento </w:t>
      </w:r>
      <w:r w:rsidR="00887066">
        <w:rPr>
          <w:rFonts w:ascii="Cambria" w:hAnsi="Cambria"/>
          <w:i w:val="0"/>
          <w:sz w:val="20"/>
          <w:szCs w:val="20"/>
          <w:lang w:val="es-VE"/>
        </w:rPr>
        <w:t xml:space="preserve"> de la presunta víctima </w:t>
      </w:r>
      <w:r w:rsidRPr="007E779B">
        <w:rPr>
          <w:rFonts w:ascii="Cambria" w:hAnsi="Cambria"/>
          <w:i w:val="0"/>
          <w:sz w:val="20"/>
          <w:szCs w:val="20"/>
          <w:lang w:val="es-VE"/>
        </w:rPr>
        <w:t>en el Tribunal Supremo Electoral</w:t>
      </w:r>
      <w:bookmarkEnd w:id="23"/>
    </w:p>
    <w:bookmarkEnd w:id="17"/>
    <w:bookmarkEnd w:id="18"/>
    <w:p w14:paraId="2BC6F951" w14:textId="77777777" w:rsidR="00887066" w:rsidRDefault="00887066" w:rsidP="00887066">
      <w:p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jc w:val="both"/>
        <w:rPr>
          <w:rFonts w:ascii="Cambria" w:hAnsi="Cambria"/>
          <w:sz w:val="20"/>
          <w:szCs w:val="20"/>
          <w:lang w:val="es-ES"/>
        </w:rPr>
      </w:pPr>
    </w:p>
    <w:p w14:paraId="0B5774F7" w14:textId="64507475" w:rsidR="00510482" w:rsidRDefault="00510482" w:rsidP="003D2A3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MX"/>
        </w:rPr>
      </w:pPr>
      <w:r>
        <w:rPr>
          <w:rFonts w:ascii="Cambria" w:hAnsi="Cambria"/>
          <w:sz w:val="20"/>
          <w:szCs w:val="20"/>
          <w:lang w:val="es-MX"/>
        </w:rPr>
        <w:t>Tal como se indicó en la sección anterior, el artículo 209 de la Constitución</w:t>
      </w:r>
      <w:r w:rsidR="00B751FF">
        <w:rPr>
          <w:rFonts w:ascii="Cambria" w:hAnsi="Cambria"/>
          <w:sz w:val="20"/>
          <w:szCs w:val="20"/>
          <w:lang w:val="es-MX"/>
        </w:rPr>
        <w:t xml:space="preserve"> de 1998</w:t>
      </w:r>
      <w:r>
        <w:rPr>
          <w:rFonts w:ascii="Cambria" w:hAnsi="Cambria"/>
          <w:sz w:val="20"/>
          <w:szCs w:val="20"/>
          <w:lang w:val="es-MX"/>
        </w:rPr>
        <w:t xml:space="preserve"> disponía que el Tribunal Supremo Electoral se integrará por siete vocales principales y siete suplentes, en representación de los partidos políticos que hayan obtenido las más altas votaciones en las elecc</w:t>
      </w:r>
      <w:r w:rsidR="0054044C">
        <w:rPr>
          <w:rFonts w:ascii="Cambria" w:hAnsi="Cambria"/>
          <w:sz w:val="20"/>
          <w:szCs w:val="20"/>
          <w:lang w:val="es-MX"/>
        </w:rPr>
        <w:t xml:space="preserve">iones pluripersonales, los que </w:t>
      </w:r>
      <w:r>
        <w:rPr>
          <w:rFonts w:ascii="Cambria" w:hAnsi="Cambria"/>
          <w:sz w:val="20"/>
          <w:szCs w:val="20"/>
          <w:lang w:val="es-MX"/>
        </w:rPr>
        <w:t>presentarán al Congreso Nacional las ternas de las que se elegirán los vocales principales y suplentes</w:t>
      </w:r>
      <w:r w:rsidR="00E963F2">
        <w:rPr>
          <w:rStyle w:val="FootnoteReference"/>
          <w:rFonts w:ascii="Cambria" w:hAnsi="Cambria"/>
          <w:sz w:val="20"/>
          <w:szCs w:val="20"/>
          <w:lang w:val="es-MX"/>
        </w:rPr>
        <w:footnoteReference w:id="4"/>
      </w:r>
      <w:r>
        <w:rPr>
          <w:rFonts w:ascii="Cambria" w:hAnsi="Cambria"/>
          <w:sz w:val="20"/>
          <w:szCs w:val="20"/>
          <w:lang w:val="es-MX"/>
        </w:rPr>
        <w:t xml:space="preserve">. </w:t>
      </w:r>
    </w:p>
    <w:p w14:paraId="352EE7B8" w14:textId="77777777" w:rsidR="00AC4D9B" w:rsidRDefault="00AC4D9B" w:rsidP="00AC4D9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MX"/>
        </w:rPr>
      </w:pPr>
    </w:p>
    <w:p w14:paraId="637C5C54" w14:textId="77777777" w:rsidR="003D2A3D" w:rsidRDefault="00AC4D9B" w:rsidP="003D2A3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Pr>
          <w:rFonts w:ascii="Cambria" w:hAnsi="Cambria"/>
          <w:sz w:val="20"/>
          <w:szCs w:val="20"/>
          <w:lang w:val="es-MX"/>
        </w:rPr>
        <w:t xml:space="preserve">El 2 de diciembre de 1998, el Congreso Nacional, tomando en cuenta los resultados electorales de 31 de mayo de 1998 y las ternas que le fueron remitidas, designó </w:t>
      </w:r>
      <w:r w:rsidR="00D805EA" w:rsidRPr="00AC4D9B">
        <w:rPr>
          <w:rFonts w:ascii="Cambria" w:hAnsi="Cambria"/>
          <w:sz w:val="20"/>
          <w:szCs w:val="20"/>
          <w:lang w:val="es-CO"/>
        </w:rPr>
        <w:t>a los vocales del Tribunal Supremo Electoral para el período 1998-2003, entre los cuales se encontraba la presunta víctima</w:t>
      </w:r>
      <w:r w:rsidR="008B7B4C" w:rsidRPr="007E779B">
        <w:rPr>
          <w:rStyle w:val="FootnoteReference"/>
          <w:rFonts w:ascii="Cambria" w:hAnsi="Cambria"/>
          <w:sz w:val="20"/>
          <w:szCs w:val="20"/>
        </w:rPr>
        <w:footnoteReference w:id="5"/>
      </w:r>
      <w:r w:rsidR="00EF17E0" w:rsidRPr="00AC4D9B">
        <w:rPr>
          <w:rFonts w:ascii="Cambria" w:hAnsi="Cambria"/>
          <w:sz w:val="20"/>
          <w:szCs w:val="20"/>
          <w:lang w:val="es-CO"/>
        </w:rPr>
        <w:t xml:space="preserve"> </w:t>
      </w:r>
      <w:r w:rsidR="00D805EA" w:rsidRPr="00AC4D9B">
        <w:rPr>
          <w:rFonts w:ascii="Cambria" w:hAnsi="Cambria"/>
          <w:sz w:val="20"/>
          <w:szCs w:val="20"/>
          <w:lang w:val="es-CO"/>
        </w:rPr>
        <w:t>.</w:t>
      </w:r>
    </w:p>
    <w:p w14:paraId="34EEDE3B" w14:textId="77777777" w:rsidR="00E972A7" w:rsidRDefault="00E972A7" w:rsidP="00E972A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687644E9" w14:textId="77777777" w:rsidR="00C16812" w:rsidRDefault="00C16812" w:rsidP="00E972A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1C3E9183" w14:textId="77777777" w:rsidR="00C16812" w:rsidRDefault="00C16812" w:rsidP="00E972A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27611387" w14:textId="77777777" w:rsidR="00C16812" w:rsidRDefault="00C16812" w:rsidP="00E972A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5236D9B7" w14:textId="77777777" w:rsidR="00C16812" w:rsidRPr="00AC4D9B" w:rsidRDefault="00C16812" w:rsidP="00E972A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4AD03D7F" w14:textId="3F770D36" w:rsidR="003D2A3D" w:rsidRDefault="008B7B4C" w:rsidP="003D2A3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3D2A3D">
        <w:rPr>
          <w:rFonts w:ascii="Cambria" w:hAnsi="Cambria"/>
          <w:sz w:val="20"/>
          <w:szCs w:val="20"/>
          <w:lang w:val="es-CO"/>
        </w:rPr>
        <w:t>El 3 de diciembre de 1998</w:t>
      </w:r>
      <w:r w:rsidRPr="007E779B">
        <w:rPr>
          <w:rStyle w:val="FootnoteReference"/>
          <w:rFonts w:ascii="Cambria" w:hAnsi="Cambria"/>
          <w:sz w:val="20"/>
          <w:szCs w:val="20"/>
        </w:rPr>
        <w:footnoteReference w:id="6"/>
      </w:r>
      <w:r w:rsidRPr="003D2A3D">
        <w:rPr>
          <w:rFonts w:ascii="Cambria" w:hAnsi="Cambria"/>
          <w:sz w:val="20"/>
          <w:szCs w:val="20"/>
          <w:lang w:val="es-CO"/>
        </w:rPr>
        <w:t xml:space="preserve"> la presunta víctima fue designado como </w:t>
      </w:r>
      <w:r w:rsidR="00B722D1">
        <w:rPr>
          <w:rFonts w:ascii="Cambria" w:hAnsi="Cambria"/>
          <w:sz w:val="20"/>
          <w:szCs w:val="20"/>
          <w:lang w:val="es-CO"/>
        </w:rPr>
        <w:t>v</w:t>
      </w:r>
      <w:r w:rsidRPr="003D2A3D">
        <w:rPr>
          <w:rFonts w:ascii="Cambria" w:hAnsi="Cambria"/>
          <w:sz w:val="20"/>
          <w:szCs w:val="20"/>
          <w:lang w:val="es-CO"/>
        </w:rPr>
        <w:t>icepresidente del Tribunal Supremo Electoral, y como presidente del mismo el 7 de diciembre del 2000</w:t>
      </w:r>
      <w:r w:rsidRPr="007E779B">
        <w:rPr>
          <w:rStyle w:val="FootnoteReference"/>
          <w:rFonts w:ascii="Cambria" w:hAnsi="Cambria"/>
          <w:sz w:val="20"/>
          <w:szCs w:val="20"/>
        </w:rPr>
        <w:footnoteReference w:id="7"/>
      </w:r>
      <w:r w:rsidRPr="003D2A3D">
        <w:rPr>
          <w:rFonts w:ascii="Cambria" w:hAnsi="Cambria"/>
          <w:sz w:val="20"/>
          <w:szCs w:val="20"/>
          <w:lang w:val="es-CO"/>
        </w:rPr>
        <w:t xml:space="preserve">. </w:t>
      </w:r>
    </w:p>
    <w:p w14:paraId="4CCEF2BF" w14:textId="77777777" w:rsidR="007277DB" w:rsidRPr="00A16E82" w:rsidRDefault="007277DB" w:rsidP="007277D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31D41697" w14:textId="3EC55C2C" w:rsidR="00622F74" w:rsidRDefault="00622F74" w:rsidP="003D2A3D">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3D2A3D">
        <w:rPr>
          <w:rFonts w:ascii="Cambria" w:hAnsi="Cambria"/>
          <w:sz w:val="20"/>
          <w:szCs w:val="20"/>
          <w:lang w:val="es-CO"/>
        </w:rPr>
        <w:t xml:space="preserve">El </w:t>
      </w:r>
      <w:r w:rsidR="00D36A0E" w:rsidRPr="003D2A3D">
        <w:rPr>
          <w:rFonts w:ascii="Cambria" w:hAnsi="Cambria"/>
          <w:sz w:val="20"/>
          <w:szCs w:val="20"/>
          <w:lang w:val="es-CO"/>
        </w:rPr>
        <w:t>9 de enero de 2003 el Congreso Nacional, mediante Resoluci</w:t>
      </w:r>
      <w:r w:rsidR="00D43691" w:rsidRPr="003D2A3D">
        <w:rPr>
          <w:rFonts w:ascii="Cambria" w:hAnsi="Cambria"/>
          <w:sz w:val="20"/>
          <w:szCs w:val="20"/>
          <w:lang w:val="es-CO"/>
        </w:rPr>
        <w:t xml:space="preserve">ón 24-017, </w:t>
      </w:r>
      <w:r w:rsidR="00D36A0E" w:rsidRPr="003D2A3D">
        <w:rPr>
          <w:rFonts w:ascii="Cambria" w:hAnsi="Cambria"/>
          <w:sz w:val="20"/>
          <w:szCs w:val="20"/>
          <w:lang w:val="es-CO"/>
        </w:rPr>
        <w:t xml:space="preserve">y en ejercicio de las facultades establecidas en los artículos 130 numeral 11, y 209 de la Constitución de la República, designó nuevamente a los miembros del Tribunal Supremo Electoral, reeligiendo a 5 de los 7 vocales, entre los cuales se encontraba </w:t>
      </w:r>
      <w:r w:rsidR="00B722D1">
        <w:rPr>
          <w:rFonts w:ascii="Cambria" w:hAnsi="Cambria"/>
          <w:sz w:val="20"/>
          <w:szCs w:val="20"/>
          <w:lang w:val="es-CO"/>
        </w:rPr>
        <w:t>la presunta víctima</w:t>
      </w:r>
      <w:r w:rsidR="00D43691" w:rsidRPr="007E779B">
        <w:rPr>
          <w:rStyle w:val="FootnoteReference"/>
          <w:rFonts w:ascii="Cambria" w:hAnsi="Cambria"/>
          <w:sz w:val="20"/>
          <w:szCs w:val="20"/>
          <w:lang w:val="es-CO"/>
        </w:rPr>
        <w:footnoteReference w:id="8"/>
      </w:r>
      <w:r w:rsidR="00AC4D9B">
        <w:rPr>
          <w:rFonts w:ascii="Cambria" w:hAnsi="Cambria"/>
          <w:sz w:val="20"/>
          <w:szCs w:val="20"/>
          <w:lang w:val="es-CO"/>
        </w:rPr>
        <w:t xml:space="preserve"> para un período adicional </w:t>
      </w:r>
      <w:r w:rsidR="00B66622">
        <w:rPr>
          <w:rFonts w:ascii="Cambria" w:hAnsi="Cambria"/>
          <w:sz w:val="20"/>
          <w:szCs w:val="20"/>
          <w:lang w:val="es-CO"/>
        </w:rPr>
        <w:t>de 4 años</w:t>
      </w:r>
      <w:r w:rsidR="00D36A0E" w:rsidRPr="003D2A3D">
        <w:rPr>
          <w:rFonts w:ascii="Cambria" w:hAnsi="Cambria"/>
          <w:sz w:val="20"/>
          <w:szCs w:val="20"/>
          <w:lang w:val="es-CO"/>
        </w:rPr>
        <w:t xml:space="preserve">. El </w:t>
      </w:r>
      <w:r w:rsidRPr="003D2A3D">
        <w:rPr>
          <w:rFonts w:ascii="Cambria" w:hAnsi="Cambria"/>
          <w:sz w:val="20"/>
          <w:szCs w:val="20"/>
          <w:lang w:val="es-CO"/>
        </w:rPr>
        <w:t xml:space="preserve">14 de enero de 2003 la </w:t>
      </w:r>
      <w:r w:rsidR="008A3B72" w:rsidRPr="003D2A3D">
        <w:rPr>
          <w:rFonts w:ascii="Cambria" w:hAnsi="Cambria"/>
          <w:sz w:val="20"/>
          <w:szCs w:val="20"/>
          <w:lang w:val="es-CO"/>
        </w:rPr>
        <w:t xml:space="preserve">presunta </w:t>
      </w:r>
      <w:r w:rsidR="009F5F2F" w:rsidRPr="003D2A3D">
        <w:rPr>
          <w:rFonts w:ascii="Cambria" w:hAnsi="Cambria"/>
          <w:sz w:val="20"/>
          <w:szCs w:val="20"/>
          <w:lang w:val="es-CO"/>
        </w:rPr>
        <w:t>víctima</w:t>
      </w:r>
      <w:r w:rsidRPr="003D2A3D">
        <w:rPr>
          <w:rFonts w:ascii="Cambria" w:hAnsi="Cambria"/>
          <w:sz w:val="20"/>
          <w:szCs w:val="20"/>
          <w:lang w:val="es-CO"/>
        </w:rPr>
        <w:t xml:space="preserve"> tomó posesión del cargo</w:t>
      </w:r>
      <w:r w:rsidRPr="007E779B">
        <w:rPr>
          <w:rStyle w:val="FootnoteReference"/>
          <w:rFonts w:ascii="Cambria" w:hAnsi="Cambria"/>
          <w:sz w:val="20"/>
          <w:szCs w:val="20"/>
        </w:rPr>
        <w:footnoteReference w:id="9"/>
      </w:r>
      <w:r w:rsidRPr="003D2A3D">
        <w:rPr>
          <w:rFonts w:ascii="Cambria" w:hAnsi="Cambria"/>
          <w:sz w:val="20"/>
          <w:szCs w:val="20"/>
          <w:lang w:val="es-CO"/>
        </w:rPr>
        <w:t>.</w:t>
      </w:r>
    </w:p>
    <w:p w14:paraId="30737673" w14:textId="77777777" w:rsidR="00A835CF" w:rsidRPr="007E779B" w:rsidRDefault="00A835CF" w:rsidP="001C6F4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5893DA37" w14:textId="74D86559" w:rsidR="00A835CF" w:rsidRDefault="00784ED8" w:rsidP="00543B15">
      <w:pPr>
        <w:pStyle w:val="Heading2"/>
        <w:numPr>
          <w:ilvl w:val="0"/>
          <w:numId w:val="53"/>
        </w:numPr>
        <w:spacing w:before="0" w:after="0"/>
        <w:jc w:val="both"/>
        <w:rPr>
          <w:rFonts w:ascii="Cambria" w:hAnsi="Cambria"/>
          <w:i w:val="0"/>
          <w:sz w:val="20"/>
          <w:szCs w:val="20"/>
          <w:lang w:val="es-VE"/>
        </w:rPr>
      </w:pPr>
      <w:bookmarkStart w:id="24" w:name="_Toc516682001"/>
      <w:r>
        <w:rPr>
          <w:rFonts w:ascii="Cambria" w:hAnsi="Cambria"/>
          <w:i w:val="0"/>
          <w:sz w:val="20"/>
          <w:szCs w:val="20"/>
          <w:lang w:val="es-VE"/>
        </w:rPr>
        <w:t>Cese</w:t>
      </w:r>
      <w:r w:rsidR="00A835CF" w:rsidRPr="007E779B">
        <w:rPr>
          <w:rFonts w:ascii="Cambria" w:hAnsi="Cambria"/>
          <w:i w:val="0"/>
          <w:sz w:val="20"/>
          <w:szCs w:val="20"/>
          <w:lang w:val="es-VE"/>
        </w:rPr>
        <w:t xml:space="preserve"> del Tribunal Supremo Electoral</w:t>
      </w:r>
      <w:bookmarkEnd w:id="24"/>
      <w:r w:rsidR="00A835CF" w:rsidRPr="007E779B">
        <w:rPr>
          <w:rFonts w:ascii="Cambria" w:hAnsi="Cambria"/>
          <w:i w:val="0"/>
          <w:sz w:val="20"/>
          <w:szCs w:val="20"/>
          <w:lang w:val="es-VE"/>
        </w:rPr>
        <w:t xml:space="preserve"> </w:t>
      </w:r>
    </w:p>
    <w:p w14:paraId="1B4E7B20" w14:textId="77777777" w:rsidR="00784ED8" w:rsidRDefault="00784ED8" w:rsidP="006648EB">
      <w:pPr>
        <w:jc w:val="both"/>
        <w:rPr>
          <w:sz w:val="20"/>
          <w:szCs w:val="20"/>
          <w:lang w:val="es-CO"/>
        </w:rPr>
      </w:pPr>
    </w:p>
    <w:p w14:paraId="19787A4D" w14:textId="77777777" w:rsidR="00973E85" w:rsidRPr="00781407" w:rsidRDefault="00784ED8" w:rsidP="00973E8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973E85">
        <w:rPr>
          <w:rFonts w:ascii="Cambria" w:hAnsi="Cambria"/>
          <w:sz w:val="20"/>
          <w:szCs w:val="20"/>
          <w:lang w:val="es-CO"/>
        </w:rPr>
        <w:t xml:space="preserve">En el caso Camba Campos y otros vs. </w:t>
      </w:r>
      <w:r w:rsidRPr="00E71E6D">
        <w:rPr>
          <w:rFonts w:ascii="Cambria" w:hAnsi="Cambria"/>
          <w:sz w:val="20"/>
          <w:szCs w:val="20"/>
          <w:lang w:val="es-CO"/>
        </w:rPr>
        <w:t>Ecuador, la Corte Interamericana consideró probados los siguientes</w:t>
      </w:r>
      <w:r w:rsidRPr="00F55846">
        <w:rPr>
          <w:rFonts w:ascii="Cambria" w:hAnsi="Cambria"/>
          <w:sz w:val="20"/>
          <w:szCs w:val="20"/>
          <w:lang w:val="es-CO"/>
        </w:rPr>
        <w:t xml:space="preserve"> hechos que resultan pertinentes</w:t>
      </w:r>
      <w:r w:rsidR="0046722D" w:rsidRPr="00F55846">
        <w:rPr>
          <w:rFonts w:ascii="Cambria" w:hAnsi="Cambria"/>
          <w:sz w:val="20"/>
          <w:szCs w:val="20"/>
          <w:lang w:val="es-CO"/>
        </w:rPr>
        <w:t xml:space="preserve"> en el presente caso</w:t>
      </w:r>
      <w:r w:rsidRPr="00F55846">
        <w:rPr>
          <w:rFonts w:ascii="Cambria" w:hAnsi="Cambria"/>
          <w:sz w:val="20"/>
          <w:szCs w:val="20"/>
          <w:lang w:val="es-CO"/>
        </w:rPr>
        <w:t xml:space="preserve"> como antecedentes de la </w:t>
      </w:r>
      <w:r w:rsidR="00331B0C" w:rsidRPr="00F55846">
        <w:rPr>
          <w:rFonts w:ascii="Cambria" w:hAnsi="Cambria"/>
          <w:sz w:val="20"/>
          <w:szCs w:val="20"/>
          <w:lang w:val="es-CO"/>
        </w:rPr>
        <w:t>Resolución 25-160 de cese</w:t>
      </w:r>
      <w:r w:rsidR="00331B0C" w:rsidRPr="000E41B5">
        <w:rPr>
          <w:rFonts w:ascii="Cambria" w:hAnsi="Cambria"/>
          <w:sz w:val="20"/>
          <w:szCs w:val="20"/>
          <w:lang w:val="es-CO"/>
        </w:rPr>
        <w:t xml:space="preserve"> de los vocales del Tribunal Supremo Electoral y del Tribunal Constituci</w:t>
      </w:r>
      <w:r w:rsidR="00331B0C" w:rsidRPr="00523EA8">
        <w:rPr>
          <w:rFonts w:ascii="Cambria" w:hAnsi="Cambria"/>
          <w:sz w:val="20"/>
          <w:szCs w:val="20"/>
          <w:lang w:val="es-CO"/>
        </w:rPr>
        <w:t>onal que se describe a continuación:</w:t>
      </w:r>
      <w:bookmarkStart w:id="25" w:name="_Ref369179540"/>
    </w:p>
    <w:p w14:paraId="05646C47" w14:textId="77777777" w:rsidR="00973E85" w:rsidRPr="00973E85" w:rsidRDefault="00973E85" w:rsidP="00973E85">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hAnsi="Cambria"/>
          <w:sz w:val="20"/>
          <w:szCs w:val="20"/>
          <w:lang w:val="es-CO"/>
        </w:rPr>
      </w:pPr>
    </w:p>
    <w:p w14:paraId="7D65BDA4" w14:textId="77777777" w:rsidR="0054044C" w:rsidRDefault="0046722D" w:rsidP="0054044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jc w:val="both"/>
        <w:rPr>
          <w:rFonts w:ascii="Cambria" w:hAnsi="Cambria"/>
          <w:sz w:val="20"/>
          <w:szCs w:val="20"/>
          <w:lang w:val="es-CO"/>
        </w:rPr>
      </w:pPr>
      <w:r w:rsidRPr="00E71E6D">
        <w:rPr>
          <w:rFonts w:ascii="Cambria" w:hAnsi="Cambria" w:cs="Tahoma"/>
          <w:sz w:val="20"/>
          <w:szCs w:val="20"/>
          <w:lang w:val="es-CO"/>
        </w:rPr>
        <w:t>El 9 de noviembre de 2004 los partidos de oposición al gobierno preparaban en el Congreso Nacional un enjuiciamiento político al Presidente de la República por el delito de peculado. Para contrarrestar este enjuiciamiento, la prueba obrante en el expediente, no controvertida por el Estado, indica que el gobierno logró construir una mayoría parlamentaria e hizo acuerdos políticos, entre otros, con el Partido Roldosista Ecuatoriano (PRE). El líder del PRE, el ex Presidente de la República, Abdalá Bucaram Ortíz, buscaba la anulación de varios juicios penales, que se tramitaban en la Corte Suprema de Justicia, en los que tenía orden de privación de libertad y por los que se encontraba prófugo en Panamá.</w:t>
      </w:r>
      <w:bookmarkStart w:id="26" w:name="_Ref369180698"/>
      <w:bookmarkEnd w:id="25"/>
    </w:p>
    <w:p w14:paraId="214F87EC" w14:textId="77777777" w:rsidR="0054044C" w:rsidRDefault="0054044C" w:rsidP="0054044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jc w:val="both"/>
        <w:rPr>
          <w:rFonts w:ascii="Cambria" w:hAnsi="Cambria"/>
          <w:sz w:val="20"/>
          <w:szCs w:val="20"/>
          <w:lang w:val="es-CO"/>
        </w:rPr>
      </w:pPr>
    </w:p>
    <w:p w14:paraId="2CD63B5D" w14:textId="4329452C" w:rsidR="00784ED8" w:rsidRPr="0054044C" w:rsidRDefault="0046722D" w:rsidP="0054044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jc w:val="both"/>
        <w:rPr>
          <w:rFonts w:ascii="Cambria" w:hAnsi="Cambria"/>
          <w:sz w:val="20"/>
          <w:szCs w:val="20"/>
          <w:lang w:val="es-CO"/>
        </w:rPr>
      </w:pPr>
      <w:r w:rsidRPr="00E71E6D">
        <w:rPr>
          <w:rFonts w:ascii="Cambria" w:hAnsi="Cambria" w:cs="Tahoma"/>
          <w:sz w:val="20"/>
          <w:szCs w:val="20"/>
          <w:lang w:val="es-CO"/>
        </w:rPr>
        <w:t>El 23 de noviembre del 2004 el Presidente de la República, Lucio Gutiérrez, anunció el propósito del gobierno de impulsar en el Congreso la reorganización del Tribunal Constitucional, del Tribunal Supremo Electoral, así como de la Corte Suprema de Justicia</w:t>
      </w:r>
      <w:r w:rsidR="00013E46" w:rsidRPr="00995B59">
        <w:rPr>
          <w:rStyle w:val="FootnoteReference"/>
          <w:rFonts w:ascii="Cambria" w:hAnsi="Cambria"/>
          <w:sz w:val="20"/>
          <w:szCs w:val="20"/>
          <w:lang w:val="es-MX"/>
        </w:rPr>
        <w:footnoteReference w:id="10"/>
      </w:r>
      <w:r w:rsidRPr="00E71E6D">
        <w:rPr>
          <w:rFonts w:ascii="Cambria" w:hAnsi="Cambria" w:cs="Tahoma"/>
          <w:sz w:val="20"/>
          <w:szCs w:val="20"/>
          <w:lang w:val="es-CO"/>
        </w:rPr>
        <w:t>.</w:t>
      </w:r>
      <w:bookmarkEnd w:id="26"/>
      <w:r w:rsidRPr="00E71E6D">
        <w:rPr>
          <w:rFonts w:ascii="Cambria" w:hAnsi="Cambria" w:cs="Tahoma"/>
          <w:sz w:val="20"/>
          <w:szCs w:val="20"/>
          <w:lang w:val="es-CO"/>
        </w:rPr>
        <w:t xml:space="preserve"> </w:t>
      </w:r>
    </w:p>
    <w:p w14:paraId="7D909AB8" w14:textId="77777777" w:rsidR="0054044C" w:rsidRPr="006648EB" w:rsidRDefault="0054044C" w:rsidP="006648EB">
      <w:pPr>
        <w:jc w:val="both"/>
        <w:rPr>
          <w:sz w:val="20"/>
          <w:szCs w:val="20"/>
          <w:lang w:val="es-CO"/>
        </w:rPr>
      </w:pPr>
    </w:p>
    <w:p w14:paraId="6E7E40FE" w14:textId="27CAF6A3" w:rsidR="00B72ECB" w:rsidRDefault="00706917" w:rsidP="00B72EC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7E779B">
        <w:rPr>
          <w:rFonts w:ascii="Cambria" w:hAnsi="Cambria"/>
          <w:sz w:val="20"/>
          <w:szCs w:val="20"/>
          <w:lang w:val="es-CO"/>
        </w:rPr>
        <w:t>El 25 de noviembre de 2004, mediante Resolución 25-160,</w:t>
      </w:r>
      <w:r w:rsidR="00C2411C" w:rsidRPr="007E779B">
        <w:rPr>
          <w:rFonts w:ascii="Cambria" w:hAnsi="Cambria"/>
          <w:sz w:val="20"/>
          <w:szCs w:val="20"/>
          <w:lang w:val="es-CO"/>
        </w:rPr>
        <w:t xml:space="preserve"> el Congreso Nacional declaró que cesaba en sus cargos a los </w:t>
      </w:r>
      <w:r w:rsidR="00EC3B1D">
        <w:rPr>
          <w:rFonts w:ascii="Cambria" w:hAnsi="Cambria"/>
          <w:sz w:val="20"/>
          <w:szCs w:val="20"/>
          <w:lang w:val="es-CO"/>
        </w:rPr>
        <w:t>vocales</w:t>
      </w:r>
      <w:r w:rsidRPr="007E779B">
        <w:rPr>
          <w:rFonts w:ascii="Cambria" w:hAnsi="Cambria"/>
          <w:sz w:val="20"/>
          <w:szCs w:val="20"/>
          <w:lang w:val="es-CO"/>
        </w:rPr>
        <w:t xml:space="preserve"> del Tribunal Supremo Electoral y</w:t>
      </w:r>
      <w:r w:rsidR="00C2411C" w:rsidRPr="007E779B">
        <w:rPr>
          <w:rFonts w:ascii="Cambria" w:hAnsi="Cambria"/>
          <w:sz w:val="20"/>
          <w:szCs w:val="20"/>
          <w:lang w:val="es-CO"/>
        </w:rPr>
        <w:t xml:space="preserve"> del Tribunal Constitucional</w:t>
      </w:r>
      <w:r w:rsidR="00C2411C" w:rsidRPr="007E779B">
        <w:rPr>
          <w:rStyle w:val="FootnoteReference"/>
          <w:rFonts w:ascii="Cambria" w:hAnsi="Cambria"/>
          <w:sz w:val="20"/>
          <w:szCs w:val="20"/>
        </w:rPr>
        <w:footnoteReference w:id="11"/>
      </w:r>
      <w:r w:rsidR="00C2411C" w:rsidRPr="007E779B">
        <w:rPr>
          <w:rFonts w:ascii="Cambria" w:hAnsi="Cambria"/>
          <w:sz w:val="20"/>
          <w:szCs w:val="20"/>
          <w:lang w:val="es-CO"/>
        </w:rPr>
        <w:t xml:space="preserve">. </w:t>
      </w:r>
    </w:p>
    <w:p w14:paraId="7C9038F2" w14:textId="77777777" w:rsidR="00B72ECB" w:rsidRDefault="00B72ECB" w:rsidP="00B72EC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43E592AD" w14:textId="77777777" w:rsidR="00622F74" w:rsidRPr="00B72ECB" w:rsidRDefault="00622F74" w:rsidP="00B72EC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B72ECB">
        <w:rPr>
          <w:rFonts w:ascii="Cambria" w:hAnsi="Cambria"/>
          <w:sz w:val="20"/>
          <w:szCs w:val="20"/>
          <w:lang w:val="es-CO"/>
        </w:rPr>
        <w:t xml:space="preserve"> </w:t>
      </w:r>
      <w:r w:rsidR="00752471" w:rsidRPr="00B72ECB">
        <w:rPr>
          <w:rFonts w:ascii="Cambria" w:hAnsi="Cambria"/>
          <w:sz w:val="20"/>
          <w:szCs w:val="20"/>
          <w:lang w:val="es-CO"/>
        </w:rPr>
        <w:t xml:space="preserve">En dicha resolución, el Congreso efectuó las siguientes consideraciones: </w:t>
      </w:r>
    </w:p>
    <w:p w14:paraId="5938CCF0" w14:textId="77777777" w:rsidR="00622F74" w:rsidRPr="007E779B" w:rsidRDefault="00622F74" w:rsidP="007E779B">
      <w:pPr>
        <w:ind w:left="720"/>
        <w:jc w:val="both"/>
        <w:rPr>
          <w:rFonts w:ascii="Cambria" w:hAnsi="Cambria"/>
          <w:sz w:val="20"/>
          <w:szCs w:val="20"/>
          <w:lang w:val="es-CO"/>
        </w:rPr>
      </w:pPr>
    </w:p>
    <w:p w14:paraId="731B0813" w14:textId="77777777" w:rsidR="00622F74" w:rsidRPr="007E779B" w:rsidRDefault="00622F74" w:rsidP="007468E8">
      <w:pPr>
        <w:ind w:left="720" w:right="720"/>
        <w:jc w:val="both"/>
        <w:rPr>
          <w:rFonts w:ascii="Cambria" w:hAnsi="Cambria"/>
          <w:sz w:val="20"/>
          <w:szCs w:val="20"/>
          <w:lang w:val="es-CO"/>
        </w:rPr>
      </w:pPr>
      <w:r w:rsidRPr="007E779B">
        <w:rPr>
          <w:rFonts w:ascii="Cambria" w:hAnsi="Cambria"/>
          <w:sz w:val="20"/>
          <w:szCs w:val="20"/>
          <w:lang w:val="es-CO"/>
        </w:rPr>
        <w:t>Que existe un clamor unánime de la población ecuatoriana por terminar el estado de caos constitucional que prevalece en los organismos públicos;</w:t>
      </w:r>
    </w:p>
    <w:p w14:paraId="6F11A887" w14:textId="77777777" w:rsidR="00622F74" w:rsidRPr="007E779B" w:rsidRDefault="00622F74" w:rsidP="007468E8">
      <w:pPr>
        <w:ind w:left="720" w:right="720"/>
        <w:jc w:val="both"/>
        <w:rPr>
          <w:rFonts w:ascii="Cambria" w:hAnsi="Cambria"/>
          <w:sz w:val="20"/>
          <w:szCs w:val="20"/>
          <w:lang w:val="es-CO"/>
        </w:rPr>
      </w:pPr>
      <w:r w:rsidRPr="007E779B">
        <w:rPr>
          <w:rFonts w:ascii="Cambria" w:hAnsi="Cambria"/>
          <w:sz w:val="20"/>
          <w:szCs w:val="20"/>
          <w:lang w:val="es-CO"/>
        </w:rPr>
        <w:t xml:space="preserve">Que los vocales principales y suplentes del </w:t>
      </w:r>
      <w:r w:rsidR="00AC272E" w:rsidRPr="007E779B">
        <w:rPr>
          <w:rFonts w:ascii="Cambria" w:hAnsi="Cambria"/>
          <w:sz w:val="20"/>
          <w:szCs w:val="20"/>
          <w:lang w:val="es-CO"/>
        </w:rPr>
        <w:t>Tribunal Constitucional</w:t>
      </w:r>
      <w:r w:rsidRPr="007E779B">
        <w:rPr>
          <w:rFonts w:ascii="Cambria" w:hAnsi="Cambria"/>
          <w:sz w:val="20"/>
          <w:szCs w:val="20"/>
          <w:lang w:val="es-CO"/>
        </w:rPr>
        <w:t xml:space="preserve"> fueron designados en forma ilegal (…)</w:t>
      </w:r>
    </w:p>
    <w:p w14:paraId="137B24FA" w14:textId="77777777" w:rsidR="00622F74" w:rsidRPr="007E779B" w:rsidRDefault="00622F74" w:rsidP="007468E8">
      <w:pPr>
        <w:ind w:left="720" w:right="720"/>
        <w:jc w:val="both"/>
        <w:rPr>
          <w:rFonts w:ascii="Cambria" w:hAnsi="Cambria"/>
          <w:sz w:val="20"/>
          <w:szCs w:val="20"/>
        </w:rPr>
      </w:pPr>
      <w:r w:rsidRPr="007E779B">
        <w:rPr>
          <w:rFonts w:ascii="Cambria" w:hAnsi="Cambria"/>
          <w:sz w:val="20"/>
          <w:szCs w:val="20"/>
          <w:lang w:val="es-CO"/>
        </w:rPr>
        <w:t>Que los vocales principales y suplentes del Tribunal Supremo Electoral fueron designados sin considerar lo que establece el artículo 209 de la Constitución Política de la República y las leyes</w:t>
      </w:r>
      <w:r w:rsidR="00B07010" w:rsidRPr="007E779B">
        <w:rPr>
          <w:rFonts w:ascii="Cambria" w:hAnsi="Cambria"/>
          <w:sz w:val="20"/>
          <w:szCs w:val="20"/>
          <w:lang w:val="es-CO"/>
        </w:rPr>
        <w:t xml:space="preserve"> (…)</w:t>
      </w:r>
      <w:r w:rsidR="00B07010" w:rsidRPr="007E779B">
        <w:rPr>
          <w:rStyle w:val="FootnoteReference"/>
          <w:rFonts w:ascii="Cambria" w:hAnsi="Cambria"/>
          <w:sz w:val="20"/>
          <w:szCs w:val="20"/>
        </w:rPr>
        <w:footnoteReference w:id="12"/>
      </w:r>
      <w:r w:rsidR="00B07010" w:rsidRPr="007E779B">
        <w:rPr>
          <w:rFonts w:ascii="Cambria" w:hAnsi="Cambria"/>
          <w:sz w:val="20"/>
          <w:szCs w:val="20"/>
        </w:rPr>
        <w:t>.</w:t>
      </w:r>
    </w:p>
    <w:p w14:paraId="76464DE1" w14:textId="77777777" w:rsidR="00B07010" w:rsidRPr="007E779B" w:rsidRDefault="00B07010" w:rsidP="007E779B">
      <w:pPr>
        <w:jc w:val="both"/>
        <w:rPr>
          <w:rFonts w:ascii="Cambria" w:hAnsi="Cambria"/>
          <w:sz w:val="20"/>
          <w:szCs w:val="20"/>
          <w:lang w:val="es-CO"/>
        </w:rPr>
      </w:pPr>
    </w:p>
    <w:p w14:paraId="0226A063" w14:textId="77777777" w:rsidR="004F2A05" w:rsidRPr="007E779B" w:rsidRDefault="00E57ABF" w:rsidP="00B72EC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7E779B">
        <w:rPr>
          <w:rFonts w:ascii="Cambria" w:hAnsi="Cambria"/>
          <w:sz w:val="20"/>
          <w:szCs w:val="20"/>
          <w:lang w:val="es-CO"/>
        </w:rPr>
        <w:t>En virtud de lo anterior, el Congreso dispuso, en lo pertinente para el caso:</w:t>
      </w:r>
    </w:p>
    <w:p w14:paraId="1EE39BF5" w14:textId="77777777" w:rsidR="00E57ABF" w:rsidRPr="007E779B" w:rsidRDefault="00E57ABF" w:rsidP="007E779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1CE2BD02" w14:textId="77777777" w:rsidR="00622F74" w:rsidRPr="007E779B" w:rsidRDefault="00622F74" w:rsidP="007468E8">
      <w:pPr>
        <w:tabs>
          <w:tab w:val="left" w:pos="1620"/>
        </w:tabs>
        <w:ind w:left="720" w:right="720"/>
        <w:jc w:val="both"/>
        <w:rPr>
          <w:rFonts w:ascii="Cambria" w:hAnsi="Cambria"/>
          <w:sz w:val="20"/>
          <w:szCs w:val="20"/>
          <w:lang w:val="es-CO"/>
        </w:rPr>
      </w:pPr>
      <w:r w:rsidRPr="007E779B">
        <w:rPr>
          <w:rFonts w:ascii="Cambria" w:hAnsi="Cambria"/>
          <w:sz w:val="20"/>
          <w:szCs w:val="20"/>
          <w:lang w:val="es-CO"/>
        </w:rPr>
        <w:t xml:space="preserve">2. Declarar cesantes en sus cargos a los señores vocales principales y suplentes del Tribunal Supremo Electoral por haber sido designados sin contemplar lo que establece el artículo 209 </w:t>
      </w:r>
      <w:r w:rsidRPr="007E779B">
        <w:rPr>
          <w:rFonts w:ascii="Cambria" w:hAnsi="Cambria"/>
          <w:sz w:val="20"/>
          <w:szCs w:val="20"/>
          <w:lang w:val="es-CO"/>
        </w:rPr>
        <w:lastRenderedPageBreak/>
        <w:t>de la Constitución Política de la República, en relación a la forma de designación, y, proceder a su designación de conformidad a la norma constitucional señalada, de acuerdo a los resultados electora</w:t>
      </w:r>
      <w:r w:rsidR="00E57ABF" w:rsidRPr="007E779B">
        <w:rPr>
          <w:rFonts w:ascii="Cambria" w:hAnsi="Cambria"/>
          <w:sz w:val="20"/>
          <w:szCs w:val="20"/>
          <w:lang w:val="es-CO"/>
        </w:rPr>
        <w:t>les del 20 de octubre de 2002.</w:t>
      </w:r>
    </w:p>
    <w:p w14:paraId="4179A648" w14:textId="77777777" w:rsidR="00B72ECB" w:rsidRDefault="00622F74" w:rsidP="007468E8">
      <w:pPr>
        <w:ind w:left="720" w:right="720"/>
        <w:jc w:val="both"/>
        <w:rPr>
          <w:rFonts w:ascii="Cambria" w:hAnsi="Cambria"/>
          <w:sz w:val="20"/>
          <w:szCs w:val="20"/>
          <w:lang w:val="es-CO"/>
        </w:rPr>
      </w:pPr>
      <w:r w:rsidRPr="007E779B">
        <w:rPr>
          <w:rFonts w:ascii="Cambria" w:hAnsi="Cambria"/>
          <w:sz w:val="20"/>
          <w:szCs w:val="20"/>
          <w:lang w:val="es-CO"/>
        </w:rPr>
        <w:t>3. Esta resolución entrará en vigencia de inmediato, sin perjuicio de su publica</w:t>
      </w:r>
      <w:r w:rsidR="00E57ABF" w:rsidRPr="007E779B">
        <w:rPr>
          <w:rFonts w:ascii="Cambria" w:hAnsi="Cambria"/>
          <w:sz w:val="20"/>
          <w:szCs w:val="20"/>
          <w:lang w:val="es-CO"/>
        </w:rPr>
        <w:t>ción en el Registro Oficial (…)</w:t>
      </w:r>
      <w:r w:rsidRPr="007E779B">
        <w:rPr>
          <w:rStyle w:val="FootnoteReference"/>
          <w:rFonts w:ascii="Cambria" w:hAnsi="Cambria"/>
          <w:sz w:val="20"/>
          <w:szCs w:val="20"/>
        </w:rPr>
        <w:footnoteReference w:id="13"/>
      </w:r>
      <w:r w:rsidR="00E57ABF" w:rsidRPr="007E779B">
        <w:rPr>
          <w:rFonts w:ascii="Cambria" w:hAnsi="Cambria"/>
          <w:sz w:val="20"/>
          <w:szCs w:val="20"/>
          <w:lang w:val="es-CO"/>
        </w:rPr>
        <w:t>.</w:t>
      </w:r>
    </w:p>
    <w:p w14:paraId="72ECE69A" w14:textId="77777777" w:rsidR="008E78CC" w:rsidRDefault="008E78CC" w:rsidP="00B72ECB">
      <w:pPr>
        <w:ind w:left="720"/>
        <w:jc w:val="both"/>
        <w:rPr>
          <w:rFonts w:ascii="Cambria" w:hAnsi="Cambria"/>
          <w:sz w:val="20"/>
          <w:szCs w:val="20"/>
          <w:lang w:val="es-CO"/>
        </w:rPr>
      </w:pPr>
    </w:p>
    <w:p w14:paraId="0EF9F1DC" w14:textId="443A2AE4" w:rsidR="001C6BA4" w:rsidRPr="00A12658" w:rsidRDefault="001C6BA4" w:rsidP="00A12658">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Pr>
          <w:rFonts w:ascii="Cambria" w:hAnsi="Cambria"/>
          <w:sz w:val="20"/>
          <w:szCs w:val="20"/>
          <w:lang w:val="es-CO"/>
        </w:rPr>
        <w:t>El 26 de noviembre de 2004 el Congreso designó nuevos vocales principales y suplentes del Tribunal Supremo Electoral</w:t>
      </w:r>
      <w:r>
        <w:rPr>
          <w:rStyle w:val="FootnoteReference"/>
          <w:rFonts w:ascii="Cambria" w:hAnsi="Cambria"/>
          <w:sz w:val="20"/>
          <w:szCs w:val="20"/>
          <w:lang w:val="es-CO"/>
        </w:rPr>
        <w:footnoteReference w:id="14"/>
      </w:r>
      <w:r>
        <w:rPr>
          <w:rFonts w:ascii="Cambria" w:hAnsi="Cambria"/>
          <w:sz w:val="20"/>
          <w:szCs w:val="20"/>
          <w:lang w:val="es-CO"/>
        </w:rPr>
        <w:t xml:space="preserve">. </w:t>
      </w:r>
    </w:p>
    <w:p w14:paraId="08A228B6" w14:textId="068C5176" w:rsidR="008A7B55" w:rsidRPr="00664E77" w:rsidRDefault="00E10650" w:rsidP="00664E77">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Pr>
          <w:rFonts w:ascii="Cambria" w:hAnsi="Cambria"/>
          <w:sz w:val="20"/>
          <w:szCs w:val="20"/>
          <w:lang w:val="es-CO"/>
        </w:rPr>
        <w:t>La Comisión observa</w:t>
      </w:r>
      <w:r w:rsidR="00807C76">
        <w:rPr>
          <w:rFonts w:ascii="Cambria" w:hAnsi="Cambria"/>
          <w:sz w:val="20"/>
          <w:szCs w:val="20"/>
          <w:lang w:val="es-CO"/>
        </w:rPr>
        <w:t xml:space="preserve"> que</w:t>
      </w:r>
      <w:r w:rsidR="00B601C4" w:rsidRPr="007E779B">
        <w:rPr>
          <w:rFonts w:ascii="Cambria" w:hAnsi="Cambria"/>
          <w:sz w:val="20"/>
          <w:szCs w:val="20"/>
          <w:lang w:val="es-CO"/>
        </w:rPr>
        <w:t xml:space="preserve"> la Constitución vigente a la época de los hechos </w:t>
      </w:r>
      <w:r w:rsidR="006766F4">
        <w:rPr>
          <w:rFonts w:ascii="Cambria" w:hAnsi="Cambria"/>
          <w:sz w:val="20"/>
          <w:szCs w:val="20"/>
          <w:lang w:val="es-CO"/>
        </w:rPr>
        <w:t xml:space="preserve">preveía en su artículo 95 </w:t>
      </w:r>
      <w:r w:rsidR="00807C76">
        <w:rPr>
          <w:rFonts w:ascii="Cambria" w:hAnsi="Cambria"/>
          <w:sz w:val="20"/>
          <w:szCs w:val="20"/>
          <w:lang w:val="es-CO"/>
        </w:rPr>
        <w:t xml:space="preserve">la posibilidad de interponer </w:t>
      </w:r>
      <w:r w:rsidR="00B601C4" w:rsidRPr="007E779B">
        <w:rPr>
          <w:rFonts w:ascii="Cambria" w:hAnsi="Cambria"/>
          <w:sz w:val="20"/>
          <w:szCs w:val="20"/>
          <w:lang w:val="es-CO"/>
        </w:rPr>
        <w:t xml:space="preserve">acción de amparo. No obstante, </w:t>
      </w:r>
      <w:r w:rsidR="00A109F3" w:rsidRPr="007E779B">
        <w:rPr>
          <w:rFonts w:ascii="Cambria" w:hAnsi="Cambria"/>
          <w:sz w:val="20"/>
          <w:szCs w:val="20"/>
          <w:lang w:val="es-CO"/>
        </w:rPr>
        <w:t xml:space="preserve">existían dos Resoluciones que </w:t>
      </w:r>
      <w:r w:rsidR="00B601C4" w:rsidRPr="007E779B">
        <w:rPr>
          <w:rFonts w:ascii="Cambria" w:hAnsi="Cambria"/>
          <w:sz w:val="20"/>
          <w:szCs w:val="20"/>
          <w:lang w:val="es-CO"/>
        </w:rPr>
        <w:t>coart</w:t>
      </w:r>
      <w:r w:rsidR="00A109F3" w:rsidRPr="007E779B">
        <w:rPr>
          <w:rFonts w:ascii="Cambria" w:hAnsi="Cambria"/>
          <w:sz w:val="20"/>
          <w:szCs w:val="20"/>
          <w:lang w:val="es-CO"/>
        </w:rPr>
        <w:t xml:space="preserve">aban </w:t>
      </w:r>
      <w:r w:rsidR="00B601C4" w:rsidRPr="007E779B">
        <w:rPr>
          <w:rFonts w:ascii="Cambria" w:hAnsi="Cambria"/>
          <w:sz w:val="20"/>
          <w:szCs w:val="20"/>
          <w:lang w:val="es-CO"/>
        </w:rPr>
        <w:t>la posibilidad de in</w:t>
      </w:r>
      <w:r w:rsidR="00F55846">
        <w:rPr>
          <w:rFonts w:ascii="Cambria" w:hAnsi="Cambria"/>
          <w:sz w:val="20"/>
          <w:szCs w:val="20"/>
          <w:lang w:val="es-CO"/>
        </w:rPr>
        <w:t>terponerla</w:t>
      </w:r>
      <w:r w:rsidR="0041155E" w:rsidRPr="007E779B">
        <w:rPr>
          <w:rFonts w:ascii="Cambria" w:hAnsi="Cambria"/>
          <w:sz w:val="20"/>
          <w:szCs w:val="20"/>
          <w:lang w:val="es-CO"/>
        </w:rPr>
        <w:t xml:space="preserve"> en el caso concreto</w:t>
      </w:r>
      <w:r w:rsidR="00664E77">
        <w:rPr>
          <w:rFonts w:ascii="Cambria" w:hAnsi="Cambria"/>
          <w:sz w:val="20"/>
          <w:szCs w:val="20"/>
          <w:lang w:val="es-CO"/>
        </w:rPr>
        <w:t>. P</w:t>
      </w:r>
      <w:r w:rsidR="00F477CA" w:rsidRPr="00B72ECB">
        <w:rPr>
          <w:rFonts w:ascii="Cambria" w:hAnsi="Cambria"/>
          <w:sz w:val="20"/>
          <w:szCs w:val="20"/>
          <w:lang w:val="es-CO"/>
        </w:rPr>
        <w:t xml:space="preserve">or un lado, la Corte Suprema de Justicia, </w:t>
      </w:r>
      <w:r w:rsidR="004C32F8" w:rsidRPr="00B72ECB">
        <w:rPr>
          <w:rFonts w:ascii="Cambria" w:hAnsi="Cambria"/>
          <w:sz w:val="20"/>
          <w:szCs w:val="20"/>
          <w:lang w:val="es-CO"/>
        </w:rPr>
        <w:t>el 27 de juni</w:t>
      </w:r>
      <w:r w:rsidR="00F477CA" w:rsidRPr="00B72ECB">
        <w:rPr>
          <w:rFonts w:ascii="Cambria" w:hAnsi="Cambria"/>
          <w:sz w:val="20"/>
          <w:szCs w:val="20"/>
          <w:lang w:val="es-CO"/>
        </w:rPr>
        <w:t>o de 2001 emiti</w:t>
      </w:r>
      <w:r w:rsidR="009E1EC4" w:rsidRPr="00B72ECB">
        <w:rPr>
          <w:rFonts w:ascii="Cambria" w:hAnsi="Cambria"/>
          <w:sz w:val="20"/>
          <w:szCs w:val="20"/>
          <w:lang w:val="es-CO"/>
        </w:rPr>
        <w:t xml:space="preserve">ó </w:t>
      </w:r>
      <w:r w:rsidR="00F477CA" w:rsidRPr="00B72ECB">
        <w:rPr>
          <w:rFonts w:ascii="Cambria" w:hAnsi="Cambria"/>
          <w:sz w:val="20"/>
          <w:szCs w:val="20"/>
          <w:lang w:val="es-CO"/>
        </w:rPr>
        <w:t>Resolución 01-027, en la que limitó el alcance de las acciones de amparo,</w:t>
      </w:r>
      <w:r w:rsidR="009E1EC4" w:rsidRPr="00B72ECB">
        <w:rPr>
          <w:rFonts w:ascii="Cambria" w:hAnsi="Cambria"/>
          <w:sz w:val="20"/>
          <w:szCs w:val="20"/>
          <w:lang w:val="es-CO"/>
        </w:rPr>
        <w:t xml:space="preserve"> y dispuso que las mismas no proceden y se las rechazará de pleno cuando se las interponga respecto de los actos de gobierno</w:t>
      </w:r>
      <w:r w:rsidR="00AC1260" w:rsidRPr="007E779B">
        <w:rPr>
          <w:rStyle w:val="FootnoteReference"/>
          <w:rFonts w:ascii="Cambria" w:hAnsi="Cambria"/>
          <w:sz w:val="20"/>
          <w:szCs w:val="20"/>
          <w:lang w:val="es-CO"/>
        </w:rPr>
        <w:footnoteReference w:id="15"/>
      </w:r>
      <w:r w:rsidR="009E1EC4" w:rsidRPr="00B72ECB">
        <w:rPr>
          <w:rFonts w:ascii="Cambria" w:hAnsi="Cambria"/>
          <w:sz w:val="20"/>
          <w:szCs w:val="20"/>
          <w:lang w:val="es-CO"/>
        </w:rPr>
        <w:t xml:space="preserve">. </w:t>
      </w:r>
      <w:r w:rsidR="00803B0D" w:rsidRPr="00664E77">
        <w:rPr>
          <w:rFonts w:ascii="Cambria" w:hAnsi="Cambria"/>
          <w:sz w:val="20"/>
          <w:szCs w:val="20"/>
          <w:lang w:val="es-CO"/>
        </w:rPr>
        <w:t>Asimismo, e</w:t>
      </w:r>
      <w:r w:rsidR="00752471" w:rsidRPr="00664E77">
        <w:rPr>
          <w:rFonts w:ascii="Cambria" w:hAnsi="Cambria"/>
          <w:sz w:val="20"/>
          <w:szCs w:val="20"/>
          <w:lang w:val="es-CO"/>
        </w:rPr>
        <w:t>l 2 de diciemb</w:t>
      </w:r>
      <w:r w:rsidR="00275093" w:rsidRPr="00664E77">
        <w:rPr>
          <w:rFonts w:ascii="Cambria" w:hAnsi="Cambria"/>
          <w:sz w:val="20"/>
          <w:szCs w:val="20"/>
          <w:lang w:val="es-CO"/>
        </w:rPr>
        <w:t>re</w:t>
      </w:r>
      <w:r w:rsidR="00640628" w:rsidRPr="00664E77">
        <w:rPr>
          <w:rFonts w:ascii="Cambria" w:hAnsi="Cambria"/>
          <w:sz w:val="20"/>
          <w:szCs w:val="20"/>
          <w:lang w:val="es-CO"/>
        </w:rPr>
        <w:t xml:space="preserve"> de 2004, el </w:t>
      </w:r>
      <w:r w:rsidR="009557C2">
        <w:rPr>
          <w:rFonts w:ascii="Cambria" w:hAnsi="Cambria"/>
          <w:sz w:val="20"/>
          <w:szCs w:val="20"/>
          <w:lang w:val="es-CO"/>
        </w:rPr>
        <w:t xml:space="preserve">nuevo </w:t>
      </w:r>
      <w:r w:rsidR="00640628" w:rsidRPr="00664E77">
        <w:rPr>
          <w:rFonts w:ascii="Cambria" w:hAnsi="Cambria"/>
          <w:sz w:val="20"/>
          <w:szCs w:val="20"/>
          <w:lang w:val="es-CO"/>
        </w:rPr>
        <w:t>Tribunal Constitucional</w:t>
      </w:r>
      <w:r w:rsidR="009557C2">
        <w:rPr>
          <w:rFonts w:ascii="Cambria" w:hAnsi="Cambria"/>
          <w:sz w:val="20"/>
          <w:szCs w:val="20"/>
          <w:lang w:val="es-CO"/>
        </w:rPr>
        <w:t xml:space="preserve"> constituido tras el cese de todos sus vocales mediante la Resolución 25-160 ya citada</w:t>
      </w:r>
      <w:r w:rsidR="00230401" w:rsidRPr="00664E77">
        <w:rPr>
          <w:rFonts w:ascii="Cambria" w:hAnsi="Cambria"/>
          <w:sz w:val="20"/>
          <w:szCs w:val="20"/>
          <w:lang w:val="es-CO"/>
        </w:rPr>
        <w:t>, a pedido del Presidente de la República</w:t>
      </w:r>
      <w:r w:rsidR="00230401">
        <w:rPr>
          <w:rStyle w:val="FootnoteReference"/>
          <w:rFonts w:ascii="Cambria" w:hAnsi="Cambria"/>
          <w:sz w:val="20"/>
          <w:szCs w:val="20"/>
          <w:lang w:val="es-CO"/>
        </w:rPr>
        <w:footnoteReference w:id="16"/>
      </w:r>
      <w:r w:rsidR="00230401" w:rsidRPr="00664E77">
        <w:rPr>
          <w:rFonts w:ascii="Cambria" w:hAnsi="Cambria"/>
          <w:sz w:val="20"/>
          <w:szCs w:val="20"/>
          <w:lang w:val="es-CO"/>
        </w:rPr>
        <w:t>,</w:t>
      </w:r>
      <w:r w:rsidR="00275093" w:rsidRPr="00664E77">
        <w:rPr>
          <w:rFonts w:ascii="Cambria" w:hAnsi="Cambria"/>
          <w:sz w:val="20"/>
          <w:szCs w:val="20"/>
          <w:lang w:val="es-CO"/>
        </w:rPr>
        <w:t xml:space="preserve"> </w:t>
      </w:r>
      <w:r w:rsidR="0041155E" w:rsidRPr="00664E77">
        <w:rPr>
          <w:rFonts w:ascii="Cambria" w:hAnsi="Cambria"/>
          <w:sz w:val="20"/>
          <w:szCs w:val="20"/>
          <w:lang w:val="es-CO"/>
        </w:rPr>
        <w:t>emitió</w:t>
      </w:r>
      <w:r w:rsidR="00B601C4" w:rsidRPr="00664E77">
        <w:rPr>
          <w:rFonts w:ascii="Cambria" w:hAnsi="Cambria"/>
          <w:sz w:val="20"/>
          <w:szCs w:val="20"/>
          <w:lang w:val="es-CO"/>
        </w:rPr>
        <w:t xml:space="preserve"> </w:t>
      </w:r>
      <w:r w:rsidR="008A7B55" w:rsidRPr="00664E77">
        <w:rPr>
          <w:rFonts w:ascii="Cambria" w:hAnsi="Cambria"/>
          <w:sz w:val="20"/>
          <w:szCs w:val="20"/>
          <w:lang w:val="es-CO"/>
        </w:rPr>
        <w:t>una r</w:t>
      </w:r>
      <w:r w:rsidR="00B601C4" w:rsidRPr="00664E77">
        <w:rPr>
          <w:rFonts w:ascii="Cambria" w:hAnsi="Cambria"/>
          <w:sz w:val="20"/>
          <w:szCs w:val="20"/>
          <w:lang w:val="es-CO"/>
        </w:rPr>
        <w:t>esolución</w:t>
      </w:r>
      <w:r w:rsidR="00752471" w:rsidRPr="00664E77">
        <w:rPr>
          <w:rFonts w:ascii="Cambria" w:hAnsi="Cambria"/>
          <w:sz w:val="20"/>
          <w:szCs w:val="20"/>
          <w:lang w:val="es-CO"/>
        </w:rPr>
        <w:t xml:space="preserve"> en la cual estableció que el único </w:t>
      </w:r>
      <w:r w:rsidR="00B07010" w:rsidRPr="00664E77">
        <w:rPr>
          <w:rFonts w:ascii="Cambria" w:hAnsi="Cambria"/>
          <w:sz w:val="20"/>
          <w:szCs w:val="20"/>
          <w:lang w:val="es-CO"/>
        </w:rPr>
        <w:t>recurso</w:t>
      </w:r>
      <w:r w:rsidR="00752471" w:rsidRPr="00664E77">
        <w:rPr>
          <w:rFonts w:ascii="Cambria" w:hAnsi="Cambria"/>
          <w:sz w:val="20"/>
          <w:szCs w:val="20"/>
          <w:lang w:val="es-CO"/>
        </w:rPr>
        <w:t xml:space="preserve"> pa</w:t>
      </w:r>
      <w:r w:rsidR="00B601C4" w:rsidRPr="00664E77">
        <w:rPr>
          <w:rFonts w:ascii="Cambria" w:hAnsi="Cambria"/>
          <w:sz w:val="20"/>
          <w:szCs w:val="20"/>
          <w:lang w:val="es-CO"/>
        </w:rPr>
        <w:t>ra suspender los efectos de la R</w:t>
      </w:r>
      <w:r w:rsidR="00752471" w:rsidRPr="00664E77">
        <w:rPr>
          <w:rFonts w:ascii="Cambria" w:hAnsi="Cambria"/>
          <w:sz w:val="20"/>
          <w:szCs w:val="20"/>
          <w:lang w:val="es-CO"/>
        </w:rPr>
        <w:t>esolución 25-160</w:t>
      </w:r>
      <w:r w:rsidR="00622F74" w:rsidRPr="00664E77">
        <w:rPr>
          <w:rFonts w:ascii="Cambria" w:hAnsi="Cambria"/>
          <w:sz w:val="20"/>
          <w:szCs w:val="20"/>
          <w:lang w:val="es-CO"/>
        </w:rPr>
        <w:t xml:space="preserve"> </w:t>
      </w:r>
      <w:r w:rsidR="00B07010" w:rsidRPr="00664E77">
        <w:rPr>
          <w:rFonts w:ascii="Cambria" w:hAnsi="Cambria"/>
          <w:sz w:val="20"/>
          <w:szCs w:val="20"/>
          <w:lang w:val="es-CO"/>
        </w:rPr>
        <w:t>era la acción de inconstitucionalidad, y “</w:t>
      </w:r>
      <w:r w:rsidR="00622F74" w:rsidRPr="00664E77">
        <w:rPr>
          <w:rFonts w:ascii="Cambria" w:hAnsi="Cambria"/>
          <w:sz w:val="20"/>
          <w:szCs w:val="20"/>
          <w:lang w:val="es-CO"/>
        </w:rPr>
        <w:t>que cualquier recurso de amparo que se presentara en los juzgados del país relacionado con la referida resolución, los jueces deben rechazarla de plano e inadmitirla, pues en caso contrario se estaría despachando una causa contra ley expresa, que acarrearía las acciones judiciales correspondientes</w:t>
      </w:r>
      <w:r w:rsidR="00B07010" w:rsidRPr="00664E77">
        <w:rPr>
          <w:rFonts w:ascii="Cambria" w:hAnsi="Cambria"/>
          <w:sz w:val="20"/>
          <w:szCs w:val="20"/>
          <w:lang w:val="es-CO"/>
        </w:rPr>
        <w:t>”</w:t>
      </w:r>
      <w:r w:rsidR="00622F74" w:rsidRPr="00664E77">
        <w:rPr>
          <w:rFonts w:ascii="Cambria" w:hAnsi="Cambria"/>
          <w:sz w:val="20"/>
          <w:szCs w:val="20"/>
          <w:lang w:val="es-CO"/>
        </w:rPr>
        <w:t>(…)</w:t>
      </w:r>
      <w:r w:rsidR="00622F74" w:rsidRPr="007E779B">
        <w:rPr>
          <w:rStyle w:val="FootnoteReference"/>
          <w:rFonts w:ascii="Cambria" w:hAnsi="Cambria"/>
          <w:sz w:val="20"/>
          <w:szCs w:val="20"/>
        </w:rPr>
        <w:footnoteReference w:id="17"/>
      </w:r>
      <w:r w:rsidR="00B07010" w:rsidRPr="00664E77">
        <w:rPr>
          <w:rFonts w:ascii="Cambria" w:hAnsi="Cambria"/>
          <w:sz w:val="20"/>
          <w:szCs w:val="20"/>
          <w:lang w:val="es-CO"/>
        </w:rPr>
        <w:t>.</w:t>
      </w:r>
    </w:p>
    <w:p w14:paraId="50007168" w14:textId="77777777" w:rsidR="008E78CC" w:rsidRDefault="008E78CC" w:rsidP="008E78CC">
      <w:pPr>
        <w:pStyle w:val="ListParagraph"/>
        <w:rPr>
          <w:sz w:val="20"/>
          <w:szCs w:val="20"/>
          <w:lang w:val="es-CO"/>
        </w:rPr>
      </w:pPr>
    </w:p>
    <w:p w14:paraId="3C0B91D3" w14:textId="12286803" w:rsidR="008E78CC" w:rsidRDefault="008E78CC" w:rsidP="008A7B5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Pr>
          <w:rFonts w:ascii="Cambria" w:hAnsi="Cambria"/>
          <w:sz w:val="20"/>
          <w:szCs w:val="20"/>
          <w:lang w:val="es-CO"/>
        </w:rPr>
        <w:t>Varios de los vocales cesados tanto de</w:t>
      </w:r>
      <w:r w:rsidR="001E6D70">
        <w:rPr>
          <w:rFonts w:ascii="Cambria" w:hAnsi="Cambria"/>
          <w:sz w:val="20"/>
          <w:szCs w:val="20"/>
          <w:lang w:val="es-CO"/>
        </w:rPr>
        <w:t>l Tribunal Constitucional</w:t>
      </w:r>
      <w:r>
        <w:rPr>
          <w:rFonts w:ascii="Cambria" w:hAnsi="Cambria"/>
          <w:sz w:val="20"/>
          <w:szCs w:val="20"/>
          <w:lang w:val="es-CO"/>
        </w:rPr>
        <w:t xml:space="preserve"> interpusieron acciones de amparo, las cuales fueron rechazadas en aplicación de la </w:t>
      </w:r>
      <w:r w:rsidR="009557C2">
        <w:rPr>
          <w:rFonts w:ascii="Cambria" w:hAnsi="Cambria"/>
          <w:sz w:val="20"/>
          <w:szCs w:val="20"/>
          <w:lang w:val="es-CO"/>
        </w:rPr>
        <w:t>R</w:t>
      </w:r>
      <w:r>
        <w:rPr>
          <w:rFonts w:ascii="Cambria" w:hAnsi="Cambria"/>
          <w:sz w:val="20"/>
          <w:szCs w:val="20"/>
          <w:lang w:val="es-CO"/>
        </w:rPr>
        <w:t>esolución 25-160</w:t>
      </w:r>
      <w:r>
        <w:rPr>
          <w:rStyle w:val="FootnoteReference"/>
          <w:rFonts w:ascii="Cambria" w:hAnsi="Cambria"/>
          <w:sz w:val="20"/>
          <w:szCs w:val="20"/>
          <w:lang w:val="es-CO"/>
        </w:rPr>
        <w:footnoteReference w:id="18"/>
      </w:r>
      <w:r>
        <w:rPr>
          <w:rFonts w:ascii="Cambria" w:hAnsi="Cambria"/>
          <w:sz w:val="20"/>
          <w:szCs w:val="20"/>
          <w:lang w:val="es-CO"/>
        </w:rPr>
        <w:t>.</w:t>
      </w:r>
    </w:p>
    <w:p w14:paraId="4C2C8C17" w14:textId="77777777" w:rsidR="008E78CC" w:rsidRPr="00C7771E" w:rsidRDefault="008E78CC" w:rsidP="001C6F4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64071B01" w14:textId="77777777" w:rsidR="00C93141" w:rsidRPr="009B7C97" w:rsidRDefault="00A92E4A" w:rsidP="00C93141">
      <w:pPr>
        <w:pStyle w:val="Heading1"/>
        <w:spacing w:before="0"/>
        <w:ind w:firstLine="0"/>
        <w:jc w:val="both"/>
        <w:rPr>
          <w:rFonts w:ascii="Cambria" w:eastAsia="Yu Gothic Light" w:hAnsi="Cambria"/>
          <w:color w:val="auto"/>
          <w:sz w:val="20"/>
          <w:szCs w:val="20"/>
          <w:lang w:val="es-VE"/>
        </w:rPr>
      </w:pPr>
      <w:bookmarkStart w:id="27" w:name="_Toc477355360"/>
      <w:bookmarkStart w:id="28" w:name="_Toc480897202"/>
      <w:bookmarkStart w:id="29" w:name="_Toc516682002"/>
      <w:r w:rsidRPr="00C93141">
        <w:rPr>
          <w:rFonts w:ascii="Cambria" w:eastAsia="Yu Gothic Light" w:hAnsi="Cambria"/>
          <w:color w:val="auto"/>
          <w:sz w:val="20"/>
          <w:szCs w:val="20"/>
          <w:lang w:val="es-VE"/>
        </w:rPr>
        <w:t>ANALISIS DE DERECHO</w:t>
      </w:r>
      <w:bookmarkEnd w:id="27"/>
      <w:bookmarkEnd w:id="28"/>
      <w:bookmarkEnd w:id="29"/>
    </w:p>
    <w:p w14:paraId="4F053960" w14:textId="7F73F52F" w:rsidR="00CD624B" w:rsidRDefault="009B7C97" w:rsidP="00CD624B">
      <w:pPr>
        <w:pStyle w:val="Heading2"/>
        <w:numPr>
          <w:ilvl w:val="0"/>
          <w:numId w:val="54"/>
        </w:numPr>
        <w:ind w:firstLine="0"/>
        <w:rPr>
          <w:rFonts w:ascii="Cambria" w:eastAsia="Cambria" w:hAnsi="Cambria"/>
          <w:i w:val="0"/>
          <w:sz w:val="20"/>
          <w:szCs w:val="20"/>
          <w:u w:color="000000"/>
          <w:lang w:val="es-ES_tradnl" w:eastAsia="es-ES"/>
        </w:rPr>
      </w:pPr>
      <w:bookmarkStart w:id="30" w:name="_Toc516682003"/>
      <w:r w:rsidRPr="009B7C97">
        <w:rPr>
          <w:rFonts w:ascii="Cambria" w:eastAsia="Cambria" w:hAnsi="Cambria"/>
          <w:i w:val="0"/>
          <w:sz w:val="20"/>
          <w:szCs w:val="20"/>
          <w:u w:color="000000"/>
          <w:lang w:val="es-ES_tradnl" w:eastAsia="es-ES"/>
        </w:rPr>
        <w:t>Cuestión previa</w:t>
      </w:r>
      <w:bookmarkEnd w:id="30"/>
      <w:r w:rsidRPr="009B7C97">
        <w:rPr>
          <w:rFonts w:ascii="Cambria" w:eastAsia="Cambria" w:hAnsi="Cambria"/>
          <w:i w:val="0"/>
          <w:sz w:val="20"/>
          <w:szCs w:val="20"/>
          <w:u w:color="000000"/>
          <w:lang w:val="es-ES_tradnl" w:eastAsia="es-ES"/>
        </w:rPr>
        <w:t xml:space="preserve"> </w:t>
      </w:r>
    </w:p>
    <w:p w14:paraId="1E92035D" w14:textId="77777777" w:rsidR="00A12658" w:rsidRPr="00A12658" w:rsidRDefault="00A12658" w:rsidP="00A12658">
      <w:pPr>
        <w:rPr>
          <w:lang w:val="es-ES_tradnl" w:eastAsia="es-ES"/>
        </w:rPr>
      </w:pPr>
    </w:p>
    <w:p w14:paraId="1667957A" w14:textId="20FC3969" w:rsidR="00397AAE" w:rsidRDefault="00C80E8E" w:rsidP="00CD624B">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Pr>
          <w:rFonts w:ascii="Cambria" w:hAnsi="Cambria"/>
          <w:sz w:val="20"/>
          <w:szCs w:val="20"/>
          <w:lang w:val="es-CO"/>
        </w:rPr>
        <w:t xml:space="preserve">La Comisión toma nota del argumento del Estado según el cual </w:t>
      </w:r>
      <w:r w:rsidR="0053671A">
        <w:rPr>
          <w:rFonts w:ascii="Cambria" w:hAnsi="Cambria"/>
          <w:sz w:val="20"/>
          <w:szCs w:val="20"/>
          <w:lang w:val="es-CO"/>
        </w:rPr>
        <w:t>el Tribunal</w:t>
      </w:r>
      <w:r w:rsidR="003D11CC">
        <w:rPr>
          <w:rFonts w:ascii="Cambria" w:hAnsi="Cambria"/>
          <w:sz w:val="20"/>
          <w:szCs w:val="20"/>
          <w:lang w:val="es-CO"/>
        </w:rPr>
        <w:t xml:space="preserve"> Supremo</w:t>
      </w:r>
      <w:r w:rsidR="0053671A">
        <w:rPr>
          <w:rFonts w:ascii="Cambria" w:hAnsi="Cambria"/>
          <w:sz w:val="20"/>
          <w:szCs w:val="20"/>
          <w:lang w:val="es-CO"/>
        </w:rPr>
        <w:t xml:space="preserve"> Electoral no tenía funciones jurisdiccionales por lo que no puede ser asimilado a un</w:t>
      </w:r>
      <w:r w:rsidR="00E53AD9">
        <w:rPr>
          <w:rFonts w:ascii="Cambria" w:hAnsi="Cambria"/>
          <w:sz w:val="20"/>
          <w:szCs w:val="20"/>
          <w:lang w:val="es-CO"/>
        </w:rPr>
        <w:t>a autoridad j</w:t>
      </w:r>
      <w:r w:rsidR="0053671A">
        <w:rPr>
          <w:rFonts w:ascii="Cambria" w:hAnsi="Cambria"/>
          <w:sz w:val="20"/>
          <w:szCs w:val="20"/>
          <w:lang w:val="es-CO"/>
        </w:rPr>
        <w:t xml:space="preserve">udicial. </w:t>
      </w:r>
    </w:p>
    <w:p w14:paraId="49993491" w14:textId="77777777" w:rsidR="00397AAE" w:rsidRDefault="00397AAE" w:rsidP="00397AA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6C070C71" w14:textId="7E96E28E" w:rsidR="00ED32DF" w:rsidRDefault="0053671A" w:rsidP="00A12658">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53671A">
        <w:rPr>
          <w:rFonts w:ascii="Cambria" w:hAnsi="Cambria"/>
          <w:sz w:val="20"/>
          <w:szCs w:val="20"/>
          <w:lang w:val="es-CO"/>
        </w:rPr>
        <w:t xml:space="preserve">Respecto de este argumento, la CIDH subraya </w:t>
      </w:r>
      <w:r w:rsidR="00883F6F">
        <w:rPr>
          <w:rFonts w:ascii="Cambria" w:hAnsi="Cambria"/>
          <w:sz w:val="20"/>
          <w:szCs w:val="20"/>
          <w:lang w:val="es-CO"/>
        </w:rPr>
        <w:t xml:space="preserve">que independientemente de la ubicación orgánica del Tribunal Supremo Electoral en el diseño institucional del Estado, dicha autoridad ejercía funciones materialmente jurisdiccionales, pues </w:t>
      </w:r>
      <w:r w:rsidRPr="0053671A">
        <w:rPr>
          <w:rFonts w:ascii="Cambria" w:hAnsi="Cambria"/>
          <w:sz w:val="20"/>
          <w:szCs w:val="20"/>
          <w:lang w:val="es-CO"/>
        </w:rPr>
        <w:t xml:space="preserve">conforme </w:t>
      </w:r>
      <w:r w:rsidR="00883F6F">
        <w:rPr>
          <w:rFonts w:ascii="Cambria" w:hAnsi="Cambria"/>
          <w:sz w:val="20"/>
          <w:szCs w:val="20"/>
          <w:lang w:val="es-CO"/>
        </w:rPr>
        <w:t>al propio</w:t>
      </w:r>
      <w:r w:rsidRPr="0053671A">
        <w:rPr>
          <w:rFonts w:ascii="Cambria" w:hAnsi="Cambria"/>
          <w:sz w:val="20"/>
          <w:szCs w:val="20"/>
          <w:lang w:val="es-CO"/>
        </w:rPr>
        <w:t xml:space="preserve"> artículo 209 de la Constitución Política de 1998, tenía la potestad de, entre otras cuestiones, juzgar las cuentas que rindan los partidos, movimientos políticos, organizaciones y candidatos. En virtud de lo anterior, la CIDH considera que la presunta víctima </w:t>
      </w:r>
      <w:r>
        <w:rPr>
          <w:rFonts w:ascii="Cambria" w:hAnsi="Cambria"/>
          <w:sz w:val="20"/>
          <w:szCs w:val="20"/>
          <w:lang w:val="es-CO"/>
        </w:rPr>
        <w:t xml:space="preserve">desempeñaba una función de operador de justicia, por lo que en las secciones subsiguientes aplicará los estándares </w:t>
      </w:r>
      <w:r w:rsidR="00397AAE">
        <w:rPr>
          <w:rFonts w:ascii="Cambria" w:hAnsi="Cambria"/>
          <w:sz w:val="20"/>
          <w:szCs w:val="20"/>
          <w:lang w:val="es-CO"/>
        </w:rPr>
        <w:t xml:space="preserve">internacionales que se desprenden del principio de independencia judicial en lo relativo a procesos de remoción </w:t>
      </w:r>
      <w:r>
        <w:rPr>
          <w:rFonts w:ascii="Cambria" w:hAnsi="Cambria"/>
          <w:sz w:val="20"/>
          <w:szCs w:val="20"/>
          <w:lang w:val="es-CO"/>
        </w:rPr>
        <w:t>de</w:t>
      </w:r>
      <w:r w:rsidR="00397AAE">
        <w:rPr>
          <w:rFonts w:ascii="Cambria" w:hAnsi="Cambria"/>
          <w:sz w:val="20"/>
          <w:szCs w:val="20"/>
          <w:lang w:val="es-CO"/>
        </w:rPr>
        <w:t xml:space="preserve"> autoridades judiciales. </w:t>
      </w:r>
    </w:p>
    <w:p w14:paraId="7D7E7079" w14:textId="77777777" w:rsidR="00A12658" w:rsidRDefault="00A12658" w:rsidP="00A126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1D4B19C0" w14:textId="77777777" w:rsidR="00C16812" w:rsidRDefault="00C16812" w:rsidP="00A126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65278D2D" w14:textId="77777777" w:rsidR="00C16812" w:rsidRDefault="00C16812" w:rsidP="00A126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395FDA8E" w14:textId="77777777" w:rsidR="00C16812" w:rsidRDefault="00C16812" w:rsidP="00A126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2D503FF2" w14:textId="77777777" w:rsidR="00C16812" w:rsidRDefault="00C16812" w:rsidP="00A126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7AB1EFE4" w14:textId="77777777" w:rsidR="00C16812" w:rsidRDefault="00C16812" w:rsidP="00A126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174CFAE3" w14:textId="77777777" w:rsidR="00C16812" w:rsidRPr="00A12658" w:rsidRDefault="00C16812" w:rsidP="00A126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es-CO"/>
        </w:rPr>
      </w:pPr>
    </w:p>
    <w:p w14:paraId="65754DA6" w14:textId="77777777" w:rsidR="009B7C97" w:rsidRPr="009B7C97" w:rsidRDefault="009B7C97" w:rsidP="009B7C97">
      <w:pPr>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after="200"/>
        <w:ind w:left="1440" w:hanging="720"/>
        <w:jc w:val="both"/>
        <w:rPr>
          <w:rFonts w:ascii="Cambria" w:eastAsia="Cambria" w:hAnsi="Cambria" w:cs="Cambria"/>
          <w:b/>
          <w:sz w:val="20"/>
          <w:szCs w:val="20"/>
          <w:u w:color="000000"/>
          <w:lang w:val="es-ES_tradnl" w:eastAsia="es-ES"/>
        </w:rPr>
      </w:pPr>
      <w:r>
        <w:rPr>
          <w:rFonts w:ascii="Cambria" w:eastAsia="Cambria" w:hAnsi="Cambria" w:cs="Cambria"/>
          <w:b/>
          <w:sz w:val="20"/>
          <w:szCs w:val="20"/>
          <w:u w:color="000000"/>
          <w:lang w:val="es-ES_tradnl" w:eastAsia="es-ES"/>
        </w:rPr>
        <w:t xml:space="preserve">Derecho a las garantías </w:t>
      </w:r>
      <w:r w:rsidRPr="009B7C97">
        <w:rPr>
          <w:rFonts w:ascii="Cambria" w:eastAsia="Times New Roman" w:hAnsi="Cambria" w:cs="Arial"/>
          <w:b/>
          <w:bCs/>
          <w:iCs/>
          <w:sz w:val="20"/>
          <w:szCs w:val="20"/>
          <w:bdr w:val="none" w:sz="0" w:space="0" w:color="auto"/>
          <w:lang w:val="es-ES"/>
        </w:rPr>
        <w:t>judiciales</w:t>
      </w:r>
      <w:r w:rsidR="0017114C">
        <w:rPr>
          <w:rFonts w:ascii="Cambria" w:eastAsia="Times New Roman" w:hAnsi="Cambria" w:cs="Arial"/>
          <w:b/>
          <w:bCs/>
          <w:iCs/>
          <w:sz w:val="20"/>
          <w:szCs w:val="20"/>
          <w:bdr w:val="none" w:sz="0" w:space="0" w:color="auto"/>
          <w:lang w:val="es-ES"/>
        </w:rPr>
        <w:t xml:space="preserve"> y principio de legalidad</w:t>
      </w:r>
      <w:r w:rsidRPr="009B7C97">
        <w:rPr>
          <w:rFonts w:ascii="Cambria" w:eastAsia="Times New Roman" w:hAnsi="Cambria" w:cs="Arial"/>
          <w:b/>
          <w:bCs/>
          <w:iCs/>
          <w:sz w:val="20"/>
          <w:szCs w:val="20"/>
          <w:bdr w:val="none" w:sz="0" w:space="0" w:color="auto"/>
          <w:lang w:val="es-ES"/>
        </w:rPr>
        <w:t xml:space="preserve"> (Artículos 8.1, 8.2</w:t>
      </w:r>
      <w:r w:rsidRPr="0017114C">
        <w:rPr>
          <w:rFonts w:ascii="Cambria" w:eastAsia="Times New Roman" w:hAnsi="Cambria" w:cs="Arial"/>
          <w:b/>
          <w:bCs/>
          <w:iCs/>
          <w:sz w:val="20"/>
          <w:szCs w:val="20"/>
          <w:bdr w:val="none" w:sz="0" w:space="0" w:color="auto"/>
          <w:vertAlign w:val="superscript"/>
        </w:rPr>
        <w:footnoteReference w:id="19"/>
      </w:r>
      <w:r w:rsidRPr="009B7C97">
        <w:rPr>
          <w:rFonts w:ascii="Cambria" w:eastAsia="Times New Roman" w:hAnsi="Cambria" w:cs="Arial"/>
          <w:b/>
          <w:bCs/>
          <w:iCs/>
          <w:sz w:val="20"/>
          <w:szCs w:val="20"/>
          <w:bdr w:val="none" w:sz="0" w:space="0" w:color="auto"/>
          <w:lang w:val="es-ES"/>
        </w:rPr>
        <w:t xml:space="preserve">, </w:t>
      </w:r>
      <w:r w:rsidR="0017114C">
        <w:rPr>
          <w:rFonts w:ascii="Cambria" w:eastAsia="Times New Roman" w:hAnsi="Cambria" w:cs="Arial"/>
          <w:b/>
          <w:bCs/>
          <w:iCs/>
          <w:sz w:val="20"/>
          <w:szCs w:val="20"/>
          <w:bdr w:val="none" w:sz="0" w:space="0" w:color="auto"/>
          <w:lang w:val="es-ES"/>
        </w:rPr>
        <w:t xml:space="preserve"> 9, </w:t>
      </w:r>
      <w:r w:rsidRPr="009B7C97">
        <w:rPr>
          <w:rFonts w:ascii="Cambria" w:eastAsia="Times New Roman" w:hAnsi="Cambria" w:cs="Arial"/>
          <w:b/>
          <w:bCs/>
          <w:iCs/>
          <w:sz w:val="20"/>
          <w:szCs w:val="20"/>
          <w:bdr w:val="none" w:sz="0" w:space="0" w:color="auto"/>
          <w:lang w:val="es-ES"/>
        </w:rPr>
        <w:t>1.1 y 2</w:t>
      </w:r>
      <w:r w:rsidRPr="0017114C">
        <w:rPr>
          <w:rFonts w:ascii="Cambria" w:eastAsia="Times New Roman" w:hAnsi="Cambria" w:cs="Arial"/>
          <w:b/>
          <w:bCs/>
          <w:iCs/>
          <w:sz w:val="20"/>
          <w:szCs w:val="20"/>
          <w:bdr w:val="none" w:sz="0" w:space="0" w:color="auto"/>
          <w:vertAlign w:val="superscript"/>
        </w:rPr>
        <w:footnoteReference w:id="20"/>
      </w:r>
      <w:r w:rsidRPr="009B7C97">
        <w:rPr>
          <w:rFonts w:ascii="Cambria" w:eastAsia="Times New Roman" w:hAnsi="Cambria" w:cs="Arial"/>
          <w:b/>
          <w:bCs/>
          <w:iCs/>
          <w:sz w:val="20"/>
          <w:szCs w:val="20"/>
          <w:bdr w:val="none" w:sz="0" w:space="0" w:color="auto"/>
          <w:lang w:val="es-ES"/>
        </w:rPr>
        <w:t xml:space="preserve"> de la Convención)</w:t>
      </w:r>
    </w:p>
    <w:p w14:paraId="6030CA38" w14:textId="77777777" w:rsidR="00C93141" w:rsidRDefault="009B7C97" w:rsidP="005979E4">
      <w:pPr>
        <w:pStyle w:val="Heading3"/>
        <w:numPr>
          <w:ilvl w:val="0"/>
          <w:numId w:val="64"/>
        </w:numPr>
        <w:ind w:hanging="720"/>
        <w:jc w:val="both"/>
        <w:rPr>
          <w:rFonts w:ascii="Cambria" w:hAnsi="Cambria"/>
          <w:sz w:val="20"/>
          <w:szCs w:val="20"/>
          <w:lang w:val="es-ES_tradnl"/>
        </w:rPr>
      </w:pPr>
      <w:bookmarkStart w:id="31" w:name="_Toc516682004"/>
      <w:r w:rsidRPr="009B7C97">
        <w:rPr>
          <w:rFonts w:ascii="Cambria" w:hAnsi="Cambria"/>
          <w:sz w:val="20"/>
          <w:szCs w:val="20"/>
          <w:lang w:val="es-ES_tradnl"/>
        </w:rPr>
        <w:t>Consideraciones generales sobre las garantías aplicables y el principio de independencia judicial</w:t>
      </w:r>
      <w:bookmarkEnd w:id="31"/>
      <w:r w:rsidRPr="009B7C97">
        <w:rPr>
          <w:rFonts w:ascii="Cambria" w:hAnsi="Cambria"/>
          <w:sz w:val="20"/>
          <w:szCs w:val="20"/>
          <w:lang w:val="es-ES_tradnl"/>
        </w:rPr>
        <w:t xml:space="preserve"> </w:t>
      </w:r>
    </w:p>
    <w:p w14:paraId="4ACABC48" w14:textId="77777777" w:rsidR="0064521C" w:rsidRPr="0064521C" w:rsidRDefault="0064521C" w:rsidP="0064521C">
      <w:pPr>
        <w:rPr>
          <w:lang w:val="es-ES_tradnl"/>
        </w:rPr>
      </w:pPr>
    </w:p>
    <w:p w14:paraId="5EA5EC3F" w14:textId="57400308" w:rsidR="0066797B" w:rsidRPr="00FE60A7" w:rsidRDefault="0064521C" w:rsidP="0017199E">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mbria" w:hAnsi="Cambria" w:cs="Cambria"/>
          <w:b/>
          <w:sz w:val="20"/>
          <w:szCs w:val="20"/>
          <w:u w:color="000000"/>
          <w:lang w:val="es-ES_tradnl" w:eastAsia="es-ES"/>
        </w:rPr>
      </w:pPr>
      <w:r w:rsidRPr="00D276E7">
        <w:rPr>
          <w:rFonts w:ascii="Cambria" w:hAnsi="Cambria"/>
          <w:sz w:val="20"/>
          <w:szCs w:val="20"/>
          <w:lang w:val="es-CO"/>
        </w:rPr>
        <w:t>La Comisión recuerda que ambos órganos del sistema interamericano han indicado que las garantías establecidas en el artículo 8 de la Convención Americana,  no se limitan a procesos penales</w:t>
      </w:r>
      <w:r w:rsidRPr="00D276E7">
        <w:rPr>
          <w:rFonts w:ascii="Cambria" w:hAnsi="Cambria"/>
          <w:sz w:val="20"/>
          <w:szCs w:val="20"/>
          <w:lang w:val="es-ES" w:eastAsia="es-ES"/>
        </w:rPr>
        <w:t>, sino que aplican a procesos de otra naturaleza</w:t>
      </w:r>
      <w:r w:rsidRPr="00D276E7">
        <w:rPr>
          <w:rFonts w:ascii="Cambria" w:hAnsi="Cambria"/>
          <w:sz w:val="20"/>
          <w:szCs w:val="20"/>
          <w:vertAlign w:val="superscript"/>
          <w:lang w:eastAsia="es-ES"/>
        </w:rPr>
        <w:footnoteReference w:id="21"/>
      </w:r>
      <w:r w:rsidRPr="00D276E7">
        <w:rPr>
          <w:rFonts w:ascii="Cambria" w:hAnsi="Cambria"/>
          <w:sz w:val="20"/>
          <w:szCs w:val="20"/>
          <w:lang w:val="es-ES" w:eastAsia="es-ES"/>
        </w:rPr>
        <w:t xml:space="preserve">. Específicamente, cuando se trata de procesos sancionatorios, ambos órganos han </w:t>
      </w:r>
      <w:r w:rsidRPr="00FE60A7">
        <w:rPr>
          <w:rFonts w:ascii="Cambria" w:hAnsi="Cambria"/>
          <w:sz w:val="20"/>
          <w:szCs w:val="20"/>
          <w:lang w:val="es-ES" w:eastAsia="es-ES"/>
        </w:rPr>
        <w:t>indicado que aplican, análogamente, las garantías establecidas en el artículo 8.2 de la Convención Americana</w:t>
      </w:r>
      <w:r w:rsidRPr="00FE60A7">
        <w:rPr>
          <w:rFonts w:ascii="Cambria" w:hAnsi="Cambria"/>
          <w:sz w:val="20"/>
          <w:szCs w:val="20"/>
          <w:vertAlign w:val="superscript"/>
          <w:lang w:eastAsia="es-ES"/>
        </w:rPr>
        <w:footnoteReference w:id="22"/>
      </w:r>
      <w:r w:rsidR="0066797B" w:rsidRPr="00FE60A7">
        <w:rPr>
          <w:rFonts w:ascii="Cambria" w:hAnsi="Cambria"/>
          <w:sz w:val="20"/>
          <w:szCs w:val="20"/>
          <w:lang w:val="es-ES" w:eastAsia="es-ES"/>
        </w:rPr>
        <w:t>.</w:t>
      </w:r>
      <w:r w:rsidR="00A12658">
        <w:rPr>
          <w:rFonts w:ascii="Cambria" w:eastAsia="Cambria" w:hAnsi="Cambria" w:cs="Cambria"/>
          <w:b/>
          <w:sz w:val="20"/>
          <w:szCs w:val="20"/>
          <w:u w:color="000000"/>
          <w:lang w:val="es-ES_tradnl" w:eastAsia="es-ES"/>
        </w:rPr>
        <w:t xml:space="preserve"> </w:t>
      </w:r>
      <w:r w:rsidR="0066797B" w:rsidRPr="00FE60A7">
        <w:rPr>
          <w:rFonts w:ascii="Cambria" w:eastAsia="Cambria" w:hAnsi="Cambria" w:cs="Cambria"/>
          <w:sz w:val="20"/>
          <w:szCs w:val="20"/>
          <w:u w:color="000000"/>
          <w:lang w:val="es-ES_tradnl" w:eastAsia="es-ES"/>
        </w:rPr>
        <w:t>Igualmente, e</w:t>
      </w:r>
      <w:r w:rsidR="0017199E" w:rsidRPr="00FE60A7">
        <w:rPr>
          <w:rFonts w:ascii="Cambria" w:eastAsia="Cambria" w:hAnsi="Cambria" w:cs="Cambria"/>
          <w:sz w:val="20"/>
          <w:szCs w:val="20"/>
          <w:u w:color="000000"/>
          <w:lang w:val="es-ES_tradnl" w:eastAsia="es-ES"/>
        </w:rPr>
        <w:t xml:space="preserve">l principio de legalidad es aplicable a los </w:t>
      </w:r>
      <w:r w:rsidR="00A12658">
        <w:rPr>
          <w:rFonts w:ascii="Cambria" w:eastAsia="Cambria" w:hAnsi="Cambria" w:cs="Cambria"/>
          <w:sz w:val="20"/>
          <w:szCs w:val="20"/>
          <w:u w:color="000000"/>
          <w:lang w:val="es-ES_tradnl" w:eastAsia="es-ES"/>
        </w:rPr>
        <w:t xml:space="preserve">procesos disciplinarios que son </w:t>
      </w:r>
      <w:r w:rsidR="0066797B" w:rsidRPr="00FE60A7">
        <w:rPr>
          <w:rFonts w:ascii="Cambria" w:hAnsi="Cambria" w:cs="Verdana"/>
          <w:sz w:val="20"/>
          <w:szCs w:val="20"/>
          <w:lang w:val="es-UY"/>
        </w:rPr>
        <w:t>“una expresión del poder punitivo del Estado” puesto que implican un menoscabo o alteración de los derechos de las personas como consecuencia de una conducta ilícita</w:t>
      </w:r>
      <w:r w:rsidR="0066797B" w:rsidRPr="00FE60A7">
        <w:rPr>
          <w:rFonts w:ascii="Cambria" w:hAnsi="Cambria" w:cs="Verdana"/>
          <w:sz w:val="20"/>
          <w:szCs w:val="20"/>
          <w:vertAlign w:val="superscript"/>
          <w:lang w:val="es-UY"/>
        </w:rPr>
        <w:footnoteReference w:id="23"/>
      </w:r>
      <w:r w:rsidR="0066797B" w:rsidRPr="00FE60A7">
        <w:rPr>
          <w:rFonts w:ascii="Cambria" w:hAnsi="Cambria" w:cs="Verdana"/>
          <w:sz w:val="20"/>
          <w:szCs w:val="20"/>
          <w:lang w:val="es-UY"/>
        </w:rPr>
        <w:t xml:space="preserve">. </w:t>
      </w:r>
    </w:p>
    <w:p w14:paraId="1E6521C7" w14:textId="77777777" w:rsidR="0066797B" w:rsidRPr="00FE60A7" w:rsidRDefault="0066797B" w:rsidP="00A16E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mbria" w:hAnsi="Cambria" w:cs="Cambria"/>
          <w:b/>
          <w:sz w:val="20"/>
          <w:szCs w:val="20"/>
          <w:u w:color="000000"/>
          <w:lang w:val="es-ES_tradnl" w:eastAsia="es-ES"/>
        </w:rPr>
      </w:pPr>
    </w:p>
    <w:p w14:paraId="1E51B12A" w14:textId="4DC11E33" w:rsidR="00DF29B5" w:rsidRPr="00DF29B5" w:rsidRDefault="000E41B5" w:rsidP="00DF29B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mbria" w:hAnsi="Cambria" w:cs="Cambria"/>
          <w:b/>
          <w:sz w:val="20"/>
          <w:szCs w:val="20"/>
          <w:u w:color="000000"/>
          <w:lang w:val="es-ES_tradnl" w:eastAsia="es-ES"/>
        </w:rPr>
      </w:pPr>
      <w:r w:rsidRPr="00FE60A7">
        <w:rPr>
          <w:rFonts w:ascii="Cambria" w:hAnsi="Cambria"/>
          <w:sz w:val="20"/>
          <w:szCs w:val="20"/>
          <w:lang w:val="es-ES" w:eastAsia="es-ES"/>
        </w:rPr>
        <w:t>E</w:t>
      </w:r>
      <w:r w:rsidR="008037EA" w:rsidRPr="00FE60A7">
        <w:rPr>
          <w:rFonts w:ascii="Cambria" w:hAnsi="Cambria"/>
          <w:sz w:val="20"/>
          <w:szCs w:val="20"/>
          <w:lang w:val="es-ES" w:eastAsia="es-ES"/>
        </w:rPr>
        <w:t>n el presente</w:t>
      </w:r>
      <w:r w:rsidR="00C118DF" w:rsidRPr="00FE60A7">
        <w:rPr>
          <w:rFonts w:ascii="Cambria" w:hAnsi="Cambria"/>
          <w:sz w:val="20"/>
          <w:szCs w:val="20"/>
          <w:lang w:val="es-ES" w:eastAsia="es-ES"/>
        </w:rPr>
        <w:t xml:space="preserve"> caso</w:t>
      </w:r>
      <w:r w:rsidR="008037EA" w:rsidRPr="00FE60A7">
        <w:rPr>
          <w:rFonts w:ascii="Cambria" w:hAnsi="Cambria"/>
          <w:sz w:val="20"/>
          <w:szCs w:val="20"/>
          <w:lang w:val="es-ES" w:eastAsia="es-ES"/>
        </w:rPr>
        <w:t xml:space="preserve"> </w:t>
      </w:r>
      <w:r w:rsidR="0017114C" w:rsidRPr="00FE60A7">
        <w:rPr>
          <w:rFonts w:ascii="Cambria" w:hAnsi="Cambria"/>
          <w:sz w:val="20"/>
          <w:szCs w:val="20"/>
          <w:lang w:val="es-ES" w:eastAsia="es-ES"/>
        </w:rPr>
        <w:t xml:space="preserve">la presunta víctima fue cesada de su </w:t>
      </w:r>
      <w:r w:rsidR="008037EA" w:rsidRPr="00FE60A7">
        <w:rPr>
          <w:rFonts w:ascii="Cambria" w:hAnsi="Cambria"/>
          <w:sz w:val="20"/>
          <w:szCs w:val="20"/>
          <w:lang w:val="es-ES" w:eastAsia="es-ES"/>
        </w:rPr>
        <w:t>cargo de vocal del Tribunal Supremo Electoral</w:t>
      </w:r>
      <w:r w:rsidRPr="00FE60A7">
        <w:rPr>
          <w:rFonts w:ascii="Cambria" w:hAnsi="Cambria"/>
          <w:sz w:val="20"/>
          <w:szCs w:val="20"/>
          <w:lang w:val="es-ES" w:eastAsia="es-ES"/>
        </w:rPr>
        <w:t xml:space="preserve"> como consecuencia de una decisión del órgano legislativo que tenía la finalidad declarada de corregir un supuesto nombramiento contrario al ordenamiento jurídico. En ese sentido, el carácter sancionatorio de este acto del Estado y la consecuente determinación de las garantías aplicables no se deriva, como en otros casos, del carácter formal del proceso. Para esta determinación, la Comisión se remite a lo ya decidido por la Corte Interamericana </w:t>
      </w:r>
      <w:r w:rsidR="004A4C03">
        <w:rPr>
          <w:rFonts w:ascii="Cambria" w:hAnsi="Cambria"/>
          <w:sz w:val="20"/>
          <w:szCs w:val="20"/>
          <w:lang w:val="es-ES" w:eastAsia="es-ES"/>
        </w:rPr>
        <w:t xml:space="preserve">en el caso </w:t>
      </w:r>
      <w:r w:rsidR="004A4C03" w:rsidRPr="00DD3CF8">
        <w:rPr>
          <w:rFonts w:ascii="Cambria" w:hAnsi="Cambria"/>
          <w:i/>
          <w:sz w:val="20"/>
          <w:szCs w:val="20"/>
          <w:lang w:val="es-ES" w:eastAsia="es-ES"/>
        </w:rPr>
        <w:t>Camba Campos</w:t>
      </w:r>
      <w:r w:rsidR="008E4263" w:rsidRPr="00DD3CF8">
        <w:rPr>
          <w:rFonts w:ascii="Cambria" w:hAnsi="Cambria"/>
          <w:i/>
          <w:sz w:val="20"/>
          <w:szCs w:val="20"/>
          <w:lang w:val="es-ES" w:eastAsia="es-ES"/>
        </w:rPr>
        <w:t xml:space="preserve"> y otros</w:t>
      </w:r>
      <w:r w:rsidR="008E4263">
        <w:rPr>
          <w:rFonts w:ascii="Cambria" w:hAnsi="Cambria"/>
          <w:sz w:val="20"/>
          <w:szCs w:val="20"/>
          <w:lang w:val="es-ES" w:eastAsia="es-ES"/>
        </w:rPr>
        <w:t xml:space="preserve"> vs.</w:t>
      </w:r>
      <w:r w:rsidR="008E4263" w:rsidRPr="00DD3CF8">
        <w:rPr>
          <w:rFonts w:ascii="Cambria" w:hAnsi="Cambria"/>
          <w:i/>
          <w:sz w:val="20"/>
          <w:szCs w:val="20"/>
          <w:lang w:val="es-ES" w:eastAsia="es-ES"/>
        </w:rPr>
        <w:t xml:space="preserve"> Ecuador</w:t>
      </w:r>
      <w:r w:rsidR="004A4C03">
        <w:rPr>
          <w:rFonts w:ascii="Cambria" w:hAnsi="Cambria"/>
          <w:sz w:val="20"/>
          <w:szCs w:val="20"/>
          <w:lang w:val="es-ES" w:eastAsia="es-ES"/>
        </w:rPr>
        <w:t xml:space="preserve"> en cuanto a la verdadera naturaleza sancionatoria de la Resolución 25-160</w:t>
      </w:r>
      <w:r w:rsidR="00DF29B5">
        <w:rPr>
          <w:rFonts w:ascii="Cambria" w:hAnsi="Cambria"/>
          <w:sz w:val="20"/>
          <w:szCs w:val="20"/>
          <w:lang w:val="es-ES" w:eastAsia="es-ES"/>
        </w:rPr>
        <w:t xml:space="preserve">. En palabras de la Corte: </w:t>
      </w:r>
      <w:r w:rsidR="00DF29B5" w:rsidRPr="00DF29B5">
        <w:rPr>
          <w:rFonts w:ascii="Cambria" w:hAnsi="Cambria" w:cs="Verdana"/>
          <w:sz w:val="20"/>
          <w:szCs w:val="20"/>
          <w:lang w:val="es-UY"/>
        </w:rPr>
        <w:t>“</w:t>
      </w:r>
      <w:r w:rsidR="00DF29B5">
        <w:rPr>
          <w:rFonts w:ascii="Cambria" w:hAnsi="Cambria" w:cs="Verdana"/>
          <w:sz w:val="20"/>
          <w:szCs w:val="20"/>
          <w:lang w:val="es-UY"/>
        </w:rPr>
        <w:t>l</w:t>
      </w:r>
      <w:r w:rsidR="00DF29B5" w:rsidRPr="00DF29B5">
        <w:rPr>
          <w:rFonts w:ascii="Cambria" w:hAnsi="Cambria" w:cs="Verdana"/>
          <w:sz w:val="20"/>
          <w:szCs w:val="20"/>
          <w:lang w:val="es-UY"/>
        </w:rPr>
        <w:t>a supuesta ilegalidad en el nombramiento constituyó tan solo una justificación pa</w:t>
      </w:r>
      <w:r w:rsidR="00031309">
        <w:rPr>
          <w:rFonts w:ascii="Cambria" w:hAnsi="Cambria" w:cs="Verdana"/>
          <w:sz w:val="20"/>
          <w:szCs w:val="20"/>
          <w:lang w:val="es-UY"/>
        </w:rPr>
        <w:t>ra imponer una sanción de facto</w:t>
      </w:r>
      <w:r w:rsidR="00DF29B5">
        <w:rPr>
          <w:rFonts w:ascii="Cambria" w:hAnsi="Cambria" w:cs="Verdana"/>
          <w:sz w:val="20"/>
          <w:szCs w:val="20"/>
          <w:lang w:val="es-UY"/>
        </w:rPr>
        <w:t>”</w:t>
      </w:r>
      <w:r w:rsidR="00DF29B5" w:rsidRPr="00DF29B5">
        <w:rPr>
          <w:rFonts w:ascii="Cambria" w:hAnsi="Cambria" w:cs="Verdana"/>
          <w:sz w:val="20"/>
          <w:szCs w:val="20"/>
          <w:vertAlign w:val="superscript"/>
          <w:lang w:val="es-UY"/>
        </w:rPr>
        <w:footnoteReference w:id="24"/>
      </w:r>
      <w:r w:rsidR="00DF29B5" w:rsidRPr="00DF29B5">
        <w:rPr>
          <w:rFonts w:ascii="Cambria" w:hAnsi="Cambria" w:cs="Verdana"/>
          <w:sz w:val="20"/>
          <w:szCs w:val="20"/>
          <w:lang w:val="es-UY"/>
        </w:rPr>
        <w:t xml:space="preserve">. </w:t>
      </w:r>
    </w:p>
    <w:p w14:paraId="36AAF21B" w14:textId="77777777" w:rsidR="00DF29B5" w:rsidRDefault="00DF29B5" w:rsidP="00DF29B5">
      <w:pPr>
        <w:pStyle w:val="ListParagraph"/>
        <w:rPr>
          <w:sz w:val="20"/>
          <w:szCs w:val="20"/>
          <w:lang w:val="es-ES"/>
        </w:rPr>
      </w:pPr>
    </w:p>
    <w:p w14:paraId="262AF81A" w14:textId="6508829B" w:rsidR="00FE60A7" w:rsidRPr="00A12658" w:rsidRDefault="004A4C03" w:rsidP="00A12658">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Cambria" w:hAnsi="Cambria" w:cs="Cambria"/>
          <w:b/>
          <w:sz w:val="20"/>
          <w:szCs w:val="20"/>
          <w:u w:color="000000"/>
          <w:lang w:val="es-ES_tradnl" w:eastAsia="es-ES"/>
        </w:rPr>
      </w:pPr>
      <w:r>
        <w:rPr>
          <w:rFonts w:ascii="Cambria" w:hAnsi="Cambria"/>
          <w:sz w:val="20"/>
          <w:szCs w:val="20"/>
          <w:lang w:val="es-ES" w:eastAsia="es-ES"/>
        </w:rPr>
        <w:t xml:space="preserve"> </w:t>
      </w:r>
      <w:r w:rsidR="007B65C8">
        <w:rPr>
          <w:rFonts w:ascii="Cambria" w:hAnsi="Cambria"/>
          <w:sz w:val="20"/>
          <w:szCs w:val="20"/>
          <w:lang w:val="es-ES" w:eastAsia="es-ES"/>
        </w:rPr>
        <w:t xml:space="preserve">En ese sentido, la Comisión considera que el presente caso debe ser analizado a la luz de las </w:t>
      </w:r>
      <w:r w:rsidR="008037EA" w:rsidRPr="00FE60A7">
        <w:rPr>
          <w:rFonts w:ascii="Cambria" w:hAnsi="Cambria"/>
          <w:sz w:val="20"/>
          <w:szCs w:val="20"/>
          <w:lang w:val="es-ES" w:eastAsia="es-ES"/>
        </w:rPr>
        <w:t>garantías del debido proceso establecidas en el artículo 8 de la Convención</w:t>
      </w:r>
      <w:r w:rsidR="0017199E" w:rsidRPr="004A4C03">
        <w:rPr>
          <w:rFonts w:ascii="Cambria" w:hAnsi="Cambria"/>
          <w:sz w:val="20"/>
          <w:szCs w:val="20"/>
          <w:lang w:val="es-ES" w:eastAsia="es-ES"/>
        </w:rPr>
        <w:t xml:space="preserve"> y el principio de legalidad establecido en el artículo 9 del mismo instrumento.</w:t>
      </w:r>
      <w:r w:rsidR="008037EA" w:rsidRPr="004A4C03">
        <w:rPr>
          <w:rFonts w:ascii="Cambria" w:hAnsi="Cambria"/>
          <w:sz w:val="20"/>
          <w:szCs w:val="20"/>
          <w:lang w:val="es-ES" w:eastAsia="es-ES"/>
        </w:rPr>
        <w:t xml:space="preserve"> </w:t>
      </w:r>
    </w:p>
    <w:p w14:paraId="597CB411" w14:textId="77777777" w:rsidR="00FE60A7" w:rsidRDefault="00FE60A7" w:rsidP="00DF339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mbria" w:hAnsi="Cambria" w:cs="Cambria"/>
          <w:b/>
          <w:sz w:val="20"/>
          <w:szCs w:val="20"/>
          <w:u w:color="000000"/>
          <w:lang w:val="es-ES_tradnl" w:eastAsia="es-ES"/>
        </w:rPr>
      </w:pPr>
    </w:p>
    <w:p w14:paraId="7F419015" w14:textId="77777777" w:rsidR="00C16812" w:rsidRDefault="00C16812" w:rsidP="00DF339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mbria" w:hAnsi="Cambria" w:cs="Cambria"/>
          <w:b/>
          <w:sz w:val="20"/>
          <w:szCs w:val="20"/>
          <w:u w:color="000000"/>
          <w:lang w:val="es-ES_tradnl" w:eastAsia="es-ES"/>
        </w:rPr>
      </w:pPr>
    </w:p>
    <w:p w14:paraId="1141699F" w14:textId="77777777" w:rsidR="00C16812" w:rsidRDefault="00C16812" w:rsidP="00DF339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mbria" w:hAnsi="Cambria" w:cs="Cambria"/>
          <w:b/>
          <w:sz w:val="20"/>
          <w:szCs w:val="20"/>
          <w:u w:color="000000"/>
          <w:lang w:val="es-ES_tradnl" w:eastAsia="es-ES"/>
        </w:rPr>
      </w:pPr>
    </w:p>
    <w:p w14:paraId="157DB322" w14:textId="77777777" w:rsidR="00C16812" w:rsidRPr="00FE60A7" w:rsidRDefault="00C16812" w:rsidP="00DF339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mbria" w:hAnsi="Cambria" w:cs="Cambria"/>
          <w:b/>
          <w:sz w:val="20"/>
          <w:szCs w:val="20"/>
          <w:u w:color="000000"/>
          <w:lang w:val="es-ES_tradnl" w:eastAsia="es-ES"/>
        </w:rPr>
      </w:pPr>
    </w:p>
    <w:p w14:paraId="4552C66E" w14:textId="052E3DFB" w:rsidR="0017114C" w:rsidRPr="00523EA8" w:rsidRDefault="00236235" w:rsidP="002720D1">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ES_tradnl"/>
        </w:rPr>
      </w:pPr>
      <w:r>
        <w:rPr>
          <w:rFonts w:ascii="Cambria" w:hAnsi="Cambria"/>
          <w:sz w:val="20"/>
          <w:szCs w:val="20"/>
          <w:lang w:val="es-ES" w:eastAsia="es-ES"/>
        </w:rPr>
        <w:t xml:space="preserve">Además, </w:t>
      </w:r>
      <w:r w:rsidR="00DF3393" w:rsidRPr="00DF29B5">
        <w:rPr>
          <w:rFonts w:ascii="Cambria" w:hAnsi="Cambria"/>
          <w:sz w:val="20"/>
          <w:szCs w:val="20"/>
          <w:lang w:val="es-ES" w:eastAsia="es-ES"/>
        </w:rPr>
        <w:t xml:space="preserve">la CIDH destaca que los procesos disciplinarios en contra de operadores de justicia deben ejercerse de manera compatible con el principio de independencia judicial. </w:t>
      </w:r>
      <w:r w:rsidR="00DF3393" w:rsidRPr="00DF29B5">
        <w:rPr>
          <w:rFonts w:ascii="Cambria" w:hAnsi="Cambria"/>
          <w:sz w:val="20"/>
          <w:szCs w:val="20"/>
          <w:lang w:val="es-CO"/>
        </w:rPr>
        <w:t>Los órganos del sistema interamericano han interpretado el principio de inde</w:t>
      </w:r>
      <w:r w:rsidR="00DF3393" w:rsidRPr="00523EA8">
        <w:rPr>
          <w:rFonts w:ascii="Cambria" w:hAnsi="Cambria"/>
          <w:sz w:val="20"/>
          <w:szCs w:val="20"/>
          <w:lang w:val="es-CO"/>
        </w:rPr>
        <w:t>pendencia judicial en el sentido de incorporar las siguientes garantías: adecuado proceso de nombramiento, inamovilidad en el cargo y garantía contra presiones externas</w:t>
      </w:r>
      <w:r w:rsidR="00DF3393" w:rsidRPr="00523EA8">
        <w:rPr>
          <w:rStyle w:val="FootnoteReference"/>
          <w:rFonts w:ascii="Cambria" w:hAnsi="Cambria"/>
          <w:sz w:val="20"/>
          <w:szCs w:val="20"/>
          <w:lang w:val="es-CO"/>
        </w:rPr>
        <w:footnoteReference w:id="25"/>
      </w:r>
      <w:r w:rsidR="00DF3393" w:rsidRPr="00523EA8">
        <w:rPr>
          <w:rFonts w:ascii="Cambria" w:hAnsi="Cambria"/>
          <w:sz w:val="20"/>
          <w:szCs w:val="20"/>
          <w:lang w:val="es-CO"/>
        </w:rPr>
        <w:t>. Específicamente, en lo relevante para el presente caso, respecto de las garantías reforzadas para asegurar la inamovilidad, la Corte ha indicado que “</w:t>
      </w:r>
      <w:r w:rsidR="00DF3393" w:rsidRPr="00781407">
        <w:rPr>
          <w:rFonts w:ascii="Cambria" w:eastAsia="Times New Roman" w:hAnsi="Cambria"/>
          <w:sz w:val="20"/>
          <w:szCs w:val="20"/>
          <w:lang w:val="es-MX"/>
        </w:rPr>
        <w:t>se traducen en el derecho subjetivo del juez a que su separación del cargo obedezca exclusivamente a las causales permitidas, ya sea por medio de un</w:t>
      </w:r>
      <w:r w:rsidR="00DF3393" w:rsidRPr="00FE60A7">
        <w:rPr>
          <w:rFonts w:ascii="Cambria" w:eastAsia="Times New Roman" w:hAnsi="Cambria"/>
          <w:sz w:val="20"/>
          <w:szCs w:val="20"/>
          <w:lang w:val="es-MX"/>
        </w:rPr>
        <w:t xml:space="preserve"> proceso que cumpla con las garantías judiciales o porque se ha cumplido el término o período de su mandato”</w:t>
      </w:r>
      <w:r w:rsidR="00DF3393" w:rsidRPr="00523EA8">
        <w:rPr>
          <w:rStyle w:val="FootnoteReference"/>
          <w:rFonts w:ascii="Cambria" w:hAnsi="Cambria"/>
          <w:sz w:val="20"/>
          <w:szCs w:val="20"/>
          <w:lang w:val="es-CO"/>
        </w:rPr>
        <w:footnoteReference w:id="26"/>
      </w:r>
      <w:r w:rsidR="00DF3393" w:rsidRPr="00523EA8">
        <w:rPr>
          <w:rFonts w:ascii="Cambria" w:eastAsia="Times New Roman" w:hAnsi="Cambria"/>
          <w:sz w:val="20"/>
          <w:szCs w:val="20"/>
          <w:lang w:val="es-MX"/>
        </w:rPr>
        <w:t>. Cuando se afecta en forma arbitraria la permanencia de los y las juezas en su cargo, “se vulnera el derecho a la independencia judicial consagrado en el artículo 8.1 de la Convención”</w:t>
      </w:r>
      <w:r w:rsidR="00DF3393" w:rsidRPr="00523EA8">
        <w:rPr>
          <w:rStyle w:val="FootnoteReference"/>
          <w:rFonts w:ascii="Cambria" w:hAnsi="Cambria"/>
          <w:sz w:val="20"/>
          <w:szCs w:val="20"/>
          <w:lang w:val="es-CO"/>
        </w:rPr>
        <w:footnoteReference w:id="27"/>
      </w:r>
      <w:r w:rsidR="00DF3393" w:rsidRPr="00523EA8">
        <w:rPr>
          <w:rFonts w:ascii="Cambria" w:eastAsia="Times New Roman" w:hAnsi="Cambria"/>
          <w:sz w:val="20"/>
          <w:szCs w:val="20"/>
          <w:lang w:val="es-MX"/>
        </w:rPr>
        <w:t>.</w:t>
      </w:r>
    </w:p>
    <w:p w14:paraId="139356D6" w14:textId="076A9F6E" w:rsidR="00A91FA9" w:rsidRPr="00781407" w:rsidRDefault="00A91FA9" w:rsidP="00FF0215">
      <w:pPr>
        <w:pStyle w:val="Heading3"/>
        <w:numPr>
          <w:ilvl w:val="0"/>
          <w:numId w:val="64"/>
        </w:numPr>
        <w:ind w:hanging="720"/>
        <w:jc w:val="both"/>
        <w:rPr>
          <w:rFonts w:ascii="Cambria" w:hAnsi="Cambria"/>
          <w:sz w:val="20"/>
          <w:szCs w:val="20"/>
          <w:lang w:val="es-ES_tradnl"/>
        </w:rPr>
      </w:pPr>
      <w:bookmarkStart w:id="32" w:name="_Toc516682005"/>
      <w:r w:rsidRPr="00781407">
        <w:rPr>
          <w:rFonts w:ascii="Cambria" w:hAnsi="Cambria"/>
          <w:sz w:val="20"/>
          <w:szCs w:val="20"/>
          <w:lang w:val="es-ES_tradnl"/>
        </w:rPr>
        <w:t>El derecho a contar con una autoridad competente</w:t>
      </w:r>
      <w:r w:rsidR="00242F79" w:rsidRPr="00781407">
        <w:rPr>
          <w:rFonts w:ascii="Cambria" w:hAnsi="Cambria"/>
          <w:sz w:val="20"/>
          <w:szCs w:val="20"/>
          <w:lang w:val="es-ES_tradnl"/>
        </w:rPr>
        <w:t xml:space="preserve"> </w:t>
      </w:r>
      <w:r w:rsidR="00034E50">
        <w:rPr>
          <w:rFonts w:ascii="Cambria" w:hAnsi="Cambria"/>
          <w:sz w:val="20"/>
          <w:szCs w:val="20"/>
          <w:lang w:val="es-ES_tradnl"/>
        </w:rPr>
        <w:t xml:space="preserve">mediante procedimientos previamente establecidos </w:t>
      </w:r>
      <w:r w:rsidR="00F5168B" w:rsidRPr="00781407">
        <w:rPr>
          <w:rFonts w:ascii="Cambria" w:hAnsi="Cambria"/>
          <w:sz w:val="20"/>
          <w:szCs w:val="20"/>
          <w:lang w:val="es-ES_tradnl"/>
        </w:rPr>
        <w:t>y</w:t>
      </w:r>
      <w:r w:rsidR="00543515">
        <w:rPr>
          <w:rFonts w:ascii="Cambria" w:hAnsi="Cambria"/>
          <w:sz w:val="20"/>
          <w:szCs w:val="20"/>
          <w:lang w:val="es-ES_tradnl"/>
        </w:rPr>
        <w:t xml:space="preserve"> </w:t>
      </w:r>
      <w:r w:rsidR="00242F79" w:rsidRPr="00781407">
        <w:rPr>
          <w:rFonts w:ascii="Cambria" w:hAnsi="Cambria"/>
          <w:sz w:val="20"/>
          <w:szCs w:val="20"/>
          <w:lang w:val="es-ES_tradnl"/>
        </w:rPr>
        <w:t>principio de legalidad</w:t>
      </w:r>
      <w:bookmarkEnd w:id="32"/>
    </w:p>
    <w:p w14:paraId="1677004C" w14:textId="77777777" w:rsidR="000F5CC5" w:rsidRPr="00781407" w:rsidRDefault="000F5CC5" w:rsidP="008E7B56">
      <w:pPr>
        <w:rPr>
          <w:rFonts w:cs="Verdana"/>
          <w:sz w:val="20"/>
          <w:szCs w:val="20"/>
          <w:lang w:val="es-UY"/>
        </w:rPr>
      </w:pPr>
    </w:p>
    <w:p w14:paraId="6E53320F" w14:textId="5A0C86C5" w:rsidR="000A64C2" w:rsidRPr="00781407" w:rsidRDefault="000A64C2" w:rsidP="008D37CE">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bCs/>
          <w:sz w:val="20"/>
          <w:szCs w:val="20"/>
          <w:lang w:val="es-CO"/>
        </w:rPr>
      </w:pPr>
      <w:r w:rsidRPr="00781407">
        <w:rPr>
          <w:rFonts w:ascii="Cambria" w:hAnsi="Cambria" w:cs="Verdana"/>
          <w:sz w:val="20"/>
          <w:szCs w:val="20"/>
          <w:lang w:val="es-UY"/>
        </w:rPr>
        <w:t xml:space="preserve">La CIDH recuerda que la garantía de competencia de la autoridad </w:t>
      </w:r>
      <w:r w:rsidR="00781407">
        <w:rPr>
          <w:rFonts w:ascii="Cambria" w:hAnsi="Cambria" w:cs="Verdana"/>
          <w:sz w:val="20"/>
          <w:szCs w:val="20"/>
          <w:lang w:val="es-UY"/>
        </w:rPr>
        <w:t>sancionatoria</w:t>
      </w:r>
      <w:r w:rsidRPr="00781407">
        <w:rPr>
          <w:rFonts w:ascii="Cambria" w:hAnsi="Cambria" w:cs="Verdana"/>
          <w:sz w:val="20"/>
          <w:szCs w:val="20"/>
          <w:lang w:val="es-UY"/>
        </w:rPr>
        <w:t>, implica el derecho a ser juzgado por las autoridades respectivas con arreglo a procedimientos previamente establecidos, de tal manera que el Estado no cree autoridades que no apliquen normas procesales debidamente establecidas para sustituir la jurisdicción que corresponda normalmente</w:t>
      </w:r>
      <w:r w:rsidR="00A81EE5" w:rsidRPr="00523EA8">
        <w:rPr>
          <w:rStyle w:val="FootnoteReference"/>
          <w:rFonts w:ascii="Cambria" w:hAnsi="Cambria" w:cs="Verdana"/>
          <w:sz w:val="20"/>
          <w:szCs w:val="20"/>
          <w:lang w:val="es-UY"/>
        </w:rPr>
        <w:footnoteReference w:id="28"/>
      </w:r>
      <w:r w:rsidRPr="00523EA8">
        <w:rPr>
          <w:rFonts w:ascii="Cambria" w:hAnsi="Cambria" w:cs="Verdana"/>
          <w:sz w:val="20"/>
          <w:szCs w:val="20"/>
          <w:lang w:val="es-UY"/>
        </w:rPr>
        <w:t xml:space="preserve">. </w:t>
      </w:r>
      <w:r w:rsidR="00781407" w:rsidRPr="00781407">
        <w:rPr>
          <w:rFonts w:ascii="Cambria" w:hAnsi="Cambria"/>
          <w:sz w:val="20"/>
          <w:szCs w:val="20"/>
          <w:lang w:val="es-CO"/>
        </w:rPr>
        <w:t xml:space="preserve">Tal garantía se encuentra satisfecha cuando la autoridad </w:t>
      </w:r>
      <w:r w:rsidR="00781407">
        <w:rPr>
          <w:rFonts w:ascii="Cambria" w:hAnsi="Cambria"/>
          <w:sz w:val="20"/>
          <w:szCs w:val="20"/>
          <w:lang w:val="es-CO"/>
        </w:rPr>
        <w:t xml:space="preserve">sancionatoria </w:t>
      </w:r>
      <w:r w:rsidR="00781407" w:rsidRPr="00781407">
        <w:rPr>
          <w:rFonts w:ascii="Cambria" w:hAnsi="Cambria"/>
          <w:sz w:val="20"/>
          <w:szCs w:val="20"/>
          <w:lang w:val="es-CO"/>
        </w:rPr>
        <w:t>se origina en una norma establecida con anterioridad a la causa</w:t>
      </w:r>
      <w:r w:rsidR="00781407" w:rsidRPr="00781407">
        <w:rPr>
          <w:rStyle w:val="FootnoteReference"/>
          <w:rFonts w:ascii="Cambria" w:hAnsi="Cambria"/>
          <w:sz w:val="20"/>
          <w:szCs w:val="20"/>
          <w:lang w:val="es-CO"/>
        </w:rPr>
        <w:footnoteReference w:id="29"/>
      </w:r>
      <w:r w:rsidR="00781407" w:rsidRPr="00781407">
        <w:rPr>
          <w:rFonts w:ascii="Cambria" w:hAnsi="Cambria"/>
          <w:sz w:val="20"/>
          <w:szCs w:val="20"/>
          <w:lang w:val="es-CO"/>
        </w:rPr>
        <w:t xml:space="preserve"> y, correlativamente, dicha norma se viola cuando el </w:t>
      </w:r>
      <w:r w:rsidR="00781407" w:rsidRPr="00781407">
        <w:rPr>
          <w:rFonts w:ascii="Cambria" w:hAnsi="Cambria"/>
          <w:bCs/>
          <w:sz w:val="20"/>
          <w:szCs w:val="20"/>
          <w:lang w:val="es-CO"/>
        </w:rPr>
        <w:t xml:space="preserve">órgano carece </w:t>
      </w:r>
      <w:r w:rsidR="00781407" w:rsidRPr="00781407">
        <w:rPr>
          <w:rFonts w:ascii="Cambria" w:hAnsi="Cambria"/>
          <w:sz w:val="20"/>
          <w:szCs w:val="20"/>
          <w:lang w:val="es-UY"/>
        </w:rPr>
        <w:t>de competencia, establecida por ley</w:t>
      </w:r>
      <w:r w:rsidR="00781407" w:rsidRPr="00781407">
        <w:rPr>
          <w:rStyle w:val="FootnoteReference"/>
          <w:rFonts w:ascii="Cambria" w:hAnsi="Cambria"/>
          <w:sz w:val="20"/>
          <w:szCs w:val="20"/>
          <w:lang w:val="es-UY"/>
        </w:rPr>
        <w:footnoteReference w:id="30"/>
      </w:r>
      <w:r w:rsidR="00781407" w:rsidRPr="00781407">
        <w:rPr>
          <w:rFonts w:ascii="Cambria" w:hAnsi="Cambria"/>
          <w:sz w:val="20"/>
          <w:szCs w:val="20"/>
          <w:lang w:val="es-UY"/>
        </w:rPr>
        <w:t>.</w:t>
      </w:r>
    </w:p>
    <w:p w14:paraId="08B44A1C" w14:textId="77777777" w:rsidR="001F37E8" w:rsidRPr="00FE60A7" w:rsidRDefault="001F37E8" w:rsidP="001F37E8">
      <w:pPr>
        <w:pStyle w:val="ListParagraph"/>
        <w:rPr>
          <w:rFonts w:cs="Verdana"/>
          <w:color w:val="auto"/>
          <w:sz w:val="20"/>
          <w:szCs w:val="20"/>
          <w:lang w:val="es-UY"/>
        </w:rPr>
      </w:pPr>
    </w:p>
    <w:p w14:paraId="078BD3F1" w14:textId="33AB3A6F" w:rsidR="0066797B" w:rsidRPr="00523EA8" w:rsidRDefault="001F37E8" w:rsidP="001F37E8">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lang w:val="es-UY"/>
        </w:rPr>
      </w:pPr>
      <w:r w:rsidRPr="00FE60A7">
        <w:rPr>
          <w:rFonts w:ascii="Cambria" w:hAnsi="Cambria" w:cs="Verdana"/>
          <w:sz w:val="20"/>
          <w:szCs w:val="20"/>
          <w:lang w:val="es-UY"/>
        </w:rPr>
        <w:t xml:space="preserve">Asimismo, la Comisión ha indicado que en el marco de procedimientos </w:t>
      </w:r>
      <w:r w:rsidR="00435C1E">
        <w:rPr>
          <w:rFonts w:ascii="Cambria" w:hAnsi="Cambria" w:cs="Verdana"/>
          <w:sz w:val="20"/>
          <w:szCs w:val="20"/>
          <w:lang w:val="es-UY"/>
        </w:rPr>
        <w:t>sancionatorios</w:t>
      </w:r>
      <w:r w:rsidR="0066797B" w:rsidRPr="00DF29B5">
        <w:rPr>
          <w:rFonts w:ascii="Cambria" w:hAnsi="Cambria" w:cs="Verdana"/>
          <w:sz w:val="20"/>
          <w:szCs w:val="20"/>
          <w:lang w:val="es-UY"/>
        </w:rPr>
        <w:t xml:space="preserve"> en contra de operadores de justicia </w:t>
      </w:r>
      <w:r w:rsidR="0066797B" w:rsidRPr="00DF29B5">
        <w:rPr>
          <w:rFonts w:ascii="Cambria" w:hAnsi="Cambria"/>
          <w:sz w:val="20"/>
          <w:szCs w:val="20"/>
          <w:lang w:val="es-VE" w:eastAsia="es-ES"/>
        </w:rPr>
        <w:t xml:space="preserve">deben existir reglas claras en cuanto a las causales y procedimiento de separación del cargo de jueces y juezas, y su ausencia además de fomentar dudas sobre la </w:t>
      </w:r>
      <w:r w:rsidRPr="00523EA8">
        <w:rPr>
          <w:rFonts w:ascii="Cambria" w:hAnsi="Cambria"/>
          <w:sz w:val="20"/>
          <w:szCs w:val="20"/>
          <w:lang w:val="es-VE" w:eastAsia="es-ES"/>
        </w:rPr>
        <w:t>independencia</w:t>
      </w:r>
      <w:r w:rsidR="00497946">
        <w:rPr>
          <w:rFonts w:ascii="Cambria" w:hAnsi="Cambria"/>
          <w:sz w:val="20"/>
          <w:szCs w:val="20"/>
          <w:lang w:val="es-VE" w:eastAsia="es-ES"/>
        </w:rPr>
        <w:t xml:space="preserve"> judicial</w:t>
      </w:r>
      <w:r w:rsidRPr="00523EA8">
        <w:rPr>
          <w:rFonts w:ascii="Cambria" w:hAnsi="Cambria"/>
          <w:sz w:val="20"/>
          <w:szCs w:val="20"/>
          <w:lang w:val="es-VE" w:eastAsia="es-ES"/>
        </w:rPr>
        <w:t xml:space="preserve">, puede dar lugar </w:t>
      </w:r>
      <w:r w:rsidR="0066797B" w:rsidRPr="00523EA8">
        <w:rPr>
          <w:rFonts w:ascii="Cambria" w:hAnsi="Cambria"/>
          <w:sz w:val="20"/>
          <w:szCs w:val="20"/>
          <w:lang w:val="es-VE" w:eastAsia="es-ES"/>
        </w:rPr>
        <w:t>a actuaciones arbitrarias de abuso de poder, con repercusiones directas en los derechos al debido proceso y a la legalidad</w:t>
      </w:r>
      <w:r w:rsidR="0066797B" w:rsidRPr="00523EA8">
        <w:rPr>
          <w:rFonts w:ascii="Cambria" w:hAnsi="Cambria"/>
          <w:sz w:val="20"/>
          <w:szCs w:val="20"/>
          <w:vertAlign w:val="superscript"/>
        </w:rPr>
        <w:footnoteReference w:id="31"/>
      </w:r>
      <w:r w:rsidR="0066797B" w:rsidRPr="00523EA8">
        <w:rPr>
          <w:rFonts w:ascii="Cambria" w:hAnsi="Cambria"/>
          <w:sz w:val="20"/>
          <w:szCs w:val="20"/>
          <w:lang w:val="es-VE" w:eastAsia="es-ES"/>
        </w:rPr>
        <w:t xml:space="preserve">.  </w:t>
      </w:r>
    </w:p>
    <w:p w14:paraId="1A4E67C5" w14:textId="77777777" w:rsidR="004F737D" w:rsidRPr="00FE60A7" w:rsidRDefault="004F737D" w:rsidP="004F737D">
      <w:pPr>
        <w:pStyle w:val="ListParagraph"/>
        <w:rPr>
          <w:rFonts w:cs="Verdana"/>
          <w:color w:val="auto"/>
          <w:sz w:val="20"/>
          <w:szCs w:val="20"/>
          <w:lang w:val="es-UY"/>
        </w:rPr>
      </w:pPr>
    </w:p>
    <w:p w14:paraId="4CEFB247" w14:textId="23591154" w:rsidR="00432924" w:rsidRPr="00523EA8" w:rsidRDefault="009C0524" w:rsidP="0059357A">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lang w:val="es-UY"/>
        </w:rPr>
      </w:pPr>
      <w:r w:rsidRPr="00FE60A7">
        <w:rPr>
          <w:rFonts w:ascii="Cambria" w:hAnsi="Cambria" w:cs="Verdana"/>
          <w:sz w:val="20"/>
          <w:szCs w:val="20"/>
          <w:lang w:val="es-UY"/>
        </w:rPr>
        <w:t xml:space="preserve">En el presente caso la Comisión </w:t>
      </w:r>
      <w:r w:rsidR="0062415B">
        <w:rPr>
          <w:rFonts w:ascii="Cambria" w:hAnsi="Cambria" w:cs="Verdana"/>
          <w:sz w:val="20"/>
          <w:szCs w:val="20"/>
          <w:lang w:val="es-UY"/>
        </w:rPr>
        <w:t xml:space="preserve">reitera </w:t>
      </w:r>
      <w:r w:rsidRPr="00FE60A7">
        <w:rPr>
          <w:rFonts w:ascii="Cambria" w:hAnsi="Cambria" w:cs="Verdana"/>
          <w:sz w:val="20"/>
          <w:szCs w:val="20"/>
          <w:lang w:val="es-UY"/>
        </w:rPr>
        <w:t xml:space="preserve">que </w:t>
      </w:r>
      <w:r w:rsidR="00DC6903" w:rsidRPr="00FE60A7">
        <w:rPr>
          <w:rFonts w:ascii="Cambria" w:hAnsi="Cambria" w:cs="Verdana"/>
          <w:sz w:val="20"/>
          <w:szCs w:val="20"/>
          <w:lang w:val="es-UY"/>
        </w:rPr>
        <w:t xml:space="preserve">la presunta víctima y los demás miembros del Tribunal Supremo Electoral y del Tribunal Constitucional fueron cesados por medio de la </w:t>
      </w:r>
      <w:r w:rsidR="0062415B">
        <w:rPr>
          <w:rFonts w:ascii="Cambria" w:hAnsi="Cambria" w:cs="Verdana"/>
          <w:sz w:val="20"/>
          <w:szCs w:val="20"/>
          <w:lang w:val="es-UY"/>
        </w:rPr>
        <w:t>R</w:t>
      </w:r>
      <w:r w:rsidR="00DC6903" w:rsidRPr="00FE60A7">
        <w:rPr>
          <w:rFonts w:ascii="Cambria" w:hAnsi="Cambria" w:cs="Verdana"/>
          <w:sz w:val="20"/>
          <w:szCs w:val="20"/>
          <w:lang w:val="es-UY"/>
        </w:rPr>
        <w:t xml:space="preserve">esolución 25-160 del Congreso Nacional bajo el fundamento de que fueron designados de manera </w:t>
      </w:r>
      <w:r w:rsidR="0062415B">
        <w:rPr>
          <w:rFonts w:ascii="Cambria" w:hAnsi="Cambria" w:cs="Verdana"/>
          <w:sz w:val="20"/>
          <w:szCs w:val="20"/>
          <w:lang w:val="es-UY"/>
        </w:rPr>
        <w:t>contraria al ordenamiento jurídico</w:t>
      </w:r>
      <w:r w:rsidR="00DC6903" w:rsidRPr="00FE60A7">
        <w:rPr>
          <w:rFonts w:ascii="Cambria" w:hAnsi="Cambria" w:cs="Verdana"/>
          <w:sz w:val="20"/>
          <w:szCs w:val="20"/>
          <w:lang w:val="es-UY"/>
        </w:rPr>
        <w:t>. P</w:t>
      </w:r>
      <w:r w:rsidR="00A47000" w:rsidRPr="00DF29B5">
        <w:rPr>
          <w:rFonts w:ascii="Cambria" w:hAnsi="Cambria" w:cs="Verdana"/>
          <w:sz w:val="20"/>
          <w:szCs w:val="20"/>
          <w:lang w:val="es-UY"/>
        </w:rPr>
        <w:t>ara el momento de los hechos</w:t>
      </w:r>
      <w:r w:rsidR="00DC6903" w:rsidRPr="00DF29B5">
        <w:rPr>
          <w:rFonts w:ascii="Cambria" w:hAnsi="Cambria" w:cs="Verdana"/>
          <w:sz w:val="20"/>
          <w:szCs w:val="20"/>
          <w:lang w:val="es-UY"/>
        </w:rPr>
        <w:t xml:space="preserve"> la ley establecía que </w:t>
      </w:r>
      <w:r w:rsidR="00432924" w:rsidRPr="00DF29B5">
        <w:rPr>
          <w:rFonts w:ascii="Cambria" w:hAnsi="Cambria" w:cs="Verdana"/>
          <w:sz w:val="20"/>
          <w:szCs w:val="20"/>
          <w:lang w:val="es-UY"/>
        </w:rPr>
        <w:t xml:space="preserve">su mandato era de cuatro años y la única forma prevista en la Constitución para removerlos era mediante juicio político. </w:t>
      </w:r>
    </w:p>
    <w:p w14:paraId="22973319" w14:textId="77777777" w:rsidR="00176469" w:rsidRPr="00781407" w:rsidRDefault="00176469" w:rsidP="0017646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Verdana"/>
          <w:sz w:val="20"/>
          <w:szCs w:val="20"/>
          <w:lang w:val="es-UY"/>
        </w:rPr>
      </w:pPr>
    </w:p>
    <w:p w14:paraId="1D900FBD" w14:textId="65DBFE22" w:rsidR="00432924" w:rsidRPr="00935064" w:rsidRDefault="00935064" w:rsidP="001F37E8">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lang w:val="es-UY"/>
        </w:rPr>
      </w:pPr>
      <w:r>
        <w:rPr>
          <w:rFonts w:ascii="Cambria" w:hAnsi="Cambria" w:cs="Verdana"/>
          <w:sz w:val="20"/>
          <w:szCs w:val="20"/>
          <w:lang w:val="es-UY"/>
        </w:rPr>
        <w:t xml:space="preserve">En el presente informe, la Comisión ya recordó que dicho fundamento constituyó una justificación aparente que encubría una sanción </w:t>
      </w:r>
      <w:r>
        <w:rPr>
          <w:rFonts w:ascii="Cambria" w:hAnsi="Cambria" w:cs="Verdana"/>
          <w:i/>
          <w:sz w:val="20"/>
          <w:szCs w:val="20"/>
          <w:lang w:val="es-UY"/>
        </w:rPr>
        <w:t xml:space="preserve">de facto. </w:t>
      </w:r>
      <w:r w:rsidR="008E7B56" w:rsidRPr="00935064">
        <w:rPr>
          <w:rFonts w:ascii="Cambria" w:hAnsi="Cambria" w:cs="Verdana"/>
          <w:sz w:val="20"/>
          <w:szCs w:val="20"/>
          <w:lang w:val="es-UY"/>
        </w:rPr>
        <w:t>En particular,</w:t>
      </w:r>
      <w:r w:rsidR="003D68A8">
        <w:rPr>
          <w:rFonts w:ascii="Cambria" w:hAnsi="Cambria" w:cs="Verdana"/>
          <w:sz w:val="20"/>
          <w:szCs w:val="20"/>
          <w:lang w:val="es-UY"/>
        </w:rPr>
        <w:t xml:space="preserve"> respecto de la manera en que dicha Resolución violó el derecho a contar con autoridad competente mediante los procedimientos previamente establecidos, </w:t>
      </w:r>
      <w:r w:rsidR="008E7B56" w:rsidRPr="00935064">
        <w:rPr>
          <w:rFonts w:ascii="Cambria" w:hAnsi="Cambria" w:cs="Verdana"/>
          <w:sz w:val="20"/>
          <w:szCs w:val="20"/>
          <w:lang w:val="es-UY"/>
        </w:rPr>
        <w:t xml:space="preserve">en el caso </w:t>
      </w:r>
      <w:r w:rsidR="008E7B56" w:rsidRPr="007012D9">
        <w:rPr>
          <w:rFonts w:ascii="Cambria" w:hAnsi="Cambria" w:cs="Verdana"/>
          <w:i/>
          <w:sz w:val="20"/>
          <w:szCs w:val="20"/>
          <w:lang w:val="es-UY"/>
        </w:rPr>
        <w:t>Camba Campos</w:t>
      </w:r>
      <w:r w:rsidRPr="007012D9">
        <w:rPr>
          <w:rFonts w:ascii="Cambria" w:hAnsi="Cambria" w:cs="Verdana"/>
          <w:i/>
          <w:sz w:val="20"/>
          <w:szCs w:val="20"/>
          <w:lang w:val="es-UY"/>
        </w:rPr>
        <w:t xml:space="preserve"> y otros vs. Ecuador</w:t>
      </w:r>
      <w:r w:rsidR="008E7B56" w:rsidRPr="00935064">
        <w:rPr>
          <w:rFonts w:ascii="Cambria" w:hAnsi="Cambria" w:cs="Verdana"/>
          <w:sz w:val="20"/>
          <w:szCs w:val="20"/>
          <w:lang w:val="es-UY"/>
        </w:rPr>
        <w:t>, la CIDH indic</w:t>
      </w:r>
      <w:r w:rsidR="007012D9">
        <w:rPr>
          <w:rFonts w:ascii="Cambria" w:hAnsi="Cambria" w:cs="Verdana"/>
          <w:sz w:val="20"/>
          <w:szCs w:val="20"/>
          <w:lang w:val="es-UY"/>
        </w:rPr>
        <w:t>ó lo siguiente respecto del Tribunal Constitucional, que resulta plenamente aplicable al Tribunal Supremo Electoral</w:t>
      </w:r>
      <w:r w:rsidR="00855A1F">
        <w:rPr>
          <w:rFonts w:ascii="Cambria" w:hAnsi="Cambria" w:cs="Verdana"/>
          <w:sz w:val="20"/>
          <w:szCs w:val="20"/>
          <w:lang w:val="es-UY"/>
        </w:rPr>
        <w:t xml:space="preserve"> conforme a lo indicado en la sección de marco normativo relevante: </w:t>
      </w:r>
    </w:p>
    <w:p w14:paraId="3AB88E57" w14:textId="77777777" w:rsidR="00D349F4" w:rsidRPr="003D68A8" w:rsidRDefault="00D349F4" w:rsidP="008E7B5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Verdana"/>
          <w:sz w:val="20"/>
          <w:szCs w:val="20"/>
          <w:lang w:val="es-UY"/>
        </w:rPr>
      </w:pPr>
    </w:p>
    <w:p w14:paraId="1A0E8F6A" w14:textId="5FB10C1F" w:rsidR="00D349F4" w:rsidRPr="00523EA8" w:rsidRDefault="008E7B56" w:rsidP="007012D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720"/>
        <w:jc w:val="both"/>
        <w:rPr>
          <w:rFonts w:ascii="Cambria" w:hAnsi="Cambria" w:cs="Verdana"/>
          <w:sz w:val="20"/>
          <w:szCs w:val="20"/>
          <w:lang w:val="es-UY"/>
        </w:rPr>
      </w:pPr>
      <w:r w:rsidRPr="003D68A8">
        <w:rPr>
          <w:rFonts w:ascii="Cambria" w:hAnsi="Cambria" w:cs="Verdana"/>
          <w:sz w:val="20"/>
          <w:szCs w:val="20"/>
          <w:lang w:val="es-UY"/>
        </w:rPr>
        <w:lastRenderedPageBreak/>
        <w:t>(…)</w:t>
      </w:r>
      <w:r w:rsidR="008A65F4" w:rsidRPr="003D68A8">
        <w:rPr>
          <w:rFonts w:ascii="Cambria" w:hAnsi="Cambria" w:cs="Verdana"/>
          <w:sz w:val="20"/>
          <w:szCs w:val="20"/>
          <w:lang w:val="es-UY"/>
        </w:rPr>
        <w:t xml:space="preserve"> </w:t>
      </w:r>
      <w:r w:rsidR="00D349F4" w:rsidRPr="003D68A8">
        <w:rPr>
          <w:rFonts w:ascii="Cambria" w:hAnsi="Cambria" w:cs="Verdana"/>
          <w:sz w:val="20"/>
          <w:szCs w:val="20"/>
          <w:lang w:val="es-UY"/>
        </w:rPr>
        <w:t>la Constitución y la legislación establecían expresamente que su mandato era de cuatro años y la única forma prevista en la Constitución para removerlos era mediante juicio</w:t>
      </w:r>
      <w:r w:rsidR="00D349F4" w:rsidRPr="007012D9">
        <w:rPr>
          <w:rFonts w:ascii="Cambria" w:hAnsi="Cambria" w:cs="Verdana"/>
          <w:sz w:val="20"/>
          <w:szCs w:val="20"/>
          <w:lang w:val="es-UY"/>
        </w:rPr>
        <w:t xml:space="preserve"> político. Sin embargo, en un álgido contexto político de tensión entre los distintos poderes del Estado, el Congreso creó un mecanismo ad hoc no previsto por la Constitución ni la ley para proceder a cesar a todos los vocales del Tribunal Constitucional b</w:t>
      </w:r>
      <w:r w:rsidR="00D349F4" w:rsidRPr="00FE60A7">
        <w:rPr>
          <w:rFonts w:ascii="Cambria" w:hAnsi="Cambria" w:cs="Verdana"/>
          <w:sz w:val="20"/>
          <w:szCs w:val="20"/>
          <w:lang w:val="es-UY"/>
        </w:rPr>
        <w:t>ajo el argumento de que habían sido elegidos ilegalmente en el año 2003 y que esa ilegalidad deb</w:t>
      </w:r>
      <w:r w:rsidR="00206601" w:rsidRPr="00FE60A7">
        <w:rPr>
          <w:rFonts w:ascii="Cambria" w:hAnsi="Cambria" w:cs="Verdana"/>
          <w:sz w:val="20"/>
          <w:szCs w:val="20"/>
          <w:lang w:val="es-UY"/>
        </w:rPr>
        <w:t>ía ser corregida</w:t>
      </w:r>
      <w:r w:rsidR="00EE3F54" w:rsidRPr="00523EA8">
        <w:rPr>
          <w:rStyle w:val="FootnoteReference"/>
          <w:rFonts w:ascii="Cambria" w:hAnsi="Cambria" w:cs="Verdana"/>
          <w:sz w:val="20"/>
          <w:szCs w:val="20"/>
          <w:lang w:val="es-UY"/>
        </w:rPr>
        <w:footnoteReference w:id="32"/>
      </w:r>
      <w:r w:rsidR="00D349F4" w:rsidRPr="00523EA8">
        <w:rPr>
          <w:rFonts w:ascii="Cambria" w:hAnsi="Cambria" w:cs="Verdana"/>
          <w:sz w:val="20"/>
          <w:szCs w:val="20"/>
          <w:lang w:val="es-UY"/>
        </w:rPr>
        <w:t>.</w:t>
      </w:r>
    </w:p>
    <w:p w14:paraId="3BA09AAB" w14:textId="77777777" w:rsidR="00206601" w:rsidRPr="00781407" w:rsidRDefault="00206601" w:rsidP="0020660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s="Verdana"/>
          <w:sz w:val="20"/>
          <w:szCs w:val="20"/>
          <w:lang w:val="es-UY"/>
        </w:rPr>
      </w:pPr>
    </w:p>
    <w:p w14:paraId="1B5A5EB3" w14:textId="5A2AD8E1" w:rsidR="0059357A" w:rsidRPr="00781407" w:rsidRDefault="008E7B56" w:rsidP="008E7B56">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lang w:val="es-UY"/>
        </w:rPr>
      </w:pPr>
      <w:r w:rsidRPr="00781407">
        <w:rPr>
          <w:rFonts w:ascii="Cambria" w:hAnsi="Cambria" w:cs="Verdana"/>
          <w:sz w:val="20"/>
          <w:szCs w:val="20"/>
          <w:lang w:val="es-UY"/>
        </w:rPr>
        <w:t>Por su parte, en el mismo caso la Corte refirió que</w:t>
      </w:r>
      <w:r w:rsidR="0059357A" w:rsidRPr="00781407">
        <w:rPr>
          <w:rFonts w:ascii="Cambria" w:hAnsi="Cambria" w:cs="Verdana"/>
          <w:sz w:val="20"/>
          <w:szCs w:val="20"/>
          <w:lang w:val="es-UY"/>
        </w:rPr>
        <w:t>:</w:t>
      </w:r>
    </w:p>
    <w:p w14:paraId="74EFC4ED" w14:textId="77777777" w:rsidR="0059357A" w:rsidRPr="00082CBC" w:rsidRDefault="0059357A" w:rsidP="0059357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s="Verdana"/>
          <w:sz w:val="20"/>
          <w:szCs w:val="20"/>
          <w:lang w:val="es-UY"/>
        </w:rPr>
      </w:pPr>
    </w:p>
    <w:p w14:paraId="2D62B860" w14:textId="6B26073B" w:rsidR="0059357A" w:rsidRPr="00722683" w:rsidRDefault="0059357A" w:rsidP="00082CB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720"/>
        <w:jc w:val="both"/>
        <w:rPr>
          <w:rFonts w:ascii="Cambria" w:hAnsi="Cambria" w:cs="Verdana"/>
          <w:sz w:val="20"/>
          <w:szCs w:val="20"/>
          <w:lang w:val="es-UY"/>
        </w:rPr>
      </w:pPr>
      <w:r w:rsidRPr="00FE60A7">
        <w:rPr>
          <w:rFonts w:ascii="Cambria" w:hAnsi="Cambria" w:cs="Verdana"/>
          <w:sz w:val="20"/>
          <w:szCs w:val="20"/>
          <w:lang w:val="es-UY"/>
        </w:rPr>
        <w:t>N</w:t>
      </w:r>
      <w:r w:rsidR="00206601" w:rsidRPr="00FE60A7">
        <w:rPr>
          <w:rFonts w:ascii="Cambria" w:hAnsi="Cambria" w:cs="Verdana"/>
          <w:sz w:val="20"/>
          <w:szCs w:val="20"/>
          <w:lang w:val="es-UY"/>
        </w:rPr>
        <w:t>o existía competencia del Congreso Nacional para tomar la decisión de cesar a los vocales ni resulta una decisión oportuna a la luz de los principio</w:t>
      </w:r>
      <w:r w:rsidR="00681A99">
        <w:rPr>
          <w:rFonts w:ascii="Cambria" w:hAnsi="Cambria" w:cs="Verdana"/>
          <w:sz w:val="20"/>
          <w:szCs w:val="20"/>
          <w:lang w:val="es-UY"/>
        </w:rPr>
        <w:t>s de independencia judicial (…)</w:t>
      </w:r>
      <w:r w:rsidR="00206601" w:rsidRPr="00523EA8">
        <w:rPr>
          <w:rStyle w:val="FootnoteReference"/>
          <w:rFonts w:ascii="Cambria" w:hAnsi="Cambria" w:cs="Verdana"/>
          <w:sz w:val="20"/>
          <w:szCs w:val="20"/>
          <w:lang w:val="es-UY"/>
        </w:rPr>
        <w:footnoteReference w:id="33"/>
      </w:r>
      <w:r w:rsidR="00206601" w:rsidRPr="00523EA8">
        <w:rPr>
          <w:rFonts w:ascii="Cambria" w:hAnsi="Cambria" w:cs="Verdana"/>
          <w:sz w:val="20"/>
          <w:szCs w:val="20"/>
          <w:lang w:val="es-UY"/>
        </w:rPr>
        <w:t>.</w:t>
      </w:r>
    </w:p>
    <w:p w14:paraId="3F481384" w14:textId="19EB7CA8" w:rsidR="008E7B56" w:rsidRPr="00722683" w:rsidRDefault="0059357A" w:rsidP="00082CB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720"/>
        <w:jc w:val="both"/>
        <w:rPr>
          <w:rFonts w:ascii="Cambria" w:hAnsi="Cambria" w:cs="Verdana"/>
          <w:sz w:val="20"/>
          <w:szCs w:val="20"/>
          <w:lang w:val="es-UY"/>
        </w:rPr>
      </w:pPr>
      <w:r w:rsidRPr="00781407">
        <w:rPr>
          <w:rFonts w:ascii="Cambria" w:hAnsi="Cambria" w:cs="Verdana"/>
          <w:sz w:val="20"/>
          <w:szCs w:val="20"/>
          <w:lang w:val="es-UY"/>
        </w:rPr>
        <w:t>(…)</w:t>
      </w:r>
      <w:r w:rsidR="00082CBC">
        <w:rPr>
          <w:rFonts w:ascii="Cambria" w:hAnsi="Cambria" w:cs="Verdana"/>
          <w:sz w:val="20"/>
          <w:szCs w:val="20"/>
          <w:lang w:val="es-UY"/>
        </w:rPr>
        <w:t xml:space="preserve"> </w:t>
      </w:r>
      <w:r w:rsidR="005F43FB" w:rsidRPr="00781407">
        <w:rPr>
          <w:rFonts w:ascii="Cambria" w:hAnsi="Cambria" w:cs="Verdana"/>
          <w:sz w:val="20"/>
          <w:szCs w:val="20"/>
          <w:lang w:val="es-UY"/>
        </w:rPr>
        <w:t xml:space="preserve">en el término de 14 días se destituyó no solo al Tribunal Constitucional, sino también al Tribunal Electoral y a la Corte Suprema de Justicia, </w:t>
      </w:r>
      <w:r w:rsidR="005F43FB" w:rsidRPr="00082CBC">
        <w:rPr>
          <w:rFonts w:ascii="Cambria" w:hAnsi="Cambria" w:cs="Verdana"/>
          <w:sz w:val="20"/>
          <w:szCs w:val="20"/>
          <w:lang w:val="es-UY"/>
        </w:rPr>
        <w:t>lo cual constituye un actuar intempestivo totalmente inaceptable. Todos estos hechos constituyen una afectac</w:t>
      </w:r>
      <w:r w:rsidR="00681A99">
        <w:rPr>
          <w:rFonts w:ascii="Cambria" w:hAnsi="Cambria" w:cs="Verdana"/>
          <w:sz w:val="20"/>
          <w:szCs w:val="20"/>
          <w:lang w:val="es-UY"/>
        </w:rPr>
        <w:t>ión a la independencia judicial</w:t>
      </w:r>
      <w:r w:rsidR="005F43FB" w:rsidRPr="00FE60A7">
        <w:rPr>
          <w:rStyle w:val="FootnoteReference"/>
          <w:rFonts w:ascii="Cambria" w:hAnsi="Cambria" w:cs="Verdana"/>
          <w:sz w:val="20"/>
          <w:szCs w:val="20"/>
          <w:lang w:val="es-UY"/>
        </w:rPr>
        <w:t xml:space="preserve"> </w:t>
      </w:r>
      <w:r w:rsidR="005F43FB" w:rsidRPr="00523EA8">
        <w:rPr>
          <w:rStyle w:val="FootnoteReference"/>
          <w:rFonts w:ascii="Cambria" w:hAnsi="Cambria" w:cs="Verdana"/>
          <w:sz w:val="20"/>
          <w:szCs w:val="20"/>
          <w:lang w:val="es-UY"/>
        </w:rPr>
        <w:footnoteReference w:id="34"/>
      </w:r>
      <w:r w:rsidR="005F43FB" w:rsidRPr="00523EA8">
        <w:rPr>
          <w:rFonts w:ascii="Cambria" w:hAnsi="Cambria" w:cs="Verdana"/>
          <w:sz w:val="20"/>
          <w:szCs w:val="20"/>
          <w:lang w:val="es-UY"/>
        </w:rPr>
        <w:t xml:space="preserve">. </w:t>
      </w:r>
    </w:p>
    <w:p w14:paraId="4B218439" w14:textId="77777777" w:rsidR="005F43FB" w:rsidRPr="00781407" w:rsidRDefault="005F43FB" w:rsidP="00082CBC">
      <w:pPr>
        <w:ind w:right="720"/>
        <w:rPr>
          <w:sz w:val="20"/>
          <w:szCs w:val="20"/>
          <w:lang w:val="es-ES"/>
        </w:rPr>
      </w:pPr>
    </w:p>
    <w:p w14:paraId="141AFBC2" w14:textId="77777777" w:rsidR="00681A99" w:rsidRDefault="00F65B04" w:rsidP="000D7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lang w:val="es-UY"/>
        </w:rPr>
      </w:pPr>
      <w:r w:rsidRPr="00781407">
        <w:rPr>
          <w:rFonts w:ascii="Cambria" w:hAnsi="Cambria" w:cs="Verdana"/>
          <w:sz w:val="20"/>
          <w:szCs w:val="20"/>
          <w:lang w:val="es-UY"/>
        </w:rPr>
        <w:t>Por las consideraciones esgrimidas, la CIDH estima que el Estado cesó a</w:t>
      </w:r>
      <w:r w:rsidR="00924BDC">
        <w:rPr>
          <w:rFonts w:ascii="Cambria" w:hAnsi="Cambria" w:cs="Verdana"/>
          <w:sz w:val="20"/>
          <w:szCs w:val="20"/>
          <w:lang w:val="es-UY"/>
        </w:rPr>
        <w:t>l señor Aguinaga Aillón</w:t>
      </w:r>
      <w:r w:rsidR="00681A99">
        <w:rPr>
          <w:rFonts w:ascii="Cambria" w:hAnsi="Cambria" w:cs="Verdana"/>
          <w:sz w:val="20"/>
          <w:szCs w:val="20"/>
          <w:lang w:val="es-UY"/>
        </w:rPr>
        <w:t xml:space="preserve"> </w:t>
      </w:r>
      <w:r w:rsidRPr="00781407">
        <w:rPr>
          <w:rFonts w:ascii="Cambria" w:hAnsi="Cambria" w:cs="Verdana"/>
          <w:sz w:val="20"/>
          <w:szCs w:val="20"/>
          <w:lang w:val="es-UY"/>
        </w:rPr>
        <w:t>de manera arbitra</w:t>
      </w:r>
      <w:r w:rsidRPr="00924BDC">
        <w:rPr>
          <w:rFonts w:ascii="Cambria" w:hAnsi="Cambria" w:cs="Verdana"/>
          <w:sz w:val="20"/>
          <w:szCs w:val="20"/>
          <w:lang w:val="es-UY"/>
        </w:rPr>
        <w:t>ria, por medio de un procedimiento</w:t>
      </w:r>
      <w:r w:rsidR="000A7F25">
        <w:rPr>
          <w:rFonts w:ascii="Cambria" w:hAnsi="Cambria" w:cs="Verdana"/>
          <w:sz w:val="20"/>
          <w:szCs w:val="20"/>
          <w:lang w:val="es-UY"/>
        </w:rPr>
        <w:t xml:space="preserve"> y causales</w:t>
      </w:r>
      <w:r w:rsidRPr="00924BDC">
        <w:rPr>
          <w:rFonts w:ascii="Cambria" w:hAnsi="Cambria" w:cs="Verdana"/>
          <w:sz w:val="20"/>
          <w:szCs w:val="20"/>
          <w:lang w:val="es-UY"/>
        </w:rPr>
        <w:t xml:space="preserve"> no previst</w:t>
      </w:r>
      <w:r w:rsidR="000A7F25">
        <w:rPr>
          <w:rFonts w:ascii="Cambria" w:hAnsi="Cambria" w:cs="Verdana"/>
          <w:sz w:val="20"/>
          <w:szCs w:val="20"/>
          <w:lang w:val="es-UY"/>
        </w:rPr>
        <w:t>as</w:t>
      </w:r>
      <w:r w:rsidRPr="00924BDC">
        <w:rPr>
          <w:rFonts w:ascii="Cambria" w:hAnsi="Cambria" w:cs="Verdana"/>
          <w:sz w:val="20"/>
          <w:szCs w:val="20"/>
          <w:lang w:val="es-UY"/>
        </w:rPr>
        <w:t xml:space="preserve"> en la legislación interna,</w:t>
      </w:r>
      <w:r w:rsidR="00F53F95">
        <w:rPr>
          <w:rFonts w:ascii="Cambria" w:hAnsi="Cambria" w:cs="Verdana"/>
          <w:sz w:val="20"/>
          <w:szCs w:val="20"/>
          <w:lang w:val="es-UY"/>
        </w:rPr>
        <w:t xml:space="preserve"> sin que el Congreso Nacional tuviera competencia para ello salvo en el supuesto no ocurrido de un juicio político</w:t>
      </w:r>
      <w:r w:rsidR="006927D4">
        <w:rPr>
          <w:rFonts w:ascii="Cambria" w:hAnsi="Cambria" w:cs="Verdana"/>
          <w:sz w:val="20"/>
          <w:szCs w:val="20"/>
          <w:lang w:val="es-UY"/>
        </w:rPr>
        <w:t>,</w:t>
      </w:r>
      <w:r w:rsidRPr="00924BDC">
        <w:rPr>
          <w:rFonts w:ascii="Cambria" w:hAnsi="Cambria" w:cs="Verdana"/>
          <w:sz w:val="20"/>
          <w:szCs w:val="20"/>
          <w:lang w:val="es-UY"/>
        </w:rPr>
        <w:t xml:space="preserve"> lo cual afectó</w:t>
      </w:r>
      <w:r w:rsidR="006927D4">
        <w:rPr>
          <w:rFonts w:ascii="Cambria" w:hAnsi="Cambria" w:cs="Verdana"/>
          <w:sz w:val="20"/>
          <w:szCs w:val="20"/>
          <w:lang w:val="es-UY"/>
        </w:rPr>
        <w:t xml:space="preserve"> </w:t>
      </w:r>
      <w:r w:rsidRPr="00924BDC">
        <w:rPr>
          <w:rFonts w:ascii="Cambria" w:hAnsi="Cambria" w:cs="Verdana"/>
          <w:sz w:val="20"/>
          <w:szCs w:val="20"/>
          <w:lang w:val="es-UY"/>
        </w:rPr>
        <w:t>el principio de independencia judicial</w:t>
      </w:r>
      <w:r w:rsidR="007A0D07">
        <w:rPr>
          <w:rFonts w:ascii="Cambria" w:hAnsi="Cambria" w:cs="Verdana"/>
          <w:sz w:val="20"/>
          <w:szCs w:val="20"/>
          <w:lang w:val="es-UY"/>
        </w:rPr>
        <w:t xml:space="preserve">, el principio de legalidad y el </w:t>
      </w:r>
      <w:r w:rsidR="00C21179">
        <w:rPr>
          <w:rFonts w:ascii="Cambria" w:hAnsi="Cambria" w:cs="Verdana"/>
          <w:sz w:val="20"/>
          <w:szCs w:val="20"/>
          <w:lang w:val="es-UY"/>
        </w:rPr>
        <w:t>derecho a contar con autoridad competente mediante procedimientos previamente establecidos.</w:t>
      </w:r>
    </w:p>
    <w:p w14:paraId="2A195846" w14:textId="77777777" w:rsidR="00681A99" w:rsidRDefault="00681A99" w:rsidP="00681A9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s="Verdana"/>
          <w:sz w:val="20"/>
          <w:szCs w:val="20"/>
          <w:lang w:val="es-UY"/>
        </w:rPr>
      </w:pPr>
    </w:p>
    <w:p w14:paraId="618B8F0D" w14:textId="6A390FA0" w:rsidR="00515137" w:rsidRPr="00681A99" w:rsidRDefault="00591371" w:rsidP="000D7A15">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lang w:val="es-UY"/>
        </w:rPr>
      </w:pPr>
      <w:r w:rsidRPr="00681A99">
        <w:rPr>
          <w:rFonts w:ascii="Cambria" w:hAnsi="Cambria"/>
          <w:sz w:val="20"/>
          <w:szCs w:val="20"/>
          <w:lang w:val="es-ES"/>
        </w:rPr>
        <w:t xml:space="preserve">En virtud de lo anterior, la CIDH concluye que el Estado violó los artículos 8.1 y 9 de la Convención Americana en relación con el artículo 1.1 del mismo instrumento en perjuicio </w:t>
      </w:r>
      <w:r w:rsidR="005F43FB" w:rsidRPr="00681A99">
        <w:rPr>
          <w:rFonts w:ascii="Cambria" w:hAnsi="Cambria"/>
          <w:sz w:val="20"/>
          <w:szCs w:val="20"/>
          <w:lang w:val="es-ES"/>
        </w:rPr>
        <w:t xml:space="preserve">de Carlos Julio Aguinaga Aillón. </w:t>
      </w:r>
    </w:p>
    <w:p w14:paraId="529DA358" w14:textId="77777777" w:rsidR="000D7A15" w:rsidRPr="000D7A15" w:rsidRDefault="000D7A15" w:rsidP="000D7A1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s="Verdana"/>
          <w:sz w:val="20"/>
          <w:szCs w:val="20"/>
          <w:lang w:val="es-UY"/>
        </w:rPr>
      </w:pPr>
    </w:p>
    <w:p w14:paraId="674B57EB" w14:textId="77777777" w:rsidR="001E4A8B" w:rsidRDefault="002E5E79" w:rsidP="00515137">
      <w:pPr>
        <w:pStyle w:val="Heading3"/>
        <w:numPr>
          <w:ilvl w:val="0"/>
          <w:numId w:val="64"/>
        </w:numPr>
        <w:spacing w:before="0" w:after="0"/>
        <w:ind w:hanging="720"/>
        <w:jc w:val="both"/>
        <w:rPr>
          <w:rFonts w:ascii="Cambria" w:hAnsi="Cambria"/>
          <w:sz w:val="20"/>
          <w:szCs w:val="20"/>
          <w:lang w:val="es-ES_tradnl"/>
        </w:rPr>
      </w:pPr>
      <w:bookmarkStart w:id="33" w:name="_Toc516682006"/>
      <w:r w:rsidRPr="00FE60A7">
        <w:rPr>
          <w:rFonts w:ascii="Cambria" w:hAnsi="Cambria"/>
          <w:sz w:val="20"/>
          <w:szCs w:val="20"/>
          <w:lang w:val="es-ES_tradnl"/>
        </w:rPr>
        <w:t>Derecho a conocer previa y detalladamente la acusación formulada y de tener el tiempo y los medios adecuados para la defensa</w:t>
      </w:r>
      <w:bookmarkEnd w:id="33"/>
    </w:p>
    <w:p w14:paraId="0739481A" w14:textId="77777777" w:rsidR="00964DC3" w:rsidRPr="00964DC3" w:rsidRDefault="00964DC3" w:rsidP="00964DC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s="Verdana"/>
          <w:sz w:val="20"/>
          <w:szCs w:val="20"/>
          <w:lang w:val="es-UY"/>
        </w:rPr>
      </w:pPr>
    </w:p>
    <w:p w14:paraId="42C94A64" w14:textId="416AB50C" w:rsidR="00094EAF" w:rsidRPr="00964DC3" w:rsidRDefault="001E4A8B" w:rsidP="00964DC3">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lang w:val="es-UY"/>
        </w:rPr>
      </w:pPr>
      <w:r w:rsidRPr="00964DC3">
        <w:rPr>
          <w:rFonts w:ascii="Cambria" w:hAnsi="Cambria" w:cs="Verdana"/>
          <w:sz w:val="20"/>
          <w:szCs w:val="20"/>
          <w:lang w:val="es-UY"/>
        </w:rPr>
        <w:t>L</w:t>
      </w:r>
      <w:r w:rsidRPr="00964DC3" w:rsidDel="00044636">
        <w:rPr>
          <w:rFonts w:ascii="Cambria" w:hAnsi="Cambria" w:cs="Verdana"/>
          <w:sz w:val="20"/>
          <w:szCs w:val="20"/>
          <w:lang w:val="es-UY"/>
        </w:rPr>
        <w:t>a Comisión recuerda que</w:t>
      </w:r>
      <w:r w:rsidRPr="00964DC3">
        <w:rPr>
          <w:rFonts w:ascii="Cambria" w:hAnsi="Cambria" w:cs="Verdana"/>
          <w:sz w:val="20"/>
          <w:szCs w:val="20"/>
          <w:lang w:val="es-UY"/>
        </w:rPr>
        <w:t xml:space="preserve"> el derecho a la defensa </w:t>
      </w:r>
      <w:r w:rsidRPr="00964DC3" w:rsidDel="00044636">
        <w:rPr>
          <w:rFonts w:ascii="Cambria" w:hAnsi="Cambria" w:cs="Verdana"/>
          <w:sz w:val="20"/>
          <w:szCs w:val="20"/>
          <w:lang w:val="es-UY"/>
        </w:rPr>
        <w:t xml:space="preserve">implica que </w:t>
      </w:r>
      <w:r w:rsidRPr="00964DC3">
        <w:rPr>
          <w:rFonts w:ascii="Cambria" w:hAnsi="Cambria" w:cs="Verdana"/>
          <w:sz w:val="20"/>
          <w:szCs w:val="20"/>
          <w:lang w:val="es-UY"/>
        </w:rPr>
        <w:t>la persona sometida a un proceso, incluyendo uno de carácter administrativo, pueda defender sus intereses o derechos en forma efectiva y en “condiciones de igualdad procesal (…) siendo plenamente informado de las acusaciones que se formulan en su contra</w:t>
      </w:r>
      <w:r w:rsidRPr="00964DC3">
        <w:rPr>
          <w:rFonts w:ascii="Cambria" w:hAnsi="Cambria" w:cs="Verdana"/>
          <w:sz w:val="20"/>
          <w:szCs w:val="20"/>
          <w:vertAlign w:val="superscript"/>
          <w:lang w:val="es-UY"/>
        </w:rPr>
        <w:footnoteReference w:id="35"/>
      </w:r>
      <w:r w:rsidRPr="00964DC3">
        <w:rPr>
          <w:rFonts w:ascii="Cambria" w:hAnsi="Cambria" w:cs="Verdana"/>
          <w:sz w:val="20"/>
          <w:szCs w:val="20"/>
          <w:lang w:val="es-UY"/>
        </w:rPr>
        <w:t>”.</w:t>
      </w:r>
      <w:r w:rsidRPr="00964DC3">
        <w:rPr>
          <w:rFonts w:ascii="Cambria" w:hAnsi="Cambria"/>
          <w:sz w:val="20"/>
          <w:szCs w:val="20"/>
          <w:lang w:val="es-ES_tradnl"/>
        </w:rPr>
        <w:t xml:space="preserve"> </w:t>
      </w:r>
      <w:r w:rsidRPr="00964DC3">
        <w:rPr>
          <w:rFonts w:ascii="Cambria" w:hAnsi="Cambria"/>
          <w:sz w:val="20"/>
          <w:szCs w:val="20"/>
          <w:lang w:val="es-ES" w:eastAsia="es-ES"/>
        </w:rPr>
        <w:t>Específicamente</w:t>
      </w:r>
      <w:r w:rsidRPr="00964DC3">
        <w:rPr>
          <w:rFonts w:ascii="Cambria" w:hAnsi="Cambria"/>
          <w:sz w:val="20"/>
          <w:szCs w:val="20"/>
          <w:lang w:val="es-CL"/>
        </w:rPr>
        <w:t xml:space="preserve"> respecto de los procedimientos disciplinarios de las y los jueces, la Corte Interamericana, siguiendo lo establecido en los Principios Básicos, ha señalado que la autoridad a cargo del proceso </w:t>
      </w:r>
      <w:r w:rsidR="00CA635C" w:rsidRPr="00964DC3">
        <w:rPr>
          <w:rFonts w:ascii="Cambria" w:hAnsi="Cambria"/>
          <w:sz w:val="20"/>
          <w:szCs w:val="20"/>
          <w:lang w:val="es-CL"/>
        </w:rPr>
        <w:t xml:space="preserve">sancionatorio </w:t>
      </w:r>
      <w:r w:rsidRPr="00964DC3">
        <w:rPr>
          <w:rFonts w:ascii="Cambria" w:hAnsi="Cambria"/>
          <w:sz w:val="20"/>
          <w:szCs w:val="20"/>
          <w:lang w:val="es-CL"/>
        </w:rPr>
        <w:t>debe conducirse conforme el procedimiento establecido para el efecto y permitir el ejercicio del derecho de defensa</w:t>
      </w:r>
      <w:r w:rsidRPr="00910616">
        <w:rPr>
          <w:rStyle w:val="FootnoteReference"/>
          <w:rFonts w:ascii="Cambria" w:hAnsi="Cambria"/>
          <w:sz w:val="20"/>
          <w:szCs w:val="20"/>
          <w:lang w:val="es-CL"/>
        </w:rPr>
        <w:footnoteReference w:id="36"/>
      </w:r>
      <w:r w:rsidRPr="00964DC3">
        <w:rPr>
          <w:rFonts w:ascii="Cambria" w:hAnsi="Cambria"/>
          <w:sz w:val="20"/>
          <w:szCs w:val="20"/>
          <w:lang w:val="es-CL"/>
        </w:rPr>
        <w:t>.</w:t>
      </w:r>
      <w:r w:rsidRPr="00964DC3">
        <w:rPr>
          <w:rFonts w:ascii="Cambria" w:hAnsi="Cambria"/>
          <w:sz w:val="20"/>
          <w:szCs w:val="20"/>
          <w:lang w:val="es-ES"/>
        </w:rPr>
        <w:t xml:space="preserve"> </w:t>
      </w:r>
    </w:p>
    <w:p w14:paraId="3F37AA88" w14:textId="77777777" w:rsidR="00176469" w:rsidRDefault="00176469" w:rsidP="0017646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ES"/>
        </w:rPr>
      </w:pPr>
    </w:p>
    <w:p w14:paraId="5595F2D4" w14:textId="6ADA4ED7" w:rsidR="00094EAF" w:rsidRDefault="00E57B06" w:rsidP="00094EAF">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sidRPr="00094EAF">
        <w:rPr>
          <w:rFonts w:ascii="Cambria" w:hAnsi="Cambria"/>
          <w:sz w:val="20"/>
          <w:szCs w:val="20"/>
          <w:lang w:val="es-ES"/>
        </w:rPr>
        <w:t xml:space="preserve">La CIDH observa que en el presente caso no consta que el Estado haya notificado a la presunta víctima sobre el inicio de un procedimiento </w:t>
      </w:r>
      <w:r w:rsidR="00E03283">
        <w:rPr>
          <w:rFonts w:ascii="Cambria" w:hAnsi="Cambria"/>
          <w:sz w:val="20"/>
          <w:szCs w:val="20"/>
          <w:lang w:val="es-ES"/>
        </w:rPr>
        <w:t xml:space="preserve">que podría terminar con su cese, </w:t>
      </w:r>
      <w:r w:rsidRPr="00094EAF">
        <w:rPr>
          <w:rFonts w:ascii="Cambria" w:hAnsi="Cambria"/>
          <w:sz w:val="20"/>
          <w:szCs w:val="20"/>
          <w:lang w:val="es-ES"/>
        </w:rPr>
        <w:t>ni que le haya otorgado posibilidad</w:t>
      </w:r>
      <w:r w:rsidR="00E03283">
        <w:rPr>
          <w:rFonts w:ascii="Cambria" w:hAnsi="Cambria"/>
          <w:sz w:val="20"/>
          <w:szCs w:val="20"/>
          <w:lang w:val="es-ES"/>
        </w:rPr>
        <w:t xml:space="preserve"> alguna </w:t>
      </w:r>
      <w:r w:rsidRPr="00094EAF">
        <w:rPr>
          <w:rFonts w:ascii="Cambria" w:hAnsi="Cambria"/>
          <w:sz w:val="20"/>
          <w:szCs w:val="20"/>
          <w:lang w:val="es-ES"/>
        </w:rPr>
        <w:t>de</w:t>
      </w:r>
      <w:r w:rsidR="00E03283">
        <w:rPr>
          <w:rFonts w:ascii="Cambria" w:hAnsi="Cambria"/>
          <w:sz w:val="20"/>
          <w:szCs w:val="20"/>
          <w:lang w:val="es-ES"/>
        </w:rPr>
        <w:t xml:space="preserve"> ser oído y de formular </w:t>
      </w:r>
      <w:r w:rsidRPr="00094EAF">
        <w:rPr>
          <w:rFonts w:ascii="Cambria" w:hAnsi="Cambria"/>
          <w:sz w:val="20"/>
          <w:szCs w:val="20"/>
          <w:lang w:val="es-ES"/>
        </w:rPr>
        <w:t>defen</w:t>
      </w:r>
      <w:r w:rsidR="00E03283">
        <w:rPr>
          <w:rFonts w:ascii="Cambria" w:hAnsi="Cambria"/>
          <w:sz w:val="20"/>
          <w:szCs w:val="20"/>
          <w:lang w:val="es-ES"/>
        </w:rPr>
        <w:t>sa</w:t>
      </w:r>
      <w:r w:rsidRPr="00094EAF">
        <w:rPr>
          <w:rFonts w:ascii="Cambria" w:hAnsi="Cambria"/>
          <w:sz w:val="20"/>
          <w:szCs w:val="20"/>
          <w:lang w:val="es-ES"/>
        </w:rPr>
        <w:t xml:space="preserve"> previo a su cese del cargo de vocal del Tribunal Supremo Electoral, mediante la </w:t>
      </w:r>
      <w:r w:rsidR="00E03283">
        <w:rPr>
          <w:rFonts w:ascii="Cambria" w:hAnsi="Cambria"/>
          <w:sz w:val="20"/>
          <w:szCs w:val="20"/>
          <w:lang w:val="es-ES"/>
        </w:rPr>
        <w:t>R</w:t>
      </w:r>
      <w:r w:rsidRPr="00094EAF">
        <w:rPr>
          <w:rFonts w:ascii="Cambria" w:hAnsi="Cambria"/>
          <w:sz w:val="20"/>
          <w:szCs w:val="20"/>
          <w:lang w:val="es-ES"/>
        </w:rPr>
        <w:t xml:space="preserve">esolución 25-160 del Congreso Nacional. </w:t>
      </w:r>
    </w:p>
    <w:p w14:paraId="74919D88" w14:textId="77777777" w:rsidR="00094EAF" w:rsidRDefault="00094EAF" w:rsidP="00094EA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ES"/>
        </w:rPr>
      </w:pPr>
    </w:p>
    <w:p w14:paraId="1155678A" w14:textId="77777777" w:rsidR="00404EDE" w:rsidRDefault="001E4A8B" w:rsidP="00404EDE">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ES"/>
        </w:rPr>
      </w:pPr>
      <w:r w:rsidRPr="00094EAF">
        <w:rPr>
          <w:rFonts w:ascii="Cambria" w:hAnsi="Cambria"/>
          <w:sz w:val="20"/>
          <w:szCs w:val="20"/>
          <w:lang w:val="es-ES"/>
        </w:rPr>
        <w:t>En virtud de lo anterior, la CIDH concluye que el Estado violó los artículos 8.2 b) y 8.2 c) de la Convenci</w:t>
      </w:r>
      <w:r w:rsidR="00FF3C5D" w:rsidRPr="00094EAF">
        <w:rPr>
          <w:rFonts w:ascii="Cambria" w:hAnsi="Cambria"/>
          <w:sz w:val="20"/>
          <w:szCs w:val="20"/>
          <w:lang w:val="es-ES"/>
        </w:rPr>
        <w:t>ón Americana en relación con el artículo 1.1 del mismo instrumento en perjuicio de Carlos Julio Aguinaga Aillón.</w:t>
      </w:r>
    </w:p>
    <w:p w14:paraId="614AFB0E" w14:textId="77777777" w:rsidR="003E28E7" w:rsidRDefault="003E28E7" w:rsidP="003E28E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14:paraId="124DE5F0" w14:textId="77777777" w:rsidR="00C16812" w:rsidRDefault="00C16812" w:rsidP="003E28E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14:paraId="5065A571" w14:textId="77777777" w:rsidR="00C16812" w:rsidRPr="004B7A49" w:rsidRDefault="00C16812" w:rsidP="003E28E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14:paraId="1471D9CD" w14:textId="77777777" w:rsidR="00725198" w:rsidRDefault="00132771" w:rsidP="003E28E7">
      <w:pPr>
        <w:pStyle w:val="Heading3"/>
        <w:numPr>
          <w:ilvl w:val="0"/>
          <w:numId w:val="64"/>
        </w:numPr>
        <w:spacing w:before="0" w:after="0"/>
        <w:ind w:hanging="720"/>
        <w:jc w:val="both"/>
        <w:rPr>
          <w:rFonts w:ascii="Cambria" w:hAnsi="Cambria"/>
          <w:sz w:val="20"/>
          <w:szCs w:val="20"/>
          <w:lang w:val="es-ES_tradnl"/>
        </w:rPr>
      </w:pPr>
      <w:bookmarkStart w:id="34" w:name="_Toc516682007"/>
      <w:r>
        <w:rPr>
          <w:rFonts w:ascii="Cambria" w:hAnsi="Cambria"/>
          <w:sz w:val="20"/>
          <w:szCs w:val="20"/>
          <w:lang w:val="es-ES_tradnl"/>
        </w:rPr>
        <w:t>E</w:t>
      </w:r>
      <w:r w:rsidRPr="00132771">
        <w:rPr>
          <w:rFonts w:ascii="Cambria" w:hAnsi="Cambria"/>
          <w:sz w:val="20"/>
          <w:szCs w:val="20"/>
          <w:lang w:val="es-ES_tradnl"/>
        </w:rPr>
        <w:t>l derecho a recurrir el fallo</w:t>
      </w:r>
      <w:r w:rsidRPr="00132771">
        <w:rPr>
          <w:rFonts w:ascii="Cambria" w:hAnsi="Cambria"/>
          <w:sz w:val="20"/>
          <w:szCs w:val="20"/>
          <w:vertAlign w:val="superscript"/>
          <w:lang w:val="es-ES_tradnl"/>
        </w:rPr>
        <w:footnoteReference w:id="37"/>
      </w:r>
      <w:r w:rsidRPr="00132771">
        <w:rPr>
          <w:rFonts w:ascii="Cambria" w:hAnsi="Cambria"/>
          <w:sz w:val="20"/>
          <w:szCs w:val="20"/>
          <w:lang w:val="es-ES_tradnl"/>
        </w:rPr>
        <w:t xml:space="preserve"> y el derecho a la protección judicial</w:t>
      </w:r>
      <w:r w:rsidRPr="00132771">
        <w:rPr>
          <w:rFonts w:ascii="Cambria" w:hAnsi="Cambria"/>
          <w:sz w:val="20"/>
          <w:szCs w:val="20"/>
          <w:vertAlign w:val="superscript"/>
          <w:lang w:val="es-ES_tradnl"/>
        </w:rPr>
        <w:footnoteReference w:id="38"/>
      </w:r>
      <w:bookmarkEnd w:id="34"/>
    </w:p>
    <w:p w14:paraId="6EBD3794" w14:textId="77777777" w:rsidR="007768AF" w:rsidRPr="007768AF" w:rsidRDefault="007768AF" w:rsidP="007768AF">
      <w:pPr>
        <w:rPr>
          <w:lang w:val="es-ES_tradnl"/>
        </w:rPr>
      </w:pPr>
    </w:p>
    <w:p w14:paraId="6C0A2C1D" w14:textId="5918048A" w:rsidR="007E63D7" w:rsidRDefault="007768AF" w:rsidP="007E63D7">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CO"/>
        </w:rPr>
      </w:pPr>
      <w:r w:rsidRPr="00D276E7">
        <w:rPr>
          <w:rFonts w:ascii="Cambria" w:hAnsi="Cambria"/>
          <w:sz w:val="20"/>
          <w:szCs w:val="20"/>
          <w:lang w:val="es-CO"/>
        </w:rPr>
        <w:t xml:space="preserve">La CIDH recuerda que el derecho a recurrir el fallo hace parte del debido proceso legal de un procedimiento </w:t>
      </w:r>
      <w:r w:rsidRPr="00EA7772">
        <w:rPr>
          <w:rFonts w:ascii="Cambria" w:hAnsi="Cambria"/>
          <w:sz w:val="20"/>
          <w:szCs w:val="20"/>
          <w:lang w:val="es-CO"/>
        </w:rPr>
        <w:t>sancionatorio</w:t>
      </w:r>
      <w:r w:rsidRPr="00D276E7">
        <w:rPr>
          <w:rFonts w:ascii="Cambria" w:hAnsi="Cambria"/>
          <w:sz w:val="20"/>
          <w:szCs w:val="20"/>
          <w:vertAlign w:val="superscript"/>
        </w:rPr>
        <w:footnoteReference w:id="39"/>
      </w:r>
      <w:r w:rsidRPr="00D276E7">
        <w:rPr>
          <w:rFonts w:ascii="Cambria" w:hAnsi="Cambria"/>
          <w:sz w:val="20"/>
          <w:szCs w:val="20"/>
          <w:lang w:val="es-CO"/>
        </w:rPr>
        <w:t xml:space="preserve"> y es una garantía primordial cuya finalidad es evitar que se consolide una situación de injusticia</w:t>
      </w:r>
      <w:r w:rsidRPr="00D276E7">
        <w:rPr>
          <w:rStyle w:val="FootnoteReference"/>
          <w:rFonts w:ascii="Cambria" w:hAnsi="Cambria"/>
          <w:sz w:val="20"/>
          <w:szCs w:val="20"/>
          <w:lang w:val="es-CO"/>
        </w:rPr>
        <w:footnoteReference w:id="40"/>
      </w:r>
      <w:r w:rsidR="00A4174E">
        <w:rPr>
          <w:rFonts w:ascii="Cambria" w:hAnsi="Cambria"/>
          <w:sz w:val="20"/>
          <w:szCs w:val="20"/>
          <w:lang w:val="es-CO"/>
        </w:rPr>
        <w:t xml:space="preserve">. </w:t>
      </w:r>
      <w:r w:rsidRPr="00D276E7">
        <w:rPr>
          <w:rFonts w:ascii="Cambria" w:hAnsi="Cambria"/>
          <w:sz w:val="20"/>
          <w:szCs w:val="20"/>
          <w:lang w:val="es-CO"/>
        </w:rPr>
        <w:t>En cuanto al alcance del derecho a recurrir, tanto la CIDH como la Corte han indicado que este implica un examen por un juez o tribunal distinto y de superior jerarquía tanto de aspectos de hecho como de derecho de la decisión recurrida</w:t>
      </w:r>
      <w:r w:rsidRPr="00D276E7">
        <w:rPr>
          <w:rStyle w:val="FootnoteReference"/>
          <w:rFonts w:ascii="Cambria" w:hAnsi="Cambria"/>
          <w:sz w:val="20"/>
          <w:szCs w:val="20"/>
          <w:lang w:val="es-CO"/>
        </w:rPr>
        <w:footnoteReference w:id="41"/>
      </w:r>
      <w:r w:rsidRPr="00D276E7">
        <w:rPr>
          <w:rFonts w:ascii="Cambria" w:hAnsi="Cambria"/>
          <w:sz w:val="20"/>
          <w:szCs w:val="20"/>
          <w:lang w:val="es-CO"/>
        </w:rPr>
        <w:t>. Debe proceder antes que la sentencia adquiera calidad de cosa juzgada, debe ser resuelto en un plazo razonable, debe ser oportuno y eficaz, es decir, debe dar resultado o respuesta al fin para el cual fue concebido. Además, debe ser accesible, sin requerir mayores formalidades que tornen ilusorio el derecho</w:t>
      </w:r>
      <w:r w:rsidRPr="00D276E7">
        <w:rPr>
          <w:rStyle w:val="FootnoteReference"/>
          <w:rFonts w:ascii="Cambria" w:hAnsi="Cambria"/>
          <w:sz w:val="20"/>
          <w:szCs w:val="20"/>
          <w:lang w:val="es-CO"/>
        </w:rPr>
        <w:footnoteReference w:id="42"/>
      </w:r>
      <w:r w:rsidRPr="00D276E7">
        <w:rPr>
          <w:rFonts w:ascii="Cambria" w:hAnsi="Cambria"/>
          <w:sz w:val="20"/>
          <w:szCs w:val="20"/>
          <w:lang w:val="es-CO"/>
        </w:rPr>
        <w:t xml:space="preserve">.  </w:t>
      </w:r>
    </w:p>
    <w:p w14:paraId="5D4B3E68" w14:textId="77777777" w:rsidR="007E63D7" w:rsidRDefault="007E63D7" w:rsidP="007E63D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CO"/>
        </w:rPr>
      </w:pPr>
    </w:p>
    <w:p w14:paraId="2AA60EF3" w14:textId="018621B1" w:rsidR="007768AF" w:rsidRDefault="007768AF" w:rsidP="007E63D7">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CO"/>
        </w:rPr>
      </w:pPr>
      <w:r w:rsidRPr="007E63D7">
        <w:rPr>
          <w:rFonts w:ascii="Cambria" w:hAnsi="Cambria"/>
          <w:sz w:val="20"/>
          <w:szCs w:val="20"/>
          <w:lang w:val="es-CO"/>
        </w:rPr>
        <w:t>Finalmente, la CIDH recuerda que el Estado está en la obligación general de proveer recursos judiciales efectivos a las personas que aleguen ser víctimas de violaciones de derechos humanos, los cuales deben ser sustanciados de conformidad con las reglas del debido proceso legal. Para que exista un recurso efectivo no basta con que esté previsto legalmente sino que deber ser realmente idóneo para establecer si se ha incurrido en una violación a los derechos humanos, y proveer lo necesario para remediarla</w:t>
      </w:r>
      <w:r w:rsidRPr="00D276E7">
        <w:rPr>
          <w:rFonts w:ascii="Cambria" w:hAnsi="Cambria"/>
          <w:sz w:val="20"/>
          <w:szCs w:val="20"/>
          <w:vertAlign w:val="superscript"/>
        </w:rPr>
        <w:footnoteReference w:id="43"/>
      </w:r>
      <w:r w:rsidRPr="007E63D7">
        <w:rPr>
          <w:rFonts w:ascii="Cambria" w:hAnsi="Cambria"/>
          <w:sz w:val="20"/>
          <w:szCs w:val="20"/>
          <w:lang w:val="es-CO"/>
        </w:rPr>
        <w:t xml:space="preserve">. </w:t>
      </w:r>
    </w:p>
    <w:p w14:paraId="3F983AB9" w14:textId="77777777" w:rsidR="00560281" w:rsidRDefault="00560281" w:rsidP="00560281">
      <w:pPr>
        <w:pStyle w:val="ListParagraph"/>
        <w:rPr>
          <w:sz w:val="20"/>
          <w:szCs w:val="20"/>
          <w:lang w:val="es-CO"/>
        </w:rPr>
      </w:pPr>
    </w:p>
    <w:p w14:paraId="4E1198C2" w14:textId="027506D2" w:rsidR="00ED47E1" w:rsidRDefault="00560281" w:rsidP="00ED47E1">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CO"/>
        </w:rPr>
      </w:pPr>
      <w:r>
        <w:rPr>
          <w:rFonts w:ascii="Cambria" w:hAnsi="Cambria"/>
          <w:sz w:val="20"/>
          <w:szCs w:val="20"/>
          <w:lang w:val="es-CO"/>
        </w:rPr>
        <w:t xml:space="preserve">La Comisión ya declaró que el Estado </w:t>
      </w:r>
      <w:r w:rsidR="0059357A">
        <w:rPr>
          <w:rFonts w:ascii="Cambria" w:hAnsi="Cambria"/>
          <w:sz w:val="20"/>
          <w:szCs w:val="20"/>
          <w:lang w:val="es-CO"/>
        </w:rPr>
        <w:t xml:space="preserve">cesó a la presunta víctima </w:t>
      </w:r>
      <w:r w:rsidR="00E901F7">
        <w:rPr>
          <w:rFonts w:ascii="Cambria" w:hAnsi="Cambria"/>
          <w:sz w:val="20"/>
          <w:szCs w:val="20"/>
          <w:lang w:val="es-CO"/>
        </w:rPr>
        <w:t xml:space="preserve">como una forma de sanción </w:t>
      </w:r>
      <w:r w:rsidR="00E901F7">
        <w:rPr>
          <w:rFonts w:ascii="Cambria" w:hAnsi="Cambria"/>
          <w:i/>
          <w:sz w:val="20"/>
          <w:szCs w:val="20"/>
          <w:lang w:val="es-CO"/>
        </w:rPr>
        <w:t>de facto</w:t>
      </w:r>
      <w:r w:rsidR="00E901F7">
        <w:rPr>
          <w:rFonts w:ascii="Cambria" w:hAnsi="Cambria"/>
          <w:sz w:val="20"/>
          <w:szCs w:val="20"/>
          <w:lang w:val="es-CO"/>
        </w:rPr>
        <w:t xml:space="preserve">, en violación al principio de independencia judicial, a las garantías del debido proceso y al principio de legalidad. Conforme a lo hechos probados, el señor Aguinaga Aillón no contaba con ningún mecanismo para </w:t>
      </w:r>
      <w:r w:rsidR="0059357A">
        <w:rPr>
          <w:rFonts w:ascii="Cambria" w:hAnsi="Cambria"/>
          <w:sz w:val="20"/>
          <w:szCs w:val="20"/>
          <w:lang w:val="es-CO"/>
        </w:rPr>
        <w:t xml:space="preserve">cuestionar </w:t>
      </w:r>
      <w:r w:rsidR="00E901F7">
        <w:rPr>
          <w:rFonts w:ascii="Cambria" w:hAnsi="Cambria"/>
          <w:sz w:val="20"/>
          <w:szCs w:val="20"/>
          <w:lang w:val="es-CO"/>
        </w:rPr>
        <w:t xml:space="preserve">la decisión de cese </w:t>
      </w:r>
      <w:r w:rsidR="0059357A">
        <w:rPr>
          <w:rFonts w:ascii="Cambria" w:hAnsi="Cambria"/>
          <w:sz w:val="20"/>
          <w:szCs w:val="20"/>
          <w:lang w:val="es-CO"/>
        </w:rPr>
        <w:t>por dos razones fundamentales</w:t>
      </w:r>
      <w:r w:rsidR="00E901F7">
        <w:rPr>
          <w:rFonts w:ascii="Cambria" w:hAnsi="Cambria"/>
          <w:sz w:val="20"/>
          <w:szCs w:val="20"/>
          <w:lang w:val="es-CO"/>
        </w:rPr>
        <w:t>.</w:t>
      </w:r>
      <w:r w:rsidR="0059357A">
        <w:rPr>
          <w:rFonts w:ascii="Cambria" w:hAnsi="Cambria"/>
          <w:sz w:val="20"/>
          <w:szCs w:val="20"/>
          <w:lang w:val="es-CO"/>
        </w:rPr>
        <w:t xml:space="preserve"> </w:t>
      </w:r>
      <w:r w:rsidR="00E901F7">
        <w:rPr>
          <w:rFonts w:ascii="Cambria" w:hAnsi="Cambria"/>
          <w:sz w:val="20"/>
          <w:szCs w:val="20"/>
          <w:lang w:val="es-CO"/>
        </w:rPr>
        <w:t>E</w:t>
      </w:r>
      <w:r w:rsidR="0059357A">
        <w:rPr>
          <w:rFonts w:ascii="Cambria" w:hAnsi="Cambria"/>
          <w:sz w:val="20"/>
          <w:szCs w:val="20"/>
          <w:lang w:val="es-CO"/>
        </w:rPr>
        <w:t>n primer lugar porque</w:t>
      </w:r>
      <w:r w:rsidR="00842F2D">
        <w:rPr>
          <w:rFonts w:ascii="Cambria" w:hAnsi="Cambria"/>
          <w:sz w:val="20"/>
          <w:szCs w:val="20"/>
          <w:lang w:val="es-CO"/>
        </w:rPr>
        <w:t xml:space="preserve"> como y</w:t>
      </w:r>
      <w:r w:rsidR="000B610E">
        <w:rPr>
          <w:rFonts w:ascii="Cambria" w:hAnsi="Cambria"/>
          <w:sz w:val="20"/>
          <w:szCs w:val="20"/>
          <w:lang w:val="es-CO"/>
        </w:rPr>
        <w:t xml:space="preserve">a se analizó, </w:t>
      </w:r>
      <w:r w:rsidR="0059357A">
        <w:rPr>
          <w:rFonts w:ascii="Cambria" w:hAnsi="Cambria"/>
          <w:sz w:val="20"/>
          <w:szCs w:val="20"/>
          <w:lang w:val="es-CO"/>
        </w:rPr>
        <w:t xml:space="preserve">el procedimiento seguido no estaba previsto en la legislación y por ende no existía un recurso para </w:t>
      </w:r>
      <w:r w:rsidR="0059357A" w:rsidRPr="00842F2D">
        <w:rPr>
          <w:rFonts w:ascii="Cambria" w:hAnsi="Cambria"/>
          <w:sz w:val="20"/>
          <w:szCs w:val="20"/>
          <w:lang w:val="es-CO"/>
        </w:rPr>
        <w:t xml:space="preserve">impugnar </w:t>
      </w:r>
      <w:r w:rsidR="00842F2D">
        <w:rPr>
          <w:rFonts w:ascii="Cambria" w:hAnsi="Cambria"/>
          <w:sz w:val="20"/>
          <w:szCs w:val="20"/>
          <w:lang w:val="es-CO"/>
        </w:rPr>
        <w:t>la decisión</w:t>
      </w:r>
      <w:r w:rsidR="0059357A" w:rsidRPr="00842F2D">
        <w:rPr>
          <w:rFonts w:ascii="Cambria" w:hAnsi="Cambria"/>
          <w:sz w:val="20"/>
          <w:szCs w:val="20"/>
          <w:lang w:val="es-CO"/>
        </w:rPr>
        <w:t>.</w:t>
      </w:r>
      <w:r w:rsidR="0059357A">
        <w:rPr>
          <w:rFonts w:ascii="Cambria" w:hAnsi="Cambria"/>
          <w:sz w:val="20"/>
          <w:szCs w:val="20"/>
          <w:lang w:val="es-CO"/>
        </w:rPr>
        <w:t xml:space="preserve"> En segundo lugar, porque </w:t>
      </w:r>
      <w:r w:rsidR="000C5020">
        <w:rPr>
          <w:rFonts w:ascii="Cambria" w:hAnsi="Cambria"/>
          <w:sz w:val="20"/>
          <w:szCs w:val="20"/>
          <w:lang w:val="es-CO"/>
        </w:rPr>
        <w:t xml:space="preserve">como se estableció en los hechos probados, </w:t>
      </w:r>
      <w:r w:rsidR="0059357A">
        <w:rPr>
          <w:rFonts w:ascii="Cambria" w:hAnsi="Cambria"/>
          <w:sz w:val="20"/>
          <w:szCs w:val="20"/>
          <w:lang w:val="es-CO"/>
        </w:rPr>
        <w:t xml:space="preserve">el Estado </w:t>
      </w:r>
      <w:r w:rsidR="0059357A" w:rsidRPr="000E614C">
        <w:rPr>
          <w:rFonts w:ascii="Cambria" w:hAnsi="Cambria"/>
          <w:sz w:val="20"/>
          <w:szCs w:val="20"/>
          <w:lang w:val="es-CO"/>
        </w:rPr>
        <w:t xml:space="preserve">emitió </w:t>
      </w:r>
      <w:r w:rsidR="00842F2D" w:rsidRPr="000E614C">
        <w:rPr>
          <w:rFonts w:ascii="Cambria" w:hAnsi="Cambria"/>
          <w:sz w:val="20"/>
          <w:szCs w:val="20"/>
          <w:lang w:val="es-CO"/>
        </w:rPr>
        <w:t xml:space="preserve">una </w:t>
      </w:r>
      <w:r w:rsidR="00ED47E1" w:rsidRPr="000E614C">
        <w:rPr>
          <w:rFonts w:ascii="Cambria" w:hAnsi="Cambria"/>
          <w:sz w:val="20"/>
          <w:szCs w:val="20"/>
          <w:lang w:val="es-CO"/>
        </w:rPr>
        <w:t>resoluci</w:t>
      </w:r>
      <w:r w:rsidR="00842F2D" w:rsidRPr="000E614C">
        <w:rPr>
          <w:rFonts w:ascii="Cambria" w:hAnsi="Cambria"/>
          <w:sz w:val="20"/>
          <w:szCs w:val="20"/>
          <w:lang w:val="es-CO"/>
        </w:rPr>
        <w:t>ón</w:t>
      </w:r>
      <w:r w:rsidR="00ED47E1" w:rsidRPr="000E614C">
        <w:rPr>
          <w:rFonts w:ascii="Cambria" w:hAnsi="Cambria"/>
          <w:sz w:val="20"/>
          <w:szCs w:val="20"/>
          <w:lang w:val="es-CO"/>
        </w:rPr>
        <w:t xml:space="preserve"> para obstaculizar la posibilidad de plantear el recurso de amparo cont</w:t>
      </w:r>
      <w:r w:rsidR="00ED47E1">
        <w:rPr>
          <w:rFonts w:ascii="Cambria" w:hAnsi="Cambria"/>
          <w:sz w:val="20"/>
          <w:szCs w:val="20"/>
          <w:lang w:val="es-CO"/>
        </w:rPr>
        <w:t xml:space="preserve">ra la resolución del Congreso. </w:t>
      </w:r>
      <w:r w:rsidR="00F500C2">
        <w:rPr>
          <w:rFonts w:ascii="Cambria" w:hAnsi="Cambria"/>
          <w:sz w:val="20"/>
          <w:szCs w:val="20"/>
          <w:lang w:val="es-CO"/>
        </w:rPr>
        <w:t xml:space="preserve">En ese sentido, </w:t>
      </w:r>
      <w:r w:rsidR="00ED47E1">
        <w:rPr>
          <w:rFonts w:ascii="Cambria" w:hAnsi="Cambria"/>
          <w:sz w:val="20"/>
          <w:szCs w:val="20"/>
          <w:lang w:val="es-CO"/>
        </w:rPr>
        <w:t>el único recurso disponible era la acción de inconstitucionalidad,</w:t>
      </w:r>
      <w:r w:rsidR="00F500C2">
        <w:rPr>
          <w:rFonts w:ascii="Cambria" w:hAnsi="Cambria"/>
          <w:sz w:val="20"/>
          <w:szCs w:val="20"/>
          <w:lang w:val="es-CO"/>
        </w:rPr>
        <w:t xml:space="preserve"> la cual </w:t>
      </w:r>
      <w:r w:rsidR="00ED47E1">
        <w:rPr>
          <w:rFonts w:ascii="Cambria" w:hAnsi="Cambria"/>
          <w:sz w:val="20"/>
          <w:szCs w:val="20"/>
          <w:lang w:val="es-CO"/>
        </w:rPr>
        <w:t xml:space="preserve">debía ser resuelta por el </w:t>
      </w:r>
      <w:r w:rsidR="00F500C2">
        <w:rPr>
          <w:rFonts w:ascii="Cambria" w:hAnsi="Cambria"/>
          <w:sz w:val="20"/>
          <w:szCs w:val="20"/>
          <w:lang w:val="es-CO"/>
        </w:rPr>
        <w:t xml:space="preserve">nuevo </w:t>
      </w:r>
      <w:r w:rsidR="00ED47E1">
        <w:rPr>
          <w:rFonts w:ascii="Cambria" w:hAnsi="Cambria"/>
          <w:sz w:val="20"/>
          <w:szCs w:val="20"/>
          <w:lang w:val="es-CO"/>
        </w:rPr>
        <w:t>Tribunal Constitucional designado</w:t>
      </w:r>
      <w:r w:rsidR="00F500C2">
        <w:rPr>
          <w:rFonts w:ascii="Cambria" w:hAnsi="Cambria"/>
          <w:sz w:val="20"/>
          <w:szCs w:val="20"/>
          <w:lang w:val="es-CO"/>
        </w:rPr>
        <w:t xml:space="preserve"> precisamente como con</w:t>
      </w:r>
      <w:r w:rsidR="003E28E7">
        <w:rPr>
          <w:rFonts w:ascii="Cambria" w:hAnsi="Cambria"/>
          <w:sz w:val="20"/>
          <w:szCs w:val="20"/>
          <w:lang w:val="es-CO"/>
        </w:rPr>
        <w:t>secuencia de la Resolución</w:t>
      </w:r>
      <w:r w:rsidR="00F500C2">
        <w:rPr>
          <w:rFonts w:ascii="Cambria" w:hAnsi="Cambria"/>
          <w:sz w:val="20"/>
          <w:szCs w:val="20"/>
          <w:lang w:val="es-CO"/>
        </w:rPr>
        <w:t xml:space="preserve"> 25-060</w:t>
      </w:r>
      <w:r w:rsidR="00ED47E1">
        <w:rPr>
          <w:rFonts w:ascii="Cambria" w:hAnsi="Cambria"/>
          <w:sz w:val="20"/>
          <w:szCs w:val="20"/>
          <w:lang w:val="es-CO"/>
        </w:rPr>
        <w:t xml:space="preserve">, haciendo nula toda posibilidad de una decisión </w:t>
      </w:r>
      <w:r w:rsidR="00D5796C">
        <w:rPr>
          <w:rFonts w:ascii="Cambria" w:hAnsi="Cambria"/>
          <w:sz w:val="20"/>
          <w:szCs w:val="20"/>
          <w:lang w:val="es-CO"/>
        </w:rPr>
        <w:t xml:space="preserve">imparcial y </w:t>
      </w:r>
      <w:r w:rsidR="00ED47E1">
        <w:rPr>
          <w:rFonts w:ascii="Cambria" w:hAnsi="Cambria"/>
          <w:sz w:val="20"/>
          <w:szCs w:val="20"/>
          <w:lang w:val="es-CO"/>
        </w:rPr>
        <w:t xml:space="preserve">efectiva, porque ello implicaría </w:t>
      </w:r>
      <w:r w:rsidR="00D5796C">
        <w:rPr>
          <w:rFonts w:ascii="Cambria" w:hAnsi="Cambria"/>
          <w:sz w:val="20"/>
          <w:szCs w:val="20"/>
          <w:lang w:val="es-CO"/>
        </w:rPr>
        <w:t>determinar la constitucionalidad del acto que permitió su propio nombramiento</w:t>
      </w:r>
      <w:r w:rsidR="003A5091">
        <w:rPr>
          <w:rStyle w:val="FootnoteReference"/>
          <w:rFonts w:ascii="Cambria" w:hAnsi="Cambria"/>
          <w:sz w:val="20"/>
          <w:szCs w:val="20"/>
          <w:lang w:val="es-CO"/>
        </w:rPr>
        <w:footnoteReference w:id="44"/>
      </w:r>
      <w:r w:rsidR="00ED47E1">
        <w:rPr>
          <w:rFonts w:ascii="Cambria" w:hAnsi="Cambria"/>
          <w:sz w:val="20"/>
          <w:szCs w:val="20"/>
          <w:lang w:val="es-CO"/>
        </w:rPr>
        <w:t>.</w:t>
      </w:r>
    </w:p>
    <w:p w14:paraId="21777395" w14:textId="77777777" w:rsidR="00A4174E" w:rsidRPr="00176469" w:rsidRDefault="00A4174E" w:rsidP="00176469">
      <w:pPr>
        <w:rPr>
          <w:sz w:val="20"/>
          <w:szCs w:val="20"/>
          <w:lang w:val="es-CO"/>
        </w:rPr>
      </w:pPr>
    </w:p>
    <w:p w14:paraId="7E99E8FA" w14:textId="2BF2F7A4" w:rsidR="00592E86" w:rsidRDefault="00A4174E" w:rsidP="00250560">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sz w:val="20"/>
          <w:szCs w:val="20"/>
          <w:lang w:val="es-CO"/>
        </w:rPr>
      </w:pPr>
      <w:r w:rsidRPr="00A4174E">
        <w:rPr>
          <w:rFonts w:ascii="Cambria" w:hAnsi="Cambria"/>
          <w:sz w:val="20"/>
          <w:szCs w:val="20"/>
          <w:lang w:val="es-CO"/>
        </w:rPr>
        <w:t xml:space="preserve">En </w:t>
      </w:r>
      <w:r w:rsidRPr="00A4174E">
        <w:rPr>
          <w:rFonts w:ascii="Cambria" w:hAnsi="Cambria"/>
          <w:sz w:val="20"/>
          <w:szCs w:val="20"/>
          <w:lang w:val="es-US"/>
        </w:rPr>
        <w:t>virtud</w:t>
      </w:r>
      <w:r w:rsidRPr="00A4174E">
        <w:rPr>
          <w:rFonts w:ascii="Cambria" w:hAnsi="Cambria"/>
          <w:sz w:val="20"/>
          <w:szCs w:val="20"/>
          <w:lang w:val="es-CO"/>
        </w:rPr>
        <w:t xml:space="preserve"> de las razones anteriores, </w:t>
      </w:r>
      <w:r w:rsidRPr="00A4174E">
        <w:rPr>
          <w:rFonts w:ascii="Cambria" w:hAnsi="Cambria"/>
          <w:sz w:val="20"/>
          <w:szCs w:val="20"/>
          <w:lang w:val="es-CL"/>
        </w:rPr>
        <w:t xml:space="preserve">la Comisión concluye que el Estado ecuatoriano violó los artículos 8.2 h) y 25.1 de la Convención Americana en relación con las obligaciones establecidas en el artículo 1.1 y 2 del mismo instrumento, en perjuicio de </w:t>
      </w:r>
      <w:r>
        <w:rPr>
          <w:rFonts w:ascii="Cambria" w:hAnsi="Cambria"/>
          <w:sz w:val="20"/>
          <w:szCs w:val="20"/>
          <w:lang w:val="es-CL"/>
        </w:rPr>
        <w:t>Carlos Julio Aguinaga Aillón.</w:t>
      </w:r>
    </w:p>
    <w:p w14:paraId="718BB474" w14:textId="77777777" w:rsidR="00250560" w:rsidRPr="00250560" w:rsidRDefault="00250560" w:rsidP="0025056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sz w:val="20"/>
          <w:szCs w:val="20"/>
          <w:lang w:val="es-CO"/>
        </w:rPr>
      </w:pPr>
    </w:p>
    <w:p w14:paraId="1796CD3D" w14:textId="77777777" w:rsidR="00A610DA" w:rsidRPr="00A610DA" w:rsidRDefault="00A610DA" w:rsidP="00250560">
      <w:pPr>
        <w:pStyle w:val="Heading1"/>
        <w:spacing w:before="0"/>
        <w:ind w:firstLine="0"/>
        <w:jc w:val="both"/>
        <w:rPr>
          <w:rFonts w:ascii="Cambria" w:hAnsi="Cambria"/>
          <w:color w:val="auto"/>
          <w:sz w:val="20"/>
          <w:szCs w:val="20"/>
          <w:lang w:val="es-VE"/>
        </w:rPr>
      </w:pPr>
      <w:bookmarkStart w:id="35" w:name="_Toc477355364"/>
      <w:bookmarkStart w:id="36" w:name="_Toc480897210"/>
      <w:bookmarkStart w:id="37" w:name="_Toc516682008"/>
      <w:r w:rsidRPr="00A610DA">
        <w:rPr>
          <w:rFonts w:ascii="Cambria" w:hAnsi="Cambria"/>
          <w:color w:val="auto"/>
          <w:sz w:val="20"/>
          <w:szCs w:val="20"/>
          <w:lang w:val="es-VE"/>
        </w:rPr>
        <w:t>CONCLUSIONES</w:t>
      </w:r>
      <w:bookmarkEnd w:id="35"/>
      <w:bookmarkEnd w:id="36"/>
      <w:r w:rsidR="00671D71">
        <w:rPr>
          <w:rFonts w:ascii="Cambria" w:hAnsi="Cambria"/>
          <w:color w:val="auto"/>
          <w:sz w:val="20"/>
          <w:szCs w:val="20"/>
          <w:lang w:val="es-VE"/>
        </w:rPr>
        <w:t xml:space="preserve"> Y RECOMENDACIONES</w:t>
      </w:r>
      <w:bookmarkEnd w:id="37"/>
      <w:r w:rsidR="00671D71">
        <w:rPr>
          <w:rFonts w:ascii="Cambria" w:hAnsi="Cambria"/>
          <w:color w:val="auto"/>
          <w:sz w:val="20"/>
          <w:szCs w:val="20"/>
          <w:lang w:val="es-VE"/>
        </w:rPr>
        <w:t xml:space="preserve"> </w:t>
      </w:r>
    </w:p>
    <w:p w14:paraId="0F4C63D2" w14:textId="77777777" w:rsidR="00A610DA" w:rsidRPr="00A610DA" w:rsidRDefault="00A610DA" w:rsidP="00A610DA">
      <w:pPr>
        <w:ind w:left="720"/>
        <w:jc w:val="both"/>
        <w:rPr>
          <w:rFonts w:ascii="Cambria" w:eastAsia="Times New Roman" w:hAnsi="Cambria"/>
          <w:sz w:val="20"/>
          <w:szCs w:val="20"/>
          <w:lang w:val="es-AR"/>
        </w:rPr>
      </w:pPr>
    </w:p>
    <w:p w14:paraId="009E2DC9" w14:textId="425D3495" w:rsidR="00A610DA" w:rsidRPr="00B6518A" w:rsidRDefault="00A610DA" w:rsidP="00B6518A">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lang w:val="es-VE"/>
        </w:rPr>
      </w:pPr>
      <w:r w:rsidRPr="00A610DA">
        <w:rPr>
          <w:rFonts w:ascii="Cambria" w:eastAsia="Times New Roman" w:hAnsi="Cambria"/>
          <w:sz w:val="20"/>
          <w:szCs w:val="20"/>
          <w:lang w:val="es-CL" w:eastAsia="es-ES"/>
        </w:rPr>
        <w:t xml:space="preserve">La Comisión concluye que el Estado ecuatoriano es responsable por la violación del derecho  </w:t>
      </w:r>
      <w:r w:rsidRPr="00A610DA">
        <w:rPr>
          <w:rFonts w:ascii="Cambria" w:hAnsi="Cambria" w:cs="Arial"/>
          <w:sz w:val="20"/>
          <w:szCs w:val="20"/>
          <w:lang w:val="es-MX"/>
        </w:rPr>
        <w:t xml:space="preserve">a las garantías judiciales, al principio de legalidad y a la protección judicial, </w:t>
      </w:r>
      <w:r w:rsidRPr="00A610DA">
        <w:rPr>
          <w:rFonts w:ascii="Cambria" w:hAnsi="Cambria"/>
          <w:sz w:val="20"/>
          <w:szCs w:val="20"/>
          <w:lang w:val="es-MX"/>
        </w:rPr>
        <w:t>consagrados</w:t>
      </w:r>
      <w:r w:rsidRPr="00A610DA">
        <w:rPr>
          <w:rFonts w:ascii="Cambria" w:hAnsi="Cambria" w:cs="Arial"/>
          <w:sz w:val="20"/>
          <w:szCs w:val="20"/>
          <w:lang w:val="es-MX"/>
        </w:rPr>
        <w:t xml:space="preserve"> en los artículos 8</w:t>
      </w:r>
      <w:r w:rsidR="00B6518A">
        <w:rPr>
          <w:rFonts w:ascii="Cambria" w:hAnsi="Cambria" w:cs="Arial"/>
          <w:sz w:val="20"/>
          <w:szCs w:val="20"/>
          <w:lang w:val="es-MX"/>
        </w:rPr>
        <w:t xml:space="preserve">.1, 8.2 b), 8.2 c), 8.2 h), </w:t>
      </w:r>
      <w:r w:rsidRPr="00A610DA">
        <w:rPr>
          <w:rFonts w:ascii="Cambria" w:hAnsi="Cambria" w:cs="Arial"/>
          <w:sz w:val="20"/>
          <w:szCs w:val="20"/>
          <w:lang w:val="es-MX"/>
        </w:rPr>
        <w:t xml:space="preserve"> 9</w:t>
      </w:r>
      <w:r w:rsidR="00CB4272">
        <w:rPr>
          <w:rFonts w:ascii="Cambria" w:hAnsi="Cambria" w:cs="Arial"/>
          <w:sz w:val="20"/>
          <w:szCs w:val="20"/>
          <w:lang w:val="es-MX"/>
        </w:rPr>
        <w:t xml:space="preserve"> </w:t>
      </w:r>
      <w:r w:rsidRPr="00A610DA">
        <w:rPr>
          <w:rFonts w:ascii="Cambria" w:hAnsi="Cambria" w:cs="Arial"/>
          <w:sz w:val="20"/>
          <w:szCs w:val="20"/>
          <w:lang w:val="es-MX"/>
        </w:rPr>
        <w:t xml:space="preserve"> y 25</w:t>
      </w:r>
      <w:r w:rsidR="00B6518A">
        <w:rPr>
          <w:rFonts w:ascii="Cambria" w:hAnsi="Cambria" w:cs="Arial"/>
          <w:sz w:val="20"/>
          <w:szCs w:val="20"/>
          <w:lang w:val="es-MX"/>
        </w:rPr>
        <w:t>.1</w:t>
      </w:r>
      <w:r w:rsidRPr="00A610DA">
        <w:rPr>
          <w:rFonts w:ascii="Cambria" w:hAnsi="Cambria" w:cs="Arial"/>
          <w:sz w:val="20"/>
          <w:szCs w:val="20"/>
          <w:lang w:val="es-MX"/>
        </w:rPr>
        <w:t xml:space="preserve"> de la Convención Americana, en relación con las obligaciones establecidas en los artículos 1.1 y 2 del mismo instrumento, en perjuicio de Carlos Julio Aguinaga Aillón.</w:t>
      </w:r>
    </w:p>
    <w:p w14:paraId="4F4F17DD" w14:textId="77777777" w:rsidR="00B6518A" w:rsidRDefault="00B6518A" w:rsidP="00B6518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s="Verdana"/>
          <w:sz w:val="20"/>
          <w:szCs w:val="20"/>
          <w:lang w:val="es-VE"/>
        </w:rPr>
      </w:pPr>
    </w:p>
    <w:p w14:paraId="6688B4B8" w14:textId="77777777" w:rsidR="00C16812" w:rsidRDefault="00C16812" w:rsidP="00B6518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s="Verdana"/>
          <w:sz w:val="20"/>
          <w:szCs w:val="20"/>
          <w:lang w:val="es-VE"/>
        </w:rPr>
      </w:pPr>
    </w:p>
    <w:p w14:paraId="28535AB2" w14:textId="77777777" w:rsidR="00B6518A" w:rsidRDefault="00B6518A" w:rsidP="00B6518A">
      <w:pPr>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Verdana"/>
          <w:sz w:val="20"/>
          <w:szCs w:val="20"/>
          <w:lang w:val="es-VE"/>
        </w:rPr>
      </w:pPr>
      <w:r>
        <w:rPr>
          <w:rFonts w:ascii="Cambria" w:hAnsi="Cambria" w:cs="Verdana"/>
          <w:sz w:val="20"/>
          <w:szCs w:val="20"/>
          <w:lang w:val="es-VE"/>
        </w:rPr>
        <w:t>Con fundamento en el análisis y las conclusiones del presente informe,</w:t>
      </w:r>
    </w:p>
    <w:p w14:paraId="20CB22B4" w14:textId="77777777" w:rsidR="00B6518A" w:rsidRDefault="00B6518A" w:rsidP="00B6518A">
      <w:pPr>
        <w:pStyle w:val="ListParagraph"/>
        <w:rPr>
          <w:b/>
          <w:sz w:val="20"/>
          <w:szCs w:val="20"/>
          <w:lang w:val="es-ES_tradnl"/>
        </w:rPr>
      </w:pPr>
    </w:p>
    <w:p w14:paraId="2BFF042C" w14:textId="77777777" w:rsidR="00322E09" w:rsidRPr="00B6518A" w:rsidRDefault="00322E09" w:rsidP="00B6518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s="Verdana"/>
          <w:sz w:val="20"/>
          <w:szCs w:val="20"/>
          <w:lang w:val="es-VE"/>
        </w:rPr>
      </w:pPr>
      <w:r w:rsidRPr="00B6518A">
        <w:rPr>
          <w:rFonts w:ascii="Cambria" w:hAnsi="Cambria"/>
          <w:b/>
          <w:sz w:val="20"/>
          <w:szCs w:val="20"/>
          <w:lang w:val="es-ES_tradnl"/>
        </w:rPr>
        <w:t>LA COMISIÓN INTERAMERICANA DE DERECHOS HUMANOS,</w:t>
      </w:r>
      <w:r w:rsidR="00242A9A" w:rsidRPr="00B6518A">
        <w:rPr>
          <w:rFonts w:ascii="Cambria" w:hAnsi="Cambria"/>
          <w:b/>
          <w:sz w:val="20"/>
          <w:szCs w:val="20"/>
          <w:lang w:val="es-ES_tradnl"/>
        </w:rPr>
        <w:t xml:space="preserve"> RECOMIENDA AL ESTADO DE</w:t>
      </w:r>
      <w:r w:rsidR="00586A63" w:rsidRPr="00B6518A">
        <w:rPr>
          <w:rFonts w:ascii="Cambria" w:hAnsi="Cambria"/>
          <w:b/>
          <w:sz w:val="20"/>
          <w:szCs w:val="20"/>
          <w:lang w:val="es-ES_tradnl"/>
        </w:rPr>
        <w:t xml:space="preserve"> ECUADOR</w:t>
      </w:r>
      <w:r w:rsidRPr="00B6518A">
        <w:rPr>
          <w:rFonts w:ascii="Cambria" w:hAnsi="Cambria"/>
          <w:b/>
          <w:sz w:val="20"/>
          <w:szCs w:val="20"/>
          <w:lang w:val="es-ES_tradnl"/>
        </w:rPr>
        <w:t>,</w:t>
      </w:r>
    </w:p>
    <w:p w14:paraId="714FC8F9" w14:textId="77777777" w:rsidR="00322E09" w:rsidRPr="00CB025A" w:rsidRDefault="00322E09" w:rsidP="00322E09">
      <w:pPr>
        <w:ind w:firstLine="720"/>
        <w:jc w:val="both"/>
        <w:rPr>
          <w:rFonts w:ascii="Cambria" w:hAnsi="Cambria"/>
          <w:b/>
          <w:sz w:val="20"/>
          <w:szCs w:val="20"/>
          <w:lang w:val="es-ES_tradnl"/>
        </w:rPr>
      </w:pPr>
    </w:p>
    <w:p w14:paraId="1CDDF31E" w14:textId="77777777" w:rsidR="00322E09" w:rsidRPr="00601FEF" w:rsidRDefault="00322E09" w:rsidP="00601F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olor w:val="666666"/>
          <w:sz w:val="15"/>
          <w:szCs w:val="15"/>
          <w:bdr w:val="none" w:sz="0" w:space="0" w:color="auto"/>
          <w:lang w:val="es-US"/>
        </w:rPr>
      </w:pPr>
      <w:r w:rsidRPr="00CB025A">
        <w:rPr>
          <w:rFonts w:ascii="Helvetica" w:eastAsia="Times New Roman" w:hAnsi="Helvetica"/>
          <w:color w:val="666666"/>
          <w:sz w:val="15"/>
          <w:szCs w:val="15"/>
          <w:bdr w:val="none" w:sz="0" w:space="0" w:color="auto"/>
          <w:lang w:val="es-US"/>
        </w:rPr>
        <w:t> </w:t>
      </w:r>
    </w:p>
    <w:p w14:paraId="09C486B7" w14:textId="72AF71F9" w:rsidR="00B6518A" w:rsidRPr="00B6518A" w:rsidRDefault="00586A63" w:rsidP="00B6518A">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pacing w:val="-2"/>
          <w:sz w:val="20"/>
          <w:szCs w:val="20"/>
          <w:lang w:val="es-CO"/>
        </w:rPr>
      </w:pPr>
      <w:r w:rsidRPr="00B6518A">
        <w:rPr>
          <w:spacing w:val="-2"/>
          <w:sz w:val="20"/>
          <w:szCs w:val="20"/>
          <w:lang w:val="es-CO"/>
        </w:rPr>
        <w:t>Reincorporar a</w:t>
      </w:r>
      <w:r w:rsidR="00155471">
        <w:rPr>
          <w:spacing w:val="-2"/>
          <w:sz w:val="20"/>
          <w:szCs w:val="20"/>
          <w:lang w:val="es-CO"/>
        </w:rPr>
        <w:t xml:space="preserve"> Carlos Julio Aguinaga Aillón </w:t>
      </w:r>
      <w:r w:rsidR="00BC0445" w:rsidRPr="00B6518A">
        <w:rPr>
          <w:spacing w:val="-2"/>
          <w:sz w:val="20"/>
          <w:szCs w:val="20"/>
          <w:lang w:val="es-CO"/>
        </w:rPr>
        <w:t>en un c</w:t>
      </w:r>
      <w:r w:rsidRPr="00B6518A">
        <w:rPr>
          <w:spacing w:val="-2"/>
          <w:sz w:val="20"/>
          <w:szCs w:val="20"/>
          <w:lang w:val="es-CO"/>
        </w:rPr>
        <w:t>argo similar al que desempeñaba</w:t>
      </w:r>
      <w:r w:rsidR="00BC0445" w:rsidRPr="00B6518A">
        <w:rPr>
          <w:spacing w:val="-2"/>
          <w:sz w:val="20"/>
          <w:szCs w:val="20"/>
          <w:lang w:val="es-CO"/>
        </w:rPr>
        <w:t>, con la misma remuneración, beneficios sociales y rango equiparables a los que les corresponde</w:t>
      </w:r>
      <w:r w:rsidRPr="00B6518A">
        <w:rPr>
          <w:spacing w:val="-2"/>
          <w:sz w:val="20"/>
          <w:szCs w:val="20"/>
          <w:lang w:val="es-CO"/>
        </w:rPr>
        <w:t>ría el día de hoy si no hubiera sido cesado</w:t>
      </w:r>
      <w:r w:rsidR="00BC0445" w:rsidRPr="00B6518A">
        <w:rPr>
          <w:spacing w:val="-2"/>
          <w:sz w:val="20"/>
          <w:szCs w:val="20"/>
          <w:lang w:val="es-CO"/>
        </w:rPr>
        <w:t>, por el plazo de tiempo que qu</w:t>
      </w:r>
      <w:r w:rsidR="00B6518A">
        <w:rPr>
          <w:spacing w:val="-2"/>
          <w:sz w:val="20"/>
          <w:szCs w:val="20"/>
          <w:lang w:val="es-CO"/>
        </w:rPr>
        <w:t xml:space="preserve">edaba pendiente de su mandato. Si por razones objetivas y fundadas no es posible la reincorporación, pagar una indemnización alternativa. </w:t>
      </w:r>
    </w:p>
    <w:p w14:paraId="5370D287" w14:textId="77777777" w:rsidR="00B6518A" w:rsidRPr="00B6518A" w:rsidRDefault="00B6518A" w:rsidP="00B6518A">
      <w:pPr>
        <w:pStyle w:val="ListParagraph"/>
        <w:rPr>
          <w:spacing w:val="-2"/>
          <w:sz w:val="20"/>
          <w:szCs w:val="20"/>
          <w:lang w:val="es-CO"/>
        </w:rPr>
      </w:pPr>
    </w:p>
    <w:p w14:paraId="2A4959CA" w14:textId="51370F2F" w:rsidR="00B6518A" w:rsidRPr="00B6518A" w:rsidRDefault="00B6518A" w:rsidP="00B6518A">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spacing w:val="-2"/>
          <w:sz w:val="20"/>
          <w:szCs w:val="20"/>
          <w:lang w:val="es-CO"/>
        </w:rPr>
      </w:pPr>
      <w:r>
        <w:rPr>
          <w:spacing w:val="-2"/>
          <w:sz w:val="20"/>
          <w:szCs w:val="20"/>
          <w:lang w:val="es-CO"/>
        </w:rPr>
        <w:t xml:space="preserve">Reparar integralmente las consecuencias de las violaciones declaradas en el presente informe, incluyendo </w:t>
      </w:r>
      <w:r w:rsidR="00D43927">
        <w:rPr>
          <w:spacing w:val="-2"/>
          <w:sz w:val="20"/>
          <w:szCs w:val="20"/>
          <w:lang w:val="es-CO"/>
        </w:rPr>
        <w:t xml:space="preserve">las medidas de compensación y satisfacción necesarias respecto el </w:t>
      </w:r>
      <w:r>
        <w:rPr>
          <w:spacing w:val="-2"/>
          <w:sz w:val="20"/>
          <w:szCs w:val="20"/>
          <w:lang w:val="es-CO"/>
        </w:rPr>
        <w:t xml:space="preserve">daño material </w:t>
      </w:r>
      <w:r w:rsidR="00D43927">
        <w:rPr>
          <w:spacing w:val="-2"/>
          <w:sz w:val="20"/>
          <w:szCs w:val="20"/>
          <w:lang w:val="es-CO"/>
        </w:rPr>
        <w:t xml:space="preserve">e inmaterial sufrido por la víctima. </w:t>
      </w:r>
    </w:p>
    <w:p w14:paraId="6ECE5C33" w14:textId="33CE8E2D" w:rsidR="00C16812" w:rsidRDefault="00C16812" w:rsidP="00C16812">
      <w:pPr>
        <w:pStyle w:val="BodyTextIndent3"/>
        <w:tabs>
          <w:tab w:val="left" w:pos="1440"/>
          <w:tab w:val="left" w:pos="8640"/>
        </w:tabs>
        <w:ind w:left="0"/>
        <w:jc w:val="both"/>
        <w:rPr>
          <w:rFonts w:eastAsia="Times New Roman"/>
          <w:sz w:val="20"/>
          <w:szCs w:val="20"/>
          <w:lang w:val="es-ES"/>
        </w:rPr>
      </w:pPr>
    </w:p>
    <w:p w14:paraId="7DB3F800" w14:textId="77777777" w:rsidR="00C16812" w:rsidRDefault="00C16812" w:rsidP="00C16812">
      <w:pPr>
        <w:ind w:firstLine="720"/>
        <w:jc w:val="both"/>
        <w:rPr>
          <w:rFonts w:ascii="Cambria" w:hAnsi="Cambria"/>
          <w:spacing w:val="-2"/>
          <w:sz w:val="20"/>
          <w:szCs w:val="20"/>
          <w:lang w:val="es-CL"/>
        </w:rPr>
      </w:pPr>
      <w:r>
        <w:rPr>
          <w:rFonts w:ascii="Cambria" w:hAnsi="Cambria"/>
          <w:spacing w:val="-2"/>
          <w:sz w:val="20"/>
          <w:szCs w:val="20"/>
          <w:lang w:val="es-CL"/>
        </w:rPr>
        <w:t>Aprobado por la Comisión Interamericana de Derechos Humanos en la ciudad de Boulder, Colorado, a los 5 días del mes de octubre de 2018.  (Firmado): Margarette May Macaulay, Presidenta; Esmeralda Arosemena de Troitiño, Primera Vicepresidenta; Francisco José Eguiguren Praeli; Joel Hernández García, Antonia Urrejola y Flavia Piovesan, Miembros de la Comisión.</w:t>
      </w:r>
      <w:r>
        <w:rPr>
          <w:rFonts w:ascii="Cambria" w:hAnsi="Cambria"/>
          <w:sz w:val="20"/>
          <w:szCs w:val="20"/>
          <w:lang w:val="es-CL"/>
        </w:rPr>
        <w:t xml:space="preserve"> </w:t>
      </w:r>
    </w:p>
    <w:p w14:paraId="7C3E125B" w14:textId="77777777" w:rsidR="00C16812" w:rsidRDefault="00C16812" w:rsidP="00C16812">
      <w:pPr>
        <w:ind w:firstLine="720"/>
        <w:jc w:val="both"/>
        <w:rPr>
          <w:rFonts w:ascii="Cambria" w:hAnsi="Cambria"/>
          <w:spacing w:val="-2"/>
          <w:sz w:val="20"/>
          <w:szCs w:val="20"/>
          <w:lang w:val="es-CL"/>
        </w:rPr>
      </w:pPr>
    </w:p>
    <w:p w14:paraId="6A38AC40" w14:textId="77777777" w:rsidR="00C16812" w:rsidRDefault="00C16812" w:rsidP="00C16812">
      <w:pPr>
        <w:ind w:firstLine="720"/>
        <w:jc w:val="both"/>
        <w:rPr>
          <w:rFonts w:ascii="Cambria" w:hAnsi="Cambria"/>
          <w:sz w:val="20"/>
          <w:szCs w:val="20"/>
          <w:lang w:val="es-CL"/>
        </w:rPr>
      </w:pPr>
      <w:r>
        <w:rPr>
          <w:rFonts w:ascii="Cambria" w:hAnsi="Cambria"/>
          <w:sz w:val="20"/>
          <w:szCs w:val="20"/>
          <w:lang w:val="es-CL"/>
        </w:rPr>
        <w:t xml:space="preserve">El que suscribe, </w:t>
      </w:r>
      <w:r w:rsidRPr="00C16812">
        <w:rPr>
          <w:rFonts w:ascii="Cambria" w:hAnsi="Cambria" w:cs="Arial"/>
          <w:sz w:val="20"/>
          <w:szCs w:val="20"/>
          <w:lang w:val="es-PE"/>
        </w:rPr>
        <w:t>Mario López-Garelli</w:t>
      </w:r>
      <w:r>
        <w:rPr>
          <w:rFonts w:ascii="Cambria" w:hAnsi="Cambria"/>
          <w:sz w:val="20"/>
          <w:szCs w:val="20"/>
          <w:lang w:val="es-CL"/>
        </w:rPr>
        <w:t>, por autorización del Secretario Ejecutivo de la Comisión Interamericana de Derechos Humanos, de conformidad con el artículo 49 del Reglamento de la Comisión, certifica que es copia fiel del original depositado en los archivos de la Secretaría de la CIDH.</w:t>
      </w:r>
    </w:p>
    <w:p w14:paraId="1B34F662" w14:textId="77777777" w:rsidR="00C16812" w:rsidRDefault="00C16812" w:rsidP="00C16812">
      <w:pPr>
        <w:rPr>
          <w:rFonts w:ascii="Cambria" w:hAnsi="Cambria"/>
          <w:sz w:val="20"/>
          <w:szCs w:val="20"/>
          <w:lang w:val="es-CL"/>
        </w:rPr>
      </w:pPr>
    </w:p>
    <w:p w14:paraId="2EB7A3E7" w14:textId="77777777" w:rsidR="003828B0" w:rsidRDefault="003828B0" w:rsidP="00C16812">
      <w:pPr>
        <w:rPr>
          <w:rFonts w:ascii="Cambria" w:hAnsi="Cambria"/>
          <w:sz w:val="20"/>
          <w:szCs w:val="20"/>
          <w:lang w:val="es-CL"/>
        </w:rPr>
      </w:pPr>
    </w:p>
    <w:p w14:paraId="56179761" w14:textId="77777777" w:rsidR="003828B0" w:rsidRDefault="003828B0" w:rsidP="00C16812">
      <w:pPr>
        <w:rPr>
          <w:rFonts w:ascii="Cambria" w:hAnsi="Cambria"/>
          <w:sz w:val="20"/>
          <w:szCs w:val="20"/>
          <w:lang w:val="es-CL"/>
        </w:rPr>
      </w:pPr>
    </w:p>
    <w:p w14:paraId="6217427F" w14:textId="77777777" w:rsidR="003828B0" w:rsidRDefault="003828B0" w:rsidP="00C16812">
      <w:pPr>
        <w:rPr>
          <w:rFonts w:ascii="Cambria" w:hAnsi="Cambria"/>
          <w:sz w:val="20"/>
          <w:szCs w:val="20"/>
          <w:lang w:val="es-CL"/>
        </w:rPr>
      </w:pPr>
    </w:p>
    <w:p w14:paraId="315EEF4F" w14:textId="77777777" w:rsidR="003828B0" w:rsidRPr="003828B0" w:rsidRDefault="003828B0" w:rsidP="00C16812">
      <w:pPr>
        <w:rPr>
          <w:rFonts w:ascii="Cambria" w:hAnsi="Cambria"/>
          <w:sz w:val="20"/>
          <w:szCs w:val="20"/>
          <w:lang w:val="es-CL"/>
        </w:rPr>
      </w:pPr>
    </w:p>
    <w:p w14:paraId="59DCCCFD" w14:textId="77777777" w:rsidR="00C16812" w:rsidRPr="00C16812" w:rsidRDefault="00C16812" w:rsidP="00C16812">
      <w:pPr>
        <w:ind w:left="2160" w:firstLine="720"/>
        <w:jc w:val="center"/>
        <w:rPr>
          <w:rFonts w:ascii="Cambria" w:hAnsi="Cambria"/>
          <w:sz w:val="20"/>
          <w:szCs w:val="20"/>
          <w:lang w:val="es-PE"/>
        </w:rPr>
      </w:pPr>
      <w:r w:rsidRPr="00C16812">
        <w:rPr>
          <w:rFonts w:ascii="Cambria" w:hAnsi="Cambria" w:cs="Arial"/>
          <w:sz w:val="20"/>
          <w:szCs w:val="20"/>
          <w:lang w:val="es-PE"/>
        </w:rPr>
        <w:t>Mario López-Garelli</w:t>
      </w:r>
    </w:p>
    <w:p w14:paraId="06B0F961" w14:textId="77777777" w:rsidR="00C16812" w:rsidRPr="00C16812" w:rsidRDefault="00C16812" w:rsidP="00C16812">
      <w:pPr>
        <w:ind w:left="2160" w:firstLine="720"/>
        <w:jc w:val="center"/>
        <w:rPr>
          <w:rFonts w:ascii="Cambria" w:hAnsi="Cambria"/>
          <w:sz w:val="20"/>
          <w:szCs w:val="20"/>
          <w:lang w:val="es-PE"/>
        </w:rPr>
      </w:pPr>
      <w:r>
        <w:rPr>
          <w:rFonts w:ascii="Cambria" w:hAnsi="Cambria"/>
          <w:sz w:val="20"/>
          <w:szCs w:val="20"/>
          <w:lang w:val="es-CL"/>
        </w:rPr>
        <w:t>Por autorización del Secretario Ejecutivo</w:t>
      </w:r>
    </w:p>
    <w:p w14:paraId="4E5BAE31" w14:textId="77777777" w:rsidR="00C16812" w:rsidRPr="00C16812" w:rsidRDefault="00C16812" w:rsidP="00C16812">
      <w:pPr>
        <w:jc w:val="both"/>
        <w:rPr>
          <w:rFonts w:ascii="Cambria" w:hAnsi="Cambria"/>
          <w:sz w:val="20"/>
          <w:szCs w:val="20"/>
          <w:lang w:val="es-PE"/>
        </w:rPr>
      </w:pPr>
    </w:p>
    <w:p w14:paraId="2589DA6D" w14:textId="77777777" w:rsidR="00C16812" w:rsidRPr="00C16812" w:rsidRDefault="00C16812" w:rsidP="00C16812">
      <w:pPr>
        <w:pStyle w:val="BodyTextIndent3"/>
        <w:tabs>
          <w:tab w:val="left" w:pos="1440"/>
          <w:tab w:val="left" w:pos="8640"/>
        </w:tabs>
        <w:ind w:left="0"/>
        <w:jc w:val="both"/>
        <w:rPr>
          <w:rFonts w:ascii="Cambria" w:hAnsi="Cambria"/>
          <w:sz w:val="20"/>
          <w:lang w:val="es-PE"/>
        </w:rPr>
      </w:pPr>
    </w:p>
    <w:sectPr w:rsidR="00C16812" w:rsidRPr="00C16812" w:rsidSect="00125DAD">
      <w:type w:val="oddPage"/>
      <w:pgSz w:w="12240" w:h="15840"/>
      <w:pgMar w:top="1440" w:right="1440" w:bottom="126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D1493" w14:textId="77777777" w:rsidR="000D7A15" w:rsidRDefault="000D7A15" w:rsidP="00610A15">
      <w:r>
        <w:separator/>
      </w:r>
    </w:p>
  </w:endnote>
  <w:endnote w:type="continuationSeparator" w:id="0">
    <w:p w14:paraId="0A2B543D" w14:textId="77777777" w:rsidR="000D7A15" w:rsidRDefault="000D7A15" w:rsidP="0061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1D49D7E8" w14:textId="77777777" w:rsidR="000D7A15" w:rsidRPr="00934A2C" w:rsidRDefault="000D7A1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F3BE6">
          <w:rPr>
            <w:noProof/>
            <w:sz w:val="16"/>
            <w:szCs w:val="22"/>
          </w:rPr>
          <w:t>14</w:t>
        </w:r>
        <w:r w:rsidRPr="00934A2C">
          <w:rPr>
            <w:noProof/>
            <w:sz w:val="16"/>
            <w:szCs w:val="22"/>
          </w:rPr>
          <w:fldChar w:fldCharType="end"/>
        </w:r>
      </w:p>
    </w:sdtContent>
  </w:sdt>
  <w:p w14:paraId="34ECB1DA" w14:textId="77777777" w:rsidR="000D7A15" w:rsidRDefault="000D7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A9D2" w14:textId="77777777" w:rsidR="000D7A15" w:rsidRPr="00934A2C" w:rsidRDefault="000D7A15">
    <w:pPr>
      <w:pStyle w:val="Footer"/>
      <w:jc w:val="center"/>
      <w:rPr>
        <w:sz w:val="16"/>
        <w:szCs w:val="22"/>
      </w:rPr>
    </w:pPr>
  </w:p>
  <w:p w14:paraId="180FAD8A" w14:textId="77777777" w:rsidR="000D7A15" w:rsidRDefault="000D7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F41E1" w14:textId="77777777" w:rsidR="000D7A15" w:rsidRDefault="000D7A15" w:rsidP="00610A15">
      <w:r>
        <w:separator/>
      </w:r>
    </w:p>
  </w:footnote>
  <w:footnote w:type="continuationSeparator" w:id="0">
    <w:p w14:paraId="53237455" w14:textId="77777777" w:rsidR="000D7A15" w:rsidRDefault="000D7A15" w:rsidP="00610A15">
      <w:r>
        <w:continuationSeparator/>
      </w:r>
    </w:p>
  </w:footnote>
  <w:footnote w:id="1">
    <w:p w14:paraId="2FEE8692" w14:textId="77777777" w:rsidR="000D7A15" w:rsidRPr="00FC019B" w:rsidRDefault="000D7A15" w:rsidP="006E24AF">
      <w:pPr>
        <w:pStyle w:val="FootnoteText"/>
        <w:spacing w:after="120"/>
        <w:jc w:val="both"/>
        <w:rPr>
          <w:rFonts w:ascii="Cambria" w:hAnsi="Cambria"/>
          <w:sz w:val="16"/>
          <w:szCs w:val="16"/>
          <w:lang w:val="es-CO"/>
        </w:rPr>
      </w:pPr>
      <w:r w:rsidRPr="00FC019B">
        <w:rPr>
          <w:rStyle w:val="FootnoteReference"/>
          <w:rFonts w:ascii="Cambria" w:hAnsi="Cambria"/>
          <w:sz w:val="16"/>
          <w:szCs w:val="16"/>
        </w:rPr>
        <w:footnoteRef/>
      </w:r>
      <w:r w:rsidRPr="00FC019B">
        <w:rPr>
          <w:rFonts w:ascii="Cambria" w:hAnsi="Cambria"/>
          <w:sz w:val="16"/>
          <w:szCs w:val="16"/>
          <w:lang w:val="es-CO"/>
        </w:rPr>
        <w:t xml:space="preserve"> </w:t>
      </w:r>
      <w:r>
        <w:rPr>
          <w:rFonts w:ascii="Cambria" w:hAnsi="Cambria"/>
          <w:sz w:val="16"/>
          <w:szCs w:val="16"/>
          <w:lang w:val="es-ES"/>
        </w:rPr>
        <w:t>CIDH.</w:t>
      </w:r>
      <w:r w:rsidRPr="00FC019B">
        <w:rPr>
          <w:rFonts w:ascii="Cambria" w:hAnsi="Cambria"/>
          <w:sz w:val="16"/>
          <w:szCs w:val="16"/>
          <w:lang w:val="es-ES"/>
        </w:rPr>
        <w:t xml:space="preserve"> Informe No. 42/13, </w:t>
      </w:r>
      <w:r>
        <w:rPr>
          <w:rFonts w:ascii="Cambria" w:hAnsi="Cambria"/>
          <w:sz w:val="16"/>
          <w:szCs w:val="16"/>
          <w:lang w:val="es-ES"/>
        </w:rPr>
        <w:t>Caso 12.910</w:t>
      </w:r>
      <w:r w:rsidRPr="00FC019B">
        <w:rPr>
          <w:rFonts w:ascii="Cambria" w:hAnsi="Cambria"/>
          <w:sz w:val="16"/>
          <w:szCs w:val="16"/>
          <w:lang w:val="es-ES"/>
        </w:rPr>
        <w:t>, Carlos Julio Aguinaga Aillón (Vocal del Trib</w:t>
      </w:r>
      <w:r>
        <w:rPr>
          <w:rFonts w:ascii="Cambria" w:hAnsi="Cambria"/>
          <w:sz w:val="16"/>
          <w:szCs w:val="16"/>
          <w:lang w:val="es-ES"/>
        </w:rPr>
        <w:t>unal Supremo Electoral)</w:t>
      </w:r>
      <w:r w:rsidRPr="00FC019B">
        <w:rPr>
          <w:rFonts w:ascii="Cambria" w:hAnsi="Cambria"/>
          <w:sz w:val="16"/>
          <w:szCs w:val="16"/>
          <w:lang w:val="es-ES"/>
        </w:rPr>
        <w:t>, 11 de julio de 2013</w:t>
      </w:r>
      <w:r w:rsidRPr="00FC019B">
        <w:rPr>
          <w:rFonts w:ascii="Cambria" w:hAnsi="Cambria"/>
          <w:sz w:val="16"/>
          <w:szCs w:val="16"/>
          <w:lang w:val="es-CO"/>
        </w:rPr>
        <w:t xml:space="preserve">. En dicho informe la CIDH declaró la petición admisible por la presunta violación de los artículos 8, 9 y 25 en concordancia con el artículo 1.1 de la Convención Americana e inadmisible por la presunta violación de los artículos 11, 23 y 24. </w:t>
      </w:r>
    </w:p>
    <w:p w14:paraId="6CAD55D8" w14:textId="77777777" w:rsidR="000D7A15" w:rsidRPr="00FC019B" w:rsidRDefault="000D7A15" w:rsidP="002D2CC4">
      <w:pPr>
        <w:pStyle w:val="FootnoteText"/>
        <w:ind w:firstLine="720"/>
        <w:rPr>
          <w:rFonts w:ascii="Cambria" w:hAnsi="Cambria"/>
          <w:sz w:val="16"/>
          <w:szCs w:val="16"/>
          <w:lang w:val="es-CO"/>
        </w:rPr>
      </w:pPr>
    </w:p>
    <w:p w14:paraId="50C33242" w14:textId="77777777" w:rsidR="000D7A15" w:rsidRPr="00FC019B" w:rsidRDefault="000D7A15" w:rsidP="002D2CC4">
      <w:pPr>
        <w:pStyle w:val="FootnoteText"/>
        <w:ind w:firstLine="720"/>
        <w:rPr>
          <w:rFonts w:ascii="Cambria" w:hAnsi="Cambria"/>
          <w:sz w:val="16"/>
          <w:szCs w:val="16"/>
          <w:lang w:val="es-CO"/>
        </w:rPr>
      </w:pPr>
    </w:p>
  </w:footnote>
  <w:footnote w:id="2">
    <w:p w14:paraId="6AD1BB90" w14:textId="484E51FE" w:rsidR="000D7A15" w:rsidRPr="00D742C4" w:rsidRDefault="000D7A15" w:rsidP="00995B59">
      <w:pPr>
        <w:pStyle w:val="FootnoteText"/>
        <w:rPr>
          <w:rFonts w:ascii="Cambria" w:hAnsi="Cambria"/>
          <w:sz w:val="16"/>
          <w:szCs w:val="16"/>
          <w:lang w:val="es-VE"/>
        </w:rPr>
      </w:pPr>
      <w:r w:rsidRPr="00D742C4">
        <w:rPr>
          <w:rStyle w:val="FootnoteReference"/>
          <w:rFonts w:ascii="Cambria" w:hAnsi="Cambria"/>
          <w:sz w:val="16"/>
          <w:szCs w:val="16"/>
        </w:rPr>
        <w:footnoteRef/>
      </w:r>
      <w:r w:rsidRPr="00D742C4">
        <w:rPr>
          <w:rFonts w:ascii="Cambria" w:hAnsi="Cambria"/>
          <w:sz w:val="16"/>
          <w:szCs w:val="16"/>
          <w:lang w:val="es-VE"/>
        </w:rPr>
        <w:t xml:space="preserve"> </w:t>
      </w:r>
      <w:r>
        <w:rPr>
          <w:rFonts w:ascii="Cambria" w:hAnsi="Cambria"/>
          <w:sz w:val="16"/>
          <w:szCs w:val="16"/>
          <w:lang w:val="es-VE"/>
        </w:rPr>
        <w:t xml:space="preserve">Corte IDH. Caso del Tribunal Constitucional (Camba Campos y otros) vs. Ecuador. Excepciones Preliminares, Fondo, Reparaciones y Costas. Sentencia de 28 de agosto de 2013. Serie C No. 268, párrs. 40-49 (citas originales omitidas). </w:t>
      </w:r>
    </w:p>
  </w:footnote>
  <w:footnote w:id="3">
    <w:p w14:paraId="273B7C7E" w14:textId="77777777" w:rsidR="000D7A15" w:rsidRPr="00C759E6" w:rsidRDefault="000D7A15" w:rsidP="00C759E6">
      <w:pPr>
        <w:pStyle w:val="FootnoteText"/>
        <w:rPr>
          <w:rFonts w:ascii="Cambria" w:hAnsi="Cambria"/>
          <w:sz w:val="16"/>
          <w:szCs w:val="16"/>
          <w:lang w:val="es-MX"/>
        </w:rPr>
      </w:pPr>
      <w:r w:rsidRPr="00C759E6">
        <w:rPr>
          <w:rStyle w:val="FootnoteReference"/>
          <w:rFonts w:ascii="Cambria" w:hAnsi="Cambria"/>
          <w:sz w:val="16"/>
          <w:szCs w:val="16"/>
        </w:rPr>
        <w:footnoteRef/>
      </w:r>
      <w:r w:rsidRPr="00C759E6">
        <w:rPr>
          <w:rFonts w:ascii="Cambria" w:hAnsi="Cambria"/>
          <w:sz w:val="16"/>
          <w:szCs w:val="16"/>
          <w:lang w:val="es-MX"/>
        </w:rPr>
        <w:t xml:space="preserve"> </w:t>
      </w:r>
      <w:hyperlink r:id="rId1" w:history="1">
        <w:r w:rsidRPr="00C759E6">
          <w:rPr>
            <w:rStyle w:val="Hyperlink"/>
            <w:rFonts w:ascii="Cambria" w:hAnsi="Cambria"/>
            <w:sz w:val="16"/>
            <w:szCs w:val="16"/>
            <w:lang w:val="es-MX"/>
          </w:rPr>
          <w:t>Constitución Política de la República del Ecuador de 1998</w:t>
        </w:r>
      </w:hyperlink>
      <w:r w:rsidRPr="00C759E6">
        <w:rPr>
          <w:rStyle w:val="Hyperlink"/>
          <w:rFonts w:ascii="Cambria" w:hAnsi="Cambria"/>
          <w:sz w:val="16"/>
          <w:szCs w:val="16"/>
          <w:lang w:val="es-MX"/>
        </w:rPr>
        <w:t>.</w:t>
      </w:r>
    </w:p>
  </w:footnote>
  <w:footnote w:id="4">
    <w:p w14:paraId="3023C5D1" w14:textId="466C2B49" w:rsidR="000D7A15" w:rsidRPr="00AC4D9B" w:rsidRDefault="000D7A15" w:rsidP="00E972A7">
      <w:pPr>
        <w:pStyle w:val="FootnoteText"/>
        <w:jc w:val="both"/>
        <w:rPr>
          <w:rFonts w:ascii="Cambria" w:hAnsi="Cambria"/>
          <w:sz w:val="16"/>
          <w:szCs w:val="16"/>
          <w:lang w:val="es-VE"/>
        </w:rPr>
      </w:pPr>
      <w:r w:rsidRPr="00AC4D9B">
        <w:rPr>
          <w:rStyle w:val="FootnoteReference"/>
          <w:rFonts w:ascii="Cambria" w:hAnsi="Cambria"/>
          <w:sz w:val="16"/>
          <w:szCs w:val="16"/>
        </w:rPr>
        <w:footnoteRef/>
      </w:r>
      <w:r w:rsidRPr="00AC4D9B">
        <w:rPr>
          <w:rFonts w:ascii="Cambria" w:hAnsi="Cambria"/>
          <w:sz w:val="16"/>
          <w:szCs w:val="16"/>
          <w:lang w:val="es-VE"/>
        </w:rPr>
        <w:t xml:space="preserve"> Dicha norma es resultado de una consulta popular </w:t>
      </w:r>
      <w:r>
        <w:rPr>
          <w:rFonts w:ascii="Cambria" w:hAnsi="Cambria"/>
          <w:sz w:val="16"/>
          <w:szCs w:val="16"/>
          <w:lang w:val="es-VE"/>
        </w:rPr>
        <w:t>referida anteriormente en el presente informe</w:t>
      </w:r>
      <w:r w:rsidRPr="00AC4D9B">
        <w:rPr>
          <w:rFonts w:ascii="Cambria" w:hAnsi="Cambria"/>
          <w:sz w:val="16"/>
          <w:szCs w:val="16"/>
          <w:lang w:val="es-VE"/>
        </w:rPr>
        <w:t xml:space="preserve">. Con anterioridad a la reforma el artículo 137 constitucional disponía que el Tribunal Supremo Electoral se constituiría con siete vocales en representación de cada una de las siete listas que hayan obtenido las más altas votaciones a nivel nacional. </w:t>
      </w:r>
    </w:p>
  </w:footnote>
  <w:footnote w:id="5">
    <w:p w14:paraId="6768A6CF" w14:textId="20E45325" w:rsidR="000D7A15" w:rsidRPr="006E0DFF" w:rsidRDefault="000D7A15" w:rsidP="00E972A7">
      <w:pPr>
        <w:pStyle w:val="FootnoteText"/>
        <w:jc w:val="both"/>
        <w:rPr>
          <w:rFonts w:ascii="Cambria" w:hAnsi="Cambria"/>
          <w:sz w:val="16"/>
          <w:szCs w:val="16"/>
          <w:lang w:val="es-MX"/>
        </w:rPr>
      </w:pPr>
      <w:r w:rsidRPr="006E0DFF">
        <w:rPr>
          <w:rStyle w:val="FootnoteReference"/>
          <w:rFonts w:ascii="Cambria" w:hAnsi="Cambria"/>
          <w:sz w:val="16"/>
          <w:szCs w:val="16"/>
        </w:rPr>
        <w:footnoteRef/>
      </w:r>
      <w:r w:rsidRPr="006E0DFF">
        <w:rPr>
          <w:rFonts w:ascii="Cambria" w:hAnsi="Cambria"/>
          <w:sz w:val="16"/>
          <w:szCs w:val="16"/>
          <w:lang w:val="es-ES_tradnl"/>
        </w:rPr>
        <w:t>Anexo</w:t>
      </w:r>
      <w:r w:rsidR="006A6783">
        <w:rPr>
          <w:rFonts w:ascii="Cambria" w:hAnsi="Cambria"/>
          <w:sz w:val="16"/>
          <w:szCs w:val="16"/>
          <w:lang w:val="es-ES_tradnl"/>
        </w:rPr>
        <w:t xml:space="preserve"> 1.</w:t>
      </w:r>
      <w:r w:rsidRPr="006E0DFF">
        <w:rPr>
          <w:rFonts w:ascii="Cambria" w:hAnsi="Cambria"/>
          <w:sz w:val="16"/>
          <w:szCs w:val="16"/>
          <w:lang w:val="es-ES_tradnl"/>
        </w:rPr>
        <w:t xml:space="preserve"> </w:t>
      </w:r>
      <w:r>
        <w:rPr>
          <w:rFonts w:ascii="Cambria" w:hAnsi="Cambria"/>
          <w:sz w:val="16"/>
          <w:szCs w:val="16"/>
          <w:lang w:val="es-ES_tradnl"/>
        </w:rPr>
        <w:t>Resolución de designación como V</w:t>
      </w:r>
      <w:r w:rsidRPr="006E0DFF">
        <w:rPr>
          <w:rFonts w:ascii="Cambria" w:hAnsi="Cambria"/>
          <w:sz w:val="16"/>
          <w:szCs w:val="16"/>
          <w:lang w:val="es-ES_tradnl"/>
        </w:rPr>
        <w:t>ocal de 2 de diciembre de 1998.  Ane</w:t>
      </w:r>
      <w:r>
        <w:rPr>
          <w:rFonts w:ascii="Cambria" w:hAnsi="Cambria"/>
          <w:sz w:val="16"/>
          <w:szCs w:val="16"/>
          <w:lang w:val="es-ES_tradnl"/>
        </w:rPr>
        <w:t>xo 1 a la petición inicial recibida el 26</w:t>
      </w:r>
      <w:r w:rsidRPr="006E0DFF">
        <w:rPr>
          <w:rFonts w:ascii="Cambria" w:hAnsi="Cambria"/>
          <w:sz w:val="16"/>
          <w:szCs w:val="16"/>
          <w:lang w:val="es-ES_tradnl"/>
        </w:rPr>
        <w:t xml:space="preserve"> de mayo de 2005, documento 1.</w:t>
      </w:r>
    </w:p>
  </w:footnote>
  <w:footnote w:id="6">
    <w:p w14:paraId="34D442C5" w14:textId="044AAB8E" w:rsidR="000D7A15" w:rsidRPr="006E0DFF" w:rsidRDefault="000D7A15" w:rsidP="00E972A7">
      <w:pPr>
        <w:pStyle w:val="FootnoteText"/>
        <w:jc w:val="both"/>
        <w:rPr>
          <w:rFonts w:ascii="Cambria" w:hAnsi="Cambria"/>
          <w:sz w:val="16"/>
          <w:szCs w:val="16"/>
          <w:lang w:val="es-MX"/>
        </w:rPr>
      </w:pPr>
      <w:r w:rsidRPr="006E0DFF">
        <w:rPr>
          <w:rStyle w:val="FootnoteReference"/>
          <w:rFonts w:ascii="Cambria" w:hAnsi="Cambria"/>
          <w:sz w:val="16"/>
          <w:szCs w:val="16"/>
        </w:rPr>
        <w:footnoteRef/>
      </w:r>
      <w:r>
        <w:rPr>
          <w:rFonts w:ascii="Cambria" w:hAnsi="Cambria"/>
          <w:sz w:val="16"/>
          <w:szCs w:val="16"/>
          <w:lang w:val="es-ES_tradnl"/>
        </w:rPr>
        <w:t xml:space="preserve">Anexo </w:t>
      </w:r>
      <w:r w:rsidR="009A5466">
        <w:rPr>
          <w:rFonts w:ascii="Cambria" w:hAnsi="Cambria"/>
          <w:sz w:val="16"/>
          <w:szCs w:val="16"/>
          <w:lang w:val="es-ES_tradnl"/>
        </w:rPr>
        <w:t>2</w:t>
      </w:r>
      <w:r w:rsidRPr="006E0DFF">
        <w:rPr>
          <w:rFonts w:ascii="Cambria" w:hAnsi="Cambria"/>
          <w:sz w:val="16"/>
          <w:szCs w:val="16"/>
          <w:lang w:val="es-ES_tradnl"/>
        </w:rPr>
        <w:t>. Certificación de 15 de noviembre de 1999. Anex</w:t>
      </w:r>
      <w:r>
        <w:rPr>
          <w:rFonts w:ascii="Cambria" w:hAnsi="Cambria"/>
          <w:sz w:val="16"/>
          <w:szCs w:val="16"/>
          <w:lang w:val="es-ES_tradnl"/>
        </w:rPr>
        <w:t>o 12 a la petición inicial recibida el 26</w:t>
      </w:r>
      <w:r w:rsidRPr="006E0DFF">
        <w:rPr>
          <w:rFonts w:ascii="Cambria" w:hAnsi="Cambria"/>
          <w:sz w:val="16"/>
          <w:szCs w:val="16"/>
          <w:lang w:val="es-ES_tradnl"/>
        </w:rPr>
        <w:t xml:space="preserve"> de mayo de 2005, documento 7.</w:t>
      </w:r>
    </w:p>
  </w:footnote>
  <w:footnote w:id="7">
    <w:p w14:paraId="4E1244CD" w14:textId="572D838D" w:rsidR="000D7A15" w:rsidRPr="00D43691" w:rsidRDefault="000D7A15" w:rsidP="00E972A7">
      <w:pPr>
        <w:pStyle w:val="FootnoteText"/>
        <w:jc w:val="both"/>
        <w:rPr>
          <w:rFonts w:ascii="Cambria" w:hAnsi="Cambria"/>
          <w:sz w:val="16"/>
          <w:szCs w:val="16"/>
          <w:lang w:val="es-MX"/>
        </w:rPr>
      </w:pPr>
      <w:r w:rsidRPr="006E0DFF">
        <w:rPr>
          <w:rStyle w:val="FootnoteReference"/>
          <w:rFonts w:ascii="Cambria" w:hAnsi="Cambria"/>
          <w:sz w:val="16"/>
          <w:szCs w:val="16"/>
        </w:rPr>
        <w:footnoteRef/>
      </w:r>
      <w:r>
        <w:rPr>
          <w:rFonts w:ascii="Cambria" w:hAnsi="Cambria"/>
          <w:sz w:val="16"/>
          <w:szCs w:val="16"/>
          <w:lang w:val="es-ES_tradnl"/>
        </w:rPr>
        <w:t xml:space="preserve">Anexo </w:t>
      </w:r>
      <w:r w:rsidR="009A5466">
        <w:rPr>
          <w:rFonts w:ascii="Cambria" w:hAnsi="Cambria"/>
          <w:sz w:val="16"/>
          <w:szCs w:val="16"/>
          <w:lang w:val="es-ES_tradnl"/>
        </w:rPr>
        <w:t>3</w:t>
      </w:r>
      <w:r w:rsidRPr="00D43691">
        <w:rPr>
          <w:rFonts w:ascii="Cambria" w:hAnsi="Cambria"/>
          <w:sz w:val="16"/>
          <w:szCs w:val="16"/>
          <w:lang w:val="es-ES_tradnl"/>
        </w:rPr>
        <w:t>. Certificación de 1 de febrero de 2001. Anexo</w:t>
      </w:r>
      <w:r>
        <w:rPr>
          <w:rFonts w:ascii="Cambria" w:hAnsi="Cambria"/>
          <w:sz w:val="16"/>
          <w:szCs w:val="16"/>
          <w:lang w:val="es-ES_tradnl"/>
        </w:rPr>
        <w:t xml:space="preserve"> 12 a la petición inicial recibida el 26 </w:t>
      </w:r>
      <w:r w:rsidRPr="00D43691">
        <w:rPr>
          <w:rFonts w:ascii="Cambria" w:hAnsi="Cambria"/>
          <w:sz w:val="16"/>
          <w:szCs w:val="16"/>
          <w:lang w:val="es-ES_tradnl"/>
        </w:rPr>
        <w:t>de mayo de 2005, documento 7.</w:t>
      </w:r>
    </w:p>
  </w:footnote>
  <w:footnote w:id="8">
    <w:p w14:paraId="2DE64005" w14:textId="408E70E6" w:rsidR="000D7A15" w:rsidRPr="00D43691" w:rsidRDefault="000D7A15" w:rsidP="00D43691">
      <w:pPr>
        <w:pStyle w:val="FootnoteText"/>
        <w:jc w:val="both"/>
        <w:rPr>
          <w:lang w:val="es-MX"/>
        </w:rPr>
      </w:pPr>
      <w:r w:rsidRPr="00D43691">
        <w:rPr>
          <w:rStyle w:val="FootnoteReference"/>
          <w:rFonts w:ascii="Cambria" w:hAnsi="Cambria"/>
          <w:sz w:val="16"/>
          <w:szCs w:val="16"/>
        </w:rPr>
        <w:footnoteRef/>
      </w:r>
      <w:r w:rsidR="009A5466">
        <w:rPr>
          <w:rFonts w:ascii="Cambria" w:hAnsi="Cambria"/>
          <w:sz w:val="16"/>
          <w:szCs w:val="16"/>
          <w:lang w:val="es-MX"/>
        </w:rPr>
        <w:t>Anexo  4</w:t>
      </w:r>
      <w:r w:rsidRPr="00D43691">
        <w:rPr>
          <w:rFonts w:ascii="Cambria" w:hAnsi="Cambria"/>
          <w:sz w:val="16"/>
          <w:szCs w:val="16"/>
          <w:lang w:val="es-MX"/>
        </w:rPr>
        <w:t>. Resolución de designación como Vocal de 9 de enero de 2003. Ane</w:t>
      </w:r>
      <w:r>
        <w:rPr>
          <w:rFonts w:ascii="Cambria" w:hAnsi="Cambria"/>
          <w:sz w:val="16"/>
          <w:szCs w:val="16"/>
          <w:lang w:val="es-MX"/>
        </w:rPr>
        <w:t>xo 1 a la petición inicial recibida el 26</w:t>
      </w:r>
      <w:r w:rsidRPr="00D43691">
        <w:rPr>
          <w:rFonts w:ascii="Cambria" w:hAnsi="Cambria"/>
          <w:sz w:val="16"/>
          <w:szCs w:val="16"/>
          <w:lang w:val="es-MX"/>
        </w:rPr>
        <w:t xml:space="preserve"> de mayo de 2005, documento 1.</w:t>
      </w:r>
    </w:p>
  </w:footnote>
  <w:footnote w:id="9">
    <w:p w14:paraId="7532C798" w14:textId="3D532D17" w:rsidR="000D7A15" w:rsidRPr="006E0DFF" w:rsidRDefault="000D7A15" w:rsidP="00E972A7">
      <w:pPr>
        <w:pStyle w:val="FootnoteText"/>
        <w:jc w:val="both"/>
        <w:rPr>
          <w:rFonts w:ascii="Cambria" w:hAnsi="Cambria"/>
          <w:sz w:val="16"/>
          <w:szCs w:val="16"/>
          <w:lang w:val="es-MX"/>
        </w:rPr>
      </w:pPr>
      <w:r w:rsidRPr="006E0DFF">
        <w:rPr>
          <w:rStyle w:val="FootnoteReference"/>
          <w:rFonts w:ascii="Cambria" w:hAnsi="Cambria"/>
          <w:sz w:val="16"/>
          <w:szCs w:val="16"/>
        </w:rPr>
        <w:footnoteRef/>
      </w:r>
      <w:r w:rsidR="009A5466">
        <w:rPr>
          <w:rFonts w:ascii="Cambria" w:hAnsi="Cambria"/>
          <w:sz w:val="16"/>
          <w:szCs w:val="16"/>
          <w:lang w:val="es-ES_tradnl"/>
        </w:rPr>
        <w:t>Anexo  5</w:t>
      </w:r>
      <w:r w:rsidRPr="006E0DFF">
        <w:rPr>
          <w:rFonts w:ascii="Cambria" w:hAnsi="Cambria"/>
          <w:sz w:val="16"/>
          <w:szCs w:val="16"/>
          <w:lang w:val="es-ES_tradnl"/>
        </w:rPr>
        <w:t>. Acta de posesión de 14 de enero de 2003. Ane</w:t>
      </w:r>
      <w:r>
        <w:rPr>
          <w:rFonts w:ascii="Cambria" w:hAnsi="Cambria"/>
          <w:sz w:val="16"/>
          <w:szCs w:val="16"/>
          <w:lang w:val="es-ES_tradnl"/>
        </w:rPr>
        <w:t>xo 1 a la petición inicial recibida el 26</w:t>
      </w:r>
      <w:r w:rsidRPr="006E0DFF">
        <w:rPr>
          <w:rFonts w:ascii="Cambria" w:hAnsi="Cambria"/>
          <w:sz w:val="16"/>
          <w:szCs w:val="16"/>
          <w:lang w:val="es-ES_tradnl"/>
        </w:rPr>
        <w:t xml:space="preserve"> de mayo de 2005, documento 2.</w:t>
      </w:r>
    </w:p>
  </w:footnote>
  <w:footnote w:id="10">
    <w:p w14:paraId="0203C052" w14:textId="7FAC67E5" w:rsidR="000D7A15" w:rsidRPr="00D742C4" w:rsidRDefault="000D7A15" w:rsidP="00013E46">
      <w:pPr>
        <w:pStyle w:val="FootnoteText"/>
        <w:rPr>
          <w:rFonts w:ascii="Cambria" w:hAnsi="Cambria"/>
          <w:sz w:val="16"/>
          <w:szCs w:val="16"/>
          <w:lang w:val="es-VE"/>
        </w:rPr>
      </w:pPr>
      <w:r w:rsidRPr="00D742C4">
        <w:rPr>
          <w:rStyle w:val="FootnoteReference"/>
          <w:rFonts w:ascii="Cambria" w:hAnsi="Cambria"/>
          <w:sz w:val="16"/>
          <w:szCs w:val="16"/>
        </w:rPr>
        <w:footnoteRef/>
      </w:r>
      <w:r w:rsidRPr="00D742C4">
        <w:rPr>
          <w:rFonts w:ascii="Cambria" w:hAnsi="Cambria"/>
          <w:sz w:val="16"/>
          <w:szCs w:val="16"/>
          <w:lang w:val="es-VE"/>
        </w:rPr>
        <w:t xml:space="preserve"> </w:t>
      </w:r>
      <w:r>
        <w:rPr>
          <w:rFonts w:ascii="Cambria" w:hAnsi="Cambria"/>
          <w:sz w:val="16"/>
          <w:szCs w:val="16"/>
          <w:lang w:val="es-VE"/>
        </w:rPr>
        <w:t xml:space="preserve">Corte IDH. Caso del Tribunal Constitucional (Camba Campos y otros) vs. Ecuador. Excepciones Preliminares, Fondo, Reparaciones y Costas. Sentencia de 28 de agosto de 2013. Serie C No. 268, párrs. 55 y 56 (citas originales omitidas). </w:t>
      </w:r>
    </w:p>
  </w:footnote>
  <w:footnote w:id="11">
    <w:p w14:paraId="382012DF" w14:textId="72C83A4D" w:rsidR="000D7A15" w:rsidRPr="00FC019B" w:rsidRDefault="000D7A15" w:rsidP="00B72ECB">
      <w:pPr>
        <w:pStyle w:val="FootnoteText"/>
        <w:jc w:val="both"/>
        <w:rPr>
          <w:rFonts w:ascii="Cambria" w:hAnsi="Cambria"/>
          <w:sz w:val="16"/>
          <w:szCs w:val="16"/>
          <w:lang w:val="es-MX"/>
        </w:rPr>
      </w:pPr>
      <w:r w:rsidRPr="006E0DFF">
        <w:rPr>
          <w:rStyle w:val="FootnoteReference"/>
          <w:rFonts w:ascii="Cambria" w:hAnsi="Cambria"/>
          <w:sz w:val="16"/>
          <w:szCs w:val="16"/>
        </w:rPr>
        <w:footnoteRef/>
      </w:r>
      <w:r w:rsidR="009A5466">
        <w:rPr>
          <w:rFonts w:ascii="Cambria" w:hAnsi="Cambria"/>
          <w:sz w:val="16"/>
          <w:szCs w:val="16"/>
          <w:lang w:val="es-CO"/>
        </w:rPr>
        <w:t xml:space="preserve">  Anexo  6</w:t>
      </w:r>
      <w:r w:rsidRPr="008D37CE">
        <w:rPr>
          <w:rFonts w:ascii="Cambria" w:hAnsi="Cambria"/>
          <w:sz w:val="16"/>
          <w:szCs w:val="16"/>
          <w:lang w:val="es-CO"/>
        </w:rPr>
        <w:t xml:space="preserve">. R-O de 20 de diciembre de 2004. </w:t>
      </w:r>
      <w:r w:rsidRPr="006E0DFF">
        <w:rPr>
          <w:rFonts w:ascii="Cambria" w:hAnsi="Cambria"/>
          <w:sz w:val="16"/>
          <w:szCs w:val="16"/>
          <w:lang w:val="es-ES_tradnl"/>
        </w:rPr>
        <w:t>Anex</w:t>
      </w:r>
      <w:r>
        <w:rPr>
          <w:rFonts w:ascii="Cambria" w:hAnsi="Cambria"/>
          <w:sz w:val="16"/>
          <w:szCs w:val="16"/>
          <w:lang w:val="es-ES_tradnl"/>
        </w:rPr>
        <w:t xml:space="preserve">o 4 a la petición inicial recibida el 26 </w:t>
      </w:r>
      <w:r w:rsidRPr="006E0DFF">
        <w:rPr>
          <w:rFonts w:ascii="Cambria" w:hAnsi="Cambria"/>
          <w:sz w:val="16"/>
          <w:szCs w:val="16"/>
          <w:lang w:val="es-ES_tradnl"/>
        </w:rPr>
        <w:t>de mayo de 2005, documento 1</w:t>
      </w:r>
      <w:r w:rsidRPr="00FC019B">
        <w:rPr>
          <w:rFonts w:ascii="Cambria" w:hAnsi="Cambria"/>
          <w:sz w:val="16"/>
          <w:szCs w:val="16"/>
          <w:lang w:val="es-ES_tradnl"/>
        </w:rPr>
        <w:t>.</w:t>
      </w:r>
    </w:p>
  </w:footnote>
  <w:footnote w:id="12">
    <w:p w14:paraId="4180CA35" w14:textId="5634E396" w:rsidR="000D7A15" w:rsidRPr="00FC019B" w:rsidRDefault="000D7A15" w:rsidP="00B72ECB">
      <w:pPr>
        <w:pStyle w:val="FootnoteText"/>
        <w:jc w:val="both"/>
        <w:rPr>
          <w:rFonts w:ascii="Cambria" w:hAnsi="Cambria"/>
          <w:sz w:val="16"/>
          <w:szCs w:val="16"/>
          <w:lang w:val="es-MX"/>
        </w:rPr>
      </w:pPr>
      <w:r w:rsidRPr="00FC019B">
        <w:rPr>
          <w:rStyle w:val="FootnoteReference"/>
          <w:rFonts w:ascii="Cambria" w:hAnsi="Cambria"/>
          <w:sz w:val="16"/>
          <w:szCs w:val="16"/>
        </w:rPr>
        <w:footnoteRef/>
      </w:r>
      <w:r w:rsidRPr="00C16812">
        <w:rPr>
          <w:rFonts w:ascii="Cambria" w:hAnsi="Cambria"/>
          <w:sz w:val="16"/>
          <w:szCs w:val="16"/>
          <w:lang w:val="pt-BR"/>
        </w:rPr>
        <w:t xml:space="preserve"> </w:t>
      </w:r>
      <w:r w:rsidR="009A5466" w:rsidRPr="00C16812">
        <w:rPr>
          <w:rFonts w:ascii="Cambria" w:hAnsi="Cambria"/>
          <w:sz w:val="16"/>
          <w:szCs w:val="16"/>
          <w:lang w:val="pt-BR"/>
        </w:rPr>
        <w:t>Anexo  6.</w:t>
      </w:r>
      <w:r w:rsidRPr="00C16812">
        <w:rPr>
          <w:rFonts w:ascii="Cambria" w:hAnsi="Cambria"/>
          <w:sz w:val="16"/>
          <w:szCs w:val="16"/>
          <w:lang w:val="pt-BR"/>
        </w:rPr>
        <w:t xml:space="preserve"> R-O de 20 de diciembre de 2004, R-25-160. </w:t>
      </w:r>
      <w:r w:rsidRPr="00FC019B">
        <w:rPr>
          <w:rFonts w:ascii="Cambria" w:hAnsi="Cambria"/>
          <w:sz w:val="16"/>
          <w:szCs w:val="16"/>
          <w:lang w:val="es-ES_tradnl"/>
        </w:rPr>
        <w:t>A</w:t>
      </w:r>
      <w:r>
        <w:rPr>
          <w:rFonts w:ascii="Cambria" w:hAnsi="Cambria"/>
          <w:sz w:val="16"/>
          <w:szCs w:val="16"/>
          <w:lang w:val="es-ES_tradnl"/>
        </w:rPr>
        <w:t>nexo 4 a la petición inicial recibida el 26</w:t>
      </w:r>
      <w:r w:rsidRPr="00FC019B">
        <w:rPr>
          <w:rFonts w:ascii="Cambria" w:hAnsi="Cambria"/>
          <w:sz w:val="16"/>
          <w:szCs w:val="16"/>
          <w:lang w:val="es-ES_tradnl"/>
        </w:rPr>
        <w:t xml:space="preserve"> de mayo de 2005, documento 1.</w:t>
      </w:r>
    </w:p>
  </w:footnote>
  <w:footnote w:id="13">
    <w:p w14:paraId="04DA1AE4" w14:textId="367F33A0" w:rsidR="000D7A15" w:rsidRPr="00FC019B" w:rsidRDefault="000D7A15" w:rsidP="00B72ECB">
      <w:pPr>
        <w:pStyle w:val="FootnoteText"/>
        <w:jc w:val="both"/>
        <w:rPr>
          <w:rFonts w:ascii="Cambria" w:hAnsi="Cambria"/>
          <w:sz w:val="16"/>
          <w:szCs w:val="16"/>
          <w:lang w:val="es-MX"/>
        </w:rPr>
      </w:pPr>
      <w:r w:rsidRPr="00FC019B">
        <w:rPr>
          <w:rStyle w:val="FootnoteReference"/>
          <w:rFonts w:ascii="Cambria" w:hAnsi="Cambria"/>
          <w:sz w:val="16"/>
          <w:szCs w:val="16"/>
        </w:rPr>
        <w:footnoteRef/>
      </w:r>
      <w:r w:rsidR="009A5466" w:rsidRPr="00C16812">
        <w:rPr>
          <w:rFonts w:ascii="Cambria" w:hAnsi="Cambria"/>
          <w:sz w:val="16"/>
          <w:szCs w:val="16"/>
          <w:lang w:val="pt-BR"/>
        </w:rPr>
        <w:t xml:space="preserve"> Anexo  6</w:t>
      </w:r>
      <w:r w:rsidRPr="00C16812">
        <w:rPr>
          <w:rFonts w:ascii="Cambria" w:hAnsi="Cambria"/>
          <w:sz w:val="16"/>
          <w:szCs w:val="16"/>
          <w:lang w:val="pt-BR"/>
        </w:rPr>
        <w:t xml:space="preserve">. R-O de 20 de diciembre de 2004, </w:t>
      </w:r>
      <w:r w:rsidRPr="00FC019B">
        <w:rPr>
          <w:rFonts w:ascii="Cambria" w:hAnsi="Cambria"/>
          <w:sz w:val="16"/>
          <w:szCs w:val="16"/>
          <w:lang w:val="pt-BR"/>
        </w:rPr>
        <w:t xml:space="preserve">R-25-160. </w:t>
      </w:r>
      <w:r w:rsidRPr="00FC019B">
        <w:rPr>
          <w:rFonts w:ascii="Cambria" w:hAnsi="Cambria"/>
          <w:sz w:val="16"/>
          <w:szCs w:val="16"/>
          <w:lang w:val="es-ES_tradnl"/>
        </w:rPr>
        <w:t>Anexo 4 a la petición inicial</w:t>
      </w:r>
      <w:r>
        <w:rPr>
          <w:rFonts w:ascii="Cambria" w:hAnsi="Cambria"/>
          <w:sz w:val="16"/>
          <w:szCs w:val="16"/>
          <w:lang w:val="es-ES_tradnl"/>
        </w:rPr>
        <w:t xml:space="preserve"> recibida el 26</w:t>
      </w:r>
      <w:r w:rsidRPr="00FC019B">
        <w:rPr>
          <w:rFonts w:ascii="Cambria" w:hAnsi="Cambria"/>
          <w:sz w:val="16"/>
          <w:szCs w:val="16"/>
          <w:lang w:val="es-ES_tradnl"/>
        </w:rPr>
        <w:t xml:space="preserve"> de mayo de 2005, documento 1.</w:t>
      </w:r>
    </w:p>
  </w:footnote>
  <w:footnote w:id="14">
    <w:p w14:paraId="3E4642D1" w14:textId="77777777" w:rsidR="000D7A15" w:rsidRPr="001C6BA4" w:rsidRDefault="000D7A15">
      <w:pPr>
        <w:pStyle w:val="FootnoteText"/>
        <w:rPr>
          <w:rFonts w:ascii="Cambria" w:hAnsi="Cambria"/>
          <w:sz w:val="16"/>
          <w:szCs w:val="16"/>
          <w:lang w:val="es-VE"/>
        </w:rPr>
      </w:pPr>
      <w:r w:rsidRPr="001C6BA4">
        <w:rPr>
          <w:rStyle w:val="FootnoteReference"/>
          <w:rFonts w:ascii="Cambria" w:hAnsi="Cambria"/>
          <w:sz w:val="16"/>
          <w:szCs w:val="16"/>
        </w:rPr>
        <w:footnoteRef/>
      </w:r>
      <w:r w:rsidRPr="001C6BA4">
        <w:rPr>
          <w:rFonts w:ascii="Cambria" w:hAnsi="Cambria"/>
          <w:sz w:val="16"/>
          <w:szCs w:val="16"/>
          <w:lang w:val="es-VE"/>
        </w:rPr>
        <w:t xml:space="preserve"> Ver resoluciones 25-170, 25-171, 25-172, 25, 173, 25-174, 25-175, 25-176 de 26 de noviembre de 2004. </w:t>
      </w:r>
    </w:p>
  </w:footnote>
  <w:footnote w:id="15">
    <w:p w14:paraId="287E294A" w14:textId="420791A6" w:rsidR="000D7A15" w:rsidRPr="00D011F5" w:rsidRDefault="000D7A15" w:rsidP="00B72ECB">
      <w:pPr>
        <w:pStyle w:val="FootnoteText"/>
        <w:jc w:val="both"/>
        <w:rPr>
          <w:rFonts w:ascii="Cambria" w:hAnsi="Cambria"/>
          <w:sz w:val="16"/>
          <w:szCs w:val="16"/>
          <w:lang w:val="es-MX"/>
        </w:rPr>
      </w:pPr>
      <w:r w:rsidRPr="00D011F5">
        <w:rPr>
          <w:rStyle w:val="FootnoteReference"/>
          <w:rFonts w:ascii="Cambria" w:hAnsi="Cambria"/>
          <w:sz w:val="16"/>
          <w:szCs w:val="16"/>
        </w:rPr>
        <w:footnoteRef/>
      </w:r>
      <w:r w:rsidR="009A5466">
        <w:rPr>
          <w:rFonts w:ascii="Cambria" w:hAnsi="Cambria"/>
          <w:sz w:val="16"/>
          <w:szCs w:val="16"/>
          <w:lang w:val="pt-BR"/>
        </w:rPr>
        <w:t xml:space="preserve"> Anexo  7</w:t>
      </w:r>
      <w:r w:rsidRPr="00D011F5">
        <w:rPr>
          <w:rFonts w:ascii="Cambria" w:hAnsi="Cambria"/>
          <w:sz w:val="16"/>
          <w:szCs w:val="16"/>
          <w:lang w:val="pt-BR"/>
        </w:rPr>
        <w:t xml:space="preserve">. R-O de 27 de julio de 2001, R 01-027 de la Corte Suprema de Justicia. </w:t>
      </w:r>
      <w:r w:rsidRPr="00D011F5">
        <w:rPr>
          <w:rFonts w:ascii="Cambria" w:hAnsi="Cambria"/>
          <w:sz w:val="16"/>
          <w:szCs w:val="16"/>
          <w:lang w:val="es-ES_tradnl"/>
        </w:rPr>
        <w:t>Anexo E a las observaciones adicionales a las observaciones del Estado de 18 de septiembre  de 2014.</w:t>
      </w:r>
    </w:p>
  </w:footnote>
  <w:footnote w:id="16">
    <w:p w14:paraId="0B02BBCD" w14:textId="77777777" w:rsidR="000D7A15" w:rsidRPr="00230401" w:rsidRDefault="000D7A15" w:rsidP="00B72ECB">
      <w:pPr>
        <w:pStyle w:val="FootnoteText"/>
        <w:jc w:val="both"/>
        <w:rPr>
          <w:lang w:val="es-MX"/>
        </w:rPr>
      </w:pPr>
      <w:r>
        <w:rPr>
          <w:rStyle w:val="FootnoteReference"/>
        </w:rPr>
        <w:footnoteRef/>
      </w:r>
      <w:r w:rsidRPr="00230401">
        <w:rPr>
          <w:lang w:val="es-MX"/>
        </w:rPr>
        <w:t xml:space="preserve"> </w:t>
      </w:r>
      <w:r w:rsidRPr="005F320C">
        <w:rPr>
          <w:rFonts w:ascii="Cambria" w:hAnsi="Cambria"/>
          <w:sz w:val="16"/>
          <w:szCs w:val="16"/>
          <w:lang w:val="es-MX"/>
        </w:rPr>
        <w:t xml:space="preserve">Informe No 99/11. Caso 12.597. </w:t>
      </w:r>
      <w:r w:rsidRPr="005F320C">
        <w:rPr>
          <w:rFonts w:ascii="Cambria" w:hAnsi="Cambria"/>
          <w:sz w:val="16"/>
          <w:szCs w:val="16"/>
          <w:lang w:val="es-ES_tradnl"/>
        </w:rPr>
        <w:t xml:space="preserve">Miguel Camba Campos y otros. Vocales del Tribunal Constitucional. 22 de julio de 2011, párr. 54; e </w:t>
      </w:r>
      <w:r w:rsidRPr="005F320C">
        <w:rPr>
          <w:rFonts w:ascii="Cambria" w:hAnsi="Cambria"/>
          <w:sz w:val="16"/>
          <w:szCs w:val="16"/>
          <w:lang w:val="es-MX"/>
        </w:rPr>
        <w:t xml:space="preserve">Informe No 65/11. Caso 12.600. </w:t>
      </w:r>
      <w:r w:rsidRPr="005F320C">
        <w:rPr>
          <w:rFonts w:ascii="Cambria" w:hAnsi="Cambria"/>
          <w:sz w:val="16"/>
          <w:szCs w:val="16"/>
          <w:lang w:val="es-ES_tradnl"/>
        </w:rPr>
        <w:t>Hugo Quintana Coello y otros. Magistrados de la Corte Suprema de Justicia</w:t>
      </w:r>
      <w:r>
        <w:rPr>
          <w:rFonts w:ascii="Cambria" w:hAnsi="Cambria"/>
          <w:sz w:val="16"/>
          <w:szCs w:val="16"/>
          <w:lang w:val="es-ES_tradnl"/>
        </w:rPr>
        <w:t>. 31 de marzo de 2011, párr. 46</w:t>
      </w:r>
      <w:r w:rsidRPr="005F320C">
        <w:rPr>
          <w:rFonts w:ascii="Cambria" w:hAnsi="Cambria"/>
          <w:sz w:val="16"/>
          <w:szCs w:val="16"/>
          <w:lang w:val="es-ES_tradnl"/>
        </w:rPr>
        <w:t>.</w:t>
      </w:r>
    </w:p>
  </w:footnote>
  <w:footnote w:id="17">
    <w:p w14:paraId="02EB58A1" w14:textId="74A1DCCE" w:rsidR="000D7A15" w:rsidRPr="00912B5D" w:rsidRDefault="000D7A15" w:rsidP="00B72ECB">
      <w:pPr>
        <w:pStyle w:val="FootnoteText"/>
        <w:jc w:val="both"/>
        <w:rPr>
          <w:rFonts w:ascii="Cambria" w:hAnsi="Cambria"/>
          <w:sz w:val="16"/>
          <w:szCs w:val="16"/>
          <w:lang w:val="es-MX"/>
        </w:rPr>
      </w:pPr>
      <w:r w:rsidRPr="00D011F5">
        <w:rPr>
          <w:rStyle w:val="FootnoteReference"/>
          <w:rFonts w:ascii="Cambria" w:hAnsi="Cambria"/>
          <w:sz w:val="16"/>
          <w:szCs w:val="16"/>
        </w:rPr>
        <w:footnoteRef/>
      </w:r>
      <w:r w:rsidRPr="00D011F5">
        <w:rPr>
          <w:rFonts w:ascii="Cambria" w:hAnsi="Cambria"/>
          <w:sz w:val="16"/>
          <w:szCs w:val="16"/>
          <w:lang w:val="es-MX"/>
        </w:rPr>
        <w:t xml:space="preserve"> </w:t>
      </w:r>
      <w:r w:rsidR="009A5466">
        <w:rPr>
          <w:rFonts w:ascii="Cambria" w:hAnsi="Cambria"/>
          <w:sz w:val="16"/>
          <w:szCs w:val="16"/>
          <w:lang w:val="es-ES_tradnl"/>
        </w:rPr>
        <w:t>Anexo 8</w:t>
      </w:r>
      <w:r w:rsidRPr="00912B5D">
        <w:rPr>
          <w:rFonts w:ascii="Cambria" w:hAnsi="Cambria"/>
          <w:sz w:val="16"/>
          <w:szCs w:val="16"/>
          <w:lang w:val="es-ES_tradnl"/>
        </w:rPr>
        <w:t xml:space="preserve">. Resolución del Tribunal Constitucional emitida el 2 de diciembre del 2004, publicada en el R-O 477 el 8 de diciembre de 2004. Anexo E a las observaciones adicionales a las observaciones del Estado de 18 de septiembre  de 2014. </w:t>
      </w:r>
    </w:p>
  </w:footnote>
  <w:footnote w:id="18">
    <w:p w14:paraId="19B3D1F6" w14:textId="77777777" w:rsidR="000D7A15" w:rsidRPr="008E78CC" w:rsidRDefault="000D7A15">
      <w:pPr>
        <w:pStyle w:val="FootnoteText"/>
        <w:rPr>
          <w:rFonts w:ascii="Cambria" w:hAnsi="Cambria"/>
          <w:sz w:val="16"/>
          <w:szCs w:val="16"/>
          <w:lang w:val="es-VE"/>
        </w:rPr>
      </w:pPr>
      <w:r w:rsidRPr="008E78CC">
        <w:rPr>
          <w:rStyle w:val="FootnoteReference"/>
          <w:rFonts w:ascii="Cambria" w:hAnsi="Cambria"/>
          <w:sz w:val="16"/>
          <w:szCs w:val="16"/>
        </w:rPr>
        <w:footnoteRef/>
      </w:r>
      <w:r w:rsidRPr="008E78CC">
        <w:rPr>
          <w:rFonts w:ascii="Cambria" w:hAnsi="Cambria"/>
          <w:sz w:val="16"/>
          <w:szCs w:val="16"/>
          <w:lang w:val="es-VE"/>
        </w:rPr>
        <w:t xml:space="preserve"> Corte IDH. Caso del Tribunal Constitucional (Camba Campos y otros) vs. Ecuador. Excepciones Preliminares, Fondo, Reparaciones y Costas. Sentencia de 28 de agosto de 2013. Serie C no. 268, párr.101 y ss.</w:t>
      </w:r>
    </w:p>
  </w:footnote>
  <w:footnote w:id="19">
    <w:p w14:paraId="09E9B7F2" w14:textId="77777777" w:rsidR="000D7A15" w:rsidRPr="0064521C" w:rsidRDefault="000D7A15" w:rsidP="0064521C">
      <w:pPr>
        <w:tabs>
          <w:tab w:val="left" w:pos="360"/>
        </w:tabs>
        <w:suppressAutoHyphens/>
        <w:jc w:val="both"/>
        <w:rPr>
          <w:rFonts w:ascii="Cambria" w:hAnsi="Cambria"/>
          <w:spacing w:val="-3"/>
          <w:sz w:val="16"/>
          <w:szCs w:val="16"/>
          <w:lang w:val="es-ES"/>
        </w:rPr>
      </w:pPr>
      <w:r w:rsidRPr="0064521C">
        <w:rPr>
          <w:rStyle w:val="FootnoteReference"/>
          <w:rFonts w:ascii="Cambria" w:hAnsi="Cambria"/>
          <w:sz w:val="16"/>
          <w:szCs w:val="16"/>
        </w:rPr>
        <w:footnoteRef/>
      </w:r>
      <w:r w:rsidRPr="0064521C">
        <w:rPr>
          <w:rFonts w:ascii="Cambria" w:hAnsi="Cambria"/>
          <w:sz w:val="16"/>
          <w:szCs w:val="16"/>
          <w:lang w:val="es-VE"/>
        </w:rPr>
        <w:t xml:space="preserve"> </w:t>
      </w:r>
      <w:r w:rsidRPr="0064521C">
        <w:rPr>
          <w:rFonts w:ascii="Cambria" w:hAnsi="Cambria"/>
          <w:spacing w:val="-3"/>
          <w:sz w:val="16"/>
          <w:szCs w:val="16"/>
          <w:lang w:val="es-ES"/>
        </w:rPr>
        <w:t>El artículo 8 de la Convención Americana establece, en lo pertinente: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2. Toda persona inculpada de delito tiene derecho a que se presuma su inocencia mientras no se establezca legalmente su culpabilidad.  Durante el proceso, toda persona tiene derecho, en plena igualdad, a las siguientes garantías mínimas: (…) b. comunicación previa y detallada al inculpado de la acusación formulada; c. concesión al inculpado del tiempo y de los medios adecuados para la preparación de su defensa; (…) h. derecho de recurrir del fallo ante juez o tribunal superior.</w:t>
      </w:r>
    </w:p>
  </w:footnote>
  <w:footnote w:id="20">
    <w:p w14:paraId="66427E4D" w14:textId="77777777" w:rsidR="000D7A15" w:rsidRPr="0064521C" w:rsidRDefault="000D7A15" w:rsidP="0064521C">
      <w:pPr>
        <w:tabs>
          <w:tab w:val="left" w:pos="360"/>
        </w:tabs>
        <w:suppressAutoHyphens/>
        <w:jc w:val="both"/>
        <w:rPr>
          <w:rFonts w:ascii="Cambria" w:hAnsi="Cambria"/>
          <w:spacing w:val="-3"/>
          <w:sz w:val="16"/>
          <w:szCs w:val="16"/>
          <w:lang w:val="es-ES"/>
        </w:rPr>
      </w:pPr>
      <w:r w:rsidRPr="0064521C">
        <w:rPr>
          <w:rStyle w:val="FootnoteReference"/>
          <w:rFonts w:ascii="Cambria" w:hAnsi="Cambria"/>
          <w:sz w:val="16"/>
          <w:szCs w:val="16"/>
        </w:rPr>
        <w:footnoteRef/>
      </w:r>
      <w:r w:rsidRPr="0064521C">
        <w:rPr>
          <w:rFonts w:ascii="Cambria" w:hAnsi="Cambria"/>
          <w:sz w:val="16"/>
          <w:szCs w:val="16"/>
          <w:lang w:val="es-VE"/>
        </w:rPr>
        <w:t xml:space="preserve"> </w:t>
      </w:r>
      <w:r w:rsidRPr="0064521C">
        <w:rPr>
          <w:rFonts w:ascii="Cambria" w:hAnsi="Cambria"/>
          <w:spacing w:val="-3"/>
          <w:sz w:val="16"/>
          <w:szCs w:val="16"/>
          <w:lang w:val="es-ES"/>
        </w:rPr>
        <w:t>El artículo 1.1 de la Convención Americana establece: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 El artículo 2 de la Convención Americana establece: Si en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footnote>
  <w:footnote w:id="21">
    <w:p w14:paraId="1FF44370" w14:textId="77777777" w:rsidR="000D7A15" w:rsidRPr="0064521C" w:rsidRDefault="000D7A15" w:rsidP="0064521C">
      <w:pPr>
        <w:pStyle w:val="FootnoteText"/>
        <w:jc w:val="both"/>
        <w:rPr>
          <w:rFonts w:ascii="Cambria" w:hAnsi="Cambria"/>
          <w:sz w:val="16"/>
          <w:szCs w:val="16"/>
          <w:lang w:val="es-ES"/>
        </w:rPr>
      </w:pPr>
      <w:r w:rsidRPr="0064521C">
        <w:rPr>
          <w:rStyle w:val="FootnoteReference"/>
          <w:rFonts w:ascii="Cambria" w:hAnsi="Cambria"/>
          <w:sz w:val="16"/>
          <w:szCs w:val="16"/>
        </w:rPr>
        <w:footnoteRef/>
      </w:r>
      <w:r w:rsidRPr="0064521C">
        <w:rPr>
          <w:rFonts w:ascii="Cambria" w:hAnsi="Cambria"/>
          <w:sz w:val="16"/>
          <w:szCs w:val="16"/>
          <w:lang w:val="es-ES"/>
        </w:rPr>
        <w:t xml:space="preserve"> CIDH, Informe No. 65/11, Caso 12.600, Fondo, Hugo Quintana Coello y otros “Magistrados de la Corte Suprema de Justicia”, Ecuador, 31 de marzo de 2011, párr. 102; Corte IDH. </w:t>
      </w:r>
      <w:hyperlink r:id="rId2" w:history="1">
        <w:r w:rsidRPr="0064521C">
          <w:rPr>
            <w:rStyle w:val="Hyperlink"/>
            <w:rFonts w:ascii="Cambria" w:hAnsi="Cambria" w:cs="Arial"/>
            <w:color w:val="auto"/>
            <w:sz w:val="16"/>
            <w:szCs w:val="16"/>
            <w:u w:val="none"/>
            <w:shd w:val="clear" w:color="auto" w:fill="FFFFFF"/>
            <w:lang w:val="es-ES"/>
          </w:rPr>
          <w:t>Caso Baena Ricardo y otros Vs. Panamá. Fondo, Reparaciones y Costas. Sentencia de 2 de febrero de 2001. Serie C No. 72</w:t>
        </w:r>
      </w:hyperlink>
      <w:r w:rsidRPr="0064521C">
        <w:rPr>
          <w:rFonts w:ascii="Cambria" w:hAnsi="Cambria"/>
          <w:sz w:val="16"/>
          <w:szCs w:val="16"/>
          <w:lang w:val="es-ES"/>
        </w:rPr>
        <w:t xml:space="preserve">, párrs. 126-127; </w:t>
      </w:r>
      <w:hyperlink r:id="rId3" w:history="1">
        <w:r w:rsidRPr="0064521C">
          <w:rPr>
            <w:rStyle w:val="Hyperlink"/>
            <w:rFonts w:ascii="Cambria" w:hAnsi="Cambria" w:cs="Arial"/>
            <w:color w:val="auto"/>
            <w:sz w:val="16"/>
            <w:szCs w:val="16"/>
            <w:u w:val="none"/>
            <w:shd w:val="clear" w:color="auto" w:fill="FFFFFF"/>
            <w:lang w:val="es-ES"/>
          </w:rPr>
          <w:t>Caso del Tribunal Constitucional Vs. Perú. Fondo, Reparaciones y Costas. Sentencia de 31 de enero de 2001. Serie C No. 71</w:t>
        </w:r>
      </w:hyperlink>
      <w:r w:rsidRPr="0064521C">
        <w:rPr>
          <w:rFonts w:ascii="Cambria" w:hAnsi="Cambria"/>
          <w:sz w:val="16"/>
          <w:szCs w:val="16"/>
          <w:lang w:val="es-ES"/>
        </w:rPr>
        <w:t xml:space="preserve">, párrs. 69-70; y </w:t>
      </w:r>
      <w:hyperlink r:id="rId4" w:history="1">
        <w:r w:rsidRPr="0064521C">
          <w:rPr>
            <w:rStyle w:val="Hyperlink"/>
            <w:rFonts w:ascii="Cambria" w:hAnsi="Cambria" w:cs="Arial"/>
            <w:color w:val="auto"/>
            <w:sz w:val="16"/>
            <w:szCs w:val="16"/>
            <w:u w:val="none"/>
            <w:shd w:val="clear" w:color="auto" w:fill="FFFFFF"/>
            <w:lang w:val="es-ES"/>
          </w:rPr>
          <w:t>Caso López Mendoza Vs. Venezuela. Fondo Reparaciones y Costas. Sentencia de 1 de septiembre de 2011 Serie C No. 233</w:t>
        </w:r>
      </w:hyperlink>
      <w:r w:rsidRPr="0064521C">
        <w:rPr>
          <w:rFonts w:ascii="Cambria" w:hAnsi="Cambria"/>
          <w:sz w:val="16"/>
          <w:szCs w:val="16"/>
          <w:lang w:val="es-ES"/>
        </w:rPr>
        <w:t xml:space="preserve">, párr. 111. </w:t>
      </w:r>
    </w:p>
  </w:footnote>
  <w:footnote w:id="22">
    <w:p w14:paraId="78CBF600" w14:textId="77777777" w:rsidR="000D7A15" w:rsidRPr="0064521C" w:rsidRDefault="000D7A15" w:rsidP="0064521C">
      <w:pPr>
        <w:pStyle w:val="FootnoteText"/>
        <w:jc w:val="both"/>
        <w:rPr>
          <w:rFonts w:ascii="Cambria" w:hAnsi="Cambria"/>
          <w:sz w:val="16"/>
          <w:szCs w:val="16"/>
          <w:lang w:val="es-ES"/>
        </w:rPr>
      </w:pPr>
      <w:r w:rsidRPr="0064521C">
        <w:rPr>
          <w:rStyle w:val="FootnoteReference"/>
          <w:rFonts w:ascii="Cambria" w:hAnsi="Cambria"/>
          <w:sz w:val="16"/>
          <w:szCs w:val="16"/>
        </w:rPr>
        <w:footnoteRef/>
      </w:r>
      <w:r w:rsidRPr="0064521C">
        <w:rPr>
          <w:rFonts w:ascii="Cambria" w:hAnsi="Cambria"/>
          <w:sz w:val="16"/>
          <w:szCs w:val="16"/>
          <w:lang w:val="es-ES"/>
        </w:rPr>
        <w:t xml:space="preserve"> CIDH. El Acceso a la Justicia como Garantía de los Derechos Económicos, Sociales y Culturales. Estudio de los Estándares Fijados por el Sistema Interamericano de Derechos Humanos. </w:t>
      </w:r>
      <w:r w:rsidRPr="0064521C">
        <w:rPr>
          <w:rFonts w:ascii="Cambria" w:hAnsi="Cambria"/>
          <w:sz w:val="16"/>
          <w:szCs w:val="16"/>
          <w:lang w:val="es-ES_tradnl"/>
        </w:rPr>
        <w:t xml:space="preserve">OEA/Ser.L/V/II.129. 7 de septiembre de 2007, párrs. 98-123; y Caso No. 12.828, Informe 112/12, Marcel Granier y otros, Venezuela, Fondo, 9 de noviembre de 2012, párr. 188; </w:t>
      </w:r>
      <w:r w:rsidRPr="0064521C">
        <w:rPr>
          <w:rFonts w:ascii="Cambria" w:hAnsi="Cambria"/>
          <w:sz w:val="16"/>
          <w:szCs w:val="16"/>
          <w:lang w:val="es-ES"/>
        </w:rPr>
        <w:t xml:space="preserve">Corte IDH. </w:t>
      </w:r>
      <w:hyperlink r:id="rId5" w:history="1">
        <w:r w:rsidRPr="0064521C">
          <w:rPr>
            <w:rStyle w:val="Hyperlink"/>
            <w:rFonts w:ascii="Cambria" w:hAnsi="Cambria" w:cs="Arial"/>
            <w:color w:val="auto"/>
            <w:sz w:val="16"/>
            <w:szCs w:val="16"/>
            <w:u w:val="none"/>
            <w:shd w:val="clear" w:color="auto" w:fill="FFFFFF"/>
            <w:lang w:val="es-ES"/>
          </w:rPr>
          <w:t>Caso Baena Ricardo y otros Vs. Panamá. Fondo, Reparaciones y Costas. Sentencia de 2 de febrero de 2001. Serie C No. 72</w:t>
        </w:r>
      </w:hyperlink>
      <w:r w:rsidRPr="0064521C">
        <w:rPr>
          <w:rFonts w:ascii="Cambria" w:hAnsi="Cambria"/>
          <w:sz w:val="16"/>
          <w:szCs w:val="16"/>
          <w:lang w:val="es-ES"/>
        </w:rPr>
        <w:t>, párrs. 126-127.</w:t>
      </w:r>
    </w:p>
  </w:footnote>
  <w:footnote w:id="23">
    <w:p w14:paraId="43A967CB" w14:textId="77777777" w:rsidR="000D7A15" w:rsidRPr="00E0359A" w:rsidRDefault="000D7A15" w:rsidP="0066797B">
      <w:pPr>
        <w:pStyle w:val="FootnoteText"/>
        <w:tabs>
          <w:tab w:val="num" w:pos="0"/>
        </w:tabs>
        <w:jc w:val="both"/>
        <w:rPr>
          <w:rFonts w:ascii="Cambria" w:hAnsi="Cambria"/>
          <w:sz w:val="16"/>
          <w:szCs w:val="16"/>
          <w:lang w:val="es-VE"/>
        </w:rPr>
      </w:pPr>
      <w:r w:rsidRPr="00E0359A">
        <w:rPr>
          <w:rStyle w:val="FootnoteReference"/>
          <w:rFonts w:ascii="Cambria" w:hAnsi="Cambria"/>
          <w:sz w:val="16"/>
          <w:szCs w:val="16"/>
        </w:rPr>
        <w:footnoteRef/>
      </w:r>
      <w:r w:rsidRPr="00E0359A">
        <w:rPr>
          <w:rFonts w:ascii="Cambria" w:hAnsi="Cambria"/>
          <w:sz w:val="16"/>
          <w:szCs w:val="16"/>
          <w:lang w:val="es-VE"/>
        </w:rPr>
        <w:t xml:space="preserve"> </w:t>
      </w:r>
      <w:r>
        <w:rPr>
          <w:rFonts w:ascii="Cambria" w:hAnsi="Cambria"/>
          <w:sz w:val="16"/>
          <w:szCs w:val="16"/>
          <w:lang w:val="es-VE"/>
        </w:rPr>
        <w:t>CIDH, Informe No 99/11, Caso 12.597,  Informe de Fondo, Miguel Camba Campos y otros “Vocales del Tribunal Constitucional”, Ecuador, 22 de julio de 2011, párr.94;</w:t>
      </w:r>
      <w:r w:rsidRPr="00E0359A">
        <w:rPr>
          <w:rFonts w:ascii="Cambria" w:hAnsi="Cambria"/>
          <w:sz w:val="16"/>
          <w:szCs w:val="16"/>
          <w:lang w:val="es-VE"/>
        </w:rPr>
        <w:t xml:space="preserve">Corte IDH, Caso López Lone y otros Vs. </w:t>
      </w:r>
      <w:r w:rsidRPr="00E0359A">
        <w:rPr>
          <w:rFonts w:ascii="Cambria" w:hAnsi="Cambria"/>
          <w:sz w:val="16"/>
          <w:szCs w:val="16"/>
          <w:lang w:val="es-CO"/>
        </w:rPr>
        <w:t xml:space="preserve">Honduras. </w:t>
      </w:r>
      <w:r w:rsidRPr="00E0359A">
        <w:rPr>
          <w:rFonts w:ascii="Cambria" w:hAnsi="Cambria"/>
          <w:sz w:val="16"/>
          <w:szCs w:val="16"/>
          <w:lang w:val="es-VE"/>
        </w:rPr>
        <w:t xml:space="preserve">Excepción Preliminar, Fondo, Reparaciones y Costas. Sentencia de 05 de octubre de 2015. Serie C No. 302, párr. 257 y Caso Maldonado Ordoñez Vs. </w:t>
      </w:r>
      <w:r w:rsidRPr="00E0359A">
        <w:rPr>
          <w:rFonts w:ascii="Cambria" w:hAnsi="Cambria"/>
          <w:sz w:val="16"/>
          <w:szCs w:val="16"/>
          <w:lang w:val="es-CO"/>
        </w:rPr>
        <w:t xml:space="preserve">Guatemala. </w:t>
      </w:r>
      <w:r w:rsidRPr="00E0359A">
        <w:rPr>
          <w:rFonts w:ascii="Cambria" w:hAnsi="Cambria"/>
          <w:sz w:val="16"/>
          <w:szCs w:val="16"/>
          <w:lang w:val="es-VE"/>
        </w:rPr>
        <w:t xml:space="preserve">Excepción Preliminar, Fondo, Reparaciones y Costas. Sentencia de 3 de mayo de 2016. Serie C No. 311, párr. 89. </w:t>
      </w:r>
      <w:r w:rsidRPr="00E0359A">
        <w:rPr>
          <w:rFonts w:ascii="Cambria" w:hAnsi="Cambria"/>
          <w:sz w:val="16"/>
          <w:szCs w:val="16"/>
          <w:lang w:val="es-US"/>
        </w:rPr>
        <w:t xml:space="preserve">Corte IDH. </w:t>
      </w:r>
      <w:r w:rsidRPr="00E0359A">
        <w:rPr>
          <w:rFonts w:ascii="Cambria" w:hAnsi="Cambria"/>
          <w:bCs/>
          <w:sz w:val="16"/>
          <w:szCs w:val="16"/>
          <w:lang w:val="es-AR"/>
        </w:rPr>
        <w:t xml:space="preserve">Caso Baena Ricardo y otros Vs. Panamá. </w:t>
      </w:r>
      <w:r w:rsidRPr="00E0359A">
        <w:rPr>
          <w:rFonts w:ascii="Cambria" w:hAnsi="Cambria"/>
          <w:sz w:val="16"/>
          <w:szCs w:val="16"/>
          <w:lang w:val="es-AR"/>
        </w:rPr>
        <w:t>Fondo, Reparaciones y Costas. Sentencia de 2 de febrero de 2001. Serie C No. 72, párrs. 106 y 108.</w:t>
      </w:r>
    </w:p>
  </w:footnote>
  <w:footnote w:id="24">
    <w:p w14:paraId="3F064A16" w14:textId="77777777" w:rsidR="000D7A15" w:rsidRPr="00EE3F54" w:rsidRDefault="000D7A15" w:rsidP="008D37CE">
      <w:pPr>
        <w:pStyle w:val="FootnoteText"/>
        <w:jc w:val="both"/>
        <w:rPr>
          <w:rFonts w:ascii="Cambria" w:hAnsi="Cambria"/>
          <w:sz w:val="16"/>
          <w:szCs w:val="16"/>
          <w:lang w:val="es-VE"/>
        </w:rPr>
      </w:pPr>
      <w:r w:rsidRPr="00EE3F54">
        <w:rPr>
          <w:rStyle w:val="FootnoteReference"/>
          <w:rFonts w:ascii="Cambria" w:hAnsi="Cambria"/>
          <w:sz w:val="16"/>
          <w:szCs w:val="16"/>
        </w:rPr>
        <w:footnoteRef/>
      </w:r>
      <w:r w:rsidRPr="00EE3F54">
        <w:rPr>
          <w:rFonts w:ascii="Cambria" w:hAnsi="Cambria"/>
          <w:sz w:val="16"/>
          <w:szCs w:val="16"/>
          <w:lang w:val="es-VE"/>
        </w:rPr>
        <w:t>Corte IDH. Caso del Tribunal Constitucional (Camba Campos y otros) vs. Ecuador. Excepciones Preliminares, Fondo, Reparaciones y Costas. Sentencia de 28 de agosto de 2013. Serie C No. 268, párr.130.</w:t>
      </w:r>
    </w:p>
  </w:footnote>
  <w:footnote w:id="25">
    <w:p w14:paraId="54FFB215" w14:textId="77777777" w:rsidR="000D7A15" w:rsidRPr="00E0359A" w:rsidRDefault="000D7A15" w:rsidP="00E0359A">
      <w:pPr>
        <w:jc w:val="both"/>
        <w:rPr>
          <w:rFonts w:ascii="Cambria" w:eastAsia="Times New Roman" w:hAnsi="Cambria"/>
          <w:sz w:val="16"/>
          <w:szCs w:val="16"/>
          <w:lang w:val="es-MX"/>
        </w:rPr>
      </w:pPr>
      <w:r w:rsidRPr="00E0359A">
        <w:rPr>
          <w:rStyle w:val="FootnoteReference"/>
          <w:rFonts w:ascii="Cambria" w:hAnsi="Cambria"/>
          <w:sz w:val="16"/>
          <w:szCs w:val="16"/>
        </w:rPr>
        <w:footnoteRef/>
      </w:r>
      <w:r w:rsidRPr="00E0359A">
        <w:rPr>
          <w:rFonts w:ascii="Cambria" w:hAnsi="Cambria"/>
          <w:sz w:val="16"/>
          <w:szCs w:val="16"/>
          <w:lang w:val="es-MX"/>
        </w:rPr>
        <w:t xml:space="preserve">CIDH, Informe sobre las Garantías para la Independencia de las y los Operadores de Justicia. Hacia el fortalecimiento del acceso a la justicia y el estado de derecho en las Américas,  5 de diciembre de 2013, párrs. 56, 109 y 184, </w:t>
      </w:r>
      <w:r w:rsidRPr="00E0359A">
        <w:rPr>
          <w:rFonts w:ascii="Cambria" w:eastAsia="Times New Roman" w:hAnsi="Cambria"/>
          <w:bCs/>
          <w:sz w:val="16"/>
          <w:szCs w:val="16"/>
          <w:shd w:val="clear" w:color="auto" w:fill="FFFFFF"/>
          <w:lang w:val="es-MX"/>
        </w:rPr>
        <w:t>Corte IDH. Caso López Lone y otros Vs. Honduras. Excepción Preliminar, Fondo, Reparaciones y Costas. Sentencia de 5 de octubre de 2015. Serie C No. 302, párr. 191.</w:t>
      </w:r>
    </w:p>
  </w:footnote>
  <w:footnote w:id="26">
    <w:p w14:paraId="705FB993" w14:textId="77777777" w:rsidR="000D7A15" w:rsidRPr="00E0359A" w:rsidRDefault="000D7A15" w:rsidP="00DF3393">
      <w:pPr>
        <w:jc w:val="both"/>
        <w:rPr>
          <w:rFonts w:ascii="Cambria" w:eastAsia="Times New Roman" w:hAnsi="Cambria"/>
          <w:sz w:val="16"/>
          <w:szCs w:val="16"/>
          <w:lang w:val="es-MX"/>
        </w:rPr>
      </w:pPr>
      <w:r w:rsidRPr="00E0359A">
        <w:rPr>
          <w:rStyle w:val="FootnoteReference"/>
          <w:rFonts w:ascii="Cambria" w:hAnsi="Cambria"/>
          <w:sz w:val="16"/>
          <w:szCs w:val="16"/>
        </w:rPr>
        <w:footnoteRef/>
      </w:r>
      <w:r w:rsidRPr="00E0359A">
        <w:rPr>
          <w:rFonts w:ascii="Cambria" w:hAnsi="Cambria"/>
          <w:sz w:val="16"/>
          <w:szCs w:val="16"/>
          <w:lang w:val="es-MX"/>
        </w:rPr>
        <w:t xml:space="preserve"> </w:t>
      </w:r>
      <w:r w:rsidRPr="00E0359A">
        <w:rPr>
          <w:rFonts w:ascii="Cambria" w:eastAsia="Times New Roman" w:hAnsi="Cambria"/>
          <w:bCs/>
          <w:sz w:val="16"/>
          <w:szCs w:val="16"/>
          <w:shd w:val="clear" w:color="auto" w:fill="FFFFFF"/>
          <w:lang w:val="es-MX"/>
        </w:rPr>
        <w:t>Corte IDH. Caso López Lone y otros Vs. Honduras. Excepción Preliminar, Fondo, Reparaciones y Costas. Sentencia de 5 de octubre de 2015. Serie C No. 302, párr. 192.</w:t>
      </w:r>
    </w:p>
  </w:footnote>
  <w:footnote w:id="27">
    <w:p w14:paraId="235F3676" w14:textId="77777777" w:rsidR="000D7A15" w:rsidRPr="00E0359A" w:rsidRDefault="000D7A15" w:rsidP="003D68A8">
      <w:pPr>
        <w:jc w:val="both"/>
        <w:rPr>
          <w:rFonts w:ascii="Cambria" w:eastAsia="Times New Roman" w:hAnsi="Cambria"/>
          <w:sz w:val="16"/>
          <w:szCs w:val="16"/>
          <w:lang w:val="es-MX"/>
        </w:rPr>
      </w:pPr>
      <w:r w:rsidRPr="00E0359A">
        <w:rPr>
          <w:rStyle w:val="FootnoteReference"/>
          <w:rFonts w:ascii="Cambria" w:hAnsi="Cambria"/>
          <w:sz w:val="16"/>
          <w:szCs w:val="16"/>
        </w:rPr>
        <w:footnoteRef/>
      </w:r>
      <w:r w:rsidRPr="00E0359A">
        <w:rPr>
          <w:rFonts w:ascii="Cambria" w:hAnsi="Cambria"/>
          <w:sz w:val="16"/>
          <w:szCs w:val="16"/>
          <w:lang w:val="es-MX"/>
        </w:rPr>
        <w:t xml:space="preserve"> </w:t>
      </w:r>
      <w:r w:rsidRPr="00E0359A">
        <w:rPr>
          <w:rFonts w:ascii="Cambria" w:eastAsia="Times New Roman" w:hAnsi="Cambria"/>
          <w:bCs/>
          <w:sz w:val="16"/>
          <w:szCs w:val="16"/>
          <w:shd w:val="clear" w:color="auto" w:fill="FFFFFF"/>
          <w:lang w:val="es-MX"/>
        </w:rPr>
        <w:t>Corte IDH. Caso López Lone y otros Vs. Honduras. Excepción Preliminar, Fondo, Reparaciones y Costas. Sentencia de 5 de octubre de 2015. Serie C No. 302, párr. 192.</w:t>
      </w:r>
    </w:p>
  </w:footnote>
  <w:footnote w:id="28">
    <w:p w14:paraId="16B922AA" w14:textId="77777777" w:rsidR="000D7A15" w:rsidRPr="00E0359A" w:rsidRDefault="000D7A15" w:rsidP="003D68A8">
      <w:pPr>
        <w:pStyle w:val="FootnoteText"/>
        <w:rPr>
          <w:rFonts w:ascii="Cambria" w:hAnsi="Cambria"/>
          <w:sz w:val="16"/>
          <w:szCs w:val="16"/>
          <w:lang w:val="es-VE"/>
        </w:rPr>
      </w:pPr>
      <w:r w:rsidRPr="00E0359A">
        <w:rPr>
          <w:rStyle w:val="FootnoteReference"/>
          <w:rFonts w:ascii="Cambria" w:hAnsi="Cambria"/>
          <w:sz w:val="16"/>
          <w:szCs w:val="16"/>
        </w:rPr>
        <w:footnoteRef/>
      </w:r>
      <w:r w:rsidRPr="00E0359A">
        <w:rPr>
          <w:rFonts w:ascii="Cambria" w:hAnsi="Cambria"/>
          <w:sz w:val="16"/>
          <w:szCs w:val="16"/>
          <w:lang w:val="es-VE"/>
        </w:rPr>
        <w:t xml:space="preserve"> Corte IDH. Caso Apitz Barbera y otros (“Corte Primera de lo Contencioso Administrativo”) Vs. Venezuela. Excepción Preliminar, Fondo, Reparaciones y Costas. Sentencia de 5 de agosto de 2008. Serie C No 182, párr. 50.</w:t>
      </w:r>
    </w:p>
  </w:footnote>
  <w:footnote w:id="29">
    <w:p w14:paraId="53A2D7A7" w14:textId="77777777" w:rsidR="000D7A15" w:rsidRPr="00BB3DC0" w:rsidRDefault="000D7A15" w:rsidP="003D68A8">
      <w:pPr>
        <w:pStyle w:val="FootnoteText"/>
        <w:jc w:val="both"/>
        <w:rPr>
          <w:rFonts w:ascii="Cambria" w:hAnsi="Cambria"/>
          <w:sz w:val="16"/>
          <w:szCs w:val="16"/>
          <w:lang w:val="es-CO"/>
        </w:rPr>
      </w:pPr>
      <w:r w:rsidRPr="003D68A8">
        <w:rPr>
          <w:rStyle w:val="FootnoteReference"/>
          <w:rFonts w:ascii="Cambria" w:hAnsi="Cambria"/>
          <w:sz w:val="16"/>
          <w:szCs w:val="16"/>
        </w:rPr>
        <w:footnoteRef/>
      </w:r>
      <w:r w:rsidRPr="00BB3DC0">
        <w:rPr>
          <w:rFonts w:ascii="Cambria" w:hAnsi="Cambria"/>
          <w:sz w:val="16"/>
          <w:szCs w:val="16"/>
          <w:lang w:val="es-CO"/>
        </w:rPr>
        <w:t xml:space="preserve">Cfr. Corte IDH. </w:t>
      </w:r>
      <w:r w:rsidRPr="00BB3DC0">
        <w:rPr>
          <w:rFonts w:ascii="Cambria" w:hAnsi="Cambria"/>
          <w:bCs/>
          <w:sz w:val="16"/>
          <w:szCs w:val="16"/>
          <w:lang w:val="es-CO"/>
        </w:rPr>
        <w:t xml:space="preserve">Caso Apitz Barbera y otros (“Corte Primera de lo Contencioso Administrativo”) Vs. Venezuela. </w:t>
      </w:r>
      <w:r w:rsidRPr="00BB3DC0">
        <w:rPr>
          <w:rFonts w:ascii="Cambria" w:hAnsi="Cambria"/>
          <w:sz w:val="16"/>
          <w:szCs w:val="16"/>
          <w:lang w:val="es-CO"/>
        </w:rPr>
        <w:t>Excepción Preliminar, Fondo, Reparaciones y Costas. Sentencia de 5 de agosto de 2008. Serie C No 182, párr. 53.</w:t>
      </w:r>
    </w:p>
  </w:footnote>
  <w:footnote w:id="30">
    <w:p w14:paraId="2937F849" w14:textId="77777777" w:rsidR="000D7A15" w:rsidRPr="00BB3DC0" w:rsidRDefault="000D7A15" w:rsidP="003D68A8">
      <w:pPr>
        <w:pStyle w:val="FootnoteText"/>
        <w:jc w:val="both"/>
        <w:rPr>
          <w:rFonts w:asciiTheme="majorHAnsi" w:hAnsiTheme="majorHAnsi"/>
          <w:szCs w:val="16"/>
          <w:lang w:val="es-CO"/>
        </w:rPr>
      </w:pPr>
      <w:r w:rsidRPr="003D68A8">
        <w:rPr>
          <w:rStyle w:val="FootnoteReference"/>
          <w:rFonts w:ascii="Cambria" w:hAnsi="Cambria"/>
          <w:sz w:val="16"/>
          <w:szCs w:val="16"/>
        </w:rPr>
        <w:footnoteRef/>
      </w:r>
      <w:r w:rsidRPr="00BB3DC0">
        <w:rPr>
          <w:rFonts w:ascii="Cambria" w:hAnsi="Cambria"/>
          <w:sz w:val="16"/>
          <w:szCs w:val="16"/>
          <w:lang w:val="es-CO"/>
        </w:rPr>
        <w:t xml:space="preserve"> </w:t>
      </w:r>
      <w:r w:rsidRPr="003D68A8">
        <w:rPr>
          <w:rFonts w:ascii="Cambria" w:hAnsi="Cambria"/>
          <w:sz w:val="16"/>
          <w:szCs w:val="16"/>
          <w:lang w:val="es-CO"/>
        </w:rPr>
        <w:t>Corte IDH. Caso López Lone y otros Vs. Honduras. Excepción Preliminar, Fondo, Reparaciones y Costas. Sentencia de  05 de octubre de 2015. Serie C No. 302, párr. 221.</w:t>
      </w:r>
    </w:p>
  </w:footnote>
  <w:footnote w:id="31">
    <w:p w14:paraId="05F83BE5" w14:textId="77777777" w:rsidR="000D7A15" w:rsidRPr="00E0359A" w:rsidRDefault="000D7A15" w:rsidP="003D68A8">
      <w:pPr>
        <w:pStyle w:val="FootnoteText"/>
        <w:rPr>
          <w:rFonts w:ascii="Cambria" w:hAnsi="Cambria"/>
          <w:sz w:val="16"/>
          <w:szCs w:val="16"/>
          <w:lang w:val="es-VE"/>
        </w:rPr>
      </w:pPr>
      <w:r w:rsidRPr="00E0359A">
        <w:rPr>
          <w:rStyle w:val="FootnoteReference"/>
          <w:rFonts w:ascii="Cambria" w:hAnsi="Cambria"/>
          <w:sz w:val="16"/>
          <w:szCs w:val="16"/>
        </w:rPr>
        <w:footnoteRef/>
      </w:r>
      <w:r w:rsidRPr="00E0359A">
        <w:rPr>
          <w:rStyle w:val="FootnoteReference"/>
          <w:rFonts w:ascii="Cambria" w:hAnsi="Cambria"/>
          <w:sz w:val="16"/>
          <w:szCs w:val="16"/>
          <w:lang w:val="es-VE"/>
        </w:rPr>
        <w:t xml:space="preserve"> </w:t>
      </w:r>
      <w:r w:rsidRPr="00E0359A">
        <w:rPr>
          <w:rFonts w:ascii="Cambria" w:hAnsi="Cambria"/>
          <w:sz w:val="16"/>
          <w:szCs w:val="16"/>
          <w:lang w:val="es-VE"/>
        </w:rPr>
        <w:t>CIDH, Garantías para la independencia de las y los operadores de justicia. Hacia el fortalecimiento del acceso a la justicia y el estado de derecho en las Américas, OEA/ser.L/V/II.Doc.44, 5 de diciembre de 2013, párr. 206 y 207.</w:t>
      </w:r>
    </w:p>
  </w:footnote>
  <w:footnote w:id="32">
    <w:p w14:paraId="6F424D8A" w14:textId="77777777" w:rsidR="000D7A15" w:rsidRPr="00EE3F54" w:rsidRDefault="000D7A15">
      <w:pPr>
        <w:pStyle w:val="FootnoteText"/>
        <w:rPr>
          <w:lang w:val="es-VE"/>
        </w:rPr>
      </w:pPr>
      <w:r w:rsidRPr="00EE3F54">
        <w:rPr>
          <w:rStyle w:val="FootnoteReference"/>
          <w:rFonts w:ascii="Cambria" w:hAnsi="Cambria"/>
          <w:sz w:val="16"/>
          <w:szCs w:val="16"/>
        </w:rPr>
        <w:footnoteRef/>
      </w:r>
      <w:r w:rsidRPr="00EE3F54">
        <w:rPr>
          <w:rFonts w:ascii="Cambria" w:hAnsi="Cambria"/>
          <w:sz w:val="16"/>
          <w:szCs w:val="16"/>
          <w:lang w:val="es-VE"/>
        </w:rPr>
        <w:t>Corte IDH.</w:t>
      </w:r>
      <w:r>
        <w:rPr>
          <w:rFonts w:ascii="Cambria" w:hAnsi="Cambria"/>
          <w:sz w:val="16"/>
          <w:szCs w:val="16"/>
          <w:lang w:val="es-VE"/>
        </w:rPr>
        <w:t xml:space="preserve"> Caso del Tribunal Constitucional (Camba Campos y otros) vs. Ecuador. Excepciones Preliminares, Fondo, Reparaciones y Costas. Sentencia de 28 de agosto de 2013. Serie C No. 268, p</w:t>
      </w:r>
      <w:r w:rsidRPr="00EE3F54">
        <w:rPr>
          <w:rFonts w:ascii="Cambria" w:hAnsi="Cambria"/>
          <w:sz w:val="16"/>
          <w:szCs w:val="16"/>
          <w:lang w:val="es-VE"/>
        </w:rPr>
        <w:t>árr.103.</w:t>
      </w:r>
    </w:p>
  </w:footnote>
  <w:footnote w:id="33">
    <w:p w14:paraId="5DA5999F" w14:textId="77777777" w:rsidR="000D7A15" w:rsidRPr="00EE3F54" w:rsidRDefault="000D7A15" w:rsidP="00206601">
      <w:pPr>
        <w:pStyle w:val="FootnoteText"/>
        <w:rPr>
          <w:lang w:val="es-VE"/>
        </w:rPr>
      </w:pPr>
      <w:r w:rsidRPr="00EE3F54">
        <w:rPr>
          <w:rStyle w:val="FootnoteReference"/>
          <w:rFonts w:ascii="Cambria" w:hAnsi="Cambria"/>
          <w:sz w:val="16"/>
          <w:szCs w:val="16"/>
        </w:rPr>
        <w:footnoteRef/>
      </w:r>
      <w:r w:rsidRPr="00EE3F54">
        <w:rPr>
          <w:rFonts w:ascii="Cambria" w:hAnsi="Cambria"/>
          <w:sz w:val="16"/>
          <w:szCs w:val="16"/>
          <w:lang w:val="es-VE"/>
        </w:rPr>
        <w:t>Corte IDH.</w:t>
      </w:r>
      <w:r>
        <w:rPr>
          <w:rFonts w:ascii="Cambria" w:hAnsi="Cambria"/>
          <w:sz w:val="16"/>
          <w:szCs w:val="16"/>
          <w:lang w:val="es-VE"/>
        </w:rPr>
        <w:t xml:space="preserve"> Caso del Tribunal Constitucional (Camba Campos y otros) vs. Ecuador. Excepciones Preliminares, Fondo, Reparaciones y Costas. Sentencia de 28 de agosto de 2013. Serie C No. 268, p</w:t>
      </w:r>
      <w:r w:rsidRPr="00EE3F54">
        <w:rPr>
          <w:rFonts w:ascii="Cambria" w:hAnsi="Cambria"/>
          <w:sz w:val="16"/>
          <w:szCs w:val="16"/>
          <w:lang w:val="es-VE"/>
        </w:rPr>
        <w:t>á</w:t>
      </w:r>
      <w:r>
        <w:rPr>
          <w:rFonts w:ascii="Cambria" w:hAnsi="Cambria"/>
          <w:sz w:val="16"/>
          <w:szCs w:val="16"/>
          <w:lang w:val="es-VE"/>
        </w:rPr>
        <w:t>rr.176</w:t>
      </w:r>
      <w:r w:rsidRPr="00EE3F54">
        <w:rPr>
          <w:rFonts w:ascii="Cambria" w:hAnsi="Cambria"/>
          <w:sz w:val="16"/>
          <w:szCs w:val="16"/>
          <w:lang w:val="es-VE"/>
        </w:rPr>
        <w:t>.</w:t>
      </w:r>
    </w:p>
  </w:footnote>
  <w:footnote w:id="34">
    <w:p w14:paraId="35035795" w14:textId="77777777" w:rsidR="000D7A15" w:rsidRPr="00EE3F54" w:rsidRDefault="000D7A15" w:rsidP="005F43FB">
      <w:pPr>
        <w:pStyle w:val="FootnoteText"/>
        <w:rPr>
          <w:lang w:val="es-VE"/>
        </w:rPr>
      </w:pPr>
      <w:r w:rsidRPr="00EE3F54">
        <w:rPr>
          <w:rStyle w:val="FootnoteReference"/>
          <w:rFonts w:ascii="Cambria" w:hAnsi="Cambria"/>
          <w:sz w:val="16"/>
          <w:szCs w:val="16"/>
        </w:rPr>
        <w:footnoteRef/>
      </w:r>
      <w:r w:rsidRPr="00EE3F54">
        <w:rPr>
          <w:rFonts w:ascii="Cambria" w:hAnsi="Cambria"/>
          <w:sz w:val="16"/>
          <w:szCs w:val="16"/>
          <w:lang w:val="es-VE"/>
        </w:rPr>
        <w:t>Corte IDH.</w:t>
      </w:r>
      <w:r>
        <w:rPr>
          <w:rFonts w:ascii="Cambria" w:hAnsi="Cambria"/>
          <w:sz w:val="16"/>
          <w:szCs w:val="16"/>
          <w:lang w:val="es-VE"/>
        </w:rPr>
        <w:t xml:space="preserve"> Caso del Tribunal Constitucional (Camba Campos y otros) vs. Ecuador. Excepciones Preliminares, Fondo, Reparaciones y Costas. Sentencia de 28 de agosto de 2013. Serie C No. 268, p</w:t>
      </w:r>
      <w:r w:rsidRPr="00EE3F54">
        <w:rPr>
          <w:rFonts w:ascii="Cambria" w:hAnsi="Cambria"/>
          <w:sz w:val="16"/>
          <w:szCs w:val="16"/>
          <w:lang w:val="es-VE"/>
        </w:rPr>
        <w:t>á</w:t>
      </w:r>
      <w:r>
        <w:rPr>
          <w:rFonts w:ascii="Cambria" w:hAnsi="Cambria"/>
          <w:sz w:val="16"/>
          <w:szCs w:val="16"/>
          <w:lang w:val="es-VE"/>
        </w:rPr>
        <w:t>rr.212.</w:t>
      </w:r>
    </w:p>
  </w:footnote>
  <w:footnote w:id="35">
    <w:p w14:paraId="5C43BB68" w14:textId="77777777" w:rsidR="000D7A15" w:rsidRPr="00910616" w:rsidRDefault="000D7A15" w:rsidP="00206601">
      <w:pPr>
        <w:jc w:val="both"/>
        <w:rPr>
          <w:rFonts w:ascii="Cambria" w:hAnsi="Cambria"/>
          <w:sz w:val="16"/>
          <w:szCs w:val="16"/>
          <w:lang w:val="es-VE"/>
        </w:rPr>
      </w:pPr>
      <w:r w:rsidRPr="00910616">
        <w:rPr>
          <w:rStyle w:val="FootnoteReference"/>
          <w:rFonts w:ascii="Cambria" w:hAnsi="Cambria"/>
          <w:sz w:val="16"/>
          <w:szCs w:val="16"/>
        </w:rPr>
        <w:footnoteRef/>
      </w:r>
      <w:r w:rsidRPr="00910616">
        <w:rPr>
          <w:rFonts w:ascii="Cambria" w:hAnsi="Cambria"/>
          <w:sz w:val="16"/>
          <w:szCs w:val="16"/>
          <w:lang w:val="es-ES"/>
        </w:rPr>
        <w:t xml:space="preserve"> Corte IDH. Condición Jurídica y Derechos de los Migrantes Indocumentados. Opinión Consultiva OC-18/03 de 17 de septiembre  de 2003. Serie A No. 18. párr. </w:t>
      </w:r>
      <w:r w:rsidRPr="00910616">
        <w:rPr>
          <w:rFonts w:ascii="Cambria" w:hAnsi="Cambria"/>
          <w:sz w:val="16"/>
          <w:szCs w:val="16"/>
          <w:lang w:val="es-VE"/>
        </w:rPr>
        <w:t>117.</w:t>
      </w:r>
    </w:p>
  </w:footnote>
  <w:footnote w:id="36">
    <w:p w14:paraId="2D795B2D" w14:textId="77777777" w:rsidR="000D7A15" w:rsidRPr="00910616" w:rsidRDefault="000D7A15" w:rsidP="00206601">
      <w:pPr>
        <w:pStyle w:val="FootnoteText"/>
        <w:rPr>
          <w:rFonts w:ascii="Cambria" w:hAnsi="Cambria"/>
          <w:sz w:val="16"/>
          <w:szCs w:val="16"/>
          <w:lang w:val="es-VE"/>
        </w:rPr>
      </w:pPr>
      <w:r w:rsidRPr="00910616">
        <w:rPr>
          <w:rStyle w:val="FootnoteReference"/>
          <w:rFonts w:ascii="Cambria" w:hAnsi="Cambria"/>
          <w:sz w:val="16"/>
          <w:szCs w:val="16"/>
        </w:rPr>
        <w:footnoteRef/>
      </w:r>
      <w:r w:rsidRPr="00910616">
        <w:rPr>
          <w:rFonts w:ascii="Cambria" w:hAnsi="Cambria"/>
          <w:sz w:val="16"/>
          <w:szCs w:val="16"/>
          <w:lang w:val="es-VE"/>
        </w:rPr>
        <w:t xml:space="preserve"> CIDH, Informe No. 103/13, Caso 12.816, Informe de Fondo, Adan Guillermo López Lone y otros, Honduras, párr.143.</w:t>
      </w:r>
      <w:r w:rsidRPr="00910616">
        <w:rPr>
          <w:rFonts w:ascii="Cambria" w:hAnsi="Cambria"/>
          <w:sz w:val="16"/>
          <w:szCs w:val="16"/>
          <w:lang w:val="es-VE"/>
        </w:rPr>
        <w:tab/>
      </w:r>
    </w:p>
  </w:footnote>
  <w:footnote w:id="37">
    <w:p w14:paraId="07F533BF" w14:textId="77777777" w:rsidR="000D7A15" w:rsidRPr="008C14AB" w:rsidRDefault="000D7A15" w:rsidP="00AF64C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sz w:val="16"/>
          <w:szCs w:val="16"/>
          <w:lang w:val="es-VE"/>
        </w:rPr>
      </w:pPr>
      <w:r w:rsidRPr="008C14AB">
        <w:rPr>
          <w:rStyle w:val="FootnoteReference"/>
          <w:rFonts w:ascii="Cambria" w:hAnsi="Cambria"/>
          <w:sz w:val="16"/>
          <w:szCs w:val="16"/>
        </w:rPr>
        <w:footnoteRef/>
      </w:r>
      <w:r w:rsidRPr="008C14AB">
        <w:rPr>
          <w:rFonts w:ascii="Cambria" w:hAnsi="Cambria"/>
          <w:sz w:val="16"/>
          <w:szCs w:val="16"/>
          <w:lang w:val="es-VE"/>
        </w:rPr>
        <w:t xml:space="preserve"> </w:t>
      </w:r>
      <w:r w:rsidRPr="008C14AB">
        <w:rPr>
          <w:rFonts w:ascii="Cambria" w:hAnsi="Cambria"/>
          <w:sz w:val="16"/>
          <w:szCs w:val="16"/>
          <w:lang w:val="es-AR"/>
        </w:rPr>
        <w:t>El artículo 8. 2 h establece el “derecho de recurrir del fallo ante juez o tribunal superior”.</w:t>
      </w:r>
    </w:p>
  </w:footnote>
  <w:footnote w:id="38">
    <w:p w14:paraId="64CEE360" w14:textId="77777777" w:rsidR="000D7A15" w:rsidRPr="008C14AB" w:rsidRDefault="000D7A15" w:rsidP="00AF64C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sz w:val="16"/>
          <w:szCs w:val="16"/>
          <w:lang w:val="es-VE"/>
        </w:rPr>
      </w:pPr>
      <w:r w:rsidRPr="008C14AB">
        <w:rPr>
          <w:rStyle w:val="FootnoteReference"/>
          <w:rFonts w:ascii="Cambria" w:hAnsi="Cambria"/>
          <w:sz w:val="16"/>
          <w:szCs w:val="16"/>
        </w:rPr>
        <w:footnoteRef/>
      </w:r>
      <w:r w:rsidRPr="008C14AB">
        <w:rPr>
          <w:rFonts w:ascii="Cambria" w:hAnsi="Cambria"/>
          <w:sz w:val="16"/>
          <w:szCs w:val="16"/>
          <w:lang w:val="es-VE"/>
        </w:rPr>
        <w:t xml:space="preserve"> </w:t>
      </w:r>
      <w:r w:rsidRPr="008C14AB">
        <w:rPr>
          <w:rFonts w:ascii="Cambria" w:hAnsi="Cambria"/>
          <w:sz w:val="16"/>
          <w:szCs w:val="16"/>
          <w:lang w:val="es-AR"/>
        </w:rPr>
        <w:t>El artículo 25.1 de la Convención estipula que:</w:t>
      </w:r>
      <w:r w:rsidRPr="008C14AB">
        <w:rPr>
          <w:rFonts w:ascii="Cambria" w:hAnsi="Cambria"/>
          <w:sz w:val="16"/>
          <w:szCs w:val="16"/>
          <w:lang w:val="es-VE"/>
        </w:rPr>
        <w:t xml:space="preserve"> </w:t>
      </w:r>
      <w:r w:rsidRPr="008C14AB">
        <w:rPr>
          <w:rFonts w:ascii="Cambria" w:eastAsia="Times New Roman" w:hAnsi="Cambria"/>
          <w:sz w:val="16"/>
          <w:szCs w:val="16"/>
          <w:lang w:val="es-ES"/>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39">
    <w:p w14:paraId="6FF5D488" w14:textId="77777777" w:rsidR="000D7A15" w:rsidRPr="008C14AB" w:rsidRDefault="000D7A15" w:rsidP="00AF64C0">
      <w:pPr>
        <w:pStyle w:val="FootnoteText"/>
        <w:jc w:val="both"/>
        <w:rPr>
          <w:rFonts w:ascii="Cambria" w:hAnsi="Cambria"/>
          <w:sz w:val="16"/>
          <w:szCs w:val="16"/>
          <w:lang w:val="es-VE"/>
        </w:rPr>
      </w:pPr>
      <w:r w:rsidRPr="008C14AB">
        <w:rPr>
          <w:rStyle w:val="FootnoteReference"/>
          <w:rFonts w:ascii="Cambria" w:hAnsi="Cambria"/>
          <w:sz w:val="16"/>
          <w:szCs w:val="16"/>
        </w:rPr>
        <w:footnoteRef/>
      </w:r>
      <w:r w:rsidRPr="008C14AB">
        <w:rPr>
          <w:rStyle w:val="FootnoteReference"/>
          <w:rFonts w:ascii="Cambria" w:hAnsi="Cambria"/>
          <w:sz w:val="16"/>
          <w:szCs w:val="16"/>
          <w:lang w:val="es-VE"/>
        </w:rPr>
        <w:t xml:space="preserve"> </w:t>
      </w:r>
      <w:r w:rsidRPr="008C14AB">
        <w:rPr>
          <w:rFonts w:ascii="Cambria" w:hAnsi="Cambria"/>
          <w:sz w:val="16"/>
          <w:szCs w:val="16"/>
          <w:lang w:val="es-VE"/>
        </w:rPr>
        <w:t xml:space="preserve">CIDH, Garantías para la independencia de las y los operadores de justicia. Hacia el fortalecimiento del acceso a la justicia y el estado de derecho en las Américas, OEA/ser.L/V/II.Doc.44, 5 de diciembre de 2013, párr. 235; Corte IDH, </w:t>
      </w:r>
      <w:r w:rsidRPr="008C14AB">
        <w:rPr>
          <w:rFonts w:ascii="Cambria" w:hAnsi="Cambria"/>
          <w:bCs/>
          <w:i/>
          <w:sz w:val="16"/>
          <w:szCs w:val="16"/>
          <w:lang w:val="es-VE"/>
        </w:rPr>
        <w:t>Caso Vélez Loor Vs. Panamá</w:t>
      </w:r>
      <w:r w:rsidRPr="008C14AB">
        <w:rPr>
          <w:rFonts w:ascii="Cambria" w:hAnsi="Cambria"/>
          <w:bCs/>
          <w:sz w:val="16"/>
          <w:szCs w:val="16"/>
          <w:lang w:val="es-VE"/>
        </w:rPr>
        <w:t xml:space="preserve">. </w:t>
      </w:r>
      <w:r w:rsidRPr="008C14AB">
        <w:rPr>
          <w:rFonts w:ascii="Cambria" w:hAnsi="Cambria"/>
          <w:sz w:val="16"/>
          <w:szCs w:val="16"/>
          <w:lang w:val="es-VE"/>
        </w:rPr>
        <w:t xml:space="preserve">Excepciones Preliminares, Fondo, Reparaciones y Costas. Sentencia de 23 de noviembre de 2010. Serie C No. 218. </w:t>
      </w:r>
      <w:r w:rsidRPr="008C14AB">
        <w:rPr>
          <w:rFonts w:ascii="Cambria" w:hAnsi="Cambria"/>
          <w:sz w:val="16"/>
          <w:szCs w:val="16"/>
          <w:lang w:val="es-ES_tradnl"/>
        </w:rPr>
        <w:t>Párr. 179.</w:t>
      </w:r>
    </w:p>
  </w:footnote>
  <w:footnote w:id="40">
    <w:p w14:paraId="44E74C82" w14:textId="77777777" w:rsidR="000D7A15" w:rsidRPr="008C14AB" w:rsidRDefault="000D7A15" w:rsidP="00AF64C0">
      <w:pPr>
        <w:pStyle w:val="FootnoteText"/>
        <w:jc w:val="both"/>
        <w:rPr>
          <w:rFonts w:ascii="Cambria" w:hAnsi="Cambria"/>
          <w:sz w:val="16"/>
          <w:szCs w:val="16"/>
          <w:lang w:val="es-VE"/>
        </w:rPr>
      </w:pPr>
      <w:r w:rsidRPr="008C14AB">
        <w:rPr>
          <w:rStyle w:val="FootnoteReference"/>
          <w:rFonts w:ascii="Cambria" w:hAnsi="Cambria"/>
          <w:sz w:val="16"/>
          <w:szCs w:val="16"/>
        </w:rPr>
        <w:footnoteRef/>
      </w:r>
      <w:r w:rsidRPr="008C14AB">
        <w:rPr>
          <w:rFonts w:ascii="Cambria" w:hAnsi="Cambria"/>
          <w:sz w:val="16"/>
          <w:szCs w:val="16"/>
          <w:lang w:val="es-VE"/>
        </w:rPr>
        <w:t>CIDH, Informe No. 33/14, Caso 12.820, Manfred Amrhein y otros, Costa Rica. 4 de abril de 2014, párr.186.</w:t>
      </w:r>
    </w:p>
  </w:footnote>
  <w:footnote w:id="41">
    <w:p w14:paraId="786EEEAA" w14:textId="77777777" w:rsidR="000D7A15" w:rsidRPr="008C14AB" w:rsidRDefault="000D7A15" w:rsidP="00AF64C0">
      <w:pPr>
        <w:pStyle w:val="FootnoteText"/>
        <w:jc w:val="both"/>
        <w:rPr>
          <w:rFonts w:ascii="Cambria" w:hAnsi="Cambria"/>
          <w:sz w:val="16"/>
          <w:szCs w:val="16"/>
          <w:lang w:val="es-VE"/>
        </w:rPr>
      </w:pPr>
      <w:r w:rsidRPr="008C14AB">
        <w:rPr>
          <w:rStyle w:val="FootnoteReference"/>
          <w:rFonts w:ascii="Cambria" w:hAnsi="Cambria"/>
          <w:sz w:val="16"/>
          <w:szCs w:val="16"/>
        </w:rPr>
        <w:footnoteRef/>
      </w:r>
      <w:r w:rsidRPr="008C14AB">
        <w:rPr>
          <w:rFonts w:ascii="Cambria" w:hAnsi="Cambria"/>
          <w:sz w:val="16"/>
          <w:szCs w:val="16"/>
          <w:lang w:val="es-VE"/>
        </w:rPr>
        <w:t>CIDH, Informe No. 33/14, Caso 12.820, Manfred Amrhein y otros, Costa Rica. 4 de abril de 2014, párr.186.</w:t>
      </w:r>
    </w:p>
  </w:footnote>
  <w:footnote w:id="42">
    <w:p w14:paraId="52C6EEFC" w14:textId="77777777" w:rsidR="000D7A15" w:rsidRPr="008C14AB" w:rsidRDefault="000D7A15" w:rsidP="00AF64C0">
      <w:pPr>
        <w:pStyle w:val="FootnoteText"/>
        <w:jc w:val="both"/>
        <w:rPr>
          <w:rFonts w:ascii="Cambria" w:hAnsi="Cambria"/>
          <w:sz w:val="16"/>
          <w:szCs w:val="16"/>
          <w:lang w:val="es-VE"/>
        </w:rPr>
      </w:pPr>
      <w:r w:rsidRPr="008C14AB">
        <w:rPr>
          <w:rStyle w:val="FootnoteReference"/>
          <w:rFonts w:ascii="Cambria" w:hAnsi="Cambria"/>
          <w:sz w:val="16"/>
          <w:szCs w:val="16"/>
        </w:rPr>
        <w:footnoteRef/>
      </w:r>
      <w:r w:rsidRPr="008C14AB">
        <w:rPr>
          <w:rFonts w:ascii="Cambria" w:hAnsi="Cambria"/>
          <w:sz w:val="16"/>
          <w:szCs w:val="16"/>
          <w:lang w:val="es-VE"/>
        </w:rPr>
        <w:t>CIDH, Informe No. 33/14, Caso 12.820, Manfred Amrhein y otros, Costa Rica. 4 de abril de 2014, párr.186 y ss.</w:t>
      </w:r>
    </w:p>
  </w:footnote>
  <w:footnote w:id="43">
    <w:p w14:paraId="34CB23DF" w14:textId="77777777" w:rsidR="000D7A15" w:rsidRPr="008C14AB" w:rsidRDefault="000D7A15" w:rsidP="00AF64C0">
      <w:pPr>
        <w:tabs>
          <w:tab w:val="left" w:pos="180"/>
          <w:tab w:val="left" w:pos="900"/>
          <w:tab w:val="left" w:pos="1080"/>
        </w:tabs>
        <w:jc w:val="both"/>
        <w:rPr>
          <w:rFonts w:ascii="Cambria" w:hAnsi="Cambria"/>
          <w:sz w:val="16"/>
          <w:szCs w:val="16"/>
          <w:lang w:val="es-CO"/>
        </w:rPr>
      </w:pPr>
      <w:r w:rsidRPr="008C14AB">
        <w:rPr>
          <w:rStyle w:val="FootnoteReference"/>
          <w:rFonts w:ascii="Cambria" w:hAnsi="Cambria"/>
          <w:sz w:val="16"/>
          <w:szCs w:val="16"/>
        </w:rPr>
        <w:footnoteRef/>
      </w:r>
      <w:r w:rsidRPr="008C14AB">
        <w:rPr>
          <w:rFonts w:ascii="Cambria" w:hAnsi="Cambria"/>
          <w:color w:val="000000"/>
          <w:sz w:val="16"/>
          <w:szCs w:val="16"/>
          <w:lang w:val="es-CO"/>
        </w:rPr>
        <w:t xml:space="preserve">Corte IDH, </w:t>
      </w:r>
      <w:r w:rsidRPr="008C14AB">
        <w:rPr>
          <w:rFonts w:ascii="Cambria" w:hAnsi="Cambria"/>
          <w:bCs/>
          <w:color w:val="000000"/>
          <w:sz w:val="16"/>
          <w:szCs w:val="16"/>
          <w:lang w:val="es-CO"/>
        </w:rPr>
        <w:t xml:space="preserve">Caso Trabajadores Cesados del Congreso (Aguado Alfaro y otros). </w:t>
      </w:r>
      <w:r w:rsidRPr="008C14AB">
        <w:rPr>
          <w:rFonts w:ascii="Cambria" w:hAnsi="Cambria"/>
          <w:color w:val="000000"/>
          <w:sz w:val="16"/>
          <w:szCs w:val="16"/>
          <w:lang w:val="es-CO"/>
        </w:rPr>
        <w:t xml:space="preserve">Sentencia sobre Excepciones Preliminares, Fondo, Reparaciones y Costas. Sentencia de 24 de Noviembre de 2006. Serie C No. 158. Párr. 125; Corte IDH, </w:t>
      </w:r>
      <w:r w:rsidRPr="008C14AB">
        <w:rPr>
          <w:rFonts w:ascii="Cambria" w:hAnsi="Cambria"/>
          <w:bCs/>
          <w:color w:val="000000"/>
          <w:sz w:val="16"/>
          <w:szCs w:val="16"/>
          <w:lang w:val="es-CO"/>
        </w:rPr>
        <w:t xml:space="preserve">Caso Comunidad Indígena Yakye Axa. </w:t>
      </w:r>
      <w:r w:rsidRPr="008C14AB">
        <w:rPr>
          <w:rFonts w:ascii="Cambria" w:hAnsi="Cambria"/>
          <w:color w:val="000000"/>
          <w:sz w:val="16"/>
          <w:szCs w:val="16"/>
          <w:lang w:val="es-CO"/>
        </w:rPr>
        <w:t>Sentencia 17 de junio de 2005. Serie C No. 125</w:t>
      </w:r>
      <w:r w:rsidRPr="008C14AB">
        <w:rPr>
          <w:rFonts w:ascii="Cambria" w:hAnsi="Cambria"/>
          <w:sz w:val="16"/>
          <w:szCs w:val="16"/>
          <w:lang w:val="es-CO"/>
        </w:rPr>
        <w:t xml:space="preserve">. Párr.  61; </w:t>
      </w:r>
      <w:r w:rsidRPr="008C14AB">
        <w:rPr>
          <w:rFonts w:ascii="Cambria" w:hAnsi="Cambria"/>
          <w:color w:val="000000"/>
          <w:sz w:val="16"/>
          <w:szCs w:val="16"/>
          <w:lang w:val="es-CO"/>
        </w:rPr>
        <w:t xml:space="preserve">Corte IDH, </w:t>
      </w:r>
      <w:r w:rsidRPr="008C14AB">
        <w:rPr>
          <w:rFonts w:ascii="Cambria" w:hAnsi="Cambria"/>
          <w:bCs/>
          <w:color w:val="000000"/>
          <w:sz w:val="16"/>
          <w:szCs w:val="16"/>
          <w:lang w:val="es-CO"/>
        </w:rPr>
        <w:t xml:space="preserve">Caso "Cinco Pensionistas". </w:t>
      </w:r>
      <w:r w:rsidRPr="008C14AB">
        <w:rPr>
          <w:rFonts w:ascii="Cambria" w:hAnsi="Cambria"/>
          <w:color w:val="000000"/>
          <w:sz w:val="16"/>
          <w:szCs w:val="16"/>
          <w:lang w:val="es-CO"/>
        </w:rPr>
        <w:t>Sentencia de 28 de febrero de 2003. Serie C No. 98</w:t>
      </w:r>
      <w:r w:rsidRPr="008C14AB">
        <w:rPr>
          <w:rFonts w:ascii="Cambria" w:hAnsi="Cambria"/>
          <w:sz w:val="16"/>
          <w:szCs w:val="16"/>
          <w:lang w:val="es-CO"/>
        </w:rPr>
        <w:t>. Párr. 136.</w:t>
      </w:r>
    </w:p>
  </w:footnote>
  <w:footnote w:id="44">
    <w:p w14:paraId="702BF22F" w14:textId="77777777" w:rsidR="000D7A15" w:rsidRPr="003A5091" w:rsidRDefault="000D7A15">
      <w:pPr>
        <w:pStyle w:val="FootnoteText"/>
        <w:rPr>
          <w:rFonts w:ascii="Cambria" w:hAnsi="Cambria"/>
          <w:sz w:val="16"/>
          <w:szCs w:val="16"/>
          <w:lang w:val="pt-BR"/>
        </w:rPr>
      </w:pPr>
      <w:r w:rsidRPr="003A5091">
        <w:rPr>
          <w:rStyle w:val="FootnoteReference"/>
          <w:rFonts w:ascii="Cambria" w:hAnsi="Cambria"/>
          <w:sz w:val="16"/>
          <w:szCs w:val="16"/>
        </w:rPr>
        <w:footnoteRef/>
      </w:r>
      <w:r w:rsidRPr="003A5091">
        <w:rPr>
          <w:rFonts w:ascii="Cambria" w:hAnsi="Cambria"/>
          <w:sz w:val="16"/>
          <w:szCs w:val="16"/>
          <w:lang w:val="es-VE"/>
        </w:rPr>
        <w:t xml:space="preserve"> Ver CIDH, Informe No. 99/11, Caso 12.597, Informe de Fondo, Miguel Camba Campos y otros “Vocales del Tribunal Constitucional”, Ecuador, 22 de julio de 2011, párrs. </w:t>
      </w:r>
      <w:r w:rsidRPr="003A5091">
        <w:rPr>
          <w:rFonts w:ascii="Cambria" w:hAnsi="Cambria"/>
          <w:sz w:val="16"/>
          <w:szCs w:val="16"/>
          <w:lang w:val="pt-BR"/>
        </w:rPr>
        <w:t>134-136.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FC2C" w14:textId="77777777" w:rsidR="000D7A15" w:rsidRDefault="000D7A15" w:rsidP="0043034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9A12490" w14:textId="77777777" w:rsidR="000D7A15" w:rsidRDefault="000D7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7804" w14:textId="77777777" w:rsidR="000D7A15" w:rsidRDefault="000D7A15" w:rsidP="00430348">
    <w:pPr>
      <w:pStyle w:val="Header"/>
      <w:tabs>
        <w:tab w:val="clear" w:pos="4320"/>
        <w:tab w:val="clear" w:pos="8640"/>
      </w:tabs>
      <w:jc w:val="center"/>
      <w:rPr>
        <w:sz w:val="22"/>
        <w:szCs w:val="22"/>
      </w:rPr>
    </w:pPr>
    <w:r>
      <w:rPr>
        <w:noProof/>
        <w:sz w:val="22"/>
        <w:szCs w:val="22"/>
      </w:rPr>
      <w:drawing>
        <wp:inline distT="0" distB="0" distL="0" distR="0" wp14:anchorId="6B987D4A" wp14:editId="540B6868">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EA601B3" w14:textId="77777777" w:rsidR="000D7A15" w:rsidRPr="00EC7D62" w:rsidRDefault="00D150B7" w:rsidP="00430348">
    <w:pPr>
      <w:pStyle w:val="Header"/>
      <w:tabs>
        <w:tab w:val="clear" w:pos="4320"/>
        <w:tab w:val="clear" w:pos="8640"/>
      </w:tabs>
      <w:jc w:val="center"/>
      <w:rPr>
        <w:sz w:val="22"/>
        <w:szCs w:val="22"/>
      </w:rPr>
    </w:pPr>
    <w:r>
      <w:rPr>
        <w:sz w:val="22"/>
        <w:szCs w:val="22"/>
      </w:rPr>
      <w:pict w14:anchorId="54B1469B">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3DFA" w14:textId="77777777" w:rsidR="006F3BE6" w:rsidRDefault="006F3BE6" w:rsidP="006F3BE6">
    <w:pPr>
      <w:pStyle w:val="Header"/>
      <w:tabs>
        <w:tab w:val="clear" w:pos="4320"/>
        <w:tab w:val="clear" w:pos="8640"/>
      </w:tabs>
      <w:jc w:val="center"/>
      <w:rPr>
        <w:sz w:val="22"/>
        <w:szCs w:val="22"/>
      </w:rPr>
    </w:pPr>
    <w:r>
      <w:rPr>
        <w:noProof/>
        <w:sz w:val="22"/>
        <w:szCs w:val="22"/>
      </w:rPr>
      <w:drawing>
        <wp:inline distT="0" distB="0" distL="0" distR="0" wp14:anchorId="0E176F60" wp14:editId="34187065">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FD79FB9" w14:textId="77777777" w:rsidR="006F3BE6" w:rsidRPr="00EC7D62" w:rsidRDefault="00D150B7" w:rsidP="006F3BE6">
    <w:pPr>
      <w:pStyle w:val="Header"/>
      <w:tabs>
        <w:tab w:val="clear" w:pos="4320"/>
        <w:tab w:val="clear" w:pos="8640"/>
      </w:tabs>
      <w:jc w:val="center"/>
      <w:rPr>
        <w:sz w:val="22"/>
        <w:szCs w:val="22"/>
      </w:rPr>
    </w:pPr>
    <w:r>
      <w:rPr>
        <w:sz w:val="22"/>
        <w:szCs w:val="22"/>
      </w:rPr>
      <w:pict w14:anchorId="0232BC7A">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6C5B1D"/>
    <w:multiLevelType w:val="hybridMultilevel"/>
    <w:tmpl w:val="ABF2DEFC"/>
    <w:lvl w:ilvl="0" w:tplc="90CC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AD25FE"/>
    <w:multiLevelType w:val="hybridMultilevel"/>
    <w:tmpl w:val="E00CCBDA"/>
    <w:lvl w:ilvl="0" w:tplc="EA4604FE">
      <w:start w:val="1"/>
      <w:numFmt w:val="decimal"/>
      <w:lvlText w:val="%1."/>
      <w:lvlJc w:val="left"/>
      <w:pPr>
        <w:ind w:left="117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40127D8"/>
    <w:multiLevelType w:val="hybridMultilevel"/>
    <w:tmpl w:val="7AE873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CF48E9"/>
    <w:multiLevelType w:val="hybridMultilevel"/>
    <w:tmpl w:val="74A688C2"/>
    <w:lvl w:ilvl="0" w:tplc="F85C6D24">
      <w:start w:val="1"/>
      <w:numFmt w:val="decimal"/>
      <w:lvlText w:val="%1."/>
      <w:lvlJc w:val="left"/>
      <w:pPr>
        <w:ind w:left="1440" w:hanging="360"/>
      </w:pPr>
      <w:rPr>
        <w:rFonts w:ascii="Cambria" w:hAnsi="Cambria" w:hint="default"/>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63228A"/>
    <w:multiLevelType w:val="hybridMultilevel"/>
    <w:tmpl w:val="E00CCBDA"/>
    <w:lvl w:ilvl="0" w:tplc="EA4604FE">
      <w:start w:val="1"/>
      <w:numFmt w:val="decimal"/>
      <w:lvlText w:val="%1."/>
      <w:lvlJc w:val="left"/>
      <w:pPr>
        <w:ind w:left="117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C430424"/>
    <w:multiLevelType w:val="hybridMultilevel"/>
    <w:tmpl w:val="28EC4CF0"/>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71A7BD0"/>
    <w:multiLevelType w:val="hybridMultilevel"/>
    <w:tmpl w:val="3C144BD2"/>
    <w:lvl w:ilvl="0" w:tplc="0ABE9B52">
      <w:start w:val="1"/>
      <w:numFmt w:val="decimal"/>
      <w:lvlText w:val="%1."/>
      <w:lvlJc w:val="left"/>
      <w:pPr>
        <w:tabs>
          <w:tab w:val="num" w:pos="1440"/>
        </w:tabs>
        <w:ind w:left="1440" w:hanging="360"/>
      </w:pPr>
      <w:rPr>
        <w:rFonts w:ascii="Cambria" w:hAnsi="Cambria" w:hint="default"/>
        <w:b w:val="0"/>
        <w:sz w:val="20"/>
        <w:szCs w:val="20"/>
        <w:lang w:val="es-CO"/>
      </w:rPr>
    </w:lvl>
    <w:lvl w:ilvl="1" w:tplc="D92C12E8">
      <w:start w:val="59"/>
      <w:numFmt w:val="decimal"/>
      <w:lvlText w:val="%2."/>
      <w:lvlJc w:val="left"/>
      <w:pPr>
        <w:tabs>
          <w:tab w:val="num" w:pos="2580"/>
        </w:tabs>
        <w:ind w:left="2580" w:hanging="1500"/>
      </w:pPr>
      <w:rPr>
        <w:rFonts w:hint="default"/>
      </w:rPr>
    </w:lvl>
    <w:lvl w:ilvl="2" w:tplc="99CCD1F2">
      <w:start w:val="3"/>
      <w:numFmt w:val="upperLetter"/>
      <w:lvlText w:val="%3."/>
      <w:lvlJc w:val="left"/>
      <w:pPr>
        <w:tabs>
          <w:tab w:val="num" w:pos="2340"/>
        </w:tabs>
        <w:ind w:left="2340" w:hanging="360"/>
      </w:pPr>
      <w:rPr>
        <w:rFonts w:hint="default"/>
      </w:rPr>
    </w:lvl>
    <w:lvl w:ilvl="3" w:tplc="0409000F">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B379D5"/>
    <w:multiLevelType w:val="hybridMultilevel"/>
    <w:tmpl w:val="EE14313E"/>
    <w:lvl w:ilvl="0" w:tplc="0409000F">
      <w:start w:val="1"/>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3941E23"/>
    <w:multiLevelType w:val="hybridMultilevel"/>
    <w:tmpl w:val="CA02416E"/>
    <w:lvl w:ilvl="0" w:tplc="EB1C4E64">
      <w:start w:val="54"/>
      <w:numFmt w:val="decimal"/>
      <w:lvlText w:val="%1."/>
      <w:lvlJc w:val="left"/>
      <w:pPr>
        <w:ind w:left="1080" w:hanging="360"/>
      </w:pPr>
      <w:rPr>
        <w:rFonts w:ascii="Cambria" w:hAnsi="Cambria"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D7D4B9D"/>
    <w:multiLevelType w:val="hybridMultilevel"/>
    <w:tmpl w:val="E00CCBDA"/>
    <w:lvl w:ilvl="0" w:tplc="EA4604FE">
      <w:start w:val="1"/>
      <w:numFmt w:val="decimal"/>
      <w:lvlText w:val="%1."/>
      <w:lvlJc w:val="left"/>
      <w:pPr>
        <w:ind w:left="117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F947C89"/>
    <w:multiLevelType w:val="hybridMultilevel"/>
    <w:tmpl w:val="D5885C68"/>
    <w:lvl w:ilvl="0" w:tplc="540A5BEC">
      <w:start w:val="94"/>
      <w:numFmt w:val="decimal"/>
      <w:lvlText w:val="%1."/>
      <w:lvlJc w:val="left"/>
      <w:pPr>
        <w:ind w:left="720" w:hanging="360"/>
      </w:pPr>
      <w:rPr>
        <w:rFonts w:ascii="Cambria" w:hAnsi="Cambria"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C67D1C"/>
    <w:multiLevelType w:val="hybridMultilevel"/>
    <w:tmpl w:val="CF8019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6BE5E6A"/>
    <w:multiLevelType w:val="hybridMultilevel"/>
    <w:tmpl w:val="99A4964C"/>
    <w:lvl w:ilvl="0" w:tplc="B95E0210">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767362B"/>
    <w:multiLevelType w:val="hybridMultilevel"/>
    <w:tmpl w:val="DB8E95C6"/>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F54C1E42"/>
    <w:lvl w:ilvl="0" w:tplc="548600FA">
      <w:start w:val="1"/>
      <w:numFmt w:val="upperRoman"/>
      <w:pStyle w:val="Heading1"/>
      <w:lvlText w:val="%1."/>
      <w:lvlJc w:val="left"/>
      <w:pPr>
        <w:ind w:left="720" w:hanging="360"/>
      </w:pPr>
      <w:rPr>
        <w:rFonts w:hint="default"/>
        <w:lang w:val="es-VE"/>
      </w:rPr>
    </w:lvl>
    <w:lvl w:ilvl="1" w:tplc="5D9A6BAE">
      <w:start w:val="4"/>
      <w:numFmt w:val="upp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B2D4DE4"/>
    <w:multiLevelType w:val="hybridMultilevel"/>
    <w:tmpl w:val="75862D38"/>
    <w:lvl w:ilvl="0" w:tplc="35A674F0">
      <w:start w:val="88"/>
      <w:numFmt w:val="decimal"/>
      <w:lvlText w:val="%1."/>
      <w:lvlJc w:val="left"/>
      <w:pPr>
        <w:ind w:left="1440" w:hanging="360"/>
      </w:pPr>
      <w:rPr>
        <w:rFonts w:ascii="Cambria" w:hAnsi="Cambria" w:hint="default"/>
        <w:b w:val="0"/>
        <w:color w:val="auto"/>
        <w:sz w:val="20"/>
        <w:szCs w:val="20"/>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E64D32"/>
    <w:multiLevelType w:val="hybridMultilevel"/>
    <w:tmpl w:val="C2086348"/>
    <w:lvl w:ilvl="0" w:tplc="04090015">
      <w:start w:val="1"/>
      <w:numFmt w:val="decimal"/>
      <w:lvlText w:val="%1."/>
      <w:lvlJc w:val="left"/>
      <w:pPr>
        <w:tabs>
          <w:tab w:val="num" w:pos="1247"/>
        </w:tabs>
        <w:ind w:left="0" w:firstLine="0"/>
      </w:pPr>
      <w:rPr>
        <w:rFonts w:ascii="Verdana" w:eastAsia="Times" w:hAnsi="Verdana" w:cs="Times New Roman"/>
        <w:b w:val="0"/>
        <w:i w:val="0"/>
        <w:sz w:val="20"/>
      </w:rPr>
    </w:lvl>
    <w:lvl w:ilvl="1" w:tplc="04090019">
      <w:start w:val="1"/>
      <w:numFmt w:val="lowerLetter"/>
      <w:lvlText w:val="%2)"/>
      <w:lvlJc w:val="left"/>
      <w:pPr>
        <w:tabs>
          <w:tab w:val="num" w:pos="1080"/>
        </w:tabs>
        <w:ind w:left="1080" w:hanging="360"/>
      </w:pPr>
      <w:rPr>
        <w:rFonts w:hint="default"/>
        <w:b w:val="0"/>
        <w:i w:val="0"/>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E431AA9"/>
    <w:multiLevelType w:val="hybridMultilevel"/>
    <w:tmpl w:val="EF4CC6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67" w15:restartNumberingAfterBreak="0">
    <w:nsid w:val="7FA24CF9"/>
    <w:multiLevelType w:val="hybridMultilevel"/>
    <w:tmpl w:val="4A3C52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6"/>
  </w:num>
  <w:num w:numId="3">
    <w:abstractNumId w:val="58"/>
  </w:num>
  <w:num w:numId="4">
    <w:abstractNumId w:val="22"/>
  </w:num>
  <w:num w:numId="5">
    <w:abstractNumId w:val="51"/>
  </w:num>
  <w:num w:numId="6">
    <w:abstractNumId w:val="27"/>
  </w:num>
  <w:num w:numId="7">
    <w:abstractNumId w:val="9"/>
  </w:num>
  <w:num w:numId="8">
    <w:abstractNumId w:val="19"/>
  </w:num>
  <w:num w:numId="9">
    <w:abstractNumId w:val="45"/>
  </w:num>
  <w:num w:numId="10">
    <w:abstractNumId w:val="0"/>
  </w:num>
  <w:num w:numId="11">
    <w:abstractNumId w:val="40"/>
  </w:num>
  <w:num w:numId="12">
    <w:abstractNumId w:val="41"/>
  </w:num>
  <w:num w:numId="13">
    <w:abstractNumId w:val="46"/>
  </w:num>
  <w:num w:numId="14">
    <w:abstractNumId w:val="1"/>
  </w:num>
  <w:num w:numId="15">
    <w:abstractNumId w:val="2"/>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0"/>
  </w:num>
  <w:num w:numId="26">
    <w:abstractNumId w:val="21"/>
  </w:num>
  <w:num w:numId="27">
    <w:abstractNumId w:val="23"/>
  </w:num>
  <w:num w:numId="28">
    <w:abstractNumId w:val="24"/>
  </w:num>
  <w:num w:numId="29">
    <w:abstractNumId w:val="25"/>
  </w:num>
  <w:num w:numId="30">
    <w:abstractNumId w:val="26"/>
  </w:num>
  <w:num w:numId="31">
    <w:abstractNumId w:val="29"/>
  </w:num>
  <w:num w:numId="32">
    <w:abstractNumId w:val="31"/>
  </w:num>
  <w:num w:numId="33">
    <w:abstractNumId w:val="32"/>
  </w:num>
  <w:num w:numId="34">
    <w:abstractNumId w:val="33"/>
  </w:num>
  <w:num w:numId="35">
    <w:abstractNumId w:val="34"/>
  </w:num>
  <w:num w:numId="36">
    <w:abstractNumId w:val="35"/>
  </w:num>
  <w:num w:numId="37">
    <w:abstractNumId w:val="37"/>
  </w:num>
  <w:num w:numId="38">
    <w:abstractNumId w:val="38"/>
  </w:num>
  <w:num w:numId="39">
    <w:abstractNumId w:val="42"/>
  </w:num>
  <w:num w:numId="40">
    <w:abstractNumId w:val="43"/>
  </w:num>
  <w:num w:numId="41">
    <w:abstractNumId w:val="49"/>
  </w:num>
  <w:num w:numId="42">
    <w:abstractNumId w:val="54"/>
  </w:num>
  <w:num w:numId="43">
    <w:abstractNumId w:val="55"/>
  </w:num>
  <w:num w:numId="44">
    <w:abstractNumId w:val="57"/>
  </w:num>
  <w:num w:numId="45">
    <w:abstractNumId w:val="59"/>
  </w:num>
  <w:num w:numId="46">
    <w:abstractNumId w:val="61"/>
  </w:num>
  <w:num w:numId="47">
    <w:abstractNumId w:val="62"/>
  </w:num>
  <w:num w:numId="48">
    <w:abstractNumId w:val="65"/>
  </w:num>
  <w:num w:numId="49">
    <w:abstractNumId w:val="66"/>
  </w:num>
  <w:num w:numId="50">
    <w:abstractNumId w:val="56"/>
  </w:num>
  <w:num w:numId="51">
    <w:abstractNumId w:val="47"/>
  </w:num>
  <w:num w:numId="52">
    <w:abstractNumId w:val="30"/>
  </w:num>
  <w:num w:numId="53">
    <w:abstractNumId w:val="53"/>
  </w:num>
  <w:num w:numId="54">
    <w:abstractNumId w:val="7"/>
  </w:num>
  <w:num w:numId="55">
    <w:abstractNumId w:val="67"/>
  </w:num>
  <w:num w:numId="56">
    <w:abstractNumId w:val="8"/>
  </w:num>
  <w:num w:numId="57">
    <w:abstractNumId w:val="50"/>
  </w:num>
  <w:num w:numId="58">
    <w:abstractNumId w:val="64"/>
  </w:num>
  <w:num w:numId="59">
    <w:abstractNumId w:val="44"/>
  </w:num>
  <w:num w:numId="60">
    <w:abstractNumId w:val="60"/>
  </w:num>
  <w:num w:numId="61">
    <w:abstractNumId w:val="56"/>
    <w:lvlOverride w:ilvl="0">
      <w:startOverride w:val="5"/>
    </w:lvlOverride>
  </w:num>
  <w:num w:numId="62">
    <w:abstractNumId w:val="52"/>
  </w:num>
  <w:num w:numId="63">
    <w:abstractNumId w:val="48"/>
  </w:num>
  <w:num w:numId="64">
    <w:abstractNumId w:val="39"/>
  </w:num>
  <w:num w:numId="65">
    <w:abstractNumId w:val="28"/>
  </w:num>
  <w:num w:numId="66">
    <w:abstractNumId w:val="5"/>
  </w:num>
  <w:num w:numId="67">
    <w:abstractNumId w:val="56"/>
  </w:num>
  <w:num w:numId="68">
    <w:abstractNumId w:val="3"/>
  </w:num>
  <w:num w:numId="69">
    <w:abstractNumId w:val="63"/>
  </w:num>
  <w:num w:numId="70">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1638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A15"/>
    <w:rsid w:val="00001CC5"/>
    <w:rsid w:val="0000413D"/>
    <w:rsid w:val="00005B87"/>
    <w:rsid w:val="00007841"/>
    <w:rsid w:val="00013E46"/>
    <w:rsid w:val="000142AE"/>
    <w:rsid w:val="000162BA"/>
    <w:rsid w:val="00016C86"/>
    <w:rsid w:val="00017406"/>
    <w:rsid w:val="00017D85"/>
    <w:rsid w:val="000222F4"/>
    <w:rsid w:val="0002233A"/>
    <w:rsid w:val="00022AA3"/>
    <w:rsid w:val="00026A10"/>
    <w:rsid w:val="00030BFA"/>
    <w:rsid w:val="00031309"/>
    <w:rsid w:val="0003171F"/>
    <w:rsid w:val="0003285F"/>
    <w:rsid w:val="00032F38"/>
    <w:rsid w:val="00034A5C"/>
    <w:rsid w:val="00034E50"/>
    <w:rsid w:val="0003573C"/>
    <w:rsid w:val="00036B98"/>
    <w:rsid w:val="00036EA7"/>
    <w:rsid w:val="0003703A"/>
    <w:rsid w:val="00037EC1"/>
    <w:rsid w:val="00040BB9"/>
    <w:rsid w:val="0004111F"/>
    <w:rsid w:val="00041547"/>
    <w:rsid w:val="0004386B"/>
    <w:rsid w:val="000446EB"/>
    <w:rsid w:val="00044D5E"/>
    <w:rsid w:val="00045B6C"/>
    <w:rsid w:val="000464BD"/>
    <w:rsid w:val="00051300"/>
    <w:rsid w:val="000528E2"/>
    <w:rsid w:val="00053717"/>
    <w:rsid w:val="00054511"/>
    <w:rsid w:val="00055573"/>
    <w:rsid w:val="00055963"/>
    <w:rsid w:val="00060F6A"/>
    <w:rsid w:val="000622D9"/>
    <w:rsid w:val="000629E4"/>
    <w:rsid w:val="00062D3F"/>
    <w:rsid w:val="0006365E"/>
    <w:rsid w:val="00063738"/>
    <w:rsid w:val="000658EF"/>
    <w:rsid w:val="00066471"/>
    <w:rsid w:val="0006708D"/>
    <w:rsid w:val="000700F5"/>
    <w:rsid w:val="00071078"/>
    <w:rsid w:val="000742AC"/>
    <w:rsid w:val="00074748"/>
    <w:rsid w:val="00076930"/>
    <w:rsid w:val="000774D5"/>
    <w:rsid w:val="000776D1"/>
    <w:rsid w:val="00082CBC"/>
    <w:rsid w:val="000904DE"/>
    <w:rsid w:val="000909C3"/>
    <w:rsid w:val="00090BFB"/>
    <w:rsid w:val="00091479"/>
    <w:rsid w:val="00092171"/>
    <w:rsid w:val="00093C1A"/>
    <w:rsid w:val="00094EAF"/>
    <w:rsid w:val="00097288"/>
    <w:rsid w:val="000A0564"/>
    <w:rsid w:val="000A09DB"/>
    <w:rsid w:val="000A64C2"/>
    <w:rsid w:val="000A6859"/>
    <w:rsid w:val="000A702B"/>
    <w:rsid w:val="000A7F25"/>
    <w:rsid w:val="000B610E"/>
    <w:rsid w:val="000C1B97"/>
    <w:rsid w:val="000C2575"/>
    <w:rsid w:val="000C44C2"/>
    <w:rsid w:val="000C5020"/>
    <w:rsid w:val="000C572C"/>
    <w:rsid w:val="000C5FFD"/>
    <w:rsid w:val="000C7605"/>
    <w:rsid w:val="000D232F"/>
    <w:rsid w:val="000D2940"/>
    <w:rsid w:val="000D3118"/>
    <w:rsid w:val="000D4BA6"/>
    <w:rsid w:val="000D50A2"/>
    <w:rsid w:val="000D5262"/>
    <w:rsid w:val="000D6FFE"/>
    <w:rsid w:val="000D7A15"/>
    <w:rsid w:val="000E0A78"/>
    <w:rsid w:val="000E1F32"/>
    <w:rsid w:val="000E4097"/>
    <w:rsid w:val="000E41B5"/>
    <w:rsid w:val="000E614C"/>
    <w:rsid w:val="000E753F"/>
    <w:rsid w:val="000F2267"/>
    <w:rsid w:val="000F2611"/>
    <w:rsid w:val="000F2EAA"/>
    <w:rsid w:val="000F4755"/>
    <w:rsid w:val="000F5CC5"/>
    <w:rsid w:val="000F62D6"/>
    <w:rsid w:val="00101E3D"/>
    <w:rsid w:val="001043E5"/>
    <w:rsid w:val="00105111"/>
    <w:rsid w:val="0010627C"/>
    <w:rsid w:val="00107AEF"/>
    <w:rsid w:val="001106D5"/>
    <w:rsid w:val="001117C0"/>
    <w:rsid w:val="00113043"/>
    <w:rsid w:val="001131F3"/>
    <w:rsid w:val="0011410B"/>
    <w:rsid w:val="0011410C"/>
    <w:rsid w:val="00121682"/>
    <w:rsid w:val="00123DDD"/>
    <w:rsid w:val="00124F6E"/>
    <w:rsid w:val="001253B4"/>
    <w:rsid w:val="00125DAD"/>
    <w:rsid w:val="00132771"/>
    <w:rsid w:val="001337D0"/>
    <w:rsid w:val="001355C2"/>
    <w:rsid w:val="00137570"/>
    <w:rsid w:val="00140A4E"/>
    <w:rsid w:val="00141024"/>
    <w:rsid w:val="001419F4"/>
    <w:rsid w:val="0014205D"/>
    <w:rsid w:val="001427B3"/>
    <w:rsid w:val="00143A5A"/>
    <w:rsid w:val="001508C1"/>
    <w:rsid w:val="00151204"/>
    <w:rsid w:val="001521EA"/>
    <w:rsid w:val="00154ED3"/>
    <w:rsid w:val="00155471"/>
    <w:rsid w:val="00160E5D"/>
    <w:rsid w:val="00162933"/>
    <w:rsid w:val="00162AD4"/>
    <w:rsid w:val="00163A33"/>
    <w:rsid w:val="001644C3"/>
    <w:rsid w:val="001645C4"/>
    <w:rsid w:val="0016762C"/>
    <w:rsid w:val="00170DF2"/>
    <w:rsid w:val="0017114C"/>
    <w:rsid w:val="00171900"/>
    <w:rsid w:val="0017199E"/>
    <w:rsid w:val="00171BA6"/>
    <w:rsid w:val="001734E0"/>
    <w:rsid w:val="00176469"/>
    <w:rsid w:val="00176900"/>
    <w:rsid w:val="00177413"/>
    <w:rsid w:val="00181755"/>
    <w:rsid w:val="001820A2"/>
    <w:rsid w:val="00182615"/>
    <w:rsid w:val="00183B94"/>
    <w:rsid w:val="00183F68"/>
    <w:rsid w:val="00184D2E"/>
    <w:rsid w:val="001860EA"/>
    <w:rsid w:val="00187B9E"/>
    <w:rsid w:val="00190855"/>
    <w:rsid w:val="00192C26"/>
    <w:rsid w:val="001934E8"/>
    <w:rsid w:val="001935BB"/>
    <w:rsid w:val="0019408B"/>
    <w:rsid w:val="00194824"/>
    <w:rsid w:val="0019656F"/>
    <w:rsid w:val="001A0717"/>
    <w:rsid w:val="001A187D"/>
    <w:rsid w:val="001A18C1"/>
    <w:rsid w:val="001A2507"/>
    <w:rsid w:val="001A2590"/>
    <w:rsid w:val="001A61B4"/>
    <w:rsid w:val="001B1832"/>
    <w:rsid w:val="001B2830"/>
    <w:rsid w:val="001B29F1"/>
    <w:rsid w:val="001B2EA2"/>
    <w:rsid w:val="001B5895"/>
    <w:rsid w:val="001B6B03"/>
    <w:rsid w:val="001C01D3"/>
    <w:rsid w:val="001C291D"/>
    <w:rsid w:val="001C2E45"/>
    <w:rsid w:val="001C3A89"/>
    <w:rsid w:val="001C62C5"/>
    <w:rsid w:val="001C6B0D"/>
    <w:rsid w:val="001C6BA4"/>
    <w:rsid w:val="001C6F4D"/>
    <w:rsid w:val="001C6FC4"/>
    <w:rsid w:val="001C7632"/>
    <w:rsid w:val="001D085B"/>
    <w:rsid w:val="001D27CD"/>
    <w:rsid w:val="001D44D0"/>
    <w:rsid w:val="001D4550"/>
    <w:rsid w:val="001D4C5E"/>
    <w:rsid w:val="001D78C1"/>
    <w:rsid w:val="001E1F4E"/>
    <w:rsid w:val="001E3078"/>
    <w:rsid w:val="001E3D60"/>
    <w:rsid w:val="001E4A8B"/>
    <w:rsid w:val="001E4C88"/>
    <w:rsid w:val="001E50DF"/>
    <w:rsid w:val="001E6D70"/>
    <w:rsid w:val="001E736D"/>
    <w:rsid w:val="001E751A"/>
    <w:rsid w:val="001F1013"/>
    <w:rsid w:val="001F1578"/>
    <w:rsid w:val="001F1E2C"/>
    <w:rsid w:val="001F2AF1"/>
    <w:rsid w:val="001F37E8"/>
    <w:rsid w:val="001F5DA8"/>
    <w:rsid w:val="001F6C65"/>
    <w:rsid w:val="001F7BF0"/>
    <w:rsid w:val="0020086B"/>
    <w:rsid w:val="00201B45"/>
    <w:rsid w:val="00201F0D"/>
    <w:rsid w:val="00201F5E"/>
    <w:rsid w:val="00203167"/>
    <w:rsid w:val="002032D3"/>
    <w:rsid w:val="0020486C"/>
    <w:rsid w:val="00206601"/>
    <w:rsid w:val="00210810"/>
    <w:rsid w:val="00212544"/>
    <w:rsid w:val="00212AFB"/>
    <w:rsid w:val="00213A95"/>
    <w:rsid w:val="0021687B"/>
    <w:rsid w:val="00216B73"/>
    <w:rsid w:val="00217221"/>
    <w:rsid w:val="00221388"/>
    <w:rsid w:val="00221712"/>
    <w:rsid w:val="002217A5"/>
    <w:rsid w:val="002227F5"/>
    <w:rsid w:val="00225FB5"/>
    <w:rsid w:val="00226453"/>
    <w:rsid w:val="00230401"/>
    <w:rsid w:val="0023208C"/>
    <w:rsid w:val="00232F61"/>
    <w:rsid w:val="0023326F"/>
    <w:rsid w:val="00233B3D"/>
    <w:rsid w:val="00236235"/>
    <w:rsid w:val="002413ED"/>
    <w:rsid w:val="00242A9A"/>
    <w:rsid w:val="00242F79"/>
    <w:rsid w:val="0024444F"/>
    <w:rsid w:val="00250466"/>
    <w:rsid w:val="00250560"/>
    <w:rsid w:val="002513BE"/>
    <w:rsid w:val="00251D3C"/>
    <w:rsid w:val="00256493"/>
    <w:rsid w:val="002566D0"/>
    <w:rsid w:val="0025719D"/>
    <w:rsid w:val="0025722D"/>
    <w:rsid w:val="00260537"/>
    <w:rsid w:val="0026110B"/>
    <w:rsid w:val="00263B40"/>
    <w:rsid w:val="00263F7B"/>
    <w:rsid w:val="0026490D"/>
    <w:rsid w:val="00264EDC"/>
    <w:rsid w:val="00265D48"/>
    <w:rsid w:val="00266550"/>
    <w:rsid w:val="0026748D"/>
    <w:rsid w:val="00267BEA"/>
    <w:rsid w:val="00270954"/>
    <w:rsid w:val="002720D1"/>
    <w:rsid w:val="00272234"/>
    <w:rsid w:val="00272983"/>
    <w:rsid w:val="002748E9"/>
    <w:rsid w:val="00274CF3"/>
    <w:rsid w:val="00274E18"/>
    <w:rsid w:val="00275093"/>
    <w:rsid w:val="0027683B"/>
    <w:rsid w:val="00277115"/>
    <w:rsid w:val="00277A03"/>
    <w:rsid w:val="00280437"/>
    <w:rsid w:val="00281995"/>
    <w:rsid w:val="00282144"/>
    <w:rsid w:val="002843C1"/>
    <w:rsid w:val="0029106D"/>
    <w:rsid w:val="00291602"/>
    <w:rsid w:val="00292721"/>
    <w:rsid w:val="002928DC"/>
    <w:rsid w:val="00293532"/>
    <w:rsid w:val="0029761A"/>
    <w:rsid w:val="002A0C6D"/>
    <w:rsid w:val="002A4FCC"/>
    <w:rsid w:val="002A62BA"/>
    <w:rsid w:val="002A6C84"/>
    <w:rsid w:val="002A7194"/>
    <w:rsid w:val="002B05CC"/>
    <w:rsid w:val="002B1017"/>
    <w:rsid w:val="002B1D2F"/>
    <w:rsid w:val="002B2EC4"/>
    <w:rsid w:val="002B41C6"/>
    <w:rsid w:val="002B4891"/>
    <w:rsid w:val="002B58BA"/>
    <w:rsid w:val="002B596B"/>
    <w:rsid w:val="002B5FD2"/>
    <w:rsid w:val="002B7E65"/>
    <w:rsid w:val="002C019D"/>
    <w:rsid w:val="002C0928"/>
    <w:rsid w:val="002C1E26"/>
    <w:rsid w:val="002C254B"/>
    <w:rsid w:val="002C45D9"/>
    <w:rsid w:val="002C4798"/>
    <w:rsid w:val="002C59D7"/>
    <w:rsid w:val="002C6D7F"/>
    <w:rsid w:val="002C79D8"/>
    <w:rsid w:val="002D1E78"/>
    <w:rsid w:val="002D2CC4"/>
    <w:rsid w:val="002D2F2F"/>
    <w:rsid w:val="002E17A4"/>
    <w:rsid w:val="002E293E"/>
    <w:rsid w:val="002E5E79"/>
    <w:rsid w:val="002E6955"/>
    <w:rsid w:val="002E69BE"/>
    <w:rsid w:val="002E7622"/>
    <w:rsid w:val="002F13DA"/>
    <w:rsid w:val="002F210F"/>
    <w:rsid w:val="002F2AF1"/>
    <w:rsid w:val="002F3AE6"/>
    <w:rsid w:val="002F3B9D"/>
    <w:rsid w:val="002F63F9"/>
    <w:rsid w:val="002F683E"/>
    <w:rsid w:val="00301A61"/>
    <w:rsid w:val="00306409"/>
    <w:rsid w:val="00306518"/>
    <w:rsid w:val="00306563"/>
    <w:rsid w:val="0030744E"/>
    <w:rsid w:val="00307F11"/>
    <w:rsid w:val="00310947"/>
    <w:rsid w:val="0031302C"/>
    <w:rsid w:val="00313E57"/>
    <w:rsid w:val="00320A31"/>
    <w:rsid w:val="00321622"/>
    <w:rsid w:val="003228C5"/>
    <w:rsid w:val="00322E09"/>
    <w:rsid w:val="00323325"/>
    <w:rsid w:val="003233F7"/>
    <w:rsid w:val="003238CB"/>
    <w:rsid w:val="00324EE8"/>
    <w:rsid w:val="00326B93"/>
    <w:rsid w:val="00327014"/>
    <w:rsid w:val="00331B0C"/>
    <w:rsid w:val="00332844"/>
    <w:rsid w:val="003357E9"/>
    <w:rsid w:val="003377B8"/>
    <w:rsid w:val="00340E84"/>
    <w:rsid w:val="0034234C"/>
    <w:rsid w:val="003425C3"/>
    <w:rsid w:val="00343B09"/>
    <w:rsid w:val="00345282"/>
    <w:rsid w:val="00346575"/>
    <w:rsid w:val="003470A3"/>
    <w:rsid w:val="003471CF"/>
    <w:rsid w:val="00350D4F"/>
    <w:rsid w:val="003515BD"/>
    <w:rsid w:val="003521A9"/>
    <w:rsid w:val="00353A2F"/>
    <w:rsid w:val="00353B89"/>
    <w:rsid w:val="00354085"/>
    <w:rsid w:val="003549A5"/>
    <w:rsid w:val="00355688"/>
    <w:rsid w:val="00357F6E"/>
    <w:rsid w:val="00361016"/>
    <w:rsid w:val="003617DF"/>
    <w:rsid w:val="0036281D"/>
    <w:rsid w:val="00362943"/>
    <w:rsid w:val="00362EE0"/>
    <w:rsid w:val="00364445"/>
    <w:rsid w:val="003657E0"/>
    <w:rsid w:val="003660E2"/>
    <w:rsid w:val="003661C1"/>
    <w:rsid w:val="003675D0"/>
    <w:rsid w:val="00367F6A"/>
    <w:rsid w:val="0037080D"/>
    <w:rsid w:val="0037126C"/>
    <w:rsid w:val="00371733"/>
    <w:rsid w:val="0037375D"/>
    <w:rsid w:val="00374191"/>
    <w:rsid w:val="00382074"/>
    <w:rsid w:val="003828B0"/>
    <w:rsid w:val="00384D4D"/>
    <w:rsid w:val="00385D11"/>
    <w:rsid w:val="00385EBB"/>
    <w:rsid w:val="003876A6"/>
    <w:rsid w:val="00387CEF"/>
    <w:rsid w:val="00390C27"/>
    <w:rsid w:val="00390CD1"/>
    <w:rsid w:val="0039387D"/>
    <w:rsid w:val="00393A7D"/>
    <w:rsid w:val="00397AAE"/>
    <w:rsid w:val="003A02DF"/>
    <w:rsid w:val="003A0322"/>
    <w:rsid w:val="003A1CD5"/>
    <w:rsid w:val="003A3CDF"/>
    <w:rsid w:val="003A3F07"/>
    <w:rsid w:val="003A5091"/>
    <w:rsid w:val="003A7D9D"/>
    <w:rsid w:val="003B0407"/>
    <w:rsid w:val="003B0D09"/>
    <w:rsid w:val="003B13A6"/>
    <w:rsid w:val="003B1E18"/>
    <w:rsid w:val="003B7769"/>
    <w:rsid w:val="003C1CE6"/>
    <w:rsid w:val="003C44D7"/>
    <w:rsid w:val="003C519B"/>
    <w:rsid w:val="003C52DB"/>
    <w:rsid w:val="003C6790"/>
    <w:rsid w:val="003D08E9"/>
    <w:rsid w:val="003D11CC"/>
    <w:rsid w:val="003D2A3D"/>
    <w:rsid w:val="003D3A8A"/>
    <w:rsid w:val="003D59E2"/>
    <w:rsid w:val="003D5B39"/>
    <w:rsid w:val="003D68A8"/>
    <w:rsid w:val="003D7D98"/>
    <w:rsid w:val="003E04D1"/>
    <w:rsid w:val="003E28E7"/>
    <w:rsid w:val="003E5DAC"/>
    <w:rsid w:val="003F0A7B"/>
    <w:rsid w:val="003F2050"/>
    <w:rsid w:val="003F216A"/>
    <w:rsid w:val="003F2C93"/>
    <w:rsid w:val="003F345C"/>
    <w:rsid w:val="003F384F"/>
    <w:rsid w:val="003F450A"/>
    <w:rsid w:val="003F6474"/>
    <w:rsid w:val="0040029A"/>
    <w:rsid w:val="00404EDE"/>
    <w:rsid w:val="00404FC1"/>
    <w:rsid w:val="00405CB0"/>
    <w:rsid w:val="004101D8"/>
    <w:rsid w:val="0041069F"/>
    <w:rsid w:val="0041123D"/>
    <w:rsid w:val="004112A3"/>
    <w:rsid w:val="0041155E"/>
    <w:rsid w:val="00415497"/>
    <w:rsid w:val="0041569F"/>
    <w:rsid w:val="004160F0"/>
    <w:rsid w:val="0042131E"/>
    <w:rsid w:val="004226AA"/>
    <w:rsid w:val="00423F48"/>
    <w:rsid w:val="00423F4D"/>
    <w:rsid w:val="00425EC1"/>
    <w:rsid w:val="0042608E"/>
    <w:rsid w:val="0042621C"/>
    <w:rsid w:val="004268E5"/>
    <w:rsid w:val="00427999"/>
    <w:rsid w:val="00430348"/>
    <w:rsid w:val="004324B4"/>
    <w:rsid w:val="00432924"/>
    <w:rsid w:val="00432A12"/>
    <w:rsid w:val="0043425F"/>
    <w:rsid w:val="00435534"/>
    <w:rsid w:val="004359DF"/>
    <w:rsid w:val="00435C1E"/>
    <w:rsid w:val="00435DF7"/>
    <w:rsid w:val="00437AE4"/>
    <w:rsid w:val="00437D17"/>
    <w:rsid w:val="00441354"/>
    <w:rsid w:val="0044204F"/>
    <w:rsid w:val="00442B93"/>
    <w:rsid w:val="004434AF"/>
    <w:rsid w:val="00445986"/>
    <w:rsid w:val="00445D31"/>
    <w:rsid w:val="00446EB6"/>
    <w:rsid w:val="00450709"/>
    <w:rsid w:val="004530E2"/>
    <w:rsid w:val="00455E58"/>
    <w:rsid w:val="0045738F"/>
    <w:rsid w:val="004604F9"/>
    <w:rsid w:val="00460D9C"/>
    <w:rsid w:val="00462333"/>
    <w:rsid w:val="0046565B"/>
    <w:rsid w:val="00466871"/>
    <w:rsid w:val="0046722D"/>
    <w:rsid w:val="00471693"/>
    <w:rsid w:val="00472C48"/>
    <w:rsid w:val="00473DA7"/>
    <w:rsid w:val="00480C46"/>
    <w:rsid w:val="00481823"/>
    <w:rsid w:val="004826C3"/>
    <w:rsid w:val="00483BA0"/>
    <w:rsid w:val="004841D2"/>
    <w:rsid w:val="00484E38"/>
    <w:rsid w:val="004862C3"/>
    <w:rsid w:val="004867F9"/>
    <w:rsid w:val="00491B21"/>
    <w:rsid w:val="00492709"/>
    <w:rsid w:val="00492C48"/>
    <w:rsid w:val="00492F90"/>
    <w:rsid w:val="0049413A"/>
    <w:rsid w:val="004943EB"/>
    <w:rsid w:val="004956E3"/>
    <w:rsid w:val="00495BBF"/>
    <w:rsid w:val="00496500"/>
    <w:rsid w:val="00497946"/>
    <w:rsid w:val="00497BD3"/>
    <w:rsid w:val="00497FFB"/>
    <w:rsid w:val="004A3F45"/>
    <w:rsid w:val="004A4C03"/>
    <w:rsid w:val="004A5071"/>
    <w:rsid w:val="004A5B6D"/>
    <w:rsid w:val="004A6910"/>
    <w:rsid w:val="004A6B8F"/>
    <w:rsid w:val="004B0285"/>
    <w:rsid w:val="004B0927"/>
    <w:rsid w:val="004B3610"/>
    <w:rsid w:val="004B3AF6"/>
    <w:rsid w:val="004B3C1E"/>
    <w:rsid w:val="004B59D5"/>
    <w:rsid w:val="004B6168"/>
    <w:rsid w:val="004B635D"/>
    <w:rsid w:val="004B7769"/>
    <w:rsid w:val="004B7A49"/>
    <w:rsid w:val="004B7FBF"/>
    <w:rsid w:val="004C0048"/>
    <w:rsid w:val="004C0C7D"/>
    <w:rsid w:val="004C0FC2"/>
    <w:rsid w:val="004C1102"/>
    <w:rsid w:val="004C32C9"/>
    <w:rsid w:val="004C32F8"/>
    <w:rsid w:val="004C343B"/>
    <w:rsid w:val="004C57BB"/>
    <w:rsid w:val="004D0D4D"/>
    <w:rsid w:val="004D26C8"/>
    <w:rsid w:val="004D6F82"/>
    <w:rsid w:val="004E5C67"/>
    <w:rsid w:val="004E6BBA"/>
    <w:rsid w:val="004F08FA"/>
    <w:rsid w:val="004F093F"/>
    <w:rsid w:val="004F2A05"/>
    <w:rsid w:val="004F38BB"/>
    <w:rsid w:val="004F3BB4"/>
    <w:rsid w:val="004F4336"/>
    <w:rsid w:val="004F4608"/>
    <w:rsid w:val="004F4C5C"/>
    <w:rsid w:val="004F5FBD"/>
    <w:rsid w:val="004F623F"/>
    <w:rsid w:val="004F634D"/>
    <w:rsid w:val="004F6E19"/>
    <w:rsid w:val="004F737D"/>
    <w:rsid w:val="004F74CB"/>
    <w:rsid w:val="005010DE"/>
    <w:rsid w:val="005016EF"/>
    <w:rsid w:val="005019C4"/>
    <w:rsid w:val="005020EA"/>
    <w:rsid w:val="005029CA"/>
    <w:rsid w:val="00503FFC"/>
    <w:rsid w:val="005044A2"/>
    <w:rsid w:val="00505AE0"/>
    <w:rsid w:val="005063CB"/>
    <w:rsid w:val="00510482"/>
    <w:rsid w:val="00510F43"/>
    <w:rsid w:val="00511C91"/>
    <w:rsid w:val="00512D33"/>
    <w:rsid w:val="00512E34"/>
    <w:rsid w:val="005136F2"/>
    <w:rsid w:val="005138AD"/>
    <w:rsid w:val="00514C36"/>
    <w:rsid w:val="00515137"/>
    <w:rsid w:val="005162B5"/>
    <w:rsid w:val="00516CAA"/>
    <w:rsid w:val="00520849"/>
    <w:rsid w:val="00521B7B"/>
    <w:rsid w:val="00522516"/>
    <w:rsid w:val="005228B0"/>
    <w:rsid w:val="005229EA"/>
    <w:rsid w:val="005234B1"/>
    <w:rsid w:val="005239EC"/>
    <w:rsid w:val="00523EA8"/>
    <w:rsid w:val="00525F7F"/>
    <w:rsid w:val="0052716E"/>
    <w:rsid w:val="00531582"/>
    <w:rsid w:val="00533179"/>
    <w:rsid w:val="00534BFF"/>
    <w:rsid w:val="00534F5D"/>
    <w:rsid w:val="0053513A"/>
    <w:rsid w:val="00535C0D"/>
    <w:rsid w:val="00536642"/>
    <w:rsid w:val="0053671A"/>
    <w:rsid w:val="0054044C"/>
    <w:rsid w:val="00540760"/>
    <w:rsid w:val="0054132A"/>
    <w:rsid w:val="005415F6"/>
    <w:rsid w:val="00541F27"/>
    <w:rsid w:val="005425CC"/>
    <w:rsid w:val="00543515"/>
    <w:rsid w:val="00543B15"/>
    <w:rsid w:val="005450F5"/>
    <w:rsid w:val="00547293"/>
    <w:rsid w:val="00547DAE"/>
    <w:rsid w:val="00550CDE"/>
    <w:rsid w:val="005516B2"/>
    <w:rsid w:val="005601CF"/>
    <w:rsid w:val="00560281"/>
    <w:rsid w:val="00561354"/>
    <w:rsid w:val="00562649"/>
    <w:rsid w:val="005658CC"/>
    <w:rsid w:val="00570D63"/>
    <w:rsid w:val="005723D1"/>
    <w:rsid w:val="0057241F"/>
    <w:rsid w:val="005736B7"/>
    <w:rsid w:val="00573789"/>
    <w:rsid w:val="00574340"/>
    <w:rsid w:val="00574378"/>
    <w:rsid w:val="00575982"/>
    <w:rsid w:val="00576A83"/>
    <w:rsid w:val="00582A10"/>
    <w:rsid w:val="00583810"/>
    <w:rsid w:val="00584354"/>
    <w:rsid w:val="005844E0"/>
    <w:rsid w:val="0058583B"/>
    <w:rsid w:val="0058617D"/>
    <w:rsid w:val="00586A63"/>
    <w:rsid w:val="00586E34"/>
    <w:rsid w:val="00590ACA"/>
    <w:rsid w:val="00591371"/>
    <w:rsid w:val="0059157A"/>
    <w:rsid w:val="00592859"/>
    <w:rsid w:val="00592C02"/>
    <w:rsid w:val="00592E86"/>
    <w:rsid w:val="0059357A"/>
    <w:rsid w:val="005944E0"/>
    <w:rsid w:val="00594A11"/>
    <w:rsid w:val="00595A3D"/>
    <w:rsid w:val="00595B15"/>
    <w:rsid w:val="005961DE"/>
    <w:rsid w:val="005968E6"/>
    <w:rsid w:val="005979E4"/>
    <w:rsid w:val="005A11E5"/>
    <w:rsid w:val="005A196F"/>
    <w:rsid w:val="005A4879"/>
    <w:rsid w:val="005A550E"/>
    <w:rsid w:val="005A5D31"/>
    <w:rsid w:val="005A6D5C"/>
    <w:rsid w:val="005B0147"/>
    <w:rsid w:val="005B09FA"/>
    <w:rsid w:val="005B3264"/>
    <w:rsid w:val="005B4089"/>
    <w:rsid w:val="005B44F6"/>
    <w:rsid w:val="005B4A7B"/>
    <w:rsid w:val="005B6642"/>
    <w:rsid w:val="005B7225"/>
    <w:rsid w:val="005B727C"/>
    <w:rsid w:val="005B7D55"/>
    <w:rsid w:val="005C2805"/>
    <w:rsid w:val="005C317F"/>
    <w:rsid w:val="005C4FC4"/>
    <w:rsid w:val="005C67C9"/>
    <w:rsid w:val="005C698A"/>
    <w:rsid w:val="005D2FF9"/>
    <w:rsid w:val="005D3307"/>
    <w:rsid w:val="005D3632"/>
    <w:rsid w:val="005D3AE1"/>
    <w:rsid w:val="005D5143"/>
    <w:rsid w:val="005E0660"/>
    <w:rsid w:val="005E14EE"/>
    <w:rsid w:val="005E331B"/>
    <w:rsid w:val="005E5648"/>
    <w:rsid w:val="005E7CB0"/>
    <w:rsid w:val="005F0F67"/>
    <w:rsid w:val="005F217D"/>
    <w:rsid w:val="005F320C"/>
    <w:rsid w:val="005F41BE"/>
    <w:rsid w:val="005F43FB"/>
    <w:rsid w:val="005F66E0"/>
    <w:rsid w:val="005F68F7"/>
    <w:rsid w:val="005F7F24"/>
    <w:rsid w:val="0060097B"/>
    <w:rsid w:val="006015F4"/>
    <w:rsid w:val="00601731"/>
    <w:rsid w:val="006019D0"/>
    <w:rsid w:val="00601A72"/>
    <w:rsid w:val="00601FEF"/>
    <w:rsid w:val="00604B7D"/>
    <w:rsid w:val="00610A15"/>
    <w:rsid w:val="00610ADF"/>
    <w:rsid w:val="00611DBD"/>
    <w:rsid w:val="00612D3C"/>
    <w:rsid w:val="0061347F"/>
    <w:rsid w:val="00614131"/>
    <w:rsid w:val="00615A70"/>
    <w:rsid w:val="00617630"/>
    <w:rsid w:val="00621BB5"/>
    <w:rsid w:val="00621E7B"/>
    <w:rsid w:val="00622E5D"/>
    <w:rsid w:val="00622F74"/>
    <w:rsid w:val="0062415B"/>
    <w:rsid w:val="006244E2"/>
    <w:rsid w:val="00627FA8"/>
    <w:rsid w:val="006303E6"/>
    <w:rsid w:val="006324B1"/>
    <w:rsid w:val="00632B27"/>
    <w:rsid w:val="00633373"/>
    <w:rsid w:val="00636EAA"/>
    <w:rsid w:val="00637730"/>
    <w:rsid w:val="00640078"/>
    <w:rsid w:val="006402C6"/>
    <w:rsid w:val="00640628"/>
    <w:rsid w:val="00641FA4"/>
    <w:rsid w:val="0064521C"/>
    <w:rsid w:val="006456AE"/>
    <w:rsid w:val="006468DC"/>
    <w:rsid w:val="00647BCC"/>
    <w:rsid w:val="00647EC5"/>
    <w:rsid w:val="006515DF"/>
    <w:rsid w:val="00651E06"/>
    <w:rsid w:val="0065221B"/>
    <w:rsid w:val="00652695"/>
    <w:rsid w:val="006532C9"/>
    <w:rsid w:val="00654612"/>
    <w:rsid w:val="00656B94"/>
    <w:rsid w:val="00656BEA"/>
    <w:rsid w:val="006648EB"/>
    <w:rsid w:val="00664E77"/>
    <w:rsid w:val="00666014"/>
    <w:rsid w:val="00666F6B"/>
    <w:rsid w:val="0066797B"/>
    <w:rsid w:val="00667A86"/>
    <w:rsid w:val="00670136"/>
    <w:rsid w:val="00671D71"/>
    <w:rsid w:val="006745BF"/>
    <w:rsid w:val="00674E68"/>
    <w:rsid w:val="00674EF8"/>
    <w:rsid w:val="006766F4"/>
    <w:rsid w:val="00681A99"/>
    <w:rsid w:val="00681F95"/>
    <w:rsid w:val="006831CE"/>
    <w:rsid w:val="006852D7"/>
    <w:rsid w:val="006859B5"/>
    <w:rsid w:val="00686600"/>
    <w:rsid w:val="00686D0F"/>
    <w:rsid w:val="006927D4"/>
    <w:rsid w:val="00692815"/>
    <w:rsid w:val="00694527"/>
    <w:rsid w:val="00695964"/>
    <w:rsid w:val="00696498"/>
    <w:rsid w:val="00696B68"/>
    <w:rsid w:val="006A1F34"/>
    <w:rsid w:val="006A3955"/>
    <w:rsid w:val="006A6783"/>
    <w:rsid w:val="006A6813"/>
    <w:rsid w:val="006A710B"/>
    <w:rsid w:val="006A710D"/>
    <w:rsid w:val="006A75EE"/>
    <w:rsid w:val="006A76A7"/>
    <w:rsid w:val="006B1B0B"/>
    <w:rsid w:val="006B1BE6"/>
    <w:rsid w:val="006B2DE0"/>
    <w:rsid w:val="006B481D"/>
    <w:rsid w:val="006B56B2"/>
    <w:rsid w:val="006B58F1"/>
    <w:rsid w:val="006B6E80"/>
    <w:rsid w:val="006C31E4"/>
    <w:rsid w:val="006C4B2D"/>
    <w:rsid w:val="006C7B09"/>
    <w:rsid w:val="006D191F"/>
    <w:rsid w:val="006D369C"/>
    <w:rsid w:val="006D4007"/>
    <w:rsid w:val="006D53D2"/>
    <w:rsid w:val="006D6455"/>
    <w:rsid w:val="006D692D"/>
    <w:rsid w:val="006D6FFB"/>
    <w:rsid w:val="006D7687"/>
    <w:rsid w:val="006E0DFF"/>
    <w:rsid w:val="006E19C8"/>
    <w:rsid w:val="006E22A6"/>
    <w:rsid w:val="006E24AF"/>
    <w:rsid w:val="006E2718"/>
    <w:rsid w:val="006E2E54"/>
    <w:rsid w:val="006E3673"/>
    <w:rsid w:val="006E3B4D"/>
    <w:rsid w:val="006E3F50"/>
    <w:rsid w:val="006E5726"/>
    <w:rsid w:val="006E62BD"/>
    <w:rsid w:val="006E6766"/>
    <w:rsid w:val="006E677B"/>
    <w:rsid w:val="006E753D"/>
    <w:rsid w:val="006E755C"/>
    <w:rsid w:val="006E7883"/>
    <w:rsid w:val="006F0677"/>
    <w:rsid w:val="006F1862"/>
    <w:rsid w:val="006F380A"/>
    <w:rsid w:val="006F3BE6"/>
    <w:rsid w:val="006F7555"/>
    <w:rsid w:val="006F75EF"/>
    <w:rsid w:val="007012D9"/>
    <w:rsid w:val="00701B69"/>
    <w:rsid w:val="00701C86"/>
    <w:rsid w:val="00701DAF"/>
    <w:rsid w:val="00703549"/>
    <w:rsid w:val="0070419B"/>
    <w:rsid w:val="00706917"/>
    <w:rsid w:val="00707171"/>
    <w:rsid w:val="0070743E"/>
    <w:rsid w:val="007105D0"/>
    <w:rsid w:val="0071072E"/>
    <w:rsid w:val="00712B36"/>
    <w:rsid w:val="007138CB"/>
    <w:rsid w:val="00713FB7"/>
    <w:rsid w:val="00714ADB"/>
    <w:rsid w:val="00715999"/>
    <w:rsid w:val="007167FA"/>
    <w:rsid w:val="0071741F"/>
    <w:rsid w:val="00721C83"/>
    <w:rsid w:val="007220C9"/>
    <w:rsid w:val="00722683"/>
    <w:rsid w:val="00723AE3"/>
    <w:rsid w:val="00725198"/>
    <w:rsid w:val="00725FB5"/>
    <w:rsid w:val="007277DB"/>
    <w:rsid w:val="00730B65"/>
    <w:rsid w:val="007336AA"/>
    <w:rsid w:val="00733E48"/>
    <w:rsid w:val="00734817"/>
    <w:rsid w:val="00734F0E"/>
    <w:rsid w:val="00734F96"/>
    <w:rsid w:val="00736290"/>
    <w:rsid w:val="00740230"/>
    <w:rsid w:val="007408A6"/>
    <w:rsid w:val="00744F61"/>
    <w:rsid w:val="007450A8"/>
    <w:rsid w:val="007468E8"/>
    <w:rsid w:val="00746A99"/>
    <w:rsid w:val="00747367"/>
    <w:rsid w:val="00747880"/>
    <w:rsid w:val="00751EF8"/>
    <w:rsid w:val="00752471"/>
    <w:rsid w:val="007551AB"/>
    <w:rsid w:val="00755994"/>
    <w:rsid w:val="00757564"/>
    <w:rsid w:val="00757836"/>
    <w:rsid w:val="00761A05"/>
    <w:rsid w:val="00764C58"/>
    <w:rsid w:val="00765AA3"/>
    <w:rsid w:val="00766454"/>
    <w:rsid w:val="007678B9"/>
    <w:rsid w:val="00771F9A"/>
    <w:rsid w:val="007729B9"/>
    <w:rsid w:val="00774F7C"/>
    <w:rsid w:val="007768AF"/>
    <w:rsid w:val="007773D2"/>
    <w:rsid w:val="00777B02"/>
    <w:rsid w:val="00777DBB"/>
    <w:rsid w:val="00777ECD"/>
    <w:rsid w:val="00781407"/>
    <w:rsid w:val="00784ED8"/>
    <w:rsid w:val="00786606"/>
    <w:rsid w:val="007935FA"/>
    <w:rsid w:val="0079452C"/>
    <w:rsid w:val="007950FB"/>
    <w:rsid w:val="0079526D"/>
    <w:rsid w:val="00796F6F"/>
    <w:rsid w:val="00797E6D"/>
    <w:rsid w:val="007A0D07"/>
    <w:rsid w:val="007A1194"/>
    <w:rsid w:val="007A1B8A"/>
    <w:rsid w:val="007A2161"/>
    <w:rsid w:val="007A23CF"/>
    <w:rsid w:val="007A319C"/>
    <w:rsid w:val="007A352F"/>
    <w:rsid w:val="007A3F94"/>
    <w:rsid w:val="007A3FEF"/>
    <w:rsid w:val="007A43BA"/>
    <w:rsid w:val="007A737A"/>
    <w:rsid w:val="007B031B"/>
    <w:rsid w:val="007B1567"/>
    <w:rsid w:val="007B19EB"/>
    <w:rsid w:val="007B225A"/>
    <w:rsid w:val="007B45AE"/>
    <w:rsid w:val="007B534E"/>
    <w:rsid w:val="007B5671"/>
    <w:rsid w:val="007B65C8"/>
    <w:rsid w:val="007B6784"/>
    <w:rsid w:val="007C1371"/>
    <w:rsid w:val="007C4A2B"/>
    <w:rsid w:val="007C68AD"/>
    <w:rsid w:val="007C6CDA"/>
    <w:rsid w:val="007C6EA5"/>
    <w:rsid w:val="007D0191"/>
    <w:rsid w:val="007D174D"/>
    <w:rsid w:val="007D1802"/>
    <w:rsid w:val="007D250B"/>
    <w:rsid w:val="007D27D2"/>
    <w:rsid w:val="007D3404"/>
    <w:rsid w:val="007D3AAD"/>
    <w:rsid w:val="007D3ABC"/>
    <w:rsid w:val="007D6C54"/>
    <w:rsid w:val="007D7A0F"/>
    <w:rsid w:val="007D7AF0"/>
    <w:rsid w:val="007E53E6"/>
    <w:rsid w:val="007E61E5"/>
    <w:rsid w:val="007E63D7"/>
    <w:rsid w:val="007E779B"/>
    <w:rsid w:val="007F09B3"/>
    <w:rsid w:val="007F203C"/>
    <w:rsid w:val="007F4207"/>
    <w:rsid w:val="007F5CF8"/>
    <w:rsid w:val="007F685E"/>
    <w:rsid w:val="007F6C76"/>
    <w:rsid w:val="007F6FD5"/>
    <w:rsid w:val="007F77F3"/>
    <w:rsid w:val="008002FE"/>
    <w:rsid w:val="0080182C"/>
    <w:rsid w:val="008037EA"/>
    <w:rsid w:val="00803B0D"/>
    <w:rsid w:val="00805083"/>
    <w:rsid w:val="00805A6A"/>
    <w:rsid w:val="00805C72"/>
    <w:rsid w:val="008073B7"/>
    <w:rsid w:val="00807C76"/>
    <w:rsid w:val="00807CD4"/>
    <w:rsid w:val="0081003E"/>
    <w:rsid w:val="008147FA"/>
    <w:rsid w:val="008218F6"/>
    <w:rsid w:val="0082192C"/>
    <w:rsid w:val="00821E9B"/>
    <w:rsid w:val="0082295C"/>
    <w:rsid w:val="008242DA"/>
    <w:rsid w:val="00825A99"/>
    <w:rsid w:val="00826B16"/>
    <w:rsid w:val="0083124F"/>
    <w:rsid w:val="00832D69"/>
    <w:rsid w:val="0083492E"/>
    <w:rsid w:val="0083586F"/>
    <w:rsid w:val="00840D00"/>
    <w:rsid w:val="00842594"/>
    <w:rsid w:val="00842F2D"/>
    <w:rsid w:val="008448FC"/>
    <w:rsid w:val="00847B48"/>
    <w:rsid w:val="00847FDB"/>
    <w:rsid w:val="008552F3"/>
    <w:rsid w:val="00855A1F"/>
    <w:rsid w:val="00857D2B"/>
    <w:rsid w:val="00860400"/>
    <w:rsid w:val="008605FB"/>
    <w:rsid w:val="00863062"/>
    <w:rsid w:val="00866832"/>
    <w:rsid w:val="0086761E"/>
    <w:rsid w:val="008678FF"/>
    <w:rsid w:val="00867A75"/>
    <w:rsid w:val="008715CB"/>
    <w:rsid w:val="00872AEB"/>
    <w:rsid w:val="00873226"/>
    <w:rsid w:val="00875DE0"/>
    <w:rsid w:val="008773E4"/>
    <w:rsid w:val="008800D0"/>
    <w:rsid w:val="008818B7"/>
    <w:rsid w:val="00882134"/>
    <w:rsid w:val="00883F6F"/>
    <w:rsid w:val="008841CB"/>
    <w:rsid w:val="0088493A"/>
    <w:rsid w:val="008852AF"/>
    <w:rsid w:val="008859BD"/>
    <w:rsid w:val="00886F10"/>
    <w:rsid w:val="00887066"/>
    <w:rsid w:val="00887097"/>
    <w:rsid w:val="00890073"/>
    <w:rsid w:val="00890F34"/>
    <w:rsid w:val="008935E2"/>
    <w:rsid w:val="008947F6"/>
    <w:rsid w:val="00896AE1"/>
    <w:rsid w:val="008A04BD"/>
    <w:rsid w:val="008A0C71"/>
    <w:rsid w:val="008A0E64"/>
    <w:rsid w:val="008A1E74"/>
    <w:rsid w:val="008A3B72"/>
    <w:rsid w:val="008A65F4"/>
    <w:rsid w:val="008A6BBE"/>
    <w:rsid w:val="008A7B55"/>
    <w:rsid w:val="008B03C0"/>
    <w:rsid w:val="008B28F4"/>
    <w:rsid w:val="008B36DE"/>
    <w:rsid w:val="008B4628"/>
    <w:rsid w:val="008B4B8A"/>
    <w:rsid w:val="008B5CE7"/>
    <w:rsid w:val="008B6D28"/>
    <w:rsid w:val="008B7B4C"/>
    <w:rsid w:val="008D129A"/>
    <w:rsid w:val="008D34F3"/>
    <w:rsid w:val="008D37CE"/>
    <w:rsid w:val="008E31AE"/>
    <w:rsid w:val="008E3544"/>
    <w:rsid w:val="008E4263"/>
    <w:rsid w:val="008E6D97"/>
    <w:rsid w:val="008E6EBF"/>
    <w:rsid w:val="008E78CC"/>
    <w:rsid w:val="008E7B56"/>
    <w:rsid w:val="008E7D7D"/>
    <w:rsid w:val="008F0E9F"/>
    <w:rsid w:val="008F0FA1"/>
    <w:rsid w:val="008F2BBE"/>
    <w:rsid w:val="008F3190"/>
    <w:rsid w:val="008F3D3D"/>
    <w:rsid w:val="008F74F3"/>
    <w:rsid w:val="00900CF7"/>
    <w:rsid w:val="00900EBA"/>
    <w:rsid w:val="00902438"/>
    <w:rsid w:val="009037C7"/>
    <w:rsid w:val="00904A36"/>
    <w:rsid w:val="00905238"/>
    <w:rsid w:val="00905725"/>
    <w:rsid w:val="00907410"/>
    <w:rsid w:val="009117C6"/>
    <w:rsid w:val="00911F8E"/>
    <w:rsid w:val="00912B5D"/>
    <w:rsid w:val="00914321"/>
    <w:rsid w:val="009148CE"/>
    <w:rsid w:val="009156D6"/>
    <w:rsid w:val="009158B7"/>
    <w:rsid w:val="0091635C"/>
    <w:rsid w:val="00920DC7"/>
    <w:rsid w:val="009217FA"/>
    <w:rsid w:val="00924231"/>
    <w:rsid w:val="00924852"/>
    <w:rsid w:val="00924BDC"/>
    <w:rsid w:val="00926ACF"/>
    <w:rsid w:val="00926EAD"/>
    <w:rsid w:val="0092779C"/>
    <w:rsid w:val="00934799"/>
    <w:rsid w:val="00934B23"/>
    <w:rsid w:val="00935064"/>
    <w:rsid w:val="00935C07"/>
    <w:rsid w:val="00937B73"/>
    <w:rsid w:val="00937F98"/>
    <w:rsid w:val="0094098B"/>
    <w:rsid w:val="009409BE"/>
    <w:rsid w:val="00940D1A"/>
    <w:rsid w:val="00942646"/>
    <w:rsid w:val="00944420"/>
    <w:rsid w:val="009448F3"/>
    <w:rsid w:val="00944F2A"/>
    <w:rsid w:val="00945090"/>
    <w:rsid w:val="00951348"/>
    <w:rsid w:val="00951A53"/>
    <w:rsid w:val="00953FEC"/>
    <w:rsid w:val="00954AAE"/>
    <w:rsid w:val="009557C2"/>
    <w:rsid w:val="00955FA5"/>
    <w:rsid w:val="009560FB"/>
    <w:rsid w:val="009568BB"/>
    <w:rsid w:val="0096011A"/>
    <w:rsid w:val="00964DC3"/>
    <w:rsid w:val="00964EE0"/>
    <w:rsid w:val="00965DE5"/>
    <w:rsid w:val="00966CC7"/>
    <w:rsid w:val="00973432"/>
    <w:rsid w:val="00973E85"/>
    <w:rsid w:val="00974F3F"/>
    <w:rsid w:val="00975B86"/>
    <w:rsid w:val="00981E73"/>
    <w:rsid w:val="00983E9A"/>
    <w:rsid w:val="0098493C"/>
    <w:rsid w:val="00985892"/>
    <w:rsid w:val="0098612E"/>
    <w:rsid w:val="00987932"/>
    <w:rsid w:val="00990ACC"/>
    <w:rsid w:val="009920F2"/>
    <w:rsid w:val="00992B58"/>
    <w:rsid w:val="009933FB"/>
    <w:rsid w:val="00995B59"/>
    <w:rsid w:val="00996F49"/>
    <w:rsid w:val="00997B0E"/>
    <w:rsid w:val="009A0952"/>
    <w:rsid w:val="009A1594"/>
    <w:rsid w:val="009A15C5"/>
    <w:rsid w:val="009A2ACB"/>
    <w:rsid w:val="009A33A0"/>
    <w:rsid w:val="009A4EFE"/>
    <w:rsid w:val="009A5466"/>
    <w:rsid w:val="009A7CA4"/>
    <w:rsid w:val="009B05DD"/>
    <w:rsid w:val="009B12D6"/>
    <w:rsid w:val="009B3DD0"/>
    <w:rsid w:val="009B4034"/>
    <w:rsid w:val="009B4A06"/>
    <w:rsid w:val="009B726F"/>
    <w:rsid w:val="009B7C97"/>
    <w:rsid w:val="009C0524"/>
    <w:rsid w:val="009C06CA"/>
    <w:rsid w:val="009C0FF9"/>
    <w:rsid w:val="009C1ED7"/>
    <w:rsid w:val="009C3DA6"/>
    <w:rsid w:val="009C4694"/>
    <w:rsid w:val="009C4CCC"/>
    <w:rsid w:val="009C60C3"/>
    <w:rsid w:val="009C7992"/>
    <w:rsid w:val="009D017B"/>
    <w:rsid w:val="009D0723"/>
    <w:rsid w:val="009D2407"/>
    <w:rsid w:val="009D486B"/>
    <w:rsid w:val="009D4D35"/>
    <w:rsid w:val="009D6449"/>
    <w:rsid w:val="009D70A3"/>
    <w:rsid w:val="009E1EC4"/>
    <w:rsid w:val="009E1F96"/>
    <w:rsid w:val="009E274B"/>
    <w:rsid w:val="009E3BAE"/>
    <w:rsid w:val="009E5953"/>
    <w:rsid w:val="009E59D8"/>
    <w:rsid w:val="009E7874"/>
    <w:rsid w:val="009E7EA9"/>
    <w:rsid w:val="009F0092"/>
    <w:rsid w:val="009F02C3"/>
    <w:rsid w:val="009F0934"/>
    <w:rsid w:val="009F132D"/>
    <w:rsid w:val="009F21FC"/>
    <w:rsid w:val="009F3586"/>
    <w:rsid w:val="009F5413"/>
    <w:rsid w:val="009F5F2F"/>
    <w:rsid w:val="009F5FA0"/>
    <w:rsid w:val="00A017F7"/>
    <w:rsid w:val="00A036E5"/>
    <w:rsid w:val="00A052F6"/>
    <w:rsid w:val="00A05318"/>
    <w:rsid w:val="00A109F3"/>
    <w:rsid w:val="00A11243"/>
    <w:rsid w:val="00A1201F"/>
    <w:rsid w:val="00A12658"/>
    <w:rsid w:val="00A16E82"/>
    <w:rsid w:val="00A2021B"/>
    <w:rsid w:val="00A21F00"/>
    <w:rsid w:val="00A24BF8"/>
    <w:rsid w:val="00A2506A"/>
    <w:rsid w:val="00A26660"/>
    <w:rsid w:val="00A26F14"/>
    <w:rsid w:val="00A272FC"/>
    <w:rsid w:val="00A27C5C"/>
    <w:rsid w:val="00A31B1D"/>
    <w:rsid w:val="00A31E05"/>
    <w:rsid w:val="00A34169"/>
    <w:rsid w:val="00A34C7E"/>
    <w:rsid w:val="00A37115"/>
    <w:rsid w:val="00A406ED"/>
    <w:rsid w:val="00A4087B"/>
    <w:rsid w:val="00A4174E"/>
    <w:rsid w:val="00A42081"/>
    <w:rsid w:val="00A42D5E"/>
    <w:rsid w:val="00A43CF3"/>
    <w:rsid w:val="00A46FED"/>
    <w:rsid w:val="00A47000"/>
    <w:rsid w:val="00A4716A"/>
    <w:rsid w:val="00A50675"/>
    <w:rsid w:val="00A52CAA"/>
    <w:rsid w:val="00A541F0"/>
    <w:rsid w:val="00A55FF0"/>
    <w:rsid w:val="00A57639"/>
    <w:rsid w:val="00A578D8"/>
    <w:rsid w:val="00A57A6D"/>
    <w:rsid w:val="00A57B85"/>
    <w:rsid w:val="00A609A9"/>
    <w:rsid w:val="00A610DA"/>
    <w:rsid w:val="00A6264F"/>
    <w:rsid w:val="00A6406B"/>
    <w:rsid w:val="00A6490A"/>
    <w:rsid w:val="00A6513A"/>
    <w:rsid w:val="00A654FF"/>
    <w:rsid w:val="00A739AC"/>
    <w:rsid w:val="00A73FD4"/>
    <w:rsid w:val="00A74516"/>
    <w:rsid w:val="00A74C27"/>
    <w:rsid w:val="00A75F49"/>
    <w:rsid w:val="00A76192"/>
    <w:rsid w:val="00A7756A"/>
    <w:rsid w:val="00A77FAF"/>
    <w:rsid w:val="00A800F9"/>
    <w:rsid w:val="00A80B03"/>
    <w:rsid w:val="00A810C0"/>
    <w:rsid w:val="00A81EE5"/>
    <w:rsid w:val="00A832F3"/>
    <w:rsid w:val="00A835CF"/>
    <w:rsid w:val="00A85097"/>
    <w:rsid w:val="00A85543"/>
    <w:rsid w:val="00A856DE"/>
    <w:rsid w:val="00A907EC"/>
    <w:rsid w:val="00A91FA9"/>
    <w:rsid w:val="00A92D3C"/>
    <w:rsid w:val="00A92E4A"/>
    <w:rsid w:val="00A94551"/>
    <w:rsid w:val="00A94C66"/>
    <w:rsid w:val="00A957DE"/>
    <w:rsid w:val="00AA2640"/>
    <w:rsid w:val="00AA2CA9"/>
    <w:rsid w:val="00AA3942"/>
    <w:rsid w:val="00AA3DBA"/>
    <w:rsid w:val="00AA6BE8"/>
    <w:rsid w:val="00AA71EF"/>
    <w:rsid w:val="00AB32BC"/>
    <w:rsid w:val="00AB473D"/>
    <w:rsid w:val="00AB4A63"/>
    <w:rsid w:val="00AB7F1F"/>
    <w:rsid w:val="00AC1260"/>
    <w:rsid w:val="00AC147D"/>
    <w:rsid w:val="00AC272E"/>
    <w:rsid w:val="00AC4D9B"/>
    <w:rsid w:val="00AC6533"/>
    <w:rsid w:val="00AD0306"/>
    <w:rsid w:val="00AD2D2B"/>
    <w:rsid w:val="00AD380E"/>
    <w:rsid w:val="00AD4559"/>
    <w:rsid w:val="00AD67F5"/>
    <w:rsid w:val="00AE04BB"/>
    <w:rsid w:val="00AE25F3"/>
    <w:rsid w:val="00AE2DC5"/>
    <w:rsid w:val="00AE3EBA"/>
    <w:rsid w:val="00AE60E5"/>
    <w:rsid w:val="00AE6650"/>
    <w:rsid w:val="00AE7058"/>
    <w:rsid w:val="00AF0EAF"/>
    <w:rsid w:val="00AF1FE7"/>
    <w:rsid w:val="00AF3373"/>
    <w:rsid w:val="00AF40D7"/>
    <w:rsid w:val="00AF64C0"/>
    <w:rsid w:val="00AF7579"/>
    <w:rsid w:val="00B008EF"/>
    <w:rsid w:val="00B01664"/>
    <w:rsid w:val="00B01733"/>
    <w:rsid w:val="00B01A7A"/>
    <w:rsid w:val="00B0423F"/>
    <w:rsid w:val="00B07010"/>
    <w:rsid w:val="00B11366"/>
    <w:rsid w:val="00B11530"/>
    <w:rsid w:val="00B12211"/>
    <w:rsid w:val="00B131C8"/>
    <w:rsid w:val="00B1382F"/>
    <w:rsid w:val="00B13950"/>
    <w:rsid w:val="00B14703"/>
    <w:rsid w:val="00B14766"/>
    <w:rsid w:val="00B14934"/>
    <w:rsid w:val="00B15E43"/>
    <w:rsid w:val="00B1614F"/>
    <w:rsid w:val="00B16F2E"/>
    <w:rsid w:val="00B17B12"/>
    <w:rsid w:val="00B20CE3"/>
    <w:rsid w:val="00B20F52"/>
    <w:rsid w:val="00B22F4D"/>
    <w:rsid w:val="00B235BE"/>
    <w:rsid w:val="00B25A7D"/>
    <w:rsid w:val="00B25CDB"/>
    <w:rsid w:val="00B25ED6"/>
    <w:rsid w:val="00B25FEB"/>
    <w:rsid w:val="00B278D0"/>
    <w:rsid w:val="00B30166"/>
    <w:rsid w:val="00B40181"/>
    <w:rsid w:val="00B41FF4"/>
    <w:rsid w:val="00B42113"/>
    <w:rsid w:val="00B43D57"/>
    <w:rsid w:val="00B442FE"/>
    <w:rsid w:val="00B444AF"/>
    <w:rsid w:val="00B458DA"/>
    <w:rsid w:val="00B46385"/>
    <w:rsid w:val="00B467A0"/>
    <w:rsid w:val="00B50D3E"/>
    <w:rsid w:val="00B52298"/>
    <w:rsid w:val="00B538DD"/>
    <w:rsid w:val="00B53945"/>
    <w:rsid w:val="00B53F00"/>
    <w:rsid w:val="00B54FBC"/>
    <w:rsid w:val="00B578ED"/>
    <w:rsid w:val="00B601C4"/>
    <w:rsid w:val="00B6072C"/>
    <w:rsid w:val="00B6386E"/>
    <w:rsid w:val="00B6518A"/>
    <w:rsid w:val="00B65C40"/>
    <w:rsid w:val="00B66622"/>
    <w:rsid w:val="00B66B20"/>
    <w:rsid w:val="00B7141F"/>
    <w:rsid w:val="00B722D1"/>
    <w:rsid w:val="00B72ECB"/>
    <w:rsid w:val="00B73EC1"/>
    <w:rsid w:val="00B73FC6"/>
    <w:rsid w:val="00B751FF"/>
    <w:rsid w:val="00B77A7C"/>
    <w:rsid w:val="00B77BD4"/>
    <w:rsid w:val="00B8048C"/>
    <w:rsid w:val="00B8157A"/>
    <w:rsid w:val="00B81A14"/>
    <w:rsid w:val="00B82E06"/>
    <w:rsid w:val="00B833D1"/>
    <w:rsid w:val="00B8348D"/>
    <w:rsid w:val="00B83AD3"/>
    <w:rsid w:val="00B853A2"/>
    <w:rsid w:val="00B85FBD"/>
    <w:rsid w:val="00B86EDC"/>
    <w:rsid w:val="00B919E8"/>
    <w:rsid w:val="00B91CEF"/>
    <w:rsid w:val="00B92A36"/>
    <w:rsid w:val="00B9315F"/>
    <w:rsid w:val="00B93C6E"/>
    <w:rsid w:val="00B94BF1"/>
    <w:rsid w:val="00B95C34"/>
    <w:rsid w:val="00B9617B"/>
    <w:rsid w:val="00BA0288"/>
    <w:rsid w:val="00BA0DAB"/>
    <w:rsid w:val="00BA2029"/>
    <w:rsid w:val="00BA2280"/>
    <w:rsid w:val="00BA25BF"/>
    <w:rsid w:val="00BA3CEA"/>
    <w:rsid w:val="00BA4B2A"/>
    <w:rsid w:val="00BA52BB"/>
    <w:rsid w:val="00BA612D"/>
    <w:rsid w:val="00BB0B1D"/>
    <w:rsid w:val="00BB1EBD"/>
    <w:rsid w:val="00BB2183"/>
    <w:rsid w:val="00BB3DC0"/>
    <w:rsid w:val="00BB5ACC"/>
    <w:rsid w:val="00BC0445"/>
    <w:rsid w:val="00BC0A9C"/>
    <w:rsid w:val="00BC0F2E"/>
    <w:rsid w:val="00BC2E36"/>
    <w:rsid w:val="00BC40FA"/>
    <w:rsid w:val="00BC71D0"/>
    <w:rsid w:val="00BD038C"/>
    <w:rsid w:val="00BD14AA"/>
    <w:rsid w:val="00BD18BB"/>
    <w:rsid w:val="00BD2DD4"/>
    <w:rsid w:val="00BD3893"/>
    <w:rsid w:val="00BD45A6"/>
    <w:rsid w:val="00BD5901"/>
    <w:rsid w:val="00BD60CC"/>
    <w:rsid w:val="00BE1D1E"/>
    <w:rsid w:val="00BE228A"/>
    <w:rsid w:val="00BE29B3"/>
    <w:rsid w:val="00BE41D3"/>
    <w:rsid w:val="00BE6014"/>
    <w:rsid w:val="00BE7076"/>
    <w:rsid w:val="00BF076F"/>
    <w:rsid w:val="00BF08F1"/>
    <w:rsid w:val="00BF0AD6"/>
    <w:rsid w:val="00BF184C"/>
    <w:rsid w:val="00BF268E"/>
    <w:rsid w:val="00BF44F2"/>
    <w:rsid w:val="00BF66CC"/>
    <w:rsid w:val="00BF7BDF"/>
    <w:rsid w:val="00BF7E2A"/>
    <w:rsid w:val="00C03A07"/>
    <w:rsid w:val="00C06305"/>
    <w:rsid w:val="00C070E0"/>
    <w:rsid w:val="00C1036B"/>
    <w:rsid w:val="00C118DF"/>
    <w:rsid w:val="00C11AFB"/>
    <w:rsid w:val="00C12807"/>
    <w:rsid w:val="00C12DCE"/>
    <w:rsid w:val="00C14CF2"/>
    <w:rsid w:val="00C14CF8"/>
    <w:rsid w:val="00C15DA4"/>
    <w:rsid w:val="00C1672E"/>
    <w:rsid w:val="00C16812"/>
    <w:rsid w:val="00C21179"/>
    <w:rsid w:val="00C21E42"/>
    <w:rsid w:val="00C2411C"/>
    <w:rsid w:val="00C27082"/>
    <w:rsid w:val="00C33D42"/>
    <w:rsid w:val="00C34235"/>
    <w:rsid w:val="00C36E74"/>
    <w:rsid w:val="00C37666"/>
    <w:rsid w:val="00C404DC"/>
    <w:rsid w:val="00C40EDA"/>
    <w:rsid w:val="00C430B2"/>
    <w:rsid w:val="00C47399"/>
    <w:rsid w:val="00C502DB"/>
    <w:rsid w:val="00C50B98"/>
    <w:rsid w:val="00C521D1"/>
    <w:rsid w:val="00C5226B"/>
    <w:rsid w:val="00C55924"/>
    <w:rsid w:val="00C562B7"/>
    <w:rsid w:val="00C56EE4"/>
    <w:rsid w:val="00C6013B"/>
    <w:rsid w:val="00C63068"/>
    <w:rsid w:val="00C64194"/>
    <w:rsid w:val="00C642C3"/>
    <w:rsid w:val="00C662BD"/>
    <w:rsid w:val="00C66E9D"/>
    <w:rsid w:val="00C701A7"/>
    <w:rsid w:val="00C70392"/>
    <w:rsid w:val="00C732BA"/>
    <w:rsid w:val="00C7339D"/>
    <w:rsid w:val="00C759E6"/>
    <w:rsid w:val="00C76168"/>
    <w:rsid w:val="00C7771E"/>
    <w:rsid w:val="00C807B7"/>
    <w:rsid w:val="00C80E8E"/>
    <w:rsid w:val="00C81201"/>
    <w:rsid w:val="00C819C6"/>
    <w:rsid w:val="00C82533"/>
    <w:rsid w:val="00C82E3D"/>
    <w:rsid w:val="00C85ABA"/>
    <w:rsid w:val="00C87148"/>
    <w:rsid w:val="00C87204"/>
    <w:rsid w:val="00C87A5F"/>
    <w:rsid w:val="00C912E1"/>
    <w:rsid w:val="00C91D12"/>
    <w:rsid w:val="00C91F66"/>
    <w:rsid w:val="00C93141"/>
    <w:rsid w:val="00CA1B83"/>
    <w:rsid w:val="00CA1F8B"/>
    <w:rsid w:val="00CA238E"/>
    <w:rsid w:val="00CA243E"/>
    <w:rsid w:val="00CA2FD8"/>
    <w:rsid w:val="00CA3198"/>
    <w:rsid w:val="00CA41DF"/>
    <w:rsid w:val="00CA5D0D"/>
    <w:rsid w:val="00CA635C"/>
    <w:rsid w:val="00CA78A5"/>
    <w:rsid w:val="00CA7E6C"/>
    <w:rsid w:val="00CB10E3"/>
    <w:rsid w:val="00CB1470"/>
    <w:rsid w:val="00CB34B5"/>
    <w:rsid w:val="00CB37D9"/>
    <w:rsid w:val="00CB38C3"/>
    <w:rsid w:val="00CB3F41"/>
    <w:rsid w:val="00CB4272"/>
    <w:rsid w:val="00CB4707"/>
    <w:rsid w:val="00CB4909"/>
    <w:rsid w:val="00CB7661"/>
    <w:rsid w:val="00CC1FA0"/>
    <w:rsid w:val="00CC34B2"/>
    <w:rsid w:val="00CC3824"/>
    <w:rsid w:val="00CC5777"/>
    <w:rsid w:val="00CC57DB"/>
    <w:rsid w:val="00CC677D"/>
    <w:rsid w:val="00CD1DAE"/>
    <w:rsid w:val="00CD1DDC"/>
    <w:rsid w:val="00CD217A"/>
    <w:rsid w:val="00CD2FF4"/>
    <w:rsid w:val="00CD4089"/>
    <w:rsid w:val="00CD4D7F"/>
    <w:rsid w:val="00CD5C68"/>
    <w:rsid w:val="00CD624B"/>
    <w:rsid w:val="00CE06AB"/>
    <w:rsid w:val="00CE0AF6"/>
    <w:rsid w:val="00CE1EB2"/>
    <w:rsid w:val="00CE3D94"/>
    <w:rsid w:val="00CE4053"/>
    <w:rsid w:val="00CE4A1B"/>
    <w:rsid w:val="00CE534B"/>
    <w:rsid w:val="00CE72B6"/>
    <w:rsid w:val="00CE7956"/>
    <w:rsid w:val="00CF02F4"/>
    <w:rsid w:val="00CF16C1"/>
    <w:rsid w:val="00CF3A0B"/>
    <w:rsid w:val="00CF7FD6"/>
    <w:rsid w:val="00D011F5"/>
    <w:rsid w:val="00D01FC0"/>
    <w:rsid w:val="00D02933"/>
    <w:rsid w:val="00D02DD7"/>
    <w:rsid w:val="00D03BB0"/>
    <w:rsid w:val="00D03DF7"/>
    <w:rsid w:val="00D042E7"/>
    <w:rsid w:val="00D0574E"/>
    <w:rsid w:val="00D07A6C"/>
    <w:rsid w:val="00D07B42"/>
    <w:rsid w:val="00D10B46"/>
    <w:rsid w:val="00D10DC7"/>
    <w:rsid w:val="00D11434"/>
    <w:rsid w:val="00D11C24"/>
    <w:rsid w:val="00D144BF"/>
    <w:rsid w:val="00D145DE"/>
    <w:rsid w:val="00D149D9"/>
    <w:rsid w:val="00D150B7"/>
    <w:rsid w:val="00D15DA5"/>
    <w:rsid w:val="00D1684F"/>
    <w:rsid w:val="00D171B9"/>
    <w:rsid w:val="00D17EEE"/>
    <w:rsid w:val="00D22589"/>
    <w:rsid w:val="00D2435C"/>
    <w:rsid w:val="00D3058D"/>
    <w:rsid w:val="00D3083D"/>
    <w:rsid w:val="00D30C16"/>
    <w:rsid w:val="00D330C6"/>
    <w:rsid w:val="00D338FD"/>
    <w:rsid w:val="00D349F4"/>
    <w:rsid w:val="00D35306"/>
    <w:rsid w:val="00D35DA1"/>
    <w:rsid w:val="00D36A0E"/>
    <w:rsid w:val="00D42FDE"/>
    <w:rsid w:val="00D43691"/>
    <w:rsid w:val="00D43927"/>
    <w:rsid w:val="00D4468F"/>
    <w:rsid w:val="00D46FDB"/>
    <w:rsid w:val="00D50BD6"/>
    <w:rsid w:val="00D52CFD"/>
    <w:rsid w:val="00D542F0"/>
    <w:rsid w:val="00D565EC"/>
    <w:rsid w:val="00D5796C"/>
    <w:rsid w:val="00D57A35"/>
    <w:rsid w:val="00D57E8E"/>
    <w:rsid w:val="00D63580"/>
    <w:rsid w:val="00D63A81"/>
    <w:rsid w:val="00D7187D"/>
    <w:rsid w:val="00D71A00"/>
    <w:rsid w:val="00D72DE6"/>
    <w:rsid w:val="00D73A7D"/>
    <w:rsid w:val="00D742C4"/>
    <w:rsid w:val="00D74F3A"/>
    <w:rsid w:val="00D752CF"/>
    <w:rsid w:val="00D75466"/>
    <w:rsid w:val="00D75A05"/>
    <w:rsid w:val="00D774EE"/>
    <w:rsid w:val="00D805EA"/>
    <w:rsid w:val="00D80650"/>
    <w:rsid w:val="00D809A0"/>
    <w:rsid w:val="00D80C31"/>
    <w:rsid w:val="00D81C39"/>
    <w:rsid w:val="00D83EBC"/>
    <w:rsid w:val="00D85CBD"/>
    <w:rsid w:val="00D91F14"/>
    <w:rsid w:val="00D932F0"/>
    <w:rsid w:val="00D95528"/>
    <w:rsid w:val="00D95E4D"/>
    <w:rsid w:val="00DA0A5F"/>
    <w:rsid w:val="00DA1187"/>
    <w:rsid w:val="00DA1E83"/>
    <w:rsid w:val="00DA235C"/>
    <w:rsid w:val="00DA2B1E"/>
    <w:rsid w:val="00DA394C"/>
    <w:rsid w:val="00DA398A"/>
    <w:rsid w:val="00DB0BFB"/>
    <w:rsid w:val="00DB2E07"/>
    <w:rsid w:val="00DB3D5F"/>
    <w:rsid w:val="00DB40ED"/>
    <w:rsid w:val="00DB412C"/>
    <w:rsid w:val="00DB43C0"/>
    <w:rsid w:val="00DB5E33"/>
    <w:rsid w:val="00DB65A4"/>
    <w:rsid w:val="00DC195F"/>
    <w:rsid w:val="00DC1F32"/>
    <w:rsid w:val="00DC48AB"/>
    <w:rsid w:val="00DC6903"/>
    <w:rsid w:val="00DC79D1"/>
    <w:rsid w:val="00DD06AB"/>
    <w:rsid w:val="00DD2752"/>
    <w:rsid w:val="00DD3CF8"/>
    <w:rsid w:val="00DD4953"/>
    <w:rsid w:val="00DD4C72"/>
    <w:rsid w:val="00DD54FF"/>
    <w:rsid w:val="00DD55B3"/>
    <w:rsid w:val="00DD62EF"/>
    <w:rsid w:val="00DE0D75"/>
    <w:rsid w:val="00DE4C63"/>
    <w:rsid w:val="00DE4E27"/>
    <w:rsid w:val="00DE5314"/>
    <w:rsid w:val="00DE60F0"/>
    <w:rsid w:val="00DE7AAF"/>
    <w:rsid w:val="00DF20CE"/>
    <w:rsid w:val="00DF24D5"/>
    <w:rsid w:val="00DF29B5"/>
    <w:rsid w:val="00DF3393"/>
    <w:rsid w:val="00DF3AC2"/>
    <w:rsid w:val="00E01B8C"/>
    <w:rsid w:val="00E03283"/>
    <w:rsid w:val="00E0359A"/>
    <w:rsid w:val="00E06B4A"/>
    <w:rsid w:val="00E06C8D"/>
    <w:rsid w:val="00E0790F"/>
    <w:rsid w:val="00E1002C"/>
    <w:rsid w:val="00E10650"/>
    <w:rsid w:val="00E1320A"/>
    <w:rsid w:val="00E14A51"/>
    <w:rsid w:val="00E1703D"/>
    <w:rsid w:val="00E21A39"/>
    <w:rsid w:val="00E21D0A"/>
    <w:rsid w:val="00E21F76"/>
    <w:rsid w:val="00E22EA0"/>
    <w:rsid w:val="00E232DC"/>
    <w:rsid w:val="00E2401D"/>
    <w:rsid w:val="00E2406F"/>
    <w:rsid w:val="00E250E9"/>
    <w:rsid w:val="00E26B71"/>
    <w:rsid w:val="00E2718D"/>
    <w:rsid w:val="00E27E05"/>
    <w:rsid w:val="00E27E6F"/>
    <w:rsid w:val="00E31761"/>
    <w:rsid w:val="00E332F7"/>
    <w:rsid w:val="00E33B22"/>
    <w:rsid w:val="00E35501"/>
    <w:rsid w:val="00E416A1"/>
    <w:rsid w:val="00E41CB1"/>
    <w:rsid w:val="00E42BC7"/>
    <w:rsid w:val="00E447D7"/>
    <w:rsid w:val="00E45E52"/>
    <w:rsid w:val="00E46801"/>
    <w:rsid w:val="00E47C8F"/>
    <w:rsid w:val="00E53AD9"/>
    <w:rsid w:val="00E5781F"/>
    <w:rsid w:val="00E57ABF"/>
    <w:rsid w:val="00E57B06"/>
    <w:rsid w:val="00E6160F"/>
    <w:rsid w:val="00E62878"/>
    <w:rsid w:val="00E645FF"/>
    <w:rsid w:val="00E70121"/>
    <w:rsid w:val="00E70C8D"/>
    <w:rsid w:val="00E71A86"/>
    <w:rsid w:val="00E71E6D"/>
    <w:rsid w:val="00E73564"/>
    <w:rsid w:val="00E735DA"/>
    <w:rsid w:val="00E74BB0"/>
    <w:rsid w:val="00E82031"/>
    <w:rsid w:val="00E831C7"/>
    <w:rsid w:val="00E832EB"/>
    <w:rsid w:val="00E83304"/>
    <w:rsid w:val="00E86E5A"/>
    <w:rsid w:val="00E87B0D"/>
    <w:rsid w:val="00E901F7"/>
    <w:rsid w:val="00E91280"/>
    <w:rsid w:val="00E94AB7"/>
    <w:rsid w:val="00E95823"/>
    <w:rsid w:val="00E963F2"/>
    <w:rsid w:val="00E96B62"/>
    <w:rsid w:val="00E97144"/>
    <w:rsid w:val="00E972A7"/>
    <w:rsid w:val="00EA2763"/>
    <w:rsid w:val="00EA5614"/>
    <w:rsid w:val="00EA5859"/>
    <w:rsid w:val="00EA598C"/>
    <w:rsid w:val="00EA5A38"/>
    <w:rsid w:val="00EA7772"/>
    <w:rsid w:val="00EB1ACF"/>
    <w:rsid w:val="00EB54E4"/>
    <w:rsid w:val="00EB5533"/>
    <w:rsid w:val="00EB6E88"/>
    <w:rsid w:val="00EB7385"/>
    <w:rsid w:val="00EC2A26"/>
    <w:rsid w:val="00EC3A39"/>
    <w:rsid w:val="00EC3B1D"/>
    <w:rsid w:val="00ED1400"/>
    <w:rsid w:val="00ED1FE5"/>
    <w:rsid w:val="00ED2A8B"/>
    <w:rsid w:val="00ED32DF"/>
    <w:rsid w:val="00ED42AD"/>
    <w:rsid w:val="00ED47E1"/>
    <w:rsid w:val="00ED4E1D"/>
    <w:rsid w:val="00ED791F"/>
    <w:rsid w:val="00EE2DEB"/>
    <w:rsid w:val="00EE3011"/>
    <w:rsid w:val="00EE3F54"/>
    <w:rsid w:val="00EE470D"/>
    <w:rsid w:val="00EE57F7"/>
    <w:rsid w:val="00EE6B95"/>
    <w:rsid w:val="00EE6BEE"/>
    <w:rsid w:val="00EE6E0B"/>
    <w:rsid w:val="00EF17E0"/>
    <w:rsid w:val="00EF1EF0"/>
    <w:rsid w:val="00EF33D5"/>
    <w:rsid w:val="00EF5081"/>
    <w:rsid w:val="00EF5685"/>
    <w:rsid w:val="00EF6A8C"/>
    <w:rsid w:val="00F009A7"/>
    <w:rsid w:val="00F00FF2"/>
    <w:rsid w:val="00F03F79"/>
    <w:rsid w:val="00F05856"/>
    <w:rsid w:val="00F05A02"/>
    <w:rsid w:val="00F06031"/>
    <w:rsid w:val="00F07C75"/>
    <w:rsid w:val="00F10093"/>
    <w:rsid w:val="00F10733"/>
    <w:rsid w:val="00F10BFD"/>
    <w:rsid w:val="00F119F4"/>
    <w:rsid w:val="00F13151"/>
    <w:rsid w:val="00F14C25"/>
    <w:rsid w:val="00F159FF"/>
    <w:rsid w:val="00F16421"/>
    <w:rsid w:val="00F16FBB"/>
    <w:rsid w:val="00F20A11"/>
    <w:rsid w:val="00F21273"/>
    <w:rsid w:val="00F21517"/>
    <w:rsid w:val="00F22D75"/>
    <w:rsid w:val="00F268FB"/>
    <w:rsid w:val="00F26D88"/>
    <w:rsid w:val="00F26E5E"/>
    <w:rsid w:val="00F275F1"/>
    <w:rsid w:val="00F27740"/>
    <w:rsid w:val="00F30DDB"/>
    <w:rsid w:val="00F30E47"/>
    <w:rsid w:val="00F31682"/>
    <w:rsid w:val="00F33206"/>
    <w:rsid w:val="00F33402"/>
    <w:rsid w:val="00F3582A"/>
    <w:rsid w:val="00F368AC"/>
    <w:rsid w:val="00F40218"/>
    <w:rsid w:val="00F44B06"/>
    <w:rsid w:val="00F477CA"/>
    <w:rsid w:val="00F479FD"/>
    <w:rsid w:val="00F500C2"/>
    <w:rsid w:val="00F51068"/>
    <w:rsid w:val="00F5168B"/>
    <w:rsid w:val="00F51868"/>
    <w:rsid w:val="00F52AB0"/>
    <w:rsid w:val="00F53F95"/>
    <w:rsid w:val="00F552C5"/>
    <w:rsid w:val="00F55846"/>
    <w:rsid w:val="00F636C0"/>
    <w:rsid w:val="00F65829"/>
    <w:rsid w:val="00F65B04"/>
    <w:rsid w:val="00F65DEF"/>
    <w:rsid w:val="00F67EEB"/>
    <w:rsid w:val="00F722A2"/>
    <w:rsid w:val="00F72FDE"/>
    <w:rsid w:val="00F73497"/>
    <w:rsid w:val="00F744ED"/>
    <w:rsid w:val="00F745E5"/>
    <w:rsid w:val="00F74B82"/>
    <w:rsid w:val="00F74BA6"/>
    <w:rsid w:val="00F750B5"/>
    <w:rsid w:val="00F75855"/>
    <w:rsid w:val="00F7666B"/>
    <w:rsid w:val="00F76E06"/>
    <w:rsid w:val="00F82C37"/>
    <w:rsid w:val="00F83EAA"/>
    <w:rsid w:val="00F84343"/>
    <w:rsid w:val="00F85E8E"/>
    <w:rsid w:val="00F90C2E"/>
    <w:rsid w:val="00F910C7"/>
    <w:rsid w:val="00F913F4"/>
    <w:rsid w:val="00F929FC"/>
    <w:rsid w:val="00F94464"/>
    <w:rsid w:val="00F94667"/>
    <w:rsid w:val="00F951A2"/>
    <w:rsid w:val="00F95D78"/>
    <w:rsid w:val="00F966F3"/>
    <w:rsid w:val="00F974A0"/>
    <w:rsid w:val="00F97911"/>
    <w:rsid w:val="00FA3A7D"/>
    <w:rsid w:val="00FB1A8E"/>
    <w:rsid w:val="00FB226A"/>
    <w:rsid w:val="00FB629F"/>
    <w:rsid w:val="00FB6394"/>
    <w:rsid w:val="00FB6DB3"/>
    <w:rsid w:val="00FB6FF1"/>
    <w:rsid w:val="00FB7609"/>
    <w:rsid w:val="00FB7705"/>
    <w:rsid w:val="00FC019B"/>
    <w:rsid w:val="00FC0396"/>
    <w:rsid w:val="00FC37BC"/>
    <w:rsid w:val="00FC37DA"/>
    <w:rsid w:val="00FC45DA"/>
    <w:rsid w:val="00FC67A5"/>
    <w:rsid w:val="00FC7DCE"/>
    <w:rsid w:val="00FC7E2B"/>
    <w:rsid w:val="00FD2FAE"/>
    <w:rsid w:val="00FD384D"/>
    <w:rsid w:val="00FD3A76"/>
    <w:rsid w:val="00FD5AB7"/>
    <w:rsid w:val="00FD787C"/>
    <w:rsid w:val="00FD7F3E"/>
    <w:rsid w:val="00FD7F50"/>
    <w:rsid w:val="00FE0423"/>
    <w:rsid w:val="00FE0A4C"/>
    <w:rsid w:val="00FE1261"/>
    <w:rsid w:val="00FE48E4"/>
    <w:rsid w:val="00FE60A7"/>
    <w:rsid w:val="00FF0138"/>
    <w:rsid w:val="00FF0215"/>
    <w:rsid w:val="00FF0F3D"/>
    <w:rsid w:val="00FF13EF"/>
    <w:rsid w:val="00FF3949"/>
    <w:rsid w:val="00FF3C5D"/>
    <w:rsid w:val="00FF4B7E"/>
    <w:rsid w:val="00FF5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7"/>
    <o:shapelayout v:ext="edit">
      <o:idmap v:ext="edit" data="1"/>
    </o:shapelayout>
  </w:shapeDefaults>
  <w:decimalSymbol w:val="."/>
  <w:listSeparator w:val=","/>
  <w14:docId w14:val="7FC7B4C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1400"/>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610A15"/>
    <w:pPr>
      <w:keepNext/>
      <w:keepLines/>
      <w:numPr>
        <w:numId w:val="50"/>
      </w:numPr>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610A15"/>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610A15"/>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A15"/>
    <w:rPr>
      <w:rFonts w:asciiTheme="majorHAnsi" w:eastAsiaTheme="majorEastAsia" w:hAnsiTheme="majorHAnsi" w:cstheme="majorBidi"/>
      <w:b/>
      <w:bCs/>
      <w:color w:val="2E74B5" w:themeColor="accent1" w:themeShade="BF"/>
      <w:sz w:val="28"/>
      <w:szCs w:val="28"/>
      <w:bdr w:val="nil"/>
    </w:rPr>
  </w:style>
  <w:style w:type="character" w:customStyle="1" w:styleId="Heading2Char">
    <w:name w:val="Heading 2 Char"/>
    <w:basedOn w:val="DefaultParagraphFont"/>
    <w:link w:val="Heading2"/>
    <w:rsid w:val="00610A15"/>
    <w:rPr>
      <w:rFonts w:ascii="Arial" w:eastAsia="Times New Roman" w:hAnsi="Arial" w:cs="Arial"/>
      <w:b/>
      <w:bCs/>
      <w:i/>
      <w:iCs/>
      <w:sz w:val="28"/>
      <w:szCs w:val="28"/>
    </w:rPr>
  </w:style>
  <w:style w:type="character" w:customStyle="1" w:styleId="Heading3Char">
    <w:name w:val="Heading 3 Char"/>
    <w:basedOn w:val="DefaultParagraphFont"/>
    <w:link w:val="Heading3"/>
    <w:rsid w:val="00610A15"/>
    <w:rPr>
      <w:rFonts w:ascii="Arial" w:eastAsia="Times New Roman" w:hAnsi="Arial" w:cs="Arial"/>
      <w:b/>
      <w:bCs/>
      <w:sz w:val="26"/>
      <w:szCs w:val="26"/>
    </w:rPr>
  </w:style>
  <w:style w:type="character" w:styleId="Hyperlink">
    <w:name w:val="Hyperlink"/>
    <w:uiPriority w:val="99"/>
    <w:rsid w:val="00610A15"/>
    <w:rPr>
      <w:u w:val="single"/>
    </w:rPr>
  </w:style>
  <w:style w:type="paragraph" w:customStyle="1" w:styleId="Cabeceraypie">
    <w:name w:val="Cabecera y pie"/>
    <w:rsid w:val="00610A15"/>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s-ES" w:eastAsia="es-ES"/>
    </w:rPr>
  </w:style>
  <w:style w:type="paragraph" w:styleId="Footer">
    <w:name w:val="footer"/>
    <w:link w:val="FooterChar"/>
    <w:uiPriority w:val="99"/>
    <w:rsid w:val="00610A15"/>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eastAsia="es-ES"/>
    </w:rPr>
  </w:style>
  <w:style w:type="character" w:customStyle="1" w:styleId="FooterChar">
    <w:name w:val="Footer Char"/>
    <w:basedOn w:val="DefaultParagraphFont"/>
    <w:link w:val="Footer"/>
    <w:uiPriority w:val="99"/>
    <w:rsid w:val="00610A15"/>
    <w:rPr>
      <w:rFonts w:ascii="Cambria" w:eastAsia="Cambria" w:hAnsi="Cambria" w:cs="Cambria"/>
      <w:color w:val="000000"/>
      <w:u w:color="000000"/>
      <w:bdr w:val="nil"/>
      <w:lang w:eastAsia="es-ES"/>
    </w:rPr>
  </w:style>
  <w:style w:type="paragraph" w:customStyle="1" w:styleId="Cuerpo">
    <w:name w:val="Cuerpo"/>
    <w:rsid w:val="00610A15"/>
    <w:pPr>
      <w:pBdr>
        <w:top w:val="nil"/>
        <w:left w:val="nil"/>
        <w:bottom w:val="nil"/>
        <w:right w:val="nil"/>
        <w:between w:val="nil"/>
        <w:bar w:val="nil"/>
      </w:pBdr>
    </w:pPr>
    <w:rPr>
      <w:rFonts w:ascii="Cambria" w:eastAsia="Cambria" w:hAnsi="Cambria" w:cs="Cambria"/>
      <w:color w:val="000000"/>
      <w:u w:color="000000"/>
      <w:bdr w:val="nil"/>
      <w:lang w:val="es-ES" w:eastAsia="es-ES"/>
    </w:rPr>
  </w:style>
  <w:style w:type="paragraph" w:styleId="BodyTextIndent">
    <w:name w:val="Body Text Indent"/>
    <w:link w:val="BodyTextIndentChar"/>
    <w:rsid w:val="00610A15"/>
    <w:pPr>
      <w:pBdr>
        <w:top w:val="nil"/>
        <w:left w:val="nil"/>
        <w:bottom w:val="nil"/>
        <w:right w:val="nil"/>
        <w:between w:val="nil"/>
        <w:bar w:val="nil"/>
      </w:pBdr>
      <w:ind w:left="2160" w:hanging="720"/>
    </w:pPr>
    <w:rPr>
      <w:rFonts w:ascii="Times New Roman" w:eastAsia="Times New Roman" w:hAnsi="Times New Roman" w:cs="Times New Roman"/>
      <w:color w:val="000000"/>
      <w:u w:color="000000"/>
      <w:bdr w:val="nil"/>
      <w:lang w:val="es-ES_tradnl" w:eastAsia="es-ES"/>
    </w:rPr>
  </w:style>
  <w:style w:type="character" w:customStyle="1" w:styleId="BodyTextIndentChar">
    <w:name w:val="Body Text Indent Char"/>
    <w:basedOn w:val="DefaultParagraphFont"/>
    <w:link w:val="BodyTextIndent"/>
    <w:rsid w:val="00610A15"/>
    <w:rPr>
      <w:rFonts w:ascii="Times New Roman" w:eastAsia="Times New Roman" w:hAnsi="Times New Roman" w:cs="Times New Roman"/>
      <w:color w:val="000000"/>
      <w:u w:color="000000"/>
      <w:bdr w:val="nil"/>
      <w:lang w:val="es-ES_tradnl" w:eastAsia="es-ES"/>
    </w:rPr>
  </w:style>
  <w:style w:type="paragraph" w:styleId="ListParagraph">
    <w:name w:val="List Paragraph"/>
    <w:aliases w:val="Párrafo de lista1,List Paragraph1,List Paragraph11,List Paragraph2,Lista vistosa - Énfasis 11"/>
    <w:link w:val="ListParagraphChar"/>
    <w:uiPriority w:val="34"/>
    <w:qFormat/>
    <w:rsid w:val="00610A15"/>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numbering" w:customStyle="1" w:styleId="List0">
    <w:name w:val="List 0"/>
    <w:basedOn w:val="Estiloimportado1"/>
    <w:rsid w:val="00610A15"/>
    <w:pPr>
      <w:numPr>
        <w:numId w:val="31"/>
      </w:numPr>
    </w:pPr>
  </w:style>
  <w:style w:type="numbering" w:customStyle="1" w:styleId="Estiloimportado1">
    <w:name w:val="Estilo importado 1"/>
    <w:rsid w:val="00610A15"/>
  </w:style>
  <w:style w:type="numbering" w:customStyle="1" w:styleId="List1">
    <w:name w:val="List 1"/>
    <w:basedOn w:val="Estiloimportado2"/>
    <w:rsid w:val="00610A15"/>
    <w:pPr>
      <w:numPr>
        <w:numId w:val="1"/>
      </w:numPr>
    </w:pPr>
  </w:style>
  <w:style w:type="numbering" w:customStyle="1" w:styleId="Estiloimportado2">
    <w:name w:val="Estilo importado 2"/>
    <w:rsid w:val="00610A15"/>
  </w:style>
  <w:style w:type="numbering" w:customStyle="1" w:styleId="List21">
    <w:name w:val="List 21"/>
    <w:basedOn w:val="Estiloimportado3"/>
    <w:rsid w:val="00610A15"/>
    <w:pPr>
      <w:numPr>
        <w:numId w:val="38"/>
      </w:numPr>
    </w:pPr>
  </w:style>
  <w:style w:type="numbering" w:customStyle="1" w:styleId="Estiloimportado3">
    <w:name w:val="Estilo importado 3"/>
    <w:rsid w:val="00610A15"/>
  </w:style>
  <w:style w:type="numbering" w:customStyle="1" w:styleId="List31">
    <w:name w:val="List 31"/>
    <w:basedOn w:val="Estiloimportado4"/>
    <w:rsid w:val="00610A15"/>
    <w:pPr>
      <w:numPr>
        <w:numId w:val="44"/>
      </w:numPr>
    </w:pPr>
  </w:style>
  <w:style w:type="numbering" w:customStyle="1" w:styleId="Estiloimportado4">
    <w:name w:val="Estilo importado 4"/>
    <w:rsid w:val="00610A15"/>
  </w:style>
  <w:style w:type="numbering" w:customStyle="1" w:styleId="List41">
    <w:name w:val="List 41"/>
    <w:basedOn w:val="Estiloimportado5"/>
    <w:rsid w:val="00610A15"/>
    <w:pPr>
      <w:numPr>
        <w:numId w:val="2"/>
      </w:numPr>
    </w:pPr>
  </w:style>
  <w:style w:type="numbering" w:customStyle="1" w:styleId="Estiloimportado5">
    <w:name w:val="Estilo importado 5"/>
    <w:rsid w:val="00610A15"/>
  </w:style>
  <w:style w:type="numbering" w:customStyle="1" w:styleId="List51">
    <w:name w:val="List 51"/>
    <w:basedOn w:val="Estiloimportado6"/>
    <w:rsid w:val="00610A15"/>
    <w:pPr>
      <w:numPr>
        <w:numId w:val="33"/>
      </w:numPr>
    </w:pPr>
  </w:style>
  <w:style w:type="numbering" w:customStyle="1" w:styleId="Estiloimportado6">
    <w:name w:val="Estilo importado 6"/>
    <w:rsid w:val="00610A15"/>
  </w:style>
  <w:style w:type="numbering" w:customStyle="1" w:styleId="List6">
    <w:name w:val="List 6"/>
    <w:basedOn w:val="Estiloimportado7"/>
    <w:rsid w:val="00610A15"/>
    <w:pPr>
      <w:numPr>
        <w:numId w:val="3"/>
      </w:numPr>
    </w:pPr>
  </w:style>
  <w:style w:type="numbering" w:customStyle="1" w:styleId="Estiloimportado7">
    <w:name w:val="Estilo importado 7"/>
    <w:rsid w:val="00610A15"/>
  </w:style>
  <w:style w:type="numbering" w:customStyle="1" w:styleId="List7">
    <w:name w:val="List 7"/>
    <w:basedOn w:val="Estiloimportado8"/>
    <w:rsid w:val="00610A15"/>
    <w:pPr>
      <w:numPr>
        <w:numId w:val="4"/>
      </w:numPr>
    </w:pPr>
  </w:style>
  <w:style w:type="numbering" w:customStyle="1" w:styleId="Estiloimportado8">
    <w:name w:val="Estilo importado 8"/>
    <w:rsid w:val="00610A15"/>
  </w:style>
  <w:style w:type="numbering" w:customStyle="1" w:styleId="List8">
    <w:name w:val="List 8"/>
    <w:basedOn w:val="Estiloimportado9"/>
    <w:rsid w:val="00610A15"/>
    <w:pPr>
      <w:numPr>
        <w:numId w:val="5"/>
      </w:numPr>
    </w:pPr>
  </w:style>
  <w:style w:type="numbering" w:customStyle="1" w:styleId="Estiloimportado9">
    <w:name w:val="Estilo importado 9"/>
    <w:rsid w:val="00610A15"/>
  </w:style>
  <w:style w:type="numbering" w:customStyle="1" w:styleId="List9">
    <w:name w:val="List 9"/>
    <w:basedOn w:val="Estiloimportado10"/>
    <w:rsid w:val="00610A15"/>
    <w:pPr>
      <w:numPr>
        <w:numId w:val="22"/>
      </w:numPr>
    </w:pPr>
  </w:style>
  <w:style w:type="numbering" w:customStyle="1" w:styleId="Estiloimportado10">
    <w:name w:val="Estilo importado 10"/>
    <w:rsid w:val="00610A15"/>
  </w:style>
  <w:style w:type="numbering" w:customStyle="1" w:styleId="List10">
    <w:name w:val="List 10"/>
    <w:basedOn w:val="Estiloimportado11"/>
    <w:rsid w:val="00610A15"/>
    <w:pPr>
      <w:numPr>
        <w:numId w:val="6"/>
      </w:numPr>
    </w:pPr>
  </w:style>
  <w:style w:type="numbering" w:customStyle="1" w:styleId="Estiloimportado11">
    <w:name w:val="Estilo importado 11"/>
    <w:rsid w:val="00610A15"/>
  </w:style>
  <w:style w:type="numbering" w:customStyle="1" w:styleId="List11">
    <w:name w:val="List 11"/>
    <w:basedOn w:val="Estiloimportado12"/>
    <w:rsid w:val="00610A15"/>
    <w:pPr>
      <w:numPr>
        <w:numId w:val="7"/>
      </w:numPr>
    </w:pPr>
  </w:style>
  <w:style w:type="numbering" w:customStyle="1" w:styleId="Estiloimportado12">
    <w:name w:val="Estilo importado 12"/>
    <w:rsid w:val="00610A15"/>
  </w:style>
  <w:style w:type="numbering" w:customStyle="1" w:styleId="List12">
    <w:name w:val="List 12"/>
    <w:basedOn w:val="Estiloimportado13"/>
    <w:rsid w:val="00610A15"/>
    <w:pPr>
      <w:numPr>
        <w:numId w:val="36"/>
      </w:numPr>
    </w:pPr>
  </w:style>
  <w:style w:type="numbering" w:customStyle="1" w:styleId="Estiloimportado13">
    <w:name w:val="Estilo importado 13"/>
    <w:rsid w:val="00610A15"/>
  </w:style>
  <w:style w:type="numbering" w:customStyle="1" w:styleId="List13">
    <w:name w:val="List 13"/>
    <w:basedOn w:val="Estiloimportado14"/>
    <w:rsid w:val="00610A15"/>
    <w:pPr>
      <w:numPr>
        <w:numId w:val="42"/>
      </w:numPr>
    </w:pPr>
  </w:style>
  <w:style w:type="numbering" w:customStyle="1" w:styleId="Estiloimportado14">
    <w:name w:val="Estilo importado 14"/>
    <w:rsid w:val="00610A15"/>
  </w:style>
  <w:style w:type="numbering" w:customStyle="1" w:styleId="List14">
    <w:name w:val="List 14"/>
    <w:basedOn w:val="Estiloimportado15"/>
    <w:rsid w:val="00610A15"/>
    <w:pPr>
      <w:numPr>
        <w:numId w:val="17"/>
      </w:numPr>
    </w:pPr>
  </w:style>
  <w:style w:type="numbering" w:customStyle="1" w:styleId="Estiloimportado15">
    <w:name w:val="Estilo importado 15"/>
    <w:rsid w:val="00610A15"/>
  </w:style>
  <w:style w:type="numbering" w:customStyle="1" w:styleId="List15">
    <w:name w:val="List 15"/>
    <w:basedOn w:val="Estiloimportado16"/>
    <w:rsid w:val="00610A15"/>
    <w:pPr>
      <w:numPr>
        <w:numId w:val="16"/>
      </w:numPr>
    </w:pPr>
  </w:style>
  <w:style w:type="numbering" w:customStyle="1" w:styleId="Estiloimportado16">
    <w:name w:val="Estilo importado 16"/>
    <w:rsid w:val="00610A15"/>
  </w:style>
  <w:style w:type="numbering" w:customStyle="1" w:styleId="List16">
    <w:name w:val="List 16"/>
    <w:basedOn w:val="Estiloimportado16"/>
    <w:rsid w:val="00610A15"/>
    <w:pPr>
      <w:numPr>
        <w:numId w:val="10"/>
      </w:numPr>
    </w:pPr>
  </w:style>
  <w:style w:type="numbering" w:customStyle="1" w:styleId="List17">
    <w:name w:val="List 17"/>
    <w:basedOn w:val="Estiloimportado17"/>
    <w:rsid w:val="00610A15"/>
    <w:pPr>
      <w:numPr>
        <w:numId w:val="25"/>
      </w:numPr>
    </w:pPr>
  </w:style>
  <w:style w:type="numbering" w:customStyle="1" w:styleId="Estiloimportado17">
    <w:name w:val="Estilo importado 17"/>
    <w:rsid w:val="00610A15"/>
  </w:style>
  <w:style w:type="numbering" w:customStyle="1" w:styleId="List18">
    <w:name w:val="List 18"/>
    <w:basedOn w:val="Estiloimportado18"/>
    <w:rsid w:val="00610A15"/>
    <w:pPr>
      <w:numPr>
        <w:numId w:val="27"/>
      </w:numPr>
    </w:pPr>
  </w:style>
  <w:style w:type="numbering" w:customStyle="1" w:styleId="Estiloimportado18">
    <w:name w:val="Estilo importado 18"/>
    <w:rsid w:val="00610A15"/>
  </w:style>
  <w:style w:type="numbering" w:customStyle="1" w:styleId="List19">
    <w:name w:val="List 19"/>
    <w:basedOn w:val="Estiloimportado10"/>
    <w:rsid w:val="00610A15"/>
    <w:pPr>
      <w:numPr>
        <w:numId w:val="19"/>
      </w:numPr>
    </w:pPr>
  </w:style>
  <w:style w:type="numbering" w:customStyle="1" w:styleId="List20">
    <w:name w:val="List 20"/>
    <w:basedOn w:val="Estiloimportado12"/>
    <w:rsid w:val="00610A15"/>
    <w:pPr>
      <w:numPr>
        <w:numId w:val="43"/>
      </w:numPr>
    </w:pPr>
  </w:style>
  <w:style w:type="numbering" w:customStyle="1" w:styleId="Estiloimportado19">
    <w:name w:val="Estilo importado 19"/>
    <w:rsid w:val="00610A15"/>
  </w:style>
  <w:style w:type="numbering" w:customStyle="1" w:styleId="List22">
    <w:name w:val="List 22"/>
    <w:basedOn w:val="Estiloimportado19"/>
    <w:rsid w:val="00610A15"/>
    <w:pPr>
      <w:numPr>
        <w:numId w:val="28"/>
      </w:numPr>
    </w:pPr>
  </w:style>
  <w:style w:type="numbering" w:customStyle="1" w:styleId="List23">
    <w:name w:val="List 23"/>
    <w:basedOn w:val="Estiloimportado19"/>
    <w:rsid w:val="00610A15"/>
    <w:pPr>
      <w:numPr>
        <w:numId w:val="18"/>
      </w:numPr>
    </w:pPr>
  </w:style>
  <w:style w:type="numbering" w:customStyle="1" w:styleId="List24">
    <w:name w:val="List 24"/>
    <w:basedOn w:val="Estiloimportado20"/>
    <w:rsid w:val="00610A15"/>
    <w:pPr>
      <w:numPr>
        <w:numId w:val="13"/>
      </w:numPr>
    </w:pPr>
  </w:style>
  <w:style w:type="numbering" w:customStyle="1" w:styleId="Estiloimportado20">
    <w:name w:val="Estilo importado 20"/>
    <w:rsid w:val="00610A15"/>
  </w:style>
  <w:style w:type="numbering" w:customStyle="1" w:styleId="List25">
    <w:name w:val="List 25"/>
    <w:basedOn w:val="Estiloimportado21"/>
    <w:rsid w:val="00610A15"/>
    <w:pPr>
      <w:numPr>
        <w:numId w:val="15"/>
      </w:numPr>
    </w:pPr>
  </w:style>
  <w:style w:type="numbering" w:customStyle="1" w:styleId="Estiloimportado21">
    <w:name w:val="Estilo importado 21"/>
    <w:rsid w:val="00610A15"/>
  </w:style>
  <w:style w:type="numbering" w:customStyle="1" w:styleId="List26">
    <w:name w:val="List 26"/>
    <w:basedOn w:val="Estiloimportado22"/>
    <w:rsid w:val="00610A15"/>
    <w:pPr>
      <w:numPr>
        <w:numId w:val="48"/>
      </w:numPr>
    </w:pPr>
  </w:style>
  <w:style w:type="numbering" w:customStyle="1" w:styleId="Estiloimportado22">
    <w:name w:val="Estilo importado 22"/>
    <w:rsid w:val="00610A15"/>
  </w:style>
  <w:style w:type="numbering" w:customStyle="1" w:styleId="List27">
    <w:name w:val="List 27"/>
    <w:basedOn w:val="Estiloimportado23"/>
    <w:rsid w:val="00610A15"/>
    <w:pPr>
      <w:numPr>
        <w:numId w:val="41"/>
      </w:numPr>
    </w:pPr>
  </w:style>
  <w:style w:type="numbering" w:customStyle="1" w:styleId="Estiloimportado23">
    <w:name w:val="Estilo importado 23"/>
    <w:rsid w:val="00610A15"/>
  </w:style>
  <w:style w:type="numbering" w:customStyle="1" w:styleId="List28">
    <w:name w:val="List 28"/>
    <w:basedOn w:val="Estiloimportado24"/>
    <w:rsid w:val="00610A15"/>
    <w:pPr>
      <w:numPr>
        <w:numId w:val="30"/>
      </w:numPr>
    </w:pPr>
  </w:style>
  <w:style w:type="numbering" w:customStyle="1" w:styleId="Estiloimportado24">
    <w:name w:val="Estilo importado 24"/>
    <w:rsid w:val="00610A15"/>
  </w:style>
  <w:style w:type="numbering" w:customStyle="1" w:styleId="List29">
    <w:name w:val="List 29"/>
    <w:basedOn w:val="Estiloimportado25"/>
    <w:rsid w:val="00610A15"/>
    <w:pPr>
      <w:numPr>
        <w:numId w:val="34"/>
      </w:numPr>
    </w:pPr>
  </w:style>
  <w:style w:type="numbering" w:customStyle="1" w:styleId="Estiloimportado25">
    <w:name w:val="Estilo importado 25"/>
    <w:rsid w:val="00610A15"/>
  </w:style>
  <w:style w:type="numbering" w:customStyle="1" w:styleId="List30">
    <w:name w:val="List 30"/>
    <w:basedOn w:val="Estiloimportado26"/>
    <w:rsid w:val="00610A15"/>
    <w:pPr>
      <w:numPr>
        <w:numId w:val="32"/>
      </w:numPr>
    </w:pPr>
  </w:style>
  <w:style w:type="numbering" w:customStyle="1" w:styleId="Estiloimportado26">
    <w:name w:val="Estilo importado 26"/>
    <w:rsid w:val="00610A15"/>
  </w:style>
  <w:style w:type="numbering" w:customStyle="1" w:styleId="Estiloimportado27">
    <w:name w:val="Estilo importado 27"/>
    <w:rsid w:val="00610A15"/>
  </w:style>
  <w:style w:type="numbering" w:customStyle="1" w:styleId="List32">
    <w:name w:val="List 32"/>
    <w:basedOn w:val="Estiloimportado28"/>
    <w:rsid w:val="00610A15"/>
    <w:pPr>
      <w:numPr>
        <w:numId w:val="47"/>
      </w:numPr>
    </w:pPr>
  </w:style>
  <w:style w:type="numbering" w:customStyle="1" w:styleId="Estiloimportado28">
    <w:name w:val="Estilo importado 28"/>
    <w:rsid w:val="00610A15"/>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610A15"/>
    <w:pPr>
      <w:pBdr>
        <w:top w:val="nil"/>
        <w:left w:val="nil"/>
        <w:bottom w:val="nil"/>
        <w:right w:val="nil"/>
        <w:between w:val="nil"/>
        <w:bar w:val="nil"/>
      </w:pBdr>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qFormat/>
    <w:rsid w:val="00610A15"/>
    <w:rPr>
      <w:rFonts w:ascii="Calibri" w:eastAsia="Calibri" w:hAnsi="Calibri" w:cs="Calibri"/>
      <w:color w:val="000000"/>
      <w:sz w:val="20"/>
      <w:szCs w:val="20"/>
      <w:u w:color="000000"/>
      <w:bdr w:val="nil"/>
      <w:lang w:eastAsia="es-ES"/>
    </w:rPr>
  </w:style>
  <w:style w:type="numbering" w:customStyle="1" w:styleId="List33">
    <w:name w:val="List 33"/>
    <w:basedOn w:val="Estiloimportado29"/>
    <w:rsid w:val="00610A15"/>
    <w:pPr>
      <w:numPr>
        <w:numId w:val="26"/>
      </w:numPr>
    </w:pPr>
  </w:style>
  <w:style w:type="numbering" w:customStyle="1" w:styleId="Estiloimportado29">
    <w:name w:val="Estilo importado 29"/>
    <w:rsid w:val="00610A15"/>
  </w:style>
  <w:style w:type="numbering" w:customStyle="1" w:styleId="List34">
    <w:name w:val="List 34"/>
    <w:basedOn w:val="Estiloimportado30"/>
    <w:rsid w:val="00610A15"/>
    <w:pPr>
      <w:numPr>
        <w:numId w:val="11"/>
      </w:numPr>
    </w:pPr>
  </w:style>
  <w:style w:type="numbering" w:customStyle="1" w:styleId="Estiloimportado30">
    <w:name w:val="Estilo importado 30"/>
    <w:rsid w:val="00610A15"/>
  </w:style>
  <w:style w:type="numbering" w:customStyle="1" w:styleId="List35">
    <w:name w:val="List 35"/>
    <w:basedOn w:val="Estiloimportado31"/>
    <w:rsid w:val="00610A15"/>
    <w:pPr>
      <w:numPr>
        <w:numId w:val="8"/>
      </w:numPr>
    </w:pPr>
  </w:style>
  <w:style w:type="numbering" w:customStyle="1" w:styleId="Estiloimportado31">
    <w:name w:val="Estilo importado 31"/>
    <w:rsid w:val="00610A15"/>
  </w:style>
  <w:style w:type="numbering" w:customStyle="1" w:styleId="List36">
    <w:name w:val="List 36"/>
    <w:basedOn w:val="Estiloimportado32"/>
    <w:rsid w:val="00610A15"/>
    <w:pPr>
      <w:numPr>
        <w:numId w:val="14"/>
      </w:numPr>
    </w:pPr>
  </w:style>
  <w:style w:type="numbering" w:customStyle="1" w:styleId="Estiloimportado32">
    <w:name w:val="Estilo importado 32"/>
    <w:rsid w:val="00610A15"/>
  </w:style>
  <w:style w:type="numbering" w:customStyle="1" w:styleId="List37">
    <w:name w:val="List 37"/>
    <w:basedOn w:val="Estiloimportado33"/>
    <w:rsid w:val="00610A15"/>
    <w:pPr>
      <w:numPr>
        <w:numId w:val="46"/>
      </w:numPr>
    </w:pPr>
  </w:style>
  <w:style w:type="numbering" w:customStyle="1" w:styleId="Estiloimportado33">
    <w:name w:val="Estilo importado 33"/>
    <w:rsid w:val="00610A15"/>
  </w:style>
  <w:style w:type="numbering" w:customStyle="1" w:styleId="List38">
    <w:name w:val="List 38"/>
    <w:basedOn w:val="Estiloimportado34"/>
    <w:rsid w:val="00610A15"/>
    <w:pPr>
      <w:numPr>
        <w:numId w:val="35"/>
      </w:numPr>
    </w:pPr>
  </w:style>
  <w:style w:type="numbering" w:customStyle="1" w:styleId="Estiloimportado34">
    <w:name w:val="Estilo importado 34"/>
    <w:rsid w:val="00610A15"/>
  </w:style>
  <w:style w:type="numbering" w:customStyle="1" w:styleId="List39">
    <w:name w:val="List 39"/>
    <w:basedOn w:val="Estiloimportado35"/>
    <w:rsid w:val="00610A15"/>
    <w:pPr>
      <w:numPr>
        <w:numId w:val="45"/>
      </w:numPr>
    </w:pPr>
  </w:style>
  <w:style w:type="numbering" w:customStyle="1" w:styleId="Estiloimportado35">
    <w:name w:val="Estilo importado 35"/>
    <w:rsid w:val="00610A15"/>
  </w:style>
  <w:style w:type="numbering" w:customStyle="1" w:styleId="List40">
    <w:name w:val="List 40"/>
    <w:basedOn w:val="Estiloimportado36"/>
    <w:rsid w:val="00610A15"/>
    <w:pPr>
      <w:numPr>
        <w:numId w:val="21"/>
      </w:numPr>
    </w:pPr>
  </w:style>
  <w:style w:type="numbering" w:customStyle="1" w:styleId="Estiloimportado36">
    <w:name w:val="Estilo importado 36"/>
    <w:rsid w:val="00610A15"/>
  </w:style>
  <w:style w:type="numbering" w:customStyle="1" w:styleId="Estiloimportado37">
    <w:name w:val="Estilo importado 37"/>
    <w:rsid w:val="00610A15"/>
  </w:style>
  <w:style w:type="numbering" w:customStyle="1" w:styleId="List42">
    <w:name w:val="List 42"/>
    <w:basedOn w:val="Estiloimportado12"/>
    <w:rsid w:val="00610A15"/>
    <w:pPr>
      <w:numPr>
        <w:numId w:val="12"/>
      </w:numPr>
    </w:pPr>
  </w:style>
  <w:style w:type="numbering" w:customStyle="1" w:styleId="List43">
    <w:name w:val="List 43"/>
    <w:basedOn w:val="Estiloimportado38"/>
    <w:rsid w:val="00610A15"/>
    <w:pPr>
      <w:numPr>
        <w:numId w:val="23"/>
      </w:numPr>
    </w:pPr>
  </w:style>
  <w:style w:type="numbering" w:customStyle="1" w:styleId="Estiloimportado38">
    <w:name w:val="Estilo importado 38"/>
    <w:rsid w:val="00610A15"/>
  </w:style>
  <w:style w:type="numbering" w:customStyle="1" w:styleId="List44">
    <w:name w:val="List 44"/>
    <w:basedOn w:val="Estiloimportado39"/>
    <w:rsid w:val="00610A15"/>
    <w:pPr>
      <w:numPr>
        <w:numId w:val="40"/>
      </w:numPr>
    </w:pPr>
  </w:style>
  <w:style w:type="numbering" w:customStyle="1" w:styleId="Estiloimportado39">
    <w:name w:val="Estilo importado 39"/>
    <w:rsid w:val="00610A15"/>
  </w:style>
  <w:style w:type="numbering" w:customStyle="1" w:styleId="List45">
    <w:name w:val="List 45"/>
    <w:basedOn w:val="Estiloimportado40"/>
    <w:rsid w:val="00610A15"/>
    <w:pPr>
      <w:numPr>
        <w:numId w:val="20"/>
      </w:numPr>
    </w:pPr>
  </w:style>
  <w:style w:type="numbering" w:customStyle="1" w:styleId="Estiloimportado40">
    <w:name w:val="Estilo importado 40"/>
    <w:rsid w:val="00610A15"/>
  </w:style>
  <w:style w:type="numbering" w:customStyle="1" w:styleId="List46">
    <w:name w:val="List 46"/>
    <w:basedOn w:val="Estiloimportado41"/>
    <w:rsid w:val="00610A15"/>
    <w:pPr>
      <w:numPr>
        <w:numId w:val="24"/>
      </w:numPr>
    </w:pPr>
  </w:style>
  <w:style w:type="numbering" w:customStyle="1" w:styleId="Estiloimportado41">
    <w:name w:val="Estilo importado 41"/>
    <w:rsid w:val="00610A15"/>
  </w:style>
  <w:style w:type="numbering" w:customStyle="1" w:styleId="List47">
    <w:name w:val="List 47"/>
    <w:basedOn w:val="Estiloimportado42"/>
    <w:rsid w:val="00610A15"/>
    <w:pPr>
      <w:numPr>
        <w:numId w:val="29"/>
      </w:numPr>
    </w:pPr>
  </w:style>
  <w:style w:type="numbering" w:customStyle="1" w:styleId="Estiloimportado42">
    <w:name w:val="Estilo importado 42"/>
    <w:rsid w:val="00610A15"/>
  </w:style>
  <w:style w:type="numbering" w:customStyle="1" w:styleId="List48">
    <w:name w:val="List 48"/>
    <w:basedOn w:val="Estiloimportado43"/>
    <w:rsid w:val="00610A15"/>
    <w:pPr>
      <w:numPr>
        <w:numId w:val="49"/>
      </w:numPr>
    </w:pPr>
  </w:style>
  <w:style w:type="numbering" w:customStyle="1" w:styleId="Estiloimportado43">
    <w:name w:val="Estilo importado 43"/>
    <w:rsid w:val="00610A15"/>
  </w:style>
  <w:style w:type="numbering" w:customStyle="1" w:styleId="List49">
    <w:name w:val="List 49"/>
    <w:basedOn w:val="Estiloimportado44"/>
    <w:rsid w:val="00610A15"/>
    <w:pPr>
      <w:numPr>
        <w:numId w:val="39"/>
      </w:numPr>
    </w:pPr>
  </w:style>
  <w:style w:type="numbering" w:customStyle="1" w:styleId="Estiloimportado44">
    <w:name w:val="Estilo importado 44"/>
    <w:rsid w:val="00610A15"/>
  </w:style>
  <w:style w:type="numbering" w:customStyle="1" w:styleId="List50">
    <w:name w:val="List 50"/>
    <w:basedOn w:val="Estiloimportado45"/>
    <w:rsid w:val="00610A15"/>
    <w:pPr>
      <w:numPr>
        <w:numId w:val="37"/>
      </w:numPr>
    </w:pPr>
  </w:style>
  <w:style w:type="numbering" w:customStyle="1" w:styleId="Estiloimportado45">
    <w:name w:val="Estilo importado 45"/>
    <w:rsid w:val="00610A15"/>
  </w:style>
  <w:style w:type="numbering" w:customStyle="1" w:styleId="Estiloimportado46">
    <w:name w:val="Estilo importado 46"/>
    <w:rsid w:val="00610A15"/>
  </w:style>
  <w:style w:type="numbering" w:customStyle="1" w:styleId="List52">
    <w:name w:val="List 52"/>
    <w:basedOn w:val="Estiloimportado1"/>
    <w:rsid w:val="00610A15"/>
    <w:pPr>
      <w:numPr>
        <w:numId w:val="9"/>
      </w:numPr>
    </w:pPr>
  </w:style>
  <w:style w:type="paragraph" w:styleId="BalloonText">
    <w:name w:val="Balloon Text"/>
    <w:basedOn w:val="Normal"/>
    <w:link w:val="BalloonTextChar"/>
    <w:uiPriority w:val="99"/>
    <w:semiHidden/>
    <w:unhideWhenUsed/>
    <w:rsid w:val="00610A15"/>
    <w:rPr>
      <w:rFonts w:ascii="Tahoma" w:hAnsi="Tahoma" w:cs="Tahoma"/>
      <w:sz w:val="16"/>
      <w:szCs w:val="16"/>
    </w:rPr>
  </w:style>
  <w:style w:type="character" w:customStyle="1" w:styleId="BalloonTextChar">
    <w:name w:val="Balloon Text Char"/>
    <w:basedOn w:val="DefaultParagraphFont"/>
    <w:link w:val="BalloonText"/>
    <w:uiPriority w:val="99"/>
    <w:semiHidden/>
    <w:rsid w:val="00610A15"/>
    <w:rPr>
      <w:rFonts w:ascii="Tahoma" w:eastAsia="Arial Unicode MS" w:hAnsi="Tahoma" w:cs="Tahoma"/>
      <w:sz w:val="16"/>
      <w:szCs w:val="16"/>
      <w:bdr w:val="nil"/>
    </w:rPr>
  </w:style>
  <w:style w:type="paragraph" w:styleId="Header">
    <w:name w:val="header"/>
    <w:aliases w:val="encabezado"/>
    <w:basedOn w:val="Normal"/>
    <w:link w:val="HeaderChar"/>
    <w:rsid w:val="00610A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610A15"/>
    <w:rPr>
      <w:rFonts w:ascii="Univers" w:eastAsia="Times New Roman" w:hAnsi="Univers" w:cs="Univers"/>
    </w:rPr>
  </w:style>
  <w:style w:type="table" w:styleId="MediumShading1-Accent1">
    <w:name w:val="Medium Shading 1 Accent 1"/>
    <w:basedOn w:val="TableNormal"/>
    <w:uiPriority w:val="63"/>
    <w:rsid w:val="00610A15"/>
    <w:pPr>
      <w:pBdr>
        <w:top w:val="nil"/>
        <w:left w:val="nil"/>
        <w:bottom w:val="nil"/>
        <w:right w:val="nil"/>
        <w:between w:val="nil"/>
        <w:bar w:val="nil"/>
      </w:pBdr>
    </w:pPr>
    <w:rPr>
      <w:rFonts w:ascii="Times New Roman" w:eastAsia="Arial Unicode MS" w:hAnsi="Times New Roman" w:cs="Times New Roman"/>
      <w:sz w:val="20"/>
      <w:szCs w:val="20"/>
      <w:bdr w:val="nil"/>
      <w:lang w:val="es-ES" w:eastAsia="es-E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B6518A"/>
    <w:pPr>
      <w:tabs>
        <w:tab w:val="left" w:pos="1440"/>
        <w:tab w:val="right" w:leader="dot" w:pos="9350"/>
      </w:tabs>
      <w:spacing w:after="100"/>
      <w:ind w:left="1440" w:hanging="720"/>
      <w:jc w:val="both"/>
    </w:pPr>
    <w:rPr>
      <w:rFonts w:ascii="Cambria" w:eastAsia="Cambria" w:hAnsi="Cambria"/>
      <w:noProof/>
      <w:sz w:val="20"/>
      <w:szCs w:val="20"/>
      <w:u w:color="000000"/>
      <w:lang w:val="es-ES_tradnl" w:eastAsia="es-ES"/>
    </w:rPr>
  </w:style>
  <w:style w:type="paragraph" w:styleId="TOC1">
    <w:name w:val="toc 1"/>
    <w:basedOn w:val="Normal"/>
    <w:next w:val="Normal"/>
    <w:autoRedefine/>
    <w:uiPriority w:val="39"/>
    <w:unhideWhenUsed/>
    <w:rsid w:val="00761A05"/>
    <w:pPr>
      <w:tabs>
        <w:tab w:val="left" w:pos="1440"/>
        <w:tab w:val="right" w:leader="dot" w:pos="9350"/>
      </w:tabs>
      <w:spacing w:after="100"/>
    </w:pPr>
    <w:rPr>
      <w:rFonts w:ascii="Cambria" w:eastAsia="Yu Gothic Light" w:hAnsi="Cambria"/>
      <w:b/>
      <w:bCs/>
      <w:noProof/>
      <w:sz w:val="20"/>
      <w:szCs w:val="20"/>
      <w:lang w:val="es-VE"/>
    </w:rPr>
  </w:style>
  <w:style w:type="paragraph" w:styleId="TOC3">
    <w:name w:val="toc 3"/>
    <w:basedOn w:val="Normal"/>
    <w:next w:val="Normal"/>
    <w:autoRedefine/>
    <w:uiPriority w:val="39"/>
    <w:unhideWhenUsed/>
    <w:rsid w:val="00610A1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610A15"/>
    <w:pPr>
      <w:spacing w:after="100"/>
      <w:ind w:left="720"/>
    </w:pPr>
  </w:style>
  <w:style w:type="character" w:styleId="PageNumber">
    <w:name w:val="page number"/>
    <w:basedOn w:val="DefaultParagraphFont"/>
    <w:rsid w:val="00610A15"/>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basedOn w:val="DefaultParagraphFont"/>
    <w:link w:val="1"/>
    <w:unhideWhenUsed/>
    <w:qFormat/>
    <w:rsid w:val="00610A15"/>
    <w:rPr>
      <w:vertAlign w:val="superscript"/>
    </w:rPr>
  </w:style>
  <w:style w:type="paragraph" w:styleId="BodyTextIndent2">
    <w:name w:val="Body Text Indent 2"/>
    <w:basedOn w:val="Normal"/>
    <w:link w:val="BodyTextIndent2Char"/>
    <w:uiPriority w:val="99"/>
    <w:semiHidden/>
    <w:unhideWhenUsed/>
    <w:rsid w:val="00610A15"/>
    <w:pPr>
      <w:spacing w:after="120" w:line="480" w:lineRule="auto"/>
      <w:ind w:left="360"/>
    </w:pPr>
  </w:style>
  <w:style w:type="character" w:customStyle="1" w:styleId="BodyTextIndent2Char">
    <w:name w:val="Body Text Indent 2 Char"/>
    <w:basedOn w:val="DefaultParagraphFont"/>
    <w:link w:val="BodyTextIndent2"/>
    <w:uiPriority w:val="99"/>
    <w:semiHidden/>
    <w:rsid w:val="00610A15"/>
    <w:rPr>
      <w:rFonts w:ascii="Times New Roman" w:eastAsia="Arial Unicode MS" w:hAnsi="Times New Roman" w:cs="Times New Roman"/>
      <w:bdr w:val="nil"/>
    </w:rPr>
  </w:style>
  <w:style w:type="paragraph" w:styleId="BodyText">
    <w:name w:val="Body Text"/>
    <w:basedOn w:val="Normal"/>
    <w:link w:val="BodyTextChar"/>
    <w:uiPriority w:val="99"/>
    <w:semiHidden/>
    <w:unhideWhenUsed/>
    <w:rsid w:val="00610A15"/>
    <w:pPr>
      <w:spacing w:after="120"/>
    </w:pPr>
  </w:style>
  <w:style w:type="character" w:customStyle="1" w:styleId="BodyTextChar">
    <w:name w:val="Body Text Char"/>
    <w:basedOn w:val="DefaultParagraphFont"/>
    <w:link w:val="BodyText"/>
    <w:uiPriority w:val="99"/>
    <w:semiHidden/>
    <w:rsid w:val="00610A15"/>
    <w:rPr>
      <w:rFonts w:ascii="Times New Roman" w:eastAsia="Arial Unicode MS" w:hAnsi="Times New Roman" w:cs="Times New Roman"/>
      <w:bdr w:val="nil"/>
    </w:rPr>
  </w:style>
  <w:style w:type="paragraph" w:customStyle="1" w:styleId="Default">
    <w:name w:val="Default"/>
    <w:link w:val="DefaultChar"/>
    <w:rsid w:val="00610A15"/>
    <w:pPr>
      <w:autoSpaceDE w:val="0"/>
      <w:autoSpaceDN w:val="0"/>
      <w:adjustRightInd w:val="0"/>
    </w:pPr>
    <w:rPr>
      <w:rFonts w:ascii="Times New Roman" w:eastAsia="Times New Roman" w:hAnsi="Times New Roman" w:cs="Times New Roman"/>
      <w:color w:val="000000"/>
    </w:rPr>
  </w:style>
  <w:style w:type="paragraph" w:styleId="EndnoteText">
    <w:name w:val="endnote text"/>
    <w:basedOn w:val="Normal"/>
    <w:link w:val="EndnoteTextChar"/>
    <w:rsid w:val="00610A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610A15"/>
    <w:rPr>
      <w:rFonts w:ascii="Times New Roman" w:eastAsia="Times New Roman" w:hAnsi="Times New Roman" w:cs="Times New Roman"/>
    </w:rPr>
  </w:style>
  <w:style w:type="character" w:customStyle="1" w:styleId="DefaultChar">
    <w:name w:val="Default Char"/>
    <w:link w:val="Default"/>
    <w:rsid w:val="00610A15"/>
    <w:rPr>
      <w:rFonts w:ascii="Times New Roman" w:eastAsia="Times New Roman" w:hAnsi="Times New Roman" w:cs="Times New Roman"/>
      <w:color w:val="000000"/>
    </w:rPr>
  </w:style>
  <w:style w:type="paragraph" w:styleId="TOCHeading">
    <w:name w:val="TOC Heading"/>
    <w:basedOn w:val="Heading1"/>
    <w:next w:val="Normal"/>
    <w:uiPriority w:val="39"/>
    <w:unhideWhenUsed/>
    <w:qFormat/>
    <w:rsid w:val="00610A15"/>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character" w:customStyle="1" w:styleId="ListParagraphChar">
    <w:name w:val="List Paragraph Char"/>
    <w:aliases w:val="Párrafo de lista1 Char,List Paragraph1 Char,List Paragraph11 Char,List Paragraph2 Char,Lista vistosa - Énfasis 11 Char"/>
    <w:link w:val="ListParagraph"/>
    <w:uiPriority w:val="99"/>
    <w:locked/>
    <w:rsid w:val="00610A15"/>
    <w:rPr>
      <w:rFonts w:ascii="Cambria" w:eastAsia="Cambria" w:hAnsi="Cambria" w:cs="Cambria"/>
      <w:color w:val="000000"/>
      <w:u w:color="000000"/>
      <w:bdr w:val="nil"/>
      <w:lang w:eastAsia="es-ES"/>
    </w:rPr>
  </w:style>
  <w:style w:type="character" w:styleId="Strong">
    <w:name w:val="Strong"/>
    <w:uiPriority w:val="22"/>
    <w:qFormat/>
    <w:rsid w:val="00610A15"/>
    <w:rPr>
      <w:b/>
      <w:bCs/>
    </w:rPr>
  </w:style>
  <w:style w:type="paragraph" w:customStyle="1" w:styleId="ColorfulList-Accent11">
    <w:name w:val="Colorful List - Accent 11"/>
    <w:link w:val="ColorfulList-Accent1Char"/>
    <w:uiPriority w:val="34"/>
    <w:qFormat/>
    <w:rsid w:val="00610A15"/>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character" w:customStyle="1" w:styleId="ColorfulList-Accent1Char">
    <w:name w:val="Colorful List - Accent 1 Char"/>
    <w:link w:val="ColorfulList-Accent11"/>
    <w:uiPriority w:val="34"/>
    <w:locked/>
    <w:rsid w:val="00610A15"/>
    <w:rPr>
      <w:rFonts w:ascii="Cambria" w:eastAsia="Cambria" w:hAnsi="Cambria" w:cs="Cambria"/>
      <w:color w:val="000000"/>
      <w:u w:color="000000"/>
      <w:bdr w:val="nil"/>
      <w:lang w:eastAsia="es-ES"/>
    </w:rPr>
  </w:style>
  <w:style w:type="character" w:customStyle="1" w:styleId="apple-style-span">
    <w:name w:val="apple-style-span"/>
    <w:rsid w:val="00610A15"/>
  </w:style>
  <w:style w:type="paragraph" w:customStyle="1" w:styleId="1">
    <w:name w:val="1"/>
    <w:basedOn w:val="Normal"/>
    <w:link w:val="FootnoteReference"/>
    <w:rsid w:val="00610A1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character" w:customStyle="1" w:styleId="apple-converted-space">
    <w:name w:val="apple-converted-space"/>
    <w:basedOn w:val="DefaultParagraphFont"/>
    <w:rsid w:val="00610A15"/>
  </w:style>
  <w:style w:type="character" w:styleId="CommentReference">
    <w:name w:val="annotation reference"/>
    <w:basedOn w:val="DefaultParagraphFont"/>
    <w:uiPriority w:val="99"/>
    <w:semiHidden/>
    <w:unhideWhenUsed/>
    <w:rsid w:val="009D70A3"/>
    <w:rPr>
      <w:sz w:val="16"/>
      <w:szCs w:val="16"/>
    </w:rPr>
  </w:style>
  <w:style w:type="paragraph" w:styleId="CommentText">
    <w:name w:val="annotation text"/>
    <w:basedOn w:val="Normal"/>
    <w:link w:val="CommentTextChar"/>
    <w:uiPriority w:val="99"/>
    <w:semiHidden/>
    <w:unhideWhenUsed/>
    <w:rsid w:val="009D70A3"/>
    <w:rPr>
      <w:sz w:val="20"/>
      <w:szCs w:val="20"/>
    </w:rPr>
  </w:style>
  <w:style w:type="character" w:customStyle="1" w:styleId="CommentTextChar">
    <w:name w:val="Comment Text Char"/>
    <w:basedOn w:val="DefaultParagraphFont"/>
    <w:link w:val="CommentText"/>
    <w:uiPriority w:val="99"/>
    <w:semiHidden/>
    <w:rsid w:val="009D70A3"/>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9D70A3"/>
    <w:rPr>
      <w:b/>
      <w:bCs/>
    </w:rPr>
  </w:style>
  <w:style w:type="character" w:customStyle="1" w:styleId="CommentSubjectChar">
    <w:name w:val="Comment Subject Char"/>
    <w:basedOn w:val="CommentTextChar"/>
    <w:link w:val="CommentSubject"/>
    <w:uiPriority w:val="99"/>
    <w:semiHidden/>
    <w:rsid w:val="009D70A3"/>
    <w:rPr>
      <w:rFonts w:ascii="Times New Roman" w:eastAsia="Arial Unicode MS" w:hAnsi="Times New Roman" w:cs="Times New Roman"/>
      <w:b/>
      <w:bCs/>
      <w:sz w:val="20"/>
      <w:szCs w:val="20"/>
      <w:bdr w:val="nil"/>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EA5859"/>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vertAlign w:val="superscript"/>
      <w:lang w:val="es-ES" w:eastAsia="es-ES"/>
    </w:rPr>
  </w:style>
  <w:style w:type="paragraph" w:styleId="NormalWeb">
    <w:name w:val="Normal (Web)"/>
    <w:basedOn w:val="Normal"/>
    <w:uiPriority w:val="99"/>
    <w:semiHidden/>
    <w:unhideWhenUsed/>
    <w:rsid w:val="00BF44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HAnsi" w:hAnsi="Times"/>
      <w:sz w:val="20"/>
      <w:szCs w:val="20"/>
      <w:bdr w:val="none" w:sz="0" w:space="0" w:color="auto"/>
    </w:rPr>
  </w:style>
  <w:style w:type="paragraph" w:styleId="NoSpacing">
    <w:name w:val="No Spacing"/>
    <w:uiPriority w:val="1"/>
    <w:qFormat/>
    <w:rsid w:val="00B54FBC"/>
    <w:rPr>
      <w:rFonts w:ascii="Calibri" w:eastAsia="Calibri" w:hAnsi="Calibri" w:cs="Times New Roman"/>
      <w:sz w:val="22"/>
      <w:szCs w:val="22"/>
    </w:rPr>
  </w:style>
  <w:style w:type="paragraph" w:styleId="BodyTextIndent3">
    <w:name w:val="Body Text Indent 3"/>
    <w:basedOn w:val="Normal"/>
    <w:link w:val="BodyTextIndent3Char"/>
    <w:uiPriority w:val="99"/>
    <w:unhideWhenUsed/>
    <w:rsid w:val="002B1017"/>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MS Mincho"/>
      <w:sz w:val="16"/>
      <w:szCs w:val="16"/>
      <w:bdr w:val="none" w:sz="0" w:space="0" w:color="auto"/>
    </w:rPr>
  </w:style>
  <w:style w:type="character" w:customStyle="1" w:styleId="BodyTextIndent3Char">
    <w:name w:val="Body Text Indent 3 Char"/>
    <w:basedOn w:val="DefaultParagraphFont"/>
    <w:link w:val="BodyTextIndent3"/>
    <w:uiPriority w:val="99"/>
    <w:rsid w:val="002B1017"/>
    <w:rPr>
      <w:rFonts w:ascii="Times New Roman" w:eastAsia="MS Mincho" w:hAnsi="Times New Roman" w:cs="Times New Roman"/>
      <w:sz w:val="16"/>
      <w:szCs w:val="16"/>
    </w:rPr>
  </w:style>
  <w:style w:type="character" w:customStyle="1" w:styleId="ListParagraphChar1">
    <w:name w:val="List Paragraph Char1"/>
    <w:aliases w:val="Párrafo de lista1 Char1"/>
    <w:uiPriority w:val="34"/>
    <w:locked/>
    <w:rsid w:val="00F7666B"/>
    <w:rPr>
      <w:sz w:val="24"/>
      <w:szCs w:val="24"/>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7B45A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libri" w:eastAsia="Calibri" w:hAnsi="Calibri"/>
      <w:sz w:val="20"/>
      <w:szCs w:val="20"/>
      <w:bdr w:val="none" w:sz="0" w:space="0" w:color="auto"/>
      <w:vertAlign w:val="superscript"/>
    </w:rPr>
  </w:style>
  <w:style w:type="character" w:styleId="FollowedHyperlink">
    <w:name w:val="FollowedHyperlink"/>
    <w:basedOn w:val="DefaultParagraphFont"/>
    <w:uiPriority w:val="99"/>
    <w:semiHidden/>
    <w:unhideWhenUsed/>
    <w:rsid w:val="001D78C1"/>
    <w:rPr>
      <w:color w:val="954F72" w:themeColor="followedHyperlink"/>
      <w:u w:val="single"/>
    </w:rPr>
  </w:style>
  <w:style w:type="character" w:styleId="PlaceholderText">
    <w:name w:val="Placeholder Text"/>
    <w:basedOn w:val="DefaultParagraphFont"/>
    <w:uiPriority w:val="99"/>
    <w:semiHidden/>
    <w:rsid w:val="00E901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20948">
      <w:bodyDiv w:val="1"/>
      <w:marLeft w:val="0"/>
      <w:marRight w:val="0"/>
      <w:marTop w:val="0"/>
      <w:marBottom w:val="0"/>
      <w:divBdr>
        <w:top w:val="none" w:sz="0" w:space="0" w:color="auto"/>
        <w:left w:val="none" w:sz="0" w:space="0" w:color="auto"/>
        <w:bottom w:val="none" w:sz="0" w:space="0" w:color="auto"/>
        <w:right w:val="none" w:sz="0" w:space="0" w:color="auto"/>
      </w:divBdr>
    </w:div>
    <w:div w:id="845218297">
      <w:bodyDiv w:val="1"/>
      <w:marLeft w:val="0"/>
      <w:marRight w:val="0"/>
      <w:marTop w:val="0"/>
      <w:marBottom w:val="0"/>
      <w:divBdr>
        <w:top w:val="none" w:sz="0" w:space="0" w:color="auto"/>
        <w:left w:val="none" w:sz="0" w:space="0" w:color="auto"/>
        <w:bottom w:val="none" w:sz="0" w:space="0" w:color="auto"/>
        <w:right w:val="none" w:sz="0" w:space="0" w:color="auto"/>
      </w:divBdr>
    </w:div>
    <w:div w:id="997002763">
      <w:bodyDiv w:val="1"/>
      <w:marLeft w:val="0"/>
      <w:marRight w:val="0"/>
      <w:marTop w:val="0"/>
      <w:marBottom w:val="0"/>
      <w:divBdr>
        <w:top w:val="none" w:sz="0" w:space="0" w:color="auto"/>
        <w:left w:val="none" w:sz="0" w:space="0" w:color="auto"/>
        <w:bottom w:val="none" w:sz="0" w:space="0" w:color="auto"/>
        <w:right w:val="none" w:sz="0" w:space="0" w:color="auto"/>
      </w:divBdr>
    </w:div>
    <w:div w:id="1206259288">
      <w:bodyDiv w:val="1"/>
      <w:marLeft w:val="0"/>
      <w:marRight w:val="0"/>
      <w:marTop w:val="0"/>
      <w:marBottom w:val="0"/>
      <w:divBdr>
        <w:top w:val="none" w:sz="0" w:space="0" w:color="auto"/>
        <w:left w:val="none" w:sz="0" w:space="0" w:color="auto"/>
        <w:bottom w:val="none" w:sz="0" w:space="0" w:color="auto"/>
        <w:right w:val="none" w:sz="0" w:space="0" w:color="auto"/>
      </w:divBdr>
    </w:div>
    <w:div w:id="1245651063">
      <w:bodyDiv w:val="1"/>
      <w:marLeft w:val="0"/>
      <w:marRight w:val="0"/>
      <w:marTop w:val="0"/>
      <w:marBottom w:val="0"/>
      <w:divBdr>
        <w:top w:val="none" w:sz="0" w:space="0" w:color="auto"/>
        <w:left w:val="none" w:sz="0" w:space="0" w:color="auto"/>
        <w:bottom w:val="none" w:sz="0" w:space="0" w:color="auto"/>
        <w:right w:val="none" w:sz="0" w:space="0" w:color="auto"/>
      </w:divBdr>
    </w:div>
    <w:div w:id="2130665919">
      <w:bodyDiv w:val="1"/>
      <w:marLeft w:val="0"/>
      <w:marRight w:val="0"/>
      <w:marTop w:val="0"/>
      <w:marBottom w:val="0"/>
      <w:divBdr>
        <w:top w:val="none" w:sz="0" w:space="0" w:color="auto"/>
        <w:left w:val="none" w:sz="0" w:space="0" w:color="auto"/>
        <w:bottom w:val="none" w:sz="0" w:space="0" w:color="auto"/>
        <w:right w:val="none" w:sz="0" w:space="0" w:color="auto"/>
      </w:divBdr>
      <w:divsChild>
        <w:div w:id="1396006738">
          <w:marLeft w:val="0"/>
          <w:marRight w:val="0"/>
          <w:marTop w:val="0"/>
          <w:marBottom w:val="0"/>
          <w:divBdr>
            <w:top w:val="none" w:sz="0" w:space="0" w:color="auto"/>
            <w:left w:val="none" w:sz="0" w:space="0" w:color="auto"/>
            <w:bottom w:val="none" w:sz="0" w:space="0" w:color="auto"/>
            <w:right w:val="none" w:sz="0" w:space="0" w:color="auto"/>
          </w:divBdr>
          <w:divsChild>
            <w:div w:id="446319273">
              <w:marLeft w:val="0"/>
              <w:marRight w:val="0"/>
              <w:marTop w:val="0"/>
              <w:marBottom w:val="0"/>
              <w:divBdr>
                <w:top w:val="none" w:sz="0" w:space="0" w:color="auto"/>
                <w:left w:val="none" w:sz="0" w:space="0" w:color="auto"/>
                <w:bottom w:val="none" w:sz="0" w:space="0" w:color="auto"/>
                <w:right w:val="none" w:sz="0" w:space="0" w:color="auto"/>
              </w:divBdr>
              <w:divsChild>
                <w:div w:id="2139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joomla.corteidh.or.cr:8080/joomla/es/casos-contenciosos/38-jurisprudencia/475-corte-idh-caso-del-tribunal-constitucional-vs-peru-fondo-reparaciones-y-costas-sentencia-de-31-de-enero-de-2001-serie-c-no-71" TargetMode="External"/><Relationship Id="rId2"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1" Type="http://schemas.openxmlformats.org/officeDocument/2006/relationships/hyperlink" Target="http://www.historia.ec/1/marzo/consti.htm" TargetMode="External"/><Relationship Id="rId5" Type="http://schemas.openxmlformats.org/officeDocument/2006/relationships/hyperlink" Target="http://joomla.corteidh.or.cr:8080/joomla/es/casos-contenciosos/38-jurisprudencia/476-corte-idh-caso-baena-ricardo-y-otros-vs-panama-fondo-reparaciones-y-costas-sentencia-de-2-de-febrero-de-2001-serie-c-no-72" TargetMode="External"/><Relationship Id="rId4" Type="http://schemas.openxmlformats.org/officeDocument/2006/relationships/hyperlink" Target="http://joomla.corteidh.or.cr:8080/joomla/es/casos-contenciosos/38-jurisprudencia/1450-corte-idh-caso-lopez-mendoza-vs-venezuela-fondo-reparaciones-y-costas-sentencia-de-1-de-septiembre-de-2011-serie-c-no-23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AC2BC-BBEF-4292-BDAD-4E1F4D3B7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6158</Words>
  <Characters>35103</Characters>
  <Application>Microsoft Office Word</Application>
  <DocSecurity>0</DocSecurity>
  <Lines>292</Lines>
  <Paragraphs>82</Paragraphs>
  <ScaleCrop>false</ScaleCrop>
  <Company/>
  <LinksUpToDate>false</LinksUpToDate>
  <CharactersWithSpaces>41179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2021-06-17T18:34:00Z</dcterms:created>
  <dcterms:modified xsi:type="dcterms:W3CDTF">2021-06-17T18:34:00Z</dcterms:modified>
</cp:coreProperties>
</file>