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1292" w14:textId="77777777" w:rsidR="00040C3A" w:rsidRPr="00EE2386" w:rsidRDefault="00D306D1" w:rsidP="00627C9F">
      <w:pPr>
        <w:jc w:val="both"/>
        <w:rPr>
          <w:rFonts w:ascii="Cambria" w:hAnsi="Cambria" w:cs="Univers"/>
          <w:b/>
          <w:bCs/>
          <w:sz w:val="20"/>
          <w:szCs w:val="20"/>
          <w:lang w:val="es-ES_tradnl"/>
        </w:rPr>
      </w:pPr>
      <w:r w:rsidRPr="00EE2386">
        <w:rPr>
          <w:rFonts w:ascii="Cambria" w:hAnsi="Cambria"/>
          <w:noProof/>
          <w:sz w:val="20"/>
          <w:szCs w:val="20"/>
        </w:rPr>
        <mc:AlternateContent>
          <mc:Choice Requires="wps">
            <w:drawing>
              <wp:anchor distT="0" distB="0" distL="114300" distR="114300" simplePos="0" relativeHeight="251661311" behindDoc="0" locked="0" layoutInCell="1" allowOverlap="1" wp14:anchorId="17E03DB9" wp14:editId="10AC9D4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8A74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E2386">
        <w:rPr>
          <w:rFonts w:ascii="Cambria" w:hAnsi="Cambria"/>
          <w:noProof/>
          <w:sz w:val="20"/>
          <w:szCs w:val="20"/>
        </w:rPr>
        <mc:AlternateContent>
          <mc:Choice Requires="wps">
            <w:drawing>
              <wp:anchor distT="0" distB="0" distL="114300" distR="114300" simplePos="0" relativeHeight="251673600" behindDoc="0" locked="0" layoutInCell="1" allowOverlap="1" wp14:anchorId="49197F2F" wp14:editId="72310D3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D7880" w14:textId="77777777" w:rsidR="00251E25" w:rsidRDefault="00251E25" w:rsidP="00AE5488">
                            <w:r>
                              <w:rPr>
                                <w:noProof/>
                              </w:rPr>
                              <w:drawing>
                                <wp:inline distT="0" distB="0" distL="0" distR="0" wp14:anchorId="7CE7F6E8" wp14:editId="69F83058">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97F2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467D7880" w14:textId="77777777" w:rsidR="00251E25" w:rsidRDefault="00251E25" w:rsidP="00AE5488">
                      <w:r>
                        <w:rPr>
                          <w:noProof/>
                        </w:rPr>
                        <w:drawing>
                          <wp:inline distT="0" distB="0" distL="0" distR="0" wp14:anchorId="7CE7F6E8" wp14:editId="69F83058">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F42CD" w:rsidRPr="00EE2386">
        <w:rPr>
          <w:rFonts w:ascii="Cambria" w:hAnsi="Cambria" w:cs="Univers"/>
          <w:b/>
          <w:bCs/>
          <w:sz w:val="20"/>
          <w:szCs w:val="20"/>
          <w:lang w:val="es-ES_tradnl"/>
        </w:rPr>
        <w:t xml:space="preserve"> </w:t>
      </w:r>
    </w:p>
    <w:p w14:paraId="763A3943" w14:textId="77777777" w:rsidR="00040C3A" w:rsidRPr="00EE2386" w:rsidRDefault="00040C3A" w:rsidP="00040C3A">
      <w:pPr>
        <w:tabs>
          <w:tab w:val="center" w:pos="5400"/>
        </w:tabs>
        <w:suppressAutoHyphens/>
        <w:jc w:val="both"/>
        <w:rPr>
          <w:rFonts w:ascii="Cambria" w:hAnsi="Cambria"/>
          <w:sz w:val="20"/>
          <w:szCs w:val="20"/>
          <w:lang w:val="es-ES"/>
        </w:rPr>
      </w:pPr>
    </w:p>
    <w:p w14:paraId="32B3B175" w14:textId="77777777" w:rsidR="00040C3A" w:rsidRPr="00EE2386" w:rsidRDefault="00040C3A" w:rsidP="00040C3A">
      <w:pPr>
        <w:tabs>
          <w:tab w:val="center" w:pos="5400"/>
        </w:tabs>
        <w:suppressAutoHyphens/>
        <w:jc w:val="both"/>
        <w:rPr>
          <w:rFonts w:ascii="Cambria" w:hAnsi="Cambria"/>
          <w:sz w:val="20"/>
          <w:szCs w:val="20"/>
          <w:lang w:val="es-ES"/>
        </w:rPr>
      </w:pPr>
    </w:p>
    <w:p w14:paraId="32ABA18F" w14:textId="77777777" w:rsidR="005128E4" w:rsidRPr="00EE2386" w:rsidRDefault="005128E4" w:rsidP="00040C3A">
      <w:pPr>
        <w:tabs>
          <w:tab w:val="center" w:pos="5400"/>
        </w:tabs>
        <w:suppressAutoHyphens/>
        <w:rPr>
          <w:rFonts w:ascii="Cambria" w:hAnsi="Cambria"/>
          <w:sz w:val="20"/>
          <w:szCs w:val="20"/>
          <w:lang w:val="es-ES_tradnl"/>
        </w:rPr>
      </w:pPr>
    </w:p>
    <w:p w14:paraId="7D61AC6F" w14:textId="77777777" w:rsidR="005128E4" w:rsidRPr="00EE2386" w:rsidRDefault="005128E4" w:rsidP="00040C3A">
      <w:pPr>
        <w:tabs>
          <w:tab w:val="center" w:pos="5400"/>
        </w:tabs>
        <w:suppressAutoHyphens/>
        <w:rPr>
          <w:rFonts w:ascii="Cambria" w:hAnsi="Cambria"/>
          <w:sz w:val="20"/>
          <w:szCs w:val="20"/>
          <w:lang w:val="es-ES_tradnl"/>
        </w:rPr>
      </w:pPr>
    </w:p>
    <w:p w14:paraId="27211516" w14:textId="77777777" w:rsidR="005128E4" w:rsidRPr="00EE2386" w:rsidRDefault="005128E4" w:rsidP="00040C3A">
      <w:pPr>
        <w:tabs>
          <w:tab w:val="center" w:pos="5400"/>
        </w:tabs>
        <w:suppressAutoHyphens/>
        <w:rPr>
          <w:rFonts w:ascii="Cambria" w:hAnsi="Cambria"/>
          <w:sz w:val="20"/>
          <w:szCs w:val="20"/>
          <w:lang w:val="es-ES_tradnl"/>
        </w:rPr>
      </w:pPr>
    </w:p>
    <w:p w14:paraId="3B32C316" w14:textId="77777777" w:rsidR="00040C3A" w:rsidRPr="00EE2386" w:rsidRDefault="00040C3A" w:rsidP="005128E4">
      <w:pPr>
        <w:tabs>
          <w:tab w:val="center" w:pos="5400"/>
        </w:tabs>
        <w:suppressAutoHyphens/>
        <w:jc w:val="center"/>
        <w:rPr>
          <w:rFonts w:ascii="Cambria" w:hAnsi="Cambria"/>
          <w:sz w:val="20"/>
          <w:szCs w:val="20"/>
          <w:lang w:val="es-ES_tradnl"/>
        </w:rPr>
      </w:pPr>
    </w:p>
    <w:p w14:paraId="2572F185" w14:textId="77777777" w:rsidR="00040C3A" w:rsidRPr="00EE2386" w:rsidRDefault="00040C3A" w:rsidP="005128E4">
      <w:pPr>
        <w:tabs>
          <w:tab w:val="center" w:pos="5400"/>
        </w:tabs>
        <w:suppressAutoHyphens/>
        <w:jc w:val="center"/>
        <w:rPr>
          <w:rFonts w:ascii="Cambria" w:hAnsi="Cambria"/>
          <w:sz w:val="20"/>
          <w:szCs w:val="20"/>
          <w:lang w:val="es-ES_tradnl"/>
        </w:rPr>
      </w:pPr>
    </w:p>
    <w:p w14:paraId="45A83C94" w14:textId="77777777" w:rsidR="005B52B0" w:rsidRPr="00EE2386" w:rsidRDefault="005B52B0" w:rsidP="005128E4">
      <w:pPr>
        <w:tabs>
          <w:tab w:val="center" w:pos="5400"/>
        </w:tabs>
        <w:suppressAutoHyphens/>
        <w:jc w:val="center"/>
        <w:rPr>
          <w:rFonts w:ascii="Cambria" w:hAnsi="Cambria"/>
          <w:sz w:val="20"/>
          <w:szCs w:val="20"/>
          <w:lang w:val="es-ES_tradnl"/>
        </w:rPr>
      </w:pPr>
    </w:p>
    <w:p w14:paraId="6228DB9F" w14:textId="77777777" w:rsidR="005B52B0" w:rsidRPr="00EE2386" w:rsidRDefault="005B52B0" w:rsidP="005128E4">
      <w:pPr>
        <w:tabs>
          <w:tab w:val="center" w:pos="5400"/>
        </w:tabs>
        <w:suppressAutoHyphens/>
        <w:jc w:val="center"/>
        <w:rPr>
          <w:rFonts w:ascii="Cambria" w:hAnsi="Cambria"/>
          <w:sz w:val="20"/>
          <w:szCs w:val="20"/>
          <w:lang w:val="es-ES_tradnl"/>
        </w:rPr>
      </w:pPr>
    </w:p>
    <w:p w14:paraId="547E4524" w14:textId="77777777" w:rsidR="005B52B0" w:rsidRPr="00EE2386" w:rsidRDefault="005B52B0" w:rsidP="005128E4">
      <w:pPr>
        <w:tabs>
          <w:tab w:val="center" w:pos="5400"/>
        </w:tabs>
        <w:suppressAutoHyphens/>
        <w:jc w:val="center"/>
        <w:rPr>
          <w:rFonts w:ascii="Cambria" w:hAnsi="Cambria"/>
          <w:sz w:val="20"/>
          <w:szCs w:val="20"/>
          <w:lang w:val="es-ES_tradnl"/>
        </w:rPr>
      </w:pPr>
    </w:p>
    <w:p w14:paraId="0B2F62E1" w14:textId="77777777" w:rsidR="00040C3A" w:rsidRPr="00EE2386" w:rsidRDefault="00040C3A" w:rsidP="00040C3A">
      <w:pPr>
        <w:tabs>
          <w:tab w:val="center" w:pos="5400"/>
        </w:tabs>
        <w:suppressAutoHyphens/>
        <w:jc w:val="center"/>
        <w:rPr>
          <w:rFonts w:ascii="Cambria" w:hAnsi="Cambria"/>
          <w:sz w:val="20"/>
          <w:szCs w:val="20"/>
          <w:lang w:val="es-ES_tradnl"/>
        </w:rPr>
      </w:pPr>
    </w:p>
    <w:p w14:paraId="33F0FB53" w14:textId="77777777" w:rsidR="00040C3A" w:rsidRPr="00EE2386" w:rsidRDefault="00040C3A" w:rsidP="00040C3A">
      <w:pPr>
        <w:tabs>
          <w:tab w:val="center" w:pos="5400"/>
        </w:tabs>
        <w:suppressAutoHyphens/>
        <w:jc w:val="center"/>
        <w:rPr>
          <w:rFonts w:ascii="Cambria" w:hAnsi="Cambria"/>
          <w:sz w:val="20"/>
          <w:szCs w:val="20"/>
          <w:lang w:val="es-ES_tradnl"/>
        </w:rPr>
      </w:pPr>
    </w:p>
    <w:p w14:paraId="3EE671B9" w14:textId="77777777" w:rsidR="00040C3A" w:rsidRPr="00EE2386" w:rsidRDefault="0011380E" w:rsidP="00040C3A">
      <w:pPr>
        <w:tabs>
          <w:tab w:val="center" w:pos="5400"/>
        </w:tabs>
        <w:suppressAutoHyphens/>
        <w:jc w:val="center"/>
        <w:rPr>
          <w:rFonts w:ascii="Cambria" w:hAnsi="Cambria"/>
          <w:sz w:val="20"/>
          <w:szCs w:val="20"/>
          <w:lang w:val="es-ES_tradnl"/>
        </w:rPr>
      </w:pPr>
      <w:r w:rsidRPr="00EE2386">
        <w:rPr>
          <w:rFonts w:ascii="Cambria" w:hAnsi="Cambria"/>
          <w:noProof/>
          <w:sz w:val="20"/>
          <w:szCs w:val="20"/>
        </w:rPr>
        <mc:AlternateContent>
          <mc:Choice Requires="wps">
            <w:drawing>
              <wp:anchor distT="0" distB="0" distL="114300" distR="114300" simplePos="0" relativeHeight="251671552" behindDoc="0" locked="0" layoutInCell="1" allowOverlap="1" wp14:anchorId="5ED5847F" wp14:editId="4048E3EA">
                <wp:simplePos x="0" y="0"/>
                <wp:positionH relativeFrom="column">
                  <wp:posOffset>-416966</wp:posOffset>
                </wp:positionH>
                <wp:positionV relativeFrom="paragraph">
                  <wp:posOffset>167818</wp:posOffset>
                </wp:positionV>
                <wp:extent cx="1463802"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63802"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B8D71" w14:textId="77777777" w:rsidR="00251E25" w:rsidRPr="001F2565" w:rsidRDefault="00251E2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9ADEE7C" w14:textId="77777777" w:rsidR="00251E25" w:rsidRPr="00941E39" w:rsidRDefault="00251E2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183</w:t>
                            </w:r>
                          </w:p>
                          <w:p w14:paraId="40A2DAFF" w14:textId="77777777" w:rsidR="00251E25" w:rsidRPr="007C756A" w:rsidRDefault="00251E25" w:rsidP="006351ED">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14 junio </w:t>
                            </w:r>
                            <w:r w:rsidRPr="007C756A">
                              <w:rPr>
                                <w:rFonts w:asciiTheme="minorHAnsi" w:hAnsiTheme="minorHAnsi"/>
                                <w:color w:val="FFFFFF" w:themeColor="background1"/>
                                <w:sz w:val="22"/>
                                <w:lang w:val="es-US"/>
                              </w:rPr>
                              <w:t>20</w:t>
                            </w:r>
                            <w:r>
                              <w:rPr>
                                <w:rFonts w:asciiTheme="minorHAnsi" w:hAnsiTheme="minorHAnsi"/>
                                <w:color w:val="FFFFFF" w:themeColor="background1"/>
                                <w:sz w:val="22"/>
                                <w:lang w:val="es-US"/>
                              </w:rPr>
                              <w:t>20</w:t>
                            </w:r>
                          </w:p>
                          <w:p w14:paraId="42B83B35" w14:textId="77777777" w:rsidR="00251E25" w:rsidRPr="007C756A" w:rsidRDefault="00251E25"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5847F" id="Text Box 8" o:spid="_x0000_s1027" type="#_x0000_t202" style="position:absolute;left:0;text-align:left;margin-left:-32.85pt;margin-top:13.2pt;width:115.2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" filled="f" stroked="f" strokeweight=".5pt">
                <v:textbox>
                  <w:txbxContent>
                    <w:p w14:paraId="3A3B8D71" w14:textId="77777777" w:rsidR="00251E25" w:rsidRPr="001F2565" w:rsidRDefault="00251E2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9ADEE7C" w14:textId="77777777" w:rsidR="00251E25" w:rsidRPr="00941E39" w:rsidRDefault="00251E2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183</w:t>
                      </w:r>
                    </w:p>
                    <w:p w14:paraId="40A2DAFF" w14:textId="77777777" w:rsidR="00251E25" w:rsidRPr="007C756A" w:rsidRDefault="00251E25" w:rsidP="006351ED">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14 junio </w:t>
                      </w:r>
                      <w:r w:rsidRPr="007C756A">
                        <w:rPr>
                          <w:rFonts w:asciiTheme="minorHAnsi" w:hAnsiTheme="minorHAnsi"/>
                          <w:color w:val="FFFFFF" w:themeColor="background1"/>
                          <w:sz w:val="22"/>
                          <w:lang w:val="es-US"/>
                        </w:rPr>
                        <w:t>20</w:t>
                      </w:r>
                      <w:r>
                        <w:rPr>
                          <w:rFonts w:asciiTheme="minorHAnsi" w:hAnsiTheme="minorHAnsi"/>
                          <w:color w:val="FFFFFF" w:themeColor="background1"/>
                          <w:sz w:val="22"/>
                          <w:lang w:val="es-US"/>
                        </w:rPr>
                        <w:t>20</w:t>
                      </w:r>
                    </w:p>
                    <w:p w14:paraId="42B83B35" w14:textId="77777777" w:rsidR="00251E25" w:rsidRPr="007C756A" w:rsidRDefault="00251E25"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r w:rsidR="003D3BC2" w:rsidRPr="00EE2386">
        <w:rPr>
          <w:rFonts w:ascii="Cambria" w:hAnsi="Cambria"/>
          <w:noProof/>
          <w:sz w:val="20"/>
          <w:szCs w:val="20"/>
        </w:rPr>
        <mc:AlternateContent>
          <mc:Choice Requires="wps">
            <w:drawing>
              <wp:anchor distT="0" distB="0" distL="114300" distR="114300" simplePos="0" relativeHeight="251669504" behindDoc="0" locked="0" layoutInCell="1" allowOverlap="1" wp14:anchorId="475C5170" wp14:editId="3BAD0FD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CB144" w14:textId="77777777" w:rsidR="00251E25" w:rsidRPr="00A9586B" w:rsidRDefault="00251E25" w:rsidP="00997BC5">
                            <w:pPr>
                              <w:spacing w:line="276" w:lineRule="auto"/>
                              <w:rPr>
                                <w:rFonts w:asciiTheme="majorHAnsi" w:hAnsiTheme="majorHAnsi" w:cs="Arial"/>
                                <w:b/>
                                <w:bCs/>
                                <w:color w:val="0D0D0D" w:themeColor="text1" w:themeTint="F2"/>
                                <w:sz w:val="36"/>
                                <w:szCs w:val="22"/>
                                <w:lang w:val="es-US"/>
                              </w:rPr>
                            </w:pPr>
                            <w:r w:rsidRPr="00A9586B">
                              <w:rPr>
                                <w:rFonts w:asciiTheme="majorHAnsi" w:hAnsiTheme="majorHAnsi" w:cs="Arial"/>
                                <w:b/>
                                <w:bCs/>
                                <w:color w:val="0D0D0D" w:themeColor="text1" w:themeTint="F2"/>
                                <w:sz w:val="36"/>
                                <w:szCs w:val="22"/>
                                <w:lang w:val="es-US"/>
                              </w:rPr>
                              <w:t xml:space="preserve">INFORME </w:t>
                            </w:r>
                            <w:r w:rsidRPr="00A9586B">
                              <w:rPr>
                                <w:rFonts w:asciiTheme="majorHAnsi" w:hAnsiTheme="majorHAnsi" w:cs="Arial"/>
                                <w:b/>
                                <w:bCs/>
                                <w:color w:val="0D0D0D" w:themeColor="text1" w:themeTint="F2"/>
                                <w:sz w:val="36"/>
                                <w:szCs w:val="40"/>
                                <w:lang w:val="es-US"/>
                              </w:rPr>
                              <w:t>No.</w:t>
                            </w:r>
                            <w:r>
                              <w:rPr>
                                <w:rFonts w:asciiTheme="majorHAnsi" w:hAnsiTheme="majorHAnsi" w:cs="Arial"/>
                                <w:b/>
                                <w:bCs/>
                                <w:color w:val="0D0D0D" w:themeColor="text1" w:themeTint="F2"/>
                                <w:sz w:val="36"/>
                                <w:szCs w:val="22"/>
                                <w:lang w:val="es-US"/>
                              </w:rPr>
                              <w:t xml:space="preserve"> 173</w:t>
                            </w:r>
                            <w:r w:rsidRPr="00A9586B">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20</w:t>
                            </w:r>
                          </w:p>
                          <w:p w14:paraId="5A597450" w14:textId="77777777" w:rsidR="00251E25" w:rsidRPr="00DF47DE" w:rsidRDefault="00251E25" w:rsidP="00997BC5">
                            <w:pPr>
                              <w:spacing w:line="276" w:lineRule="auto"/>
                              <w:rPr>
                                <w:rFonts w:asciiTheme="majorHAnsi" w:hAnsiTheme="majorHAnsi" w:cs="Arial"/>
                                <w:b/>
                                <w:color w:val="0D0D0D" w:themeColor="text1" w:themeTint="F2"/>
                                <w:sz w:val="36"/>
                                <w:szCs w:val="22"/>
                                <w:lang w:val="es-US"/>
                              </w:rPr>
                            </w:pPr>
                            <w:r>
                              <w:rPr>
                                <w:rFonts w:asciiTheme="majorHAnsi" w:hAnsiTheme="majorHAnsi" w:cs="Arial"/>
                                <w:b/>
                                <w:color w:val="0D0D0D" w:themeColor="text1" w:themeTint="F2"/>
                                <w:sz w:val="36"/>
                                <w:szCs w:val="22"/>
                                <w:lang w:val="es-US"/>
                              </w:rPr>
                              <w:t>CASO 12</w:t>
                            </w:r>
                            <w:r w:rsidRPr="00DF47DE">
                              <w:rPr>
                                <w:rFonts w:asciiTheme="majorHAnsi" w:hAnsiTheme="majorHAnsi" w:cs="Arial"/>
                                <w:b/>
                                <w:color w:val="0D0D0D" w:themeColor="text1" w:themeTint="F2"/>
                                <w:sz w:val="36"/>
                                <w:szCs w:val="22"/>
                                <w:lang w:val="es-US"/>
                              </w:rPr>
                              <w:t>.</w:t>
                            </w:r>
                            <w:r>
                              <w:rPr>
                                <w:rFonts w:asciiTheme="majorHAnsi" w:hAnsiTheme="majorHAnsi" w:cs="Arial"/>
                                <w:b/>
                                <w:color w:val="0D0D0D" w:themeColor="text1" w:themeTint="F2"/>
                                <w:sz w:val="36"/>
                                <w:szCs w:val="22"/>
                                <w:lang w:val="es-US"/>
                              </w:rPr>
                              <w:t>809</w:t>
                            </w:r>
                          </w:p>
                          <w:p w14:paraId="34D00F95" w14:textId="77777777" w:rsidR="00251E25" w:rsidRPr="0010736F" w:rsidRDefault="00251E25"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2CF29DE6" w14:textId="77777777" w:rsidR="00251E25" w:rsidRPr="0010736F" w:rsidRDefault="00251E25"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2A04111" w14:textId="77777777" w:rsidR="00251E25" w:rsidRDefault="00251E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ANÍBAL ALONSO AGUAS ACOSTA Y FAMILIA</w:t>
                            </w:r>
                          </w:p>
                          <w:p w14:paraId="08ED1214" w14:textId="77777777" w:rsidR="00251E25" w:rsidRPr="0010736F" w:rsidRDefault="00251E2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9DB4822" w14:textId="77777777" w:rsidR="00251E25" w:rsidRPr="00AE5488" w:rsidRDefault="00251E2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C5170"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73ECB144" w14:textId="77777777" w:rsidR="00251E25" w:rsidRPr="00A9586B" w:rsidRDefault="00251E25" w:rsidP="00997BC5">
                      <w:pPr>
                        <w:spacing w:line="276" w:lineRule="auto"/>
                        <w:rPr>
                          <w:rFonts w:asciiTheme="majorHAnsi" w:hAnsiTheme="majorHAnsi" w:cs="Arial"/>
                          <w:b/>
                          <w:bCs/>
                          <w:color w:val="0D0D0D" w:themeColor="text1" w:themeTint="F2"/>
                          <w:sz w:val="36"/>
                          <w:szCs w:val="22"/>
                          <w:lang w:val="es-US"/>
                        </w:rPr>
                      </w:pPr>
                      <w:r w:rsidRPr="00A9586B">
                        <w:rPr>
                          <w:rFonts w:asciiTheme="majorHAnsi" w:hAnsiTheme="majorHAnsi" w:cs="Arial"/>
                          <w:b/>
                          <w:bCs/>
                          <w:color w:val="0D0D0D" w:themeColor="text1" w:themeTint="F2"/>
                          <w:sz w:val="36"/>
                          <w:szCs w:val="22"/>
                          <w:lang w:val="es-US"/>
                        </w:rPr>
                        <w:t xml:space="preserve">INFORME </w:t>
                      </w:r>
                      <w:r w:rsidRPr="00A9586B">
                        <w:rPr>
                          <w:rFonts w:asciiTheme="majorHAnsi" w:hAnsiTheme="majorHAnsi" w:cs="Arial"/>
                          <w:b/>
                          <w:bCs/>
                          <w:color w:val="0D0D0D" w:themeColor="text1" w:themeTint="F2"/>
                          <w:sz w:val="36"/>
                          <w:szCs w:val="40"/>
                          <w:lang w:val="es-US"/>
                        </w:rPr>
                        <w:t>No.</w:t>
                      </w:r>
                      <w:r>
                        <w:rPr>
                          <w:rFonts w:asciiTheme="majorHAnsi" w:hAnsiTheme="majorHAnsi" w:cs="Arial"/>
                          <w:b/>
                          <w:bCs/>
                          <w:color w:val="0D0D0D" w:themeColor="text1" w:themeTint="F2"/>
                          <w:sz w:val="36"/>
                          <w:szCs w:val="22"/>
                          <w:lang w:val="es-US"/>
                        </w:rPr>
                        <w:t xml:space="preserve"> 173</w:t>
                      </w:r>
                      <w:r w:rsidRPr="00A9586B">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20</w:t>
                      </w:r>
                    </w:p>
                    <w:p w14:paraId="5A597450" w14:textId="77777777" w:rsidR="00251E25" w:rsidRPr="00DF47DE" w:rsidRDefault="00251E25" w:rsidP="00997BC5">
                      <w:pPr>
                        <w:spacing w:line="276" w:lineRule="auto"/>
                        <w:rPr>
                          <w:rFonts w:asciiTheme="majorHAnsi" w:hAnsiTheme="majorHAnsi" w:cs="Arial"/>
                          <w:b/>
                          <w:color w:val="0D0D0D" w:themeColor="text1" w:themeTint="F2"/>
                          <w:sz w:val="36"/>
                          <w:szCs w:val="22"/>
                          <w:lang w:val="es-US"/>
                        </w:rPr>
                      </w:pPr>
                      <w:r>
                        <w:rPr>
                          <w:rFonts w:asciiTheme="majorHAnsi" w:hAnsiTheme="majorHAnsi" w:cs="Arial"/>
                          <w:b/>
                          <w:color w:val="0D0D0D" w:themeColor="text1" w:themeTint="F2"/>
                          <w:sz w:val="36"/>
                          <w:szCs w:val="22"/>
                          <w:lang w:val="es-US"/>
                        </w:rPr>
                        <w:t>CASO 12</w:t>
                      </w:r>
                      <w:r w:rsidRPr="00DF47DE">
                        <w:rPr>
                          <w:rFonts w:asciiTheme="majorHAnsi" w:hAnsiTheme="majorHAnsi" w:cs="Arial"/>
                          <w:b/>
                          <w:color w:val="0D0D0D" w:themeColor="text1" w:themeTint="F2"/>
                          <w:sz w:val="36"/>
                          <w:szCs w:val="22"/>
                          <w:lang w:val="es-US"/>
                        </w:rPr>
                        <w:t>.</w:t>
                      </w:r>
                      <w:r>
                        <w:rPr>
                          <w:rFonts w:asciiTheme="majorHAnsi" w:hAnsiTheme="majorHAnsi" w:cs="Arial"/>
                          <w:b/>
                          <w:color w:val="0D0D0D" w:themeColor="text1" w:themeTint="F2"/>
                          <w:sz w:val="36"/>
                          <w:szCs w:val="22"/>
                          <w:lang w:val="es-US"/>
                        </w:rPr>
                        <w:t>809</w:t>
                      </w:r>
                    </w:p>
                    <w:p w14:paraId="34D00F95" w14:textId="77777777" w:rsidR="00251E25" w:rsidRPr="0010736F" w:rsidRDefault="00251E25"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2CF29DE6" w14:textId="77777777" w:rsidR="00251E25" w:rsidRPr="0010736F" w:rsidRDefault="00251E25"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2A04111" w14:textId="77777777" w:rsidR="00251E25" w:rsidRDefault="00251E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ANÍBAL ALONSO AGUAS ACOSTA Y FAMILIA</w:t>
                      </w:r>
                    </w:p>
                    <w:p w14:paraId="08ED1214" w14:textId="77777777" w:rsidR="00251E25" w:rsidRPr="0010736F" w:rsidRDefault="00251E2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9DB4822" w14:textId="77777777" w:rsidR="00251E25" w:rsidRPr="00AE5488" w:rsidRDefault="00251E25" w:rsidP="007A5817">
                      <w:pPr>
                        <w:rPr>
                          <w:color w:val="0D0D0D" w:themeColor="text1" w:themeTint="F2"/>
                          <w:lang w:val="es-ES_tradnl"/>
                        </w:rPr>
                      </w:pPr>
                    </w:p>
                  </w:txbxContent>
                </v:textbox>
              </v:shape>
            </w:pict>
          </mc:Fallback>
        </mc:AlternateContent>
      </w:r>
    </w:p>
    <w:p w14:paraId="29A5A67E" w14:textId="77777777" w:rsidR="00040C3A" w:rsidRPr="00EE2386" w:rsidRDefault="00040C3A" w:rsidP="00040C3A">
      <w:pPr>
        <w:tabs>
          <w:tab w:val="center" w:pos="5400"/>
        </w:tabs>
        <w:suppressAutoHyphens/>
        <w:jc w:val="center"/>
        <w:rPr>
          <w:rFonts w:ascii="Cambria" w:hAnsi="Cambria"/>
          <w:sz w:val="20"/>
          <w:szCs w:val="20"/>
          <w:lang w:val="es-ES_tradnl"/>
        </w:rPr>
      </w:pPr>
    </w:p>
    <w:p w14:paraId="52F0F2E9" w14:textId="77777777" w:rsidR="00040C3A" w:rsidRPr="00EE2386" w:rsidRDefault="00040C3A" w:rsidP="00040C3A">
      <w:pPr>
        <w:tabs>
          <w:tab w:val="center" w:pos="5400"/>
        </w:tabs>
        <w:suppressAutoHyphens/>
        <w:jc w:val="center"/>
        <w:rPr>
          <w:rFonts w:ascii="Cambria" w:hAnsi="Cambria"/>
          <w:sz w:val="20"/>
          <w:szCs w:val="20"/>
          <w:lang w:val="es-ES_tradnl"/>
        </w:rPr>
      </w:pPr>
    </w:p>
    <w:p w14:paraId="00A3A4E6" w14:textId="77777777" w:rsidR="00040C3A" w:rsidRPr="00EE2386" w:rsidRDefault="00040C3A" w:rsidP="00040C3A">
      <w:pPr>
        <w:tabs>
          <w:tab w:val="center" w:pos="5400"/>
        </w:tabs>
        <w:suppressAutoHyphens/>
        <w:jc w:val="center"/>
        <w:rPr>
          <w:rFonts w:ascii="Cambria" w:hAnsi="Cambria" w:cs="Arial"/>
          <w:sz w:val="20"/>
          <w:szCs w:val="20"/>
          <w:lang w:val="es-ES_tradnl"/>
        </w:rPr>
      </w:pPr>
    </w:p>
    <w:p w14:paraId="20F9AD46" w14:textId="77777777" w:rsidR="00040C3A" w:rsidRPr="00EE2386" w:rsidRDefault="00040C3A" w:rsidP="00040C3A">
      <w:pPr>
        <w:tabs>
          <w:tab w:val="center" w:pos="5400"/>
        </w:tabs>
        <w:suppressAutoHyphens/>
        <w:jc w:val="center"/>
        <w:rPr>
          <w:rFonts w:ascii="Cambria" w:hAnsi="Cambria"/>
          <w:sz w:val="20"/>
          <w:szCs w:val="20"/>
          <w:lang w:val="es-ES_tradnl"/>
        </w:rPr>
      </w:pPr>
    </w:p>
    <w:p w14:paraId="2579263B" w14:textId="77777777" w:rsidR="00040C3A" w:rsidRPr="00EE2386" w:rsidRDefault="00040C3A" w:rsidP="00040C3A">
      <w:pPr>
        <w:tabs>
          <w:tab w:val="center" w:pos="5400"/>
        </w:tabs>
        <w:suppressAutoHyphens/>
        <w:jc w:val="center"/>
        <w:rPr>
          <w:rFonts w:ascii="Cambria" w:hAnsi="Cambria"/>
          <w:sz w:val="20"/>
          <w:szCs w:val="20"/>
          <w:lang w:val="es-ES_tradnl"/>
        </w:rPr>
      </w:pPr>
    </w:p>
    <w:p w14:paraId="33BC7592" w14:textId="77777777" w:rsidR="00040C3A" w:rsidRPr="00EE2386" w:rsidRDefault="00040C3A" w:rsidP="00040C3A">
      <w:pPr>
        <w:tabs>
          <w:tab w:val="center" w:pos="5400"/>
        </w:tabs>
        <w:suppressAutoHyphens/>
        <w:jc w:val="center"/>
        <w:rPr>
          <w:rFonts w:ascii="Cambria" w:hAnsi="Cambria"/>
          <w:sz w:val="20"/>
          <w:szCs w:val="20"/>
          <w:lang w:val="es-ES_tradnl"/>
        </w:rPr>
      </w:pPr>
    </w:p>
    <w:p w14:paraId="5FF732D9" w14:textId="77777777" w:rsidR="00040C3A" w:rsidRPr="00EE2386" w:rsidRDefault="00040C3A" w:rsidP="00040C3A">
      <w:pPr>
        <w:tabs>
          <w:tab w:val="center" w:pos="5400"/>
        </w:tabs>
        <w:suppressAutoHyphens/>
        <w:jc w:val="center"/>
        <w:rPr>
          <w:rFonts w:ascii="Cambria" w:hAnsi="Cambria"/>
          <w:sz w:val="20"/>
          <w:szCs w:val="20"/>
          <w:lang w:val="es-ES_tradnl"/>
        </w:rPr>
      </w:pPr>
    </w:p>
    <w:p w14:paraId="296697FF" w14:textId="77777777" w:rsidR="005128E4" w:rsidRPr="00EE2386" w:rsidRDefault="005128E4" w:rsidP="00040C3A">
      <w:pPr>
        <w:tabs>
          <w:tab w:val="center" w:pos="5400"/>
        </w:tabs>
        <w:suppressAutoHyphens/>
        <w:jc w:val="center"/>
        <w:rPr>
          <w:rFonts w:ascii="Cambria" w:hAnsi="Cambria"/>
          <w:sz w:val="20"/>
          <w:szCs w:val="20"/>
          <w:lang w:val="es-ES_tradnl"/>
        </w:rPr>
      </w:pPr>
    </w:p>
    <w:p w14:paraId="5FE1D5AC" w14:textId="77777777" w:rsidR="00040C3A" w:rsidRPr="00EE2386" w:rsidRDefault="00040C3A" w:rsidP="00040C3A">
      <w:pPr>
        <w:tabs>
          <w:tab w:val="center" w:pos="5400"/>
        </w:tabs>
        <w:suppressAutoHyphens/>
        <w:jc w:val="center"/>
        <w:rPr>
          <w:rFonts w:ascii="Cambria" w:hAnsi="Cambria"/>
          <w:sz w:val="20"/>
          <w:szCs w:val="20"/>
          <w:lang w:val="es-ES_tradnl"/>
        </w:rPr>
      </w:pPr>
    </w:p>
    <w:p w14:paraId="75CEFE9F" w14:textId="77777777" w:rsidR="005128E4" w:rsidRPr="00EE2386" w:rsidRDefault="005128E4" w:rsidP="00040C3A">
      <w:pPr>
        <w:tabs>
          <w:tab w:val="center" w:pos="5400"/>
        </w:tabs>
        <w:suppressAutoHyphens/>
        <w:jc w:val="center"/>
        <w:rPr>
          <w:rFonts w:ascii="Cambria" w:hAnsi="Cambria"/>
          <w:sz w:val="20"/>
          <w:szCs w:val="20"/>
          <w:lang w:val="es-ES_tradnl"/>
        </w:rPr>
      </w:pPr>
    </w:p>
    <w:p w14:paraId="210B237B" w14:textId="77777777" w:rsidR="005128E4" w:rsidRPr="00EE2386" w:rsidRDefault="005128E4" w:rsidP="00040C3A">
      <w:pPr>
        <w:tabs>
          <w:tab w:val="center" w:pos="5400"/>
        </w:tabs>
        <w:suppressAutoHyphens/>
        <w:jc w:val="center"/>
        <w:rPr>
          <w:rFonts w:ascii="Cambria" w:hAnsi="Cambria"/>
          <w:sz w:val="20"/>
          <w:szCs w:val="20"/>
          <w:lang w:val="es-ES_tradnl"/>
        </w:rPr>
      </w:pPr>
    </w:p>
    <w:p w14:paraId="435CFA21" w14:textId="77777777" w:rsidR="005128E4" w:rsidRPr="00EE2386" w:rsidRDefault="005128E4" w:rsidP="00040C3A">
      <w:pPr>
        <w:tabs>
          <w:tab w:val="center" w:pos="5400"/>
        </w:tabs>
        <w:suppressAutoHyphens/>
        <w:jc w:val="center"/>
        <w:rPr>
          <w:rFonts w:ascii="Cambria" w:hAnsi="Cambria"/>
          <w:sz w:val="20"/>
          <w:szCs w:val="20"/>
          <w:lang w:val="es-ES_tradnl"/>
        </w:rPr>
      </w:pPr>
    </w:p>
    <w:p w14:paraId="60F492A9" w14:textId="77777777" w:rsidR="00040C3A" w:rsidRPr="00EE2386" w:rsidRDefault="00040C3A" w:rsidP="00040C3A">
      <w:pPr>
        <w:tabs>
          <w:tab w:val="center" w:pos="5400"/>
        </w:tabs>
        <w:suppressAutoHyphens/>
        <w:jc w:val="center"/>
        <w:rPr>
          <w:rFonts w:ascii="Cambria" w:hAnsi="Cambria"/>
          <w:sz w:val="20"/>
          <w:szCs w:val="20"/>
          <w:lang w:val="es-ES_tradnl"/>
        </w:rPr>
      </w:pPr>
    </w:p>
    <w:p w14:paraId="21AB52F6" w14:textId="77777777" w:rsidR="00040C3A" w:rsidRPr="00EE2386" w:rsidRDefault="00040C3A" w:rsidP="00040C3A">
      <w:pPr>
        <w:tabs>
          <w:tab w:val="center" w:pos="5400"/>
        </w:tabs>
        <w:suppressAutoHyphens/>
        <w:jc w:val="center"/>
        <w:rPr>
          <w:rFonts w:ascii="Cambria" w:hAnsi="Cambria"/>
          <w:sz w:val="20"/>
          <w:szCs w:val="20"/>
          <w:lang w:val="es-ES_tradnl"/>
        </w:rPr>
      </w:pPr>
    </w:p>
    <w:p w14:paraId="449A5A9E" w14:textId="77777777" w:rsidR="00A50FCF" w:rsidRPr="00EE2386" w:rsidRDefault="00A50FCF" w:rsidP="00040C3A">
      <w:pPr>
        <w:tabs>
          <w:tab w:val="center" w:pos="5400"/>
        </w:tabs>
        <w:suppressAutoHyphens/>
        <w:jc w:val="center"/>
        <w:rPr>
          <w:rFonts w:ascii="Cambria" w:hAnsi="Cambria"/>
          <w:sz w:val="20"/>
          <w:szCs w:val="20"/>
          <w:lang w:val="es-ES_tradnl"/>
        </w:rPr>
      </w:pPr>
    </w:p>
    <w:p w14:paraId="70934287" w14:textId="77777777" w:rsidR="00A50FCF" w:rsidRPr="00EE2386" w:rsidRDefault="00A50FCF" w:rsidP="00040C3A">
      <w:pPr>
        <w:tabs>
          <w:tab w:val="center" w:pos="5400"/>
        </w:tabs>
        <w:suppressAutoHyphens/>
        <w:jc w:val="center"/>
        <w:rPr>
          <w:rFonts w:ascii="Cambria" w:hAnsi="Cambria"/>
          <w:sz w:val="20"/>
          <w:szCs w:val="20"/>
          <w:lang w:val="es-ES_tradnl"/>
        </w:rPr>
      </w:pPr>
    </w:p>
    <w:p w14:paraId="5C6C1ACB" w14:textId="77777777" w:rsidR="00A50FCF" w:rsidRPr="00EE2386" w:rsidRDefault="00A50FCF" w:rsidP="00040C3A">
      <w:pPr>
        <w:tabs>
          <w:tab w:val="center" w:pos="5400"/>
        </w:tabs>
        <w:suppressAutoHyphens/>
        <w:jc w:val="center"/>
        <w:rPr>
          <w:rFonts w:ascii="Cambria" w:hAnsi="Cambria"/>
          <w:sz w:val="20"/>
          <w:szCs w:val="20"/>
          <w:lang w:val="es-ES_tradnl"/>
        </w:rPr>
      </w:pPr>
    </w:p>
    <w:p w14:paraId="3A4CD15C" w14:textId="77777777" w:rsidR="00A50FCF" w:rsidRPr="00EE2386" w:rsidRDefault="00A50FCF" w:rsidP="00040C3A">
      <w:pPr>
        <w:tabs>
          <w:tab w:val="center" w:pos="5400"/>
        </w:tabs>
        <w:suppressAutoHyphens/>
        <w:jc w:val="center"/>
        <w:rPr>
          <w:rFonts w:ascii="Cambria" w:hAnsi="Cambria"/>
          <w:sz w:val="20"/>
          <w:szCs w:val="20"/>
          <w:lang w:val="es-ES_tradnl"/>
        </w:rPr>
      </w:pPr>
    </w:p>
    <w:p w14:paraId="30089AAD" w14:textId="77777777" w:rsidR="00A50FCF" w:rsidRPr="00EE2386" w:rsidRDefault="00A50FCF" w:rsidP="00040C3A">
      <w:pPr>
        <w:tabs>
          <w:tab w:val="center" w:pos="5400"/>
        </w:tabs>
        <w:suppressAutoHyphens/>
        <w:jc w:val="center"/>
        <w:rPr>
          <w:rFonts w:ascii="Cambria" w:hAnsi="Cambria"/>
          <w:sz w:val="20"/>
          <w:szCs w:val="20"/>
          <w:lang w:val="es-ES_tradnl"/>
        </w:rPr>
      </w:pPr>
    </w:p>
    <w:p w14:paraId="5522BA09" w14:textId="77777777" w:rsidR="00A50FCF" w:rsidRPr="00EE2386" w:rsidRDefault="00A50FCF" w:rsidP="00040C3A">
      <w:pPr>
        <w:tabs>
          <w:tab w:val="center" w:pos="5400"/>
        </w:tabs>
        <w:suppressAutoHyphens/>
        <w:jc w:val="center"/>
        <w:rPr>
          <w:rFonts w:ascii="Cambria" w:hAnsi="Cambria"/>
          <w:sz w:val="20"/>
          <w:szCs w:val="20"/>
          <w:lang w:val="es-ES_tradnl"/>
        </w:rPr>
      </w:pPr>
    </w:p>
    <w:p w14:paraId="3047C748" w14:textId="77777777" w:rsidR="00A50FCF" w:rsidRPr="00EE2386" w:rsidRDefault="00A50FCF" w:rsidP="00040C3A">
      <w:pPr>
        <w:tabs>
          <w:tab w:val="center" w:pos="5400"/>
        </w:tabs>
        <w:suppressAutoHyphens/>
        <w:jc w:val="center"/>
        <w:rPr>
          <w:rFonts w:ascii="Cambria" w:hAnsi="Cambria"/>
          <w:sz w:val="20"/>
          <w:szCs w:val="20"/>
          <w:lang w:val="es-ES_tradnl"/>
        </w:rPr>
      </w:pPr>
    </w:p>
    <w:p w14:paraId="4CB4F118" w14:textId="77777777" w:rsidR="00A50FCF" w:rsidRPr="00EE2386" w:rsidRDefault="00A50FCF" w:rsidP="00040C3A">
      <w:pPr>
        <w:tabs>
          <w:tab w:val="center" w:pos="5400"/>
        </w:tabs>
        <w:suppressAutoHyphens/>
        <w:jc w:val="center"/>
        <w:rPr>
          <w:rFonts w:ascii="Cambria" w:hAnsi="Cambria"/>
          <w:sz w:val="20"/>
          <w:szCs w:val="20"/>
          <w:lang w:val="es-ES_tradnl"/>
        </w:rPr>
      </w:pPr>
    </w:p>
    <w:p w14:paraId="5491FAB0" w14:textId="77777777" w:rsidR="00A50FCF" w:rsidRPr="00EE2386" w:rsidRDefault="00A50FCF" w:rsidP="00040C3A">
      <w:pPr>
        <w:tabs>
          <w:tab w:val="center" w:pos="5400"/>
        </w:tabs>
        <w:suppressAutoHyphens/>
        <w:jc w:val="center"/>
        <w:rPr>
          <w:rFonts w:ascii="Cambria" w:hAnsi="Cambria"/>
          <w:sz w:val="20"/>
          <w:szCs w:val="20"/>
          <w:lang w:val="es-ES_tradnl"/>
        </w:rPr>
      </w:pPr>
    </w:p>
    <w:p w14:paraId="7F4B0B06" w14:textId="77777777" w:rsidR="00A50FCF" w:rsidRPr="00EE2386" w:rsidRDefault="00A50FCF" w:rsidP="00040C3A">
      <w:pPr>
        <w:tabs>
          <w:tab w:val="center" w:pos="5400"/>
        </w:tabs>
        <w:suppressAutoHyphens/>
        <w:jc w:val="center"/>
        <w:rPr>
          <w:rFonts w:ascii="Cambria" w:hAnsi="Cambria"/>
          <w:sz w:val="20"/>
          <w:szCs w:val="20"/>
          <w:lang w:val="es-ES_tradnl"/>
        </w:rPr>
      </w:pPr>
    </w:p>
    <w:p w14:paraId="7CF2E441" w14:textId="77777777" w:rsidR="00A50FCF" w:rsidRPr="00EE2386" w:rsidRDefault="00A50FCF" w:rsidP="00040C3A">
      <w:pPr>
        <w:tabs>
          <w:tab w:val="center" w:pos="5400"/>
        </w:tabs>
        <w:suppressAutoHyphens/>
        <w:jc w:val="center"/>
        <w:rPr>
          <w:rFonts w:ascii="Cambria" w:hAnsi="Cambria"/>
          <w:sz w:val="20"/>
          <w:szCs w:val="20"/>
          <w:lang w:val="es-ES_tradnl"/>
        </w:rPr>
      </w:pPr>
    </w:p>
    <w:p w14:paraId="0D2B9437" w14:textId="77777777" w:rsidR="00A50FCF" w:rsidRPr="00EE2386" w:rsidRDefault="00A50FCF" w:rsidP="00040C3A">
      <w:pPr>
        <w:tabs>
          <w:tab w:val="center" w:pos="5400"/>
        </w:tabs>
        <w:suppressAutoHyphens/>
        <w:jc w:val="center"/>
        <w:rPr>
          <w:rFonts w:ascii="Cambria" w:hAnsi="Cambria"/>
          <w:sz w:val="20"/>
          <w:szCs w:val="20"/>
          <w:lang w:val="es-ES_tradnl"/>
        </w:rPr>
      </w:pPr>
    </w:p>
    <w:p w14:paraId="5BE1CC88" w14:textId="77777777" w:rsidR="00A50FCF" w:rsidRPr="00EE2386" w:rsidRDefault="00A50FCF" w:rsidP="00040C3A">
      <w:pPr>
        <w:tabs>
          <w:tab w:val="center" w:pos="5400"/>
        </w:tabs>
        <w:suppressAutoHyphens/>
        <w:jc w:val="center"/>
        <w:rPr>
          <w:rFonts w:ascii="Cambria" w:hAnsi="Cambria"/>
          <w:sz w:val="20"/>
          <w:szCs w:val="20"/>
          <w:lang w:val="es-ES_tradnl"/>
        </w:rPr>
      </w:pPr>
    </w:p>
    <w:p w14:paraId="00707359" w14:textId="77777777" w:rsidR="00A50FCF" w:rsidRPr="00EE2386" w:rsidRDefault="00A50FCF" w:rsidP="00040C3A">
      <w:pPr>
        <w:tabs>
          <w:tab w:val="center" w:pos="5400"/>
        </w:tabs>
        <w:suppressAutoHyphens/>
        <w:jc w:val="center"/>
        <w:rPr>
          <w:rFonts w:ascii="Cambria" w:hAnsi="Cambria"/>
          <w:sz w:val="20"/>
          <w:szCs w:val="20"/>
          <w:lang w:val="es-ES_tradnl"/>
        </w:rPr>
      </w:pPr>
    </w:p>
    <w:p w14:paraId="7505CD0F" w14:textId="77777777" w:rsidR="00A50FCF" w:rsidRPr="00EE2386" w:rsidRDefault="0090270B" w:rsidP="00040C3A">
      <w:pPr>
        <w:tabs>
          <w:tab w:val="center" w:pos="5400"/>
        </w:tabs>
        <w:suppressAutoHyphens/>
        <w:jc w:val="center"/>
        <w:rPr>
          <w:rFonts w:ascii="Cambria" w:hAnsi="Cambria"/>
          <w:sz w:val="20"/>
          <w:szCs w:val="20"/>
          <w:lang w:val="es-ES_tradnl"/>
        </w:rPr>
      </w:pPr>
      <w:r w:rsidRPr="00EE2386">
        <w:rPr>
          <w:rFonts w:ascii="Cambria" w:hAnsi="Cambria"/>
          <w:noProof/>
          <w:sz w:val="20"/>
          <w:szCs w:val="20"/>
        </w:rPr>
        <mc:AlternateContent>
          <mc:Choice Requires="wps">
            <w:drawing>
              <wp:anchor distT="0" distB="0" distL="114300" distR="114300" simplePos="0" relativeHeight="251670528" behindDoc="0" locked="0" layoutInCell="1" allowOverlap="1" wp14:anchorId="7944FF32" wp14:editId="66FF10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0636F" w14:textId="77777777" w:rsidR="00251E25" w:rsidRPr="008C7E1A" w:rsidRDefault="00251E25"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Pr>
                                <w:rFonts w:asciiTheme="majorHAnsi" w:hAnsiTheme="majorHAnsi"/>
                                <w:color w:val="0D0D0D" w:themeColor="text1" w:themeTint="F2"/>
                                <w:sz w:val="18"/>
                                <w:szCs w:val="20"/>
                                <w:lang w:val="es-ES"/>
                              </w:rPr>
                              <w:t>el 14 de junio de 2020</w:t>
                            </w:r>
                            <w:r w:rsidRPr="00890650">
                              <w:rPr>
                                <w:rFonts w:asciiTheme="majorHAnsi" w:hAnsiTheme="majorHAnsi"/>
                                <w:color w:val="0D0D0D" w:themeColor="text1" w:themeTint="F2"/>
                                <w:sz w:val="18"/>
                                <w:szCs w:val="20"/>
                                <w:lang w:val="es-ES"/>
                              </w:rPr>
                              <w:br/>
                            </w:r>
                          </w:p>
                          <w:p w14:paraId="3CD37A22" w14:textId="77777777" w:rsidR="00251E25" w:rsidRPr="00251E25" w:rsidRDefault="00251E25"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180137E8" w14:textId="77777777" w:rsidR="00251E25" w:rsidRPr="00167A34" w:rsidRDefault="00251E2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4FF3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7060636F" w14:textId="77777777" w:rsidR="00251E25" w:rsidRPr="008C7E1A" w:rsidRDefault="00251E25"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Pr>
                          <w:rFonts w:asciiTheme="majorHAnsi" w:hAnsiTheme="majorHAnsi"/>
                          <w:color w:val="0D0D0D" w:themeColor="text1" w:themeTint="F2"/>
                          <w:sz w:val="18"/>
                          <w:szCs w:val="20"/>
                          <w:lang w:val="es-ES"/>
                        </w:rPr>
                        <w:t>el 14 de junio de 2020</w:t>
                      </w:r>
                      <w:r w:rsidRPr="00890650">
                        <w:rPr>
                          <w:rFonts w:asciiTheme="majorHAnsi" w:hAnsiTheme="majorHAnsi"/>
                          <w:color w:val="0D0D0D" w:themeColor="text1" w:themeTint="F2"/>
                          <w:sz w:val="18"/>
                          <w:szCs w:val="20"/>
                          <w:lang w:val="es-ES"/>
                        </w:rPr>
                        <w:br/>
                      </w:r>
                    </w:p>
                    <w:p w14:paraId="3CD37A22" w14:textId="77777777" w:rsidR="00251E25" w:rsidRPr="00251E25" w:rsidRDefault="00251E25"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180137E8" w14:textId="77777777" w:rsidR="00251E25" w:rsidRPr="00167A34" w:rsidRDefault="00251E2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A98AD56" w14:textId="77777777" w:rsidR="00A50FCF" w:rsidRPr="00EE2386" w:rsidRDefault="00A50FCF" w:rsidP="00040C3A">
      <w:pPr>
        <w:tabs>
          <w:tab w:val="center" w:pos="5400"/>
        </w:tabs>
        <w:suppressAutoHyphens/>
        <w:jc w:val="center"/>
        <w:rPr>
          <w:rFonts w:ascii="Cambria" w:hAnsi="Cambria"/>
          <w:sz w:val="20"/>
          <w:szCs w:val="20"/>
          <w:lang w:val="es-ES_tradnl"/>
        </w:rPr>
      </w:pPr>
    </w:p>
    <w:p w14:paraId="4E3EAF68" w14:textId="77777777" w:rsidR="00A50FCF" w:rsidRPr="00EE2386" w:rsidRDefault="00A50FCF" w:rsidP="00040C3A">
      <w:pPr>
        <w:tabs>
          <w:tab w:val="center" w:pos="5400"/>
        </w:tabs>
        <w:suppressAutoHyphens/>
        <w:jc w:val="center"/>
        <w:rPr>
          <w:rFonts w:ascii="Cambria" w:hAnsi="Cambria"/>
          <w:sz w:val="20"/>
          <w:szCs w:val="20"/>
          <w:lang w:val="es-ES_tradnl"/>
        </w:rPr>
      </w:pPr>
    </w:p>
    <w:p w14:paraId="55DC09AA" w14:textId="77777777" w:rsidR="00A50FCF" w:rsidRPr="00EE2386" w:rsidRDefault="00A50FCF" w:rsidP="00040C3A">
      <w:pPr>
        <w:tabs>
          <w:tab w:val="center" w:pos="5400"/>
        </w:tabs>
        <w:suppressAutoHyphens/>
        <w:jc w:val="center"/>
        <w:rPr>
          <w:rFonts w:ascii="Cambria" w:hAnsi="Cambria"/>
          <w:sz w:val="20"/>
          <w:szCs w:val="20"/>
          <w:lang w:val="es-ES_tradnl"/>
        </w:rPr>
      </w:pPr>
    </w:p>
    <w:p w14:paraId="756B9346" w14:textId="77777777" w:rsidR="00A50FCF" w:rsidRPr="00EE2386" w:rsidRDefault="00A50FCF" w:rsidP="00040C3A">
      <w:pPr>
        <w:tabs>
          <w:tab w:val="center" w:pos="5400"/>
        </w:tabs>
        <w:suppressAutoHyphens/>
        <w:jc w:val="center"/>
        <w:rPr>
          <w:rFonts w:ascii="Cambria" w:hAnsi="Cambria"/>
          <w:sz w:val="20"/>
          <w:szCs w:val="20"/>
          <w:lang w:val="es-ES_tradnl"/>
        </w:rPr>
      </w:pPr>
    </w:p>
    <w:p w14:paraId="3AFDE070" w14:textId="77777777" w:rsidR="00A50FCF" w:rsidRPr="00EE2386" w:rsidRDefault="0090270B" w:rsidP="00040C3A">
      <w:pPr>
        <w:tabs>
          <w:tab w:val="center" w:pos="5400"/>
        </w:tabs>
        <w:suppressAutoHyphens/>
        <w:jc w:val="center"/>
        <w:rPr>
          <w:rFonts w:ascii="Cambria" w:hAnsi="Cambria"/>
          <w:sz w:val="20"/>
          <w:szCs w:val="20"/>
          <w:lang w:val="es-ES_tradnl"/>
        </w:rPr>
      </w:pPr>
      <w:r w:rsidRPr="00EE2386">
        <w:rPr>
          <w:rFonts w:ascii="Cambria" w:hAnsi="Cambria"/>
          <w:noProof/>
          <w:sz w:val="20"/>
          <w:szCs w:val="20"/>
        </w:rPr>
        <mc:AlternateContent>
          <mc:Choice Requires="wps">
            <w:drawing>
              <wp:anchor distT="0" distB="0" distL="114300" distR="114300" simplePos="0" relativeHeight="251678720" behindDoc="0" locked="0" layoutInCell="1" allowOverlap="1" wp14:anchorId="6226421F" wp14:editId="70C38A4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E6E47" w14:textId="77777777" w:rsidR="00251E25" w:rsidRPr="007C756A" w:rsidRDefault="00251E25"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es-US"/>
                              </w:rPr>
                              <w:t>173/20</w:t>
                            </w:r>
                            <w:r w:rsidRPr="00941E39">
                              <w:rPr>
                                <w:rFonts w:asciiTheme="majorHAnsi" w:hAnsiTheme="majorHAnsi"/>
                                <w:color w:val="595959" w:themeColor="text1" w:themeTint="A6"/>
                                <w:sz w:val="18"/>
                                <w:szCs w:val="18"/>
                                <w:lang w:val="es-US"/>
                              </w:rPr>
                              <w:t xml:space="preserve">. </w:t>
                            </w:r>
                            <w:r>
                              <w:rPr>
                                <w:rFonts w:asciiTheme="majorHAnsi" w:hAnsiTheme="majorHAnsi"/>
                                <w:color w:val="595959" w:themeColor="text1" w:themeTint="A6"/>
                                <w:sz w:val="18"/>
                                <w:szCs w:val="18"/>
                                <w:lang w:val="es-ES_tradnl"/>
                              </w:rPr>
                              <w:t>Caso 12.809. Fondo</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Aníbal Alonso Aguas Acosta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14</w:t>
                            </w:r>
                            <w:r>
                              <w:rPr>
                                <w:rFonts w:asciiTheme="majorHAnsi" w:hAnsiTheme="majorHAnsi"/>
                                <w:color w:val="595959" w:themeColor="text1" w:themeTint="A6"/>
                                <w:sz w:val="18"/>
                                <w:szCs w:val="18"/>
                                <w:lang w:val="es-US"/>
                              </w:rPr>
                              <w:t xml:space="preserve"> de junio de 2020</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6421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E9E6E47" w14:textId="77777777" w:rsidR="00251E25" w:rsidRPr="007C756A" w:rsidRDefault="00251E25"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es-US"/>
                        </w:rPr>
                        <w:t>173/20</w:t>
                      </w:r>
                      <w:r w:rsidRPr="00941E39">
                        <w:rPr>
                          <w:rFonts w:asciiTheme="majorHAnsi" w:hAnsiTheme="majorHAnsi"/>
                          <w:color w:val="595959" w:themeColor="text1" w:themeTint="A6"/>
                          <w:sz w:val="18"/>
                          <w:szCs w:val="18"/>
                          <w:lang w:val="es-US"/>
                        </w:rPr>
                        <w:t xml:space="preserve">. </w:t>
                      </w:r>
                      <w:r>
                        <w:rPr>
                          <w:rFonts w:asciiTheme="majorHAnsi" w:hAnsiTheme="majorHAnsi"/>
                          <w:color w:val="595959" w:themeColor="text1" w:themeTint="A6"/>
                          <w:sz w:val="18"/>
                          <w:szCs w:val="18"/>
                          <w:lang w:val="es-ES_tradnl"/>
                        </w:rPr>
                        <w:t>Caso 12.809. Fondo</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Aníbal Alonso Aguas Acosta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14</w:t>
                      </w:r>
                      <w:r>
                        <w:rPr>
                          <w:rFonts w:asciiTheme="majorHAnsi" w:hAnsiTheme="majorHAnsi"/>
                          <w:color w:val="595959" w:themeColor="text1" w:themeTint="A6"/>
                          <w:sz w:val="18"/>
                          <w:szCs w:val="18"/>
                          <w:lang w:val="es-US"/>
                        </w:rPr>
                        <w:t xml:space="preserve"> de junio de 2020</w:t>
                      </w:r>
                      <w:r w:rsidRPr="007C756A">
                        <w:rPr>
                          <w:rFonts w:asciiTheme="majorHAnsi" w:hAnsiTheme="majorHAnsi"/>
                          <w:color w:val="595959" w:themeColor="text1" w:themeTint="A6"/>
                          <w:sz w:val="18"/>
                          <w:szCs w:val="18"/>
                          <w:lang w:val="es-US"/>
                        </w:rPr>
                        <w:t>.</w:t>
                      </w:r>
                    </w:p>
                  </w:txbxContent>
                </v:textbox>
              </v:shape>
            </w:pict>
          </mc:Fallback>
        </mc:AlternateContent>
      </w:r>
    </w:p>
    <w:p w14:paraId="3897F3D7" w14:textId="77777777" w:rsidR="00A50FCF" w:rsidRPr="00EE2386" w:rsidRDefault="00A50FCF" w:rsidP="00040C3A">
      <w:pPr>
        <w:tabs>
          <w:tab w:val="center" w:pos="5400"/>
        </w:tabs>
        <w:suppressAutoHyphens/>
        <w:jc w:val="center"/>
        <w:rPr>
          <w:rFonts w:ascii="Cambria" w:hAnsi="Cambria"/>
          <w:sz w:val="20"/>
          <w:szCs w:val="20"/>
          <w:lang w:val="es-ES_tradnl"/>
        </w:rPr>
      </w:pPr>
    </w:p>
    <w:p w14:paraId="38726010" w14:textId="77777777" w:rsidR="0090270B" w:rsidRPr="00EE2386" w:rsidRDefault="00D306D1" w:rsidP="005516A1">
      <w:pPr>
        <w:tabs>
          <w:tab w:val="center" w:pos="5400"/>
        </w:tabs>
        <w:suppressAutoHyphens/>
        <w:jc w:val="center"/>
        <w:rPr>
          <w:rFonts w:ascii="Cambria" w:hAnsi="Cambria"/>
          <w:b/>
          <w:sz w:val="20"/>
          <w:szCs w:val="20"/>
          <w:lang w:val="es-ES_tradnl"/>
        </w:rPr>
      </w:pPr>
      <w:r w:rsidRPr="00EE2386">
        <w:rPr>
          <w:rFonts w:ascii="Cambria" w:hAnsi="Cambria"/>
          <w:noProof/>
          <w:sz w:val="20"/>
          <w:szCs w:val="20"/>
        </w:rPr>
        <mc:AlternateContent>
          <mc:Choice Requires="wps">
            <w:drawing>
              <wp:anchor distT="0" distB="0" distL="114300" distR="114300" simplePos="0" relativeHeight="251680768" behindDoc="0" locked="0" layoutInCell="1" allowOverlap="1" wp14:anchorId="189BEE81" wp14:editId="31198D5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2D031" w14:textId="77777777" w:rsidR="00251E25" w:rsidRPr="00D72DC6" w:rsidRDefault="00251E2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16388CA" wp14:editId="1283B202">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BEE8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3362D031" w14:textId="77777777" w:rsidR="00251E25" w:rsidRPr="00D72DC6" w:rsidRDefault="00251E2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16388CA" wp14:editId="1283B202">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E2386">
        <w:rPr>
          <w:rFonts w:ascii="Cambria" w:hAnsi="Cambria"/>
          <w:noProof/>
          <w:sz w:val="20"/>
          <w:szCs w:val="20"/>
        </w:rPr>
        <mc:AlternateContent>
          <mc:Choice Requires="wps">
            <w:drawing>
              <wp:anchor distT="0" distB="0" distL="114300" distR="114300" simplePos="0" relativeHeight="251682816" behindDoc="0" locked="0" layoutInCell="1" allowOverlap="1" wp14:anchorId="3C4F876A" wp14:editId="520AB45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56422" w14:textId="77777777" w:rsidR="00251E25" w:rsidRPr="004B7EB6" w:rsidRDefault="00251E2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876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9F56422" w14:textId="77777777" w:rsidR="00251E25" w:rsidRPr="004B7EB6" w:rsidRDefault="00251E2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6DC214E" w14:textId="77777777" w:rsidR="0070697F" w:rsidRPr="00EE2386" w:rsidRDefault="0070697F" w:rsidP="005516A1">
      <w:pPr>
        <w:tabs>
          <w:tab w:val="center" w:pos="5400"/>
        </w:tabs>
        <w:suppressAutoHyphens/>
        <w:jc w:val="center"/>
        <w:rPr>
          <w:rFonts w:ascii="Cambria" w:hAnsi="Cambria"/>
          <w:b/>
          <w:sz w:val="20"/>
          <w:szCs w:val="20"/>
          <w:lang w:val="es-ES_tradnl"/>
        </w:rPr>
        <w:sectPr w:rsidR="0070697F" w:rsidRPr="00EE2386"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15F6587F" w14:textId="77777777" w:rsidR="00722C9F" w:rsidRPr="00E50138" w:rsidRDefault="00722C9F" w:rsidP="00722C9F">
      <w:pPr>
        <w:tabs>
          <w:tab w:val="center" w:pos="5400"/>
        </w:tabs>
        <w:suppressAutoHyphens/>
        <w:spacing w:line="276" w:lineRule="auto"/>
        <w:jc w:val="center"/>
        <w:rPr>
          <w:rFonts w:asciiTheme="majorHAnsi" w:hAnsiTheme="majorHAnsi" w:cstheme="minorHAnsi"/>
          <w:b/>
          <w:sz w:val="20"/>
          <w:szCs w:val="20"/>
          <w:lang w:val="es-ES_tradnl"/>
        </w:rPr>
      </w:pPr>
      <w:r w:rsidRPr="00E50138">
        <w:rPr>
          <w:rFonts w:asciiTheme="majorHAnsi" w:hAnsiTheme="majorHAnsi" w:cstheme="minorHAnsi"/>
          <w:b/>
          <w:sz w:val="20"/>
          <w:szCs w:val="20"/>
          <w:lang w:val="es-ES_tradnl"/>
        </w:rPr>
        <w:lastRenderedPageBreak/>
        <w:t>ÍNDICE</w:t>
      </w:r>
    </w:p>
    <w:p w14:paraId="26ADCB97" w14:textId="77777777" w:rsidR="00E909AA" w:rsidRPr="00E50138" w:rsidRDefault="00E909AA" w:rsidP="00E909AA">
      <w:pPr>
        <w:suppressAutoHyphens/>
        <w:rPr>
          <w:rFonts w:asciiTheme="majorHAnsi" w:hAnsiTheme="majorHAnsi" w:cstheme="minorHAnsi"/>
          <w:b/>
          <w:sz w:val="20"/>
          <w:szCs w:val="20"/>
          <w:lang w:val="es-ES_tradnl"/>
        </w:rPr>
      </w:pPr>
    </w:p>
    <w:p w14:paraId="74683652" w14:textId="2AC595C3" w:rsidR="00E50138" w:rsidRPr="00E50138" w:rsidRDefault="006125C3">
      <w:pPr>
        <w:pStyle w:val="TOC1"/>
        <w:tabs>
          <w:tab w:val="left" w:pos="1440"/>
          <w:tab w:val="right" w:leader="dot" w:pos="9350"/>
        </w:tabs>
        <w:rPr>
          <w:rFonts w:asciiTheme="majorHAnsi" w:eastAsiaTheme="minorEastAsia" w:hAnsiTheme="majorHAnsi" w:cstheme="minorBidi"/>
          <w:noProof/>
          <w:sz w:val="20"/>
          <w:szCs w:val="20"/>
        </w:rPr>
      </w:pPr>
      <w:r w:rsidRPr="00E50138">
        <w:rPr>
          <w:rFonts w:asciiTheme="majorHAnsi" w:hAnsiTheme="majorHAnsi" w:cstheme="minorHAnsi"/>
          <w:sz w:val="20"/>
          <w:szCs w:val="20"/>
          <w:lang w:val="es-ES_tradnl"/>
        </w:rPr>
        <w:fldChar w:fldCharType="begin"/>
      </w:r>
      <w:r w:rsidRPr="00E50138">
        <w:rPr>
          <w:rFonts w:asciiTheme="majorHAnsi" w:hAnsiTheme="majorHAnsi" w:cstheme="minorHAnsi"/>
          <w:sz w:val="20"/>
          <w:szCs w:val="20"/>
          <w:lang w:val="es-ES_tradnl"/>
        </w:rPr>
        <w:instrText xml:space="preserve"> TOC \o "1-7" \h \z \u </w:instrText>
      </w:r>
      <w:r w:rsidRPr="00E50138">
        <w:rPr>
          <w:rFonts w:asciiTheme="majorHAnsi" w:hAnsiTheme="majorHAnsi" w:cstheme="minorHAnsi"/>
          <w:sz w:val="20"/>
          <w:szCs w:val="20"/>
          <w:lang w:val="es-ES_tradnl"/>
        </w:rPr>
        <w:fldChar w:fldCharType="separate"/>
      </w:r>
      <w:hyperlink w:anchor="_Toc35966078" w:history="1">
        <w:r w:rsidR="00E50138" w:rsidRPr="00E50138">
          <w:rPr>
            <w:rStyle w:val="Hyperlink"/>
            <w:rFonts w:asciiTheme="majorHAnsi" w:hAnsiTheme="majorHAnsi"/>
            <w:noProof/>
            <w:sz w:val="20"/>
            <w:szCs w:val="20"/>
          </w:rPr>
          <w:t>I.</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rPr>
          <w:t>INTRODUCCIÓN</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_Toc35966078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sidR="00BE07BF">
          <w:rPr>
            <w:rFonts w:asciiTheme="majorHAnsi" w:hAnsiTheme="majorHAnsi"/>
            <w:noProof/>
            <w:webHidden/>
            <w:sz w:val="20"/>
            <w:szCs w:val="20"/>
          </w:rPr>
          <w:t>2</w:t>
        </w:r>
        <w:r w:rsidR="00E50138" w:rsidRPr="00E50138">
          <w:rPr>
            <w:rFonts w:asciiTheme="majorHAnsi" w:hAnsiTheme="majorHAnsi"/>
            <w:noProof/>
            <w:webHidden/>
            <w:sz w:val="20"/>
            <w:szCs w:val="20"/>
          </w:rPr>
          <w:fldChar w:fldCharType="end"/>
        </w:r>
      </w:hyperlink>
    </w:p>
    <w:p w14:paraId="5CF8D927" w14:textId="2DF4F9B3" w:rsidR="00E50138" w:rsidRPr="00E50138" w:rsidRDefault="00BE07BF">
      <w:pPr>
        <w:pStyle w:val="TOC1"/>
        <w:tabs>
          <w:tab w:val="left" w:pos="1440"/>
          <w:tab w:val="right" w:leader="dot" w:pos="9350"/>
        </w:tabs>
        <w:rPr>
          <w:rFonts w:asciiTheme="majorHAnsi" w:eastAsiaTheme="minorEastAsia" w:hAnsiTheme="majorHAnsi" w:cstheme="minorBidi"/>
          <w:noProof/>
          <w:sz w:val="20"/>
          <w:szCs w:val="20"/>
        </w:rPr>
      </w:pPr>
      <w:hyperlink w:anchor="_Toc35966079" w:history="1">
        <w:r w:rsidR="00E50138" w:rsidRPr="00E50138">
          <w:rPr>
            <w:rStyle w:val="Hyperlink"/>
            <w:rFonts w:asciiTheme="majorHAnsi" w:hAnsiTheme="majorHAnsi"/>
            <w:noProof/>
            <w:sz w:val="20"/>
            <w:szCs w:val="20"/>
          </w:rPr>
          <w:t>II.</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rPr>
          <w:t>ALEGATOS DE LAS PARTES</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_Toc35966079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2</w:t>
        </w:r>
        <w:r w:rsidR="00E50138" w:rsidRPr="00E50138">
          <w:rPr>
            <w:rFonts w:asciiTheme="majorHAnsi" w:hAnsiTheme="majorHAnsi"/>
            <w:noProof/>
            <w:webHidden/>
            <w:sz w:val="20"/>
            <w:szCs w:val="20"/>
          </w:rPr>
          <w:fldChar w:fldCharType="end"/>
        </w:r>
      </w:hyperlink>
    </w:p>
    <w:p w14:paraId="51AFA6A0" w14:textId="109D3DBE" w:rsidR="00E50138" w:rsidRPr="00E50138" w:rsidRDefault="00BE07BF">
      <w:pPr>
        <w:pStyle w:val="TOC2"/>
        <w:rPr>
          <w:rFonts w:asciiTheme="majorHAnsi" w:eastAsiaTheme="minorEastAsia" w:hAnsiTheme="majorHAnsi" w:cstheme="minorBidi"/>
          <w:noProof/>
          <w:sz w:val="20"/>
          <w:szCs w:val="20"/>
        </w:rPr>
      </w:pPr>
      <w:hyperlink w:anchor="_Toc35966080" w:history="1">
        <w:r w:rsidR="00E50138" w:rsidRPr="00E50138">
          <w:rPr>
            <w:rStyle w:val="Hyperlink"/>
            <w:rFonts w:asciiTheme="majorHAnsi" w:hAnsiTheme="majorHAnsi"/>
            <w:noProof/>
            <w:sz w:val="20"/>
            <w:szCs w:val="20"/>
            <w:lang w:val="es-ES_tradnl"/>
          </w:rPr>
          <w:t>A.</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ES_tradnl"/>
          </w:rPr>
          <w:t xml:space="preserve">Parte </w:t>
        </w:r>
        <w:r w:rsidR="00E50138" w:rsidRPr="00E50138">
          <w:rPr>
            <w:rStyle w:val="Hyperlink"/>
            <w:rFonts w:asciiTheme="majorHAnsi" w:hAnsiTheme="majorHAnsi"/>
            <w:noProof/>
            <w:sz w:val="20"/>
            <w:szCs w:val="20"/>
          </w:rPr>
          <w:t>peticionaria</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_Toc35966080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2</w:t>
        </w:r>
        <w:r w:rsidR="00E50138" w:rsidRPr="00E50138">
          <w:rPr>
            <w:rFonts w:asciiTheme="majorHAnsi" w:hAnsiTheme="majorHAnsi"/>
            <w:noProof/>
            <w:webHidden/>
            <w:sz w:val="20"/>
            <w:szCs w:val="20"/>
          </w:rPr>
          <w:fldChar w:fldCharType="end"/>
        </w:r>
      </w:hyperlink>
    </w:p>
    <w:p w14:paraId="5A9832D2" w14:textId="3B62926E" w:rsidR="00E50138" w:rsidRPr="00E50138" w:rsidRDefault="00BE07BF">
      <w:pPr>
        <w:pStyle w:val="TOC2"/>
        <w:rPr>
          <w:rFonts w:asciiTheme="majorHAnsi" w:eastAsiaTheme="minorEastAsia" w:hAnsiTheme="majorHAnsi" w:cstheme="minorBidi"/>
          <w:noProof/>
          <w:sz w:val="20"/>
          <w:szCs w:val="20"/>
        </w:rPr>
      </w:pPr>
      <w:hyperlink w:anchor="_Toc35966081" w:history="1">
        <w:r w:rsidR="00E50138" w:rsidRPr="00E50138">
          <w:rPr>
            <w:rStyle w:val="Hyperlink"/>
            <w:rFonts w:asciiTheme="majorHAnsi" w:hAnsiTheme="majorHAnsi"/>
            <w:noProof/>
            <w:sz w:val="20"/>
            <w:szCs w:val="20"/>
            <w:lang w:val="es-ES_tradnl"/>
          </w:rPr>
          <w:t>B.</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US"/>
          </w:rPr>
          <w:t>Estado</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_Toc35966081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4</w:t>
        </w:r>
        <w:r w:rsidR="00E50138" w:rsidRPr="00E50138">
          <w:rPr>
            <w:rFonts w:asciiTheme="majorHAnsi" w:hAnsiTheme="majorHAnsi"/>
            <w:noProof/>
            <w:webHidden/>
            <w:sz w:val="20"/>
            <w:szCs w:val="20"/>
          </w:rPr>
          <w:fldChar w:fldCharType="end"/>
        </w:r>
      </w:hyperlink>
    </w:p>
    <w:p w14:paraId="1BE2954E" w14:textId="22249E38" w:rsidR="00E50138" w:rsidRPr="00E50138" w:rsidRDefault="00BE07BF">
      <w:pPr>
        <w:pStyle w:val="TOC1"/>
        <w:tabs>
          <w:tab w:val="left" w:pos="1440"/>
          <w:tab w:val="right" w:leader="dot" w:pos="9350"/>
        </w:tabs>
        <w:rPr>
          <w:rFonts w:asciiTheme="majorHAnsi" w:eastAsiaTheme="minorEastAsia" w:hAnsiTheme="majorHAnsi" w:cstheme="minorBidi"/>
          <w:noProof/>
          <w:sz w:val="20"/>
          <w:szCs w:val="20"/>
        </w:rPr>
      </w:pPr>
      <w:hyperlink w:anchor="_Toc35966082" w:history="1">
        <w:r w:rsidR="00E50138" w:rsidRPr="00E50138">
          <w:rPr>
            <w:rStyle w:val="Hyperlink"/>
            <w:rFonts w:asciiTheme="majorHAnsi" w:hAnsiTheme="majorHAnsi"/>
            <w:noProof/>
            <w:sz w:val="20"/>
            <w:szCs w:val="20"/>
          </w:rPr>
          <w:t>III.</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rPr>
          <w:t>DETERMINACIONES DE HECHO</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_Toc35966082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5</w:t>
        </w:r>
        <w:r w:rsidR="00E50138" w:rsidRPr="00E50138">
          <w:rPr>
            <w:rFonts w:asciiTheme="majorHAnsi" w:hAnsiTheme="majorHAnsi"/>
            <w:noProof/>
            <w:webHidden/>
            <w:sz w:val="20"/>
            <w:szCs w:val="20"/>
          </w:rPr>
          <w:fldChar w:fldCharType="end"/>
        </w:r>
      </w:hyperlink>
    </w:p>
    <w:p w14:paraId="5E86A435" w14:textId="4D9CE7D7" w:rsidR="00E50138" w:rsidRPr="00E50138" w:rsidRDefault="00BE07BF">
      <w:pPr>
        <w:pStyle w:val="TOC2"/>
        <w:rPr>
          <w:rFonts w:asciiTheme="majorHAnsi" w:eastAsiaTheme="minorEastAsia" w:hAnsiTheme="majorHAnsi" w:cstheme="minorBidi"/>
          <w:noProof/>
          <w:sz w:val="20"/>
          <w:szCs w:val="20"/>
        </w:rPr>
      </w:pPr>
      <w:hyperlink w:anchor="_Toc35966083" w:history="1">
        <w:r w:rsidR="00E50138" w:rsidRPr="00E50138">
          <w:rPr>
            <w:rStyle w:val="Hyperlink"/>
            <w:rFonts w:asciiTheme="majorHAnsi" w:hAnsiTheme="majorHAnsi"/>
            <w:noProof/>
            <w:sz w:val="20"/>
            <w:szCs w:val="20"/>
            <w:lang w:val="es-US"/>
          </w:rPr>
          <w:t>A.</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US"/>
          </w:rPr>
          <w:t>Marco normativo y contexto general de la jurisdicción policial en el Ecuador</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_Toc35966083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5</w:t>
        </w:r>
        <w:r w:rsidR="00E50138" w:rsidRPr="00E50138">
          <w:rPr>
            <w:rFonts w:asciiTheme="majorHAnsi" w:hAnsiTheme="majorHAnsi"/>
            <w:noProof/>
            <w:webHidden/>
            <w:sz w:val="20"/>
            <w:szCs w:val="20"/>
          </w:rPr>
          <w:fldChar w:fldCharType="end"/>
        </w:r>
      </w:hyperlink>
    </w:p>
    <w:p w14:paraId="6E565B0B" w14:textId="4962B224" w:rsidR="00E50138" w:rsidRPr="00E50138" w:rsidRDefault="00BE07BF">
      <w:pPr>
        <w:pStyle w:val="TOC2"/>
        <w:rPr>
          <w:rFonts w:asciiTheme="majorHAnsi" w:eastAsiaTheme="minorEastAsia" w:hAnsiTheme="majorHAnsi" w:cstheme="minorBidi"/>
          <w:noProof/>
          <w:sz w:val="20"/>
          <w:szCs w:val="20"/>
        </w:rPr>
      </w:pPr>
      <w:hyperlink w:anchor="_Toc35966084" w:history="1">
        <w:r w:rsidR="00E50138" w:rsidRPr="00E50138">
          <w:rPr>
            <w:rStyle w:val="Hyperlink"/>
            <w:rFonts w:asciiTheme="majorHAnsi" w:hAnsiTheme="majorHAnsi"/>
            <w:noProof/>
            <w:sz w:val="20"/>
            <w:szCs w:val="20"/>
            <w:lang w:val="es-US"/>
          </w:rPr>
          <w:t>B.</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US"/>
          </w:rPr>
          <w:t>Hechos del caso</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_Toc35966084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7</w:t>
        </w:r>
        <w:r w:rsidR="00E50138" w:rsidRPr="00E50138">
          <w:rPr>
            <w:rFonts w:asciiTheme="majorHAnsi" w:hAnsiTheme="majorHAnsi"/>
            <w:noProof/>
            <w:webHidden/>
            <w:sz w:val="20"/>
            <w:szCs w:val="20"/>
          </w:rPr>
          <w:fldChar w:fldCharType="end"/>
        </w:r>
      </w:hyperlink>
    </w:p>
    <w:p w14:paraId="01EFB461" w14:textId="6E6B225F" w:rsidR="00E50138" w:rsidRPr="00E50138" w:rsidRDefault="00BE07BF">
      <w:pPr>
        <w:pStyle w:val="TOC2"/>
        <w:rPr>
          <w:rFonts w:asciiTheme="majorHAnsi" w:eastAsiaTheme="minorEastAsia" w:hAnsiTheme="majorHAnsi" w:cstheme="minorBidi"/>
          <w:noProof/>
          <w:sz w:val="20"/>
          <w:szCs w:val="20"/>
        </w:rPr>
      </w:pPr>
      <w:hyperlink w:anchor="_Toc35966085" w:history="1">
        <w:r w:rsidR="00E50138" w:rsidRPr="00E50138">
          <w:rPr>
            <w:rStyle w:val="Hyperlink"/>
            <w:rFonts w:asciiTheme="majorHAnsi" w:hAnsiTheme="majorHAnsi"/>
            <w:noProof/>
            <w:sz w:val="20"/>
            <w:szCs w:val="20"/>
            <w:lang w:val="es-PE"/>
          </w:rPr>
          <w:t>C.</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PE"/>
          </w:rPr>
          <w:t>Procesos internos</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_Toc35966085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8</w:t>
        </w:r>
        <w:r w:rsidR="00E50138" w:rsidRPr="00E50138">
          <w:rPr>
            <w:rFonts w:asciiTheme="majorHAnsi" w:hAnsiTheme="majorHAnsi"/>
            <w:noProof/>
            <w:webHidden/>
            <w:sz w:val="20"/>
            <w:szCs w:val="20"/>
          </w:rPr>
          <w:fldChar w:fldCharType="end"/>
        </w:r>
      </w:hyperlink>
    </w:p>
    <w:p w14:paraId="63E7989F" w14:textId="23A06519" w:rsidR="00E50138" w:rsidRPr="00E50138" w:rsidRDefault="00BE07BF">
      <w:pPr>
        <w:pStyle w:val="TOC3"/>
        <w:tabs>
          <w:tab w:val="left" w:pos="2160"/>
        </w:tabs>
        <w:rPr>
          <w:rFonts w:asciiTheme="majorHAnsi" w:eastAsiaTheme="minorEastAsia" w:hAnsiTheme="majorHAnsi" w:cstheme="minorBidi"/>
          <w:noProof/>
          <w:sz w:val="20"/>
          <w:szCs w:val="20"/>
        </w:rPr>
      </w:pPr>
      <w:hyperlink w:anchor="_Toc35966086" w:history="1">
        <w:r w:rsidR="00E50138" w:rsidRPr="00E50138">
          <w:rPr>
            <w:rStyle w:val="Hyperlink"/>
            <w:rFonts w:asciiTheme="majorHAnsi" w:hAnsiTheme="majorHAnsi"/>
            <w:noProof/>
            <w:sz w:val="20"/>
            <w:szCs w:val="20"/>
            <w:lang w:val="es-PE"/>
          </w:rPr>
          <w:t>1.</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PE"/>
          </w:rPr>
          <w:t>Procedimiento penal ante la justicia ordinaria</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_Toc35966086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8</w:t>
        </w:r>
        <w:r w:rsidR="00E50138" w:rsidRPr="00E50138">
          <w:rPr>
            <w:rFonts w:asciiTheme="majorHAnsi" w:hAnsiTheme="majorHAnsi"/>
            <w:noProof/>
            <w:webHidden/>
            <w:sz w:val="20"/>
            <w:szCs w:val="20"/>
          </w:rPr>
          <w:fldChar w:fldCharType="end"/>
        </w:r>
      </w:hyperlink>
    </w:p>
    <w:p w14:paraId="46D6EC1F" w14:textId="20318EFE" w:rsidR="00E50138" w:rsidRPr="00E50138" w:rsidRDefault="00BE07BF">
      <w:pPr>
        <w:pStyle w:val="TOC3"/>
        <w:tabs>
          <w:tab w:val="left" w:pos="2160"/>
        </w:tabs>
        <w:rPr>
          <w:rFonts w:asciiTheme="majorHAnsi" w:eastAsiaTheme="minorEastAsia" w:hAnsiTheme="majorHAnsi" w:cstheme="minorBidi"/>
          <w:noProof/>
          <w:sz w:val="20"/>
          <w:szCs w:val="20"/>
        </w:rPr>
      </w:pPr>
      <w:hyperlink w:anchor="_Toc35966087" w:history="1">
        <w:r w:rsidR="00E50138" w:rsidRPr="00E50138">
          <w:rPr>
            <w:rStyle w:val="Hyperlink"/>
            <w:rFonts w:asciiTheme="majorHAnsi" w:hAnsiTheme="majorHAnsi"/>
            <w:noProof/>
            <w:sz w:val="20"/>
            <w:szCs w:val="20"/>
            <w:lang w:val="es-US"/>
          </w:rPr>
          <w:t>2.</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PE"/>
          </w:rPr>
          <w:t>Procedimiento ante la jurisdicción policial</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_Toc35966087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9</w:t>
        </w:r>
        <w:r w:rsidR="00E50138" w:rsidRPr="00E50138">
          <w:rPr>
            <w:rFonts w:asciiTheme="majorHAnsi" w:hAnsiTheme="majorHAnsi"/>
            <w:noProof/>
            <w:webHidden/>
            <w:sz w:val="20"/>
            <w:szCs w:val="20"/>
          </w:rPr>
          <w:fldChar w:fldCharType="end"/>
        </w:r>
      </w:hyperlink>
    </w:p>
    <w:p w14:paraId="3E2D425F" w14:textId="5808215B" w:rsidR="00E50138" w:rsidRPr="00E50138" w:rsidRDefault="00BE07BF">
      <w:pPr>
        <w:pStyle w:val="TOC1"/>
        <w:tabs>
          <w:tab w:val="left" w:pos="1440"/>
          <w:tab w:val="right" w:leader="dot" w:pos="9350"/>
        </w:tabs>
        <w:rPr>
          <w:rFonts w:asciiTheme="majorHAnsi" w:eastAsiaTheme="minorEastAsia" w:hAnsiTheme="majorHAnsi" w:cstheme="minorBidi"/>
          <w:noProof/>
          <w:sz w:val="20"/>
          <w:szCs w:val="20"/>
        </w:rPr>
      </w:pPr>
      <w:hyperlink w:anchor="_Toc35966088" w:history="1">
        <w:r w:rsidR="00E50138" w:rsidRPr="00E50138">
          <w:rPr>
            <w:rStyle w:val="Hyperlink"/>
            <w:rFonts w:asciiTheme="majorHAnsi" w:hAnsiTheme="majorHAnsi"/>
            <w:noProof/>
            <w:sz w:val="20"/>
            <w:szCs w:val="20"/>
          </w:rPr>
          <w:t>IV.</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rPr>
          <w:t>ANÁLISIS DE DERECHO</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_Toc35966088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12</w:t>
        </w:r>
        <w:r w:rsidR="00E50138" w:rsidRPr="00E50138">
          <w:rPr>
            <w:rFonts w:asciiTheme="majorHAnsi" w:hAnsiTheme="majorHAnsi"/>
            <w:noProof/>
            <w:webHidden/>
            <w:sz w:val="20"/>
            <w:szCs w:val="20"/>
          </w:rPr>
          <w:fldChar w:fldCharType="end"/>
        </w:r>
      </w:hyperlink>
    </w:p>
    <w:p w14:paraId="6957F992" w14:textId="21344FE0" w:rsidR="00E50138" w:rsidRPr="00E50138" w:rsidRDefault="00BE07BF">
      <w:pPr>
        <w:pStyle w:val="TOC2"/>
        <w:rPr>
          <w:rFonts w:asciiTheme="majorHAnsi" w:eastAsiaTheme="minorEastAsia" w:hAnsiTheme="majorHAnsi" w:cstheme="minorBidi"/>
          <w:noProof/>
          <w:sz w:val="20"/>
          <w:szCs w:val="20"/>
        </w:rPr>
      </w:pPr>
      <w:hyperlink w:anchor="_Toc35966089" w:history="1">
        <w:r w:rsidR="00E50138" w:rsidRPr="00E50138">
          <w:rPr>
            <w:rStyle w:val="Hyperlink"/>
            <w:rFonts w:asciiTheme="majorHAnsi" w:hAnsiTheme="majorHAnsi"/>
            <w:noProof/>
            <w:sz w:val="20"/>
            <w:szCs w:val="20"/>
            <w:lang w:val="es-ES"/>
          </w:rPr>
          <w:t>A.</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ES"/>
          </w:rPr>
          <w:t>Derechos a la vida e integridad personal, en relación con los artículos 1.1 y 2 de la Convención Americana</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_Toc35966089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13</w:t>
        </w:r>
        <w:r w:rsidR="00E50138" w:rsidRPr="00E50138">
          <w:rPr>
            <w:rFonts w:asciiTheme="majorHAnsi" w:hAnsiTheme="majorHAnsi"/>
            <w:noProof/>
            <w:webHidden/>
            <w:sz w:val="20"/>
            <w:szCs w:val="20"/>
          </w:rPr>
          <w:fldChar w:fldCharType="end"/>
        </w:r>
      </w:hyperlink>
    </w:p>
    <w:p w14:paraId="6F0E45AE" w14:textId="7AD81399" w:rsidR="00E50138" w:rsidRPr="00E50138" w:rsidRDefault="00BE07BF">
      <w:pPr>
        <w:pStyle w:val="TOC4"/>
        <w:tabs>
          <w:tab w:val="right" w:leader="dot" w:pos="9350"/>
        </w:tabs>
        <w:rPr>
          <w:rFonts w:asciiTheme="majorHAnsi" w:eastAsiaTheme="minorEastAsia" w:hAnsiTheme="majorHAnsi" w:cstheme="minorBidi"/>
          <w:noProof/>
          <w:sz w:val="20"/>
          <w:szCs w:val="20"/>
        </w:rPr>
      </w:pPr>
      <w:hyperlink w:anchor="_Toc35966090" w:history="1">
        <w:r w:rsidR="00E50138" w:rsidRPr="00E50138">
          <w:rPr>
            <w:rStyle w:val="Hyperlink"/>
            <w:rFonts w:asciiTheme="majorHAnsi" w:hAnsiTheme="majorHAnsi"/>
            <w:noProof/>
            <w:sz w:val="20"/>
            <w:szCs w:val="20"/>
            <w:lang w:val="es-ES"/>
          </w:rPr>
          <w:t>Análisis en el presente caso</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_Toc35966090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15</w:t>
        </w:r>
        <w:r w:rsidR="00E50138" w:rsidRPr="00E50138">
          <w:rPr>
            <w:rFonts w:asciiTheme="majorHAnsi" w:hAnsiTheme="majorHAnsi"/>
            <w:noProof/>
            <w:webHidden/>
            <w:sz w:val="20"/>
            <w:szCs w:val="20"/>
          </w:rPr>
          <w:fldChar w:fldCharType="end"/>
        </w:r>
      </w:hyperlink>
    </w:p>
    <w:p w14:paraId="119416C8" w14:textId="6FE3997E" w:rsidR="00E50138" w:rsidRPr="00E50138" w:rsidRDefault="00BE07BF">
      <w:pPr>
        <w:pStyle w:val="TOC2"/>
        <w:rPr>
          <w:rFonts w:asciiTheme="majorHAnsi" w:eastAsiaTheme="minorEastAsia" w:hAnsiTheme="majorHAnsi" w:cstheme="minorBidi"/>
          <w:noProof/>
          <w:sz w:val="20"/>
          <w:szCs w:val="20"/>
        </w:rPr>
      </w:pPr>
      <w:hyperlink w:anchor="_Toc35966091" w:history="1">
        <w:r w:rsidR="00E50138" w:rsidRPr="00E50138">
          <w:rPr>
            <w:rStyle w:val="Hyperlink"/>
            <w:rFonts w:asciiTheme="majorHAnsi" w:hAnsiTheme="majorHAnsi"/>
            <w:noProof/>
            <w:sz w:val="20"/>
            <w:szCs w:val="20"/>
            <w:lang w:val="es-ES"/>
          </w:rPr>
          <w:t>B.</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ES"/>
          </w:rPr>
          <w:t>Garantías judiciales y protección judicial y deber de investigar y sancionar actos de tortura</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_Toc35966091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18</w:t>
        </w:r>
        <w:r w:rsidR="00E50138" w:rsidRPr="00E50138">
          <w:rPr>
            <w:rFonts w:asciiTheme="majorHAnsi" w:hAnsiTheme="majorHAnsi"/>
            <w:noProof/>
            <w:webHidden/>
            <w:sz w:val="20"/>
            <w:szCs w:val="20"/>
          </w:rPr>
          <w:fldChar w:fldCharType="end"/>
        </w:r>
      </w:hyperlink>
    </w:p>
    <w:p w14:paraId="793A9FCA" w14:textId="37FADBFB" w:rsidR="00E50138" w:rsidRPr="00E50138" w:rsidRDefault="00BE07BF">
      <w:pPr>
        <w:pStyle w:val="TOC3"/>
        <w:tabs>
          <w:tab w:val="left" w:pos="2160"/>
        </w:tabs>
        <w:rPr>
          <w:rFonts w:asciiTheme="majorHAnsi" w:eastAsiaTheme="minorEastAsia" w:hAnsiTheme="majorHAnsi" w:cstheme="minorBidi"/>
          <w:noProof/>
          <w:sz w:val="20"/>
          <w:szCs w:val="20"/>
        </w:rPr>
      </w:pPr>
      <w:hyperlink w:anchor="_Toc35966092" w:history="1">
        <w:r w:rsidR="00E50138" w:rsidRPr="00E50138">
          <w:rPr>
            <w:rStyle w:val="Hyperlink"/>
            <w:rFonts w:asciiTheme="majorHAnsi" w:hAnsiTheme="majorHAnsi"/>
            <w:noProof/>
            <w:sz w:val="20"/>
            <w:szCs w:val="20"/>
            <w:lang w:val="es-ES"/>
          </w:rPr>
          <w:t>1.</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ES"/>
          </w:rPr>
          <w:t>Compatibilidad del fuero penal policial que conoció de los hechos del caso con los estándares de competencia, independencia e imparcialidad</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_Toc35966092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19</w:t>
        </w:r>
        <w:r w:rsidR="00E50138" w:rsidRPr="00E50138">
          <w:rPr>
            <w:rFonts w:asciiTheme="majorHAnsi" w:hAnsiTheme="majorHAnsi"/>
            <w:noProof/>
            <w:webHidden/>
            <w:sz w:val="20"/>
            <w:szCs w:val="20"/>
          </w:rPr>
          <w:fldChar w:fldCharType="end"/>
        </w:r>
      </w:hyperlink>
    </w:p>
    <w:p w14:paraId="5910FDDF" w14:textId="072200D0" w:rsidR="00E50138" w:rsidRPr="00E50138" w:rsidRDefault="00BE07BF">
      <w:pPr>
        <w:pStyle w:val="TOC4"/>
        <w:tabs>
          <w:tab w:val="right" w:leader="dot" w:pos="9350"/>
        </w:tabs>
        <w:rPr>
          <w:rFonts w:asciiTheme="majorHAnsi" w:eastAsiaTheme="minorEastAsia" w:hAnsiTheme="majorHAnsi" w:cstheme="minorBidi"/>
          <w:noProof/>
          <w:sz w:val="20"/>
          <w:szCs w:val="20"/>
        </w:rPr>
      </w:pPr>
      <w:hyperlink w:anchor="_Toc35966093" w:history="1">
        <w:r w:rsidR="00E50138" w:rsidRPr="00E50138">
          <w:rPr>
            <w:rStyle w:val="Hyperlink"/>
            <w:rFonts w:asciiTheme="majorHAnsi" w:hAnsiTheme="majorHAnsi"/>
            <w:noProof/>
            <w:sz w:val="20"/>
            <w:szCs w:val="20"/>
            <w:lang w:val="es-US"/>
          </w:rPr>
          <w:t>Análisis en el presente caso</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_Toc35966093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19</w:t>
        </w:r>
        <w:r w:rsidR="00E50138" w:rsidRPr="00E50138">
          <w:rPr>
            <w:rFonts w:asciiTheme="majorHAnsi" w:hAnsiTheme="majorHAnsi"/>
            <w:noProof/>
            <w:webHidden/>
            <w:sz w:val="20"/>
            <w:szCs w:val="20"/>
          </w:rPr>
          <w:fldChar w:fldCharType="end"/>
        </w:r>
      </w:hyperlink>
    </w:p>
    <w:p w14:paraId="7BE826A7" w14:textId="2FA241A0" w:rsidR="00E50138" w:rsidRPr="00E50138" w:rsidRDefault="00BE07BF">
      <w:pPr>
        <w:pStyle w:val="TOC3"/>
        <w:tabs>
          <w:tab w:val="left" w:pos="2160"/>
        </w:tabs>
        <w:rPr>
          <w:rFonts w:asciiTheme="majorHAnsi" w:eastAsiaTheme="minorEastAsia" w:hAnsiTheme="majorHAnsi" w:cstheme="minorBidi"/>
          <w:noProof/>
          <w:sz w:val="20"/>
          <w:szCs w:val="20"/>
        </w:rPr>
      </w:pPr>
      <w:hyperlink w:anchor="_Toc35966094" w:history="1">
        <w:r w:rsidR="00E50138" w:rsidRPr="00E50138">
          <w:rPr>
            <w:rStyle w:val="Hyperlink"/>
            <w:rFonts w:asciiTheme="majorHAnsi" w:hAnsiTheme="majorHAnsi"/>
            <w:noProof/>
            <w:sz w:val="20"/>
            <w:szCs w:val="20"/>
            <w:lang w:val="es-ES"/>
          </w:rPr>
          <w:t>2.</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ES"/>
          </w:rPr>
          <w:t>Debida diligencia en la investigación, enjuiciamiento y sanción de los responsables por la muerte y torturas sufridas por Aníbal Aguas</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_Toc35966094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20</w:t>
        </w:r>
        <w:r w:rsidR="00E50138" w:rsidRPr="00E50138">
          <w:rPr>
            <w:rFonts w:asciiTheme="majorHAnsi" w:hAnsiTheme="majorHAnsi"/>
            <w:noProof/>
            <w:webHidden/>
            <w:sz w:val="20"/>
            <w:szCs w:val="20"/>
          </w:rPr>
          <w:fldChar w:fldCharType="end"/>
        </w:r>
      </w:hyperlink>
    </w:p>
    <w:p w14:paraId="141FE249" w14:textId="1E9421EA" w:rsidR="00E50138" w:rsidRPr="00E50138" w:rsidRDefault="00BE07BF">
      <w:pPr>
        <w:pStyle w:val="TOC4"/>
        <w:tabs>
          <w:tab w:val="right" w:leader="dot" w:pos="9350"/>
        </w:tabs>
        <w:rPr>
          <w:rFonts w:asciiTheme="majorHAnsi" w:eastAsiaTheme="minorEastAsia" w:hAnsiTheme="majorHAnsi" w:cstheme="minorBidi"/>
          <w:noProof/>
          <w:sz w:val="20"/>
          <w:szCs w:val="20"/>
        </w:rPr>
      </w:pPr>
      <w:hyperlink w:anchor="_Toc35966095" w:history="1">
        <w:r w:rsidR="00E50138" w:rsidRPr="00E50138">
          <w:rPr>
            <w:rStyle w:val="Hyperlink"/>
            <w:rFonts w:asciiTheme="majorHAnsi" w:hAnsiTheme="majorHAnsi"/>
            <w:noProof/>
            <w:sz w:val="20"/>
            <w:szCs w:val="20"/>
            <w:lang w:val="es-US"/>
          </w:rPr>
          <w:t>Análisis en el presente caso</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_Toc35966095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21</w:t>
        </w:r>
        <w:r w:rsidR="00E50138" w:rsidRPr="00E50138">
          <w:rPr>
            <w:rFonts w:asciiTheme="majorHAnsi" w:hAnsiTheme="majorHAnsi"/>
            <w:noProof/>
            <w:webHidden/>
            <w:sz w:val="20"/>
            <w:szCs w:val="20"/>
          </w:rPr>
          <w:fldChar w:fldCharType="end"/>
        </w:r>
      </w:hyperlink>
    </w:p>
    <w:p w14:paraId="2638C9B0" w14:textId="10C0BDC6" w:rsidR="00E50138" w:rsidRPr="00E50138" w:rsidRDefault="00BE07BF">
      <w:pPr>
        <w:pStyle w:val="TOC3"/>
        <w:tabs>
          <w:tab w:val="left" w:pos="2160"/>
        </w:tabs>
        <w:rPr>
          <w:rFonts w:asciiTheme="majorHAnsi" w:eastAsiaTheme="minorEastAsia" w:hAnsiTheme="majorHAnsi" w:cstheme="minorBidi"/>
          <w:noProof/>
          <w:sz w:val="20"/>
          <w:szCs w:val="20"/>
        </w:rPr>
      </w:pPr>
      <w:hyperlink w:anchor="_Toc35966096" w:history="1">
        <w:r w:rsidR="00E50138" w:rsidRPr="00E50138">
          <w:rPr>
            <w:rStyle w:val="Hyperlink"/>
            <w:rFonts w:asciiTheme="majorHAnsi" w:hAnsiTheme="majorHAnsi"/>
            <w:noProof/>
            <w:sz w:val="20"/>
            <w:szCs w:val="20"/>
            <w:lang w:val="es-VE"/>
          </w:rPr>
          <w:t>3.</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VE"/>
          </w:rPr>
          <w:t>Plazo razonable</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_Toc35966096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22</w:t>
        </w:r>
        <w:r w:rsidR="00E50138" w:rsidRPr="00E50138">
          <w:rPr>
            <w:rFonts w:asciiTheme="majorHAnsi" w:hAnsiTheme="majorHAnsi"/>
            <w:noProof/>
            <w:webHidden/>
            <w:sz w:val="20"/>
            <w:szCs w:val="20"/>
          </w:rPr>
          <w:fldChar w:fldCharType="end"/>
        </w:r>
      </w:hyperlink>
    </w:p>
    <w:p w14:paraId="6B9E1D22" w14:textId="39BD4C5A" w:rsidR="00E50138" w:rsidRPr="00E50138" w:rsidRDefault="00BE07BF">
      <w:pPr>
        <w:pStyle w:val="TOC4"/>
        <w:tabs>
          <w:tab w:val="right" w:leader="dot" w:pos="9350"/>
        </w:tabs>
        <w:rPr>
          <w:rFonts w:asciiTheme="majorHAnsi" w:eastAsiaTheme="minorEastAsia" w:hAnsiTheme="majorHAnsi" w:cstheme="minorBidi"/>
          <w:noProof/>
          <w:sz w:val="20"/>
          <w:szCs w:val="20"/>
        </w:rPr>
      </w:pPr>
      <w:hyperlink w:anchor="_Toc35966097" w:history="1">
        <w:r w:rsidR="00E50138" w:rsidRPr="00E50138">
          <w:rPr>
            <w:rStyle w:val="Hyperlink"/>
            <w:rFonts w:asciiTheme="majorHAnsi" w:hAnsiTheme="majorHAnsi"/>
            <w:noProof/>
            <w:sz w:val="20"/>
            <w:szCs w:val="20"/>
            <w:lang w:val="es-ES"/>
          </w:rPr>
          <w:t>Análisis en el presente caso</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_Toc35966097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23</w:t>
        </w:r>
        <w:r w:rsidR="00E50138" w:rsidRPr="00E50138">
          <w:rPr>
            <w:rFonts w:asciiTheme="majorHAnsi" w:hAnsiTheme="majorHAnsi"/>
            <w:noProof/>
            <w:webHidden/>
            <w:sz w:val="20"/>
            <w:szCs w:val="20"/>
          </w:rPr>
          <w:fldChar w:fldCharType="end"/>
        </w:r>
      </w:hyperlink>
    </w:p>
    <w:p w14:paraId="2BD08409" w14:textId="23CF2A80" w:rsidR="00E50138" w:rsidRPr="00E50138" w:rsidRDefault="00BE07BF">
      <w:pPr>
        <w:pStyle w:val="TOC2"/>
        <w:rPr>
          <w:rFonts w:asciiTheme="majorHAnsi" w:eastAsiaTheme="minorEastAsia" w:hAnsiTheme="majorHAnsi" w:cstheme="minorBidi"/>
          <w:noProof/>
          <w:sz w:val="20"/>
          <w:szCs w:val="20"/>
        </w:rPr>
      </w:pPr>
      <w:hyperlink w:anchor="_Toc35966098" w:history="1">
        <w:r w:rsidR="00E50138" w:rsidRPr="00E50138">
          <w:rPr>
            <w:rStyle w:val="Hyperlink"/>
            <w:rFonts w:asciiTheme="majorHAnsi" w:hAnsiTheme="majorHAnsi"/>
            <w:noProof/>
            <w:sz w:val="20"/>
            <w:szCs w:val="20"/>
            <w:lang w:val="es-US"/>
          </w:rPr>
          <w:t>C.</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lang w:val="es-US"/>
          </w:rPr>
          <w:t>Derecho a la integridad personal en cuanto a los familiares</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_Toc35966098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24</w:t>
        </w:r>
        <w:r w:rsidR="00E50138" w:rsidRPr="00E50138">
          <w:rPr>
            <w:rFonts w:asciiTheme="majorHAnsi" w:hAnsiTheme="majorHAnsi"/>
            <w:noProof/>
            <w:webHidden/>
            <w:sz w:val="20"/>
            <w:szCs w:val="20"/>
          </w:rPr>
          <w:fldChar w:fldCharType="end"/>
        </w:r>
      </w:hyperlink>
    </w:p>
    <w:p w14:paraId="79660949" w14:textId="194F630B" w:rsidR="00E50138" w:rsidRPr="00E50138" w:rsidRDefault="00BE07BF">
      <w:pPr>
        <w:pStyle w:val="TOC1"/>
        <w:tabs>
          <w:tab w:val="left" w:pos="1440"/>
          <w:tab w:val="right" w:leader="dot" w:pos="9350"/>
        </w:tabs>
        <w:rPr>
          <w:rFonts w:asciiTheme="majorHAnsi" w:eastAsiaTheme="minorEastAsia" w:hAnsiTheme="majorHAnsi" w:cstheme="minorBidi"/>
          <w:noProof/>
          <w:sz w:val="20"/>
          <w:szCs w:val="20"/>
        </w:rPr>
      </w:pPr>
      <w:hyperlink w:anchor="_Toc35966099" w:history="1">
        <w:r w:rsidR="00E50138" w:rsidRPr="00E50138">
          <w:rPr>
            <w:rStyle w:val="Hyperlink"/>
            <w:rFonts w:asciiTheme="majorHAnsi" w:hAnsiTheme="majorHAnsi"/>
            <w:noProof/>
            <w:sz w:val="20"/>
            <w:szCs w:val="20"/>
          </w:rPr>
          <w:t>V.</w:t>
        </w:r>
        <w:r w:rsidR="00E50138" w:rsidRPr="00E50138">
          <w:rPr>
            <w:rFonts w:asciiTheme="majorHAnsi" w:eastAsiaTheme="minorEastAsia" w:hAnsiTheme="majorHAnsi" w:cstheme="minorBidi"/>
            <w:noProof/>
            <w:sz w:val="20"/>
            <w:szCs w:val="20"/>
          </w:rPr>
          <w:tab/>
        </w:r>
        <w:r w:rsidR="00E50138" w:rsidRPr="00E50138">
          <w:rPr>
            <w:rStyle w:val="Hyperlink"/>
            <w:rFonts w:asciiTheme="majorHAnsi" w:hAnsiTheme="majorHAnsi"/>
            <w:noProof/>
            <w:sz w:val="20"/>
            <w:szCs w:val="20"/>
          </w:rPr>
          <w:t>CONCLUSIONES Y RECOMENDACIONES</w:t>
        </w:r>
        <w:r w:rsidR="00E50138" w:rsidRPr="00E50138">
          <w:rPr>
            <w:rFonts w:asciiTheme="majorHAnsi" w:hAnsiTheme="majorHAnsi"/>
            <w:noProof/>
            <w:webHidden/>
            <w:sz w:val="20"/>
            <w:szCs w:val="20"/>
          </w:rPr>
          <w:tab/>
        </w:r>
        <w:r w:rsidR="00E50138" w:rsidRPr="00E50138">
          <w:rPr>
            <w:rFonts w:asciiTheme="majorHAnsi" w:hAnsiTheme="majorHAnsi"/>
            <w:noProof/>
            <w:webHidden/>
            <w:sz w:val="20"/>
            <w:szCs w:val="20"/>
          </w:rPr>
          <w:fldChar w:fldCharType="begin"/>
        </w:r>
        <w:r w:rsidR="00E50138" w:rsidRPr="00E50138">
          <w:rPr>
            <w:rFonts w:asciiTheme="majorHAnsi" w:hAnsiTheme="majorHAnsi"/>
            <w:noProof/>
            <w:webHidden/>
            <w:sz w:val="20"/>
            <w:szCs w:val="20"/>
          </w:rPr>
          <w:instrText xml:space="preserve"> PAGEREF _Toc35966099 \h </w:instrText>
        </w:r>
        <w:r w:rsidR="00E50138" w:rsidRPr="00E50138">
          <w:rPr>
            <w:rFonts w:asciiTheme="majorHAnsi" w:hAnsiTheme="majorHAnsi"/>
            <w:noProof/>
            <w:webHidden/>
            <w:sz w:val="20"/>
            <w:szCs w:val="20"/>
          </w:rPr>
        </w:r>
        <w:r w:rsidR="00E50138" w:rsidRPr="00E50138">
          <w:rPr>
            <w:rFonts w:asciiTheme="majorHAnsi" w:hAnsiTheme="majorHAnsi"/>
            <w:noProof/>
            <w:webHidden/>
            <w:sz w:val="20"/>
            <w:szCs w:val="20"/>
          </w:rPr>
          <w:fldChar w:fldCharType="separate"/>
        </w:r>
        <w:r>
          <w:rPr>
            <w:rFonts w:asciiTheme="majorHAnsi" w:hAnsiTheme="majorHAnsi"/>
            <w:noProof/>
            <w:webHidden/>
            <w:sz w:val="20"/>
            <w:szCs w:val="20"/>
          </w:rPr>
          <w:t>25</w:t>
        </w:r>
        <w:r w:rsidR="00E50138" w:rsidRPr="00E50138">
          <w:rPr>
            <w:rFonts w:asciiTheme="majorHAnsi" w:hAnsiTheme="majorHAnsi"/>
            <w:noProof/>
            <w:webHidden/>
            <w:sz w:val="20"/>
            <w:szCs w:val="20"/>
          </w:rPr>
          <w:fldChar w:fldCharType="end"/>
        </w:r>
      </w:hyperlink>
    </w:p>
    <w:p w14:paraId="5A7F2250" w14:textId="77777777" w:rsidR="00C50251" w:rsidRPr="00EE2386" w:rsidRDefault="006125C3" w:rsidP="00E53125">
      <w:pPr>
        <w:tabs>
          <w:tab w:val="left" w:pos="720"/>
          <w:tab w:val="center" w:pos="5400"/>
        </w:tabs>
        <w:suppressAutoHyphens/>
        <w:spacing w:line="276" w:lineRule="auto"/>
        <w:rPr>
          <w:rFonts w:ascii="Cambria" w:hAnsi="Cambria" w:cstheme="minorHAnsi"/>
          <w:sz w:val="20"/>
          <w:szCs w:val="20"/>
          <w:lang w:val="es-ES_tradnl"/>
        </w:rPr>
      </w:pPr>
      <w:r w:rsidRPr="00E50138">
        <w:rPr>
          <w:rFonts w:asciiTheme="majorHAnsi" w:hAnsiTheme="majorHAnsi" w:cstheme="minorHAnsi"/>
          <w:sz w:val="20"/>
          <w:szCs w:val="20"/>
          <w:lang w:val="es-ES_tradnl"/>
        </w:rPr>
        <w:fldChar w:fldCharType="end"/>
      </w:r>
    </w:p>
    <w:p w14:paraId="5A544D5F" w14:textId="77777777" w:rsidR="00C50251" w:rsidRPr="00EE2386" w:rsidRDefault="00C50251">
      <w:pPr>
        <w:pBdr>
          <w:top w:val="nil"/>
          <w:left w:val="nil"/>
          <w:bottom w:val="nil"/>
          <w:right w:val="nil"/>
          <w:between w:val="nil"/>
          <w:bar w:val="nil"/>
        </w:pBdr>
        <w:rPr>
          <w:rFonts w:ascii="Cambria" w:hAnsi="Cambria"/>
          <w:sz w:val="20"/>
          <w:szCs w:val="20"/>
          <w:lang w:val="es-ES_tradnl"/>
        </w:rPr>
      </w:pPr>
      <w:r w:rsidRPr="00EE2386">
        <w:rPr>
          <w:rFonts w:ascii="Cambria" w:hAnsi="Cambria"/>
          <w:sz w:val="20"/>
          <w:szCs w:val="20"/>
          <w:lang w:val="es-ES_tradnl"/>
        </w:rPr>
        <w:br w:type="page"/>
      </w:r>
    </w:p>
    <w:p w14:paraId="6F292E72" w14:textId="77777777" w:rsidR="00D12193" w:rsidRPr="00EE2386" w:rsidRDefault="00A03A30" w:rsidP="00677C50">
      <w:pPr>
        <w:pStyle w:val="Heading1"/>
        <w:tabs>
          <w:tab w:val="left" w:pos="360"/>
        </w:tabs>
        <w:ind w:left="0" w:firstLine="0"/>
        <w:rPr>
          <w:rFonts w:ascii="Cambria" w:hAnsi="Cambria"/>
          <w:color w:val="auto"/>
        </w:rPr>
      </w:pPr>
      <w:bookmarkStart w:id="2" w:name="_Toc534884869"/>
      <w:bookmarkStart w:id="3" w:name="_Toc534884924"/>
      <w:bookmarkStart w:id="4" w:name="_Toc35966078"/>
      <w:r w:rsidRPr="00EE2386">
        <w:rPr>
          <w:rFonts w:ascii="Cambria" w:hAnsi="Cambria"/>
          <w:color w:val="auto"/>
        </w:rPr>
        <w:lastRenderedPageBreak/>
        <w:t>INTRODUCCIÓN</w:t>
      </w:r>
      <w:bookmarkEnd w:id="2"/>
      <w:bookmarkEnd w:id="3"/>
      <w:bookmarkEnd w:id="4"/>
    </w:p>
    <w:p w14:paraId="19E7ABB3" w14:textId="77777777" w:rsidR="005C4CA5" w:rsidRPr="00EE2386" w:rsidRDefault="005C4CA5" w:rsidP="0011380E">
      <w:pPr>
        <w:suppressAutoHyphens/>
        <w:rPr>
          <w:rFonts w:ascii="Cambria" w:hAnsi="Cambria"/>
          <w:b/>
          <w:sz w:val="20"/>
          <w:szCs w:val="20"/>
          <w:lang w:val="es-ES_tradnl"/>
        </w:rPr>
      </w:pPr>
    </w:p>
    <w:p w14:paraId="67B2B53C" w14:textId="77777777" w:rsidR="009014A4" w:rsidRPr="00EE2386" w:rsidRDefault="00DF02C8" w:rsidP="00677C50">
      <w:pPr>
        <w:pStyle w:val="ListParagraph"/>
        <w:rPr>
          <w:szCs w:val="20"/>
          <w:lang w:val="es-VE"/>
        </w:rPr>
      </w:pPr>
      <w:r w:rsidRPr="00EE2386">
        <w:rPr>
          <w:rFonts w:cs="Arial"/>
          <w:szCs w:val="20"/>
          <w:lang w:val="es-PE"/>
        </w:rPr>
        <w:t xml:space="preserve">El 23 de abril de 2003 la Comisión Interamericana de Derechos Humanos </w:t>
      </w:r>
      <w:r w:rsidRPr="00EE2386">
        <w:rPr>
          <w:rFonts w:cs="Arial"/>
          <w:szCs w:val="20"/>
          <w:lang w:val="es-ES"/>
        </w:rPr>
        <w:t xml:space="preserve">(en adelante “la Comisión Interamericana”, “la Comisión” o “la CIDH”) </w:t>
      </w:r>
      <w:r w:rsidRPr="00EE2386">
        <w:rPr>
          <w:rFonts w:cs="Arial"/>
          <w:szCs w:val="20"/>
          <w:lang w:val="es-PE"/>
        </w:rPr>
        <w:t xml:space="preserve">recibió una petición presentada por la Comisión Ecuménica de Derechos Humanos </w:t>
      </w:r>
      <w:r w:rsidR="000842A3" w:rsidRPr="00EE2386">
        <w:rPr>
          <w:rFonts w:cs="Arial"/>
          <w:szCs w:val="20"/>
          <w:lang w:val="es-PE"/>
        </w:rPr>
        <w:t xml:space="preserve">- </w:t>
      </w:r>
      <w:r w:rsidRPr="00EE2386">
        <w:rPr>
          <w:rFonts w:cs="Arial"/>
          <w:szCs w:val="20"/>
          <w:lang w:val="es-PE"/>
        </w:rPr>
        <w:t>CEDHU (en adelante “la parte peticionaria”)</w:t>
      </w:r>
      <w:r w:rsidRPr="00EE2386">
        <w:rPr>
          <w:rFonts w:cs="Arial"/>
          <w:szCs w:val="20"/>
          <w:lang w:val="es-ES"/>
        </w:rPr>
        <w:t xml:space="preserve"> en la cual se alega la responsabilidad </w:t>
      </w:r>
      <w:r w:rsidRPr="00EE2386">
        <w:rPr>
          <w:rFonts w:cs="Arial"/>
          <w:szCs w:val="20"/>
          <w:lang w:val="es-ES_tradnl"/>
        </w:rPr>
        <w:t>internacional de la</w:t>
      </w:r>
      <w:r w:rsidRPr="00EE2386">
        <w:rPr>
          <w:rFonts w:cs="Arial"/>
          <w:szCs w:val="20"/>
          <w:lang w:val="es-ES"/>
        </w:rPr>
        <w:t xml:space="preserve"> República de</w:t>
      </w:r>
      <w:r w:rsidR="00A533B1">
        <w:rPr>
          <w:rFonts w:cs="Arial"/>
          <w:szCs w:val="20"/>
          <w:lang w:val="es-ES"/>
        </w:rPr>
        <w:t>l</w:t>
      </w:r>
      <w:r w:rsidRPr="00EE2386">
        <w:rPr>
          <w:rFonts w:cs="Arial"/>
          <w:szCs w:val="20"/>
          <w:lang w:val="es-ES"/>
        </w:rPr>
        <w:t xml:space="preserve"> Ecuador (en adelante “el Estado ecuatoriano”,</w:t>
      </w:r>
      <w:r w:rsidR="00E7005D" w:rsidRPr="00EE2386">
        <w:rPr>
          <w:rFonts w:cs="Arial"/>
          <w:szCs w:val="20"/>
          <w:lang w:val="es-ES"/>
        </w:rPr>
        <w:t xml:space="preserve"> </w:t>
      </w:r>
      <w:r w:rsidRPr="00EE2386">
        <w:rPr>
          <w:rFonts w:cs="Arial"/>
          <w:szCs w:val="20"/>
          <w:lang w:val="es-ES"/>
        </w:rPr>
        <w:t>“el Estado” o “</w:t>
      </w:r>
      <w:r w:rsidR="00A533B1">
        <w:rPr>
          <w:rFonts w:cs="Arial"/>
          <w:szCs w:val="20"/>
          <w:lang w:val="es-ES"/>
        </w:rPr>
        <w:t xml:space="preserve">el </w:t>
      </w:r>
      <w:r w:rsidRPr="00EE2386">
        <w:rPr>
          <w:rFonts w:cs="Arial"/>
          <w:szCs w:val="20"/>
          <w:lang w:val="es-ES"/>
        </w:rPr>
        <w:t xml:space="preserve">Ecuador”) </w:t>
      </w:r>
      <w:r w:rsidR="00162372" w:rsidRPr="00EE2386">
        <w:rPr>
          <w:rFonts w:cs="Arial"/>
          <w:szCs w:val="20"/>
          <w:lang w:val="es-ES"/>
        </w:rPr>
        <w:t>por</w:t>
      </w:r>
      <w:r w:rsidR="00162372" w:rsidRPr="00EE2386">
        <w:rPr>
          <w:rFonts w:cs="Arial"/>
          <w:szCs w:val="20"/>
          <w:lang w:val="es-PE"/>
        </w:rPr>
        <w:t xml:space="preserve"> </w:t>
      </w:r>
      <w:r w:rsidR="000842A3" w:rsidRPr="00EE2386">
        <w:rPr>
          <w:rFonts w:cs="Arial"/>
          <w:szCs w:val="20"/>
          <w:lang w:val="es-PE"/>
        </w:rPr>
        <w:t xml:space="preserve">las </w:t>
      </w:r>
      <w:r w:rsidR="00162372" w:rsidRPr="00EE2386">
        <w:rPr>
          <w:rFonts w:cs="Arial"/>
          <w:szCs w:val="20"/>
          <w:lang w:val="es-PE"/>
        </w:rPr>
        <w:t xml:space="preserve">alegadas torturas </w:t>
      </w:r>
      <w:r w:rsidR="0082116F" w:rsidRPr="00EE2386">
        <w:rPr>
          <w:rFonts w:cs="Arial"/>
          <w:szCs w:val="20"/>
          <w:lang w:val="es-PE"/>
        </w:rPr>
        <w:t xml:space="preserve">que </w:t>
      </w:r>
      <w:r w:rsidR="00162372" w:rsidRPr="00EE2386">
        <w:rPr>
          <w:rFonts w:cs="Arial"/>
          <w:szCs w:val="20"/>
          <w:lang w:val="es-PE"/>
        </w:rPr>
        <w:t>resulta</w:t>
      </w:r>
      <w:r w:rsidR="0082116F" w:rsidRPr="00EE2386">
        <w:rPr>
          <w:rFonts w:cs="Arial"/>
          <w:szCs w:val="20"/>
          <w:lang w:val="es-PE"/>
        </w:rPr>
        <w:t>ron en la</w:t>
      </w:r>
      <w:r w:rsidR="00162372" w:rsidRPr="00EE2386">
        <w:rPr>
          <w:rFonts w:cs="Arial"/>
          <w:szCs w:val="20"/>
          <w:lang w:val="es-PE"/>
        </w:rPr>
        <w:t xml:space="preserve"> muerte </w:t>
      </w:r>
      <w:r w:rsidRPr="00EE2386">
        <w:rPr>
          <w:rFonts w:cs="Arial"/>
          <w:szCs w:val="20"/>
          <w:lang w:val="es-ES"/>
        </w:rPr>
        <w:t xml:space="preserve">de </w:t>
      </w:r>
      <w:r w:rsidRPr="00EE2386">
        <w:rPr>
          <w:rFonts w:cs="Arial"/>
          <w:szCs w:val="20"/>
          <w:lang w:val="es-PE"/>
        </w:rPr>
        <w:t>Aníbal Alonso Aguas</w:t>
      </w:r>
      <w:r w:rsidR="00E7005D" w:rsidRPr="00EE2386">
        <w:rPr>
          <w:rFonts w:cs="Arial"/>
          <w:szCs w:val="20"/>
          <w:lang w:val="es-PE"/>
        </w:rPr>
        <w:t xml:space="preserve"> Acosta</w:t>
      </w:r>
      <w:r w:rsidR="00162372" w:rsidRPr="00EE2386">
        <w:rPr>
          <w:rFonts w:cs="Arial"/>
          <w:szCs w:val="20"/>
          <w:lang w:val="es-PE"/>
        </w:rPr>
        <w:t xml:space="preserve">, </w:t>
      </w:r>
      <w:r w:rsidRPr="00EE2386">
        <w:rPr>
          <w:rFonts w:cs="Arial"/>
          <w:szCs w:val="20"/>
          <w:lang w:val="es-PE"/>
        </w:rPr>
        <w:t>así como por la falta de garantías judiciales y protección judicial en la investigación, juzgamiento y sanción de los responsables de los hechos</w:t>
      </w:r>
      <w:r w:rsidR="00162372" w:rsidRPr="00EE2386">
        <w:rPr>
          <w:rFonts w:cs="Arial"/>
          <w:szCs w:val="20"/>
          <w:lang w:val="es-PE"/>
        </w:rPr>
        <w:t xml:space="preserve">, </w:t>
      </w:r>
      <w:r w:rsidR="005E4446" w:rsidRPr="00EE2386">
        <w:rPr>
          <w:rFonts w:cs="Arial"/>
          <w:szCs w:val="20"/>
          <w:lang w:val="es-PE"/>
        </w:rPr>
        <w:t>lo que también importa</w:t>
      </w:r>
      <w:r w:rsidR="000842A3" w:rsidRPr="00EE2386">
        <w:rPr>
          <w:rFonts w:cs="Arial"/>
          <w:szCs w:val="20"/>
          <w:lang w:val="es-PE"/>
        </w:rPr>
        <w:t>ría</w:t>
      </w:r>
      <w:r w:rsidR="005E4446" w:rsidRPr="00EE2386">
        <w:rPr>
          <w:rFonts w:cs="Arial"/>
          <w:szCs w:val="20"/>
          <w:lang w:val="es-PE"/>
        </w:rPr>
        <w:t xml:space="preserve"> una violación a la integridad personal de sus </w:t>
      </w:r>
      <w:r w:rsidR="00162372" w:rsidRPr="00EE2386">
        <w:rPr>
          <w:rFonts w:cs="Arial"/>
          <w:szCs w:val="20"/>
          <w:lang w:val="es-PE"/>
        </w:rPr>
        <w:t>familiares</w:t>
      </w:r>
      <w:r w:rsidR="005E4446" w:rsidRPr="00EE2386">
        <w:rPr>
          <w:rFonts w:cs="Arial"/>
          <w:szCs w:val="20"/>
          <w:lang w:val="es-PE"/>
        </w:rPr>
        <w:t>, incluyendo: su esposa, Estela Gaona; sus hijos, Lesli Carolina Aguas Gaona y Marlon Aníbal Aguas Gaona; sus padres, Neptalí Salvador Aguas Suarez y Fanny Acosta Salinas; y su hermano y cuñada, Medardo Aguas Acosta y Marcia Lara de Aguas</w:t>
      </w:r>
      <w:r w:rsidR="005B179C" w:rsidRPr="00EE2386">
        <w:rPr>
          <w:rFonts w:cs="Arial"/>
          <w:szCs w:val="20"/>
          <w:lang w:val="es-PE"/>
        </w:rPr>
        <w:t xml:space="preserve"> (</w:t>
      </w:r>
      <w:r w:rsidR="00E10AFC">
        <w:rPr>
          <w:rFonts w:cs="Arial"/>
          <w:szCs w:val="20"/>
          <w:lang w:val="es-PE"/>
        </w:rPr>
        <w:t xml:space="preserve">todos los anteriores, incluido Aníbal Aguas Acosta, </w:t>
      </w:r>
      <w:r w:rsidR="005B179C" w:rsidRPr="00EE2386">
        <w:rPr>
          <w:rFonts w:cs="Arial"/>
          <w:szCs w:val="20"/>
          <w:lang w:val="es-PE"/>
        </w:rPr>
        <w:t>“las presuntas víctimas”)</w:t>
      </w:r>
      <w:r w:rsidR="00162372" w:rsidRPr="00EE2386">
        <w:rPr>
          <w:szCs w:val="20"/>
          <w:lang w:val="es-VE"/>
        </w:rPr>
        <w:t xml:space="preserve">. </w:t>
      </w:r>
    </w:p>
    <w:p w14:paraId="4DDFBC60" w14:textId="77777777" w:rsidR="009014A4" w:rsidRPr="00EE2386" w:rsidRDefault="009014A4" w:rsidP="0011380E">
      <w:pPr>
        <w:pStyle w:val="ListParagraph"/>
        <w:numPr>
          <w:ilvl w:val="0"/>
          <w:numId w:val="0"/>
        </w:numPr>
        <w:rPr>
          <w:color w:val="auto"/>
          <w:szCs w:val="20"/>
          <w:lang w:val="es-VE"/>
        </w:rPr>
      </w:pPr>
    </w:p>
    <w:p w14:paraId="1B4A9933" w14:textId="77777777" w:rsidR="00DF02C8" w:rsidRPr="00EE2386" w:rsidRDefault="00DF02C8" w:rsidP="00DF02C8">
      <w:pPr>
        <w:pStyle w:val="ListParagraph"/>
        <w:rPr>
          <w:szCs w:val="20"/>
          <w:lang w:val="es-PE"/>
        </w:rPr>
      </w:pPr>
      <w:r w:rsidRPr="00EE2386">
        <w:rPr>
          <w:szCs w:val="20"/>
          <w:lang w:val="es-PE"/>
        </w:rPr>
        <w:t>La Comisión aprobó el Informe de admisibilidad No. 8/11 el 22 de marzo de 2011.</w:t>
      </w:r>
      <w:r w:rsidRPr="00EE2386">
        <w:rPr>
          <w:rStyle w:val="FootnoteReference"/>
          <w:rFonts w:cs="Arial"/>
          <w:szCs w:val="20"/>
          <w:lang w:val="es-PE"/>
        </w:rPr>
        <w:footnoteReference w:id="2"/>
      </w:r>
      <w:r w:rsidRPr="00EE2386">
        <w:rPr>
          <w:szCs w:val="20"/>
          <w:lang w:val="es-PE"/>
        </w:rPr>
        <w:t xml:space="preserve"> El 11 de abril de 2011 la Comisión notificó dicho informe a las partes </w:t>
      </w:r>
      <w:r w:rsidRPr="00EE2386">
        <w:rPr>
          <w:szCs w:val="20"/>
          <w:lang w:val="es-US"/>
        </w:rPr>
        <w:t xml:space="preserve">y se puso a disposición </w:t>
      </w:r>
      <w:r w:rsidR="0027308F" w:rsidRPr="00EE2386">
        <w:rPr>
          <w:szCs w:val="20"/>
          <w:lang w:val="es-US"/>
        </w:rPr>
        <w:t xml:space="preserve">de </w:t>
      </w:r>
      <w:r w:rsidR="00DC25DE" w:rsidRPr="00EE2386">
        <w:rPr>
          <w:szCs w:val="20"/>
          <w:lang w:val="es-US"/>
        </w:rPr>
        <w:t xml:space="preserve">estas </w:t>
      </w:r>
      <w:r w:rsidRPr="00EE2386">
        <w:rPr>
          <w:szCs w:val="20"/>
          <w:lang w:val="es-US"/>
        </w:rPr>
        <w:t xml:space="preserve">a fin de llegar a una solución amistosa, sin que se dieran las condiciones para iniciar dicho procedimiento. Las </w:t>
      </w:r>
      <w:r w:rsidRPr="00EE2386">
        <w:rPr>
          <w:szCs w:val="20"/>
          <w:lang w:val="es-ES_tradnl"/>
        </w:rPr>
        <w:t xml:space="preserve">partes </w:t>
      </w:r>
      <w:r w:rsidRPr="00EE2386">
        <w:rPr>
          <w:szCs w:val="20"/>
          <w:lang w:val="es-US"/>
        </w:rPr>
        <w:t>contaron</w:t>
      </w:r>
      <w:r w:rsidRPr="00EE2386">
        <w:rPr>
          <w:szCs w:val="20"/>
          <w:lang w:val="es-ES_tradnl"/>
        </w:rPr>
        <w:t xml:space="preserve"> con los plazos reglamentarios para presentar sus observaciones adicionales sobre el fondo</w:t>
      </w:r>
      <w:r w:rsidR="006315D5" w:rsidRPr="00EE2386">
        <w:rPr>
          <w:szCs w:val="20"/>
          <w:lang w:val="es-ES_tradnl"/>
        </w:rPr>
        <w:t>, las que ambas partes presentaron</w:t>
      </w:r>
      <w:r w:rsidRPr="00EE2386">
        <w:rPr>
          <w:szCs w:val="20"/>
          <w:lang w:val="es-ES_tradnl"/>
        </w:rPr>
        <w:t>. Toda la información recibida fue debidamente trasladada entre las partes.</w:t>
      </w:r>
    </w:p>
    <w:p w14:paraId="17E409B4" w14:textId="77777777" w:rsidR="009014A4" w:rsidRPr="00EE2386" w:rsidRDefault="009014A4" w:rsidP="00311990">
      <w:pPr>
        <w:pStyle w:val="ListParagraph"/>
        <w:numPr>
          <w:ilvl w:val="0"/>
          <w:numId w:val="0"/>
        </w:numPr>
        <w:rPr>
          <w:color w:val="auto"/>
          <w:szCs w:val="20"/>
          <w:lang w:val="es-VE"/>
        </w:rPr>
      </w:pPr>
    </w:p>
    <w:p w14:paraId="2254FF81" w14:textId="77777777" w:rsidR="00A4478F" w:rsidRPr="00EE2386" w:rsidRDefault="00D12193" w:rsidP="00A4478F">
      <w:pPr>
        <w:pStyle w:val="Heading1"/>
        <w:ind w:left="0" w:firstLine="0"/>
        <w:rPr>
          <w:rFonts w:ascii="Cambria" w:hAnsi="Cambria"/>
          <w:color w:val="auto"/>
        </w:rPr>
      </w:pPr>
      <w:bookmarkStart w:id="5" w:name="_Toc35966079"/>
      <w:r w:rsidRPr="00EE2386">
        <w:rPr>
          <w:rFonts w:ascii="Cambria" w:hAnsi="Cambria"/>
          <w:color w:val="auto"/>
        </w:rPr>
        <w:t>ALEGATOS DE LAS PARTES</w:t>
      </w:r>
      <w:bookmarkEnd w:id="5"/>
    </w:p>
    <w:p w14:paraId="31DACBC9" w14:textId="77777777" w:rsidR="005F3D64" w:rsidRPr="00EE2386" w:rsidRDefault="005F3D64" w:rsidP="005F3D64">
      <w:pPr>
        <w:rPr>
          <w:rFonts w:ascii="Cambria" w:hAnsi="Cambria"/>
          <w:sz w:val="20"/>
          <w:szCs w:val="20"/>
          <w:lang w:val="es-ES_tradnl" w:eastAsia="es-ES"/>
        </w:rPr>
      </w:pPr>
    </w:p>
    <w:p w14:paraId="31C8A248" w14:textId="77777777" w:rsidR="00D12193" w:rsidRPr="00EE2386" w:rsidRDefault="0022273F" w:rsidP="005F3D64">
      <w:pPr>
        <w:pStyle w:val="Heading2"/>
        <w:ind w:left="720" w:hanging="720"/>
        <w:rPr>
          <w:szCs w:val="20"/>
          <w:lang w:val="es-ES_tradnl"/>
        </w:rPr>
      </w:pPr>
      <w:bookmarkStart w:id="6" w:name="_Toc35966080"/>
      <w:r w:rsidRPr="00EE2386">
        <w:rPr>
          <w:szCs w:val="20"/>
          <w:lang w:val="es-ES_tradnl"/>
        </w:rPr>
        <w:t xml:space="preserve">Parte </w:t>
      </w:r>
      <w:r w:rsidRPr="00EE2386">
        <w:rPr>
          <w:szCs w:val="20"/>
        </w:rPr>
        <w:t>peticionaria</w:t>
      </w:r>
      <w:bookmarkEnd w:id="6"/>
      <w:r w:rsidRPr="00EE2386">
        <w:rPr>
          <w:szCs w:val="20"/>
          <w:lang w:val="es-ES_tradnl"/>
        </w:rPr>
        <w:t xml:space="preserve"> </w:t>
      </w:r>
    </w:p>
    <w:p w14:paraId="790669D6" w14:textId="77777777" w:rsidR="0064044A" w:rsidRPr="00EE2386" w:rsidRDefault="0064044A" w:rsidP="0011380E">
      <w:pPr>
        <w:pStyle w:val="ListParagraph"/>
        <w:numPr>
          <w:ilvl w:val="0"/>
          <w:numId w:val="0"/>
        </w:numPr>
        <w:rPr>
          <w:color w:val="auto"/>
          <w:szCs w:val="20"/>
          <w:lang w:val="es-VE"/>
        </w:rPr>
      </w:pPr>
    </w:p>
    <w:p w14:paraId="0617341A" w14:textId="77777777" w:rsidR="000542DD" w:rsidRPr="00EE2386" w:rsidRDefault="00D04CA5" w:rsidP="000B04C4">
      <w:pPr>
        <w:pStyle w:val="ListParagraph"/>
        <w:rPr>
          <w:szCs w:val="20"/>
          <w:lang w:val="es-VE"/>
        </w:rPr>
      </w:pPr>
      <w:r w:rsidRPr="00EE2386">
        <w:rPr>
          <w:szCs w:val="20"/>
          <w:lang w:val="es-VE"/>
        </w:rPr>
        <w:t>L</w:t>
      </w:r>
      <w:r w:rsidR="007173E4" w:rsidRPr="00EE2386">
        <w:rPr>
          <w:szCs w:val="20"/>
          <w:lang w:val="es-VE"/>
        </w:rPr>
        <w:t xml:space="preserve">a parte </w:t>
      </w:r>
      <w:r w:rsidR="00037C6D" w:rsidRPr="00EE2386">
        <w:rPr>
          <w:szCs w:val="20"/>
          <w:lang w:val="es-VE"/>
        </w:rPr>
        <w:t>p</w:t>
      </w:r>
      <w:r w:rsidRPr="00EE2386">
        <w:rPr>
          <w:szCs w:val="20"/>
          <w:lang w:val="es-VE"/>
        </w:rPr>
        <w:t>eticionari</w:t>
      </w:r>
      <w:r w:rsidR="007173E4" w:rsidRPr="00EE2386">
        <w:rPr>
          <w:szCs w:val="20"/>
          <w:lang w:val="es-VE"/>
        </w:rPr>
        <w:t>a alega</w:t>
      </w:r>
      <w:r w:rsidR="003F2D64" w:rsidRPr="00EE2386">
        <w:rPr>
          <w:szCs w:val="20"/>
          <w:lang w:val="es-VE"/>
        </w:rPr>
        <w:t xml:space="preserve"> que</w:t>
      </w:r>
      <w:r w:rsidR="00D32D0D" w:rsidRPr="00EE2386">
        <w:rPr>
          <w:szCs w:val="20"/>
          <w:lang w:val="es-VE"/>
        </w:rPr>
        <w:t xml:space="preserve"> </w:t>
      </w:r>
      <w:r w:rsidR="00E7005D" w:rsidRPr="00EE2386">
        <w:rPr>
          <w:szCs w:val="20"/>
          <w:lang w:val="es-US"/>
        </w:rPr>
        <w:t>el 1 de marzo de 1997</w:t>
      </w:r>
      <w:r w:rsidR="000842A3" w:rsidRPr="00EE2386">
        <w:rPr>
          <w:szCs w:val="20"/>
          <w:lang w:val="es-US"/>
        </w:rPr>
        <w:t xml:space="preserve"> aproximadamente a las 22.00hrs.</w:t>
      </w:r>
      <w:r w:rsidR="00E7005D" w:rsidRPr="00EE2386">
        <w:rPr>
          <w:szCs w:val="20"/>
          <w:lang w:val="es-US"/>
        </w:rPr>
        <w:t xml:space="preserve">, Aníbal Alonso Aguas Acosta, </w:t>
      </w:r>
      <w:r w:rsidR="00E7005D" w:rsidRPr="00EE2386">
        <w:rPr>
          <w:szCs w:val="20"/>
          <w:lang w:val="es-PE"/>
        </w:rPr>
        <w:t xml:space="preserve">quien se encontraba en estado etílico, </w:t>
      </w:r>
      <w:r w:rsidR="00D32D0D" w:rsidRPr="00EE2386">
        <w:rPr>
          <w:szCs w:val="20"/>
          <w:lang w:val="es-PE"/>
        </w:rPr>
        <w:t xml:space="preserve">acudió </w:t>
      </w:r>
      <w:r w:rsidR="00E7005D" w:rsidRPr="00EE2386">
        <w:rPr>
          <w:szCs w:val="20"/>
          <w:lang w:val="es-PE"/>
        </w:rPr>
        <w:t xml:space="preserve">a una tienda en la </w:t>
      </w:r>
      <w:r w:rsidR="00E7005D" w:rsidRPr="00EE2386">
        <w:rPr>
          <w:szCs w:val="20"/>
          <w:lang w:val="es-US"/>
        </w:rPr>
        <w:t>que</w:t>
      </w:r>
      <w:r w:rsidR="00E7005D" w:rsidRPr="00EE2386">
        <w:rPr>
          <w:szCs w:val="20"/>
          <w:lang w:val="es-PE"/>
        </w:rPr>
        <w:t xml:space="preserve"> rompió algunas cosas</w:t>
      </w:r>
      <w:r w:rsidR="00D32D0D" w:rsidRPr="00EE2386">
        <w:rPr>
          <w:szCs w:val="20"/>
          <w:lang w:val="es-PE"/>
        </w:rPr>
        <w:t xml:space="preserve"> por lo que</w:t>
      </w:r>
      <w:r w:rsidR="00E7005D" w:rsidRPr="00EE2386">
        <w:rPr>
          <w:szCs w:val="20"/>
          <w:lang w:val="es-PE"/>
        </w:rPr>
        <w:t xml:space="preserve"> </w:t>
      </w:r>
      <w:r w:rsidR="0027308F" w:rsidRPr="00EE2386">
        <w:rPr>
          <w:szCs w:val="20"/>
          <w:lang w:val="es-PE"/>
        </w:rPr>
        <w:t xml:space="preserve">la </w:t>
      </w:r>
      <w:r w:rsidR="00E7005D" w:rsidRPr="00EE2386">
        <w:rPr>
          <w:szCs w:val="20"/>
          <w:lang w:val="es-PE"/>
        </w:rPr>
        <w:t>dueña llam</w:t>
      </w:r>
      <w:r w:rsidR="00D32D0D" w:rsidRPr="00EE2386">
        <w:rPr>
          <w:szCs w:val="20"/>
          <w:lang w:val="es-PE"/>
        </w:rPr>
        <w:t>ó</w:t>
      </w:r>
      <w:r w:rsidR="00E7005D" w:rsidRPr="00EE2386">
        <w:rPr>
          <w:szCs w:val="20"/>
          <w:lang w:val="es-PE"/>
        </w:rPr>
        <w:t xml:space="preserve"> a la policía. Indica que </w:t>
      </w:r>
      <w:r w:rsidR="0027308F" w:rsidRPr="00EE2386">
        <w:rPr>
          <w:szCs w:val="20"/>
          <w:lang w:val="es-PE"/>
        </w:rPr>
        <w:t xml:space="preserve">los </w:t>
      </w:r>
      <w:r w:rsidR="00E7005D" w:rsidRPr="00EE2386">
        <w:rPr>
          <w:szCs w:val="20"/>
          <w:lang w:val="es-PE"/>
        </w:rPr>
        <w:t xml:space="preserve">agentes de policía </w:t>
      </w:r>
      <w:r w:rsidR="0012652A" w:rsidRPr="00EE2386">
        <w:rPr>
          <w:szCs w:val="20"/>
          <w:lang w:val="es-PE"/>
        </w:rPr>
        <w:t xml:space="preserve">que </w:t>
      </w:r>
      <w:r w:rsidR="00E7005D" w:rsidRPr="00EE2386">
        <w:rPr>
          <w:szCs w:val="20"/>
          <w:lang w:val="es-PE"/>
        </w:rPr>
        <w:t>acudieron al local</w:t>
      </w:r>
      <w:r w:rsidR="0027308F" w:rsidRPr="00EE2386">
        <w:rPr>
          <w:szCs w:val="20"/>
          <w:lang w:val="es-PE"/>
        </w:rPr>
        <w:t>,</w:t>
      </w:r>
      <w:r w:rsidR="00BF2308" w:rsidRPr="00EE2386">
        <w:rPr>
          <w:szCs w:val="20"/>
          <w:lang w:val="es-PE"/>
        </w:rPr>
        <w:t xml:space="preserve"> </w:t>
      </w:r>
      <w:r w:rsidR="00D32D0D" w:rsidRPr="00EE2386">
        <w:rPr>
          <w:szCs w:val="20"/>
          <w:lang w:val="es-PE"/>
        </w:rPr>
        <w:t>inicialmente</w:t>
      </w:r>
      <w:r w:rsidR="0027308F" w:rsidRPr="00EE2386">
        <w:rPr>
          <w:szCs w:val="20"/>
          <w:lang w:val="es-PE"/>
        </w:rPr>
        <w:t>,</w:t>
      </w:r>
      <w:r w:rsidR="00E7005D" w:rsidRPr="00EE2386">
        <w:rPr>
          <w:szCs w:val="20"/>
          <w:lang w:val="es-PE"/>
        </w:rPr>
        <w:t xml:space="preserve"> no pudieron detenerlo pues se encontraba sujetado fuertemente a un poste</w:t>
      </w:r>
      <w:r w:rsidR="00BF2308" w:rsidRPr="00EE2386">
        <w:rPr>
          <w:szCs w:val="20"/>
          <w:lang w:val="es-PE"/>
        </w:rPr>
        <w:t xml:space="preserve">, luego </w:t>
      </w:r>
      <w:r w:rsidR="00E7005D" w:rsidRPr="00EE2386">
        <w:rPr>
          <w:szCs w:val="20"/>
          <w:lang w:val="es-PE"/>
        </w:rPr>
        <w:t xml:space="preserve">acudieron más </w:t>
      </w:r>
      <w:r w:rsidR="0012652A" w:rsidRPr="00EE2386">
        <w:rPr>
          <w:szCs w:val="20"/>
          <w:lang w:val="es-PE"/>
        </w:rPr>
        <w:t>agentes</w:t>
      </w:r>
      <w:r w:rsidR="00E7005D" w:rsidRPr="00EE2386">
        <w:rPr>
          <w:szCs w:val="20"/>
          <w:lang w:val="es-PE"/>
        </w:rPr>
        <w:t xml:space="preserve"> y, a pesar de la resistencia de </w:t>
      </w:r>
      <w:r w:rsidR="000650BB" w:rsidRPr="00EE2386">
        <w:rPr>
          <w:szCs w:val="20"/>
          <w:lang w:val="es-PE"/>
        </w:rPr>
        <w:t xml:space="preserve">Aníbal </w:t>
      </w:r>
      <w:r w:rsidR="00E7005D" w:rsidRPr="00EE2386">
        <w:rPr>
          <w:szCs w:val="20"/>
          <w:lang w:val="es-PE"/>
        </w:rPr>
        <w:t xml:space="preserve">y las súplicas de su esposa, los policías </w:t>
      </w:r>
      <w:r w:rsidR="00BF2308" w:rsidRPr="00EE2386">
        <w:rPr>
          <w:szCs w:val="20"/>
          <w:lang w:val="es-PE"/>
        </w:rPr>
        <w:t xml:space="preserve">finalmente </w:t>
      </w:r>
      <w:r w:rsidR="00E7005D" w:rsidRPr="00EE2386">
        <w:rPr>
          <w:szCs w:val="20"/>
          <w:lang w:val="es-PE"/>
        </w:rPr>
        <w:t xml:space="preserve">lo subieron </w:t>
      </w:r>
      <w:r w:rsidR="00BF2308" w:rsidRPr="00EE2386">
        <w:rPr>
          <w:szCs w:val="20"/>
          <w:lang w:val="es-PE"/>
        </w:rPr>
        <w:t xml:space="preserve">a la fuerza </w:t>
      </w:r>
      <w:r w:rsidR="00E7005D" w:rsidRPr="00EE2386">
        <w:rPr>
          <w:szCs w:val="20"/>
          <w:lang w:val="es-PE"/>
        </w:rPr>
        <w:t>al patrullero</w:t>
      </w:r>
      <w:r w:rsidR="00AB0326" w:rsidRPr="00EE2386">
        <w:rPr>
          <w:szCs w:val="20"/>
          <w:lang w:val="es-PE"/>
        </w:rPr>
        <w:t xml:space="preserve">. Alega que su esposa se dirigió en otro vehículo </w:t>
      </w:r>
      <w:r w:rsidR="00E7005D" w:rsidRPr="00EE2386">
        <w:rPr>
          <w:szCs w:val="20"/>
          <w:lang w:val="es-PE"/>
        </w:rPr>
        <w:t>a la Prevención del Cuartel de Policía</w:t>
      </w:r>
      <w:r w:rsidR="00AB0326" w:rsidRPr="00EE2386">
        <w:rPr>
          <w:szCs w:val="20"/>
          <w:lang w:val="es-PE"/>
        </w:rPr>
        <w:t xml:space="preserve">, pero como el patrullero </w:t>
      </w:r>
      <w:r w:rsidR="0027308F" w:rsidRPr="00EE2386">
        <w:rPr>
          <w:szCs w:val="20"/>
          <w:lang w:val="es-PE"/>
        </w:rPr>
        <w:t xml:space="preserve">que traía a su esposo </w:t>
      </w:r>
      <w:r w:rsidR="00AB0326" w:rsidRPr="00EE2386">
        <w:rPr>
          <w:szCs w:val="20"/>
          <w:lang w:val="es-PE"/>
        </w:rPr>
        <w:t>no llegaba</w:t>
      </w:r>
      <w:r w:rsidR="0027308F" w:rsidRPr="00EE2386">
        <w:rPr>
          <w:szCs w:val="20"/>
          <w:lang w:val="es-PE"/>
        </w:rPr>
        <w:t>,</w:t>
      </w:r>
      <w:r w:rsidR="00AB0326" w:rsidRPr="00EE2386">
        <w:rPr>
          <w:szCs w:val="20"/>
          <w:lang w:val="es-PE"/>
        </w:rPr>
        <w:t xml:space="preserve"> los policías</w:t>
      </w:r>
      <w:r w:rsidR="0027308F" w:rsidRPr="00EE2386">
        <w:rPr>
          <w:szCs w:val="20"/>
          <w:lang w:val="es-PE"/>
        </w:rPr>
        <w:t xml:space="preserve"> allí presentes</w:t>
      </w:r>
      <w:r w:rsidR="00AB0326" w:rsidRPr="00EE2386">
        <w:rPr>
          <w:szCs w:val="20"/>
          <w:lang w:val="es-PE"/>
        </w:rPr>
        <w:t xml:space="preserve"> le dijeron que no se preocupara, que se fuera a su casa</w:t>
      </w:r>
      <w:r w:rsidR="00F22BA3">
        <w:rPr>
          <w:szCs w:val="20"/>
          <w:lang w:val="es-PE"/>
        </w:rPr>
        <w:t xml:space="preserve"> y</w:t>
      </w:r>
      <w:r w:rsidR="00AB0326" w:rsidRPr="00EE2386">
        <w:rPr>
          <w:szCs w:val="20"/>
          <w:lang w:val="es-PE"/>
        </w:rPr>
        <w:t xml:space="preserve"> que su marido saldría al día siguiente</w:t>
      </w:r>
      <w:r w:rsidR="00E7005D" w:rsidRPr="00EE2386">
        <w:rPr>
          <w:szCs w:val="20"/>
          <w:lang w:val="es-PE"/>
        </w:rPr>
        <w:t xml:space="preserve">. </w:t>
      </w:r>
      <w:r w:rsidR="00F22BA3">
        <w:rPr>
          <w:szCs w:val="20"/>
          <w:lang w:val="es-PE"/>
        </w:rPr>
        <w:t>M</w:t>
      </w:r>
      <w:r w:rsidR="00AB0326" w:rsidRPr="00EE2386">
        <w:rPr>
          <w:szCs w:val="20"/>
          <w:lang w:val="es-PE"/>
        </w:rPr>
        <w:t xml:space="preserve">ás tarde, </w:t>
      </w:r>
      <w:r w:rsidR="0027308F" w:rsidRPr="00EE2386">
        <w:rPr>
          <w:szCs w:val="20"/>
          <w:lang w:val="es-PE"/>
        </w:rPr>
        <w:t xml:space="preserve">cuando </w:t>
      </w:r>
      <w:r w:rsidR="00AB0326" w:rsidRPr="00EE2386">
        <w:rPr>
          <w:szCs w:val="20"/>
          <w:lang w:val="es-PE"/>
        </w:rPr>
        <w:t>el patrull</w:t>
      </w:r>
      <w:r w:rsidR="0012652A" w:rsidRPr="00EE2386">
        <w:rPr>
          <w:szCs w:val="20"/>
          <w:lang w:val="es-PE"/>
        </w:rPr>
        <w:t>ero llegó con el detenido, al intentar bajarlo</w:t>
      </w:r>
      <w:r w:rsidR="00E7005D" w:rsidRPr="00EE2386">
        <w:rPr>
          <w:szCs w:val="20"/>
          <w:lang w:val="es-PE"/>
        </w:rPr>
        <w:t xml:space="preserve"> </w:t>
      </w:r>
      <w:r w:rsidR="00BF2308" w:rsidRPr="00EE2386">
        <w:rPr>
          <w:szCs w:val="20"/>
          <w:lang w:val="es-PE"/>
        </w:rPr>
        <w:t xml:space="preserve">los policías </w:t>
      </w:r>
      <w:r w:rsidR="00E7005D" w:rsidRPr="00EE2386">
        <w:rPr>
          <w:szCs w:val="20"/>
          <w:lang w:val="es-PE"/>
        </w:rPr>
        <w:t xml:space="preserve">se </w:t>
      </w:r>
      <w:r w:rsidR="00F22BA3">
        <w:rPr>
          <w:szCs w:val="20"/>
          <w:lang w:val="es-PE"/>
        </w:rPr>
        <w:t xml:space="preserve">habrían </w:t>
      </w:r>
      <w:r w:rsidR="00D32D0D" w:rsidRPr="00EE2386">
        <w:rPr>
          <w:szCs w:val="20"/>
          <w:lang w:val="es-PE"/>
        </w:rPr>
        <w:t>percata</w:t>
      </w:r>
      <w:r w:rsidR="00F22BA3">
        <w:rPr>
          <w:szCs w:val="20"/>
          <w:lang w:val="es-PE"/>
        </w:rPr>
        <w:t>do</w:t>
      </w:r>
      <w:r w:rsidR="0027308F" w:rsidRPr="00EE2386">
        <w:rPr>
          <w:szCs w:val="20"/>
          <w:lang w:val="es-PE"/>
        </w:rPr>
        <w:t xml:space="preserve"> </w:t>
      </w:r>
      <w:r w:rsidR="00E7005D" w:rsidRPr="00EE2386">
        <w:rPr>
          <w:szCs w:val="20"/>
          <w:lang w:val="es-PE"/>
        </w:rPr>
        <w:t xml:space="preserve">que </w:t>
      </w:r>
      <w:r w:rsidR="00D32D0D" w:rsidRPr="00EE2386">
        <w:rPr>
          <w:szCs w:val="20"/>
          <w:lang w:val="es-PE"/>
        </w:rPr>
        <w:t>Aní</w:t>
      </w:r>
      <w:r w:rsidR="00BF2308" w:rsidRPr="00EE2386">
        <w:rPr>
          <w:szCs w:val="20"/>
          <w:lang w:val="es-PE"/>
        </w:rPr>
        <w:t xml:space="preserve">bal </w:t>
      </w:r>
      <w:r w:rsidR="00E7005D" w:rsidRPr="00EE2386">
        <w:rPr>
          <w:szCs w:val="20"/>
          <w:lang w:val="es-PE"/>
        </w:rPr>
        <w:t xml:space="preserve">no se movía, le </w:t>
      </w:r>
      <w:r w:rsidR="00BF2308" w:rsidRPr="00EE2386">
        <w:rPr>
          <w:szCs w:val="20"/>
          <w:lang w:val="es-PE"/>
        </w:rPr>
        <w:t>lanzaron</w:t>
      </w:r>
      <w:r w:rsidR="00E7005D" w:rsidRPr="00EE2386">
        <w:rPr>
          <w:szCs w:val="20"/>
          <w:lang w:val="es-PE"/>
        </w:rPr>
        <w:t xml:space="preserve"> agua y</w:t>
      </w:r>
      <w:r w:rsidR="00BF2308" w:rsidRPr="00EE2386">
        <w:rPr>
          <w:szCs w:val="20"/>
          <w:lang w:val="es-PE"/>
        </w:rPr>
        <w:t>,</w:t>
      </w:r>
      <w:r w:rsidR="00E7005D" w:rsidRPr="00EE2386">
        <w:rPr>
          <w:szCs w:val="20"/>
          <w:lang w:val="es-PE"/>
        </w:rPr>
        <w:t xml:space="preserve"> como no reaccionó, </w:t>
      </w:r>
      <w:r w:rsidR="00BF2308" w:rsidRPr="00EE2386">
        <w:rPr>
          <w:szCs w:val="20"/>
          <w:lang w:val="es-PE"/>
        </w:rPr>
        <w:t xml:space="preserve">lo </w:t>
      </w:r>
      <w:r w:rsidR="00E7005D" w:rsidRPr="00EE2386">
        <w:rPr>
          <w:szCs w:val="20"/>
          <w:lang w:val="es-PE"/>
        </w:rPr>
        <w:t>traslada</w:t>
      </w:r>
      <w:r w:rsidR="00BF2308" w:rsidRPr="00EE2386">
        <w:rPr>
          <w:szCs w:val="20"/>
          <w:lang w:val="es-PE"/>
        </w:rPr>
        <w:t>ron</w:t>
      </w:r>
      <w:r w:rsidR="00E7005D" w:rsidRPr="00EE2386">
        <w:rPr>
          <w:szCs w:val="20"/>
          <w:lang w:val="es-PE"/>
        </w:rPr>
        <w:t xml:space="preserve"> al hospital</w:t>
      </w:r>
      <w:r w:rsidR="000542DD" w:rsidRPr="00EE2386">
        <w:rPr>
          <w:szCs w:val="20"/>
          <w:lang w:val="es-PE"/>
        </w:rPr>
        <w:t>. En el hospital lo declararon muerto</w:t>
      </w:r>
      <w:r w:rsidR="00D32D0D" w:rsidRPr="00EE2386">
        <w:rPr>
          <w:szCs w:val="20"/>
          <w:lang w:val="es-PE"/>
        </w:rPr>
        <w:t xml:space="preserve">, por lo que </w:t>
      </w:r>
      <w:r w:rsidR="00AB0326" w:rsidRPr="00EE2386">
        <w:rPr>
          <w:szCs w:val="20"/>
          <w:lang w:val="es-PE"/>
        </w:rPr>
        <w:t xml:space="preserve">los policías lo </w:t>
      </w:r>
      <w:r w:rsidR="000542DD" w:rsidRPr="00EE2386">
        <w:rPr>
          <w:szCs w:val="20"/>
          <w:lang w:val="es-PE"/>
        </w:rPr>
        <w:t>traslada</w:t>
      </w:r>
      <w:r w:rsidR="00AB0326" w:rsidRPr="00EE2386">
        <w:rPr>
          <w:szCs w:val="20"/>
          <w:lang w:val="es-PE"/>
        </w:rPr>
        <w:t>ron</w:t>
      </w:r>
      <w:r w:rsidR="000542DD" w:rsidRPr="00EE2386">
        <w:rPr>
          <w:szCs w:val="20"/>
          <w:lang w:val="es-PE"/>
        </w:rPr>
        <w:t xml:space="preserve"> a la morgue. </w:t>
      </w:r>
    </w:p>
    <w:p w14:paraId="43367893" w14:textId="77777777" w:rsidR="000542DD" w:rsidRPr="00EE2386" w:rsidRDefault="000542DD" w:rsidP="000542DD">
      <w:pPr>
        <w:pStyle w:val="ListParagraph"/>
        <w:numPr>
          <w:ilvl w:val="0"/>
          <w:numId w:val="0"/>
        </w:numPr>
        <w:rPr>
          <w:szCs w:val="20"/>
          <w:lang w:val="es-VE"/>
        </w:rPr>
      </w:pPr>
    </w:p>
    <w:p w14:paraId="1BBC82E9" w14:textId="77777777" w:rsidR="007C2D76" w:rsidRPr="00EE2386" w:rsidRDefault="00DC25DE" w:rsidP="007C2D76">
      <w:pPr>
        <w:pStyle w:val="ListParagraph"/>
        <w:rPr>
          <w:szCs w:val="20"/>
          <w:lang w:val="es-VE"/>
        </w:rPr>
      </w:pPr>
      <w:r w:rsidRPr="00EE2386">
        <w:rPr>
          <w:szCs w:val="20"/>
          <w:lang w:val="es-VE"/>
        </w:rPr>
        <w:t xml:space="preserve">Alega a </w:t>
      </w:r>
      <w:r w:rsidR="000542DD" w:rsidRPr="00EE2386">
        <w:rPr>
          <w:szCs w:val="20"/>
          <w:lang w:val="es-VE"/>
        </w:rPr>
        <w:t xml:space="preserve">que </w:t>
      </w:r>
      <w:r w:rsidR="000542DD" w:rsidRPr="00EE2386">
        <w:rPr>
          <w:rFonts w:cs="Arial"/>
          <w:szCs w:val="20"/>
          <w:lang w:val="es-PE"/>
        </w:rPr>
        <w:t>a la morgue acudió el Juez Quinto de lo Penal de El Oro</w:t>
      </w:r>
      <w:r w:rsidR="00D32D0D" w:rsidRPr="00EE2386">
        <w:rPr>
          <w:rFonts w:cs="Arial"/>
          <w:szCs w:val="20"/>
          <w:lang w:val="es-PE"/>
        </w:rPr>
        <w:t xml:space="preserve"> (“Juez Quinto</w:t>
      </w:r>
      <w:r w:rsidR="000C7457" w:rsidRPr="00EE2386">
        <w:rPr>
          <w:rFonts w:cs="Arial"/>
          <w:szCs w:val="20"/>
          <w:lang w:val="es-PE"/>
        </w:rPr>
        <w:t xml:space="preserve"> Penal</w:t>
      </w:r>
      <w:r w:rsidR="00D32D0D" w:rsidRPr="00EE2386">
        <w:rPr>
          <w:rFonts w:cs="Arial"/>
          <w:szCs w:val="20"/>
          <w:lang w:val="es-PE"/>
        </w:rPr>
        <w:t>”)</w:t>
      </w:r>
      <w:r w:rsidR="000542DD" w:rsidRPr="00EE2386">
        <w:rPr>
          <w:rFonts w:cs="Arial"/>
          <w:szCs w:val="20"/>
          <w:lang w:val="es-PE"/>
        </w:rPr>
        <w:t xml:space="preserve">, quien realizó el levantamiento del cadáver y ordenó </w:t>
      </w:r>
      <w:r w:rsidRPr="00EE2386">
        <w:rPr>
          <w:rFonts w:cs="Arial"/>
          <w:szCs w:val="20"/>
          <w:lang w:val="es-PE"/>
        </w:rPr>
        <w:t xml:space="preserve">que </w:t>
      </w:r>
      <w:r w:rsidR="00072708" w:rsidRPr="00EE2386">
        <w:rPr>
          <w:rFonts w:cs="Arial"/>
          <w:szCs w:val="20"/>
          <w:lang w:val="es-PE"/>
        </w:rPr>
        <w:t xml:space="preserve">se practicara </w:t>
      </w:r>
      <w:r w:rsidR="000542DD" w:rsidRPr="00EE2386">
        <w:rPr>
          <w:rFonts w:cs="Arial"/>
          <w:szCs w:val="20"/>
          <w:lang w:val="es-PE"/>
        </w:rPr>
        <w:t xml:space="preserve">la autopsia </w:t>
      </w:r>
      <w:r w:rsidR="00072708" w:rsidRPr="00EE2386">
        <w:rPr>
          <w:rFonts w:cs="Arial"/>
          <w:szCs w:val="20"/>
          <w:lang w:val="es-PE"/>
        </w:rPr>
        <w:t>prevista por la</w:t>
      </w:r>
      <w:r w:rsidR="000542DD" w:rsidRPr="00EE2386">
        <w:rPr>
          <w:rFonts w:cs="Arial"/>
          <w:szCs w:val="20"/>
          <w:lang w:val="es-PE"/>
        </w:rPr>
        <w:t xml:space="preserve"> ley. Posteriormente, </w:t>
      </w:r>
      <w:r w:rsidR="00072708" w:rsidRPr="00EE2386">
        <w:rPr>
          <w:rFonts w:cs="Arial"/>
          <w:szCs w:val="20"/>
          <w:lang w:val="es-PE"/>
        </w:rPr>
        <w:t>ante la falta de</w:t>
      </w:r>
      <w:r w:rsidR="000542DD" w:rsidRPr="00EE2386">
        <w:rPr>
          <w:rFonts w:cs="Arial"/>
          <w:szCs w:val="20"/>
          <w:lang w:val="es-PE"/>
        </w:rPr>
        <w:t xml:space="preserve"> algunos datos en el acta de levantamiento</w:t>
      </w:r>
      <w:r w:rsidR="00E65437" w:rsidRPr="00EE2386">
        <w:rPr>
          <w:rFonts w:cs="Arial"/>
          <w:szCs w:val="20"/>
          <w:lang w:val="es-PE"/>
        </w:rPr>
        <w:t>,</w:t>
      </w:r>
      <w:r w:rsidR="000542DD" w:rsidRPr="00EE2386">
        <w:rPr>
          <w:rFonts w:cs="Arial"/>
          <w:szCs w:val="20"/>
          <w:lang w:val="es-PE"/>
        </w:rPr>
        <w:t xml:space="preserve"> los familiares solicitaron la intervención del Juez Tercero de lo Penal</w:t>
      </w:r>
      <w:r w:rsidR="008D2000" w:rsidRPr="00EE2386">
        <w:rPr>
          <w:rFonts w:cs="Arial"/>
          <w:szCs w:val="20"/>
          <w:lang w:val="es-PE"/>
        </w:rPr>
        <w:t xml:space="preserve"> de El Oro (“Juez Tercero</w:t>
      </w:r>
      <w:r w:rsidR="000C7457" w:rsidRPr="00EE2386">
        <w:rPr>
          <w:rFonts w:cs="Arial"/>
          <w:szCs w:val="20"/>
          <w:lang w:val="es-PE"/>
        </w:rPr>
        <w:t xml:space="preserve"> Penal</w:t>
      </w:r>
      <w:r w:rsidR="008D2000" w:rsidRPr="00EE2386">
        <w:rPr>
          <w:rFonts w:cs="Arial"/>
          <w:szCs w:val="20"/>
          <w:lang w:val="es-PE"/>
        </w:rPr>
        <w:t>”)</w:t>
      </w:r>
      <w:r w:rsidR="000542DD" w:rsidRPr="00EE2386">
        <w:rPr>
          <w:rFonts w:cs="Arial"/>
          <w:szCs w:val="20"/>
          <w:lang w:val="es-PE"/>
        </w:rPr>
        <w:t xml:space="preserve">, quien detalló </w:t>
      </w:r>
      <w:r w:rsidR="005411F6" w:rsidRPr="00EE2386">
        <w:rPr>
          <w:rFonts w:cs="Arial"/>
          <w:szCs w:val="20"/>
          <w:lang w:val="es-PE"/>
        </w:rPr>
        <w:t>una se</w:t>
      </w:r>
      <w:r w:rsidR="000650BB" w:rsidRPr="00EE2386">
        <w:rPr>
          <w:rFonts w:cs="Arial"/>
          <w:szCs w:val="20"/>
          <w:lang w:val="es-PE"/>
        </w:rPr>
        <w:t>rie de herida</w:t>
      </w:r>
      <w:r w:rsidR="00072708" w:rsidRPr="00EE2386">
        <w:rPr>
          <w:rFonts w:cs="Arial"/>
          <w:szCs w:val="20"/>
          <w:lang w:val="es-PE"/>
        </w:rPr>
        <w:t>s</w:t>
      </w:r>
      <w:r w:rsidR="000650BB" w:rsidRPr="00EE2386">
        <w:rPr>
          <w:rFonts w:cs="Arial"/>
          <w:szCs w:val="20"/>
          <w:lang w:val="es-PE"/>
        </w:rPr>
        <w:t xml:space="preserve"> en el cuerpo </w:t>
      </w:r>
      <w:r w:rsidR="00E42C4B" w:rsidRPr="00EE2386">
        <w:rPr>
          <w:rFonts w:cs="Arial"/>
          <w:szCs w:val="20"/>
          <w:lang w:val="es-PE"/>
        </w:rPr>
        <w:t xml:space="preserve">y cabeza </w:t>
      </w:r>
      <w:r w:rsidR="000650BB" w:rsidRPr="00EE2386">
        <w:rPr>
          <w:rFonts w:cs="Arial"/>
          <w:szCs w:val="20"/>
          <w:lang w:val="es-PE"/>
        </w:rPr>
        <w:t>de</w:t>
      </w:r>
      <w:r w:rsidR="00072708" w:rsidRPr="00EE2386">
        <w:rPr>
          <w:rFonts w:cs="Arial"/>
          <w:szCs w:val="20"/>
          <w:lang w:val="es-PE"/>
        </w:rPr>
        <w:t xml:space="preserve"> </w:t>
      </w:r>
      <w:r w:rsidR="00E42C4B" w:rsidRPr="00EE2386">
        <w:rPr>
          <w:rFonts w:cs="Arial"/>
          <w:szCs w:val="20"/>
          <w:lang w:val="es-PE"/>
        </w:rPr>
        <w:t>Aníbal</w:t>
      </w:r>
      <w:r w:rsidR="00072708" w:rsidRPr="00EE2386">
        <w:rPr>
          <w:rFonts w:cs="Arial"/>
          <w:szCs w:val="20"/>
          <w:lang w:val="es-PE"/>
        </w:rPr>
        <w:t xml:space="preserve"> e indicó </w:t>
      </w:r>
      <w:r w:rsidR="000542DD" w:rsidRPr="00EE2386">
        <w:rPr>
          <w:rFonts w:cs="Arial"/>
          <w:szCs w:val="20"/>
          <w:lang w:val="es-PE"/>
        </w:rPr>
        <w:t xml:space="preserve">que la muerte se debió a una </w:t>
      </w:r>
      <w:r w:rsidR="00E42C4B" w:rsidRPr="00EE2386">
        <w:rPr>
          <w:rFonts w:cs="Arial"/>
          <w:szCs w:val="20"/>
          <w:lang w:val="es-PE"/>
        </w:rPr>
        <w:t>“</w:t>
      </w:r>
      <w:r w:rsidR="000542DD" w:rsidRPr="00EE2386">
        <w:rPr>
          <w:rFonts w:cs="Arial"/>
          <w:szCs w:val="20"/>
          <w:lang w:val="es-PE"/>
        </w:rPr>
        <w:t>hemorragia bulboprotuberanci</w:t>
      </w:r>
      <w:r w:rsidR="00E42C4B" w:rsidRPr="00EE2386">
        <w:rPr>
          <w:rFonts w:cs="Arial"/>
          <w:szCs w:val="20"/>
          <w:lang w:val="es-PE"/>
        </w:rPr>
        <w:t>al y cerebelosa más lux</w:t>
      </w:r>
      <w:r w:rsidR="000542DD" w:rsidRPr="00EE2386">
        <w:rPr>
          <w:rFonts w:cs="Arial"/>
          <w:szCs w:val="20"/>
          <w:lang w:val="es-PE"/>
        </w:rPr>
        <w:t>ación de articulación occi</w:t>
      </w:r>
      <w:r w:rsidR="00E42C4B" w:rsidRPr="00EE2386">
        <w:rPr>
          <w:rFonts w:cs="Arial"/>
          <w:szCs w:val="20"/>
          <w:lang w:val="es-PE"/>
        </w:rPr>
        <w:t>p</w:t>
      </w:r>
      <w:r w:rsidR="000542DD" w:rsidRPr="00EE2386">
        <w:rPr>
          <w:rFonts w:cs="Arial"/>
          <w:szCs w:val="20"/>
          <w:lang w:val="es-PE"/>
        </w:rPr>
        <w:t>ito atloidea por traumatismos recibidos (trauma cráneo encefálico)</w:t>
      </w:r>
      <w:r w:rsidR="00072708" w:rsidRPr="00EE2386">
        <w:rPr>
          <w:rFonts w:cs="Arial"/>
          <w:szCs w:val="20"/>
          <w:lang w:val="es-PE"/>
        </w:rPr>
        <w:t>”</w:t>
      </w:r>
      <w:r w:rsidR="000542DD" w:rsidRPr="00EE2386">
        <w:rPr>
          <w:rFonts w:cs="Arial"/>
          <w:szCs w:val="20"/>
          <w:lang w:val="es-PE"/>
        </w:rPr>
        <w:t xml:space="preserve">. </w:t>
      </w:r>
    </w:p>
    <w:p w14:paraId="29F6E084" w14:textId="77777777" w:rsidR="005B1DE8" w:rsidRPr="00EE2386" w:rsidRDefault="005B1DE8" w:rsidP="005B1DE8">
      <w:pPr>
        <w:pStyle w:val="ListParagraph"/>
        <w:numPr>
          <w:ilvl w:val="0"/>
          <w:numId w:val="0"/>
        </w:numPr>
        <w:rPr>
          <w:szCs w:val="20"/>
          <w:lang w:val="es-VE"/>
        </w:rPr>
      </w:pPr>
    </w:p>
    <w:p w14:paraId="7F0FE072" w14:textId="77777777" w:rsidR="005B1DE8" w:rsidRPr="00EE2386" w:rsidRDefault="0027308F" w:rsidP="00AB0326">
      <w:pPr>
        <w:pStyle w:val="ListParagraph"/>
        <w:rPr>
          <w:szCs w:val="20"/>
          <w:lang w:val="es-PE"/>
        </w:rPr>
      </w:pPr>
      <w:r w:rsidRPr="00EE2386">
        <w:rPr>
          <w:szCs w:val="20"/>
          <w:lang w:val="es-VE"/>
        </w:rPr>
        <w:t xml:space="preserve">Indica </w:t>
      </w:r>
      <w:r w:rsidR="00DC25DE" w:rsidRPr="00EE2386">
        <w:rPr>
          <w:szCs w:val="20"/>
          <w:lang w:val="es-VE"/>
        </w:rPr>
        <w:t xml:space="preserve">también la peticionaria </w:t>
      </w:r>
      <w:r w:rsidRPr="00EE2386">
        <w:rPr>
          <w:szCs w:val="20"/>
          <w:lang w:val="es-VE"/>
        </w:rPr>
        <w:t xml:space="preserve">que </w:t>
      </w:r>
      <w:r w:rsidR="00E65437" w:rsidRPr="00EE2386">
        <w:rPr>
          <w:szCs w:val="20"/>
          <w:lang w:val="es-PE"/>
        </w:rPr>
        <w:t xml:space="preserve">el 10 de marzo de 1997 el Juez Quinto </w:t>
      </w:r>
      <w:r w:rsidR="000C7457" w:rsidRPr="00EE2386">
        <w:rPr>
          <w:szCs w:val="20"/>
          <w:lang w:val="es-PE"/>
        </w:rPr>
        <w:t xml:space="preserve">Penal </w:t>
      </w:r>
      <w:r w:rsidR="00A06712" w:rsidRPr="00EE2386">
        <w:rPr>
          <w:szCs w:val="20"/>
          <w:lang w:val="es-PE"/>
        </w:rPr>
        <w:t xml:space="preserve">inició </w:t>
      </w:r>
      <w:r w:rsidR="00A0371E" w:rsidRPr="00EE2386">
        <w:rPr>
          <w:szCs w:val="20"/>
          <w:lang w:val="es-PE"/>
        </w:rPr>
        <w:t>una</w:t>
      </w:r>
      <w:r w:rsidR="00A06712" w:rsidRPr="00EE2386">
        <w:rPr>
          <w:szCs w:val="20"/>
          <w:lang w:val="es-PE"/>
        </w:rPr>
        <w:t xml:space="preserve"> investigación ordenando una</w:t>
      </w:r>
      <w:r w:rsidR="00E65437" w:rsidRPr="00EE2386">
        <w:rPr>
          <w:szCs w:val="20"/>
          <w:lang w:val="es-PE"/>
        </w:rPr>
        <w:t xml:space="preserve"> serie de diligencias. </w:t>
      </w:r>
      <w:r w:rsidR="00A0371E" w:rsidRPr="00EE2386">
        <w:rPr>
          <w:szCs w:val="20"/>
          <w:lang w:val="es-PE"/>
        </w:rPr>
        <w:t xml:space="preserve">Sin embargo, </w:t>
      </w:r>
      <w:r w:rsidR="00A06712" w:rsidRPr="00EE2386">
        <w:rPr>
          <w:szCs w:val="20"/>
          <w:lang w:val="es-PE"/>
        </w:rPr>
        <w:t xml:space="preserve">al constatar </w:t>
      </w:r>
      <w:r w:rsidR="007F1D1F" w:rsidRPr="00EE2386">
        <w:rPr>
          <w:szCs w:val="20"/>
          <w:lang w:val="es-PE"/>
        </w:rPr>
        <w:t>que los policías s</w:t>
      </w:r>
      <w:r w:rsidR="00E65437" w:rsidRPr="00EE2386">
        <w:rPr>
          <w:szCs w:val="20"/>
          <w:lang w:val="es-PE"/>
        </w:rPr>
        <w:t xml:space="preserve">indicados </w:t>
      </w:r>
      <w:r w:rsidR="00A06712" w:rsidRPr="00EE2386">
        <w:rPr>
          <w:szCs w:val="20"/>
          <w:lang w:val="es-PE"/>
        </w:rPr>
        <w:t xml:space="preserve">como responsables </w:t>
      </w:r>
      <w:r w:rsidR="00E65437" w:rsidRPr="00EE2386">
        <w:rPr>
          <w:szCs w:val="20"/>
          <w:lang w:val="es-PE"/>
        </w:rPr>
        <w:t>se encontraban en funciones</w:t>
      </w:r>
      <w:r w:rsidR="00A06712" w:rsidRPr="00EE2386">
        <w:rPr>
          <w:szCs w:val="20"/>
          <w:lang w:val="es-PE"/>
        </w:rPr>
        <w:t xml:space="preserve"> el día de los hechos</w:t>
      </w:r>
      <w:r w:rsidR="00E65437" w:rsidRPr="00EE2386">
        <w:rPr>
          <w:szCs w:val="20"/>
          <w:lang w:val="es-PE"/>
        </w:rPr>
        <w:t xml:space="preserve">, </w:t>
      </w:r>
      <w:r w:rsidR="00DC25DE" w:rsidRPr="00EE2386">
        <w:rPr>
          <w:szCs w:val="20"/>
          <w:lang w:val="es-PE"/>
        </w:rPr>
        <w:t xml:space="preserve">el 2 de abril de 1997 </w:t>
      </w:r>
      <w:r w:rsidR="00D32D0D" w:rsidRPr="00EE2386">
        <w:rPr>
          <w:szCs w:val="20"/>
          <w:lang w:val="es-PE"/>
        </w:rPr>
        <w:t xml:space="preserve">el Juez Quinto </w:t>
      </w:r>
      <w:r w:rsidR="000C7457" w:rsidRPr="00EE2386">
        <w:rPr>
          <w:szCs w:val="20"/>
          <w:lang w:val="es-PE"/>
        </w:rPr>
        <w:t xml:space="preserve">Penal </w:t>
      </w:r>
      <w:r w:rsidR="00E65437" w:rsidRPr="00EE2386">
        <w:rPr>
          <w:szCs w:val="20"/>
          <w:lang w:val="es-PE"/>
        </w:rPr>
        <w:t>se inhibió de seguir con la tramitación de la causa</w:t>
      </w:r>
      <w:r w:rsidR="0012652A" w:rsidRPr="00EE2386">
        <w:rPr>
          <w:szCs w:val="20"/>
          <w:lang w:val="es-PE"/>
        </w:rPr>
        <w:t>,</w:t>
      </w:r>
      <w:r w:rsidR="00E65437" w:rsidRPr="00EE2386">
        <w:rPr>
          <w:szCs w:val="20"/>
          <w:lang w:val="es-PE"/>
        </w:rPr>
        <w:t xml:space="preserve"> cediendo competencia </w:t>
      </w:r>
      <w:r w:rsidR="00CF051A">
        <w:rPr>
          <w:szCs w:val="20"/>
          <w:lang w:val="es-PE"/>
        </w:rPr>
        <w:t>a</w:t>
      </w:r>
      <w:r w:rsidR="00E65437" w:rsidRPr="00EE2386">
        <w:rPr>
          <w:szCs w:val="20"/>
          <w:lang w:val="es-PE"/>
        </w:rPr>
        <w:t xml:space="preserve"> favor del fuero policial.</w:t>
      </w:r>
      <w:r w:rsidR="007F1D1F" w:rsidRPr="00EE2386">
        <w:rPr>
          <w:szCs w:val="20"/>
          <w:lang w:val="es-PE"/>
        </w:rPr>
        <w:t xml:space="preserve"> </w:t>
      </w:r>
      <w:r w:rsidR="00A06712" w:rsidRPr="00EE2386">
        <w:rPr>
          <w:szCs w:val="20"/>
          <w:lang w:val="es-PE"/>
        </w:rPr>
        <w:t>En contra de es</w:t>
      </w:r>
      <w:r w:rsidR="00465AE4" w:rsidRPr="00EE2386">
        <w:rPr>
          <w:szCs w:val="20"/>
          <w:lang w:val="es-PE"/>
        </w:rPr>
        <w:t xml:space="preserve">ta decisión </w:t>
      </w:r>
      <w:r w:rsidR="00D32D0D" w:rsidRPr="00EE2386">
        <w:rPr>
          <w:szCs w:val="20"/>
          <w:lang w:val="es-PE"/>
        </w:rPr>
        <w:t xml:space="preserve">se </w:t>
      </w:r>
      <w:r w:rsidR="00465AE4" w:rsidRPr="00EE2386">
        <w:rPr>
          <w:szCs w:val="20"/>
          <w:lang w:val="es-PE"/>
        </w:rPr>
        <w:t>presentaron recurso</w:t>
      </w:r>
      <w:r w:rsidR="00DC25DE" w:rsidRPr="00EE2386">
        <w:rPr>
          <w:szCs w:val="20"/>
          <w:lang w:val="es-PE"/>
        </w:rPr>
        <w:t>s</w:t>
      </w:r>
      <w:r w:rsidR="00A06712" w:rsidRPr="00EE2386">
        <w:rPr>
          <w:szCs w:val="20"/>
          <w:lang w:val="es-PE"/>
        </w:rPr>
        <w:t xml:space="preserve"> de apelación y</w:t>
      </w:r>
      <w:r w:rsidR="00465AE4" w:rsidRPr="00EE2386">
        <w:rPr>
          <w:szCs w:val="20"/>
          <w:lang w:val="es-PE"/>
        </w:rPr>
        <w:t xml:space="preserve"> </w:t>
      </w:r>
      <w:r w:rsidR="00A06712" w:rsidRPr="00EE2386">
        <w:rPr>
          <w:szCs w:val="20"/>
          <w:lang w:val="es-PE"/>
        </w:rPr>
        <w:t>de hecho, los que fueron rechazados por el Juez</w:t>
      </w:r>
      <w:r w:rsidR="00D32D0D" w:rsidRPr="00EE2386">
        <w:rPr>
          <w:szCs w:val="20"/>
          <w:lang w:val="es-PE"/>
        </w:rPr>
        <w:t xml:space="preserve"> Quinto</w:t>
      </w:r>
      <w:r w:rsidR="000C7457" w:rsidRPr="00EE2386">
        <w:rPr>
          <w:szCs w:val="20"/>
          <w:lang w:val="es-PE"/>
        </w:rPr>
        <w:t xml:space="preserve"> Penal</w:t>
      </w:r>
      <w:r w:rsidR="00A06712" w:rsidRPr="00EE2386">
        <w:rPr>
          <w:szCs w:val="20"/>
          <w:lang w:val="es-PE"/>
        </w:rPr>
        <w:t xml:space="preserve">, </w:t>
      </w:r>
      <w:r w:rsidR="00465AE4" w:rsidRPr="00EE2386">
        <w:rPr>
          <w:szCs w:val="20"/>
          <w:lang w:val="es-PE"/>
        </w:rPr>
        <w:t>pese a que</w:t>
      </w:r>
      <w:r w:rsidR="00D32D0D" w:rsidRPr="00EE2386">
        <w:rPr>
          <w:szCs w:val="20"/>
          <w:lang w:val="es-PE"/>
        </w:rPr>
        <w:t xml:space="preserve">, </w:t>
      </w:r>
      <w:r w:rsidR="00465AE4" w:rsidRPr="00EE2386">
        <w:rPr>
          <w:szCs w:val="20"/>
          <w:lang w:val="es-PE"/>
        </w:rPr>
        <w:t>conforme a la legislación</w:t>
      </w:r>
      <w:r w:rsidR="000842A3" w:rsidRPr="00EE2386">
        <w:rPr>
          <w:szCs w:val="20"/>
          <w:lang w:val="es-PE"/>
        </w:rPr>
        <w:t xml:space="preserve"> vigente</w:t>
      </w:r>
      <w:r w:rsidR="00D32D0D" w:rsidRPr="00EE2386">
        <w:rPr>
          <w:szCs w:val="20"/>
          <w:lang w:val="es-PE"/>
        </w:rPr>
        <w:t>,</w:t>
      </w:r>
      <w:r w:rsidR="00465AE4" w:rsidRPr="00EE2386">
        <w:rPr>
          <w:szCs w:val="20"/>
          <w:lang w:val="es-PE"/>
        </w:rPr>
        <w:t xml:space="preserve"> el recurso de hecho debía enviarse sin más trámite a la Corte Suprema. Ante ello, </w:t>
      </w:r>
      <w:r w:rsidR="00A06712" w:rsidRPr="00EE2386">
        <w:rPr>
          <w:szCs w:val="20"/>
          <w:lang w:val="es-PE"/>
        </w:rPr>
        <w:t xml:space="preserve">se interpuso recurso de amparo constitucional, el que también </w:t>
      </w:r>
      <w:r w:rsidR="000842A3" w:rsidRPr="00EE2386">
        <w:rPr>
          <w:szCs w:val="20"/>
          <w:lang w:val="es-PE"/>
        </w:rPr>
        <w:t xml:space="preserve">fue </w:t>
      </w:r>
      <w:r w:rsidR="00A06712" w:rsidRPr="00EE2386">
        <w:rPr>
          <w:szCs w:val="20"/>
          <w:lang w:val="es-PE"/>
        </w:rPr>
        <w:t>rechazado por el Tribunal Contencioso Administrativo de Guayaquil el 11 de marzo de 1998</w:t>
      </w:r>
      <w:r w:rsidR="0012652A" w:rsidRPr="00EE2386">
        <w:rPr>
          <w:szCs w:val="20"/>
          <w:lang w:val="es-PE"/>
        </w:rPr>
        <w:t>. Tal</w:t>
      </w:r>
      <w:r w:rsidR="00AE5686" w:rsidRPr="00EE2386">
        <w:rPr>
          <w:szCs w:val="20"/>
          <w:lang w:val="es-PE"/>
        </w:rPr>
        <w:t xml:space="preserve"> decisión fue apela</w:t>
      </w:r>
      <w:r w:rsidR="00465AE4" w:rsidRPr="00EE2386">
        <w:rPr>
          <w:szCs w:val="20"/>
          <w:lang w:val="es-PE"/>
        </w:rPr>
        <w:t>da ante</w:t>
      </w:r>
      <w:r w:rsidR="00AE5686" w:rsidRPr="00EE2386">
        <w:rPr>
          <w:szCs w:val="20"/>
          <w:lang w:val="es-PE"/>
        </w:rPr>
        <w:t xml:space="preserve"> el Tribunal Constitucional</w:t>
      </w:r>
      <w:r w:rsidR="00465AE4" w:rsidRPr="00EE2386">
        <w:rPr>
          <w:szCs w:val="20"/>
          <w:lang w:val="es-PE"/>
        </w:rPr>
        <w:t>, el que rechazó el recurso</w:t>
      </w:r>
      <w:r w:rsidR="00AE5686" w:rsidRPr="00EE2386">
        <w:rPr>
          <w:szCs w:val="20"/>
          <w:lang w:val="es-PE"/>
        </w:rPr>
        <w:t xml:space="preserve"> el 28 de septiembre de 1998</w:t>
      </w:r>
      <w:r w:rsidR="0012652A" w:rsidRPr="00EE2386">
        <w:rPr>
          <w:szCs w:val="20"/>
          <w:lang w:val="es-PE"/>
        </w:rPr>
        <w:t>,</w:t>
      </w:r>
      <w:r w:rsidR="00465AE4" w:rsidRPr="00EE2386">
        <w:rPr>
          <w:szCs w:val="20"/>
          <w:lang w:val="es-PE"/>
        </w:rPr>
        <w:t xml:space="preserve"> por falta de jurisdicción, sin perjuicio de hacer </w:t>
      </w:r>
      <w:r w:rsidR="007F1D1F" w:rsidRPr="00EE2386">
        <w:rPr>
          <w:rFonts w:cs="Arial"/>
          <w:szCs w:val="20"/>
          <w:lang w:val="es-PE"/>
        </w:rPr>
        <w:t xml:space="preserve">un llamado de atención al Juez Quinto </w:t>
      </w:r>
      <w:r w:rsidR="000C7457" w:rsidRPr="00EE2386">
        <w:rPr>
          <w:rFonts w:cs="Arial"/>
          <w:szCs w:val="20"/>
          <w:lang w:val="es-PE"/>
        </w:rPr>
        <w:t xml:space="preserve">Penal </w:t>
      </w:r>
      <w:r w:rsidR="007F1D1F" w:rsidRPr="00EE2386">
        <w:rPr>
          <w:rFonts w:cs="Arial"/>
          <w:szCs w:val="20"/>
          <w:lang w:val="es-PE"/>
        </w:rPr>
        <w:t>por la forma en la que ha</w:t>
      </w:r>
      <w:r w:rsidR="00465AE4" w:rsidRPr="00EE2386">
        <w:rPr>
          <w:rFonts w:cs="Arial"/>
          <w:szCs w:val="20"/>
          <w:lang w:val="es-PE"/>
        </w:rPr>
        <w:t>bía</w:t>
      </w:r>
      <w:r w:rsidR="007F1D1F" w:rsidRPr="00EE2386">
        <w:rPr>
          <w:rFonts w:cs="Arial"/>
          <w:szCs w:val="20"/>
          <w:lang w:val="es-PE"/>
        </w:rPr>
        <w:t xml:space="preserve"> tramitado el proceso</w:t>
      </w:r>
      <w:r w:rsidR="00465AE4" w:rsidRPr="00EE2386">
        <w:rPr>
          <w:rFonts w:cs="Arial"/>
          <w:szCs w:val="20"/>
          <w:lang w:val="es-PE"/>
        </w:rPr>
        <w:t>.</w:t>
      </w:r>
    </w:p>
    <w:p w14:paraId="1F2273F8" w14:textId="77777777" w:rsidR="000F73EE" w:rsidRPr="00EE2386" w:rsidRDefault="000F73EE" w:rsidP="000F73EE">
      <w:pPr>
        <w:pStyle w:val="ListParagraph"/>
        <w:numPr>
          <w:ilvl w:val="0"/>
          <w:numId w:val="0"/>
        </w:numPr>
        <w:rPr>
          <w:szCs w:val="20"/>
          <w:lang w:val="es-PE"/>
        </w:rPr>
      </w:pPr>
    </w:p>
    <w:p w14:paraId="07C7C2FE" w14:textId="77777777" w:rsidR="00554364" w:rsidRPr="00EE2386" w:rsidRDefault="007F1D1F" w:rsidP="00C97747">
      <w:pPr>
        <w:pStyle w:val="ListParagraph"/>
        <w:rPr>
          <w:szCs w:val="20"/>
          <w:lang w:val="es-PE"/>
        </w:rPr>
      </w:pPr>
      <w:r w:rsidRPr="00EE2386">
        <w:rPr>
          <w:rFonts w:cs="Arial"/>
          <w:szCs w:val="20"/>
          <w:lang w:val="es-PE"/>
        </w:rPr>
        <w:t xml:space="preserve"> </w:t>
      </w:r>
      <w:r w:rsidR="00AE5686" w:rsidRPr="00EE2386">
        <w:rPr>
          <w:rFonts w:cs="Arial"/>
          <w:szCs w:val="20"/>
          <w:lang w:val="es-PE"/>
        </w:rPr>
        <w:t xml:space="preserve">Respecto del proceso ante el fuero policial, la </w:t>
      </w:r>
      <w:r w:rsidR="00CF051A">
        <w:rPr>
          <w:rFonts w:cs="Arial"/>
          <w:szCs w:val="20"/>
          <w:lang w:val="es-PE"/>
        </w:rPr>
        <w:t xml:space="preserve">parte </w:t>
      </w:r>
      <w:r w:rsidR="00AE5686" w:rsidRPr="00EE2386">
        <w:rPr>
          <w:rFonts w:cs="Arial"/>
          <w:szCs w:val="20"/>
          <w:lang w:val="es-PE"/>
        </w:rPr>
        <w:t>peticionaria indica que</w:t>
      </w:r>
      <w:r w:rsidR="00C97747" w:rsidRPr="00EE2386">
        <w:rPr>
          <w:rFonts w:cs="Arial"/>
          <w:szCs w:val="20"/>
          <w:lang w:val="es-PE"/>
        </w:rPr>
        <w:t>, concluida la etapa de sumario e intermedia,</w:t>
      </w:r>
      <w:r w:rsidR="00AE5686" w:rsidRPr="00EE2386">
        <w:rPr>
          <w:rFonts w:cs="Arial"/>
          <w:szCs w:val="20"/>
          <w:lang w:val="es-PE"/>
        </w:rPr>
        <w:t xml:space="preserve"> e</w:t>
      </w:r>
      <w:r w:rsidR="000F73EE" w:rsidRPr="00EE2386">
        <w:rPr>
          <w:rFonts w:cs="Arial"/>
          <w:szCs w:val="20"/>
          <w:lang w:val="es-PE"/>
        </w:rPr>
        <w:t xml:space="preserve">l </w:t>
      </w:r>
      <w:r w:rsidR="00D80077" w:rsidRPr="00EE2386">
        <w:rPr>
          <w:rFonts w:cs="Arial"/>
          <w:szCs w:val="20"/>
          <w:lang w:val="es-PE"/>
        </w:rPr>
        <w:t xml:space="preserve">11 de diciembre de 1998 el </w:t>
      </w:r>
      <w:r w:rsidR="000F73EE" w:rsidRPr="00EE2386">
        <w:rPr>
          <w:rFonts w:cs="Arial"/>
          <w:szCs w:val="20"/>
          <w:lang w:val="es-PE"/>
        </w:rPr>
        <w:t>Ju</w:t>
      </w:r>
      <w:r w:rsidR="00D80077" w:rsidRPr="00EE2386">
        <w:rPr>
          <w:rFonts w:cs="Arial"/>
          <w:szCs w:val="20"/>
          <w:lang w:val="es-PE"/>
        </w:rPr>
        <w:t>e</w:t>
      </w:r>
      <w:r w:rsidR="000F73EE" w:rsidRPr="00EE2386">
        <w:rPr>
          <w:rFonts w:cs="Arial"/>
          <w:szCs w:val="20"/>
          <w:lang w:val="es-PE"/>
        </w:rPr>
        <w:t>z Segundo del Cuarto Distrito de la Policía Nacional en Guayaquil</w:t>
      </w:r>
      <w:r w:rsidR="00AE5686" w:rsidRPr="00EE2386">
        <w:rPr>
          <w:rFonts w:cs="Arial"/>
          <w:szCs w:val="20"/>
          <w:lang w:val="es-PE"/>
        </w:rPr>
        <w:t xml:space="preserve"> </w:t>
      </w:r>
      <w:r w:rsidR="00C97747" w:rsidRPr="00EE2386">
        <w:rPr>
          <w:rFonts w:cs="Arial"/>
          <w:szCs w:val="20"/>
          <w:lang w:val="es-PE"/>
        </w:rPr>
        <w:t xml:space="preserve">sobreseyó a tres de los sindicados y </w:t>
      </w:r>
      <w:r w:rsidR="00D80077" w:rsidRPr="00EE2386">
        <w:rPr>
          <w:rFonts w:cs="Arial"/>
          <w:szCs w:val="20"/>
          <w:lang w:val="es-PE"/>
        </w:rPr>
        <w:t>dictó auto motivado</w:t>
      </w:r>
      <w:r w:rsidR="00556C48" w:rsidRPr="00EE2386">
        <w:rPr>
          <w:rFonts w:cs="Arial"/>
          <w:szCs w:val="20"/>
          <w:lang w:val="es-PE"/>
        </w:rPr>
        <w:t xml:space="preserve"> </w:t>
      </w:r>
      <w:r w:rsidR="002C6168" w:rsidRPr="00EE2386">
        <w:rPr>
          <w:rFonts w:cs="Arial"/>
          <w:szCs w:val="20"/>
          <w:lang w:val="es-PE"/>
        </w:rPr>
        <w:t>por el delito de homicidio preterintencional</w:t>
      </w:r>
      <w:r w:rsidR="00A65744" w:rsidRPr="00EE2386">
        <w:rPr>
          <w:rFonts w:cs="Arial"/>
          <w:szCs w:val="20"/>
          <w:lang w:val="es-PE"/>
        </w:rPr>
        <w:t xml:space="preserve"> en contra del</w:t>
      </w:r>
      <w:r w:rsidR="00A0371E" w:rsidRPr="00EE2386">
        <w:rPr>
          <w:rFonts w:cs="Arial"/>
          <w:szCs w:val="20"/>
          <w:lang w:val="es-PE"/>
        </w:rPr>
        <w:t xml:space="preserve"> SgtoP</w:t>
      </w:r>
      <w:r w:rsidR="006315D5" w:rsidRPr="00EE2386">
        <w:rPr>
          <w:rFonts w:cs="Arial"/>
          <w:szCs w:val="20"/>
          <w:lang w:val="es-PE"/>
        </w:rPr>
        <w:t>.</w:t>
      </w:r>
      <w:r w:rsidR="00556C48" w:rsidRPr="00EE2386">
        <w:rPr>
          <w:rFonts w:cs="Arial"/>
          <w:szCs w:val="20"/>
          <w:lang w:val="es-PE"/>
        </w:rPr>
        <w:t xml:space="preserve"> </w:t>
      </w:r>
      <w:r w:rsidR="00556C48" w:rsidRPr="00EE2386">
        <w:rPr>
          <w:szCs w:val="20"/>
          <w:lang w:val="es-PE"/>
        </w:rPr>
        <w:t xml:space="preserve">Evergisto Salazar y </w:t>
      </w:r>
      <w:r w:rsidR="00745D39" w:rsidRPr="00EE2386">
        <w:rPr>
          <w:szCs w:val="20"/>
          <w:lang w:val="es-PE"/>
        </w:rPr>
        <w:t>e</w:t>
      </w:r>
      <w:r w:rsidR="00556C48" w:rsidRPr="00EE2386">
        <w:rPr>
          <w:szCs w:val="20"/>
          <w:lang w:val="es-PE"/>
        </w:rPr>
        <w:t>l CboS</w:t>
      </w:r>
      <w:r w:rsidR="006315D5" w:rsidRPr="00EE2386">
        <w:rPr>
          <w:szCs w:val="20"/>
          <w:lang w:val="es-PE"/>
        </w:rPr>
        <w:t>.</w:t>
      </w:r>
      <w:r w:rsidR="00556C48" w:rsidRPr="00EE2386">
        <w:rPr>
          <w:szCs w:val="20"/>
          <w:lang w:val="es-PE"/>
        </w:rPr>
        <w:t xml:space="preserve"> Julio Alcívar Sandoval</w:t>
      </w:r>
      <w:r w:rsidR="00D80077" w:rsidRPr="00EE2386">
        <w:rPr>
          <w:szCs w:val="20"/>
          <w:lang w:val="es-PE"/>
        </w:rPr>
        <w:t>. Dicho auto fue impugnado ante la Segunda Corte Distrital de Guayaquil</w:t>
      </w:r>
      <w:r w:rsidR="000F73EE" w:rsidRPr="00EE2386">
        <w:rPr>
          <w:rFonts w:cs="Arial"/>
          <w:szCs w:val="20"/>
          <w:lang w:val="es-PE"/>
        </w:rPr>
        <w:t>,</w:t>
      </w:r>
      <w:r w:rsidR="00C97747" w:rsidRPr="00EE2386">
        <w:rPr>
          <w:rFonts w:cs="Arial"/>
          <w:szCs w:val="20"/>
          <w:lang w:val="es-PE"/>
        </w:rPr>
        <w:t xml:space="preserve"> </w:t>
      </w:r>
      <w:r w:rsidR="00D80077" w:rsidRPr="00EE2386">
        <w:rPr>
          <w:rFonts w:cs="Arial"/>
          <w:szCs w:val="20"/>
          <w:lang w:val="es-PE"/>
        </w:rPr>
        <w:t>la que confirmó el auto</w:t>
      </w:r>
      <w:r w:rsidR="0012652A" w:rsidRPr="00EE2386">
        <w:rPr>
          <w:rFonts w:cs="Arial"/>
          <w:szCs w:val="20"/>
          <w:lang w:val="es-PE"/>
        </w:rPr>
        <w:t xml:space="preserve"> el 14 de julio de 1999,</w:t>
      </w:r>
      <w:r w:rsidR="00D80077" w:rsidRPr="00EE2386">
        <w:rPr>
          <w:rFonts w:cs="Arial"/>
          <w:szCs w:val="20"/>
          <w:lang w:val="es-PE"/>
        </w:rPr>
        <w:t xml:space="preserve"> aunque re-caracterizándolo como muerte bajo torturas. Luego de la audiencia de juicio</w:t>
      </w:r>
      <w:r w:rsidR="00D80077" w:rsidRPr="00EE2386">
        <w:rPr>
          <w:szCs w:val="20"/>
          <w:lang w:val="es-PE"/>
        </w:rPr>
        <w:t xml:space="preserve"> celebrada el 7 de septiembre de 2000</w:t>
      </w:r>
      <w:r w:rsidR="00D80077" w:rsidRPr="00EE2386">
        <w:rPr>
          <w:rFonts w:cs="Arial"/>
          <w:szCs w:val="20"/>
          <w:lang w:val="es-PE"/>
        </w:rPr>
        <w:t xml:space="preserve">, el </w:t>
      </w:r>
      <w:r w:rsidR="00554364" w:rsidRPr="00EE2386">
        <w:rPr>
          <w:szCs w:val="20"/>
          <w:lang w:val="es-PE"/>
        </w:rPr>
        <w:t xml:space="preserve">Tribunal del Crimen Policial </w:t>
      </w:r>
      <w:r w:rsidR="00C97747" w:rsidRPr="00EE2386">
        <w:rPr>
          <w:szCs w:val="20"/>
          <w:lang w:val="es-PE"/>
        </w:rPr>
        <w:t>conden</w:t>
      </w:r>
      <w:r w:rsidR="00D80077" w:rsidRPr="00EE2386">
        <w:rPr>
          <w:szCs w:val="20"/>
          <w:lang w:val="es-PE"/>
        </w:rPr>
        <w:t>ó</w:t>
      </w:r>
      <w:r w:rsidR="00C97747" w:rsidRPr="00EE2386">
        <w:rPr>
          <w:szCs w:val="20"/>
          <w:lang w:val="es-PE"/>
        </w:rPr>
        <w:t xml:space="preserve"> </w:t>
      </w:r>
      <w:r w:rsidR="00D80077" w:rsidRPr="00EE2386">
        <w:rPr>
          <w:szCs w:val="20"/>
          <w:lang w:val="es-PE"/>
        </w:rPr>
        <w:t>a los procesados por homicidio preterintencional a la</w:t>
      </w:r>
      <w:r w:rsidR="000F73EE" w:rsidRPr="00EE2386">
        <w:rPr>
          <w:szCs w:val="20"/>
          <w:lang w:val="es-PE"/>
        </w:rPr>
        <w:t xml:space="preserve"> pena de tres </w:t>
      </w:r>
      <w:r w:rsidR="00554364" w:rsidRPr="00EE2386">
        <w:rPr>
          <w:szCs w:val="20"/>
          <w:lang w:val="es-PE"/>
        </w:rPr>
        <w:t xml:space="preserve">años de reclusión menor y separación de la policía. </w:t>
      </w:r>
      <w:r w:rsidR="00C97747" w:rsidRPr="00EE2386">
        <w:rPr>
          <w:szCs w:val="20"/>
          <w:lang w:val="es-PE"/>
        </w:rPr>
        <w:t xml:space="preserve">El 19 de junio de 2001, </w:t>
      </w:r>
      <w:r w:rsidR="000F73EE" w:rsidRPr="00EE2386">
        <w:rPr>
          <w:szCs w:val="20"/>
          <w:lang w:val="es-PE"/>
        </w:rPr>
        <w:t>la Segunda Corte Distrital de Guayaquil</w:t>
      </w:r>
      <w:r w:rsidR="00C97747" w:rsidRPr="00EE2386">
        <w:rPr>
          <w:szCs w:val="20"/>
          <w:lang w:val="es-PE"/>
        </w:rPr>
        <w:t xml:space="preserve"> confirmó</w:t>
      </w:r>
      <w:r w:rsidR="000F73EE" w:rsidRPr="00EE2386">
        <w:rPr>
          <w:szCs w:val="20"/>
          <w:lang w:val="es-PE"/>
        </w:rPr>
        <w:t xml:space="preserve"> la sentencia condenatoria</w:t>
      </w:r>
      <w:r w:rsidR="00D80077" w:rsidRPr="00EE2386">
        <w:rPr>
          <w:szCs w:val="20"/>
          <w:lang w:val="es-PE"/>
        </w:rPr>
        <w:t>, pero</w:t>
      </w:r>
      <w:r w:rsidR="006315D5" w:rsidRPr="00EE2386">
        <w:rPr>
          <w:szCs w:val="20"/>
          <w:lang w:val="es-PE"/>
        </w:rPr>
        <w:t>,</w:t>
      </w:r>
      <w:r w:rsidR="00D80077" w:rsidRPr="00EE2386">
        <w:rPr>
          <w:szCs w:val="20"/>
          <w:lang w:val="es-PE"/>
        </w:rPr>
        <w:t xml:space="preserve"> ratificando su re-caracterización anterior</w:t>
      </w:r>
      <w:r w:rsidR="00A0371E" w:rsidRPr="00EE2386">
        <w:rPr>
          <w:szCs w:val="20"/>
          <w:lang w:val="es-PE"/>
        </w:rPr>
        <w:t xml:space="preserve">, </w:t>
      </w:r>
      <w:r w:rsidR="000F73EE" w:rsidRPr="00EE2386">
        <w:rPr>
          <w:szCs w:val="20"/>
          <w:lang w:val="es-PE"/>
        </w:rPr>
        <w:t xml:space="preserve">modificó la </w:t>
      </w:r>
      <w:r w:rsidR="00C97747" w:rsidRPr="00EE2386">
        <w:rPr>
          <w:szCs w:val="20"/>
          <w:lang w:val="es-PE"/>
        </w:rPr>
        <w:t>pena</w:t>
      </w:r>
      <w:r w:rsidR="000F73EE" w:rsidRPr="00EE2386">
        <w:rPr>
          <w:szCs w:val="20"/>
          <w:lang w:val="es-PE"/>
        </w:rPr>
        <w:t xml:space="preserve"> a ocho años de prisión por</w:t>
      </w:r>
      <w:r w:rsidR="00554364" w:rsidRPr="00EE2386">
        <w:rPr>
          <w:szCs w:val="20"/>
          <w:lang w:val="es-PE"/>
        </w:rPr>
        <w:t xml:space="preserve"> el delito de muerte bajo torturas.</w:t>
      </w:r>
      <w:r w:rsidR="00C97747" w:rsidRPr="00EE2386">
        <w:rPr>
          <w:szCs w:val="20"/>
          <w:lang w:val="es-PE"/>
        </w:rPr>
        <w:t xml:space="preserve"> E</w:t>
      </w:r>
      <w:r w:rsidR="000F73EE" w:rsidRPr="00EE2386">
        <w:rPr>
          <w:szCs w:val="20"/>
          <w:lang w:val="es-PE"/>
        </w:rPr>
        <w:t xml:space="preserve">sta sentencia fue impugnada ante la Corte Nacional de Justicia Policial, la </w:t>
      </w:r>
      <w:r w:rsidR="00C97747" w:rsidRPr="00EE2386">
        <w:rPr>
          <w:szCs w:val="20"/>
          <w:lang w:val="es-PE"/>
        </w:rPr>
        <w:t>que la</w:t>
      </w:r>
      <w:r w:rsidR="000F73EE" w:rsidRPr="00EE2386">
        <w:rPr>
          <w:szCs w:val="20"/>
          <w:lang w:val="es-PE"/>
        </w:rPr>
        <w:t xml:space="preserve"> confirmó </w:t>
      </w:r>
      <w:r w:rsidR="00D80077" w:rsidRPr="00EE2386">
        <w:rPr>
          <w:szCs w:val="20"/>
          <w:lang w:val="es-PE"/>
        </w:rPr>
        <w:t>en todas sus partes</w:t>
      </w:r>
      <w:r w:rsidR="0012652A" w:rsidRPr="00EE2386">
        <w:rPr>
          <w:szCs w:val="20"/>
          <w:lang w:val="es-PE"/>
        </w:rPr>
        <w:t xml:space="preserve"> el 4 de diciembre de 2001</w:t>
      </w:r>
      <w:r w:rsidR="00554364" w:rsidRPr="00EE2386">
        <w:rPr>
          <w:szCs w:val="20"/>
          <w:lang w:val="es-PE"/>
        </w:rPr>
        <w:t xml:space="preserve">. </w:t>
      </w:r>
      <w:r w:rsidR="00C97747" w:rsidRPr="00EE2386">
        <w:rPr>
          <w:szCs w:val="20"/>
          <w:lang w:val="es-PE"/>
        </w:rPr>
        <w:t>E</w:t>
      </w:r>
      <w:r w:rsidR="000F73EE" w:rsidRPr="00EE2386">
        <w:rPr>
          <w:szCs w:val="20"/>
          <w:lang w:val="es-PE"/>
        </w:rPr>
        <w:t>l 14 de mayo de 2002 se ordenó proced</w:t>
      </w:r>
      <w:r w:rsidR="00C97747" w:rsidRPr="00EE2386">
        <w:rPr>
          <w:szCs w:val="20"/>
          <w:lang w:val="es-PE"/>
        </w:rPr>
        <w:t>er</w:t>
      </w:r>
      <w:r w:rsidR="000F73EE" w:rsidRPr="00EE2386">
        <w:rPr>
          <w:szCs w:val="20"/>
          <w:lang w:val="es-PE"/>
        </w:rPr>
        <w:t xml:space="preserve"> a la captura de los condenados </w:t>
      </w:r>
      <w:r w:rsidR="00C97747" w:rsidRPr="00EE2386">
        <w:rPr>
          <w:szCs w:val="20"/>
          <w:lang w:val="es-PE"/>
        </w:rPr>
        <w:t>para</w:t>
      </w:r>
      <w:r w:rsidR="000F73EE" w:rsidRPr="00EE2386">
        <w:rPr>
          <w:szCs w:val="20"/>
          <w:lang w:val="es-PE"/>
        </w:rPr>
        <w:t xml:space="preserve"> su traslado a la cárcel de Guayaquil</w:t>
      </w:r>
      <w:r w:rsidR="000842A3" w:rsidRPr="00EE2386">
        <w:rPr>
          <w:szCs w:val="20"/>
          <w:lang w:val="es-PE"/>
        </w:rPr>
        <w:t xml:space="preserve">. El recurso de revisión </w:t>
      </w:r>
      <w:r w:rsidR="00A0371E" w:rsidRPr="00EE2386">
        <w:rPr>
          <w:szCs w:val="20"/>
          <w:lang w:val="es-PE"/>
        </w:rPr>
        <w:t xml:space="preserve">interpuesto </w:t>
      </w:r>
      <w:r w:rsidR="000842A3" w:rsidRPr="00EE2386">
        <w:rPr>
          <w:szCs w:val="20"/>
          <w:lang w:val="es-PE"/>
        </w:rPr>
        <w:t xml:space="preserve">por los condenados fue rechazado el 22 de enero de 2003 por la Corte Nacional de Justicia Policial, la que también rechazó, el 28 de abril de 2003, un posterior recurso de aclaración y reconsideración. </w:t>
      </w:r>
      <w:r w:rsidR="0012652A" w:rsidRPr="00EE2386">
        <w:rPr>
          <w:szCs w:val="20"/>
          <w:lang w:val="es-PE"/>
        </w:rPr>
        <w:t>Sin embargo, a</w:t>
      </w:r>
      <w:r w:rsidR="000842A3" w:rsidRPr="00EE2386">
        <w:rPr>
          <w:szCs w:val="20"/>
          <w:lang w:val="es-PE"/>
        </w:rPr>
        <w:t>lega que</w:t>
      </w:r>
      <w:r w:rsidR="006315D5" w:rsidRPr="00EE2386">
        <w:rPr>
          <w:szCs w:val="20"/>
          <w:lang w:val="es-PE"/>
        </w:rPr>
        <w:t>,</w:t>
      </w:r>
      <w:r w:rsidR="000842A3" w:rsidRPr="00EE2386">
        <w:rPr>
          <w:szCs w:val="20"/>
          <w:lang w:val="es-PE"/>
        </w:rPr>
        <w:t xml:space="preserve"> a la fecha</w:t>
      </w:r>
      <w:r w:rsidR="006315D5" w:rsidRPr="00EE2386">
        <w:rPr>
          <w:szCs w:val="20"/>
          <w:lang w:val="es-PE"/>
        </w:rPr>
        <w:t>,</w:t>
      </w:r>
      <w:r w:rsidR="000842A3" w:rsidRPr="00EE2386">
        <w:rPr>
          <w:szCs w:val="20"/>
          <w:lang w:val="es-PE"/>
        </w:rPr>
        <w:t xml:space="preserve"> los responsables continúan en libertad y no han cumplido la condena impuesta.</w:t>
      </w:r>
    </w:p>
    <w:p w14:paraId="15905235" w14:textId="77777777" w:rsidR="00D21592" w:rsidRPr="00EE2386" w:rsidRDefault="00D21592" w:rsidP="000B04C4">
      <w:pPr>
        <w:pStyle w:val="ListParagraph"/>
        <w:numPr>
          <w:ilvl w:val="0"/>
          <w:numId w:val="0"/>
        </w:numPr>
        <w:rPr>
          <w:szCs w:val="20"/>
          <w:lang w:val="es-PE"/>
        </w:rPr>
      </w:pPr>
    </w:p>
    <w:p w14:paraId="5CAE7D1D" w14:textId="77777777" w:rsidR="00CF2694" w:rsidRPr="00EE2386" w:rsidRDefault="00D21592" w:rsidP="00AB0326">
      <w:pPr>
        <w:pStyle w:val="ListParagraph"/>
        <w:rPr>
          <w:szCs w:val="20"/>
          <w:lang w:val="es-ES"/>
        </w:rPr>
      </w:pPr>
      <w:r w:rsidRPr="00EE2386">
        <w:rPr>
          <w:szCs w:val="20"/>
          <w:lang w:val="es-ES"/>
        </w:rPr>
        <w:t xml:space="preserve">A raíz de lo anterior, la parte peticionaria alega que el Estado </w:t>
      </w:r>
      <w:r w:rsidR="00B31CAB" w:rsidRPr="00EE2386">
        <w:rPr>
          <w:szCs w:val="20"/>
          <w:lang w:val="es-ES"/>
        </w:rPr>
        <w:t>incumplió su obligación internacional de respetar</w:t>
      </w:r>
      <w:r w:rsidR="0039521F" w:rsidRPr="00EE2386">
        <w:rPr>
          <w:szCs w:val="20"/>
          <w:lang w:val="es-ES"/>
        </w:rPr>
        <w:t>,</w:t>
      </w:r>
      <w:r w:rsidR="00B31CAB" w:rsidRPr="00EE2386">
        <w:rPr>
          <w:szCs w:val="20"/>
          <w:lang w:val="es-ES"/>
        </w:rPr>
        <w:t xml:space="preserve"> garantizar </w:t>
      </w:r>
      <w:r w:rsidR="0039521F" w:rsidRPr="00EE2386">
        <w:rPr>
          <w:szCs w:val="20"/>
          <w:lang w:val="es-ES"/>
        </w:rPr>
        <w:t xml:space="preserve">y proteger </w:t>
      </w:r>
      <w:r w:rsidR="00B31CAB" w:rsidRPr="00EE2386">
        <w:rPr>
          <w:szCs w:val="20"/>
          <w:lang w:val="es-ES"/>
        </w:rPr>
        <w:t xml:space="preserve">derechos </w:t>
      </w:r>
      <w:r w:rsidRPr="00EE2386">
        <w:rPr>
          <w:szCs w:val="20"/>
          <w:lang w:val="es-ES"/>
        </w:rPr>
        <w:t xml:space="preserve">a la vida </w:t>
      </w:r>
      <w:r w:rsidR="00B31CAB" w:rsidRPr="00EE2386">
        <w:rPr>
          <w:szCs w:val="20"/>
          <w:lang w:val="es-ES"/>
        </w:rPr>
        <w:t xml:space="preserve">y </w:t>
      </w:r>
      <w:r w:rsidR="00B31CAB" w:rsidRPr="00EE2386">
        <w:rPr>
          <w:szCs w:val="20"/>
          <w:lang w:val="es-PE"/>
        </w:rPr>
        <w:t>a la integridad personal</w:t>
      </w:r>
      <w:r w:rsidR="00CF2694" w:rsidRPr="00EE2386">
        <w:rPr>
          <w:szCs w:val="20"/>
          <w:lang w:val="es-PE"/>
        </w:rPr>
        <w:t xml:space="preserve"> de </w:t>
      </w:r>
      <w:r w:rsidR="00CF2694" w:rsidRPr="00EE2386">
        <w:rPr>
          <w:szCs w:val="20"/>
          <w:lang w:val="es-US"/>
        </w:rPr>
        <w:t>Aníbal Alonso Aguas Acosta</w:t>
      </w:r>
      <w:r w:rsidR="00DF746D" w:rsidRPr="00EE2386">
        <w:rPr>
          <w:szCs w:val="20"/>
          <w:lang w:val="es-PE"/>
        </w:rPr>
        <w:t xml:space="preserve">, </w:t>
      </w:r>
      <w:r w:rsidR="005E4446" w:rsidRPr="00EE2386">
        <w:rPr>
          <w:szCs w:val="20"/>
          <w:lang w:val="es-PE"/>
        </w:rPr>
        <w:t>quien se encontraba bajo la custodia de agentes de la policía</w:t>
      </w:r>
      <w:r w:rsidR="00050897" w:rsidRPr="00EE2386">
        <w:rPr>
          <w:szCs w:val="20"/>
          <w:lang w:val="es-PE"/>
        </w:rPr>
        <w:t>,</w:t>
      </w:r>
      <w:r w:rsidR="00F028B0" w:rsidRPr="00EE2386">
        <w:rPr>
          <w:szCs w:val="20"/>
          <w:lang w:val="es-PE"/>
        </w:rPr>
        <w:t xml:space="preserve"> los que</w:t>
      </w:r>
      <w:r w:rsidR="005E4446" w:rsidRPr="00EE2386">
        <w:rPr>
          <w:szCs w:val="20"/>
          <w:lang w:val="es-PE"/>
        </w:rPr>
        <w:t xml:space="preserve"> actua</w:t>
      </w:r>
      <w:r w:rsidR="00F028B0" w:rsidRPr="00EE2386">
        <w:rPr>
          <w:szCs w:val="20"/>
          <w:lang w:val="es-PE"/>
        </w:rPr>
        <w:t>ron</w:t>
      </w:r>
      <w:r w:rsidR="005E4446" w:rsidRPr="00EE2386">
        <w:rPr>
          <w:szCs w:val="20"/>
          <w:lang w:val="es-PE"/>
        </w:rPr>
        <w:t xml:space="preserve"> </w:t>
      </w:r>
      <w:r w:rsidR="00011FCF" w:rsidRPr="00EE2386">
        <w:rPr>
          <w:szCs w:val="20"/>
          <w:lang w:val="es-ES"/>
        </w:rPr>
        <w:t xml:space="preserve">en ejercicio de sus funciones al momento de </w:t>
      </w:r>
      <w:r w:rsidR="001C4EA2" w:rsidRPr="00EE2386">
        <w:rPr>
          <w:szCs w:val="20"/>
          <w:lang w:val="es-ES"/>
        </w:rPr>
        <w:t>la detención</w:t>
      </w:r>
      <w:r w:rsidR="00011FCF" w:rsidRPr="00EE2386">
        <w:rPr>
          <w:szCs w:val="20"/>
          <w:lang w:val="es-ES"/>
        </w:rPr>
        <w:t>, tortura</w:t>
      </w:r>
      <w:r w:rsidR="001C4EA2" w:rsidRPr="00EE2386">
        <w:rPr>
          <w:szCs w:val="20"/>
          <w:lang w:val="es-ES"/>
        </w:rPr>
        <w:t xml:space="preserve"> y muerte de la presunta víctima</w:t>
      </w:r>
      <w:r w:rsidR="00B0624D" w:rsidRPr="00EE2386">
        <w:rPr>
          <w:szCs w:val="20"/>
          <w:lang w:val="es-ES"/>
        </w:rPr>
        <w:t>.</w:t>
      </w:r>
      <w:r w:rsidR="00CF2694" w:rsidRPr="00EE2386">
        <w:rPr>
          <w:szCs w:val="20"/>
          <w:lang w:val="es-ES"/>
        </w:rPr>
        <w:t xml:space="preserve"> </w:t>
      </w:r>
      <w:r w:rsidR="009F68CA" w:rsidRPr="00EE2386">
        <w:rPr>
          <w:szCs w:val="20"/>
          <w:lang w:val="es-ES"/>
        </w:rPr>
        <w:t xml:space="preserve">Destaca que se trataba de una persona ebria y desarmada que no representaba peligro alguno que facultara una actuación violenta </w:t>
      </w:r>
      <w:r w:rsidR="00E1600B" w:rsidRPr="00EE2386">
        <w:rPr>
          <w:szCs w:val="20"/>
          <w:lang w:val="es-ES"/>
        </w:rPr>
        <w:t xml:space="preserve">por parte </w:t>
      </w:r>
      <w:r w:rsidR="009F68CA" w:rsidRPr="00EE2386">
        <w:rPr>
          <w:szCs w:val="20"/>
          <w:lang w:val="es-ES"/>
        </w:rPr>
        <w:t>de agentes de la policía utilizando de manera inadecuada la fuerza</w:t>
      </w:r>
      <w:r w:rsidR="00E30FFC" w:rsidRPr="00EE2386">
        <w:rPr>
          <w:szCs w:val="20"/>
          <w:lang w:val="es-ES"/>
        </w:rPr>
        <w:t xml:space="preserve">, </w:t>
      </w:r>
      <w:r w:rsidR="00A912E4" w:rsidRPr="00EE2386">
        <w:rPr>
          <w:szCs w:val="20"/>
          <w:lang w:val="es-ES"/>
        </w:rPr>
        <w:t xml:space="preserve">en </w:t>
      </w:r>
      <w:r w:rsidR="00E30FFC" w:rsidRPr="00EE2386">
        <w:rPr>
          <w:szCs w:val="20"/>
          <w:lang w:val="es-ES"/>
        </w:rPr>
        <w:t>viola</w:t>
      </w:r>
      <w:r w:rsidR="00A912E4" w:rsidRPr="00EE2386">
        <w:rPr>
          <w:szCs w:val="20"/>
          <w:lang w:val="es-ES"/>
        </w:rPr>
        <w:t xml:space="preserve">ción de </w:t>
      </w:r>
      <w:r w:rsidR="00E30FFC" w:rsidRPr="00EE2386">
        <w:rPr>
          <w:szCs w:val="20"/>
          <w:lang w:val="es-ES"/>
        </w:rPr>
        <w:t xml:space="preserve">los principios esenciales </w:t>
      </w:r>
      <w:r w:rsidR="00A912E4" w:rsidRPr="00EE2386">
        <w:rPr>
          <w:szCs w:val="20"/>
          <w:lang w:val="es-ES"/>
        </w:rPr>
        <w:t>de</w:t>
      </w:r>
      <w:r w:rsidR="00E30FFC" w:rsidRPr="00EE2386">
        <w:rPr>
          <w:szCs w:val="20"/>
          <w:lang w:val="es-ES"/>
        </w:rPr>
        <w:t xml:space="preserve"> excepcionalidad, necesidad, proporcionalidad y humanidad</w:t>
      </w:r>
      <w:r w:rsidR="009F68CA" w:rsidRPr="00EE2386">
        <w:rPr>
          <w:szCs w:val="20"/>
          <w:lang w:val="es-ES"/>
        </w:rPr>
        <w:t>.</w:t>
      </w:r>
    </w:p>
    <w:p w14:paraId="2D02B4C7" w14:textId="77777777" w:rsidR="00CF2694" w:rsidRPr="00EE2386" w:rsidRDefault="00CF2694" w:rsidP="00CF2694">
      <w:pPr>
        <w:pStyle w:val="ListParagraph"/>
        <w:numPr>
          <w:ilvl w:val="0"/>
          <w:numId w:val="0"/>
        </w:numPr>
        <w:rPr>
          <w:szCs w:val="20"/>
          <w:lang w:val="es-ES"/>
        </w:rPr>
      </w:pPr>
    </w:p>
    <w:p w14:paraId="5BDDF7B4" w14:textId="77777777" w:rsidR="008C2B35" w:rsidRPr="00EE2386" w:rsidRDefault="008C2B35" w:rsidP="008C2B35">
      <w:pPr>
        <w:pStyle w:val="ListParagraph"/>
        <w:rPr>
          <w:szCs w:val="20"/>
          <w:lang w:val="es-PE"/>
        </w:rPr>
      </w:pPr>
      <w:r w:rsidRPr="00EE2386">
        <w:rPr>
          <w:szCs w:val="20"/>
          <w:lang w:val="es-PE"/>
        </w:rPr>
        <w:t xml:space="preserve">También alega que los familiares de </w:t>
      </w:r>
      <w:r w:rsidRPr="00EE2386">
        <w:rPr>
          <w:szCs w:val="20"/>
          <w:lang w:val="es-US"/>
        </w:rPr>
        <w:t xml:space="preserve">Aníbal Alonso Aguas Acosta son </w:t>
      </w:r>
      <w:r w:rsidRPr="00EE2386">
        <w:rPr>
          <w:szCs w:val="20"/>
          <w:lang w:val="es-PE"/>
        </w:rPr>
        <w:t xml:space="preserve">víctimas de la violación al derecho a la integridad personal, en atención </w:t>
      </w:r>
      <w:r w:rsidRPr="00EE2386">
        <w:rPr>
          <w:rFonts w:cs="Arial"/>
          <w:szCs w:val="20"/>
          <w:lang w:val="es-PE"/>
        </w:rPr>
        <w:t>a</w:t>
      </w:r>
      <w:r w:rsidRPr="00EE2386">
        <w:rPr>
          <w:szCs w:val="20"/>
          <w:lang w:val="es-PE"/>
        </w:rPr>
        <w:t xml:space="preserve">l daño psicológico sufrido </w:t>
      </w:r>
      <w:r w:rsidR="00E1600B" w:rsidRPr="00EE2386">
        <w:rPr>
          <w:szCs w:val="20"/>
          <w:lang w:val="es-PE"/>
        </w:rPr>
        <w:t>por sus familiares en la</w:t>
      </w:r>
      <w:r w:rsidRPr="00EE2386">
        <w:rPr>
          <w:szCs w:val="20"/>
          <w:lang w:val="es-PE"/>
        </w:rPr>
        <w:t xml:space="preserve"> búsqueda de justicia por años y </w:t>
      </w:r>
      <w:r w:rsidR="00E1600B" w:rsidRPr="00EE2386">
        <w:rPr>
          <w:szCs w:val="20"/>
          <w:lang w:val="es-PE"/>
        </w:rPr>
        <w:t xml:space="preserve">al </w:t>
      </w:r>
      <w:r w:rsidRPr="00EE2386">
        <w:rPr>
          <w:szCs w:val="20"/>
          <w:lang w:val="es-PE"/>
        </w:rPr>
        <w:t>ver que los responsables de la muerte de Aníbal siguen sin cumplir la pena impuesta. En particular, su esposa, Estela Gaona, quien sufrió un grave impacto psicológico al ver cómo los policías sometieron a su marido y al enterarse posteriormente de su muerte; sus hijos, Lesli Carolina Aguas Gaona y Marlon Aníbal Aguas Gaona, quienes debieron enfrentar la muerte de su padre y la ruptura del núcleo familiar, ya que su madre no contaba con recursos suficientes para mantenerlos, por lo que debieron mudarse a vivir con sus abuelos</w:t>
      </w:r>
      <w:r w:rsidR="009D0441" w:rsidRPr="00EE2386">
        <w:rPr>
          <w:szCs w:val="20"/>
          <w:lang w:val="es-PE"/>
        </w:rPr>
        <w:t xml:space="preserve"> a otra ciudad</w:t>
      </w:r>
      <w:r w:rsidRPr="00EE2386">
        <w:rPr>
          <w:szCs w:val="20"/>
          <w:lang w:val="es-PE"/>
        </w:rPr>
        <w:t>; sus padres, Neptalí Salvador Aguas Suarez y Fanny Acosta Salinas, quienes perdieron a su hijo y debieron asumir la obligación de cria</w:t>
      </w:r>
      <w:r w:rsidR="006315D5" w:rsidRPr="00EE2386">
        <w:rPr>
          <w:szCs w:val="20"/>
          <w:lang w:val="es-PE"/>
        </w:rPr>
        <w:t>r a</w:t>
      </w:r>
      <w:r w:rsidRPr="00EE2386">
        <w:rPr>
          <w:szCs w:val="20"/>
          <w:lang w:val="es-PE"/>
        </w:rPr>
        <w:t xml:space="preserve"> sus nietos; y su hermano y cuñada, Medardo Aguas Acosta y Marcia Lara de Aguas, quienes emprendieron las acciones judiciales y otras en busca de justicia. </w:t>
      </w:r>
    </w:p>
    <w:p w14:paraId="6D74A42E" w14:textId="77777777" w:rsidR="008C2B35" w:rsidRPr="00EE2386" w:rsidRDefault="008C2B35" w:rsidP="008C2B35">
      <w:pPr>
        <w:pStyle w:val="ListParagraph"/>
        <w:numPr>
          <w:ilvl w:val="0"/>
          <w:numId w:val="0"/>
        </w:numPr>
        <w:rPr>
          <w:szCs w:val="20"/>
          <w:lang w:val="es-ES"/>
        </w:rPr>
      </w:pPr>
    </w:p>
    <w:p w14:paraId="2ECB7937" w14:textId="77777777" w:rsidR="001C4EA2" w:rsidRPr="00EE2386" w:rsidRDefault="0006167C" w:rsidP="00050897">
      <w:pPr>
        <w:pStyle w:val="ListParagraph"/>
        <w:rPr>
          <w:szCs w:val="20"/>
          <w:lang w:val="es-ES"/>
        </w:rPr>
      </w:pPr>
      <w:r w:rsidRPr="00EE2386">
        <w:rPr>
          <w:szCs w:val="20"/>
          <w:lang w:val="es-PE"/>
        </w:rPr>
        <w:t xml:space="preserve">Asimismo, </w:t>
      </w:r>
      <w:r w:rsidRPr="00EE2386">
        <w:rPr>
          <w:szCs w:val="20"/>
          <w:lang w:val="es-VE"/>
        </w:rPr>
        <w:t xml:space="preserve">alega que existó una vulneración al derecho de las garantías judiciales, ya que </w:t>
      </w:r>
      <w:r w:rsidRPr="00EE2386">
        <w:rPr>
          <w:szCs w:val="20"/>
          <w:lang w:val="es-PE"/>
        </w:rPr>
        <w:t>el fuero policial no constituía un fuero</w:t>
      </w:r>
      <w:r w:rsidR="00E1600B" w:rsidRPr="00EE2386">
        <w:rPr>
          <w:szCs w:val="20"/>
          <w:lang w:val="es-PE"/>
        </w:rPr>
        <w:t xml:space="preserve"> independiente e imparcial, ya</w:t>
      </w:r>
      <w:r w:rsidRPr="00EE2386">
        <w:rPr>
          <w:szCs w:val="20"/>
          <w:lang w:val="es-PE"/>
        </w:rPr>
        <w:t xml:space="preserve"> que estaba subordinado al poder ejecutivo y conformado por policías en servicio activo sujetos a una jerarquía. </w:t>
      </w:r>
      <w:r w:rsidR="00B9542F" w:rsidRPr="00EE2386">
        <w:rPr>
          <w:szCs w:val="20"/>
          <w:lang w:val="es-PE"/>
        </w:rPr>
        <w:t>Argumenta que, aun cuando la jurisdicción policial condenó a los policías que asesinaron a Aníbal, ello no convalida que dichos tribunales no eran competentes para conocer del proceso</w:t>
      </w:r>
      <w:r w:rsidR="006F1C66" w:rsidRPr="00EE2386">
        <w:rPr>
          <w:szCs w:val="20"/>
          <w:lang w:val="es-PE"/>
        </w:rPr>
        <w:t xml:space="preserve"> ya que éste correspondía al fuero ordinario</w:t>
      </w:r>
      <w:r w:rsidR="00B9542F" w:rsidRPr="00EE2386">
        <w:rPr>
          <w:szCs w:val="20"/>
          <w:lang w:val="es-PE"/>
        </w:rPr>
        <w:t xml:space="preserve">. Igualmente indica que </w:t>
      </w:r>
      <w:r w:rsidR="006F1C66" w:rsidRPr="00EE2386">
        <w:rPr>
          <w:szCs w:val="20"/>
          <w:lang w:val="es-PE"/>
        </w:rPr>
        <w:t xml:space="preserve">el procedimiento no se desarrolló dentro de un plazo razonable, ya que el proceso tardó más de seis años en resolverse. </w:t>
      </w:r>
      <w:r w:rsidR="005D6513" w:rsidRPr="00EE2386">
        <w:rPr>
          <w:szCs w:val="20"/>
          <w:lang w:val="es-ES"/>
        </w:rPr>
        <w:t>Del mismo modo</w:t>
      </w:r>
      <w:r w:rsidR="00CF2694" w:rsidRPr="00EE2386">
        <w:rPr>
          <w:szCs w:val="20"/>
          <w:lang w:val="es-ES"/>
        </w:rPr>
        <w:t xml:space="preserve">, </w:t>
      </w:r>
      <w:r w:rsidR="005D6513" w:rsidRPr="00EE2386">
        <w:rPr>
          <w:szCs w:val="20"/>
          <w:lang w:val="es-ES"/>
        </w:rPr>
        <w:t xml:space="preserve">la peticionaria </w:t>
      </w:r>
      <w:r w:rsidR="00CF2694" w:rsidRPr="00EE2386">
        <w:rPr>
          <w:szCs w:val="20"/>
          <w:lang w:val="es-PE"/>
        </w:rPr>
        <w:t xml:space="preserve">alega que existió una vulneración al derecho </w:t>
      </w:r>
      <w:r w:rsidR="00050897" w:rsidRPr="00EE2386">
        <w:rPr>
          <w:szCs w:val="20"/>
          <w:lang w:val="es-PE"/>
        </w:rPr>
        <w:t xml:space="preserve">a la </w:t>
      </w:r>
      <w:r w:rsidR="00CF2694" w:rsidRPr="00EE2386">
        <w:rPr>
          <w:szCs w:val="20"/>
          <w:lang w:val="es-PE"/>
        </w:rPr>
        <w:t>protección judicial porque el caso fue remitido a tribunales policiales y sacado del fuero ordinario, el</w:t>
      </w:r>
      <w:r w:rsidR="00050897" w:rsidRPr="00EE2386">
        <w:rPr>
          <w:szCs w:val="20"/>
          <w:lang w:val="es-PE"/>
        </w:rPr>
        <w:t xml:space="preserve"> que era</w:t>
      </w:r>
      <w:r w:rsidR="00CF2694" w:rsidRPr="00EE2386">
        <w:rPr>
          <w:szCs w:val="20"/>
          <w:lang w:val="es-PE"/>
        </w:rPr>
        <w:t xml:space="preserve"> competente para investigar violaciones a los derechos humanos</w:t>
      </w:r>
      <w:r w:rsidR="00050897" w:rsidRPr="00EE2386">
        <w:rPr>
          <w:szCs w:val="20"/>
          <w:lang w:val="es-PE"/>
        </w:rPr>
        <w:t>. Ello</w:t>
      </w:r>
      <w:r w:rsidR="00CF2694" w:rsidRPr="00EE2386">
        <w:rPr>
          <w:szCs w:val="20"/>
          <w:lang w:val="es-PE"/>
        </w:rPr>
        <w:t>,</w:t>
      </w:r>
      <w:r w:rsidR="00050897" w:rsidRPr="00EE2386">
        <w:rPr>
          <w:szCs w:val="20"/>
          <w:lang w:val="es-PE"/>
        </w:rPr>
        <w:t xml:space="preserve"> alega, </w:t>
      </w:r>
      <w:r w:rsidR="00CF2694" w:rsidRPr="00EE2386">
        <w:rPr>
          <w:szCs w:val="20"/>
          <w:lang w:val="es-PE"/>
        </w:rPr>
        <w:t xml:space="preserve">evidencia la inexistencia de un recurso </w:t>
      </w:r>
      <w:r w:rsidR="005D6513" w:rsidRPr="00EE2386">
        <w:rPr>
          <w:szCs w:val="20"/>
          <w:lang w:val="es-PE"/>
        </w:rPr>
        <w:t xml:space="preserve">adecuado, </w:t>
      </w:r>
      <w:r w:rsidR="00CF2694" w:rsidRPr="00EE2386">
        <w:rPr>
          <w:szCs w:val="20"/>
          <w:lang w:val="es-PE"/>
        </w:rPr>
        <w:t xml:space="preserve">legal, sencillo, rápido y eficaz contra violaciones de los derechos reconocidos por la Convención. </w:t>
      </w:r>
      <w:r w:rsidR="005D6513" w:rsidRPr="00EE2386">
        <w:rPr>
          <w:szCs w:val="20"/>
          <w:lang w:val="es-PE"/>
        </w:rPr>
        <w:t>Por último</w:t>
      </w:r>
      <w:r w:rsidR="00CF2694" w:rsidRPr="00EE2386">
        <w:rPr>
          <w:szCs w:val="20"/>
          <w:lang w:val="es-PE"/>
        </w:rPr>
        <w:t>, destacó que el Estado ecuatoriano no ha cumplido con la sentencia impuesta, lo cual contraviene su deber de evitar y combatir la impunidad, de garantizar el cumplimiento de las decisiones y vulnera la seguridad jurídica y el Estado de Derecho</w:t>
      </w:r>
      <w:r w:rsidR="00A13FB4" w:rsidRPr="00EE2386">
        <w:rPr>
          <w:szCs w:val="20"/>
          <w:lang w:val="es-PE"/>
        </w:rPr>
        <w:t xml:space="preserve"> y constituye una violación continua</w:t>
      </w:r>
      <w:r w:rsidR="009373E4" w:rsidRPr="00EE2386">
        <w:rPr>
          <w:szCs w:val="20"/>
          <w:lang w:val="es-PE"/>
        </w:rPr>
        <w:t xml:space="preserve"> y permanente del</w:t>
      </w:r>
      <w:r w:rsidR="00A13FB4" w:rsidRPr="00EE2386">
        <w:rPr>
          <w:szCs w:val="20"/>
          <w:lang w:val="es-PE"/>
        </w:rPr>
        <w:t xml:space="preserve"> derecho a una protección judicial efectiva</w:t>
      </w:r>
      <w:r w:rsidR="00CF2694" w:rsidRPr="00EE2386">
        <w:rPr>
          <w:szCs w:val="20"/>
          <w:lang w:val="es-PE"/>
        </w:rPr>
        <w:t>.</w:t>
      </w:r>
    </w:p>
    <w:p w14:paraId="4EF5FA3D" w14:textId="77777777" w:rsidR="005D6513" w:rsidRPr="00EE2386" w:rsidRDefault="005D6513" w:rsidP="005D6513">
      <w:pPr>
        <w:pStyle w:val="ListParagraph"/>
        <w:numPr>
          <w:ilvl w:val="0"/>
          <w:numId w:val="0"/>
        </w:numPr>
        <w:rPr>
          <w:szCs w:val="20"/>
          <w:lang w:val="es-ES"/>
        </w:rPr>
      </w:pPr>
    </w:p>
    <w:p w14:paraId="4D8DC609" w14:textId="77777777" w:rsidR="005D6513" w:rsidRPr="00EE2386" w:rsidRDefault="005D6513" w:rsidP="00B31CAB">
      <w:pPr>
        <w:pStyle w:val="ListParagraph"/>
        <w:rPr>
          <w:szCs w:val="20"/>
          <w:lang w:val="es-ES"/>
        </w:rPr>
      </w:pPr>
      <w:r w:rsidRPr="00EE2386">
        <w:rPr>
          <w:szCs w:val="20"/>
          <w:lang w:val="es-ES"/>
        </w:rPr>
        <w:t xml:space="preserve">Por todo lo anterior, solicita que </w:t>
      </w:r>
      <w:r w:rsidR="00050897" w:rsidRPr="00EE2386">
        <w:rPr>
          <w:szCs w:val="20"/>
          <w:lang w:val="es-ES"/>
        </w:rPr>
        <w:t xml:space="preserve">se </w:t>
      </w:r>
      <w:r w:rsidRPr="00EE2386">
        <w:rPr>
          <w:szCs w:val="20"/>
          <w:lang w:val="es-ES"/>
        </w:rPr>
        <w:t>determine que el Estado violó los artículos 4, 5, 8.1, 8.2.h, 25.1 y 25.2, en relación con el artículo 1.</w:t>
      </w:r>
      <w:r w:rsidR="00571446" w:rsidRPr="00EE2386">
        <w:rPr>
          <w:szCs w:val="20"/>
          <w:lang w:val="es-ES"/>
        </w:rPr>
        <w:t xml:space="preserve">1 de la Convención Americana y </w:t>
      </w:r>
      <w:r w:rsidRPr="00EE2386">
        <w:rPr>
          <w:szCs w:val="20"/>
          <w:lang w:val="es-ES"/>
        </w:rPr>
        <w:t>l</w:t>
      </w:r>
      <w:r w:rsidR="00571446" w:rsidRPr="00EE2386">
        <w:rPr>
          <w:szCs w:val="20"/>
          <w:lang w:val="es-ES"/>
        </w:rPr>
        <w:t>os</w:t>
      </w:r>
      <w:r w:rsidRPr="00EE2386">
        <w:rPr>
          <w:szCs w:val="20"/>
          <w:lang w:val="es-ES"/>
        </w:rPr>
        <w:t xml:space="preserve"> artículo</w:t>
      </w:r>
      <w:r w:rsidR="00571446" w:rsidRPr="00EE2386">
        <w:rPr>
          <w:szCs w:val="20"/>
          <w:lang w:val="es-ES"/>
        </w:rPr>
        <w:t>s 1, 6 y</w:t>
      </w:r>
      <w:r w:rsidRPr="00EE2386">
        <w:rPr>
          <w:szCs w:val="20"/>
          <w:lang w:val="es-ES"/>
        </w:rPr>
        <w:t xml:space="preserve"> 8 de la Convención Interamericana para Prevenir y Sancionar la Tortura.</w:t>
      </w:r>
    </w:p>
    <w:p w14:paraId="52F312DF" w14:textId="77777777" w:rsidR="00F22BA3" w:rsidRPr="00F22BA3" w:rsidRDefault="00F22BA3" w:rsidP="00F22BA3">
      <w:pPr>
        <w:pStyle w:val="Heading2"/>
        <w:numPr>
          <w:ilvl w:val="0"/>
          <w:numId w:val="0"/>
        </w:numPr>
        <w:ind w:left="720"/>
        <w:rPr>
          <w:szCs w:val="20"/>
          <w:lang w:val="es-ES_tradnl"/>
        </w:rPr>
      </w:pPr>
    </w:p>
    <w:p w14:paraId="5227D96A" w14:textId="77777777" w:rsidR="00D12193" w:rsidRPr="00EE2386" w:rsidRDefault="0022273F" w:rsidP="005F3D64">
      <w:pPr>
        <w:pStyle w:val="Heading2"/>
        <w:ind w:left="720" w:hanging="720"/>
        <w:rPr>
          <w:szCs w:val="20"/>
          <w:lang w:val="es-ES_tradnl"/>
        </w:rPr>
      </w:pPr>
      <w:bookmarkStart w:id="7" w:name="_Toc35966081"/>
      <w:r w:rsidRPr="00EE2386">
        <w:rPr>
          <w:szCs w:val="20"/>
          <w:lang w:val="es-US"/>
        </w:rPr>
        <w:t>Estado</w:t>
      </w:r>
      <w:bookmarkEnd w:id="7"/>
      <w:r w:rsidR="00CC63CF" w:rsidRPr="00EE2386">
        <w:rPr>
          <w:szCs w:val="20"/>
          <w:lang w:val="es-ES_tradnl"/>
        </w:rPr>
        <w:t xml:space="preserve"> </w:t>
      </w:r>
    </w:p>
    <w:p w14:paraId="5DCCA0A1" w14:textId="77777777" w:rsidR="002A6413" w:rsidRPr="00EE2386" w:rsidRDefault="002A6413" w:rsidP="002A6413">
      <w:pPr>
        <w:rPr>
          <w:rFonts w:ascii="Cambria" w:hAnsi="Cambria"/>
          <w:sz w:val="20"/>
          <w:szCs w:val="20"/>
          <w:lang w:val="es-ES_tradnl"/>
        </w:rPr>
      </w:pPr>
    </w:p>
    <w:p w14:paraId="0E3B3AA0" w14:textId="77777777" w:rsidR="002A6413" w:rsidRPr="00EE2386" w:rsidRDefault="007D272D" w:rsidP="004A01F4">
      <w:pPr>
        <w:pStyle w:val="ListParagraph"/>
        <w:rPr>
          <w:szCs w:val="20"/>
          <w:lang w:val="es-US"/>
        </w:rPr>
      </w:pPr>
      <w:r w:rsidRPr="00EE2386">
        <w:rPr>
          <w:szCs w:val="20"/>
          <w:lang w:val="es-US"/>
        </w:rPr>
        <w:t>El Estado</w:t>
      </w:r>
      <w:r w:rsidR="009F1C5B" w:rsidRPr="00EE2386">
        <w:rPr>
          <w:szCs w:val="20"/>
          <w:lang w:val="es-US"/>
        </w:rPr>
        <w:t xml:space="preserve"> </w:t>
      </w:r>
      <w:r w:rsidR="002A6413" w:rsidRPr="00EE2386">
        <w:rPr>
          <w:szCs w:val="20"/>
          <w:lang w:val="es-US"/>
        </w:rPr>
        <w:t xml:space="preserve">alega que es necesario analizar las circunstancias en las </w:t>
      </w:r>
      <w:r w:rsidR="004A01F4" w:rsidRPr="00EE2386">
        <w:rPr>
          <w:szCs w:val="20"/>
          <w:lang w:val="es-US"/>
        </w:rPr>
        <w:t xml:space="preserve">que </w:t>
      </w:r>
      <w:r w:rsidR="002A6413" w:rsidRPr="00EE2386">
        <w:rPr>
          <w:szCs w:val="20"/>
          <w:lang w:val="es-US"/>
        </w:rPr>
        <w:t>Aníbal Aguas fue detenido</w:t>
      </w:r>
      <w:r w:rsidR="004A01F4" w:rsidRPr="00EE2386">
        <w:rPr>
          <w:szCs w:val="20"/>
          <w:lang w:val="es-US"/>
        </w:rPr>
        <w:t>. En particular</w:t>
      </w:r>
      <w:r w:rsidR="002A6413" w:rsidRPr="00EE2386">
        <w:rPr>
          <w:szCs w:val="20"/>
          <w:lang w:val="es-US"/>
        </w:rPr>
        <w:t xml:space="preserve">, </w:t>
      </w:r>
      <w:r w:rsidR="004A01F4" w:rsidRPr="00EE2386">
        <w:rPr>
          <w:szCs w:val="20"/>
          <w:lang w:val="es-US"/>
        </w:rPr>
        <w:t xml:space="preserve">indica que se encontraba </w:t>
      </w:r>
      <w:r w:rsidR="002B616B" w:rsidRPr="00EE2386">
        <w:rPr>
          <w:szCs w:val="20"/>
          <w:lang w:val="es-US"/>
        </w:rPr>
        <w:t>en estado de ebriedad y hab</w:t>
      </w:r>
      <w:r w:rsidR="004A01F4" w:rsidRPr="00EE2386">
        <w:rPr>
          <w:szCs w:val="20"/>
          <w:lang w:val="es-US"/>
        </w:rPr>
        <w:t>ía destruido objetos de propiedad privada</w:t>
      </w:r>
      <w:r w:rsidR="002B616B" w:rsidRPr="00EE2386">
        <w:rPr>
          <w:szCs w:val="20"/>
          <w:lang w:val="es-US"/>
        </w:rPr>
        <w:t>,</w:t>
      </w:r>
      <w:r w:rsidR="002A6413" w:rsidRPr="00EE2386">
        <w:rPr>
          <w:szCs w:val="20"/>
          <w:lang w:val="es-US"/>
        </w:rPr>
        <w:t xml:space="preserve"> lo que generó la necesidad de que </w:t>
      </w:r>
      <w:r w:rsidR="002B616B" w:rsidRPr="00EE2386">
        <w:rPr>
          <w:szCs w:val="20"/>
          <w:lang w:val="es-US"/>
        </w:rPr>
        <w:t xml:space="preserve">actuara </w:t>
      </w:r>
      <w:r w:rsidR="002A6413" w:rsidRPr="00EE2386">
        <w:rPr>
          <w:szCs w:val="20"/>
          <w:lang w:val="es-US"/>
        </w:rPr>
        <w:t>la fuerza pública</w:t>
      </w:r>
      <w:r w:rsidR="002B616B" w:rsidRPr="00EE2386">
        <w:rPr>
          <w:szCs w:val="20"/>
          <w:lang w:val="es-US"/>
        </w:rPr>
        <w:t xml:space="preserve">, </w:t>
      </w:r>
      <w:r w:rsidR="002A6413" w:rsidRPr="00EE2386">
        <w:rPr>
          <w:szCs w:val="20"/>
          <w:lang w:val="es-US"/>
        </w:rPr>
        <w:t>a fin de precautelar la integridad de las personas que se encontraban en el lugar</w:t>
      </w:r>
      <w:r w:rsidR="004A01F4" w:rsidRPr="00EE2386">
        <w:rPr>
          <w:szCs w:val="20"/>
          <w:lang w:val="es-US"/>
        </w:rPr>
        <w:t xml:space="preserve"> de los hechos</w:t>
      </w:r>
      <w:r w:rsidR="002A6413" w:rsidRPr="00EE2386">
        <w:rPr>
          <w:szCs w:val="20"/>
          <w:lang w:val="es-US"/>
        </w:rPr>
        <w:t xml:space="preserve">. Indica </w:t>
      </w:r>
      <w:r w:rsidR="0086714F" w:rsidRPr="00EE2386">
        <w:rPr>
          <w:szCs w:val="20"/>
          <w:lang w:val="es-US"/>
        </w:rPr>
        <w:t xml:space="preserve">que la actitud de Aníbal Aguas </w:t>
      </w:r>
      <w:r w:rsidR="002A6413" w:rsidRPr="00EE2386">
        <w:rPr>
          <w:szCs w:val="20"/>
          <w:lang w:val="es-US"/>
        </w:rPr>
        <w:t xml:space="preserve">hizo necesaria la presencia y uso de la fuerza por parte de los miembros de la Policía Nacional, ya que </w:t>
      </w:r>
      <w:r w:rsidR="002B616B" w:rsidRPr="00EE2386">
        <w:rPr>
          <w:szCs w:val="20"/>
          <w:lang w:val="es-US"/>
        </w:rPr>
        <w:t xml:space="preserve">por </w:t>
      </w:r>
      <w:r w:rsidR="002A6413" w:rsidRPr="00EE2386">
        <w:rPr>
          <w:szCs w:val="20"/>
          <w:lang w:val="es-US"/>
        </w:rPr>
        <w:t>haber injerido bebidas alcohólicas se resisti</w:t>
      </w:r>
      <w:r w:rsidR="002B616B" w:rsidRPr="00EE2386">
        <w:rPr>
          <w:szCs w:val="20"/>
          <w:lang w:val="es-US"/>
        </w:rPr>
        <w:t>ó al arresto</w:t>
      </w:r>
      <w:r w:rsidR="002A6413" w:rsidRPr="00EE2386">
        <w:rPr>
          <w:szCs w:val="20"/>
          <w:lang w:val="es-US"/>
        </w:rPr>
        <w:t xml:space="preserve">. </w:t>
      </w:r>
      <w:r w:rsidR="004A01F4" w:rsidRPr="00EE2386">
        <w:rPr>
          <w:szCs w:val="20"/>
          <w:lang w:val="es-US"/>
        </w:rPr>
        <w:t>I</w:t>
      </w:r>
      <w:r w:rsidR="002A6413" w:rsidRPr="00EE2386">
        <w:rPr>
          <w:szCs w:val="20"/>
          <w:lang w:val="es-US"/>
        </w:rPr>
        <w:t xml:space="preserve">ndica </w:t>
      </w:r>
      <w:r w:rsidR="004A01F4" w:rsidRPr="00EE2386">
        <w:rPr>
          <w:szCs w:val="20"/>
          <w:lang w:val="es-US"/>
        </w:rPr>
        <w:t xml:space="preserve">también que, en atención a la existencia de circunstancias que debían ser explicadas en relación con la muerte de Aníbal, el Estado desarrolló un proceso judicial para arribar a la verdad procesal </w:t>
      </w:r>
      <w:r w:rsidR="00CF051A">
        <w:rPr>
          <w:szCs w:val="20"/>
          <w:lang w:val="es-US"/>
        </w:rPr>
        <w:t>con</w:t>
      </w:r>
      <w:r w:rsidR="00CF051A" w:rsidRPr="00EE2386">
        <w:rPr>
          <w:szCs w:val="20"/>
          <w:lang w:val="es-US"/>
        </w:rPr>
        <w:t xml:space="preserve"> </w:t>
      </w:r>
      <w:r w:rsidR="004A01F4" w:rsidRPr="00EE2386">
        <w:rPr>
          <w:szCs w:val="20"/>
          <w:lang w:val="es-US"/>
        </w:rPr>
        <w:t xml:space="preserve">base </w:t>
      </w:r>
      <w:r w:rsidR="00CF051A">
        <w:rPr>
          <w:szCs w:val="20"/>
          <w:lang w:val="es-US"/>
        </w:rPr>
        <w:t>en el</w:t>
      </w:r>
      <w:r w:rsidR="004A01F4" w:rsidRPr="00EE2386">
        <w:rPr>
          <w:szCs w:val="20"/>
          <w:lang w:val="es-US"/>
        </w:rPr>
        <w:t xml:space="preserve"> respeto a los derechos de las partes y procesados. En tal sentido, alega, </w:t>
      </w:r>
      <w:r w:rsidR="00534885">
        <w:rPr>
          <w:szCs w:val="20"/>
          <w:lang w:val="es-US"/>
        </w:rPr>
        <w:t xml:space="preserve">que </w:t>
      </w:r>
      <w:r w:rsidR="002A6413" w:rsidRPr="00EE2386">
        <w:rPr>
          <w:szCs w:val="20"/>
          <w:lang w:val="es-US"/>
        </w:rPr>
        <w:t xml:space="preserve">dentro de su ordenamiento jurídico </w:t>
      </w:r>
      <w:r w:rsidR="004A01F4" w:rsidRPr="00EE2386">
        <w:rPr>
          <w:szCs w:val="20"/>
          <w:lang w:val="es-US"/>
        </w:rPr>
        <w:t>el Estado contemplaba</w:t>
      </w:r>
      <w:r w:rsidR="002A6413" w:rsidRPr="00EE2386">
        <w:rPr>
          <w:szCs w:val="20"/>
          <w:lang w:val="es-US"/>
        </w:rPr>
        <w:t xml:space="preserve"> todo un procedimiento para procesar a quien h</w:t>
      </w:r>
      <w:r w:rsidR="004A01F4" w:rsidRPr="00EE2386">
        <w:rPr>
          <w:szCs w:val="20"/>
          <w:lang w:val="es-US"/>
        </w:rPr>
        <w:t>ubiera</w:t>
      </w:r>
      <w:r w:rsidR="002A6413" w:rsidRPr="00EE2386">
        <w:rPr>
          <w:szCs w:val="20"/>
          <w:lang w:val="es-US"/>
        </w:rPr>
        <w:t xml:space="preserve"> incurrido en infracción de normas penales, por lo que </w:t>
      </w:r>
      <w:r w:rsidR="000D52B3" w:rsidRPr="00EE2386">
        <w:rPr>
          <w:szCs w:val="20"/>
          <w:lang w:val="es-US"/>
        </w:rPr>
        <w:t>sería</w:t>
      </w:r>
      <w:r w:rsidR="002A6413" w:rsidRPr="00EE2386">
        <w:rPr>
          <w:szCs w:val="20"/>
          <w:lang w:val="es-US"/>
        </w:rPr>
        <w:t xml:space="preserve"> </w:t>
      </w:r>
      <w:r w:rsidR="000D52B3" w:rsidRPr="00EE2386">
        <w:rPr>
          <w:szCs w:val="20"/>
          <w:lang w:val="es-US"/>
        </w:rPr>
        <w:t>“</w:t>
      </w:r>
      <w:r w:rsidR="002A6413" w:rsidRPr="00EE2386">
        <w:rPr>
          <w:szCs w:val="20"/>
          <w:lang w:val="es-US"/>
        </w:rPr>
        <w:t xml:space="preserve">absurdo afirmar que existe algún tipo de tolerancia o contribución por parte del Estado </w:t>
      </w:r>
      <w:r w:rsidR="000D52B3" w:rsidRPr="00EE2386">
        <w:rPr>
          <w:szCs w:val="20"/>
          <w:lang w:val="es-US"/>
        </w:rPr>
        <w:t xml:space="preserve">ecuatoriano </w:t>
      </w:r>
      <w:r w:rsidR="002A6413" w:rsidRPr="00EE2386">
        <w:rPr>
          <w:szCs w:val="20"/>
          <w:lang w:val="es-US"/>
        </w:rPr>
        <w:t>a la impunidad</w:t>
      </w:r>
      <w:r w:rsidR="000D52B3" w:rsidRPr="00EE2386">
        <w:rPr>
          <w:szCs w:val="20"/>
          <w:lang w:val="es-US"/>
        </w:rPr>
        <w:t>”</w:t>
      </w:r>
      <w:r w:rsidR="002A6413" w:rsidRPr="00EE2386">
        <w:rPr>
          <w:szCs w:val="20"/>
          <w:lang w:val="es-US"/>
        </w:rPr>
        <w:t>.</w:t>
      </w:r>
    </w:p>
    <w:p w14:paraId="1144C274" w14:textId="77777777" w:rsidR="0086714F" w:rsidRPr="00EE2386" w:rsidRDefault="0086714F" w:rsidP="002B616B">
      <w:pPr>
        <w:pStyle w:val="ListParagraph"/>
        <w:numPr>
          <w:ilvl w:val="0"/>
          <w:numId w:val="0"/>
        </w:numPr>
        <w:rPr>
          <w:szCs w:val="20"/>
          <w:lang w:val="es-US"/>
        </w:rPr>
      </w:pPr>
    </w:p>
    <w:p w14:paraId="15E483B5" w14:textId="77777777" w:rsidR="0086714F" w:rsidRPr="00EE2386" w:rsidRDefault="000D52B3" w:rsidP="002B616B">
      <w:pPr>
        <w:pStyle w:val="ListParagraph"/>
        <w:rPr>
          <w:szCs w:val="20"/>
          <w:lang w:val="es-US"/>
        </w:rPr>
      </w:pPr>
      <w:r w:rsidRPr="00EE2386">
        <w:rPr>
          <w:szCs w:val="20"/>
          <w:lang w:val="es-US"/>
        </w:rPr>
        <w:t xml:space="preserve">En cuanto al derecho a la vida, </w:t>
      </w:r>
      <w:r w:rsidR="0086714F" w:rsidRPr="00EE2386">
        <w:rPr>
          <w:szCs w:val="20"/>
          <w:lang w:val="es-US"/>
        </w:rPr>
        <w:t xml:space="preserve">Ecuador afirma que </w:t>
      </w:r>
      <w:r w:rsidR="003C47D2" w:rsidRPr="00EE2386">
        <w:rPr>
          <w:szCs w:val="20"/>
          <w:lang w:val="es-US"/>
        </w:rPr>
        <w:t xml:space="preserve">la violación habría sido reparada ya que </w:t>
      </w:r>
      <w:r w:rsidR="006F78D5" w:rsidRPr="00EE2386">
        <w:rPr>
          <w:szCs w:val="20"/>
          <w:lang w:val="es-US"/>
        </w:rPr>
        <w:t>respondió ágilmente ante el crimen cometido por elementos policiales, iniciando un proceso penal que terminó con la sanción de los culpables habiendo</w:t>
      </w:r>
      <w:r w:rsidR="0086714F" w:rsidRPr="00EE2386">
        <w:rPr>
          <w:szCs w:val="20"/>
          <w:lang w:val="es-US"/>
        </w:rPr>
        <w:t xml:space="preserve"> cumplido con su obligación de investigar y sancionar una violación de derechos humanos.</w:t>
      </w:r>
      <w:r w:rsidR="006F78D5" w:rsidRPr="00EE2386">
        <w:rPr>
          <w:szCs w:val="20"/>
          <w:lang w:val="es-US"/>
        </w:rPr>
        <w:t xml:space="preserve"> </w:t>
      </w:r>
      <w:r w:rsidR="003C47D2" w:rsidRPr="00EE2386">
        <w:rPr>
          <w:szCs w:val="20"/>
          <w:lang w:val="es-US"/>
        </w:rPr>
        <w:t>I</w:t>
      </w:r>
      <w:r w:rsidR="006F78D5" w:rsidRPr="00EE2386">
        <w:rPr>
          <w:szCs w:val="20"/>
          <w:lang w:val="es-US"/>
        </w:rPr>
        <w:t>ndica que dentro de su ordenamiento jur</w:t>
      </w:r>
      <w:r w:rsidR="006C7299" w:rsidRPr="00EE2386">
        <w:rPr>
          <w:szCs w:val="20"/>
          <w:lang w:val="es-US"/>
        </w:rPr>
        <w:t>ídico</w:t>
      </w:r>
      <w:r w:rsidR="006F78D5" w:rsidRPr="00EE2386">
        <w:rPr>
          <w:szCs w:val="20"/>
          <w:lang w:val="es-US"/>
        </w:rPr>
        <w:t xml:space="preserve"> el Estado ecuatoriano</w:t>
      </w:r>
      <w:r w:rsidR="006C7299" w:rsidRPr="00EE2386">
        <w:rPr>
          <w:szCs w:val="20"/>
          <w:lang w:val="es-US"/>
        </w:rPr>
        <w:t xml:space="preserve"> contiene normas capaces de reparar los derechos de las personas, cumpliendo con una investigación que arroje la verdad procesal, que permite a los familiares conocer cómo se dieron los hechos, determinar los responsables y sancionarlos.</w:t>
      </w:r>
    </w:p>
    <w:p w14:paraId="7A9D66A1" w14:textId="77777777" w:rsidR="0086714F" w:rsidRPr="00EE2386" w:rsidRDefault="0086714F" w:rsidP="002B616B">
      <w:pPr>
        <w:pStyle w:val="ListParagraph"/>
        <w:numPr>
          <w:ilvl w:val="0"/>
          <w:numId w:val="0"/>
        </w:numPr>
        <w:rPr>
          <w:szCs w:val="20"/>
          <w:lang w:val="es-US"/>
        </w:rPr>
      </w:pPr>
    </w:p>
    <w:p w14:paraId="03773151" w14:textId="77777777" w:rsidR="0086714F" w:rsidRPr="00EE2386" w:rsidRDefault="008D2E12" w:rsidP="002B616B">
      <w:pPr>
        <w:pStyle w:val="ListParagraph"/>
        <w:rPr>
          <w:szCs w:val="20"/>
          <w:lang w:val="es-US"/>
        </w:rPr>
      </w:pPr>
      <w:r w:rsidRPr="00EE2386">
        <w:rPr>
          <w:szCs w:val="20"/>
          <w:lang w:val="es-US"/>
        </w:rPr>
        <w:t>E</w:t>
      </w:r>
      <w:r w:rsidR="006C7299" w:rsidRPr="00EE2386">
        <w:rPr>
          <w:szCs w:val="20"/>
          <w:lang w:val="es-US"/>
        </w:rPr>
        <w:t>n cuanto al derecho a la integridad física, e</w:t>
      </w:r>
      <w:r w:rsidR="00770142" w:rsidRPr="00EE2386">
        <w:rPr>
          <w:szCs w:val="20"/>
          <w:lang w:val="es-US"/>
        </w:rPr>
        <w:t xml:space="preserve">l Estado </w:t>
      </w:r>
      <w:r w:rsidR="0086714F" w:rsidRPr="00EE2386">
        <w:rPr>
          <w:szCs w:val="20"/>
          <w:lang w:val="es-US"/>
        </w:rPr>
        <w:t xml:space="preserve">alega </w:t>
      </w:r>
      <w:r w:rsidR="001E5F3D" w:rsidRPr="00EE2386">
        <w:rPr>
          <w:szCs w:val="20"/>
          <w:lang w:val="es-US"/>
        </w:rPr>
        <w:t xml:space="preserve">que </w:t>
      </w:r>
      <w:r w:rsidR="0086714F" w:rsidRPr="00EE2386">
        <w:rPr>
          <w:szCs w:val="20"/>
          <w:lang w:val="es-US"/>
        </w:rPr>
        <w:t>ha cautelado el derecho del señor Aguas y de toda su familia a través de un proceso judicial</w:t>
      </w:r>
      <w:r w:rsidR="006C7299" w:rsidRPr="00EE2386">
        <w:rPr>
          <w:szCs w:val="20"/>
          <w:lang w:val="es-US"/>
        </w:rPr>
        <w:t xml:space="preserve"> en el que</w:t>
      </w:r>
      <w:r w:rsidR="0086714F" w:rsidRPr="00EE2386">
        <w:rPr>
          <w:szCs w:val="20"/>
          <w:lang w:val="es-US"/>
        </w:rPr>
        <w:t xml:space="preserve"> sancionó a los responsables y los condenó a una pena. </w:t>
      </w:r>
      <w:r w:rsidR="001E5F3D" w:rsidRPr="00EE2386">
        <w:rPr>
          <w:szCs w:val="20"/>
          <w:lang w:val="es-US"/>
        </w:rPr>
        <w:t>Además, i</w:t>
      </w:r>
      <w:r w:rsidR="0086714F" w:rsidRPr="00EE2386">
        <w:rPr>
          <w:szCs w:val="20"/>
          <w:lang w:val="es-US"/>
        </w:rPr>
        <w:t xml:space="preserve">ndica que </w:t>
      </w:r>
      <w:r w:rsidR="001E5F3D" w:rsidRPr="00EE2386">
        <w:rPr>
          <w:szCs w:val="20"/>
          <w:lang w:val="es-US"/>
        </w:rPr>
        <w:t xml:space="preserve">la Policía Nacional está desarrollando todos sus esfuerzos para dar con el paradero de los malos elementos responsables del crimen y que el Estado </w:t>
      </w:r>
      <w:r w:rsidR="0086714F" w:rsidRPr="00EE2386">
        <w:rPr>
          <w:szCs w:val="20"/>
          <w:lang w:val="es-US"/>
        </w:rPr>
        <w:t>no tolera las acciones cometidas por miembros de la fuerza pública</w:t>
      </w:r>
      <w:r w:rsidR="001E5F3D" w:rsidRPr="00EE2386">
        <w:rPr>
          <w:szCs w:val="20"/>
          <w:lang w:val="es-US"/>
        </w:rPr>
        <w:t xml:space="preserve">. Además, indica que la Comisión no tendría </w:t>
      </w:r>
      <w:r w:rsidR="0086714F" w:rsidRPr="00EE2386">
        <w:rPr>
          <w:szCs w:val="20"/>
          <w:lang w:val="es-US"/>
        </w:rPr>
        <w:t xml:space="preserve">competencia para conocer y resolver el caso, </w:t>
      </w:r>
      <w:r w:rsidR="001E5F3D" w:rsidRPr="00EE2386">
        <w:rPr>
          <w:szCs w:val="20"/>
          <w:lang w:val="es-US"/>
        </w:rPr>
        <w:t xml:space="preserve">ya </w:t>
      </w:r>
      <w:r w:rsidR="0086714F" w:rsidRPr="00EE2386">
        <w:rPr>
          <w:szCs w:val="20"/>
          <w:lang w:val="es-US"/>
        </w:rPr>
        <w:t xml:space="preserve">que el Estado ecuatoriano </w:t>
      </w:r>
      <w:r w:rsidR="001E5F3D" w:rsidRPr="00EE2386">
        <w:rPr>
          <w:szCs w:val="20"/>
          <w:lang w:val="es-US"/>
        </w:rPr>
        <w:t xml:space="preserve">habría </w:t>
      </w:r>
      <w:r w:rsidR="0086714F" w:rsidRPr="00EE2386">
        <w:rPr>
          <w:szCs w:val="20"/>
          <w:lang w:val="es-US"/>
        </w:rPr>
        <w:t xml:space="preserve">reparado internamente la violación. </w:t>
      </w:r>
    </w:p>
    <w:p w14:paraId="0EABA999" w14:textId="77777777" w:rsidR="0086714F" w:rsidRPr="00EE2386" w:rsidRDefault="0086714F" w:rsidP="002B616B">
      <w:pPr>
        <w:pStyle w:val="ListParagraph"/>
        <w:numPr>
          <w:ilvl w:val="0"/>
          <w:numId w:val="0"/>
        </w:numPr>
        <w:rPr>
          <w:szCs w:val="20"/>
          <w:lang w:val="es-US"/>
        </w:rPr>
      </w:pPr>
    </w:p>
    <w:p w14:paraId="6A961CC2" w14:textId="77777777" w:rsidR="00610A8D" w:rsidRPr="00EE2386" w:rsidRDefault="00A06FCC" w:rsidP="00027CB0">
      <w:pPr>
        <w:pStyle w:val="ListParagraph"/>
        <w:rPr>
          <w:szCs w:val="20"/>
          <w:lang w:val="es-US"/>
        </w:rPr>
      </w:pPr>
      <w:r w:rsidRPr="00EE2386">
        <w:rPr>
          <w:szCs w:val="20"/>
          <w:lang w:val="es-US"/>
        </w:rPr>
        <w:t xml:space="preserve">En cuanto a las garantías judiciales, </w:t>
      </w:r>
      <w:r w:rsidR="0086714F" w:rsidRPr="00EE2386">
        <w:rPr>
          <w:szCs w:val="20"/>
          <w:lang w:val="es-US"/>
        </w:rPr>
        <w:t>Ecuador alega que la</w:t>
      </w:r>
      <w:r w:rsidRPr="00EE2386">
        <w:rPr>
          <w:szCs w:val="20"/>
          <w:lang w:val="es-US"/>
        </w:rPr>
        <w:t xml:space="preserve"> parte agraviada</w:t>
      </w:r>
      <w:r w:rsidR="0086714F" w:rsidRPr="00EE2386">
        <w:rPr>
          <w:szCs w:val="20"/>
          <w:lang w:val="es-US"/>
        </w:rPr>
        <w:t xml:space="preserve"> tuv</w:t>
      </w:r>
      <w:r w:rsidRPr="00EE2386">
        <w:rPr>
          <w:szCs w:val="20"/>
          <w:lang w:val="es-US"/>
        </w:rPr>
        <w:t>o</w:t>
      </w:r>
      <w:r w:rsidR="0086714F" w:rsidRPr="00EE2386">
        <w:rPr>
          <w:szCs w:val="20"/>
          <w:lang w:val="es-US"/>
        </w:rPr>
        <w:t xml:space="preserve"> la oportunidad de intervenir en el proceso y de presentar los recursos, </w:t>
      </w:r>
      <w:r w:rsidRPr="00EE2386">
        <w:rPr>
          <w:szCs w:val="20"/>
          <w:lang w:val="es-US"/>
        </w:rPr>
        <w:t>pero que debido a la actuación de los jueces y la independencia con la que deben actuar, se resolvió que el proceso fuera llevado en sede judicial policial y se rechazaron los recursos</w:t>
      </w:r>
      <w:r w:rsidR="00534885">
        <w:rPr>
          <w:szCs w:val="20"/>
          <w:lang w:val="es-US"/>
        </w:rPr>
        <w:t xml:space="preserve"> interpuestos</w:t>
      </w:r>
      <w:r w:rsidRPr="00EE2386">
        <w:rPr>
          <w:szCs w:val="20"/>
          <w:lang w:val="es-US"/>
        </w:rPr>
        <w:t xml:space="preserve">. Además, alega que el proceso fue sustanciado de manera eficaz y </w:t>
      </w:r>
      <w:r w:rsidR="0086714F" w:rsidRPr="00EE2386">
        <w:rPr>
          <w:szCs w:val="20"/>
          <w:lang w:val="es-US"/>
        </w:rPr>
        <w:t>en un plazo razonable</w:t>
      </w:r>
      <w:r w:rsidRPr="00EE2386">
        <w:rPr>
          <w:szCs w:val="20"/>
          <w:lang w:val="es-US"/>
        </w:rPr>
        <w:t>, en atención a su complejidad y la actividad procesal de los interesados</w:t>
      </w:r>
      <w:r w:rsidR="0086714F" w:rsidRPr="00EE2386">
        <w:rPr>
          <w:szCs w:val="20"/>
          <w:lang w:val="es-US"/>
        </w:rPr>
        <w:t xml:space="preserve">. Asimismo, </w:t>
      </w:r>
      <w:r w:rsidRPr="00EE2386">
        <w:rPr>
          <w:szCs w:val="20"/>
          <w:lang w:val="es-US"/>
        </w:rPr>
        <w:t xml:space="preserve">destaca la </w:t>
      </w:r>
      <w:r w:rsidR="0086714F" w:rsidRPr="00EE2386">
        <w:rPr>
          <w:szCs w:val="20"/>
          <w:lang w:val="es-US"/>
        </w:rPr>
        <w:t xml:space="preserve">imparcialidad </w:t>
      </w:r>
      <w:r w:rsidR="00027CB0" w:rsidRPr="00EE2386">
        <w:rPr>
          <w:szCs w:val="20"/>
          <w:lang w:val="es-US"/>
        </w:rPr>
        <w:t xml:space="preserve">e independencia </w:t>
      </w:r>
      <w:r w:rsidRPr="00EE2386">
        <w:rPr>
          <w:szCs w:val="20"/>
          <w:lang w:val="es-US"/>
        </w:rPr>
        <w:t>con la que actu</w:t>
      </w:r>
      <w:r w:rsidR="00027CB0" w:rsidRPr="00EE2386">
        <w:rPr>
          <w:szCs w:val="20"/>
          <w:lang w:val="es-US"/>
        </w:rPr>
        <w:t xml:space="preserve">aron </w:t>
      </w:r>
      <w:r w:rsidRPr="00EE2386">
        <w:rPr>
          <w:szCs w:val="20"/>
          <w:lang w:val="es-US"/>
        </w:rPr>
        <w:t>l</w:t>
      </w:r>
      <w:r w:rsidR="00027CB0" w:rsidRPr="00EE2386">
        <w:rPr>
          <w:szCs w:val="20"/>
          <w:lang w:val="es-US"/>
        </w:rPr>
        <w:t>os</w:t>
      </w:r>
      <w:r w:rsidRPr="00EE2386">
        <w:rPr>
          <w:szCs w:val="20"/>
          <w:lang w:val="es-US"/>
        </w:rPr>
        <w:t xml:space="preserve"> </w:t>
      </w:r>
      <w:r w:rsidR="0086714F" w:rsidRPr="00EE2386">
        <w:rPr>
          <w:szCs w:val="20"/>
          <w:lang w:val="es-US"/>
        </w:rPr>
        <w:t>tribunal</w:t>
      </w:r>
      <w:r w:rsidR="00027CB0" w:rsidRPr="00EE2386">
        <w:rPr>
          <w:szCs w:val="20"/>
          <w:lang w:val="es-US"/>
        </w:rPr>
        <w:t>es</w:t>
      </w:r>
      <w:r w:rsidR="0086714F" w:rsidRPr="00EE2386">
        <w:rPr>
          <w:szCs w:val="20"/>
          <w:lang w:val="es-US"/>
        </w:rPr>
        <w:t xml:space="preserve"> </w:t>
      </w:r>
      <w:r w:rsidR="00027CB0" w:rsidRPr="00EE2386">
        <w:rPr>
          <w:szCs w:val="20"/>
          <w:lang w:val="es-US"/>
        </w:rPr>
        <w:t xml:space="preserve">que </w:t>
      </w:r>
      <w:r w:rsidRPr="00EE2386">
        <w:rPr>
          <w:szCs w:val="20"/>
          <w:lang w:val="es-US"/>
        </w:rPr>
        <w:t>conden</w:t>
      </w:r>
      <w:r w:rsidR="00027CB0" w:rsidRPr="00EE2386">
        <w:rPr>
          <w:szCs w:val="20"/>
          <w:lang w:val="es-US"/>
        </w:rPr>
        <w:t>aron</w:t>
      </w:r>
      <w:r w:rsidRPr="00EE2386">
        <w:rPr>
          <w:szCs w:val="20"/>
          <w:lang w:val="es-US"/>
        </w:rPr>
        <w:t xml:space="preserve"> a los responsables</w:t>
      </w:r>
      <w:r w:rsidR="00027CB0" w:rsidRPr="00EE2386">
        <w:rPr>
          <w:szCs w:val="20"/>
          <w:lang w:val="es-US"/>
        </w:rPr>
        <w:t>. Respecto de la protección judicial, e</w:t>
      </w:r>
      <w:r w:rsidR="00C13AB8" w:rsidRPr="00EE2386">
        <w:rPr>
          <w:szCs w:val="20"/>
          <w:lang w:val="es-US"/>
        </w:rPr>
        <w:t xml:space="preserve">l Estado afirma que la investigación y procesamiento penal constituyeron la vía adecuada y efectiva puesto que culminó al emitirse una sentencia que sanciona a los responsables y otorga el resultado de la construcción procesal de la verdad. </w:t>
      </w:r>
      <w:r w:rsidR="00F86FEA" w:rsidRPr="00EE2386">
        <w:rPr>
          <w:szCs w:val="20"/>
          <w:lang w:val="es-US"/>
        </w:rPr>
        <w:t xml:space="preserve">Indica </w:t>
      </w:r>
      <w:r w:rsidR="00C13AB8" w:rsidRPr="00EE2386">
        <w:rPr>
          <w:szCs w:val="20"/>
          <w:lang w:val="es-US"/>
        </w:rPr>
        <w:t xml:space="preserve">que </w:t>
      </w:r>
      <w:r w:rsidR="00027CB0" w:rsidRPr="00EE2386">
        <w:rPr>
          <w:szCs w:val="20"/>
          <w:lang w:val="es-US"/>
        </w:rPr>
        <w:t xml:space="preserve">en </w:t>
      </w:r>
      <w:r w:rsidR="00C13AB8" w:rsidRPr="00EE2386">
        <w:rPr>
          <w:szCs w:val="20"/>
          <w:lang w:val="es-US"/>
        </w:rPr>
        <w:t xml:space="preserve">el propio escrito de los peticionarios </w:t>
      </w:r>
      <w:r w:rsidR="00027CB0" w:rsidRPr="00EE2386">
        <w:rPr>
          <w:szCs w:val="20"/>
          <w:lang w:val="es-US"/>
        </w:rPr>
        <w:t xml:space="preserve">quedaron establecidas </w:t>
      </w:r>
      <w:r w:rsidR="00C13AB8" w:rsidRPr="00EE2386">
        <w:rPr>
          <w:szCs w:val="20"/>
          <w:lang w:val="es-US"/>
        </w:rPr>
        <w:t>las oportunidades que tuvieron de concurrir ante las autoridades judiciales para que esta at</w:t>
      </w:r>
      <w:r w:rsidR="00027CB0" w:rsidRPr="00EE2386">
        <w:rPr>
          <w:szCs w:val="20"/>
          <w:lang w:val="es-US"/>
        </w:rPr>
        <w:t xml:space="preserve">endiera </w:t>
      </w:r>
      <w:r w:rsidR="00C13AB8" w:rsidRPr="00EE2386">
        <w:rPr>
          <w:szCs w:val="20"/>
          <w:lang w:val="es-US"/>
        </w:rPr>
        <w:t xml:space="preserve">los pedidos realizados. </w:t>
      </w:r>
    </w:p>
    <w:p w14:paraId="1BDA37F0" w14:textId="77777777" w:rsidR="00610A8D" w:rsidRPr="00EE2386" w:rsidRDefault="00610A8D" w:rsidP="00610A8D">
      <w:pPr>
        <w:pStyle w:val="ListParagraph"/>
        <w:numPr>
          <w:ilvl w:val="0"/>
          <w:numId w:val="0"/>
        </w:numPr>
        <w:rPr>
          <w:szCs w:val="20"/>
          <w:lang w:val="es-US"/>
        </w:rPr>
      </w:pPr>
    </w:p>
    <w:p w14:paraId="1DA0B686" w14:textId="77777777" w:rsidR="00E93093" w:rsidRPr="00EE2386" w:rsidRDefault="00571446" w:rsidP="00027CB0">
      <w:pPr>
        <w:pStyle w:val="ListParagraph"/>
        <w:rPr>
          <w:szCs w:val="20"/>
          <w:lang w:val="es-US"/>
        </w:rPr>
      </w:pPr>
      <w:r w:rsidRPr="00EE2386">
        <w:rPr>
          <w:szCs w:val="20"/>
          <w:lang w:val="es-PE"/>
        </w:rPr>
        <w:t xml:space="preserve">Asimismo, </w:t>
      </w:r>
      <w:r w:rsidR="00610A8D" w:rsidRPr="00EE2386">
        <w:rPr>
          <w:szCs w:val="20"/>
          <w:lang w:val="es-PE"/>
        </w:rPr>
        <w:t xml:space="preserve">el Estado </w:t>
      </w:r>
      <w:r w:rsidRPr="00EE2386">
        <w:rPr>
          <w:szCs w:val="20"/>
          <w:lang w:val="es-PE"/>
        </w:rPr>
        <w:t>alega que ha desplegado y continuará con sus mayores esfuerzos para localizar, capturar y sancionar a los ex miembros policiales Evergisto Salazar y Julio Alcívar Sandoval, quienes se encuentran prófugos.</w:t>
      </w:r>
      <w:r w:rsidR="00610A8D" w:rsidRPr="00EE2386">
        <w:rPr>
          <w:szCs w:val="20"/>
          <w:lang w:val="es-PE"/>
        </w:rPr>
        <w:t xml:space="preserve"> Sin embargo, argumenta que la prescripción es un modo de extinguir las acciones penales y que es una institución universalmente aceptada que permite subsanar jurídicamente situaciones que no pueden quedar sin resolverse indefinidamente e indica que los responsables del presente caso</w:t>
      </w:r>
      <w:r w:rsidR="006356DD" w:rsidRPr="00EE2386">
        <w:rPr>
          <w:szCs w:val="20"/>
          <w:lang w:val="es-PE"/>
        </w:rPr>
        <w:t>,</w:t>
      </w:r>
      <w:r w:rsidR="00610A8D" w:rsidRPr="00EE2386">
        <w:rPr>
          <w:szCs w:val="20"/>
          <w:lang w:val="es-PE"/>
        </w:rPr>
        <w:t xml:space="preserve"> por el simple hechos de encontrarse prófugos de la justicia</w:t>
      </w:r>
      <w:r w:rsidR="006356DD" w:rsidRPr="00EE2386">
        <w:rPr>
          <w:szCs w:val="20"/>
          <w:lang w:val="es-PE"/>
        </w:rPr>
        <w:t>,</w:t>
      </w:r>
      <w:r w:rsidR="00610A8D" w:rsidRPr="00EE2386">
        <w:rPr>
          <w:szCs w:val="20"/>
          <w:lang w:val="es-PE"/>
        </w:rPr>
        <w:t xml:space="preserve"> se han mantenido en un estado limitado en el desarrollo de sus derechos como personas “lo que los condenó a una pena natural”.</w:t>
      </w:r>
    </w:p>
    <w:p w14:paraId="3986FF55" w14:textId="77777777" w:rsidR="00027CB0" w:rsidRPr="00EE2386" w:rsidRDefault="00027CB0" w:rsidP="00027CB0">
      <w:pPr>
        <w:pStyle w:val="ListParagraph"/>
        <w:numPr>
          <w:ilvl w:val="0"/>
          <w:numId w:val="0"/>
        </w:numPr>
        <w:rPr>
          <w:szCs w:val="20"/>
          <w:lang w:val="es-US"/>
        </w:rPr>
      </w:pPr>
    </w:p>
    <w:p w14:paraId="0AFE32C1" w14:textId="77777777" w:rsidR="00027CB0" w:rsidRPr="00EE2386" w:rsidRDefault="00027CB0" w:rsidP="00027CB0">
      <w:pPr>
        <w:pStyle w:val="ListParagraph"/>
        <w:rPr>
          <w:szCs w:val="20"/>
          <w:lang w:val="es-US"/>
        </w:rPr>
      </w:pPr>
      <w:r w:rsidRPr="00EE2386">
        <w:rPr>
          <w:szCs w:val="20"/>
          <w:lang w:val="es-US"/>
        </w:rPr>
        <w:t xml:space="preserve">En atención a lo antes expuesto, </w:t>
      </w:r>
      <w:r w:rsidR="006356DD" w:rsidRPr="00EE2386">
        <w:rPr>
          <w:szCs w:val="20"/>
          <w:lang w:val="es-US"/>
        </w:rPr>
        <w:t xml:space="preserve">el Estado </w:t>
      </w:r>
      <w:r w:rsidR="008E6862" w:rsidRPr="00EE2386">
        <w:rPr>
          <w:szCs w:val="20"/>
          <w:lang w:val="es-US"/>
        </w:rPr>
        <w:t xml:space="preserve">solicita a la Comisión que establezca en su informe que </w:t>
      </w:r>
      <w:r w:rsidR="006356DD" w:rsidRPr="00EE2386">
        <w:rPr>
          <w:szCs w:val="20"/>
          <w:lang w:val="es-US"/>
        </w:rPr>
        <w:t>Ecuador</w:t>
      </w:r>
      <w:r w:rsidR="008E6862" w:rsidRPr="00EE2386">
        <w:rPr>
          <w:szCs w:val="20"/>
          <w:lang w:val="es-US"/>
        </w:rPr>
        <w:t xml:space="preserve"> no ha violado los derechos alegados por la parte peticionaria.</w:t>
      </w:r>
    </w:p>
    <w:p w14:paraId="54EDC58B" w14:textId="77777777" w:rsidR="007C756A" w:rsidRPr="00EE2386" w:rsidRDefault="007C756A" w:rsidP="00817347">
      <w:pPr>
        <w:pStyle w:val="Heading1"/>
        <w:numPr>
          <w:ilvl w:val="0"/>
          <w:numId w:val="0"/>
        </w:numPr>
        <w:rPr>
          <w:rFonts w:ascii="Cambria" w:hAnsi="Cambria"/>
        </w:rPr>
      </w:pPr>
    </w:p>
    <w:p w14:paraId="40C03E83" w14:textId="77777777" w:rsidR="00DC25DE" w:rsidRPr="00EE2386" w:rsidRDefault="00DC25DE" w:rsidP="00DC25DE">
      <w:pPr>
        <w:pStyle w:val="Heading1"/>
        <w:numPr>
          <w:ilvl w:val="0"/>
          <w:numId w:val="0"/>
        </w:numPr>
        <w:rPr>
          <w:rFonts w:ascii="Cambria" w:hAnsi="Cambria"/>
          <w:color w:val="auto"/>
        </w:rPr>
      </w:pPr>
    </w:p>
    <w:p w14:paraId="2A2AF957" w14:textId="77777777" w:rsidR="00DC25DE" w:rsidRPr="00EE2386" w:rsidRDefault="00DC25DE" w:rsidP="00DC25DE">
      <w:pPr>
        <w:pStyle w:val="Heading1"/>
        <w:numPr>
          <w:ilvl w:val="0"/>
          <w:numId w:val="0"/>
        </w:numPr>
        <w:rPr>
          <w:rFonts w:ascii="Cambria" w:hAnsi="Cambria"/>
          <w:color w:val="auto"/>
        </w:rPr>
      </w:pPr>
    </w:p>
    <w:p w14:paraId="4DAC3899" w14:textId="77777777" w:rsidR="00DC25DE" w:rsidRPr="00EE2386" w:rsidRDefault="00DC25DE" w:rsidP="00DC25DE">
      <w:pPr>
        <w:pStyle w:val="Heading1"/>
        <w:numPr>
          <w:ilvl w:val="0"/>
          <w:numId w:val="0"/>
        </w:numPr>
        <w:rPr>
          <w:rFonts w:ascii="Cambria" w:hAnsi="Cambria"/>
          <w:color w:val="auto"/>
        </w:rPr>
      </w:pPr>
    </w:p>
    <w:p w14:paraId="6304360C" w14:textId="77777777" w:rsidR="005C4CA4" w:rsidRPr="00EE2386" w:rsidRDefault="00D12193" w:rsidP="00A4478F">
      <w:pPr>
        <w:pStyle w:val="Heading1"/>
        <w:ind w:left="0" w:firstLine="0"/>
        <w:rPr>
          <w:rFonts w:ascii="Cambria" w:hAnsi="Cambria"/>
          <w:color w:val="auto"/>
        </w:rPr>
      </w:pPr>
      <w:bookmarkStart w:id="8" w:name="_Toc35966082"/>
      <w:r w:rsidRPr="00EE2386">
        <w:rPr>
          <w:rFonts w:ascii="Cambria" w:hAnsi="Cambria"/>
          <w:color w:val="auto"/>
        </w:rPr>
        <w:t>DETERMINACIONES DE HECHO</w:t>
      </w:r>
      <w:bookmarkEnd w:id="8"/>
    </w:p>
    <w:p w14:paraId="339A5CDA" w14:textId="77777777" w:rsidR="005C4CA4" w:rsidRPr="00EE2386" w:rsidRDefault="005C4CA4" w:rsidP="005C4CA4">
      <w:pPr>
        <w:pStyle w:val="Heading2"/>
        <w:numPr>
          <w:ilvl w:val="0"/>
          <w:numId w:val="0"/>
        </w:numPr>
        <w:ind w:left="927"/>
        <w:rPr>
          <w:szCs w:val="20"/>
        </w:rPr>
      </w:pPr>
    </w:p>
    <w:p w14:paraId="43E8DFA7" w14:textId="77777777" w:rsidR="002A5CF8" w:rsidRPr="00EE2386" w:rsidRDefault="004E0633" w:rsidP="008A05FF">
      <w:pPr>
        <w:pStyle w:val="Heading2"/>
        <w:numPr>
          <w:ilvl w:val="0"/>
          <w:numId w:val="60"/>
        </w:numPr>
        <w:rPr>
          <w:szCs w:val="20"/>
          <w:lang w:val="es-US"/>
        </w:rPr>
      </w:pPr>
      <w:bookmarkStart w:id="9" w:name="_Toc35966083"/>
      <w:r w:rsidRPr="00EE2386">
        <w:rPr>
          <w:szCs w:val="20"/>
          <w:lang w:val="es-US"/>
        </w:rPr>
        <w:t>Marco normativo y c</w:t>
      </w:r>
      <w:r w:rsidR="005C4CA4" w:rsidRPr="00EE2386">
        <w:rPr>
          <w:szCs w:val="20"/>
          <w:lang w:val="es-US"/>
        </w:rPr>
        <w:t>ontexto</w:t>
      </w:r>
      <w:r w:rsidR="002A5CF8" w:rsidRPr="00EE2386">
        <w:rPr>
          <w:szCs w:val="20"/>
          <w:lang w:val="es-US"/>
        </w:rPr>
        <w:t xml:space="preserve"> general </w:t>
      </w:r>
      <w:r w:rsidR="00B13B62" w:rsidRPr="00EE2386">
        <w:rPr>
          <w:szCs w:val="20"/>
          <w:lang w:val="es-US"/>
        </w:rPr>
        <w:t xml:space="preserve">de </w:t>
      </w:r>
      <w:r w:rsidR="002A5CF8" w:rsidRPr="00EE2386">
        <w:rPr>
          <w:szCs w:val="20"/>
          <w:lang w:val="es-US"/>
        </w:rPr>
        <w:t>la jurisdicción policial en el Ecuador</w:t>
      </w:r>
      <w:bookmarkEnd w:id="9"/>
    </w:p>
    <w:p w14:paraId="57D8D5F2" w14:textId="77777777" w:rsidR="00A76FB5" w:rsidRPr="00EE2386" w:rsidRDefault="00A76FB5" w:rsidP="00A76FB5">
      <w:pPr>
        <w:pStyle w:val="ListParagraph"/>
        <w:numPr>
          <w:ilvl w:val="0"/>
          <w:numId w:val="0"/>
        </w:numPr>
        <w:rPr>
          <w:szCs w:val="20"/>
          <w:lang w:val="es-US"/>
        </w:rPr>
      </w:pPr>
    </w:p>
    <w:p w14:paraId="34947B4F" w14:textId="77777777" w:rsidR="00693F90" w:rsidRPr="00EE2386" w:rsidRDefault="004E0633" w:rsidP="00A76FB5">
      <w:pPr>
        <w:pStyle w:val="ListParagraph"/>
        <w:rPr>
          <w:szCs w:val="20"/>
          <w:lang w:val="es-US"/>
        </w:rPr>
      </w:pPr>
      <w:r w:rsidRPr="00EE2386">
        <w:rPr>
          <w:szCs w:val="20"/>
          <w:lang w:val="es-US"/>
        </w:rPr>
        <w:t xml:space="preserve">En la época de los hechos del caso </w:t>
      </w:r>
      <w:r w:rsidR="00C25E1F" w:rsidRPr="00EE2386">
        <w:rPr>
          <w:szCs w:val="20"/>
          <w:lang w:val="es-US"/>
        </w:rPr>
        <w:t xml:space="preserve">y durante el tiempo en que se llevó adelante la investigación de los mismos, </w:t>
      </w:r>
      <w:r w:rsidRPr="00EE2386">
        <w:rPr>
          <w:szCs w:val="20"/>
          <w:lang w:val="es-US"/>
        </w:rPr>
        <w:t>existía en el Ecuador una jurisdicción penal policial que se encontraba regulada por</w:t>
      </w:r>
      <w:r w:rsidR="00693F90" w:rsidRPr="00EE2386">
        <w:rPr>
          <w:szCs w:val="20"/>
          <w:lang w:val="es-US"/>
        </w:rPr>
        <w:t>:</w:t>
      </w:r>
    </w:p>
    <w:p w14:paraId="3F4B49BC" w14:textId="77777777" w:rsidR="00693F90" w:rsidRPr="00EE2386" w:rsidRDefault="00693F90" w:rsidP="00693F90">
      <w:pPr>
        <w:pStyle w:val="ListParagraph"/>
        <w:numPr>
          <w:ilvl w:val="1"/>
          <w:numId w:val="56"/>
        </w:numPr>
        <w:rPr>
          <w:szCs w:val="20"/>
          <w:lang w:val="es-US"/>
        </w:rPr>
      </w:pPr>
      <w:r w:rsidRPr="00EE2386">
        <w:rPr>
          <w:szCs w:val="20"/>
          <w:lang w:val="es-US"/>
        </w:rPr>
        <w:t>L</w:t>
      </w:r>
      <w:r w:rsidR="004E0633" w:rsidRPr="00EE2386">
        <w:rPr>
          <w:szCs w:val="20"/>
          <w:lang w:val="es-US"/>
        </w:rPr>
        <w:t>a</w:t>
      </w:r>
      <w:r w:rsidR="00C25E1F" w:rsidRPr="00EE2386">
        <w:rPr>
          <w:szCs w:val="20"/>
          <w:lang w:val="es-US"/>
        </w:rPr>
        <w:t>s</w:t>
      </w:r>
      <w:r w:rsidR="004E0633" w:rsidRPr="00EE2386">
        <w:rPr>
          <w:szCs w:val="20"/>
          <w:lang w:val="es-US"/>
        </w:rPr>
        <w:t xml:space="preserve"> Constituci</w:t>
      </w:r>
      <w:r w:rsidR="00C25E1F" w:rsidRPr="00EE2386">
        <w:rPr>
          <w:szCs w:val="20"/>
          <w:lang w:val="es-US"/>
        </w:rPr>
        <w:t>ones</w:t>
      </w:r>
      <w:r w:rsidR="004E0633" w:rsidRPr="00EE2386">
        <w:rPr>
          <w:szCs w:val="20"/>
          <w:lang w:val="es-US"/>
        </w:rPr>
        <w:t xml:space="preserve"> Política</w:t>
      </w:r>
      <w:r w:rsidR="00C25E1F" w:rsidRPr="00EE2386">
        <w:rPr>
          <w:szCs w:val="20"/>
          <w:lang w:val="es-US"/>
        </w:rPr>
        <w:t>s</w:t>
      </w:r>
      <w:r w:rsidR="004E0633" w:rsidRPr="00EE2386">
        <w:rPr>
          <w:szCs w:val="20"/>
          <w:lang w:val="es-US"/>
        </w:rPr>
        <w:t xml:space="preserve"> de </w:t>
      </w:r>
      <w:r w:rsidR="005C2DE7" w:rsidRPr="00EE2386">
        <w:rPr>
          <w:szCs w:val="20"/>
          <w:lang w:val="es-US"/>
        </w:rPr>
        <w:t xml:space="preserve">la República de Ecuador de </w:t>
      </w:r>
      <w:r w:rsidR="00C25E1F" w:rsidRPr="00EE2386">
        <w:rPr>
          <w:szCs w:val="20"/>
          <w:lang w:val="es-US"/>
        </w:rPr>
        <w:t xml:space="preserve">los años </w:t>
      </w:r>
      <w:r w:rsidR="005C2DE7" w:rsidRPr="00EE2386">
        <w:rPr>
          <w:szCs w:val="20"/>
          <w:lang w:val="es-US"/>
        </w:rPr>
        <w:t>1984</w:t>
      </w:r>
      <w:r w:rsidR="005C2DE7" w:rsidRPr="00EE2386">
        <w:rPr>
          <w:rStyle w:val="FootnoteReference"/>
          <w:szCs w:val="20"/>
          <w:lang w:val="es-US"/>
        </w:rPr>
        <w:footnoteReference w:id="3"/>
      </w:r>
      <w:r w:rsidR="00C25E1F" w:rsidRPr="00EE2386">
        <w:rPr>
          <w:szCs w:val="20"/>
          <w:lang w:val="es-US"/>
        </w:rPr>
        <w:t xml:space="preserve"> y 1998</w:t>
      </w:r>
      <w:r w:rsidR="00C25E1F" w:rsidRPr="00EE2386">
        <w:rPr>
          <w:rStyle w:val="FootnoteReference"/>
          <w:szCs w:val="20"/>
          <w:lang w:val="es-US"/>
        </w:rPr>
        <w:footnoteReference w:id="4"/>
      </w:r>
      <w:r w:rsidR="00734A99" w:rsidRPr="00EE2386">
        <w:rPr>
          <w:szCs w:val="20"/>
          <w:lang w:val="es-US"/>
        </w:rPr>
        <w:t xml:space="preserve"> (</w:t>
      </w:r>
      <w:r w:rsidR="00191AF4" w:rsidRPr="00EE2386">
        <w:rPr>
          <w:szCs w:val="20"/>
          <w:lang w:val="es-US"/>
        </w:rPr>
        <w:t xml:space="preserve">derogada el </w:t>
      </w:r>
      <w:r w:rsidR="00734A99" w:rsidRPr="00EE2386">
        <w:rPr>
          <w:szCs w:val="20"/>
          <w:lang w:val="es-US"/>
        </w:rPr>
        <w:t>20 de octubre de 2008);</w:t>
      </w:r>
      <w:r w:rsidR="006B308F" w:rsidRPr="00EE2386">
        <w:rPr>
          <w:szCs w:val="20"/>
          <w:lang w:val="es-US"/>
        </w:rPr>
        <w:t xml:space="preserve"> </w:t>
      </w:r>
    </w:p>
    <w:p w14:paraId="46588870" w14:textId="77777777" w:rsidR="00693F90" w:rsidRPr="00EE2386" w:rsidRDefault="006B308F" w:rsidP="00693F90">
      <w:pPr>
        <w:pStyle w:val="ListParagraph"/>
        <w:numPr>
          <w:ilvl w:val="1"/>
          <w:numId w:val="56"/>
        </w:numPr>
        <w:rPr>
          <w:szCs w:val="20"/>
          <w:lang w:val="es-US"/>
        </w:rPr>
      </w:pPr>
      <w:r w:rsidRPr="00EE2386">
        <w:rPr>
          <w:szCs w:val="20"/>
          <w:lang w:val="es-US"/>
        </w:rPr>
        <w:t>la Ley Orgánica de la Policía Nacional de 1975</w:t>
      </w:r>
      <w:r w:rsidR="00C179F1" w:rsidRPr="00EE2386">
        <w:rPr>
          <w:szCs w:val="20"/>
          <w:lang w:val="es-US"/>
        </w:rPr>
        <w:t xml:space="preserve"> (derogada el 24 de julio de 1998)</w:t>
      </w:r>
      <w:r w:rsidR="00AF2525" w:rsidRPr="00EE2386">
        <w:rPr>
          <w:rStyle w:val="FootnoteReference"/>
          <w:szCs w:val="20"/>
          <w:lang w:val="es-US"/>
        </w:rPr>
        <w:footnoteReference w:id="5"/>
      </w:r>
      <w:r w:rsidR="00734A99" w:rsidRPr="00EE2386">
        <w:rPr>
          <w:szCs w:val="20"/>
          <w:lang w:val="es-US"/>
        </w:rPr>
        <w:t>;</w:t>
      </w:r>
      <w:r w:rsidRPr="00EE2386">
        <w:rPr>
          <w:szCs w:val="20"/>
          <w:lang w:val="es-US"/>
        </w:rPr>
        <w:t xml:space="preserve"> </w:t>
      </w:r>
    </w:p>
    <w:p w14:paraId="4D77140B" w14:textId="77777777" w:rsidR="00693F90" w:rsidRPr="00EE2386" w:rsidRDefault="006B308F" w:rsidP="00693F90">
      <w:pPr>
        <w:pStyle w:val="ListParagraph"/>
        <w:numPr>
          <w:ilvl w:val="1"/>
          <w:numId w:val="56"/>
        </w:numPr>
        <w:rPr>
          <w:szCs w:val="20"/>
          <w:lang w:val="es-US"/>
        </w:rPr>
      </w:pPr>
      <w:r w:rsidRPr="00EE2386">
        <w:rPr>
          <w:szCs w:val="20"/>
          <w:lang w:val="es-US"/>
        </w:rPr>
        <w:t>la Ley de la Función Judicial de la Policía Nacional de 1960</w:t>
      </w:r>
      <w:r w:rsidR="00C179F1" w:rsidRPr="00EE2386">
        <w:rPr>
          <w:szCs w:val="20"/>
          <w:lang w:val="es-US"/>
        </w:rPr>
        <w:t xml:space="preserve"> (derogada el 9 de marzo de 2009)</w:t>
      </w:r>
      <w:r w:rsidR="00AF2525" w:rsidRPr="00EE2386">
        <w:rPr>
          <w:rStyle w:val="FootnoteReference"/>
          <w:szCs w:val="20"/>
          <w:lang w:val="es-US"/>
        </w:rPr>
        <w:footnoteReference w:id="6"/>
      </w:r>
      <w:r w:rsidR="00734A99" w:rsidRPr="00EE2386">
        <w:rPr>
          <w:szCs w:val="20"/>
          <w:lang w:val="es-US"/>
        </w:rPr>
        <w:t>;</w:t>
      </w:r>
      <w:r w:rsidRPr="00EE2386">
        <w:rPr>
          <w:szCs w:val="20"/>
          <w:lang w:val="es-US"/>
        </w:rPr>
        <w:t xml:space="preserve"> </w:t>
      </w:r>
    </w:p>
    <w:p w14:paraId="6C48BE4A" w14:textId="77777777" w:rsidR="00693F90" w:rsidRPr="00EE2386" w:rsidRDefault="006B308F" w:rsidP="00693F90">
      <w:pPr>
        <w:pStyle w:val="ListParagraph"/>
        <w:numPr>
          <w:ilvl w:val="1"/>
          <w:numId w:val="56"/>
        </w:numPr>
        <w:rPr>
          <w:szCs w:val="20"/>
          <w:lang w:val="es-US"/>
        </w:rPr>
      </w:pPr>
      <w:r w:rsidRPr="00EE2386">
        <w:rPr>
          <w:szCs w:val="20"/>
          <w:lang w:val="es-US"/>
        </w:rPr>
        <w:t>el Código Penal de la Policía Civil Nacional</w:t>
      </w:r>
      <w:r w:rsidR="00C179F1" w:rsidRPr="00EE2386">
        <w:rPr>
          <w:szCs w:val="20"/>
          <w:lang w:val="es-US"/>
        </w:rPr>
        <w:t xml:space="preserve"> de 1960 (derogado el 19 de mayo de 2010)</w:t>
      </w:r>
      <w:r w:rsidR="00F03320" w:rsidRPr="00EE2386">
        <w:rPr>
          <w:rStyle w:val="FootnoteReference"/>
          <w:szCs w:val="20"/>
          <w:lang w:val="es-US"/>
        </w:rPr>
        <w:footnoteReference w:id="7"/>
      </w:r>
      <w:r w:rsidR="00734A99" w:rsidRPr="00EE2386">
        <w:rPr>
          <w:szCs w:val="20"/>
          <w:lang w:val="es-US"/>
        </w:rPr>
        <w:t>;</w:t>
      </w:r>
      <w:r w:rsidRPr="00EE2386">
        <w:rPr>
          <w:szCs w:val="20"/>
          <w:lang w:val="es-US"/>
        </w:rPr>
        <w:t xml:space="preserve"> y </w:t>
      </w:r>
    </w:p>
    <w:p w14:paraId="3DB903FC" w14:textId="77777777" w:rsidR="004E0633" w:rsidRPr="00EE2386" w:rsidRDefault="006B308F" w:rsidP="00693F90">
      <w:pPr>
        <w:pStyle w:val="ListParagraph"/>
        <w:numPr>
          <w:ilvl w:val="1"/>
          <w:numId w:val="56"/>
        </w:numPr>
        <w:rPr>
          <w:szCs w:val="20"/>
          <w:lang w:val="es-US"/>
        </w:rPr>
      </w:pPr>
      <w:r w:rsidRPr="00EE2386">
        <w:rPr>
          <w:szCs w:val="20"/>
          <w:lang w:val="es-US"/>
        </w:rPr>
        <w:lastRenderedPageBreak/>
        <w:t>el Código de Procedimiento Penal de la Policía Nacional de 1960</w:t>
      </w:r>
      <w:r w:rsidR="00C179F1" w:rsidRPr="00EE2386">
        <w:rPr>
          <w:szCs w:val="20"/>
          <w:lang w:val="es-US"/>
        </w:rPr>
        <w:t xml:space="preserve"> (derogado el 9 de marzo de 2009)</w:t>
      </w:r>
      <w:r w:rsidR="00F03320" w:rsidRPr="00EE2386">
        <w:rPr>
          <w:rStyle w:val="FootnoteReference"/>
          <w:szCs w:val="20"/>
          <w:lang w:val="es-US"/>
        </w:rPr>
        <w:footnoteReference w:id="8"/>
      </w:r>
      <w:r w:rsidRPr="00EE2386">
        <w:rPr>
          <w:szCs w:val="20"/>
          <w:lang w:val="es-US"/>
        </w:rPr>
        <w:t>.</w:t>
      </w:r>
    </w:p>
    <w:p w14:paraId="7DDAB1FC" w14:textId="77777777" w:rsidR="004E0633" w:rsidRPr="00EE2386" w:rsidRDefault="004E0633" w:rsidP="004E0633">
      <w:pPr>
        <w:pStyle w:val="ListParagraph"/>
        <w:numPr>
          <w:ilvl w:val="0"/>
          <w:numId w:val="0"/>
        </w:numPr>
        <w:rPr>
          <w:szCs w:val="20"/>
          <w:lang w:val="es-US"/>
        </w:rPr>
      </w:pPr>
    </w:p>
    <w:p w14:paraId="49EB0FC6" w14:textId="77777777" w:rsidR="00A40E3B" w:rsidRPr="00EE2386" w:rsidRDefault="002415F1" w:rsidP="00A76FB5">
      <w:pPr>
        <w:pStyle w:val="ListParagraph"/>
        <w:rPr>
          <w:szCs w:val="20"/>
          <w:lang w:val="es-US"/>
        </w:rPr>
      </w:pPr>
      <w:r>
        <w:rPr>
          <w:szCs w:val="20"/>
          <w:lang w:val="es-US"/>
        </w:rPr>
        <w:t>Desde</w:t>
      </w:r>
      <w:r w:rsidR="009122D7" w:rsidRPr="00EE2386">
        <w:rPr>
          <w:szCs w:val="20"/>
          <w:lang w:val="es-US"/>
        </w:rPr>
        <w:t xml:space="preserve"> su informe sobre la situación de los derechos humanos en el Ecuador</w:t>
      </w:r>
      <w:r w:rsidR="00A40E3B" w:rsidRPr="00EE2386">
        <w:rPr>
          <w:szCs w:val="20"/>
          <w:lang w:val="es-US"/>
        </w:rPr>
        <w:t>, de</w:t>
      </w:r>
      <w:r w:rsidR="009122D7" w:rsidRPr="00EE2386">
        <w:rPr>
          <w:szCs w:val="20"/>
          <w:lang w:val="es-US"/>
        </w:rPr>
        <w:t xml:space="preserve"> </w:t>
      </w:r>
      <w:r w:rsidR="00524342" w:rsidRPr="00EE2386">
        <w:rPr>
          <w:szCs w:val="20"/>
          <w:lang w:val="es-US"/>
        </w:rPr>
        <w:t>abril 1997</w:t>
      </w:r>
      <w:r w:rsidR="0059030D" w:rsidRPr="00EE2386">
        <w:rPr>
          <w:szCs w:val="20"/>
          <w:lang w:val="es-US"/>
        </w:rPr>
        <w:t>,</w:t>
      </w:r>
      <w:r w:rsidR="00524342" w:rsidRPr="00EE2386">
        <w:rPr>
          <w:szCs w:val="20"/>
          <w:lang w:val="es-US"/>
        </w:rPr>
        <w:t xml:space="preserve"> </w:t>
      </w:r>
      <w:r w:rsidR="009122D7" w:rsidRPr="00EE2386">
        <w:rPr>
          <w:szCs w:val="20"/>
          <w:lang w:val="es-US"/>
        </w:rPr>
        <w:t xml:space="preserve">la CIDH expresó su preocupación por </w:t>
      </w:r>
      <w:r w:rsidR="0059030D" w:rsidRPr="00EE2386">
        <w:rPr>
          <w:szCs w:val="20"/>
          <w:lang w:val="es-US"/>
        </w:rPr>
        <w:t xml:space="preserve">el grave problema que atravesaba en aquel entonces </w:t>
      </w:r>
      <w:r w:rsidR="009122D7" w:rsidRPr="00EE2386">
        <w:rPr>
          <w:szCs w:val="20"/>
          <w:lang w:val="es-US"/>
        </w:rPr>
        <w:t xml:space="preserve">la </w:t>
      </w:r>
      <w:r w:rsidR="0059030D" w:rsidRPr="00EE2386">
        <w:rPr>
          <w:szCs w:val="20"/>
          <w:lang w:val="es-US"/>
        </w:rPr>
        <w:t xml:space="preserve">administración de justicia en el </w:t>
      </w:r>
      <w:r w:rsidR="005941FC" w:rsidRPr="00EE2386">
        <w:rPr>
          <w:szCs w:val="20"/>
          <w:lang w:val="es-US"/>
        </w:rPr>
        <w:t>país</w:t>
      </w:r>
      <w:r w:rsidR="0059030D" w:rsidRPr="00EE2386">
        <w:rPr>
          <w:szCs w:val="20"/>
          <w:lang w:val="es-US"/>
        </w:rPr>
        <w:t xml:space="preserve">. </w:t>
      </w:r>
      <w:r w:rsidR="00120D58" w:rsidRPr="00EE2386">
        <w:rPr>
          <w:szCs w:val="20"/>
          <w:lang w:val="es-US"/>
        </w:rPr>
        <w:t>En</w:t>
      </w:r>
      <w:r w:rsidR="00E256E9" w:rsidRPr="00EE2386">
        <w:rPr>
          <w:szCs w:val="20"/>
          <w:lang w:val="es-US"/>
        </w:rPr>
        <w:t>tre otros</w:t>
      </w:r>
      <w:r w:rsidR="00120D58" w:rsidRPr="00EE2386">
        <w:rPr>
          <w:szCs w:val="20"/>
          <w:lang w:val="es-US"/>
        </w:rPr>
        <w:t>, destacó que el “sistema judicial no es eficaz en atender las quejas contra la policía y que los miembros de ésta y de las fuerzas de seguridad cometen delitos contra las personas impunemente”</w:t>
      </w:r>
      <w:r w:rsidR="00A40E3B" w:rsidRPr="00EE2386">
        <w:rPr>
          <w:szCs w:val="20"/>
          <w:lang w:val="es-US"/>
        </w:rPr>
        <w:t>. A</w:t>
      </w:r>
      <w:r w:rsidR="00120D58" w:rsidRPr="00EE2386">
        <w:rPr>
          <w:szCs w:val="20"/>
          <w:lang w:val="es-US"/>
        </w:rPr>
        <w:t xml:space="preserve">l mismo tiempo, </w:t>
      </w:r>
      <w:r w:rsidR="00A40E3B" w:rsidRPr="00EE2386">
        <w:rPr>
          <w:szCs w:val="20"/>
          <w:lang w:val="es-US"/>
        </w:rPr>
        <w:t xml:space="preserve">la CIDH constató </w:t>
      </w:r>
      <w:r w:rsidR="00120D58" w:rsidRPr="00EE2386">
        <w:rPr>
          <w:szCs w:val="20"/>
          <w:lang w:val="es-US"/>
        </w:rPr>
        <w:t xml:space="preserve">que existía una mala utilización de </w:t>
      </w:r>
      <w:r w:rsidR="00A40E3B" w:rsidRPr="00EE2386">
        <w:rPr>
          <w:szCs w:val="20"/>
          <w:lang w:val="es-US"/>
        </w:rPr>
        <w:t xml:space="preserve">los </w:t>
      </w:r>
      <w:r w:rsidR="00120D58" w:rsidRPr="00EE2386">
        <w:rPr>
          <w:szCs w:val="20"/>
          <w:lang w:val="es-US"/>
        </w:rPr>
        <w:t>tribunales de jurisdicción especial, ya que la jurisdicción de tribunales policiales y militares no se limitaba solamente a casos que involucraban situaciones de conducta en el ejercicio de las obligaciones de los miembros de tales instituciones, sino que también lidiaban con cargos por delitos comunes, llevando adelante procesos que no eran públicos y con resultados no fácilmente accesibles. </w:t>
      </w:r>
      <w:r w:rsidR="00A40E3B" w:rsidRPr="00EE2386">
        <w:rPr>
          <w:szCs w:val="20"/>
          <w:lang w:val="es-US"/>
        </w:rPr>
        <w:t>En atención a ello, la Comisión recomendó a</w:t>
      </w:r>
      <w:r w:rsidR="0024640D" w:rsidRPr="00EE2386">
        <w:rPr>
          <w:szCs w:val="20"/>
          <w:lang w:val="es-US"/>
        </w:rPr>
        <w:t>l</w:t>
      </w:r>
      <w:r w:rsidR="00A40E3B" w:rsidRPr="00EE2386">
        <w:rPr>
          <w:szCs w:val="20"/>
          <w:lang w:val="es-US"/>
        </w:rPr>
        <w:t xml:space="preserve"> Ecuador adoptar medidas internas para limitar la aplicación de la jurisdicción especial de tribunales policiales o militares</w:t>
      </w:r>
      <w:r w:rsidR="0059030D" w:rsidRPr="00EE2386">
        <w:rPr>
          <w:szCs w:val="20"/>
          <w:lang w:val="es-US"/>
        </w:rPr>
        <w:t>,</w:t>
      </w:r>
      <w:r w:rsidR="00A40E3B" w:rsidRPr="00EE2386">
        <w:rPr>
          <w:szCs w:val="20"/>
          <w:lang w:val="es-US"/>
        </w:rPr>
        <w:t xml:space="preserve"> asegurando que “todos los casos de violaciones de los derechos humanos se sometan a los tribunales ordinarios</w:t>
      </w:r>
      <w:r w:rsidR="009122D7" w:rsidRPr="00EE2386">
        <w:rPr>
          <w:rStyle w:val="FootnoteReference"/>
          <w:szCs w:val="20"/>
          <w:lang w:val="es-US"/>
        </w:rPr>
        <w:footnoteReference w:id="9"/>
      </w:r>
      <w:r w:rsidR="00A40E3B" w:rsidRPr="00EE2386">
        <w:rPr>
          <w:szCs w:val="20"/>
          <w:lang w:val="es-US"/>
        </w:rPr>
        <w:t>.</w:t>
      </w:r>
    </w:p>
    <w:p w14:paraId="59C90940" w14:textId="77777777" w:rsidR="00A40E3B" w:rsidRPr="00EE2386" w:rsidRDefault="00A40E3B" w:rsidP="00A40E3B">
      <w:pPr>
        <w:pStyle w:val="ListParagraph"/>
        <w:numPr>
          <w:ilvl w:val="0"/>
          <w:numId w:val="0"/>
        </w:numPr>
        <w:rPr>
          <w:szCs w:val="20"/>
          <w:lang w:val="es-US"/>
        </w:rPr>
      </w:pPr>
    </w:p>
    <w:p w14:paraId="1074D2CA" w14:textId="77777777" w:rsidR="00547CBA" w:rsidRPr="00EE2386" w:rsidRDefault="005941FC" w:rsidP="00547CBA">
      <w:pPr>
        <w:pStyle w:val="ListParagraph"/>
        <w:rPr>
          <w:szCs w:val="20"/>
          <w:lang w:val="es-US"/>
        </w:rPr>
      </w:pPr>
      <w:r w:rsidRPr="00EE2386">
        <w:rPr>
          <w:szCs w:val="20"/>
          <w:lang w:val="es-US"/>
        </w:rPr>
        <w:t xml:space="preserve">Analizando en concreto la </w:t>
      </w:r>
      <w:r w:rsidR="00490A48" w:rsidRPr="00EE2386">
        <w:rPr>
          <w:szCs w:val="20"/>
          <w:lang w:val="es-US"/>
        </w:rPr>
        <w:t>aplicación</w:t>
      </w:r>
      <w:r w:rsidRPr="00EE2386">
        <w:rPr>
          <w:szCs w:val="20"/>
          <w:lang w:val="es-US"/>
        </w:rPr>
        <w:t xml:space="preserve"> del fuero policial </w:t>
      </w:r>
      <w:r w:rsidR="00490A48" w:rsidRPr="00EE2386">
        <w:rPr>
          <w:szCs w:val="20"/>
          <w:lang w:val="es-US"/>
        </w:rPr>
        <w:t>en</w:t>
      </w:r>
      <w:r w:rsidR="0006603F" w:rsidRPr="00EE2386">
        <w:rPr>
          <w:szCs w:val="20"/>
          <w:lang w:val="es-US"/>
        </w:rPr>
        <w:t xml:space="preserve"> el</w:t>
      </w:r>
      <w:r w:rsidRPr="00EE2386">
        <w:rPr>
          <w:szCs w:val="20"/>
          <w:lang w:val="es-US"/>
        </w:rPr>
        <w:t xml:space="preserve"> Ecuador </w:t>
      </w:r>
      <w:r w:rsidR="00490A48" w:rsidRPr="00EE2386">
        <w:rPr>
          <w:szCs w:val="20"/>
          <w:lang w:val="es-US"/>
        </w:rPr>
        <w:t>a un</w:t>
      </w:r>
      <w:r w:rsidRPr="00EE2386">
        <w:rPr>
          <w:szCs w:val="20"/>
          <w:lang w:val="es-US"/>
        </w:rPr>
        <w:t xml:space="preserve"> caso relacionado con la muerte de</w:t>
      </w:r>
      <w:r w:rsidR="0006603F" w:rsidRPr="00EE2386">
        <w:rPr>
          <w:szCs w:val="20"/>
          <w:lang w:val="es-US"/>
        </w:rPr>
        <w:t xml:space="preserve"> un agente de policía</w:t>
      </w:r>
      <w:r w:rsidR="00490A48" w:rsidRPr="00EE2386">
        <w:rPr>
          <w:szCs w:val="20"/>
          <w:lang w:val="es-US"/>
        </w:rPr>
        <w:t>, en la que los imputados eran también policías</w:t>
      </w:r>
      <w:r w:rsidRPr="00EE2386">
        <w:rPr>
          <w:szCs w:val="20"/>
          <w:lang w:val="es-US"/>
        </w:rPr>
        <w:t>, la CIDH indicó que “la participación de miembros de la policía en funciones jurisdiccionales hace que dicho fuero carezca de salvaguardas de independencia e imparcialidad para conocer de casos que podrían involucrar violaciones de derechos humanos”</w:t>
      </w:r>
      <w:r w:rsidR="00A671BD" w:rsidRPr="00EE2386">
        <w:rPr>
          <w:rStyle w:val="FootnoteReference"/>
          <w:szCs w:val="20"/>
          <w:lang w:val="es-US"/>
        </w:rPr>
        <w:footnoteReference w:id="10"/>
      </w:r>
      <w:r w:rsidR="00490A48" w:rsidRPr="00EE2386">
        <w:rPr>
          <w:szCs w:val="20"/>
          <w:lang w:val="es-US"/>
        </w:rPr>
        <w:t xml:space="preserve">. </w:t>
      </w:r>
      <w:r w:rsidR="0024640D" w:rsidRPr="00EE2386">
        <w:rPr>
          <w:szCs w:val="20"/>
          <w:lang w:val="es-US"/>
        </w:rPr>
        <w:t>Resolviendo ese</w:t>
      </w:r>
      <w:r w:rsidR="00A671BD" w:rsidRPr="00EE2386">
        <w:rPr>
          <w:szCs w:val="20"/>
          <w:lang w:val="es-US"/>
        </w:rPr>
        <w:t xml:space="preserve"> mismo caso, la Corte Interamericana de Derechos Humanos (“Corte” o “Corte Interamericana”)</w:t>
      </w:r>
      <w:r w:rsidR="00547CBA" w:rsidRPr="00EE2386">
        <w:rPr>
          <w:szCs w:val="20"/>
          <w:lang w:val="es-US"/>
        </w:rPr>
        <w:t xml:space="preserve"> concluyó que “la dependencia funcional y administrativa del sistema de justicia policial al Poder Ejecutivo, y la imposibilidad de solicitar una revisión judicial por parte de la jurisdicción ordinaria, no garantizaban la independencia e imparcialidad institucional de la jurisdicción policial”</w:t>
      </w:r>
      <w:r w:rsidR="00547CBA" w:rsidRPr="00EE2386">
        <w:rPr>
          <w:rStyle w:val="FootnoteReference"/>
          <w:szCs w:val="20"/>
          <w:lang w:val="es-US"/>
        </w:rPr>
        <w:footnoteReference w:id="11"/>
      </w:r>
      <w:r w:rsidR="00547CBA" w:rsidRPr="00EE2386">
        <w:rPr>
          <w:szCs w:val="20"/>
          <w:lang w:val="es-US"/>
        </w:rPr>
        <w:t>.</w:t>
      </w:r>
    </w:p>
    <w:p w14:paraId="6CC7507E" w14:textId="77777777" w:rsidR="005941FC" w:rsidRPr="00EE2386" w:rsidRDefault="005941FC" w:rsidP="005941FC">
      <w:pPr>
        <w:pStyle w:val="ListParagraph"/>
        <w:numPr>
          <w:ilvl w:val="0"/>
          <w:numId w:val="0"/>
        </w:numPr>
        <w:rPr>
          <w:szCs w:val="20"/>
          <w:lang w:val="es-US"/>
        </w:rPr>
      </w:pPr>
    </w:p>
    <w:p w14:paraId="3567EC0F" w14:textId="77777777" w:rsidR="00B215D4" w:rsidRPr="00EE2386" w:rsidRDefault="00547CBA" w:rsidP="00F3462C">
      <w:pPr>
        <w:pStyle w:val="ListParagraph"/>
        <w:rPr>
          <w:szCs w:val="20"/>
          <w:lang w:val="es-US"/>
        </w:rPr>
      </w:pPr>
      <w:r w:rsidRPr="00EE2386">
        <w:rPr>
          <w:szCs w:val="20"/>
          <w:lang w:val="es-US"/>
        </w:rPr>
        <w:t xml:space="preserve">La Comisión de la Verdad del Ecuador, </w:t>
      </w:r>
      <w:r w:rsidR="00F3462C" w:rsidRPr="00EE2386">
        <w:rPr>
          <w:szCs w:val="20"/>
          <w:lang w:val="es-US"/>
        </w:rPr>
        <w:t xml:space="preserve">también resaltó que la impunidad por la mayor parte de violaciones de derechos humanos cometidas por elementos policiales </w:t>
      </w:r>
      <w:r w:rsidR="005D1A63" w:rsidRPr="00EE2386">
        <w:rPr>
          <w:szCs w:val="20"/>
          <w:lang w:val="es-US"/>
        </w:rPr>
        <w:t xml:space="preserve">era </w:t>
      </w:r>
      <w:r w:rsidR="00F3462C" w:rsidRPr="00EE2386">
        <w:rPr>
          <w:szCs w:val="20"/>
          <w:lang w:val="es-US"/>
        </w:rPr>
        <w:t xml:space="preserve">posible </w:t>
      </w:r>
      <w:r w:rsidR="005D1A63" w:rsidRPr="00EE2386">
        <w:rPr>
          <w:szCs w:val="20"/>
          <w:lang w:val="es-US"/>
        </w:rPr>
        <w:t>en atención al “</w:t>
      </w:r>
      <w:r w:rsidR="00F3462C" w:rsidRPr="00EE2386">
        <w:rPr>
          <w:szCs w:val="20"/>
          <w:lang w:val="es-US"/>
        </w:rPr>
        <w:t>mantenimiento de fueros especiales que han permitido que policías y militares sean juzgados en sus propios tribunales”</w:t>
      </w:r>
      <w:r w:rsidR="005D1A63" w:rsidRPr="00EE2386">
        <w:rPr>
          <w:szCs w:val="20"/>
          <w:lang w:val="es-US"/>
        </w:rPr>
        <w:t xml:space="preserve"> y debido a</w:t>
      </w:r>
      <w:r w:rsidR="00F3462C" w:rsidRPr="00EE2386">
        <w:rPr>
          <w:szCs w:val="20"/>
          <w:lang w:val="es-US"/>
        </w:rPr>
        <w:t xml:space="preserve"> que “se ha mantenido un espíritu de cuerpo que ha sido el principal obstáculo para que se descubra la verdad y se haga justicia”</w:t>
      </w:r>
      <w:r w:rsidR="00F3462C" w:rsidRPr="00EE2386">
        <w:rPr>
          <w:rStyle w:val="FootnoteReference"/>
          <w:szCs w:val="20"/>
          <w:lang w:val="es-US"/>
        </w:rPr>
        <w:footnoteReference w:id="12"/>
      </w:r>
      <w:r w:rsidR="00F3462C" w:rsidRPr="00EE2386">
        <w:rPr>
          <w:szCs w:val="20"/>
          <w:lang w:val="es-US"/>
        </w:rPr>
        <w:t xml:space="preserve">. En términos similares, </w:t>
      </w:r>
      <w:r w:rsidR="00A76FB5" w:rsidRPr="00EE2386">
        <w:rPr>
          <w:szCs w:val="20"/>
          <w:lang w:val="es-US"/>
        </w:rPr>
        <w:t>Amnistía Internacional</w:t>
      </w:r>
      <w:r w:rsidR="002A56FD" w:rsidRPr="00EE2386">
        <w:rPr>
          <w:szCs w:val="20"/>
          <w:lang w:val="es-US"/>
        </w:rPr>
        <w:t xml:space="preserve"> manifestó su</w:t>
      </w:r>
      <w:r w:rsidR="0006603F" w:rsidRPr="00EE2386">
        <w:rPr>
          <w:szCs w:val="20"/>
          <w:lang w:val="es-US"/>
        </w:rPr>
        <w:t xml:space="preserve"> preocupación por</w:t>
      </w:r>
      <w:r w:rsidR="008F53FE" w:rsidRPr="00EE2386">
        <w:rPr>
          <w:szCs w:val="20"/>
          <w:lang w:val="es-US"/>
        </w:rPr>
        <w:t xml:space="preserve"> </w:t>
      </w:r>
      <w:r w:rsidR="006E39EA" w:rsidRPr="00EE2386">
        <w:rPr>
          <w:szCs w:val="20"/>
          <w:lang w:val="es-US"/>
        </w:rPr>
        <w:t>que causas relativas a violaciones de derechos humanos fueran transmitidas a instancias policiales en el Ecuador, indicando que esto implicaba asegurar que los acusados gozaran de impunidad</w:t>
      </w:r>
      <w:r w:rsidR="005B07CA" w:rsidRPr="00EE2386">
        <w:rPr>
          <w:szCs w:val="20"/>
          <w:lang w:val="es-US"/>
        </w:rPr>
        <w:t xml:space="preserve">, lo que se demostraba por </w:t>
      </w:r>
      <w:r w:rsidR="009474A4" w:rsidRPr="00EE2386">
        <w:rPr>
          <w:szCs w:val="20"/>
          <w:lang w:val="es-US"/>
        </w:rPr>
        <w:t xml:space="preserve">el </w:t>
      </w:r>
      <w:r w:rsidR="005B07CA" w:rsidRPr="00EE2386">
        <w:rPr>
          <w:szCs w:val="20"/>
          <w:lang w:val="es-US"/>
        </w:rPr>
        <w:t>“sinnúmero de casos de torturas, desaparición forzada y ejecución sumaria en los que no ha habido</w:t>
      </w:r>
      <w:r w:rsidR="00937A06" w:rsidRPr="00EE2386">
        <w:rPr>
          <w:szCs w:val="20"/>
          <w:lang w:val="es-US"/>
        </w:rPr>
        <w:t xml:space="preserve"> una </w:t>
      </w:r>
      <w:r w:rsidR="00937A06" w:rsidRPr="00EE2386">
        <w:rPr>
          <w:szCs w:val="20"/>
          <w:lang w:val="es-US"/>
        </w:rPr>
        <w:lastRenderedPageBreak/>
        <w:t>investigación completa e independiente</w:t>
      </w:r>
      <w:r w:rsidR="00E256E9" w:rsidRPr="00EE2386">
        <w:rPr>
          <w:szCs w:val="20"/>
          <w:lang w:val="es-US"/>
        </w:rPr>
        <w:t>”</w:t>
      </w:r>
      <w:r w:rsidR="00937A06" w:rsidRPr="00EE2386">
        <w:rPr>
          <w:rStyle w:val="FootnoteReference"/>
          <w:szCs w:val="20"/>
          <w:lang w:val="es-US"/>
        </w:rPr>
        <w:footnoteReference w:id="13"/>
      </w:r>
      <w:r w:rsidR="00D61FBE" w:rsidRPr="00EE2386">
        <w:rPr>
          <w:szCs w:val="20"/>
          <w:lang w:val="es-US"/>
        </w:rPr>
        <w:t xml:space="preserve">. </w:t>
      </w:r>
      <w:r w:rsidR="007D73BE" w:rsidRPr="00EE2386">
        <w:rPr>
          <w:szCs w:val="20"/>
          <w:lang w:val="es-US"/>
        </w:rPr>
        <w:t>Además</w:t>
      </w:r>
      <w:r w:rsidR="00E256E9" w:rsidRPr="00EE2386">
        <w:rPr>
          <w:szCs w:val="20"/>
          <w:lang w:val="es-US"/>
        </w:rPr>
        <w:t>,</w:t>
      </w:r>
      <w:r w:rsidR="007D73BE" w:rsidRPr="00EE2386">
        <w:rPr>
          <w:szCs w:val="20"/>
          <w:lang w:val="es-US"/>
        </w:rPr>
        <w:t xml:space="preserve"> indicó </w:t>
      </w:r>
      <w:r w:rsidR="00C04D7B" w:rsidRPr="00EE2386">
        <w:rPr>
          <w:szCs w:val="20"/>
          <w:lang w:val="es-US"/>
        </w:rPr>
        <w:t>existía un</w:t>
      </w:r>
      <w:r w:rsidR="0001555E" w:rsidRPr="00EE2386">
        <w:rPr>
          <w:szCs w:val="20"/>
          <w:lang w:val="es-US"/>
        </w:rPr>
        <w:t xml:space="preserve"> mal entendido</w:t>
      </w:r>
      <w:r w:rsidR="00C04D7B" w:rsidRPr="00EE2386">
        <w:rPr>
          <w:szCs w:val="20"/>
          <w:lang w:val="es-US"/>
        </w:rPr>
        <w:t xml:space="preserve"> “espíritu de cuerpo” en el fuero policial que se traducía en el encubrimiento e ilícita protección a los efectivos policiales involucrados en delitos, </w:t>
      </w:r>
      <w:r w:rsidR="007D73BE" w:rsidRPr="00EE2386">
        <w:rPr>
          <w:szCs w:val="20"/>
          <w:lang w:val="es-US"/>
        </w:rPr>
        <w:t>los que con frecuencia evadían una investigación y juzgamiento imparcial y efectivo</w:t>
      </w:r>
      <w:r w:rsidR="007D73BE" w:rsidRPr="00EE2386">
        <w:rPr>
          <w:rStyle w:val="FootnoteReference"/>
          <w:szCs w:val="20"/>
          <w:lang w:val="es-US"/>
        </w:rPr>
        <w:footnoteReference w:id="14"/>
      </w:r>
      <w:r w:rsidR="007D73BE" w:rsidRPr="00EE2386">
        <w:rPr>
          <w:szCs w:val="20"/>
          <w:lang w:val="es-US"/>
        </w:rPr>
        <w:t xml:space="preserve">. </w:t>
      </w:r>
    </w:p>
    <w:p w14:paraId="6ED7BFB5" w14:textId="77777777" w:rsidR="0043693B" w:rsidRPr="00EE2386" w:rsidRDefault="0043693B" w:rsidP="0043693B">
      <w:pPr>
        <w:pStyle w:val="ListParagraph"/>
        <w:numPr>
          <w:ilvl w:val="0"/>
          <w:numId w:val="0"/>
        </w:numPr>
        <w:rPr>
          <w:szCs w:val="20"/>
          <w:lang w:val="es-US"/>
        </w:rPr>
      </w:pPr>
    </w:p>
    <w:p w14:paraId="65E26ECC" w14:textId="77777777" w:rsidR="0043693B" w:rsidRPr="00EE2386" w:rsidRDefault="0043693B" w:rsidP="00A76FB5">
      <w:pPr>
        <w:pStyle w:val="ListParagraph"/>
        <w:rPr>
          <w:szCs w:val="20"/>
          <w:lang w:val="es-US"/>
        </w:rPr>
      </w:pPr>
      <w:r w:rsidRPr="00EE2386">
        <w:rPr>
          <w:szCs w:val="20"/>
          <w:lang w:val="es-US"/>
        </w:rPr>
        <w:t xml:space="preserve">En el año 2008 </w:t>
      </w:r>
      <w:r w:rsidR="004E0633" w:rsidRPr="00EE2386">
        <w:rPr>
          <w:szCs w:val="20"/>
          <w:lang w:val="es-US"/>
        </w:rPr>
        <w:t xml:space="preserve">el </w:t>
      </w:r>
      <w:r w:rsidRPr="00EE2386">
        <w:rPr>
          <w:szCs w:val="20"/>
          <w:lang w:val="es-US"/>
        </w:rPr>
        <w:t xml:space="preserve">Ecuador adoptó una nueva constitución mediante la cual </w:t>
      </w:r>
      <w:r w:rsidR="004E0633" w:rsidRPr="00EE2386">
        <w:rPr>
          <w:szCs w:val="20"/>
          <w:lang w:val="es-US"/>
        </w:rPr>
        <w:t xml:space="preserve">se </w:t>
      </w:r>
      <w:r w:rsidRPr="00EE2386">
        <w:rPr>
          <w:szCs w:val="20"/>
          <w:lang w:val="es-US"/>
        </w:rPr>
        <w:t>derog</w:t>
      </w:r>
      <w:r w:rsidR="0006603F" w:rsidRPr="00EE2386">
        <w:rPr>
          <w:szCs w:val="20"/>
          <w:lang w:val="es-US"/>
        </w:rPr>
        <w:t>ó</w:t>
      </w:r>
      <w:r w:rsidRPr="00EE2386">
        <w:rPr>
          <w:szCs w:val="20"/>
          <w:lang w:val="es-US"/>
        </w:rPr>
        <w:t xml:space="preserve"> el fuero policial</w:t>
      </w:r>
      <w:r w:rsidR="004E0633" w:rsidRPr="00EE2386">
        <w:rPr>
          <w:rStyle w:val="FootnoteReference"/>
          <w:szCs w:val="20"/>
          <w:lang w:val="es-US"/>
        </w:rPr>
        <w:footnoteReference w:id="15"/>
      </w:r>
      <w:r w:rsidRPr="00EE2386">
        <w:rPr>
          <w:szCs w:val="20"/>
          <w:lang w:val="es-US"/>
        </w:rPr>
        <w:t>.</w:t>
      </w:r>
    </w:p>
    <w:p w14:paraId="3AC1859D" w14:textId="77777777" w:rsidR="002A5CF8" w:rsidRPr="00EE2386" w:rsidRDefault="002A5CF8" w:rsidP="002A5CF8">
      <w:pPr>
        <w:pStyle w:val="Heading2"/>
        <w:numPr>
          <w:ilvl w:val="0"/>
          <w:numId w:val="0"/>
        </w:numPr>
        <w:ind w:left="927"/>
        <w:rPr>
          <w:szCs w:val="20"/>
          <w:lang w:val="es-US"/>
        </w:rPr>
      </w:pPr>
    </w:p>
    <w:p w14:paraId="2D2FBB64" w14:textId="77777777" w:rsidR="00A4478F" w:rsidRPr="00EE2386" w:rsidRDefault="002A5CF8" w:rsidP="008A05FF">
      <w:pPr>
        <w:pStyle w:val="Heading2"/>
        <w:numPr>
          <w:ilvl w:val="0"/>
          <w:numId w:val="60"/>
        </w:numPr>
        <w:rPr>
          <w:szCs w:val="20"/>
          <w:lang w:val="es-US"/>
        </w:rPr>
      </w:pPr>
      <w:bookmarkStart w:id="10" w:name="_Toc35966084"/>
      <w:r w:rsidRPr="00EE2386">
        <w:rPr>
          <w:szCs w:val="20"/>
          <w:lang w:val="es-US"/>
        </w:rPr>
        <w:t>Hechos del caso</w:t>
      </w:r>
      <w:bookmarkEnd w:id="10"/>
      <w:r w:rsidR="008A078F" w:rsidRPr="00EE2386">
        <w:rPr>
          <w:szCs w:val="20"/>
          <w:lang w:val="es-US"/>
        </w:rPr>
        <w:t xml:space="preserve"> </w:t>
      </w:r>
    </w:p>
    <w:p w14:paraId="1B34BFA0" w14:textId="77777777" w:rsidR="000A7746" w:rsidRPr="00EE2386" w:rsidRDefault="000A7746" w:rsidP="000A7746">
      <w:pPr>
        <w:rPr>
          <w:rFonts w:ascii="Cambria" w:hAnsi="Cambria"/>
          <w:sz w:val="20"/>
          <w:szCs w:val="20"/>
          <w:lang w:val="es-ES_tradnl"/>
        </w:rPr>
      </w:pPr>
    </w:p>
    <w:p w14:paraId="51A81DDD" w14:textId="77777777" w:rsidR="00FC3C2C" w:rsidRPr="00EE2386" w:rsidRDefault="00237A4E" w:rsidP="00AE4992">
      <w:pPr>
        <w:pStyle w:val="ListParagraph"/>
        <w:rPr>
          <w:szCs w:val="20"/>
          <w:lang w:val="es-US"/>
        </w:rPr>
      </w:pPr>
      <w:r>
        <w:rPr>
          <w:szCs w:val="20"/>
          <w:lang w:val="es-US"/>
        </w:rPr>
        <w:t>El</w:t>
      </w:r>
      <w:r w:rsidR="00FC3C2C" w:rsidRPr="00EE2386">
        <w:rPr>
          <w:szCs w:val="20"/>
          <w:lang w:val="es-US"/>
        </w:rPr>
        <w:t xml:space="preserve"> sábado 1 de marzo de 1997</w:t>
      </w:r>
      <w:r w:rsidR="007D52CE" w:rsidRPr="00EE2386">
        <w:rPr>
          <w:szCs w:val="20"/>
          <w:lang w:val="es-US"/>
        </w:rPr>
        <w:t xml:space="preserve"> en horas de la noche</w:t>
      </w:r>
      <w:r w:rsidR="003F6A62" w:rsidRPr="00EE2386">
        <w:rPr>
          <w:szCs w:val="20"/>
          <w:lang w:val="es-US"/>
        </w:rPr>
        <w:t>,</w:t>
      </w:r>
      <w:r w:rsidR="009379F3" w:rsidRPr="00EE2386">
        <w:rPr>
          <w:szCs w:val="20"/>
          <w:lang w:val="es-US"/>
        </w:rPr>
        <w:t xml:space="preserve"> Aníbal Alonzo Aguas Acosta</w:t>
      </w:r>
      <w:r w:rsidR="002369D5" w:rsidRPr="00EE2386">
        <w:rPr>
          <w:szCs w:val="20"/>
          <w:lang w:val="es-US"/>
        </w:rPr>
        <w:t>, quien</w:t>
      </w:r>
      <w:r w:rsidR="009379F3" w:rsidRPr="00EE2386">
        <w:rPr>
          <w:szCs w:val="20"/>
          <w:lang w:val="es-US"/>
        </w:rPr>
        <w:t xml:space="preserve"> se encontraba en estado de ebriedad</w:t>
      </w:r>
      <w:r w:rsidR="002369D5" w:rsidRPr="00EE2386">
        <w:rPr>
          <w:szCs w:val="20"/>
          <w:lang w:val="es-US"/>
        </w:rPr>
        <w:t>,</w:t>
      </w:r>
      <w:r w:rsidR="002E5B02" w:rsidRPr="00EE2386">
        <w:rPr>
          <w:szCs w:val="20"/>
          <w:lang w:val="es-US"/>
        </w:rPr>
        <w:t xml:space="preserve"> realizó ciertos daños en el local comercial </w:t>
      </w:r>
      <w:r w:rsidR="009379F3" w:rsidRPr="00EE2386">
        <w:rPr>
          <w:szCs w:val="20"/>
          <w:lang w:val="es-US"/>
        </w:rPr>
        <w:t xml:space="preserve">“Barnuevo” de la ciudad de Machala, </w:t>
      </w:r>
      <w:r w:rsidR="002E5B02" w:rsidRPr="00EE2386">
        <w:rPr>
          <w:szCs w:val="20"/>
          <w:lang w:val="es-US"/>
        </w:rPr>
        <w:t xml:space="preserve">Provincia de El Oro, </w:t>
      </w:r>
      <w:r w:rsidR="009379F3" w:rsidRPr="00EE2386">
        <w:rPr>
          <w:szCs w:val="20"/>
          <w:lang w:val="es-US"/>
        </w:rPr>
        <w:t>Ecuador</w:t>
      </w:r>
      <w:r w:rsidR="003F6A62" w:rsidRPr="00EE2386">
        <w:rPr>
          <w:szCs w:val="20"/>
          <w:lang w:val="es-US"/>
        </w:rPr>
        <w:t>. Ante el llamado de los dueños del local</w:t>
      </w:r>
      <w:r w:rsidR="009379F3" w:rsidRPr="00EE2386">
        <w:rPr>
          <w:szCs w:val="20"/>
          <w:lang w:val="es-US"/>
        </w:rPr>
        <w:t xml:space="preserve">, </w:t>
      </w:r>
      <w:r w:rsidR="003F6A62" w:rsidRPr="00EE2386">
        <w:rPr>
          <w:szCs w:val="20"/>
          <w:lang w:val="es-US"/>
        </w:rPr>
        <w:t xml:space="preserve">acudió </w:t>
      </w:r>
      <w:r w:rsidR="002369D5" w:rsidRPr="00EE2386">
        <w:rPr>
          <w:szCs w:val="20"/>
          <w:lang w:val="es-US"/>
        </w:rPr>
        <w:t>el patrullero Sierra 2 conducido por el Cbo</w:t>
      </w:r>
      <w:r w:rsidR="00947239" w:rsidRPr="00EE2386">
        <w:rPr>
          <w:szCs w:val="20"/>
          <w:lang w:val="es-US"/>
        </w:rPr>
        <w:t>S</w:t>
      </w:r>
      <w:r w:rsidR="002369D5" w:rsidRPr="00EE2386">
        <w:rPr>
          <w:szCs w:val="20"/>
          <w:lang w:val="es-US"/>
        </w:rPr>
        <w:t>. Julio Alcivar Sandoval Torres, acompañado por el Jefe de Patrulla, Sgto</w:t>
      </w:r>
      <w:r w:rsidR="00947239" w:rsidRPr="00EE2386">
        <w:rPr>
          <w:szCs w:val="20"/>
          <w:lang w:val="es-US"/>
        </w:rPr>
        <w:t>P</w:t>
      </w:r>
      <w:r w:rsidR="002369D5" w:rsidRPr="00EE2386">
        <w:rPr>
          <w:szCs w:val="20"/>
          <w:lang w:val="es-US"/>
        </w:rPr>
        <w:t xml:space="preserve">. José Evergisto Salazar. Al </w:t>
      </w:r>
      <w:r w:rsidR="002E5B02" w:rsidRPr="00EE2386">
        <w:rPr>
          <w:szCs w:val="20"/>
          <w:lang w:val="es-US"/>
        </w:rPr>
        <w:t>no poder detener a Aníbal Aguas</w:t>
      </w:r>
      <w:r w:rsidR="008D2D61">
        <w:rPr>
          <w:szCs w:val="20"/>
          <w:lang w:val="es-US"/>
        </w:rPr>
        <w:t>, quien ya se encontraba fuera del local,</w:t>
      </w:r>
      <w:r w:rsidR="002369D5" w:rsidRPr="00EE2386">
        <w:rPr>
          <w:szCs w:val="20"/>
          <w:lang w:val="es-US"/>
        </w:rPr>
        <w:t xml:space="preserve"> debido a su resistencia, los policías pid</w:t>
      </w:r>
      <w:r w:rsidR="002E5B02" w:rsidRPr="00EE2386">
        <w:rPr>
          <w:szCs w:val="20"/>
          <w:lang w:val="es-US"/>
        </w:rPr>
        <w:t>ieron</w:t>
      </w:r>
      <w:r w:rsidR="002369D5" w:rsidRPr="00EE2386">
        <w:rPr>
          <w:szCs w:val="20"/>
          <w:lang w:val="es-US"/>
        </w:rPr>
        <w:t xml:space="preserve"> refuerzos</w:t>
      </w:r>
      <w:r w:rsidR="006A2371" w:rsidRPr="00EE2386">
        <w:rPr>
          <w:szCs w:val="20"/>
          <w:lang w:val="es-US"/>
        </w:rPr>
        <w:t xml:space="preserve"> </w:t>
      </w:r>
      <w:r w:rsidR="00963F26" w:rsidRPr="00EE2386">
        <w:rPr>
          <w:szCs w:val="20"/>
          <w:lang w:val="es-US"/>
        </w:rPr>
        <w:t xml:space="preserve">y </w:t>
      </w:r>
      <w:r w:rsidR="002369D5" w:rsidRPr="00EE2386">
        <w:rPr>
          <w:szCs w:val="20"/>
          <w:lang w:val="es-US"/>
        </w:rPr>
        <w:t>lleg</w:t>
      </w:r>
      <w:r w:rsidR="006A2371" w:rsidRPr="00EE2386">
        <w:rPr>
          <w:szCs w:val="20"/>
          <w:lang w:val="es-US"/>
        </w:rPr>
        <w:t>aron</w:t>
      </w:r>
      <w:r w:rsidR="002E5B02" w:rsidRPr="00EE2386">
        <w:rPr>
          <w:szCs w:val="20"/>
          <w:lang w:val="es-US"/>
        </w:rPr>
        <w:t xml:space="preserve"> </w:t>
      </w:r>
      <w:r w:rsidR="002369D5" w:rsidRPr="00EE2386">
        <w:rPr>
          <w:szCs w:val="20"/>
          <w:lang w:val="es-US"/>
        </w:rPr>
        <w:t>al lugar</w:t>
      </w:r>
      <w:r w:rsidR="00DE1FFB" w:rsidRPr="00EE2386">
        <w:rPr>
          <w:szCs w:val="20"/>
          <w:lang w:val="es-US"/>
        </w:rPr>
        <w:t xml:space="preserve"> los patrulleros Sierra 1 y X-3</w:t>
      </w:r>
      <w:r w:rsidR="006A2371" w:rsidRPr="00EE2386">
        <w:rPr>
          <w:szCs w:val="20"/>
          <w:lang w:val="es-US"/>
        </w:rPr>
        <w:t>,</w:t>
      </w:r>
      <w:r w:rsidR="00DE1FFB" w:rsidRPr="00EE2386">
        <w:rPr>
          <w:szCs w:val="20"/>
          <w:lang w:val="es-US"/>
        </w:rPr>
        <w:t xml:space="preserve"> con un contingente formado por </w:t>
      </w:r>
      <w:r w:rsidR="002E5B02" w:rsidRPr="00EE2386">
        <w:rPr>
          <w:szCs w:val="20"/>
          <w:lang w:val="es-US"/>
        </w:rPr>
        <w:t>el Tte</w:t>
      </w:r>
      <w:r w:rsidR="00947239" w:rsidRPr="00EE2386">
        <w:rPr>
          <w:szCs w:val="20"/>
          <w:lang w:val="es-US"/>
        </w:rPr>
        <w:t>.</w:t>
      </w:r>
      <w:r w:rsidR="002E5B02" w:rsidRPr="00EE2386">
        <w:rPr>
          <w:szCs w:val="20"/>
          <w:lang w:val="es-US"/>
        </w:rPr>
        <w:t xml:space="preserve"> Henry </w:t>
      </w:r>
      <w:r w:rsidR="009F39B5" w:rsidRPr="00EE2386">
        <w:rPr>
          <w:szCs w:val="20"/>
          <w:lang w:val="es-US"/>
        </w:rPr>
        <w:t xml:space="preserve">Omar </w:t>
      </w:r>
      <w:r w:rsidR="002E5B02" w:rsidRPr="00EE2386">
        <w:rPr>
          <w:szCs w:val="20"/>
          <w:lang w:val="es-US"/>
        </w:rPr>
        <w:t>Martínez Pico, el Cbo</w:t>
      </w:r>
      <w:r w:rsidR="00947239" w:rsidRPr="00EE2386">
        <w:rPr>
          <w:szCs w:val="20"/>
          <w:lang w:val="es-US"/>
        </w:rPr>
        <w:t>S.</w:t>
      </w:r>
      <w:r w:rsidR="002E5B02" w:rsidRPr="00EE2386">
        <w:rPr>
          <w:szCs w:val="20"/>
          <w:lang w:val="es-US"/>
        </w:rPr>
        <w:t xml:space="preserve"> Oliv</w:t>
      </w:r>
      <w:r w:rsidR="00B8755E" w:rsidRPr="00EE2386">
        <w:rPr>
          <w:szCs w:val="20"/>
          <w:lang w:val="es-US"/>
        </w:rPr>
        <w:t>e</w:t>
      </w:r>
      <w:r w:rsidR="002E5B02" w:rsidRPr="00EE2386">
        <w:rPr>
          <w:szCs w:val="20"/>
          <w:lang w:val="es-US"/>
        </w:rPr>
        <w:t>r</w:t>
      </w:r>
      <w:r w:rsidR="00B8755E" w:rsidRPr="00EE2386">
        <w:rPr>
          <w:szCs w:val="20"/>
          <w:lang w:val="es-US"/>
        </w:rPr>
        <w:t xml:space="preserve"> Stail</w:t>
      </w:r>
      <w:r w:rsidR="002E5B02" w:rsidRPr="00EE2386">
        <w:rPr>
          <w:szCs w:val="20"/>
          <w:lang w:val="es-US"/>
        </w:rPr>
        <w:t xml:space="preserve"> Quichimbo</w:t>
      </w:r>
      <w:r w:rsidR="002369D5" w:rsidRPr="00EE2386">
        <w:rPr>
          <w:szCs w:val="20"/>
          <w:lang w:val="es-US"/>
        </w:rPr>
        <w:t xml:space="preserve">y, </w:t>
      </w:r>
      <w:r w:rsidR="002E5B02" w:rsidRPr="00EE2386">
        <w:rPr>
          <w:szCs w:val="20"/>
          <w:lang w:val="es-US"/>
        </w:rPr>
        <w:t>el Sgto</w:t>
      </w:r>
      <w:r w:rsidR="00947239" w:rsidRPr="00EE2386">
        <w:rPr>
          <w:szCs w:val="20"/>
          <w:lang w:val="es-US"/>
        </w:rPr>
        <w:t>S</w:t>
      </w:r>
      <w:r w:rsidR="002E5B02" w:rsidRPr="00EE2386">
        <w:rPr>
          <w:szCs w:val="20"/>
          <w:lang w:val="es-US"/>
        </w:rPr>
        <w:t>. Julio</w:t>
      </w:r>
      <w:r w:rsidR="00B8755E" w:rsidRPr="00EE2386">
        <w:rPr>
          <w:szCs w:val="20"/>
          <w:lang w:val="es-US"/>
        </w:rPr>
        <w:t xml:space="preserve"> Gilberto</w:t>
      </w:r>
      <w:r w:rsidR="002E5B02" w:rsidRPr="00EE2386">
        <w:rPr>
          <w:szCs w:val="20"/>
          <w:lang w:val="es-US"/>
        </w:rPr>
        <w:t xml:space="preserve"> Fajardo</w:t>
      </w:r>
      <w:r w:rsidR="00B8755E" w:rsidRPr="00EE2386">
        <w:rPr>
          <w:szCs w:val="20"/>
          <w:lang w:val="es-US"/>
        </w:rPr>
        <w:t xml:space="preserve"> Cabrera</w:t>
      </w:r>
      <w:r w:rsidR="002E5B02" w:rsidRPr="00EE2386">
        <w:rPr>
          <w:szCs w:val="20"/>
          <w:lang w:val="es-US"/>
        </w:rPr>
        <w:t xml:space="preserve">, el </w:t>
      </w:r>
      <w:r w:rsidR="00947239" w:rsidRPr="00EE2386">
        <w:rPr>
          <w:szCs w:val="20"/>
          <w:lang w:val="es-US"/>
        </w:rPr>
        <w:t>P.N.  Mario Luisa Gallo y el C</w:t>
      </w:r>
      <w:r w:rsidR="002E5B02" w:rsidRPr="00EE2386">
        <w:rPr>
          <w:szCs w:val="20"/>
          <w:lang w:val="es-US"/>
        </w:rPr>
        <w:t>bo</w:t>
      </w:r>
      <w:r w:rsidR="00947239" w:rsidRPr="00EE2386">
        <w:rPr>
          <w:szCs w:val="20"/>
          <w:lang w:val="es-US"/>
        </w:rPr>
        <w:t>S</w:t>
      </w:r>
      <w:r w:rsidR="002E5B02" w:rsidRPr="00EE2386">
        <w:rPr>
          <w:szCs w:val="20"/>
          <w:lang w:val="es-US"/>
        </w:rPr>
        <w:t>. Pedro Isaac Elizalde</w:t>
      </w:r>
      <w:r w:rsidR="009F39B5" w:rsidRPr="00EE2386">
        <w:rPr>
          <w:szCs w:val="20"/>
          <w:lang w:val="es-US"/>
        </w:rPr>
        <w:t xml:space="preserve"> Sánchez</w:t>
      </w:r>
      <w:r w:rsidR="002E5B02" w:rsidRPr="00EE2386">
        <w:rPr>
          <w:szCs w:val="20"/>
          <w:lang w:val="es-US"/>
        </w:rPr>
        <w:t xml:space="preserve">. Este contingente policial </w:t>
      </w:r>
      <w:r w:rsidR="00344DE6" w:rsidRPr="00EE2386">
        <w:rPr>
          <w:szCs w:val="20"/>
          <w:lang w:val="es-US"/>
        </w:rPr>
        <w:t>logró</w:t>
      </w:r>
      <w:r w:rsidR="002E5B02" w:rsidRPr="00EE2386">
        <w:rPr>
          <w:szCs w:val="20"/>
          <w:lang w:val="es-US"/>
        </w:rPr>
        <w:t xml:space="preserve"> someter a </w:t>
      </w:r>
      <w:r w:rsidR="003F6A62" w:rsidRPr="00EE2386">
        <w:rPr>
          <w:szCs w:val="20"/>
          <w:lang w:val="es-US"/>
        </w:rPr>
        <w:t>Aníbal</w:t>
      </w:r>
      <w:r w:rsidR="002E5B02" w:rsidRPr="00EE2386">
        <w:rPr>
          <w:szCs w:val="20"/>
          <w:lang w:val="es-US"/>
        </w:rPr>
        <w:t xml:space="preserve"> Aguas</w:t>
      </w:r>
      <w:r w:rsidR="003F6A62" w:rsidRPr="00EE2386">
        <w:rPr>
          <w:szCs w:val="20"/>
          <w:lang w:val="es-US"/>
        </w:rPr>
        <w:t xml:space="preserve"> y subirlo a la fuerza al patrullero</w:t>
      </w:r>
      <w:r w:rsidR="002E5B02" w:rsidRPr="00EE2386">
        <w:rPr>
          <w:szCs w:val="20"/>
          <w:lang w:val="es-US"/>
        </w:rPr>
        <w:t xml:space="preserve"> Sierra 2</w:t>
      </w:r>
      <w:r w:rsidR="003F6A62" w:rsidRPr="00EE2386">
        <w:rPr>
          <w:szCs w:val="20"/>
          <w:lang w:val="es-US"/>
        </w:rPr>
        <w:t>.</w:t>
      </w:r>
      <w:r w:rsidR="006A2371" w:rsidRPr="00EE2386">
        <w:rPr>
          <w:szCs w:val="20"/>
          <w:lang w:val="es-US"/>
        </w:rPr>
        <w:t xml:space="preserve"> Durante el forcejeo</w:t>
      </w:r>
      <w:r w:rsidR="00963F26" w:rsidRPr="00EE2386">
        <w:rPr>
          <w:szCs w:val="20"/>
          <w:lang w:val="es-US"/>
        </w:rPr>
        <w:t>,</w:t>
      </w:r>
      <w:r w:rsidR="006A2371" w:rsidRPr="00EE2386">
        <w:rPr>
          <w:szCs w:val="20"/>
          <w:lang w:val="es-US"/>
        </w:rPr>
        <w:t xml:space="preserve"> y luego cuando se encontraba ya dentro del patrullero</w:t>
      </w:r>
      <w:r w:rsidR="00963F26" w:rsidRPr="00EE2386">
        <w:rPr>
          <w:szCs w:val="20"/>
          <w:lang w:val="es-US"/>
        </w:rPr>
        <w:t>,</w:t>
      </w:r>
      <w:r w:rsidR="006A2371" w:rsidRPr="00EE2386">
        <w:rPr>
          <w:szCs w:val="20"/>
          <w:lang w:val="es-US"/>
        </w:rPr>
        <w:t xml:space="preserve"> Aníbal Aguas se aferró a su esposa, </w:t>
      </w:r>
      <w:r w:rsidR="00963F26" w:rsidRPr="00EE2386">
        <w:rPr>
          <w:szCs w:val="20"/>
          <w:lang w:val="es-US"/>
        </w:rPr>
        <w:t xml:space="preserve">Estela Gaona, </w:t>
      </w:r>
      <w:r w:rsidR="00344DE6" w:rsidRPr="00EE2386">
        <w:rPr>
          <w:szCs w:val="20"/>
          <w:lang w:val="es-US"/>
        </w:rPr>
        <w:t>abrazándola</w:t>
      </w:r>
      <w:r w:rsidR="00D53DB7">
        <w:rPr>
          <w:szCs w:val="20"/>
          <w:lang w:val="es-US"/>
        </w:rPr>
        <w:t xml:space="preserve">, </w:t>
      </w:r>
      <w:r w:rsidR="006A2371" w:rsidRPr="00EE2386">
        <w:rPr>
          <w:szCs w:val="20"/>
          <w:lang w:val="es-US"/>
        </w:rPr>
        <w:t xml:space="preserve">pidiendo </w:t>
      </w:r>
      <w:r w:rsidR="00D53DB7">
        <w:rPr>
          <w:szCs w:val="20"/>
          <w:lang w:val="es-US"/>
        </w:rPr>
        <w:t xml:space="preserve">ésta </w:t>
      </w:r>
      <w:r w:rsidR="006A2371" w:rsidRPr="00EE2386">
        <w:rPr>
          <w:szCs w:val="20"/>
          <w:lang w:val="es-US"/>
        </w:rPr>
        <w:t>que no lo detuvieran</w:t>
      </w:r>
      <w:r w:rsidR="008A6E5E">
        <w:rPr>
          <w:szCs w:val="20"/>
          <w:lang w:val="es-US"/>
        </w:rPr>
        <w:t xml:space="preserve"> y ofreciendo cubrir los gastos por los destrozos del local</w:t>
      </w:r>
      <w:r w:rsidR="006A2371" w:rsidRPr="00EE2386">
        <w:rPr>
          <w:szCs w:val="20"/>
          <w:lang w:val="es-US"/>
        </w:rPr>
        <w:t>.</w:t>
      </w:r>
      <w:r w:rsidR="003F6A62" w:rsidRPr="00EE2386">
        <w:rPr>
          <w:szCs w:val="20"/>
          <w:lang w:val="es-US"/>
        </w:rPr>
        <w:t xml:space="preserve"> </w:t>
      </w:r>
      <w:r w:rsidR="006A2371" w:rsidRPr="00EE2386">
        <w:rPr>
          <w:szCs w:val="20"/>
          <w:lang w:val="es-US"/>
        </w:rPr>
        <w:t>El patrullero Sierra 2</w:t>
      </w:r>
      <w:r w:rsidR="006A2371" w:rsidRPr="00EE2386">
        <w:rPr>
          <w:rFonts w:eastAsia="Times New Roman" w:cs="Times New Roman"/>
          <w:color w:val="auto"/>
          <w:szCs w:val="20"/>
          <w:bdr w:val="none" w:sz="0" w:space="0" w:color="auto"/>
          <w:lang w:val="es-US" w:eastAsia="en-US"/>
        </w:rPr>
        <w:t xml:space="preserve"> y sus policías</w:t>
      </w:r>
      <w:r w:rsidR="006A2371" w:rsidRPr="00EE2386">
        <w:rPr>
          <w:szCs w:val="20"/>
          <w:lang w:val="es-US"/>
        </w:rPr>
        <w:t xml:space="preserve"> Julio Alcivar Sandoval Torres y José Evergisto Salazar se retiraron del lugar, portando a Aníbal Aguas consciente y aún con vida. Sin embargo, a</w:t>
      </w:r>
      <w:r w:rsidR="003F6A62" w:rsidRPr="00EE2386">
        <w:rPr>
          <w:szCs w:val="20"/>
          <w:lang w:val="es-US"/>
        </w:rPr>
        <w:t xml:space="preserve">l llegar al </w:t>
      </w:r>
      <w:r w:rsidR="00A21399" w:rsidRPr="00EE2386">
        <w:rPr>
          <w:szCs w:val="20"/>
          <w:lang w:val="es-US"/>
        </w:rPr>
        <w:t>c</w:t>
      </w:r>
      <w:r w:rsidR="003F6A62" w:rsidRPr="00EE2386">
        <w:rPr>
          <w:szCs w:val="20"/>
          <w:lang w:val="es-US"/>
        </w:rPr>
        <w:t>uartel</w:t>
      </w:r>
      <w:r w:rsidR="00A21399" w:rsidRPr="00EE2386">
        <w:rPr>
          <w:szCs w:val="20"/>
          <w:lang w:val="es-US"/>
        </w:rPr>
        <w:t xml:space="preserve"> de policía </w:t>
      </w:r>
      <w:r w:rsidR="003F6A62" w:rsidRPr="00EE2386">
        <w:rPr>
          <w:szCs w:val="20"/>
          <w:lang w:val="es-US"/>
        </w:rPr>
        <w:t xml:space="preserve">Aníbal </w:t>
      </w:r>
      <w:r w:rsidR="001147A2" w:rsidRPr="00EE2386">
        <w:rPr>
          <w:szCs w:val="20"/>
          <w:lang w:val="es-US"/>
        </w:rPr>
        <w:t xml:space="preserve">Aguas </w:t>
      </w:r>
      <w:r w:rsidR="00963F26" w:rsidRPr="00EE2386">
        <w:rPr>
          <w:szCs w:val="20"/>
          <w:lang w:val="es-US"/>
        </w:rPr>
        <w:t>se encontraba inconsciente</w:t>
      </w:r>
      <w:r w:rsidR="00096C79">
        <w:rPr>
          <w:szCs w:val="20"/>
          <w:lang w:val="es-US"/>
        </w:rPr>
        <w:t>,</w:t>
      </w:r>
      <w:r w:rsidR="006B4510">
        <w:rPr>
          <w:szCs w:val="20"/>
          <w:lang w:val="es-US"/>
        </w:rPr>
        <w:t xml:space="preserve"> </w:t>
      </w:r>
      <w:r w:rsidR="0009377E">
        <w:rPr>
          <w:szCs w:val="20"/>
          <w:lang w:val="es-US"/>
        </w:rPr>
        <w:t>lo</w:t>
      </w:r>
      <w:r w:rsidR="006B4510">
        <w:rPr>
          <w:szCs w:val="20"/>
          <w:lang w:val="es-US"/>
        </w:rPr>
        <w:t xml:space="preserve"> </w:t>
      </w:r>
      <w:r w:rsidR="0009377E">
        <w:rPr>
          <w:szCs w:val="20"/>
          <w:lang w:val="es-US"/>
        </w:rPr>
        <w:t>bajaron del vehículo</w:t>
      </w:r>
      <w:r w:rsidR="00576755">
        <w:rPr>
          <w:szCs w:val="20"/>
          <w:lang w:val="es-US"/>
        </w:rPr>
        <w:t>, lo recostaron en el piso</w:t>
      </w:r>
      <w:r w:rsidR="00963F26" w:rsidRPr="00EE2386">
        <w:rPr>
          <w:szCs w:val="20"/>
          <w:lang w:val="es-US"/>
        </w:rPr>
        <w:t xml:space="preserve"> y </w:t>
      </w:r>
      <w:r w:rsidR="003F6A62" w:rsidRPr="00EE2386">
        <w:rPr>
          <w:szCs w:val="20"/>
          <w:lang w:val="es-US"/>
        </w:rPr>
        <w:t>no reaccion</w:t>
      </w:r>
      <w:r w:rsidR="00A21399" w:rsidRPr="00EE2386">
        <w:rPr>
          <w:szCs w:val="20"/>
          <w:lang w:val="es-US"/>
        </w:rPr>
        <w:t>ó</w:t>
      </w:r>
      <w:r w:rsidR="00DD2CF2" w:rsidRPr="00EE2386">
        <w:rPr>
          <w:szCs w:val="20"/>
          <w:lang w:val="es-US"/>
        </w:rPr>
        <w:t xml:space="preserve">, </w:t>
      </w:r>
      <w:r w:rsidR="00930043" w:rsidRPr="00EE2386">
        <w:rPr>
          <w:szCs w:val="20"/>
          <w:lang w:val="es-US"/>
        </w:rPr>
        <w:t>le lanza</w:t>
      </w:r>
      <w:r w:rsidR="00DD2CF2" w:rsidRPr="00EE2386">
        <w:rPr>
          <w:szCs w:val="20"/>
          <w:lang w:val="es-US"/>
        </w:rPr>
        <w:t>ron agua en la</w:t>
      </w:r>
      <w:r w:rsidR="00930043" w:rsidRPr="00EE2386">
        <w:rPr>
          <w:szCs w:val="20"/>
          <w:lang w:val="es-US"/>
        </w:rPr>
        <w:t xml:space="preserve"> cabeza</w:t>
      </w:r>
      <w:r w:rsidR="006B4510">
        <w:rPr>
          <w:szCs w:val="20"/>
          <w:lang w:val="es-US"/>
        </w:rPr>
        <w:t xml:space="preserve"> para lavar la sangre y </w:t>
      </w:r>
      <w:r w:rsidR="00096C79">
        <w:rPr>
          <w:szCs w:val="20"/>
          <w:lang w:val="es-US"/>
        </w:rPr>
        <w:t xml:space="preserve">luego </w:t>
      </w:r>
      <w:r w:rsidR="003F6A62" w:rsidRPr="00EE2386">
        <w:rPr>
          <w:szCs w:val="20"/>
          <w:lang w:val="es-US"/>
        </w:rPr>
        <w:t>fue trasladado al hospital donde se constató su muerte</w:t>
      </w:r>
      <w:r w:rsidR="00A21399" w:rsidRPr="00EE2386">
        <w:rPr>
          <w:szCs w:val="20"/>
          <w:lang w:val="es-US"/>
        </w:rPr>
        <w:t xml:space="preserve"> </w:t>
      </w:r>
      <w:r w:rsidR="000C2CA2" w:rsidRPr="00EE2386">
        <w:rPr>
          <w:szCs w:val="20"/>
          <w:lang w:val="es-US"/>
        </w:rPr>
        <w:t xml:space="preserve">dentro del mismo patrullero </w:t>
      </w:r>
      <w:r w:rsidR="00344DE6" w:rsidRPr="00EE2386">
        <w:rPr>
          <w:szCs w:val="20"/>
          <w:lang w:val="es-US"/>
        </w:rPr>
        <w:t xml:space="preserve">por dos auxiliares de enfermería, luego de lo cual fue </w:t>
      </w:r>
      <w:r w:rsidR="003F6A62" w:rsidRPr="00EE2386">
        <w:rPr>
          <w:szCs w:val="20"/>
          <w:lang w:val="es-US"/>
        </w:rPr>
        <w:t xml:space="preserve">trasladado a la morgue del Cementerio </w:t>
      </w:r>
      <w:r w:rsidR="00573F7D" w:rsidRPr="00EE2386">
        <w:rPr>
          <w:szCs w:val="20"/>
          <w:lang w:val="es-US"/>
        </w:rPr>
        <w:t>General por l</w:t>
      </w:r>
      <w:r w:rsidR="00344DE6" w:rsidRPr="00EE2386">
        <w:rPr>
          <w:rFonts w:eastAsia="Times New Roman" w:cs="Times New Roman"/>
          <w:color w:val="auto"/>
          <w:szCs w:val="20"/>
          <w:bdr w:val="none" w:sz="0" w:space="0" w:color="auto"/>
          <w:lang w:val="es-US" w:eastAsia="en-US"/>
        </w:rPr>
        <w:t xml:space="preserve">os mismos </w:t>
      </w:r>
      <w:r w:rsidR="00344DE6" w:rsidRPr="00EE2386">
        <w:rPr>
          <w:szCs w:val="20"/>
          <w:lang w:val="es-US"/>
        </w:rPr>
        <w:t>policías</w:t>
      </w:r>
      <w:r w:rsidR="00A21399" w:rsidRPr="00EE2386">
        <w:rPr>
          <w:rStyle w:val="FootnoteReference"/>
          <w:szCs w:val="20"/>
          <w:lang w:val="es-US"/>
        </w:rPr>
        <w:footnoteReference w:id="16"/>
      </w:r>
      <w:r w:rsidR="00A21399" w:rsidRPr="00EE2386">
        <w:rPr>
          <w:szCs w:val="20"/>
          <w:lang w:val="es-US"/>
        </w:rPr>
        <w:t>.</w:t>
      </w:r>
    </w:p>
    <w:p w14:paraId="398E7EBA" w14:textId="77777777" w:rsidR="00FC3C2C" w:rsidRPr="00EE2386" w:rsidRDefault="00FC3C2C" w:rsidP="00FC3C2C">
      <w:pPr>
        <w:pStyle w:val="ListParagraph"/>
        <w:numPr>
          <w:ilvl w:val="0"/>
          <w:numId w:val="0"/>
        </w:numPr>
        <w:rPr>
          <w:szCs w:val="20"/>
          <w:lang w:val="es-US"/>
        </w:rPr>
      </w:pPr>
    </w:p>
    <w:p w14:paraId="2AA07E70" w14:textId="77777777" w:rsidR="00C836AB" w:rsidRPr="00EE2386" w:rsidRDefault="008D2000" w:rsidP="00AE4992">
      <w:pPr>
        <w:pStyle w:val="ListParagraph"/>
        <w:rPr>
          <w:szCs w:val="20"/>
          <w:lang w:val="es-US"/>
        </w:rPr>
      </w:pPr>
      <w:r w:rsidRPr="00EE2386">
        <w:rPr>
          <w:szCs w:val="20"/>
          <w:lang w:val="es-US"/>
        </w:rPr>
        <w:t>Consta de</w:t>
      </w:r>
      <w:r w:rsidR="008461CF" w:rsidRPr="00EE2386">
        <w:rPr>
          <w:szCs w:val="20"/>
          <w:lang w:val="es-US"/>
        </w:rPr>
        <w:t xml:space="preserve"> Protocolo de Autopsia</w:t>
      </w:r>
      <w:r w:rsidR="0074608E" w:rsidRPr="00EE2386">
        <w:rPr>
          <w:szCs w:val="20"/>
          <w:lang w:val="es-US"/>
        </w:rPr>
        <w:t>,</w:t>
      </w:r>
      <w:r w:rsidR="008461CF" w:rsidRPr="00EE2386">
        <w:rPr>
          <w:szCs w:val="20"/>
          <w:lang w:val="es-US"/>
        </w:rPr>
        <w:t xml:space="preserve"> </w:t>
      </w:r>
      <w:r w:rsidR="0074608E" w:rsidRPr="00EE2386">
        <w:rPr>
          <w:szCs w:val="20"/>
          <w:lang w:val="es-US"/>
        </w:rPr>
        <w:t>realizada a las 14:00 horas de</w:t>
      </w:r>
      <w:r w:rsidR="00930043" w:rsidRPr="00EE2386">
        <w:rPr>
          <w:szCs w:val="20"/>
          <w:lang w:val="es-US"/>
        </w:rPr>
        <w:t>l</w:t>
      </w:r>
      <w:r w:rsidR="00FF53DF" w:rsidRPr="00EE2386">
        <w:rPr>
          <w:szCs w:val="20"/>
          <w:lang w:val="es-US"/>
        </w:rPr>
        <w:t xml:space="preserve"> </w:t>
      </w:r>
      <w:r w:rsidRPr="00EE2386">
        <w:rPr>
          <w:szCs w:val="20"/>
          <w:lang w:val="es-US"/>
        </w:rPr>
        <w:t xml:space="preserve">2 de marzo de 1997, que Aníbal Aguas </w:t>
      </w:r>
      <w:r w:rsidR="00B76E83" w:rsidRPr="00EE2386">
        <w:rPr>
          <w:szCs w:val="20"/>
          <w:lang w:val="es-US"/>
        </w:rPr>
        <w:t xml:space="preserve">falleció víctima de </w:t>
      </w:r>
      <w:r w:rsidR="008461CF" w:rsidRPr="00EE2386">
        <w:rPr>
          <w:szCs w:val="20"/>
          <w:lang w:val="es-US"/>
        </w:rPr>
        <w:t xml:space="preserve">una </w:t>
      </w:r>
      <w:r w:rsidR="00B76E83" w:rsidRPr="00EE2386">
        <w:rPr>
          <w:szCs w:val="20"/>
          <w:lang w:val="es-PE"/>
        </w:rPr>
        <w:t>“hemorragia bulboprotuberancial y cerebelosa más luxación de articulación occipito atloidea por traumatismos recibidos (trauma cráneo encefálico)”, habiéndose constatado múltiples lesiones en su cabeza, cuello, tórax, miembros superiores, cavidad craneana, cavidad torácica y cavidad abdominal</w:t>
      </w:r>
      <w:r w:rsidR="00B76E83" w:rsidRPr="00EE2386">
        <w:rPr>
          <w:rStyle w:val="FootnoteReference"/>
          <w:szCs w:val="20"/>
          <w:lang w:val="es-PE"/>
        </w:rPr>
        <w:footnoteReference w:id="17"/>
      </w:r>
      <w:r w:rsidR="00B76E83" w:rsidRPr="00EE2386">
        <w:rPr>
          <w:szCs w:val="20"/>
          <w:lang w:val="es-PE"/>
        </w:rPr>
        <w:t xml:space="preserve">. </w:t>
      </w:r>
      <w:r w:rsidR="008D5A66" w:rsidRPr="00EE2386">
        <w:rPr>
          <w:szCs w:val="20"/>
          <w:lang w:val="es-PE"/>
        </w:rPr>
        <w:t xml:space="preserve">El </w:t>
      </w:r>
      <w:r w:rsidR="008D5A66" w:rsidRPr="00EE2386">
        <w:rPr>
          <w:szCs w:val="20"/>
          <w:lang w:val="es-PE"/>
        </w:rPr>
        <w:lastRenderedPageBreak/>
        <w:t xml:space="preserve">estado del cadáver fue también reportado por la prensa escrita </w:t>
      </w:r>
      <w:r w:rsidR="00371B47">
        <w:rPr>
          <w:szCs w:val="20"/>
          <w:lang w:val="es-PE"/>
        </w:rPr>
        <w:t>la que</w:t>
      </w:r>
      <w:r w:rsidR="000C2CA2" w:rsidRPr="00EE2386">
        <w:rPr>
          <w:szCs w:val="20"/>
          <w:lang w:val="es-PE"/>
        </w:rPr>
        <w:t>,</w:t>
      </w:r>
      <w:r w:rsidR="008D5A66" w:rsidRPr="00EE2386">
        <w:rPr>
          <w:szCs w:val="20"/>
          <w:lang w:val="es-PE"/>
        </w:rPr>
        <w:t xml:space="preserve"> publicando fotografías</w:t>
      </w:r>
      <w:r w:rsidR="000C2CA2" w:rsidRPr="00EE2386">
        <w:rPr>
          <w:szCs w:val="20"/>
          <w:lang w:val="es-PE"/>
        </w:rPr>
        <w:t>,</w:t>
      </w:r>
      <w:r w:rsidR="008D5A66" w:rsidRPr="00EE2386">
        <w:rPr>
          <w:szCs w:val="20"/>
          <w:lang w:val="es-PE"/>
        </w:rPr>
        <w:t xml:space="preserve"> indicó que presentaba “huellas de violento castigo físico”</w:t>
      </w:r>
      <w:r w:rsidR="008D5A66" w:rsidRPr="00EE2386">
        <w:rPr>
          <w:rStyle w:val="FootnoteReference"/>
          <w:szCs w:val="20"/>
          <w:lang w:val="es-PE"/>
        </w:rPr>
        <w:footnoteReference w:id="18"/>
      </w:r>
      <w:r w:rsidR="008D5A66" w:rsidRPr="00EE2386">
        <w:rPr>
          <w:szCs w:val="20"/>
          <w:lang w:val="es-PE"/>
        </w:rPr>
        <w:t xml:space="preserve">. </w:t>
      </w:r>
      <w:r w:rsidR="000C2CA2" w:rsidRPr="00EE2386">
        <w:rPr>
          <w:szCs w:val="20"/>
          <w:lang w:val="es-PE"/>
        </w:rPr>
        <w:t xml:space="preserve">De los procedimientos judiciales se desprende </w:t>
      </w:r>
      <w:r w:rsidR="0006603F" w:rsidRPr="00EE2386">
        <w:rPr>
          <w:szCs w:val="20"/>
          <w:lang w:val="es-PE"/>
        </w:rPr>
        <w:t xml:space="preserve">además </w:t>
      </w:r>
      <w:r w:rsidR="000C2CA2" w:rsidRPr="00EE2386">
        <w:rPr>
          <w:szCs w:val="20"/>
          <w:lang w:val="es-PE"/>
        </w:rPr>
        <w:t>que</w:t>
      </w:r>
      <w:r w:rsidR="006A40DE" w:rsidRPr="00EE2386">
        <w:rPr>
          <w:szCs w:val="20"/>
          <w:lang w:val="es-PE"/>
        </w:rPr>
        <w:t>,</w:t>
      </w:r>
      <w:r w:rsidR="000C2CA2" w:rsidRPr="00EE2386">
        <w:rPr>
          <w:szCs w:val="20"/>
          <w:lang w:val="es-PE"/>
        </w:rPr>
        <w:t xml:space="preserve"> </w:t>
      </w:r>
      <w:r w:rsidR="006A40DE" w:rsidRPr="00EE2386">
        <w:rPr>
          <w:szCs w:val="20"/>
          <w:lang w:val="es-PE"/>
        </w:rPr>
        <w:t xml:space="preserve">en sus </w:t>
      </w:r>
      <w:r w:rsidR="000C2CA2" w:rsidRPr="00EE2386">
        <w:rPr>
          <w:szCs w:val="20"/>
          <w:lang w:val="es-PE"/>
        </w:rPr>
        <w:t>testimonios</w:t>
      </w:r>
      <w:r w:rsidR="006A40DE" w:rsidRPr="00EE2386">
        <w:rPr>
          <w:szCs w:val="20"/>
          <w:lang w:val="es-PE"/>
        </w:rPr>
        <w:t>,</w:t>
      </w:r>
      <w:r w:rsidR="000C2CA2" w:rsidRPr="00EE2386">
        <w:rPr>
          <w:szCs w:val="20"/>
          <w:lang w:val="es-PE"/>
        </w:rPr>
        <w:t xml:space="preserve"> los médicos que practicaron la </w:t>
      </w:r>
      <w:r w:rsidR="006A40DE" w:rsidRPr="00EE2386">
        <w:rPr>
          <w:szCs w:val="20"/>
          <w:lang w:val="es-PE"/>
        </w:rPr>
        <w:t xml:space="preserve">autopsia indicaron </w:t>
      </w:r>
      <w:r w:rsidR="0006603F" w:rsidRPr="00EE2386">
        <w:rPr>
          <w:szCs w:val="20"/>
          <w:lang w:val="es-PE"/>
        </w:rPr>
        <w:t xml:space="preserve">expresamente </w:t>
      </w:r>
      <w:r w:rsidR="006A40DE" w:rsidRPr="00EE2386">
        <w:rPr>
          <w:szCs w:val="20"/>
          <w:lang w:val="es-PE"/>
        </w:rPr>
        <w:t>que</w:t>
      </w:r>
      <w:r w:rsidR="0006603F" w:rsidRPr="00EE2386">
        <w:rPr>
          <w:szCs w:val="20"/>
          <w:lang w:val="es-PE"/>
        </w:rPr>
        <w:t xml:space="preserve"> el cadáver de</w:t>
      </w:r>
      <w:r w:rsidR="006A40DE" w:rsidRPr="00EE2386">
        <w:rPr>
          <w:szCs w:val="20"/>
          <w:lang w:val="es-PE"/>
        </w:rPr>
        <w:t xml:space="preserve"> Aníbal Aguas “estaba ‘desnucado’ o sea, separada la cabeza del cuerpo”</w:t>
      </w:r>
      <w:r w:rsidR="006A40DE" w:rsidRPr="00EE2386">
        <w:rPr>
          <w:rStyle w:val="FootnoteReference"/>
          <w:szCs w:val="20"/>
          <w:lang w:val="es-PE"/>
        </w:rPr>
        <w:footnoteReference w:id="19"/>
      </w:r>
      <w:r w:rsidR="00930043" w:rsidRPr="00EE2386">
        <w:rPr>
          <w:szCs w:val="20"/>
          <w:lang w:val="es-PE"/>
        </w:rPr>
        <w:t>.</w:t>
      </w:r>
    </w:p>
    <w:p w14:paraId="6A1F527F" w14:textId="77777777" w:rsidR="00C836AB" w:rsidRPr="00EE2386" w:rsidRDefault="00C836AB" w:rsidP="00C836AB">
      <w:pPr>
        <w:pStyle w:val="ListParagraph"/>
        <w:numPr>
          <w:ilvl w:val="0"/>
          <w:numId w:val="0"/>
        </w:numPr>
        <w:rPr>
          <w:szCs w:val="20"/>
          <w:lang w:val="es-US"/>
        </w:rPr>
      </w:pPr>
    </w:p>
    <w:p w14:paraId="4EACBABC" w14:textId="77777777" w:rsidR="00FC6747" w:rsidRPr="00EE2386" w:rsidRDefault="0006603F" w:rsidP="00AE4992">
      <w:pPr>
        <w:pStyle w:val="ListParagraph"/>
        <w:rPr>
          <w:szCs w:val="20"/>
          <w:lang w:val="es-US"/>
        </w:rPr>
      </w:pPr>
      <w:r w:rsidRPr="00EE2386">
        <w:rPr>
          <w:szCs w:val="20"/>
          <w:lang w:val="es-PE"/>
        </w:rPr>
        <w:t>E</w:t>
      </w:r>
      <w:r w:rsidR="008461CF" w:rsidRPr="00EE2386">
        <w:rPr>
          <w:szCs w:val="20"/>
          <w:lang w:val="es-PE"/>
        </w:rPr>
        <w:t xml:space="preserve">n </w:t>
      </w:r>
      <w:r w:rsidR="00F24549" w:rsidRPr="00EE2386">
        <w:rPr>
          <w:szCs w:val="20"/>
          <w:lang w:val="es-PE"/>
        </w:rPr>
        <w:t>e</w:t>
      </w:r>
      <w:r w:rsidR="00FC3C2C" w:rsidRPr="00EE2386">
        <w:rPr>
          <w:szCs w:val="20"/>
          <w:lang w:val="es-PE"/>
        </w:rPr>
        <w:t xml:space="preserve">l informe policial </w:t>
      </w:r>
      <w:r w:rsidR="00F24549" w:rsidRPr="00EE2386">
        <w:rPr>
          <w:szCs w:val="20"/>
          <w:lang w:val="es-PE"/>
        </w:rPr>
        <w:t>respectivo</w:t>
      </w:r>
      <w:r w:rsidR="008D5A66" w:rsidRPr="00EE2386">
        <w:rPr>
          <w:szCs w:val="20"/>
          <w:lang w:val="es-PE"/>
        </w:rPr>
        <w:t>,</w:t>
      </w:r>
      <w:r w:rsidR="008461CF" w:rsidRPr="00EE2386">
        <w:rPr>
          <w:szCs w:val="20"/>
          <w:lang w:val="es-PE"/>
        </w:rPr>
        <w:t xml:space="preserve"> </w:t>
      </w:r>
      <w:r w:rsidR="00607462" w:rsidRPr="00EE2386">
        <w:rPr>
          <w:szCs w:val="20"/>
          <w:lang w:val="es-PE"/>
        </w:rPr>
        <w:t xml:space="preserve">de </w:t>
      </w:r>
      <w:r w:rsidR="008D5A66" w:rsidRPr="00EE2386">
        <w:rPr>
          <w:szCs w:val="20"/>
          <w:lang w:val="es-PE"/>
        </w:rPr>
        <w:t xml:space="preserve">fecha </w:t>
      </w:r>
      <w:r w:rsidR="00607462" w:rsidRPr="00EE2386">
        <w:rPr>
          <w:szCs w:val="20"/>
          <w:lang w:val="es-PE"/>
        </w:rPr>
        <w:t xml:space="preserve">3 de marzo de 1997, </w:t>
      </w:r>
      <w:r w:rsidR="00930043" w:rsidRPr="00EE2386">
        <w:rPr>
          <w:szCs w:val="20"/>
          <w:lang w:val="es-US"/>
        </w:rPr>
        <w:t xml:space="preserve">suscrito por el Teniente Power Loza Moscoso, </w:t>
      </w:r>
      <w:r w:rsidR="00947239" w:rsidRPr="00EE2386">
        <w:rPr>
          <w:szCs w:val="20"/>
          <w:lang w:val="es-US"/>
        </w:rPr>
        <w:t xml:space="preserve">quien </w:t>
      </w:r>
      <w:r w:rsidR="00930043" w:rsidRPr="00EE2386">
        <w:rPr>
          <w:szCs w:val="20"/>
          <w:lang w:val="es-US"/>
        </w:rPr>
        <w:t>indic</w:t>
      </w:r>
      <w:r w:rsidR="00947239" w:rsidRPr="00EE2386">
        <w:rPr>
          <w:szCs w:val="20"/>
          <w:lang w:val="es-US"/>
        </w:rPr>
        <w:t>ó</w:t>
      </w:r>
      <w:r w:rsidR="00930043" w:rsidRPr="00EE2386">
        <w:rPr>
          <w:szCs w:val="20"/>
          <w:lang w:val="es-US"/>
        </w:rPr>
        <w:t xml:space="preserve"> haber </w:t>
      </w:r>
      <w:r w:rsidR="00976A9F" w:rsidRPr="00EE2386">
        <w:rPr>
          <w:szCs w:val="20"/>
          <w:lang w:val="es-US"/>
        </w:rPr>
        <w:t>recibido partes policiales</w:t>
      </w:r>
      <w:r w:rsidR="00AB2AF0" w:rsidRPr="00EE2386">
        <w:rPr>
          <w:rStyle w:val="FootnoteReference"/>
          <w:szCs w:val="20"/>
          <w:lang w:val="es-US"/>
        </w:rPr>
        <w:footnoteReference w:id="20"/>
      </w:r>
      <w:r w:rsidR="00976A9F" w:rsidRPr="00EE2386">
        <w:rPr>
          <w:szCs w:val="20"/>
          <w:lang w:val="es-US"/>
        </w:rPr>
        <w:t xml:space="preserve">, </w:t>
      </w:r>
      <w:r w:rsidR="00930043" w:rsidRPr="00EE2386">
        <w:rPr>
          <w:szCs w:val="20"/>
          <w:lang w:val="es-US"/>
        </w:rPr>
        <w:t>entrevistado a los uniformados</w:t>
      </w:r>
      <w:r w:rsidR="00DE697E" w:rsidRPr="00EE2386">
        <w:rPr>
          <w:rStyle w:val="FootnoteReference"/>
          <w:szCs w:val="20"/>
          <w:lang w:val="es-US"/>
        </w:rPr>
        <w:footnoteReference w:id="21"/>
      </w:r>
      <w:r w:rsidR="00930043" w:rsidRPr="00EE2386">
        <w:rPr>
          <w:szCs w:val="20"/>
          <w:lang w:val="es-US"/>
        </w:rPr>
        <w:t xml:space="preserve">, </w:t>
      </w:r>
      <w:r w:rsidR="00976A9F" w:rsidRPr="00EE2386">
        <w:rPr>
          <w:szCs w:val="20"/>
          <w:lang w:val="es-US"/>
        </w:rPr>
        <w:t xml:space="preserve">a </w:t>
      </w:r>
      <w:r w:rsidR="00930043" w:rsidRPr="00EE2386">
        <w:rPr>
          <w:szCs w:val="20"/>
          <w:lang w:val="es-US"/>
        </w:rPr>
        <w:t>civiles</w:t>
      </w:r>
      <w:r w:rsidR="00DE697E" w:rsidRPr="00EE2386">
        <w:rPr>
          <w:rStyle w:val="FootnoteReference"/>
          <w:szCs w:val="20"/>
          <w:lang w:val="es-US"/>
        </w:rPr>
        <w:footnoteReference w:id="22"/>
      </w:r>
      <w:r w:rsidR="00930043" w:rsidRPr="00EE2386">
        <w:rPr>
          <w:szCs w:val="20"/>
          <w:lang w:val="es-US"/>
        </w:rPr>
        <w:t xml:space="preserve"> </w:t>
      </w:r>
      <w:r w:rsidR="00976A9F" w:rsidRPr="00EE2386">
        <w:rPr>
          <w:szCs w:val="20"/>
          <w:lang w:val="es-US"/>
        </w:rPr>
        <w:t>y las auxiliares de enfermería</w:t>
      </w:r>
      <w:r w:rsidR="00DE697E" w:rsidRPr="00EE2386">
        <w:rPr>
          <w:rStyle w:val="FootnoteReference"/>
          <w:szCs w:val="20"/>
          <w:lang w:val="es-US"/>
        </w:rPr>
        <w:footnoteReference w:id="23"/>
      </w:r>
      <w:r w:rsidR="00930043" w:rsidRPr="00EE2386">
        <w:rPr>
          <w:szCs w:val="20"/>
          <w:lang w:val="es-US"/>
        </w:rPr>
        <w:t xml:space="preserve"> </w:t>
      </w:r>
      <w:r w:rsidR="00976A9F" w:rsidRPr="00EE2386">
        <w:rPr>
          <w:szCs w:val="20"/>
          <w:lang w:val="es-US"/>
        </w:rPr>
        <w:t>y haber inspeccionado el patrullero y la acera de entrada a la Prevención de Policía</w:t>
      </w:r>
      <w:r w:rsidR="00C65C92" w:rsidRPr="00EE2386">
        <w:rPr>
          <w:szCs w:val="20"/>
          <w:lang w:val="es-US"/>
        </w:rPr>
        <w:t>, de lo que</w:t>
      </w:r>
      <w:r w:rsidR="00976A9F" w:rsidRPr="00EE2386">
        <w:rPr>
          <w:szCs w:val="20"/>
          <w:lang w:val="es-US"/>
        </w:rPr>
        <w:t xml:space="preserve"> </w:t>
      </w:r>
      <w:r w:rsidR="008461CF" w:rsidRPr="00EE2386">
        <w:rPr>
          <w:szCs w:val="20"/>
          <w:lang w:val="es-PE"/>
        </w:rPr>
        <w:t>con</w:t>
      </w:r>
      <w:r w:rsidR="00947239" w:rsidRPr="00EE2386">
        <w:rPr>
          <w:szCs w:val="20"/>
          <w:lang w:val="es-PE"/>
        </w:rPr>
        <w:t>cluyó</w:t>
      </w:r>
      <w:r w:rsidR="00976A9F" w:rsidRPr="00EE2386">
        <w:rPr>
          <w:szCs w:val="20"/>
          <w:lang w:val="es-PE"/>
        </w:rPr>
        <w:t xml:space="preserve"> </w:t>
      </w:r>
      <w:r w:rsidR="008461CF" w:rsidRPr="00EE2386">
        <w:rPr>
          <w:szCs w:val="20"/>
          <w:lang w:val="es-PE"/>
        </w:rPr>
        <w:t>que</w:t>
      </w:r>
      <w:r w:rsidR="00F24549" w:rsidRPr="00EE2386">
        <w:rPr>
          <w:szCs w:val="20"/>
          <w:lang w:val="es-PE"/>
        </w:rPr>
        <w:t xml:space="preserve"> la policía no utilizó armas </w:t>
      </w:r>
      <w:r w:rsidR="008521B8" w:rsidRPr="00EE2386">
        <w:rPr>
          <w:szCs w:val="20"/>
          <w:lang w:val="es-PE"/>
        </w:rPr>
        <w:t>ni</w:t>
      </w:r>
      <w:r w:rsidR="00F24549" w:rsidRPr="00EE2386">
        <w:rPr>
          <w:szCs w:val="20"/>
          <w:lang w:val="es-PE"/>
        </w:rPr>
        <w:t xml:space="preserve"> objetos contundentes, </w:t>
      </w:r>
      <w:r w:rsidR="008521B8" w:rsidRPr="00EE2386">
        <w:rPr>
          <w:szCs w:val="20"/>
          <w:lang w:val="es-PE"/>
        </w:rPr>
        <w:t>“</w:t>
      </w:r>
      <w:r w:rsidR="00F24549" w:rsidRPr="00EE2386">
        <w:rPr>
          <w:szCs w:val="20"/>
          <w:lang w:val="es-PE"/>
        </w:rPr>
        <w:t>e</w:t>
      </w:r>
      <w:r w:rsidR="008521B8" w:rsidRPr="00EE2386">
        <w:rPr>
          <w:szCs w:val="20"/>
          <w:lang w:val="es-PE"/>
        </w:rPr>
        <w:t>mpleando solo la fuerza necesaria para sujetarlo y conducirlo hasta el vehículo”</w:t>
      </w:r>
      <w:r w:rsidR="00976A9F" w:rsidRPr="00EE2386">
        <w:rPr>
          <w:szCs w:val="20"/>
          <w:lang w:val="es-PE"/>
        </w:rPr>
        <w:t xml:space="preserve">. Además, </w:t>
      </w:r>
      <w:r w:rsidR="008521B8" w:rsidRPr="00EE2386">
        <w:rPr>
          <w:szCs w:val="20"/>
          <w:lang w:val="es-PE"/>
        </w:rPr>
        <w:t>presume que el detenido se golpeó contra el vehículo “lo que posiblemente ocasionó la hemorragia cerebral” y su posterior muerte, la que</w:t>
      </w:r>
      <w:r w:rsidR="008461CF" w:rsidRPr="00EE2386">
        <w:rPr>
          <w:szCs w:val="20"/>
          <w:lang w:val="es-PE"/>
        </w:rPr>
        <w:t>,</w:t>
      </w:r>
      <w:r w:rsidR="008521B8" w:rsidRPr="00EE2386">
        <w:rPr>
          <w:szCs w:val="20"/>
          <w:lang w:val="es-PE"/>
        </w:rPr>
        <w:t xml:space="preserve"> afirma</w:t>
      </w:r>
      <w:r w:rsidR="008461CF" w:rsidRPr="00EE2386">
        <w:rPr>
          <w:szCs w:val="20"/>
          <w:lang w:val="es-PE"/>
        </w:rPr>
        <w:t>,</w:t>
      </w:r>
      <w:r w:rsidR="008521B8" w:rsidRPr="00EE2386">
        <w:rPr>
          <w:szCs w:val="20"/>
          <w:lang w:val="es-PE"/>
        </w:rPr>
        <w:t xml:space="preserve"> habría ocurrido durante el traslado desde el lugar que fue</w:t>
      </w:r>
      <w:r w:rsidR="008461CF" w:rsidRPr="00EE2386">
        <w:rPr>
          <w:szCs w:val="20"/>
          <w:lang w:val="es-PE"/>
        </w:rPr>
        <w:t xml:space="preserve"> detenido al cuartel de policía. El mismo informe también indica que las heridas que presentaba el cadáver se habrían ocasionado porque al ser bajado por los policías en la morgue “se había resbalado, impactándose contra el piso”</w:t>
      </w:r>
      <w:r w:rsidR="008461CF" w:rsidRPr="00EE2386">
        <w:rPr>
          <w:rStyle w:val="FootnoteReference"/>
          <w:szCs w:val="20"/>
          <w:lang w:val="es-PE"/>
        </w:rPr>
        <w:footnoteReference w:id="24"/>
      </w:r>
      <w:r w:rsidR="008461CF" w:rsidRPr="00EE2386">
        <w:rPr>
          <w:szCs w:val="20"/>
          <w:lang w:val="es-PE"/>
        </w:rPr>
        <w:t>.</w:t>
      </w:r>
      <w:r w:rsidR="00FC6747" w:rsidRPr="00EE2386">
        <w:rPr>
          <w:szCs w:val="20"/>
          <w:lang w:val="es-PE"/>
        </w:rPr>
        <w:t xml:space="preserve"> </w:t>
      </w:r>
      <w:r w:rsidR="00607462" w:rsidRPr="00EE2386">
        <w:rPr>
          <w:szCs w:val="20"/>
          <w:lang w:val="es-PE"/>
        </w:rPr>
        <w:t>Tal</w:t>
      </w:r>
      <w:r w:rsidR="00C107E8" w:rsidRPr="00EE2386">
        <w:rPr>
          <w:szCs w:val="20"/>
          <w:lang w:val="es-PE"/>
        </w:rPr>
        <w:t xml:space="preserve"> </w:t>
      </w:r>
      <w:r w:rsidR="00C836AB" w:rsidRPr="00EE2386">
        <w:rPr>
          <w:szCs w:val="20"/>
          <w:lang w:val="es-PE"/>
        </w:rPr>
        <w:t>versión de los hechos</w:t>
      </w:r>
      <w:r w:rsidR="00C609F3" w:rsidRPr="00EE2386">
        <w:rPr>
          <w:szCs w:val="20"/>
          <w:lang w:val="es-PE"/>
        </w:rPr>
        <w:t xml:space="preserve"> fue reiterada</w:t>
      </w:r>
      <w:r w:rsidR="00C107E8" w:rsidRPr="00EE2386">
        <w:rPr>
          <w:szCs w:val="20"/>
          <w:lang w:val="es-PE"/>
        </w:rPr>
        <w:t xml:space="preserve"> en </w:t>
      </w:r>
      <w:r w:rsidR="008D5A66" w:rsidRPr="00EE2386">
        <w:rPr>
          <w:szCs w:val="20"/>
          <w:lang w:val="es-PE"/>
        </w:rPr>
        <w:t>boletín de prensa de 4 de marzo de 1997, suscrito por el Capitán de Policía Romel Castro Loayza</w:t>
      </w:r>
      <w:r w:rsidR="008D5A66" w:rsidRPr="00EE2386">
        <w:rPr>
          <w:rStyle w:val="FootnoteReference"/>
          <w:szCs w:val="20"/>
          <w:lang w:val="es-PE"/>
        </w:rPr>
        <w:footnoteReference w:id="25"/>
      </w:r>
      <w:r w:rsidR="008D5A66" w:rsidRPr="00EE2386">
        <w:rPr>
          <w:szCs w:val="20"/>
          <w:lang w:val="es-PE"/>
        </w:rPr>
        <w:t xml:space="preserve"> y en </w:t>
      </w:r>
      <w:r w:rsidR="00C107E8" w:rsidRPr="00EE2386">
        <w:rPr>
          <w:szCs w:val="20"/>
          <w:lang w:val="es-PE"/>
        </w:rPr>
        <w:t>rueda de prensa por el Jefe Policial, Coronel José Sosa Paucar</w:t>
      </w:r>
      <w:r w:rsidR="00615283" w:rsidRPr="00EE2386">
        <w:rPr>
          <w:rStyle w:val="FootnoteReference"/>
          <w:szCs w:val="20"/>
          <w:lang w:val="es-PE"/>
        </w:rPr>
        <w:footnoteReference w:id="26"/>
      </w:r>
      <w:r w:rsidR="00C107E8" w:rsidRPr="00EE2386">
        <w:rPr>
          <w:szCs w:val="20"/>
          <w:lang w:val="es-PE"/>
        </w:rPr>
        <w:t>.</w:t>
      </w:r>
    </w:p>
    <w:p w14:paraId="5384AE04" w14:textId="77777777" w:rsidR="002A5CF8" w:rsidRPr="00EE2386" w:rsidRDefault="002A5CF8" w:rsidP="002A5CF8">
      <w:pPr>
        <w:pStyle w:val="Heading2"/>
        <w:numPr>
          <w:ilvl w:val="0"/>
          <w:numId w:val="0"/>
        </w:numPr>
        <w:ind w:left="927"/>
        <w:rPr>
          <w:szCs w:val="20"/>
          <w:lang w:val="es-US"/>
        </w:rPr>
      </w:pPr>
    </w:p>
    <w:p w14:paraId="2414A2A0" w14:textId="77777777" w:rsidR="002A5CF8" w:rsidRPr="00EE2386" w:rsidRDefault="002A5CF8" w:rsidP="002A5CF8">
      <w:pPr>
        <w:pStyle w:val="Heading2"/>
        <w:rPr>
          <w:szCs w:val="20"/>
          <w:lang w:val="es-PE"/>
        </w:rPr>
      </w:pPr>
      <w:bookmarkStart w:id="11" w:name="_Toc35966085"/>
      <w:r w:rsidRPr="00EE2386">
        <w:rPr>
          <w:szCs w:val="20"/>
          <w:lang w:val="es-PE"/>
        </w:rPr>
        <w:t>Procesos internos</w:t>
      </w:r>
      <w:bookmarkEnd w:id="11"/>
    </w:p>
    <w:p w14:paraId="46AF9F6E" w14:textId="77777777" w:rsidR="002A5CF8" w:rsidRPr="00EE2386" w:rsidRDefault="002A5CF8" w:rsidP="002A5CF8">
      <w:pPr>
        <w:pStyle w:val="Heading3"/>
        <w:numPr>
          <w:ilvl w:val="0"/>
          <w:numId w:val="0"/>
        </w:numPr>
        <w:ind w:left="1080"/>
        <w:rPr>
          <w:szCs w:val="20"/>
          <w:lang w:val="es-PE"/>
        </w:rPr>
      </w:pPr>
    </w:p>
    <w:p w14:paraId="5A84077D" w14:textId="77777777" w:rsidR="002A5CF8" w:rsidRPr="00EE2386" w:rsidRDefault="002A5CF8" w:rsidP="002A5CF8">
      <w:pPr>
        <w:pStyle w:val="Heading3"/>
        <w:rPr>
          <w:szCs w:val="20"/>
          <w:lang w:val="es-PE"/>
        </w:rPr>
      </w:pPr>
      <w:bookmarkStart w:id="12" w:name="_Toc35966086"/>
      <w:r w:rsidRPr="00EE2386">
        <w:rPr>
          <w:szCs w:val="20"/>
          <w:lang w:val="es-PE"/>
        </w:rPr>
        <w:t>Procedimiento penal ante la justicia ordinaria</w:t>
      </w:r>
      <w:bookmarkEnd w:id="12"/>
    </w:p>
    <w:p w14:paraId="16204006" w14:textId="77777777" w:rsidR="00FC6747" w:rsidRPr="00EE2386" w:rsidRDefault="00FC6747" w:rsidP="00FC6747">
      <w:pPr>
        <w:pStyle w:val="ListParagraph"/>
        <w:numPr>
          <w:ilvl w:val="0"/>
          <w:numId w:val="0"/>
        </w:numPr>
        <w:rPr>
          <w:szCs w:val="20"/>
          <w:lang w:val="es-US"/>
        </w:rPr>
      </w:pPr>
    </w:p>
    <w:p w14:paraId="6E44D216" w14:textId="77777777" w:rsidR="00E91A52" w:rsidRPr="00EE2386" w:rsidRDefault="009F4867" w:rsidP="000C0D13">
      <w:pPr>
        <w:pStyle w:val="ListParagraph"/>
        <w:rPr>
          <w:szCs w:val="20"/>
          <w:lang w:val="es-US"/>
        </w:rPr>
      </w:pPr>
      <w:r>
        <w:rPr>
          <w:szCs w:val="20"/>
          <w:lang w:val="es-PE"/>
        </w:rPr>
        <w:t>E</w:t>
      </w:r>
      <w:r w:rsidR="00FC6747" w:rsidRPr="00EE2386">
        <w:rPr>
          <w:szCs w:val="20"/>
          <w:lang w:val="es-PE"/>
        </w:rPr>
        <w:t>l 10 de marzo de 1997</w:t>
      </w:r>
      <w:r w:rsidRPr="009F4867">
        <w:rPr>
          <w:szCs w:val="20"/>
          <w:lang w:val="es-PE"/>
        </w:rPr>
        <w:t xml:space="preserve"> </w:t>
      </w:r>
      <w:r>
        <w:rPr>
          <w:szCs w:val="20"/>
          <w:lang w:val="es-PE"/>
        </w:rPr>
        <w:t xml:space="preserve">el </w:t>
      </w:r>
      <w:r w:rsidRPr="00EE2386">
        <w:rPr>
          <w:szCs w:val="20"/>
          <w:lang w:val="es-PE"/>
        </w:rPr>
        <w:t xml:space="preserve">Juez Quinto </w:t>
      </w:r>
      <w:r>
        <w:rPr>
          <w:szCs w:val="20"/>
          <w:lang w:val="es-PE"/>
        </w:rPr>
        <w:t>Penal</w:t>
      </w:r>
      <w:r w:rsidR="00FC6747" w:rsidRPr="00EE2386">
        <w:rPr>
          <w:szCs w:val="20"/>
          <w:lang w:val="es-PE"/>
        </w:rPr>
        <w:t xml:space="preserve"> dictó auto cabeza de proceso en contra de los policías José Ever</w:t>
      </w:r>
      <w:r w:rsidR="00C65FE6" w:rsidRPr="00EE2386">
        <w:rPr>
          <w:szCs w:val="20"/>
          <w:lang w:val="es-PE"/>
        </w:rPr>
        <w:t>g</w:t>
      </w:r>
      <w:r w:rsidR="00FC6747" w:rsidRPr="00EE2386">
        <w:rPr>
          <w:szCs w:val="20"/>
          <w:lang w:val="es-PE"/>
        </w:rPr>
        <w:t>isto Salazar, Julio Gilberto Fajardo Cabrera, Oliver Stail Quichimbo y Julio Sandoval Torres</w:t>
      </w:r>
      <w:r w:rsidR="000C7457" w:rsidRPr="00EE2386">
        <w:rPr>
          <w:szCs w:val="20"/>
          <w:lang w:val="es-PE"/>
        </w:rPr>
        <w:t>, ordenando la prisión preventiva de los tres primeros y una serie de actos investigativos</w:t>
      </w:r>
      <w:r w:rsidR="002D5FD6" w:rsidRPr="00EE2386">
        <w:rPr>
          <w:szCs w:val="20"/>
          <w:lang w:val="es-PE"/>
        </w:rPr>
        <w:t>, incluyendo el testimonio de los sindicados</w:t>
      </w:r>
      <w:r w:rsidR="00900867" w:rsidRPr="00EE2386">
        <w:rPr>
          <w:rStyle w:val="FootnoteReference"/>
          <w:szCs w:val="20"/>
          <w:lang w:val="es-PE"/>
        </w:rPr>
        <w:footnoteReference w:id="27"/>
      </w:r>
      <w:r w:rsidR="002D5FD6" w:rsidRPr="00EE2386">
        <w:rPr>
          <w:szCs w:val="20"/>
          <w:lang w:val="es-PE"/>
        </w:rPr>
        <w:t xml:space="preserve">, </w:t>
      </w:r>
      <w:r w:rsidR="00900867" w:rsidRPr="00EE2386">
        <w:rPr>
          <w:szCs w:val="20"/>
          <w:lang w:val="es-PE"/>
        </w:rPr>
        <w:t>otros agentes de la</w:t>
      </w:r>
      <w:r w:rsidR="002D5FD6" w:rsidRPr="00EE2386">
        <w:rPr>
          <w:szCs w:val="20"/>
          <w:lang w:val="es-PE"/>
        </w:rPr>
        <w:t xml:space="preserve"> policía</w:t>
      </w:r>
      <w:r w:rsidR="00900867" w:rsidRPr="00EE2386">
        <w:rPr>
          <w:szCs w:val="20"/>
          <w:lang w:val="es-PE"/>
        </w:rPr>
        <w:t xml:space="preserve"> que participaron en el operativo</w:t>
      </w:r>
      <w:r w:rsidR="00900867" w:rsidRPr="00EE2386">
        <w:rPr>
          <w:rStyle w:val="FootnoteReference"/>
          <w:szCs w:val="20"/>
          <w:lang w:val="es-PE"/>
        </w:rPr>
        <w:footnoteReference w:id="28"/>
      </w:r>
      <w:r w:rsidR="002D5FD6" w:rsidRPr="00EE2386">
        <w:rPr>
          <w:szCs w:val="20"/>
          <w:lang w:val="es-PE"/>
        </w:rPr>
        <w:t>, los dueños del local y otros civiles</w:t>
      </w:r>
      <w:r w:rsidR="00900867" w:rsidRPr="00EE2386">
        <w:rPr>
          <w:rStyle w:val="FootnoteReference"/>
          <w:szCs w:val="20"/>
          <w:lang w:val="es-PE"/>
        </w:rPr>
        <w:footnoteReference w:id="29"/>
      </w:r>
      <w:r w:rsidR="002D5FD6" w:rsidRPr="00EE2386">
        <w:rPr>
          <w:szCs w:val="20"/>
          <w:lang w:val="es-PE"/>
        </w:rPr>
        <w:t xml:space="preserve"> y el reconocimiento del lugar de los hechos con peritos</w:t>
      </w:r>
      <w:r w:rsidR="000C7457" w:rsidRPr="00EE2386">
        <w:rPr>
          <w:rStyle w:val="FootnoteReference"/>
          <w:szCs w:val="20"/>
          <w:lang w:val="es-PE"/>
        </w:rPr>
        <w:footnoteReference w:id="30"/>
      </w:r>
      <w:r w:rsidR="002D5FD6" w:rsidRPr="00EE2386">
        <w:rPr>
          <w:szCs w:val="20"/>
          <w:lang w:val="es-PE"/>
        </w:rPr>
        <w:t>, pero no consta que t</w:t>
      </w:r>
      <w:r w:rsidR="00947239" w:rsidRPr="00EE2386">
        <w:rPr>
          <w:szCs w:val="20"/>
          <w:lang w:val="es-PE"/>
        </w:rPr>
        <w:t xml:space="preserve">odas esas </w:t>
      </w:r>
      <w:r w:rsidR="002D5FD6" w:rsidRPr="00EE2386">
        <w:rPr>
          <w:szCs w:val="20"/>
          <w:lang w:val="es-PE"/>
        </w:rPr>
        <w:t>diligencias se hayan practicado</w:t>
      </w:r>
      <w:r w:rsidR="000C7457" w:rsidRPr="00EE2386">
        <w:rPr>
          <w:szCs w:val="20"/>
          <w:lang w:val="es-PE"/>
        </w:rPr>
        <w:t>.</w:t>
      </w:r>
      <w:r w:rsidR="00C65FE6" w:rsidRPr="00EE2386">
        <w:rPr>
          <w:szCs w:val="20"/>
          <w:lang w:val="es-PE"/>
        </w:rPr>
        <w:t xml:space="preserve"> El 19 de marzo de 1997, el hermano de Aníbal, Luis Medardo Aguas Acosta, pres</w:t>
      </w:r>
      <w:r w:rsidR="00B8755E" w:rsidRPr="00EE2386">
        <w:rPr>
          <w:szCs w:val="20"/>
          <w:lang w:val="es-PE"/>
        </w:rPr>
        <w:t>en</w:t>
      </w:r>
      <w:r w:rsidR="00C65FE6" w:rsidRPr="00EE2386">
        <w:rPr>
          <w:szCs w:val="20"/>
          <w:lang w:val="es-PE"/>
        </w:rPr>
        <w:t>tó acusación particular por el delito de asesinato en contra de los policías José Evergisto Salazar, Julio Gilberto Fajardo Cabrera, Olivar Estalven Quichimbo, Julio Alcivar Sandoval Torres y Henry Martínez Pico y del dueño del bar, Luis Barnuevo Romero, solicitando que</w:t>
      </w:r>
      <w:r w:rsidR="000C0D13" w:rsidRPr="00EE2386">
        <w:rPr>
          <w:szCs w:val="20"/>
          <w:lang w:val="es-PE"/>
        </w:rPr>
        <w:t>,</w:t>
      </w:r>
      <w:r w:rsidR="00C65FE6" w:rsidRPr="00EE2386">
        <w:rPr>
          <w:szCs w:val="20"/>
          <w:lang w:val="es-PE"/>
        </w:rPr>
        <w:t xml:space="preserve"> </w:t>
      </w:r>
      <w:r w:rsidR="000C0D13" w:rsidRPr="00EE2386">
        <w:rPr>
          <w:szCs w:val="20"/>
          <w:lang w:val="es-PE"/>
        </w:rPr>
        <w:t>respecto de los tres primeros</w:t>
      </w:r>
      <w:r w:rsidR="001D1C8B">
        <w:rPr>
          <w:szCs w:val="20"/>
          <w:lang w:val="es-PE"/>
        </w:rPr>
        <w:t>,</w:t>
      </w:r>
      <w:r w:rsidR="000C0D13" w:rsidRPr="00EE2386">
        <w:rPr>
          <w:szCs w:val="20"/>
          <w:lang w:val="es-PE"/>
        </w:rPr>
        <w:t xml:space="preserve"> para los que ya existía orden de prisión preventiva, </w:t>
      </w:r>
      <w:r w:rsidR="00C65FE6" w:rsidRPr="00EE2386">
        <w:rPr>
          <w:szCs w:val="20"/>
          <w:lang w:val="es-PE"/>
        </w:rPr>
        <w:t xml:space="preserve">se ordenara el traslado </w:t>
      </w:r>
      <w:r w:rsidR="000C0D13" w:rsidRPr="00EE2386">
        <w:rPr>
          <w:szCs w:val="20"/>
          <w:lang w:val="es-PE"/>
        </w:rPr>
        <w:t>al Centro de Rehabilitación Social y se dictara orden de prisión preventiva respecto de los demás</w:t>
      </w:r>
      <w:r w:rsidR="000C0D13" w:rsidRPr="00EE2386">
        <w:rPr>
          <w:rStyle w:val="FootnoteReference"/>
          <w:szCs w:val="20"/>
          <w:lang w:val="es-PE"/>
        </w:rPr>
        <w:footnoteReference w:id="31"/>
      </w:r>
      <w:r w:rsidR="000C0D13" w:rsidRPr="00EE2386">
        <w:rPr>
          <w:szCs w:val="20"/>
          <w:lang w:val="es-PE"/>
        </w:rPr>
        <w:t>.</w:t>
      </w:r>
      <w:r w:rsidR="00451382" w:rsidRPr="00EE2386">
        <w:rPr>
          <w:szCs w:val="20"/>
          <w:lang w:val="es-PE"/>
        </w:rPr>
        <w:t xml:space="preserve"> </w:t>
      </w:r>
      <w:r w:rsidR="00AD525A" w:rsidRPr="00EE2386">
        <w:rPr>
          <w:szCs w:val="20"/>
          <w:lang w:val="es-PE"/>
        </w:rPr>
        <w:t>Mediante resolución de 21 de marzo de 1997, el Juez Quinto Penal</w:t>
      </w:r>
      <w:r w:rsidR="002803D6" w:rsidRPr="00EE2386">
        <w:rPr>
          <w:szCs w:val="20"/>
          <w:lang w:val="es-PE"/>
        </w:rPr>
        <w:t xml:space="preserve"> extendió la investigación en contra del policía Henry Omar Martínez Pico</w:t>
      </w:r>
      <w:r w:rsidR="002803D6" w:rsidRPr="00EE2386">
        <w:rPr>
          <w:rStyle w:val="FootnoteReference"/>
          <w:szCs w:val="20"/>
          <w:lang w:val="es-PE"/>
        </w:rPr>
        <w:footnoteReference w:id="32"/>
      </w:r>
      <w:r w:rsidR="002803D6" w:rsidRPr="00EE2386">
        <w:rPr>
          <w:szCs w:val="20"/>
          <w:lang w:val="es-PE"/>
        </w:rPr>
        <w:t>.</w:t>
      </w:r>
    </w:p>
    <w:p w14:paraId="613C80C3" w14:textId="77777777" w:rsidR="00E91A52" w:rsidRPr="00EE2386" w:rsidRDefault="00E91A52" w:rsidP="00E91A52">
      <w:pPr>
        <w:pStyle w:val="ListParagraph"/>
        <w:numPr>
          <w:ilvl w:val="0"/>
          <w:numId w:val="0"/>
        </w:numPr>
        <w:rPr>
          <w:szCs w:val="20"/>
          <w:lang w:val="es-US"/>
        </w:rPr>
      </w:pPr>
    </w:p>
    <w:p w14:paraId="6924B2E5" w14:textId="77777777" w:rsidR="000C0D13" w:rsidRPr="00EE2386" w:rsidRDefault="00451382" w:rsidP="000C0D13">
      <w:pPr>
        <w:pStyle w:val="ListParagraph"/>
        <w:rPr>
          <w:szCs w:val="20"/>
          <w:lang w:val="es-US"/>
        </w:rPr>
      </w:pPr>
      <w:r w:rsidRPr="00EE2386">
        <w:rPr>
          <w:szCs w:val="20"/>
          <w:lang w:val="es-PE"/>
        </w:rPr>
        <w:lastRenderedPageBreak/>
        <w:t>Sin embargo, la orden de prisión</w:t>
      </w:r>
      <w:r w:rsidR="00B8755E" w:rsidRPr="00EE2386">
        <w:rPr>
          <w:szCs w:val="20"/>
          <w:lang w:val="es-PE"/>
        </w:rPr>
        <w:t xml:space="preserve"> antes referida</w:t>
      </w:r>
      <w:r w:rsidRPr="00EE2386">
        <w:rPr>
          <w:szCs w:val="20"/>
          <w:lang w:val="es-PE"/>
        </w:rPr>
        <w:t xml:space="preserve"> fue revocada el 27 de marzo de 1997</w:t>
      </w:r>
      <w:r w:rsidRPr="00EE2386">
        <w:rPr>
          <w:rStyle w:val="FootnoteReference"/>
          <w:szCs w:val="20"/>
          <w:lang w:val="es-PE"/>
        </w:rPr>
        <w:footnoteReference w:id="33"/>
      </w:r>
      <w:r w:rsidR="00E15E71" w:rsidRPr="00EE2386">
        <w:rPr>
          <w:szCs w:val="20"/>
          <w:lang w:val="es-PE"/>
        </w:rPr>
        <w:t xml:space="preserve"> </w:t>
      </w:r>
      <w:r w:rsidR="001147A2" w:rsidRPr="00EE2386">
        <w:rPr>
          <w:szCs w:val="20"/>
          <w:lang w:val="es-PE"/>
        </w:rPr>
        <w:t>y</w:t>
      </w:r>
      <w:r w:rsidR="00B8755E" w:rsidRPr="00EE2386">
        <w:rPr>
          <w:szCs w:val="20"/>
          <w:lang w:val="es-PE"/>
        </w:rPr>
        <w:t>,</w:t>
      </w:r>
      <w:r w:rsidR="001147A2" w:rsidRPr="00EE2386">
        <w:rPr>
          <w:szCs w:val="20"/>
          <w:lang w:val="es-PE"/>
        </w:rPr>
        <w:t xml:space="preserve"> el 2 de abril de 1997</w:t>
      </w:r>
      <w:r w:rsidR="00B8755E" w:rsidRPr="00EE2386">
        <w:rPr>
          <w:szCs w:val="20"/>
          <w:lang w:val="es-PE"/>
        </w:rPr>
        <w:t>,</w:t>
      </w:r>
      <w:r w:rsidR="001147A2" w:rsidRPr="00EE2386">
        <w:rPr>
          <w:szCs w:val="20"/>
          <w:lang w:val="es-PE"/>
        </w:rPr>
        <w:t xml:space="preserve"> el Juez Quinto Penal se inhibió de continuar conociendo el proceso</w:t>
      </w:r>
      <w:r w:rsidR="004C6F4A" w:rsidRPr="00EE2386">
        <w:rPr>
          <w:szCs w:val="20"/>
          <w:lang w:val="es-PE"/>
        </w:rPr>
        <w:t>, por estimar que los involucrados</w:t>
      </w:r>
      <w:r w:rsidR="00472ADB" w:rsidRPr="00EE2386">
        <w:rPr>
          <w:szCs w:val="20"/>
          <w:lang w:val="es-PE"/>
        </w:rPr>
        <w:t xml:space="preserve"> eran policías nacionales en servicio activo que </w:t>
      </w:r>
      <w:r w:rsidR="00E766CB" w:rsidRPr="00EE2386">
        <w:rPr>
          <w:szCs w:val="20"/>
          <w:lang w:val="es-PE"/>
        </w:rPr>
        <w:t>se encontraban realizando labores de patrullaje</w:t>
      </w:r>
      <w:r w:rsidR="00772B60" w:rsidRPr="00EE2386">
        <w:rPr>
          <w:szCs w:val="20"/>
          <w:lang w:val="es-PE"/>
        </w:rPr>
        <w:t>, por lo que “el ilícito en pesquisa se ha producido en ejercicio de funciones esp</w:t>
      </w:r>
      <w:r w:rsidR="00B8755E" w:rsidRPr="00EE2386">
        <w:rPr>
          <w:szCs w:val="20"/>
          <w:lang w:val="es-PE"/>
        </w:rPr>
        <w:t>ecíficas de los policí</w:t>
      </w:r>
      <w:r w:rsidR="00772B60" w:rsidRPr="00EE2386">
        <w:rPr>
          <w:szCs w:val="20"/>
          <w:lang w:val="es-PE"/>
        </w:rPr>
        <w:t>as acusados</w:t>
      </w:r>
      <w:r w:rsidR="00811A97" w:rsidRPr="00EE2386">
        <w:rPr>
          <w:rStyle w:val="FootnoteReference"/>
          <w:szCs w:val="20"/>
          <w:lang w:val="es-PE"/>
        </w:rPr>
        <w:footnoteReference w:id="34"/>
      </w:r>
      <w:r w:rsidR="00472ADB" w:rsidRPr="00EE2386">
        <w:rPr>
          <w:szCs w:val="20"/>
          <w:lang w:val="es-PE"/>
        </w:rPr>
        <w:t>. Ambas resoluciones fueron recurridas por</w:t>
      </w:r>
      <w:r w:rsidR="00E15E71" w:rsidRPr="00EE2386">
        <w:rPr>
          <w:szCs w:val="20"/>
          <w:lang w:val="es-PE"/>
        </w:rPr>
        <w:t xml:space="preserve"> el hermano del occiso, </w:t>
      </w:r>
      <w:r w:rsidR="00472ADB" w:rsidRPr="00EE2386">
        <w:rPr>
          <w:szCs w:val="20"/>
          <w:lang w:val="es-PE"/>
        </w:rPr>
        <w:t xml:space="preserve">quien interpuso recursos de </w:t>
      </w:r>
      <w:r w:rsidR="001147A2" w:rsidRPr="00EE2386">
        <w:rPr>
          <w:szCs w:val="20"/>
          <w:lang w:val="es-PE"/>
        </w:rPr>
        <w:t>revocación</w:t>
      </w:r>
      <w:r w:rsidR="00472ADB" w:rsidRPr="00EE2386">
        <w:rPr>
          <w:szCs w:val="20"/>
          <w:lang w:val="es-PE"/>
        </w:rPr>
        <w:t>, apelación</w:t>
      </w:r>
      <w:r w:rsidR="00605FE6" w:rsidRPr="00EE2386">
        <w:rPr>
          <w:szCs w:val="20"/>
          <w:lang w:val="es-PE"/>
        </w:rPr>
        <w:t>,</w:t>
      </w:r>
      <w:r w:rsidR="00472ADB" w:rsidRPr="00EE2386">
        <w:rPr>
          <w:szCs w:val="20"/>
          <w:lang w:val="es-PE"/>
        </w:rPr>
        <w:t xml:space="preserve"> hecho</w:t>
      </w:r>
      <w:r w:rsidR="00605FE6" w:rsidRPr="00EE2386">
        <w:rPr>
          <w:szCs w:val="20"/>
          <w:lang w:val="es-PE"/>
        </w:rPr>
        <w:t xml:space="preserve"> y nulidad</w:t>
      </w:r>
      <w:r w:rsidR="00E15E71" w:rsidRPr="00EE2386">
        <w:rPr>
          <w:rStyle w:val="FootnoteReference"/>
          <w:szCs w:val="20"/>
          <w:lang w:val="es-PE"/>
        </w:rPr>
        <w:footnoteReference w:id="35"/>
      </w:r>
      <w:r w:rsidR="00E15E71" w:rsidRPr="00EE2386">
        <w:rPr>
          <w:szCs w:val="20"/>
          <w:lang w:val="es-PE"/>
        </w:rPr>
        <w:t>.</w:t>
      </w:r>
      <w:r w:rsidR="00FF498C" w:rsidRPr="00EE2386">
        <w:rPr>
          <w:szCs w:val="20"/>
          <w:lang w:val="es-PE"/>
        </w:rPr>
        <w:t xml:space="preserve"> Sin embargo, el Juez Quinto Penal rechazó tal</w:t>
      </w:r>
      <w:r w:rsidR="00811A97" w:rsidRPr="00EE2386">
        <w:rPr>
          <w:szCs w:val="20"/>
          <w:lang w:val="es-PE"/>
        </w:rPr>
        <w:t>es recursos</w:t>
      </w:r>
      <w:r w:rsidR="00FF498C" w:rsidRPr="00EE2386">
        <w:rPr>
          <w:szCs w:val="20"/>
          <w:lang w:val="es-PE"/>
        </w:rPr>
        <w:t>, así como el recurso de apelación interpuesto por el Fiscal</w:t>
      </w:r>
      <w:r w:rsidR="00D14DA4" w:rsidRPr="00EE2386">
        <w:rPr>
          <w:szCs w:val="20"/>
          <w:lang w:val="es-PE"/>
        </w:rPr>
        <w:t>,</w:t>
      </w:r>
      <w:r w:rsidR="00772B60" w:rsidRPr="00EE2386">
        <w:rPr>
          <w:szCs w:val="20"/>
          <w:lang w:val="es-PE"/>
        </w:rPr>
        <w:t xml:space="preserve"> reiterando que los policías</w:t>
      </w:r>
      <w:r w:rsidR="00772B60" w:rsidRPr="00EE2386">
        <w:rPr>
          <w:szCs w:val="20"/>
          <w:lang w:val="es-ES"/>
        </w:rPr>
        <w:t xml:space="preserve"> </w:t>
      </w:r>
      <w:r w:rsidR="00772B60" w:rsidRPr="00EE2386">
        <w:rPr>
          <w:szCs w:val="20"/>
          <w:lang w:val="es-PE"/>
        </w:rPr>
        <w:t>“han cometido una infracción penal en ejercicio de sus funciones específicas”</w:t>
      </w:r>
      <w:r w:rsidR="00D14DA4" w:rsidRPr="00EE2386">
        <w:rPr>
          <w:szCs w:val="20"/>
          <w:lang w:val="es-PE"/>
        </w:rPr>
        <w:t xml:space="preserve"> </w:t>
      </w:r>
      <w:r w:rsidR="00772B60" w:rsidRPr="00EE2386">
        <w:rPr>
          <w:szCs w:val="20"/>
          <w:lang w:val="es-PE"/>
        </w:rPr>
        <w:t xml:space="preserve">e </w:t>
      </w:r>
      <w:r w:rsidR="00D14DA4" w:rsidRPr="00EE2386">
        <w:rPr>
          <w:szCs w:val="20"/>
          <w:lang w:val="es-PE"/>
        </w:rPr>
        <w:t>indicando que la inhibición no ponía fin al proceso ya que éste se encontraba en etapa sumarial y</w:t>
      </w:r>
      <w:r w:rsidR="0021118F" w:rsidRPr="00EE2386">
        <w:rPr>
          <w:szCs w:val="20"/>
          <w:lang w:val="es-PE"/>
        </w:rPr>
        <w:t>,</w:t>
      </w:r>
      <w:r w:rsidR="00D14DA4" w:rsidRPr="00EE2386">
        <w:rPr>
          <w:szCs w:val="20"/>
          <w:lang w:val="es-PE"/>
        </w:rPr>
        <w:t xml:space="preserve"> en suspenso</w:t>
      </w:r>
      <w:r w:rsidR="0021118F" w:rsidRPr="00EE2386">
        <w:rPr>
          <w:szCs w:val="20"/>
          <w:lang w:val="es-PE"/>
        </w:rPr>
        <w:t>,</w:t>
      </w:r>
      <w:r w:rsidR="00D14DA4" w:rsidRPr="00EE2386">
        <w:rPr>
          <w:szCs w:val="20"/>
          <w:lang w:val="es-PE"/>
        </w:rPr>
        <w:t xml:space="preserve"> hasta que asumiera el conocimiento del caso el juez especial</w:t>
      </w:r>
      <w:r w:rsidR="00FF498C" w:rsidRPr="00EE2386">
        <w:rPr>
          <w:rStyle w:val="FootnoteReference"/>
          <w:szCs w:val="20"/>
          <w:lang w:val="es-PE"/>
        </w:rPr>
        <w:footnoteReference w:id="36"/>
      </w:r>
      <w:r w:rsidR="00FF498C" w:rsidRPr="00EE2386">
        <w:rPr>
          <w:szCs w:val="20"/>
          <w:lang w:val="es-PE"/>
        </w:rPr>
        <w:t>.</w:t>
      </w:r>
    </w:p>
    <w:p w14:paraId="3FEFF746" w14:textId="77777777" w:rsidR="009474A4" w:rsidRPr="00EE2386" w:rsidRDefault="009474A4" w:rsidP="009474A4">
      <w:pPr>
        <w:pStyle w:val="ListParagraph"/>
        <w:numPr>
          <w:ilvl w:val="0"/>
          <w:numId w:val="0"/>
        </w:numPr>
        <w:rPr>
          <w:szCs w:val="20"/>
          <w:lang w:val="es-US"/>
        </w:rPr>
      </w:pPr>
    </w:p>
    <w:p w14:paraId="73EE0A79" w14:textId="77777777" w:rsidR="009474A4" w:rsidRPr="00EE2386" w:rsidRDefault="009474A4" w:rsidP="000C0D13">
      <w:pPr>
        <w:pStyle w:val="ListParagraph"/>
        <w:rPr>
          <w:szCs w:val="20"/>
          <w:lang w:val="es-US"/>
        </w:rPr>
      </w:pPr>
      <w:r w:rsidRPr="00EE2386">
        <w:rPr>
          <w:szCs w:val="20"/>
          <w:lang w:val="es-PE"/>
        </w:rPr>
        <w:t xml:space="preserve">El 28 de septiembre de 1998, la Segunda Sala del Tribunal Constitucional se pronunció sobre </w:t>
      </w:r>
      <w:r w:rsidR="00947239" w:rsidRPr="00EE2386">
        <w:rPr>
          <w:szCs w:val="20"/>
          <w:lang w:val="es-PE"/>
        </w:rPr>
        <w:t>un</w:t>
      </w:r>
      <w:r w:rsidRPr="00EE2386">
        <w:rPr>
          <w:szCs w:val="20"/>
          <w:lang w:val="es-PE"/>
        </w:rPr>
        <w:t xml:space="preserve"> recurso de apelación interpuesto por Medardo Aguas Acosta por la acción </w:t>
      </w:r>
      <w:r w:rsidR="00122045" w:rsidRPr="00EE2386">
        <w:rPr>
          <w:szCs w:val="20"/>
          <w:lang w:val="es-PE"/>
        </w:rPr>
        <w:t xml:space="preserve">de amparo </w:t>
      </w:r>
      <w:r w:rsidRPr="00EE2386">
        <w:rPr>
          <w:szCs w:val="20"/>
          <w:lang w:val="es-PE"/>
        </w:rPr>
        <w:t>negada por el Tribunal Distrital No. 2 de lo Contencioso Administrativo de Guayaquil</w:t>
      </w:r>
      <w:r w:rsidR="00122045" w:rsidRPr="00EE2386">
        <w:rPr>
          <w:szCs w:val="20"/>
          <w:lang w:val="es-PE"/>
        </w:rPr>
        <w:t xml:space="preserve"> el 11 de marzo de 1998, respecto del daño irreparable que le causaría la negativa del Juez Quinto Penal de seguir conociendo el proceso</w:t>
      </w:r>
      <w:r w:rsidRPr="00EE2386">
        <w:rPr>
          <w:szCs w:val="20"/>
          <w:lang w:val="es-PE"/>
        </w:rPr>
        <w:t xml:space="preserve"> </w:t>
      </w:r>
      <w:r w:rsidR="00122045" w:rsidRPr="00EE2386">
        <w:rPr>
          <w:szCs w:val="20"/>
          <w:lang w:val="es-PE"/>
        </w:rPr>
        <w:t xml:space="preserve">y la inconstitucionalidad de su accionar. </w:t>
      </w:r>
      <w:r w:rsidR="009A278E" w:rsidRPr="00EE2386">
        <w:rPr>
          <w:szCs w:val="20"/>
          <w:lang w:val="es-PE"/>
        </w:rPr>
        <w:t xml:space="preserve">En atención a lo dispuesto en los artículos 4 y 7 del Código Penal y de Procedimiento Penal de la Policía Nacional, 183 y 187 de la Constitución Política y 4 del Código Penal de la Policía, el Tribunal Constitucional rechazó el recurso de apelación. Sin embargo, indicó que la actuación del Juez Quinto Penal era </w:t>
      </w:r>
      <w:r w:rsidR="00E7457F" w:rsidRPr="00EE2386">
        <w:rPr>
          <w:szCs w:val="20"/>
          <w:lang w:val="es-PE"/>
        </w:rPr>
        <w:t>cuestionable y censurable “por cuanto las pruebas</w:t>
      </w:r>
      <w:r w:rsidR="00EE1050" w:rsidRPr="00EE2386">
        <w:rPr>
          <w:szCs w:val="20"/>
          <w:lang w:val="es-PE"/>
        </w:rPr>
        <w:t xml:space="preserve"> obtenidas no fueron recogidas y actuadas con sentido de justicia y equidad, provocando incluso la indefensión de la parte acusadora”</w:t>
      </w:r>
      <w:r w:rsidR="00EE1050" w:rsidRPr="00EE2386">
        <w:rPr>
          <w:rStyle w:val="FootnoteReference"/>
          <w:szCs w:val="20"/>
          <w:lang w:val="es-PE"/>
        </w:rPr>
        <w:footnoteReference w:id="37"/>
      </w:r>
      <w:r w:rsidR="00EE1050" w:rsidRPr="00EE2386">
        <w:rPr>
          <w:szCs w:val="20"/>
          <w:lang w:val="es-PE"/>
        </w:rPr>
        <w:t>.</w:t>
      </w:r>
    </w:p>
    <w:p w14:paraId="0E14C031" w14:textId="77777777" w:rsidR="002A5CF8" w:rsidRPr="00EE2386" w:rsidRDefault="002A5CF8" w:rsidP="002A5CF8">
      <w:pPr>
        <w:pStyle w:val="ListParagraph"/>
        <w:numPr>
          <w:ilvl w:val="0"/>
          <w:numId w:val="0"/>
        </w:numPr>
        <w:rPr>
          <w:szCs w:val="20"/>
          <w:lang w:val="es-PE"/>
        </w:rPr>
      </w:pPr>
    </w:p>
    <w:p w14:paraId="4D1DD192" w14:textId="77777777" w:rsidR="002A5CF8" w:rsidRPr="00EE2386" w:rsidRDefault="002A5CF8" w:rsidP="002A5CF8">
      <w:pPr>
        <w:pStyle w:val="Heading3"/>
        <w:rPr>
          <w:szCs w:val="20"/>
          <w:lang w:val="es-US"/>
        </w:rPr>
      </w:pPr>
      <w:bookmarkStart w:id="13" w:name="_Toc35966087"/>
      <w:r w:rsidRPr="00EE2386">
        <w:rPr>
          <w:szCs w:val="20"/>
          <w:lang w:val="es-PE"/>
        </w:rPr>
        <w:t>Procedimiento ante la jurisdicción policial</w:t>
      </w:r>
      <w:bookmarkEnd w:id="13"/>
    </w:p>
    <w:p w14:paraId="0BFDA99B" w14:textId="77777777" w:rsidR="002245BB" w:rsidRPr="00EE2386" w:rsidRDefault="002245BB" w:rsidP="002245BB">
      <w:pPr>
        <w:pStyle w:val="ListParagraph"/>
        <w:numPr>
          <w:ilvl w:val="0"/>
          <w:numId w:val="0"/>
        </w:numPr>
        <w:rPr>
          <w:szCs w:val="20"/>
          <w:lang w:val="es-US"/>
        </w:rPr>
      </w:pPr>
    </w:p>
    <w:p w14:paraId="1D605170" w14:textId="77777777" w:rsidR="00CD6F68" w:rsidRPr="00EE2386" w:rsidRDefault="001147A2" w:rsidP="00CD6F68">
      <w:pPr>
        <w:pStyle w:val="ListParagraph"/>
        <w:rPr>
          <w:szCs w:val="20"/>
          <w:lang w:val="es-US"/>
        </w:rPr>
      </w:pPr>
      <w:r w:rsidRPr="00EE2386">
        <w:rPr>
          <w:szCs w:val="20"/>
          <w:lang w:val="es-PE"/>
        </w:rPr>
        <w:t>E</w:t>
      </w:r>
      <w:r w:rsidR="002245BB" w:rsidRPr="00EE2386">
        <w:rPr>
          <w:szCs w:val="20"/>
          <w:lang w:val="es-PE"/>
        </w:rPr>
        <w:t>l 14 de abril de 1997 el Juzgado Segundo del IV Distrito de la Policía Nacional de Guayaquil</w:t>
      </w:r>
      <w:r w:rsidR="0028717A" w:rsidRPr="00EE2386">
        <w:rPr>
          <w:szCs w:val="20"/>
          <w:lang w:val="es-PE"/>
        </w:rPr>
        <w:t xml:space="preserve"> (“Juez Segundo Policial”)</w:t>
      </w:r>
      <w:r w:rsidR="002245BB" w:rsidRPr="00EE2386">
        <w:rPr>
          <w:szCs w:val="20"/>
          <w:lang w:val="es-PE"/>
        </w:rPr>
        <w:t>, dictó</w:t>
      </w:r>
      <w:r w:rsidR="0084090C" w:rsidRPr="00EE2386">
        <w:rPr>
          <w:szCs w:val="20"/>
          <w:lang w:val="es-PE"/>
        </w:rPr>
        <w:t xml:space="preserve"> un nuevo</w:t>
      </w:r>
      <w:r w:rsidR="002245BB" w:rsidRPr="00EE2386">
        <w:rPr>
          <w:szCs w:val="20"/>
          <w:lang w:val="es-PE"/>
        </w:rPr>
        <w:t xml:space="preserve"> </w:t>
      </w:r>
      <w:r w:rsidR="0084090C" w:rsidRPr="00EE2386">
        <w:rPr>
          <w:szCs w:val="20"/>
          <w:lang w:val="es-PE"/>
        </w:rPr>
        <w:t>a</w:t>
      </w:r>
      <w:r w:rsidR="002245BB" w:rsidRPr="00EE2386">
        <w:rPr>
          <w:szCs w:val="20"/>
          <w:lang w:val="es-PE"/>
        </w:rPr>
        <w:t xml:space="preserve">uto </w:t>
      </w:r>
      <w:r w:rsidR="0084090C" w:rsidRPr="00EE2386">
        <w:rPr>
          <w:szCs w:val="20"/>
          <w:lang w:val="es-PE"/>
        </w:rPr>
        <w:t>c</w:t>
      </w:r>
      <w:r w:rsidR="002245BB" w:rsidRPr="00EE2386">
        <w:rPr>
          <w:szCs w:val="20"/>
          <w:lang w:val="es-PE"/>
        </w:rPr>
        <w:t xml:space="preserve">abeza de </w:t>
      </w:r>
      <w:r w:rsidR="0084090C" w:rsidRPr="00EE2386">
        <w:rPr>
          <w:szCs w:val="20"/>
          <w:lang w:val="es-PE"/>
        </w:rPr>
        <w:t>p</w:t>
      </w:r>
      <w:r w:rsidR="002245BB" w:rsidRPr="00EE2386">
        <w:rPr>
          <w:szCs w:val="20"/>
          <w:lang w:val="es-PE"/>
        </w:rPr>
        <w:t>roceso y mandó a instruir sumario en contra de los policías José Evergisto Salazar y Julio Alcivar Sandoval</w:t>
      </w:r>
      <w:r w:rsidR="00D67227" w:rsidRPr="00EE2386">
        <w:rPr>
          <w:szCs w:val="20"/>
          <w:lang w:val="es-PE"/>
        </w:rPr>
        <w:t xml:space="preserve"> Torres</w:t>
      </w:r>
      <w:r w:rsidR="0084090C" w:rsidRPr="00EE2386">
        <w:rPr>
          <w:szCs w:val="20"/>
          <w:lang w:val="es-PE"/>
        </w:rPr>
        <w:t>, solicitando al Juez Quinto Penal que remitiera todo lo actuado “por cuanto el suscrito es el competente para conocer los hechos” de conformidad con l</w:t>
      </w:r>
      <w:r w:rsidR="00A01AB8" w:rsidRPr="00EE2386">
        <w:rPr>
          <w:szCs w:val="20"/>
          <w:lang w:val="es-PE"/>
        </w:rPr>
        <w:t>os artículos 4 y 7 del Código Penal y de Procedimiento Penal de la Policía Nacional, en concordancia con el artículo 455 del Código Procesal Penal</w:t>
      </w:r>
      <w:r w:rsidR="002C7DCC" w:rsidRPr="00EE2386">
        <w:rPr>
          <w:rStyle w:val="FootnoteReference"/>
          <w:szCs w:val="20"/>
          <w:lang w:val="es-PE"/>
        </w:rPr>
        <w:footnoteReference w:id="38"/>
      </w:r>
      <w:r w:rsidR="002C7DCC" w:rsidRPr="00EE2386">
        <w:rPr>
          <w:szCs w:val="20"/>
          <w:lang w:val="es-PE"/>
        </w:rPr>
        <w:t>.</w:t>
      </w:r>
      <w:r w:rsidR="0028717A" w:rsidRPr="00EE2386">
        <w:rPr>
          <w:szCs w:val="20"/>
          <w:lang w:val="es-PE"/>
        </w:rPr>
        <w:t xml:space="preserve"> </w:t>
      </w:r>
      <w:r w:rsidR="006345D1" w:rsidRPr="00EE2386">
        <w:rPr>
          <w:szCs w:val="20"/>
          <w:lang w:val="es-PE"/>
        </w:rPr>
        <w:t xml:space="preserve">Además, ordenó </w:t>
      </w:r>
      <w:r w:rsidR="00947239" w:rsidRPr="00EE2386">
        <w:rPr>
          <w:szCs w:val="20"/>
          <w:lang w:val="es-PE"/>
        </w:rPr>
        <w:t xml:space="preserve">que </w:t>
      </w:r>
      <w:r w:rsidR="006345D1" w:rsidRPr="00EE2386">
        <w:rPr>
          <w:szCs w:val="20"/>
          <w:lang w:val="es-PE"/>
        </w:rPr>
        <w:t>se practicaran una serie de actos procesales, incluyendo declaraciones indagatorias de los sindicados</w:t>
      </w:r>
      <w:r w:rsidR="006345D1" w:rsidRPr="00EE2386">
        <w:rPr>
          <w:rStyle w:val="FootnoteReference"/>
          <w:szCs w:val="20"/>
          <w:lang w:val="es-PE"/>
        </w:rPr>
        <w:footnoteReference w:id="39"/>
      </w:r>
      <w:r w:rsidR="006345D1" w:rsidRPr="00EE2386">
        <w:rPr>
          <w:szCs w:val="20"/>
          <w:lang w:val="es-PE"/>
        </w:rPr>
        <w:t>, otros uniformados</w:t>
      </w:r>
      <w:r w:rsidR="006345D1" w:rsidRPr="00EE2386">
        <w:rPr>
          <w:rStyle w:val="FootnoteReference"/>
          <w:szCs w:val="20"/>
          <w:lang w:val="es-PE"/>
        </w:rPr>
        <w:footnoteReference w:id="40"/>
      </w:r>
      <w:r w:rsidR="006345D1" w:rsidRPr="00EE2386">
        <w:rPr>
          <w:szCs w:val="20"/>
          <w:lang w:val="es-PE"/>
        </w:rPr>
        <w:t>, y civiles</w:t>
      </w:r>
      <w:r w:rsidR="006345D1" w:rsidRPr="00EE2386">
        <w:rPr>
          <w:rStyle w:val="FootnoteReference"/>
          <w:szCs w:val="20"/>
          <w:lang w:val="es-PE"/>
        </w:rPr>
        <w:footnoteReference w:id="41"/>
      </w:r>
      <w:r w:rsidR="00755C63" w:rsidRPr="00EE2386">
        <w:rPr>
          <w:szCs w:val="20"/>
          <w:lang w:val="es-PE"/>
        </w:rPr>
        <w:t xml:space="preserve"> y </w:t>
      </w:r>
      <w:r w:rsidR="00947239" w:rsidRPr="00EE2386">
        <w:rPr>
          <w:szCs w:val="20"/>
          <w:lang w:val="es-PE"/>
        </w:rPr>
        <w:t>el</w:t>
      </w:r>
      <w:r w:rsidR="00755C63" w:rsidRPr="00EE2386">
        <w:rPr>
          <w:szCs w:val="20"/>
          <w:lang w:val="es-PE"/>
        </w:rPr>
        <w:t xml:space="preserve"> reconocimiento pericial del lugar de los hechos</w:t>
      </w:r>
      <w:r w:rsidR="00755C63" w:rsidRPr="00EE2386">
        <w:rPr>
          <w:rStyle w:val="FootnoteReference"/>
          <w:szCs w:val="20"/>
          <w:lang w:val="es-PE"/>
        </w:rPr>
        <w:footnoteReference w:id="42"/>
      </w:r>
      <w:r w:rsidR="00755C63" w:rsidRPr="00EE2386">
        <w:rPr>
          <w:szCs w:val="20"/>
          <w:lang w:val="es-PE"/>
        </w:rPr>
        <w:t xml:space="preserve">. </w:t>
      </w:r>
      <w:r w:rsidR="0050002E">
        <w:rPr>
          <w:szCs w:val="20"/>
          <w:lang w:val="es-PE"/>
        </w:rPr>
        <w:t>Con</w:t>
      </w:r>
      <w:r w:rsidR="0050002E" w:rsidRPr="00EE2386">
        <w:rPr>
          <w:szCs w:val="20"/>
          <w:lang w:val="es-PE"/>
        </w:rPr>
        <w:t xml:space="preserve"> </w:t>
      </w:r>
      <w:r w:rsidR="006105A8" w:rsidRPr="00EE2386">
        <w:rPr>
          <w:szCs w:val="20"/>
          <w:lang w:val="es-PE"/>
        </w:rPr>
        <w:t xml:space="preserve">base </w:t>
      </w:r>
      <w:r w:rsidR="0050002E">
        <w:rPr>
          <w:szCs w:val="20"/>
          <w:lang w:val="es-PE"/>
        </w:rPr>
        <w:t>en</w:t>
      </w:r>
      <w:r w:rsidR="006105A8" w:rsidRPr="00EE2386">
        <w:rPr>
          <w:szCs w:val="20"/>
          <w:lang w:val="es-PE"/>
        </w:rPr>
        <w:t xml:space="preserve"> la solicitud expresa mediante oficio del Juez Segundo Policial de 15 de abril de 1997, el 16 de abril el Juez Quinto Penal ordenó remitir inmediatamente el proceso a dicha judicatura</w:t>
      </w:r>
      <w:r w:rsidR="006105A8" w:rsidRPr="00EE2386">
        <w:rPr>
          <w:rStyle w:val="FootnoteReference"/>
          <w:szCs w:val="20"/>
          <w:lang w:val="es-PE"/>
        </w:rPr>
        <w:footnoteReference w:id="43"/>
      </w:r>
      <w:r w:rsidR="006105A8" w:rsidRPr="00EE2386">
        <w:rPr>
          <w:szCs w:val="20"/>
          <w:lang w:val="es-PE"/>
        </w:rPr>
        <w:t xml:space="preserve">. </w:t>
      </w:r>
      <w:r w:rsidR="00420730" w:rsidRPr="00EE2386">
        <w:rPr>
          <w:szCs w:val="20"/>
          <w:lang w:val="es-PE"/>
        </w:rPr>
        <w:t>Habiendo recibido el proceso penal, el 23 de abril de 1997</w:t>
      </w:r>
      <w:r w:rsidR="009F39B5" w:rsidRPr="00EE2386">
        <w:rPr>
          <w:szCs w:val="20"/>
          <w:lang w:val="es-PE"/>
        </w:rPr>
        <w:t>,</w:t>
      </w:r>
      <w:r w:rsidR="00420730" w:rsidRPr="00EE2386">
        <w:rPr>
          <w:szCs w:val="20"/>
          <w:lang w:val="es-PE"/>
        </w:rPr>
        <w:t xml:space="preserve"> el Juez Segundo Policial</w:t>
      </w:r>
      <w:r w:rsidR="00667AC4" w:rsidRPr="00EE2386">
        <w:rPr>
          <w:szCs w:val="20"/>
          <w:lang w:val="es-PE"/>
        </w:rPr>
        <w:t xml:space="preserve"> reconoció a Medardo Aguas Acosta como acusador particular,</w:t>
      </w:r>
      <w:r w:rsidR="00420730" w:rsidRPr="00EE2386">
        <w:rPr>
          <w:szCs w:val="20"/>
          <w:lang w:val="es-PE"/>
        </w:rPr>
        <w:t xml:space="preserve"> </w:t>
      </w:r>
      <w:r w:rsidR="00DB3E3D" w:rsidRPr="00EE2386">
        <w:rPr>
          <w:szCs w:val="20"/>
          <w:lang w:val="es-PE"/>
        </w:rPr>
        <w:t xml:space="preserve">declaró que los actos procesales del Juez Quinto Penal tenían plena validez, pero </w:t>
      </w:r>
      <w:r w:rsidR="00420730" w:rsidRPr="00EE2386">
        <w:rPr>
          <w:szCs w:val="20"/>
          <w:lang w:val="es-PE"/>
        </w:rPr>
        <w:t>revocó la orden de prisión preventiva en contra de José Evergisto Salazar, ordenando que éste fuera puesto en libertad y reintegrado a las funciones que le asignara la superioridad institucional</w:t>
      </w:r>
      <w:r w:rsidR="00420730" w:rsidRPr="00EE2386">
        <w:rPr>
          <w:rStyle w:val="FootnoteReference"/>
          <w:szCs w:val="20"/>
          <w:lang w:val="es-PE"/>
        </w:rPr>
        <w:footnoteReference w:id="44"/>
      </w:r>
      <w:r w:rsidR="00420730" w:rsidRPr="00EE2386">
        <w:rPr>
          <w:szCs w:val="20"/>
          <w:lang w:val="es-PE"/>
        </w:rPr>
        <w:t>.</w:t>
      </w:r>
      <w:r w:rsidR="00CD6F68" w:rsidRPr="00EE2386">
        <w:rPr>
          <w:szCs w:val="20"/>
          <w:lang w:val="es-PE"/>
        </w:rPr>
        <w:t xml:space="preserve"> El 3 de abril de 1998, el Juez Segundo Policial extendió el sumario en contra de los policías Henry Omar Martínez Pico, Julio Gilberto Fajardo Cabrera y Pedro José Elizalde </w:t>
      </w:r>
      <w:r w:rsidR="009F39B5" w:rsidRPr="00EE2386">
        <w:rPr>
          <w:szCs w:val="20"/>
          <w:lang w:val="es-PE"/>
        </w:rPr>
        <w:t>Sánchez</w:t>
      </w:r>
      <w:r w:rsidR="00CD6F68" w:rsidRPr="00EE2386">
        <w:rPr>
          <w:rStyle w:val="FootnoteReference"/>
          <w:szCs w:val="20"/>
          <w:lang w:val="es-PE"/>
        </w:rPr>
        <w:footnoteReference w:id="45"/>
      </w:r>
      <w:r w:rsidR="00CD6F68" w:rsidRPr="00EE2386">
        <w:rPr>
          <w:szCs w:val="20"/>
          <w:lang w:val="es-PE"/>
        </w:rPr>
        <w:t>.</w:t>
      </w:r>
    </w:p>
    <w:p w14:paraId="1320FD06" w14:textId="77777777" w:rsidR="00CD6F68" w:rsidRPr="00EE2386" w:rsidRDefault="00CD6F68" w:rsidP="00CD6F68">
      <w:pPr>
        <w:pStyle w:val="ListParagraph"/>
        <w:numPr>
          <w:ilvl w:val="0"/>
          <w:numId w:val="0"/>
        </w:numPr>
        <w:rPr>
          <w:szCs w:val="20"/>
          <w:lang w:val="es-US"/>
        </w:rPr>
      </w:pPr>
    </w:p>
    <w:p w14:paraId="73977FA8" w14:textId="77777777" w:rsidR="009257EB" w:rsidRPr="00EE2386" w:rsidRDefault="00302304" w:rsidP="00CD6F68">
      <w:pPr>
        <w:pStyle w:val="ListParagraph"/>
        <w:rPr>
          <w:szCs w:val="20"/>
          <w:lang w:val="es-US"/>
        </w:rPr>
      </w:pPr>
      <w:r w:rsidRPr="00EE2386">
        <w:rPr>
          <w:szCs w:val="20"/>
          <w:lang w:val="es-PE"/>
        </w:rPr>
        <w:lastRenderedPageBreak/>
        <w:t>Consta</w:t>
      </w:r>
      <w:r w:rsidR="00CD6F68" w:rsidRPr="00EE2386">
        <w:rPr>
          <w:szCs w:val="20"/>
          <w:lang w:val="es-PE"/>
        </w:rPr>
        <w:t xml:space="preserve"> en el proceso</w:t>
      </w:r>
      <w:r w:rsidRPr="00EE2386">
        <w:rPr>
          <w:szCs w:val="20"/>
          <w:lang w:val="es-PE"/>
        </w:rPr>
        <w:t xml:space="preserve"> que</w:t>
      </w:r>
      <w:r w:rsidR="00CD6F68" w:rsidRPr="00EE2386">
        <w:rPr>
          <w:szCs w:val="20"/>
          <w:lang w:val="es-PE"/>
        </w:rPr>
        <w:t xml:space="preserve"> </w:t>
      </w:r>
      <w:r w:rsidR="00947239" w:rsidRPr="00EE2386">
        <w:rPr>
          <w:szCs w:val="20"/>
          <w:lang w:val="es-PE"/>
        </w:rPr>
        <w:t xml:space="preserve">entre </w:t>
      </w:r>
      <w:r w:rsidR="00DB3E3D" w:rsidRPr="00EE2386">
        <w:rPr>
          <w:szCs w:val="20"/>
          <w:lang w:val="es-PE"/>
        </w:rPr>
        <w:t>abril de 1997</w:t>
      </w:r>
      <w:r w:rsidR="00947239" w:rsidRPr="00EE2386">
        <w:rPr>
          <w:szCs w:val="20"/>
          <w:lang w:val="es-PE"/>
        </w:rPr>
        <w:t xml:space="preserve"> y </w:t>
      </w:r>
      <w:r w:rsidR="00CD6F68" w:rsidRPr="00EE2386">
        <w:rPr>
          <w:szCs w:val="20"/>
          <w:lang w:val="es-PE"/>
        </w:rPr>
        <w:t>junio</w:t>
      </w:r>
      <w:r w:rsidR="00D506F5" w:rsidRPr="00EE2386">
        <w:rPr>
          <w:szCs w:val="20"/>
          <w:lang w:val="es-PE"/>
        </w:rPr>
        <w:t xml:space="preserve"> de 1998</w:t>
      </w:r>
      <w:r w:rsidR="00DB3E3D" w:rsidRPr="00EE2386">
        <w:rPr>
          <w:szCs w:val="20"/>
          <w:lang w:val="es-PE"/>
        </w:rPr>
        <w:t xml:space="preserve"> rindieron declaración indagatoria ante el Juez Segundo Policial los policías Julio Alcivar Sandoval Torres</w:t>
      </w:r>
      <w:r w:rsidR="004C5D66" w:rsidRPr="00EE2386">
        <w:rPr>
          <w:rStyle w:val="FootnoteReference"/>
          <w:szCs w:val="20"/>
          <w:lang w:val="es-PE"/>
        </w:rPr>
        <w:footnoteReference w:id="46"/>
      </w:r>
      <w:r w:rsidR="00D506F5" w:rsidRPr="00EE2386">
        <w:rPr>
          <w:szCs w:val="20"/>
          <w:lang w:val="es-PE"/>
        </w:rPr>
        <w:t>,</w:t>
      </w:r>
      <w:r w:rsidR="00DB3E3D" w:rsidRPr="00EE2386">
        <w:rPr>
          <w:szCs w:val="20"/>
          <w:lang w:val="es-PE"/>
        </w:rPr>
        <w:t xml:space="preserve"> José Evergisto Salazar</w:t>
      </w:r>
      <w:r w:rsidR="00F412D5" w:rsidRPr="00EE2386">
        <w:rPr>
          <w:rStyle w:val="FootnoteReference"/>
          <w:szCs w:val="20"/>
          <w:lang w:val="es-PE"/>
        </w:rPr>
        <w:footnoteReference w:id="47"/>
      </w:r>
      <w:r w:rsidR="00D506F5" w:rsidRPr="00EE2386">
        <w:rPr>
          <w:szCs w:val="20"/>
          <w:lang w:val="es-PE"/>
        </w:rPr>
        <w:t>, Henry Omar Martínez Pico</w:t>
      </w:r>
      <w:r w:rsidR="00D506F5" w:rsidRPr="00EE2386">
        <w:rPr>
          <w:rStyle w:val="FootnoteReference"/>
          <w:szCs w:val="20"/>
          <w:lang w:val="es-PE"/>
        </w:rPr>
        <w:footnoteReference w:id="48"/>
      </w:r>
      <w:r w:rsidR="00CD6F68" w:rsidRPr="00EE2386">
        <w:rPr>
          <w:szCs w:val="20"/>
          <w:lang w:val="es-PE"/>
        </w:rPr>
        <w:t xml:space="preserve"> y Pedro José Elizalde Sánchez</w:t>
      </w:r>
      <w:r w:rsidR="00CD6F68" w:rsidRPr="00EE2386">
        <w:rPr>
          <w:rStyle w:val="FootnoteReference"/>
          <w:szCs w:val="20"/>
          <w:lang w:val="es-PE"/>
        </w:rPr>
        <w:footnoteReference w:id="49"/>
      </w:r>
      <w:r w:rsidR="00DB3E3D" w:rsidRPr="00EE2386">
        <w:rPr>
          <w:szCs w:val="20"/>
          <w:lang w:val="es-PE"/>
        </w:rPr>
        <w:t xml:space="preserve">. </w:t>
      </w:r>
      <w:r w:rsidR="00C22764" w:rsidRPr="00EE2386">
        <w:rPr>
          <w:szCs w:val="20"/>
          <w:lang w:val="es-PE"/>
        </w:rPr>
        <w:t>Asimismo, rindieron declaración testimonial el Tte. Power Santiago Loza Moscoso</w:t>
      </w:r>
      <w:r w:rsidR="00C22764" w:rsidRPr="00EE2386">
        <w:rPr>
          <w:rStyle w:val="FootnoteReference"/>
          <w:szCs w:val="20"/>
          <w:lang w:val="es-PE"/>
        </w:rPr>
        <w:footnoteReference w:id="50"/>
      </w:r>
      <w:r w:rsidR="00C22764" w:rsidRPr="00EE2386">
        <w:rPr>
          <w:szCs w:val="20"/>
          <w:lang w:val="es-PE"/>
        </w:rPr>
        <w:t>, el guardia del cementerio Luis Guillermo Espinoza</w:t>
      </w:r>
      <w:r w:rsidR="00C22764" w:rsidRPr="00EE2386">
        <w:rPr>
          <w:rStyle w:val="FootnoteReference"/>
          <w:szCs w:val="20"/>
          <w:lang w:val="es-PE"/>
        </w:rPr>
        <w:footnoteReference w:id="51"/>
      </w:r>
      <w:r w:rsidR="00C22764" w:rsidRPr="00EE2386">
        <w:rPr>
          <w:szCs w:val="20"/>
          <w:lang w:val="es-PE"/>
        </w:rPr>
        <w:t>, el Subtnte. Andrés Ramiro Fuentes Pozo</w:t>
      </w:r>
      <w:r w:rsidR="00C22764" w:rsidRPr="00EE2386">
        <w:rPr>
          <w:rStyle w:val="FootnoteReference"/>
          <w:szCs w:val="20"/>
          <w:lang w:val="es-PE"/>
        </w:rPr>
        <w:footnoteReference w:id="52"/>
      </w:r>
      <w:r w:rsidR="00947239" w:rsidRPr="00EE2386">
        <w:rPr>
          <w:szCs w:val="20"/>
          <w:lang w:val="es-PE"/>
        </w:rPr>
        <w:t xml:space="preserve"> y </w:t>
      </w:r>
      <w:r w:rsidR="00C22764" w:rsidRPr="00EE2386">
        <w:rPr>
          <w:szCs w:val="20"/>
          <w:lang w:val="es-PE"/>
        </w:rPr>
        <w:t xml:space="preserve"> se realizó un peritaje</w:t>
      </w:r>
      <w:r w:rsidR="000C0869" w:rsidRPr="00EE2386">
        <w:rPr>
          <w:szCs w:val="20"/>
          <w:lang w:val="es-PE"/>
        </w:rPr>
        <w:t xml:space="preserve"> en el que participó el Juez Segundo Policial</w:t>
      </w:r>
      <w:r w:rsidR="00947239" w:rsidRPr="00EE2386">
        <w:rPr>
          <w:szCs w:val="20"/>
          <w:lang w:val="es-PE"/>
        </w:rPr>
        <w:t>,</w:t>
      </w:r>
      <w:r w:rsidR="000C0869" w:rsidRPr="00EE2386">
        <w:rPr>
          <w:szCs w:val="20"/>
          <w:lang w:val="es-PE"/>
        </w:rPr>
        <w:t xml:space="preserve"> el Secretario del Tribunal, CboP. Jo</w:t>
      </w:r>
      <w:r w:rsidR="00947239" w:rsidRPr="00EE2386">
        <w:rPr>
          <w:szCs w:val="20"/>
          <w:lang w:val="es-PE"/>
        </w:rPr>
        <w:t>rge Washington Anchundia Quimis</w:t>
      </w:r>
      <w:r w:rsidR="000C0869" w:rsidRPr="00EE2386">
        <w:rPr>
          <w:szCs w:val="20"/>
          <w:lang w:val="es-PE"/>
        </w:rPr>
        <w:t xml:space="preserve"> y los peritos designados por el Tribunal, CboP. Jaime Romulo Macancela y P.N. Carlos Rea Pucha</w:t>
      </w:r>
      <w:r w:rsidR="000C0869" w:rsidRPr="00EE2386">
        <w:rPr>
          <w:rStyle w:val="FootnoteReference"/>
          <w:szCs w:val="20"/>
          <w:lang w:val="es-PE"/>
        </w:rPr>
        <w:footnoteReference w:id="53"/>
      </w:r>
      <w:r w:rsidR="000C0869" w:rsidRPr="00EE2386">
        <w:rPr>
          <w:szCs w:val="20"/>
          <w:lang w:val="es-PE"/>
        </w:rPr>
        <w:t xml:space="preserve">.  </w:t>
      </w:r>
    </w:p>
    <w:p w14:paraId="16093DE1" w14:textId="77777777" w:rsidR="00302304" w:rsidRPr="00EE2386" w:rsidRDefault="00302304" w:rsidP="00302304">
      <w:pPr>
        <w:pStyle w:val="ListParagraph"/>
        <w:numPr>
          <w:ilvl w:val="0"/>
          <w:numId w:val="0"/>
        </w:numPr>
        <w:rPr>
          <w:szCs w:val="20"/>
          <w:lang w:val="es-US"/>
        </w:rPr>
      </w:pPr>
    </w:p>
    <w:p w14:paraId="7B979F4D" w14:textId="77777777" w:rsidR="00302304" w:rsidRPr="00EE2386" w:rsidRDefault="00302304" w:rsidP="00CD6F68">
      <w:pPr>
        <w:pStyle w:val="ListParagraph"/>
        <w:rPr>
          <w:szCs w:val="20"/>
          <w:lang w:val="es-US"/>
        </w:rPr>
      </w:pPr>
      <w:r w:rsidRPr="00EE2386">
        <w:rPr>
          <w:szCs w:val="20"/>
          <w:lang w:val="es-PE"/>
        </w:rPr>
        <w:t xml:space="preserve">En su fallo de 28 de septiembre de 1998, </w:t>
      </w:r>
      <w:r w:rsidR="00DD2CF2" w:rsidRPr="00EE2386">
        <w:rPr>
          <w:szCs w:val="20"/>
          <w:lang w:val="es-PE"/>
        </w:rPr>
        <w:t xml:space="preserve">referido en la sección anterior, </w:t>
      </w:r>
      <w:r w:rsidR="00102746" w:rsidRPr="00EE2386">
        <w:rPr>
          <w:szCs w:val="20"/>
          <w:lang w:val="es-PE"/>
        </w:rPr>
        <w:t>la Segunda Sala d</w:t>
      </w:r>
      <w:r w:rsidRPr="00EE2386">
        <w:rPr>
          <w:szCs w:val="20"/>
          <w:lang w:val="es-PE"/>
        </w:rPr>
        <w:t xml:space="preserve">el Tribunal Constitucional </w:t>
      </w:r>
      <w:r w:rsidR="00102746" w:rsidRPr="00EE2386">
        <w:rPr>
          <w:szCs w:val="20"/>
          <w:lang w:val="es-PE"/>
        </w:rPr>
        <w:t>también destacó que “la forma parcializada como ha actuado [el Juez Segundo Policial] es aún más grave y su conducta debe ser analizada y sancionada por sus superiores de acuerdo con la Ley, e implementarse los procedimientos legales pertinentes a fin de que el delito no quede en la impunidad y se sancione a todos los responsables”</w:t>
      </w:r>
      <w:r w:rsidR="00102746" w:rsidRPr="00EE2386">
        <w:rPr>
          <w:rStyle w:val="FootnoteReference"/>
          <w:szCs w:val="20"/>
          <w:lang w:val="es-PE"/>
        </w:rPr>
        <w:footnoteReference w:id="54"/>
      </w:r>
      <w:r w:rsidR="00102746" w:rsidRPr="00EE2386">
        <w:rPr>
          <w:szCs w:val="20"/>
          <w:lang w:val="es-PE"/>
        </w:rPr>
        <w:t>.</w:t>
      </w:r>
    </w:p>
    <w:p w14:paraId="02C74084" w14:textId="77777777" w:rsidR="00CD6F68" w:rsidRPr="00EE2386" w:rsidRDefault="00CD6F68" w:rsidP="00CD6F68">
      <w:pPr>
        <w:pStyle w:val="ListParagraph"/>
        <w:numPr>
          <w:ilvl w:val="0"/>
          <w:numId w:val="0"/>
        </w:numPr>
        <w:rPr>
          <w:szCs w:val="20"/>
          <w:lang w:val="es-US"/>
        </w:rPr>
      </w:pPr>
    </w:p>
    <w:p w14:paraId="3102BF07" w14:textId="77777777" w:rsidR="00D56EA4" w:rsidRPr="00EE2386" w:rsidRDefault="009257EB" w:rsidP="000C0D13">
      <w:pPr>
        <w:pStyle w:val="ListParagraph"/>
        <w:rPr>
          <w:szCs w:val="20"/>
          <w:lang w:val="es-US"/>
        </w:rPr>
      </w:pPr>
      <w:r w:rsidRPr="00EE2386">
        <w:rPr>
          <w:szCs w:val="20"/>
          <w:lang w:val="es-PE"/>
        </w:rPr>
        <w:t>El 30 de septiembre de 1998, el Fiscal II del IV Distrito de la Policía Nacional emitió su dictamen del análisis de la prueba recopilada en el proceso</w:t>
      </w:r>
      <w:r w:rsidR="00BE1937" w:rsidRPr="00EE2386">
        <w:rPr>
          <w:szCs w:val="20"/>
          <w:lang w:val="es-PE"/>
        </w:rPr>
        <w:t xml:space="preserve"> y, coincidiendo con la versión de los hechos dada por la policía, estimó que la prueba obtenida de civiles y policías </w:t>
      </w:r>
      <w:r w:rsidR="002535D6" w:rsidRPr="00EE2386">
        <w:rPr>
          <w:szCs w:val="20"/>
          <w:lang w:val="es-PE"/>
        </w:rPr>
        <w:t>corroborraba</w:t>
      </w:r>
      <w:r w:rsidR="00BE1937" w:rsidRPr="00EE2386">
        <w:rPr>
          <w:szCs w:val="20"/>
          <w:lang w:val="es-PE"/>
        </w:rPr>
        <w:t xml:space="preserve"> que “en ningún momento los miembros policiales ha</w:t>
      </w:r>
      <w:r w:rsidR="005B78D8" w:rsidRPr="00EE2386">
        <w:rPr>
          <w:szCs w:val="20"/>
          <w:lang w:val="es-PE"/>
        </w:rPr>
        <w:t>n</w:t>
      </w:r>
      <w:r w:rsidR="00BE1937" w:rsidRPr="00EE2386">
        <w:rPr>
          <w:szCs w:val="20"/>
          <w:lang w:val="es-PE"/>
        </w:rPr>
        <w:t xml:space="preserve"> maltratado al Sr. Aguas”</w:t>
      </w:r>
      <w:r w:rsidR="002535D6" w:rsidRPr="00EE2386">
        <w:rPr>
          <w:szCs w:val="20"/>
          <w:lang w:val="es-PE"/>
        </w:rPr>
        <w:t>, por lo que consideró que no se había podido observar responsabilidad alguna y se abstuvo de acusar penalmente al Tnte</w:t>
      </w:r>
      <w:r w:rsidR="00947239" w:rsidRPr="00EE2386">
        <w:rPr>
          <w:szCs w:val="20"/>
          <w:lang w:val="es-PE"/>
        </w:rPr>
        <w:t>.</w:t>
      </w:r>
      <w:r w:rsidR="002535D6" w:rsidRPr="00EE2386">
        <w:rPr>
          <w:szCs w:val="20"/>
          <w:lang w:val="es-PE"/>
        </w:rPr>
        <w:t xml:space="preserve"> Henry Homar Martínez Pico, Sgto</w:t>
      </w:r>
      <w:r w:rsidR="004A322D" w:rsidRPr="00EE2386">
        <w:rPr>
          <w:szCs w:val="20"/>
          <w:lang w:val="es-PE"/>
        </w:rPr>
        <w:t>.</w:t>
      </w:r>
      <w:r w:rsidR="002535D6" w:rsidRPr="00EE2386">
        <w:rPr>
          <w:szCs w:val="20"/>
          <w:lang w:val="es-PE"/>
        </w:rPr>
        <w:t xml:space="preserve"> Julio Gilberto Fajardo Cabrera y Cbo</w:t>
      </w:r>
      <w:r w:rsidR="00947239" w:rsidRPr="00EE2386">
        <w:rPr>
          <w:szCs w:val="20"/>
          <w:lang w:val="es-PE"/>
        </w:rPr>
        <w:t>.</w:t>
      </w:r>
      <w:r w:rsidR="002535D6" w:rsidRPr="00EE2386">
        <w:rPr>
          <w:szCs w:val="20"/>
          <w:lang w:val="es-PE"/>
        </w:rPr>
        <w:t xml:space="preserve"> Pedro José Elizalde Sánchez. En cuanto al Sgto</w:t>
      </w:r>
      <w:r w:rsidR="004A322D" w:rsidRPr="00EE2386">
        <w:rPr>
          <w:szCs w:val="20"/>
          <w:lang w:val="es-PE"/>
        </w:rPr>
        <w:t>.</w:t>
      </w:r>
      <w:r w:rsidR="002535D6" w:rsidRPr="00EE2386">
        <w:rPr>
          <w:szCs w:val="20"/>
          <w:lang w:val="es-PE"/>
        </w:rPr>
        <w:t xml:space="preserve"> José Evergisto Salazar y al Cbo</w:t>
      </w:r>
      <w:r w:rsidR="00947239" w:rsidRPr="00EE2386">
        <w:rPr>
          <w:szCs w:val="20"/>
          <w:lang w:val="es-PE"/>
        </w:rPr>
        <w:t>.</w:t>
      </w:r>
      <w:r w:rsidR="002535D6" w:rsidRPr="00EE2386">
        <w:rPr>
          <w:szCs w:val="20"/>
          <w:lang w:val="es-PE"/>
        </w:rPr>
        <w:t xml:space="preserve"> Julio Alcivar Sandoval Torres, también se abstuvo de acusarlos penalmente, tomando en consideración “la actuación policial que cumplieron”, lo dispuesto en el artículo 12 del Código Penal de la Policía Nacional y debido a que “dentro de los autos no se ha podido probar lo manifestado por la parte acusadora ya que los supuestos testigos presenciales del hecho que ha mensionado (sic) el sr. Acusador particular no han comparecido hasta esta judicatura ha (sic) rendir sus respectivos testimonios”</w:t>
      </w:r>
      <w:r w:rsidR="002535D6" w:rsidRPr="00EE2386">
        <w:rPr>
          <w:rStyle w:val="FootnoteReference"/>
          <w:szCs w:val="20"/>
          <w:lang w:val="es-PE"/>
        </w:rPr>
        <w:footnoteReference w:id="55"/>
      </w:r>
      <w:r w:rsidR="002535D6" w:rsidRPr="00EE2386">
        <w:rPr>
          <w:szCs w:val="20"/>
          <w:lang w:val="es-PE"/>
        </w:rPr>
        <w:t>.</w:t>
      </w:r>
    </w:p>
    <w:p w14:paraId="5167366D" w14:textId="77777777" w:rsidR="00D56EA4" w:rsidRPr="00EE2386" w:rsidRDefault="00D56EA4" w:rsidP="00D56EA4">
      <w:pPr>
        <w:pStyle w:val="ListParagraph"/>
        <w:numPr>
          <w:ilvl w:val="0"/>
          <w:numId w:val="0"/>
        </w:numPr>
        <w:rPr>
          <w:szCs w:val="20"/>
          <w:lang w:val="es-US"/>
        </w:rPr>
      </w:pPr>
    </w:p>
    <w:p w14:paraId="7F9FDDFE" w14:textId="77777777" w:rsidR="00B369AC" w:rsidRPr="00EE2386" w:rsidRDefault="00825A17" w:rsidP="000C0D13">
      <w:pPr>
        <w:pStyle w:val="ListParagraph"/>
        <w:rPr>
          <w:szCs w:val="20"/>
          <w:lang w:val="es-US"/>
        </w:rPr>
      </w:pPr>
      <w:r w:rsidRPr="00EE2386">
        <w:rPr>
          <w:szCs w:val="20"/>
          <w:lang w:val="es-PE"/>
        </w:rPr>
        <w:t>Sin embargo, el 11</w:t>
      </w:r>
      <w:r w:rsidR="00D56EA4" w:rsidRPr="00EE2386">
        <w:rPr>
          <w:szCs w:val="20"/>
          <w:lang w:val="es-PE"/>
        </w:rPr>
        <w:t xml:space="preserve"> de diciembre de 1998, el Juez Segundo Policial, </w:t>
      </w:r>
      <w:r w:rsidR="00186E93" w:rsidRPr="00EE2386">
        <w:rPr>
          <w:szCs w:val="20"/>
          <w:lang w:val="es-PE"/>
        </w:rPr>
        <w:t>estuvo en desacuerdo con el criterio d</w:t>
      </w:r>
      <w:r w:rsidR="001426B1" w:rsidRPr="00EE2386">
        <w:rPr>
          <w:szCs w:val="20"/>
          <w:lang w:val="es-PE"/>
        </w:rPr>
        <w:t>el Fiscal e indicando como pruebas decisivas</w:t>
      </w:r>
      <w:r w:rsidR="00BA5E2F" w:rsidRPr="00EE2386">
        <w:rPr>
          <w:szCs w:val="20"/>
          <w:lang w:val="es-PE"/>
        </w:rPr>
        <w:t xml:space="preserve"> las declaraciones de los dueños del local</w:t>
      </w:r>
      <w:r w:rsidR="00BA5E2F" w:rsidRPr="00EE2386">
        <w:rPr>
          <w:rStyle w:val="FootnoteReference"/>
          <w:szCs w:val="20"/>
          <w:lang w:val="es-PE"/>
        </w:rPr>
        <w:footnoteReference w:id="56"/>
      </w:r>
      <w:r w:rsidR="00BA5E2F" w:rsidRPr="00EE2386">
        <w:rPr>
          <w:szCs w:val="20"/>
          <w:lang w:val="es-PE"/>
        </w:rPr>
        <w:t>, las enfermeras</w:t>
      </w:r>
      <w:r w:rsidR="00BA5E2F" w:rsidRPr="00EE2386">
        <w:rPr>
          <w:rStyle w:val="FootnoteReference"/>
          <w:szCs w:val="20"/>
          <w:lang w:val="es-PE"/>
        </w:rPr>
        <w:footnoteReference w:id="57"/>
      </w:r>
      <w:r w:rsidR="00BA5E2F" w:rsidRPr="00EE2386">
        <w:rPr>
          <w:szCs w:val="20"/>
          <w:lang w:val="es-PE"/>
        </w:rPr>
        <w:t>, los médicos legistas</w:t>
      </w:r>
      <w:r w:rsidR="00BA5E2F" w:rsidRPr="00EE2386">
        <w:rPr>
          <w:rStyle w:val="FootnoteReference"/>
          <w:szCs w:val="20"/>
          <w:lang w:val="es-PE"/>
        </w:rPr>
        <w:footnoteReference w:id="58"/>
      </w:r>
      <w:r w:rsidR="00BA5E2F" w:rsidRPr="00EE2386">
        <w:rPr>
          <w:szCs w:val="20"/>
          <w:lang w:val="es-PE"/>
        </w:rPr>
        <w:t>, un civil</w:t>
      </w:r>
      <w:r w:rsidR="00BA5E2F" w:rsidRPr="00EE2386">
        <w:rPr>
          <w:rStyle w:val="FootnoteReference"/>
          <w:szCs w:val="20"/>
          <w:lang w:val="es-PE"/>
        </w:rPr>
        <w:footnoteReference w:id="59"/>
      </w:r>
      <w:r w:rsidR="00BA5E2F" w:rsidRPr="00EE2386">
        <w:rPr>
          <w:szCs w:val="20"/>
          <w:lang w:val="es-PE"/>
        </w:rPr>
        <w:t xml:space="preserve"> y algunos uniformados</w:t>
      </w:r>
      <w:r w:rsidR="00BA5E2F" w:rsidRPr="00EE2386">
        <w:rPr>
          <w:rStyle w:val="FootnoteReference"/>
          <w:szCs w:val="20"/>
          <w:lang w:val="es-PE"/>
        </w:rPr>
        <w:footnoteReference w:id="60"/>
      </w:r>
      <w:r w:rsidR="00BA5E2F" w:rsidRPr="00EE2386">
        <w:rPr>
          <w:szCs w:val="20"/>
          <w:lang w:val="es-PE"/>
        </w:rPr>
        <w:t>,</w:t>
      </w:r>
      <w:r w:rsidR="00186E93" w:rsidRPr="00EE2386">
        <w:rPr>
          <w:szCs w:val="20"/>
          <w:lang w:val="es-PE"/>
        </w:rPr>
        <w:t xml:space="preserve"> </w:t>
      </w:r>
      <w:r w:rsidR="00CA23D2" w:rsidRPr="00EE2386">
        <w:rPr>
          <w:szCs w:val="20"/>
          <w:lang w:val="es-PE"/>
        </w:rPr>
        <w:t xml:space="preserve">estimó comprobado que la muerte de Aníbal habia sido “violenta”. </w:t>
      </w:r>
      <w:r w:rsidR="00186E93" w:rsidRPr="00EE2386">
        <w:rPr>
          <w:szCs w:val="20"/>
          <w:lang w:val="es-PE"/>
        </w:rPr>
        <w:t>Indicó que, s</w:t>
      </w:r>
      <w:r w:rsidR="00CA23D2" w:rsidRPr="00EE2386">
        <w:rPr>
          <w:szCs w:val="20"/>
          <w:lang w:val="es-PE"/>
        </w:rPr>
        <w:t xml:space="preserve">i bien no existía prueba “alguna de que haya sido golpeado por los elementos policiales durante la detención, es decir, que ingresó con vida al patrullero”, estimó acreditado “que la muerte se debió a traumatismos sufridos en la cabeza cuando se encontraba con vida, producidas por varios golpes contundentes, que produjeron varias zonas de infiltración saguinea en el craneo, así como el desnucamiento o separación de la cabeza”, por lo que concluyó que recibió “varios golpes contundentes en la cabeza </w:t>
      </w:r>
      <w:r w:rsidR="00CA23D2" w:rsidRPr="00EE2386">
        <w:rPr>
          <w:szCs w:val="20"/>
          <w:lang w:val="es-ES"/>
        </w:rPr>
        <w:t>[…] durante el lapso en que es trasladado desde el lugar de su detención hasta la prevención del Cuartel de Policía</w:t>
      </w:r>
      <w:r w:rsidR="00CA23D2" w:rsidRPr="00EE2386">
        <w:rPr>
          <w:szCs w:val="20"/>
          <w:lang w:val="es-PE"/>
        </w:rPr>
        <w:t xml:space="preserve">”. Además, </w:t>
      </w:r>
      <w:r w:rsidR="004A322D" w:rsidRPr="00EE2386">
        <w:rPr>
          <w:szCs w:val="20"/>
          <w:lang w:val="es-PE"/>
        </w:rPr>
        <w:t xml:space="preserve">consideró </w:t>
      </w:r>
      <w:r w:rsidR="00CA23D2" w:rsidRPr="00EE2386">
        <w:rPr>
          <w:szCs w:val="20"/>
          <w:lang w:val="es-PE"/>
        </w:rPr>
        <w:t>probado que “el agua echada en la cabeza y en la parte superior del cuerpo fue para lavar la sangre de la herida que tenía en la cabeza”</w:t>
      </w:r>
      <w:r w:rsidR="0095776F" w:rsidRPr="00EE2386">
        <w:rPr>
          <w:szCs w:val="20"/>
          <w:lang w:val="es-PE"/>
        </w:rPr>
        <w:t xml:space="preserve"> y que no coincidía con la prueba la alegación de que el golpe mortal en la cabeza se produjo cuando el cuerpo se resbaló al bajarlo del carro en la morgue, ya que al llegar ahí ya estaba muerto. En consecuencia, teniendo en consideración que las únicas personas que se encontraban con Aníbal </w:t>
      </w:r>
      <w:r w:rsidR="004A322D" w:rsidRPr="00EE2386">
        <w:rPr>
          <w:szCs w:val="20"/>
          <w:lang w:val="es-PE"/>
        </w:rPr>
        <w:t xml:space="preserve">Aguas </w:t>
      </w:r>
      <w:r w:rsidR="0095776F" w:rsidRPr="00EE2386">
        <w:rPr>
          <w:szCs w:val="20"/>
          <w:lang w:val="es-PE"/>
        </w:rPr>
        <w:t>cuando se le produjeron los golpes que la causaron la muerte</w:t>
      </w:r>
      <w:r w:rsidR="00D56EA4" w:rsidRPr="00EE2386">
        <w:rPr>
          <w:szCs w:val="20"/>
          <w:lang w:val="es-PE"/>
        </w:rPr>
        <w:t xml:space="preserve"> </w:t>
      </w:r>
      <w:r w:rsidR="0095776F" w:rsidRPr="00EE2386">
        <w:rPr>
          <w:szCs w:val="20"/>
          <w:lang w:val="es-PE"/>
        </w:rPr>
        <w:t>eran el</w:t>
      </w:r>
      <w:r w:rsidR="002535D6" w:rsidRPr="00EE2386">
        <w:rPr>
          <w:szCs w:val="20"/>
          <w:lang w:val="es-PE"/>
        </w:rPr>
        <w:t xml:space="preserve"> </w:t>
      </w:r>
      <w:r w:rsidR="004A322D" w:rsidRPr="00EE2386">
        <w:rPr>
          <w:szCs w:val="20"/>
          <w:lang w:val="es-PE"/>
        </w:rPr>
        <w:t>S</w:t>
      </w:r>
      <w:r w:rsidR="0095776F" w:rsidRPr="00EE2386">
        <w:rPr>
          <w:szCs w:val="20"/>
          <w:lang w:val="es-PE"/>
        </w:rPr>
        <w:t>gto</w:t>
      </w:r>
      <w:r w:rsidR="004A322D" w:rsidRPr="00EE2386">
        <w:rPr>
          <w:szCs w:val="20"/>
          <w:lang w:val="es-PE"/>
        </w:rPr>
        <w:t>. José Evergisto Salazar y e</w:t>
      </w:r>
      <w:r w:rsidR="00C602D8" w:rsidRPr="00EE2386">
        <w:rPr>
          <w:szCs w:val="20"/>
          <w:lang w:val="es-PE"/>
        </w:rPr>
        <w:t>l C</w:t>
      </w:r>
      <w:r w:rsidR="0095776F" w:rsidRPr="00EE2386">
        <w:rPr>
          <w:szCs w:val="20"/>
          <w:lang w:val="es-PE"/>
        </w:rPr>
        <w:t>bo</w:t>
      </w:r>
      <w:r w:rsidR="00C602D8" w:rsidRPr="00EE2386">
        <w:rPr>
          <w:szCs w:val="20"/>
          <w:lang w:val="es-PE"/>
        </w:rPr>
        <w:t>.</w:t>
      </w:r>
      <w:r w:rsidR="0095776F" w:rsidRPr="00EE2386">
        <w:rPr>
          <w:szCs w:val="20"/>
          <w:lang w:val="es-PE"/>
        </w:rPr>
        <w:t xml:space="preserve"> Julio Alcivar </w:t>
      </w:r>
      <w:r w:rsidR="0095776F" w:rsidRPr="00EE2386">
        <w:rPr>
          <w:szCs w:val="20"/>
          <w:lang w:val="es-PE"/>
        </w:rPr>
        <w:lastRenderedPageBreak/>
        <w:t>Sandoval Torres</w:t>
      </w:r>
      <w:r w:rsidR="00B5619E" w:rsidRPr="00EE2386">
        <w:rPr>
          <w:szCs w:val="20"/>
          <w:lang w:val="es-PE"/>
        </w:rPr>
        <w:t xml:space="preserve">, dictó auto motivado </w:t>
      </w:r>
      <w:r w:rsidR="00186E93" w:rsidRPr="00EE2386">
        <w:rPr>
          <w:szCs w:val="20"/>
          <w:lang w:val="es-PE"/>
        </w:rPr>
        <w:t>y elevó al plenario el proceso en contra de éstos como autores d</w:t>
      </w:r>
      <w:r w:rsidR="00B5619E" w:rsidRPr="00EE2386">
        <w:rPr>
          <w:szCs w:val="20"/>
          <w:lang w:val="es-PE"/>
        </w:rPr>
        <w:t xml:space="preserve">el delito de homicidio simple </w:t>
      </w:r>
      <w:r w:rsidR="00186E93" w:rsidRPr="00EE2386">
        <w:rPr>
          <w:szCs w:val="20"/>
          <w:lang w:val="es-PE"/>
        </w:rPr>
        <w:t xml:space="preserve">tipificado en </w:t>
      </w:r>
      <w:r w:rsidR="004B2581" w:rsidRPr="00EE2386">
        <w:rPr>
          <w:szCs w:val="20"/>
          <w:lang w:val="es-PE"/>
        </w:rPr>
        <w:t>el artículo 227 del Código Penal de la Policía Nacional</w:t>
      </w:r>
      <w:r w:rsidR="00186E93" w:rsidRPr="00EE2386">
        <w:rPr>
          <w:szCs w:val="20"/>
          <w:lang w:val="es-PE"/>
        </w:rPr>
        <w:t>, ordenando asimismo su detención. En el mismo acto dictó</w:t>
      </w:r>
      <w:r w:rsidR="00B5619E" w:rsidRPr="00EE2386">
        <w:rPr>
          <w:szCs w:val="20"/>
          <w:lang w:val="es-PE"/>
        </w:rPr>
        <w:t xml:space="preserve"> sobreseimiento provisional a favor del Tnte</w:t>
      </w:r>
      <w:r w:rsidR="00C602D8" w:rsidRPr="00EE2386">
        <w:rPr>
          <w:szCs w:val="20"/>
          <w:lang w:val="es-PE"/>
        </w:rPr>
        <w:t>.</w:t>
      </w:r>
      <w:r w:rsidR="00B5619E" w:rsidRPr="00EE2386">
        <w:rPr>
          <w:szCs w:val="20"/>
          <w:lang w:val="es-PE"/>
        </w:rPr>
        <w:t xml:space="preserve"> Henry Omar Martínez Pico, </w:t>
      </w:r>
      <w:r w:rsidR="00186E93" w:rsidRPr="00EE2386">
        <w:rPr>
          <w:szCs w:val="20"/>
          <w:lang w:val="es-PE"/>
        </w:rPr>
        <w:t xml:space="preserve">el </w:t>
      </w:r>
      <w:r w:rsidR="00B5619E" w:rsidRPr="00EE2386">
        <w:rPr>
          <w:szCs w:val="20"/>
          <w:lang w:val="es-PE"/>
        </w:rPr>
        <w:t>Sgto</w:t>
      </w:r>
      <w:r w:rsidR="004A322D" w:rsidRPr="00EE2386">
        <w:rPr>
          <w:szCs w:val="20"/>
          <w:lang w:val="es-PE"/>
        </w:rPr>
        <w:t>.</w:t>
      </w:r>
      <w:r w:rsidR="00B5619E" w:rsidRPr="00EE2386">
        <w:rPr>
          <w:szCs w:val="20"/>
          <w:lang w:val="es-PE"/>
        </w:rPr>
        <w:t xml:space="preserve"> Julio Gilberto Fajardo Cabrera y </w:t>
      </w:r>
      <w:r w:rsidR="00186E93" w:rsidRPr="00EE2386">
        <w:rPr>
          <w:szCs w:val="20"/>
          <w:lang w:val="es-PE"/>
        </w:rPr>
        <w:t xml:space="preserve">el </w:t>
      </w:r>
      <w:r w:rsidR="00C602D8" w:rsidRPr="00EE2386">
        <w:rPr>
          <w:szCs w:val="20"/>
          <w:lang w:val="es-PE"/>
        </w:rPr>
        <w:t>C</w:t>
      </w:r>
      <w:r w:rsidR="00B5619E" w:rsidRPr="00EE2386">
        <w:rPr>
          <w:szCs w:val="20"/>
          <w:lang w:val="es-PE"/>
        </w:rPr>
        <w:t>bo</w:t>
      </w:r>
      <w:r w:rsidR="00C602D8" w:rsidRPr="00EE2386">
        <w:rPr>
          <w:szCs w:val="20"/>
          <w:lang w:val="es-PE"/>
        </w:rPr>
        <w:t>.</w:t>
      </w:r>
      <w:r w:rsidR="00B5619E" w:rsidRPr="00EE2386">
        <w:rPr>
          <w:szCs w:val="20"/>
          <w:lang w:val="es-PE"/>
        </w:rPr>
        <w:t xml:space="preserve"> Pedro José Elizalde Sánchez</w:t>
      </w:r>
      <w:r w:rsidR="005A25C6" w:rsidRPr="00EE2386">
        <w:rPr>
          <w:szCs w:val="20"/>
          <w:lang w:val="es-PE"/>
        </w:rPr>
        <w:t>, por considerar que no existía prueba alguna de su responsabilidad en la muerte de Aníbal Aguas ya que “solo colaboraron en su detención y no estuvieron presentes durante su traslado”</w:t>
      </w:r>
      <w:r w:rsidR="0095776F" w:rsidRPr="00EE2386">
        <w:rPr>
          <w:rStyle w:val="FootnoteReference"/>
          <w:szCs w:val="20"/>
          <w:lang w:val="es-ES"/>
        </w:rPr>
        <w:footnoteReference w:id="61"/>
      </w:r>
      <w:r w:rsidR="0095776F" w:rsidRPr="00EE2386">
        <w:rPr>
          <w:szCs w:val="20"/>
          <w:lang w:val="es-ES"/>
        </w:rPr>
        <w:t>.</w:t>
      </w:r>
      <w:r w:rsidR="00B369AC" w:rsidRPr="00EE2386">
        <w:rPr>
          <w:szCs w:val="20"/>
          <w:lang w:val="es-ES"/>
        </w:rPr>
        <w:t xml:space="preserve"> </w:t>
      </w:r>
    </w:p>
    <w:p w14:paraId="331456C8" w14:textId="77777777" w:rsidR="00B369AC" w:rsidRPr="00EE2386" w:rsidRDefault="00B369AC" w:rsidP="00B369AC">
      <w:pPr>
        <w:pStyle w:val="ListParagraph"/>
        <w:numPr>
          <w:ilvl w:val="0"/>
          <w:numId w:val="0"/>
        </w:numPr>
        <w:rPr>
          <w:szCs w:val="20"/>
          <w:lang w:val="es-US"/>
        </w:rPr>
      </w:pPr>
    </w:p>
    <w:p w14:paraId="2E51F3B9" w14:textId="77777777" w:rsidR="009257EB" w:rsidRPr="00EE2386" w:rsidRDefault="00B369AC" w:rsidP="000C0D13">
      <w:pPr>
        <w:pStyle w:val="ListParagraph"/>
        <w:rPr>
          <w:szCs w:val="20"/>
          <w:lang w:val="es-US"/>
        </w:rPr>
      </w:pPr>
      <w:r w:rsidRPr="00EE2386">
        <w:rPr>
          <w:szCs w:val="20"/>
          <w:lang w:val="es-ES"/>
        </w:rPr>
        <w:t>Consta de certificación de la Comandancia General de la Policía Nacional que</w:t>
      </w:r>
      <w:r w:rsidR="00443ECC" w:rsidRPr="00EE2386">
        <w:rPr>
          <w:szCs w:val="20"/>
          <w:lang w:val="es-ES"/>
        </w:rPr>
        <w:t xml:space="preserve"> el </w:t>
      </w:r>
      <w:r w:rsidR="00C602D8" w:rsidRPr="00EE2386">
        <w:rPr>
          <w:szCs w:val="20"/>
          <w:lang w:val="es-PE"/>
        </w:rPr>
        <w:t>C</w:t>
      </w:r>
      <w:r w:rsidR="00443ECC" w:rsidRPr="00EE2386">
        <w:rPr>
          <w:szCs w:val="20"/>
          <w:lang w:val="es-PE"/>
        </w:rPr>
        <w:t>bo</w:t>
      </w:r>
      <w:r w:rsidR="00C602D8" w:rsidRPr="00EE2386">
        <w:rPr>
          <w:szCs w:val="20"/>
          <w:lang w:val="es-PE"/>
        </w:rPr>
        <w:t>.</w:t>
      </w:r>
      <w:r w:rsidR="00443ECC" w:rsidRPr="00EE2386">
        <w:rPr>
          <w:szCs w:val="20"/>
          <w:lang w:val="es-PE"/>
        </w:rPr>
        <w:t xml:space="preserve"> Sandoval </w:t>
      </w:r>
      <w:r w:rsidR="005A25C6" w:rsidRPr="00EE2386">
        <w:rPr>
          <w:szCs w:val="20"/>
          <w:lang w:val="es-PE"/>
        </w:rPr>
        <w:t>habría sido</w:t>
      </w:r>
      <w:r w:rsidR="00443ECC" w:rsidRPr="00EE2386">
        <w:rPr>
          <w:szCs w:val="20"/>
          <w:lang w:val="es-PE"/>
        </w:rPr>
        <w:t xml:space="preserve"> detenido en el Regimiento Guayas a partir del 13 de enero de 1999</w:t>
      </w:r>
      <w:r w:rsidR="005178CC" w:rsidRPr="00EE2386">
        <w:rPr>
          <w:szCs w:val="20"/>
          <w:lang w:val="es-PE"/>
        </w:rPr>
        <w:t xml:space="preserve"> y que el Sgto</w:t>
      </w:r>
      <w:r w:rsidR="00C602D8" w:rsidRPr="00EE2386">
        <w:rPr>
          <w:szCs w:val="20"/>
          <w:lang w:val="es-PE"/>
        </w:rPr>
        <w:t>.</w:t>
      </w:r>
      <w:r w:rsidR="005178CC" w:rsidRPr="00EE2386">
        <w:rPr>
          <w:szCs w:val="20"/>
          <w:lang w:val="es-PE"/>
        </w:rPr>
        <w:t xml:space="preserve"> Salazar sería detenido con posterioridad</w:t>
      </w:r>
      <w:r w:rsidR="00443ECC" w:rsidRPr="00EE2386">
        <w:rPr>
          <w:rStyle w:val="FootnoteReference"/>
          <w:szCs w:val="20"/>
          <w:lang w:val="es-PE"/>
        </w:rPr>
        <w:footnoteReference w:id="62"/>
      </w:r>
      <w:r w:rsidR="00443ECC" w:rsidRPr="00EE2386">
        <w:rPr>
          <w:szCs w:val="20"/>
          <w:lang w:val="es-PE"/>
        </w:rPr>
        <w:t>.</w:t>
      </w:r>
      <w:r w:rsidR="00325ECD" w:rsidRPr="00EE2386">
        <w:rPr>
          <w:szCs w:val="20"/>
          <w:lang w:val="es-PE"/>
        </w:rPr>
        <w:t xml:space="preserve"> Sin embargo, en confesión rendida dentro de la causa ante la justicia policial de 1 de febrero de 1999, no hay constancia de que el Cbo</w:t>
      </w:r>
      <w:r w:rsidR="00C602D8" w:rsidRPr="00EE2386">
        <w:rPr>
          <w:szCs w:val="20"/>
          <w:lang w:val="es-PE"/>
        </w:rPr>
        <w:t>.</w:t>
      </w:r>
      <w:r w:rsidR="00325ECD" w:rsidRPr="00EE2386">
        <w:rPr>
          <w:szCs w:val="20"/>
          <w:lang w:val="es-PE"/>
        </w:rPr>
        <w:t xml:space="preserve"> Sandoval se encontrare detenido al momento de su declaración</w:t>
      </w:r>
      <w:r w:rsidR="00325ECD" w:rsidRPr="00EE2386">
        <w:rPr>
          <w:rStyle w:val="FootnoteReference"/>
          <w:szCs w:val="20"/>
          <w:lang w:val="es-PE"/>
        </w:rPr>
        <w:footnoteReference w:id="63"/>
      </w:r>
      <w:r w:rsidR="00325ECD" w:rsidRPr="00EE2386">
        <w:rPr>
          <w:szCs w:val="20"/>
          <w:lang w:val="es-PE"/>
        </w:rPr>
        <w:t>.</w:t>
      </w:r>
      <w:r w:rsidR="009D7324" w:rsidRPr="00EE2386">
        <w:rPr>
          <w:szCs w:val="20"/>
          <w:lang w:val="es-PE"/>
        </w:rPr>
        <w:t xml:space="preserve"> Asimismo, en la confesión rendida por</w:t>
      </w:r>
      <w:r w:rsidR="00801BC0" w:rsidRPr="00EE2386">
        <w:rPr>
          <w:szCs w:val="20"/>
          <w:lang w:val="es-PE"/>
        </w:rPr>
        <w:t xml:space="preserve"> el Sgto</w:t>
      </w:r>
      <w:r w:rsidR="005A25C6" w:rsidRPr="00EE2386">
        <w:rPr>
          <w:szCs w:val="20"/>
          <w:lang w:val="es-PE"/>
        </w:rPr>
        <w:t>.</w:t>
      </w:r>
      <w:r w:rsidR="00801BC0" w:rsidRPr="00EE2386">
        <w:rPr>
          <w:szCs w:val="20"/>
          <w:lang w:val="es-PE"/>
        </w:rPr>
        <w:t xml:space="preserve"> Salazar el 4 de octubre de 1999, no hay constancia de que este hubiera sido detenido</w:t>
      </w:r>
      <w:r w:rsidR="00801BC0" w:rsidRPr="00EE2386">
        <w:rPr>
          <w:rStyle w:val="FootnoteReference"/>
          <w:szCs w:val="20"/>
          <w:lang w:val="es-PE"/>
        </w:rPr>
        <w:footnoteReference w:id="64"/>
      </w:r>
      <w:r w:rsidR="00801BC0" w:rsidRPr="00EE2386">
        <w:rPr>
          <w:szCs w:val="20"/>
          <w:lang w:val="es-PE"/>
        </w:rPr>
        <w:t>.</w:t>
      </w:r>
      <w:r w:rsidR="005178CC" w:rsidRPr="00EE2386">
        <w:rPr>
          <w:szCs w:val="20"/>
          <w:lang w:val="es-PE"/>
        </w:rPr>
        <w:t xml:space="preserve"> Otra información disponible apunta a que </w:t>
      </w:r>
      <w:r w:rsidR="005A25C6" w:rsidRPr="00EE2386">
        <w:rPr>
          <w:szCs w:val="20"/>
          <w:lang w:val="es-PE"/>
        </w:rPr>
        <w:t xml:space="preserve">ambos </w:t>
      </w:r>
      <w:r w:rsidR="005178CC" w:rsidRPr="00EE2386">
        <w:rPr>
          <w:szCs w:val="20"/>
          <w:lang w:val="es-PE"/>
        </w:rPr>
        <w:t>estuvieron detenidos</w:t>
      </w:r>
      <w:r w:rsidR="009C4B9A" w:rsidRPr="00EE2386">
        <w:rPr>
          <w:szCs w:val="20"/>
          <w:lang w:val="es-PE"/>
        </w:rPr>
        <w:t xml:space="preserve"> </w:t>
      </w:r>
      <w:r w:rsidR="005178CC" w:rsidRPr="00EE2386">
        <w:rPr>
          <w:szCs w:val="20"/>
          <w:lang w:val="es-PE"/>
        </w:rPr>
        <w:t>por un año de conformidad a lo dispuesto en el artículo 24.8 de la Constitución</w:t>
      </w:r>
      <w:r w:rsidR="009C4B9A" w:rsidRPr="00EE2386">
        <w:rPr>
          <w:rStyle w:val="FootnoteReference"/>
          <w:szCs w:val="20"/>
          <w:lang w:val="es-PE"/>
        </w:rPr>
        <w:footnoteReference w:id="65"/>
      </w:r>
      <w:r w:rsidR="00141DB5" w:rsidRPr="00EE2386">
        <w:rPr>
          <w:szCs w:val="20"/>
          <w:lang w:val="es-PE"/>
        </w:rPr>
        <w:t xml:space="preserve">, pero no </w:t>
      </w:r>
      <w:r w:rsidR="0050002E">
        <w:rPr>
          <w:szCs w:val="20"/>
          <w:lang w:val="es-PE"/>
        </w:rPr>
        <w:t>se ha identificado</w:t>
      </w:r>
      <w:r w:rsidR="0050002E" w:rsidRPr="00EE2386">
        <w:rPr>
          <w:szCs w:val="20"/>
          <w:lang w:val="es-PE"/>
        </w:rPr>
        <w:t xml:space="preserve"> </w:t>
      </w:r>
      <w:r w:rsidR="00141DB5" w:rsidRPr="00EE2386">
        <w:rPr>
          <w:szCs w:val="20"/>
          <w:lang w:val="es-PE"/>
        </w:rPr>
        <w:t>constancia cierta en el expediente de que esto haya ocurrido</w:t>
      </w:r>
      <w:r w:rsidR="005178CC" w:rsidRPr="00EE2386">
        <w:rPr>
          <w:szCs w:val="20"/>
          <w:lang w:val="es-PE"/>
        </w:rPr>
        <w:t>.</w:t>
      </w:r>
    </w:p>
    <w:p w14:paraId="18FFDB79" w14:textId="77777777" w:rsidR="005B219F" w:rsidRPr="00EE2386" w:rsidRDefault="005B219F" w:rsidP="005B219F">
      <w:pPr>
        <w:pStyle w:val="ListParagraph"/>
        <w:numPr>
          <w:ilvl w:val="0"/>
          <w:numId w:val="0"/>
        </w:numPr>
        <w:rPr>
          <w:szCs w:val="20"/>
          <w:lang w:val="es-US"/>
        </w:rPr>
      </w:pPr>
    </w:p>
    <w:p w14:paraId="2A936D93" w14:textId="77777777" w:rsidR="005B219F" w:rsidRPr="00EE2386" w:rsidRDefault="005B219F" w:rsidP="000C0D13">
      <w:pPr>
        <w:pStyle w:val="ListParagraph"/>
        <w:rPr>
          <w:szCs w:val="20"/>
          <w:lang w:val="es-US"/>
        </w:rPr>
      </w:pPr>
      <w:r w:rsidRPr="00EE2386">
        <w:rPr>
          <w:szCs w:val="20"/>
          <w:lang w:val="es-US"/>
        </w:rPr>
        <w:t>El 14 de julio de 1999, resolviendo las apelaciones interpuestas por</w:t>
      </w:r>
      <w:r w:rsidR="00FE2DC3" w:rsidRPr="00EE2386">
        <w:rPr>
          <w:szCs w:val="20"/>
          <w:lang w:val="es-US"/>
        </w:rPr>
        <w:t xml:space="preserve"> el sobreseimiento de </w:t>
      </w:r>
      <w:r w:rsidR="00141DB5" w:rsidRPr="00EE2386">
        <w:rPr>
          <w:szCs w:val="20"/>
          <w:lang w:val="es-US"/>
        </w:rPr>
        <w:t xml:space="preserve">Henry </w:t>
      </w:r>
      <w:r w:rsidR="00FE2DC3" w:rsidRPr="00EE2386">
        <w:rPr>
          <w:szCs w:val="20"/>
          <w:lang w:val="es-US"/>
        </w:rPr>
        <w:t xml:space="preserve">Martínez Pico y </w:t>
      </w:r>
      <w:r w:rsidR="00141DB5" w:rsidRPr="00EE2386">
        <w:rPr>
          <w:szCs w:val="20"/>
          <w:lang w:val="es-US"/>
        </w:rPr>
        <w:t xml:space="preserve">Pedro </w:t>
      </w:r>
      <w:r w:rsidR="00FE2DC3" w:rsidRPr="00EE2386">
        <w:rPr>
          <w:szCs w:val="20"/>
          <w:lang w:val="es-US"/>
        </w:rPr>
        <w:t xml:space="preserve">Elizalde Sánchez y </w:t>
      </w:r>
      <w:r w:rsidR="00141DB5" w:rsidRPr="00EE2386">
        <w:rPr>
          <w:szCs w:val="20"/>
          <w:lang w:val="es-US"/>
        </w:rPr>
        <w:t xml:space="preserve">el </w:t>
      </w:r>
      <w:r w:rsidR="00FE2DC3" w:rsidRPr="00EE2386">
        <w:rPr>
          <w:szCs w:val="20"/>
          <w:lang w:val="es-US"/>
        </w:rPr>
        <w:t>llamamiento a plenario de José Evergisto Salazar, la Segunda Corte Distrital de la Policía Nacional</w:t>
      </w:r>
      <w:r w:rsidR="007D5B79" w:rsidRPr="00EE2386">
        <w:rPr>
          <w:szCs w:val="20"/>
          <w:lang w:val="es-US"/>
        </w:rPr>
        <w:t xml:space="preserve"> (“Segunda Corte Distrital”)</w:t>
      </w:r>
      <w:r w:rsidR="00FE2DC3" w:rsidRPr="00EE2386">
        <w:rPr>
          <w:szCs w:val="20"/>
          <w:lang w:val="es-US"/>
        </w:rPr>
        <w:t xml:space="preserve">, coincidiendo con las determinaciones del Juez Segundo Policial </w:t>
      </w:r>
      <w:r w:rsidR="00B369AC" w:rsidRPr="00EE2386">
        <w:rPr>
          <w:szCs w:val="20"/>
          <w:lang w:val="es-US"/>
        </w:rPr>
        <w:t>y</w:t>
      </w:r>
      <w:r w:rsidR="00FE2DC3" w:rsidRPr="00EE2386">
        <w:rPr>
          <w:szCs w:val="20"/>
          <w:lang w:val="es-US"/>
        </w:rPr>
        <w:t xml:space="preserve"> encontra</w:t>
      </w:r>
      <w:r w:rsidR="00B369AC" w:rsidRPr="00EE2386">
        <w:rPr>
          <w:szCs w:val="20"/>
          <w:lang w:val="es-US"/>
        </w:rPr>
        <w:t>ndo</w:t>
      </w:r>
      <w:r w:rsidR="00FE2DC3" w:rsidRPr="00EE2386">
        <w:rPr>
          <w:szCs w:val="20"/>
          <w:lang w:val="es-US"/>
        </w:rPr>
        <w:t xml:space="preserve"> que existían “graves presunciones de responsabilidad” de los policías </w:t>
      </w:r>
      <w:r w:rsidR="00FE2DC3" w:rsidRPr="00EE2386">
        <w:rPr>
          <w:szCs w:val="20"/>
          <w:lang w:val="es-PE"/>
        </w:rPr>
        <w:t>Salazar y Sandoval Torres</w:t>
      </w:r>
      <w:r w:rsidR="00FE2DC3" w:rsidRPr="00EE2386">
        <w:rPr>
          <w:szCs w:val="20"/>
          <w:lang w:val="es-US"/>
        </w:rPr>
        <w:t xml:space="preserve"> en la muerte de Aníbal confimó el auto motivado</w:t>
      </w:r>
      <w:r w:rsidR="004B2581" w:rsidRPr="00EE2386">
        <w:rPr>
          <w:szCs w:val="20"/>
          <w:lang w:val="es-US"/>
        </w:rPr>
        <w:t xml:space="preserve">, pero por el delito del artículo 145 del Código Penal de la Policía Nacional </w:t>
      </w:r>
      <w:r w:rsidR="0050002E">
        <w:rPr>
          <w:szCs w:val="20"/>
          <w:lang w:val="es-US"/>
        </w:rPr>
        <w:t xml:space="preserve">(muerte por tormentos corporales) </w:t>
      </w:r>
      <w:r w:rsidR="004B2581" w:rsidRPr="00EE2386">
        <w:rPr>
          <w:szCs w:val="20"/>
          <w:lang w:val="es-US"/>
        </w:rPr>
        <w:t>y confirmó también el sobreseimiento dictado a favor de los otro</w:t>
      </w:r>
      <w:r w:rsidR="00141DB5" w:rsidRPr="00EE2386">
        <w:rPr>
          <w:szCs w:val="20"/>
          <w:lang w:val="es-US"/>
        </w:rPr>
        <w:t xml:space="preserve">s policías, pero en carácter </w:t>
      </w:r>
      <w:r w:rsidR="004B2581" w:rsidRPr="00EE2386">
        <w:rPr>
          <w:szCs w:val="20"/>
          <w:lang w:val="es-US"/>
        </w:rPr>
        <w:t>definitivo, por no existir indicios en contra de éstos</w:t>
      </w:r>
      <w:r w:rsidR="004B2581" w:rsidRPr="00EE2386">
        <w:rPr>
          <w:rStyle w:val="FootnoteReference"/>
          <w:szCs w:val="20"/>
          <w:lang w:val="es-US"/>
        </w:rPr>
        <w:footnoteReference w:id="66"/>
      </w:r>
      <w:r w:rsidR="004B2581" w:rsidRPr="00EE2386">
        <w:rPr>
          <w:szCs w:val="20"/>
          <w:lang w:val="es-US"/>
        </w:rPr>
        <w:t>.</w:t>
      </w:r>
    </w:p>
    <w:p w14:paraId="74DF7837" w14:textId="77777777" w:rsidR="00443ECC" w:rsidRPr="00EE2386" w:rsidRDefault="00443ECC" w:rsidP="00443ECC">
      <w:pPr>
        <w:pStyle w:val="ListParagraph"/>
        <w:numPr>
          <w:ilvl w:val="0"/>
          <w:numId w:val="0"/>
        </w:numPr>
        <w:rPr>
          <w:szCs w:val="20"/>
          <w:lang w:val="es-US"/>
        </w:rPr>
      </w:pPr>
    </w:p>
    <w:p w14:paraId="3C13D1B0" w14:textId="77777777" w:rsidR="005E4432" w:rsidRPr="00EE2386" w:rsidRDefault="009E125F" w:rsidP="00683709">
      <w:pPr>
        <w:pStyle w:val="ListParagraph"/>
        <w:rPr>
          <w:szCs w:val="20"/>
          <w:lang w:val="es-US"/>
        </w:rPr>
      </w:pPr>
      <w:r w:rsidRPr="00EE2386">
        <w:rPr>
          <w:szCs w:val="20"/>
          <w:lang w:val="es-US"/>
        </w:rPr>
        <w:t>Originalmente</w:t>
      </w:r>
      <w:r w:rsidR="00141DB5" w:rsidRPr="00EE2386">
        <w:rPr>
          <w:szCs w:val="20"/>
          <w:lang w:val="es-US"/>
        </w:rPr>
        <w:t xml:space="preserve">, </w:t>
      </w:r>
      <w:r w:rsidRPr="00EE2386">
        <w:rPr>
          <w:szCs w:val="20"/>
          <w:lang w:val="es-US"/>
        </w:rPr>
        <w:t xml:space="preserve">se </w:t>
      </w:r>
      <w:r w:rsidR="00141DB5" w:rsidRPr="00EE2386">
        <w:rPr>
          <w:szCs w:val="20"/>
          <w:lang w:val="es-US"/>
        </w:rPr>
        <w:t xml:space="preserve">dispuso </w:t>
      </w:r>
      <w:r w:rsidRPr="00EE2386">
        <w:rPr>
          <w:szCs w:val="20"/>
          <w:lang w:val="es-US"/>
        </w:rPr>
        <w:t>que los acusados serían juzgados separadamente, habiéndose agendado la audiencia de juicio del Cabo Sandoval para el 21 de enero de 2000</w:t>
      </w:r>
      <w:r w:rsidRPr="00EE2386">
        <w:rPr>
          <w:szCs w:val="20"/>
          <w:vertAlign w:val="superscript"/>
          <w:lang w:val="es-US"/>
        </w:rPr>
        <w:footnoteReference w:id="67"/>
      </w:r>
      <w:r w:rsidRPr="00EE2386">
        <w:rPr>
          <w:szCs w:val="20"/>
          <w:lang w:val="es-US"/>
        </w:rPr>
        <w:t>. Sin embargo, l</w:t>
      </w:r>
      <w:r w:rsidR="00207BCB" w:rsidRPr="00EE2386">
        <w:rPr>
          <w:szCs w:val="20"/>
          <w:lang w:val="es-US"/>
        </w:rPr>
        <w:t xml:space="preserve">os acusados </w:t>
      </w:r>
      <w:r w:rsidR="00805D01" w:rsidRPr="00EE2386">
        <w:rPr>
          <w:szCs w:val="20"/>
          <w:lang w:val="es-US"/>
        </w:rPr>
        <w:t xml:space="preserve">fueron juzgados conjuntamente </w:t>
      </w:r>
      <w:r w:rsidR="00207BCB" w:rsidRPr="00EE2386">
        <w:rPr>
          <w:szCs w:val="20"/>
          <w:lang w:val="es-US"/>
        </w:rPr>
        <w:t>en audiencia pública celebrada el 7 de septiembre de 2000 ante e</w:t>
      </w:r>
      <w:r w:rsidR="00730DF3" w:rsidRPr="00EE2386">
        <w:rPr>
          <w:szCs w:val="20"/>
          <w:lang w:val="es-US"/>
        </w:rPr>
        <w:t xml:space="preserve">l Tribunal del Crimen </w:t>
      </w:r>
      <w:r w:rsidR="007D5B79" w:rsidRPr="00EE2386">
        <w:rPr>
          <w:szCs w:val="20"/>
          <w:lang w:val="es-US"/>
        </w:rPr>
        <w:t>de oficiales subalternos</w:t>
      </w:r>
      <w:r w:rsidR="00207BCB" w:rsidRPr="00EE2386">
        <w:rPr>
          <w:szCs w:val="20"/>
          <w:lang w:val="es-US"/>
        </w:rPr>
        <w:t xml:space="preserve"> reunido en el Comando Provincial de Policía Guayas No. 2. </w:t>
      </w:r>
      <w:r w:rsidR="00231B77" w:rsidRPr="00EE2386">
        <w:rPr>
          <w:szCs w:val="20"/>
          <w:lang w:val="es-US"/>
        </w:rPr>
        <w:t xml:space="preserve"> </w:t>
      </w:r>
      <w:r w:rsidR="00DD4B52" w:rsidRPr="00EE2386">
        <w:rPr>
          <w:szCs w:val="20"/>
          <w:lang w:val="es-US"/>
        </w:rPr>
        <w:t>Durante la audiencia, se dio lectura a los partes informativos y actas de levantamiento del cadáver, el informe de investigaciones, las declaraciones de las auxiliares de enfermería, el guardia del cementerio y los dueños del local. Además</w:t>
      </w:r>
      <w:r w:rsidR="00367D21" w:rsidRPr="00EE2386">
        <w:rPr>
          <w:szCs w:val="20"/>
          <w:lang w:val="es-US"/>
        </w:rPr>
        <w:t>,</w:t>
      </w:r>
      <w:r w:rsidR="00DD4B52" w:rsidRPr="00EE2386">
        <w:rPr>
          <w:szCs w:val="20"/>
          <w:lang w:val="es-US"/>
        </w:rPr>
        <w:t xml:space="preserve"> compareció como testigo en la audiencia el guardia del cementerio</w:t>
      </w:r>
      <w:r w:rsidR="00367D21" w:rsidRPr="00EE2386">
        <w:rPr>
          <w:szCs w:val="20"/>
          <w:lang w:val="es-US"/>
        </w:rPr>
        <w:t>, quien además participó de una diligencia de reconstitución de prueba, pero indicando que el automóvil presentado no era el mismo en el que se había transportado a Aníbal Aguas a la morgue. Luego de ello</w:t>
      </w:r>
      <w:r w:rsidR="0050002E">
        <w:rPr>
          <w:szCs w:val="20"/>
          <w:lang w:val="es-US"/>
        </w:rPr>
        <w:t>,</w:t>
      </w:r>
      <w:r w:rsidR="00367D21" w:rsidRPr="00EE2386">
        <w:rPr>
          <w:szCs w:val="20"/>
          <w:lang w:val="es-US"/>
        </w:rPr>
        <w:t xml:space="preserve"> el Fiscal y los abogados defensores presenta</w:t>
      </w:r>
      <w:r w:rsidR="00CE4349" w:rsidRPr="00EE2386">
        <w:rPr>
          <w:szCs w:val="20"/>
          <w:lang w:val="es-US"/>
        </w:rPr>
        <w:t xml:space="preserve">ron </w:t>
      </w:r>
      <w:r w:rsidR="00367D21" w:rsidRPr="00EE2386">
        <w:rPr>
          <w:szCs w:val="20"/>
          <w:lang w:val="es-US"/>
        </w:rPr>
        <w:t>sus argumentos</w:t>
      </w:r>
      <w:r w:rsidR="003F4583" w:rsidRPr="00EE2386">
        <w:rPr>
          <w:szCs w:val="20"/>
          <w:lang w:val="es-US"/>
        </w:rPr>
        <w:t>, solicitando el Fiscal sanción por “homicidio inintencional (sic)”, de los artículos 235 y 236 del Código Penal de la Policía Nacional, indicando que “no hay la posibilidad de que el hoy occiso haya sido maltratado desde la despensa o tienda hasta llegar al cuartel”</w:t>
      </w:r>
      <w:r w:rsidR="00367D21" w:rsidRPr="00EE2386">
        <w:rPr>
          <w:rStyle w:val="FootnoteReference"/>
          <w:szCs w:val="20"/>
          <w:lang w:val="es-US"/>
        </w:rPr>
        <w:footnoteReference w:id="68"/>
      </w:r>
      <w:r w:rsidR="00367D21" w:rsidRPr="00EE2386">
        <w:rPr>
          <w:szCs w:val="20"/>
          <w:lang w:val="es-US"/>
        </w:rPr>
        <w:t xml:space="preserve">. </w:t>
      </w:r>
      <w:r w:rsidR="00CE4349" w:rsidRPr="00EE2386">
        <w:rPr>
          <w:szCs w:val="20"/>
          <w:lang w:val="es-US"/>
        </w:rPr>
        <w:t>L</w:t>
      </w:r>
      <w:r w:rsidR="0049196E" w:rsidRPr="00EE2386">
        <w:rPr>
          <w:szCs w:val="20"/>
          <w:lang w:val="es-US"/>
        </w:rPr>
        <w:t>uego de la audiencia, el Tribunal deliberó privadamente y analizando la</w:t>
      </w:r>
      <w:r w:rsidR="003F4583" w:rsidRPr="00EE2386">
        <w:rPr>
          <w:szCs w:val="20"/>
          <w:lang w:val="es-US"/>
        </w:rPr>
        <w:t>s</w:t>
      </w:r>
      <w:r w:rsidR="0049196E" w:rsidRPr="00EE2386">
        <w:rPr>
          <w:szCs w:val="20"/>
          <w:lang w:val="es-US"/>
        </w:rPr>
        <w:t xml:space="preserve"> piezas procesales a la luz de la sana crítica concluyó “plenamente probada la existencia de la infracción”, también consideró probado que el occiso sufrió una muerte violenta</w:t>
      </w:r>
      <w:r w:rsidR="00CE4349" w:rsidRPr="00EE2386">
        <w:rPr>
          <w:szCs w:val="20"/>
          <w:lang w:val="es-US"/>
        </w:rPr>
        <w:t>,</w:t>
      </w:r>
      <w:r w:rsidR="00683709" w:rsidRPr="00EE2386">
        <w:rPr>
          <w:szCs w:val="20"/>
          <w:lang w:val="es-US"/>
        </w:rPr>
        <w:t xml:space="preserve"> pero estimó acreditado que los sindicados no tuvieron ánimo de torturas ni de causarle la muerte “pero sí golpearon voluntariamente con el propósito de someterle y conducirle detenido”, por lo que consideró al </w:t>
      </w:r>
      <w:r w:rsidR="007D5B79" w:rsidRPr="00EE2386">
        <w:rPr>
          <w:szCs w:val="20"/>
          <w:lang w:val="es-US"/>
        </w:rPr>
        <w:t>Sgto</w:t>
      </w:r>
      <w:r w:rsidR="00CE4349" w:rsidRPr="00EE2386">
        <w:rPr>
          <w:szCs w:val="20"/>
          <w:lang w:val="es-US"/>
        </w:rPr>
        <w:t>. Salazar y a</w:t>
      </w:r>
      <w:r w:rsidR="007D5B79" w:rsidRPr="00EE2386">
        <w:rPr>
          <w:szCs w:val="20"/>
          <w:lang w:val="es-US"/>
        </w:rPr>
        <w:t>l Cbo</w:t>
      </w:r>
      <w:r w:rsidR="00CE4349" w:rsidRPr="00EE2386">
        <w:rPr>
          <w:szCs w:val="20"/>
          <w:lang w:val="es-US"/>
        </w:rPr>
        <w:t>.</w:t>
      </w:r>
      <w:r w:rsidR="007D5B79" w:rsidRPr="00EE2386">
        <w:rPr>
          <w:szCs w:val="20"/>
          <w:lang w:val="es-US"/>
        </w:rPr>
        <w:t xml:space="preserve"> Sandoval coautores de la infracción tipificada en el artículo 232 del Código Penal de la Policía Nacional </w:t>
      </w:r>
      <w:r w:rsidR="00E957E7">
        <w:rPr>
          <w:szCs w:val="20"/>
          <w:lang w:val="es-US"/>
        </w:rPr>
        <w:t xml:space="preserve">(homicidio involuntario) </w:t>
      </w:r>
      <w:r w:rsidR="007D5B79" w:rsidRPr="00EE2386">
        <w:rPr>
          <w:szCs w:val="20"/>
          <w:lang w:val="es-US"/>
        </w:rPr>
        <w:t>y les impuso una pena de tres años de reclusión menor</w:t>
      </w:r>
      <w:r w:rsidR="00683709" w:rsidRPr="00EE2386">
        <w:rPr>
          <w:szCs w:val="20"/>
          <w:lang w:val="es-US"/>
        </w:rPr>
        <w:t xml:space="preserve"> y la pena accesoria de separación de las filas policiales</w:t>
      </w:r>
      <w:r w:rsidR="007D5B79" w:rsidRPr="00EE2386">
        <w:rPr>
          <w:rStyle w:val="FootnoteReference"/>
          <w:szCs w:val="20"/>
          <w:lang w:val="es-US"/>
        </w:rPr>
        <w:footnoteReference w:id="69"/>
      </w:r>
      <w:r w:rsidR="007D5B79" w:rsidRPr="00EE2386">
        <w:rPr>
          <w:szCs w:val="20"/>
          <w:lang w:val="es-US"/>
        </w:rPr>
        <w:t xml:space="preserve">. </w:t>
      </w:r>
    </w:p>
    <w:p w14:paraId="5F602294" w14:textId="77777777" w:rsidR="005E4432" w:rsidRPr="00EE2386" w:rsidRDefault="005E4432" w:rsidP="005E4432">
      <w:pPr>
        <w:pStyle w:val="ListParagraph"/>
        <w:numPr>
          <w:ilvl w:val="0"/>
          <w:numId w:val="0"/>
        </w:numPr>
        <w:rPr>
          <w:szCs w:val="20"/>
          <w:lang w:val="es-US"/>
        </w:rPr>
      </w:pPr>
    </w:p>
    <w:p w14:paraId="061B7936" w14:textId="77777777" w:rsidR="00603AD9" w:rsidRPr="00EE2386" w:rsidRDefault="007D5B79" w:rsidP="0020431B">
      <w:pPr>
        <w:pStyle w:val="ListParagraph"/>
        <w:rPr>
          <w:szCs w:val="20"/>
          <w:lang w:val="es-US"/>
        </w:rPr>
      </w:pPr>
      <w:r w:rsidRPr="00EE2386">
        <w:rPr>
          <w:szCs w:val="20"/>
          <w:lang w:val="es-US"/>
        </w:rPr>
        <w:lastRenderedPageBreak/>
        <w:t>Elevados los autos en apelación y consulta ante la Segunda Corte Distrital</w:t>
      </w:r>
      <w:r w:rsidR="00CE4349" w:rsidRPr="00EE2386">
        <w:rPr>
          <w:szCs w:val="20"/>
          <w:lang w:val="es-US"/>
        </w:rPr>
        <w:t>, é</w:t>
      </w:r>
      <w:r w:rsidR="006244C1" w:rsidRPr="00EE2386">
        <w:rPr>
          <w:szCs w:val="20"/>
          <w:lang w:val="es-US"/>
        </w:rPr>
        <w:t>sta determinó</w:t>
      </w:r>
      <w:r w:rsidR="00CE4349" w:rsidRPr="00EE2386">
        <w:rPr>
          <w:szCs w:val="20"/>
          <w:lang w:val="es-US"/>
        </w:rPr>
        <w:t>,</w:t>
      </w:r>
      <w:r w:rsidR="00DD7EE8" w:rsidRPr="00EE2386">
        <w:rPr>
          <w:szCs w:val="20"/>
          <w:lang w:val="es-US"/>
        </w:rPr>
        <w:t xml:space="preserve"> por sentencia de 19 de junio de 2001 que no se había desvirtuado en forma alguna que los sindicados no fueran los autores de la muerte de Aníbal</w:t>
      </w:r>
      <w:r w:rsidR="00603AD9" w:rsidRPr="00EE2386">
        <w:rPr>
          <w:szCs w:val="20"/>
          <w:lang w:val="es-US"/>
        </w:rPr>
        <w:t xml:space="preserve">, </w:t>
      </w:r>
      <w:r w:rsidR="0020431B" w:rsidRPr="00EE2386">
        <w:rPr>
          <w:szCs w:val="20"/>
          <w:lang w:val="es-US"/>
        </w:rPr>
        <w:t xml:space="preserve">“mediante tormentos corporales de que fuera objeto a tal punto de ser ‘desnucado’”, </w:t>
      </w:r>
      <w:r w:rsidR="00603AD9" w:rsidRPr="00EE2386">
        <w:rPr>
          <w:szCs w:val="20"/>
          <w:lang w:val="es-US"/>
        </w:rPr>
        <w:t>por lo que,</w:t>
      </w:r>
      <w:r w:rsidR="00DD7EE8" w:rsidRPr="00EE2386">
        <w:rPr>
          <w:szCs w:val="20"/>
          <w:lang w:val="es-US"/>
        </w:rPr>
        <w:t xml:space="preserve"> considerando plenamente acreditada su responsabilidad</w:t>
      </w:r>
      <w:r w:rsidR="00603AD9" w:rsidRPr="00EE2386">
        <w:rPr>
          <w:szCs w:val="20"/>
          <w:lang w:val="es-US"/>
        </w:rPr>
        <w:t>,</w:t>
      </w:r>
      <w:r w:rsidR="00DD7EE8" w:rsidRPr="00EE2386">
        <w:rPr>
          <w:szCs w:val="20"/>
          <w:lang w:val="es-US"/>
        </w:rPr>
        <w:t xml:space="preserve"> confirmó la sentencia condenatoria en contra del Sgto</w:t>
      </w:r>
      <w:r w:rsidR="00CE4349" w:rsidRPr="00EE2386">
        <w:rPr>
          <w:szCs w:val="20"/>
          <w:lang w:val="es-US"/>
        </w:rPr>
        <w:t>.</w:t>
      </w:r>
      <w:r w:rsidR="00DD7EE8" w:rsidRPr="00EE2386">
        <w:rPr>
          <w:szCs w:val="20"/>
          <w:lang w:val="es-US"/>
        </w:rPr>
        <w:t xml:space="preserve"> Salazar y el Cbo</w:t>
      </w:r>
      <w:r w:rsidR="00CE4349" w:rsidRPr="00EE2386">
        <w:rPr>
          <w:szCs w:val="20"/>
          <w:lang w:val="es-US"/>
        </w:rPr>
        <w:t>.</w:t>
      </w:r>
      <w:r w:rsidR="00DD7EE8" w:rsidRPr="00EE2386">
        <w:rPr>
          <w:szCs w:val="20"/>
          <w:lang w:val="es-US"/>
        </w:rPr>
        <w:t xml:space="preserve"> Sandoval, pero por el delito de muerte por tormentos corporales tipificada en el artículo 14</w:t>
      </w:r>
      <w:r w:rsidR="007337E9" w:rsidRPr="00EE2386">
        <w:rPr>
          <w:szCs w:val="20"/>
          <w:lang w:val="es-US"/>
        </w:rPr>
        <w:t>5</w:t>
      </w:r>
      <w:r w:rsidR="00DD7EE8" w:rsidRPr="00EE2386">
        <w:rPr>
          <w:szCs w:val="20"/>
          <w:lang w:val="es-US"/>
        </w:rPr>
        <w:t xml:space="preserve"> del Código Penal de la Policía Nacional imponiéndoles, en atención a las atenuantes de conducta anterior y actual, la pena de </w:t>
      </w:r>
      <w:r w:rsidR="004147A0" w:rsidRPr="00EE2386">
        <w:rPr>
          <w:szCs w:val="20"/>
          <w:lang w:val="es-US"/>
        </w:rPr>
        <w:t>8</w:t>
      </w:r>
      <w:r w:rsidR="00DD7EE8" w:rsidRPr="00EE2386">
        <w:rPr>
          <w:szCs w:val="20"/>
          <w:lang w:val="es-US"/>
        </w:rPr>
        <w:t xml:space="preserve"> años de reclusión mayor ordinaria</w:t>
      </w:r>
      <w:r w:rsidR="00DD7EE8" w:rsidRPr="00EE2386">
        <w:rPr>
          <w:rStyle w:val="FootnoteReference"/>
          <w:szCs w:val="20"/>
          <w:lang w:val="es-US"/>
        </w:rPr>
        <w:footnoteReference w:id="70"/>
      </w:r>
      <w:r w:rsidR="00DD7EE8" w:rsidRPr="00EE2386">
        <w:rPr>
          <w:szCs w:val="20"/>
          <w:lang w:val="es-US"/>
        </w:rPr>
        <w:t>.</w:t>
      </w:r>
      <w:r w:rsidR="0020431B" w:rsidRPr="00EE2386">
        <w:rPr>
          <w:szCs w:val="20"/>
          <w:lang w:val="es-US"/>
        </w:rPr>
        <w:t xml:space="preserve"> </w:t>
      </w:r>
      <w:r w:rsidR="00603AD9" w:rsidRPr="00EE2386">
        <w:rPr>
          <w:szCs w:val="20"/>
          <w:lang w:val="es-US"/>
        </w:rPr>
        <w:t xml:space="preserve">El 4 de diciembre de 2001, la Corte Nacional de Justicia Policial decidió el recurso de tercera instancia </w:t>
      </w:r>
      <w:r w:rsidR="006C78F8" w:rsidRPr="00EE2386">
        <w:rPr>
          <w:szCs w:val="20"/>
          <w:lang w:val="es-ES"/>
        </w:rPr>
        <w:t>y</w:t>
      </w:r>
      <w:r w:rsidR="0020431B" w:rsidRPr="00EE2386">
        <w:rPr>
          <w:szCs w:val="20"/>
          <w:lang w:val="es-ES"/>
        </w:rPr>
        <w:t>,</w:t>
      </w:r>
      <w:r w:rsidR="006C78F8" w:rsidRPr="00EE2386">
        <w:rPr>
          <w:szCs w:val="20"/>
          <w:lang w:val="es-ES"/>
        </w:rPr>
        <w:t xml:space="preserve"> de conformidad con el dictamen de la Segunda Corte Distrital, confirmó la sentencia de 8 años de reclusión mayor ordinaria</w:t>
      </w:r>
      <w:r w:rsidR="007C201B" w:rsidRPr="00EE2386">
        <w:rPr>
          <w:rStyle w:val="FootnoteReference"/>
          <w:szCs w:val="20"/>
          <w:lang w:val="es-ES"/>
        </w:rPr>
        <w:footnoteReference w:id="71"/>
      </w:r>
      <w:r w:rsidR="006C78F8" w:rsidRPr="00EE2386">
        <w:rPr>
          <w:szCs w:val="20"/>
          <w:lang w:val="es-ES"/>
        </w:rPr>
        <w:t>.</w:t>
      </w:r>
      <w:r w:rsidR="004F6B39" w:rsidRPr="00EE2386">
        <w:rPr>
          <w:szCs w:val="20"/>
          <w:lang w:val="es-US"/>
        </w:rPr>
        <w:t xml:space="preserve"> En contra de esta sentencia los condenados interpusieron recurso de revisión, pero el 22 de enero de 2003 la Corte Nacional de Justicia Policial resolvió el recurso de revisión declarándose incompetente para conocerlo y disponiendo que el proceso fuera devuelto al Juez Segundo Policial para su archivo</w:t>
      </w:r>
      <w:r w:rsidR="004F6B39" w:rsidRPr="00EE2386">
        <w:rPr>
          <w:rStyle w:val="FootnoteReference"/>
          <w:szCs w:val="20"/>
          <w:lang w:val="es-US"/>
        </w:rPr>
        <w:footnoteReference w:id="72"/>
      </w:r>
      <w:r w:rsidR="004F6B39" w:rsidRPr="00EE2386">
        <w:rPr>
          <w:szCs w:val="20"/>
          <w:lang w:val="es-US"/>
        </w:rPr>
        <w:t>.</w:t>
      </w:r>
    </w:p>
    <w:p w14:paraId="6705C03E" w14:textId="77777777" w:rsidR="007337E9" w:rsidRPr="00EE2386" w:rsidRDefault="007337E9" w:rsidP="007337E9">
      <w:pPr>
        <w:pStyle w:val="ListParagraph"/>
        <w:numPr>
          <w:ilvl w:val="0"/>
          <w:numId w:val="0"/>
        </w:numPr>
        <w:rPr>
          <w:szCs w:val="20"/>
          <w:lang w:val="es-US"/>
        </w:rPr>
      </w:pPr>
    </w:p>
    <w:p w14:paraId="62ACEA21" w14:textId="77777777" w:rsidR="008779FF" w:rsidRPr="00EE2386" w:rsidRDefault="007337E9" w:rsidP="004F6B39">
      <w:pPr>
        <w:pStyle w:val="ListParagraph"/>
        <w:rPr>
          <w:szCs w:val="20"/>
          <w:lang w:val="es-US"/>
        </w:rPr>
      </w:pPr>
      <w:r w:rsidRPr="00EE2386">
        <w:rPr>
          <w:szCs w:val="20"/>
          <w:lang w:val="es-US"/>
        </w:rPr>
        <w:t>Mediante resolució de 3 de mayo de 2002,</w:t>
      </w:r>
      <w:r w:rsidR="004F6B39" w:rsidRPr="00EE2386">
        <w:rPr>
          <w:szCs w:val="20"/>
          <w:lang w:val="es-US"/>
        </w:rPr>
        <w:t xml:space="preserve"> el Juez Segundo Policial indicó</w:t>
      </w:r>
      <w:r w:rsidRPr="00EE2386">
        <w:rPr>
          <w:szCs w:val="20"/>
          <w:lang w:val="es-US"/>
        </w:rPr>
        <w:t xml:space="preserve"> que la condena se deb</w:t>
      </w:r>
      <w:r w:rsidR="004F6B39" w:rsidRPr="00EE2386">
        <w:rPr>
          <w:szCs w:val="20"/>
          <w:lang w:val="es-US"/>
        </w:rPr>
        <w:t>ía</w:t>
      </w:r>
      <w:r w:rsidRPr="00EE2386">
        <w:rPr>
          <w:szCs w:val="20"/>
          <w:lang w:val="es-US"/>
        </w:rPr>
        <w:t xml:space="preserve"> cumplir en el Comando Provincial el Oro No. 3 y que </w:t>
      </w:r>
      <w:r w:rsidR="004F6B39" w:rsidRPr="00EE2386">
        <w:rPr>
          <w:szCs w:val="20"/>
          <w:lang w:val="es-US"/>
        </w:rPr>
        <w:t>a los condenados se les imponía</w:t>
      </w:r>
      <w:r w:rsidRPr="00EE2386">
        <w:rPr>
          <w:szCs w:val="20"/>
          <w:lang w:val="es-US"/>
        </w:rPr>
        <w:t xml:space="preserve"> la pena accesoria de separación del servicio activo de la institución policial, otorgándoles 5 días hábiles para presentarse a cumplir la condena</w:t>
      </w:r>
      <w:r w:rsidR="00DB456E" w:rsidRPr="00EE2386">
        <w:rPr>
          <w:rStyle w:val="FootnoteReference"/>
          <w:szCs w:val="20"/>
          <w:lang w:val="es-US"/>
        </w:rPr>
        <w:footnoteReference w:id="73"/>
      </w:r>
      <w:r w:rsidRPr="00EE2386">
        <w:rPr>
          <w:szCs w:val="20"/>
          <w:lang w:val="es-US"/>
        </w:rPr>
        <w:t xml:space="preserve">. El 14 de mayo de 2002, </w:t>
      </w:r>
      <w:r w:rsidR="00141DB5" w:rsidRPr="00EE2386">
        <w:rPr>
          <w:szCs w:val="20"/>
          <w:lang w:val="es-US"/>
        </w:rPr>
        <w:t>en proveído que otorgó</w:t>
      </w:r>
      <w:r w:rsidR="00DB456E" w:rsidRPr="00EE2386">
        <w:rPr>
          <w:szCs w:val="20"/>
          <w:lang w:val="es-US"/>
        </w:rPr>
        <w:t xml:space="preserve"> recurso de revisión, el Juez Segundo Policial dejó constancia que los condenados no se habían presentado a cumplir la sentencia impuesta, por lo que ordenó su localización y captura para que</w:t>
      </w:r>
      <w:r w:rsidR="004F6B39" w:rsidRPr="00EE2386">
        <w:rPr>
          <w:szCs w:val="20"/>
          <w:lang w:val="es-US"/>
        </w:rPr>
        <w:t>,</w:t>
      </w:r>
      <w:r w:rsidR="00DB456E" w:rsidRPr="00EE2386">
        <w:rPr>
          <w:szCs w:val="20"/>
          <w:lang w:val="es-US"/>
        </w:rPr>
        <w:t xml:space="preserve"> una vez detenidos</w:t>
      </w:r>
      <w:r w:rsidR="004F6B39" w:rsidRPr="00EE2386">
        <w:rPr>
          <w:szCs w:val="20"/>
          <w:lang w:val="es-US"/>
        </w:rPr>
        <w:t>,</w:t>
      </w:r>
      <w:r w:rsidR="00DB456E" w:rsidRPr="00EE2386">
        <w:rPr>
          <w:szCs w:val="20"/>
          <w:lang w:val="es-US"/>
        </w:rPr>
        <w:t xml:space="preserve"> permanecieran recluidos en el Centro de Rehabilitación Social de Varones</w:t>
      </w:r>
      <w:r w:rsidR="00BA52EB" w:rsidRPr="00EE2386">
        <w:rPr>
          <w:rStyle w:val="FootnoteReference"/>
          <w:szCs w:val="20"/>
          <w:lang w:val="es-US"/>
        </w:rPr>
        <w:footnoteReference w:id="74"/>
      </w:r>
      <w:r w:rsidR="00DB456E" w:rsidRPr="00EE2386">
        <w:rPr>
          <w:szCs w:val="20"/>
          <w:lang w:val="es-US"/>
        </w:rPr>
        <w:t>.</w:t>
      </w:r>
      <w:r w:rsidR="00BA52EB" w:rsidRPr="00EE2386">
        <w:rPr>
          <w:szCs w:val="20"/>
          <w:lang w:val="es-US"/>
        </w:rPr>
        <w:t xml:space="preserve"> Con esa misma fecha, el Juez Segundo Policial remitió oficios al Comandante General y al Director General de Personal de la Policía Nacional, informándoles que</w:t>
      </w:r>
      <w:r w:rsidR="00CB64AA" w:rsidRPr="00EE2386">
        <w:rPr>
          <w:szCs w:val="20"/>
          <w:lang w:val="es-US"/>
        </w:rPr>
        <w:t xml:space="preserve"> los autos se elevaban a la Corte Nacional de Justicia Policial en recurso de revisión y les solicita</w:t>
      </w:r>
      <w:r w:rsidR="00141DB5" w:rsidRPr="00EE2386">
        <w:rPr>
          <w:szCs w:val="20"/>
          <w:lang w:val="es-US"/>
        </w:rPr>
        <w:t>ba</w:t>
      </w:r>
      <w:r w:rsidR="00CB64AA" w:rsidRPr="00EE2386">
        <w:rPr>
          <w:szCs w:val="20"/>
          <w:lang w:val="es-US"/>
        </w:rPr>
        <w:t xml:space="preserve"> disponer a todos los repartos policiales a nivel nacional a fin de que procedieran a la localización y captura del Sgto</w:t>
      </w:r>
      <w:r w:rsidR="00CE4349" w:rsidRPr="00EE2386">
        <w:rPr>
          <w:szCs w:val="20"/>
          <w:lang w:val="es-US"/>
        </w:rPr>
        <w:t>.</w:t>
      </w:r>
      <w:r w:rsidR="00CB64AA" w:rsidRPr="00EE2386">
        <w:rPr>
          <w:szCs w:val="20"/>
          <w:lang w:val="es-US"/>
        </w:rPr>
        <w:t xml:space="preserve"> Salazar y el Cbo</w:t>
      </w:r>
      <w:r w:rsidR="00CE4349" w:rsidRPr="00EE2386">
        <w:rPr>
          <w:szCs w:val="20"/>
          <w:lang w:val="es-US"/>
        </w:rPr>
        <w:t>.</w:t>
      </w:r>
      <w:r w:rsidR="00CB64AA" w:rsidRPr="00EE2386">
        <w:rPr>
          <w:szCs w:val="20"/>
          <w:lang w:val="es-US"/>
        </w:rPr>
        <w:t xml:space="preserve"> Sandoval</w:t>
      </w:r>
      <w:r w:rsidR="00141DB5" w:rsidRPr="00EE2386">
        <w:rPr>
          <w:szCs w:val="20"/>
          <w:lang w:val="es-US"/>
        </w:rPr>
        <w:t xml:space="preserve"> Torres</w:t>
      </w:r>
      <w:r w:rsidR="00CB64AA" w:rsidRPr="00EE2386">
        <w:rPr>
          <w:rStyle w:val="FootnoteReference"/>
          <w:szCs w:val="20"/>
          <w:lang w:val="es-US"/>
        </w:rPr>
        <w:footnoteReference w:id="75"/>
      </w:r>
      <w:r w:rsidR="00CB64AA" w:rsidRPr="00EE2386">
        <w:rPr>
          <w:szCs w:val="20"/>
          <w:lang w:val="es-US"/>
        </w:rPr>
        <w:t>.</w:t>
      </w:r>
      <w:r w:rsidR="0063411A" w:rsidRPr="00EE2386">
        <w:rPr>
          <w:szCs w:val="20"/>
          <w:lang w:val="es-US"/>
        </w:rPr>
        <w:t xml:space="preserve"> </w:t>
      </w:r>
    </w:p>
    <w:p w14:paraId="1E9EEB80" w14:textId="77777777" w:rsidR="008779FF" w:rsidRPr="00EE2386" w:rsidRDefault="008779FF" w:rsidP="008779FF">
      <w:pPr>
        <w:pStyle w:val="ListParagraph"/>
        <w:numPr>
          <w:ilvl w:val="0"/>
          <w:numId w:val="0"/>
        </w:numPr>
        <w:rPr>
          <w:szCs w:val="20"/>
          <w:lang w:val="es-US"/>
        </w:rPr>
      </w:pPr>
    </w:p>
    <w:p w14:paraId="51BD5C79" w14:textId="77777777" w:rsidR="0063411A" w:rsidRPr="00EE2386" w:rsidRDefault="0063411A" w:rsidP="004F6B39">
      <w:pPr>
        <w:pStyle w:val="ListParagraph"/>
        <w:rPr>
          <w:szCs w:val="20"/>
          <w:lang w:val="es-US"/>
        </w:rPr>
      </w:pPr>
      <w:r w:rsidRPr="00EE2386">
        <w:rPr>
          <w:szCs w:val="20"/>
          <w:lang w:val="es-US"/>
        </w:rPr>
        <w:t xml:space="preserve">Sin embargo, consta de certificación de la Comandancia General de la Policía Nacional de 31 de marzo de 2003, </w:t>
      </w:r>
      <w:r w:rsidR="004F6B39" w:rsidRPr="00EE2386">
        <w:rPr>
          <w:szCs w:val="20"/>
          <w:lang w:val="es-US"/>
        </w:rPr>
        <w:t>q</w:t>
      </w:r>
      <w:r w:rsidR="004F6B39" w:rsidRPr="00A533B1">
        <w:rPr>
          <w:szCs w:val="20"/>
          <w:lang w:val="es-US"/>
        </w:rPr>
        <w:t>ue a esa fecha, cuando el recurso de revisión ya había sido rechazado,</w:t>
      </w:r>
      <w:r w:rsidR="005161F1" w:rsidRPr="00EE2386">
        <w:rPr>
          <w:szCs w:val="20"/>
          <w:lang w:val="es-US"/>
        </w:rPr>
        <w:t xml:space="preserve"> </w:t>
      </w:r>
      <w:r w:rsidRPr="00EE2386">
        <w:rPr>
          <w:szCs w:val="20"/>
          <w:lang w:val="es-US"/>
        </w:rPr>
        <w:t xml:space="preserve">ninguno de </w:t>
      </w:r>
      <w:r w:rsidR="005161F1" w:rsidRPr="00EE2386">
        <w:rPr>
          <w:szCs w:val="20"/>
          <w:lang w:val="es-US"/>
        </w:rPr>
        <w:t xml:space="preserve">los condenados </w:t>
      </w:r>
      <w:r w:rsidRPr="00EE2386">
        <w:rPr>
          <w:szCs w:val="20"/>
          <w:lang w:val="es-US"/>
        </w:rPr>
        <w:t>se encontraba detenido “siendo los últimos registros el haber sido colocados en situación transitoria y el proceso en la Corte Nacional de Justicia Policial por revisión”</w:t>
      </w:r>
      <w:r w:rsidRPr="00EE2386">
        <w:rPr>
          <w:rStyle w:val="FootnoteReference"/>
          <w:szCs w:val="20"/>
          <w:lang w:val="es-US"/>
        </w:rPr>
        <w:footnoteReference w:id="76"/>
      </w:r>
      <w:r w:rsidRPr="00EE2386">
        <w:rPr>
          <w:szCs w:val="20"/>
          <w:lang w:val="es-US"/>
        </w:rPr>
        <w:t>.</w:t>
      </w:r>
      <w:r w:rsidR="004F6B39" w:rsidRPr="00EE2386">
        <w:rPr>
          <w:szCs w:val="20"/>
          <w:lang w:val="es-US"/>
        </w:rPr>
        <w:t xml:space="preserve"> </w:t>
      </w:r>
      <w:r w:rsidR="008779FF" w:rsidRPr="00EE2386">
        <w:rPr>
          <w:szCs w:val="20"/>
          <w:lang w:val="es-US"/>
        </w:rPr>
        <w:t>Además</w:t>
      </w:r>
      <w:r w:rsidR="004F6B39" w:rsidRPr="00EE2386">
        <w:rPr>
          <w:szCs w:val="20"/>
          <w:lang w:val="es-US"/>
        </w:rPr>
        <w:t xml:space="preserve">, consta de </w:t>
      </w:r>
      <w:r w:rsidR="007957E0" w:rsidRPr="00EE2386">
        <w:rPr>
          <w:szCs w:val="20"/>
          <w:lang w:val="es-US"/>
        </w:rPr>
        <w:t>oficio de</w:t>
      </w:r>
      <w:r w:rsidR="004F6B39" w:rsidRPr="00EE2386">
        <w:rPr>
          <w:szCs w:val="20"/>
          <w:lang w:val="es-US"/>
        </w:rPr>
        <w:t xml:space="preserve"> 18 de octubre de 2012 </w:t>
      </w:r>
      <w:r w:rsidR="007957E0" w:rsidRPr="00EE2386">
        <w:rPr>
          <w:szCs w:val="20"/>
          <w:lang w:val="es-US"/>
        </w:rPr>
        <w:t xml:space="preserve">de </w:t>
      </w:r>
      <w:r w:rsidR="004F6B39" w:rsidRPr="00EE2386">
        <w:rPr>
          <w:szCs w:val="20"/>
          <w:lang w:val="es-US"/>
        </w:rPr>
        <w:t>la Dirección Nacional de la Policía Judicial e Investigaciones de la Policía Nacional del Ecuador, que a esa fecha no se registraba orden de detención o captura alguna en contra</w:t>
      </w:r>
      <w:r w:rsidR="008779FF" w:rsidRPr="00EE2386">
        <w:rPr>
          <w:szCs w:val="20"/>
          <w:lang w:val="es-US"/>
        </w:rPr>
        <w:t xml:space="preserve"> de José Evergisto Salazar y Julio Alcivar Sandoval Torres</w:t>
      </w:r>
      <w:r w:rsidR="007957E0" w:rsidRPr="00EE2386">
        <w:rPr>
          <w:szCs w:val="20"/>
          <w:lang w:val="es-US"/>
        </w:rPr>
        <w:t>, las que se ordenaron registrar en ese mismo acto</w:t>
      </w:r>
      <w:r w:rsidR="007957E0" w:rsidRPr="00EE2386">
        <w:rPr>
          <w:rStyle w:val="FootnoteReference"/>
          <w:szCs w:val="20"/>
          <w:lang w:val="es-US"/>
        </w:rPr>
        <w:footnoteReference w:id="77"/>
      </w:r>
      <w:r w:rsidR="008779FF" w:rsidRPr="00EE2386">
        <w:rPr>
          <w:szCs w:val="20"/>
          <w:lang w:val="es-US"/>
        </w:rPr>
        <w:t>.</w:t>
      </w:r>
      <w:r w:rsidR="007957E0" w:rsidRPr="00EE2386">
        <w:rPr>
          <w:szCs w:val="20"/>
          <w:lang w:val="es-US"/>
        </w:rPr>
        <w:t xml:space="preserve"> En efecto, en oficio de la misma institución de fecha 17 de noviembre de 2015 consta </w:t>
      </w:r>
      <w:r w:rsidR="00CE2B87" w:rsidRPr="00EE2386">
        <w:rPr>
          <w:szCs w:val="20"/>
          <w:lang w:val="es-US"/>
        </w:rPr>
        <w:t xml:space="preserve">que las ordenes de captura </w:t>
      </w:r>
      <w:r w:rsidR="007957E0" w:rsidRPr="00EE2386">
        <w:rPr>
          <w:szCs w:val="20"/>
          <w:lang w:val="es-US"/>
        </w:rPr>
        <w:t>fueron registradas el 22 de octubre de 2012</w:t>
      </w:r>
      <w:r w:rsidR="007957E0" w:rsidRPr="00EE2386">
        <w:rPr>
          <w:rStyle w:val="FootnoteReference"/>
          <w:szCs w:val="20"/>
          <w:lang w:val="es-US"/>
        </w:rPr>
        <w:footnoteReference w:id="78"/>
      </w:r>
      <w:r w:rsidR="007957E0" w:rsidRPr="00EE2386">
        <w:rPr>
          <w:szCs w:val="20"/>
          <w:lang w:val="es-US"/>
        </w:rPr>
        <w:t xml:space="preserve">.  </w:t>
      </w:r>
      <w:r w:rsidR="0050002E">
        <w:rPr>
          <w:szCs w:val="20"/>
          <w:lang w:val="es-US"/>
        </w:rPr>
        <w:t>La Comisión no cuenta con información que indique que las órdenes de captura h</w:t>
      </w:r>
      <w:r w:rsidR="00E957E7">
        <w:rPr>
          <w:szCs w:val="20"/>
          <w:lang w:val="es-US"/>
        </w:rPr>
        <w:t>ayan</w:t>
      </w:r>
      <w:r w:rsidR="0050002E">
        <w:rPr>
          <w:szCs w:val="20"/>
          <w:lang w:val="es-US"/>
        </w:rPr>
        <w:t xml:space="preserve"> sido ejecutadas a la fecha.</w:t>
      </w:r>
    </w:p>
    <w:p w14:paraId="68917907" w14:textId="77777777" w:rsidR="00D825BF" w:rsidRPr="00EE2386" w:rsidRDefault="00D825BF" w:rsidP="005F3D64">
      <w:pPr>
        <w:pStyle w:val="ListParagraph"/>
        <w:numPr>
          <w:ilvl w:val="0"/>
          <w:numId w:val="0"/>
        </w:numPr>
        <w:rPr>
          <w:color w:val="auto"/>
          <w:szCs w:val="20"/>
          <w:lang w:val="es-US"/>
        </w:rPr>
      </w:pPr>
    </w:p>
    <w:p w14:paraId="2FDCF10A" w14:textId="77777777" w:rsidR="00EE4A7E" w:rsidRDefault="00EE4A7E" w:rsidP="00EE4A7E">
      <w:pPr>
        <w:pStyle w:val="Heading1"/>
        <w:numPr>
          <w:ilvl w:val="0"/>
          <w:numId w:val="0"/>
        </w:numPr>
        <w:rPr>
          <w:rFonts w:ascii="Cambria" w:hAnsi="Cambria"/>
          <w:color w:val="auto"/>
        </w:rPr>
      </w:pPr>
      <w:bookmarkStart w:id="14" w:name="_Toc35966088"/>
    </w:p>
    <w:p w14:paraId="4A17CAE6" w14:textId="77777777" w:rsidR="00EE4A7E" w:rsidRDefault="00EE4A7E" w:rsidP="00EE4A7E">
      <w:pPr>
        <w:pStyle w:val="Heading1"/>
        <w:numPr>
          <w:ilvl w:val="0"/>
          <w:numId w:val="0"/>
        </w:numPr>
        <w:rPr>
          <w:rFonts w:ascii="Cambria" w:hAnsi="Cambria"/>
          <w:color w:val="auto"/>
        </w:rPr>
      </w:pPr>
    </w:p>
    <w:p w14:paraId="0DCFB139" w14:textId="77777777" w:rsidR="00EE4A7E" w:rsidRDefault="00EE4A7E" w:rsidP="00EE4A7E">
      <w:pPr>
        <w:pStyle w:val="Heading1"/>
        <w:numPr>
          <w:ilvl w:val="0"/>
          <w:numId w:val="0"/>
        </w:numPr>
        <w:rPr>
          <w:rFonts w:ascii="Cambria" w:hAnsi="Cambria"/>
          <w:color w:val="auto"/>
        </w:rPr>
      </w:pPr>
    </w:p>
    <w:p w14:paraId="73CE9F1C" w14:textId="77777777" w:rsidR="00EE4A7E" w:rsidRDefault="00EE4A7E" w:rsidP="00EE4A7E">
      <w:pPr>
        <w:pStyle w:val="Heading1"/>
        <w:numPr>
          <w:ilvl w:val="0"/>
          <w:numId w:val="0"/>
        </w:numPr>
        <w:rPr>
          <w:rFonts w:ascii="Cambria" w:hAnsi="Cambria"/>
          <w:color w:val="auto"/>
        </w:rPr>
      </w:pPr>
    </w:p>
    <w:p w14:paraId="58BAF958" w14:textId="77777777" w:rsidR="00EE4A7E" w:rsidRDefault="00EE4A7E" w:rsidP="00EE4A7E">
      <w:pPr>
        <w:pStyle w:val="Heading1"/>
        <w:numPr>
          <w:ilvl w:val="0"/>
          <w:numId w:val="0"/>
        </w:numPr>
        <w:rPr>
          <w:rFonts w:ascii="Cambria" w:hAnsi="Cambria"/>
          <w:color w:val="auto"/>
        </w:rPr>
      </w:pPr>
    </w:p>
    <w:p w14:paraId="17FC8EB2" w14:textId="77777777" w:rsidR="00EE4A7E" w:rsidRDefault="00EE4A7E" w:rsidP="00EE4A7E">
      <w:pPr>
        <w:pStyle w:val="Heading1"/>
        <w:numPr>
          <w:ilvl w:val="0"/>
          <w:numId w:val="0"/>
        </w:numPr>
        <w:rPr>
          <w:rFonts w:ascii="Cambria" w:hAnsi="Cambria"/>
          <w:color w:val="auto"/>
        </w:rPr>
      </w:pPr>
    </w:p>
    <w:p w14:paraId="4EFB0174" w14:textId="77777777" w:rsidR="00EE4A7E" w:rsidRDefault="00EE4A7E" w:rsidP="00EE4A7E">
      <w:pPr>
        <w:pStyle w:val="Heading1"/>
        <w:numPr>
          <w:ilvl w:val="0"/>
          <w:numId w:val="0"/>
        </w:numPr>
        <w:rPr>
          <w:rFonts w:ascii="Cambria" w:hAnsi="Cambria"/>
          <w:color w:val="auto"/>
        </w:rPr>
      </w:pPr>
    </w:p>
    <w:p w14:paraId="0E73A13A" w14:textId="77777777" w:rsidR="00EE4A7E" w:rsidRDefault="00EE4A7E" w:rsidP="00EE4A7E">
      <w:pPr>
        <w:pStyle w:val="Heading1"/>
        <w:numPr>
          <w:ilvl w:val="0"/>
          <w:numId w:val="0"/>
        </w:numPr>
        <w:rPr>
          <w:rFonts w:ascii="Cambria" w:hAnsi="Cambria"/>
          <w:color w:val="auto"/>
        </w:rPr>
      </w:pPr>
    </w:p>
    <w:p w14:paraId="04FCD8A2" w14:textId="77777777" w:rsidR="00EE4A7E" w:rsidRDefault="00EE4A7E" w:rsidP="00EE4A7E">
      <w:pPr>
        <w:pStyle w:val="Heading1"/>
        <w:numPr>
          <w:ilvl w:val="0"/>
          <w:numId w:val="0"/>
        </w:numPr>
        <w:rPr>
          <w:rFonts w:ascii="Cambria" w:hAnsi="Cambria"/>
          <w:color w:val="auto"/>
        </w:rPr>
      </w:pPr>
    </w:p>
    <w:p w14:paraId="730F78EB" w14:textId="77777777" w:rsidR="00D12193" w:rsidRPr="00EE2386" w:rsidRDefault="00D12193" w:rsidP="00A72DE3">
      <w:pPr>
        <w:pStyle w:val="Heading1"/>
        <w:ind w:left="0" w:firstLine="0"/>
        <w:rPr>
          <w:rFonts w:ascii="Cambria" w:hAnsi="Cambria"/>
          <w:color w:val="auto"/>
        </w:rPr>
      </w:pPr>
      <w:r w:rsidRPr="00EE2386">
        <w:rPr>
          <w:rFonts w:ascii="Cambria" w:hAnsi="Cambria"/>
          <w:color w:val="auto"/>
        </w:rPr>
        <w:t>ANÁLISIS DE DERECHO</w:t>
      </w:r>
      <w:bookmarkEnd w:id="14"/>
    </w:p>
    <w:p w14:paraId="339EC6CF" w14:textId="77777777" w:rsidR="0011380E" w:rsidRPr="00EE2386" w:rsidRDefault="0011380E" w:rsidP="00A72DE3">
      <w:pPr>
        <w:rPr>
          <w:rFonts w:ascii="Cambria" w:hAnsi="Cambria"/>
          <w:sz w:val="20"/>
          <w:szCs w:val="20"/>
          <w:lang w:val="es-ES_tradnl" w:eastAsia="es-ES"/>
        </w:rPr>
      </w:pPr>
    </w:p>
    <w:p w14:paraId="6D3DBB5A" w14:textId="77777777" w:rsidR="000C5E0D" w:rsidRPr="00EE2386" w:rsidRDefault="00755124" w:rsidP="008A05FF">
      <w:pPr>
        <w:pStyle w:val="Heading2"/>
        <w:numPr>
          <w:ilvl w:val="0"/>
          <w:numId w:val="58"/>
        </w:numPr>
        <w:jc w:val="both"/>
        <w:rPr>
          <w:szCs w:val="20"/>
          <w:lang w:val="es-ES"/>
        </w:rPr>
      </w:pPr>
      <w:bookmarkStart w:id="15" w:name="_Toc532378916"/>
      <w:bookmarkStart w:id="16" w:name="_Toc35966089"/>
      <w:bookmarkStart w:id="17" w:name="_Toc531369297"/>
      <w:bookmarkStart w:id="18" w:name="_Toc485650798"/>
      <w:r w:rsidRPr="00EE2386">
        <w:rPr>
          <w:szCs w:val="20"/>
          <w:lang w:val="es-ES"/>
        </w:rPr>
        <w:t xml:space="preserve">Derechos a </w:t>
      </w:r>
      <w:bookmarkEnd w:id="15"/>
      <w:r w:rsidR="00D61FBE" w:rsidRPr="00EE2386">
        <w:rPr>
          <w:szCs w:val="20"/>
          <w:lang w:val="es-ES"/>
        </w:rPr>
        <w:t>la vida</w:t>
      </w:r>
      <w:r w:rsidR="008135F6" w:rsidRPr="00EE2386">
        <w:rPr>
          <w:rStyle w:val="FootnoteReference"/>
          <w:szCs w:val="20"/>
          <w:lang w:val="es-ES"/>
        </w:rPr>
        <w:footnoteReference w:id="79"/>
      </w:r>
      <w:r w:rsidR="00D61FBE" w:rsidRPr="00EE2386">
        <w:rPr>
          <w:szCs w:val="20"/>
          <w:lang w:val="es-ES"/>
        </w:rPr>
        <w:t xml:space="preserve"> e integridad personal</w:t>
      </w:r>
      <w:r w:rsidR="008135F6" w:rsidRPr="00EE2386">
        <w:rPr>
          <w:rStyle w:val="FootnoteReference"/>
          <w:szCs w:val="20"/>
          <w:lang w:val="es-ES"/>
        </w:rPr>
        <w:footnoteReference w:id="80"/>
      </w:r>
      <w:r w:rsidR="007667F1" w:rsidRPr="00EE2386">
        <w:rPr>
          <w:szCs w:val="20"/>
          <w:lang w:val="es-ES"/>
        </w:rPr>
        <w:t xml:space="preserve">, en relación con </w:t>
      </w:r>
      <w:r w:rsidR="00D61FBE" w:rsidRPr="00EE2386">
        <w:rPr>
          <w:szCs w:val="20"/>
          <w:lang w:val="es-ES"/>
        </w:rPr>
        <w:t>l</w:t>
      </w:r>
      <w:r w:rsidR="007667F1" w:rsidRPr="00EE2386">
        <w:rPr>
          <w:szCs w:val="20"/>
          <w:lang w:val="es-ES"/>
        </w:rPr>
        <w:t>os</w:t>
      </w:r>
      <w:r w:rsidR="00D61FBE" w:rsidRPr="00EE2386">
        <w:rPr>
          <w:szCs w:val="20"/>
          <w:lang w:val="es-ES"/>
        </w:rPr>
        <w:t xml:space="preserve"> artículo</w:t>
      </w:r>
      <w:r w:rsidR="007667F1" w:rsidRPr="00EE2386">
        <w:rPr>
          <w:szCs w:val="20"/>
          <w:lang w:val="es-ES"/>
        </w:rPr>
        <w:t>s</w:t>
      </w:r>
      <w:r w:rsidR="00D61FBE" w:rsidRPr="00EE2386">
        <w:rPr>
          <w:szCs w:val="20"/>
          <w:lang w:val="es-ES"/>
        </w:rPr>
        <w:t xml:space="preserve"> 1.1</w:t>
      </w:r>
      <w:r w:rsidR="008135F6" w:rsidRPr="00EE2386">
        <w:rPr>
          <w:rStyle w:val="FootnoteReference"/>
          <w:szCs w:val="20"/>
          <w:lang w:val="es-ES"/>
        </w:rPr>
        <w:footnoteReference w:id="81"/>
      </w:r>
      <w:r w:rsidR="00D61FBE" w:rsidRPr="00EE2386">
        <w:rPr>
          <w:szCs w:val="20"/>
          <w:lang w:val="es-ES"/>
        </w:rPr>
        <w:t xml:space="preserve"> </w:t>
      </w:r>
      <w:r w:rsidR="007667F1" w:rsidRPr="00EE2386">
        <w:rPr>
          <w:szCs w:val="20"/>
          <w:lang w:val="es-ES"/>
        </w:rPr>
        <w:t>y 2</w:t>
      </w:r>
      <w:r w:rsidR="007667F1" w:rsidRPr="00EE2386">
        <w:rPr>
          <w:rStyle w:val="FootnoteReference"/>
          <w:szCs w:val="20"/>
          <w:lang w:val="es-ES"/>
        </w:rPr>
        <w:footnoteReference w:id="82"/>
      </w:r>
      <w:r w:rsidR="007667F1" w:rsidRPr="00EE2386">
        <w:rPr>
          <w:szCs w:val="20"/>
          <w:lang w:val="es-ES"/>
        </w:rPr>
        <w:t xml:space="preserve"> </w:t>
      </w:r>
      <w:r w:rsidR="00D61FBE" w:rsidRPr="00EE2386">
        <w:rPr>
          <w:szCs w:val="20"/>
          <w:lang w:val="es-ES"/>
        </w:rPr>
        <w:t>de la Convención Americana</w:t>
      </w:r>
      <w:bookmarkEnd w:id="16"/>
    </w:p>
    <w:p w14:paraId="744968D3" w14:textId="77777777" w:rsidR="008135F6" w:rsidRPr="00EE2386" w:rsidRDefault="008135F6" w:rsidP="008135F6">
      <w:pPr>
        <w:pStyle w:val="ListParagraph"/>
        <w:numPr>
          <w:ilvl w:val="0"/>
          <w:numId w:val="0"/>
        </w:numPr>
        <w:rPr>
          <w:szCs w:val="20"/>
          <w:lang w:val="es-ES_tradnl"/>
        </w:rPr>
      </w:pPr>
    </w:p>
    <w:p w14:paraId="3F474DAE" w14:textId="77777777" w:rsidR="002E16D2" w:rsidRPr="00EE2386" w:rsidRDefault="008135F6" w:rsidP="002E16D2">
      <w:pPr>
        <w:pStyle w:val="ListParagraph"/>
        <w:rPr>
          <w:szCs w:val="20"/>
          <w:lang w:val="es-ES"/>
        </w:rPr>
      </w:pPr>
      <w:r w:rsidRPr="00EE2386">
        <w:rPr>
          <w:szCs w:val="20"/>
          <w:lang w:val="es-US"/>
        </w:rPr>
        <w:t>En cuanto al derecho a la vida, la Corte ha indicado de manera consistente que “es un derecho humano fundamental, cuyo goce es un prerrequisito para el disfrute de todos los demás derechos humanos. De no ser respetado, todos los derechos carecen de sentido”</w:t>
      </w:r>
      <w:r w:rsidRPr="00EE2386">
        <w:rPr>
          <w:szCs w:val="20"/>
          <w:vertAlign w:val="superscript"/>
          <w:lang w:val="es-ES_tradnl"/>
        </w:rPr>
        <w:footnoteReference w:id="83"/>
      </w:r>
      <w:r w:rsidRPr="00EE2386">
        <w:rPr>
          <w:szCs w:val="20"/>
          <w:lang w:val="es-US"/>
        </w:rPr>
        <w:t>. La observancia del artículo 4 en relación con el artículo 1.1 de la Convención “no sólo presupone que ninguna persona sea privada de su vida arbitrariamente (obligación negativa), sino que además requiere, a la luz de su obligación de garantizar el pleno y libre ejercicio de los derechos humanos, que los Estados adopten todas las medidas apropiadas para proteger y preservar el derecho a la vida (obligación positiva) de quienes se encuentren bajo su jurisdicción.”</w:t>
      </w:r>
      <w:r w:rsidRPr="00EE2386">
        <w:rPr>
          <w:szCs w:val="20"/>
          <w:vertAlign w:val="superscript"/>
          <w:lang w:val="es-ES_tradnl"/>
        </w:rPr>
        <w:footnoteReference w:id="84"/>
      </w:r>
      <w:r w:rsidRPr="00EE2386">
        <w:rPr>
          <w:szCs w:val="20"/>
          <w:lang w:val="es-US"/>
        </w:rPr>
        <w:t xml:space="preserve">. </w:t>
      </w:r>
      <w:r w:rsidR="00800208" w:rsidRPr="00EE2386">
        <w:rPr>
          <w:szCs w:val="20"/>
          <w:lang w:val="es-US"/>
        </w:rPr>
        <w:t xml:space="preserve">Por lo tanto, el Estado debe adoptar </w:t>
      </w:r>
      <w:r w:rsidR="00800208" w:rsidRPr="00EE2386">
        <w:rPr>
          <w:szCs w:val="20"/>
          <w:lang w:val="es-ES"/>
        </w:rPr>
        <w:t>todas las medidas necesarias para impedir las ejecuciones arbitrarias por parte de sus propias fuerzas de seguridad</w:t>
      </w:r>
      <w:r w:rsidR="00800208" w:rsidRPr="00EE2386">
        <w:rPr>
          <w:szCs w:val="20"/>
          <w:vertAlign w:val="superscript"/>
          <w:lang w:val="es-ES"/>
        </w:rPr>
        <w:footnoteReference w:id="85"/>
      </w:r>
      <w:r w:rsidR="00800208" w:rsidRPr="00EE2386">
        <w:rPr>
          <w:szCs w:val="20"/>
          <w:lang w:val="es-ES"/>
        </w:rPr>
        <w:t>.</w:t>
      </w:r>
    </w:p>
    <w:p w14:paraId="2D7BDCC3" w14:textId="77777777" w:rsidR="002E16D2" w:rsidRPr="00EE2386" w:rsidRDefault="002E16D2" w:rsidP="002E16D2">
      <w:pPr>
        <w:pStyle w:val="ListParagraph"/>
        <w:numPr>
          <w:ilvl w:val="0"/>
          <w:numId w:val="0"/>
        </w:numPr>
        <w:rPr>
          <w:szCs w:val="20"/>
          <w:lang w:val="es-ES"/>
        </w:rPr>
      </w:pPr>
    </w:p>
    <w:p w14:paraId="03D0E26F" w14:textId="77777777" w:rsidR="002E16D2" w:rsidRPr="00EE2386" w:rsidRDefault="002E16D2" w:rsidP="002E16D2">
      <w:pPr>
        <w:pStyle w:val="ListParagraph"/>
        <w:rPr>
          <w:szCs w:val="20"/>
          <w:lang w:val="es-ES"/>
        </w:rPr>
      </w:pPr>
      <w:r w:rsidRPr="00EE2386">
        <w:rPr>
          <w:szCs w:val="20"/>
          <w:lang w:val="es-US"/>
        </w:rPr>
        <w:t>En cuanto a la infracción al derecho a la integridad personal, la Corte ha señalado que ésta “es una clase de violación que tiene diversas connotaciones de grado y que abarca desde la tortura hasta otro tipo de vejámenes o tratos crueles, inhumanos o degradantes”</w:t>
      </w:r>
      <w:r w:rsidRPr="00EE2386">
        <w:rPr>
          <w:rStyle w:val="FootnoteReference"/>
          <w:rFonts w:cs="Verdana"/>
          <w:color w:val="auto"/>
          <w:szCs w:val="20"/>
          <w:lang w:val="es-ES_tradnl"/>
        </w:rPr>
        <w:footnoteReference w:id="86"/>
      </w:r>
      <w:r w:rsidRPr="00EE2386">
        <w:rPr>
          <w:szCs w:val="20"/>
          <w:lang w:val="es-US"/>
        </w:rPr>
        <w:t>. En particular, “[t]</w:t>
      </w:r>
      <w:r w:rsidRPr="00EE2386">
        <w:rPr>
          <w:szCs w:val="20"/>
          <w:lang w:val="es-VE"/>
        </w:rPr>
        <w:t>odo uso de la fuerza que no sea estrictamente necesario por el propio comportamiento de la persona detenida constituye un atentado a la dignidad humana”</w:t>
      </w:r>
      <w:r w:rsidRPr="00EE2386">
        <w:rPr>
          <w:rStyle w:val="FootnoteReference"/>
          <w:color w:val="auto"/>
          <w:szCs w:val="20"/>
          <w:lang w:val="es-VE"/>
        </w:rPr>
        <w:footnoteReference w:id="87"/>
      </w:r>
      <w:r w:rsidRPr="00EE2386">
        <w:rPr>
          <w:szCs w:val="20"/>
          <w:lang w:val="es-VE"/>
        </w:rPr>
        <w:t xml:space="preserve">. Conforme al </w:t>
      </w:r>
      <w:r w:rsidRPr="00EE2386">
        <w:rPr>
          <w:szCs w:val="20"/>
          <w:bdr w:val="none" w:sz="0" w:space="0" w:color="auto"/>
          <w:lang w:val="es-ES"/>
        </w:rPr>
        <w:t>propio artículo 5.2 de la Convención, las personas privadas de libertad deben ser tratadas con el respeto debido a la dignidad inherente al ser humano, derecho que forma parte del núcleo inderogable que establece el artículo 27.2 de la Convención</w:t>
      </w:r>
      <w:r w:rsidRPr="00EE2386">
        <w:rPr>
          <w:rStyle w:val="FootnoteReference"/>
          <w:color w:val="auto"/>
          <w:szCs w:val="20"/>
          <w:bdr w:val="none" w:sz="0" w:space="0" w:color="auto"/>
          <w:lang w:val="es-ES"/>
        </w:rPr>
        <w:footnoteReference w:id="88"/>
      </w:r>
      <w:r w:rsidRPr="00EE2386">
        <w:rPr>
          <w:szCs w:val="20"/>
          <w:bdr w:val="none" w:sz="0" w:space="0" w:color="auto"/>
          <w:lang w:val="es-ES"/>
        </w:rPr>
        <w:t xml:space="preserve">.  </w:t>
      </w:r>
    </w:p>
    <w:p w14:paraId="7F8B7BA3" w14:textId="77777777" w:rsidR="002E16D2" w:rsidRPr="00EE2386" w:rsidRDefault="002E16D2" w:rsidP="002E16D2">
      <w:pPr>
        <w:pStyle w:val="ListParagraph"/>
        <w:numPr>
          <w:ilvl w:val="0"/>
          <w:numId w:val="0"/>
        </w:numPr>
        <w:rPr>
          <w:szCs w:val="20"/>
          <w:bdr w:val="none" w:sz="0" w:space="0" w:color="auto"/>
          <w:lang w:val="es-ES"/>
        </w:rPr>
      </w:pPr>
    </w:p>
    <w:p w14:paraId="251308B7" w14:textId="77777777" w:rsidR="002E16D2" w:rsidRPr="00EE2386" w:rsidRDefault="002E16D2" w:rsidP="002E16D2">
      <w:pPr>
        <w:pStyle w:val="ListParagraph"/>
        <w:rPr>
          <w:szCs w:val="20"/>
          <w:bdr w:val="none" w:sz="0" w:space="0" w:color="auto"/>
          <w:lang w:val="es-ES"/>
        </w:rPr>
      </w:pPr>
      <w:r w:rsidRPr="00EE2386">
        <w:rPr>
          <w:szCs w:val="20"/>
          <w:lang w:val="es-ES"/>
        </w:rPr>
        <w:t>En cuanto a la tortura, ésta se encuentra estrictamente prohibida por el derecho internacional de los derechos humanos y tal prohibición es absoluta e inderogable, aun en las circunstancias más difíciles</w:t>
      </w:r>
      <w:r w:rsidRPr="00EE2386">
        <w:rPr>
          <w:rStyle w:val="FootnoteReference"/>
          <w:color w:val="auto"/>
          <w:szCs w:val="20"/>
          <w:lang w:val="es-ES"/>
        </w:rPr>
        <w:footnoteReference w:id="89"/>
      </w:r>
      <w:r w:rsidRPr="00EE2386">
        <w:rPr>
          <w:szCs w:val="20"/>
          <w:lang w:val="es-ES"/>
        </w:rPr>
        <w:t xml:space="preserve">. El régimen jurídico internacional de prohibición absoluta de todas las formas de tortura, tanto física como psicológica, pertenece hoy en día al dominio de </w:t>
      </w:r>
      <w:r w:rsidRPr="00EE2386">
        <w:rPr>
          <w:i/>
          <w:iCs/>
          <w:szCs w:val="20"/>
          <w:lang w:val="es-ES"/>
        </w:rPr>
        <w:t xml:space="preserve">jus cogens </w:t>
      </w:r>
      <w:r w:rsidRPr="00EE2386">
        <w:rPr>
          <w:szCs w:val="20"/>
          <w:lang w:val="es-ES"/>
        </w:rPr>
        <w:t>internacional</w:t>
      </w:r>
      <w:r w:rsidRPr="00EE2386">
        <w:rPr>
          <w:rStyle w:val="FootnoteReference"/>
          <w:color w:val="auto"/>
          <w:szCs w:val="20"/>
          <w:lang w:val="es-ES"/>
        </w:rPr>
        <w:footnoteReference w:id="90"/>
      </w:r>
      <w:r w:rsidRPr="00EE2386">
        <w:rPr>
          <w:szCs w:val="20"/>
          <w:lang w:val="es-ES"/>
        </w:rPr>
        <w:t xml:space="preserve">. </w:t>
      </w:r>
      <w:r w:rsidRPr="00EE2386">
        <w:rPr>
          <w:szCs w:val="20"/>
          <w:bdr w:val="none" w:sz="0" w:space="0" w:color="auto"/>
          <w:lang w:val="es-ES"/>
        </w:rPr>
        <w:t>La Corte ha indicado que, a la luz del artículo 5.2 de la Convención</w:t>
      </w:r>
      <w:r w:rsidRPr="00EE2386">
        <w:rPr>
          <w:rStyle w:val="FootnoteReference"/>
          <w:color w:val="auto"/>
          <w:szCs w:val="20"/>
          <w:bdr w:val="none" w:sz="0" w:space="0" w:color="auto"/>
          <w:lang w:val="es-ES"/>
        </w:rPr>
        <w:footnoteReference w:id="91"/>
      </w:r>
      <w:r w:rsidRPr="00EE2386">
        <w:rPr>
          <w:szCs w:val="20"/>
          <w:bdr w:val="none" w:sz="0" w:space="0" w:color="auto"/>
          <w:lang w:val="es-ES"/>
        </w:rPr>
        <w:t>, se está frente a un acto de “tortura” cuando el maltrato: i) es intencional; ii) cause severos sufrimientos físicos o mentales, y iii) se cometa con cualquier fin o propósito</w:t>
      </w:r>
      <w:r w:rsidRPr="00EE2386">
        <w:rPr>
          <w:rStyle w:val="FootnoteReference"/>
          <w:color w:val="auto"/>
          <w:szCs w:val="20"/>
          <w:bdr w:val="none" w:sz="0" w:space="0" w:color="auto"/>
          <w:lang w:val="es-ES"/>
        </w:rPr>
        <w:footnoteReference w:id="92"/>
      </w:r>
      <w:r w:rsidRPr="00EE2386">
        <w:rPr>
          <w:szCs w:val="20"/>
          <w:bdr w:val="none" w:sz="0" w:space="0" w:color="auto"/>
          <w:lang w:val="es-ES"/>
        </w:rPr>
        <w:t xml:space="preserve">. </w:t>
      </w:r>
    </w:p>
    <w:p w14:paraId="6642088E" w14:textId="77777777" w:rsidR="002E16D2" w:rsidRPr="00EE2386" w:rsidRDefault="002E16D2" w:rsidP="008135F6">
      <w:pPr>
        <w:pStyle w:val="ListParagraph"/>
        <w:numPr>
          <w:ilvl w:val="0"/>
          <w:numId w:val="0"/>
        </w:numPr>
        <w:rPr>
          <w:szCs w:val="20"/>
          <w:lang w:val="es-ES"/>
        </w:rPr>
      </w:pPr>
    </w:p>
    <w:p w14:paraId="0E4F12A5" w14:textId="77777777" w:rsidR="00472798" w:rsidRPr="00EE2386" w:rsidRDefault="008135F6" w:rsidP="00472798">
      <w:pPr>
        <w:pStyle w:val="ListParagraph"/>
        <w:rPr>
          <w:szCs w:val="20"/>
          <w:lang w:val="es-ES"/>
        </w:rPr>
      </w:pPr>
      <w:r w:rsidRPr="00EE2386">
        <w:rPr>
          <w:szCs w:val="20"/>
          <w:lang w:val="es-ES_tradnl"/>
        </w:rPr>
        <w:t>E</w:t>
      </w:r>
      <w:r w:rsidRPr="00EE2386">
        <w:rPr>
          <w:szCs w:val="20"/>
          <w:bdr w:val="none" w:sz="0" w:space="0" w:color="auto"/>
          <w:lang w:val="es-ES"/>
        </w:rPr>
        <w:t>n su condición de garante de los derechos consagrados en la Convención, el</w:t>
      </w:r>
      <w:r w:rsidRPr="00EE2386">
        <w:rPr>
          <w:szCs w:val="20"/>
          <w:lang w:val="es-ES_tradnl"/>
        </w:rPr>
        <w:t xml:space="preserve"> Estado </w:t>
      </w:r>
      <w:r w:rsidRPr="00EE2386">
        <w:rPr>
          <w:szCs w:val="20"/>
          <w:bdr w:val="none" w:sz="0" w:space="0" w:color="auto"/>
          <w:lang w:val="es-ES"/>
        </w:rPr>
        <w:t xml:space="preserve">es responsable de asegurar el respeto a la vida </w:t>
      </w:r>
      <w:r w:rsidR="002E16D2" w:rsidRPr="00EE2386">
        <w:rPr>
          <w:szCs w:val="20"/>
          <w:bdr w:val="none" w:sz="0" w:space="0" w:color="auto"/>
          <w:lang w:val="es-ES"/>
        </w:rPr>
        <w:t xml:space="preserve">e integridad personal </w:t>
      </w:r>
      <w:r w:rsidRPr="00EE2386">
        <w:rPr>
          <w:szCs w:val="20"/>
          <w:bdr w:val="none" w:sz="0" w:space="0" w:color="auto"/>
          <w:lang w:val="es-ES"/>
        </w:rPr>
        <w:t>de toda persona bajo su custodia. Si bien el Estado “tiene el derecho y la obligación de garantizar su seguridad y mantener el orden público, su poder no es ilimitado […] [y debe respetar] los derechos fundamentales, a todo individuo que se encuentre bajo su jurisdicción”</w:t>
      </w:r>
      <w:r w:rsidRPr="00EE2386">
        <w:rPr>
          <w:rStyle w:val="FootnoteReference"/>
          <w:color w:val="auto"/>
          <w:szCs w:val="20"/>
          <w:bdr w:val="none" w:sz="0" w:space="0" w:color="auto"/>
          <w:lang w:val="es-ES"/>
        </w:rPr>
        <w:footnoteReference w:id="93"/>
      </w:r>
      <w:r w:rsidRPr="00EE2386">
        <w:rPr>
          <w:szCs w:val="20"/>
          <w:bdr w:val="none" w:sz="0" w:space="0" w:color="auto"/>
          <w:lang w:val="es-ES"/>
        </w:rPr>
        <w:t xml:space="preserve">. </w:t>
      </w:r>
      <w:r w:rsidR="00472798" w:rsidRPr="00EE2386">
        <w:rPr>
          <w:szCs w:val="20"/>
          <w:lang w:val="es-ES"/>
        </w:rPr>
        <w:t>Por lo tanto, el uso de la fuerza pública debe adecuarse “dentro de los límites y conforme a los procedimientos que permiten preservar tanto la seguridad pública como los derechos fundamentales de la persona humana”</w:t>
      </w:r>
      <w:r w:rsidR="00472798" w:rsidRPr="00EE2386">
        <w:rPr>
          <w:szCs w:val="20"/>
          <w:vertAlign w:val="superscript"/>
          <w:lang w:val="es-ES"/>
        </w:rPr>
        <w:footnoteReference w:id="94"/>
      </w:r>
      <w:r w:rsidR="00472798" w:rsidRPr="00EE2386">
        <w:rPr>
          <w:szCs w:val="20"/>
          <w:lang w:val="es-ES"/>
        </w:rPr>
        <w:t xml:space="preserve">. </w:t>
      </w:r>
    </w:p>
    <w:p w14:paraId="0A8AFC5E" w14:textId="77777777" w:rsidR="00472798" w:rsidRPr="00EE2386" w:rsidRDefault="00472798" w:rsidP="00A6582B">
      <w:pPr>
        <w:pStyle w:val="ListParagraph"/>
        <w:numPr>
          <w:ilvl w:val="0"/>
          <w:numId w:val="0"/>
        </w:numPr>
        <w:rPr>
          <w:szCs w:val="20"/>
          <w:lang w:val="es-ES"/>
        </w:rPr>
      </w:pPr>
    </w:p>
    <w:p w14:paraId="11004D03" w14:textId="77777777" w:rsidR="00472798" w:rsidRPr="00EE2386" w:rsidRDefault="007041A0" w:rsidP="00472798">
      <w:pPr>
        <w:pStyle w:val="ListParagraph"/>
        <w:rPr>
          <w:szCs w:val="20"/>
          <w:lang w:val="es-ES"/>
        </w:rPr>
      </w:pPr>
      <w:r w:rsidRPr="00EE2386">
        <w:rPr>
          <w:szCs w:val="20"/>
          <w:lang w:val="es-ES"/>
        </w:rPr>
        <w:t>S</w:t>
      </w:r>
      <w:r w:rsidR="00472798" w:rsidRPr="00EE2386">
        <w:rPr>
          <w:szCs w:val="20"/>
          <w:lang w:val="es-ES"/>
        </w:rPr>
        <w:t xml:space="preserve">iguiendo la jurisprudencia de la Corte Interamericana, </w:t>
      </w:r>
      <w:r w:rsidRPr="00EE2386">
        <w:rPr>
          <w:szCs w:val="20"/>
          <w:lang w:val="es-ES"/>
        </w:rPr>
        <w:t xml:space="preserve">la Comisión ha determinado </w:t>
      </w:r>
      <w:r w:rsidR="00472798" w:rsidRPr="00EE2386">
        <w:rPr>
          <w:szCs w:val="20"/>
          <w:lang w:val="es-ES"/>
        </w:rPr>
        <w:t xml:space="preserve">que “si bien los agentes de la Fuerza Pública pueden utilizar legítimamente fuerza letal en el ejercicio de sus funciones, este uso debe ser excepcional y debe ser planeado y limitado proporcionalmente por las autoridades, de forma que sólo procederán al </w:t>
      </w:r>
      <w:r w:rsidR="001E21C3" w:rsidRPr="00EE2386">
        <w:rPr>
          <w:szCs w:val="20"/>
          <w:lang w:val="es-ES"/>
        </w:rPr>
        <w:t>‘</w:t>
      </w:r>
      <w:r w:rsidR="00472798" w:rsidRPr="00EE2386">
        <w:rPr>
          <w:szCs w:val="20"/>
          <w:lang w:val="es-ES"/>
        </w:rPr>
        <w:t>uso de la fuerza o de instrumentos de coerción cuando se hayan agotado y hayan fracasado todos los demás medios de control</w:t>
      </w:r>
      <w:r w:rsidR="001E21C3" w:rsidRPr="00EE2386">
        <w:rPr>
          <w:szCs w:val="20"/>
          <w:lang w:val="es-ES"/>
        </w:rPr>
        <w:t>’</w:t>
      </w:r>
      <w:r w:rsidR="00472798" w:rsidRPr="00EE2386">
        <w:rPr>
          <w:szCs w:val="20"/>
          <w:lang w:val="es-ES"/>
        </w:rPr>
        <w:t>”</w:t>
      </w:r>
      <w:r w:rsidR="00472798" w:rsidRPr="00EE2386">
        <w:rPr>
          <w:szCs w:val="20"/>
          <w:vertAlign w:val="superscript"/>
          <w:lang w:val="es-ES"/>
        </w:rPr>
        <w:footnoteReference w:id="95"/>
      </w:r>
      <w:r w:rsidR="00472798" w:rsidRPr="00EE2386">
        <w:rPr>
          <w:szCs w:val="20"/>
          <w:lang w:val="es-ES"/>
        </w:rPr>
        <w:t xml:space="preserve">. </w:t>
      </w:r>
    </w:p>
    <w:p w14:paraId="53971BAB" w14:textId="77777777" w:rsidR="00472798" w:rsidRPr="00EE2386" w:rsidRDefault="00472798" w:rsidP="00A6582B">
      <w:pPr>
        <w:pStyle w:val="ListParagraph"/>
        <w:numPr>
          <w:ilvl w:val="0"/>
          <w:numId w:val="0"/>
        </w:numPr>
        <w:rPr>
          <w:szCs w:val="20"/>
          <w:lang w:val="es-ES"/>
        </w:rPr>
      </w:pPr>
    </w:p>
    <w:p w14:paraId="670D5612" w14:textId="77777777" w:rsidR="00857B4A" w:rsidRPr="00EE2386" w:rsidRDefault="00472798" w:rsidP="00857B4A">
      <w:pPr>
        <w:pStyle w:val="ListParagraph"/>
        <w:rPr>
          <w:szCs w:val="20"/>
          <w:lang w:val="es-VE"/>
        </w:rPr>
      </w:pPr>
      <w:r w:rsidRPr="00EE2386">
        <w:rPr>
          <w:szCs w:val="20"/>
          <w:lang w:val="es-ES"/>
        </w:rPr>
        <w:t xml:space="preserve">Cuando se alega que se ha producido una muerte </w:t>
      </w:r>
      <w:r w:rsidR="00857B4A" w:rsidRPr="00EE2386">
        <w:rPr>
          <w:szCs w:val="20"/>
          <w:lang w:val="es-ES"/>
        </w:rPr>
        <w:t xml:space="preserve">o lesiones </w:t>
      </w:r>
      <w:r w:rsidRPr="00EE2386">
        <w:rPr>
          <w:szCs w:val="20"/>
          <w:lang w:val="es-ES"/>
        </w:rPr>
        <w:t xml:space="preserve">como consecuencia del uso excesivo de la fuerza, la Corte ha establecido reglas claras sobre la carga de la prueba. </w:t>
      </w:r>
      <w:r w:rsidR="00857B4A" w:rsidRPr="00EE2386">
        <w:rPr>
          <w:szCs w:val="20"/>
          <w:lang w:val="es-ES"/>
        </w:rPr>
        <w:t>En particular, la Corte ha indicado que</w:t>
      </w:r>
      <w:r w:rsidR="006236CC">
        <w:rPr>
          <w:szCs w:val="20"/>
          <w:lang w:val="es-ES"/>
        </w:rPr>
        <w:t>,</w:t>
      </w:r>
      <w:r w:rsidR="00857B4A" w:rsidRPr="00EE2386">
        <w:rPr>
          <w:szCs w:val="20"/>
          <w:lang w:val="es-ES"/>
        </w:rPr>
        <w:t xml:space="preserve"> si una persona fuera detenida en buen estado de salud y posteriormente</w:t>
      </w:r>
      <w:r w:rsidR="006236CC">
        <w:rPr>
          <w:szCs w:val="20"/>
          <w:lang w:val="es-ES"/>
        </w:rPr>
        <w:t xml:space="preserve"> </w:t>
      </w:r>
      <w:r w:rsidR="00857B4A" w:rsidRPr="00EE2386">
        <w:rPr>
          <w:szCs w:val="20"/>
          <w:lang w:val="es-ES"/>
        </w:rPr>
        <w:t>muriera o se le produjeran lesiones, recae en el Estado la obligación de proveer una explicación satisfactoria y convincente de lo sucedido y desvirtuar las alegaciones sobre su responsabilidad, mediante elementos probatorios válidos</w:t>
      </w:r>
      <w:r w:rsidR="00607E40" w:rsidRPr="00EE2386">
        <w:rPr>
          <w:szCs w:val="20"/>
          <w:lang w:val="es-ES"/>
        </w:rPr>
        <w:t xml:space="preserve"> y adecuados</w:t>
      </w:r>
      <w:r w:rsidR="00857B4A" w:rsidRPr="00EE2386">
        <w:rPr>
          <w:szCs w:val="20"/>
          <w:vertAlign w:val="superscript"/>
          <w:lang w:val="es-ES"/>
        </w:rPr>
        <w:footnoteReference w:id="96"/>
      </w:r>
      <w:r w:rsidR="00857B4A" w:rsidRPr="00EE2386">
        <w:rPr>
          <w:szCs w:val="20"/>
          <w:lang w:val="es-ES"/>
        </w:rPr>
        <w:t>.</w:t>
      </w:r>
    </w:p>
    <w:p w14:paraId="05ABE069" w14:textId="77777777" w:rsidR="00472798" w:rsidRPr="00EE2386" w:rsidRDefault="00472798" w:rsidP="00607E40">
      <w:pPr>
        <w:pStyle w:val="ListParagraph"/>
        <w:numPr>
          <w:ilvl w:val="0"/>
          <w:numId w:val="0"/>
        </w:numPr>
        <w:rPr>
          <w:szCs w:val="20"/>
          <w:lang w:val="es-ES"/>
        </w:rPr>
      </w:pPr>
    </w:p>
    <w:p w14:paraId="2DCCD6E4" w14:textId="77777777" w:rsidR="00472798" w:rsidRPr="00EE2386" w:rsidRDefault="00472798" w:rsidP="004F56D5">
      <w:pPr>
        <w:pStyle w:val="ListParagraph"/>
        <w:rPr>
          <w:szCs w:val="20"/>
          <w:lang w:val="es-ES"/>
        </w:rPr>
      </w:pPr>
      <w:r w:rsidRPr="00EE2386">
        <w:rPr>
          <w:szCs w:val="20"/>
          <w:lang w:val="es-ES"/>
        </w:rPr>
        <w:t>A efectos de determinar la responsabilidad del Estado por violaci</w:t>
      </w:r>
      <w:r w:rsidR="005F10A5" w:rsidRPr="00EE2386">
        <w:rPr>
          <w:szCs w:val="20"/>
          <w:lang w:val="es-ES"/>
        </w:rPr>
        <w:t>ones</w:t>
      </w:r>
      <w:r w:rsidRPr="00EE2386">
        <w:rPr>
          <w:szCs w:val="20"/>
          <w:lang w:val="es-ES"/>
        </w:rPr>
        <w:t xml:space="preserve"> a</w:t>
      </w:r>
      <w:r w:rsidR="005F10A5" w:rsidRPr="00EE2386">
        <w:rPr>
          <w:szCs w:val="20"/>
          <w:lang w:val="es-ES"/>
        </w:rPr>
        <w:t xml:space="preserve"> </w:t>
      </w:r>
      <w:r w:rsidRPr="00EE2386">
        <w:rPr>
          <w:szCs w:val="20"/>
          <w:lang w:val="es-ES"/>
        </w:rPr>
        <w:t>l</w:t>
      </w:r>
      <w:r w:rsidR="005F10A5" w:rsidRPr="00EE2386">
        <w:rPr>
          <w:szCs w:val="20"/>
          <w:lang w:val="es-ES"/>
        </w:rPr>
        <w:t>os</w:t>
      </w:r>
      <w:r w:rsidRPr="00EE2386">
        <w:rPr>
          <w:szCs w:val="20"/>
          <w:lang w:val="es-ES"/>
        </w:rPr>
        <w:t xml:space="preserve"> derecho</w:t>
      </w:r>
      <w:r w:rsidR="005F10A5" w:rsidRPr="00EE2386">
        <w:rPr>
          <w:szCs w:val="20"/>
          <w:lang w:val="es-ES"/>
        </w:rPr>
        <w:t>s</w:t>
      </w:r>
      <w:r w:rsidRPr="00EE2386">
        <w:rPr>
          <w:szCs w:val="20"/>
          <w:lang w:val="es-ES"/>
        </w:rPr>
        <w:t xml:space="preserve"> a la vida </w:t>
      </w:r>
      <w:r w:rsidR="005F10A5" w:rsidRPr="00EE2386">
        <w:rPr>
          <w:szCs w:val="20"/>
          <w:lang w:val="es-ES"/>
        </w:rPr>
        <w:t>y a la integridad personal</w:t>
      </w:r>
      <w:r w:rsidR="005E61BA" w:rsidRPr="00EE2386">
        <w:rPr>
          <w:szCs w:val="20"/>
          <w:lang w:val="es-ES"/>
        </w:rPr>
        <w:t>,</w:t>
      </w:r>
      <w:r w:rsidR="005F10A5" w:rsidRPr="00EE2386">
        <w:rPr>
          <w:szCs w:val="20"/>
          <w:lang w:val="es-ES"/>
        </w:rPr>
        <w:t xml:space="preserve"> en relación con las obligaciones de respeto y garantía y en materia de uso de la fuerza, la Corte </w:t>
      </w:r>
      <w:r w:rsidR="007041A0" w:rsidRPr="00EE2386">
        <w:rPr>
          <w:szCs w:val="20"/>
          <w:lang w:val="es-ES"/>
        </w:rPr>
        <w:t>se ha guiado por</w:t>
      </w:r>
      <w:r w:rsidR="00081C7F" w:rsidRPr="00EE2386">
        <w:rPr>
          <w:szCs w:val="20"/>
          <w:lang w:val="es-ES"/>
        </w:rPr>
        <w:t xml:space="preserve"> </w:t>
      </w:r>
      <w:r w:rsidR="00A32622">
        <w:rPr>
          <w:szCs w:val="20"/>
          <w:lang w:val="es-ES"/>
        </w:rPr>
        <w:t xml:space="preserve">dos instrumentos de las </w:t>
      </w:r>
      <w:r w:rsidR="00F22BA3" w:rsidRPr="00EE2386">
        <w:rPr>
          <w:szCs w:val="20"/>
          <w:lang w:val="es-ES"/>
        </w:rPr>
        <w:t>Naciones Unidas</w:t>
      </w:r>
      <w:r w:rsidR="00A32622">
        <w:rPr>
          <w:szCs w:val="20"/>
          <w:lang w:val="es-ES"/>
        </w:rPr>
        <w:t>, los</w:t>
      </w:r>
      <w:r w:rsidR="005F10A5" w:rsidRPr="00EE2386">
        <w:rPr>
          <w:szCs w:val="20"/>
          <w:lang w:val="es-ES"/>
        </w:rPr>
        <w:t xml:space="preserve"> Principios Básicos sobre el Empleo de la Fuerza y de Armas de Fuego por los Funcionarios Encargados de Hacer Cumplir la Ley</w:t>
      </w:r>
      <w:r w:rsidR="004F56D5" w:rsidRPr="00EE2386">
        <w:rPr>
          <w:rStyle w:val="FootnoteReference"/>
          <w:szCs w:val="20"/>
          <w:lang w:val="es-ES"/>
        </w:rPr>
        <w:footnoteReference w:id="97"/>
      </w:r>
      <w:r w:rsidR="004F56D5" w:rsidRPr="00EE2386">
        <w:rPr>
          <w:szCs w:val="20"/>
          <w:lang w:val="es-ES"/>
        </w:rPr>
        <w:t xml:space="preserve"> y </w:t>
      </w:r>
      <w:r w:rsidR="007041A0" w:rsidRPr="00EE2386">
        <w:rPr>
          <w:szCs w:val="20"/>
          <w:lang w:val="es-ES"/>
        </w:rPr>
        <w:t xml:space="preserve">el </w:t>
      </w:r>
      <w:r w:rsidR="004F56D5" w:rsidRPr="00EE2386">
        <w:rPr>
          <w:szCs w:val="20"/>
          <w:lang w:val="es-ES"/>
        </w:rPr>
        <w:t>Código de conducta para funcionarios encargados de hacer cumplir la ley</w:t>
      </w:r>
      <w:r w:rsidR="004F56D5" w:rsidRPr="00EE2386">
        <w:rPr>
          <w:rStyle w:val="FootnoteReference"/>
          <w:szCs w:val="20"/>
          <w:lang w:val="es-ES"/>
        </w:rPr>
        <w:footnoteReference w:id="98"/>
      </w:r>
      <w:r w:rsidR="005E61BA" w:rsidRPr="00EE2386">
        <w:rPr>
          <w:szCs w:val="20"/>
          <w:lang w:val="es-ES"/>
        </w:rPr>
        <w:t>,</w:t>
      </w:r>
      <w:r w:rsidR="004F56D5" w:rsidRPr="00EE2386">
        <w:rPr>
          <w:szCs w:val="20"/>
          <w:lang w:val="es-ES"/>
        </w:rPr>
        <w:t xml:space="preserve"> </w:t>
      </w:r>
      <w:r w:rsidR="005E61BA" w:rsidRPr="00EE2386">
        <w:rPr>
          <w:szCs w:val="20"/>
          <w:lang w:val="es-ES"/>
        </w:rPr>
        <w:t xml:space="preserve">conforme a los cuales </w:t>
      </w:r>
      <w:r w:rsidR="006236CC">
        <w:rPr>
          <w:szCs w:val="20"/>
          <w:lang w:val="es-ES"/>
        </w:rPr>
        <w:t xml:space="preserve">ha entendido que </w:t>
      </w:r>
      <w:r w:rsidR="005E61BA" w:rsidRPr="00EE2386">
        <w:rPr>
          <w:szCs w:val="20"/>
          <w:lang w:val="es-ES"/>
        </w:rPr>
        <w:t>es necesario toma</w:t>
      </w:r>
      <w:r w:rsidR="00081C7F" w:rsidRPr="00EE2386">
        <w:rPr>
          <w:szCs w:val="20"/>
          <w:lang w:val="es-ES"/>
        </w:rPr>
        <w:t>r</w:t>
      </w:r>
      <w:r w:rsidR="005E61BA" w:rsidRPr="00EE2386">
        <w:rPr>
          <w:szCs w:val="20"/>
          <w:lang w:val="es-ES"/>
        </w:rPr>
        <w:t xml:space="preserve"> </w:t>
      </w:r>
      <w:r w:rsidRPr="00EE2386">
        <w:rPr>
          <w:szCs w:val="20"/>
          <w:lang w:val="es-ES"/>
        </w:rPr>
        <w:t>en cuenta tres momentos fundamentales: a) las acciones preventivas; b) las acciones concomitantes a los hechos, y c) las acciones posteriores a los hechos</w:t>
      </w:r>
      <w:r w:rsidR="005E61BA" w:rsidRPr="00EE2386">
        <w:rPr>
          <w:rStyle w:val="FootnoteReference"/>
          <w:szCs w:val="20"/>
          <w:lang w:val="es-ES"/>
        </w:rPr>
        <w:footnoteReference w:id="99"/>
      </w:r>
      <w:r w:rsidRPr="00EE2386">
        <w:rPr>
          <w:szCs w:val="20"/>
          <w:lang w:val="es-ES"/>
        </w:rPr>
        <w:t xml:space="preserve">. </w:t>
      </w:r>
    </w:p>
    <w:p w14:paraId="265CABE4" w14:textId="77777777" w:rsidR="00472798" w:rsidRPr="00EE2386" w:rsidRDefault="00472798" w:rsidP="009C16CB">
      <w:pPr>
        <w:pStyle w:val="ListParagraph"/>
        <w:numPr>
          <w:ilvl w:val="0"/>
          <w:numId w:val="0"/>
        </w:numPr>
        <w:rPr>
          <w:szCs w:val="20"/>
          <w:lang w:val="es-ES"/>
        </w:rPr>
      </w:pPr>
    </w:p>
    <w:p w14:paraId="4C3B131C" w14:textId="77777777" w:rsidR="00472798" w:rsidRPr="003B0246" w:rsidRDefault="00472798" w:rsidP="003B0246">
      <w:pPr>
        <w:pStyle w:val="ListParagraph"/>
        <w:rPr>
          <w:szCs w:val="20"/>
          <w:lang w:val="es-ES"/>
        </w:rPr>
      </w:pPr>
      <w:r w:rsidRPr="00EE2386">
        <w:rPr>
          <w:szCs w:val="20"/>
          <w:lang w:val="es-ES"/>
        </w:rPr>
        <w:t>En cuanto a las acciones preventivas, el Estado debe regirse por l</w:t>
      </w:r>
      <w:r w:rsidR="00A62E6F" w:rsidRPr="00EE2386">
        <w:rPr>
          <w:szCs w:val="20"/>
          <w:lang w:val="es-ES"/>
        </w:rPr>
        <w:t>os</w:t>
      </w:r>
      <w:r w:rsidRPr="00EE2386">
        <w:rPr>
          <w:szCs w:val="20"/>
          <w:lang w:val="es-ES"/>
        </w:rPr>
        <w:t xml:space="preserve"> principio</w:t>
      </w:r>
      <w:r w:rsidR="00A62E6F" w:rsidRPr="00EE2386">
        <w:rPr>
          <w:szCs w:val="20"/>
          <w:lang w:val="es-ES"/>
        </w:rPr>
        <w:t>s</w:t>
      </w:r>
      <w:r w:rsidRPr="00EE2386">
        <w:rPr>
          <w:szCs w:val="20"/>
          <w:lang w:val="es-ES"/>
        </w:rPr>
        <w:t xml:space="preserve"> de </w:t>
      </w:r>
      <w:r w:rsidR="00A62E6F" w:rsidRPr="00EE2386">
        <w:rPr>
          <w:szCs w:val="20"/>
          <w:lang w:val="es-ES"/>
        </w:rPr>
        <w:t xml:space="preserve">(i) </w:t>
      </w:r>
      <w:r w:rsidRPr="00EE2386">
        <w:rPr>
          <w:szCs w:val="20"/>
          <w:lang w:val="es-ES"/>
        </w:rPr>
        <w:t>legalidad y</w:t>
      </w:r>
      <w:r w:rsidR="004C1D58" w:rsidRPr="00EE2386">
        <w:rPr>
          <w:szCs w:val="20"/>
          <w:lang w:val="es-ES"/>
        </w:rPr>
        <w:t xml:space="preserve"> </w:t>
      </w:r>
      <w:r w:rsidR="00A62E6F" w:rsidRPr="00EE2386">
        <w:rPr>
          <w:szCs w:val="20"/>
          <w:lang w:val="es-ES"/>
        </w:rPr>
        <w:t xml:space="preserve">(ii) </w:t>
      </w:r>
      <w:r w:rsidR="004C1D58" w:rsidRPr="00EE2386">
        <w:rPr>
          <w:szCs w:val="20"/>
          <w:lang w:val="es-ES"/>
        </w:rPr>
        <w:t>excepcionalidad del uso de la fuerza</w:t>
      </w:r>
      <w:r w:rsidR="00A62E6F" w:rsidRPr="00EE2386">
        <w:rPr>
          <w:szCs w:val="20"/>
          <w:lang w:val="es-ES"/>
        </w:rPr>
        <w:t>,</w:t>
      </w:r>
      <w:r w:rsidR="004C1D58" w:rsidRPr="00EE2386">
        <w:rPr>
          <w:szCs w:val="20"/>
          <w:lang w:val="es-ES"/>
        </w:rPr>
        <w:t xml:space="preserve"> en relación con el deber de garantía y </w:t>
      </w:r>
      <w:r w:rsidR="00A62E6F" w:rsidRPr="00EE2386">
        <w:rPr>
          <w:szCs w:val="20"/>
          <w:lang w:val="es-ES"/>
        </w:rPr>
        <w:t xml:space="preserve">con </w:t>
      </w:r>
      <w:r w:rsidR="004C1D58" w:rsidRPr="00EE2386">
        <w:rPr>
          <w:szCs w:val="20"/>
          <w:lang w:val="es-ES"/>
        </w:rPr>
        <w:t>las obligaciones de</w:t>
      </w:r>
      <w:r w:rsidRPr="00EE2386">
        <w:rPr>
          <w:szCs w:val="20"/>
          <w:lang w:val="es-ES"/>
        </w:rPr>
        <w:t xml:space="preserve"> adoptar las medidas de derecho interno necesarias para asegurar </w:t>
      </w:r>
      <w:r w:rsidR="00D6525A" w:rsidRPr="00EE2386">
        <w:rPr>
          <w:szCs w:val="20"/>
          <w:lang w:val="es-ES"/>
        </w:rPr>
        <w:t>dicho</w:t>
      </w:r>
      <w:r w:rsidR="004C1D58" w:rsidRPr="00EE2386">
        <w:rPr>
          <w:szCs w:val="20"/>
          <w:lang w:val="es-ES"/>
        </w:rPr>
        <w:t xml:space="preserve"> </w:t>
      </w:r>
      <w:r w:rsidRPr="00EE2386">
        <w:rPr>
          <w:szCs w:val="20"/>
          <w:lang w:val="es-ES"/>
        </w:rPr>
        <w:t>carácter excepcional</w:t>
      </w:r>
      <w:r w:rsidR="004C1D58" w:rsidRPr="00EE2386">
        <w:rPr>
          <w:rStyle w:val="FootnoteReference"/>
          <w:szCs w:val="20"/>
          <w:lang w:val="es-ES"/>
        </w:rPr>
        <w:footnoteReference w:id="100"/>
      </w:r>
      <w:r w:rsidRPr="00EE2386">
        <w:rPr>
          <w:szCs w:val="20"/>
          <w:lang w:val="es-ES"/>
        </w:rPr>
        <w:t xml:space="preserve">. En este sentido, </w:t>
      </w:r>
      <w:r w:rsidR="004C1D58" w:rsidRPr="00EE2386">
        <w:rPr>
          <w:szCs w:val="20"/>
          <w:lang w:val="es-US"/>
        </w:rPr>
        <w:t>resulta indispensable que el Estado: a) cuente con la existencia de un marco jurídico adecuado que regule el uso de la fuerza y que garantice el derecho a la vida; b) brinde equipamiento apropiado a los funcionarios a cargo del uso de la fuerza, y c) seleccione, capacite y entrene debidamente a dichos funcionarios</w:t>
      </w:r>
      <w:r w:rsidR="004C1D58" w:rsidRPr="00EE2386">
        <w:rPr>
          <w:rStyle w:val="FootnoteReference"/>
          <w:szCs w:val="20"/>
          <w:lang w:val="es-US"/>
        </w:rPr>
        <w:footnoteReference w:id="101"/>
      </w:r>
      <w:r w:rsidR="004C1D58" w:rsidRPr="00EE2386">
        <w:rPr>
          <w:szCs w:val="20"/>
          <w:lang w:val="es-US"/>
        </w:rPr>
        <w:t xml:space="preserve">. En </w:t>
      </w:r>
      <w:r w:rsidR="00D6525A" w:rsidRPr="00EE2386">
        <w:rPr>
          <w:szCs w:val="20"/>
          <w:lang w:val="es-US"/>
        </w:rPr>
        <w:t xml:space="preserve">efecto, </w:t>
      </w:r>
      <w:r w:rsidRPr="00EE2386">
        <w:rPr>
          <w:szCs w:val="20"/>
          <w:lang w:val="es-ES"/>
        </w:rPr>
        <w:t>el Estado de</w:t>
      </w:r>
      <w:r w:rsidR="007041A0" w:rsidRPr="00EE2386">
        <w:rPr>
          <w:szCs w:val="20"/>
          <w:lang w:val="es-ES"/>
        </w:rPr>
        <w:t>be</w:t>
      </w:r>
      <w:r w:rsidR="004C1D58" w:rsidRPr="00EE2386">
        <w:rPr>
          <w:szCs w:val="20"/>
          <w:lang w:val="es-ES"/>
        </w:rPr>
        <w:t xml:space="preserve"> </w:t>
      </w:r>
      <w:r w:rsidRPr="00EE2386">
        <w:rPr>
          <w:szCs w:val="20"/>
          <w:lang w:val="es-ES"/>
        </w:rPr>
        <w:t>adecuar su legislación nacional y vigilar que sus cuerpos de seguridad, a quienes les está atribuido el uso de la fuerza legítima, respeten el derecho a la vida de quienes se encuentren bajo su jurisdicción</w:t>
      </w:r>
      <w:r w:rsidR="004C1D58" w:rsidRPr="00EE2386">
        <w:rPr>
          <w:szCs w:val="20"/>
          <w:lang w:val="es-ES"/>
        </w:rPr>
        <w:t xml:space="preserve"> y debe </w:t>
      </w:r>
      <w:r w:rsidRPr="00EE2386">
        <w:rPr>
          <w:szCs w:val="20"/>
          <w:lang w:val="es-ES"/>
        </w:rPr>
        <w:t xml:space="preserve">dotar a los agentes de distintos tipos de armas, municiones y equipos de protección que le permitan adecuar materialmente su reacción de forma proporcional a los hechos en que deban intervenir, restringiendo en la </w:t>
      </w:r>
      <w:r w:rsidRPr="00EE2386">
        <w:rPr>
          <w:szCs w:val="20"/>
          <w:lang w:val="es-ES"/>
        </w:rPr>
        <w:lastRenderedPageBreak/>
        <w:t>mayor medida el uso de armas letales que puedan ocasionar lesión o muerte</w:t>
      </w:r>
      <w:r w:rsidR="004C1D58" w:rsidRPr="00EE2386">
        <w:rPr>
          <w:szCs w:val="20"/>
          <w:vertAlign w:val="superscript"/>
          <w:lang w:val="es-ES"/>
        </w:rPr>
        <w:footnoteReference w:id="102"/>
      </w:r>
      <w:r w:rsidR="004C1D58" w:rsidRPr="00EE2386">
        <w:rPr>
          <w:szCs w:val="20"/>
          <w:lang w:val="es-ES"/>
        </w:rPr>
        <w:t>.</w:t>
      </w:r>
      <w:r w:rsidR="00D6525A" w:rsidRPr="00EE2386">
        <w:rPr>
          <w:szCs w:val="20"/>
          <w:lang w:val="es-ES"/>
        </w:rPr>
        <w:t xml:space="preserve"> </w:t>
      </w:r>
      <w:r w:rsidR="00E90B96">
        <w:rPr>
          <w:szCs w:val="20"/>
          <w:lang w:val="es-ES"/>
        </w:rPr>
        <w:t>El uso de la fuerza letal debe estar prohibido por regla general y su uso excepcional deberá estar autorizado por ley</w:t>
      </w:r>
      <w:r w:rsidR="00E90B96">
        <w:rPr>
          <w:rStyle w:val="FootnoteReference"/>
          <w:szCs w:val="20"/>
          <w:lang w:val="es-ES"/>
        </w:rPr>
        <w:footnoteReference w:id="103"/>
      </w:r>
      <w:r w:rsidR="00E90B96">
        <w:rPr>
          <w:szCs w:val="20"/>
          <w:lang w:val="es-ES"/>
        </w:rPr>
        <w:t>,</w:t>
      </w:r>
      <w:r w:rsidR="003B0246">
        <w:rPr>
          <w:szCs w:val="20"/>
          <w:lang w:val="es-ES"/>
        </w:rPr>
        <w:t xml:space="preserve"> no siendo suficiente, por ejemplo, que el uso excepcional de la fuerza esté regulado en un Código de Ética</w:t>
      </w:r>
      <w:r w:rsidR="003B0246">
        <w:rPr>
          <w:rStyle w:val="FootnoteReference"/>
          <w:szCs w:val="20"/>
          <w:lang w:val="es-ES"/>
        </w:rPr>
        <w:footnoteReference w:id="104"/>
      </w:r>
      <w:r w:rsidR="003B0246">
        <w:rPr>
          <w:szCs w:val="20"/>
          <w:lang w:val="es-ES"/>
        </w:rPr>
        <w:t xml:space="preserve">. </w:t>
      </w:r>
      <w:r w:rsidR="00D6525A" w:rsidRPr="003B0246">
        <w:rPr>
          <w:szCs w:val="20"/>
          <w:lang w:val="es-ES"/>
        </w:rPr>
        <w:t xml:space="preserve">Asimismo, el Estado debe </w:t>
      </w:r>
      <w:r w:rsidRPr="003B0246">
        <w:rPr>
          <w:szCs w:val="20"/>
          <w:lang w:val="es-ES"/>
        </w:rPr>
        <w:t>realizar capacitaciones a sus agentes a fin de que conozcan las disposiciones legales que permiten el uso de las armas de fuego, y que tengan el entrenamiento adecuado para que en el evento en que deban decidir acerca de su uso, posean los elementos de juicio para hacerlo</w:t>
      </w:r>
      <w:r w:rsidRPr="00EE2386">
        <w:rPr>
          <w:szCs w:val="20"/>
          <w:vertAlign w:val="superscript"/>
          <w:lang w:val="es-ES"/>
        </w:rPr>
        <w:footnoteReference w:id="105"/>
      </w:r>
      <w:r w:rsidRPr="003B0246">
        <w:rPr>
          <w:szCs w:val="20"/>
          <w:lang w:val="es-ES"/>
        </w:rPr>
        <w:t xml:space="preserve">. La ausencia de tales medidas resulta incompatible </w:t>
      </w:r>
      <w:r w:rsidR="00D6525A" w:rsidRPr="003B0246">
        <w:rPr>
          <w:szCs w:val="20"/>
          <w:lang w:val="es-US"/>
        </w:rPr>
        <w:t xml:space="preserve">con el deber de garantía y </w:t>
      </w:r>
      <w:r w:rsidRPr="003B0246">
        <w:rPr>
          <w:szCs w:val="20"/>
          <w:lang w:val="es-ES"/>
        </w:rPr>
        <w:t>con las obligaciones establecidas en el artículo 2 de la Convención Americana</w:t>
      </w:r>
      <w:r w:rsidRPr="00EE2386">
        <w:rPr>
          <w:szCs w:val="20"/>
          <w:vertAlign w:val="superscript"/>
          <w:lang w:val="es-ES"/>
        </w:rPr>
        <w:footnoteReference w:id="106"/>
      </w:r>
      <w:r w:rsidRPr="003B0246">
        <w:rPr>
          <w:szCs w:val="20"/>
          <w:lang w:val="es-ES"/>
        </w:rPr>
        <w:t>.</w:t>
      </w:r>
    </w:p>
    <w:p w14:paraId="1158E561" w14:textId="77777777" w:rsidR="00472798" w:rsidRPr="00EE2386" w:rsidRDefault="00472798" w:rsidP="00081C7F">
      <w:pPr>
        <w:pStyle w:val="ListParagraph"/>
        <w:numPr>
          <w:ilvl w:val="0"/>
          <w:numId w:val="0"/>
        </w:numPr>
        <w:rPr>
          <w:szCs w:val="20"/>
          <w:lang w:val="es-ES"/>
        </w:rPr>
      </w:pPr>
    </w:p>
    <w:p w14:paraId="1A64634D" w14:textId="77777777" w:rsidR="003612B4" w:rsidRPr="00EE2386" w:rsidRDefault="00472798" w:rsidP="00CA39AC">
      <w:pPr>
        <w:pStyle w:val="ListParagraph"/>
        <w:rPr>
          <w:bCs/>
          <w:szCs w:val="20"/>
          <w:lang w:val="es-ES"/>
        </w:rPr>
      </w:pPr>
      <w:r w:rsidRPr="00EE2386">
        <w:rPr>
          <w:szCs w:val="20"/>
          <w:lang w:val="es-ES"/>
        </w:rPr>
        <w:t>En cuanto a las acciones concomitantes a los hechos</w:t>
      </w:r>
      <w:r w:rsidR="00EC5551" w:rsidRPr="00EE2386">
        <w:rPr>
          <w:szCs w:val="20"/>
          <w:lang w:val="es-ES"/>
        </w:rPr>
        <w:t xml:space="preserve">, </w:t>
      </w:r>
      <w:r w:rsidR="0057481A" w:rsidRPr="00EE2386">
        <w:rPr>
          <w:szCs w:val="20"/>
          <w:lang w:val="es-ES"/>
        </w:rPr>
        <w:t xml:space="preserve">en el caso en que resultare imperioso </w:t>
      </w:r>
      <w:r w:rsidRPr="00EE2386">
        <w:rPr>
          <w:szCs w:val="20"/>
          <w:lang w:val="es-ES"/>
        </w:rPr>
        <w:t>el uso de la fuerza</w:t>
      </w:r>
      <w:r w:rsidR="0057481A" w:rsidRPr="00EE2386">
        <w:rPr>
          <w:szCs w:val="20"/>
          <w:lang w:val="es-ES"/>
        </w:rPr>
        <w:t xml:space="preserve">, ésta </w:t>
      </w:r>
      <w:r w:rsidRPr="00EE2386">
        <w:rPr>
          <w:szCs w:val="20"/>
          <w:lang w:val="es-ES"/>
        </w:rPr>
        <w:t>debe</w:t>
      </w:r>
      <w:r w:rsidR="0057481A" w:rsidRPr="00EE2386">
        <w:rPr>
          <w:szCs w:val="20"/>
          <w:lang w:val="es-ES"/>
        </w:rPr>
        <w:t xml:space="preserve"> realizarse en armonía con </w:t>
      </w:r>
      <w:r w:rsidRPr="00EE2386">
        <w:rPr>
          <w:szCs w:val="20"/>
          <w:lang w:val="es-ES"/>
        </w:rPr>
        <w:t>los principios de</w:t>
      </w:r>
      <w:r w:rsidR="00DC0AE1" w:rsidRPr="00EE2386">
        <w:rPr>
          <w:szCs w:val="20"/>
          <w:lang w:val="es-ES"/>
        </w:rPr>
        <w:t xml:space="preserve"> </w:t>
      </w:r>
      <w:r w:rsidR="003612B4" w:rsidRPr="00EE2386">
        <w:rPr>
          <w:szCs w:val="20"/>
          <w:lang w:val="es-ES"/>
        </w:rPr>
        <w:t xml:space="preserve">(i) </w:t>
      </w:r>
      <w:r w:rsidR="00DC0AE1" w:rsidRPr="00EE2386">
        <w:rPr>
          <w:szCs w:val="20"/>
          <w:lang w:val="es-ES"/>
        </w:rPr>
        <w:t>legalidad o</w:t>
      </w:r>
      <w:r w:rsidRPr="00EE2386">
        <w:rPr>
          <w:b/>
          <w:szCs w:val="20"/>
          <w:lang w:val="es-ES"/>
        </w:rPr>
        <w:t xml:space="preserve"> </w:t>
      </w:r>
      <w:r w:rsidRPr="00EE2386">
        <w:rPr>
          <w:szCs w:val="20"/>
          <w:lang w:val="es-ES"/>
        </w:rPr>
        <w:t xml:space="preserve">finalidad legítima, </w:t>
      </w:r>
      <w:r w:rsidR="003612B4" w:rsidRPr="00EE2386">
        <w:rPr>
          <w:szCs w:val="20"/>
          <w:lang w:val="es-ES"/>
        </w:rPr>
        <w:t xml:space="preserve">(ii) </w:t>
      </w:r>
      <w:r w:rsidRPr="00EE2386">
        <w:rPr>
          <w:szCs w:val="20"/>
          <w:lang w:val="es-ES"/>
        </w:rPr>
        <w:t xml:space="preserve">absoluta necesidad y </w:t>
      </w:r>
      <w:r w:rsidR="003612B4" w:rsidRPr="00EE2386">
        <w:rPr>
          <w:szCs w:val="20"/>
          <w:lang w:val="es-ES"/>
        </w:rPr>
        <w:t xml:space="preserve">(iii) </w:t>
      </w:r>
      <w:r w:rsidRPr="00EE2386">
        <w:rPr>
          <w:szCs w:val="20"/>
          <w:lang w:val="es-ES"/>
        </w:rPr>
        <w:t>proporcionalidad</w:t>
      </w:r>
      <w:r w:rsidR="00DC0AE1" w:rsidRPr="00EE2386">
        <w:rPr>
          <w:szCs w:val="20"/>
          <w:lang w:val="es-ES"/>
        </w:rPr>
        <w:t>,</w:t>
      </w:r>
      <w:r w:rsidRPr="00EE2386">
        <w:rPr>
          <w:szCs w:val="20"/>
          <w:lang w:val="es-ES"/>
        </w:rPr>
        <w:t xml:space="preserve"> en relación con el deber de respeto</w:t>
      </w:r>
      <w:r w:rsidRPr="00EE2386">
        <w:rPr>
          <w:szCs w:val="20"/>
          <w:vertAlign w:val="superscript"/>
          <w:lang w:val="es-ES"/>
        </w:rPr>
        <w:footnoteReference w:id="107"/>
      </w:r>
      <w:r w:rsidRPr="00EE2386">
        <w:rPr>
          <w:szCs w:val="20"/>
          <w:lang w:val="es-ES"/>
        </w:rPr>
        <w:t xml:space="preserve">. </w:t>
      </w:r>
      <w:r w:rsidR="0057481A" w:rsidRPr="00EE2386">
        <w:rPr>
          <w:szCs w:val="20"/>
          <w:lang w:val="es-ES"/>
        </w:rPr>
        <w:t>En cuanto al principio de legalidad</w:t>
      </w:r>
      <w:r w:rsidR="00EE73BA" w:rsidRPr="00EE2386">
        <w:rPr>
          <w:szCs w:val="20"/>
          <w:lang w:val="es-ES"/>
        </w:rPr>
        <w:t xml:space="preserve"> o finalidad legítima, la Corte ha indicado que “el uso de la fuerza debe estar dirigido a lograr un objetivo legítimo”</w:t>
      </w:r>
      <w:r w:rsidR="00EE73BA" w:rsidRPr="00EE2386">
        <w:rPr>
          <w:rStyle w:val="FootnoteReference"/>
          <w:szCs w:val="20"/>
          <w:lang w:val="es-ES"/>
        </w:rPr>
        <w:footnoteReference w:id="108"/>
      </w:r>
      <w:r w:rsidR="00EE73BA" w:rsidRPr="00EE2386">
        <w:rPr>
          <w:szCs w:val="20"/>
          <w:lang w:val="es-ES"/>
        </w:rPr>
        <w:t>.</w:t>
      </w:r>
      <w:r w:rsidR="00EE73BA" w:rsidRPr="00EE2386">
        <w:rPr>
          <w:b/>
          <w:szCs w:val="20"/>
          <w:lang w:val="es-ES"/>
        </w:rPr>
        <w:t xml:space="preserve"> </w:t>
      </w:r>
      <w:r w:rsidRPr="00EE2386">
        <w:rPr>
          <w:szCs w:val="20"/>
          <w:lang w:val="es-ES"/>
        </w:rPr>
        <w:t>En consecuencia, los</w:t>
      </w:r>
      <w:r w:rsidRPr="00EE2386">
        <w:rPr>
          <w:b/>
          <w:szCs w:val="20"/>
          <w:lang w:val="es-ES"/>
        </w:rPr>
        <w:t xml:space="preserve"> </w:t>
      </w:r>
      <w:r w:rsidRPr="00EE2386">
        <w:rPr>
          <w:szCs w:val="20"/>
          <w:lang w:val="es-ES"/>
        </w:rPr>
        <w:t>operativos policiales deben estar dirigidos al arresto y no a la privación de la vida del</w:t>
      </w:r>
      <w:r w:rsidRPr="00EE2386">
        <w:rPr>
          <w:b/>
          <w:szCs w:val="20"/>
          <w:lang w:val="es-ES"/>
        </w:rPr>
        <w:t xml:space="preserve"> </w:t>
      </w:r>
      <w:r w:rsidRPr="00EE2386">
        <w:rPr>
          <w:szCs w:val="20"/>
          <w:lang w:val="es-ES"/>
        </w:rPr>
        <w:t>presunto infractor</w:t>
      </w:r>
      <w:r w:rsidRPr="00EE2386">
        <w:rPr>
          <w:szCs w:val="20"/>
          <w:vertAlign w:val="superscript"/>
          <w:lang w:val="es-ES"/>
        </w:rPr>
        <w:footnoteReference w:id="109"/>
      </w:r>
      <w:r w:rsidRPr="00EE2386">
        <w:rPr>
          <w:szCs w:val="20"/>
          <w:lang w:val="es-ES"/>
        </w:rPr>
        <w:t xml:space="preserve">. </w:t>
      </w:r>
      <w:r w:rsidR="00836F6C" w:rsidRPr="00EE2386">
        <w:rPr>
          <w:szCs w:val="20"/>
          <w:lang w:val="es-ES"/>
        </w:rPr>
        <w:t>E</w:t>
      </w:r>
      <w:r w:rsidRPr="00EE2386">
        <w:rPr>
          <w:szCs w:val="20"/>
          <w:lang w:val="es-ES"/>
        </w:rPr>
        <w:t xml:space="preserve">l principio de absoluta necesidad, implica que </w:t>
      </w:r>
      <w:r w:rsidR="00A62E6F" w:rsidRPr="00EE2386">
        <w:rPr>
          <w:szCs w:val="20"/>
          <w:lang w:val="es-ES"/>
        </w:rPr>
        <w:t xml:space="preserve">es preciso verificar si existen otros medios disponibles menos lesivos </w:t>
      </w:r>
      <w:r w:rsidR="00A62E6F" w:rsidRPr="00EE2386">
        <w:rPr>
          <w:szCs w:val="20"/>
          <w:lang w:val="es-US"/>
        </w:rPr>
        <w:t>para tutelar la vida e integridad de la persona o situación que se pretende proteger, de conformidad con las circunstancias del caso</w:t>
      </w:r>
      <w:r w:rsidR="00A62E6F" w:rsidRPr="00EE2386">
        <w:rPr>
          <w:rStyle w:val="FootnoteReference"/>
          <w:szCs w:val="20"/>
          <w:lang w:val="es-US"/>
        </w:rPr>
        <w:footnoteReference w:id="110"/>
      </w:r>
      <w:r w:rsidR="00A62E6F" w:rsidRPr="00EE2386">
        <w:rPr>
          <w:szCs w:val="20"/>
          <w:lang w:val="es-US"/>
        </w:rPr>
        <w:t xml:space="preserve">. </w:t>
      </w:r>
      <w:r w:rsidR="00B94B64" w:rsidRPr="00EE2386">
        <w:rPr>
          <w:szCs w:val="20"/>
          <w:lang w:val="es-US"/>
        </w:rPr>
        <w:t>Siguiendo la jurisprudencia del Tribunal Europeo, la Corte ha señalado que no se puede considerar acreditado e</w:t>
      </w:r>
      <w:r w:rsidR="005D2235" w:rsidRPr="00EE2386">
        <w:rPr>
          <w:szCs w:val="20"/>
          <w:lang w:val="es-US"/>
        </w:rPr>
        <w:t>ste</w:t>
      </w:r>
      <w:r w:rsidR="00B94B64" w:rsidRPr="00EE2386">
        <w:rPr>
          <w:szCs w:val="20"/>
          <w:lang w:val="es-US"/>
        </w:rPr>
        <w:t xml:space="preserve"> requisito </w:t>
      </w:r>
      <w:r w:rsidR="005D2235" w:rsidRPr="00EE2386">
        <w:rPr>
          <w:szCs w:val="20"/>
          <w:lang w:val="es-US"/>
        </w:rPr>
        <w:t xml:space="preserve">al </w:t>
      </w:r>
      <w:r w:rsidR="00B94B64" w:rsidRPr="00EE2386">
        <w:rPr>
          <w:szCs w:val="20"/>
          <w:lang w:val="es-US"/>
        </w:rPr>
        <w:t>utilizar la fuerza co</w:t>
      </w:r>
      <w:r w:rsidR="005D2235" w:rsidRPr="00EE2386">
        <w:rPr>
          <w:szCs w:val="20"/>
          <w:lang w:val="es-US"/>
        </w:rPr>
        <w:t>ntra personas que no representaban</w:t>
      </w:r>
      <w:r w:rsidR="00B94B64" w:rsidRPr="00EE2386">
        <w:rPr>
          <w:szCs w:val="20"/>
          <w:lang w:val="es-US"/>
        </w:rPr>
        <w:t xml:space="preserve"> una amenaza o peligro real e inminente a l</w:t>
      </w:r>
      <w:r w:rsidR="005D2235" w:rsidRPr="00EE2386">
        <w:rPr>
          <w:szCs w:val="20"/>
          <w:lang w:val="es-US"/>
        </w:rPr>
        <w:t>os agentes o terceros, incluso</w:t>
      </w:r>
      <w:r w:rsidR="00B94B64" w:rsidRPr="00EE2386">
        <w:rPr>
          <w:szCs w:val="20"/>
          <w:lang w:val="es-US"/>
        </w:rPr>
        <w:t xml:space="preserve"> cuando la falta de uso de la fuerza resultare en la pérdida de la oportunidad de captura</w:t>
      </w:r>
      <w:r w:rsidR="00B94B64" w:rsidRPr="00EE2386">
        <w:rPr>
          <w:rStyle w:val="FootnoteReference"/>
          <w:szCs w:val="20"/>
          <w:lang w:val="es-US"/>
        </w:rPr>
        <w:footnoteReference w:id="111"/>
      </w:r>
      <w:r w:rsidR="00B94B64" w:rsidRPr="00EE2386">
        <w:rPr>
          <w:szCs w:val="20"/>
          <w:lang w:val="es-US"/>
        </w:rPr>
        <w:t xml:space="preserve">. </w:t>
      </w:r>
      <w:r w:rsidRPr="00EE2386">
        <w:rPr>
          <w:szCs w:val="20"/>
          <w:lang w:val="es-ES"/>
        </w:rPr>
        <w:t>En cuanto a la proporcionalidad, el nivel de fuerza utilizado debe ser acorde con el nivel de resistencia ofrecido</w:t>
      </w:r>
      <w:r w:rsidR="003612B4" w:rsidRPr="00EE2386">
        <w:rPr>
          <w:szCs w:val="20"/>
          <w:lang w:val="es-ES"/>
        </w:rPr>
        <w:t>, lo cual implica un equilibrio entre la situación a la que se enfrenta el funcionario y su respuesta, considerando el daño potencial que podría ser ocasionado</w:t>
      </w:r>
      <w:r w:rsidRPr="00EE2386">
        <w:rPr>
          <w:szCs w:val="20"/>
          <w:lang w:val="es-ES"/>
        </w:rPr>
        <w:t>. Así, los agentes deben aplicar un criterio de uso diferenciado y progresivo de la fuerza, determinando el grado de cooperación, resistencia o agresión de parte del sujeto al cual se pretende intervenir</w:t>
      </w:r>
      <w:r w:rsidR="003612B4" w:rsidRPr="00EE2386">
        <w:rPr>
          <w:szCs w:val="20"/>
          <w:lang w:val="es-ES"/>
        </w:rPr>
        <w:t xml:space="preserve"> y con ello emplear tácticas de negociación, control o uso de la fuerza, según corresponda</w:t>
      </w:r>
      <w:r w:rsidR="003612B4" w:rsidRPr="00EE2386">
        <w:rPr>
          <w:rStyle w:val="FootnoteReference"/>
          <w:szCs w:val="20"/>
          <w:lang w:val="es-ES"/>
        </w:rPr>
        <w:footnoteReference w:id="112"/>
      </w:r>
      <w:r w:rsidRPr="00EE2386">
        <w:rPr>
          <w:szCs w:val="20"/>
          <w:lang w:val="es-ES"/>
        </w:rPr>
        <w:t xml:space="preserve">. </w:t>
      </w:r>
      <w:r w:rsidR="003B0246" w:rsidRPr="00E90B96">
        <w:rPr>
          <w:szCs w:val="20"/>
          <w:lang w:val="es-ES"/>
        </w:rPr>
        <w:t>Cuando se usa fuerza excesiva toda privación de la vida resultante es arbitraria</w:t>
      </w:r>
      <w:r w:rsidR="003B0246">
        <w:rPr>
          <w:rStyle w:val="FootnoteReference"/>
          <w:szCs w:val="20"/>
          <w:lang w:val="es-ES"/>
        </w:rPr>
        <w:footnoteReference w:id="113"/>
      </w:r>
      <w:r w:rsidR="003B0246" w:rsidRPr="00E90B96">
        <w:rPr>
          <w:szCs w:val="20"/>
          <w:lang w:val="es-ES"/>
        </w:rPr>
        <w:t>.</w:t>
      </w:r>
    </w:p>
    <w:p w14:paraId="18424922" w14:textId="77777777" w:rsidR="003612B4" w:rsidRPr="00EE2386" w:rsidRDefault="003612B4" w:rsidP="003612B4">
      <w:pPr>
        <w:pStyle w:val="ListParagraph"/>
        <w:numPr>
          <w:ilvl w:val="0"/>
          <w:numId w:val="0"/>
        </w:numPr>
        <w:rPr>
          <w:bCs/>
          <w:szCs w:val="20"/>
          <w:lang w:val="es-ES"/>
        </w:rPr>
      </w:pPr>
    </w:p>
    <w:p w14:paraId="41FC4DC1" w14:textId="77777777" w:rsidR="005D5371" w:rsidRPr="00574704" w:rsidRDefault="00472798" w:rsidP="00DD5522">
      <w:pPr>
        <w:pStyle w:val="ListParagraph"/>
        <w:rPr>
          <w:szCs w:val="20"/>
          <w:bdr w:val="none" w:sz="0" w:space="0" w:color="auto"/>
          <w:lang w:val="es-ES"/>
        </w:rPr>
      </w:pPr>
      <w:r w:rsidRPr="00EE2386">
        <w:rPr>
          <w:szCs w:val="20"/>
          <w:lang w:val="es-ES"/>
        </w:rPr>
        <w:t xml:space="preserve">Finalmente, en cuanto a las acciones posteriores a los hechos, rigen los deberes de </w:t>
      </w:r>
      <w:r w:rsidR="00263287" w:rsidRPr="00EE2386">
        <w:rPr>
          <w:szCs w:val="20"/>
          <w:lang w:val="es-ES"/>
        </w:rPr>
        <w:t xml:space="preserve">(i) </w:t>
      </w:r>
      <w:r w:rsidRPr="00EE2386">
        <w:rPr>
          <w:szCs w:val="20"/>
          <w:lang w:val="es-ES"/>
        </w:rPr>
        <w:t xml:space="preserve">debida diligencia y </w:t>
      </w:r>
      <w:r w:rsidR="00263287" w:rsidRPr="00EE2386">
        <w:rPr>
          <w:szCs w:val="20"/>
          <w:lang w:val="es-ES"/>
        </w:rPr>
        <w:t xml:space="preserve">(ii) </w:t>
      </w:r>
      <w:r w:rsidRPr="00EE2386">
        <w:rPr>
          <w:szCs w:val="20"/>
          <w:lang w:val="es-ES"/>
        </w:rPr>
        <w:t>humanidad</w:t>
      </w:r>
      <w:r w:rsidR="005B3E3E">
        <w:rPr>
          <w:szCs w:val="20"/>
          <w:lang w:val="es-ES"/>
        </w:rPr>
        <w:t>,</w:t>
      </w:r>
      <w:r w:rsidRPr="00EE2386">
        <w:rPr>
          <w:szCs w:val="20"/>
          <w:lang w:val="es-ES"/>
        </w:rPr>
        <w:t xml:space="preserve"> en relación con el deber de garantía del derecho a la vida</w:t>
      </w:r>
      <w:r w:rsidR="00263287" w:rsidRPr="00EE2386">
        <w:rPr>
          <w:szCs w:val="20"/>
          <w:lang w:val="es-ES"/>
        </w:rPr>
        <w:t xml:space="preserve"> y a la integridad persona</w:t>
      </w:r>
      <w:r w:rsidR="005B3E3E">
        <w:rPr>
          <w:szCs w:val="20"/>
          <w:lang w:val="es-ES"/>
        </w:rPr>
        <w:t>l</w:t>
      </w:r>
      <w:r w:rsidR="00263287" w:rsidRPr="00EE2386">
        <w:rPr>
          <w:rStyle w:val="FootnoteReference"/>
          <w:szCs w:val="20"/>
          <w:lang w:val="es-ES"/>
        </w:rPr>
        <w:footnoteReference w:id="114"/>
      </w:r>
      <w:r w:rsidRPr="00EE2386">
        <w:rPr>
          <w:szCs w:val="20"/>
          <w:lang w:val="es-ES"/>
        </w:rPr>
        <w:t xml:space="preserve">. </w:t>
      </w:r>
      <w:r w:rsidR="00263287" w:rsidRPr="00EE2386">
        <w:rPr>
          <w:szCs w:val="20"/>
          <w:lang w:val="es-ES"/>
        </w:rPr>
        <w:t xml:space="preserve">La Corte ha indicado que, </w:t>
      </w:r>
      <w:r w:rsidRPr="00EE2386">
        <w:rPr>
          <w:bCs/>
          <w:szCs w:val="20"/>
          <w:lang w:val="es-ES"/>
        </w:rPr>
        <w:t xml:space="preserve">de presentarse heridos luego del despliegue de </w:t>
      </w:r>
      <w:r w:rsidR="00263287" w:rsidRPr="00EE2386">
        <w:rPr>
          <w:bCs/>
          <w:szCs w:val="20"/>
          <w:lang w:val="es-ES"/>
        </w:rPr>
        <w:t xml:space="preserve">fuerza estatal, </w:t>
      </w:r>
      <w:r w:rsidRPr="00EE2386">
        <w:rPr>
          <w:bCs/>
          <w:szCs w:val="20"/>
          <w:lang w:val="es-ES"/>
        </w:rPr>
        <w:t>se les debe prestar y facilitar los servicios médicos correspondientes y notificar lo sucedido lo antes posible a los parientes o amigos íntimos. Además, se debe proceder con la rendición de informes de situación, los cuales deberán tener supervisión admin</w:t>
      </w:r>
      <w:r w:rsidR="005B3E3E">
        <w:rPr>
          <w:bCs/>
          <w:szCs w:val="20"/>
          <w:lang w:val="es-ES"/>
        </w:rPr>
        <w:t>istrativa y judicial</w:t>
      </w:r>
      <w:r w:rsidRPr="00EE2386">
        <w:rPr>
          <w:bCs/>
          <w:szCs w:val="20"/>
          <w:vertAlign w:val="superscript"/>
          <w:lang w:val="es-ES"/>
        </w:rPr>
        <w:footnoteReference w:id="115"/>
      </w:r>
      <w:r w:rsidRPr="00EE2386">
        <w:rPr>
          <w:bCs/>
          <w:szCs w:val="20"/>
          <w:lang w:val="es-ES"/>
        </w:rPr>
        <w:t>.</w:t>
      </w:r>
      <w:r w:rsidR="00263287" w:rsidRPr="00EE2386">
        <w:rPr>
          <w:szCs w:val="20"/>
          <w:lang w:val="es-ES"/>
        </w:rPr>
        <w:t xml:space="preserve"> </w:t>
      </w:r>
      <w:r w:rsidR="00DD5522" w:rsidRPr="00EE2386">
        <w:rPr>
          <w:szCs w:val="20"/>
          <w:lang w:val="es-ES"/>
        </w:rPr>
        <w:t>Además, el principio de humanidad requiere que</w:t>
      </w:r>
      <w:r w:rsidR="00E955E5" w:rsidRPr="00EE2386">
        <w:rPr>
          <w:szCs w:val="20"/>
          <w:lang w:val="es-ES"/>
        </w:rPr>
        <w:t xml:space="preserve"> las personas fallecidas y sus cadáveres no reciban un trato denigrante</w:t>
      </w:r>
      <w:r w:rsidR="00E955E5" w:rsidRPr="00EE2386">
        <w:rPr>
          <w:rStyle w:val="FootnoteReference"/>
          <w:szCs w:val="20"/>
          <w:lang w:val="es-ES"/>
        </w:rPr>
        <w:footnoteReference w:id="116"/>
      </w:r>
      <w:r w:rsidR="00E955E5" w:rsidRPr="00EE2386">
        <w:rPr>
          <w:szCs w:val="20"/>
          <w:lang w:val="es-ES"/>
        </w:rPr>
        <w:t xml:space="preserve">. </w:t>
      </w:r>
      <w:r w:rsidR="00C179F1" w:rsidRPr="00EE2386">
        <w:rPr>
          <w:szCs w:val="20"/>
          <w:lang w:val="es-ES"/>
        </w:rPr>
        <w:t xml:space="preserve">En cuanto a </w:t>
      </w:r>
      <w:r w:rsidR="00E955E5" w:rsidRPr="00EE2386">
        <w:rPr>
          <w:szCs w:val="20"/>
          <w:lang w:val="es-ES"/>
        </w:rPr>
        <w:t>l</w:t>
      </w:r>
      <w:r w:rsidR="00DD5522" w:rsidRPr="00EE2386">
        <w:rPr>
          <w:szCs w:val="20"/>
          <w:lang w:val="es-ES"/>
        </w:rPr>
        <w:t>a debida diligencia en la investigación de los hechos</w:t>
      </w:r>
      <w:r w:rsidR="00C179F1" w:rsidRPr="00EE2386">
        <w:rPr>
          <w:szCs w:val="20"/>
          <w:lang w:val="es-ES"/>
        </w:rPr>
        <w:t>, ésta</w:t>
      </w:r>
      <w:r w:rsidR="00DD5522" w:rsidRPr="00EE2386">
        <w:rPr>
          <w:szCs w:val="20"/>
          <w:lang w:val="es-ES"/>
        </w:rPr>
        <w:t xml:space="preserve"> será analizada en detalle en la secci</w:t>
      </w:r>
      <w:r w:rsidR="00E955E5" w:rsidRPr="00EE2386">
        <w:rPr>
          <w:szCs w:val="20"/>
          <w:lang w:val="es-ES"/>
        </w:rPr>
        <w:t>ón siguiente.</w:t>
      </w:r>
      <w:r w:rsidR="00DD5522" w:rsidRPr="00EE2386">
        <w:rPr>
          <w:szCs w:val="20"/>
          <w:lang w:val="es-ES"/>
        </w:rPr>
        <w:t xml:space="preserve"> </w:t>
      </w:r>
    </w:p>
    <w:p w14:paraId="073FCBFE" w14:textId="77777777" w:rsidR="008A443F" w:rsidRPr="00F465A4" w:rsidRDefault="008A443F" w:rsidP="00574704">
      <w:pPr>
        <w:pStyle w:val="ListParagraph"/>
        <w:numPr>
          <w:ilvl w:val="0"/>
          <w:numId w:val="0"/>
        </w:numPr>
        <w:rPr>
          <w:szCs w:val="20"/>
          <w:bdr w:val="none" w:sz="0" w:space="0" w:color="auto"/>
          <w:lang w:val="es-ES"/>
        </w:rPr>
      </w:pPr>
    </w:p>
    <w:p w14:paraId="358191D0" w14:textId="77777777" w:rsidR="008A443F" w:rsidRPr="00574704" w:rsidRDefault="008A443F" w:rsidP="00574704">
      <w:pPr>
        <w:pStyle w:val="Heading4"/>
        <w:rPr>
          <w:lang w:val="es-ES"/>
        </w:rPr>
      </w:pPr>
      <w:bookmarkStart w:id="19" w:name="_Toc35966090"/>
      <w:r>
        <w:rPr>
          <w:lang w:val="es-ES"/>
        </w:rPr>
        <w:t>Análisis en el presente caso</w:t>
      </w:r>
      <w:bookmarkEnd w:id="19"/>
    </w:p>
    <w:p w14:paraId="46C3976D" w14:textId="77777777" w:rsidR="005B3E3E" w:rsidRPr="005B3E3E" w:rsidRDefault="005B3E3E" w:rsidP="005B3E3E">
      <w:pPr>
        <w:pStyle w:val="ListParagraph"/>
        <w:numPr>
          <w:ilvl w:val="0"/>
          <w:numId w:val="0"/>
        </w:numPr>
        <w:rPr>
          <w:szCs w:val="20"/>
          <w:bdr w:val="none" w:sz="0" w:space="0" w:color="auto"/>
          <w:lang w:val="es-ES"/>
        </w:rPr>
      </w:pPr>
    </w:p>
    <w:p w14:paraId="589519A5" w14:textId="77777777" w:rsidR="003E0305" w:rsidRPr="00574704" w:rsidRDefault="00EA289A" w:rsidP="00757118">
      <w:pPr>
        <w:pStyle w:val="ListParagraph"/>
        <w:rPr>
          <w:szCs w:val="20"/>
          <w:bdr w:val="none" w:sz="0" w:space="0" w:color="auto"/>
          <w:lang w:val="es-ES"/>
        </w:rPr>
      </w:pPr>
      <w:r>
        <w:rPr>
          <w:lang w:val="es-ES"/>
        </w:rPr>
        <w:lastRenderedPageBreak/>
        <w:t>L</w:t>
      </w:r>
      <w:r w:rsidR="0050002E" w:rsidRPr="00757118">
        <w:rPr>
          <w:lang w:val="es-ES"/>
        </w:rPr>
        <w:t>a Co</w:t>
      </w:r>
      <w:r w:rsidR="0050002E" w:rsidRPr="002679A6">
        <w:rPr>
          <w:lang w:val="es-ES"/>
        </w:rPr>
        <w:t>misi</w:t>
      </w:r>
      <w:r w:rsidR="0050002E" w:rsidRPr="00574704">
        <w:rPr>
          <w:lang w:val="es-ES"/>
        </w:rPr>
        <w:t>ón observa que</w:t>
      </w:r>
      <w:r w:rsidR="003E0305">
        <w:rPr>
          <w:szCs w:val="20"/>
          <w:bdr w:val="none" w:sz="0" w:space="0" w:color="auto"/>
          <w:lang w:val="es-US"/>
        </w:rPr>
        <w:t xml:space="preserve"> </w:t>
      </w:r>
      <w:r w:rsidR="00471B02" w:rsidRPr="00EE2386">
        <w:rPr>
          <w:szCs w:val="20"/>
          <w:bdr w:val="none" w:sz="0" w:space="0" w:color="auto"/>
          <w:lang w:val="es-US"/>
        </w:rPr>
        <w:t>en sus observaciones</w:t>
      </w:r>
      <w:r w:rsidR="00471B02">
        <w:rPr>
          <w:szCs w:val="20"/>
          <w:bdr w:val="none" w:sz="0" w:space="0" w:color="auto"/>
          <w:lang w:val="es-US"/>
        </w:rPr>
        <w:t xml:space="preserve"> </w:t>
      </w:r>
      <w:r>
        <w:rPr>
          <w:szCs w:val="20"/>
          <w:bdr w:val="none" w:sz="0" w:space="0" w:color="auto"/>
          <w:lang w:val="es-US"/>
        </w:rPr>
        <w:t xml:space="preserve">el Estado </w:t>
      </w:r>
      <w:r w:rsidR="00471B02">
        <w:rPr>
          <w:szCs w:val="20"/>
          <w:bdr w:val="none" w:sz="0" w:space="0" w:color="auto"/>
          <w:lang w:val="es-US"/>
        </w:rPr>
        <w:t xml:space="preserve">procuró justificar el uso de la fuerza </w:t>
      </w:r>
      <w:r>
        <w:rPr>
          <w:szCs w:val="20"/>
          <w:bdr w:val="none" w:sz="0" w:space="0" w:color="auto"/>
          <w:lang w:val="es-US"/>
        </w:rPr>
        <w:t>indicando que</w:t>
      </w:r>
      <w:r w:rsidR="00471B02">
        <w:rPr>
          <w:szCs w:val="20"/>
          <w:bdr w:val="none" w:sz="0" w:space="0" w:color="auto"/>
          <w:lang w:val="es-US"/>
        </w:rPr>
        <w:t xml:space="preserve"> la presunta</w:t>
      </w:r>
      <w:r w:rsidR="00471B02" w:rsidRPr="00EE2386">
        <w:rPr>
          <w:szCs w:val="20"/>
          <w:bdr w:val="none" w:sz="0" w:space="0" w:color="auto"/>
          <w:lang w:val="es-US"/>
        </w:rPr>
        <w:t xml:space="preserve"> actitud</w:t>
      </w:r>
      <w:r w:rsidR="00471B02">
        <w:rPr>
          <w:szCs w:val="20"/>
          <w:bdr w:val="none" w:sz="0" w:space="0" w:color="auto"/>
          <w:lang w:val="es-US"/>
        </w:rPr>
        <w:t xml:space="preserve"> agresiva</w:t>
      </w:r>
      <w:r w:rsidR="00471B02">
        <w:rPr>
          <w:rStyle w:val="FootnoteReference"/>
          <w:szCs w:val="20"/>
          <w:bdr w:val="none" w:sz="0" w:space="0" w:color="auto"/>
          <w:lang w:val="es-US"/>
        </w:rPr>
        <w:footnoteReference w:id="117"/>
      </w:r>
      <w:r w:rsidR="00471B02" w:rsidRPr="00EE2386">
        <w:rPr>
          <w:szCs w:val="20"/>
          <w:bdr w:val="none" w:sz="0" w:space="0" w:color="auto"/>
          <w:lang w:val="es-US"/>
        </w:rPr>
        <w:t xml:space="preserve"> de Aníbal Aguas </w:t>
      </w:r>
      <w:r w:rsidR="00471B02">
        <w:rPr>
          <w:szCs w:val="20"/>
          <w:bdr w:val="none" w:sz="0" w:space="0" w:color="auto"/>
          <w:lang w:val="es-US"/>
        </w:rPr>
        <w:t xml:space="preserve">que habría hecho </w:t>
      </w:r>
      <w:r w:rsidR="00471B02" w:rsidRPr="00EE2386">
        <w:rPr>
          <w:szCs w:val="20"/>
          <w:bdr w:val="none" w:sz="0" w:space="0" w:color="auto"/>
          <w:lang w:val="es-US"/>
        </w:rPr>
        <w:t>necesaria la presencia y uso de la fuerza por parte de los miembros de la policía nacional</w:t>
      </w:r>
      <w:r w:rsidR="00471B02">
        <w:rPr>
          <w:rStyle w:val="FootnoteReference"/>
          <w:szCs w:val="20"/>
          <w:bdr w:val="none" w:sz="0" w:space="0" w:color="auto"/>
          <w:lang w:val="es-US"/>
        </w:rPr>
        <w:footnoteReference w:id="118"/>
      </w:r>
      <w:r w:rsidR="00471B02" w:rsidRPr="00EE2386">
        <w:rPr>
          <w:szCs w:val="20"/>
          <w:bdr w:val="none" w:sz="0" w:space="0" w:color="auto"/>
          <w:lang w:val="es-US"/>
        </w:rPr>
        <w:t xml:space="preserve">. En </w:t>
      </w:r>
      <w:r w:rsidR="00471B02">
        <w:rPr>
          <w:szCs w:val="20"/>
          <w:bdr w:val="none" w:sz="0" w:space="0" w:color="auto"/>
          <w:lang w:val="es-US"/>
        </w:rPr>
        <w:t>consecuencia</w:t>
      </w:r>
      <w:r>
        <w:rPr>
          <w:szCs w:val="20"/>
          <w:bdr w:val="none" w:sz="0" w:space="0" w:color="auto"/>
          <w:lang w:val="es-US"/>
        </w:rPr>
        <w:t>,</w:t>
      </w:r>
      <w:r w:rsidR="00471B02">
        <w:rPr>
          <w:szCs w:val="20"/>
          <w:bdr w:val="none" w:sz="0" w:space="0" w:color="auto"/>
          <w:lang w:val="es-US"/>
        </w:rPr>
        <w:t xml:space="preserve"> </w:t>
      </w:r>
      <w:r>
        <w:rPr>
          <w:szCs w:val="20"/>
          <w:bdr w:val="none" w:sz="0" w:space="0" w:color="auto"/>
          <w:lang w:val="es-US"/>
        </w:rPr>
        <w:t>la Comisi</w:t>
      </w:r>
      <w:r>
        <w:rPr>
          <w:szCs w:val="20"/>
          <w:bdr w:val="none" w:sz="0" w:space="0" w:color="auto"/>
          <w:lang w:val="es-ES"/>
        </w:rPr>
        <w:t xml:space="preserve">ón estima </w:t>
      </w:r>
      <w:r>
        <w:rPr>
          <w:szCs w:val="20"/>
          <w:bdr w:val="none" w:sz="0" w:space="0" w:color="auto"/>
          <w:lang w:val="es-US"/>
        </w:rPr>
        <w:t xml:space="preserve"> necesario analizar las alegadas</w:t>
      </w:r>
      <w:r w:rsidR="00471B02" w:rsidRPr="00EE2386">
        <w:rPr>
          <w:szCs w:val="20"/>
          <w:bdr w:val="none" w:sz="0" w:space="0" w:color="auto"/>
          <w:lang w:val="es-US"/>
        </w:rPr>
        <w:t xml:space="preserve"> violaciones a los artículos 4 y 5 de la Convención</w:t>
      </w:r>
      <w:r w:rsidR="00471B02">
        <w:rPr>
          <w:szCs w:val="20"/>
          <w:bdr w:val="none" w:sz="0" w:space="0" w:color="auto"/>
          <w:lang w:val="es-US"/>
        </w:rPr>
        <w:t>,</w:t>
      </w:r>
      <w:r w:rsidR="00471B02" w:rsidRPr="00EE2386">
        <w:rPr>
          <w:szCs w:val="20"/>
          <w:bdr w:val="none" w:sz="0" w:space="0" w:color="auto"/>
          <w:lang w:val="es-ES"/>
        </w:rPr>
        <w:t xml:space="preserve"> en relación con las obligaciones de respeto y garantía en materia de uso de la fuerza</w:t>
      </w:r>
      <w:r w:rsidR="00471B02" w:rsidRPr="00EE2386">
        <w:rPr>
          <w:szCs w:val="20"/>
          <w:bdr w:val="none" w:sz="0" w:space="0" w:color="auto"/>
          <w:lang w:val="es-US"/>
        </w:rPr>
        <w:t xml:space="preserve"> conforme a los estándares antes referidos.</w:t>
      </w:r>
    </w:p>
    <w:p w14:paraId="6B05C21B" w14:textId="77777777" w:rsidR="003E0305" w:rsidRDefault="003E0305" w:rsidP="00574704">
      <w:pPr>
        <w:pStyle w:val="ListParagraph"/>
        <w:numPr>
          <w:ilvl w:val="0"/>
          <w:numId w:val="0"/>
        </w:numPr>
        <w:rPr>
          <w:szCs w:val="20"/>
          <w:bdr w:val="none" w:sz="0" w:space="0" w:color="auto"/>
          <w:lang w:val="es-ES"/>
        </w:rPr>
      </w:pPr>
    </w:p>
    <w:p w14:paraId="56F4669D" w14:textId="77777777" w:rsidR="00EE2386" w:rsidRDefault="00EE2386" w:rsidP="00096C79">
      <w:pPr>
        <w:pStyle w:val="ListParagraph"/>
        <w:rPr>
          <w:szCs w:val="20"/>
          <w:bdr w:val="none" w:sz="0" w:space="0" w:color="auto"/>
          <w:lang w:val="es-ES"/>
        </w:rPr>
      </w:pPr>
      <w:r w:rsidRPr="000939DB">
        <w:rPr>
          <w:szCs w:val="20"/>
          <w:bdr w:val="none" w:sz="0" w:space="0" w:color="auto"/>
          <w:lang w:val="es-ES"/>
        </w:rPr>
        <w:t xml:space="preserve">En </w:t>
      </w:r>
      <w:r w:rsidR="00471B02">
        <w:rPr>
          <w:szCs w:val="20"/>
          <w:bdr w:val="none" w:sz="0" w:space="0" w:color="auto"/>
          <w:lang w:val="es-ES"/>
        </w:rPr>
        <w:t xml:space="preserve">primer lugar, en </w:t>
      </w:r>
      <w:r w:rsidRPr="000939DB">
        <w:rPr>
          <w:szCs w:val="20"/>
          <w:bdr w:val="none" w:sz="0" w:space="0" w:color="auto"/>
          <w:lang w:val="es-ES"/>
        </w:rPr>
        <w:t xml:space="preserve">cuanto a las acciones preventivas, la Comisión observa que el Estado </w:t>
      </w:r>
      <w:r w:rsidR="00CA711A">
        <w:rPr>
          <w:szCs w:val="20"/>
          <w:bdr w:val="none" w:sz="0" w:space="0" w:color="auto"/>
          <w:lang w:val="es-ES"/>
        </w:rPr>
        <w:t xml:space="preserve">acreditó que protegía el </w:t>
      </w:r>
      <w:r w:rsidR="005D2ED4">
        <w:rPr>
          <w:szCs w:val="20"/>
          <w:bdr w:val="none" w:sz="0" w:space="0" w:color="auto"/>
          <w:lang w:val="es-ES"/>
        </w:rPr>
        <w:t>derecho a la vida</w:t>
      </w:r>
      <w:r w:rsidR="00DA698A">
        <w:rPr>
          <w:szCs w:val="20"/>
          <w:bdr w:val="none" w:sz="0" w:space="0" w:color="auto"/>
          <w:lang w:val="es-ES"/>
        </w:rPr>
        <w:t xml:space="preserve"> y </w:t>
      </w:r>
      <w:r w:rsidR="00CA711A">
        <w:rPr>
          <w:szCs w:val="20"/>
          <w:bdr w:val="none" w:sz="0" w:space="0" w:color="auto"/>
          <w:lang w:val="es-ES"/>
        </w:rPr>
        <w:t xml:space="preserve">contenía la </w:t>
      </w:r>
      <w:r w:rsidR="00DA698A">
        <w:rPr>
          <w:szCs w:val="20"/>
          <w:bdr w:val="none" w:sz="0" w:space="0" w:color="auto"/>
          <w:lang w:val="es-ES"/>
        </w:rPr>
        <w:t>prohibición de tortura</w:t>
      </w:r>
      <w:r w:rsidR="005D2ED4">
        <w:rPr>
          <w:szCs w:val="20"/>
          <w:bdr w:val="none" w:sz="0" w:space="0" w:color="auto"/>
          <w:lang w:val="es-ES"/>
        </w:rPr>
        <w:t xml:space="preserve"> en sus Constituciones Políticas de los años 1993 (artículo 19) y 1998 (artículo 23)</w:t>
      </w:r>
      <w:r w:rsidR="005D2ED4">
        <w:rPr>
          <w:rStyle w:val="FootnoteReference"/>
          <w:szCs w:val="20"/>
          <w:bdr w:val="none" w:sz="0" w:space="0" w:color="auto"/>
          <w:lang w:val="es-ES"/>
        </w:rPr>
        <w:footnoteReference w:id="119"/>
      </w:r>
      <w:r w:rsidR="00E55AA4">
        <w:rPr>
          <w:szCs w:val="20"/>
          <w:bdr w:val="none" w:sz="0" w:space="0" w:color="auto"/>
          <w:lang w:val="es-ES"/>
        </w:rPr>
        <w:t xml:space="preserve">, </w:t>
      </w:r>
      <w:r w:rsidR="00CA711A">
        <w:rPr>
          <w:szCs w:val="20"/>
          <w:bdr w:val="none" w:sz="0" w:space="0" w:color="auto"/>
          <w:lang w:val="es-ES"/>
        </w:rPr>
        <w:t>además el Código Penal Policial penalizaba los atentados a la vida e integridad personal cometidos por policías</w:t>
      </w:r>
      <w:r w:rsidR="00CA711A">
        <w:rPr>
          <w:rStyle w:val="FootnoteReference"/>
          <w:szCs w:val="20"/>
          <w:bdr w:val="none" w:sz="0" w:space="0" w:color="auto"/>
          <w:lang w:val="es-ES"/>
        </w:rPr>
        <w:footnoteReference w:id="120"/>
      </w:r>
      <w:r w:rsidR="00CA711A">
        <w:rPr>
          <w:szCs w:val="20"/>
          <w:bdr w:val="none" w:sz="0" w:space="0" w:color="auto"/>
          <w:lang w:val="es-ES"/>
        </w:rPr>
        <w:t xml:space="preserve">. Sin embargo, el Estado </w:t>
      </w:r>
      <w:r w:rsidRPr="000939DB">
        <w:rPr>
          <w:szCs w:val="20"/>
          <w:bdr w:val="none" w:sz="0" w:space="0" w:color="auto"/>
          <w:lang w:val="es-ES"/>
        </w:rPr>
        <w:t>no acreditó</w:t>
      </w:r>
      <w:r w:rsidR="00471B02">
        <w:rPr>
          <w:szCs w:val="20"/>
          <w:bdr w:val="none" w:sz="0" w:space="0" w:color="auto"/>
          <w:lang w:val="es-ES"/>
        </w:rPr>
        <w:t xml:space="preserve"> que contara a la fecha de los hechos</w:t>
      </w:r>
      <w:r w:rsidRPr="000939DB">
        <w:rPr>
          <w:szCs w:val="20"/>
          <w:bdr w:val="none" w:sz="0" w:space="0" w:color="auto"/>
          <w:lang w:val="es-ES"/>
        </w:rPr>
        <w:t xml:space="preserve"> </w:t>
      </w:r>
      <w:r w:rsidR="00471B02">
        <w:rPr>
          <w:szCs w:val="20"/>
          <w:bdr w:val="none" w:sz="0" w:space="0" w:color="auto"/>
          <w:lang w:val="es-ES"/>
        </w:rPr>
        <w:t>con</w:t>
      </w:r>
      <w:r w:rsidRPr="000939DB">
        <w:rPr>
          <w:szCs w:val="20"/>
          <w:bdr w:val="none" w:sz="0" w:space="0" w:color="auto"/>
          <w:lang w:val="es-ES"/>
        </w:rPr>
        <w:t xml:space="preserve"> </w:t>
      </w:r>
      <w:r w:rsidRPr="000939DB">
        <w:rPr>
          <w:szCs w:val="20"/>
          <w:bdr w:val="none" w:sz="0" w:space="0" w:color="auto"/>
          <w:lang w:val="es-US"/>
        </w:rPr>
        <w:t xml:space="preserve">un marco jurídico adecuado </w:t>
      </w:r>
      <w:r w:rsidR="00CA711A">
        <w:rPr>
          <w:szCs w:val="20"/>
          <w:bdr w:val="none" w:sz="0" w:space="0" w:color="auto"/>
          <w:lang w:val="es-US"/>
        </w:rPr>
        <w:t xml:space="preserve">en su legislación </w:t>
      </w:r>
      <w:r w:rsidR="004D0F33">
        <w:rPr>
          <w:szCs w:val="20"/>
          <w:bdr w:val="none" w:sz="0" w:space="0" w:color="auto"/>
          <w:lang w:val="es-US"/>
        </w:rPr>
        <w:t xml:space="preserve">o protocolos </w:t>
      </w:r>
      <w:r w:rsidRPr="000939DB">
        <w:rPr>
          <w:szCs w:val="20"/>
          <w:bdr w:val="none" w:sz="0" w:space="0" w:color="auto"/>
          <w:lang w:val="es-US"/>
        </w:rPr>
        <w:t>que regulara</w:t>
      </w:r>
      <w:r w:rsidR="004D0F33">
        <w:rPr>
          <w:szCs w:val="20"/>
          <w:bdr w:val="none" w:sz="0" w:space="0" w:color="auto"/>
          <w:lang w:val="es-US"/>
        </w:rPr>
        <w:t>n</w:t>
      </w:r>
      <w:r w:rsidRPr="000939DB">
        <w:rPr>
          <w:szCs w:val="20"/>
          <w:bdr w:val="none" w:sz="0" w:space="0" w:color="auto"/>
          <w:lang w:val="es-US"/>
        </w:rPr>
        <w:t xml:space="preserve"> el uso de la fuerza por parte de los agentes de la policía y garantizara el derecho a la vida de quienes se encontraban bajo su jurisdicción</w:t>
      </w:r>
      <w:r w:rsidR="00CA2F31">
        <w:rPr>
          <w:rStyle w:val="FootnoteReference"/>
          <w:szCs w:val="20"/>
          <w:bdr w:val="none" w:sz="0" w:space="0" w:color="auto"/>
          <w:lang w:val="es-US"/>
        </w:rPr>
        <w:footnoteReference w:id="121"/>
      </w:r>
      <w:r w:rsidR="00E55AA4">
        <w:rPr>
          <w:szCs w:val="20"/>
          <w:bdr w:val="none" w:sz="0" w:space="0" w:color="auto"/>
          <w:lang w:val="es-US"/>
        </w:rPr>
        <w:t>. El Estado tampoco acreditó</w:t>
      </w:r>
      <w:r w:rsidRPr="000939DB">
        <w:rPr>
          <w:szCs w:val="20"/>
          <w:bdr w:val="none" w:sz="0" w:space="0" w:color="auto"/>
          <w:lang w:val="es-US"/>
        </w:rPr>
        <w:t xml:space="preserve"> </w:t>
      </w:r>
      <w:r w:rsidR="00B13D25">
        <w:rPr>
          <w:szCs w:val="20"/>
          <w:bdr w:val="none" w:sz="0" w:space="0" w:color="auto"/>
          <w:lang w:val="es-US"/>
        </w:rPr>
        <w:t xml:space="preserve">haber </w:t>
      </w:r>
      <w:r w:rsidRPr="000939DB">
        <w:rPr>
          <w:szCs w:val="20"/>
          <w:bdr w:val="none" w:sz="0" w:space="0" w:color="auto"/>
          <w:lang w:val="es-US"/>
        </w:rPr>
        <w:t>brindado equipamiento apropiado a los funcionarios</w:t>
      </w:r>
      <w:r w:rsidR="00E55AA4">
        <w:rPr>
          <w:szCs w:val="20"/>
          <w:bdr w:val="none" w:sz="0" w:space="0" w:color="auto"/>
          <w:lang w:val="es-US"/>
        </w:rPr>
        <w:t xml:space="preserve"> a cargo del uso de la fuerza, o </w:t>
      </w:r>
      <w:r w:rsidR="00B13D25">
        <w:rPr>
          <w:szCs w:val="20"/>
          <w:bdr w:val="none" w:sz="0" w:space="0" w:color="auto"/>
          <w:lang w:val="es-US"/>
        </w:rPr>
        <w:t xml:space="preserve">haberlos </w:t>
      </w:r>
      <w:r w:rsidRPr="000939DB">
        <w:rPr>
          <w:szCs w:val="20"/>
          <w:bdr w:val="none" w:sz="0" w:space="0" w:color="auto"/>
          <w:lang w:val="es-US"/>
        </w:rPr>
        <w:t>seleccionado, capacitado y entrenado debidamente</w:t>
      </w:r>
      <w:r w:rsidRPr="000939DB">
        <w:rPr>
          <w:rFonts w:eastAsia="Times New Roman" w:cs="Times New Roman"/>
          <w:color w:val="auto"/>
          <w:szCs w:val="20"/>
          <w:bdr w:val="none" w:sz="0" w:space="0" w:color="auto"/>
          <w:lang w:val="es-ES" w:eastAsia="en-US"/>
        </w:rPr>
        <w:t xml:space="preserve"> en la </w:t>
      </w:r>
      <w:r w:rsidRPr="000939DB">
        <w:rPr>
          <w:szCs w:val="20"/>
          <w:bdr w:val="none" w:sz="0" w:space="0" w:color="auto"/>
          <w:lang w:val="es-ES"/>
        </w:rPr>
        <w:t>excepcionalidad del uso de la fuerza</w:t>
      </w:r>
      <w:r w:rsidRPr="000939DB">
        <w:rPr>
          <w:szCs w:val="20"/>
          <w:bdr w:val="none" w:sz="0" w:space="0" w:color="auto"/>
          <w:lang w:val="es-US"/>
        </w:rPr>
        <w:t xml:space="preserve">. </w:t>
      </w:r>
      <w:r w:rsidRPr="000939DB">
        <w:rPr>
          <w:szCs w:val="20"/>
          <w:bdr w:val="none" w:sz="0" w:space="0" w:color="auto"/>
          <w:lang w:val="es-ES"/>
        </w:rPr>
        <w:t xml:space="preserve">En vista de lo anterior, </w:t>
      </w:r>
      <w:r w:rsidR="004D0F33">
        <w:rPr>
          <w:szCs w:val="20"/>
          <w:bdr w:val="none" w:sz="0" w:space="0" w:color="auto"/>
          <w:lang w:val="es-ES"/>
        </w:rPr>
        <w:t>con</w:t>
      </w:r>
      <w:r w:rsidR="00B13D25">
        <w:rPr>
          <w:szCs w:val="20"/>
          <w:bdr w:val="none" w:sz="0" w:space="0" w:color="auto"/>
          <w:lang w:val="es-ES"/>
        </w:rPr>
        <w:t xml:space="preserve"> base </w:t>
      </w:r>
      <w:r w:rsidR="004D0F33">
        <w:rPr>
          <w:szCs w:val="20"/>
          <w:bdr w:val="none" w:sz="0" w:space="0" w:color="auto"/>
          <w:lang w:val="es-ES"/>
        </w:rPr>
        <w:t>en</w:t>
      </w:r>
      <w:r w:rsidR="00B13D25">
        <w:rPr>
          <w:szCs w:val="20"/>
          <w:bdr w:val="none" w:sz="0" w:space="0" w:color="auto"/>
          <w:lang w:val="es-ES"/>
        </w:rPr>
        <w:t xml:space="preserve"> </w:t>
      </w:r>
      <w:r w:rsidRPr="000939DB">
        <w:rPr>
          <w:szCs w:val="20"/>
          <w:bdr w:val="none" w:sz="0" w:space="0" w:color="auto"/>
          <w:lang w:val="es-ES"/>
        </w:rPr>
        <w:t xml:space="preserve">los elementos de información con </w:t>
      </w:r>
      <w:r w:rsidR="000939DB">
        <w:rPr>
          <w:szCs w:val="20"/>
          <w:bdr w:val="none" w:sz="0" w:space="0" w:color="auto"/>
          <w:lang w:val="es-ES"/>
        </w:rPr>
        <w:t xml:space="preserve">los </w:t>
      </w:r>
      <w:r w:rsidRPr="000939DB">
        <w:rPr>
          <w:szCs w:val="20"/>
          <w:bdr w:val="none" w:sz="0" w:space="0" w:color="auto"/>
          <w:lang w:val="es-ES"/>
        </w:rPr>
        <w:t xml:space="preserve">que cuenta la Comisión, no </w:t>
      </w:r>
      <w:r w:rsidR="00B13D25">
        <w:rPr>
          <w:szCs w:val="20"/>
          <w:bdr w:val="none" w:sz="0" w:space="0" w:color="auto"/>
          <w:lang w:val="es-ES"/>
        </w:rPr>
        <w:t xml:space="preserve">es posible </w:t>
      </w:r>
      <w:r w:rsidRPr="000939DB">
        <w:rPr>
          <w:szCs w:val="20"/>
          <w:bdr w:val="none" w:sz="0" w:space="0" w:color="auto"/>
          <w:lang w:val="es-ES"/>
        </w:rPr>
        <w:t>afirmar que la actuación estatal h</w:t>
      </w:r>
      <w:r w:rsidR="005D2ED4">
        <w:rPr>
          <w:szCs w:val="20"/>
          <w:bdr w:val="none" w:sz="0" w:space="0" w:color="auto"/>
          <w:lang w:val="es-ES"/>
        </w:rPr>
        <w:t xml:space="preserve">aya </w:t>
      </w:r>
      <w:r w:rsidRPr="000939DB">
        <w:rPr>
          <w:szCs w:val="20"/>
          <w:bdr w:val="none" w:sz="0" w:space="0" w:color="auto"/>
          <w:lang w:val="es-ES"/>
        </w:rPr>
        <w:t>sido conducida en cumplimiento</w:t>
      </w:r>
      <w:r w:rsidR="000939DB">
        <w:rPr>
          <w:szCs w:val="20"/>
          <w:bdr w:val="none" w:sz="0" w:space="0" w:color="auto"/>
          <w:lang w:val="es-ES"/>
        </w:rPr>
        <w:t xml:space="preserve"> de</w:t>
      </w:r>
      <w:r w:rsidRPr="000939DB">
        <w:rPr>
          <w:szCs w:val="20"/>
          <w:bdr w:val="none" w:sz="0" w:space="0" w:color="auto"/>
          <w:lang w:val="es-ES"/>
        </w:rPr>
        <w:t xml:space="preserve"> </w:t>
      </w:r>
      <w:r w:rsidR="000939DB" w:rsidRPr="000939DB">
        <w:rPr>
          <w:szCs w:val="20"/>
          <w:bdr w:val="none" w:sz="0" w:space="0" w:color="auto"/>
          <w:lang w:val="es-ES"/>
        </w:rPr>
        <w:t>los principios de legalidad y excepcionalidad del uso de la fuerza, en relación con el deber de garantía y con las obligaciones de adoptar las medidas de derecho interno necesarias para asegurar dicho carácter excepcional</w:t>
      </w:r>
      <w:r w:rsidR="000939DB">
        <w:rPr>
          <w:szCs w:val="20"/>
          <w:bdr w:val="none" w:sz="0" w:space="0" w:color="auto"/>
          <w:lang w:val="es-ES"/>
        </w:rPr>
        <w:t>.</w:t>
      </w:r>
    </w:p>
    <w:p w14:paraId="791188F2" w14:textId="77777777" w:rsidR="00741EED" w:rsidRDefault="00741EED" w:rsidP="00741EED">
      <w:pPr>
        <w:pStyle w:val="ListParagraph"/>
        <w:numPr>
          <w:ilvl w:val="0"/>
          <w:numId w:val="0"/>
        </w:numPr>
        <w:rPr>
          <w:szCs w:val="20"/>
          <w:bdr w:val="none" w:sz="0" w:space="0" w:color="auto"/>
          <w:lang w:val="es-ES"/>
        </w:rPr>
      </w:pPr>
    </w:p>
    <w:p w14:paraId="30BFAC0B" w14:textId="77777777" w:rsidR="00E44BCD" w:rsidRPr="000D41EE" w:rsidRDefault="00741EED" w:rsidP="000D41EE">
      <w:pPr>
        <w:pStyle w:val="ListParagraph"/>
        <w:rPr>
          <w:bCs/>
          <w:iCs/>
          <w:szCs w:val="20"/>
          <w:lang w:val="es-US"/>
        </w:rPr>
      </w:pPr>
      <w:r w:rsidRPr="000D41EE">
        <w:rPr>
          <w:bCs/>
          <w:iCs/>
          <w:szCs w:val="20"/>
          <w:bdr w:val="none" w:sz="0" w:space="0" w:color="auto"/>
          <w:lang w:val="es-ES"/>
        </w:rPr>
        <w:t xml:space="preserve">En </w:t>
      </w:r>
      <w:r w:rsidR="00471B02">
        <w:rPr>
          <w:bCs/>
          <w:iCs/>
          <w:szCs w:val="20"/>
          <w:bdr w:val="none" w:sz="0" w:space="0" w:color="auto"/>
          <w:lang w:val="es-ES"/>
        </w:rPr>
        <w:t xml:space="preserve">segundo lugar, y en </w:t>
      </w:r>
      <w:r w:rsidRPr="000D41EE">
        <w:rPr>
          <w:bCs/>
          <w:iCs/>
          <w:szCs w:val="20"/>
          <w:bdr w:val="none" w:sz="0" w:space="0" w:color="auto"/>
          <w:lang w:val="es-ES"/>
        </w:rPr>
        <w:t>relación con las acciones concomitantes a los hechos,</w:t>
      </w:r>
      <w:r w:rsidR="00E87C6C" w:rsidRPr="000D41EE">
        <w:rPr>
          <w:bCs/>
          <w:iCs/>
          <w:szCs w:val="20"/>
          <w:bdr w:val="none" w:sz="0" w:space="0" w:color="auto"/>
          <w:lang w:val="es-ES"/>
        </w:rPr>
        <w:t xml:space="preserve"> </w:t>
      </w:r>
      <w:r w:rsidR="00E44BCD" w:rsidRPr="000D41EE">
        <w:rPr>
          <w:bCs/>
          <w:iCs/>
          <w:szCs w:val="20"/>
          <w:bdr w:val="none" w:sz="0" w:space="0" w:color="auto"/>
          <w:lang w:val="es-ES"/>
        </w:rPr>
        <w:t xml:space="preserve">la Comisión </w:t>
      </w:r>
      <w:r w:rsidR="000D41EE">
        <w:rPr>
          <w:bCs/>
          <w:iCs/>
          <w:szCs w:val="20"/>
          <w:bdr w:val="none" w:sz="0" w:space="0" w:color="auto"/>
          <w:lang w:val="es-ES"/>
        </w:rPr>
        <w:t xml:space="preserve">destaca </w:t>
      </w:r>
      <w:r w:rsidR="00E44BCD" w:rsidRPr="000D41EE">
        <w:rPr>
          <w:bCs/>
          <w:iCs/>
          <w:szCs w:val="20"/>
          <w:bdr w:val="none" w:sz="0" w:space="0" w:color="auto"/>
          <w:lang w:val="es-ES"/>
        </w:rPr>
        <w:t xml:space="preserve">que </w:t>
      </w:r>
      <w:r w:rsidR="00E87C6C" w:rsidRPr="000D41EE">
        <w:rPr>
          <w:bCs/>
          <w:iCs/>
          <w:szCs w:val="20"/>
          <w:bdr w:val="none" w:sz="0" w:space="0" w:color="auto"/>
          <w:lang w:val="es-ES"/>
        </w:rPr>
        <w:t>se encuentra acreditado que</w:t>
      </w:r>
      <w:r w:rsidR="00E44BCD" w:rsidRPr="000D41EE">
        <w:rPr>
          <w:bCs/>
          <w:iCs/>
          <w:szCs w:val="20"/>
          <w:bdr w:val="none" w:sz="0" w:space="0" w:color="auto"/>
          <w:lang w:val="es-ES"/>
        </w:rPr>
        <w:t>,</w:t>
      </w:r>
      <w:r w:rsidR="00E87C6C" w:rsidRPr="000D41EE">
        <w:rPr>
          <w:bCs/>
          <w:iCs/>
          <w:szCs w:val="20"/>
          <w:bdr w:val="none" w:sz="0" w:space="0" w:color="auto"/>
          <w:lang w:val="es-ES"/>
        </w:rPr>
        <w:t xml:space="preserve"> </w:t>
      </w:r>
      <w:r w:rsidR="00E44BCD" w:rsidRPr="000D41EE">
        <w:rPr>
          <w:bCs/>
          <w:iCs/>
          <w:szCs w:val="20"/>
          <w:bdr w:val="none" w:sz="0" w:space="0" w:color="auto"/>
          <w:lang w:val="es-ES"/>
        </w:rPr>
        <w:t xml:space="preserve">al momento de su arresto, </w:t>
      </w:r>
      <w:r w:rsidR="00E87C6C" w:rsidRPr="000D41EE">
        <w:rPr>
          <w:bCs/>
          <w:iCs/>
          <w:szCs w:val="20"/>
          <w:bdr w:val="none" w:sz="0" w:space="0" w:color="auto"/>
          <w:lang w:val="es-ES"/>
        </w:rPr>
        <w:t>Aníbal Aguas</w:t>
      </w:r>
      <w:r w:rsidR="00E44BCD" w:rsidRPr="000D41EE">
        <w:rPr>
          <w:bCs/>
          <w:iCs/>
          <w:szCs w:val="20"/>
          <w:bdr w:val="none" w:sz="0" w:space="0" w:color="auto"/>
          <w:lang w:val="es-ES"/>
        </w:rPr>
        <w:t xml:space="preserve"> se encontraba en estado de ebriedad y ya estaba fuera del local comercial en el que se alegaba</w:t>
      </w:r>
      <w:r w:rsidR="00E71798">
        <w:rPr>
          <w:bCs/>
          <w:iCs/>
          <w:szCs w:val="20"/>
          <w:bdr w:val="none" w:sz="0" w:space="0" w:color="auto"/>
          <w:lang w:val="es-ES"/>
        </w:rPr>
        <w:t xml:space="preserve"> que</w:t>
      </w:r>
      <w:r w:rsidR="00E44BCD" w:rsidRPr="000D41EE">
        <w:rPr>
          <w:bCs/>
          <w:iCs/>
          <w:szCs w:val="20"/>
          <w:bdr w:val="none" w:sz="0" w:space="0" w:color="auto"/>
          <w:lang w:val="es-ES"/>
        </w:rPr>
        <w:t xml:space="preserve"> había hecho destrozos. Ante el llamado de los dueños de</w:t>
      </w:r>
      <w:r w:rsidR="000D41EE">
        <w:rPr>
          <w:bCs/>
          <w:iCs/>
          <w:szCs w:val="20"/>
          <w:bdr w:val="none" w:sz="0" w:space="0" w:color="auto"/>
          <w:lang w:val="es-ES"/>
        </w:rPr>
        <w:t xml:space="preserve"> dicho</w:t>
      </w:r>
      <w:r w:rsidR="00E44BCD" w:rsidRPr="000D41EE">
        <w:rPr>
          <w:bCs/>
          <w:iCs/>
          <w:szCs w:val="20"/>
          <w:bdr w:val="none" w:sz="0" w:space="0" w:color="auto"/>
          <w:lang w:val="es-ES"/>
        </w:rPr>
        <w:t xml:space="preserve"> local</w:t>
      </w:r>
      <w:r w:rsidR="000D41EE">
        <w:rPr>
          <w:bCs/>
          <w:iCs/>
          <w:szCs w:val="20"/>
          <w:bdr w:val="none" w:sz="0" w:space="0" w:color="auto"/>
          <w:lang w:val="es-ES"/>
        </w:rPr>
        <w:t>,</w:t>
      </w:r>
      <w:r w:rsidR="00E44BCD" w:rsidRPr="000D41EE">
        <w:rPr>
          <w:bCs/>
          <w:iCs/>
          <w:szCs w:val="20"/>
          <w:bdr w:val="none" w:sz="0" w:space="0" w:color="auto"/>
          <w:lang w:val="es-ES"/>
        </w:rPr>
        <w:t xml:space="preserve"> acudió un automóvil o patrullero policial (Sierra 2) con 2 policías (</w:t>
      </w:r>
      <w:r w:rsidR="00E44BCD" w:rsidRPr="000D41EE">
        <w:rPr>
          <w:bCs/>
          <w:iCs/>
          <w:szCs w:val="20"/>
          <w:lang w:val="es-US"/>
        </w:rPr>
        <w:t>CboS. Julio Alcivar Sandoval Torres y SgtoP. José Evergisto Salazar)</w:t>
      </w:r>
      <w:r w:rsidR="000D41EE" w:rsidRPr="000D41EE">
        <w:rPr>
          <w:bCs/>
          <w:iCs/>
          <w:szCs w:val="20"/>
          <w:lang w:val="es-US"/>
        </w:rPr>
        <w:t>, quienes alegan que no pudieron arrestarlo</w:t>
      </w:r>
      <w:r w:rsidR="000D41EE">
        <w:rPr>
          <w:bCs/>
          <w:iCs/>
          <w:szCs w:val="20"/>
          <w:lang w:val="es-US"/>
        </w:rPr>
        <w:t xml:space="preserve"> debido a su resistencia</w:t>
      </w:r>
      <w:r w:rsidR="000D41EE" w:rsidRPr="000D41EE">
        <w:rPr>
          <w:bCs/>
          <w:iCs/>
          <w:szCs w:val="20"/>
          <w:lang w:val="es-US"/>
        </w:rPr>
        <w:t>, por lo que pidieron refuerzos</w:t>
      </w:r>
      <w:r w:rsidR="00E71798">
        <w:rPr>
          <w:bCs/>
          <w:iCs/>
          <w:szCs w:val="20"/>
          <w:lang w:val="es-US"/>
        </w:rPr>
        <w:t>. A</w:t>
      </w:r>
      <w:r w:rsidR="000E78F8">
        <w:rPr>
          <w:bCs/>
          <w:iCs/>
          <w:szCs w:val="20"/>
          <w:lang w:val="es-US"/>
        </w:rPr>
        <w:t xml:space="preserve">nte </w:t>
      </w:r>
      <w:r w:rsidR="00E71798">
        <w:rPr>
          <w:bCs/>
          <w:iCs/>
          <w:szCs w:val="20"/>
          <w:lang w:val="es-US"/>
        </w:rPr>
        <w:t>e</w:t>
      </w:r>
      <w:r w:rsidR="000E78F8">
        <w:rPr>
          <w:bCs/>
          <w:iCs/>
          <w:szCs w:val="20"/>
          <w:lang w:val="es-US"/>
        </w:rPr>
        <w:t>l</w:t>
      </w:r>
      <w:r w:rsidR="00E71798">
        <w:rPr>
          <w:bCs/>
          <w:iCs/>
          <w:szCs w:val="20"/>
          <w:lang w:val="es-US"/>
        </w:rPr>
        <w:t>l</w:t>
      </w:r>
      <w:r w:rsidR="000E78F8">
        <w:rPr>
          <w:bCs/>
          <w:iCs/>
          <w:szCs w:val="20"/>
          <w:lang w:val="es-US"/>
        </w:rPr>
        <w:t>o</w:t>
      </w:r>
      <w:r w:rsidR="004D0F33">
        <w:rPr>
          <w:bCs/>
          <w:iCs/>
          <w:szCs w:val="20"/>
          <w:lang w:val="es-US"/>
        </w:rPr>
        <w:t>,</w:t>
      </w:r>
      <w:r w:rsidR="000E78F8">
        <w:rPr>
          <w:bCs/>
          <w:iCs/>
          <w:szCs w:val="20"/>
          <w:lang w:val="es-US"/>
        </w:rPr>
        <w:t xml:space="preserve"> acudieron </w:t>
      </w:r>
      <w:r w:rsidR="000D41EE" w:rsidRPr="000D41EE">
        <w:rPr>
          <w:bCs/>
          <w:iCs/>
          <w:szCs w:val="20"/>
          <w:lang w:val="es-US"/>
        </w:rPr>
        <w:t xml:space="preserve">al lugar otros dos patrulleros policiales (Sierra 1 y X-3) con otros cinco policías (Tte. Henry Omar Martínez Pico, CboS. Oliver Stail Quichimboy, SgtoS. Julio Gilberto Fajardo Cabrera, P.N. Mario Luisa Gallo y </w:t>
      </w:r>
      <w:r w:rsidR="000D41EE">
        <w:rPr>
          <w:bCs/>
          <w:iCs/>
          <w:szCs w:val="20"/>
          <w:lang w:val="es-US"/>
        </w:rPr>
        <w:t>C</w:t>
      </w:r>
      <w:r w:rsidR="000D41EE" w:rsidRPr="000D41EE">
        <w:rPr>
          <w:bCs/>
          <w:iCs/>
          <w:szCs w:val="20"/>
          <w:lang w:val="es-US"/>
        </w:rPr>
        <w:t>boS. Pedro Isaac Elizalde Sánchez)</w:t>
      </w:r>
      <w:r w:rsidR="000D41EE">
        <w:rPr>
          <w:bCs/>
          <w:iCs/>
          <w:szCs w:val="20"/>
          <w:lang w:val="es-US"/>
        </w:rPr>
        <w:t xml:space="preserve"> y entre todos ellos consigu</w:t>
      </w:r>
      <w:r w:rsidR="008A6E5E">
        <w:rPr>
          <w:bCs/>
          <w:iCs/>
          <w:szCs w:val="20"/>
          <w:lang w:val="es-US"/>
        </w:rPr>
        <w:t>ieron</w:t>
      </w:r>
      <w:r w:rsidR="000D41EE">
        <w:rPr>
          <w:bCs/>
          <w:iCs/>
          <w:szCs w:val="20"/>
          <w:lang w:val="es-US"/>
        </w:rPr>
        <w:t xml:space="preserve"> reducir a Aníbal Aguas</w:t>
      </w:r>
      <w:r w:rsidR="008A6E5E">
        <w:rPr>
          <w:bCs/>
          <w:iCs/>
          <w:szCs w:val="20"/>
          <w:lang w:val="es-US"/>
        </w:rPr>
        <w:t xml:space="preserve"> y subirlo a la fuerza al patrullero Sierra 2</w:t>
      </w:r>
      <w:r w:rsidR="000D41EE" w:rsidRPr="000D41EE">
        <w:rPr>
          <w:bCs/>
          <w:iCs/>
          <w:szCs w:val="20"/>
          <w:lang w:val="es-US"/>
        </w:rPr>
        <w:t xml:space="preserve">. </w:t>
      </w:r>
      <w:r w:rsidR="000E78F8">
        <w:rPr>
          <w:bCs/>
          <w:iCs/>
          <w:szCs w:val="20"/>
          <w:lang w:val="es-US"/>
        </w:rPr>
        <w:t xml:space="preserve">En el patrullero Sierra 2 Aníbal Aguas fue transportado primero al Cuartel policial donde se constató que no reaccionaba, luego al hospital donde se constató su muerte y luego a la morgue donde los policías dejaron su cuerpo sin vida y con claros signos de tortura. </w:t>
      </w:r>
      <w:r w:rsidR="000D41EE" w:rsidRPr="000D41EE">
        <w:rPr>
          <w:bCs/>
          <w:iCs/>
          <w:szCs w:val="20"/>
          <w:bdr w:val="none" w:sz="0" w:space="0" w:color="auto"/>
          <w:lang w:val="es-ES"/>
        </w:rPr>
        <w:t xml:space="preserve">No existe </w:t>
      </w:r>
      <w:r w:rsidR="000D41EE">
        <w:rPr>
          <w:bCs/>
          <w:iCs/>
          <w:szCs w:val="20"/>
          <w:bdr w:val="none" w:sz="0" w:space="0" w:color="auto"/>
          <w:lang w:val="es-ES"/>
        </w:rPr>
        <w:t>constancia</w:t>
      </w:r>
      <w:r w:rsidR="00EA289A">
        <w:rPr>
          <w:bCs/>
          <w:iCs/>
          <w:szCs w:val="20"/>
          <w:bdr w:val="none" w:sz="0" w:space="0" w:color="auto"/>
          <w:lang w:val="es-ES"/>
        </w:rPr>
        <w:t>,</w:t>
      </w:r>
      <w:r w:rsidR="000D41EE">
        <w:rPr>
          <w:bCs/>
          <w:iCs/>
          <w:szCs w:val="20"/>
          <w:bdr w:val="none" w:sz="0" w:space="0" w:color="auto"/>
          <w:lang w:val="es-ES"/>
        </w:rPr>
        <w:t xml:space="preserve"> ni </w:t>
      </w:r>
      <w:r w:rsidR="000D41EE" w:rsidRPr="000D41EE">
        <w:rPr>
          <w:bCs/>
          <w:iCs/>
          <w:szCs w:val="20"/>
          <w:bdr w:val="none" w:sz="0" w:space="0" w:color="auto"/>
          <w:lang w:val="es-ES"/>
        </w:rPr>
        <w:t xml:space="preserve">alegación alguna </w:t>
      </w:r>
      <w:r w:rsidR="000E78F8">
        <w:rPr>
          <w:bCs/>
          <w:iCs/>
          <w:szCs w:val="20"/>
          <w:bdr w:val="none" w:sz="0" w:space="0" w:color="auto"/>
          <w:lang w:val="es-ES"/>
        </w:rPr>
        <w:t>en el sentido</w:t>
      </w:r>
      <w:r w:rsidR="00EA289A">
        <w:rPr>
          <w:bCs/>
          <w:iCs/>
          <w:szCs w:val="20"/>
          <w:bdr w:val="none" w:sz="0" w:space="0" w:color="auto"/>
          <w:lang w:val="es-ES"/>
        </w:rPr>
        <w:t>,</w:t>
      </w:r>
      <w:r w:rsidR="000E78F8">
        <w:rPr>
          <w:bCs/>
          <w:iCs/>
          <w:szCs w:val="20"/>
          <w:bdr w:val="none" w:sz="0" w:space="0" w:color="auto"/>
          <w:lang w:val="es-ES"/>
        </w:rPr>
        <w:t xml:space="preserve"> </w:t>
      </w:r>
      <w:r w:rsidR="000D41EE" w:rsidRPr="000D41EE">
        <w:rPr>
          <w:bCs/>
          <w:iCs/>
          <w:szCs w:val="20"/>
          <w:bdr w:val="none" w:sz="0" w:space="0" w:color="auto"/>
          <w:lang w:val="es-ES"/>
        </w:rPr>
        <w:t xml:space="preserve">que Aníbal Aguas portara </w:t>
      </w:r>
      <w:r w:rsidR="000D41EE">
        <w:rPr>
          <w:bCs/>
          <w:iCs/>
          <w:szCs w:val="20"/>
          <w:bdr w:val="none" w:sz="0" w:space="0" w:color="auto"/>
          <w:lang w:val="es-ES"/>
        </w:rPr>
        <w:t xml:space="preserve">algún </w:t>
      </w:r>
      <w:r w:rsidR="000D41EE" w:rsidRPr="000D41EE">
        <w:rPr>
          <w:bCs/>
          <w:iCs/>
          <w:szCs w:val="20"/>
          <w:bdr w:val="none" w:sz="0" w:space="0" w:color="auto"/>
          <w:lang w:val="es-ES"/>
        </w:rPr>
        <w:t xml:space="preserve">tipo de armas </w:t>
      </w:r>
      <w:r w:rsidR="000D41EE">
        <w:rPr>
          <w:bCs/>
          <w:iCs/>
          <w:szCs w:val="20"/>
          <w:bdr w:val="none" w:sz="0" w:space="0" w:color="auto"/>
          <w:lang w:val="es-ES"/>
        </w:rPr>
        <w:t xml:space="preserve">u objeto </w:t>
      </w:r>
      <w:r w:rsidR="008A6E5E">
        <w:rPr>
          <w:bCs/>
          <w:iCs/>
          <w:szCs w:val="20"/>
          <w:bdr w:val="none" w:sz="0" w:space="0" w:color="auto"/>
          <w:lang w:val="es-ES"/>
        </w:rPr>
        <w:t xml:space="preserve">contundente </w:t>
      </w:r>
      <w:r w:rsidR="000D41EE" w:rsidRPr="000D41EE">
        <w:rPr>
          <w:bCs/>
          <w:iCs/>
          <w:szCs w:val="20"/>
          <w:bdr w:val="none" w:sz="0" w:space="0" w:color="auto"/>
          <w:lang w:val="es-ES"/>
        </w:rPr>
        <w:t xml:space="preserve">o que </w:t>
      </w:r>
      <w:r w:rsidR="00EA289A">
        <w:rPr>
          <w:bCs/>
          <w:iCs/>
          <w:szCs w:val="20"/>
          <w:bdr w:val="none" w:sz="0" w:space="0" w:color="auto"/>
          <w:lang w:val="es-ES"/>
        </w:rPr>
        <w:t xml:space="preserve">hubiera </w:t>
      </w:r>
      <w:r w:rsidR="000D41EE" w:rsidRPr="000D41EE">
        <w:rPr>
          <w:bCs/>
          <w:iCs/>
          <w:szCs w:val="20"/>
          <w:bdr w:val="none" w:sz="0" w:space="0" w:color="auto"/>
          <w:lang w:val="es-ES"/>
        </w:rPr>
        <w:t>representa</w:t>
      </w:r>
      <w:r w:rsidR="00EA289A">
        <w:rPr>
          <w:bCs/>
          <w:iCs/>
          <w:szCs w:val="20"/>
          <w:bdr w:val="none" w:sz="0" w:space="0" w:color="auto"/>
          <w:lang w:val="es-ES"/>
        </w:rPr>
        <w:t>do</w:t>
      </w:r>
      <w:r w:rsidR="000D41EE" w:rsidRPr="000D41EE">
        <w:rPr>
          <w:bCs/>
          <w:iCs/>
          <w:szCs w:val="20"/>
          <w:bdr w:val="none" w:sz="0" w:space="0" w:color="auto"/>
          <w:lang w:val="es-ES"/>
        </w:rPr>
        <w:t xml:space="preserve"> un</w:t>
      </w:r>
      <w:r w:rsidR="000D41EE">
        <w:rPr>
          <w:bCs/>
          <w:iCs/>
          <w:szCs w:val="20"/>
          <w:bdr w:val="none" w:sz="0" w:space="0" w:color="auto"/>
          <w:lang w:val="es-ES"/>
        </w:rPr>
        <w:t>a</w:t>
      </w:r>
      <w:r w:rsidR="000D41EE" w:rsidRPr="000D41EE">
        <w:rPr>
          <w:bCs/>
          <w:iCs/>
          <w:szCs w:val="20"/>
          <w:bdr w:val="none" w:sz="0" w:space="0" w:color="auto"/>
          <w:lang w:val="es-ES"/>
        </w:rPr>
        <w:t xml:space="preserve"> </w:t>
      </w:r>
      <w:r w:rsidR="000D41EE">
        <w:rPr>
          <w:bCs/>
          <w:iCs/>
          <w:szCs w:val="20"/>
          <w:bdr w:val="none" w:sz="0" w:space="0" w:color="auto"/>
          <w:lang w:val="es-ES"/>
        </w:rPr>
        <w:t>amenaza o peligro real e inminente para los agentes o terceros</w:t>
      </w:r>
      <w:r w:rsidR="000E78F8">
        <w:rPr>
          <w:bCs/>
          <w:iCs/>
          <w:szCs w:val="20"/>
          <w:bdr w:val="none" w:sz="0" w:space="0" w:color="auto"/>
          <w:lang w:val="es-ES"/>
        </w:rPr>
        <w:t xml:space="preserve"> al momento de su arresto</w:t>
      </w:r>
      <w:r w:rsidR="000D41EE">
        <w:rPr>
          <w:bCs/>
          <w:iCs/>
          <w:szCs w:val="20"/>
          <w:bdr w:val="none" w:sz="0" w:space="0" w:color="auto"/>
          <w:lang w:val="es-ES"/>
        </w:rPr>
        <w:t>.</w:t>
      </w:r>
      <w:r w:rsidR="008A6E5E">
        <w:rPr>
          <w:bCs/>
          <w:iCs/>
          <w:szCs w:val="20"/>
          <w:bdr w:val="none" w:sz="0" w:space="0" w:color="auto"/>
          <w:lang w:val="es-ES"/>
        </w:rPr>
        <w:t xml:space="preserve"> </w:t>
      </w:r>
      <w:r w:rsidR="00432116">
        <w:rPr>
          <w:bCs/>
          <w:iCs/>
          <w:szCs w:val="20"/>
          <w:bdr w:val="none" w:sz="0" w:space="0" w:color="auto"/>
          <w:lang w:val="es-ES"/>
        </w:rPr>
        <w:t>Tampoco hay constancia</w:t>
      </w:r>
      <w:r w:rsidR="00757118">
        <w:rPr>
          <w:bCs/>
          <w:iCs/>
          <w:szCs w:val="20"/>
          <w:bdr w:val="none" w:sz="0" w:space="0" w:color="auto"/>
          <w:lang w:val="es-ES"/>
        </w:rPr>
        <w:t>,</w:t>
      </w:r>
      <w:r w:rsidR="00432116">
        <w:rPr>
          <w:bCs/>
          <w:iCs/>
          <w:szCs w:val="20"/>
          <w:bdr w:val="none" w:sz="0" w:space="0" w:color="auto"/>
          <w:lang w:val="es-ES"/>
        </w:rPr>
        <w:t xml:space="preserve"> </w:t>
      </w:r>
      <w:r w:rsidR="00EA289A">
        <w:rPr>
          <w:bCs/>
          <w:iCs/>
          <w:szCs w:val="20"/>
          <w:bdr w:val="none" w:sz="0" w:space="0" w:color="auto"/>
          <w:lang w:val="es-ES"/>
        </w:rPr>
        <w:t>ni alegación alguna</w:t>
      </w:r>
      <w:r w:rsidR="00757118">
        <w:rPr>
          <w:bCs/>
          <w:iCs/>
          <w:szCs w:val="20"/>
          <w:bdr w:val="none" w:sz="0" w:space="0" w:color="auto"/>
          <w:lang w:val="es-ES"/>
        </w:rPr>
        <w:t>,</w:t>
      </w:r>
      <w:r w:rsidR="00EA289A">
        <w:rPr>
          <w:bCs/>
          <w:iCs/>
          <w:szCs w:val="20"/>
          <w:bdr w:val="none" w:sz="0" w:space="0" w:color="auto"/>
          <w:lang w:val="es-ES"/>
        </w:rPr>
        <w:t xml:space="preserve"> </w:t>
      </w:r>
      <w:r w:rsidR="00432116">
        <w:rPr>
          <w:bCs/>
          <w:iCs/>
          <w:szCs w:val="20"/>
          <w:bdr w:val="none" w:sz="0" w:space="0" w:color="auto"/>
          <w:lang w:val="es-ES"/>
        </w:rPr>
        <w:t>que</w:t>
      </w:r>
      <w:r w:rsidR="00EA289A">
        <w:rPr>
          <w:bCs/>
          <w:iCs/>
          <w:szCs w:val="20"/>
          <w:bdr w:val="none" w:sz="0" w:space="0" w:color="auto"/>
          <w:lang w:val="es-ES"/>
        </w:rPr>
        <w:t xml:space="preserve"> indique que</w:t>
      </w:r>
      <w:r w:rsidR="00432116">
        <w:rPr>
          <w:bCs/>
          <w:iCs/>
          <w:szCs w:val="20"/>
          <w:bdr w:val="none" w:sz="0" w:space="0" w:color="auto"/>
          <w:lang w:val="es-ES"/>
        </w:rPr>
        <w:t xml:space="preserve"> Aníbal Aguas </w:t>
      </w:r>
      <w:r w:rsidR="00EA289A">
        <w:rPr>
          <w:bCs/>
          <w:iCs/>
          <w:szCs w:val="20"/>
          <w:bdr w:val="none" w:sz="0" w:space="0" w:color="auto"/>
          <w:lang w:val="es-ES"/>
        </w:rPr>
        <w:t xml:space="preserve">hubiera </w:t>
      </w:r>
      <w:r w:rsidR="00432116">
        <w:rPr>
          <w:bCs/>
          <w:iCs/>
          <w:szCs w:val="20"/>
          <w:bdr w:val="none" w:sz="0" w:space="0" w:color="auto"/>
          <w:lang w:val="es-ES"/>
        </w:rPr>
        <w:t xml:space="preserve">agredido o amenazado a algún agente o a terceros. </w:t>
      </w:r>
      <w:r w:rsidR="008A6E5E">
        <w:rPr>
          <w:bCs/>
          <w:iCs/>
          <w:szCs w:val="20"/>
          <w:bdr w:val="none" w:sz="0" w:space="0" w:color="auto"/>
          <w:lang w:val="es-ES"/>
        </w:rPr>
        <w:t xml:space="preserve">En efecto, lo </w:t>
      </w:r>
      <w:r w:rsidR="00432116">
        <w:rPr>
          <w:bCs/>
          <w:iCs/>
          <w:szCs w:val="20"/>
          <w:bdr w:val="none" w:sz="0" w:space="0" w:color="auto"/>
          <w:lang w:val="es-ES"/>
        </w:rPr>
        <w:t xml:space="preserve">único </w:t>
      </w:r>
      <w:r w:rsidR="008A6E5E">
        <w:rPr>
          <w:bCs/>
          <w:iCs/>
          <w:szCs w:val="20"/>
          <w:bdr w:val="none" w:sz="0" w:space="0" w:color="auto"/>
          <w:lang w:val="es-ES"/>
        </w:rPr>
        <w:t xml:space="preserve">que sí se acreditó en el proceso ante el fuero policial, es que Aníbal Aguas </w:t>
      </w:r>
      <w:r w:rsidR="00432116">
        <w:rPr>
          <w:bCs/>
          <w:iCs/>
          <w:szCs w:val="20"/>
          <w:bdr w:val="none" w:sz="0" w:space="0" w:color="auto"/>
          <w:lang w:val="es-ES"/>
        </w:rPr>
        <w:t xml:space="preserve">resistió el arresto y </w:t>
      </w:r>
      <w:r w:rsidR="008A6E5E">
        <w:rPr>
          <w:bCs/>
          <w:iCs/>
          <w:szCs w:val="20"/>
          <w:bdr w:val="none" w:sz="0" w:space="0" w:color="auto"/>
          <w:lang w:val="es-ES"/>
        </w:rPr>
        <w:t>se abrazó a su esposa, quien pedía que no lo arrestaran y prometía cubrir los gastos de los destrozos.</w:t>
      </w:r>
    </w:p>
    <w:p w14:paraId="4437ECD9" w14:textId="77777777" w:rsidR="0084024D" w:rsidRPr="00432116" w:rsidRDefault="0084024D" w:rsidP="0084024D">
      <w:pPr>
        <w:pStyle w:val="ListParagraph"/>
        <w:numPr>
          <w:ilvl w:val="0"/>
          <w:numId w:val="0"/>
        </w:numPr>
        <w:rPr>
          <w:szCs w:val="20"/>
          <w:bdr w:val="none" w:sz="0" w:space="0" w:color="auto"/>
          <w:lang w:val="es-US"/>
        </w:rPr>
      </w:pPr>
    </w:p>
    <w:p w14:paraId="30862C48" w14:textId="77777777" w:rsidR="00741EED" w:rsidRDefault="00C57070" w:rsidP="00096C79">
      <w:pPr>
        <w:pStyle w:val="ListParagraph"/>
        <w:rPr>
          <w:szCs w:val="20"/>
          <w:bdr w:val="none" w:sz="0" w:space="0" w:color="auto"/>
          <w:lang w:val="es-ES"/>
        </w:rPr>
      </w:pPr>
      <w:r>
        <w:rPr>
          <w:szCs w:val="20"/>
          <w:bdr w:val="none" w:sz="0" w:space="0" w:color="auto"/>
          <w:lang w:val="es-ES"/>
        </w:rPr>
        <w:t>En vista de lo anterior, la Comisión estima que e</w:t>
      </w:r>
      <w:r w:rsidR="00840BEB">
        <w:rPr>
          <w:szCs w:val="20"/>
          <w:bdr w:val="none" w:sz="0" w:space="0" w:color="auto"/>
          <w:lang w:val="es-ES"/>
        </w:rPr>
        <w:t xml:space="preserve">l uso de la fuerza en </w:t>
      </w:r>
      <w:r>
        <w:rPr>
          <w:szCs w:val="20"/>
          <w:bdr w:val="none" w:sz="0" w:space="0" w:color="auto"/>
          <w:lang w:val="es-ES"/>
        </w:rPr>
        <w:t>el</w:t>
      </w:r>
      <w:r w:rsidR="00840BEB">
        <w:rPr>
          <w:szCs w:val="20"/>
          <w:bdr w:val="none" w:sz="0" w:space="0" w:color="auto"/>
          <w:lang w:val="es-ES"/>
        </w:rPr>
        <w:t xml:space="preserve"> arresto</w:t>
      </w:r>
      <w:r w:rsidR="00794FB4">
        <w:rPr>
          <w:szCs w:val="20"/>
          <w:bdr w:val="none" w:sz="0" w:space="0" w:color="auto"/>
          <w:lang w:val="es-ES"/>
        </w:rPr>
        <w:t xml:space="preserve">, </w:t>
      </w:r>
      <w:r w:rsidR="004D0F33">
        <w:rPr>
          <w:szCs w:val="20"/>
          <w:bdr w:val="none" w:sz="0" w:space="0" w:color="auto"/>
          <w:lang w:val="es-ES"/>
        </w:rPr>
        <w:t>que resulta constatable en las lesiones</w:t>
      </w:r>
      <w:r w:rsidR="00794FB4">
        <w:rPr>
          <w:szCs w:val="20"/>
          <w:bdr w:val="none" w:sz="0" w:space="0" w:color="auto"/>
          <w:lang w:val="es-ES"/>
        </w:rPr>
        <w:t xml:space="preserve"> que le fueron </w:t>
      </w:r>
      <w:r w:rsidR="004D0F33">
        <w:rPr>
          <w:szCs w:val="20"/>
          <w:bdr w:val="none" w:sz="0" w:space="0" w:color="auto"/>
          <w:lang w:val="es-ES"/>
        </w:rPr>
        <w:t xml:space="preserve">infligidas </w:t>
      </w:r>
      <w:r w:rsidR="00794FB4">
        <w:rPr>
          <w:szCs w:val="20"/>
          <w:bdr w:val="none" w:sz="0" w:space="0" w:color="auto"/>
          <w:lang w:val="es-ES"/>
        </w:rPr>
        <w:t>a</w:t>
      </w:r>
      <w:r>
        <w:rPr>
          <w:szCs w:val="20"/>
          <w:bdr w:val="none" w:sz="0" w:space="0" w:color="auto"/>
          <w:lang w:val="es-ES"/>
        </w:rPr>
        <w:t xml:space="preserve"> Aníbal Aguas</w:t>
      </w:r>
      <w:r w:rsidR="00840BEB">
        <w:rPr>
          <w:szCs w:val="20"/>
          <w:bdr w:val="none" w:sz="0" w:space="0" w:color="auto"/>
          <w:lang w:val="es-ES"/>
        </w:rPr>
        <w:t>, no cumpl</w:t>
      </w:r>
      <w:r>
        <w:rPr>
          <w:szCs w:val="20"/>
          <w:bdr w:val="none" w:sz="0" w:space="0" w:color="auto"/>
          <w:lang w:val="es-ES"/>
        </w:rPr>
        <w:t>ió</w:t>
      </w:r>
      <w:r w:rsidR="00840BEB">
        <w:rPr>
          <w:szCs w:val="20"/>
          <w:bdr w:val="none" w:sz="0" w:space="0" w:color="auto"/>
          <w:lang w:val="es-ES"/>
        </w:rPr>
        <w:t xml:space="preserve"> con el principio de finalidad legítima, ya que se</w:t>
      </w:r>
      <w:r w:rsidR="00757118">
        <w:rPr>
          <w:szCs w:val="20"/>
          <w:bdr w:val="none" w:sz="0" w:space="0" w:color="auto"/>
          <w:lang w:val="es-ES"/>
        </w:rPr>
        <w:t xml:space="preserve">gún consta de la evidencia rendida ante la justicia ecuatoriana, incluidos los informes de la propia Policía Nacional, </w:t>
      </w:r>
      <w:r w:rsidR="00840BEB">
        <w:rPr>
          <w:szCs w:val="20"/>
          <w:bdr w:val="none" w:sz="0" w:space="0" w:color="auto"/>
          <w:lang w:val="es-ES"/>
        </w:rPr>
        <w:t>la posible infracción o falta que se alega</w:t>
      </w:r>
      <w:r>
        <w:rPr>
          <w:szCs w:val="20"/>
          <w:bdr w:val="none" w:sz="0" w:space="0" w:color="auto"/>
          <w:lang w:val="es-ES"/>
        </w:rPr>
        <w:t>ba haber sido</w:t>
      </w:r>
      <w:r w:rsidR="00840BEB">
        <w:rPr>
          <w:szCs w:val="20"/>
          <w:bdr w:val="none" w:sz="0" w:space="0" w:color="auto"/>
          <w:lang w:val="es-ES"/>
        </w:rPr>
        <w:t xml:space="preserve"> cometida por Aníbal Aguas (los daños al local comercial) </w:t>
      </w:r>
      <w:r w:rsidR="00757118">
        <w:rPr>
          <w:szCs w:val="20"/>
          <w:bdr w:val="none" w:sz="0" w:space="0" w:color="auto"/>
          <w:lang w:val="es-ES"/>
        </w:rPr>
        <w:t xml:space="preserve">ya había cesado al momento en </w:t>
      </w:r>
      <w:r w:rsidR="00E26396">
        <w:rPr>
          <w:szCs w:val="20"/>
          <w:bdr w:val="none" w:sz="0" w:space="0" w:color="auto"/>
          <w:lang w:val="es-ES"/>
        </w:rPr>
        <w:t xml:space="preserve">el </w:t>
      </w:r>
      <w:r w:rsidR="00757118">
        <w:rPr>
          <w:szCs w:val="20"/>
          <w:bdr w:val="none" w:sz="0" w:space="0" w:color="auto"/>
          <w:lang w:val="es-ES"/>
        </w:rPr>
        <w:t xml:space="preserve">que la policía llegó al lugar de los hechos. En efecto, Aníbal Aguas ya se encontraba fuera del local comercial afirmado a un poste cuando llegó el primer patrullero policial, por lo que resulta complejo justificar como finalidad legitima de la privación de la libertad la necesidad de </w:t>
      </w:r>
      <w:r w:rsidR="00E26396">
        <w:rPr>
          <w:szCs w:val="20"/>
          <w:bdr w:val="none" w:sz="0" w:space="0" w:color="auto"/>
          <w:lang w:val="es-ES"/>
        </w:rPr>
        <w:t>terminar con el alegado</w:t>
      </w:r>
      <w:r w:rsidR="00757118">
        <w:rPr>
          <w:szCs w:val="20"/>
          <w:bdr w:val="none" w:sz="0" w:space="0" w:color="auto"/>
          <w:lang w:val="es-ES"/>
        </w:rPr>
        <w:t xml:space="preserve"> disturbio o afectación de la propiedad privada.</w:t>
      </w:r>
      <w:r w:rsidR="00CE4EA2">
        <w:rPr>
          <w:szCs w:val="20"/>
          <w:bdr w:val="none" w:sz="0" w:space="0" w:color="auto"/>
          <w:lang w:val="es-ES"/>
        </w:rPr>
        <w:t xml:space="preserve"> E</w:t>
      </w:r>
      <w:r w:rsidR="00E26396">
        <w:rPr>
          <w:szCs w:val="20"/>
          <w:bdr w:val="none" w:sz="0" w:space="0" w:color="auto"/>
          <w:lang w:val="es-ES"/>
        </w:rPr>
        <w:t xml:space="preserve">n todo caso, como ha indicado claramente </w:t>
      </w:r>
      <w:r w:rsidR="00CE4EA2">
        <w:rPr>
          <w:szCs w:val="20"/>
          <w:bdr w:val="none" w:sz="0" w:space="0" w:color="auto"/>
          <w:lang w:val="es-ES"/>
        </w:rPr>
        <w:t xml:space="preserve">la jurisprudencia, </w:t>
      </w:r>
      <w:r w:rsidR="00E26396">
        <w:rPr>
          <w:szCs w:val="20"/>
          <w:bdr w:val="none" w:sz="0" w:space="0" w:color="auto"/>
          <w:lang w:val="es-ES"/>
        </w:rPr>
        <w:t xml:space="preserve">existen </w:t>
      </w:r>
      <w:r w:rsidR="00CE4EA2">
        <w:rPr>
          <w:szCs w:val="20"/>
          <w:bdr w:val="none" w:sz="0" w:space="0" w:color="auto"/>
          <w:lang w:val="es-ES"/>
        </w:rPr>
        <w:t xml:space="preserve">siempre </w:t>
      </w:r>
      <w:r w:rsidR="00E26396">
        <w:rPr>
          <w:szCs w:val="20"/>
          <w:bdr w:val="none" w:sz="0" w:space="0" w:color="auto"/>
          <w:lang w:val="es-ES"/>
        </w:rPr>
        <w:t>límites</w:t>
      </w:r>
      <w:r w:rsidR="00CE4EA2">
        <w:rPr>
          <w:szCs w:val="20"/>
          <w:bdr w:val="none" w:sz="0" w:space="0" w:color="auto"/>
          <w:lang w:val="es-ES"/>
        </w:rPr>
        <w:t>, incluso</w:t>
      </w:r>
      <w:r w:rsidR="00E26396">
        <w:rPr>
          <w:szCs w:val="20"/>
          <w:bdr w:val="none" w:sz="0" w:space="0" w:color="auto"/>
          <w:lang w:val="es-ES"/>
        </w:rPr>
        <w:t xml:space="preserve"> para casos en el que </w:t>
      </w:r>
      <w:r w:rsidR="00E26396" w:rsidRPr="00EE2386">
        <w:rPr>
          <w:szCs w:val="20"/>
          <w:lang w:val="es-US"/>
        </w:rPr>
        <w:t xml:space="preserve">la falta de uso de la fuerza </w:t>
      </w:r>
      <w:r w:rsidR="00E26396">
        <w:rPr>
          <w:szCs w:val="20"/>
          <w:lang w:val="es-US"/>
        </w:rPr>
        <w:t xml:space="preserve">pudiera </w:t>
      </w:r>
      <w:r w:rsidR="00E26396" w:rsidRPr="00EE2386">
        <w:rPr>
          <w:szCs w:val="20"/>
          <w:lang w:val="es-US"/>
        </w:rPr>
        <w:t>resultar en la pérdida de la oportunidad de captura</w:t>
      </w:r>
      <w:r w:rsidR="00840BEB">
        <w:rPr>
          <w:szCs w:val="20"/>
          <w:bdr w:val="none" w:sz="0" w:space="0" w:color="auto"/>
          <w:lang w:val="es-ES"/>
        </w:rPr>
        <w:t xml:space="preserve">. </w:t>
      </w:r>
      <w:r w:rsidR="00CE4EA2">
        <w:rPr>
          <w:szCs w:val="20"/>
          <w:bdr w:val="none" w:sz="0" w:space="0" w:color="auto"/>
          <w:lang w:val="es-ES"/>
        </w:rPr>
        <w:t>Por otra parte, t</w:t>
      </w:r>
      <w:r w:rsidR="00840BEB">
        <w:rPr>
          <w:szCs w:val="20"/>
          <w:bdr w:val="none" w:sz="0" w:space="0" w:color="auto"/>
          <w:lang w:val="es-ES"/>
        </w:rPr>
        <w:t xml:space="preserve">ampoco </w:t>
      </w:r>
      <w:r w:rsidR="00CE4EA2">
        <w:rPr>
          <w:szCs w:val="20"/>
          <w:bdr w:val="none" w:sz="0" w:space="0" w:color="auto"/>
          <w:lang w:val="es-ES"/>
        </w:rPr>
        <w:t xml:space="preserve">se </w:t>
      </w:r>
      <w:r w:rsidR="00840BEB">
        <w:rPr>
          <w:szCs w:val="20"/>
          <w:bdr w:val="none" w:sz="0" w:space="0" w:color="auto"/>
          <w:lang w:val="es-ES"/>
        </w:rPr>
        <w:t xml:space="preserve">cumplió con el principio de absoluta necesidad, ya que la situación que se pretendía tutelar o proteger (los daños al local </w:t>
      </w:r>
      <w:r w:rsidR="004D0F33">
        <w:rPr>
          <w:szCs w:val="20"/>
          <w:bdr w:val="none" w:sz="0" w:space="0" w:color="auto"/>
          <w:lang w:val="es-ES"/>
        </w:rPr>
        <w:t>comercial) había</w:t>
      </w:r>
      <w:r w:rsidR="00840BEB">
        <w:rPr>
          <w:szCs w:val="20"/>
          <w:bdr w:val="none" w:sz="0" w:space="0" w:color="auto"/>
          <w:lang w:val="es-ES"/>
        </w:rPr>
        <w:t xml:space="preserve"> cesado</w:t>
      </w:r>
      <w:r w:rsidR="00794FB4">
        <w:rPr>
          <w:szCs w:val="20"/>
          <w:bdr w:val="none" w:sz="0" w:space="0" w:color="auto"/>
          <w:lang w:val="es-ES"/>
        </w:rPr>
        <w:t xml:space="preserve">, </w:t>
      </w:r>
      <w:r w:rsidR="00840BEB">
        <w:rPr>
          <w:szCs w:val="20"/>
          <w:bdr w:val="none" w:sz="0" w:space="0" w:color="auto"/>
          <w:lang w:val="es-ES"/>
        </w:rPr>
        <w:lastRenderedPageBreak/>
        <w:t>Aníbal Aguas ya se encon</w:t>
      </w:r>
      <w:r>
        <w:rPr>
          <w:szCs w:val="20"/>
          <w:bdr w:val="none" w:sz="0" w:space="0" w:color="auto"/>
          <w:lang w:val="es-ES"/>
        </w:rPr>
        <w:t>traba fuera del local comercial</w:t>
      </w:r>
      <w:r w:rsidR="00432116">
        <w:rPr>
          <w:szCs w:val="20"/>
          <w:bdr w:val="none" w:sz="0" w:space="0" w:color="auto"/>
          <w:lang w:val="es-ES"/>
        </w:rPr>
        <w:t xml:space="preserve"> y su única acción </w:t>
      </w:r>
      <w:r w:rsidR="00FB0962">
        <w:rPr>
          <w:szCs w:val="20"/>
          <w:bdr w:val="none" w:sz="0" w:space="0" w:color="auto"/>
          <w:lang w:val="es-ES"/>
        </w:rPr>
        <w:t xml:space="preserve">ante la presencia policial </w:t>
      </w:r>
      <w:r w:rsidR="00432116">
        <w:rPr>
          <w:szCs w:val="20"/>
          <w:bdr w:val="none" w:sz="0" w:space="0" w:color="auto"/>
          <w:lang w:val="es-ES"/>
        </w:rPr>
        <w:t xml:space="preserve">fue </w:t>
      </w:r>
      <w:r w:rsidR="00C33BC0">
        <w:rPr>
          <w:szCs w:val="20"/>
          <w:bdr w:val="none" w:sz="0" w:space="0" w:color="auto"/>
          <w:lang w:val="es-ES"/>
        </w:rPr>
        <w:t xml:space="preserve">la de </w:t>
      </w:r>
      <w:r w:rsidR="00432116">
        <w:rPr>
          <w:szCs w:val="20"/>
          <w:bdr w:val="none" w:sz="0" w:space="0" w:color="auto"/>
          <w:lang w:val="es-ES"/>
        </w:rPr>
        <w:t xml:space="preserve">resistir el </w:t>
      </w:r>
      <w:r w:rsidR="00840BEB">
        <w:rPr>
          <w:szCs w:val="20"/>
          <w:bdr w:val="none" w:sz="0" w:space="0" w:color="auto"/>
          <w:lang w:val="es-ES"/>
        </w:rPr>
        <w:t>arresto</w:t>
      </w:r>
      <w:r w:rsidR="00432116">
        <w:rPr>
          <w:szCs w:val="20"/>
          <w:bdr w:val="none" w:sz="0" w:space="0" w:color="auto"/>
          <w:lang w:val="es-ES"/>
        </w:rPr>
        <w:t xml:space="preserve"> y aferrarse a </w:t>
      </w:r>
      <w:r w:rsidR="00CE4EA2">
        <w:rPr>
          <w:szCs w:val="20"/>
          <w:bdr w:val="none" w:sz="0" w:space="0" w:color="auto"/>
          <w:lang w:val="es-ES"/>
        </w:rPr>
        <w:t xml:space="preserve">un poste y a </w:t>
      </w:r>
      <w:r w:rsidR="00432116">
        <w:rPr>
          <w:szCs w:val="20"/>
          <w:bdr w:val="none" w:sz="0" w:space="0" w:color="auto"/>
          <w:lang w:val="es-ES"/>
        </w:rPr>
        <w:t>su esposa</w:t>
      </w:r>
      <w:r>
        <w:rPr>
          <w:szCs w:val="20"/>
          <w:bdr w:val="none" w:sz="0" w:space="0" w:color="auto"/>
          <w:lang w:val="es-ES"/>
        </w:rPr>
        <w:t>. Además, su esposa</w:t>
      </w:r>
      <w:r w:rsidR="00432116">
        <w:rPr>
          <w:szCs w:val="20"/>
          <w:bdr w:val="none" w:sz="0" w:space="0" w:color="auto"/>
          <w:lang w:val="es-ES"/>
        </w:rPr>
        <w:t xml:space="preserve"> estaba presente y ofreció pagar los daños del local, por lo que claramente existían otros medios menos lesivos para resolver la situación, por ejemplo, los policías pod</w:t>
      </w:r>
      <w:r w:rsidR="005B3E3E">
        <w:rPr>
          <w:szCs w:val="20"/>
          <w:bdr w:val="none" w:sz="0" w:space="0" w:color="auto"/>
          <w:lang w:val="es-ES"/>
        </w:rPr>
        <w:t xml:space="preserve">ían haber propiciado </w:t>
      </w:r>
      <w:r w:rsidR="00432116">
        <w:rPr>
          <w:szCs w:val="20"/>
          <w:bdr w:val="none" w:sz="0" w:space="0" w:color="auto"/>
          <w:lang w:val="es-ES"/>
        </w:rPr>
        <w:t>un acuerdo para el pago de los daños con los dueños del local comercial</w:t>
      </w:r>
      <w:r w:rsidR="00794FB4">
        <w:rPr>
          <w:szCs w:val="20"/>
          <w:bdr w:val="none" w:sz="0" w:space="0" w:color="auto"/>
          <w:lang w:val="es-ES"/>
        </w:rPr>
        <w:t>, o bien, explorado o profundizado en el diálogo o negociación con la presunta víctima y su esposa</w:t>
      </w:r>
      <w:r w:rsidR="00432116">
        <w:rPr>
          <w:szCs w:val="20"/>
          <w:bdr w:val="none" w:sz="0" w:space="0" w:color="auto"/>
          <w:lang w:val="es-ES"/>
        </w:rPr>
        <w:t xml:space="preserve">. </w:t>
      </w:r>
      <w:r w:rsidR="00794FB4">
        <w:rPr>
          <w:szCs w:val="20"/>
          <w:bdr w:val="none" w:sz="0" w:space="0" w:color="auto"/>
          <w:lang w:val="es-ES"/>
        </w:rPr>
        <w:t>E</w:t>
      </w:r>
      <w:r w:rsidR="0084024D">
        <w:rPr>
          <w:szCs w:val="20"/>
          <w:bdr w:val="none" w:sz="0" w:space="0" w:color="auto"/>
          <w:lang w:val="es-ES"/>
        </w:rPr>
        <w:t xml:space="preserve">l uso de la fuerza en dicho operativo y la intervención de siete agentes de la policía </w:t>
      </w:r>
      <w:r w:rsidR="00432116">
        <w:rPr>
          <w:szCs w:val="20"/>
          <w:bdr w:val="none" w:sz="0" w:space="0" w:color="auto"/>
          <w:lang w:val="es-ES"/>
        </w:rPr>
        <w:t xml:space="preserve">en tres vehículos policiales </w:t>
      </w:r>
      <w:r w:rsidR="004D0F33">
        <w:rPr>
          <w:szCs w:val="20"/>
          <w:bdr w:val="none" w:sz="0" w:space="0" w:color="auto"/>
          <w:lang w:val="es-ES"/>
        </w:rPr>
        <w:t>resulta</w:t>
      </w:r>
      <w:r w:rsidR="0084024D">
        <w:rPr>
          <w:szCs w:val="20"/>
          <w:bdr w:val="none" w:sz="0" w:space="0" w:color="auto"/>
          <w:lang w:val="es-ES"/>
        </w:rPr>
        <w:t xml:space="preserve"> desproporcionado</w:t>
      </w:r>
      <w:r w:rsidR="00432116">
        <w:rPr>
          <w:szCs w:val="20"/>
          <w:bdr w:val="none" w:sz="0" w:space="0" w:color="auto"/>
          <w:lang w:val="es-ES"/>
        </w:rPr>
        <w:t>. En efecto,</w:t>
      </w:r>
      <w:r w:rsidR="00432116" w:rsidRPr="00C57070">
        <w:rPr>
          <w:szCs w:val="20"/>
          <w:bdr w:val="none" w:sz="0" w:space="0" w:color="auto"/>
          <w:lang w:val="es-ES"/>
        </w:rPr>
        <w:t xml:space="preserve"> </w:t>
      </w:r>
      <w:r w:rsidR="00432116">
        <w:rPr>
          <w:szCs w:val="20"/>
          <w:bdr w:val="none" w:sz="0" w:space="0" w:color="auto"/>
          <w:lang w:val="es-ES"/>
        </w:rPr>
        <w:t xml:space="preserve">como se indicó, Aníbal Aguas no portaba armas, no había agredido a ningún individuo, ni representaba una amenaza o peligro para los agentes o terceros y, además, se encontraba en estado de ebriedad. </w:t>
      </w:r>
      <w:r w:rsidR="004D0F33">
        <w:rPr>
          <w:szCs w:val="20"/>
          <w:bdr w:val="none" w:sz="0" w:space="0" w:color="auto"/>
          <w:lang w:val="es-ES"/>
        </w:rPr>
        <w:t xml:space="preserve">El Estado no ha probado que </w:t>
      </w:r>
      <w:r w:rsidR="00432116">
        <w:rPr>
          <w:szCs w:val="20"/>
          <w:bdr w:val="none" w:sz="0" w:space="0" w:color="auto"/>
          <w:lang w:val="es-ES"/>
        </w:rPr>
        <w:t xml:space="preserve">la fuerza empleada </w:t>
      </w:r>
      <w:r w:rsidR="004D0F33">
        <w:rPr>
          <w:szCs w:val="20"/>
          <w:bdr w:val="none" w:sz="0" w:space="0" w:color="auto"/>
          <w:lang w:val="es-ES"/>
        </w:rPr>
        <w:t>fuera</w:t>
      </w:r>
      <w:r w:rsidR="00432116">
        <w:rPr>
          <w:szCs w:val="20"/>
          <w:bdr w:val="none" w:sz="0" w:space="0" w:color="auto"/>
          <w:lang w:val="es-ES"/>
        </w:rPr>
        <w:t xml:space="preserve"> proporcional, diferenciada, </w:t>
      </w:r>
      <w:r w:rsidR="004D0F33">
        <w:rPr>
          <w:szCs w:val="20"/>
          <w:bdr w:val="none" w:sz="0" w:space="0" w:color="auto"/>
          <w:lang w:val="es-ES"/>
        </w:rPr>
        <w:t>o</w:t>
      </w:r>
      <w:r w:rsidR="00432116">
        <w:rPr>
          <w:szCs w:val="20"/>
          <w:bdr w:val="none" w:sz="0" w:space="0" w:color="auto"/>
          <w:lang w:val="es-ES"/>
        </w:rPr>
        <w:t xml:space="preserve"> progresiva en atención al grado de cooperación, resistencia o agresión </w:t>
      </w:r>
      <w:r w:rsidR="00C33BC0">
        <w:rPr>
          <w:szCs w:val="20"/>
          <w:bdr w:val="none" w:sz="0" w:space="0" w:color="auto"/>
          <w:lang w:val="es-ES"/>
        </w:rPr>
        <w:t>de Aníbal Aguas</w:t>
      </w:r>
      <w:r w:rsidR="00432116">
        <w:rPr>
          <w:szCs w:val="20"/>
          <w:bdr w:val="none" w:sz="0" w:space="0" w:color="auto"/>
          <w:lang w:val="es-ES"/>
        </w:rPr>
        <w:t>.</w:t>
      </w:r>
      <w:r w:rsidRPr="00C57070">
        <w:rPr>
          <w:szCs w:val="20"/>
          <w:bdr w:val="none" w:sz="0" w:space="0" w:color="auto"/>
          <w:lang w:val="es-ES"/>
        </w:rPr>
        <w:t xml:space="preserve"> </w:t>
      </w:r>
      <w:r>
        <w:rPr>
          <w:szCs w:val="20"/>
          <w:bdr w:val="none" w:sz="0" w:space="0" w:color="auto"/>
          <w:lang w:val="es-ES"/>
        </w:rPr>
        <w:t>En consecuencia, la Comisión estima que, e</w:t>
      </w:r>
      <w:r w:rsidR="00C33BC0">
        <w:rPr>
          <w:szCs w:val="20"/>
          <w:bdr w:val="none" w:sz="0" w:space="0" w:color="auto"/>
          <w:lang w:val="es-ES"/>
        </w:rPr>
        <w:t xml:space="preserve">l uso de la fuerza durante </w:t>
      </w:r>
      <w:r>
        <w:rPr>
          <w:szCs w:val="20"/>
          <w:bdr w:val="none" w:sz="0" w:space="0" w:color="auto"/>
          <w:lang w:val="es-ES"/>
        </w:rPr>
        <w:t xml:space="preserve">el arresto y traslado de Aníbal Aguas por parte de la policía nacional ecuatoriana, </w:t>
      </w:r>
      <w:r w:rsidR="005B3E3E">
        <w:rPr>
          <w:szCs w:val="20"/>
          <w:bdr w:val="none" w:sz="0" w:space="0" w:color="auto"/>
          <w:lang w:val="es-ES"/>
        </w:rPr>
        <w:t xml:space="preserve"> </w:t>
      </w:r>
      <w:r>
        <w:rPr>
          <w:szCs w:val="20"/>
          <w:bdr w:val="none" w:sz="0" w:space="0" w:color="auto"/>
          <w:lang w:val="es-ES"/>
        </w:rPr>
        <w:t xml:space="preserve">no cumplió con los principios </w:t>
      </w:r>
      <w:r w:rsidR="004D0F33">
        <w:rPr>
          <w:szCs w:val="20"/>
          <w:bdr w:val="none" w:sz="0" w:space="0" w:color="auto"/>
          <w:lang w:val="es-ES"/>
        </w:rPr>
        <w:t>exigidos por la Convención Americana</w:t>
      </w:r>
      <w:r w:rsidR="00C33BC0">
        <w:rPr>
          <w:szCs w:val="20"/>
          <w:bdr w:val="none" w:sz="0" w:space="0" w:color="auto"/>
          <w:lang w:val="es-ES"/>
        </w:rPr>
        <w:t>.</w:t>
      </w:r>
    </w:p>
    <w:p w14:paraId="265D8BC4" w14:textId="77777777" w:rsidR="005B3E3E" w:rsidRDefault="005B3E3E" w:rsidP="005B3E3E">
      <w:pPr>
        <w:pStyle w:val="ListParagraph"/>
        <w:numPr>
          <w:ilvl w:val="0"/>
          <w:numId w:val="0"/>
        </w:numPr>
        <w:rPr>
          <w:szCs w:val="20"/>
          <w:bdr w:val="none" w:sz="0" w:space="0" w:color="auto"/>
          <w:lang w:val="es-ES"/>
        </w:rPr>
      </w:pPr>
    </w:p>
    <w:p w14:paraId="6DC7AE39" w14:textId="77777777" w:rsidR="00CA488B" w:rsidRDefault="005B3E3E" w:rsidP="00096C79">
      <w:pPr>
        <w:pStyle w:val="ListParagraph"/>
        <w:rPr>
          <w:szCs w:val="20"/>
          <w:bdr w:val="none" w:sz="0" w:space="0" w:color="auto"/>
          <w:lang w:val="es-ES"/>
        </w:rPr>
      </w:pPr>
      <w:r>
        <w:rPr>
          <w:szCs w:val="20"/>
          <w:bdr w:val="none" w:sz="0" w:space="0" w:color="auto"/>
          <w:lang w:val="es-ES"/>
        </w:rPr>
        <w:t xml:space="preserve">En </w:t>
      </w:r>
      <w:r w:rsidR="00794FB4">
        <w:rPr>
          <w:szCs w:val="20"/>
          <w:bdr w:val="none" w:sz="0" w:space="0" w:color="auto"/>
          <w:lang w:val="es-ES"/>
        </w:rPr>
        <w:t>tercer lugar, respecto de</w:t>
      </w:r>
      <w:r>
        <w:rPr>
          <w:szCs w:val="20"/>
          <w:bdr w:val="none" w:sz="0" w:space="0" w:color="auto"/>
          <w:lang w:val="es-ES"/>
        </w:rPr>
        <w:t xml:space="preserve"> las acciones posteriores a los hechos,</w:t>
      </w:r>
      <w:r w:rsidR="00576755">
        <w:rPr>
          <w:szCs w:val="20"/>
          <w:bdr w:val="none" w:sz="0" w:space="0" w:color="auto"/>
          <w:lang w:val="es-ES"/>
        </w:rPr>
        <w:t xml:space="preserve"> la Comisión destaca que</w:t>
      </w:r>
      <w:r w:rsidR="00096C79">
        <w:rPr>
          <w:szCs w:val="20"/>
          <w:bdr w:val="none" w:sz="0" w:space="0" w:color="auto"/>
          <w:lang w:val="es-ES"/>
        </w:rPr>
        <w:t xml:space="preserve"> se encuentra acreditado </w:t>
      </w:r>
      <w:r w:rsidR="00792892">
        <w:rPr>
          <w:szCs w:val="20"/>
          <w:bdr w:val="none" w:sz="0" w:space="0" w:color="auto"/>
          <w:lang w:val="es-ES"/>
        </w:rPr>
        <w:t xml:space="preserve">en el proceso penal ante la propia justicia policial </w:t>
      </w:r>
      <w:r w:rsidR="00096C79">
        <w:rPr>
          <w:szCs w:val="20"/>
          <w:bdr w:val="none" w:sz="0" w:space="0" w:color="auto"/>
          <w:lang w:val="es-ES"/>
        </w:rPr>
        <w:t>que</w:t>
      </w:r>
      <w:r w:rsidR="00EF2414">
        <w:rPr>
          <w:szCs w:val="20"/>
          <w:bdr w:val="none" w:sz="0" w:space="0" w:color="auto"/>
          <w:lang w:val="es-ES"/>
        </w:rPr>
        <w:t>,</w:t>
      </w:r>
      <w:r w:rsidR="00576755">
        <w:rPr>
          <w:szCs w:val="20"/>
          <w:bdr w:val="none" w:sz="0" w:space="0" w:color="auto"/>
          <w:lang w:val="es-ES"/>
        </w:rPr>
        <w:t xml:space="preserve"> al llegar al cuartel de policía, </w:t>
      </w:r>
      <w:r w:rsidR="00096C79">
        <w:rPr>
          <w:szCs w:val="20"/>
          <w:bdr w:val="none" w:sz="0" w:space="0" w:color="auto"/>
          <w:lang w:val="es-ES"/>
        </w:rPr>
        <w:t xml:space="preserve">el cuerpo ya sin vida de Aníbal Aguas </w:t>
      </w:r>
      <w:r w:rsidR="00576755">
        <w:rPr>
          <w:szCs w:val="20"/>
          <w:bdr w:val="none" w:sz="0" w:space="0" w:color="auto"/>
          <w:lang w:val="es-ES"/>
        </w:rPr>
        <w:t>fue bajado del patrullero</w:t>
      </w:r>
      <w:r w:rsidR="00096C79">
        <w:rPr>
          <w:szCs w:val="20"/>
          <w:bdr w:val="none" w:sz="0" w:space="0" w:color="auto"/>
          <w:lang w:val="es-ES"/>
        </w:rPr>
        <w:t xml:space="preserve"> y recostado en el </w:t>
      </w:r>
      <w:r w:rsidR="00EF2414">
        <w:rPr>
          <w:szCs w:val="20"/>
          <w:bdr w:val="none" w:sz="0" w:space="0" w:color="auto"/>
          <w:lang w:val="es-ES"/>
        </w:rPr>
        <w:t>suelo</w:t>
      </w:r>
      <w:r w:rsidR="00576755">
        <w:rPr>
          <w:szCs w:val="20"/>
          <w:bdr w:val="none" w:sz="0" w:space="0" w:color="auto"/>
          <w:lang w:val="es-ES"/>
        </w:rPr>
        <w:t xml:space="preserve"> </w:t>
      </w:r>
      <w:r w:rsidR="00096C79">
        <w:rPr>
          <w:szCs w:val="20"/>
          <w:bdr w:val="none" w:sz="0" w:space="0" w:color="auto"/>
          <w:lang w:val="es-ES"/>
        </w:rPr>
        <w:t xml:space="preserve">donde </w:t>
      </w:r>
      <w:r w:rsidR="00576755">
        <w:rPr>
          <w:szCs w:val="20"/>
          <w:bdr w:val="none" w:sz="0" w:space="0" w:color="auto"/>
          <w:lang w:val="es-ES"/>
        </w:rPr>
        <w:t>le lanzaron agua en la cabeza</w:t>
      </w:r>
      <w:r w:rsidR="00096C79">
        <w:rPr>
          <w:szCs w:val="20"/>
          <w:bdr w:val="none" w:sz="0" w:space="0" w:color="auto"/>
          <w:lang w:val="es-ES"/>
        </w:rPr>
        <w:t xml:space="preserve"> para limpiar la sangre</w:t>
      </w:r>
      <w:r w:rsidR="00C23A2E">
        <w:rPr>
          <w:szCs w:val="20"/>
          <w:bdr w:val="none" w:sz="0" w:space="0" w:color="auto"/>
          <w:lang w:val="es-ES"/>
        </w:rPr>
        <w:t>; luego fue llevado al hospital donde no fue bajado ni visto por médicos, sino que en el mismo patrullero</w:t>
      </w:r>
      <w:r w:rsidR="00096C79">
        <w:rPr>
          <w:szCs w:val="20"/>
          <w:bdr w:val="none" w:sz="0" w:space="0" w:color="auto"/>
          <w:lang w:val="es-ES"/>
        </w:rPr>
        <w:t xml:space="preserve"> </w:t>
      </w:r>
      <w:r w:rsidR="00C23A2E">
        <w:rPr>
          <w:szCs w:val="20"/>
          <w:bdr w:val="none" w:sz="0" w:space="0" w:color="auto"/>
          <w:lang w:val="es-ES"/>
        </w:rPr>
        <w:t>dos auxiliares de enfermería constataron su muerte</w:t>
      </w:r>
      <w:r w:rsidR="004D0F33">
        <w:rPr>
          <w:szCs w:val="20"/>
          <w:bdr w:val="none" w:sz="0" w:space="0" w:color="auto"/>
          <w:lang w:val="es-ES"/>
        </w:rPr>
        <w:t>. F</w:t>
      </w:r>
      <w:r w:rsidR="00C23A2E">
        <w:rPr>
          <w:szCs w:val="20"/>
          <w:bdr w:val="none" w:sz="0" w:space="0" w:color="auto"/>
          <w:lang w:val="es-ES"/>
        </w:rPr>
        <w:t>inalmente</w:t>
      </w:r>
      <w:r w:rsidR="006E7F36">
        <w:rPr>
          <w:szCs w:val="20"/>
          <w:bdr w:val="none" w:sz="0" w:space="0" w:color="auto"/>
          <w:lang w:val="es-ES"/>
        </w:rPr>
        <w:t>,</w:t>
      </w:r>
      <w:r w:rsidR="00C23A2E">
        <w:rPr>
          <w:szCs w:val="20"/>
          <w:bdr w:val="none" w:sz="0" w:space="0" w:color="auto"/>
          <w:lang w:val="es-ES"/>
        </w:rPr>
        <w:t xml:space="preserve"> fue llevado a la morgue, donde </w:t>
      </w:r>
      <w:r w:rsidR="004D0F33">
        <w:rPr>
          <w:szCs w:val="20"/>
          <w:bdr w:val="none" w:sz="0" w:space="0" w:color="auto"/>
          <w:lang w:val="es-ES"/>
        </w:rPr>
        <w:t xml:space="preserve">existen versiones que indican que </w:t>
      </w:r>
      <w:r w:rsidR="00C23A2E">
        <w:rPr>
          <w:szCs w:val="20"/>
          <w:bdr w:val="none" w:sz="0" w:space="0" w:color="auto"/>
          <w:lang w:val="es-ES"/>
        </w:rPr>
        <w:t xml:space="preserve">los policías dejaron caer el cuerpo de Aníbal Aguas desde el vehículo en presencia del guardia del cementerio – lo que se utilizó como argumento para justificar que el cadáver se encontraba desnucado – y luego </w:t>
      </w:r>
      <w:r w:rsidR="00543407">
        <w:rPr>
          <w:szCs w:val="20"/>
          <w:bdr w:val="none" w:sz="0" w:space="0" w:color="auto"/>
          <w:lang w:val="es-ES"/>
        </w:rPr>
        <w:t xml:space="preserve">dejaron </w:t>
      </w:r>
      <w:r w:rsidR="00C23A2E">
        <w:rPr>
          <w:szCs w:val="20"/>
          <w:bdr w:val="none" w:sz="0" w:space="0" w:color="auto"/>
          <w:lang w:val="es-ES"/>
        </w:rPr>
        <w:t xml:space="preserve">el cuerpo </w:t>
      </w:r>
      <w:r w:rsidR="006E7F36">
        <w:rPr>
          <w:szCs w:val="20"/>
          <w:bdr w:val="none" w:sz="0" w:space="0" w:color="auto"/>
          <w:lang w:val="es-ES"/>
        </w:rPr>
        <w:t xml:space="preserve">en el suelo de la morgue, donde </w:t>
      </w:r>
      <w:r w:rsidR="00C23A2E">
        <w:rPr>
          <w:szCs w:val="20"/>
          <w:bdr w:val="none" w:sz="0" w:space="0" w:color="auto"/>
          <w:lang w:val="es-ES"/>
        </w:rPr>
        <w:t>fue fotografiado por la prensa local.</w:t>
      </w:r>
      <w:r w:rsidR="00543407">
        <w:rPr>
          <w:szCs w:val="20"/>
          <w:bdr w:val="none" w:sz="0" w:space="0" w:color="auto"/>
          <w:lang w:val="es-ES"/>
        </w:rPr>
        <w:t xml:space="preserve"> </w:t>
      </w:r>
    </w:p>
    <w:p w14:paraId="2073C09D" w14:textId="77777777" w:rsidR="00CA488B" w:rsidRPr="00F465A4" w:rsidRDefault="00CA488B" w:rsidP="00574704">
      <w:pPr>
        <w:pStyle w:val="ListParagraph"/>
        <w:numPr>
          <w:ilvl w:val="0"/>
          <w:numId w:val="0"/>
        </w:numPr>
        <w:rPr>
          <w:szCs w:val="20"/>
          <w:bdr w:val="none" w:sz="0" w:space="0" w:color="auto"/>
          <w:lang w:val="es-ES"/>
        </w:rPr>
      </w:pPr>
    </w:p>
    <w:p w14:paraId="13B0FCE9" w14:textId="77777777" w:rsidR="00792892" w:rsidRPr="00792892" w:rsidRDefault="00543407" w:rsidP="00792892">
      <w:pPr>
        <w:pStyle w:val="ListParagraph"/>
        <w:rPr>
          <w:szCs w:val="20"/>
          <w:bdr w:val="none" w:sz="0" w:space="0" w:color="auto"/>
          <w:lang w:val="es-ES"/>
        </w:rPr>
      </w:pPr>
      <w:r w:rsidRPr="00543407">
        <w:rPr>
          <w:szCs w:val="20"/>
          <w:bdr w:val="none" w:sz="0" w:space="0" w:color="auto"/>
          <w:lang w:val="es-ES"/>
        </w:rPr>
        <w:t>En vista de lo anterior, en base a los elementos de información con los que cuenta la Comisión, no es posible afirmar que la actuación estatal en el presente caso haya sido conducida en cumplimiento de los</w:t>
      </w:r>
      <w:r>
        <w:rPr>
          <w:szCs w:val="20"/>
          <w:bdr w:val="none" w:sz="0" w:space="0" w:color="auto"/>
          <w:lang w:val="es-ES"/>
        </w:rPr>
        <w:t xml:space="preserve"> deberes de debida diligencia y humanidad, ya que a Aníbal Aguas no se le prestaron ni facilitaron en vida los servicios médicos correspondientes, ni su cadáver fue tratado </w:t>
      </w:r>
      <w:r w:rsidR="00794FB4">
        <w:rPr>
          <w:szCs w:val="20"/>
          <w:bdr w:val="none" w:sz="0" w:space="0" w:color="auto"/>
          <w:lang w:val="es-ES"/>
        </w:rPr>
        <w:t>de forma adecuada y digna</w:t>
      </w:r>
      <w:r>
        <w:rPr>
          <w:szCs w:val="20"/>
          <w:bdr w:val="none" w:sz="0" w:space="0" w:color="auto"/>
          <w:lang w:val="es-ES"/>
        </w:rPr>
        <w:t>. Muy por el contrario, conforme constat</w:t>
      </w:r>
      <w:r w:rsidR="00792892">
        <w:rPr>
          <w:szCs w:val="20"/>
          <w:bdr w:val="none" w:sz="0" w:space="0" w:color="auto"/>
          <w:lang w:val="es-ES"/>
        </w:rPr>
        <w:t>ó</w:t>
      </w:r>
      <w:r>
        <w:rPr>
          <w:szCs w:val="20"/>
          <w:bdr w:val="none" w:sz="0" w:space="0" w:color="auto"/>
          <w:lang w:val="es-ES"/>
        </w:rPr>
        <w:t xml:space="preserve"> la propia justicia policial ecuatoriana, la acción de los miembros de la policía nacional se encaminó</w:t>
      </w:r>
      <w:r w:rsidR="00B947DD">
        <w:rPr>
          <w:szCs w:val="20"/>
          <w:bdr w:val="none" w:sz="0" w:space="0" w:color="auto"/>
          <w:lang w:val="es-ES"/>
        </w:rPr>
        <w:t>,</w:t>
      </w:r>
      <w:r>
        <w:rPr>
          <w:szCs w:val="20"/>
          <w:bdr w:val="none" w:sz="0" w:space="0" w:color="auto"/>
          <w:lang w:val="es-ES"/>
        </w:rPr>
        <w:t xml:space="preserve"> más bien</w:t>
      </w:r>
      <w:r w:rsidR="00B947DD">
        <w:rPr>
          <w:szCs w:val="20"/>
          <w:bdr w:val="none" w:sz="0" w:space="0" w:color="auto"/>
          <w:lang w:val="es-ES"/>
        </w:rPr>
        <w:t>,</w:t>
      </w:r>
      <w:r>
        <w:rPr>
          <w:szCs w:val="20"/>
          <w:bdr w:val="none" w:sz="0" w:space="0" w:color="auto"/>
          <w:lang w:val="es-ES"/>
        </w:rPr>
        <w:t xml:space="preserve"> a borrar los rastros de lo ocurrido y a </w:t>
      </w:r>
      <w:r w:rsidR="00B947DD">
        <w:rPr>
          <w:szCs w:val="20"/>
          <w:bdr w:val="none" w:sz="0" w:space="0" w:color="auto"/>
          <w:lang w:val="es-ES"/>
        </w:rPr>
        <w:t xml:space="preserve">construir </w:t>
      </w:r>
      <w:r>
        <w:rPr>
          <w:szCs w:val="20"/>
          <w:bdr w:val="none" w:sz="0" w:space="0" w:color="auto"/>
          <w:lang w:val="es-ES"/>
        </w:rPr>
        <w:t>una versión de los hechos exculpatoria de la responsabilidad policial.</w:t>
      </w:r>
      <w:r w:rsidR="006E7F36" w:rsidRPr="006E7F36">
        <w:rPr>
          <w:szCs w:val="20"/>
          <w:bdr w:val="none" w:sz="0" w:space="0" w:color="auto"/>
          <w:lang w:val="es-ES"/>
        </w:rPr>
        <w:t xml:space="preserve"> </w:t>
      </w:r>
    </w:p>
    <w:p w14:paraId="07E34121" w14:textId="77777777" w:rsidR="00471B02" w:rsidRDefault="00471B02" w:rsidP="00792892">
      <w:pPr>
        <w:pStyle w:val="ListParagraph"/>
        <w:numPr>
          <w:ilvl w:val="0"/>
          <w:numId w:val="0"/>
        </w:numPr>
        <w:rPr>
          <w:szCs w:val="20"/>
          <w:bdr w:val="none" w:sz="0" w:space="0" w:color="auto"/>
          <w:lang w:val="es-ES"/>
        </w:rPr>
      </w:pPr>
    </w:p>
    <w:p w14:paraId="3446313B" w14:textId="77777777" w:rsidR="004D0F33" w:rsidRPr="00B079F6" w:rsidRDefault="00792892" w:rsidP="00B079F6">
      <w:pPr>
        <w:pStyle w:val="ListParagraph"/>
        <w:rPr>
          <w:szCs w:val="20"/>
          <w:lang w:val="es-US"/>
        </w:rPr>
      </w:pPr>
      <w:r w:rsidRPr="002679A6">
        <w:rPr>
          <w:lang w:val="es-ES"/>
        </w:rPr>
        <w:t xml:space="preserve">En atención a lo anterior, </w:t>
      </w:r>
      <w:r w:rsidR="00B947DD" w:rsidRPr="00574704">
        <w:rPr>
          <w:lang w:val="es-ES"/>
        </w:rPr>
        <w:t xml:space="preserve">la Comisión estima que </w:t>
      </w:r>
      <w:r w:rsidR="00CA488B" w:rsidRPr="00574704">
        <w:rPr>
          <w:lang w:val="es-ES"/>
        </w:rPr>
        <w:t xml:space="preserve">el uso de la fuerza </w:t>
      </w:r>
      <w:r w:rsidR="00660705" w:rsidRPr="00574704">
        <w:rPr>
          <w:lang w:val="es-ES"/>
        </w:rPr>
        <w:t xml:space="preserve">en este caso </w:t>
      </w:r>
      <w:r w:rsidR="00CA488B" w:rsidRPr="00574704">
        <w:rPr>
          <w:lang w:val="es-ES"/>
        </w:rPr>
        <w:t xml:space="preserve">resultó </w:t>
      </w:r>
      <w:r w:rsidR="002D02B8">
        <w:rPr>
          <w:lang w:val="es-ES"/>
        </w:rPr>
        <w:t>arbitrario e in</w:t>
      </w:r>
      <w:r w:rsidR="002679A6" w:rsidRPr="00574704">
        <w:rPr>
          <w:lang w:val="es-ES"/>
        </w:rPr>
        <w:t>justificado</w:t>
      </w:r>
      <w:r w:rsidR="00CA488B" w:rsidRPr="00574704">
        <w:rPr>
          <w:lang w:val="es-ES"/>
        </w:rPr>
        <w:t>.</w:t>
      </w:r>
      <w:r w:rsidR="00E733F5" w:rsidRPr="00574704">
        <w:rPr>
          <w:lang w:val="es-ES"/>
        </w:rPr>
        <w:t xml:space="preserve"> Ahora bien, en </w:t>
      </w:r>
      <w:r w:rsidR="002D02B8">
        <w:rPr>
          <w:lang w:val="es-ES"/>
        </w:rPr>
        <w:t>cuanto</w:t>
      </w:r>
      <w:r w:rsidR="00E733F5" w:rsidRPr="00574704">
        <w:rPr>
          <w:lang w:val="es-ES"/>
        </w:rPr>
        <w:t xml:space="preserve"> </w:t>
      </w:r>
      <w:r w:rsidR="00660705" w:rsidRPr="00574704">
        <w:rPr>
          <w:lang w:val="es-ES"/>
        </w:rPr>
        <w:t xml:space="preserve">a </w:t>
      </w:r>
      <w:r w:rsidR="00E733F5" w:rsidRPr="00574704">
        <w:rPr>
          <w:lang w:val="es-ES"/>
        </w:rPr>
        <w:t xml:space="preserve">si </w:t>
      </w:r>
      <w:r w:rsidR="004D0F33" w:rsidRPr="00574704">
        <w:rPr>
          <w:lang w:val="es-ES"/>
        </w:rPr>
        <w:t>la muerte a consecuencia de l</w:t>
      </w:r>
      <w:r w:rsidR="004D0F33">
        <w:rPr>
          <w:lang w:val="es-ES"/>
        </w:rPr>
        <w:t>as lesiones</w:t>
      </w:r>
      <w:r w:rsidR="004D0F33" w:rsidRPr="00574704">
        <w:rPr>
          <w:lang w:val="es-ES"/>
        </w:rPr>
        <w:t xml:space="preserve"> sufrid</w:t>
      </w:r>
      <w:r w:rsidR="004D0F33">
        <w:rPr>
          <w:lang w:val="es-ES"/>
        </w:rPr>
        <w:t>a</w:t>
      </w:r>
      <w:r w:rsidR="004D0F33" w:rsidRPr="00574704">
        <w:rPr>
          <w:lang w:val="es-ES"/>
        </w:rPr>
        <w:t xml:space="preserve">s por </w:t>
      </w:r>
      <w:r w:rsidR="004D0F33">
        <w:rPr>
          <w:lang w:val="es-ES"/>
        </w:rPr>
        <w:t xml:space="preserve">Aníbal Aguas </w:t>
      </w:r>
      <w:r w:rsidR="004D0F33" w:rsidRPr="00574704">
        <w:rPr>
          <w:lang w:val="es-ES"/>
        </w:rPr>
        <w:t>resulta</w:t>
      </w:r>
      <w:r w:rsidR="00E733F5" w:rsidRPr="00574704">
        <w:rPr>
          <w:lang w:val="es-ES"/>
        </w:rPr>
        <w:t xml:space="preserve"> atribuible al Estado, l</w:t>
      </w:r>
      <w:r w:rsidR="00CA488B" w:rsidRPr="00574704">
        <w:rPr>
          <w:lang w:val="es-ES"/>
        </w:rPr>
        <w:t xml:space="preserve">a Comisión </w:t>
      </w:r>
      <w:r w:rsidR="002D02B8">
        <w:rPr>
          <w:lang w:val="es-ES"/>
        </w:rPr>
        <w:t>destaca que es un hecho probado</w:t>
      </w:r>
      <w:r w:rsidR="00CA488B" w:rsidRPr="00574704">
        <w:rPr>
          <w:lang w:val="es-ES"/>
        </w:rPr>
        <w:t xml:space="preserve"> que </w:t>
      </w:r>
      <w:r w:rsidR="004D0F33">
        <w:rPr>
          <w:szCs w:val="20"/>
          <w:bdr w:val="none" w:sz="0" w:space="0" w:color="auto"/>
          <w:lang w:val="es-US"/>
        </w:rPr>
        <w:t xml:space="preserve">la presunta víctima </w:t>
      </w:r>
      <w:r w:rsidR="002679A6" w:rsidRPr="00574704">
        <w:rPr>
          <w:szCs w:val="20"/>
          <w:bdr w:val="none" w:sz="0" w:space="0" w:color="auto"/>
          <w:lang w:val="es-US"/>
        </w:rPr>
        <w:t xml:space="preserve">fue </w:t>
      </w:r>
      <w:r w:rsidR="004D0F33">
        <w:rPr>
          <w:szCs w:val="20"/>
          <w:bdr w:val="none" w:sz="0" w:space="0" w:color="auto"/>
          <w:lang w:val="es-US"/>
        </w:rPr>
        <w:t>objeto</w:t>
      </w:r>
      <w:r w:rsidR="004D0F33" w:rsidRPr="00574704">
        <w:rPr>
          <w:szCs w:val="20"/>
          <w:bdr w:val="none" w:sz="0" w:space="0" w:color="auto"/>
          <w:lang w:val="es-US"/>
        </w:rPr>
        <w:t xml:space="preserve"> </w:t>
      </w:r>
      <w:r w:rsidR="002679A6" w:rsidRPr="00574704">
        <w:rPr>
          <w:szCs w:val="20"/>
          <w:bdr w:val="none" w:sz="0" w:space="0" w:color="auto"/>
          <w:lang w:val="es-US"/>
        </w:rPr>
        <w:t xml:space="preserve">de una serie de lesiones que le causaron la muerte. </w:t>
      </w:r>
      <w:r w:rsidR="002679A6" w:rsidRPr="00574704">
        <w:rPr>
          <w:lang w:val="es-ES"/>
        </w:rPr>
        <w:t>E</w:t>
      </w:r>
      <w:r w:rsidR="00CA488B" w:rsidRPr="00574704">
        <w:rPr>
          <w:lang w:val="es-ES"/>
        </w:rPr>
        <w:t xml:space="preserve">l </w:t>
      </w:r>
      <w:r w:rsidR="00CA488B" w:rsidRPr="00574704">
        <w:rPr>
          <w:szCs w:val="20"/>
          <w:bdr w:val="none" w:sz="0" w:space="0" w:color="auto"/>
          <w:lang w:val="es-ES"/>
        </w:rPr>
        <w:t>informe policial, boletín y rueda de prensa emitidos por la policía los días posteriores a los eventos, construyeron una narrativa indica</w:t>
      </w:r>
      <w:r w:rsidR="00EC6F9C" w:rsidRPr="00574704">
        <w:rPr>
          <w:szCs w:val="20"/>
          <w:bdr w:val="none" w:sz="0" w:space="0" w:color="auto"/>
          <w:lang w:val="es-ES"/>
        </w:rPr>
        <w:t>ndo</w:t>
      </w:r>
      <w:r w:rsidR="00CA488B" w:rsidRPr="00574704">
        <w:rPr>
          <w:szCs w:val="20"/>
          <w:bdr w:val="none" w:sz="0" w:space="0" w:color="auto"/>
          <w:lang w:val="es-ES"/>
        </w:rPr>
        <w:t xml:space="preserve"> que la policía no </w:t>
      </w:r>
      <w:r w:rsidR="00EC6F9C" w:rsidRPr="00574704">
        <w:rPr>
          <w:szCs w:val="20"/>
          <w:bdr w:val="none" w:sz="0" w:space="0" w:color="auto"/>
          <w:lang w:val="es-ES"/>
        </w:rPr>
        <w:t xml:space="preserve">había </w:t>
      </w:r>
      <w:r w:rsidR="00CA488B" w:rsidRPr="00574704">
        <w:rPr>
          <w:szCs w:val="20"/>
          <w:bdr w:val="none" w:sz="0" w:space="0" w:color="auto"/>
          <w:lang w:val="es-ES"/>
        </w:rPr>
        <w:t>utiliz</w:t>
      </w:r>
      <w:r w:rsidR="00EC6F9C" w:rsidRPr="00574704">
        <w:rPr>
          <w:szCs w:val="20"/>
          <w:bdr w:val="none" w:sz="0" w:space="0" w:color="auto"/>
          <w:lang w:val="es-ES"/>
        </w:rPr>
        <w:t>ado</w:t>
      </w:r>
      <w:r w:rsidR="00CA488B" w:rsidRPr="00574704">
        <w:rPr>
          <w:szCs w:val="20"/>
          <w:bdr w:val="none" w:sz="0" w:space="0" w:color="auto"/>
          <w:lang w:val="es-ES"/>
        </w:rPr>
        <w:t xml:space="preserve"> armas ni objetos contundentes en el operativo, </w:t>
      </w:r>
      <w:r w:rsidR="00EC6F9C" w:rsidRPr="00574704">
        <w:rPr>
          <w:szCs w:val="20"/>
          <w:bdr w:val="none" w:sz="0" w:space="0" w:color="auto"/>
          <w:lang w:val="es-ES"/>
        </w:rPr>
        <w:t xml:space="preserve">y </w:t>
      </w:r>
      <w:r w:rsidR="00CA488B" w:rsidRPr="00574704">
        <w:rPr>
          <w:szCs w:val="20"/>
          <w:bdr w:val="none" w:sz="0" w:space="0" w:color="auto"/>
          <w:lang w:val="es-ES"/>
        </w:rPr>
        <w:t>sugir</w:t>
      </w:r>
      <w:r w:rsidR="00EC6F9C" w:rsidRPr="00574704">
        <w:rPr>
          <w:szCs w:val="20"/>
          <w:bdr w:val="none" w:sz="0" w:space="0" w:color="auto"/>
          <w:lang w:val="es-ES"/>
        </w:rPr>
        <w:t>iendo</w:t>
      </w:r>
      <w:r w:rsidR="00CA488B" w:rsidRPr="00574704">
        <w:rPr>
          <w:szCs w:val="20"/>
          <w:bdr w:val="none" w:sz="0" w:space="0" w:color="auto"/>
          <w:lang w:val="es-ES"/>
        </w:rPr>
        <w:t xml:space="preserve"> que el detenido se </w:t>
      </w:r>
      <w:r w:rsidR="002679A6" w:rsidRPr="00574704">
        <w:rPr>
          <w:szCs w:val="20"/>
          <w:bdr w:val="none" w:sz="0" w:space="0" w:color="auto"/>
          <w:lang w:val="es-ES"/>
        </w:rPr>
        <w:t xml:space="preserve">habría </w:t>
      </w:r>
      <w:r w:rsidR="00CA488B" w:rsidRPr="00574704">
        <w:rPr>
          <w:szCs w:val="20"/>
          <w:bdr w:val="none" w:sz="0" w:space="0" w:color="auto"/>
          <w:lang w:val="es-ES"/>
        </w:rPr>
        <w:t>golpe</w:t>
      </w:r>
      <w:r w:rsidR="002679A6" w:rsidRPr="00574704">
        <w:rPr>
          <w:szCs w:val="20"/>
          <w:bdr w:val="none" w:sz="0" w:space="0" w:color="auto"/>
          <w:lang w:val="es-ES"/>
        </w:rPr>
        <w:t>ado</w:t>
      </w:r>
      <w:r w:rsidR="00CA488B" w:rsidRPr="00574704">
        <w:rPr>
          <w:szCs w:val="20"/>
          <w:bdr w:val="none" w:sz="0" w:space="0" w:color="auto"/>
          <w:lang w:val="es-ES"/>
        </w:rPr>
        <w:t xml:space="preserve"> solo contra el vehículo, lo que habría ocasionado la hemorragia cerebral, </w:t>
      </w:r>
      <w:r w:rsidR="002679A6" w:rsidRPr="00574704">
        <w:rPr>
          <w:szCs w:val="20"/>
          <w:bdr w:val="none" w:sz="0" w:space="0" w:color="auto"/>
          <w:lang w:val="es-ES"/>
        </w:rPr>
        <w:t>y</w:t>
      </w:r>
      <w:r w:rsidR="00CA488B" w:rsidRPr="00574704">
        <w:rPr>
          <w:szCs w:val="20"/>
          <w:bdr w:val="none" w:sz="0" w:space="0" w:color="auto"/>
          <w:lang w:val="es-ES"/>
        </w:rPr>
        <w:t xml:space="preserve"> que</w:t>
      </w:r>
      <w:r w:rsidR="00B9789F">
        <w:rPr>
          <w:szCs w:val="20"/>
          <w:bdr w:val="none" w:sz="0" w:space="0" w:color="auto"/>
          <w:lang w:val="es-ES"/>
        </w:rPr>
        <w:t>,</w:t>
      </w:r>
      <w:r w:rsidR="00CA488B" w:rsidRPr="00574704">
        <w:rPr>
          <w:szCs w:val="20"/>
          <w:bdr w:val="none" w:sz="0" w:space="0" w:color="auto"/>
          <w:lang w:val="es-ES"/>
        </w:rPr>
        <w:t xml:space="preserve"> al ser bajado del vehículo en la morgue</w:t>
      </w:r>
      <w:r w:rsidR="00B9789F">
        <w:rPr>
          <w:szCs w:val="20"/>
          <w:bdr w:val="none" w:sz="0" w:space="0" w:color="auto"/>
          <w:lang w:val="es-ES"/>
        </w:rPr>
        <w:t>,</w:t>
      </w:r>
      <w:r w:rsidR="00CA488B" w:rsidRPr="00574704">
        <w:rPr>
          <w:szCs w:val="20"/>
          <w:bdr w:val="none" w:sz="0" w:space="0" w:color="auto"/>
          <w:lang w:val="es-ES"/>
        </w:rPr>
        <w:t xml:space="preserve"> </w:t>
      </w:r>
      <w:r w:rsidR="002679A6" w:rsidRPr="00574704">
        <w:rPr>
          <w:szCs w:val="20"/>
          <w:bdr w:val="none" w:sz="0" w:space="0" w:color="auto"/>
          <w:lang w:val="es-ES"/>
        </w:rPr>
        <w:t xml:space="preserve">el cuerpo </w:t>
      </w:r>
      <w:r w:rsidR="00CA488B" w:rsidRPr="00574704">
        <w:rPr>
          <w:szCs w:val="20"/>
          <w:bdr w:val="none" w:sz="0" w:space="0" w:color="auto"/>
          <w:lang w:val="es-ES"/>
        </w:rPr>
        <w:t>se habría resbalado golpeándose contra el piso</w:t>
      </w:r>
      <w:r w:rsidR="002679A6" w:rsidRPr="00574704">
        <w:rPr>
          <w:szCs w:val="20"/>
          <w:bdr w:val="none" w:sz="0" w:space="0" w:color="auto"/>
          <w:lang w:val="es-ES"/>
        </w:rPr>
        <w:t>, lo que habría ocasionado el desnucamiento</w:t>
      </w:r>
      <w:r w:rsidR="00CA488B" w:rsidRPr="00574704">
        <w:rPr>
          <w:szCs w:val="20"/>
          <w:bdr w:val="none" w:sz="0" w:space="0" w:color="auto"/>
          <w:lang w:val="es-ES"/>
        </w:rPr>
        <w:t>.</w:t>
      </w:r>
      <w:r w:rsidR="002679A6" w:rsidRPr="00574704">
        <w:rPr>
          <w:szCs w:val="20"/>
          <w:bdr w:val="none" w:sz="0" w:space="0" w:color="auto"/>
          <w:lang w:val="es-ES"/>
        </w:rPr>
        <w:t xml:space="preserve"> Sin embargo, el propio fuero policial </w:t>
      </w:r>
      <w:r w:rsidR="000D1472">
        <w:rPr>
          <w:szCs w:val="20"/>
          <w:bdr w:val="none" w:sz="0" w:space="0" w:color="auto"/>
          <w:lang w:val="es-ES"/>
        </w:rPr>
        <w:t xml:space="preserve">desestimó dicha versión de los hechos y </w:t>
      </w:r>
      <w:r w:rsidR="002679A6" w:rsidRPr="00574704">
        <w:rPr>
          <w:szCs w:val="20"/>
          <w:bdr w:val="none" w:sz="0" w:space="0" w:color="auto"/>
          <w:lang w:val="es-ES"/>
        </w:rPr>
        <w:t xml:space="preserve">determinó que </w:t>
      </w:r>
      <w:r w:rsidR="002679A6" w:rsidRPr="00574704">
        <w:rPr>
          <w:szCs w:val="20"/>
          <w:lang w:val="es-ES"/>
        </w:rPr>
        <w:t xml:space="preserve">la muerte de Aníbal Aguas resultó de los </w:t>
      </w:r>
      <w:r w:rsidR="002679A6" w:rsidRPr="00574704">
        <w:rPr>
          <w:szCs w:val="20"/>
          <w:lang w:val="es-US"/>
        </w:rPr>
        <w:t>“tormentos corporales de que fuera objeto a tal punto de ser ‘desnucado’”,</w:t>
      </w:r>
      <w:r w:rsidR="002679A6" w:rsidRPr="00574704">
        <w:rPr>
          <w:szCs w:val="20"/>
          <w:bdr w:val="none" w:sz="0" w:space="0" w:color="auto"/>
          <w:lang w:val="es-US"/>
        </w:rPr>
        <w:t xml:space="preserve"> de manera intencional por agentes de la policía ecuatoriana</w:t>
      </w:r>
      <w:r w:rsidR="002679A6" w:rsidRPr="00574704">
        <w:rPr>
          <w:szCs w:val="20"/>
          <w:lang w:val="es-ES"/>
        </w:rPr>
        <w:t>na</w:t>
      </w:r>
      <w:r w:rsidR="002679A6">
        <w:rPr>
          <w:rStyle w:val="FootnoteReference"/>
          <w:szCs w:val="20"/>
          <w:lang w:val="es-US"/>
        </w:rPr>
        <w:footnoteReference w:id="122"/>
      </w:r>
      <w:r w:rsidR="00E957E7" w:rsidRPr="00EE2386">
        <w:rPr>
          <w:szCs w:val="20"/>
          <w:lang w:val="es-US"/>
        </w:rPr>
        <w:t xml:space="preserve">, </w:t>
      </w:r>
      <w:r w:rsidR="004228F8">
        <w:rPr>
          <w:szCs w:val="20"/>
          <w:lang w:val="es-US"/>
        </w:rPr>
        <w:t>quienes</w:t>
      </w:r>
      <w:r w:rsidR="00E957E7" w:rsidRPr="00EE2386">
        <w:rPr>
          <w:szCs w:val="20"/>
          <w:lang w:val="es-US"/>
        </w:rPr>
        <w:t xml:space="preserve"> se encontraban en servicio activo realizando labores de patrullaje</w:t>
      </w:r>
      <w:r w:rsidR="00E957E7">
        <w:rPr>
          <w:rStyle w:val="FootnoteReference"/>
          <w:szCs w:val="20"/>
          <w:lang w:val="es-US"/>
        </w:rPr>
        <w:footnoteReference w:id="123"/>
      </w:r>
      <w:r w:rsidR="00E957E7" w:rsidRPr="00EE2386">
        <w:rPr>
          <w:szCs w:val="20"/>
          <w:lang w:val="es-US"/>
        </w:rPr>
        <w:t xml:space="preserve">. </w:t>
      </w:r>
      <w:r w:rsidR="004D0F33">
        <w:rPr>
          <w:lang w:val="es-ES"/>
        </w:rPr>
        <w:t xml:space="preserve"> </w:t>
      </w:r>
      <w:r w:rsidR="00B9789F">
        <w:rPr>
          <w:lang w:val="es-ES"/>
        </w:rPr>
        <w:t>L</w:t>
      </w:r>
      <w:r w:rsidR="009120B6" w:rsidRPr="00574704">
        <w:rPr>
          <w:lang w:val="es-ES"/>
        </w:rPr>
        <w:t xml:space="preserve">a Comisión </w:t>
      </w:r>
      <w:r w:rsidR="004D0F33">
        <w:rPr>
          <w:lang w:val="es-ES"/>
        </w:rPr>
        <w:t>observa asimismo</w:t>
      </w:r>
      <w:r w:rsidR="009120B6">
        <w:rPr>
          <w:szCs w:val="20"/>
          <w:lang w:val="es-PE"/>
        </w:rPr>
        <w:t xml:space="preserve"> la </w:t>
      </w:r>
      <w:r w:rsidR="009120B6" w:rsidRPr="00E27436">
        <w:rPr>
          <w:lang w:val="es-ES"/>
        </w:rPr>
        <w:t>extrema gravedad d</w:t>
      </w:r>
      <w:r w:rsidR="009120B6">
        <w:rPr>
          <w:lang w:val="es-ES"/>
        </w:rPr>
        <w:t xml:space="preserve">e </w:t>
      </w:r>
      <w:r w:rsidR="009120B6" w:rsidRPr="00574704">
        <w:rPr>
          <w:lang w:val="es-ES"/>
        </w:rPr>
        <w:t>las</w:t>
      </w:r>
      <w:r w:rsidR="009120B6">
        <w:rPr>
          <w:lang w:val="es-ES"/>
        </w:rPr>
        <w:t xml:space="preserve"> lesiones</w:t>
      </w:r>
      <w:r w:rsidR="00B9789F">
        <w:rPr>
          <w:lang w:val="es-ES"/>
        </w:rPr>
        <w:t>,</w:t>
      </w:r>
      <w:r w:rsidR="009120B6" w:rsidRPr="00574704">
        <w:rPr>
          <w:lang w:val="es-ES"/>
        </w:rPr>
        <w:t xml:space="preserve"> </w:t>
      </w:r>
      <w:r w:rsidR="009120B6">
        <w:rPr>
          <w:lang w:val="es-ES"/>
        </w:rPr>
        <w:t xml:space="preserve">las </w:t>
      </w:r>
      <w:r w:rsidR="009120B6" w:rsidRPr="00574704">
        <w:rPr>
          <w:lang w:val="es-ES"/>
        </w:rPr>
        <w:t>que según se describe en el informe de autopsia respectivo</w:t>
      </w:r>
      <w:r w:rsidR="000D1472">
        <w:rPr>
          <w:lang w:val="es-ES"/>
        </w:rPr>
        <w:t>,</w:t>
      </w:r>
      <w:r w:rsidR="009120B6" w:rsidRPr="00574704">
        <w:rPr>
          <w:lang w:val="es-ES"/>
        </w:rPr>
        <w:t xml:space="preserve"> dejaron huellas </w:t>
      </w:r>
      <w:r w:rsidR="009120B6" w:rsidRPr="00574704">
        <w:rPr>
          <w:szCs w:val="20"/>
          <w:lang w:val="es-PE"/>
        </w:rPr>
        <w:t xml:space="preserve">en su cabeza, cuello, tórax, miembros superiores, cavidad craneana, cavidad torácica y cavidad abdominal y le </w:t>
      </w:r>
      <w:r w:rsidR="004D0F33" w:rsidRPr="00574704">
        <w:rPr>
          <w:szCs w:val="20"/>
          <w:lang w:val="es-PE"/>
        </w:rPr>
        <w:t>causaron</w:t>
      </w:r>
      <w:r w:rsidR="009120B6" w:rsidRPr="00574704">
        <w:rPr>
          <w:szCs w:val="20"/>
          <w:lang w:val="es-PE"/>
        </w:rPr>
        <w:t xml:space="preserve"> la muerte por “hemorragia bulboprotuberancial y cerebelosa más luxación de articulación occipito atloidea”</w:t>
      </w:r>
      <w:r w:rsidR="00B9789F">
        <w:rPr>
          <w:szCs w:val="20"/>
          <w:lang w:val="es-PE"/>
        </w:rPr>
        <w:t xml:space="preserve">. </w:t>
      </w:r>
    </w:p>
    <w:p w14:paraId="03DB7EA7" w14:textId="77777777" w:rsidR="000D1472" w:rsidRPr="00574704" w:rsidRDefault="000D1472" w:rsidP="00574704">
      <w:pPr>
        <w:pStyle w:val="ListParagraph"/>
        <w:numPr>
          <w:ilvl w:val="0"/>
          <w:numId w:val="0"/>
        </w:numPr>
        <w:rPr>
          <w:szCs w:val="20"/>
          <w:lang w:val="es-US"/>
        </w:rPr>
      </w:pPr>
    </w:p>
    <w:p w14:paraId="16967475" w14:textId="77777777" w:rsidR="00CA488B" w:rsidRDefault="004D0F33" w:rsidP="00574704">
      <w:pPr>
        <w:pStyle w:val="ListParagraph"/>
        <w:rPr>
          <w:lang w:val="es-ES"/>
        </w:rPr>
      </w:pPr>
      <w:r>
        <w:rPr>
          <w:szCs w:val="20"/>
          <w:lang w:val="es-US"/>
        </w:rPr>
        <w:t>La Comisión observa que la versión dada por los policías sobre la manera en que habrían generado las lesiones, no fue siquiera avalada por la</w:t>
      </w:r>
      <w:r w:rsidR="00B479B9" w:rsidRPr="00EE2386">
        <w:rPr>
          <w:szCs w:val="20"/>
          <w:lang w:val="es-US"/>
        </w:rPr>
        <w:t xml:space="preserve"> justicia policial ecuatoriana</w:t>
      </w:r>
      <w:r>
        <w:rPr>
          <w:szCs w:val="20"/>
          <w:lang w:val="es-US"/>
        </w:rPr>
        <w:t>, la cual</w:t>
      </w:r>
      <w:r w:rsidR="00B479B9" w:rsidRPr="00EE2386">
        <w:rPr>
          <w:szCs w:val="20"/>
          <w:lang w:val="es-US"/>
        </w:rPr>
        <w:t xml:space="preserve"> </w:t>
      </w:r>
      <w:r w:rsidR="00B479B9">
        <w:rPr>
          <w:szCs w:val="20"/>
          <w:lang w:val="es-US"/>
        </w:rPr>
        <w:t xml:space="preserve">determinó que </w:t>
      </w:r>
      <w:r w:rsidR="00B479B9" w:rsidRPr="00EE2386">
        <w:rPr>
          <w:szCs w:val="20"/>
          <w:lang w:val="es-US"/>
        </w:rPr>
        <w:t>dos de los siete policías involucrados en el operativo que resultó en el arresto y p</w:t>
      </w:r>
      <w:r w:rsidR="00B479B9">
        <w:rPr>
          <w:szCs w:val="20"/>
          <w:lang w:val="es-US"/>
        </w:rPr>
        <w:t xml:space="preserve">osterior muerte de Aníbal Aguas </w:t>
      </w:r>
      <w:r w:rsidR="00B479B9">
        <w:rPr>
          <w:szCs w:val="20"/>
          <w:lang w:val="es-PE"/>
        </w:rPr>
        <w:t xml:space="preserve">eran criminalmente </w:t>
      </w:r>
      <w:r w:rsidR="00B479B9" w:rsidRPr="00B13D25">
        <w:rPr>
          <w:szCs w:val="20"/>
          <w:lang w:val="es-US"/>
        </w:rPr>
        <w:t>responsab</w:t>
      </w:r>
      <w:r w:rsidR="00B479B9">
        <w:rPr>
          <w:szCs w:val="20"/>
          <w:lang w:val="es-US"/>
        </w:rPr>
        <w:t>les</w:t>
      </w:r>
      <w:r w:rsidR="00235A29">
        <w:rPr>
          <w:szCs w:val="20"/>
          <w:lang w:val="es-US"/>
        </w:rPr>
        <w:t xml:space="preserve"> de los hechos</w:t>
      </w:r>
      <w:r w:rsidR="00B479B9">
        <w:rPr>
          <w:szCs w:val="20"/>
          <w:lang w:val="es-US"/>
        </w:rPr>
        <w:t xml:space="preserve">, declarándolos </w:t>
      </w:r>
      <w:r w:rsidR="00B479B9" w:rsidRPr="00EE2386">
        <w:rPr>
          <w:szCs w:val="20"/>
          <w:lang w:val="es-PE"/>
        </w:rPr>
        <w:t xml:space="preserve">culpables del </w:t>
      </w:r>
      <w:r w:rsidR="00B479B9" w:rsidRPr="00EE2386">
        <w:rPr>
          <w:szCs w:val="20"/>
          <w:lang w:val="es-US"/>
        </w:rPr>
        <w:t>delito de muerte por tormentos corporales</w:t>
      </w:r>
      <w:r w:rsidR="00B479B9">
        <w:rPr>
          <w:szCs w:val="20"/>
          <w:lang w:val="es-US"/>
        </w:rPr>
        <w:t xml:space="preserve"> y condenán</w:t>
      </w:r>
      <w:r w:rsidR="00B479B9" w:rsidRPr="00EE2386">
        <w:rPr>
          <w:szCs w:val="20"/>
          <w:lang w:val="es-US"/>
        </w:rPr>
        <w:t>do</w:t>
      </w:r>
      <w:r w:rsidR="00B479B9">
        <w:rPr>
          <w:szCs w:val="20"/>
          <w:lang w:val="es-US"/>
        </w:rPr>
        <w:t>lo</w:t>
      </w:r>
      <w:r w:rsidR="00B479B9" w:rsidRPr="00EE2386">
        <w:rPr>
          <w:szCs w:val="20"/>
          <w:lang w:val="es-US"/>
        </w:rPr>
        <w:t>s a 8 años de reclusi</w:t>
      </w:r>
      <w:r w:rsidR="00B479B9" w:rsidRPr="00EE2386">
        <w:rPr>
          <w:szCs w:val="20"/>
          <w:bdr w:val="none" w:sz="0" w:space="0" w:color="auto"/>
          <w:lang w:val="es-US"/>
        </w:rPr>
        <w:t xml:space="preserve">ón. </w:t>
      </w:r>
      <w:r w:rsidR="002D02B8">
        <w:rPr>
          <w:szCs w:val="20"/>
          <w:lang w:val="es-US"/>
        </w:rPr>
        <w:t>Si bien</w:t>
      </w:r>
      <w:r w:rsidR="004228F8">
        <w:rPr>
          <w:szCs w:val="20"/>
          <w:lang w:val="es-US"/>
        </w:rPr>
        <w:t>, como se indicará en la sección siguiente,</w:t>
      </w:r>
      <w:r w:rsidR="00235A29">
        <w:rPr>
          <w:szCs w:val="20"/>
          <w:lang w:val="es-US"/>
        </w:rPr>
        <w:t xml:space="preserve"> </w:t>
      </w:r>
      <w:r w:rsidR="002D02B8" w:rsidRPr="00321AA5">
        <w:rPr>
          <w:szCs w:val="20"/>
          <w:bdr w:val="none" w:sz="0" w:space="0" w:color="auto"/>
          <w:lang w:val="es-US"/>
        </w:rPr>
        <w:t xml:space="preserve">la Comisión </w:t>
      </w:r>
      <w:r w:rsidR="002D02B8" w:rsidRPr="00321AA5">
        <w:rPr>
          <w:szCs w:val="20"/>
          <w:bdr w:val="none" w:sz="0" w:space="0" w:color="auto"/>
          <w:lang w:val="es-US"/>
        </w:rPr>
        <w:lastRenderedPageBreak/>
        <w:t xml:space="preserve">considera que la investigación ante el fuero policial </w:t>
      </w:r>
      <w:r>
        <w:rPr>
          <w:szCs w:val="20"/>
          <w:bdr w:val="none" w:sz="0" w:space="0" w:color="auto"/>
          <w:lang w:val="es-US"/>
        </w:rPr>
        <w:t>no cumple con las exigencias convencionales para investigar este tipo de delitos</w:t>
      </w:r>
      <w:r w:rsidR="002D02B8">
        <w:rPr>
          <w:szCs w:val="20"/>
          <w:bdr w:val="none" w:sz="0" w:space="0" w:color="auto"/>
          <w:lang w:val="es-US"/>
        </w:rPr>
        <w:t xml:space="preserve">, las determinaciones a las que se llegó en </w:t>
      </w:r>
      <w:r w:rsidR="004228F8">
        <w:rPr>
          <w:szCs w:val="20"/>
          <w:bdr w:val="none" w:sz="0" w:space="0" w:color="auto"/>
          <w:lang w:val="es-US"/>
        </w:rPr>
        <w:t>dicho</w:t>
      </w:r>
      <w:r w:rsidR="002D02B8">
        <w:rPr>
          <w:szCs w:val="20"/>
          <w:bdr w:val="none" w:sz="0" w:space="0" w:color="auto"/>
          <w:lang w:val="es-US"/>
        </w:rPr>
        <w:t xml:space="preserve"> procedimiento constituye</w:t>
      </w:r>
      <w:r w:rsidR="00B479B9">
        <w:rPr>
          <w:szCs w:val="20"/>
          <w:bdr w:val="none" w:sz="0" w:space="0" w:color="auto"/>
          <w:lang w:val="es-US"/>
        </w:rPr>
        <w:t>n</w:t>
      </w:r>
      <w:r w:rsidR="002D02B8" w:rsidRPr="00574704">
        <w:rPr>
          <w:szCs w:val="20"/>
          <w:bdr w:val="none" w:sz="0" w:space="0" w:color="auto"/>
          <w:lang w:val="es-US"/>
        </w:rPr>
        <w:t xml:space="preserve"> un indicio contundente de la responsabilidad estatal en tales hechos</w:t>
      </w:r>
      <w:r w:rsidR="002D02B8">
        <w:rPr>
          <w:szCs w:val="20"/>
          <w:bdr w:val="none" w:sz="0" w:space="0" w:color="auto"/>
          <w:lang w:val="es-US"/>
        </w:rPr>
        <w:t xml:space="preserve">. </w:t>
      </w:r>
      <w:r w:rsidR="00B479B9">
        <w:rPr>
          <w:szCs w:val="20"/>
          <w:bdr w:val="none" w:sz="0" w:space="0" w:color="auto"/>
          <w:lang w:val="es-US"/>
        </w:rPr>
        <w:t>E</w:t>
      </w:r>
      <w:r w:rsidR="002D02B8">
        <w:rPr>
          <w:szCs w:val="20"/>
          <w:bdr w:val="none" w:sz="0" w:space="0" w:color="auto"/>
          <w:lang w:val="es-US"/>
        </w:rPr>
        <w:t>l Estado</w:t>
      </w:r>
      <w:r w:rsidR="00B479B9">
        <w:rPr>
          <w:szCs w:val="20"/>
          <w:bdr w:val="none" w:sz="0" w:space="0" w:color="auto"/>
          <w:lang w:val="es-US"/>
        </w:rPr>
        <w:t>, por su parte,</w:t>
      </w:r>
      <w:r w:rsidR="002D02B8">
        <w:rPr>
          <w:szCs w:val="20"/>
          <w:bdr w:val="none" w:sz="0" w:space="0" w:color="auto"/>
          <w:lang w:val="es-US"/>
        </w:rPr>
        <w:t xml:space="preserve"> </w:t>
      </w:r>
      <w:r>
        <w:rPr>
          <w:szCs w:val="20"/>
          <w:bdr w:val="none" w:sz="0" w:space="0" w:color="auto"/>
          <w:lang w:val="es-US"/>
        </w:rPr>
        <w:t xml:space="preserve">no </w:t>
      </w:r>
      <w:r w:rsidR="002D02B8">
        <w:rPr>
          <w:szCs w:val="20"/>
          <w:bdr w:val="none" w:sz="0" w:space="0" w:color="auto"/>
          <w:lang w:val="es-US"/>
        </w:rPr>
        <w:t xml:space="preserve"> </w:t>
      </w:r>
      <w:r w:rsidR="00B479B9">
        <w:rPr>
          <w:szCs w:val="20"/>
          <w:bdr w:val="none" w:sz="0" w:space="0" w:color="auto"/>
          <w:lang w:val="es-US"/>
        </w:rPr>
        <w:t xml:space="preserve">contraviente tales determinaciones ni presenta una versión distinta de los hechos, sino que, por el contrario, </w:t>
      </w:r>
      <w:r w:rsidR="00B9789F">
        <w:rPr>
          <w:szCs w:val="20"/>
          <w:bdr w:val="none" w:sz="0" w:space="0" w:color="auto"/>
          <w:lang w:val="es-US"/>
        </w:rPr>
        <w:t xml:space="preserve">se respalda en ella para </w:t>
      </w:r>
      <w:r w:rsidR="00B479B9">
        <w:rPr>
          <w:szCs w:val="20"/>
          <w:bdr w:val="none" w:sz="0" w:space="0" w:color="auto"/>
          <w:lang w:val="es-US"/>
        </w:rPr>
        <w:t>indica</w:t>
      </w:r>
      <w:r w:rsidR="00B9789F">
        <w:rPr>
          <w:szCs w:val="20"/>
          <w:bdr w:val="none" w:sz="0" w:space="0" w:color="auto"/>
          <w:lang w:val="es-US"/>
        </w:rPr>
        <w:t>r</w:t>
      </w:r>
      <w:r w:rsidR="00B479B9">
        <w:rPr>
          <w:szCs w:val="20"/>
          <w:bdr w:val="none" w:sz="0" w:space="0" w:color="auto"/>
          <w:lang w:val="es-US"/>
        </w:rPr>
        <w:t xml:space="preserve"> que habría cumplido </w:t>
      </w:r>
      <w:r w:rsidR="00EA289A">
        <w:rPr>
          <w:szCs w:val="20"/>
          <w:bdr w:val="none" w:sz="0" w:space="0" w:color="auto"/>
          <w:lang w:val="es-US"/>
        </w:rPr>
        <w:t xml:space="preserve">con sus obligaciones de investigar y sancionar, con lo que habría </w:t>
      </w:r>
      <w:r w:rsidR="00EA289A" w:rsidRPr="00EE2386">
        <w:rPr>
          <w:szCs w:val="20"/>
          <w:bdr w:val="none" w:sz="0" w:space="0" w:color="auto"/>
          <w:lang w:val="es-US"/>
        </w:rPr>
        <w:t>“repara</w:t>
      </w:r>
      <w:r w:rsidR="00EA289A">
        <w:rPr>
          <w:szCs w:val="20"/>
          <w:bdr w:val="none" w:sz="0" w:space="0" w:color="auto"/>
          <w:lang w:val="es-US"/>
        </w:rPr>
        <w:t>[</w:t>
      </w:r>
      <w:r w:rsidR="00EA289A" w:rsidRPr="00EE2386">
        <w:rPr>
          <w:szCs w:val="20"/>
          <w:bdr w:val="none" w:sz="0" w:space="0" w:color="auto"/>
          <w:lang w:val="es-US"/>
        </w:rPr>
        <w:t>d</w:t>
      </w:r>
      <w:r w:rsidR="00EA289A">
        <w:rPr>
          <w:szCs w:val="20"/>
          <w:bdr w:val="none" w:sz="0" w:space="0" w:color="auto"/>
          <w:lang w:val="es-US"/>
        </w:rPr>
        <w:t>o]</w:t>
      </w:r>
      <w:r w:rsidR="00EA289A" w:rsidRPr="00EE2386">
        <w:rPr>
          <w:szCs w:val="20"/>
          <w:bdr w:val="none" w:sz="0" w:space="0" w:color="auto"/>
          <w:lang w:val="es-US"/>
        </w:rPr>
        <w:t xml:space="preserve"> internamente”</w:t>
      </w:r>
      <w:r w:rsidR="00EA289A">
        <w:rPr>
          <w:rStyle w:val="FootnoteReference"/>
          <w:szCs w:val="20"/>
          <w:bdr w:val="none" w:sz="0" w:space="0" w:color="auto"/>
          <w:lang w:val="es-US"/>
        </w:rPr>
        <w:footnoteReference w:id="124"/>
      </w:r>
      <w:r w:rsidR="00EA289A">
        <w:rPr>
          <w:szCs w:val="20"/>
          <w:bdr w:val="none" w:sz="0" w:space="0" w:color="auto"/>
          <w:lang w:val="es-US"/>
        </w:rPr>
        <w:t xml:space="preserve"> </w:t>
      </w:r>
      <w:r w:rsidR="00EA289A" w:rsidRPr="00EE2386">
        <w:rPr>
          <w:szCs w:val="20"/>
          <w:bdr w:val="none" w:sz="0" w:space="0" w:color="auto"/>
          <w:lang w:val="es-US"/>
        </w:rPr>
        <w:t>las violaciones a los derechos a la vida y a la integridad personal de Aníbal Aguas.</w:t>
      </w:r>
    </w:p>
    <w:p w14:paraId="24FE714A" w14:textId="77777777" w:rsidR="00CA488B" w:rsidRDefault="00CA488B" w:rsidP="00574704">
      <w:pPr>
        <w:pStyle w:val="ListParagraph"/>
        <w:numPr>
          <w:ilvl w:val="0"/>
          <w:numId w:val="0"/>
        </w:numPr>
        <w:rPr>
          <w:lang w:val="es-ES"/>
        </w:rPr>
      </w:pPr>
    </w:p>
    <w:p w14:paraId="504CF3FB" w14:textId="77777777" w:rsidR="00235A29" w:rsidRPr="00B079F6" w:rsidRDefault="00E733F5" w:rsidP="00B079F6">
      <w:pPr>
        <w:pStyle w:val="ListParagraph"/>
        <w:rPr>
          <w:szCs w:val="20"/>
          <w:lang w:val="es-US"/>
        </w:rPr>
      </w:pPr>
      <w:r>
        <w:rPr>
          <w:lang w:val="es-ES"/>
        </w:rPr>
        <w:t>En vista de lo indicado</w:t>
      </w:r>
      <w:r w:rsidR="004D0F33">
        <w:rPr>
          <w:lang w:val="es-ES"/>
        </w:rPr>
        <w:t xml:space="preserve"> y de la carga de la prueba aplicable en este tipo de casos</w:t>
      </w:r>
      <w:r>
        <w:rPr>
          <w:lang w:val="es-ES"/>
        </w:rPr>
        <w:t xml:space="preserve">, la Comisión concluye que </w:t>
      </w:r>
      <w:r w:rsidR="00B947DD" w:rsidRPr="00321AA5">
        <w:rPr>
          <w:lang w:val="es-ES"/>
        </w:rPr>
        <w:t xml:space="preserve">la muerte de Aníbal </w:t>
      </w:r>
      <w:r w:rsidR="001066D2" w:rsidRPr="00321AA5">
        <w:rPr>
          <w:lang w:val="es-ES"/>
        </w:rPr>
        <w:t xml:space="preserve">Alonso </w:t>
      </w:r>
      <w:r w:rsidR="00B947DD" w:rsidRPr="00321AA5">
        <w:rPr>
          <w:lang w:val="es-ES"/>
        </w:rPr>
        <w:t>Aguas Acosta de manos de agentes del Estado ecuatoriano</w:t>
      </w:r>
      <w:r w:rsidRPr="00574704">
        <w:rPr>
          <w:lang w:val="es-ES"/>
        </w:rPr>
        <w:t>,</w:t>
      </w:r>
      <w:r w:rsidR="00235A29">
        <w:rPr>
          <w:lang w:val="es-ES"/>
        </w:rPr>
        <w:t xml:space="preserve"> en el contexto de un operativo en el que existió</w:t>
      </w:r>
      <w:r w:rsidRPr="00574704">
        <w:rPr>
          <w:lang w:val="es-ES"/>
        </w:rPr>
        <w:t xml:space="preserve"> un uso desproporcionado de la </w:t>
      </w:r>
      <w:r w:rsidR="00B479B9">
        <w:rPr>
          <w:lang w:val="es-ES"/>
        </w:rPr>
        <w:t>fuerza</w:t>
      </w:r>
      <w:r w:rsidRPr="00574704">
        <w:rPr>
          <w:lang w:val="es-ES"/>
        </w:rPr>
        <w:t>,</w:t>
      </w:r>
      <w:r w:rsidR="00B947DD" w:rsidRPr="00574704">
        <w:rPr>
          <w:lang w:val="es-ES"/>
        </w:rPr>
        <w:t xml:space="preserve"> </w:t>
      </w:r>
      <w:r w:rsidR="00B9789F">
        <w:rPr>
          <w:lang w:val="es-ES"/>
        </w:rPr>
        <w:t xml:space="preserve">es atribuible al Estado y </w:t>
      </w:r>
      <w:r w:rsidR="00B947DD" w:rsidRPr="00574704">
        <w:rPr>
          <w:lang w:val="es-ES"/>
        </w:rPr>
        <w:t xml:space="preserve">acarrea </w:t>
      </w:r>
      <w:r w:rsidR="00B9789F">
        <w:rPr>
          <w:lang w:val="es-ES"/>
        </w:rPr>
        <w:t>su</w:t>
      </w:r>
      <w:r w:rsidR="00B947DD" w:rsidRPr="00574704">
        <w:rPr>
          <w:lang w:val="es-ES"/>
        </w:rPr>
        <w:t xml:space="preserve"> responsabilidad por la violación de</w:t>
      </w:r>
      <w:r w:rsidR="00B9789F">
        <w:rPr>
          <w:lang w:val="es-ES"/>
        </w:rPr>
        <w:t>l</w:t>
      </w:r>
      <w:r w:rsidR="00B947DD" w:rsidRPr="00574704">
        <w:rPr>
          <w:lang w:val="es-ES"/>
        </w:rPr>
        <w:t xml:space="preserve"> derecho a la vida consagrado en </w:t>
      </w:r>
      <w:r w:rsidRPr="00574704">
        <w:rPr>
          <w:lang w:val="es-ES"/>
        </w:rPr>
        <w:t>el artículo</w:t>
      </w:r>
      <w:r w:rsidR="00B947DD" w:rsidRPr="00574704">
        <w:rPr>
          <w:lang w:val="es-ES"/>
        </w:rPr>
        <w:t xml:space="preserve"> 4 de la Convención Americana, en relación con las obligaciones establecidas en los artículos 1.1 y 2 del mismo instrumento.</w:t>
      </w:r>
      <w:r w:rsidRPr="00574704">
        <w:rPr>
          <w:lang w:val="es-ES"/>
        </w:rPr>
        <w:t xml:space="preserve"> Asimismo, </w:t>
      </w:r>
      <w:r w:rsidR="003631C8">
        <w:rPr>
          <w:szCs w:val="20"/>
          <w:lang w:val="es-PE"/>
        </w:rPr>
        <w:t>la Comisión observa que las lesiones que sufrió</w:t>
      </w:r>
      <w:r w:rsidR="003631C8" w:rsidRPr="00574704">
        <w:rPr>
          <w:szCs w:val="20"/>
          <w:lang w:val="es-PE"/>
        </w:rPr>
        <w:t xml:space="preserve"> </w:t>
      </w:r>
      <w:r w:rsidR="003631C8">
        <w:rPr>
          <w:szCs w:val="20"/>
          <w:lang w:val="es-PE"/>
        </w:rPr>
        <w:t>con el fin de ser sometido, le ocasionaron</w:t>
      </w:r>
      <w:r w:rsidR="003631C8" w:rsidRPr="00574704">
        <w:rPr>
          <w:szCs w:val="20"/>
          <w:lang w:val="es-PE"/>
        </w:rPr>
        <w:t xml:space="preserve"> severos sufrimientos </w:t>
      </w:r>
      <w:r w:rsidR="003631C8">
        <w:rPr>
          <w:szCs w:val="20"/>
          <w:lang w:val="es-PE"/>
        </w:rPr>
        <w:t xml:space="preserve">físicos y mentales, de tal forma que constituyeron </w:t>
      </w:r>
      <w:r w:rsidRPr="00B079F6">
        <w:rPr>
          <w:lang w:val="es-ES"/>
        </w:rPr>
        <w:t>tortura</w:t>
      </w:r>
      <w:r w:rsidR="003631C8">
        <w:rPr>
          <w:lang w:val="es-ES"/>
        </w:rPr>
        <w:t xml:space="preserve">, en violación de </w:t>
      </w:r>
      <w:r w:rsidRPr="00B079F6">
        <w:rPr>
          <w:lang w:val="es-ES"/>
        </w:rPr>
        <w:t>los artículos 5.1 y 5.2 en relación con el artículo 1.1 de la Convención Americana.</w:t>
      </w:r>
      <w:r w:rsidR="00321AA5" w:rsidRPr="00B079F6">
        <w:rPr>
          <w:lang w:val="es-ES"/>
        </w:rPr>
        <w:t xml:space="preserve"> </w:t>
      </w:r>
    </w:p>
    <w:p w14:paraId="3338C4B1" w14:textId="77777777" w:rsidR="00235A29" w:rsidRPr="00574704" w:rsidRDefault="00235A29" w:rsidP="00574704">
      <w:pPr>
        <w:pStyle w:val="ListParagraph"/>
        <w:numPr>
          <w:ilvl w:val="0"/>
          <w:numId w:val="0"/>
        </w:numPr>
        <w:rPr>
          <w:lang w:val="es-ES"/>
        </w:rPr>
      </w:pPr>
    </w:p>
    <w:p w14:paraId="23DE9258" w14:textId="77777777" w:rsidR="00321AA5" w:rsidRPr="00574704" w:rsidRDefault="00B9789F" w:rsidP="00574704">
      <w:pPr>
        <w:pStyle w:val="ListParagraph"/>
        <w:rPr>
          <w:lang w:val="es-ES"/>
        </w:rPr>
      </w:pPr>
      <w:r>
        <w:rPr>
          <w:lang w:val="es-ES"/>
        </w:rPr>
        <w:t>Respecto de la alegación estatal relativa a la reparación de tales violaciones, c</w:t>
      </w:r>
      <w:r w:rsidR="00321AA5" w:rsidRPr="00574704">
        <w:rPr>
          <w:szCs w:val="20"/>
          <w:bdr w:val="none" w:sz="0" w:space="0" w:color="auto"/>
          <w:lang w:val="es-US"/>
        </w:rPr>
        <w:t xml:space="preserve">omo se indicará en </w:t>
      </w:r>
      <w:r>
        <w:rPr>
          <w:szCs w:val="20"/>
          <w:bdr w:val="none" w:sz="0" w:space="0" w:color="auto"/>
          <w:lang w:val="es-US"/>
        </w:rPr>
        <w:t xml:space="preserve">detalle en </w:t>
      </w:r>
      <w:r w:rsidR="00321AA5" w:rsidRPr="00574704">
        <w:rPr>
          <w:szCs w:val="20"/>
          <w:bdr w:val="none" w:sz="0" w:space="0" w:color="auto"/>
          <w:lang w:val="es-US"/>
        </w:rPr>
        <w:t xml:space="preserve">la sección siguiente, la Comisión no considera que la investigación ante el fuero policial constituya un fuero compatible para la investigación y sanción de los responsables de tales violaciones y, por lo tanto, </w:t>
      </w:r>
      <w:r>
        <w:rPr>
          <w:szCs w:val="20"/>
          <w:bdr w:val="none" w:sz="0" w:space="0" w:color="auto"/>
          <w:lang w:val="es-US"/>
        </w:rPr>
        <w:t xml:space="preserve">que pueda llegar a </w:t>
      </w:r>
      <w:r w:rsidR="00321AA5" w:rsidRPr="00574704">
        <w:rPr>
          <w:szCs w:val="20"/>
          <w:bdr w:val="none" w:sz="0" w:space="0" w:color="auto"/>
          <w:lang w:val="es-US"/>
        </w:rPr>
        <w:t>constitui</w:t>
      </w:r>
      <w:r>
        <w:rPr>
          <w:szCs w:val="20"/>
          <w:bdr w:val="none" w:sz="0" w:space="0" w:color="auto"/>
          <w:lang w:val="es-US"/>
        </w:rPr>
        <w:t>r</w:t>
      </w:r>
      <w:r w:rsidR="00321AA5" w:rsidRPr="00574704">
        <w:rPr>
          <w:szCs w:val="20"/>
          <w:bdr w:val="none" w:sz="0" w:space="0" w:color="auto"/>
          <w:lang w:val="es-US"/>
        </w:rPr>
        <w:t xml:space="preserve"> una reparación adecuada y efectiva a los familiares </w:t>
      </w:r>
      <w:r>
        <w:rPr>
          <w:szCs w:val="20"/>
          <w:bdr w:val="none" w:sz="0" w:space="0" w:color="auto"/>
          <w:lang w:val="es-US"/>
        </w:rPr>
        <w:t xml:space="preserve">de Aníbal Aguas y </w:t>
      </w:r>
      <w:r w:rsidR="00321AA5" w:rsidRPr="00574704">
        <w:rPr>
          <w:szCs w:val="20"/>
          <w:bdr w:val="none" w:sz="0" w:space="0" w:color="auto"/>
          <w:lang w:val="es-US"/>
        </w:rPr>
        <w:t xml:space="preserve">que </w:t>
      </w:r>
      <w:r w:rsidR="001525F6">
        <w:rPr>
          <w:szCs w:val="20"/>
          <w:bdr w:val="none" w:sz="0" w:space="0" w:color="auto"/>
          <w:lang w:val="es-US"/>
        </w:rPr>
        <w:t>ex</w:t>
      </w:r>
      <w:r w:rsidR="008027B7" w:rsidRPr="00574704">
        <w:rPr>
          <w:szCs w:val="20"/>
          <w:bdr w:val="none" w:sz="0" w:space="0" w:color="auto"/>
          <w:lang w:val="es-US"/>
        </w:rPr>
        <w:t xml:space="preserve">ima al </w:t>
      </w:r>
      <w:r w:rsidR="003631C8">
        <w:rPr>
          <w:szCs w:val="20"/>
          <w:bdr w:val="none" w:sz="0" w:space="0" w:color="auto"/>
          <w:lang w:val="es-US"/>
        </w:rPr>
        <w:t>E</w:t>
      </w:r>
      <w:r w:rsidR="003631C8" w:rsidRPr="00574704">
        <w:rPr>
          <w:szCs w:val="20"/>
          <w:bdr w:val="none" w:sz="0" w:space="0" w:color="auto"/>
          <w:lang w:val="es-US"/>
        </w:rPr>
        <w:t xml:space="preserve">stado </w:t>
      </w:r>
      <w:r w:rsidR="008027B7" w:rsidRPr="00574704">
        <w:rPr>
          <w:szCs w:val="20"/>
          <w:bdr w:val="none" w:sz="0" w:space="0" w:color="auto"/>
          <w:lang w:val="es-US"/>
        </w:rPr>
        <w:t xml:space="preserve">de responsabilidad </w:t>
      </w:r>
      <w:r>
        <w:rPr>
          <w:szCs w:val="20"/>
          <w:bdr w:val="none" w:sz="0" w:space="0" w:color="auto"/>
          <w:lang w:val="es-US"/>
        </w:rPr>
        <w:t>internacional por</w:t>
      </w:r>
      <w:r w:rsidR="00213982">
        <w:rPr>
          <w:szCs w:val="20"/>
          <w:bdr w:val="none" w:sz="0" w:space="0" w:color="auto"/>
          <w:lang w:val="es-US"/>
        </w:rPr>
        <w:t xml:space="preserve"> las violaciones </w:t>
      </w:r>
      <w:r w:rsidR="00321AA5" w:rsidRPr="00574704">
        <w:rPr>
          <w:szCs w:val="20"/>
          <w:bdr w:val="none" w:sz="0" w:space="0" w:color="auto"/>
          <w:lang w:val="es-US"/>
        </w:rPr>
        <w:t xml:space="preserve">previamente declaradas. </w:t>
      </w:r>
    </w:p>
    <w:p w14:paraId="2CA0FDDB" w14:textId="77777777" w:rsidR="001A4B12" w:rsidRDefault="001A4B12" w:rsidP="001A4B12">
      <w:pPr>
        <w:pStyle w:val="Heading2"/>
        <w:numPr>
          <w:ilvl w:val="0"/>
          <w:numId w:val="0"/>
        </w:numPr>
        <w:rPr>
          <w:szCs w:val="20"/>
          <w:lang w:val="es-ES"/>
        </w:rPr>
      </w:pPr>
    </w:p>
    <w:p w14:paraId="373783C4" w14:textId="77777777" w:rsidR="00D61FBE" w:rsidRPr="00EE2386" w:rsidRDefault="00D61FBE" w:rsidP="00D61FBE">
      <w:pPr>
        <w:pStyle w:val="Heading2"/>
        <w:rPr>
          <w:szCs w:val="20"/>
          <w:lang w:val="es-ES"/>
        </w:rPr>
      </w:pPr>
      <w:bookmarkStart w:id="20" w:name="_Toc35966091"/>
      <w:r w:rsidRPr="00EE2386">
        <w:rPr>
          <w:szCs w:val="20"/>
          <w:lang w:val="es-ES"/>
        </w:rPr>
        <w:t>Garantías judiciales</w:t>
      </w:r>
      <w:r w:rsidR="005D5371" w:rsidRPr="00EE2386">
        <w:rPr>
          <w:rStyle w:val="FootnoteReference"/>
          <w:szCs w:val="20"/>
          <w:lang w:val="es-ES"/>
        </w:rPr>
        <w:footnoteReference w:id="125"/>
      </w:r>
      <w:r w:rsidRPr="00EE2386">
        <w:rPr>
          <w:szCs w:val="20"/>
          <w:lang w:val="es-ES"/>
        </w:rPr>
        <w:t xml:space="preserve"> y protección judicial</w:t>
      </w:r>
      <w:r w:rsidR="005D5371" w:rsidRPr="00EE2386">
        <w:rPr>
          <w:rStyle w:val="FootnoteReference"/>
          <w:szCs w:val="20"/>
          <w:lang w:val="es-ES"/>
        </w:rPr>
        <w:footnoteReference w:id="126"/>
      </w:r>
      <w:r w:rsidRPr="00EE2386">
        <w:rPr>
          <w:szCs w:val="20"/>
          <w:lang w:val="es-ES"/>
        </w:rPr>
        <w:t xml:space="preserve"> y deber de investigar y sancionar actos de tortura</w:t>
      </w:r>
      <w:r w:rsidR="005D5371" w:rsidRPr="00EE2386">
        <w:rPr>
          <w:rStyle w:val="FootnoteReference"/>
          <w:szCs w:val="20"/>
          <w:lang w:val="es-ES"/>
        </w:rPr>
        <w:footnoteReference w:id="127"/>
      </w:r>
      <w:bookmarkEnd w:id="20"/>
    </w:p>
    <w:p w14:paraId="67C6BB6F" w14:textId="77777777" w:rsidR="005D5371" w:rsidRPr="00EE2386" w:rsidRDefault="005D5371" w:rsidP="005D5371">
      <w:pPr>
        <w:pStyle w:val="ListParagraph"/>
        <w:numPr>
          <w:ilvl w:val="0"/>
          <w:numId w:val="0"/>
        </w:numPr>
        <w:rPr>
          <w:color w:val="auto"/>
          <w:szCs w:val="20"/>
          <w:lang w:val="es-ES"/>
        </w:rPr>
      </w:pPr>
    </w:p>
    <w:p w14:paraId="4E118B3B" w14:textId="77777777" w:rsidR="009408E5" w:rsidRDefault="00DE4C43" w:rsidP="001110B9">
      <w:pPr>
        <w:pStyle w:val="ListParagraph"/>
        <w:rPr>
          <w:szCs w:val="20"/>
          <w:lang w:val="es-ES"/>
        </w:rPr>
      </w:pPr>
      <w:r>
        <w:rPr>
          <w:szCs w:val="20"/>
          <w:lang w:val="es-US"/>
        </w:rPr>
        <w:t>Según</w:t>
      </w:r>
      <w:r w:rsidR="005D5371" w:rsidRPr="00EE2386">
        <w:rPr>
          <w:szCs w:val="20"/>
          <w:lang w:val="es-US"/>
        </w:rPr>
        <w:t xml:space="preserve"> ha determinado </w:t>
      </w:r>
      <w:r w:rsidR="00476722">
        <w:rPr>
          <w:szCs w:val="20"/>
          <w:lang w:val="es-US"/>
        </w:rPr>
        <w:t xml:space="preserve">la Corte </w:t>
      </w:r>
      <w:r w:rsidR="005D5371" w:rsidRPr="00EE2386">
        <w:rPr>
          <w:szCs w:val="20"/>
          <w:lang w:val="es-US"/>
        </w:rPr>
        <w:t>de manera consistente, conforme a los artículos 25</w:t>
      </w:r>
      <w:r w:rsidR="00C80D1F">
        <w:rPr>
          <w:szCs w:val="20"/>
          <w:lang w:val="es-US"/>
        </w:rPr>
        <w:t>.1</w:t>
      </w:r>
      <w:r w:rsidR="005D5371" w:rsidRPr="00EE2386">
        <w:rPr>
          <w:szCs w:val="20"/>
          <w:lang w:val="es-US"/>
        </w:rPr>
        <w:t xml:space="preserve"> y 8.1 de la Convención, los Estados deben suministrar recursos judiciales </w:t>
      </w:r>
      <w:r w:rsidR="00C80D1F">
        <w:rPr>
          <w:szCs w:val="20"/>
          <w:lang w:val="es-US"/>
        </w:rPr>
        <w:t xml:space="preserve">sencillos, rápidos y </w:t>
      </w:r>
      <w:r w:rsidR="005D5371" w:rsidRPr="00EE2386">
        <w:rPr>
          <w:szCs w:val="20"/>
          <w:lang w:val="es-US"/>
        </w:rPr>
        <w:t xml:space="preserve">efectivos a las víctimas de violaciones </w:t>
      </w:r>
      <w:r w:rsidR="00DB50F0">
        <w:rPr>
          <w:szCs w:val="20"/>
          <w:lang w:val="es-US"/>
        </w:rPr>
        <w:t>de</w:t>
      </w:r>
      <w:r w:rsidR="005D5371" w:rsidRPr="00EE2386">
        <w:rPr>
          <w:szCs w:val="20"/>
          <w:lang w:val="es-US"/>
        </w:rPr>
        <w:t xml:space="preserve"> derechos humanos, </w:t>
      </w:r>
      <w:r w:rsidR="001425B8">
        <w:rPr>
          <w:szCs w:val="20"/>
          <w:lang w:val="es-US"/>
        </w:rPr>
        <w:t xml:space="preserve">los </w:t>
      </w:r>
      <w:r w:rsidR="00C80D1F">
        <w:rPr>
          <w:szCs w:val="20"/>
          <w:lang w:val="es-US"/>
        </w:rPr>
        <w:t>que</w:t>
      </w:r>
      <w:r w:rsidR="005D5371" w:rsidRPr="00EE2386">
        <w:rPr>
          <w:szCs w:val="20"/>
          <w:lang w:val="es-US"/>
        </w:rPr>
        <w:t xml:space="preserve"> deben ser sustanciados de conformidad con las reglas del debido proceso legal</w:t>
      </w:r>
      <w:r w:rsidR="001425B8" w:rsidRPr="001425B8">
        <w:rPr>
          <w:szCs w:val="20"/>
          <w:lang w:val="es-US"/>
        </w:rPr>
        <w:t xml:space="preserve"> </w:t>
      </w:r>
      <w:r w:rsidR="001425B8">
        <w:rPr>
          <w:szCs w:val="20"/>
          <w:lang w:val="es-US"/>
        </w:rPr>
        <w:t>y ante juez o tribunal competente</w:t>
      </w:r>
      <w:r w:rsidR="001425B8" w:rsidRPr="009B1949">
        <w:rPr>
          <w:szCs w:val="20"/>
          <w:lang w:val="es-ES"/>
        </w:rPr>
        <w:t>, independiente e imparcial</w:t>
      </w:r>
      <w:r w:rsidR="005D5371" w:rsidRPr="00EE2386">
        <w:rPr>
          <w:rStyle w:val="FootnoteReference"/>
          <w:color w:val="auto"/>
          <w:szCs w:val="20"/>
          <w:lang w:val="es-US"/>
        </w:rPr>
        <w:footnoteReference w:id="128"/>
      </w:r>
      <w:r w:rsidR="005D5371" w:rsidRPr="00EE2386">
        <w:rPr>
          <w:szCs w:val="20"/>
          <w:lang w:val="es-US"/>
        </w:rPr>
        <w:t>.</w:t>
      </w:r>
      <w:r w:rsidR="005D5371" w:rsidRPr="00EE2386">
        <w:rPr>
          <w:szCs w:val="20"/>
          <w:lang w:val="es-ES"/>
        </w:rPr>
        <w:t xml:space="preserve"> </w:t>
      </w:r>
    </w:p>
    <w:p w14:paraId="12174495" w14:textId="77777777" w:rsidR="009408E5" w:rsidRDefault="009408E5" w:rsidP="00574704">
      <w:pPr>
        <w:pStyle w:val="ListParagraph"/>
        <w:numPr>
          <w:ilvl w:val="0"/>
          <w:numId w:val="0"/>
        </w:numPr>
        <w:rPr>
          <w:szCs w:val="20"/>
          <w:lang w:val="es-ES"/>
        </w:rPr>
      </w:pPr>
    </w:p>
    <w:p w14:paraId="21AEBC0E" w14:textId="77777777" w:rsidR="008A443F" w:rsidRDefault="00104E9B" w:rsidP="00574704">
      <w:pPr>
        <w:pStyle w:val="ListParagraph"/>
        <w:rPr>
          <w:szCs w:val="20"/>
          <w:lang w:val="es-ES"/>
        </w:rPr>
      </w:pPr>
      <w:r>
        <w:rPr>
          <w:szCs w:val="20"/>
          <w:lang w:val="es-ES"/>
        </w:rPr>
        <w:t xml:space="preserve">En atención a que </w:t>
      </w:r>
      <w:r w:rsidR="003C3244">
        <w:rPr>
          <w:szCs w:val="20"/>
          <w:lang w:val="es-ES"/>
        </w:rPr>
        <w:t xml:space="preserve">la investigación y enjuiciamiento de los responsables de la muerte y torturas sufridas por </w:t>
      </w:r>
      <w:r>
        <w:rPr>
          <w:szCs w:val="20"/>
          <w:lang w:val="es-ES"/>
        </w:rPr>
        <w:t xml:space="preserve">Aníbal Aguas </w:t>
      </w:r>
      <w:r w:rsidR="00C03244">
        <w:rPr>
          <w:szCs w:val="20"/>
          <w:lang w:val="es-ES"/>
        </w:rPr>
        <w:t>se llevó a cabo</w:t>
      </w:r>
      <w:r w:rsidR="003C3244">
        <w:rPr>
          <w:szCs w:val="20"/>
          <w:lang w:val="es-ES"/>
        </w:rPr>
        <w:t xml:space="preserve"> </w:t>
      </w:r>
      <w:r w:rsidR="004516CA">
        <w:rPr>
          <w:szCs w:val="20"/>
          <w:lang w:val="es-ES"/>
        </w:rPr>
        <w:t xml:space="preserve">por el </w:t>
      </w:r>
      <w:r w:rsidR="003C3244">
        <w:rPr>
          <w:szCs w:val="20"/>
          <w:lang w:val="es-ES"/>
        </w:rPr>
        <w:t xml:space="preserve">fuero policial, </w:t>
      </w:r>
      <w:r w:rsidR="001110B9">
        <w:rPr>
          <w:szCs w:val="20"/>
          <w:lang w:val="es-ES"/>
        </w:rPr>
        <w:t>y t</w:t>
      </w:r>
      <w:r w:rsidR="008A443F">
        <w:rPr>
          <w:szCs w:val="20"/>
          <w:lang w:val="es-ES"/>
        </w:rPr>
        <w:t>eniendo en cuenta los aspectos controvertidos por las partes</w:t>
      </w:r>
      <w:r w:rsidR="009408E5">
        <w:rPr>
          <w:szCs w:val="20"/>
          <w:lang w:val="es-ES"/>
        </w:rPr>
        <w:t xml:space="preserve"> en este caso</w:t>
      </w:r>
      <w:r w:rsidR="008A443F">
        <w:rPr>
          <w:szCs w:val="20"/>
          <w:lang w:val="es-ES"/>
        </w:rPr>
        <w:t xml:space="preserve">, la Comisión se </w:t>
      </w:r>
      <w:r w:rsidR="009408E5">
        <w:rPr>
          <w:szCs w:val="20"/>
          <w:lang w:val="es-ES"/>
        </w:rPr>
        <w:t xml:space="preserve">pronunciará a continuación </w:t>
      </w:r>
      <w:r w:rsidR="008A443F">
        <w:rPr>
          <w:szCs w:val="20"/>
          <w:lang w:val="es-ES"/>
        </w:rPr>
        <w:t xml:space="preserve">sobre los siguientes aspectos: i) </w:t>
      </w:r>
      <w:r w:rsidR="00C85503">
        <w:rPr>
          <w:szCs w:val="20"/>
          <w:lang w:val="es-ES"/>
        </w:rPr>
        <w:t>respecto de</w:t>
      </w:r>
      <w:r w:rsidR="008A443F">
        <w:rPr>
          <w:szCs w:val="20"/>
          <w:lang w:val="es-ES"/>
        </w:rPr>
        <w:t xml:space="preserve"> </w:t>
      </w:r>
      <w:r w:rsidR="009408E5">
        <w:rPr>
          <w:szCs w:val="20"/>
          <w:lang w:val="es-ES"/>
        </w:rPr>
        <w:t>la compatibilidad d</w:t>
      </w:r>
      <w:r w:rsidR="008A443F">
        <w:rPr>
          <w:szCs w:val="20"/>
          <w:lang w:val="es-ES"/>
        </w:rPr>
        <w:t>el fuero penal policial</w:t>
      </w:r>
      <w:r w:rsidR="009408E5">
        <w:rPr>
          <w:szCs w:val="20"/>
          <w:lang w:val="es-ES"/>
        </w:rPr>
        <w:t xml:space="preserve"> que conoció de los hechos del caso</w:t>
      </w:r>
      <w:r w:rsidR="008A443F">
        <w:rPr>
          <w:szCs w:val="20"/>
          <w:lang w:val="es-ES"/>
        </w:rPr>
        <w:t xml:space="preserve"> </w:t>
      </w:r>
      <w:r w:rsidR="009408E5">
        <w:rPr>
          <w:szCs w:val="20"/>
          <w:lang w:val="es-ES"/>
        </w:rPr>
        <w:t xml:space="preserve">con los estándares de competencia, </w:t>
      </w:r>
      <w:r w:rsidR="009408E5">
        <w:rPr>
          <w:szCs w:val="20"/>
          <w:lang w:val="es-ES"/>
        </w:rPr>
        <w:lastRenderedPageBreak/>
        <w:t>independencia e imparcialidad</w:t>
      </w:r>
      <w:r w:rsidR="008A443F">
        <w:rPr>
          <w:szCs w:val="20"/>
          <w:lang w:val="es-ES"/>
        </w:rPr>
        <w:t xml:space="preserve">; ii) </w:t>
      </w:r>
      <w:r w:rsidR="00C85503">
        <w:rPr>
          <w:szCs w:val="20"/>
          <w:lang w:val="es-ES"/>
        </w:rPr>
        <w:t>respecto</w:t>
      </w:r>
      <w:r w:rsidR="008A443F">
        <w:rPr>
          <w:szCs w:val="20"/>
          <w:lang w:val="es-ES"/>
        </w:rPr>
        <w:t xml:space="preserve"> la debida diligencia </w:t>
      </w:r>
      <w:r w:rsidR="00E0225F">
        <w:rPr>
          <w:szCs w:val="20"/>
          <w:lang w:val="es-ES"/>
        </w:rPr>
        <w:t xml:space="preserve">en la </w:t>
      </w:r>
      <w:r w:rsidR="008A443F">
        <w:rPr>
          <w:szCs w:val="20"/>
          <w:lang w:val="es-ES"/>
        </w:rPr>
        <w:t>investiga</w:t>
      </w:r>
      <w:r w:rsidR="00E0225F">
        <w:rPr>
          <w:szCs w:val="20"/>
          <w:lang w:val="es-ES"/>
        </w:rPr>
        <w:t>ción, enjuiciamiento y sanción de</w:t>
      </w:r>
      <w:r w:rsidR="008A443F">
        <w:rPr>
          <w:szCs w:val="20"/>
          <w:lang w:val="es-ES"/>
        </w:rPr>
        <w:t xml:space="preserve"> los responsables </w:t>
      </w:r>
      <w:r w:rsidR="002226DF">
        <w:rPr>
          <w:szCs w:val="20"/>
          <w:lang w:val="es-ES"/>
        </w:rPr>
        <w:t>por la muerte y torturas</w:t>
      </w:r>
      <w:r w:rsidR="00E0225F">
        <w:rPr>
          <w:szCs w:val="20"/>
          <w:lang w:val="es-ES"/>
        </w:rPr>
        <w:t xml:space="preserve"> sufridas por Aníbal Aguas</w:t>
      </w:r>
      <w:r w:rsidR="002226DF">
        <w:rPr>
          <w:szCs w:val="20"/>
          <w:lang w:val="es-ES"/>
        </w:rPr>
        <w:t>; y iii) respecto del plazo razonable.</w:t>
      </w:r>
    </w:p>
    <w:p w14:paraId="47713A34" w14:textId="77777777" w:rsidR="002226DF" w:rsidRPr="00F465A4" w:rsidRDefault="002226DF" w:rsidP="00574704">
      <w:pPr>
        <w:pStyle w:val="ListParagraph"/>
        <w:numPr>
          <w:ilvl w:val="0"/>
          <w:numId w:val="0"/>
        </w:numPr>
        <w:rPr>
          <w:szCs w:val="20"/>
          <w:lang w:val="es-ES"/>
        </w:rPr>
      </w:pPr>
    </w:p>
    <w:p w14:paraId="5DD2C3EA" w14:textId="77777777" w:rsidR="002226DF" w:rsidRPr="00574704" w:rsidRDefault="00C85503" w:rsidP="00574704">
      <w:pPr>
        <w:pStyle w:val="Heading3"/>
        <w:numPr>
          <w:ilvl w:val="0"/>
          <w:numId w:val="64"/>
        </w:numPr>
        <w:rPr>
          <w:lang w:val="es-ES"/>
        </w:rPr>
      </w:pPr>
      <w:bookmarkStart w:id="21" w:name="_Toc35966092"/>
      <w:r>
        <w:rPr>
          <w:lang w:val="es-ES"/>
        </w:rPr>
        <w:t>C</w:t>
      </w:r>
      <w:r w:rsidR="009408E5">
        <w:rPr>
          <w:szCs w:val="20"/>
          <w:lang w:val="es-ES"/>
        </w:rPr>
        <w:t>ompatibilidad del fuero penal policial que conoció de los hechos del caso con los estándares de competencia, independencia e imparcialidad</w:t>
      </w:r>
      <w:bookmarkEnd w:id="21"/>
    </w:p>
    <w:p w14:paraId="79B2DED7" w14:textId="77777777" w:rsidR="00A9298C" w:rsidRDefault="00A9298C" w:rsidP="00A9298C">
      <w:pPr>
        <w:pStyle w:val="ListParagraph"/>
        <w:numPr>
          <w:ilvl w:val="0"/>
          <w:numId w:val="0"/>
        </w:numPr>
        <w:rPr>
          <w:szCs w:val="20"/>
          <w:lang w:val="es-ES"/>
        </w:rPr>
      </w:pPr>
    </w:p>
    <w:p w14:paraId="5E1BE174" w14:textId="77777777" w:rsidR="00A44D6C" w:rsidRPr="00A9298C" w:rsidRDefault="00A44D6C" w:rsidP="001110B9">
      <w:pPr>
        <w:pStyle w:val="ListParagraph"/>
        <w:rPr>
          <w:szCs w:val="20"/>
          <w:lang w:val="es-ES"/>
        </w:rPr>
      </w:pPr>
      <w:r w:rsidRPr="00A9298C">
        <w:rPr>
          <w:szCs w:val="20"/>
          <w:lang w:val="es-US"/>
        </w:rPr>
        <w:t xml:space="preserve">En cuanto a la competencia, la Corte ha indicado que cuando jurisdicciones especiales asumen competencia sobre un asunto que debe conocer la justicia ordinaria, se ve afectado el derecho al juez natural y, </w:t>
      </w:r>
      <w:r w:rsidRPr="00A9298C">
        <w:rPr>
          <w:i/>
          <w:iCs/>
          <w:szCs w:val="20"/>
          <w:lang w:val="es-US"/>
        </w:rPr>
        <w:t>a fortiori</w:t>
      </w:r>
      <w:r w:rsidRPr="00A9298C">
        <w:rPr>
          <w:szCs w:val="20"/>
          <w:lang w:val="es-US"/>
        </w:rPr>
        <w:t>, el debido proceso, el cual, a su vez, se encuentra íntimamente ligado al propio derecho de acceso a la justicia</w:t>
      </w:r>
      <w:r>
        <w:rPr>
          <w:rStyle w:val="FootnoteReference"/>
          <w:szCs w:val="20"/>
          <w:lang w:val="es-US"/>
        </w:rPr>
        <w:footnoteReference w:id="129"/>
      </w:r>
      <w:r w:rsidRPr="00A9298C">
        <w:rPr>
          <w:szCs w:val="20"/>
          <w:lang w:val="es-US"/>
        </w:rPr>
        <w:t xml:space="preserve">. Como ha indicado la CIDH, cuando el caso se refiere a violaciones de derechos humanos </w:t>
      </w:r>
      <w:r w:rsidR="00BD47A1">
        <w:rPr>
          <w:szCs w:val="20"/>
          <w:lang w:val="es-US"/>
        </w:rPr>
        <w:t xml:space="preserve">que son por naturaleza bienes ajenos a la </w:t>
      </w:r>
      <w:r w:rsidRPr="00A9298C">
        <w:rPr>
          <w:szCs w:val="20"/>
          <w:lang w:val="es-US"/>
        </w:rPr>
        <w:t>disciplina policial, el proceso debe radicarse en el fuero ordinario</w:t>
      </w:r>
      <w:r w:rsidRPr="00EE2386">
        <w:rPr>
          <w:rStyle w:val="FootnoteReference"/>
          <w:rFonts w:cstheme="minorHAnsi"/>
          <w:szCs w:val="20"/>
          <w:lang w:val="es-US"/>
        </w:rPr>
        <w:footnoteReference w:id="130"/>
      </w:r>
      <w:r w:rsidRPr="00A9298C">
        <w:rPr>
          <w:szCs w:val="20"/>
          <w:lang w:val="es-US"/>
        </w:rPr>
        <w:t xml:space="preserve">. </w:t>
      </w:r>
    </w:p>
    <w:p w14:paraId="6EA50903" w14:textId="77777777" w:rsidR="00843779" w:rsidRPr="00843779" w:rsidRDefault="00843779" w:rsidP="009C31F6">
      <w:pPr>
        <w:pStyle w:val="ListParagraph"/>
        <w:numPr>
          <w:ilvl w:val="0"/>
          <w:numId w:val="0"/>
        </w:numPr>
        <w:rPr>
          <w:szCs w:val="20"/>
          <w:lang w:val="es-ES"/>
        </w:rPr>
      </w:pPr>
    </w:p>
    <w:p w14:paraId="4C57AB2E" w14:textId="77777777" w:rsidR="00A00DB9" w:rsidRPr="00574704" w:rsidRDefault="00BF7059" w:rsidP="00A44D6C">
      <w:pPr>
        <w:pStyle w:val="ListParagraph"/>
        <w:rPr>
          <w:szCs w:val="20"/>
          <w:lang w:val="es-US"/>
        </w:rPr>
      </w:pPr>
      <w:r w:rsidRPr="00A44D6C">
        <w:rPr>
          <w:szCs w:val="20"/>
          <w:lang w:val="es-ES"/>
        </w:rPr>
        <w:t>En cuanto a la independencia, la Corte ha indicado que ésta debe ser garantizada por el Estado tanto en su faceta institucional, esto es, en relación con el Poder Judicial como sistema, así como también en conexión con su vertiente individual, es decir, con relación a la persona del juez específico. El objetivo de la protección radica en evitar que el sistema judicial en general y sus integrantes en particular se vean sometidos a posibles restricciones indebidas en el ejercicio</w:t>
      </w:r>
      <w:r w:rsidR="00476722" w:rsidRPr="00A44D6C">
        <w:rPr>
          <w:szCs w:val="20"/>
          <w:lang w:val="es-ES"/>
        </w:rPr>
        <w:t xml:space="preserve"> de su función por parte de órganos ajenos al Poder Judicial o incluso por parte de aquellos magistrados que ejercen funciones de revisión o apelación</w:t>
      </w:r>
      <w:r w:rsidR="00476722">
        <w:rPr>
          <w:rStyle w:val="FootnoteReference"/>
          <w:szCs w:val="20"/>
          <w:lang w:val="es-ES"/>
        </w:rPr>
        <w:footnoteReference w:id="131"/>
      </w:r>
      <w:r w:rsidR="00476722" w:rsidRPr="00A44D6C">
        <w:rPr>
          <w:szCs w:val="20"/>
          <w:lang w:val="es-ES"/>
        </w:rPr>
        <w:t>. Además, los justiciables tienen el derecho, derivado de la Convención, a que los jueces que resuelven sus controversias sean y aparenten ser independientes</w:t>
      </w:r>
      <w:r w:rsidR="00476722">
        <w:rPr>
          <w:rStyle w:val="FootnoteReference"/>
          <w:szCs w:val="20"/>
          <w:lang w:val="es-ES"/>
        </w:rPr>
        <w:footnoteReference w:id="132"/>
      </w:r>
      <w:r w:rsidR="00476722" w:rsidRPr="00A44D6C">
        <w:rPr>
          <w:szCs w:val="20"/>
          <w:lang w:val="es-ES"/>
        </w:rPr>
        <w:t xml:space="preserve">. </w:t>
      </w:r>
    </w:p>
    <w:p w14:paraId="5A4EDD8C" w14:textId="77777777" w:rsidR="00A00DB9" w:rsidRPr="00574704" w:rsidRDefault="00A00DB9" w:rsidP="00574704">
      <w:pPr>
        <w:pStyle w:val="ListParagraph"/>
        <w:numPr>
          <w:ilvl w:val="0"/>
          <w:numId w:val="0"/>
        </w:numPr>
        <w:rPr>
          <w:szCs w:val="20"/>
          <w:lang w:val="es-ES"/>
        </w:rPr>
      </w:pPr>
    </w:p>
    <w:p w14:paraId="1E963BE6" w14:textId="77777777" w:rsidR="009B1949" w:rsidRPr="00574704" w:rsidRDefault="00476722" w:rsidP="00A44D6C">
      <w:pPr>
        <w:pStyle w:val="ListParagraph"/>
        <w:rPr>
          <w:szCs w:val="20"/>
          <w:lang w:val="es-US"/>
        </w:rPr>
      </w:pPr>
      <w:r w:rsidRPr="00A44D6C">
        <w:rPr>
          <w:szCs w:val="20"/>
          <w:lang w:val="es-ES"/>
        </w:rPr>
        <w:t xml:space="preserve">En cuanto a la garantía de </w:t>
      </w:r>
      <w:r w:rsidR="004516CA" w:rsidRPr="00A44D6C">
        <w:rPr>
          <w:szCs w:val="20"/>
          <w:lang w:val="es-ES"/>
        </w:rPr>
        <w:t>imparcialidad</w:t>
      </w:r>
      <w:r w:rsidRPr="00A44D6C">
        <w:rPr>
          <w:szCs w:val="20"/>
          <w:lang w:val="es-ES"/>
        </w:rPr>
        <w:t>, la Corte ha indicado que ésta</w:t>
      </w:r>
      <w:r w:rsidR="004516CA" w:rsidRPr="00A44D6C">
        <w:rPr>
          <w:szCs w:val="20"/>
          <w:lang w:val="es-ES"/>
        </w:rPr>
        <w:t xml:space="preserve"> exige que el juez que interviene en una contienda particular se aproxime a los hechos de la causa careciendo, de manera subjetiva, de todo prejuicio y, asimismo, ofreciendo garantías suficientes de índole objetiva que permitan desterrar toda duda que el justiciable o la comunidad puedan albergar respecto de la ausencia de imparcialidad</w:t>
      </w:r>
      <w:r w:rsidR="004516CA">
        <w:rPr>
          <w:rStyle w:val="FootnoteReference"/>
          <w:szCs w:val="20"/>
          <w:lang w:val="es-ES"/>
        </w:rPr>
        <w:footnoteReference w:id="133"/>
      </w:r>
      <w:r w:rsidR="004516CA" w:rsidRPr="00A44D6C">
        <w:rPr>
          <w:szCs w:val="20"/>
          <w:lang w:val="es-ES"/>
        </w:rPr>
        <w:t>.</w:t>
      </w:r>
      <w:r w:rsidR="00A44D6C" w:rsidRPr="00A44D6C">
        <w:rPr>
          <w:szCs w:val="20"/>
          <w:lang w:val="es-ES"/>
        </w:rPr>
        <w:t xml:space="preserve"> </w:t>
      </w:r>
    </w:p>
    <w:p w14:paraId="04849996" w14:textId="77777777" w:rsidR="00163F45" w:rsidRDefault="00163F45" w:rsidP="00163F45">
      <w:pPr>
        <w:pStyle w:val="ListParagraph"/>
        <w:numPr>
          <w:ilvl w:val="0"/>
          <w:numId w:val="0"/>
        </w:numPr>
        <w:rPr>
          <w:szCs w:val="20"/>
          <w:lang w:val="es-US"/>
        </w:rPr>
      </w:pPr>
    </w:p>
    <w:p w14:paraId="6E04B75A" w14:textId="77777777" w:rsidR="00163F45" w:rsidRPr="00574704" w:rsidRDefault="00163F45" w:rsidP="00574704">
      <w:pPr>
        <w:pStyle w:val="Heading4"/>
        <w:rPr>
          <w:lang w:val="es-US"/>
        </w:rPr>
      </w:pPr>
      <w:bookmarkStart w:id="22" w:name="_Toc35966093"/>
      <w:r>
        <w:rPr>
          <w:lang w:val="es-US"/>
        </w:rPr>
        <w:t xml:space="preserve">Análisis </w:t>
      </w:r>
      <w:r w:rsidR="00D9692A">
        <w:rPr>
          <w:lang w:val="es-US"/>
        </w:rPr>
        <w:t>en el presente</w:t>
      </w:r>
      <w:r>
        <w:rPr>
          <w:lang w:val="es-US"/>
        </w:rPr>
        <w:t xml:space="preserve"> caso</w:t>
      </w:r>
      <w:bookmarkEnd w:id="22"/>
    </w:p>
    <w:p w14:paraId="45FAE9D0" w14:textId="77777777" w:rsidR="009B1949" w:rsidRDefault="009B1949" w:rsidP="009B1949">
      <w:pPr>
        <w:pStyle w:val="ListParagraph"/>
        <w:numPr>
          <w:ilvl w:val="0"/>
          <w:numId w:val="0"/>
        </w:numPr>
        <w:rPr>
          <w:szCs w:val="20"/>
          <w:lang w:val="es-US"/>
        </w:rPr>
      </w:pPr>
    </w:p>
    <w:p w14:paraId="45E89C9D" w14:textId="77777777" w:rsidR="00A00DB9" w:rsidRDefault="00A00DB9" w:rsidP="00A44D6C">
      <w:pPr>
        <w:pStyle w:val="ListParagraph"/>
        <w:rPr>
          <w:szCs w:val="20"/>
          <w:lang w:val="es-US"/>
        </w:rPr>
      </w:pPr>
      <w:r w:rsidRPr="00A9298C">
        <w:rPr>
          <w:szCs w:val="20"/>
          <w:lang w:val="es-US"/>
        </w:rPr>
        <w:t xml:space="preserve">Como se indicó en la sección anterior, Aníbal Aguas fue víctima de tortura y resultó asesinado de manos de agentes de la policía en ejercicio de sus funciones. La Comisión estima que, sin duda alguna, tales graves violaciones </w:t>
      </w:r>
      <w:r>
        <w:rPr>
          <w:szCs w:val="20"/>
          <w:lang w:val="es-US"/>
        </w:rPr>
        <w:t>de</w:t>
      </w:r>
      <w:r w:rsidRPr="00A9298C">
        <w:rPr>
          <w:szCs w:val="20"/>
          <w:lang w:val="es-US"/>
        </w:rPr>
        <w:t xml:space="preserve"> derechos humanos debieron ser investigadas, </w:t>
      </w:r>
      <w:r w:rsidR="00FC56B2">
        <w:rPr>
          <w:szCs w:val="20"/>
          <w:lang w:val="es-US"/>
        </w:rPr>
        <w:t>enjuiciadas</w:t>
      </w:r>
      <w:r w:rsidRPr="00A9298C">
        <w:rPr>
          <w:szCs w:val="20"/>
          <w:lang w:val="es-US"/>
        </w:rPr>
        <w:t xml:space="preserve"> y sancionadas por el fuero ordinario y no en el fuero policial</w:t>
      </w:r>
      <w:r>
        <w:rPr>
          <w:szCs w:val="20"/>
          <w:lang w:val="es-US"/>
        </w:rPr>
        <w:t>, el que carecía de competencia para el conocimiento de dicho asunto</w:t>
      </w:r>
      <w:r w:rsidRPr="00A9298C">
        <w:rPr>
          <w:szCs w:val="20"/>
          <w:lang w:val="es-US"/>
        </w:rPr>
        <w:t>.</w:t>
      </w:r>
      <w:r>
        <w:rPr>
          <w:szCs w:val="20"/>
          <w:lang w:val="es-US"/>
        </w:rPr>
        <w:t xml:space="preserve"> Si bien originalmente la justicia ordinaria asumió el conocimiento, a menos de un mes de ocurridos los hechos y luego de constatar que los presuntos responsables del crimen se encontraban en ejercio de sus funciones al momento de los hechos, el Juez Quinto Penal se inhibió de seguir conociendo el asunto y remitió los antecedentes al fuero policial. Todos los recursos interpuestos en contra de dicha decisión fueron rechazados y</w:t>
      </w:r>
      <w:r w:rsidR="00FC56B2">
        <w:rPr>
          <w:szCs w:val="20"/>
          <w:lang w:val="es-US"/>
        </w:rPr>
        <w:t xml:space="preserve"> </w:t>
      </w:r>
      <w:r>
        <w:rPr>
          <w:szCs w:val="20"/>
          <w:lang w:val="es-US"/>
        </w:rPr>
        <w:t xml:space="preserve">el fuero policial siguió adelante con la investigación, enjuiciamiento y sanción de los responsables del crímen. </w:t>
      </w:r>
      <w:r w:rsidR="00FC56B2">
        <w:rPr>
          <w:szCs w:val="20"/>
          <w:lang w:val="es-US"/>
        </w:rPr>
        <w:t>En consecuencia, la Comisión estima que dicho procedimiento se condujo ante tribunal que no era competente para conocer del asunto.</w:t>
      </w:r>
    </w:p>
    <w:p w14:paraId="07CD1AE4" w14:textId="77777777" w:rsidR="00A00DB9" w:rsidRPr="00574704" w:rsidRDefault="00A00DB9" w:rsidP="00574704">
      <w:pPr>
        <w:pStyle w:val="ListParagraph"/>
        <w:numPr>
          <w:ilvl w:val="0"/>
          <w:numId w:val="0"/>
        </w:numPr>
        <w:rPr>
          <w:szCs w:val="20"/>
          <w:lang w:val="es-ES"/>
        </w:rPr>
      </w:pPr>
    </w:p>
    <w:p w14:paraId="628D46DC" w14:textId="77777777" w:rsidR="00104E9B" w:rsidRPr="001425B8" w:rsidRDefault="00A44D6C" w:rsidP="00A44D6C">
      <w:pPr>
        <w:pStyle w:val="ListParagraph"/>
        <w:rPr>
          <w:szCs w:val="20"/>
          <w:lang w:val="es-US"/>
        </w:rPr>
      </w:pPr>
      <w:r w:rsidRPr="00A44D6C">
        <w:rPr>
          <w:szCs w:val="20"/>
          <w:lang w:val="es-ES"/>
        </w:rPr>
        <w:t xml:space="preserve">En </w:t>
      </w:r>
      <w:r w:rsidR="00A9298C">
        <w:rPr>
          <w:szCs w:val="20"/>
          <w:lang w:val="es-ES"/>
        </w:rPr>
        <w:t>cuanto al cumplimiento de las garantías de independencia e imparcialidad que ofrecía la justicia policial del Ecuador al tiempo en que se encontraba vigente</w:t>
      </w:r>
      <w:r w:rsidR="009B1949">
        <w:rPr>
          <w:szCs w:val="20"/>
          <w:lang w:val="es-ES"/>
        </w:rPr>
        <w:t xml:space="preserve"> tal fuero</w:t>
      </w:r>
      <w:r w:rsidRPr="00A44D6C">
        <w:rPr>
          <w:szCs w:val="20"/>
          <w:lang w:val="es-ES"/>
        </w:rPr>
        <w:t>, la Corte</w:t>
      </w:r>
      <w:r w:rsidR="00A9298C">
        <w:rPr>
          <w:szCs w:val="20"/>
          <w:lang w:val="es-ES"/>
        </w:rPr>
        <w:t xml:space="preserve"> </w:t>
      </w:r>
      <w:r w:rsidR="00F7370C">
        <w:rPr>
          <w:szCs w:val="20"/>
          <w:lang w:val="es-ES"/>
        </w:rPr>
        <w:t xml:space="preserve">Interamericana </w:t>
      </w:r>
      <w:r w:rsidRPr="00A44D6C">
        <w:rPr>
          <w:szCs w:val="20"/>
          <w:lang w:val="es-ES"/>
        </w:rPr>
        <w:t xml:space="preserve">ha </w:t>
      </w:r>
      <w:r w:rsidR="009B1949">
        <w:rPr>
          <w:szCs w:val="20"/>
          <w:lang w:val="es-ES"/>
        </w:rPr>
        <w:t>indicado</w:t>
      </w:r>
      <w:r w:rsidR="00A9298C">
        <w:rPr>
          <w:szCs w:val="20"/>
          <w:lang w:val="es-ES"/>
        </w:rPr>
        <w:t xml:space="preserve"> que</w:t>
      </w:r>
      <w:r w:rsidR="009B1949">
        <w:rPr>
          <w:szCs w:val="20"/>
          <w:lang w:val="es-ES"/>
        </w:rPr>
        <w:t>,</w:t>
      </w:r>
      <w:r w:rsidR="00A9298C">
        <w:rPr>
          <w:szCs w:val="20"/>
          <w:lang w:val="es-ES"/>
        </w:rPr>
        <w:t xml:space="preserve"> por ley expresa</w:t>
      </w:r>
      <w:r w:rsidR="009B1949">
        <w:rPr>
          <w:szCs w:val="20"/>
          <w:lang w:val="es-ES"/>
        </w:rPr>
        <w:t>,</w:t>
      </w:r>
      <w:r w:rsidR="00A9298C">
        <w:rPr>
          <w:szCs w:val="20"/>
          <w:lang w:val="es-ES"/>
        </w:rPr>
        <w:t xml:space="preserve"> ésta no ofrecía garantías de independencia e imparcialidad desde el punto de vista institucional ya que </w:t>
      </w:r>
      <w:r w:rsidR="009B1949">
        <w:rPr>
          <w:szCs w:val="20"/>
          <w:lang w:val="es-ES"/>
        </w:rPr>
        <w:t xml:space="preserve">no formaba parte del Poder Judicial, sino </w:t>
      </w:r>
      <w:r w:rsidR="001425B8">
        <w:rPr>
          <w:szCs w:val="20"/>
          <w:lang w:val="es-ES"/>
        </w:rPr>
        <w:t xml:space="preserve">que </w:t>
      </w:r>
      <w:r w:rsidR="00A9298C">
        <w:rPr>
          <w:szCs w:val="20"/>
          <w:lang w:val="es-ES"/>
        </w:rPr>
        <w:t>dependía</w:t>
      </w:r>
      <w:r w:rsidR="009B1949">
        <w:rPr>
          <w:szCs w:val="20"/>
          <w:lang w:val="es-ES"/>
        </w:rPr>
        <w:t xml:space="preserve"> funcional y administrativamente</w:t>
      </w:r>
      <w:r w:rsidR="00A9298C">
        <w:rPr>
          <w:szCs w:val="20"/>
          <w:lang w:val="es-ES"/>
        </w:rPr>
        <w:t xml:space="preserve"> del </w:t>
      </w:r>
      <w:r w:rsidR="009B1949">
        <w:rPr>
          <w:szCs w:val="20"/>
          <w:lang w:val="es-ES"/>
        </w:rPr>
        <w:t>P</w:t>
      </w:r>
      <w:r w:rsidR="00A9298C">
        <w:rPr>
          <w:szCs w:val="20"/>
          <w:lang w:val="es-ES"/>
        </w:rPr>
        <w:t xml:space="preserve">oder </w:t>
      </w:r>
      <w:r w:rsidR="009B1949">
        <w:rPr>
          <w:szCs w:val="20"/>
          <w:lang w:val="es-ES"/>
        </w:rPr>
        <w:t>E</w:t>
      </w:r>
      <w:r w:rsidR="00A9298C">
        <w:rPr>
          <w:szCs w:val="20"/>
          <w:lang w:val="es-ES"/>
        </w:rPr>
        <w:t xml:space="preserve">jecutivo y tal dependencia institucional se unía al hecho </w:t>
      </w:r>
      <w:r w:rsidR="009B1949">
        <w:rPr>
          <w:szCs w:val="20"/>
          <w:lang w:val="es-ES"/>
        </w:rPr>
        <w:t xml:space="preserve">de </w:t>
      </w:r>
      <w:r w:rsidR="00A9298C">
        <w:rPr>
          <w:szCs w:val="20"/>
          <w:lang w:val="es-ES"/>
        </w:rPr>
        <w:t xml:space="preserve">que los jueces, fiscales y magistrados de la jurisdicción penal </w:t>
      </w:r>
      <w:r w:rsidR="00A9298C">
        <w:rPr>
          <w:szCs w:val="20"/>
          <w:lang w:val="es-ES"/>
        </w:rPr>
        <w:lastRenderedPageBreak/>
        <w:t>policial del Ecuador eran designados y removidos por el Ministro de Gobierno</w:t>
      </w:r>
      <w:r w:rsidR="009B1949">
        <w:rPr>
          <w:szCs w:val="20"/>
          <w:lang w:val="es-ES"/>
        </w:rPr>
        <w:t>, a petición del Comandante General de la Policía Nacional.</w:t>
      </w:r>
      <w:r w:rsidR="00A9298C">
        <w:rPr>
          <w:rStyle w:val="FootnoteReference"/>
          <w:szCs w:val="20"/>
          <w:lang w:val="es-ES"/>
        </w:rPr>
        <w:footnoteReference w:id="134"/>
      </w:r>
      <w:r w:rsidR="00C80D1F">
        <w:rPr>
          <w:szCs w:val="20"/>
          <w:lang w:val="es-ES"/>
        </w:rPr>
        <w:t xml:space="preserve"> </w:t>
      </w:r>
      <w:r w:rsidR="00C80D1F" w:rsidRPr="00C80D1F">
        <w:rPr>
          <w:szCs w:val="20"/>
          <w:lang w:val="es-ES"/>
        </w:rPr>
        <w:t>Además, la relación de subordinación y cadena de mando, propia de la Policía Nacional, no ofrecía garantías suficientes de independencia e imparcialidad de los jueces penales policiales, a nivel personal o individual, debido a: la manera en que eran nombrados; la ausencia de garantías suficientes de estabilidad en el cargo (especialmente para los Juzgados de Distrito, cuyos puestos eran de libre nombramiento y remoción), y el estatus de oficiales en servicio activo de la mayoría de los intervinientes (lo cual generaba la posibilidad que los jueces de distrito, por ejemplo, tuvieran que investigar a funcionarios de mayor jerarquía o a sus mismos compañeros de promoción)</w:t>
      </w:r>
      <w:r w:rsidR="001425B8">
        <w:rPr>
          <w:rStyle w:val="FootnoteReference"/>
          <w:szCs w:val="20"/>
          <w:lang w:val="es-ES"/>
        </w:rPr>
        <w:footnoteReference w:id="135"/>
      </w:r>
      <w:r w:rsidR="00C80D1F" w:rsidRPr="00C80D1F">
        <w:rPr>
          <w:szCs w:val="20"/>
          <w:lang w:val="es-ES"/>
        </w:rPr>
        <w:t>.</w:t>
      </w:r>
      <w:r w:rsidR="00F7370C" w:rsidRPr="00F7370C">
        <w:rPr>
          <w:szCs w:val="20"/>
          <w:lang w:val="es-US"/>
        </w:rPr>
        <w:t xml:space="preserve"> </w:t>
      </w:r>
      <w:r w:rsidR="00F7370C">
        <w:rPr>
          <w:szCs w:val="20"/>
          <w:lang w:val="es-US"/>
        </w:rPr>
        <w:t xml:space="preserve">En virtud de lo anterior, la Comisión </w:t>
      </w:r>
      <w:r w:rsidR="00E0225F">
        <w:rPr>
          <w:szCs w:val="20"/>
          <w:lang w:val="es-US"/>
        </w:rPr>
        <w:t>estima</w:t>
      </w:r>
      <w:r w:rsidR="00F7370C">
        <w:rPr>
          <w:szCs w:val="20"/>
          <w:lang w:val="es-US"/>
        </w:rPr>
        <w:t xml:space="preserve"> que el procedimiento desarrollado ante el fuero policial </w:t>
      </w:r>
      <w:r w:rsidR="00E0225F">
        <w:rPr>
          <w:szCs w:val="20"/>
          <w:lang w:val="es-US"/>
        </w:rPr>
        <w:t>para la investigación</w:t>
      </w:r>
      <w:r w:rsidR="00E0225F">
        <w:rPr>
          <w:szCs w:val="20"/>
          <w:lang w:val="es-ES"/>
        </w:rPr>
        <w:t xml:space="preserve">, enjuiciamiento y sanción del caso que nos ocupa, </w:t>
      </w:r>
      <w:r w:rsidR="00E0225F">
        <w:rPr>
          <w:szCs w:val="20"/>
          <w:lang w:val="es-US"/>
        </w:rPr>
        <w:t>no</w:t>
      </w:r>
      <w:r w:rsidR="00F7370C">
        <w:rPr>
          <w:szCs w:val="20"/>
          <w:lang w:val="es-US"/>
        </w:rPr>
        <w:t xml:space="preserve"> daba garantías de independencia </w:t>
      </w:r>
      <w:r w:rsidR="00E0225F">
        <w:rPr>
          <w:szCs w:val="20"/>
          <w:lang w:val="es-US"/>
        </w:rPr>
        <w:t>ni</w:t>
      </w:r>
      <w:r w:rsidR="00F7370C">
        <w:rPr>
          <w:szCs w:val="20"/>
          <w:lang w:val="es-US"/>
        </w:rPr>
        <w:t xml:space="preserve"> imparcialidad</w:t>
      </w:r>
      <w:r w:rsidR="00E0225F">
        <w:rPr>
          <w:szCs w:val="20"/>
          <w:lang w:val="es-US"/>
        </w:rPr>
        <w:t>.</w:t>
      </w:r>
    </w:p>
    <w:p w14:paraId="60E4624D" w14:textId="77777777" w:rsidR="001425B8" w:rsidRPr="001425B8" w:rsidRDefault="001425B8" w:rsidP="001425B8">
      <w:pPr>
        <w:pStyle w:val="ListParagraph"/>
        <w:numPr>
          <w:ilvl w:val="0"/>
          <w:numId w:val="0"/>
        </w:numPr>
        <w:rPr>
          <w:szCs w:val="20"/>
          <w:lang w:val="es-US"/>
        </w:rPr>
      </w:pPr>
    </w:p>
    <w:p w14:paraId="349C11E5" w14:textId="77777777" w:rsidR="001425B8" w:rsidRPr="00A44D6C" w:rsidRDefault="00E0225F" w:rsidP="00A44D6C">
      <w:pPr>
        <w:pStyle w:val="ListParagraph"/>
        <w:rPr>
          <w:szCs w:val="20"/>
          <w:lang w:val="es-US"/>
        </w:rPr>
      </w:pPr>
      <w:r>
        <w:rPr>
          <w:szCs w:val="20"/>
          <w:lang w:val="es-US"/>
        </w:rPr>
        <w:t>Adicionalmente, la Comisión considera, como ha indicado también categoricamente l</w:t>
      </w:r>
      <w:r w:rsidR="001425B8">
        <w:rPr>
          <w:szCs w:val="20"/>
          <w:lang w:val="es-ES"/>
        </w:rPr>
        <w:t xml:space="preserve">a Corte </w:t>
      </w:r>
      <w:r>
        <w:rPr>
          <w:szCs w:val="20"/>
          <w:lang w:val="es-ES"/>
        </w:rPr>
        <w:t xml:space="preserve">Interamericana, </w:t>
      </w:r>
      <w:r w:rsidR="001425B8">
        <w:rPr>
          <w:szCs w:val="20"/>
          <w:lang w:val="es-ES"/>
        </w:rPr>
        <w:t xml:space="preserve">si bien el fuero policial se encuentra actualmente derogado en el Ecuador, </w:t>
      </w:r>
      <w:r>
        <w:rPr>
          <w:szCs w:val="20"/>
          <w:lang w:val="es-ES"/>
        </w:rPr>
        <w:t>la sola circunstancia</w:t>
      </w:r>
      <w:r w:rsidR="001425B8">
        <w:rPr>
          <w:szCs w:val="20"/>
          <w:lang w:val="es-ES"/>
        </w:rPr>
        <w:t xml:space="preserve"> de que al momento de los hechos se encontra</w:t>
      </w:r>
      <w:r>
        <w:rPr>
          <w:szCs w:val="20"/>
          <w:lang w:val="es-ES"/>
        </w:rPr>
        <w:t>b</w:t>
      </w:r>
      <w:r w:rsidR="001425B8">
        <w:rPr>
          <w:szCs w:val="20"/>
          <w:lang w:val="es-ES"/>
        </w:rPr>
        <w:t>a vigente</w:t>
      </w:r>
      <w:r w:rsidR="00C90BE8">
        <w:rPr>
          <w:szCs w:val="20"/>
          <w:lang w:val="es-ES"/>
        </w:rPr>
        <w:t xml:space="preserve"> y que el Estado no hubiera aplicado el cambio normativo al caso concreto, también conlleva el incumplimiento de su obligación de adecuar su normativa interna a fin de garantizar acceso a una justicia independiente e imparcial</w:t>
      </w:r>
      <w:r w:rsidR="00C90BE8">
        <w:rPr>
          <w:rStyle w:val="FootnoteReference"/>
          <w:szCs w:val="20"/>
          <w:lang w:val="es-ES"/>
        </w:rPr>
        <w:footnoteReference w:id="136"/>
      </w:r>
      <w:r w:rsidR="00C90BE8">
        <w:rPr>
          <w:szCs w:val="20"/>
          <w:lang w:val="es-ES"/>
        </w:rPr>
        <w:t xml:space="preserve">. </w:t>
      </w:r>
    </w:p>
    <w:p w14:paraId="62674393" w14:textId="77777777" w:rsidR="00104E9B" w:rsidRDefault="00104E9B" w:rsidP="0047130C">
      <w:pPr>
        <w:pStyle w:val="ListParagraph"/>
        <w:numPr>
          <w:ilvl w:val="0"/>
          <w:numId w:val="0"/>
        </w:numPr>
        <w:rPr>
          <w:szCs w:val="20"/>
          <w:lang w:val="es-ES"/>
        </w:rPr>
      </w:pPr>
    </w:p>
    <w:p w14:paraId="2E983FE3" w14:textId="77777777" w:rsidR="00C85503" w:rsidRDefault="00C85503" w:rsidP="00574704">
      <w:pPr>
        <w:pStyle w:val="Heading3"/>
        <w:rPr>
          <w:lang w:val="es-ES"/>
        </w:rPr>
      </w:pPr>
      <w:bookmarkStart w:id="23" w:name="_Toc35966094"/>
      <w:r>
        <w:rPr>
          <w:lang w:val="es-ES"/>
        </w:rPr>
        <w:t>Debida diligencia en la investigación, enjuiciamiento y sanción de los responsables por la muerte y torturas sufridas por Aníbal Aguas</w:t>
      </w:r>
      <w:bookmarkEnd w:id="23"/>
    </w:p>
    <w:p w14:paraId="21D7A702" w14:textId="77777777" w:rsidR="00C85503" w:rsidRDefault="00C85503" w:rsidP="0047130C">
      <w:pPr>
        <w:pStyle w:val="ListParagraph"/>
        <w:numPr>
          <w:ilvl w:val="0"/>
          <w:numId w:val="0"/>
        </w:numPr>
        <w:rPr>
          <w:szCs w:val="20"/>
          <w:lang w:val="es-ES"/>
        </w:rPr>
      </w:pPr>
    </w:p>
    <w:p w14:paraId="692EAC66" w14:textId="77777777" w:rsidR="00163F45" w:rsidRPr="00574704" w:rsidRDefault="00163F45" w:rsidP="00574704">
      <w:pPr>
        <w:pStyle w:val="ListParagraph"/>
        <w:rPr>
          <w:lang w:val="es-US"/>
        </w:rPr>
      </w:pPr>
      <w:r>
        <w:rPr>
          <w:szCs w:val="20"/>
          <w:lang w:val="es-US"/>
        </w:rPr>
        <w:t>C</w:t>
      </w:r>
      <w:r w:rsidR="00EB7B5C">
        <w:rPr>
          <w:szCs w:val="20"/>
          <w:lang w:val="es-US"/>
        </w:rPr>
        <w:t>omo se determinó en la sección anterior, la investigación</w:t>
      </w:r>
      <w:r w:rsidR="007879E7">
        <w:rPr>
          <w:szCs w:val="20"/>
          <w:lang w:val="es-US"/>
        </w:rPr>
        <w:t xml:space="preserve"> y procesamiento</w:t>
      </w:r>
      <w:r w:rsidR="00EB7B5C">
        <w:rPr>
          <w:szCs w:val="20"/>
          <w:lang w:val="es-US"/>
        </w:rPr>
        <w:t xml:space="preserve"> del caso que nos ocupa </w:t>
      </w:r>
      <w:r>
        <w:rPr>
          <w:szCs w:val="20"/>
          <w:lang w:val="es-US"/>
        </w:rPr>
        <w:t>se encontraba viciad</w:t>
      </w:r>
      <w:r w:rsidR="007879E7">
        <w:rPr>
          <w:szCs w:val="20"/>
          <w:lang w:val="es-US"/>
        </w:rPr>
        <w:t>o</w:t>
      </w:r>
      <w:r>
        <w:rPr>
          <w:szCs w:val="20"/>
          <w:lang w:val="es-US"/>
        </w:rPr>
        <w:t xml:space="preserve"> desde su origen</w:t>
      </w:r>
      <w:r>
        <w:rPr>
          <w:rStyle w:val="FootnoteReference"/>
          <w:szCs w:val="20"/>
          <w:lang w:val="es-US"/>
        </w:rPr>
        <w:footnoteReference w:id="137"/>
      </w:r>
      <w:r>
        <w:rPr>
          <w:szCs w:val="20"/>
          <w:lang w:val="es-US"/>
        </w:rPr>
        <w:t xml:space="preserve">, ya que fue </w:t>
      </w:r>
      <w:r w:rsidR="00EB7B5C">
        <w:rPr>
          <w:szCs w:val="20"/>
          <w:lang w:val="es-US"/>
        </w:rPr>
        <w:t xml:space="preserve">desarrollada ante </w:t>
      </w:r>
      <w:r>
        <w:rPr>
          <w:szCs w:val="20"/>
          <w:lang w:val="es-US"/>
        </w:rPr>
        <w:t>un</w:t>
      </w:r>
      <w:r w:rsidR="00EB7B5C">
        <w:rPr>
          <w:szCs w:val="20"/>
          <w:lang w:val="es-US"/>
        </w:rPr>
        <w:t xml:space="preserve"> fuero </w:t>
      </w:r>
      <w:r>
        <w:rPr>
          <w:szCs w:val="20"/>
          <w:lang w:val="es-US"/>
        </w:rPr>
        <w:t>que</w:t>
      </w:r>
      <w:r w:rsidR="00EB7B5C">
        <w:rPr>
          <w:szCs w:val="20"/>
          <w:lang w:val="es-US"/>
        </w:rPr>
        <w:t xml:space="preserve"> no cumpl</w:t>
      </w:r>
      <w:r>
        <w:rPr>
          <w:szCs w:val="20"/>
          <w:lang w:val="es-US"/>
        </w:rPr>
        <w:t>ía</w:t>
      </w:r>
      <w:r w:rsidR="00EB7B5C">
        <w:rPr>
          <w:szCs w:val="20"/>
          <w:lang w:val="es-US"/>
        </w:rPr>
        <w:t xml:space="preserve"> con los estándares de competencia, independencia e imparcialidad requeridos</w:t>
      </w:r>
      <w:r w:rsidR="007D3F96">
        <w:rPr>
          <w:szCs w:val="20"/>
          <w:lang w:val="es-US"/>
        </w:rPr>
        <w:t xml:space="preserve"> y</w:t>
      </w:r>
      <w:r w:rsidR="007879E7">
        <w:rPr>
          <w:szCs w:val="20"/>
          <w:lang w:val="es-US"/>
        </w:rPr>
        <w:t>,</w:t>
      </w:r>
      <w:r w:rsidR="007D3F96">
        <w:rPr>
          <w:szCs w:val="20"/>
          <w:lang w:val="es-US"/>
        </w:rPr>
        <w:t xml:space="preserve"> por lo tanto</w:t>
      </w:r>
      <w:r w:rsidR="007879E7">
        <w:rPr>
          <w:szCs w:val="20"/>
          <w:lang w:val="es-US"/>
        </w:rPr>
        <w:t>, eran incompatibles con la Convención Americana</w:t>
      </w:r>
      <w:r>
        <w:rPr>
          <w:szCs w:val="20"/>
          <w:lang w:val="es-US"/>
        </w:rPr>
        <w:t>. Sin perjuicio de ello,</w:t>
      </w:r>
      <w:r w:rsidR="009A4F9D">
        <w:rPr>
          <w:szCs w:val="20"/>
          <w:lang w:val="es-US"/>
        </w:rPr>
        <w:t xml:space="preserve"> </w:t>
      </w:r>
      <w:r w:rsidR="00EB7B5C">
        <w:rPr>
          <w:szCs w:val="20"/>
          <w:lang w:val="es-US"/>
        </w:rPr>
        <w:t xml:space="preserve">la Comisión estima pertinente </w:t>
      </w:r>
      <w:r w:rsidR="007879E7">
        <w:rPr>
          <w:szCs w:val="20"/>
          <w:lang w:val="es-US"/>
        </w:rPr>
        <w:t>formular algunas consideraciones sobre la debida diligencia en la investigación, enjuciamiento y sanción</w:t>
      </w:r>
      <w:r w:rsidRPr="00574704">
        <w:rPr>
          <w:lang w:val="es-US"/>
        </w:rPr>
        <w:t xml:space="preserve"> </w:t>
      </w:r>
      <w:r w:rsidR="007879E7">
        <w:rPr>
          <w:lang w:val="es-US"/>
        </w:rPr>
        <w:t>del caso.</w:t>
      </w:r>
    </w:p>
    <w:p w14:paraId="3E98B97E" w14:textId="77777777" w:rsidR="00020583" w:rsidRPr="00020583" w:rsidRDefault="00020583" w:rsidP="00020583">
      <w:pPr>
        <w:pStyle w:val="ListParagraph"/>
        <w:numPr>
          <w:ilvl w:val="0"/>
          <w:numId w:val="0"/>
        </w:numPr>
        <w:rPr>
          <w:szCs w:val="20"/>
          <w:lang w:val="es-US"/>
        </w:rPr>
      </w:pPr>
    </w:p>
    <w:p w14:paraId="0410FAF5" w14:textId="77777777" w:rsidR="00C4089D" w:rsidRPr="00C4089D" w:rsidRDefault="00EC6099" w:rsidP="00C4089D">
      <w:pPr>
        <w:pStyle w:val="ListParagraph"/>
        <w:rPr>
          <w:lang w:val="es-ES"/>
        </w:rPr>
      </w:pPr>
      <w:r>
        <w:rPr>
          <w:szCs w:val="20"/>
          <w:lang w:val="es-US"/>
        </w:rPr>
        <w:t xml:space="preserve">Por una parte, </w:t>
      </w:r>
      <w:r w:rsidR="00262BB6">
        <w:rPr>
          <w:szCs w:val="20"/>
          <w:lang w:val="es-US"/>
        </w:rPr>
        <w:t>l</w:t>
      </w:r>
      <w:r w:rsidR="005D5371" w:rsidRPr="00A533B1">
        <w:rPr>
          <w:szCs w:val="20"/>
          <w:lang w:val="es-US"/>
        </w:rPr>
        <w:t xml:space="preserve">a </w:t>
      </w:r>
      <w:r w:rsidR="00C95A3D">
        <w:rPr>
          <w:szCs w:val="20"/>
          <w:lang w:val="es-US"/>
        </w:rPr>
        <w:t xml:space="preserve">Comisión destaca que la </w:t>
      </w:r>
      <w:r w:rsidR="005D5371" w:rsidRPr="00A533B1">
        <w:rPr>
          <w:szCs w:val="20"/>
          <w:lang w:val="es-US"/>
        </w:rPr>
        <w:t xml:space="preserve">Corte ha </w:t>
      </w:r>
      <w:r>
        <w:rPr>
          <w:szCs w:val="20"/>
          <w:lang w:val="es-US"/>
        </w:rPr>
        <w:t xml:space="preserve">reiterado </w:t>
      </w:r>
      <w:r w:rsidR="005D5371" w:rsidRPr="00A533B1">
        <w:rPr>
          <w:szCs w:val="20"/>
          <w:lang w:val="es-US"/>
        </w:rPr>
        <w:t xml:space="preserve">de manera categórica que </w:t>
      </w:r>
      <w:r>
        <w:rPr>
          <w:szCs w:val="20"/>
          <w:lang w:val="es-US"/>
        </w:rPr>
        <w:t>la</w:t>
      </w:r>
      <w:r w:rsidR="005D5371" w:rsidRPr="00A533B1">
        <w:rPr>
          <w:szCs w:val="20"/>
          <w:lang w:val="es-US"/>
        </w:rPr>
        <w:t xml:space="preserve"> presunta comisión</w:t>
      </w:r>
      <w:r>
        <w:rPr>
          <w:szCs w:val="20"/>
          <w:lang w:val="es-US"/>
        </w:rPr>
        <w:t xml:space="preserve"> del delito de tortura</w:t>
      </w:r>
      <w:r w:rsidR="005D5371" w:rsidRPr="00A533B1">
        <w:rPr>
          <w:szCs w:val="20"/>
          <w:lang w:val="es-US"/>
        </w:rPr>
        <w:t xml:space="preserve"> “</w:t>
      </w:r>
      <w:r w:rsidR="005D5371" w:rsidRPr="00A533B1">
        <w:rPr>
          <w:szCs w:val="20"/>
          <w:lang w:val="es-ES"/>
        </w:rPr>
        <w:t>impone un deber especial de investigación por parte del Estado”</w:t>
      </w:r>
      <w:r w:rsidR="005D5371" w:rsidRPr="00EE2386">
        <w:rPr>
          <w:rStyle w:val="FootnoteReference"/>
          <w:color w:val="auto"/>
          <w:szCs w:val="20"/>
          <w:lang w:val="es-ES"/>
        </w:rPr>
        <w:footnoteReference w:id="138"/>
      </w:r>
      <w:r w:rsidR="005D5371" w:rsidRPr="00A533B1">
        <w:rPr>
          <w:szCs w:val="20"/>
          <w:lang w:val="es-ES"/>
        </w:rPr>
        <w:t>. En efecto, a la luz de la obligación general de respeto y garantía prevista en el artículo 1.1 de la Convención, “el Estado tiene el deber de iniciar de oficio e inmediatamente una investigación efectiva que permita identificar, juzgar y sancionar a los responsables cuando existe denuncia o razón fundada que se ha cometido un acto de tortura”</w:t>
      </w:r>
      <w:r w:rsidR="005D5371" w:rsidRPr="00EE2386">
        <w:rPr>
          <w:rStyle w:val="FootnoteReference"/>
          <w:color w:val="auto"/>
          <w:szCs w:val="20"/>
          <w:lang w:val="es-ES"/>
        </w:rPr>
        <w:footnoteReference w:id="139"/>
      </w:r>
      <w:r w:rsidR="005D5371" w:rsidRPr="00A533B1">
        <w:rPr>
          <w:szCs w:val="20"/>
          <w:lang w:val="es-ES"/>
        </w:rPr>
        <w:t>. Particularmente cuando “existan indicios de su ocurrencia, el Estado deberá iniciar de oficio y de inmediato una investigación imparcial, independiente y minuciosa que permita determinar la naturaleza y el origen de las lesiones advertidas, identificar a los responsables e iniciar su procesamiento”</w:t>
      </w:r>
      <w:r w:rsidR="005D5371" w:rsidRPr="00EE2386">
        <w:rPr>
          <w:rStyle w:val="FootnoteReference"/>
          <w:color w:val="auto"/>
          <w:szCs w:val="20"/>
          <w:lang w:val="es-ES"/>
        </w:rPr>
        <w:footnoteReference w:id="140"/>
      </w:r>
      <w:r w:rsidR="005D5371" w:rsidRPr="00A533B1">
        <w:rPr>
          <w:szCs w:val="20"/>
          <w:lang w:val="es-ES"/>
        </w:rPr>
        <w:t xml:space="preserve">. </w:t>
      </w:r>
      <w:r w:rsidR="00AD6EDB" w:rsidRPr="00AD6EDB">
        <w:rPr>
          <w:bdr w:val="none" w:sz="0" w:space="0" w:color="auto" w:frame="1"/>
          <w:lang w:val="es-ES"/>
        </w:rPr>
        <w:t>La obligación del Estado de investigar posibles actos de tortura se ve reforzada por lo dispuesto en los artículos 1, 6 y 8 de la Convención Interamericana contra la Tortura, que obliga al Estado a "toma[r] medidas efectivas para prevenir y sancionar la tortura en el ámbito de su jurisdicción"</w:t>
      </w:r>
      <w:r w:rsidR="00AD6EDB">
        <w:rPr>
          <w:rStyle w:val="FootnoteReference"/>
          <w:bdr w:val="none" w:sz="0" w:space="0" w:color="auto" w:frame="1"/>
          <w:lang w:val="es-ES"/>
        </w:rPr>
        <w:footnoteReference w:id="141"/>
      </w:r>
      <w:r w:rsidR="00AD6EDB" w:rsidRPr="00AD6EDB">
        <w:rPr>
          <w:bdr w:val="none" w:sz="0" w:space="0" w:color="auto" w:frame="1"/>
          <w:lang w:val="es-ES"/>
        </w:rPr>
        <w:t xml:space="preserve">. </w:t>
      </w:r>
    </w:p>
    <w:p w14:paraId="1A7836DD" w14:textId="77777777" w:rsidR="00C4089D" w:rsidRPr="00B57A0A" w:rsidRDefault="00C4089D" w:rsidP="00C4089D">
      <w:pPr>
        <w:pStyle w:val="ListParagraph"/>
        <w:numPr>
          <w:ilvl w:val="0"/>
          <w:numId w:val="0"/>
        </w:numPr>
        <w:rPr>
          <w:lang w:val="es-ES"/>
        </w:rPr>
      </w:pPr>
    </w:p>
    <w:p w14:paraId="10DD760F" w14:textId="77777777" w:rsidR="00EC7605" w:rsidRDefault="00B57A0A" w:rsidP="00E8143B">
      <w:pPr>
        <w:pStyle w:val="ListParagraph"/>
        <w:rPr>
          <w:bdr w:val="none" w:sz="0" w:space="0" w:color="auto"/>
          <w:lang w:val="es-ES"/>
        </w:rPr>
      </w:pPr>
      <w:r w:rsidRPr="00E8143B">
        <w:rPr>
          <w:lang w:val="es-ES"/>
        </w:rPr>
        <w:t>La</w:t>
      </w:r>
      <w:r w:rsidR="004B0D6F" w:rsidRPr="00E8143B">
        <w:rPr>
          <w:lang w:val="es-ES"/>
        </w:rPr>
        <w:t xml:space="preserve"> </w:t>
      </w:r>
      <w:r w:rsidR="004B0D6F" w:rsidRPr="00E8143B">
        <w:rPr>
          <w:bCs/>
          <w:lang w:val="es-ES"/>
        </w:rPr>
        <w:t>obligación de investigar</w:t>
      </w:r>
      <w:r w:rsidR="004B0D6F" w:rsidRPr="00E8143B">
        <w:rPr>
          <w:lang w:val="es-ES"/>
        </w:rPr>
        <w:t xml:space="preserve"> se ve </w:t>
      </w:r>
      <w:r w:rsidR="00104E9B" w:rsidRPr="00E8143B">
        <w:rPr>
          <w:lang w:val="es-ES"/>
        </w:rPr>
        <w:t xml:space="preserve">aún más </w:t>
      </w:r>
      <w:r w:rsidR="004B0D6F" w:rsidRPr="00E8143B">
        <w:rPr>
          <w:lang w:val="es-ES"/>
        </w:rPr>
        <w:t>acentuada en casos de uso de la fuerza</w:t>
      </w:r>
      <w:r w:rsidR="004B0D6F" w:rsidRPr="00EE2386">
        <w:rPr>
          <w:vertAlign w:val="superscript"/>
          <w:lang w:val="es-ES"/>
        </w:rPr>
        <w:footnoteReference w:id="142"/>
      </w:r>
      <w:r w:rsidR="004B0D6F" w:rsidRPr="00E8143B">
        <w:rPr>
          <w:lang w:val="es-ES"/>
        </w:rPr>
        <w:t xml:space="preserve">. </w:t>
      </w:r>
      <w:r w:rsidR="00DD5522" w:rsidRPr="00E8143B">
        <w:rPr>
          <w:lang w:val="es-ES"/>
        </w:rPr>
        <w:t xml:space="preserve">En </w:t>
      </w:r>
      <w:r w:rsidR="00E40535" w:rsidRPr="00E8143B">
        <w:rPr>
          <w:lang w:val="es-ES"/>
        </w:rPr>
        <w:t xml:space="preserve">efecto, la Comisión ha indicado que los estándares de debida diligencia en </w:t>
      </w:r>
      <w:r w:rsidR="00DD5522" w:rsidRPr="00E8143B">
        <w:rPr>
          <w:lang w:val="es-ES"/>
        </w:rPr>
        <w:t>los procesos que se inicien para la averiguación de operativos en que se hace uso de la fuerza</w:t>
      </w:r>
      <w:r w:rsidR="00E40535" w:rsidRPr="00E8143B">
        <w:rPr>
          <w:lang w:val="es-ES"/>
        </w:rPr>
        <w:t xml:space="preserve"> debe incluir</w:t>
      </w:r>
      <w:r w:rsidR="00DD5522" w:rsidRPr="00E8143B">
        <w:rPr>
          <w:bdr w:val="none" w:sz="0" w:space="0" w:color="auto"/>
          <w:lang w:val="es-ES"/>
        </w:rPr>
        <w:t xml:space="preserve"> “adoptar las medidas razonables para resguardar el acervo probatorio requerido para determinar los hechos objeto de escrutinio”</w:t>
      </w:r>
      <w:r w:rsidR="00DD5522" w:rsidRPr="00EE2386">
        <w:rPr>
          <w:bdr w:val="none" w:sz="0" w:space="0" w:color="auto"/>
          <w:vertAlign w:val="superscript"/>
          <w:lang w:val="es-ES"/>
        </w:rPr>
        <w:footnoteReference w:id="143"/>
      </w:r>
      <w:r w:rsidR="00DD5522" w:rsidRPr="00E8143B">
        <w:rPr>
          <w:bdr w:val="none" w:sz="0" w:space="0" w:color="auto"/>
          <w:lang w:val="es-ES"/>
        </w:rPr>
        <w:t xml:space="preserve">. Además, </w:t>
      </w:r>
      <w:r w:rsidR="00330151" w:rsidRPr="00E8143B">
        <w:rPr>
          <w:bdr w:val="none" w:sz="0" w:space="0" w:color="auto"/>
          <w:lang w:val="es-ES"/>
        </w:rPr>
        <w:t>l</w:t>
      </w:r>
      <w:r w:rsidR="00DD5522" w:rsidRPr="00E8143B">
        <w:rPr>
          <w:bdr w:val="none" w:sz="0" w:space="0" w:color="auto"/>
          <w:lang w:val="es-ES"/>
        </w:rPr>
        <w:t xml:space="preserve">a investigación debe </w:t>
      </w:r>
      <w:r w:rsidR="00DD5522" w:rsidRPr="00E8143B">
        <w:rPr>
          <w:bdr w:val="none" w:sz="0" w:space="0" w:color="auto"/>
          <w:lang w:val="es-ES"/>
        </w:rPr>
        <w:lastRenderedPageBreak/>
        <w:t>permitir determinar el grado y modo de</w:t>
      </w:r>
      <w:r w:rsidR="00EC7605">
        <w:rPr>
          <w:bdr w:val="none" w:sz="0" w:space="0" w:color="auto"/>
          <w:lang w:val="es-ES"/>
        </w:rPr>
        <w:t xml:space="preserve"> </w:t>
      </w:r>
      <w:r w:rsidR="00DD5522" w:rsidRPr="00E8143B">
        <w:rPr>
          <w:bdr w:val="none" w:sz="0" w:space="0" w:color="auto"/>
          <w:lang w:val="es-ES"/>
        </w:rPr>
        <w:t xml:space="preserve">participación de cada uno de los interventores, sean </w:t>
      </w:r>
      <w:r w:rsidR="00330151" w:rsidRPr="00E8143B">
        <w:rPr>
          <w:bdr w:val="none" w:sz="0" w:space="0" w:color="auto"/>
          <w:lang w:val="es-ES"/>
        </w:rPr>
        <w:t>estos</w:t>
      </w:r>
      <w:r w:rsidR="00DD5522" w:rsidRPr="00E8143B">
        <w:rPr>
          <w:bdr w:val="none" w:sz="0" w:space="0" w:color="auto"/>
          <w:lang w:val="es-ES"/>
        </w:rPr>
        <w:t xml:space="preserve"> materiales o intelectuales, y, con ello, establecer las responsabilidades que puedan corresponder</w:t>
      </w:r>
      <w:r w:rsidR="00DD5522" w:rsidRPr="00EE2386">
        <w:rPr>
          <w:bdr w:val="none" w:sz="0" w:space="0" w:color="auto"/>
          <w:vertAlign w:val="superscript"/>
          <w:lang w:val="es-ES"/>
        </w:rPr>
        <w:footnoteReference w:id="144"/>
      </w:r>
      <w:r w:rsidR="00DD5522" w:rsidRPr="00E8143B">
        <w:rPr>
          <w:bdr w:val="none" w:sz="0" w:space="0" w:color="auto"/>
          <w:lang w:val="es-ES"/>
        </w:rPr>
        <w:t>.</w:t>
      </w:r>
      <w:r w:rsidR="00DA509B" w:rsidRPr="00E8143B">
        <w:rPr>
          <w:bdr w:val="none" w:sz="0" w:space="0" w:color="auto"/>
          <w:lang w:val="es-ES"/>
        </w:rPr>
        <w:t xml:space="preserve"> </w:t>
      </w:r>
    </w:p>
    <w:p w14:paraId="1B06D2A7" w14:textId="77777777" w:rsidR="00EC7605" w:rsidRPr="00574704" w:rsidRDefault="00EC7605" w:rsidP="00574704">
      <w:pPr>
        <w:pStyle w:val="ListParagraph"/>
        <w:numPr>
          <w:ilvl w:val="0"/>
          <w:numId w:val="0"/>
        </w:numPr>
        <w:rPr>
          <w:lang w:val="es-ES"/>
        </w:rPr>
      </w:pPr>
    </w:p>
    <w:p w14:paraId="6FCC02CB" w14:textId="77777777" w:rsidR="00DA509B" w:rsidRPr="00E8143B" w:rsidRDefault="00DA509B" w:rsidP="00E8143B">
      <w:pPr>
        <w:pStyle w:val="ListParagraph"/>
        <w:rPr>
          <w:bdr w:val="none" w:sz="0" w:space="0" w:color="auto"/>
          <w:lang w:val="es-ES"/>
        </w:rPr>
      </w:pPr>
      <w:r w:rsidRPr="00E8143B">
        <w:rPr>
          <w:lang w:val="es-ES"/>
        </w:rPr>
        <w:t>Asimismo, con la finalidad de garantizar la debida diligencia en la realización de una investigación exhaustiva, seria, imparcial y efectiva, respecto de una muerte potencialmente ilícita, la Comisión destaca los estándares del Protocolo de Minnesota</w:t>
      </w:r>
      <w:r w:rsidRPr="003A13AE">
        <w:rPr>
          <w:rStyle w:val="FootnoteReference"/>
          <w:rFonts w:cs="Verdana"/>
          <w:sz w:val="16"/>
          <w:szCs w:val="16"/>
          <w:lang w:val="es-ES"/>
        </w:rPr>
        <w:footnoteReference w:id="145"/>
      </w:r>
      <w:r w:rsidRPr="00E8143B">
        <w:rPr>
          <w:lang w:val="es-ES"/>
        </w:rPr>
        <w:t xml:space="preserve">, vigentes desde 1991 y </w:t>
      </w:r>
      <w:r w:rsidRPr="00E8143B">
        <w:rPr>
          <w:lang w:val="es-US"/>
        </w:rPr>
        <w:t>aplicables en toda investigación de muertes violentas, súbitas, inesperadas y sospechosas</w:t>
      </w:r>
      <w:r w:rsidR="00ED58D0" w:rsidRPr="00E8143B">
        <w:rPr>
          <w:lang w:val="es-US"/>
        </w:rPr>
        <w:t>, incluidos los casos en que se sospeche que ha habido una ejecución extralegal, arbitraria o sumaria</w:t>
      </w:r>
      <w:r w:rsidRPr="00C777DD">
        <w:rPr>
          <w:rStyle w:val="FootnoteReference"/>
          <w:sz w:val="16"/>
          <w:szCs w:val="16"/>
          <w:lang w:val="es-US"/>
        </w:rPr>
        <w:footnoteReference w:id="146"/>
      </w:r>
      <w:r w:rsidRPr="00E8143B">
        <w:rPr>
          <w:sz w:val="16"/>
          <w:szCs w:val="16"/>
          <w:lang w:val="es-US"/>
        </w:rPr>
        <w:t>.</w:t>
      </w:r>
      <w:r w:rsidRPr="00E8143B">
        <w:rPr>
          <w:lang w:val="es-US"/>
        </w:rPr>
        <w:t xml:space="preserve"> </w:t>
      </w:r>
      <w:r w:rsidRPr="00E8143B">
        <w:rPr>
          <w:lang w:val="es-ES"/>
        </w:rPr>
        <w:t xml:space="preserve">Dicho </w:t>
      </w:r>
      <w:r w:rsidRPr="00E8143B">
        <w:rPr>
          <w:rFonts w:cs="Tahoma"/>
          <w:lang w:val="es-MX"/>
        </w:rPr>
        <w:t xml:space="preserve">instrumento establece </w:t>
      </w:r>
      <w:r w:rsidR="00E8143B" w:rsidRPr="00E8143B">
        <w:rPr>
          <w:rFonts w:cs="Tahoma"/>
          <w:lang w:val="es-MX"/>
        </w:rPr>
        <w:t>ciertos principios generales con</w:t>
      </w:r>
      <w:r w:rsidRPr="00E8143B">
        <w:rPr>
          <w:rFonts w:cs="Tahoma"/>
          <w:lang w:val="es-MX"/>
        </w:rPr>
        <w:t xml:space="preserve"> diligencias mínimas </w:t>
      </w:r>
      <w:r w:rsidR="004A0F5E" w:rsidRPr="00E8143B">
        <w:rPr>
          <w:bdr w:val="none" w:sz="0" w:space="0" w:color="auto"/>
          <w:lang w:val="es-ES"/>
        </w:rPr>
        <w:t xml:space="preserve">e indispensables </w:t>
      </w:r>
      <w:r w:rsidRPr="00E8143B">
        <w:rPr>
          <w:rFonts w:cs="Tahoma"/>
          <w:lang w:val="es-MX"/>
        </w:rPr>
        <w:t>a desarrollar</w:t>
      </w:r>
      <w:r w:rsidR="004A0F5E" w:rsidRPr="00E8143B">
        <w:rPr>
          <w:bdr w:val="none" w:sz="0" w:space="0" w:color="auto"/>
          <w:lang w:val="es-ES"/>
        </w:rPr>
        <w:t xml:space="preserve"> para la conservación de los elementos de prueba y evidencias que puedan contribuir al éxito</w:t>
      </w:r>
      <w:r w:rsidR="00E8143B" w:rsidRPr="00E8143B">
        <w:rPr>
          <w:bdr w:val="none" w:sz="0" w:space="0" w:color="auto"/>
          <w:lang w:val="es-ES"/>
        </w:rPr>
        <w:t xml:space="preserve"> </w:t>
      </w:r>
      <w:r w:rsidR="004A0F5E" w:rsidRPr="00E8143B">
        <w:rPr>
          <w:bdr w:val="none" w:sz="0" w:space="0" w:color="auto"/>
          <w:lang w:val="es-ES"/>
        </w:rPr>
        <w:t>de la investigación</w:t>
      </w:r>
      <w:r w:rsidRPr="00E8143B">
        <w:rPr>
          <w:rFonts w:cs="Tahoma"/>
          <w:lang w:val="es-MX"/>
        </w:rPr>
        <w:t xml:space="preserve"> </w:t>
      </w:r>
      <w:r w:rsidR="00E8143B" w:rsidRPr="00E8143B">
        <w:rPr>
          <w:rFonts w:cs="Tahoma"/>
          <w:lang w:val="es-MX"/>
        </w:rPr>
        <w:t>y ciertas directrices detalladas para la investigación, entrevistas,</w:t>
      </w:r>
      <w:r w:rsidR="004A0F5E" w:rsidRPr="00E8143B">
        <w:rPr>
          <w:bdr w:val="none" w:sz="0" w:space="0" w:color="auto"/>
          <w:lang w:val="es-ES"/>
        </w:rPr>
        <w:t xml:space="preserve"> tratamiento del cadáver de</w:t>
      </w:r>
      <w:r w:rsidR="00E8143B" w:rsidRPr="00E8143B">
        <w:rPr>
          <w:bdr w:val="none" w:sz="0" w:space="0" w:color="auto"/>
          <w:lang w:val="es-ES"/>
        </w:rPr>
        <w:t xml:space="preserve"> </w:t>
      </w:r>
      <w:r w:rsidR="004A0F5E" w:rsidRPr="00E8143B">
        <w:rPr>
          <w:bdr w:val="none" w:sz="0" w:space="0" w:color="auto"/>
          <w:lang w:val="es-ES"/>
        </w:rPr>
        <w:t>la víctima</w:t>
      </w:r>
      <w:r w:rsidR="00E8143B">
        <w:rPr>
          <w:bdr w:val="none" w:sz="0" w:space="0" w:color="auto"/>
          <w:lang w:val="es-ES"/>
        </w:rPr>
        <w:t xml:space="preserve"> y autopsia.</w:t>
      </w:r>
    </w:p>
    <w:p w14:paraId="00941372" w14:textId="77777777" w:rsidR="00EC7605" w:rsidRDefault="00EC7605" w:rsidP="00EC7605">
      <w:pPr>
        <w:pStyle w:val="Heading4"/>
        <w:rPr>
          <w:lang w:val="es-US"/>
        </w:rPr>
      </w:pPr>
    </w:p>
    <w:p w14:paraId="4BBAACE4" w14:textId="77777777" w:rsidR="00EC7605" w:rsidRPr="00A56A76" w:rsidRDefault="00EC7605" w:rsidP="00EC7605">
      <w:pPr>
        <w:pStyle w:val="Heading4"/>
        <w:rPr>
          <w:lang w:val="es-US"/>
        </w:rPr>
      </w:pPr>
      <w:bookmarkStart w:id="24" w:name="_Toc35966095"/>
      <w:r>
        <w:rPr>
          <w:lang w:val="es-US"/>
        </w:rPr>
        <w:t>Análisis en el presente caso</w:t>
      </w:r>
      <w:bookmarkEnd w:id="24"/>
    </w:p>
    <w:p w14:paraId="538794AC" w14:textId="77777777" w:rsidR="00EC7605" w:rsidRPr="0039606E" w:rsidRDefault="00EC7605" w:rsidP="004A0F5E">
      <w:pPr>
        <w:pStyle w:val="ListParagraph"/>
        <w:numPr>
          <w:ilvl w:val="0"/>
          <w:numId w:val="0"/>
        </w:numPr>
        <w:rPr>
          <w:bdr w:val="none" w:sz="0" w:space="0" w:color="auto"/>
          <w:lang w:val="es-ES"/>
        </w:rPr>
      </w:pPr>
    </w:p>
    <w:p w14:paraId="135F7ABB" w14:textId="77777777" w:rsidR="00C95A3D" w:rsidRPr="00C95A3D" w:rsidRDefault="00B60AC3" w:rsidP="009C31F6">
      <w:pPr>
        <w:pStyle w:val="ListParagraph"/>
        <w:rPr>
          <w:lang w:val="es-VE"/>
        </w:rPr>
      </w:pPr>
      <w:r w:rsidRPr="000230A9">
        <w:rPr>
          <w:szCs w:val="20"/>
          <w:lang w:val="es-ES"/>
        </w:rPr>
        <w:t xml:space="preserve">En el </w:t>
      </w:r>
      <w:r w:rsidR="003631C8">
        <w:rPr>
          <w:szCs w:val="20"/>
          <w:lang w:val="es-ES"/>
        </w:rPr>
        <w:t>presente caso</w:t>
      </w:r>
      <w:r w:rsidRPr="000230A9">
        <w:rPr>
          <w:szCs w:val="20"/>
          <w:lang w:val="es-ES"/>
        </w:rPr>
        <w:t xml:space="preserve">, tanto los jueces ordinarios que practicaron el levantamiento del cadáver de Aníbal Aguas, </w:t>
      </w:r>
      <w:r w:rsidR="00DC34E9">
        <w:rPr>
          <w:szCs w:val="20"/>
          <w:lang w:val="es-ES"/>
        </w:rPr>
        <w:t xml:space="preserve">el Ministerio Público y el Juez Quinto Penal que comenzaron con la investigación y persecución en el fuero ordinario, </w:t>
      </w:r>
      <w:r w:rsidRPr="000230A9">
        <w:rPr>
          <w:szCs w:val="20"/>
          <w:lang w:val="es-ES"/>
        </w:rPr>
        <w:t xml:space="preserve">como los miembros del fuero policial que </w:t>
      </w:r>
      <w:r w:rsidR="00DC34E9">
        <w:rPr>
          <w:szCs w:val="20"/>
          <w:lang w:val="es-ES"/>
        </w:rPr>
        <w:t>continuaron</w:t>
      </w:r>
      <w:r w:rsidR="00DC34E9" w:rsidRPr="000230A9">
        <w:rPr>
          <w:szCs w:val="20"/>
          <w:lang w:val="es-ES"/>
        </w:rPr>
        <w:t xml:space="preserve"> </w:t>
      </w:r>
      <w:r w:rsidRPr="000230A9">
        <w:rPr>
          <w:szCs w:val="20"/>
          <w:lang w:val="es-ES"/>
        </w:rPr>
        <w:t>adelante</w:t>
      </w:r>
      <w:r w:rsidR="00DC34E9">
        <w:rPr>
          <w:szCs w:val="20"/>
          <w:lang w:val="es-ES"/>
        </w:rPr>
        <w:t xml:space="preserve"> con</w:t>
      </w:r>
      <w:r w:rsidRPr="000230A9">
        <w:rPr>
          <w:szCs w:val="20"/>
          <w:lang w:val="es-ES"/>
        </w:rPr>
        <w:t xml:space="preserve"> la investigación y persecución </w:t>
      </w:r>
      <w:r w:rsidR="00DC34E9" w:rsidRPr="000230A9">
        <w:rPr>
          <w:szCs w:val="20"/>
          <w:lang w:val="es-ES"/>
        </w:rPr>
        <w:t>por su asesinato</w:t>
      </w:r>
      <w:r w:rsidR="00DC34E9">
        <w:rPr>
          <w:szCs w:val="20"/>
          <w:lang w:val="es-ES"/>
        </w:rPr>
        <w:t xml:space="preserve"> luego de que el fuero ordinario se inhibiera de seguir conociendo</w:t>
      </w:r>
      <w:r w:rsidRPr="000230A9">
        <w:rPr>
          <w:szCs w:val="20"/>
          <w:lang w:val="es-ES"/>
        </w:rPr>
        <w:t xml:space="preserve">, contaban con abundante evidencia demostrativa de que, antes de su fallecimiento, Aníbal Aguas </w:t>
      </w:r>
      <w:r w:rsidR="00DC34E9">
        <w:rPr>
          <w:szCs w:val="20"/>
          <w:lang w:val="es-ES"/>
        </w:rPr>
        <w:t xml:space="preserve">había </w:t>
      </w:r>
      <w:r w:rsidR="00DC34E9" w:rsidRPr="000230A9">
        <w:rPr>
          <w:szCs w:val="20"/>
          <w:lang w:val="es-ES"/>
        </w:rPr>
        <w:t>sufri</w:t>
      </w:r>
      <w:r w:rsidR="00DC34E9">
        <w:rPr>
          <w:szCs w:val="20"/>
          <w:lang w:val="es-ES"/>
        </w:rPr>
        <w:t>do</w:t>
      </w:r>
      <w:r w:rsidR="00DC34E9" w:rsidRPr="000230A9">
        <w:rPr>
          <w:szCs w:val="20"/>
          <w:lang w:val="es-ES"/>
        </w:rPr>
        <w:t xml:space="preserve"> </w:t>
      </w:r>
      <w:r w:rsidRPr="000230A9">
        <w:rPr>
          <w:szCs w:val="20"/>
          <w:lang w:val="es-ES"/>
        </w:rPr>
        <w:t xml:space="preserve">graves y múltiples lesiones. Sin embargo, ninguno de ellos activó la investigación y persecución de los responsables por el delito de tortura. </w:t>
      </w:r>
      <w:r w:rsidR="008A443F">
        <w:rPr>
          <w:szCs w:val="20"/>
          <w:lang w:val="es-ES"/>
        </w:rPr>
        <w:t>S</w:t>
      </w:r>
      <w:r w:rsidRPr="000230A9">
        <w:rPr>
          <w:szCs w:val="20"/>
          <w:lang w:val="es-ES"/>
        </w:rPr>
        <w:t xml:space="preserve">i bien en segunda instancia las condenas a dos de los policías que participaron del operativo fueron re-calificadas como muerte por tormentos corporales y su </w:t>
      </w:r>
      <w:r w:rsidR="00DC34E9">
        <w:rPr>
          <w:szCs w:val="20"/>
          <w:lang w:val="es-ES"/>
        </w:rPr>
        <w:t>pena</w:t>
      </w:r>
      <w:r w:rsidR="00DC34E9" w:rsidRPr="000230A9">
        <w:rPr>
          <w:szCs w:val="20"/>
          <w:lang w:val="es-ES"/>
        </w:rPr>
        <w:t xml:space="preserve"> </w:t>
      </w:r>
      <w:r w:rsidRPr="000230A9">
        <w:rPr>
          <w:szCs w:val="20"/>
          <w:lang w:val="es-ES"/>
        </w:rPr>
        <w:t xml:space="preserve">aumentada </w:t>
      </w:r>
      <w:r w:rsidR="00DC34E9">
        <w:rPr>
          <w:szCs w:val="20"/>
          <w:lang w:val="es-ES"/>
        </w:rPr>
        <w:t>como</w:t>
      </w:r>
      <w:r w:rsidR="00DC34E9" w:rsidRPr="000230A9">
        <w:rPr>
          <w:szCs w:val="20"/>
          <w:lang w:val="es-ES"/>
        </w:rPr>
        <w:t xml:space="preserve"> </w:t>
      </w:r>
      <w:r w:rsidR="000230A9" w:rsidRPr="000230A9">
        <w:rPr>
          <w:szCs w:val="20"/>
          <w:lang w:val="es-ES"/>
        </w:rPr>
        <w:t>consecuencia de ello</w:t>
      </w:r>
      <w:r w:rsidRPr="000230A9">
        <w:rPr>
          <w:szCs w:val="20"/>
          <w:lang w:val="es-ES"/>
        </w:rPr>
        <w:t xml:space="preserve">, la posible participación de los otros </w:t>
      </w:r>
      <w:r w:rsidR="000230A9" w:rsidRPr="000230A9">
        <w:rPr>
          <w:szCs w:val="20"/>
          <w:lang w:val="es-ES"/>
        </w:rPr>
        <w:t xml:space="preserve">cinco </w:t>
      </w:r>
      <w:r w:rsidRPr="000230A9">
        <w:rPr>
          <w:szCs w:val="20"/>
          <w:lang w:val="es-ES"/>
        </w:rPr>
        <w:t xml:space="preserve">policías que formaron parte del operativo </w:t>
      </w:r>
      <w:r w:rsidR="00C95A3D">
        <w:rPr>
          <w:szCs w:val="20"/>
          <w:lang w:val="es-ES"/>
        </w:rPr>
        <w:t xml:space="preserve">que resultó en </w:t>
      </w:r>
      <w:r w:rsidR="000230A9" w:rsidRPr="000230A9">
        <w:rPr>
          <w:szCs w:val="20"/>
          <w:lang w:val="es-ES"/>
        </w:rPr>
        <w:t xml:space="preserve">las torturas </w:t>
      </w:r>
      <w:r w:rsidR="00C95A3D">
        <w:rPr>
          <w:szCs w:val="20"/>
          <w:lang w:val="es-ES"/>
        </w:rPr>
        <w:t>y</w:t>
      </w:r>
      <w:r w:rsidR="000230A9" w:rsidRPr="000230A9">
        <w:rPr>
          <w:szCs w:val="20"/>
          <w:lang w:val="es-ES"/>
        </w:rPr>
        <w:t xml:space="preserve"> muerte de Aníbal Aguas, </w:t>
      </w:r>
      <w:r w:rsidRPr="000230A9">
        <w:rPr>
          <w:szCs w:val="20"/>
          <w:lang w:val="es-ES"/>
        </w:rPr>
        <w:t>el momento y lugar en que fue torturado</w:t>
      </w:r>
      <w:r w:rsidR="000230A9" w:rsidRPr="000230A9">
        <w:rPr>
          <w:szCs w:val="20"/>
          <w:lang w:val="es-ES"/>
        </w:rPr>
        <w:t xml:space="preserve"> y</w:t>
      </w:r>
      <w:r w:rsidRPr="000230A9">
        <w:rPr>
          <w:szCs w:val="20"/>
          <w:lang w:val="es-ES"/>
        </w:rPr>
        <w:t xml:space="preserve"> la naturaleza y exacto origen de las múltiples lesiones que presentaba su cadáver, </w:t>
      </w:r>
      <w:r w:rsidR="003631C8">
        <w:rPr>
          <w:szCs w:val="20"/>
          <w:lang w:val="es-ES"/>
        </w:rPr>
        <w:t xml:space="preserve">no </w:t>
      </w:r>
      <w:r w:rsidRPr="000230A9">
        <w:rPr>
          <w:szCs w:val="20"/>
          <w:lang w:val="es-ES"/>
        </w:rPr>
        <w:t>fueron investigadas</w:t>
      </w:r>
      <w:r w:rsidR="003631C8">
        <w:rPr>
          <w:szCs w:val="20"/>
          <w:lang w:val="es-ES"/>
        </w:rPr>
        <w:t xml:space="preserve"> de forma exhaustiva</w:t>
      </w:r>
      <w:r w:rsidR="00DC34E9">
        <w:rPr>
          <w:szCs w:val="20"/>
          <w:lang w:val="es-ES"/>
        </w:rPr>
        <w:t>, enjuiciadas o sancionadas</w:t>
      </w:r>
      <w:r w:rsidRPr="000230A9">
        <w:rPr>
          <w:szCs w:val="20"/>
          <w:lang w:val="es-ES"/>
        </w:rPr>
        <w:t>.</w:t>
      </w:r>
      <w:r w:rsidR="000230A9" w:rsidRPr="000230A9">
        <w:rPr>
          <w:szCs w:val="20"/>
          <w:lang w:val="es-ES"/>
        </w:rPr>
        <w:t xml:space="preserve"> </w:t>
      </w:r>
    </w:p>
    <w:p w14:paraId="50F40F28" w14:textId="77777777" w:rsidR="00C95A3D" w:rsidRPr="00C95A3D" w:rsidRDefault="00C95A3D" w:rsidP="00C95A3D">
      <w:pPr>
        <w:pStyle w:val="ListParagraph"/>
        <w:numPr>
          <w:ilvl w:val="0"/>
          <w:numId w:val="0"/>
        </w:numPr>
        <w:rPr>
          <w:szCs w:val="20"/>
          <w:lang w:val="es-ES"/>
        </w:rPr>
      </w:pPr>
    </w:p>
    <w:p w14:paraId="3DF6465A" w14:textId="77777777" w:rsidR="00E44DCD" w:rsidRPr="00574704" w:rsidRDefault="000230A9" w:rsidP="00574704">
      <w:pPr>
        <w:pStyle w:val="ListParagraph"/>
        <w:rPr>
          <w:lang w:val="es-VE"/>
        </w:rPr>
      </w:pPr>
      <w:r w:rsidRPr="000230A9">
        <w:rPr>
          <w:szCs w:val="20"/>
          <w:lang w:val="es-ES"/>
        </w:rPr>
        <w:t>Además, c</w:t>
      </w:r>
      <w:r w:rsidR="000E7C1D" w:rsidRPr="000230A9">
        <w:rPr>
          <w:bdr w:val="none" w:sz="0" w:space="0" w:color="auto"/>
          <w:lang w:val="es-ES"/>
        </w:rPr>
        <w:t xml:space="preserve">omo queda de manifiesto en la relación de los hechos probados del caso, desde un primer momento la investigación del fuero ordinario primero y la del fuero policial seguidamente, no cumplieron </w:t>
      </w:r>
      <w:r w:rsidRPr="000230A9">
        <w:rPr>
          <w:bdr w:val="none" w:sz="0" w:space="0" w:color="auto"/>
          <w:lang w:val="es-ES"/>
        </w:rPr>
        <w:t>con los estándares de debida diligencia exigidos</w:t>
      </w:r>
      <w:r w:rsidR="00B60AC3" w:rsidRPr="000230A9">
        <w:rPr>
          <w:bdr w:val="none" w:sz="0" w:space="0" w:color="auto"/>
          <w:lang w:val="es-ES"/>
        </w:rPr>
        <w:t xml:space="preserve">. </w:t>
      </w:r>
      <w:r w:rsidRPr="000230A9">
        <w:rPr>
          <w:bdr w:val="none" w:sz="0" w:space="0" w:color="auto"/>
          <w:lang w:val="es-ES"/>
        </w:rPr>
        <w:t>En efecto, e</w:t>
      </w:r>
      <w:r w:rsidR="00B60AC3" w:rsidRPr="000230A9">
        <w:rPr>
          <w:bdr w:val="none" w:sz="0" w:space="0" w:color="auto"/>
          <w:lang w:val="es-ES"/>
        </w:rPr>
        <w:t>l primer levantamiento del cadáver fue deficiente, por lo que</w:t>
      </w:r>
      <w:r w:rsidR="00DC34E9">
        <w:rPr>
          <w:bdr w:val="none" w:sz="0" w:space="0" w:color="auto"/>
          <w:lang w:val="es-ES"/>
        </w:rPr>
        <w:t xml:space="preserve">, a petición de los familiares de Aníbal Aguas, </w:t>
      </w:r>
      <w:r w:rsidR="00B60AC3" w:rsidRPr="000230A9">
        <w:rPr>
          <w:bdr w:val="none" w:sz="0" w:space="0" w:color="auto"/>
          <w:lang w:val="es-ES"/>
        </w:rPr>
        <w:t>tuvo que intervenir un segundo juez y practicar nuevamente la diligencia</w:t>
      </w:r>
      <w:r w:rsidR="00DC34E9">
        <w:rPr>
          <w:bdr w:val="none" w:sz="0" w:space="0" w:color="auto"/>
          <w:lang w:val="es-ES"/>
        </w:rPr>
        <w:t>,</w:t>
      </w:r>
      <w:r w:rsidR="005E2804">
        <w:rPr>
          <w:bdr w:val="none" w:sz="0" w:space="0" w:color="auto"/>
          <w:lang w:val="es-ES"/>
        </w:rPr>
        <w:t xml:space="preserve"> la que aún </w:t>
      </w:r>
      <w:r w:rsidR="00DC34E9">
        <w:rPr>
          <w:bdr w:val="none" w:sz="0" w:space="0" w:color="auto"/>
          <w:lang w:val="es-ES"/>
        </w:rPr>
        <w:t xml:space="preserve">resulta </w:t>
      </w:r>
      <w:r w:rsidR="005E2804">
        <w:rPr>
          <w:bdr w:val="none" w:sz="0" w:space="0" w:color="auto"/>
          <w:lang w:val="es-ES"/>
        </w:rPr>
        <w:t xml:space="preserve">incompleta ya que no cumple con las </w:t>
      </w:r>
      <w:r w:rsidR="00E31CCA">
        <w:rPr>
          <w:bdr w:val="none" w:sz="0" w:space="0" w:color="auto"/>
          <w:lang w:val="es-ES"/>
        </w:rPr>
        <w:t xml:space="preserve">claras </w:t>
      </w:r>
      <w:r w:rsidR="005E2804">
        <w:rPr>
          <w:bdr w:val="none" w:sz="0" w:space="0" w:color="auto"/>
          <w:lang w:val="es-ES"/>
        </w:rPr>
        <w:t xml:space="preserve">directrices del </w:t>
      </w:r>
      <w:r w:rsidR="005E2804" w:rsidRPr="00B079F6">
        <w:rPr>
          <w:i/>
          <w:bdr w:val="none" w:sz="0" w:space="0" w:color="auto"/>
          <w:lang w:val="es-ES"/>
        </w:rPr>
        <w:t>Protocolo de Minnesota</w:t>
      </w:r>
      <w:r w:rsidR="00DC34E9">
        <w:rPr>
          <w:bdr w:val="none" w:sz="0" w:space="0" w:color="auto"/>
          <w:lang w:val="es-ES"/>
        </w:rPr>
        <w:t xml:space="preserve">, como la toma de fotografías, detalles de </w:t>
      </w:r>
      <w:r w:rsidR="00E44DCD">
        <w:rPr>
          <w:bdr w:val="none" w:sz="0" w:space="0" w:color="auto"/>
          <w:lang w:val="es-ES"/>
        </w:rPr>
        <w:t xml:space="preserve">su realización y de </w:t>
      </w:r>
      <w:r w:rsidR="00DC34E9">
        <w:rPr>
          <w:bdr w:val="none" w:sz="0" w:space="0" w:color="auto"/>
          <w:lang w:val="es-ES"/>
        </w:rPr>
        <w:t>quienes participaron en el procedimiento,</w:t>
      </w:r>
      <w:r w:rsidR="00E44DCD">
        <w:rPr>
          <w:bdr w:val="none" w:sz="0" w:space="0" w:color="auto"/>
          <w:lang w:val="es-ES"/>
        </w:rPr>
        <w:t xml:space="preserve"> examen de las prendas, cumplimiento de las normas de procedimiento para examen interno y externo, entre otras</w:t>
      </w:r>
      <w:r w:rsidR="005E2804">
        <w:rPr>
          <w:bdr w:val="none" w:sz="0" w:space="0" w:color="auto"/>
          <w:lang w:val="es-ES"/>
        </w:rPr>
        <w:t xml:space="preserve">. </w:t>
      </w:r>
      <w:r w:rsidR="005E2804" w:rsidRPr="00574704">
        <w:rPr>
          <w:bdr w:val="none" w:sz="0" w:space="0" w:color="auto"/>
          <w:lang w:val="es-ES"/>
        </w:rPr>
        <w:t>A</w:t>
      </w:r>
      <w:r w:rsidR="00E44DCD" w:rsidRPr="00574704">
        <w:rPr>
          <w:bdr w:val="none" w:sz="0" w:space="0" w:color="auto"/>
          <w:lang w:val="es-ES"/>
        </w:rPr>
        <w:t>simismo</w:t>
      </w:r>
      <w:r w:rsidR="005E2804" w:rsidRPr="00574704">
        <w:rPr>
          <w:bdr w:val="none" w:sz="0" w:space="0" w:color="auto"/>
          <w:lang w:val="es-ES"/>
        </w:rPr>
        <w:t xml:space="preserve">, </w:t>
      </w:r>
      <w:r w:rsidRPr="00574704">
        <w:rPr>
          <w:bdr w:val="none" w:sz="0" w:space="0" w:color="auto"/>
          <w:lang w:val="es-ES"/>
        </w:rPr>
        <w:t>en general,</w:t>
      </w:r>
      <w:r w:rsidR="000E7C1D" w:rsidRPr="00574704">
        <w:rPr>
          <w:bdr w:val="none" w:sz="0" w:space="0" w:color="auto"/>
          <w:lang w:val="es-ES"/>
        </w:rPr>
        <w:t xml:space="preserve"> </w:t>
      </w:r>
      <w:r w:rsidR="00B60AC3" w:rsidRPr="00574704">
        <w:rPr>
          <w:bdr w:val="none" w:sz="0" w:space="0" w:color="auto"/>
          <w:lang w:val="es-ES"/>
        </w:rPr>
        <w:t xml:space="preserve">las diligencias </w:t>
      </w:r>
      <w:r w:rsidRPr="00574704">
        <w:rPr>
          <w:bdr w:val="none" w:sz="0" w:space="0" w:color="auto"/>
          <w:lang w:val="es-ES"/>
        </w:rPr>
        <w:t xml:space="preserve">investigativas </w:t>
      </w:r>
      <w:r w:rsidR="00B60AC3" w:rsidRPr="00574704">
        <w:rPr>
          <w:bdr w:val="none" w:sz="0" w:space="0" w:color="auto"/>
          <w:lang w:val="es-ES"/>
        </w:rPr>
        <w:t xml:space="preserve">del </w:t>
      </w:r>
      <w:r w:rsidR="00B60AC3" w:rsidRPr="00574704">
        <w:rPr>
          <w:szCs w:val="20"/>
          <w:lang w:val="es-PE"/>
        </w:rPr>
        <w:t xml:space="preserve">Juez Quinto Penal </w:t>
      </w:r>
      <w:r w:rsidRPr="00574704">
        <w:rPr>
          <w:szCs w:val="20"/>
          <w:lang w:val="es-PE"/>
        </w:rPr>
        <w:t xml:space="preserve">– esenciales para el resguardo del acervo probatorio ya que se realizaron en los primeros días luego del crimen – </w:t>
      </w:r>
      <w:r w:rsidR="00B60AC3" w:rsidRPr="00574704">
        <w:rPr>
          <w:bdr w:val="none" w:sz="0" w:space="0" w:color="auto"/>
          <w:lang w:val="es-ES"/>
        </w:rPr>
        <w:t>fueron</w:t>
      </w:r>
      <w:r w:rsidRPr="00574704">
        <w:rPr>
          <w:bdr w:val="none" w:sz="0" w:space="0" w:color="auto"/>
          <w:lang w:val="es-ES"/>
        </w:rPr>
        <w:t xml:space="preserve"> </w:t>
      </w:r>
      <w:r w:rsidR="00B60AC3" w:rsidRPr="00574704">
        <w:rPr>
          <w:bdr w:val="none" w:sz="0" w:space="0" w:color="auto"/>
          <w:lang w:val="es-ES"/>
        </w:rPr>
        <w:t xml:space="preserve">tan deficientes que el propio </w:t>
      </w:r>
      <w:r w:rsidR="00B60AC3" w:rsidRPr="00574704">
        <w:rPr>
          <w:szCs w:val="20"/>
          <w:lang w:val="es-PE"/>
        </w:rPr>
        <w:t>Tribunal Constitucional en su decisión de 28 de septiembre de 1998 indicó que su actuación era cuestionable y censurable “por cuanto las pruebas obtenidas no fueron recogidas y actuadas con sentido de justicia y equidad, provocando incluso la indefensión de la parte acusadora”.</w:t>
      </w:r>
      <w:r w:rsidRPr="00574704">
        <w:rPr>
          <w:szCs w:val="20"/>
          <w:lang w:val="es-PE"/>
        </w:rPr>
        <w:t xml:space="preserve"> </w:t>
      </w:r>
    </w:p>
    <w:p w14:paraId="2BF5B5DA" w14:textId="77777777" w:rsidR="00E44DCD" w:rsidRPr="00574704" w:rsidRDefault="00E44DCD" w:rsidP="00574704">
      <w:pPr>
        <w:pStyle w:val="ListParagraph"/>
        <w:numPr>
          <w:ilvl w:val="0"/>
          <w:numId w:val="0"/>
        </w:numPr>
        <w:rPr>
          <w:szCs w:val="20"/>
          <w:lang w:val="es-PE"/>
        </w:rPr>
      </w:pPr>
    </w:p>
    <w:p w14:paraId="0C4E26CB" w14:textId="77777777" w:rsidR="007879E7" w:rsidRPr="00574704" w:rsidRDefault="005E2804" w:rsidP="00F77983">
      <w:pPr>
        <w:pStyle w:val="ListParagraph"/>
        <w:rPr>
          <w:lang w:val="es-VE"/>
        </w:rPr>
      </w:pPr>
      <w:r>
        <w:rPr>
          <w:szCs w:val="20"/>
          <w:lang w:val="es-PE"/>
        </w:rPr>
        <w:t>El mismo Tribunal Constitucional también criticó el actuar del fuero policial</w:t>
      </w:r>
      <w:r w:rsidR="00604A9B">
        <w:rPr>
          <w:szCs w:val="20"/>
          <w:lang w:val="es-PE"/>
        </w:rPr>
        <w:t>, indicando que la actuación del juez de la causa era parcializada</w:t>
      </w:r>
      <w:r>
        <w:rPr>
          <w:szCs w:val="20"/>
          <w:lang w:val="es-PE"/>
        </w:rPr>
        <w:t xml:space="preserve">. </w:t>
      </w:r>
      <w:r w:rsidR="000230A9" w:rsidRPr="000230A9">
        <w:rPr>
          <w:szCs w:val="20"/>
          <w:lang w:val="es-PE"/>
        </w:rPr>
        <w:t xml:space="preserve">Además, tanto el fuero ordinario como el fuero policial </w:t>
      </w:r>
      <w:r w:rsidR="000E7C1D" w:rsidRPr="000230A9">
        <w:rPr>
          <w:bdr w:val="none" w:sz="0" w:space="0" w:color="auto"/>
          <w:lang w:val="es-ES"/>
        </w:rPr>
        <w:t>se enfoc</w:t>
      </w:r>
      <w:r w:rsidR="000230A9">
        <w:rPr>
          <w:bdr w:val="none" w:sz="0" w:space="0" w:color="auto"/>
          <w:lang w:val="es-ES"/>
        </w:rPr>
        <w:t>aron</w:t>
      </w:r>
      <w:r w:rsidR="000E7C1D" w:rsidRPr="000230A9">
        <w:rPr>
          <w:bdr w:val="none" w:sz="0" w:space="0" w:color="auto"/>
          <w:lang w:val="es-ES"/>
        </w:rPr>
        <w:t xml:space="preserve"> exclusivamente en la participaci</w:t>
      </w:r>
      <w:r w:rsidR="000230A9">
        <w:rPr>
          <w:bdr w:val="none" w:sz="0" w:space="0" w:color="auto"/>
          <w:lang w:val="es-ES"/>
        </w:rPr>
        <w:t>ón de dos policías, sin explorar otras líneas de investigación, ni la participación de cada uno de los interventores</w:t>
      </w:r>
      <w:r w:rsidR="00D802BA">
        <w:rPr>
          <w:bdr w:val="none" w:sz="0" w:space="0" w:color="auto"/>
          <w:lang w:val="es-ES"/>
        </w:rPr>
        <w:t xml:space="preserve"> en el operativo policial</w:t>
      </w:r>
      <w:r>
        <w:rPr>
          <w:bdr w:val="none" w:sz="0" w:space="0" w:color="auto"/>
          <w:lang w:val="es-ES"/>
        </w:rPr>
        <w:t>, ni tomaron las diligencias mínimas indispensables para resguardar el acervo probatorio</w:t>
      </w:r>
      <w:r w:rsidR="000230A9">
        <w:rPr>
          <w:bdr w:val="none" w:sz="0" w:space="0" w:color="auto"/>
          <w:lang w:val="es-ES"/>
        </w:rPr>
        <w:t>.</w:t>
      </w:r>
      <w:r w:rsidR="00604A9B">
        <w:rPr>
          <w:bdr w:val="none" w:sz="0" w:space="0" w:color="auto"/>
          <w:lang w:val="es-ES"/>
        </w:rPr>
        <w:t xml:space="preserve"> </w:t>
      </w:r>
      <w:r w:rsidR="00E31CCA">
        <w:rPr>
          <w:bdr w:val="none" w:sz="0" w:space="0" w:color="auto"/>
          <w:lang w:val="es-ES"/>
        </w:rPr>
        <w:t>Por otra parte, e</w:t>
      </w:r>
      <w:r w:rsidR="00604A9B">
        <w:rPr>
          <w:bdr w:val="none" w:sz="0" w:space="0" w:color="auto"/>
          <w:lang w:val="es-ES"/>
        </w:rPr>
        <w:t xml:space="preserve">l Fiscal a cargo del proceso se abstuvo a acusar penalmente a todos los posibles involucrados en el crimen, </w:t>
      </w:r>
      <w:r w:rsidR="00E31CCA">
        <w:rPr>
          <w:bdr w:val="none" w:sz="0" w:space="0" w:color="auto"/>
          <w:lang w:val="es-ES"/>
        </w:rPr>
        <w:t xml:space="preserve">pero </w:t>
      </w:r>
      <w:r w:rsidR="00604A9B">
        <w:rPr>
          <w:bdr w:val="none" w:sz="0" w:space="0" w:color="auto"/>
          <w:lang w:val="es-ES"/>
        </w:rPr>
        <w:t>no habiendo investigado exhaustivamente</w:t>
      </w:r>
      <w:r w:rsidR="00E31CCA">
        <w:rPr>
          <w:bdr w:val="none" w:sz="0" w:space="0" w:color="auto"/>
          <w:lang w:val="es-ES"/>
        </w:rPr>
        <w:t xml:space="preserve"> ya </w:t>
      </w:r>
      <w:r w:rsidR="00E31CCA">
        <w:rPr>
          <w:bdr w:val="none" w:sz="0" w:space="0" w:color="auto"/>
          <w:lang w:val="es-ES"/>
        </w:rPr>
        <w:lastRenderedPageBreak/>
        <w:t>que</w:t>
      </w:r>
      <w:r w:rsidR="00604A9B">
        <w:rPr>
          <w:bdr w:val="none" w:sz="0" w:space="0" w:color="auto"/>
          <w:lang w:val="es-ES"/>
        </w:rPr>
        <w:t xml:space="preserve">, </w:t>
      </w:r>
      <w:r w:rsidR="00E31CCA">
        <w:rPr>
          <w:bdr w:val="none" w:sz="0" w:space="0" w:color="auto"/>
          <w:lang w:val="es-ES"/>
        </w:rPr>
        <w:t xml:space="preserve">según </w:t>
      </w:r>
      <w:r w:rsidR="00604A9B">
        <w:rPr>
          <w:bdr w:val="none" w:sz="0" w:space="0" w:color="auto"/>
          <w:lang w:val="es-ES"/>
        </w:rPr>
        <w:t xml:space="preserve">consta de sus </w:t>
      </w:r>
      <w:r w:rsidR="00E44DCD">
        <w:rPr>
          <w:bdr w:val="none" w:sz="0" w:space="0" w:color="auto"/>
          <w:lang w:val="es-ES"/>
        </w:rPr>
        <w:t xml:space="preserve">propias </w:t>
      </w:r>
      <w:r w:rsidR="00604A9B">
        <w:rPr>
          <w:bdr w:val="none" w:sz="0" w:space="0" w:color="auto"/>
          <w:lang w:val="es-ES"/>
        </w:rPr>
        <w:t xml:space="preserve">consideraciones, los testigos presenciales no habrían comparecido </w:t>
      </w:r>
      <w:r w:rsidR="00E31CCA">
        <w:rPr>
          <w:bdr w:val="none" w:sz="0" w:space="0" w:color="auto"/>
          <w:lang w:val="es-ES"/>
        </w:rPr>
        <w:t xml:space="preserve">voluntariamente </w:t>
      </w:r>
      <w:r w:rsidR="00604A9B">
        <w:rPr>
          <w:bdr w:val="none" w:sz="0" w:space="0" w:color="auto"/>
          <w:lang w:val="es-ES"/>
        </w:rPr>
        <w:t xml:space="preserve">a declarar, </w:t>
      </w:r>
      <w:r w:rsidR="00E31CCA">
        <w:rPr>
          <w:bdr w:val="none" w:sz="0" w:space="0" w:color="auto"/>
          <w:lang w:val="es-ES"/>
        </w:rPr>
        <w:t xml:space="preserve">pero </w:t>
      </w:r>
      <w:r w:rsidR="00604A9B">
        <w:rPr>
          <w:bdr w:val="none" w:sz="0" w:space="0" w:color="auto"/>
          <w:lang w:val="es-ES"/>
        </w:rPr>
        <w:t>no h</w:t>
      </w:r>
      <w:r w:rsidR="00E31CCA">
        <w:rPr>
          <w:bdr w:val="none" w:sz="0" w:space="0" w:color="auto"/>
          <w:lang w:val="es-ES"/>
        </w:rPr>
        <w:t>izo</w:t>
      </w:r>
      <w:r w:rsidR="00604A9B">
        <w:rPr>
          <w:bdr w:val="none" w:sz="0" w:space="0" w:color="auto"/>
          <w:lang w:val="es-ES"/>
        </w:rPr>
        <w:t xml:space="preserve"> referencia a ninguna diligencia emprendida para obtener sus declaraciones</w:t>
      </w:r>
      <w:r w:rsidR="00E31CCA">
        <w:rPr>
          <w:bdr w:val="none" w:sz="0" w:space="0" w:color="auto"/>
          <w:lang w:val="es-ES"/>
        </w:rPr>
        <w:t xml:space="preserve"> o ubicar a otros testigos presenciales de los hechos</w:t>
      </w:r>
      <w:r w:rsidR="00604A9B">
        <w:rPr>
          <w:bdr w:val="none" w:sz="0" w:space="0" w:color="auto"/>
          <w:lang w:val="es-ES"/>
        </w:rPr>
        <w:t>. Resulta también relevante que, pese a</w:t>
      </w:r>
      <w:r w:rsidR="00E31CCA">
        <w:rPr>
          <w:bdr w:val="none" w:sz="0" w:space="0" w:color="auto"/>
          <w:lang w:val="es-ES"/>
        </w:rPr>
        <w:t xml:space="preserve"> que su presencia fue </w:t>
      </w:r>
      <w:r w:rsidR="00604A9B">
        <w:rPr>
          <w:bdr w:val="none" w:sz="0" w:space="0" w:color="auto"/>
          <w:lang w:val="es-ES"/>
        </w:rPr>
        <w:t>referida en múltiples oportunidades</w:t>
      </w:r>
      <w:r w:rsidR="00E31CCA">
        <w:rPr>
          <w:bdr w:val="none" w:sz="0" w:space="0" w:color="auto"/>
          <w:lang w:val="es-ES"/>
        </w:rPr>
        <w:t xml:space="preserve"> para demostrar que los demás policías no habían tenido participación en las torturas y muerte de Aníbal Aguas, </w:t>
      </w:r>
      <w:r w:rsidR="003631C8">
        <w:rPr>
          <w:bdr w:val="none" w:sz="0" w:space="0" w:color="auto"/>
          <w:lang w:val="es-ES"/>
        </w:rPr>
        <w:t xml:space="preserve">la Comisión no cuenta con información que indica que </w:t>
      </w:r>
      <w:r w:rsidR="00E31CCA">
        <w:rPr>
          <w:bdr w:val="none" w:sz="0" w:space="0" w:color="auto"/>
          <w:lang w:val="es-ES"/>
        </w:rPr>
        <w:t>su</w:t>
      </w:r>
      <w:r w:rsidR="00604A9B">
        <w:rPr>
          <w:bdr w:val="none" w:sz="0" w:space="0" w:color="auto"/>
          <w:lang w:val="es-ES"/>
        </w:rPr>
        <w:t xml:space="preserve"> esposa </w:t>
      </w:r>
      <w:r w:rsidR="003631C8">
        <w:rPr>
          <w:bdr w:val="none" w:sz="0" w:space="0" w:color="auto"/>
          <w:lang w:val="es-ES"/>
        </w:rPr>
        <w:t>fuera efectivamente</w:t>
      </w:r>
      <w:r w:rsidR="00604A9B">
        <w:rPr>
          <w:bdr w:val="none" w:sz="0" w:space="0" w:color="auto"/>
          <w:lang w:val="es-ES"/>
        </w:rPr>
        <w:t xml:space="preserve"> entrevistada, </w:t>
      </w:r>
      <w:r w:rsidR="00E31CCA">
        <w:rPr>
          <w:bdr w:val="none" w:sz="0" w:space="0" w:color="auto"/>
          <w:lang w:val="es-ES"/>
        </w:rPr>
        <w:t xml:space="preserve">ante la justicia ordinaria o policial. También merece destacar que en juicio oral solo compareció como testigo el guardia del cementerio, sin haberse citado a rendir testimonio ante </w:t>
      </w:r>
      <w:r w:rsidR="00DA60F6">
        <w:rPr>
          <w:bdr w:val="none" w:sz="0" w:space="0" w:color="auto"/>
          <w:lang w:val="es-ES"/>
        </w:rPr>
        <w:t>e</w:t>
      </w:r>
      <w:r w:rsidR="00E31CCA">
        <w:rPr>
          <w:bdr w:val="none" w:sz="0" w:space="0" w:color="auto"/>
          <w:lang w:val="es-ES"/>
        </w:rPr>
        <w:t>l</w:t>
      </w:r>
      <w:r w:rsidR="00DA60F6">
        <w:rPr>
          <w:bdr w:val="none" w:sz="0" w:space="0" w:color="auto"/>
          <w:lang w:val="es-ES"/>
        </w:rPr>
        <w:t xml:space="preserve"> Tribunal a </w:t>
      </w:r>
      <w:r w:rsidR="003631C8">
        <w:rPr>
          <w:bdr w:val="none" w:sz="0" w:space="0" w:color="auto"/>
          <w:lang w:val="es-ES"/>
        </w:rPr>
        <w:t xml:space="preserve">ningún </w:t>
      </w:r>
      <w:r w:rsidR="00E44DCD">
        <w:rPr>
          <w:bdr w:val="none" w:sz="0" w:space="0" w:color="auto"/>
          <w:lang w:val="es-ES"/>
        </w:rPr>
        <w:t>otro</w:t>
      </w:r>
      <w:r w:rsidR="003631C8">
        <w:rPr>
          <w:bdr w:val="none" w:sz="0" w:space="0" w:color="auto"/>
          <w:lang w:val="es-ES"/>
        </w:rPr>
        <w:t xml:space="preserve"> posible</w:t>
      </w:r>
      <w:r w:rsidR="00DA60F6">
        <w:rPr>
          <w:bdr w:val="none" w:sz="0" w:space="0" w:color="auto"/>
          <w:lang w:val="es-ES"/>
        </w:rPr>
        <w:t xml:space="preserve"> testigo. </w:t>
      </w:r>
    </w:p>
    <w:p w14:paraId="2D32EEDF" w14:textId="77777777" w:rsidR="007879E7" w:rsidRPr="00574704" w:rsidRDefault="007879E7" w:rsidP="00574704">
      <w:pPr>
        <w:pStyle w:val="ListParagraph"/>
        <w:numPr>
          <w:ilvl w:val="0"/>
          <w:numId w:val="0"/>
        </w:numPr>
        <w:rPr>
          <w:lang w:val="es-VE"/>
        </w:rPr>
      </w:pPr>
    </w:p>
    <w:p w14:paraId="1602B289" w14:textId="77777777" w:rsidR="00F77983" w:rsidRPr="00574704" w:rsidRDefault="007879E7" w:rsidP="00534885">
      <w:pPr>
        <w:pStyle w:val="ListParagraph"/>
        <w:rPr>
          <w:lang w:val="es-VE"/>
        </w:rPr>
      </w:pPr>
      <w:r w:rsidRPr="00574704">
        <w:rPr>
          <w:bdr w:val="none" w:sz="0" w:space="0" w:color="auto"/>
          <w:lang w:val="es-ES"/>
        </w:rPr>
        <w:t xml:space="preserve">Por último, si bien </w:t>
      </w:r>
      <w:r w:rsidRPr="00574704">
        <w:rPr>
          <w:lang w:val="es-ES"/>
        </w:rPr>
        <w:t xml:space="preserve">la Comisión reitera que el proceso llevado adelante por la justicia policial en este caso se encontraba viciado, la falta de cumplimiento por casi </w:t>
      </w:r>
      <w:r w:rsidR="007C2DD8">
        <w:rPr>
          <w:lang w:val="es-ES"/>
        </w:rPr>
        <w:t>20</w:t>
      </w:r>
      <w:r w:rsidRPr="00574704">
        <w:rPr>
          <w:lang w:val="es-ES"/>
        </w:rPr>
        <w:t xml:space="preserve"> años de la sanción impuesta, </w:t>
      </w:r>
      <w:r w:rsidR="00AB1808" w:rsidRPr="00574704">
        <w:rPr>
          <w:lang w:val="es-ES"/>
        </w:rPr>
        <w:t xml:space="preserve">también constituye una clara violación al deber de debida diligencia. </w:t>
      </w:r>
      <w:r w:rsidR="005E2804" w:rsidRPr="00574704">
        <w:rPr>
          <w:bdr w:val="none" w:sz="0" w:space="0" w:color="auto"/>
          <w:lang w:val="es-ES"/>
        </w:rPr>
        <w:t xml:space="preserve">En consecuencia, la Comisión estima que los distintos actores </w:t>
      </w:r>
      <w:r w:rsidR="00AB1808">
        <w:rPr>
          <w:bdr w:val="none" w:sz="0" w:space="0" w:color="auto"/>
          <w:lang w:val="es-ES"/>
        </w:rPr>
        <w:t xml:space="preserve">del fuero ordinario y policial </w:t>
      </w:r>
      <w:r w:rsidR="005E2804" w:rsidRPr="00574704">
        <w:rPr>
          <w:bdr w:val="none" w:sz="0" w:space="0" w:color="auto"/>
          <w:lang w:val="es-ES"/>
        </w:rPr>
        <w:t>que intervinieron en la investigación</w:t>
      </w:r>
      <w:r w:rsidR="00AB1808">
        <w:rPr>
          <w:bdr w:val="none" w:sz="0" w:space="0" w:color="auto"/>
          <w:lang w:val="es-ES"/>
        </w:rPr>
        <w:t>,</w:t>
      </w:r>
      <w:r w:rsidR="005E2804" w:rsidRPr="00574704">
        <w:rPr>
          <w:bdr w:val="none" w:sz="0" w:space="0" w:color="auto"/>
          <w:lang w:val="es-ES"/>
        </w:rPr>
        <w:t xml:space="preserve"> </w:t>
      </w:r>
      <w:r w:rsidR="00E44DCD" w:rsidRPr="00574704">
        <w:rPr>
          <w:bdr w:val="none" w:sz="0" w:space="0" w:color="auto"/>
          <w:lang w:val="es-ES"/>
        </w:rPr>
        <w:t xml:space="preserve">enjuiciamiento </w:t>
      </w:r>
      <w:r w:rsidR="00AB1808">
        <w:rPr>
          <w:bdr w:val="none" w:sz="0" w:space="0" w:color="auto"/>
          <w:lang w:val="es-ES"/>
        </w:rPr>
        <w:t xml:space="preserve">y sanción </w:t>
      </w:r>
      <w:r w:rsidR="005E2804" w:rsidRPr="00574704">
        <w:rPr>
          <w:bdr w:val="none" w:sz="0" w:space="0" w:color="auto"/>
          <w:lang w:val="es-ES"/>
        </w:rPr>
        <w:t xml:space="preserve">del crimen cometido en contra de Aníbal Aguas no cumplieron con el deber de debida diligencia </w:t>
      </w:r>
      <w:r w:rsidR="00543059" w:rsidRPr="00574704">
        <w:rPr>
          <w:bdr w:val="none" w:sz="0" w:space="0" w:color="auto"/>
          <w:lang w:val="es-ES"/>
        </w:rPr>
        <w:t>requerido.</w:t>
      </w:r>
      <w:r w:rsidR="005E2804" w:rsidRPr="00574704">
        <w:rPr>
          <w:bdr w:val="none" w:sz="0" w:space="0" w:color="auto"/>
          <w:lang w:val="es-ES"/>
        </w:rPr>
        <w:t xml:space="preserve"> </w:t>
      </w:r>
      <w:r w:rsidR="000230A9" w:rsidRPr="00574704">
        <w:rPr>
          <w:bdr w:val="none" w:sz="0" w:space="0" w:color="auto"/>
          <w:lang w:val="es-ES"/>
        </w:rPr>
        <w:t xml:space="preserve"> </w:t>
      </w:r>
    </w:p>
    <w:p w14:paraId="0087FD3A" w14:textId="77777777" w:rsidR="0041222F" w:rsidRDefault="0041222F" w:rsidP="0041222F">
      <w:pPr>
        <w:pStyle w:val="ListParagraph"/>
        <w:numPr>
          <w:ilvl w:val="0"/>
          <w:numId w:val="0"/>
        </w:numPr>
        <w:rPr>
          <w:lang w:val="es-VE"/>
        </w:rPr>
      </w:pPr>
    </w:p>
    <w:p w14:paraId="7C0A4A2C" w14:textId="77777777" w:rsidR="003E74EC" w:rsidRPr="00A86CE0" w:rsidRDefault="0041222F" w:rsidP="003E74EC">
      <w:pPr>
        <w:pStyle w:val="ListParagraph"/>
        <w:rPr>
          <w:szCs w:val="20"/>
          <w:lang w:val="es-US"/>
        </w:rPr>
      </w:pPr>
      <w:r>
        <w:rPr>
          <w:szCs w:val="20"/>
          <w:lang w:val="es-US"/>
        </w:rPr>
        <w:t>L</w:t>
      </w:r>
      <w:r w:rsidRPr="00163F45">
        <w:rPr>
          <w:lang w:val="es-US"/>
        </w:rPr>
        <w:t xml:space="preserve">a Comisión tiene en cuenta la </w:t>
      </w:r>
      <w:r>
        <w:rPr>
          <w:lang w:val="es-US"/>
        </w:rPr>
        <w:t xml:space="preserve">referencia </w:t>
      </w:r>
      <w:r w:rsidR="00574704">
        <w:rPr>
          <w:lang w:val="es-US"/>
        </w:rPr>
        <w:t xml:space="preserve">– </w:t>
      </w:r>
      <w:r w:rsidR="00574704" w:rsidRPr="00163F45">
        <w:rPr>
          <w:lang w:val="es-US"/>
        </w:rPr>
        <w:t>en</w:t>
      </w:r>
      <w:r w:rsidR="00574704">
        <w:rPr>
          <w:lang w:val="es-US"/>
        </w:rPr>
        <w:t xml:space="preserve"> </w:t>
      </w:r>
      <w:r w:rsidR="00574704" w:rsidRPr="00163F45">
        <w:rPr>
          <w:lang w:val="es-US"/>
        </w:rPr>
        <w:t>terminos bastante generales y sin aducir las normas jurídicas o principios específicos que la sustentarían</w:t>
      </w:r>
      <w:r w:rsidR="00574704">
        <w:rPr>
          <w:lang w:val="es-US"/>
        </w:rPr>
        <w:t xml:space="preserve"> –</w:t>
      </w:r>
      <w:r w:rsidR="00574704" w:rsidRPr="00163F45">
        <w:rPr>
          <w:lang w:val="es-US"/>
        </w:rPr>
        <w:t xml:space="preserve"> </w:t>
      </w:r>
      <w:r w:rsidRPr="00163F45">
        <w:rPr>
          <w:lang w:val="es-US"/>
        </w:rPr>
        <w:t>por</w:t>
      </w:r>
      <w:r w:rsidR="00574704">
        <w:rPr>
          <w:lang w:val="es-US"/>
        </w:rPr>
        <w:t xml:space="preserve"> </w:t>
      </w:r>
      <w:r w:rsidRPr="00163F45">
        <w:rPr>
          <w:lang w:val="es-US"/>
        </w:rPr>
        <w:t xml:space="preserve">parte del Estado a la prescipción en el presente caso. </w:t>
      </w:r>
      <w:r>
        <w:rPr>
          <w:lang w:val="es-US"/>
        </w:rPr>
        <w:t xml:space="preserve">Al respecto, </w:t>
      </w:r>
      <w:r w:rsidRPr="00163F45">
        <w:rPr>
          <w:lang w:val="es-US"/>
        </w:rPr>
        <w:t xml:space="preserve">la Comisión </w:t>
      </w:r>
      <w:r>
        <w:rPr>
          <w:lang w:val="es-US"/>
        </w:rPr>
        <w:t>reitera</w:t>
      </w:r>
      <w:r w:rsidRPr="00163F45">
        <w:rPr>
          <w:lang w:val="es-US"/>
        </w:rPr>
        <w:t xml:space="preserve"> que la tortura</w:t>
      </w:r>
      <w:r>
        <w:rPr>
          <w:lang w:val="es-US"/>
        </w:rPr>
        <w:t>, como</w:t>
      </w:r>
      <w:r w:rsidRPr="00163F45">
        <w:rPr>
          <w:lang w:val="es-US"/>
        </w:rPr>
        <w:t xml:space="preserve"> una de las más graves violaciones a los derechos humanos, </w:t>
      </w:r>
      <w:r>
        <w:rPr>
          <w:lang w:val="es-US"/>
        </w:rPr>
        <w:t>no admite prescipción alguna. P</w:t>
      </w:r>
      <w:r w:rsidRPr="00163F45">
        <w:rPr>
          <w:lang w:val="es-US"/>
        </w:rPr>
        <w:t>articularmente</w:t>
      </w:r>
      <w:r>
        <w:rPr>
          <w:lang w:val="es-US"/>
        </w:rPr>
        <w:t xml:space="preserve"> en casos como el que nos ocupa, en el que la tortura </w:t>
      </w:r>
      <w:r w:rsidRPr="00163F45">
        <w:rPr>
          <w:lang w:val="es-US"/>
        </w:rPr>
        <w:t>era practicada con relativa impunidad debido a</w:t>
      </w:r>
      <w:r>
        <w:rPr>
          <w:lang w:val="es-US"/>
        </w:rPr>
        <w:t xml:space="preserve"> un</w:t>
      </w:r>
      <w:r w:rsidRPr="00163F45">
        <w:rPr>
          <w:lang w:val="es-US"/>
        </w:rPr>
        <w:t xml:space="preserve"> mal entendido “espíritu de cuerpo” que obstaculizaba el descubrimiento de la verdad y se traducía en el encubrimiento e ilícita protección de los efectivos policiales involucrados</w:t>
      </w:r>
      <w:r>
        <w:rPr>
          <w:rStyle w:val="FootnoteReference"/>
          <w:szCs w:val="20"/>
          <w:lang w:val="es-US"/>
        </w:rPr>
        <w:footnoteReference w:id="147"/>
      </w:r>
      <w:r w:rsidR="007254EF">
        <w:rPr>
          <w:lang w:val="es-US"/>
        </w:rPr>
        <w:t>.</w:t>
      </w:r>
      <w:r w:rsidR="003631C8">
        <w:rPr>
          <w:lang w:val="es-US"/>
        </w:rPr>
        <w:t xml:space="preserve"> En estas circunstancias, la Comisión considera que</w:t>
      </w:r>
      <w:r>
        <w:rPr>
          <w:lang w:val="es-US"/>
        </w:rPr>
        <w:t xml:space="preserve"> </w:t>
      </w:r>
      <w:r w:rsidRPr="00163F45">
        <w:rPr>
          <w:lang w:val="es-US"/>
        </w:rPr>
        <w:t xml:space="preserve"> la prescripción de la acción penal y de la pena resultan absolutamente inadmisibles e inaplicables</w:t>
      </w:r>
      <w:r>
        <w:rPr>
          <w:rStyle w:val="FootnoteReference"/>
          <w:szCs w:val="20"/>
          <w:lang w:val="es-US"/>
        </w:rPr>
        <w:footnoteReference w:id="148"/>
      </w:r>
      <w:r w:rsidRPr="00163F45">
        <w:rPr>
          <w:lang w:val="es-US"/>
        </w:rPr>
        <w:t xml:space="preserve">. </w:t>
      </w:r>
      <w:r>
        <w:rPr>
          <w:lang w:val="es-US"/>
        </w:rPr>
        <w:t xml:space="preserve">Además, resulta relevante destacar que, como ha indicado expresamente </w:t>
      </w:r>
      <w:r w:rsidRPr="00163F45">
        <w:rPr>
          <w:lang w:val="es-US"/>
        </w:rPr>
        <w:t>la Corte</w:t>
      </w:r>
      <w:r>
        <w:rPr>
          <w:lang w:val="es-US"/>
        </w:rPr>
        <w:t xml:space="preserve">, </w:t>
      </w:r>
      <w:r w:rsidRPr="00163F45">
        <w:rPr>
          <w:szCs w:val="20"/>
          <w:lang w:val="es-US"/>
        </w:rPr>
        <w:t>el instituto procesal de la prescripción puede aplicarse cuando corresponda, “salvo que se compruebe una clara falta de debida diligencia en la investigación y, en consecuencia, una negación al acceso a la justicia por parte de una víctima de tortura”</w:t>
      </w:r>
      <w:r>
        <w:rPr>
          <w:rStyle w:val="FootnoteReference"/>
          <w:szCs w:val="20"/>
          <w:lang w:val="es-US"/>
        </w:rPr>
        <w:footnoteReference w:id="149"/>
      </w:r>
      <w:r w:rsidR="003631C8">
        <w:rPr>
          <w:szCs w:val="20"/>
          <w:lang w:val="es-US"/>
        </w:rPr>
        <w:t xml:space="preserve">. </w:t>
      </w:r>
      <w:r w:rsidR="007254EF">
        <w:rPr>
          <w:szCs w:val="20"/>
          <w:lang w:val="es-US"/>
        </w:rPr>
        <w:t>Dicha falta</w:t>
      </w:r>
      <w:r w:rsidR="00574704">
        <w:rPr>
          <w:szCs w:val="20"/>
          <w:lang w:val="es-US"/>
        </w:rPr>
        <w:t xml:space="preserve"> de debida diligencia, como se ha indicado en esta sección, se encuentra debidamente acreditada en este caso</w:t>
      </w:r>
      <w:r>
        <w:rPr>
          <w:szCs w:val="20"/>
          <w:lang w:val="es-US"/>
        </w:rPr>
        <w:t>.</w:t>
      </w:r>
      <w:r w:rsidR="003E74EC">
        <w:rPr>
          <w:szCs w:val="20"/>
          <w:lang w:val="es-US"/>
        </w:rPr>
        <w:t xml:space="preserve"> En forma similar, la Corte </w:t>
      </w:r>
      <w:r w:rsidR="008F0CF0">
        <w:rPr>
          <w:szCs w:val="20"/>
          <w:lang w:val="es-US"/>
        </w:rPr>
        <w:t>Interamericana</w:t>
      </w:r>
      <w:r w:rsidR="003E74EC">
        <w:rPr>
          <w:szCs w:val="20"/>
          <w:lang w:val="es-US"/>
        </w:rPr>
        <w:t xml:space="preserve"> ha precisado que el principio </w:t>
      </w:r>
      <w:r w:rsidR="003E74EC">
        <w:rPr>
          <w:i/>
          <w:szCs w:val="20"/>
          <w:lang w:val="es-US"/>
        </w:rPr>
        <w:t>ne bis in ídem</w:t>
      </w:r>
      <w:r w:rsidR="003E74EC">
        <w:rPr>
          <w:szCs w:val="20"/>
          <w:lang w:val="es-US"/>
        </w:rPr>
        <w:t xml:space="preserve">, no es aplicable cuando </w:t>
      </w:r>
      <w:r w:rsidR="00A86CE0">
        <w:rPr>
          <w:szCs w:val="20"/>
          <w:lang w:val="es-US"/>
        </w:rPr>
        <w:t>el proceso seguido,</w:t>
      </w:r>
      <w:r w:rsidR="003E74EC" w:rsidRPr="00A86CE0">
        <w:rPr>
          <w:szCs w:val="20"/>
          <w:lang w:val="es-US"/>
        </w:rPr>
        <w:t xml:space="preserve"> </w:t>
      </w:r>
      <w:r w:rsidR="00A86CE0">
        <w:rPr>
          <w:szCs w:val="20"/>
          <w:lang w:val="es-US"/>
        </w:rPr>
        <w:t>“</w:t>
      </w:r>
      <w:r w:rsidR="003E74EC" w:rsidRPr="00A86CE0">
        <w:rPr>
          <w:szCs w:val="20"/>
          <w:lang w:val="es-US"/>
        </w:rPr>
        <w:t>no es instruido independiente o imparcialmente de conformidad</w:t>
      </w:r>
      <w:r w:rsidR="00A86CE0">
        <w:rPr>
          <w:szCs w:val="20"/>
          <w:lang w:val="es-US"/>
        </w:rPr>
        <w:t xml:space="preserve"> </w:t>
      </w:r>
      <w:r w:rsidR="003E74EC" w:rsidRPr="00A86CE0">
        <w:rPr>
          <w:szCs w:val="20"/>
          <w:lang w:val="es-US"/>
        </w:rPr>
        <w:t>con las debidas garantías procesales, o cuando no hay la intención real de someter al</w:t>
      </w:r>
      <w:r w:rsidR="00A86CE0">
        <w:rPr>
          <w:szCs w:val="20"/>
          <w:lang w:val="es-US"/>
        </w:rPr>
        <w:t xml:space="preserve"> </w:t>
      </w:r>
      <w:r w:rsidR="003E74EC" w:rsidRPr="00A86CE0">
        <w:rPr>
          <w:szCs w:val="20"/>
          <w:lang w:val="es-US"/>
        </w:rPr>
        <w:t>responsable a la acción de la justicia</w:t>
      </w:r>
      <w:r w:rsidR="00A86CE0">
        <w:rPr>
          <w:szCs w:val="20"/>
          <w:lang w:val="es-US"/>
        </w:rPr>
        <w:t>”</w:t>
      </w:r>
      <w:r w:rsidR="00A86CE0">
        <w:rPr>
          <w:rStyle w:val="FootnoteReference"/>
          <w:szCs w:val="20"/>
          <w:lang w:val="es-US"/>
        </w:rPr>
        <w:footnoteReference w:id="150"/>
      </w:r>
      <w:r w:rsidR="00A86CE0">
        <w:rPr>
          <w:szCs w:val="20"/>
          <w:lang w:val="es-US"/>
        </w:rPr>
        <w:t>.</w:t>
      </w:r>
    </w:p>
    <w:p w14:paraId="31CC6B5A" w14:textId="77777777" w:rsidR="0041222F" w:rsidRPr="00574704" w:rsidRDefault="0041222F" w:rsidP="00574704">
      <w:pPr>
        <w:pStyle w:val="ListParagraph"/>
        <w:numPr>
          <w:ilvl w:val="0"/>
          <w:numId w:val="0"/>
        </w:numPr>
        <w:rPr>
          <w:lang w:val="es-US"/>
        </w:rPr>
      </w:pPr>
    </w:p>
    <w:p w14:paraId="0A3F3A55" w14:textId="77777777" w:rsidR="00DB5665" w:rsidRPr="00574704" w:rsidRDefault="00DB5665" w:rsidP="00574704">
      <w:pPr>
        <w:pStyle w:val="Heading3"/>
        <w:rPr>
          <w:lang w:val="es-VE"/>
        </w:rPr>
      </w:pPr>
      <w:bookmarkStart w:id="25" w:name="_Toc35966096"/>
      <w:r>
        <w:rPr>
          <w:lang w:val="es-VE"/>
        </w:rPr>
        <w:t>Plazo razonable</w:t>
      </w:r>
      <w:bookmarkEnd w:id="25"/>
    </w:p>
    <w:p w14:paraId="36AD922A" w14:textId="77777777" w:rsidR="00F77983" w:rsidRDefault="00F77983" w:rsidP="00F77983">
      <w:pPr>
        <w:pStyle w:val="ListParagraph"/>
        <w:numPr>
          <w:ilvl w:val="0"/>
          <w:numId w:val="0"/>
        </w:numPr>
        <w:rPr>
          <w:lang w:val="es-VE"/>
        </w:rPr>
      </w:pPr>
    </w:p>
    <w:p w14:paraId="3BCD3371" w14:textId="77777777" w:rsidR="00F77983" w:rsidRPr="00C64CE1" w:rsidRDefault="00DB5665" w:rsidP="00F77983">
      <w:pPr>
        <w:pStyle w:val="ListParagraph"/>
        <w:rPr>
          <w:lang w:val="es-VE"/>
        </w:rPr>
      </w:pPr>
      <w:r>
        <w:rPr>
          <w:lang w:val="es-US"/>
        </w:rPr>
        <w:t>E</w:t>
      </w:r>
      <w:r w:rsidR="00F77983" w:rsidRPr="00F77983">
        <w:rPr>
          <w:lang w:val="es-US"/>
        </w:rPr>
        <w:t xml:space="preserve">n cuanto al plazo razonable, el artículo 8.1 de la Convención Americana establece como uno de los elementos del debido proceso que los tribunales decidan los casos sometidos a su conocimiento en un plazo razonable. En este sentido, una demora prolongada puede llegar a constituir </w:t>
      </w:r>
      <w:r w:rsidR="00F77983" w:rsidRPr="00F77983">
        <w:rPr>
          <w:i/>
          <w:lang w:val="es-US"/>
        </w:rPr>
        <w:t>per se</w:t>
      </w:r>
      <w:r w:rsidR="00F77983" w:rsidRPr="00F77983">
        <w:rPr>
          <w:lang w:val="es-US"/>
        </w:rPr>
        <w:t xml:space="preserve"> una violación de las garantías judiciales</w:t>
      </w:r>
      <w:r w:rsidR="00F77983">
        <w:rPr>
          <w:rStyle w:val="FootnoteReference"/>
          <w:szCs w:val="20"/>
        </w:rPr>
        <w:footnoteReference w:id="151"/>
      </w:r>
      <w:r w:rsidR="00F77983" w:rsidRPr="00F77983">
        <w:rPr>
          <w:lang w:val="es-US"/>
        </w:rPr>
        <w:t>, por lo que corresponde al Estado exponer y probar la razón por la cual se ha requerido más tiempo del razonable para dictar sentencia definitiva en un caso particular</w:t>
      </w:r>
      <w:r w:rsidR="00F77983">
        <w:rPr>
          <w:rStyle w:val="FootnoteReference"/>
          <w:szCs w:val="20"/>
        </w:rPr>
        <w:footnoteReference w:id="152"/>
      </w:r>
      <w:r w:rsidR="00F77983" w:rsidRPr="00F77983">
        <w:rPr>
          <w:lang w:val="es-US"/>
        </w:rPr>
        <w:t xml:space="preserve">. </w:t>
      </w:r>
      <w:r w:rsidR="00F77983" w:rsidRPr="00F77983">
        <w:rPr>
          <w:lang w:val="es-ES"/>
        </w:rPr>
        <w:t>En ese sentido, la razonabilidad del plazo se debe apreciar en relación con la duración total del procedimiento penal</w:t>
      </w:r>
      <w:r w:rsidR="00F77983">
        <w:rPr>
          <w:rStyle w:val="FootnoteReference"/>
          <w:szCs w:val="20"/>
        </w:rPr>
        <w:footnoteReference w:id="153"/>
      </w:r>
      <w:r w:rsidR="00F77983">
        <w:rPr>
          <w:lang w:val="es-ES"/>
        </w:rPr>
        <w:t xml:space="preserve"> y</w:t>
      </w:r>
      <w:r w:rsidR="00F77983" w:rsidRPr="00F77983">
        <w:rPr>
          <w:lang w:val="es-US"/>
        </w:rPr>
        <w:t xml:space="preserve"> toma</w:t>
      </w:r>
      <w:r w:rsidR="00F77983">
        <w:rPr>
          <w:lang w:val="es-US"/>
        </w:rPr>
        <w:t>ndo</w:t>
      </w:r>
      <w:r w:rsidR="00F77983" w:rsidRPr="00F77983">
        <w:rPr>
          <w:lang w:val="es-US"/>
        </w:rPr>
        <w:t xml:space="preserve"> en consideración, a la luz de las circunstancias concretas del caso, los siguientes cuatro elementos</w:t>
      </w:r>
      <w:r w:rsidR="00F77983" w:rsidRPr="00F77983">
        <w:rPr>
          <w:lang w:val="es-ES"/>
        </w:rPr>
        <w:t xml:space="preserve">: i) la </w:t>
      </w:r>
      <w:r w:rsidR="00F77983" w:rsidRPr="00F77983">
        <w:rPr>
          <w:lang w:val="es-ES"/>
        </w:rPr>
        <w:lastRenderedPageBreak/>
        <w:t>complejidad del asunto; ii) la actividad procesal del interesado; iii) la conducta de las autoridades judiciales;</w:t>
      </w:r>
      <w:r w:rsidR="00F77983" w:rsidRPr="00F77983">
        <w:rPr>
          <w:lang w:val="es-US"/>
        </w:rPr>
        <w:t xml:space="preserve"> y iv) la afectación generada en la situación jurídica de la persona involucrada en el proceso</w:t>
      </w:r>
      <w:r w:rsidR="00F77983">
        <w:rPr>
          <w:rStyle w:val="FootnoteReference"/>
          <w:sz w:val="16"/>
          <w:szCs w:val="16"/>
        </w:rPr>
        <w:footnoteReference w:id="154"/>
      </w:r>
      <w:r w:rsidR="00F77983" w:rsidRPr="00F77983">
        <w:rPr>
          <w:lang w:val="es-ES"/>
        </w:rPr>
        <w:t>.</w:t>
      </w:r>
    </w:p>
    <w:p w14:paraId="4A3B5C41" w14:textId="77777777" w:rsidR="00F91400" w:rsidRDefault="00F91400" w:rsidP="00F91400">
      <w:pPr>
        <w:pStyle w:val="ListParagraph"/>
        <w:numPr>
          <w:ilvl w:val="0"/>
          <w:numId w:val="0"/>
        </w:numPr>
        <w:rPr>
          <w:lang w:val="es-VE"/>
        </w:rPr>
      </w:pPr>
    </w:p>
    <w:p w14:paraId="624EFA29" w14:textId="77777777" w:rsidR="00733BAA" w:rsidRPr="00574704" w:rsidRDefault="007E0EF9" w:rsidP="00574704">
      <w:pPr>
        <w:pStyle w:val="ListParagraph"/>
        <w:rPr>
          <w:lang w:val="uz-Cyrl-UZ"/>
        </w:rPr>
      </w:pPr>
      <w:r w:rsidRPr="00574704">
        <w:rPr>
          <w:lang w:val="uz-Cyrl-UZ"/>
        </w:rPr>
        <w:t xml:space="preserve">En cuanto a la complejidad del asunto, la Corte </w:t>
      </w:r>
      <w:r w:rsidRPr="00574704">
        <w:rPr>
          <w:lang w:val="es-ES"/>
        </w:rPr>
        <w:t>ha señalado</w:t>
      </w:r>
      <w:r w:rsidRPr="00AC1C46">
        <w:rPr>
          <w:rStyle w:val="FootnoteReference"/>
          <w:color w:val="000000" w:themeColor="text1"/>
          <w:szCs w:val="20"/>
          <w:lang w:val="uz-Cyrl-UZ"/>
        </w:rPr>
        <w:footnoteReference w:id="155"/>
      </w:r>
      <w:r w:rsidRPr="00574704">
        <w:rPr>
          <w:lang w:val="es-ES"/>
        </w:rPr>
        <w:t xml:space="preserve"> que para evaluar este elemento debe tomarse en cuenta diversos criterios, entre los que se encuentra:</w:t>
      </w:r>
      <w:r w:rsidRPr="00574704">
        <w:rPr>
          <w:lang w:val="uz-Cyrl-UZ"/>
        </w:rPr>
        <w:t xml:space="preserve"> i) la complejidad de la prueba</w:t>
      </w:r>
      <w:r w:rsidRPr="00AC1C46">
        <w:rPr>
          <w:rStyle w:val="FootnoteReference"/>
          <w:color w:val="000000" w:themeColor="text1"/>
          <w:szCs w:val="20"/>
          <w:lang w:val="uz-Cyrl-UZ"/>
        </w:rPr>
        <w:footnoteReference w:id="156"/>
      </w:r>
      <w:r w:rsidRPr="00574704">
        <w:rPr>
          <w:lang w:val="uz-Cyrl-UZ"/>
        </w:rPr>
        <w:t>; ii) la pluralidad de sujetos procesales</w:t>
      </w:r>
      <w:r w:rsidRPr="00AC1C46">
        <w:rPr>
          <w:rStyle w:val="FootnoteReference"/>
          <w:color w:val="000000" w:themeColor="text1"/>
          <w:szCs w:val="20"/>
          <w:lang w:val="uz-Cyrl-UZ"/>
        </w:rPr>
        <w:footnoteReference w:id="157"/>
      </w:r>
      <w:r w:rsidRPr="00574704">
        <w:rPr>
          <w:lang w:val="uz-Cyrl-UZ"/>
        </w:rPr>
        <w:t xml:space="preserve"> o la cantidad de víctimas</w:t>
      </w:r>
      <w:r w:rsidRPr="00AC1C46">
        <w:rPr>
          <w:rStyle w:val="FootnoteReference"/>
          <w:color w:val="000000" w:themeColor="text1"/>
          <w:szCs w:val="20"/>
          <w:lang w:val="uz-Cyrl-UZ"/>
        </w:rPr>
        <w:footnoteReference w:id="158"/>
      </w:r>
      <w:r w:rsidRPr="00574704">
        <w:rPr>
          <w:lang w:val="uz-Cyrl-UZ"/>
        </w:rPr>
        <w:t>; iii) el tiempo transcurrido desde la violación</w:t>
      </w:r>
      <w:r w:rsidRPr="00AC1C46">
        <w:rPr>
          <w:rStyle w:val="FootnoteReference"/>
          <w:color w:val="000000" w:themeColor="text1"/>
          <w:szCs w:val="20"/>
          <w:lang w:val="uz-Cyrl-UZ"/>
        </w:rPr>
        <w:footnoteReference w:id="159"/>
      </w:r>
      <w:r w:rsidRPr="00574704">
        <w:rPr>
          <w:lang w:val="uz-Cyrl-UZ"/>
        </w:rPr>
        <w:t>; iv) las características del recurso en la legislación interna</w:t>
      </w:r>
      <w:r w:rsidRPr="00AC1C46">
        <w:rPr>
          <w:rStyle w:val="FootnoteReference"/>
          <w:color w:val="000000" w:themeColor="text1"/>
          <w:szCs w:val="20"/>
          <w:lang w:val="uz-Cyrl-UZ"/>
        </w:rPr>
        <w:footnoteReference w:id="160"/>
      </w:r>
      <w:r w:rsidRPr="00574704">
        <w:rPr>
          <w:lang w:val="uz-Cyrl-UZ"/>
        </w:rPr>
        <w:t>, y v) el contexto en el que ocurrieron los hechos</w:t>
      </w:r>
      <w:r w:rsidRPr="00AC1C46">
        <w:rPr>
          <w:rStyle w:val="FootnoteReference"/>
          <w:color w:val="000000" w:themeColor="text1"/>
          <w:szCs w:val="20"/>
          <w:lang w:val="uz-Cyrl-UZ"/>
        </w:rPr>
        <w:footnoteReference w:id="161"/>
      </w:r>
      <w:r w:rsidRPr="00574704">
        <w:rPr>
          <w:lang w:val="uz-Cyrl-UZ"/>
        </w:rPr>
        <w:t xml:space="preserve">. </w:t>
      </w:r>
      <w:r w:rsidR="00AD3186" w:rsidRPr="00574704">
        <w:rPr>
          <w:color w:val="000000" w:themeColor="text1"/>
          <w:szCs w:val="20"/>
          <w:lang w:val="uz-Cyrl-UZ"/>
        </w:rPr>
        <w:t>Sin embargo, aún si por una o varias de estas razones un caso se considere complejo, no basta una argumentación genérica respecto a la complejidad, sino que es necesario desarrollar los argumentos y presentar las pruebas que demuestren que este factor influyó en la duración de los mismos</w:t>
      </w:r>
      <w:r w:rsidR="00AD3186" w:rsidRPr="00AC1C46">
        <w:rPr>
          <w:rStyle w:val="FootnoteReference"/>
          <w:color w:val="000000" w:themeColor="text1"/>
          <w:szCs w:val="20"/>
          <w:lang w:val="uz-Cyrl-UZ"/>
        </w:rPr>
        <w:footnoteReference w:id="162"/>
      </w:r>
      <w:r w:rsidR="00AD3186" w:rsidRPr="00574704">
        <w:rPr>
          <w:color w:val="000000" w:themeColor="text1"/>
          <w:szCs w:val="20"/>
          <w:lang w:val="uz-Cyrl-UZ"/>
        </w:rPr>
        <w:t xml:space="preserve">. </w:t>
      </w:r>
    </w:p>
    <w:p w14:paraId="0ADFDADA" w14:textId="77777777" w:rsidR="00733BAA" w:rsidRPr="00574704" w:rsidRDefault="00733BAA" w:rsidP="00574704">
      <w:pPr>
        <w:pStyle w:val="ListParagraph"/>
        <w:numPr>
          <w:ilvl w:val="0"/>
          <w:numId w:val="0"/>
        </w:numPr>
        <w:rPr>
          <w:lang w:val="uz-Cyrl-UZ"/>
        </w:rPr>
      </w:pPr>
    </w:p>
    <w:p w14:paraId="48DB9C82" w14:textId="77777777" w:rsidR="00AD3186" w:rsidRPr="00574704" w:rsidRDefault="00B77AA2" w:rsidP="00574704">
      <w:pPr>
        <w:pStyle w:val="ListParagraph"/>
        <w:rPr>
          <w:lang w:val="uz-Cyrl-UZ"/>
        </w:rPr>
      </w:pPr>
      <w:r w:rsidRPr="00574704">
        <w:rPr>
          <w:color w:val="000000" w:themeColor="text1"/>
          <w:szCs w:val="20"/>
          <w:lang w:val="uz-Cyrl-UZ"/>
        </w:rPr>
        <w:t>En relación con segundo elemento, es decir con la actividad procesal del</w:t>
      </w:r>
      <w:r w:rsidRPr="00574704">
        <w:rPr>
          <w:color w:val="000000" w:themeColor="text1"/>
          <w:szCs w:val="20"/>
          <w:lang w:val="es-ES"/>
        </w:rPr>
        <w:t xml:space="preserve"> </w:t>
      </w:r>
      <w:r w:rsidRPr="00574704">
        <w:rPr>
          <w:color w:val="000000" w:themeColor="text1"/>
          <w:szCs w:val="20"/>
          <w:lang w:val="uz-Cyrl-UZ"/>
        </w:rPr>
        <w:t>interesado, la Corte ha evaluado si los sujetos realizaron las intervenciones en los</w:t>
      </w:r>
      <w:r w:rsidRPr="00574704">
        <w:rPr>
          <w:color w:val="000000" w:themeColor="text1"/>
          <w:szCs w:val="20"/>
          <w:lang w:val="es-ES"/>
        </w:rPr>
        <w:t xml:space="preserve"> </w:t>
      </w:r>
      <w:r w:rsidRPr="00574704">
        <w:rPr>
          <w:color w:val="000000" w:themeColor="text1"/>
          <w:szCs w:val="20"/>
          <w:lang w:val="uz-Cyrl-UZ"/>
        </w:rPr>
        <w:t>procesos que le eran razonablemente exigibles</w:t>
      </w:r>
      <w:r>
        <w:rPr>
          <w:rStyle w:val="FootnoteReference"/>
          <w:color w:val="000000" w:themeColor="text1"/>
          <w:szCs w:val="20"/>
          <w:lang w:val="uz-Cyrl-UZ"/>
        </w:rPr>
        <w:footnoteReference w:id="163"/>
      </w:r>
      <w:r w:rsidRPr="00574704">
        <w:rPr>
          <w:color w:val="000000" w:themeColor="text1"/>
          <w:szCs w:val="20"/>
          <w:lang w:val="uz-Cyrl-UZ"/>
        </w:rPr>
        <w:t>. En cuanto al tercer elemento, es</w:t>
      </w:r>
      <w:r w:rsidRPr="00574704">
        <w:rPr>
          <w:color w:val="000000" w:themeColor="text1"/>
          <w:szCs w:val="20"/>
          <w:lang w:val="es-ES"/>
        </w:rPr>
        <w:t xml:space="preserve"> </w:t>
      </w:r>
      <w:r w:rsidRPr="00574704">
        <w:rPr>
          <w:color w:val="000000" w:themeColor="text1"/>
          <w:szCs w:val="20"/>
          <w:lang w:val="uz-Cyrl-UZ"/>
        </w:rPr>
        <w:t>decir la conducta de las autoridades judiciales, la Corte ha entendido que los jueces,</w:t>
      </w:r>
      <w:r w:rsidRPr="00574704">
        <w:rPr>
          <w:color w:val="000000" w:themeColor="text1"/>
          <w:szCs w:val="20"/>
          <w:lang w:val="es-ES"/>
        </w:rPr>
        <w:t xml:space="preserve"> </w:t>
      </w:r>
      <w:r w:rsidRPr="00574704">
        <w:rPr>
          <w:color w:val="000000" w:themeColor="text1"/>
          <w:szCs w:val="20"/>
          <w:lang w:val="uz-Cyrl-UZ"/>
        </w:rPr>
        <w:t>como rectores del proceso, tienen el deber de dirigir y encausar el procedimiento</w:t>
      </w:r>
      <w:r w:rsidRPr="00574704">
        <w:rPr>
          <w:color w:val="000000" w:themeColor="text1"/>
          <w:szCs w:val="20"/>
          <w:lang w:val="es-ES"/>
        </w:rPr>
        <w:t xml:space="preserve"> </w:t>
      </w:r>
      <w:r w:rsidRPr="00574704">
        <w:rPr>
          <w:color w:val="000000" w:themeColor="text1"/>
          <w:szCs w:val="20"/>
          <w:lang w:val="uz-Cyrl-UZ"/>
        </w:rPr>
        <w:t>judicial con el fin de no sacrificar la justicia y el debido proceso en pro del</w:t>
      </w:r>
      <w:r w:rsidRPr="00574704">
        <w:rPr>
          <w:color w:val="000000" w:themeColor="text1"/>
          <w:szCs w:val="20"/>
          <w:lang w:val="es-ES"/>
        </w:rPr>
        <w:t xml:space="preserve"> </w:t>
      </w:r>
      <w:r w:rsidRPr="00574704">
        <w:rPr>
          <w:color w:val="000000" w:themeColor="text1"/>
          <w:szCs w:val="20"/>
          <w:lang w:val="uz-Cyrl-UZ"/>
        </w:rPr>
        <w:t>formalismo</w:t>
      </w:r>
      <w:r>
        <w:rPr>
          <w:rStyle w:val="FootnoteReference"/>
          <w:color w:val="000000" w:themeColor="text1"/>
          <w:szCs w:val="20"/>
          <w:lang w:val="uz-Cyrl-UZ"/>
        </w:rPr>
        <w:footnoteReference w:id="164"/>
      </w:r>
      <w:r w:rsidRPr="00574704">
        <w:rPr>
          <w:color w:val="000000" w:themeColor="text1"/>
          <w:szCs w:val="20"/>
          <w:lang w:val="uz-Cyrl-UZ"/>
        </w:rPr>
        <w:t>. En relación con el cuarto elemento, es decir la afectación generada en la</w:t>
      </w:r>
      <w:r w:rsidRPr="00574704">
        <w:rPr>
          <w:color w:val="000000" w:themeColor="text1"/>
          <w:szCs w:val="20"/>
          <w:lang w:val="es-ES"/>
        </w:rPr>
        <w:t xml:space="preserve"> </w:t>
      </w:r>
      <w:r w:rsidRPr="00574704">
        <w:rPr>
          <w:color w:val="000000" w:themeColor="text1"/>
          <w:szCs w:val="20"/>
          <w:lang w:val="uz-Cyrl-UZ"/>
        </w:rPr>
        <w:t>situación jurídica de la persona involucrada en el proceso, la Corte ha establecido que</w:t>
      </w:r>
      <w:r w:rsidRPr="00574704">
        <w:rPr>
          <w:color w:val="000000" w:themeColor="text1"/>
          <w:szCs w:val="20"/>
          <w:lang w:val="es-ES"/>
        </w:rPr>
        <w:t xml:space="preserve"> </w:t>
      </w:r>
      <w:r w:rsidRPr="00574704">
        <w:rPr>
          <w:color w:val="000000" w:themeColor="text1"/>
          <w:szCs w:val="20"/>
          <w:lang w:val="uz-Cyrl-UZ"/>
        </w:rPr>
        <w:t>las autoridades deben actuar con mayor diligencia en aquellos casos donde de la</w:t>
      </w:r>
      <w:r w:rsidRPr="00574704">
        <w:rPr>
          <w:color w:val="000000" w:themeColor="text1"/>
          <w:szCs w:val="20"/>
          <w:lang w:val="es-ES"/>
        </w:rPr>
        <w:t xml:space="preserve"> </w:t>
      </w:r>
      <w:r w:rsidRPr="00574704">
        <w:rPr>
          <w:color w:val="000000" w:themeColor="text1"/>
          <w:szCs w:val="20"/>
          <w:lang w:val="uz-Cyrl-UZ"/>
        </w:rPr>
        <w:t>duración del proceso depende la protección de otros derechos de los sujetos del</w:t>
      </w:r>
      <w:r w:rsidRPr="00574704">
        <w:rPr>
          <w:color w:val="000000" w:themeColor="text1"/>
          <w:szCs w:val="20"/>
          <w:lang w:val="es-ES"/>
        </w:rPr>
        <w:t xml:space="preserve"> </w:t>
      </w:r>
      <w:r w:rsidRPr="00574704">
        <w:rPr>
          <w:color w:val="000000" w:themeColor="text1"/>
          <w:szCs w:val="20"/>
          <w:lang w:val="uz-Cyrl-UZ"/>
        </w:rPr>
        <w:t>proceso</w:t>
      </w:r>
      <w:r>
        <w:rPr>
          <w:rStyle w:val="FootnoteReference"/>
          <w:color w:val="000000" w:themeColor="text1"/>
          <w:szCs w:val="20"/>
          <w:lang w:val="uz-Cyrl-UZ"/>
        </w:rPr>
        <w:footnoteReference w:id="165"/>
      </w:r>
      <w:r w:rsidRPr="00574704">
        <w:rPr>
          <w:color w:val="000000" w:themeColor="text1"/>
          <w:szCs w:val="20"/>
          <w:lang w:val="uz-Cyrl-UZ"/>
        </w:rPr>
        <w:t>.</w:t>
      </w:r>
    </w:p>
    <w:p w14:paraId="2C1013B9" w14:textId="77777777" w:rsidR="00AD3186" w:rsidRPr="00574704" w:rsidRDefault="00AD3186" w:rsidP="00574704">
      <w:pPr>
        <w:pStyle w:val="ListParagraph"/>
        <w:numPr>
          <w:ilvl w:val="0"/>
          <w:numId w:val="0"/>
        </w:numPr>
        <w:rPr>
          <w:lang w:val="es-ES"/>
        </w:rPr>
      </w:pPr>
    </w:p>
    <w:p w14:paraId="7FD17AA4" w14:textId="77777777" w:rsidR="001A4B12" w:rsidRDefault="001A4B12" w:rsidP="001A4B12">
      <w:pPr>
        <w:pStyle w:val="Heading4"/>
        <w:rPr>
          <w:lang w:val="es-ES"/>
        </w:rPr>
      </w:pPr>
      <w:bookmarkStart w:id="26" w:name="_Toc35966097"/>
      <w:r>
        <w:rPr>
          <w:lang w:val="es-ES"/>
        </w:rPr>
        <w:t>Análisis en el presente caso</w:t>
      </w:r>
      <w:bookmarkEnd w:id="26"/>
    </w:p>
    <w:p w14:paraId="225AEF00" w14:textId="77777777" w:rsidR="001A4B12" w:rsidRPr="001A4B12" w:rsidRDefault="001A4B12" w:rsidP="001A4B12">
      <w:pPr>
        <w:pStyle w:val="ListParagraph"/>
        <w:numPr>
          <w:ilvl w:val="0"/>
          <w:numId w:val="0"/>
        </w:numPr>
        <w:rPr>
          <w:lang w:val="es-ES"/>
        </w:rPr>
      </w:pPr>
    </w:p>
    <w:p w14:paraId="158F8B93" w14:textId="77777777" w:rsidR="007C2DD8" w:rsidRDefault="00F91400" w:rsidP="00B071F1">
      <w:pPr>
        <w:pStyle w:val="ListParagraph"/>
        <w:rPr>
          <w:lang w:val="es-ES"/>
        </w:rPr>
      </w:pPr>
      <w:r w:rsidRPr="001E329B">
        <w:rPr>
          <w:lang w:val="es-ES"/>
        </w:rPr>
        <w:t>Al respecto,</w:t>
      </w:r>
      <w:r w:rsidR="003631C8">
        <w:rPr>
          <w:lang w:val="es-ES"/>
        </w:rPr>
        <w:t xml:space="preserve"> la Comisión observa que</w:t>
      </w:r>
      <w:r w:rsidRPr="001E329B">
        <w:rPr>
          <w:lang w:val="es-ES"/>
        </w:rPr>
        <w:t xml:space="preserve"> el Estado no ha demostrado</w:t>
      </w:r>
      <w:r w:rsidR="003631C8">
        <w:rPr>
          <w:lang w:val="es-ES"/>
        </w:rPr>
        <w:t xml:space="preserve"> que existiera </w:t>
      </w:r>
      <w:r w:rsidRPr="001E329B">
        <w:rPr>
          <w:lang w:val="es-ES"/>
        </w:rPr>
        <w:t xml:space="preserve">complejidad </w:t>
      </w:r>
      <w:r w:rsidR="003631C8">
        <w:rPr>
          <w:lang w:val="es-ES"/>
        </w:rPr>
        <w:t>en el presente</w:t>
      </w:r>
      <w:r w:rsidR="003631C8" w:rsidRPr="001E329B">
        <w:rPr>
          <w:lang w:val="es-ES"/>
        </w:rPr>
        <w:t xml:space="preserve"> </w:t>
      </w:r>
      <w:r w:rsidRPr="001E329B">
        <w:rPr>
          <w:lang w:val="es-ES"/>
        </w:rPr>
        <w:t xml:space="preserve">asunto </w:t>
      </w:r>
      <w:r w:rsidR="003631C8">
        <w:rPr>
          <w:lang w:val="es-ES"/>
        </w:rPr>
        <w:t xml:space="preserve">ni que </w:t>
      </w:r>
      <w:r w:rsidRPr="001E329B">
        <w:rPr>
          <w:lang w:val="es-ES"/>
        </w:rPr>
        <w:t xml:space="preserve">la actividad procesal de los interesados haya </w:t>
      </w:r>
      <w:r w:rsidR="00D8068E" w:rsidRPr="001E329B">
        <w:rPr>
          <w:lang w:val="es-ES"/>
        </w:rPr>
        <w:t xml:space="preserve">tenido un impacto en la duración del proceso penal. En </w:t>
      </w:r>
      <w:r w:rsidR="001E329B">
        <w:rPr>
          <w:lang w:val="es-ES"/>
        </w:rPr>
        <w:t xml:space="preserve">el </w:t>
      </w:r>
      <w:r w:rsidR="003631C8">
        <w:rPr>
          <w:lang w:val="es-ES"/>
        </w:rPr>
        <w:t>presente caso</w:t>
      </w:r>
      <w:r w:rsidR="00D8068E" w:rsidRPr="001E329B">
        <w:rPr>
          <w:lang w:val="es-ES"/>
        </w:rPr>
        <w:t xml:space="preserve">, </w:t>
      </w:r>
      <w:r w:rsidR="001E329B">
        <w:rPr>
          <w:lang w:val="es-ES"/>
        </w:rPr>
        <w:t>transcurrieron</w:t>
      </w:r>
      <w:r w:rsidR="001E329B" w:rsidRPr="001E329B">
        <w:rPr>
          <w:lang w:val="es-ES"/>
        </w:rPr>
        <w:t xml:space="preserve"> 5 años, 10 meses, y 21 días</w:t>
      </w:r>
      <w:r w:rsidR="001E329B">
        <w:rPr>
          <w:lang w:val="es-ES"/>
        </w:rPr>
        <w:t xml:space="preserve"> entre el inicio de las investigaciones, que comenzaron el mismo día de los hechos</w:t>
      </w:r>
      <w:r w:rsidR="00733BAA">
        <w:rPr>
          <w:lang w:val="es-ES"/>
        </w:rPr>
        <w:t>,</w:t>
      </w:r>
      <w:r w:rsidR="00E26279">
        <w:rPr>
          <w:lang w:val="es-ES"/>
        </w:rPr>
        <w:t xml:space="preserve"> </w:t>
      </w:r>
      <w:r w:rsidR="001E329B">
        <w:rPr>
          <w:lang w:val="es-ES"/>
        </w:rPr>
        <w:t xml:space="preserve">el 1 de marzo de 1997, y la sentencia de la Corte Nacional de Justicia Policial que resolvió el </w:t>
      </w:r>
      <w:r w:rsidR="00E26279">
        <w:rPr>
          <w:lang w:val="es-ES"/>
        </w:rPr>
        <w:t xml:space="preserve">último </w:t>
      </w:r>
      <w:r w:rsidR="001E329B">
        <w:rPr>
          <w:lang w:val="es-ES"/>
        </w:rPr>
        <w:t xml:space="preserve">recurso de revisión </w:t>
      </w:r>
      <w:r w:rsidR="00E26279">
        <w:rPr>
          <w:lang w:val="es-ES"/>
        </w:rPr>
        <w:t>el</w:t>
      </w:r>
      <w:r w:rsidR="001E329B">
        <w:rPr>
          <w:lang w:val="es-ES"/>
        </w:rPr>
        <w:t xml:space="preserve"> 22 de enero de 2003. Sin embargo, la </w:t>
      </w:r>
      <w:r w:rsidR="007C2DD8">
        <w:rPr>
          <w:lang w:val="es-ES"/>
        </w:rPr>
        <w:t>prueba no era compleja</w:t>
      </w:r>
      <w:r w:rsidR="001E329B">
        <w:rPr>
          <w:lang w:val="es-ES"/>
        </w:rPr>
        <w:t xml:space="preserve">, el cadáver </w:t>
      </w:r>
      <w:r w:rsidR="00E26279">
        <w:rPr>
          <w:lang w:val="es-ES"/>
        </w:rPr>
        <w:t xml:space="preserve">– </w:t>
      </w:r>
      <w:r w:rsidR="001E329B">
        <w:rPr>
          <w:lang w:val="es-ES"/>
        </w:rPr>
        <w:t>prueba</w:t>
      </w:r>
      <w:r w:rsidR="00E26279">
        <w:rPr>
          <w:lang w:val="es-ES"/>
        </w:rPr>
        <w:t xml:space="preserve"> </w:t>
      </w:r>
      <w:r w:rsidR="001E329B">
        <w:rPr>
          <w:lang w:val="es-ES"/>
        </w:rPr>
        <w:t xml:space="preserve">fundamental para determinar la naturaleza del delito </w:t>
      </w:r>
      <w:r w:rsidR="00E26279">
        <w:rPr>
          <w:lang w:val="es-ES"/>
        </w:rPr>
        <w:t xml:space="preserve">– </w:t>
      </w:r>
      <w:r w:rsidR="001E329B">
        <w:rPr>
          <w:lang w:val="es-ES"/>
        </w:rPr>
        <w:t>se</w:t>
      </w:r>
      <w:r w:rsidR="00E26279">
        <w:rPr>
          <w:lang w:val="es-ES"/>
        </w:rPr>
        <w:t xml:space="preserve"> </w:t>
      </w:r>
      <w:r w:rsidR="001E329B">
        <w:rPr>
          <w:lang w:val="es-ES"/>
        </w:rPr>
        <w:t>encontraba disponible</w:t>
      </w:r>
      <w:r w:rsidR="007C2DD8">
        <w:rPr>
          <w:lang w:val="es-ES"/>
        </w:rPr>
        <w:t xml:space="preserve"> y</w:t>
      </w:r>
      <w:r w:rsidR="001E329B">
        <w:rPr>
          <w:lang w:val="es-ES"/>
        </w:rPr>
        <w:t xml:space="preserve"> las circunstancias de la comisión del crimen también eran bastante claras, </w:t>
      </w:r>
      <w:r w:rsidR="00E26279">
        <w:rPr>
          <w:lang w:val="es-ES"/>
        </w:rPr>
        <w:t xml:space="preserve">los intervinientes estaban todos identificados y al alcance de las </w:t>
      </w:r>
      <w:r w:rsidR="007C2DD8">
        <w:rPr>
          <w:lang w:val="es-ES"/>
        </w:rPr>
        <w:t xml:space="preserve">autoridades; se trataba de solo una víctima, por lo que </w:t>
      </w:r>
      <w:r w:rsidR="0016208B">
        <w:rPr>
          <w:lang w:val="es-ES"/>
        </w:rPr>
        <w:t>los sujetos procesales tampoco influían</w:t>
      </w:r>
      <w:r w:rsidR="007C2DD8">
        <w:rPr>
          <w:lang w:val="es-ES"/>
        </w:rPr>
        <w:t xml:space="preserve"> en la complejidad del asunto</w:t>
      </w:r>
      <w:r w:rsidR="003631C8">
        <w:rPr>
          <w:lang w:val="es-ES"/>
        </w:rPr>
        <w:t>. N</w:t>
      </w:r>
      <w:r w:rsidR="001E329B">
        <w:rPr>
          <w:lang w:val="es-ES"/>
        </w:rPr>
        <w:t xml:space="preserve">o existió retardo en el comienzo de la investigación, </w:t>
      </w:r>
      <w:r w:rsidR="007C2DD8">
        <w:rPr>
          <w:lang w:val="es-ES"/>
        </w:rPr>
        <w:t xml:space="preserve">sino que se inició el mismo día; no se trataba de un procedimiento con particularidades especiales conforme a la legislación; y </w:t>
      </w:r>
      <w:r w:rsidR="00E26279">
        <w:rPr>
          <w:lang w:val="es-ES"/>
        </w:rPr>
        <w:t>n</w:t>
      </w:r>
      <w:r w:rsidR="007C2DD8">
        <w:rPr>
          <w:lang w:val="es-ES"/>
        </w:rPr>
        <w:t>o</w:t>
      </w:r>
      <w:r w:rsidR="00E26279">
        <w:rPr>
          <w:lang w:val="es-ES"/>
        </w:rPr>
        <w:t xml:space="preserve"> existía un contexto particular que requiriera determinaciones complejas. </w:t>
      </w:r>
    </w:p>
    <w:p w14:paraId="3EEA3F33" w14:textId="77777777" w:rsidR="007C2DD8" w:rsidRDefault="007C2DD8" w:rsidP="00574704">
      <w:pPr>
        <w:pStyle w:val="ListParagraph"/>
        <w:numPr>
          <w:ilvl w:val="0"/>
          <w:numId w:val="0"/>
        </w:numPr>
        <w:rPr>
          <w:lang w:val="es-ES"/>
        </w:rPr>
      </w:pPr>
    </w:p>
    <w:p w14:paraId="3B87553B" w14:textId="77777777" w:rsidR="00BF5DFB" w:rsidRDefault="00E26279" w:rsidP="00574704">
      <w:pPr>
        <w:pStyle w:val="ListParagraph"/>
        <w:rPr>
          <w:lang w:val="es-ES"/>
        </w:rPr>
      </w:pPr>
      <w:r w:rsidRPr="00574704">
        <w:rPr>
          <w:lang w:val="es-ES"/>
        </w:rPr>
        <w:lastRenderedPageBreak/>
        <w:t xml:space="preserve">En cuanto a la actividad de los interesados, los familiares de Aníbal Aguas asistieron desde un primer momento a la investigación, solicitando y presentando medios de prueba adicionales y las querellas correspondientes y no consta que hayan entorpecido, sino no </w:t>
      </w:r>
      <w:r w:rsidR="003631C8" w:rsidRPr="00574704">
        <w:rPr>
          <w:lang w:val="es-ES"/>
        </w:rPr>
        <w:t>más</w:t>
      </w:r>
      <w:r w:rsidRPr="00574704">
        <w:rPr>
          <w:lang w:val="es-ES"/>
        </w:rPr>
        <w:t xml:space="preserve"> bien </w:t>
      </w:r>
      <w:r w:rsidR="003631C8">
        <w:rPr>
          <w:lang w:val="es-ES"/>
        </w:rPr>
        <w:t>contribuyeron</w:t>
      </w:r>
      <w:r w:rsidR="003631C8" w:rsidRPr="00574704">
        <w:rPr>
          <w:lang w:val="es-ES"/>
        </w:rPr>
        <w:t xml:space="preserve"> </w:t>
      </w:r>
      <w:r w:rsidRPr="00574704">
        <w:rPr>
          <w:lang w:val="es-ES"/>
        </w:rPr>
        <w:t xml:space="preserve">al desarrollo de la investigación y la persecución del crimen. La </w:t>
      </w:r>
      <w:r w:rsidR="003631C8">
        <w:rPr>
          <w:lang w:val="es-ES"/>
        </w:rPr>
        <w:t xml:space="preserve">Comisión observa que en contraste existen retardos o </w:t>
      </w:r>
      <w:r w:rsidRPr="00574704">
        <w:rPr>
          <w:lang w:val="es-ES"/>
        </w:rPr>
        <w:t>demora</w:t>
      </w:r>
      <w:r w:rsidR="003631C8">
        <w:rPr>
          <w:lang w:val="es-ES"/>
        </w:rPr>
        <w:t>s atribuibles</w:t>
      </w:r>
      <w:r w:rsidRPr="00574704">
        <w:rPr>
          <w:lang w:val="es-ES"/>
        </w:rPr>
        <w:t xml:space="preserve"> a la actuación de las autoridades, primero debido a que la justicia ordinaria se inhibió de continuar conociendo el proceso, luego el Fiscal tardó más de un año y medio en su investigación para finalmente decidir no acusar a ninguno de los involucrados</w:t>
      </w:r>
      <w:r w:rsidR="007C2DD8" w:rsidRPr="00574704">
        <w:rPr>
          <w:lang w:val="es-ES"/>
        </w:rPr>
        <w:t>. S</w:t>
      </w:r>
      <w:r w:rsidRPr="00574704">
        <w:rPr>
          <w:lang w:val="es-ES"/>
        </w:rPr>
        <w:t>i bien</w:t>
      </w:r>
      <w:r w:rsidR="007C2DD8" w:rsidRPr="00574704">
        <w:rPr>
          <w:lang w:val="es-ES"/>
        </w:rPr>
        <w:t>,</w:t>
      </w:r>
      <w:r w:rsidRPr="00574704">
        <w:rPr>
          <w:lang w:val="es-ES"/>
        </w:rPr>
        <w:t xml:space="preserve"> pese a ello</w:t>
      </w:r>
      <w:r w:rsidR="007C2DD8" w:rsidRPr="00574704">
        <w:rPr>
          <w:lang w:val="es-ES"/>
        </w:rPr>
        <w:t>,</w:t>
      </w:r>
      <w:r w:rsidRPr="00574704">
        <w:rPr>
          <w:lang w:val="es-ES"/>
        </w:rPr>
        <w:t xml:space="preserve"> el Juez Segundo Policial decidió elevar a juicio</w:t>
      </w:r>
      <w:r w:rsidR="007C2DD8" w:rsidRPr="00574704">
        <w:rPr>
          <w:lang w:val="es-ES"/>
        </w:rPr>
        <w:t xml:space="preserve"> oral</w:t>
      </w:r>
      <w:r w:rsidRPr="00574704">
        <w:rPr>
          <w:lang w:val="es-ES"/>
        </w:rPr>
        <w:t xml:space="preserve"> el caso en contra de dos de los policías involucrados e</w:t>
      </w:r>
      <w:r w:rsidR="00CD12A2" w:rsidRPr="00574704">
        <w:rPr>
          <w:lang w:val="es-ES"/>
        </w:rPr>
        <w:t>l 11 de</w:t>
      </w:r>
      <w:r w:rsidRPr="00574704">
        <w:rPr>
          <w:lang w:val="es-ES"/>
        </w:rPr>
        <w:t xml:space="preserve"> diciembre de 1998, la audiencia de juicio solo se celebró </w:t>
      </w:r>
      <w:r w:rsidR="00CD12A2" w:rsidRPr="00574704">
        <w:rPr>
          <w:lang w:val="es-ES"/>
        </w:rPr>
        <w:t xml:space="preserve">casi dos años mas tarde, </w:t>
      </w:r>
      <w:r w:rsidRPr="00574704">
        <w:rPr>
          <w:lang w:val="es-ES"/>
        </w:rPr>
        <w:t>e</w:t>
      </w:r>
      <w:r w:rsidR="00CD12A2" w:rsidRPr="00574704">
        <w:rPr>
          <w:lang w:val="es-ES"/>
        </w:rPr>
        <w:t>l 7 de septiembre del año 2000</w:t>
      </w:r>
      <w:r w:rsidR="007C2DD8" w:rsidRPr="00574704">
        <w:rPr>
          <w:lang w:val="es-ES"/>
        </w:rPr>
        <w:t>. Por otra parte</w:t>
      </w:r>
      <w:r w:rsidR="00CD12A2" w:rsidRPr="00574704">
        <w:rPr>
          <w:lang w:val="es-ES"/>
        </w:rPr>
        <w:t>, si bien, el fallo condenatorio se dictó ese mismo día, los recursos interpuestos tardaron más de dos años en ser resueltos</w:t>
      </w:r>
      <w:r w:rsidR="007C2DD8" w:rsidRPr="00574704">
        <w:rPr>
          <w:lang w:val="es-ES"/>
        </w:rPr>
        <w:t xml:space="preserve"> y</w:t>
      </w:r>
      <w:r w:rsidR="00CD12A2" w:rsidRPr="00574704">
        <w:rPr>
          <w:lang w:val="es-ES"/>
        </w:rPr>
        <w:t>, a casi 20 años de haberse impuesto la condena, esta no ha sido cumplida</w:t>
      </w:r>
      <w:r w:rsidR="007C2DD8" w:rsidRPr="00574704">
        <w:rPr>
          <w:lang w:val="es-ES"/>
        </w:rPr>
        <w:t xml:space="preserve">. </w:t>
      </w:r>
      <w:r w:rsidR="007C2DD8">
        <w:rPr>
          <w:lang w:val="es-ES"/>
        </w:rPr>
        <w:t>Por otra parte</w:t>
      </w:r>
      <w:r w:rsidR="00CD12A2">
        <w:rPr>
          <w:lang w:val="es-ES"/>
        </w:rPr>
        <w:t xml:space="preserve">, la tardanza en el proceso y la falta de cumplimiento de las condenas impuestas, han afectado directamente a los familiares de Aníbal Aguas, quienes no han cesado en su búsqueda de justicia. </w:t>
      </w:r>
    </w:p>
    <w:p w14:paraId="51DD79C5" w14:textId="77777777" w:rsidR="0041222F" w:rsidRDefault="0041222F" w:rsidP="00574704">
      <w:pPr>
        <w:pStyle w:val="ListParagraph"/>
        <w:numPr>
          <w:ilvl w:val="0"/>
          <w:numId w:val="0"/>
        </w:numPr>
        <w:rPr>
          <w:lang w:val="es-ES"/>
        </w:rPr>
      </w:pPr>
    </w:p>
    <w:p w14:paraId="38956364" w14:textId="77777777" w:rsidR="007C2DD8" w:rsidRDefault="00BF5DFB" w:rsidP="00574704">
      <w:pPr>
        <w:pStyle w:val="ListParagraph"/>
        <w:rPr>
          <w:lang w:val="es-ES"/>
        </w:rPr>
      </w:pPr>
      <w:r>
        <w:rPr>
          <w:lang w:val="es-ES"/>
        </w:rPr>
        <w:t>Además</w:t>
      </w:r>
      <w:r w:rsidRPr="00BF5DFB">
        <w:rPr>
          <w:lang w:val="es-ES"/>
        </w:rPr>
        <w:t xml:space="preserve">, las autoridades encargadas de conocer de los hechos han omitido </w:t>
      </w:r>
      <w:r>
        <w:rPr>
          <w:lang w:val="es-ES"/>
        </w:rPr>
        <w:t xml:space="preserve">por más de 23 </w:t>
      </w:r>
      <w:r w:rsidRPr="00BF5DFB">
        <w:rPr>
          <w:lang w:val="es-ES"/>
        </w:rPr>
        <w:t xml:space="preserve">años disponer de los mecanismos adecuados para garantizar que los hechos </w:t>
      </w:r>
      <w:r>
        <w:rPr>
          <w:lang w:val="es-ES"/>
        </w:rPr>
        <w:t>sean</w:t>
      </w:r>
      <w:r w:rsidRPr="00BF5DFB">
        <w:rPr>
          <w:lang w:val="es-ES"/>
        </w:rPr>
        <w:t xml:space="preserve"> conocidos por la justicia ordinaria y no por una jurisdicción cuya aplicación al caso resulta incompatible con los principios de independencia, imparcialidad y </w:t>
      </w:r>
      <w:r w:rsidR="002415F1">
        <w:rPr>
          <w:lang w:val="es-ES"/>
        </w:rPr>
        <w:t>competente</w:t>
      </w:r>
      <w:r w:rsidRPr="00BF5DFB">
        <w:rPr>
          <w:lang w:val="es-ES"/>
        </w:rPr>
        <w:t>. Asimismo, durante dicho lapso las autoridades internas han omitido la práctica de las diligencias y pruebas técnicas necesarias para llegar a la verdad de lo ocurrido. Esta omisión por un periodo tan prolongado de tiempo se ha constituido en un serio obstáculo para el acceso a la justicia de los familiares de</w:t>
      </w:r>
      <w:r>
        <w:rPr>
          <w:lang w:val="es-ES"/>
        </w:rPr>
        <w:t xml:space="preserve"> Aníbal Aguas</w:t>
      </w:r>
      <w:r>
        <w:rPr>
          <w:rStyle w:val="FootnoteReference"/>
          <w:lang w:val="es-ES"/>
        </w:rPr>
        <w:footnoteReference w:id="166"/>
      </w:r>
      <w:r w:rsidRPr="00BF5DFB">
        <w:rPr>
          <w:lang w:val="es-ES"/>
        </w:rPr>
        <w:t>.</w:t>
      </w:r>
    </w:p>
    <w:p w14:paraId="5612D196" w14:textId="77777777" w:rsidR="00BF5DFB" w:rsidRDefault="00BF5DFB" w:rsidP="00574704">
      <w:pPr>
        <w:pStyle w:val="ListParagraph"/>
        <w:numPr>
          <w:ilvl w:val="0"/>
          <w:numId w:val="0"/>
        </w:numPr>
        <w:rPr>
          <w:lang w:val="es-ES"/>
        </w:rPr>
      </w:pPr>
    </w:p>
    <w:p w14:paraId="2AFF54AA" w14:textId="77777777" w:rsidR="002353CB" w:rsidRDefault="00CD12A2" w:rsidP="00B071F1">
      <w:pPr>
        <w:pStyle w:val="ListParagraph"/>
        <w:rPr>
          <w:lang w:val="es-ES"/>
        </w:rPr>
      </w:pPr>
      <w:r w:rsidRPr="00B071F1">
        <w:rPr>
          <w:lang w:val="es-ES"/>
        </w:rPr>
        <w:t xml:space="preserve">Por lo anterior, la Comisión estima </w:t>
      </w:r>
      <w:r w:rsidR="0039724B" w:rsidRPr="00B071F1">
        <w:rPr>
          <w:lang w:val="es-ES"/>
        </w:rPr>
        <w:t xml:space="preserve">que la demora </w:t>
      </w:r>
      <w:r w:rsidR="00BF5DFB">
        <w:rPr>
          <w:lang w:val="es-ES"/>
        </w:rPr>
        <w:t xml:space="preserve">de la duración del proceso ante la justicia policial </w:t>
      </w:r>
      <w:r w:rsidR="0039724B" w:rsidRPr="00B071F1">
        <w:rPr>
          <w:lang w:val="es-ES"/>
        </w:rPr>
        <w:t>no fue debidamente justificad</w:t>
      </w:r>
      <w:r w:rsidR="00B071F1" w:rsidRPr="00B071F1">
        <w:rPr>
          <w:lang w:val="es-ES"/>
        </w:rPr>
        <w:t>a</w:t>
      </w:r>
      <w:r w:rsidR="0039724B" w:rsidRPr="00B071F1">
        <w:rPr>
          <w:lang w:val="es-ES"/>
        </w:rPr>
        <w:t xml:space="preserve"> por el Estado y</w:t>
      </w:r>
      <w:r w:rsidR="00782567">
        <w:rPr>
          <w:lang w:val="es-ES"/>
        </w:rPr>
        <w:t xml:space="preserve"> la falta </w:t>
      </w:r>
      <w:r w:rsidR="00B24FB1">
        <w:rPr>
          <w:lang w:val="es-ES"/>
        </w:rPr>
        <w:t xml:space="preserve">a </w:t>
      </w:r>
      <w:r w:rsidR="00782567">
        <w:rPr>
          <w:lang w:val="es-ES"/>
        </w:rPr>
        <w:t>la fecha</w:t>
      </w:r>
      <w:r w:rsidR="00BF5DFB">
        <w:rPr>
          <w:lang w:val="es-ES"/>
        </w:rPr>
        <w:t>, por más de 23 años</w:t>
      </w:r>
      <w:r w:rsidR="00B24FB1">
        <w:rPr>
          <w:lang w:val="es-ES"/>
        </w:rPr>
        <w:t>,</w:t>
      </w:r>
      <w:r w:rsidR="00782567">
        <w:rPr>
          <w:lang w:val="es-ES"/>
        </w:rPr>
        <w:t xml:space="preserve"> de una investigación </w:t>
      </w:r>
      <w:r w:rsidR="00BF5DFB">
        <w:rPr>
          <w:szCs w:val="20"/>
          <w:lang w:val="es-US"/>
        </w:rPr>
        <w:t>completa y efectiva</w:t>
      </w:r>
      <w:r w:rsidR="00BF5DFB">
        <w:rPr>
          <w:lang w:val="es-ES"/>
        </w:rPr>
        <w:t xml:space="preserve"> </w:t>
      </w:r>
      <w:r w:rsidR="00782567">
        <w:rPr>
          <w:lang w:val="es-ES"/>
        </w:rPr>
        <w:t>por tribunal competente, independiente e imparcial, ha sido</w:t>
      </w:r>
      <w:r w:rsidR="0039724B" w:rsidRPr="00B071F1">
        <w:rPr>
          <w:lang w:val="es-ES"/>
        </w:rPr>
        <w:t xml:space="preserve"> excesiv</w:t>
      </w:r>
      <w:r w:rsidR="00B071F1" w:rsidRPr="00B071F1">
        <w:rPr>
          <w:lang w:val="es-ES"/>
        </w:rPr>
        <w:t>a</w:t>
      </w:r>
      <w:r w:rsidR="0039724B" w:rsidRPr="00B071F1">
        <w:rPr>
          <w:lang w:val="es-ES"/>
        </w:rPr>
        <w:t xml:space="preserve"> y violatori</w:t>
      </w:r>
      <w:r w:rsidR="00B071F1" w:rsidRPr="00B071F1">
        <w:rPr>
          <w:lang w:val="es-ES"/>
        </w:rPr>
        <w:t>a</w:t>
      </w:r>
      <w:r w:rsidR="0039724B" w:rsidRPr="00B071F1">
        <w:rPr>
          <w:lang w:val="es-ES"/>
        </w:rPr>
        <w:t xml:space="preserve"> de la garantía del plazo razonable</w:t>
      </w:r>
      <w:r w:rsidR="00B071F1" w:rsidRPr="00B071F1">
        <w:rPr>
          <w:lang w:val="es-ES"/>
        </w:rPr>
        <w:t>.</w:t>
      </w:r>
    </w:p>
    <w:p w14:paraId="205FCA30" w14:textId="77777777" w:rsidR="004A7D44" w:rsidRPr="004A7D44" w:rsidRDefault="004A7D44" w:rsidP="004A7D44">
      <w:pPr>
        <w:pStyle w:val="ListParagraph"/>
        <w:numPr>
          <w:ilvl w:val="0"/>
          <w:numId w:val="0"/>
        </w:numPr>
        <w:rPr>
          <w:lang w:val="es-ES"/>
        </w:rPr>
      </w:pPr>
    </w:p>
    <w:p w14:paraId="15DC5168" w14:textId="77777777" w:rsidR="00352651" w:rsidRPr="00653B23" w:rsidRDefault="00352651" w:rsidP="00352651">
      <w:pPr>
        <w:pStyle w:val="ListParagraph"/>
        <w:rPr>
          <w:lang w:val="es-ES"/>
        </w:rPr>
      </w:pPr>
      <w:r>
        <w:rPr>
          <w:lang w:val="es-ES"/>
        </w:rPr>
        <w:t xml:space="preserve">En atención a </w:t>
      </w:r>
      <w:r w:rsidR="00B071F1">
        <w:rPr>
          <w:lang w:val="es-ES"/>
        </w:rPr>
        <w:t xml:space="preserve">todo </w:t>
      </w:r>
      <w:r>
        <w:rPr>
          <w:lang w:val="es-ES"/>
        </w:rPr>
        <w:t xml:space="preserve">lo anterior, la Comisión estima que el </w:t>
      </w:r>
      <w:r w:rsidRPr="00653B23">
        <w:rPr>
          <w:lang w:val="es-ES"/>
        </w:rPr>
        <w:t xml:space="preserve">Estado </w:t>
      </w:r>
      <w:r>
        <w:rPr>
          <w:lang w:val="es-ES"/>
        </w:rPr>
        <w:t xml:space="preserve">ecuatoriano ha incurrido en responsabilidad </w:t>
      </w:r>
      <w:r w:rsidRPr="00653B23">
        <w:rPr>
          <w:lang w:val="es-ES"/>
        </w:rPr>
        <w:t xml:space="preserve">por la violación </w:t>
      </w:r>
      <w:r>
        <w:rPr>
          <w:lang w:val="es-ES"/>
        </w:rPr>
        <w:t xml:space="preserve">de las garantías judiciales y protección judicial y la obligación de investigar los actos de tortura, </w:t>
      </w:r>
      <w:r w:rsidRPr="00653B23">
        <w:rPr>
          <w:lang w:val="es-ES"/>
        </w:rPr>
        <w:t>consagrado</w:t>
      </w:r>
      <w:r>
        <w:rPr>
          <w:lang w:val="es-ES"/>
        </w:rPr>
        <w:t>s</w:t>
      </w:r>
      <w:r w:rsidRPr="00653B23">
        <w:rPr>
          <w:lang w:val="es-ES"/>
        </w:rPr>
        <w:t xml:space="preserve"> en l</w:t>
      </w:r>
      <w:r>
        <w:rPr>
          <w:lang w:val="es-ES"/>
        </w:rPr>
        <w:t>os</w:t>
      </w:r>
      <w:r w:rsidRPr="00653B23">
        <w:rPr>
          <w:lang w:val="es-ES"/>
        </w:rPr>
        <w:t xml:space="preserve"> artículo</w:t>
      </w:r>
      <w:r>
        <w:rPr>
          <w:lang w:val="es-ES"/>
        </w:rPr>
        <w:t>s</w:t>
      </w:r>
      <w:r w:rsidRPr="00653B23">
        <w:rPr>
          <w:lang w:val="es-ES"/>
        </w:rPr>
        <w:t xml:space="preserve"> </w:t>
      </w:r>
      <w:r>
        <w:rPr>
          <w:lang w:val="es-ES"/>
        </w:rPr>
        <w:t>8.1</w:t>
      </w:r>
      <w:r w:rsidR="001A4B12">
        <w:rPr>
          <w:lang w:val="es-ES"/>
        </w:rPr>
        <w:t xml:space="preserve"> y</w:t>
      </w:r>
      <w:r>
        <w:rPr>
          <w:lang w:val="es-ES"/>
        </w:rPr>
        <w:t xml:space="preserve"> 25.1</w:t>
      </w:r>
      <w:r w:rsidR="00DF722E">
        <w:rPr>
          <w:lang w:val="es-ES"/>
        </w:rPr>
        <w:t xml:space="preserve"> </w:t>
      </w:r>
      <w:r w:rsidRPr="00653B23">
        <w:rPr>
          <w:lang w:val="es-ES"/>
        </w:rPr>
        <w:t>de la Convención Americana, en relación con las obligaciones establecidas en los artículos 1.1 y 2 del mismo instrumento</w:t>
      </w:r>
      <w:r>
        <w:rPr>
          <w:lang w:val="es-ES"/>
        </w:rPr>
        <w:t xml:space="preserve"> y los artículos 1, 6 y 8 de la  </w:t>
      </w:r>
      <w:r w:rsidRPr="00A533B1">
        <w:rPr>
          <w:lang w:val="es-ES"/>
        </w:rPr>
        <w:t>Convención Interamericana para Prevenir y Sancionar la Tortura</w:t>
      </w:r>
      <w:r w:rsidR="00B96642">
        <w:rPr>
          <w:lang w:val="es-ES"/>
        </w:rPr>
        <w:t>, a partir de su entrada en vigencia</w:t>
      </w:r>
      <w:r w:rsidR="009C31F6">
        <w:rPr>
          <w:lang w:val="es-ES"/>
        </w:rPr>
        <w:t>, en perjuicio de Aníbal Alonso Aguas Acosta</w:t>
      </w:r>
      <w:r w:rsidR="00DF722E">
        <w:rPr>
          <w:lang w:val="es-ES"/>
        </w:rPr>
        <w:t xml:space="preserve"> y de sus familiares</w:t>
      </w:r>
      <w:r w:rsidRPr="00653B23">
        <w:rPr>
          <w:lang w:val="es-ES"/>
        </w:rPr>
        <w:t>.</w:t>
      </w:r>
    </w:p>
    <w:p w14:paraId="402BBE93" w14:textId="77777777" w:rsidR="00A6175F" w:rsidRPr="00EE2386" w:rsidRDefault="00A6175F" w:rsidP="00A13FB4">
      <w:pPr>
        <w:rPr>
          <w:rFonts w:ascii="Cambria" w:hAnsi="Cambria"/>
          <w:sz w:val="20"/>
          <w:szCs w:val="20"/>
          <w:lang w:val="es-US"/>
        </w:rPr>
      </w:pPr>
    </w:p>
    <w:p w14:paraId="693AE54B" w14:textId="77777777" w:rsidR="00D61FBE" w:rsidRPr="00EE2386" w:rsidRDefault="00D61FBE" w:rsidP="00D61FBE">
      <w:pPr>
        <w:pStyle w:val="Heading2"/>
        <w:rPr>
          <w:szCs w:val="20"/>
          <w:lang w:val="es-US"/>
        </w:rPr>
      </w:pPr>
      <w:bookmarkStart w:id="27" w:name="_Toc35966098"/>
      <w:r w:rsidRPr="00EE2386">
        <w:rPr>
          <w:szCs w:val="20"/>
          <w:lang w:val="es-US"/>
        </w:rPr>
        <w:t>Derecho a la integridad personal en cuanto a los familiares</w:t>
      </w:r>
      <w:bookmarkEnd w:id="27"/>
    </w:p>
    <w:p w14:paraId="137B4A90" w14:textId="77777777" w:rsidR="0063660C" w:rsidRDefault="0063660C" w:rsidP="0063660C">
      <w:pPr>
        <w:pStyle w:val="ListParagraph"/>
        <w:numPr>
          <w:ilvl w:val="0"/>
          <w:numId w:val="0"/>
        </w:numPr>
        <w:rPr>
          <w:lang w:val="es-US"/>
        </w:rPr>
      </w:pPr>
    </w:p>
    <w:p w14:paraId="7BE82165" w14:textId="77777777" w:rsidR="00894764" w:rsidRDefault="00FA58FA" w:rsidP="00AB6640">
      <w:pPr>
        <w:pStyle w:val="ListParagraph"/>
        <w:rPr>
          <w:lang w:val="es-US"/>
        </w:rPr>
      </w:pPr>
      <w:r w:rsidRPr="002D2C47">
        <w:rPr>
          <w:lang w:val="es-US"/>
        </w:rPr>
        <w:t xml:space="preserve">Los órganos del sistema interamericano han indicado en reiteradas oportunidades que los familiares de las víctimas de violaciones de derechos humanos, pueden, a su vez, resultar víctimas de violaciones de su </w:t>
      </w:r>
      <w:r w:rsidRPr="006E55EF">
        <w:rPr>
          <w:lang w:val="es-US"/>
        </w:rPr>
        <w:t>integridad</w:t>
      </w:r>
      <w:r w:rsidRPr="002D2C47">
        <w:rPr>
          <w:lang w:val="es-US"/>
        </w:rPr>
        <w:t xml:space="preserve"> personal</w:t>
      </w:r>
      <w:r w:rsidRPr="00E5046F">
        <w:rPr>
          <w:rStyle w:val="FootnoteReference"/>
          <w:szCs w:val="20"/>
          <w:lang w:val="es-ES"/>
        </w:rPr>
        <w:footnoteReference w:id="167"/>
      </w:r>
      <w:r w:rsidRPr="002D2C47">
        <w:rPr>
          <w:lang w:val="es-US"/>
        </w:rPr>
        <w:t xml:space="preserve">. </w:t>
      </w:r>
      <w:r w:rsidR="006922BF">
        <w:rPr>
          <w:lang w:val="es-US"/>
        </w:rPr>
        <w:t>De manera consistente, se ha considerado</w:t>
      </w:r>
      <w:r w:rsidRPr="00E5046F">
        <w:rPr>
          <w:lang w:val="es-US"/>
        </w:rPr>
        <w:t xml:space="preserve"> violado el derecho a la integridad psíquica y moral de los familiares </w:t>
      </w:r>
      <w:r w:rsidR="006922BF">
        <w:rPr>
          <w:lang w:val="es-US"/>
        </w:rPr>
        <w:t xml:space="preserve">directos y otras personas con vínculos estrechos a </w:t>
      </w:r>
      <w:r w:rsidRPr="00E5046F">
        <w:rPr>
          <w:lang w:val="es-US"/>
        </w:rPr>
        <w:t>las víctimas</w:t>
      </w:r>
      <w:r w:rsidR="006922BF">
        <w:rPr>
          <w:lang w:val="es-US"/>
        </w:rPr>
        <w:t xml:space="preserve"> de violaciones a los derecho</w:t>
      </w:r>
      <w:r w:rsidR="00B97632">
        <w:rPr>
          <w:lang w:val="es-US"/>
        </w:rPr>
        <w:t>s</w:t>
      </w:r>
      <w:r w:rsidR="006922BF">
        <w:rPr>
          <w:lang w:val="es-US"/>
        </w:rPr>
        <w:t xml:space="preserve"> humanos, en atención al </w:t>
      </w:r>
      <w:r w:rsidRPr="00E5046F">
        <w:rPr>
          <w:lang w:val="es-US"/>
        </w:rPr>
        <w:t>sufrimiento y angustia adicionales que éstos han padecido a causa de las actuaciones u omisiones posteriores de las autoridades estatales con respecto a esos hechos y debido a la ausencia de recursos efectivos</w:t>
      </w:r>
      <w:r w:rsidRPr="00E5046F">
        <w:rPr>
          <w:rStyle w:val="FootnoteReference"/>
          <w:szCs w:val="20"/>
          <w:lang w:val="es-ES"/>
        </w:rPr>
        <w:footnoteReference w:id="168"/>
      </w:r>
      <w:r w:rsidRPr="00E5046F">
        <w:rPr>
          <w:lang w:val="es-US"/>
        </w:rPr>
        <w:t xml:space="preserve">. En efecto, “la ausencia de una investigación completa y efectiva sobre los hechos constituye una fuente de sufrimiento y angustia adicional para las víctimas y sus familiares, quienes tienen el derecho de conocer la verdad de lo ocurrido. Dicho derecho a la verdad exige la determinación </w:t>
      </w:r>
      <w:r w:rsidRPr="00E5046F">
        <w:rPr>
          <w:lang w:val="es-US"/>
        </w:rPr>
        <w:lastRenderedPageBreak/>
        <w:t>procesal de la más completa verdad histórica posible”</w:t>
      </w:r>
      <w:r w:rsidRPr="00E5046F">
        <w:rPr>
          <w:rStyle w:val="FootnoteReference"/>
          <w:szCs w:val="20"/>
        </w:rPr>
        <w:footnoteReference w:id="169"/>
      </w:r>
      <w:r w:rsidRPr="00E5046F">
        <w:rPr>
          <w:lang w:val="es-US"/>
        </w:rPr>
        <w:t xml:space="preserve">. </w:t>
      </w:r>
      <w:r w:rsidR="00D813A3" w:rsidRPr="00AB6640">
        <w:rPr>
          <w:lang w:val="es-US"/>
        </w:rPr>
        <w:t>Para determinar quienes pueden ser consideradas víctimas, la Corte ha tomado en cuenta, entre otros, las gestiones realizadas para obtener justicia y la existencia de un estrecho vínculo familiar</w:t>
      </w:r>
      <w:r w:rsidR="00D813A3">
        <w:rPr>
          <w:rStyle w:val="FootnoteReference"/>
          <w:lang w:val="es-US"/>
        </w:rPr>
        <w:footnoteReference w:id="170"/>
      </w:r>
      <w:r w:rsidR="00D813A3" w:rsidRPr="00AB6640">
        <w:rPr>
          <w:lang w:val="es-US"/>
        </w:rPr>
        <w:t xml:space="preserve">.   </w:t>
      </w:r>
    </w:p>
    <w:p w14:paraId="13560A8B" w14:textId="77777777" w:rsidR="00894764" w:rsidRDefault="00894764" w:rsidP="00894764">
      <w:pPr>
        <w:pStyle w:val="ListParagraph"/>
        <w:numPr>
          <w:ilvl w:val="0"/>
          <w:numId w:val="0"/>
        </w:numPr>
        <w:rPr>
          <w:lang w:val="es-US"/>
        </w:rPr>
      </w:pPr>
    </w:p>
    <w:p w14:paraId="66DF2ADE" w14:textId="77777777" w:rsidR="00FA58FA" w:rsidRPr="00AB6640" w:rsidRDefault="00894764" w:rsidP="00894764">
      <w:pPr>
        <w:pStyle w:val="Heading4"/>
        <w:rPr>
          <w:lang w:val="es-US"/>
        </w:rPr>
      </w:pPr>
      <w:r>
        <w:rPr>
          <w:lang w:val="es-US"/>
        </w:rPr>
        <w:t>Análisis en el presente caso</w:t>
      </w:r>
      <w:r w:rsidR="00D813A3" w:rsidRPr="00AB6640">
        <w:rPr>
          <w:lang w:val="es-US"/>
        </w:rPr>
        <w:t xml:space="preserve">         </w:t>
      </w:r>
    </w:p>
    <w:p w14:paraId="1A7C8594" w14:textId="77777777" w:rsidR="00FA58FA" w:rsidRPr="00684B13" w:rsidRDefault="00FA58FA" w:rsidP="00FA58FA">
      <w:pPr>
        <w:pStyle w:val="ListParagraph"/>
        <w:numPr>
          <w:ilvl w:val="0"/>
          <w:numId w:val="0"/>
        </w:numPr>
        <w:rPr>
          <w:szCs w:val="20"/>
          <w:lang w:val="es-US"/>
        </w:rPr>
      </w:pPr>
    </w:p>
    <w:p w14:paraId="361D4D11" w14:textId="77777777" w:rsidR="00FA58FA" w:rsidRPr="00E5046F" w:rsidRDefault="00FA58FA" w:rsidP="00AB6640">
      <w:pPr>
        <w:pStyle w:val="ListParagraph"/>
        <w:rPr>
          <w:szCs w:val="20"/>
          <w:lang w:val="es-US"/>
        </w:rPr>
      </w:pPr>
      <w:r w:rsidRPr="00E5046F">
        <w:rPr>
          <w:lang w:val="es-US" w:eastAsia="pt-BR"/>
        </w:rPr>
        <w:t xml:space="preserve">En el presente caso, </w:t>
      </w:r>
      <w:r w:rsidRPr="00241267">
        <w:rPr>
          <w:lang w:val="es-US" w:eastAsia="pt-BR"/>
        </w:rPr>
        <w:t xml:space="preserve">la </w:t>
      </w:r>
      <w:r w:rsidR="00AB6640">
        <w:rPr>
          <w:lang w:val="es-US" w:eastAsia="pt-BR"/>
        </w:rPr>
        <w:t>Comisión estima que la muerte violenta y las torturas sufridas por Aníbal Aguas, sumado a la falta de investigación completa</w:t>
      </w:r>
      <w:r w:rsidR="006C3D8E">
        <w:rPr>
          <w:lang w:val="es-US" w:eastAsia="pt-BR"/>
        </w:rPr>
        <w:t>, efectiva y diligente</w:t>
      </w:r>
      <w:r w:rsidR="00AB6640">
        <w:rPr>
          <w:lang w:val="es-US" w:eastAsia="pt-BR"/>
        </w:rPr>
        <w:t xml:space="preserve"> sobre el crimen y sus responsables, por un tribunal competente, </w:t>
      </w:r>
      <w:r w:rsidR="006C3D8E">
        <w:rPr>
          <w:lang w:val="es-US" w:eastAsia="pt-BR"/>
        </w:rPr>
        <w:t xml:space="preserve">independiente e </w:t>
      </w:r>
      <w:r w:rsidR="00AB6640">
        <w:rPr>
          <w:lang w:val="es-US" w:eastAsia="pt-BR"/>
        </w:rPr>
        <w:t>imparcial</w:t>
      </w:r>
      <w:r w:rsidR="006C3D8E">
        <w:rPr>
          <w:lang w:val="es-US" w:eastAsia="pt-BR"/>
        </w:rPr>
        <w:t xml:space="preserve">, </w:t>
      </w:r>
      <w:r>
        <w:rPr>
          <w:lang w:val="es-US" w:eastAsia="pt-BR"/>
        </w:rPr>
        <w:t xml:space="preserve">ciertamente </w:t>
      </w:r>
      <w:r w:rsidR="006C3D8E">
        <w:rPr>
          <w:lang w:val="es-US" w:eastAsia="pt-BR"/>
        </w:rPr>
        <w:t xml:space="preserve">han </w:t>
      </w:r>
      <w:r w:rsidRPr="00241267">
        <w:rPr>
          <w:lang w:val="es-US" w:eastAsia="pt-BR"/>
        </w:rPr>
        <w:t>generado un profundo sentimiento de dolor, angustia e incertidumbre</w:t>
      </w:r>
      <w:r>
        <w:rPr>
          <w:lang w:val="es-US" w:eastAsia="pt-BR"/>
        </w:rPr>
        <w:t xml:space="preserve"> en sus familiares, quienes han recurrido a diversas autoridades y han emprendido un sinnúmero de acciones judiciales y extra-judiciales </w:t>
      </w:r>
      <w:r w:rsidR="006C3D8E">
        <w:rPr>
          <w:lang w:val="es-US" w:eastAsia="pt-BR"/>
        </w:rPr>
        <w:t>en</w:t>
      </w:r>
      <w:r>
        <w:rPr>
          <w:lang w:val="es-US" w:eastAsia="pt-BR"/>
        </w:rPr>
        <w:t xml:space="preserve"> búsqueda </w:t>
      </w:r>
      <w:r w:rsidR="006C3D8E">
        <w:rPr>
          <w:lang w:val="es-US" w:eastAsia="pt-BR"/>
        </w:rPr>
        <w:t>justicia</w:t>
      </w:r>
      <w:r w:rsidRPr="00241267">
        <w:rPr>
          <w:lang w:val="es-US" w:eastAsia="pt-BR"/>
        </w:rPr>
        <w:t xml:space="preserve">. </w:t>
      </w:r>
      <w:r w:rsidR="006C3D8E">
        <w:rPr>
          <w:lang w:val="es-US" w:eastAsia="pt-BR"/>
        </w:rPr>
        <w:t xml:space="preserve">Además, el núcleo familia resultó profundamente afectado ante la muerte del jóven Aníbal Aguas. Su esposa no pudo proveer para sus pequeños hijos, los que debieron mudarse a vivir con sus abuelos. </w:t>
      </w:r>
      <w:r w:rsidRPr="00241267">
        <w:rPr>
          <w:lang w:val="es-US" w:eastAsia="pt-BR"/>
        </w:rPr>
        <w:t xml:space="preserve">Conforme a lo anterior, en relación con el dolor y la angustia sufridos y que aún sufren los familiares de </w:t>
      </w:r>
      <w:r w:rsidR="006C3D8E">
        <w:rPr>
          <w:lang w:val="es-US" w:eastAsia="pt-BR"/>
        </w:rPr>
        <w:t>Aníbal Aguas y las secuelas emocionales y personales que han sufrido a consecuencia de los hechos</w:t>
      </w:r>
      <w:r w:rsidRPr="00241267">
        <w:rPr>
          <w:lang w:val="es-US" w:eastAsia="pt-BR"/>
        </w:rPr>
        <w:t>, la Comisión estima que éstos son, a su vez, víctimas de violación a su derecho a la integridad personal.</w:t>
      </w:r>
    </w:p>
    <w:p w14:paraId="1D2257E6" w14:textId="77777777" w:rsidR="00FA58FA" w:rsidRDefault="00FA58FA" w:rsidP="00FA58FA">
      <w:pPr>
        <w:pStyle w:val="ListParagraph"/>
        <w:numPr>
          <w:ilvl w:val="0"/>
          <w:numId w:val="0"/>
        </w:numPr>
        <w:rPr>
          <w:lang w:val="es-ES"/>
        </w:rPr>
      </w:pPr>
    </w:p>
    <w:p w14:paraId="4992DA69" w14:textId="77777777" w:rsidR="00D2706B" w:rsidRPr="00EE2386" w:rsidRDefault="00FA58FA" w:rsidP="00D2706B">
      <w:pPr>
        <w:pStyle w:val="ListParagraph"/>
        <w:rPr>
          <w:szCs w:val="20"/>
          <w:lang w:val="es-PE"/>
        </w:rPr>
      </w:pPr>
      <w:r w:rsidRPr="00D2706B">
        <w:rPr>
          <w:lang w:val="es-ES"/>
        </w:rPr>
        <w:t>En consecuencia</w:t>
      </w:r>
      <w:r w:rsidRPr="00D2706B">
        <w:rPr>
          <w:lang w:val="es-US"/>
        </w:rPr>
        <w:t xml:space="preserve">, la Comisión concluye que el Estado violó el derecho a la integridad personal consagrado en el artículo 5.1 de la Convención Americana </w:t>
      </w:r>
      <w:r w:rsidRPr="00D2706B">
        <w:rPr>
          <w:lang w:val="es-ES"/>
        </w:rPr>
        <w:t>en relación con las obligaciones establecidas en el artículo 1.1 de la misma, en perjuicio de los familiares de</w:t>
      </w:r>
      <w:r w:rsidR="00D2706B" w:rsidRPr="00D2706B">
        <w:rPr>
          <w:lang w:val="es-ES"/>
        </w:rPr>
        <w:t xml:space="preserve"> Aníbal </w:t>
      </w:r>
      <w:r w:rsidR="00D2706B">
        <w:rPr>
          <w:lang w:val="es-ES"/>
        </w:rPr>
        <w:t xml:space="preserve">Alonso </w:t>
      </w:r>
      <w:r w:rsidR="00D2706B" w:rsidRPr="00D2706B">
        <w:rPr>
          <w:lang w:val="es-ES"/>
        </w:rPr>
        <w:t>Aguas Acosta</w:t>
      </w:r>
      <w:r w:rsidRPr="00D2706B">
        <w:rPr>
          <w:lang w:val="es-ES"/>
        </w:rPr>
        <w:t xml:space="preserve">, es decir, </w:t>
      </w:r>
      <w:r w:rsidR="00D2706B" w:rsidRPr="00EE2386">
        <w:rPr>
          <w:szCs w:val="20"/>
          <w:lang w:val="es-PE"/>
        </w:rPr>
        <w:t xml:space="preserve">su esposa, Estela Gaona, sus hijos, Lesli Carolina Aguas Gaona y Marlon Aníbal Aguas Gaona, sus padres, Neptalí Salvador Aguas Suarez y Fanny Acosta Salinas, y su hermano y cuñada, Medardo Aguas Acosta y Marcia Lara de Aguas. </w:t>
      </w:r>
    </w:p>
    <w:p w14:paraId="21D1CF67" w14:textId="77777777" w:rsidR="00775997" w:rsidRPr="00FA58FA" w:rsidRDefault="00775997" w:rsidP="00680205">
      <w:pPr>
        <w:pStyle w:val="ListParagraph"/>
        <w:numPr>
          <w:ilvl w:val="0"/>
          <w:numId w:val="0"/>
        </w:numPr>
        <w:ind w:left="360"/>
        <w:rPr>
          <w:szCs w:val="20"/>
          <w:lang w:val="es-ES"/>
        </w:rPr>
      </w:pPr>
    </w:p>
    <w:p w14:paraId="090E736B" w14:textId="77777777" w:rsidR="00D12193" w:rsidRPr="00EE2386" w:rsidRDefault="00D12193" w:rsidP="00680205">
      <w:pPr>
        <w:pStyle w:val="Heading1"/>
        <w:ind w:left="450" w:firstLine="630"/>
        <w:rPr>
          <w:rFonts w:ascii="Cambria" w:hAnsi="Cambria"/>
          <w:color w:val="auto"/>
        </w:rPr>
      </w:pPr>
      <w:bookmarkStart w:id="28" w:name="_Toc35966099"/>
      <w:bookmarkEnd w:id="17"/>
      <w:bookmarkEnd w:id="18"/>
      <w:r w:rsidRPr="00EE2386">
        <w:rPr>
          <w:rFonts w:ascii="Cambria" w:hAnsi="Cambria"/>
          <w:color w:val="auto"/>
        </w:rPr>
        <w:t>CONCLUSIONES Y RECOMENDACIONES</w:t>
      </w:r>
      <w:bookmarkEnd w:id="28"/>
      <w:r w:rsidRPr="00EE2386">
        <w:rPr>
          <w:rFonts w:ascii="Cambria" w:hAnsi="Cambria"/>
          <w:color w:val="auto"/>
        </w:rPr>
        <w:t xml:space="preserve"> </w:t>
      </w:r>
    </w:p>
    <w:p w14:paraId="0A6E90EA" w14:textId="77777777" w:rsidR="00D12193" w:rsidRPr="00EE2386" w:rsidRDefault="00D12193" w:rsidP="0011380E">
      <w:pPr>
        <w:suppressAutoHyphens/>
        <w:rPr>
          <w:rFonts w:ascii="Cambria" w:hAnsi="Cambria"/>
          <w:b/>
          <w:sz w:val="20"/>
          <w:szCs w:val="20"/>
          <w:lang w:val="es-ES_tradnl"/>
        </w:rPr>
      </w:pPr>
    </w:p>
    <w:p w14:paraId="4EBA0798" w14:textId="77777777" w:rsidR="00D7393F" w:rsidRPr="001066D2" w:rsidRDefault="00D7393F" w:rsidP="001066D2">
      <w:pPr>
        <w:pStyle w:val="ListParagraph"/>
        <w:rPr>
          <w:szCs w:val="20"/>
          <w:lang w:val="es-PE"/>
        </w:rPr>
      </w:pPr>
      <w:r w:rsidRPr="001066D2">
        <w:rPr>
          <w:szCs w:val="20"/>
          <w:lang w:val="es-ES"/>
        </w:rPr>
        <w:t xml:space="preserve">De conformidad con las consideraciones de hecho y de derecho </w:t>
      </w:r>
      <w:r w:rsidR="005B7C8F" w:rsidRPr="001066D2">
        <w:rPr>
          <w:szCs w:val="20"/>
          <w:lang w:val="es-ES"/>
        </w:rPr>
        <w:t>vertidas</w:t>
      </w:r>
      <w:r w:rsidRPr="001066D2">
        <w:rPr>
          <w:szCs w:val="20"/>
          <w:lang w:val="es-ES"/>
        </w:rPr>
        <w:t xml:space="preserve"> en el presente informe, la Comisión concluye que el Estado </w:t>
      </w:r>
      <w:r w:rsidR="004B54A0" w:rsidRPr="001066D2">
        <w:rPr>
          <w:szCs w:val="20"/>
          <w:lang w:val="es-ES"/>
        </w:rPr>
        <w:t xml:space="preserve">ecuatoriano </w:t>
      </w:r>
      <w:r w:rsidRPr="001066D2">
        <w:rPr>
          <w:szCs w:val="20"/>
          <w:lang w:val="es-ES"/>
        </w:rPr>
        <w:t xml:space="preserve">es responsable por la violación de los derechos </w:t>
      </w:r>
      <w:r w:rsidR="009C31F6" w:rsidRPr="001066D2">
        <w:rPr>
          <w:lang w:val="es-ES"/>
        </w:rPr>
        <w:t xml:space="preserve">a la vida e integridad personal, </w:t>
      </w:r>
      <w:r w:rsidR="001066D2" w:rsidRPr="001066D2">
        <w:rPr>
          <w:lang w:val="es-ES"/>
        </w:rPr>
        <w:t xml:space="preserve">las garantías judiciales y protección judicial y la obligación de investigar los actos de tortura, </w:t>
      </w:r>
      <w:r w:rsidR="009C31F6" w:rsidRPr="001066D2">
        <w:rPr>
          <w:lang w:val="es-ES"/>
        </w:rPr>
        <w:t>consagrados en los artículos 4, 5.1</w:t>
      </w:r>
      <w:r w:rsidR="001066D2" w:rsidRPr="001066D2">
        <w:rPr>
          <w:lang w:val="es-ES"/>
        </w:rPr>
        <w:t>,</w:t>
      </w:r>
      <w:r w:rsidR="009C31F6" w:rsidRPr="001066D2">
        <w:rPr>
          <w:lang w:val="es-ES"/>
        </w:rPr>
        <w:t xml:space="preserve"> 5.2</w:t>
      </w:r>
      <w:r w:rsidR="001066D2" w:rsidRPr="001066D2">
        <w:rPr>
          <w:lang w:val="es-ES"/>
        </w:rPr>
        <w:t>,</w:t>
      </w:r>
      <w:r w:rsidR="009C31F6" w:rsidRPr="001066D2">
        <w:rPr>
          <w:lang w:val="es-ES"/>
        </w:rPr>
        <w:t xml:space="preserve"> </w:t>
      </w:r>
      <w:r w:rsidR="001066D2" w:rsidRPr="001066D2">
        <w:rPr>
          <w:lang w:val="es-ES"/>
        </w:rPr>
        <w:t>8.1</w:t>
      </w:r>
      <w:r w:rsidR="001A4B12">
        <w:rPr>
          <w:lang w:val="es-ES"/>
        </w:rPr>
        <w:t xml:space="preserve"> y</w:t>
      </w:r>
      <w:r w:rsidR="001066D2" w:rsidRPr="001066D2">
        <w:rPr>
          <w:lang w:val="es-ES"/>
        </w:rPr>
        <w:t xml:space="preserve"> 25.1 </w:t>
      </w:r>
      <w:r w:rsidR="009C31F6" w:rsidRPr="001066D2">
        <w:rPr>
          <w:lang w:val="es-ES"/>
        </w:rPr>
        <w:t>de la Convención Americana, en relación con las obligaciones establecidas en los artículos 1.1 y 2 del mismo instrumento y los artículos 1, 6 y 8 de la Convención Interamericana para Prevenir y Sancionar la Tortura, a partir de su entrada en vigencia</w:t>
      </w:r>
      <w:r w:rsidR="00172149" w:rsidRPr="001066D2">
        <w:rPr>
          <w:color w:val="auto"/>
          <w:szCs w:val="20"/>
          <w:lang w:val="es-ES"/>
        </w:rPr>
        <w:t>,</w:t>
      </w:r>
      <w:r w:rsidR="0032793C" w:rsidRPr="001066D2">
        <w:rPr>
          <w:color w:val="auto"/>
          <w:szCs w:val="20"/>
          <w:lang w:val="es-ES"/>
        </w:rPr>
        <w:t xml:space="preserve"> </w:t>
      </w:r>
      <w:r w:rsidRPr="001066D2">
        <w:rPr>
          <w:szCs w:val="20"/>
          <w:lang w:val="es-ES"/>
        </w:rPr>
        <w:t xml:space="preserve">en perjuicio de </w:t>
      </w:r>
      <w:r w:rsidR="001066D2">
        <w:rPr>
          <w:szCs w:val="20"/>
          <w:lang w:val="es-ES"/>
        </w:rPr>
        <w:t>Aníbal Alonso Aguas Acosta</w:t>
      </w:r>
      <w:r w:rsidR="00013835">
        <w:rPr>
          <w:color w:val="auto"/>
          <w:szCs w:val="20"/>
          <w:lang w:val="es-CL"/>
        </w:rPr>
        <w:t>,</w:t>
      </w:r>
      <w:r w:rsidR="001066D2" w:rsidRPr="00D2706B">
        <w:rPr>
          <w:lang w:val="es-ES"/>
        </w:rPr>
        <w:t xml:space="preserve"> </w:t>
      </w:r>
      <w:r w:rsidR="001066D2" w:rsidRPr="00EE2386">
        <w:rPr>
          <w:szCs w:val="20"/>
          <w:lang w:val="es-PE"/>
        </w:rPr>
        <w:t>Estela Gaona, Lesli Carolina Aguas Gaona</w:t>
      </w:r>
      <w:r w:rsidR="001066D2">
        <w:rPr>
          <w:szCs w:val="20"/>
          <w:lang w:val="es-PE"/>
        </w:rPr>
        <w:t>,</w:t>
      </w:r>
      <w:r w:rsidR="001066D2" w:rsidRPr="00EE2386">
        <w:rPr>
          <w:szCs w:val="20"/>
          <w:lang w:val="es-PE"/>
        </w:rPr>
        <w:t xml:space="preserve"> Marlon Aníbal Aguas Gaona, Neptalí Salvador Aguas Suarez</w:t>
      </w:r>
      <w:r w:rsidR="001066D2">
        <w:rPr>
          <w:szCs w:val="20"/>
          <w:lang w:val="es-PE"/>
        </w:rPr>
        <w:t>,</w:t>
      </w:r>
      <w:r w:rsidR="001066D2" w:rsidRPr="00EE2386">
        <w:rPr>
          <w:szCs w:val="20"/>
          <w:lang w:val="es-PE"/>
        </w:rPr>
        <w:t xml:space="preserve"> Fanny Acosta Salinas, Medardo Aguas Acosta y Marcia Lara de Aguas. </w:t>
      </w:r>
    </w:p>
    <w:p w14:paraId="51C240F6" w14:textId="77777777" w:rsidR="00D7393F" w:rsidRPr="00EE2386" w:rsidRDefault="00D7393F" w:rsidP="0011380E">
      <w:pPr>
        <w:pStyle w:val="ListParagraph"/>
        <w:numPr>
          <w:ilvl w:val="0"/>
          <w:numId w:val="0"/>
        </w:numPr>
        <w:rPr>
          <w:color w:val="auto"/>
          <w:szCs w:val="20"/>
          <w:lang w:val="es-ES"/>
        </w:rPr>
      </w:pPr>
    </w:p>
    <w:p w14:paraId="2443090B" w14:textId="77777777" w:rsidR="00D7393F" w:rsidRPr="00EE2386" w:rsidRDefault="00D7393F" w:rsidP="00680205">
      <w:pPr>
        <w:pStyle w:val="ListParagraph"/>
        <w:rPr>
          <w:szCs w:val="20"/>
          <w:lang w:val="es-ES"/>
        </w:rPr>
      </w:pPr>
      <w:r w:rsidRPr="00EE2386">
        <w:rPr>
          <w:szCs w:val="20"/>
          <w:lang w:val="es-ES"/>
        </w:rPr>
        <w:t xml:space="preserve">En virtud de lo anterior,  </w:t>
      </w:r>
    </w:p>
    <w:p w14:paraId="3ABE9F26" w14:textId="77777777" w:rsidR="0032793C" w:rsidRPr="00EE2386" w:rsidRDefault="0032793C" w:rsidP="0031160D">
      <w:pPr>
        <w:jc w:val="both"/>
        <w:rPr>
          <w:rFonts w:ascii="Cambria" w:hAnsi="Cambria"/>
          <w:b/>
          <w:sz w:val="20"/>
          <w:szCs w:val="20"/>
          <w:lang w:val="es-ES_tradnl"/>
        </w:rPr>
      </w:pPr>
    </w:p>
    <w:p w14:paraId="3DEC3877" w14:textId="77777777" w:rsidR="00006896" w:rsidRPr="00EE2386" w:rsidRDefault="00006896" w:rsidP="0031160D">
      <w:pPr>
        <w:jc w:val="both"/>
        <w:rPr>
          <w:rFonts w:ascii="Cambria" w:hAnsi="Cambria"/>
          <w:b/>
          <w:sz w:val="20"/>
          <w:szCs w:val="20"/>
          <w:lang w:val="es-ES_tradnl"/>
        </w:rPr>
      </w:pPr>
      <w:r w:rsidRPr="00EE2386">
        <w:rPr>
          <w:rFonts w:ascii="Cambria" w:hAnsi="Cambria"/>
          <w:b/>
          <w:sz w:val="20"/>
          <w:szCs w:val="20"/>
          <w:lang w:val="es-ES_tradnl"/>
        </w:rPr>
        <w:t>LA COMISIÓN INTERAMERICANA DE DERECHOS HUMANOS, RECOMIENDA A</w:t>
      </w:r>
      <w:r w:rsidR="001066D2">
        <w:rPr>
          <w:rFonts w:ascii="Cambria" w:hAnsi="Cambria"/>
          <w:b/>
          <w:sz w:val="20"/>
          <w:szCs w:val="20"/>
          <w:lang w:val="es-ES_tradnl"/>
        </w:rPr>
        <w:t>L ESTADO ECUATORIANO</w:t>
      </w:r>
      <w:r w:rsidRPr="00EE2386">
        <w:rPr>
          <w:rFonts w:ascii="Cambria" w:hAnsi="Cambria"/>
          <w:b/>
          <w:sz w:val="20"/>
          <w:szCs w:val="20"/>
          <w:lang w:val="es-ES_tradnl"/>
        </w:rPr>
        <w:t>,</w:t>
      </w:r>
    </w:p>
    <w:p w14:paraId="2A3F07E5" w14:textId="77777777" w:rsidR="00006896" w:rsidRPr="00EE2386" w:rsidRDefault="00006896" w:rsidP="00006896">
      <w:pPr>
        <w:jc w:val="both"/>
        <w:rPr>
          <w:rFonts w:ascii="Cambria" w:hAnsi="Cambria"/>
          <w:sz w:val="20"/>
          <w:szCs w:val="20"/>
          <w:lang w:val="es-US"/>
        </w:rPr>
      </w:pPr>
      <w:r w:rsidRPr="00EE2386">
        <w:rPr>
          <w:rFonts w:ascii="Cambria" w:hAnsi="Cambria"/>
          <w:sz w:val="20"/>
          <w:szCs w:val="20"/>
          <w:lang w:val="es-US"/>
        </w:rPr>
        <w:t> </w:t>
      </w:r>
    </w:p>
    <w:p w14:paraId="4F1EADCA" w14:textId="77777777" w:rsidR="00DE4700" w:rsidRPr="00EE2386" w:rsidRDefault="005F309E" w:rsidP="005953D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eastAsia="Times New Roman" w:cs="Tahoma"/>
          <w:color w:val="auto"/>
          <w:szCs w:val="20"/>
          <w:bdr w:val="none" w:sz="0" w:space="0" w:color="auto"/>
          <w:lang w:val="es-ES"/>
        </w:rPr>
      </w:pPr>
      <w:r w:rsidRPr="00EE2386">
        <w:rPr>
          <w:rFonts w:eastAsia="Times New Roman" w:cs="Tahoma"/>
          <w:color w:val="auto"/>
          <w:szCs w:val="20"/>
          <w:bdr w:val="none" w:sz="0" w:space="0" w:color="auto"/>
          <w:lang w:val="es-ES"/>
        </w:rPr>
        <w:t>Reparar integralmente las violaciones de derechos humanos declaradas en el presente informe tanto en el aspecto material como inmaterial. El Estado deberá adoptar las medidas de compensación económica y satisfacción</w:t>
      </w:r>
      <w:r w:rsidR="005953DF" w:rsidRPr="00EE2386">
        <w:rPr>
          <w:rFonts w:eastAsia="Times New Roman" w:cs="Tahoma"/>
          <w:color w:val="auto"/>
          <w:szCs w:val="20"/>
          <w:bdr w:val="none" w:sz="0" w:space="0" w:color="auto"/>
          <w:lang w:val="es-ES"/>
        </w:rPr>
        <w:t xml:space="preserve"> y </w:t>
      </w:r>
      <w:r w:rsidR="00DE4700" w:rsidRPr="00EE2386">
        <w:rPr>
          <w:rFonts w:eastAsia="Times New Roman" w:cs="Tahoma"/>
          <w:color w:val="auto"/>
          <w:szCs w:val="20"/>
          <w:bdr w:val="none" w:sz="0" w:space="0" w:color="auto"/>
          <w:lang w:val="es-ES"/>
        </w:rPr>
        <w:t>medidas de atención en salud física y mental necesarias para la rehabilitación de las víctimas del presente caso, de ser su voluntad y de manera concertada</w:t>
      </w:r>
      <w:r w:rsidR="006F5F63" w:rsidRPr="00EE2386">
        <w:rPr>
          <w:rFonts w:eastAsia="Times New Roman" w:cs="Tahoma"/>
          <w:color w:val="auto"/>
          <w:szCs w:val="20"/>
          <w:bdr w:val="none" w:sz="0" w:space="0" w:color="auto"/>
          <w:lang w:val="es-ES"/>
        </w:rPr>
        <w:t xml:space="preserve"> con ellos</w:t>
      </w:r>
      <w:r w:rsidR="00DE4700" w:rsidRPr="00EE2386">
        <w:rPr>
          <w:rFonts w:eastAsia="Times New Roman" w:cs="Tahoma"/>
          <w:color w:val="auto"/>
          <w:szCs w:val="20"/>
          <w:bdr w:val="none" w:sz="0" w:space="0" w:color="auto"/>
          <w:lang w:val="es-ES"/>
        </w:rPr>
        <w:t>.</w:t>
      </w:r>
    </w:p>
    <w:p w14:paraId="66FDF0CD" w14:textId="77777777" w:rsidR="00424498" w:rsidRPr="00EE2386" w:rsidRDefault="00424498" w:rsidP="00424498">
      <w:pPr>
        <w:pStyle w:val="ListParagraph"/>
        <w:numPr>
          <w:ilvl w:val="0"/>
          <w:numId w:val="0"/>
        </w:numPr>
        <w:rPr>
          <w:rFonts w:eastAsia="Times New Roman" w:cs="Tahoma"/>
          <w:color w:val="auto"/>
          <w:szCs w:val="20"/>
          <w:bdr w:val="none" w:sz="0" w:space="0" w:color="auto"/>
          <w:lang w:val="es-AR"/>
        </w:rPr>
      </w:pPr>
    </w:p>
    <w:p w14:paraId="370BE12F" w14:textId="77777777" w:rsidR="0094364F" w:rsidRPr="00F97BFB" w:rsidRDefault="009A194F" w:rsidP="00F97BF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eastAsia="Times New Roman"/>
          <w:color w:val="auto"/>
          <w:szCs w:val="20"/>
          <w:bdr w:val="none" w:sz="0" w:space="0" w:color="auto"/>
          <w:lang w:val="es-ES"/>
        </w:rPr>
      </w:pPr>
      <w:r w:rsidRPr="00EE2386">
        <w:rPr>
          <w:rFonts w:cs="Tahoma"/>
          <w:szCs w:val="20"/>
          <w:lang w:val="es-ES"/>
        </w:rPr>
        <w:t>Llevar a cabo una investigación</w:t>
      </w:r>
      <w:r w:rsidR="001066D2">
        <w:rPr>
          <w:rFonts w:cs="Tahoma"/>
          <w:szCs w:val="20"/>
          <w:lang w:val="es-ES"/>
        </w:rPr>
        <w:t xml:space="preserve">, persecución y sanción, </w:t>
      </w:r>
      <w:r w:rsidRPr="00EE2386">
        <w:rPr>
          <w:rFonts w:cs="Tahoma"/>
          <w:szCs w:val="20"/>
          <w:lang w:val="es-ES"/>
        </w:rPr>
        <w:t>seria, efectiva</w:t>
      </w:r>
      <w:r w:rsidR="00262BB6">
        <w:rPr>
          <w:rFonts w:cs="Tahoma"/>
          <w:szCs w:val="20"/>
          <w:lang w:val="es-ES"/>
        </w:rPr>
        <w:t xml:space="preserve"> y cumpliendo con los estándares </w:t>
      </w:r>
      <w:r w:rsidR="009872E7">
        <w:rPr>
          <w:rFonts w:cs="Tahoma"/>
          <w:szCs w:val="20"/>
          <w:lang w:val="es-ES"/>
        </w:rPr>
        <w:t xml:space="preserve">internacionales </w:t>
      </w:r>
      <w:r w:rsidR="00262BB6">
        <w:rPr>
          <w:rFonts w:cs="Tahoma"/>
          <w:szCs w:val="20"/>
          <w:lang w:val="es-ES"/>
        </w:rPr>
        <w:t>de debida diligencia</w:t>
      </w:r>
      <w:r w:rsidRPr="00EE2386">
        <w:rPr>
          <w:rFonts w:cs="Tahoma"/>
          <w:szCs w:val="20"/>
          <w:lang w:val="es-ES"/>
        </w:rPr>
        <w:t>, en un plazo razonable</w:t>
      </w:r>
      <w:r w:rsidR="00262BB6">
        <w:rPr>
          <w:rFonts w:cs="Tahoma"/>
          <w:szCs w:val="20"/>
          <w:lang w:val="es-ES"/>
        </w:rPr>
        <w:t xml:space="preserve"> y </w:t>
      </w:r>
      <w:r w:rsidR="001066D2">
        <w:rPr>
          <w:rFonts w:cs="Tahoma"/>
          <w:szCs w:val="20"/>
          <w:lang w:val="es-ES"/>
        </w:rPr>
        <w:t xml:space="preserve">por </w:t>
      </w:r>
      <w:r w:rsidR="00262BB6">
        <w:rPr>
          <w:rFonts w:cs="Tahoma"/>
          <w:szCs w:val="20"/>
          <w:lang w:val="es-ES"/>
        </w:rPr>
        <w:t xml:space="preserve">un </w:t>
      </w:r>
      <w:r w:rsidR="001066D2">
        <w:rPr>
          <w:rFonts w:cs="Tahoma"/>
          <w:szCs w:val="20"/>
          <w:lang w:val="es-ES"/>
        </w:rPr>
        <w:t xml:space="preserve">tribunal competente, independiente e imparcial, </w:t>
      </w:r>
      <w:r w:rsidRPr="00EE2386">
        <w:rPr>
          <w:rFonts w:cs="Tahoma"/>
          <w:szCs w:val="20"/>
          <w:lang w:val="es-ES"/>
        </w:rPr>
        <w:t xml:space="preserve">para esclarecer </w:t>
      </w:r>
      <w:r w:rsidR="00262BB6">
        <w:rPr>
          <w:rFonts w:cs="Tahoma"/>
          <w:szCs w:val="20"/>
          <w:lang w:val="es-ES"/>
        </w:rPr>
        <w:t xml:space="preserve">en su totalidad </w:t>
      </w:r>
      <w:r w:rsidRPr="00EE2386">
        <w:rPr>
          <w:rFonts w:cs="Tahoma"/>
          <w:szCs w:val="20"/>
          <w:lang w:val="es-ES"/>
        </w:rPr>
        <w:t xml:space="preserve">los hechos, individualizar a </w:t>
      </w:r>
      <w:r w:rsidR="00174B55">
        <w:rPr>
          <w:rFonts w:cs="Tahoma"/>
          <w:szCs w:val="20"/>
          <w:lang w:val="es-ES"/>
        </w:rPr>
        <w:t xml:space="preserve">todos </w:t>
      </w:r>
      <w:r w:rsidRPr="00EE2386">
        <w:rPr>
          <w:rFonts w:cs="Tahoma"/>
          <w:szCs w:val="20"/>
          <w:lang w:val="es-ES"/>
        </w:rPr>
        <w:t xml:space="preserve">los responsables e imponer las sanciones que correspondan. </w:t>
      </w:r>
      <w:r w:rsidR="007C0622">
        <w:rPr>
          <w:rFonts w:cs="Tahoma"/>
          <w:szCs w:val="20"/>
          <w:lang w:val="es-ES"/>
        </w:rPr>
        <w:t xml:space="preserve">Al tratarse de una grave violación a los derechos humanos, </w:t>
      </w:r>
      <w:r w:rsidR="001A4B12">
        <w:rPr>
          <w:rFonts w:cs="Tahoma"/>
          <w:szCs w:val="20"/>
          <w:lang w:val="es-ES"/>
        </w:rPr>
        <w:t>el Estado no podrá alegar el instituto de la prescripción</w:t>
      </w:r>
      <w:r w:rsidR="007C0622">
        <w:rPr>
          <w:rFonts w:cs="Tahoma"/>
          <w:szCs w:val="20"/>
          <w:lang w:val="es-ES"/>
        </w:rPr>
        <w:t xml:space="preserve"> o</w:t>
      </w:r>
      <w:r w:rsidR="001A4B12">
        <w:rPr>
          <w:rFonts w:cs="Tahoma"/>
          <w:szCs w:val="20"/>
          <w:lang w:val="es-ES"/>
        </w:rPr>
        <w:t xml:space="preserve"> </w:t>
      </w:r>
      <w:r w:rsidR="009872E7">
        <w:rPr>
          <w:rFonts w:cs="Tahoma"/>
          <w:i/>
          <w:szCs w:val="20"/>
          <w:lang w:val="es-ES"/>
        </w:rPr>
        <w:t>ne</w:t>
      </w:r>
      <w:r w:rsidR="007C0622" w:rsidRPr="00B079F6">
        <w:rPr>
          <w:rFonts w:cs="Tahoma"/>
          <w:i/>
          <w:szCs w:val="20"/>
          <w:lang w:val="es-ES"/>
        </w:rPr>
        <w:t xml:space="preserve"> bis in ídem</w:t>
      </w:r>
      <w:r w:rsidR="007C0622">
        <w:rPr>
          <w:rFonts w:cs="Tahoma"/>
          <w:szCs w:val="20"/>
          <w:lang w:val="es-ES"/>
        </w:rPr>
        <w:t xml:space="preserve"> para justificar el incumplimiento de esta recomendación.</w:t>
      </w:r>
    </w:p>
    <w:p w14:paraId="5DCA9373" w14:textId="77777777" w:rsidR="00B33C25" w:rsidRPr="001A4B12" w:rsidRDefault="00B33C25" w:rsidP="00680205">
      <w:pPr>
        <w:pStyle w:val="ListParagraph"/>
        <w:numPr>
          <w:ilvl w:val="0"/>
          <w:numId w:val="0"/>
        </w:numPr>
        <w:ind w:left="4770"/>
        <w:rPr>
          <w:rFonts w:eastAsia="Times New Roman"/>
          <w:color w:val="auto"/>
          <w:szCs w:val="20"/>
          <w:bdr w:val="none" w:sz="0" w:space="0" w:color="auto"/>
          <w:lang w:val="es-US"/>
        </w:rPr>
      </w:pPr>
    </w:p>
    <w:p w14:paraId="3F8798A4" w14:textId="77777777" w:rsidR="00B33C25" w:rsidRPr="00EE2386" w:rsidRDefault="00B33C25" w:rsidP="0068020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eastAsia="Times New Roman"/>
          <w:color w:val="auto"/>
          <w:szCs w:val="20"/>
          <w:bdr w:val="none" w:sz="0" w:space="0" w:color="auto"/>
          <w:lang w:val="es-ES"/>
        </w:rPr>
      </w:pPr>
      <w:r w:rsidRPr="00EE2386">
        <w:rPr>
          <w:szCs w:val="20"/>
          <w:lang w:val="es-ES"/>
        </w:rPr>
        <w:lastRenderedPageBreak/>
        <w:t xml:space="preserve">Adecuar </w:t>
      </w:r>
      <w:r w:rsidR="007C0622">
        <w:rPr>
          <w:szCs w:val="20"/>
          <w:lang w:val="es-ES"/>
        </w:rPr>
        <w:t>las medidas que sean necesarias a</w:t>
      </w:r>
      <w:r w:rsidR="007C0622" w:rsidRPr="00EE2386">
        <w:rPr>
          <w:szCs w:val="20"/>
          <w:lang w:val="es-ES"/>
        </w:rPr>
        <w:t xml:space="preserve">l </w:t>
      </w:r>
      <w:r w:rsidRPr="00EE2386">
        <w:rPr>
          <w:szCs w:val="20"/>
          <w:lang w:val="es-ES"/>
        </w:rPr>
        <w:t xml:space="preserve">ordenamiento jurídico interno, </w:t>
      </w:r>
      <w:r w:rsidR="007C0622">
        <w:rPr>
          <w:szCs w:val="20"/>
          <w:lang w:val="es-ES"/>
        </w:rPr>
        <w:t xml:space="preserve">mediante la adopción de legislación o protocolos </w:t>
      </w:r>
      <w:r w:rsidR="001066D2">
        <w:rPr>
          <w:szCs w:val="20"/>
          <w:lang w:val="es-ES"/>
        </w:rPr>
        <w:t>pertinente</w:t>
      </w:r>
      <w:r w:rsidR="007C0622">
        <w:rPr>
          <w:szCs w:val="20"/>
          <w:lang w:val="es-ES"/>
        </w:rPr>
        <w:t>s</w:t>
      </w:r>
      <w:r w:rsidR="001066D2">
        <w:rPr>
          <w:szCs w:val="20"/>
          <w:lang w:val="es-ES"/>
        </w:rPr>
        <w:t xml:space="preserve"> que </w:t>
      </w:r>
      <w:r w:rsidR="007C0622">
        <w:rPr>
          <w:szCs w:val="20"/>
          <w:lang w:val="es-ES"/>
        </w:rPr>
        <w:t xml:space="preserve">incluyan la regulación sobre </w:t>
      </w:r>
      <w:r w:rsidR="001066D2">
        <w:rPr>
          <w:szCs w:val="20"/>
          <w:lang w:val="es-ES"/>
        </w:rPr>
        <w:t xml:space="preserve">el uso de la fuerza </w:t>
      </w:r>
      <w:r w:rsidR="007C0622">
        <w:rPr>
          <w:szCs w:val="20"/>
          <w:lang w:val="es-ES"/>
        </w:rPr>
        <w:t xml:space="preserve">y la prohibición absoluta de tortura, tratos crueles, inhumanos o degradantes, </w:t>
      </w:r>
      <w:r w:rsidR="001066D2" w:rsidRPr="000939DB">
        <w:rPr>
          <w:szCs w:val="20"/>
          <w:bdr w:val="none" w:sz="0" w:space="0" w:color="auto"/>
          <w:lang w:val="es-US"/>
        </w:rPr>
        <w:t xml:space="preserve">por parte de </w:t>
      </w:r>
      <w:r w:rsidR="007C0622">
        <w:rPr>
          <w:szCs w:val="20"/>
          <w:bdr w:val="none" w:sz="0" w:space="0" w:color="auto"/>
          <w:lang w:val="es-US"/>
        </w:rPr>
        <w:t xml:space="preserve">la policía, </w:t>
      </w:r>
      <w:r w:rsidR="001066D2">
        <w:rPr>
          <w:szCs w:val="20"/>
          <w:bdr w:val="none" w:sz="0" w:space="0" w:color="auto"/>
          <w:lang w:val="es-US"/>
        </w:rPr>
        <w:t xml:space="preserve"> </w:t>
      </w:r>
      <w:r w:rsidR="007C0622">
        <w:rPr>
          <w:szCs w:val="20"/>
          <w:bdr w:val="none" w:sz="0" w:space="0" w:color="auto"/>
          <w:lang w:val="es-US"/>
        </w:rPr>
        <w:t>en circunstancias como las del presente caso, donde una persona ofrezca resistencia a un arresto, de tal forma que</w:t>
      </w:r>
      <w:r w:rsidR="001066D2" w:rsidRPr="000939DB">
        <w:rPr>
          <w:szCs w:val="20"/>
          <w:bdr w:val="none" w:sz="0" w:space="0" w:color="auto"/>
          <w:lang w:val="es-US"/>
        </w:rPr>
        <w:t xml:space="preserve"> garanti</w:t>
      </w:r>
      <w:r w:rsidR="001066D2">
        <w:rPr>
          <w:szCs w:val="20"/>
          <w:bdr w:val="none" w:sz="0" w:space="0" w:color="auto"/>
          <w:lang w:val="es-US"/>
        </w:rPr>
        <w:t>ce</w:t>
      </w:r>
      <w:r w:rsidR="001066D2" w:rsidRPr="000939DB">
        <w:rPr>
          <w:szCs w:val="20"/>
          <w:bdr w:val="none" w:sz="0" w:space="0" w:color="auto"/>
          <w:lang w:val="es-US"/>
        </w:rPr>
        <w:t xml:space="preserve"> el derecho a la vida </w:t>
      </w:r>
      <w:r w:rsidR="007C0622">
        <w:rPr>
          <w:szCs w:val="20"/>
          <w:bdr w:val="none" w:sz="0" w:space="0" w:color="auto"/>
          <w:lang w:val="es-US"/>
        </w:rPr>
        <w:t xml:space="preserve">e integridad </w:t>
      </w:r>
      <w:r w:rsidR="001066D2" w:rsidRPr="000939DB">
        <w:rPr>
          <w:szCs w:val="20"/>
          <w:bdr w:val="none" w:sz="0" w:space="0" w:color="auto"/>
          <w:lang w:val="es-US"/>
        </w:rPr>
        <w:t>de quienes se enc</w:t>
      </w:r>
      <w:r w:rsidR="00262BB6">
        <w:rPr>
          <w:szCs w:val="20"/>
          <w:bdr w:val="none" w:sz="0" w:space="0" w:color="auto"/>
          <w:lang w:val="es-US"/>
        </w:rPr>
        <w:t xml:space="preserve">uentran </w:t>
      </w:r>
      <w:r w:rsidR="00B079F6">
        <w:rPr>
          <w:szCs w:val="20"/>
          <w:bdr w:val="none" w:sz="0" w:space="0" w:color="auto"/>
          <w:lang w:val="es-US"/>
        </w:rPr>
        <w:t>bajo su jurisdicción</w:t>
      </w:r>
      <w:r w:rsidR="009872E7">
        <w:rPr>
          <w:szCs w:val="20"/>
          <w:bdr w:val="none" w:sz="0" w:space="0" w:color="auto"/>
          <w:lang w:val="es-US"/>
        </w:rPr>
        <w:t>,</w:t>
      </w:r>
      <w:r w:rsidR="00B079F6">
        <w:rPr>
          <w:szCs w:val="20"/>
          <w:bdr w:val="none" w:sz="0" w:space="0" w:color="auto"/>
          <w:lang w:val="es-US"/>
        </w:rPr>
        <w:t xml:space="preserve"> de conformidad con </w:t>
      </w:r>
      <w:r w:rsidR="009872E7">
        <w:rPr>
          <w:szCs w:val="20"/>
          <w:bdr w:val="none" w:sz="0" w:space="0" w:color="auto"/>
          <w:lang w:val="es-US"/>
        </w:rPr>
        <w:t>los estándares internacionales apli</w:t>
      </w:r>
      <w:r w:rsidR="00221240">
        <w:rPr>
          <w:szCs w:val="20"/>
          <w:bdr w:val="none" w:sz="0" w:space="0" w:color="auto"/>
          <w:lang w:val="es-US"/>
        </w:rPr>
        <w:t>c</w:t>
      </w:r>
      <w:r w:rsidR="009872E7">
        <w:rPr>
          <w:szCs w:val="20"/>
          <w:bdr w:val="none" w:sz="0" w:space="0" w:color="auto"/>
          <w:lang w:val="es-US"/>
        </w:rPr>
        <w:t>ables.</w:t>
      </w:r>
    </w:p>
    <w:p w14:paraId="4FF79AB4" w14:textId="77777777" w:rsidR="0094364F" w:rsidRPr="00EE2386" w:rsidRDefault="0094364F" w:rsidP="0094364F">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color w:val="auto"/>
          <w:szCs w:val="20"/>
          <w:bdr w:val="none" w:sz="0" w:space="0" w:color="auto"/>
          <w:lang w:val="es-ES"/>
        </w:rPr>
      </w:pPr>
    </w:p>
    <w:p w14:paraId="68F6BE09" w14:textId="77777777" w:rsidR="00251E25" w:rsidRDefault="00251E25" w:rsidP="00251E25">
      <w:pPr>
        <w:ind w:firstLine="72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a los 14 días del mes de junio de 2020.  (Firmado):</w:t>
      </w:r>
      <w:r w:rsidRPr="00E02D8D">
        <w:rPr>
          <w:rFonts w:ascii="Cambria" w:hAnsi="Cambria"/>
          <w:spacing w:val="-2"/>
          <w:sz w:val="20"/>
          <w:szCs w:val="20"/>
          <w:lang w:val="es-CL"/>
        </w:rPr>
        <w:t xml:space="preserve"> </w:t>
      </w:r>
      <w:r>
        <w:rPr>
          <w:rFonts w:ascii="Cambria" w:hAnsi="Cambria"/>
          <w:spacing w:val="-2"/>
          <w:sz w:val="20"/>
          <w:szCs w:val="20"/>
          <w:lang w:val="es-CL"/>
        </w:rPr>
        <w:t xml:space="preserve">Joel Hernández García, Presidente; Antonia Urrejola Noguera, Primera Vicepresidenta; </w:t>
      </w:r>
      <w:r w:rsidRPr="00E02D8D">
        <w:rPr>
          <w:rFonts w:ascii="Cambria" w:hAnsi="Cambria"/>
          <w:spacing w:val="-2"/>
          <w:sz w:val="20"/>
          <w:lang w:val="es-US"/>
        </w:rPr>
        <w:t>Flávia Piovesan</w:t>
      </w:r>
      <w:r>
        <w:rPr>
          <w:rFonts w:ascii="Cambria" w:hAnsi="Cambria"/>
          <w:spacing w:val="-2"/>
          <w:sz w:val="20"/>
          <w:lang w:val="es-US"/>
        </w:rPr>
        <w:t>,</w:t>
      </w:r>
      <w:r>
        <w:rPr>
          <w:rFonts w:ascii="Cambria" w:hAnsi="Cambria"/>
          <w:spacing w:val="-2"/>
          <w:sz w:val="20"/>
          <w:szCs w:val="20"/>
          <w:lang w:val="es-CL"/>
        </w:rPr>
        <w:t xml:space="preserve"> Segunda Vicepresidenta; Margarette May Macaulay </w:t>
      </w:r>
      <w:r>
        <w:rPr>
          <w:rFonts w:ascii="Cambria" w:hAnsi="Cambria"/>
          <w:spacing w:val="-2"/>
          <w:sz w:val="20"/>
          <w:lang w:val="es-US"/>
        </w:rPr>
        <w:t>y</w:t>
      </w:r>
      <w:r w:rsidRPr="00E02D8D">
        <w:rPr>
          <w:rFonts w:ascii="Cambria" w:hAnsi="Cambria"/>
          <w:spacing w:val="-2"/>
          <w:sz w:val="20"/>
          <w:lang w:val="es-US"/>
        </w:rPr>
        <w:t xml:space="preserve"> Julissa Mantilla Falcón</w:t>
      </w:r>
      <w:r>
        <w:rPr>
          <w:rFonts w:ascii="Cambria" w:hAnsi="Cambria"/>
          <w:spacing w:val="-2"/>
          <w:sz w:val="20"/>
          <w:lang w:val="es-US"/>
        </w:rPr>
        <w:t>,</w:t>
      </w:r>
      <w:r>
        <w:rPr>
          <w:rFonts w:ascii="Cambria" w:hAnsi="Cambria"/>
          <w:spacing w:val="-2"/>
          <w:sz w:val="20"/>
          <w:szCs w:val="20"/>
          <w:lang w:val="es-CL"/>
        </w:rPr>
        <w:t xml:space="preserve"> Miembros de la Comisión.</w:t>
      </w:r>
      <w:r>
        <w:rPr>
          <w:rFonts w:ascii="Cambria" w:hAnsi="Cambria"/>
          <w:sz w:val="20"/>
          <w:szCs w:val="20"/>
          <w:lang w:val="es-CL"/>
        </w:rPr>
        <w:t xml:space="preserve"> </w:t>
      </w:r>
    </w:p>
    <w:p w14:paraId="5CE54685" w14:textId="77777777" w:rsidR="00251E25" w:rsidRPr="00353DF0" w:rsidRDefault="00251E25" w:rsidP="00251E25">
      <w:pPr>
        <w:ind w:firstLine="720"/>
        <w:jc w:val="both"/>
        <w:rPr>
          <w:rFonts w:ascii="Cambria" w:hAnsi="Cambria"/>
          <w:spacing w:val="-2"/>
          <w:sz w:val="14"/>
          <w:szCs w:val="14"/>
          <w:lang w:val="es-CL"/>
        </w:rPr>
      </w:pPr>
    </w:p>
    <w:p w14:paraId="62CF41B1" w14:textId="77777777" w:rsidR="00251E25" w:rsidRDefault="00251E25" w:rsidP="00251E25">
      <w:pPr>
        <w:ind w:firstLine="720"/>
        <w:jc w:val="both"/>
        <w:rPr>
          <w:rFonts w:ascii="Cambria" w:hAnsi="Cambria"/>
          <w:sz w:val="20"/>
          <w:szCs w:val="20"/>
          <w:lang w:val="es-CL"/>
        </w:rPr>
      </w:pPr>
      <w:r>
        <w:rPr>
          <w:rFonts w:ascii="Cambria" w:hAnsi="Cambria"/>
          <w:sz w:val="20"/>
          <w:szCs w:val="20"/>
          <w:lang w:val="es-CL"/>
        </w:rPr>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44181A49" w14:textId="77777777" w:rsidR="00251E25" w:rsidRDefault="00251E25" w:rsidP="00251E25">
      <w:pPr>
        <w:jc w:val="center"/>
        <w:rPr>
          <w:rFonts w:ascii="Cambria" w:hAnsi="Cambria"/>
          <w:sz w:val="16"/>
          <w:szCs w:val="16"/>
        </w:rPr>
      </w:pPr>
      <w:r>
        <w:rPr>
          <w:rFonts w:ascii="Cambria" w:hAnsi="Cambria"/>
          <w:sz w:val="16"/>
          <w:szCs w:val="16"/>
        </w:rPr>
        <w:t xml:space="preserve">         </w:t>
      </w:r>
      <w:r w:rsidRPr="00BC7B39">
        <w:rPr>
          <w:rFonts w:cs="Calibri"/>
          <w:noProof/>
        </w:rPr>
        <w:drawing>
          <wp:inline distT="0" distB="0" distL="0" distR="0" wp14:anchorId="7FB453D9" wp14:editId="4401B686">
            <wp:extent cx="137160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6BB54D71" w14:textId="77777777" w:rsidR="00251E25" w:rsidRPr="00251E25" w:rsidRDefault="00251E25" w:rsidP="00251E25">
      <w:pPr>
        <w:jc w:val="center"/>
        <w:rPr>
          <w:rFonts w:ascii="Cambria" w:hAnsi="Cambria"/>
          <w:sz w:val="20"/>
          <w:szCs w:val="20"/>
        </w:rPr>
      </w:pPr>
      <w:r w:rsidRPr="00251E25">
        <w:rPr>
          <w:rFonts w:ascii="Cambria" w:hAnsi="Cambria"/>
          <w:sz w:val="20"/>
          <w:szCs w:val="20"/>
        </w:rPr>
        <w:t>Marisol Blanchard</w:t>
      </w:r>
    </w:p>
    <w:p w14:paraId="2568C99C" w14:textId="77777777" w:rsidR="00251E25" w:rsidRDefault="00251E25" w:rsidP="00251E25">
      <w:pPr>
        <w:jc w:val="center"/>
        <w:rPr>
          <w:rFonts w:ascii="Cambria" w:hAnsi="Cambria"/>
          <w:sz w:val="20"/>
          <w:szCs w:val="20"/>
        </w:rPr>
      </w:pPr>
      <w:r w:rsidRPr="00251E25">
        <w:rPr>
          <w:rFonts w:ascii="Cambria" w:hAnsi="Cambria"/>
          <w:sz w:val="20"/>
          <w:szCs w:val="20"/>
        </w:rPr>
        <w:t>Secretaria Ejecutiva Adjunta</w:t>
      </w:r>
    </w:p>
    <w:p w14:paraId="400B2C54" w14:textId="77777777" w:rsidR="00251E25" w:rsidRDefault="00251E25" w:rsidP="00251E25">
      <w:pPr>
        <w:jc w:val="center"/>
        <w:rPr>
          <w:rFonts w:ascii="Cambria" w:hAnsi="Cambria"/>
          <w:sz w:val="16"/>
          <w:szCs w:val="16"/>
        </w:rPr>
      </w:pPr>
    </w:p>
    <w:p w14:paraId="07B0775F" w14:textId="77777777" w:rsidR="0033028D" w:rsidRPr="00251E25" w:rsidRDefault="0033028D" w:rsidP="00251E25">
      <w:pPr>
        <w:rPr>
          <w:szCs w:val="20"/>
          <w:lang w:val="es-ES"/>
        </w:rPr>
      </w:pPr>
    </w:p>
    <w:sectPr w:rsidR="0033028D" w:rsidRPr="00251E2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E6B5" w14:textId="77777777" w:rsidR="00251E25" w:rsidRDefault="00251E25">
      <w:r>
        <w:separator/>
      </w:r>
    </w:p>
  </w:endnote>
  <w:endnote w:type="continuationSeparator" w:id="0">
    <w:p w14:paraId="7FE7DEDC" w14:textId="77777777" w:rsidR="00251E25" w:rsidRDefault="0025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venir Next">
    <w:charset w:val="00"/>
    <w:family w:val="swiss"/>
    <w:pitch w:val="variable"/>
    <w:sig w:usb0="8000002F" w:usb1="5000204A" w:usb2="00000000" w:usb3="00000000" w:csb0="0000009B"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0475A395" w14:textId="77777777" w:rsidR="00251E25" w:rsidRPr="00934A2C" w:rsidRDefault="00251E2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058ED">
          <w:rPr>
            <w:noProof/>
            <w:sz w:val="16"/>
            <w:szCs w:val="22"/>
          </w:rPr>
          <w:t>26</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C2B9" w14:textId="77777777" w:rsidR="00251E25" w:rsidRPr="00934A2C" w:rsidRDefault="00251E25">
    <w:pPr>
      <w:pStyle w:val="Footer"/>
      <w:jc w:val="center"/>
      <w:rPr>
        <w:sz w:val="16"/>
        <w:szCs w:val="22"/>
      </w:rPr>
    </w:pPr>
  </w:p>
  <w:p w14:paraId="5FB0F2AB" w14:textId="77777777" w:rsidR="00251E25" w:rsidRDefault="00251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14EA" w14:textId="77777777" w:rsidR="00251E25" w:rsidRPr="000F35ED" w:rsidRDefault="00251E2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09E60D" w14:textId="77777777" w:rsidR="00251E25" w:rsidRPr="000F35ED" w:rsidRDefault="00251E25" w:rsidP="000F35ED">
      <w:pPr>
        <w:rPr>
          <w:rFonts w:asciiTheme="majorHAnsi" w:hAnsiTheme="majorHAnsi"/>
          <w:sz w:val="16"/>
          <w:szCs w:val="16"/>
        </w:rPr>
      </w:pPr>
      <w:r w:rsidRPr="000F35ED">
        <w:rPr>
          <w:rFonts w:asciiTheme="majorHAnsi" w:hAnsiTheme="majorHAnsi"/>
          <w:sz w:val="16"/>
          <w:szCs w:val="16"/>
        </w:rPr>
        <w:separator/>
      </w:r>
    </w:p>
    <w:p w14:paraId="52CB78E8" w14:textId="77777777" w:rsidR="00251E25" w:rsidRPr="000F35ED" w:rsidRDefault="00251E2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0307DA7" w14:textId="77777777" w:rsidR="00251E25" w:rsidRPr="000F35ED" w:rsidRDefault="00251E2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6AD80C" w14:textId="77777777" w:rsidR="00251E25" w:rsidRPr="00162372" w:rsidRDefault="00251E25" w:rsidP="00162372">
      <w:pPr>
        <w:pStyle w:val="FootnoteText"/>
        <w:rPr>
          <w:rFonts w:ascii="Cambria" w:hAnsi="Cambria"/>
          <w:lang w:val="es-ES"/>
        </w:rPr>
      </w:pPr>
      <w:r>
        <w:rPr>
          <w:rStyle w:val="FootnoteReference"/>
        </w:rPr>
        <w:footnoteRef/>
      </w:r>
      <w:r w:rsidRPr="00164727">
        <w:rPr>
          <w:lang w:val="es-US"/>
        </w:rPr>
        <w:t xml:space="preserve"> </w:t>
      </w:r>
      <w:r w:rsidRPr="00164727">
        <w:rPr>
          <w:rFonts w:ascii="Cambria" w:hAnsi="Cambria"/>
          <w:lang w:val="es-US"/>
        </w:rPr>
        <w:t xml:space="preserve">CIDH. Informe No. 8/11. Petición 302-03. Admisibilidad. Aníbal Alonso Aguas Acosta y familia. Ecuador. </w:t>
      </w:r>
      <w:r w:rsidRPr="00164727">
        <w:rPr>
          <w:rFonts w:ascii="Cambria" w:hAnsi="Cambria"/>
          <w:lang w:val="es-ES"/>
        </w:rPr>
        <w:t xml:space="preserve">La Comisión declaró admisible la petición </w:t>
      </w:r>
      <w:r>
        <w:rPr>
          <w:rFonts w:ascii="Cambria" w:hAnsi="Cambria"/>
          <w:lang w:val="es-ES"/>
        </w:rPr>
        <w:t xml:space="preserve">en relación con los artículos 4, 5, 8 y 25 </w:t>
      </w:r>
      <w:r w:rsidRPr="00164727">
        <w:rPr>
          <w:rFonts w:ascii="Cambria" w:hAnsi="Cambria"/>
          <w:lang w:val="es-ES"/>
        </w:rPr>
        <w:t>de la Convención Amer</w:t>
      </w:r>
      <w:r>
        <w:rPr>
          <w:rFonts w:ascii="Cambria" w:hAnsi="Cambria"/>
          <w:lang w:val="es-ES"/>
        </w:rPr>
        <w:t xml:space="preserve">icana en conexión con el artículo 1.1 </w:t>
      </w:r>
      <w:r w:rsidRPr="00164727">
        <w:rPr>
          <w:rFonts w:ascii="Cambria" w:hAnsi="Cambria"/>
          <w:lang w:val="es-ES"/>
        </w:rPr>
        <w:t>del mismo instrumento</w:t>
      </w:r>
      <w:r w:rsidRPr="00162372">
        <w:rPr>
          <w:rFonts w:ascii="Cambria" w:hAnsi="Cambria"/>
          <w:lang w:val="es-ES_tradnl"/>
        </w:rPr>
        <w:t xml:space="preserve"> y los artículos 1, 6 y 8 de la </w:t>
      </w:r>
      <w:r w:rsidRPr="00162372">
        <w:rPr>
          <w:rFonts w:ascii="Cambria" w:hAnsi="Cambria"/>
          <w:lang w:val="es-ES"/>
        </w:rPr>
        <w:t xml:space="preserve">Convención </w:t>
      </w:r>
      <w:r w:rsidRPr="00162372">
        <w:rPr>
          <w:rFonts w:ascii="Cambria" w:hAnsi="Cambria"/>
          <w:lang w:val="es-ES_tradnl"/>
        </w:rPr>
        <w:t>Interamericana para Prevenir y Sancionar la Tortura.</w:t>
      </w:r>
    </w:p>
    <w:p w14:paraId="12EF2E76" w14:textId="77777777" w:rsidR="00251E25" w:rsidRPr="00162372" w:rsidRDefault="00251E25" w:rsidP="00DF02C8">
      <w:pPr>
        <w:pStyle w:val="FootnoteText"/>
        <w:rPr>
          <w:lang w:val="es-ES"/>
        </w:rPr>
      </w:pPr>
    </w:p>
  </w:footnote>
  <w:footnote w:id="3">
    <w:p w14:paraId="7CD62022" w14:textId="77777777" w:rsidR="00251E25" w:rsidRPr="005C2DE7" w:rsidRDefault="00251E25">
      <w:pPr>
        <w:pStyle w:val="FootnoteText"/>
        <w:rPr>
          <w:lang w:val="es-US"/>
        </w:rPr>
      </w:pPr>
      <w:r>
        <w:rPr>
          <w:rStyle w:val="FootnoteReference"/>
        </w:rPr>
        <w:footnoteRef/>
      </w:r>
      <w:r w:rsidRPr="005C2DE7">
        <w:rPr>
          <w:lang w:val="es-US"/>
        </w:rPr>
        <w:t xml:space="preserve"> Constitución Política de la República de </w:t>
      </w:r>
      <w:r>
        <w:rPr>
          <w:lang w:val="es-US"/>
        </w:rPr>
        <w:t xml:space="preserve">Ecuador, 1984. En su artículo 131 disponía: “Art. 131. </w:t>
      </w:r>
      <w:r w:rsidRPr="005C2DE7">
        <w:rPr>
          <w:lang w:val="es-US"/>
        </w:rPr>
        <w:t>Los miembros de la Fuerza Pública gozan de fuero especial, no se les puede procesar ni privar de sus grados, honores ni pensiones, sino por las causas y en la forma determinada por la ley, a excepción de las infracciones comunes que las juzgará la justicia ordinaria.</w:t>
      </w:r>
      <w:r>
        <w:rPr>
          <w:lang w:val="es-US"/>
        </w:rPr>
        <w:t>”.</w:t>
      </w:r>
    </w:p>
  </w:footnote>
  <w:footnote w:id="4">
    <w:p w14:paraId="3D9BAC31" w14:textId="77777777" w:rsidR="00251E25" w:rsidRPr="00C25E1F" w:rsidRDefault="00251E25">
      <w:pPr>
        <w:pStyle w:val="FootnoteText"/>
        <w:rPr>
          <w:lang w:val="es-US"/>
        </w:rPr>
      </w:pPr>
      <w:r>
        <w:rPr>
          <w:rStyle w:val="FootnoteReference"/>
        </w:rPr>
        <w:footnoteRef/>
      </w:r>
      <w:r w:rsidRPr="00C25E1F">
        <w:rPr>
          <w:lang w:val="es-US"/>
        </w:rPr>
        <w:t xml:space="preserve"> Constitución Política de la República de Ecuador,</w:t>
      </w:r>
      <w:r>
        <w:rPr>
          <w:lang w:val="es-US"/>
        </w:rPr>
        <w:t xml:space="preserve"> </w:t>
      </w:r>
      <w:r w:rsidRPr="00C25E1F">
        <w:rPr>
          <w:lang w:val="es-US"/>
        </w:rPr>
        <w:t xml:space="preserve">Decreto Legislativo, Registro Oficial 1 de 11 de </w:t>
      </w:r>
      <w:r>
        <w:rPr>
          <w:lang w:val="es-US"/>
        </w:rPr>
        <w:t>a</w:t>
      </w:r>
      <w:r w:rsidRPr="00C25E1F">
        <w:rPr>
          <w:lang w:val="es-US"/>
        </w:rPr>
        <w:t>gosto de 1998</w:t>
      </w:r>
      <w:r>
        <w:rPr>
          <w:lang w:val="es-US"/>
        </w:rPr>
        <w:t>. E</w:t>
      </w:r>
      <w:r w:rsidRPr="00C25E1F">
        <w:rPr>
          <w:lang w:val="es-US"/>
        </w:rPr>
        <w:t>n su</w:t>
      </w:r>
      <w:r>
        <w:rPr>
          <w:lang w:val="es-US"/>
        </w:rPr>
        <w:t>s</w:t>
      </w:r>
      <w:r w:rsidRPr="00C25E1F">
        <w:rPr>
          <w:lang w:val="es-US"/>
        </w:rPr>
        <w:t xml:space="preserve"> art</w:t>
      </w:r>
      <w:r>
        <w:rPr>
          <w:lang w:val="es-US"/>
        </w:rPr>
        <w:t xml:space="preserve">ículos 24.8, </w:t>
      </w:r>
      <w:r w:rsidRPr="0021118F">
        <w:rPr>
          <w:lang w:val="es-PE"/>
        </w:rPr>
        <w:t>183 y 187</w:t>
      </w:r>
      <w:r>
        <w:rPr>
          <w:lang w:val="es-PE"/>
        </w:rPr>
        <w:t xml:space="preserve">, en lo pertinente, disponía: “Art. 24. </w:t>
      </w:r>
      <w:r w:rsidRPr="005A25C6">
        <w:rPr>
          <w:lang w:val="es-US"/>
        </w:rPr>
        <w:t>Para asegurar el debido proceso deberán observarse las siguientes garantías básicas, sin menoscabo de otras que establezcan la Constitución, los instrumentos internacionales, las leyes o la jurisprudencia:</w:t>
      </w:r>
      <w:r>
        <w:rPr>
          <w:lang w:val="es-PE"/>
        </w:rPr>
        <w:t xml:space="preserve"> […] </w:t>
      </w:r>
      <w:r w:rsidRPr="005A25C6">
        <w:rPr>
          <w:lang w:val="es-US"/>
        </w:rPr>
        <w:t>8. La prisión preventiva no podrá exceder de seis meses, en las causas por delitos sancionados con prisión, ni de un año, en delitos sancionados con reclusión. Si se excedieren esos plazos, la orden de prisión preventiva quedará sin efecto, bajo la responsabilidad del juez que conoce la causa</w:t>
      </w:r>
      <w:r>
        <w:rPr>
          <w:lang w:val="es-US"/>
        </w:rPr>
        <w:t>”;</w:t>
      </w:r>
      <w:r w:rsidRPr="005A25C6">
        <w:rPr>
          <w:lang w:val="es-PE"/>
        </w:rPr>
        <w:t xml:space="preserve"> </w:t>
      </w:r>
      <w:r>
        <w:rPr>
          <w:lang w:val="es-PE"/>
        </w:rPr>
        <w:t>“</w:t>
      </w:r>
      <w:r>
        <w:rPr>
          <w:lang w:val="es-US"/>
        </w:rPr>
        <w:t>Art. 183.</w:t>
      </w:r>
      <w:r w:rsidRPr="00C25E1F">
        <w:rPr>
          <w:lang w:val="es-US"/>
        </w:rPr>
        <w:t xml:space="preserve"> La fuerza pública estará constituida por las Fuerzas Armadas y la Policía Nacional. </w:t>
      </w:r>
      <w:r>
        <w:rPr>
          <w:lang w:val="es-US"/>
        </w:rPr>
        <w:t xml:space="preserve">[…] </w:t>
      </w:r>
      <w:r w:rsidRPr="00C25E1F">
        <w:rPr>
          <w:lang w:val="es-US"/>
        </w:rPr>
        <w:t xml:space="preserve">La Policía Nacional tendrá como misión fundamental garantizar la seguridad y el orden públicos. </w:t>
      </w:r>
      <w:r>
        <w:rPr>
          <w:lang w:val="es-US"/>
        </w:rPr>
        <w:t xml:space="preserve">[…] </w:t>
      </w:r>
      <w:r w:rsidRPr="00C25E1F">
        <w:rPr>
          <w:lang w:val="es-US"/>
        </w:rPr>
        <w:t>Estará bajo la supervisión, evaluación y control del Consejo Nacional de Policía, cuya organización y funciones se regularán en la ley. La ley determinará la colaboración que la fuerza pública, sin menoscabo del ejercicio de sus funciones específicas, prestará para el desarrollo social y económico del país.</w:t>
      </w:r>
      <w:r>
        <w:rPr>
          <w:lang w:val="es-US"/>
        </w:rPr>
        <w:t>”; “Art. 187.</w:t>
      </w:r>
      <w:r w:rsidRPr="00C25E1F">
        <w:rPr>
          <w:lang w:val="es-US"/>
        </w:rPr>
        <w:t xml:space="preserve"> Los miembros de la fuerza pública estarán sujetos a fuero especial para el juzgamiento de las infracciones cometidas en el ejercicio de sus labores profesionales. En caso de infracciones comunes, estarán sujetos a la justicia ordinaria.</w:t>
      </w:r>
      <w:r>
        <w:rPr>
          <w:lang w:val="es-US"/>
        </w:rPr>
        <w:t>”</w:t>
      </w:r>
    </w:p>
  </w:footnote>
  <w:footnote w:id="5">
    <w:p w14:paraId="1829A6C0" w14:textId="77777777" w:rsidR="00251E25" w:rsidRPr="0021118F" w:rsidRDefault="00251E25">
      <w:pPr>
        <w:pStyle w:val="FootnoteText"/>
        <w:rPr>
          <w:lang w:val="es-US"/>
        </w:rPr>
      </w:pPr>
      <w:r>
        <w:rPr>
          <w:rStyle w:val="FootnoteReference"/>
        </w:rPr>
        <w:footnoteRef/>
      </w:r>
      <w:r w:rsidRPr="0021118F">
        <w:rPr>
          <w:lang w:val="es-US"/>
        </w:rPr>
        <w:t xml:space="preserve"> </w:t>
      </w:r>
      <w:r>
        <w:rPr>
          <w:lang w:val="es-US"/>
        </w:rPr>
        <w:t xml:space="preserve">Ley Orgánica de la Policía Nacional, Registro Oficial, año IV, número 757 de 7 de marzo de 1975, reformada por Decreto Supremo 2848, Registro Oficial 667 de 8 de septiembre de 1978, derogada y reemplazada por Ley 109, Registro Oficial 368 de 24 de julio de 1998, la que a su vez fue derogada por </w:t>
      </w:r>
      <w:r w:rsidRPr="00765FC3">
        <w:rPr>
          <w:lang w:val="es-US"/>
        </w:rPr>
        <w:t xml:space="preserve">Ley No. 0, Registro Oficial 19 </w:t>
      </w:r>
      <w:r>
        <w:rPr>
          <w:lang w:val="es-US"/>
        </w:rPr>
        <w:t>de 21 de junio del 2017</w:t>
      </w:r>
      <w:r w:rsidRPr="00765FC3">
        <w:rPr>
          <w:lang w:val="es-US"/>
        </w:rPr>
        <w:t>.</w:t>
      </w:r>
    </w:p>
  </w:footnote>
  <w:footnote w:id="6">
    <w:p w14:paraId="10EECA27" w14:textId="77777777" w:rsidR="00251E25" w:rsidRPr="003D0FF8" w:rsidRDefault="00251E25" w:rsidP="00902D31">
      <w:pPr>
        <w:pStyle w:val="FootnoteText"/>
        <w:rPr>
          <w:lang w:val="es-US"/>
        </w:rPr>
      </w:pPr>
      <w:r>
        <w:rPr>
          <w:rStyle w:val="FootnoteReference"/>
        </w:rPr>
        <w:footnoteRef/>
      </w:r>
      <w:r w:rsidRPr="0021118F">
        <w:rPr>
          <w:lang w:val="es-US"/>
        </w:rPr>
        <w:t xml:space="preserve"> </w:t>
      </w:r>
      <w:r w:rsidRPr="003D0FF8">
        <w:rPr>
          <w:lang w:val="es-US"/>
        </w:rPr>
        <w:t xml:space="preserve">Ley de la Función Judicial de la Policía Nacional, </w:t>
      </w:r>
      <w:r w:rsidRPr="00386B49">
        <w:rPr>
          <w:lang w:val="es-US"/>
        </w:rPr>
        <w:t>Registro Oficial Suplemento 1202 de 20</w:t>
      </w:r>
      <w:r>
        <w:rPr>
          <w:lang w:val="es-US"/>
        </w:rPr>
        <w:t xml:space="preserve"> de a</w:t>
      </w:r>
      <w:r w:rsidRPr="00386B49">
        <w:rPr>
          <w:lang w:val="es-US"/>
        </w:rPr>
        <w:t>go</w:t>
      </w:r>
      <w:r>
        <w:rPr>
          <w:lang w:val="es-US"/>
        </w:rPr>
        <w:t xml:space="preserve">sto de </w:t>
      </w:r>
      <w:r w:rsidRPr="00386B49">
        <w:rPr>
          <w:lang w:val="es-US"/>
        </w:rPr>
        <w:t>1960</w:t>
      </w:r>
      <w:r>
        <w:rPr>
          <w:lang w:val="es-US"/>
        </w:rPr>
        <w:t>, reformada por Decreto Supremo 1066, Registro Oficial 262 de 25 de enero de 1977. En sus artículos 1, 21, 22, 29, 40, 41 y 71 disponía: “Art. 1.</w:t>
      </w:r>
      <w:r w:rsidRPr="00386B49">
        <w:rPr>
          <w:lang w:val="es-US"/>
        </w:rPr>
        <w:t xml:space="preserve"> La Función Judicial de la Policía Civil Nacional tiene por objeto la administración de justicia</w:t>
      </w:r>
      <w:r>
        <w:rPr>
          <w:lang w:val="es-US"/>
        </w:rPr>
        <w:t xml:space="preserve"> </w:t>
      </w:r>
      <w:r w:rsidRPr="00386B49">
        <w:rPr>
          <w:lang w:val="es-US"/>
        </w:rPr>
        <w:t>en materia penal, respecto de los miembros de la Institución que estén sometidos a su fuero.</w:t>
      </w:r>
      <w:r>
        <w:rPr>
          <w:lang w:val="es-US"/>
        </w:rPr>
        <w:t>”; “</w:t>
      </w:r>
      <w:r w:rsidRPr="00386B49">
        <w:rPr>
          <w:lang w:val="es-US"/>
        </w:rPr>
        <w:t>Art. 21. Las Cortes Supremas y Superiores estarán integradas según lo dispone la Ley Orgánica de</w:t>
      </w:r>
      <w:r>
        <w:rPr>
          <w:lang w:val="es-US"/>
        </w:rPr>
        <w:t xml:space="preserve"> </w:t>
      </w:r>
      <w:r w:rsidRPr="00386B49">
        <w:rPr>
          <w:lang w:val="es-US"/>
        </w:rPr>
        <w:t>la Función Judicial y, además, por dos oficiales superiores de la Policía Civil Nacional, en servicio</w:t>
      </w:r>
      <w:r>
        <w:rPr>
          <w:lang w:val="es-US"/>
        </w:rPr>
        <w:t xml:space="preserve"> </w:t>
      </w:r>
      <w:r w:rsidRPr="00386B49">
        <w:rPr>
          <w:lang w:val="es-US"/>
        </w:rPr>
        <w:t>activo o pasivo.</w:t>
      </w:r>
      <w:r>
        <w:rPr>
          <w:lang w:val="es-US"/>
        </w:rPr>
        <w:t>”; “</w:t>
      </w:r>
      <w:r w:rsidRPr="00386B49">
        <w:rPr>
          <w:lang w:val="es-US"/>
        </w:rPr>
        <w:t>Art. 22. Estos oficiales serán designados por el Ministro de Gobierno, a petición del Comandante</w:t>
      </w:r>
      <w:r>
        <w:rPr>
          <w:lang w:val="es-US"/>
        </w:rPr>
        <w:t xml:space="preserve"> </w:t>
      </w:r>
      <w:r w:rsidRPr="00386B49">
        <w:rPr>
          <w:lang w:val="es-US"/>
        </w:rPr>
        <w:t>General.</w:t>
      </w:r>
      <w:r>
        <w:rPr>
          <w:lang w:val="es-US"/>
        </w:rPr>
        <w:t>”; “Art. 29.</w:t>
      </w:r>
      <w:r w:rsidRPr="00386B49">
        <w:rPr>
          <w:lang w:val="es-US"/>
        </w:rPr>
        <w:t xml:space="preserve"> Del 10 al 20 de diciembre de cada año, el Ministro de Gobierno, a propuesta del</w:t>
      </w:r>
      <w:r>
        <w:rPr>
          <w:lang w:val="es-US"/>
        </w:rPr>
        <w:t xml:space="preserve"> </w:t>
      </w:r>
      <w:r w:rsidRPr="00386B49">
        <w:rPr>
          <w:lang w:val="es-US"/>
        </w:rPr>
        <w:t>Comandante General, nombrará veinte oficiales superiores del servicio activo o pasivo, para que</w:t>
      </w:r>
      <w:r>
        <w:rPr>
          <w:lang w:val="es-US"/>
        </w:rPr>
        <w:t xml:space="preserve"> </w:t>
      </w:r>
      <w:r w:rsidRPr="00386B49">
        <w:rPr>
          <w:lang w:val="es-US"/>
        </w:rPr>
        <w:t>ejerzan los cargos de vocales de los tribunales del crimen para oficiales; y veinte oficiales superiores</w:t>
      </w:r>
      <w:r>
        <w:rPr>
          <w:lang w:val="es-US"/>
        </w:rPr>
        <w:t xml:space="preserve"> </w:t>
      </w:r>
      <w:r w:rsidRPr="00386B49">
        <w:rPr>
          <w:lang w:val="es-US"/>
        </w:rPr>
        <w:t>o inferiores del servicio activo, o pasivo, para que ejerzan los cargos de vocales de los tribunales del</w:t>
      </w:r>
      <w:r>
        <w:rPr>
          <w:lang w:val="es-US"/>
        </w:rPr>
        <w:t xml:space="preserve"> </w:t>
      </w:r>
      <w:r w:rsidRPr="00386B49">
        <w:rPr>
          <w:lang w:val="es-US"/>
        </w:rPr>
        <w:t>crimen para tropa.</w:t>
      </w:r>
      <w:r>
        <w:rPr>
          <w:lang w:val="es-US"/>
        </w:rPr>
        <w:t xml:space="preserve"> </w:t>
      </w:r>
      <w:r w:rsidRPr="00386B49">
        <w:rPr>
          <w:lang w:val="es-US"/>
        </w:rPr>
        <w:t>Los vocales durarán en sus Funciones un año contado desde el primero de enero, y podrán ser</w:t>
      </w:r>
      <w:r>
        <w:rPr>
          <w:lang w:val="es-US"/>
        </w:rPr>
        <w:t xml:space="preserve"> </w:t>
      </w:r>
      <w:r w:rsidRPr="00386B49">
        <w:rPr>
          <w:lang w:val="es-US"/>
        </w:rPr>
        <w:t>reelegidos.</w:t>
      </w:r>
      <w:r>
        <w:rPr>
          <w:lang w:val="es-US"/>
        </w:rPr>
        <w:t xml:space="preserve"> </w:t>
      </w:r>
      <w:r w:rsidRPr="00386B49">
        <w:rPr>
          <w:lang w:val="es-US"/>
        </w:rPr>
        <w:t>Dichos vocales integrarán los tribunales que se constituyan en cualquier lugar de la República.</w:t>
      </w:r>
      <w:r>
        <w:rPr>
          <w:lang w:val="es-US"/>
        </w:rPr>
        <w:t xml:space="preserve"> </w:t>
      </w:r>
      <w:r w:rsidRPr="00386B49">
        <w:rPr>
          <w:lang w:val="es-US"/>
        </w:rPr>
        <w:t>El cargo de vocal es obligatorio, y el que fuere nombrado no podrá excusarse sino por hallarse</w:t>
      </w:r>
      <w:r>
        <w:rPr>
          <w:lang w:val="es-US"/>
        </w:rPr>
        <w:t xml:space="preserve"> </w:t>
      </w:r>
      <w:r w:rsidRPr="00386B49">
        <w:rPr>
          <w:lang w:val="es-US"/>
        </w:rPr>
        <w:t>comprendido en alguno de los impedimentos determinados en el Art. 9.</w:t>
      </w:r>
      <w:r>
        <w:rPr>
          <w:lang w:val="es-US"/>
        </w:rPr>
        <w:t xml:space="preserve"> </w:t>
      </w:r>
      <w:r w:rsidRPr="00386B49">
        <w:rPr>
          <w:lang w:val="es-US"/>
        </w:rPr>
        <w:t>Aceptada la excusa se llenará inmediatamente la vacante.</w:t>
      </w:r>
      <w:r>
        <w:rPr>
          <w:lang w:val="es-US"/>
        </w:rPr>
        <w:t>”; “</w:t>
      </w:r>
      <w:r w:rsidRPr="00902D31">
        <w:rPr>
          <w:lang w:val="es-US"/>
        </w:rPr>
        <w:t>Art. 40. Para ser juez de distrito se requiere ser abogado y oficial en servicio activo, salvo el caso en</w:t>
      </w:r>
      <w:r>
        <w:rPr>
          <w:lang w:val="es-US"/>
        </w:rPr>
        <w:t xml:space="preserve"> </w:t>
      </w:r>
      <w:r w:rsidRPr="00902D31">
        <w:rPr>
          <w:lang w:val="es-US"/>
        </w:rPr>
        <w:t>que haya de nombrarse un ad hoc.</w:t>
      </w:r>
      <w:r>
        <w:rPr>
          <w:lang w:val="es-US"/>
        </w:rPr>
        <w:t>”; “</w:t>
      </w:r>
      <w:r w:rsidRPr="00902D31">
        <w:rPr>
          <w:lang w:val="es-US"/>
        </w:rPr>
        <w:t>Art. 41. Los jueces de distrito serán designados por el Ministro de Gobierno, a petición del</w:t>
      </w:r>
      <w:r>
        <w:rPr>
          <w:lang w:val="es-US"/>
        </w:rPr>
        <w:t xml:space="preserve"> </w:t>
      </w:r>
      <w:r w:rsidRPr="00902D31">
        <w:rPr>
          <w:lang w:val="es-US"/>
        </w:rPr>
        <w:t>Comandante General, mediante decreto.</w:t>
      </w:r>
      <w:r>
        <w:rPr>
          <w:lang w:val="es-US"/>
        </w:rPr>
        <w:t>”; “</w:t>
      </w:r>
      <w:r w:rsidRPr="00902D31">
        <w:rPr>
          <w:lang w:val="es-US"/>
        </w:rPr>
        <w:t>Art. 71. El Ministro de Gobierno tiene la supervigilancia de la administración de justicia.</w:t>
      </w:r>
      <w:r>
        <w:rPr>
          <w:lang w:val="es-US"/>
        </w:rPr>
        <w:t xml:space="preserve">”. Esta ley fue </w:t>
      </w:r>
      <w:r w:rsidRPr="003D0FF8">
        <w:rPr>
          <w:lang w:val="es-US"/>
        </w:rPr>
        <w:t xml:space="preserve">derogada por Ley </w:t>
      </w:r>
      <w:r>
        <w:rPr>
          <w:lang w:val="es-US"/>
        </w:rPr>
        <w:t xml:space="preserve">0, </w:t>
      </w:r>
      <w:r w:rsidRPr="003D0FF8">
        <w:rPr>
          <w:lang w:val="es-US"/>
        </w:rPr>
        <w:t>Registro Oficial 544 de 9 de marzo del 2009</w:t>
      </w:r>
      <w:r>
        <w:rPr>
          <w:lang w:val="es-US"/>
        </w:rPr>
        <w:t>.</w:t>
      </w:r>
    </w:p>
  </w:footnote>
  <w:footnote w:id="7">
    <w:p w14:paraId="33CDE8B3" w14:textId="77777777" w:rsidR="00251E25" w:rsidRPr="0009327B" w:rsidRDefault="00251E25" w:rsidP="0009327B">
      <w:pPr>
        <w:pStyle w:val="FootnoteText"/>
        <w:rPr>
          <w:lang w:val="es-PE"/>
        </w:rPr>
      </w:pPr>
      <w:r>
        <w:rPr>
          <w:rStyle w:val="FootnoteReference"/>
        </w:rPr>
        <w:footnoteRef/>
      </w:r>
      <w:r w:rsidRPr="0021118F">
        <w:rPr>
          <w:lang w:val="es-US"/>
        </w:rPr>
        <w:t xml:space="preserve"> </w:t>
      </w:r>
      <w:r w:rsidRPr="00191AF4">
        <w:rPr>
          <w:lang w:val="es-US"/>
        </w:rPr>
        <w:t xml:space="preserve">Código Penal de la Policía Civil Nacional, </w:t>
      </w:r>
      <w:r w:rsidRPr="0009327B">
        <w:rPr>
          <w:lang w:val="es-US"/>
        </w:rPr>
        <w:t>Registro Oficial 1202 de 20 de agosto de 1960</w:t>
      </w:r>
      <w:r>
        <w:rPr>
          <w:lang w:val="es-US"/>
        </w:rPr>
        <w:t>, reformado por Decreto Supremo 411, Registro Oficial 292 de 24 de abril de 1973, Decreto Supremo 975, Registro 376 de 24 de agosto de 1973, Ley 70, Registro Oficial 432 de 8 de mayo de 1990 y Ley 109, Registro Oficial 368 de 24 de julio de 1998</w:t>
      </w:r>
      <w:r w:rsidRPr="0009327B">
        <w:rPr>
          <w:lang w:val="es-US"/>
        </w:rPr>
        <w:t>.</w:t>
      </w:r>
      <w:r>
        <w:rPr>
          <w:lang w:val="es-US"/>
        </w:rPr>
        <w:t xml:space="preserve"> Con inconstitucionalidades parciales por resolución del Tribunal Constitucional 0, Registro Oficial 796 de 23 de octubre de 1991 y resolución del Tribunal Constitucional 41, Registro Oficial 107 de 14 de julio de 1997. </w:t>
      </w:r>
      <w:r w:rsidRPr="0009327B">
        <w:rPr>
          <w:lang w:val="es-US"/>
        </w:rPr>
        <w:t xml:space="preserve">En sus artículos </w:t>
      </w:r>
      <w:r w:rsidRPr="0021118F">
        <w:rPr>
          <w:lang w:val="es-PE"/>
        </w:rPr>
        <w:t>4</w:t>
      </w:r>
      <w:r>
        <w:rPr>
          <w:lang w:val="es-PE"/>
        </w:rPr>
        <w:t>, 12, 145, 227, 228 y 232 disponía: “</w:t>
      </w:r>
      <w:r w:rsidRPr="0009327B">
        <w:rPr>
          <w:lang w:val="es-PE"/>
        </w:rPr>
        <w:t>Art. 4. El fuero de los miembros de la Policía Civil Nacional es aplicable únicamente respecto de las</w:t>
      </w:r>
      <w:r>
        <w:rPr>
          <w:lang w:val="es-PE"/>
        </w:rPr>
        <w:t xml:space="preserve"> </w:t>
      </w:r>
      <w:r w:rsidRPr="0009327B">
        <w:rPr>
          <w:lang w:val="es-PE"/>
        </w:rPr>
        <w:t>infracciones cometidas en ejercicio de la función que les corresponde específicamente como</w:t>
      </w:r>
      <w:r>
        <w:rPr>
          <w:lang w:val="es-PE"/>
        </w:rPr>
        <w:t xml:space="preserve"> </w:t>
      </w:r>
      <w:r w:rsidRPr="0009327B">
        <w:rPr>
          <w:lang w:val="es-PE"/>
        </w:rPr>
        <w:t>miembros de esta Institución, y por infracciones determinadas en este Código y en el Reglamento</w:t>
      </w:r>
      <w:r>
        <w:rPr>
          <w:lang w:val="es-PE"/>
        </w:rPr>
        <w:t xml:space="preserve"> </w:t>
      </w:r>
      <w:r w:rsidRPr="0009327B">
        <w:rPr>
          <w:lang w:val="es-PE"/>
        </w:rPr>
        <w:t>Disciplinario.</w:t>
      </w:r>
      <w:r>
        <w:rPr>
          <w:lang w:val="es-PE"/>
        </w:rPr>
        <w:t xml:space="preserve"> </w:t>
      </w:r>
      <w:r w:rsidRPr="0009327B">
        <w:rPr>
          <w:lang w:val="es-PE"/>
        </w:rPr>
        <w:t>Los jueces comunes serán competentes para juzgar las demás infracciones cometidas por los</w:t>
      </w:r>
      <w:r>
        <w:rPr>
          <w:lang w:val="es-PE"/>
        </w:rPr>
        <w:t xml:space="preserve"> </w:t>
      </w:r>
      <w:r w:rsidRPr="0009327B">
        <w:rPr>
          <w:lang w:val="es-PE"/>
        </w:rPr>
        <w:t>miembros de la Policía Civil Nacional, en cualquiera de sus ramas, aplicando el Código Penal Común</w:t>
      </w:r>
      <w:r>
        <w:rPr>
          <w:lang w:val="es-PE"/>
        </w:rPr>
        <w:t xml:space="preserve"> </w:t>
      </w:r>
      <w:r w:rsidRPr="0009327B">
        <w:rPr>
          <w:lang w:val="es-PE"/>
        </w:rPr>
        <w:t>y el de Procedimiento Penal.</w:t>
      </w:r>
      <w:r>
        <w:rPr>
          <w:lang w:val="es-PE"/>
        </w:rPr>
        <w:t xml:space="preserve"> </w:t>
      </w:r>
      <w:r w:rsidRPr="0009327B">
        <w:rPr>
          <w:lang w:val="es-PE"/>
        </w:rPr>
        <w:t>Para éste y los demás efectos legales se declara que la Policía Civil Nacional forma una sola unidad</w:t>
      </w:r>
      <w:r>
        <w:rPr>
          <w:lang w:val="es-PE"/>
        </w:rPr>
        <w:t xml:space="preserve"> </w:t>
      </w:r>
      <w:r w:rsidRPr="0009327B">
        <w:rPr>
          <w:lang w:val="es-PE"/>
        </w:rPr>
        <w:t>institucional y jurídica.</w:t>
      </w:r>
      <w:r>
        <w:rPr>
          <w:lang w:val="es-PE"/>
        </w:rPr>
        <w:t xml:space="preserve"> </w:t>
      </w:r>
      <w:r w:rsidRPr="0009327B">
        <w:rPr>
          <w:lang w:val="es-PE"/>
        </w:rPr>
        <w:t>Tanto el delito como las faltas disciplinarias y sus respectivas sanciones han de ser declaradas con</w:t>
      </w:r>
      <w:r>
        <w:rPr>
          <w:lang w:val="es-PE"/>
        </w:rPr>
        <w:t xml:space="preserve"> </w:t>
      </w:r>
      <w:r w:rsidRPr="0009327B">
        <w:rPr>
          <w:lang w:val="es-PE"/>
        </w:rPr>
        <w:t>anterioridad al acto.</w:t>
      </w:r>
      <w:r w:rsidRPr="0009327B">
        <w:rPr>
          <w:lang w:val="es-US"/>
        </w:rPr>
        <w:t xml:space="preserve"> </w:t>
      </w:r>
      <w:r w:rsidRPr="0009327B">
        <w:rPr>
          <w:lang w:val="es-PE"/>
        </w:rPr>
        <w:t>Deja de ser punible un acto si una Ley posterior a su ejecución lo suprime del número de las</w:t>
      </w:r>
      <w:r>
        <w:rPr>
          <w:lang w:val="es-PE"/>
        </w:rPr>
        <w:t xml:space="preserve"> </w:t>
      </w:r>
      <w:r w:rsidRPr="0009327B">
        <w:rPr>
          <w:lang w:val="es-PE"/>
        </w:rPr>
        <w:t>infracciones; y, si ha mediado ya sentencia condenatoria contra el autor, quedará extinguida la pena,</w:t>
      </w:r>
      <w:r>
        <w:rPr>
          <w:lang w:val="es-PE"/>
        </w:rPr>
        <w:t xml:space="preserve"> </w:t>
      </w:r>
      <w:r w:rsidRPr="0009327B">
        <w:rPr>
          <w:lang w:val="es-PE"/>
        </w:rPr>
        <w:t>haya o no comenzado a cumplirse.</w:t>
      </w:r>
      <w:r>
        <w:rPr>
          <w:lang w:val="es-PE"/>
        </w:rPr>
        <w:t xml:space="preserve"> </w:t>
      </w:r>
      <w:r w:rsidRPr="0009327B">
        <w:rPr>
          <w:lang w:val="es-PE"/>
        </w:rPr>
        <w:t>Si la pena establecida al tiempo de la sentencia difiere de la que regía cuando se cometió la</w:t>
      </w:r>
      <w:r>
        <w:rPr>
          <w:lang w:val="es-PE"/>
        </w:rPr>
        <w:t xml:space="preserve"> </w:t>
      </w:r>
      <w:r w:rsidRPr="0009327B">
        <w:rPr>
          <w:lang w:val="es-PE"/>
        </w:rPr>
        <w:t>infracción, se aplicará la menos rigurosa.</w:t>
      </w:r>
      <w:r>
        <w:rPr>
          <w:lang w:val="es-PE"/>
        </w:rPr>
        <w:t xml:space="preserve"> </w:t>
      </w:r>
      <w:r w:rsidRPr="0009327B">
        <w:rPr>
          <w:lang w:val="es-PE"/>
        </w:rPr>
        <w:t>En general, todas las leyes posteriores que se expidieren para la Policía Civil Nacional sobre los</w:t>
      </w:r>
      <w:r>
        <w:rPr>
          <w:lang w:val="es-PE"/>
        </w:rPr>
        <w:t xml:space="preserve"> </w:t>
      </w:r>
      <w:r w:rsidRPr="0009327B">
        <w:rPr>
          <w:lang w:val="es-PE"/>
        </w:rPr>
        <w:t>efectos y extinción de las acciones y penas, se aplicarán en lo que sean favorables a los infractores,</w:t>
      </w:r>
      <w:r>
        <w:rPr>
          <w:lang w:val="es-PE"/>
        </w:rPr>
        <w:t xml:space="preserve"> </w:t>
      </w:r>
      <w:r w:rsidRPr="0009327B">
        <w:rPr>
          <w:lang w:val="es-PE"/>
        </w:rPr>
        <w:t>aunque exista sentencia ejecutoriada.</w:t>
      </w:r>
      <w:r>
        <w:rPr>
          <w:lang w:val="es-PE"/>
        </w:rPr>
        <w:t>”; “</w:t>
      </w:r>
      <w:r w:rsidRPr="0009327B">
        <w:rPr>
          <w:lang w:val="es-PE"/>
        </w:rPr>
        <w:t>Art. 12. La acción u omisión prevista por la Ley como infracción, no será punible cuando es el</w:t>
      </w:r>
      <w:r>
        <w:rPr>
          <w:lang w:val="es-PE"/>
        </w:rPr>
        <w:t xml:space="preserve"> </w:t>
      </w:r>
      <w:r w:rsidRPr="0009327B">
        <w:rPr>
          <w:lang w:val="es-PE"/>
        </w:rPr>
        <w:t>resultado de fuerza mayor o caso fortuito.</w:t>
      </w:r>
      <w:r>
        <w:rPr>
          <w:lang w:val="es-PE"/>
        </w:rPr>
        <w:t>”; “</w:t>
      </w:r>
      <w:r w:rsidRPr="0009327B">
        <w:rPr>
          <w:lang w:val="es-PE"/>
        </w:rPr>
        <w:t>Art. 145. Cuando una persona arrestada o detenida hubiere sufrido tormentos corporales, el</w:t>
      </w:r>
      <w:r>
        <w:rPr>
          <w:lang w:val="es-PE"/>
        </w:rPr>
        <w:t xml:space="preserve"> </w:t>
      </w:r>
      <w:r w:rsidRPr="0009327B">
        <w:rPr>
          <w:lang w:val="es-PE"/>
        </w:rPr>
        <w:t>culpable será reprimido con reclusión menor de seis a nueve años.</w:t>
      </w:r>
      <w:r>
        <w:rPr>
          <w:lang w:val="es-PE"/>
        </w:rPr>
        <w:t xml:space="preserve"> </w:t>
      </w:r>
      <w:r w:rsidRPr="0009327B">
        <w:rPr>
          <w:lang w:val="es-PE"/>
        </w:rPr>
        <w:t>La pena será de reclusión menor extraordinaria, si los tormentos le han causado una lesión</w:t>
      </w:r>
      <w:r>
        <w:rPr>
          <w:lang w:val="es-PE"/>
        </w:rPr>
        <w:t xml:space="preserve"> permanente. </w:t>
      </w:r>
      <w:r w:rsidRPr="0009327B">
        <w:rPr>
          <w:lang w:val="es-PE"/>
        </w:rPr>
        <w:t>Si los tormentos han causado la muerte, el culpable será reprimido con reclusión mayor</w:t>
      </w:r>
      <w:r>
        <w:rPr>
          <w:lang w:val="es-PE"/>
        </w:rPr>
        <w:t xml:space="preserve"> </w:t>
      </w:r>
      <w:r w:rsidRPr="0009327B">
        <w:rPr>
          <w:lang w:val="es-PE"/>
        </w:rPr>
        <w:t>extraordinaria.</w:t>
      </w:r>
      <w:r>
        <w:rPr>
          <w:lang w:val="es-PE"/>
        </w:rPr>
        <w:t>”; “</w:t>
      </w:r>
      <w:r w:rsidRPr="0009327B">
        <w:rPr>
          <w:lang w:val="es-PE"/>
        </w:rPr>
        <w:t>Art. 227. El homicidio cometido por un policía civil nacional, con intención de dar la muerte, pero sin</w:t>
      </w:r>
      <w:r>
        <w:rPr>
          <w:lang w:val="es-PE"/>
        </w:rPr>
        <w:t xml:space="preserve"> </w:t>
      </w:r>
      <w:r w:rsidRPr="0009327B">
        <w:rPr>
          <w:lang w:val="es-PE"/>
        </w:rPr>
        <w:t>ninguna de las circunstancias detalladas en el artículo siguiente; es homicidio simple y será reprimido</w:t>
      </w:r>
      <w:r>
        <w:rPr>
          <w:lang w:val="es-PE"/>
        </w:rPr>
        <w:t xml:space="preserve"> </w:t>
      </w:r>
      <w:r w:rsidRPr="0009327B">
        <w:rPr>
          <w:lang w:val="es-PE"/>
        </w:rPr>
        <w:t>con reclusión mayor de ocho a doce años.</w:t>
      </w:r>
      <w:r>
        <w:rPr>
          <w:lang w:val="es-PE"/>
        </w:rPr>
        <w:t>”; “</w:t>
      </w:r>
      <w:r w:rsidRPr="0009327B">
        <w:rPr>
          <w:lang w:val="es-PE"/>
        </w:rPr>
        <w:t>Art. 228. Es asesinato y será reprimido con reclusión mayor extraordinaria, el homicidio que se</w:t>
      </w:r>
      <w:r>
        <w:rPr>
          <w:lang w:val="es-PE"/>
        </w:rPr>
        <w:t xml:space="preserve"> </w:t>
      </w:r>
      <w:r w:rsidRPr="0009327B">
        <w:rPr>
          <w:lang w:val="es-PE"/>
        </w:rPr>
        <w:t>cometa con alguna de las circunstancias siguientes:</w:t>
      </w:r>
      <w:r>
        <w:rPr>
          <w:lang w:val="es-PE"/>
        </w:rPr>
        <w:t xml:space="preserve"> </w:t>
      </w:r>
      <w:r w:rsidRPr="0009327B">
        <w:rPr>
          <w:lang w:val="es-PE"/>
        </w:rPr>
        <w:t>1.- Con alevosía;</w:t>
      </w:r>
      <w:r>
        <w:rPr>
          <w:lang w:val="es-PE"/>
        </w:rPr>
        <w:t xml:space="preserve"> </w:t>
      </w:r>
      <w:r w:rsidRPr="0009327B">
        <w:rPr>
          <w:lang w:val="es-PE"/>
        </w:rPr>
        <w:t>2.- Por precio o promesa remuneratoria;</w:t>
      </w:r>
      <w:r>
        <w:rPr>
          <w:lang w:val="es-PE"/>
        </w:rPr>
        <w:t xml:space="preserve"> </w:t>
      </w:r>
      <w:r w:rsidRPr="0009327B">
        <w:rPr>
          <w:lang w:val="es-PE"/>
        </w:rPr>
        <w:t>3.- Por medio de inundación, veneno, incendio o descarrilamiento;</w:t>
      </w:r>
      <w:r>
        <w:rPr>
          <w:lang w:val="es-PE"/>
        </w:rPr>
        <w:t xml:space="preserve"> </w:t>
      </w:r>
      <w:r w:rsidRPr="0009327B">
        <w:rPr>
          <w:lang w:val="es-PE"/>
        </w:rPr>
        <w:t>4.- Con ensañamiento, aumentando deliberada o inhumanamente el dolor del ofendido;</w:t>
      </w:r>
      <w:r>
        <w:rPr>
          <w:lang w:val="es-PE"/>
        </w:rPr>
        <w:t xml:space="preserve"> </w:t>
      </w:r>
      <w:r w:rsidRPr="0009327B">
        <w:rPr>
          <w:lang w:val="es-PE"/>
        </w:rPr>
        <w:t>5.- Cuando se ha imposibilitado a la víctima para defenderse;</w:t>
      </w:r>
      <w:r>
        <w:rPr>
          <w:lang w:val="es-PE"/>
        </w:rPr>
        <w:t xml:space="preserve"> </w:t>
      </w:r>
      <w:r w:rsidRPr="0009327B">
        <w:rPr>
          <w:lang w:val="es-PE"/>
        </w:rPr>
        <w:t>6.- Por un medio cualquiera capaz de causar grandes estragos;</w:t>
      </w:r>
      <w:r>
        <w:rPr>
          <w:lang w:val="es-PE"/>
        </w:rPr>
        <w:t xml:space="preserve"> </w:t>
      </w:r>
      <w:r w:rsidRPr="0009327B">
        <w:rPr>
          <w:lang w:val="es-PE"/>
        </w:rPr>
        <w:t>7.- Buscando de propósito la noche o el despoblado para cometer el homicidio;</w:t>
      </w:r>
      <w:r>
        <w:rPr>
          <w:lang w:val="es-PE"/>
        </w:rPr>
        <w:t xml:space="preserve"> </w:t>
      </w:r>
      <w:r w:rsidRPr="0009327B">
        <w:rPr>
          <w:lang w:val="es-PE"/>
        </w:rPr>
        <w:t>8.- Cuando el homicidio se ha perpetrado con el fin de que no se descubra o no se detenga al</w:t>
      </w:r>
      <w:r>
        <w:rPr>
          <w:lang w:val="es-PE"/>
        </w:rPr>
        <w:t xml:space="preserve"> </w:t>
      </w:r>
      <w:r w:rsidRPr="0009327B">
        <w:rPr>
          <w:lang w:val="es-PE"/>
        </w:rPr>
        <w:t>delincuente; excepto cuando el homicida es ascendiente, descendiente, adoptante, adoptado,</w:t>
      </w:r>
      <w:r>
        <w:rPr>
          <w:lang w:val="es-PE"/>
        </w:rPr>
        <w:t xml:space="preserve"> </w:t>
      </w:r>
      <w:r w:rsidRPr="0009327B">
        <w:rPr>
          <w:lang w:val="es-PE"/>
        </w:rPr>
        <w:t>cónyuge o hermano del delincuente al que se haya pretendido favorecer; y,</w:t>
      </w:r>
      <w:r>
        <w:rPr>
          <w:lang w:val="es-PE"/>
        </w:rPr>
        <w:t xml:space="preserve"> </w:t>
      </w:r>
      <w:r w:rsidRPr="0009327B">
        <w:rPr>
          <w:lang w:val="es-PE"/>
        </w:rPr>
        <w:t>9.- Cuando se cometa el homicidio como medio de preparar, facilitar, consumar u ocultar otro delito;</w:t>
      </w:r>
      <w:r>
        <w:rPr>
          <w:lang w:val="es-PE"/>
        </w:rPr>
        <w:t xml:space="preserve"> </w:t>
      </w:r>
      <w:r w:rsidRPr="0009327B">
        <w:rPr>
          <w:lang w:val="es-PE"/>
        </w:rPr>
        <w:t>o para asegurar sus resultados o impunidad; o por no haber obtenido los resultados que se propuso</w:t>
      </w:r>
      <w:r>
        <w:rPr>
          <w:lang w:val="es-PE"/>
        </w:rPr>
        <w:t xml:space="preserve"> </w:t>
      </w:r>
      <w:r w:rsidRPr="0009327B">
        <w:rPr>
          <w:lang w:val="es-PE"/>
        </w:rPr>
        <w:t>al intentar el hecho punible.</w:t>
      </w:r>
      <w:r>
        <w:rPr>
          <w:lang w:val="es-PE"/>
        </w:rPr>
        <w:t>”; “</w:t>
      </w:r>
      <w:r w:rsidRPr="0009327B">
        <w:rPr>
          <w:lang w:val="es-PE"/>
        </w:rPr>
        <w:t>Art. 232.- Cuando las heridas o golpes dados voluntariamente, pero sin intención de causar la</w:t>
      </w:r>
      <w:r>
        <w:rPr>
          <w:lang w:val="es-PE"/>
        </w:rPr>
        <w:t xml:space="preserve"> </w:t>
      </w:r>
      <w:r w:rsidRPr="0009327B">
        <w:rPr>
          <w:lang w:val="es-PE"/>
        </w:rPr>
        <w:t>muerte, la han causado, el culpable será reprimido con tres a seis años de reclusión menor.</w:t>
      </w:r>
      <w:r>
        <w:rPr>
          <w:lang w:val="es-PE"/>
        </w:rPr>
        <w:t xml:space="preserve"> </w:t>
      </w:r>
      <w:r w:rsidRPr="0009327B">
        <w:rPr>
          <w:lang w:val="es-PE"/>
        </w:rPr>
        <w:t>Será reprimido con reclusión menor de seis a nueve años, si ha cometido estos actos de violencia</w:t>
      </w:r>
      <w:r>
        <w:rPr>
          <w:lang w:val="es-PE"/>
        </w:rPr>
        <w:t xml:space="preserve"> </w:t>
      </w:r>
      <w:r w:rsidRPr="0009327B">
        <w:rPr>
          <w:lang w:val="es-PE"/>
        </w:rPr>
        <w:t>con alguna de las circunstancias detalladas en el Artículo 228.</w:t>
      </w:r>
      <w:r>
        <w:rPr>
          <w:lang w:val="es-PE"/>
        </w:rPr>
        <w:t xml:space="preserve">”. Este Código fue </w:t>
      </w:r>
      <w:r w:rsidRPr="0009327B">
        <w:rPr>
          <w:lang w:val="es-PE"/>
        </w:rPr>
        <w:t xml:space="preserve">derogado por Ley </w:t>
      </w:r>
      <w:r>
        <w:rPr>
          <w:lang w:val="es-PE"/>
        </w:rPr>
        <w:t xml:space="preserve">0, </w:t>
      </w:r>
      <w:r w:rsidRPr="0009327B">
        <w:rPr>
          <w:lang w:val="es-PE"/>
        </w:rPr>
        <w:t>Registro</w:t>
      </w:r>
      <w:r>
        <w:rPr>
          <w:lang w:val="es-PE"/>
        </w:rPr>
        <w:t xml:space="preserve"> </w:t>
      </w:r>
      <w:r w:rsidRPr="0009327B">
        <w:rPr>
          <w:lang w:val="es-PE"/>
        </w:rPr>
        <w:t xml:space="preserve">Oficial </w:t>
      </w:r>
      <w:r>
        <w:rPr>
          <w:lang w:val="es-PE"/>
        </w:rPr>
        <w:t>196 de 19 de m</w:t>
      </w:r>
      <w:r w:rsidRPr="0009327B">
        <w:rPr>
          <w:lang w:val="es-PE"/>
        </w:rPr>
        <w:t>ayo del 2010.</w:t>
      </w:r>
    </w:p>
  </w:footnote>
  <w:footnote w:id="8">
    <w:p w14:paraId="7D64ED25" w14:textId="77777777" w:rsidR="00251E25" w:rsidRPr="0021118F" w:rsidRDefault="00251E25">
      <w:pPr>
        <w:pStyle w:val="FootnoteText"/>
        <w:rPr>
          <w:lang w:val="es-US"/>
        </w:rPr>
      </w:pPr>
      <w:r>
        <w:rPr>
          <w:rStyle w:val="FootnoteReference"/>
        </w:rPr>
        <w:footnoteRef/>
      </w:r>
      <w:r w:rsidRPr="0021118F">
        <w:rPr>
          <w:lang w:val="es-US"/>
        </w:rPr>
        <w:t xml:space="preserve"> </w:t>
      </w:r>
      <w:r>
        <w:rPr>
          <w:lang w:val="es-US"/>
        </w:rPr>
        <w:t>Código de Procedimiento Penal de la Policía Civil Nacional, Registro Oficial 1202 de 20 de agosto de 1960, reformado por resolución Corte Suprema, Registro Oficial 252 de 28 de mayo de 1982, resolución Corte Suprema, Registro Oficial 671 de 27 de enero de 1984, resolución Corte Suprema, Registro Oficial 771 de 22 de junio de 1984, resolución Corte Suprema, Registro Oficial 611 de 26 de enero de 1987, Ley 70, Registro Oficial 432 de 8 de mayo de 1990 y resolución Corte Suprema, Registro Oficial 885 de 15 de febrero de 1996. En su artículo 7 disponía: “</w:t>
      </w:r>
      <w:r w:rsidRPr="007C3254">
        <w:rPr>
          <w:lang w:val="es-US"/>
        </w:rPr>
        <w:t>Art. 7</w:t>
      </w:r>
      <w:r>
        <w:rPr>
          <w:lang w:val="es-US"/>
        </w:rPr>
        <w:t>.</w:t>
      </w:r>
      <w:r w:rsidRPr="007C3254">
        <w:rPr>
          <w:lang w:val="es-US"/>
        </w:rPr>
        <w:t xml:space="preserve"> El fuero de los miembros de la Policía Civil Nacional es aplicable únicamente respecto de las</w:t>
      </w:r>
      <w:r>
        <w:rPr>
          <w:lang w:val="es-US"/>
        </w:rPr>
        <w:t xml:space="preserve"> </w:t>
      </w:r>
      <w:r w:rsidRPr="007C3254">
        <w:rPr>
          <w:lang w:val="es-US"/>
        </w:rPr>
        <w:t>infracciones cometidas en ejercicio de la función que les corresponde específicamente como</w:t>
      </w:r>
      <w:r>
        <w:rPr>
          <w:lang w:val="es-US"/>
        </w:rPr>
        <w:t xml:space="preserve"> </w:t>
      </w:r>
      <w:r w:rsidRPr="007C3254">
        <w:rPr>
          <w:lang w:val="es-US"/>
        </w:rPr>
        <w:t>miembros de esta Institución, y por infracciones determinadas en este Código y en el Reglamento</w:t>
      </w:r>
      <w:r>
        <w:rPr>
          <w:lang w:val="es-US"/>
        </w:rPr>
        <w:t xml:space="preserve"> </w:t>
      </w:r>
      <w:r w:rsidRPr="007C3254">
        <w:rPr>
          <w:lang w:val="es-US"/>
        </w:rPr>
        <w:t>Disciplinario.</w:t>
      </w:r>
      <w:r>
        <w:rPr>
          <w:lang w:val="es-US"/>
        </w:rPr>
        <w:t xml:space="preserve">”. </w:t>
      </w:r>
      <w:r w:rsidRPr="00765FC3">
        <w:rPr>
          <w:lang w:val="es-US"/>
        </w:rPr>
        <w:t xml:space="preserve">Este Código fue derogado por Ley 0, Registro Oficial </w:t>
      </w:r>
      <w:r>
        <w:rPr>
          <w:lang w:val="es-US"/>
        </w:rPr>
        <w:t>544</w:t>
      </w:r>
      <w:r w:rsidRPr="00765FC3">
        <w:rPr>
          <w:lang w:val="es-US"/>
        </w:rPr>
        <w:t xml:space="preserve"> de 9 de ma</w:t>
      </w:r>
      <w:r>
        <w:rPr>
          <w:lang w:val="es-US"/>
        </w:rPr>
        <w:t>rzo</w:t>
      </w:r>
      <w:r w:rsidRPr="00765FC3">
        <w:rPr>
          <w:lang w:val="es-US"/>
        </w:rPr>
        <w:t xml:space="preserve"> del 20</w:t>
      </w:r>
      <w:r>
        <w:rPr>
          <w:lang w:val="es-US"/>
        </w:rPr>
        <w:t>09</w:t>
      </w:r>
      <w:r w:rsidRPr="00765FC3">
        <w:rPr>
          <w:lang w:val="es-US"/>
        </w:rPr>
        <w:t>.</w:t>
      </w:r>
    </w:p>
  </w:footnote>
  <w:footnote w:id="9">
    <w:p w14:paraId="23EAA7A5" w14:textId="77777777" w:rsidR="00251E25" w:rsidRPr="009122D7" w:rsidRDefault="00251E25">
      <w:pPr>
        <w:pStyle w:val="FootnoteText"/>
        <w:rPr>
          <w:lang w:val="es-US"/>
        </w:rPr>
      </w:pPr>
      <w:r>
        <w:rPr>
          <w:rStyle w:val="FootnoteReference"/>
        </w:rPr>
        <w:footnoteRef/>
      </w:r>
      <w:r w:rsidRPr="009122D7">
        <w:rPr>
          <w:lang w:val="es-US"/>
        </w:rPr>
        <w:t xml:space="preserve"> CIDH. Informe sobre la situación de los derechos humanos en </w:t>
      </w:r>
      <w:r>
        <w:rPr>
          <w:lang w:val="es-US"/>
        </w:rPr>
        <w:t xml:space="preserve">Ecuador. </w:t>
      </w:r>
      <w:r w:rsidRPr="009122D7">
        <w:rPr>
          <w:lang w:val="es-US"/>
        </w:rPr>
        <w:t>OEA/Ser.L/V/II.96. Doc. 10 rev. 1</w:t>
      </w:r>
      <w:r>
        <w:rPr>
          <w:lang w:val="es-US"/>
        </w:rPr>
        <w:t>. 24 abril 199</w:t>
      </w:r>
      <w:r w:rsidRPr="009122D7">
        <w:rPr>
          <w:lang w:val="es-US"/>
        </w:rPr>
        <w:t>7</w:t>
      </w:r>
      <w:r>
        <w:rPr>
          <w:lang w:val="es-US"/>
        </w:rPr>
        <w:t xml:space="preserve">. Capitulo III: Derecho al recurso judicial y la administración de justicia en el Ecuador. Disponible en: </w:t>
      </w:r>
      <w:hyperlink r:id="rId1" w:history="1">
        <w:r w:rsidRPr="009122D7">
          <w:rPr>
            <w:rStyle w:val="Hyperlink"/>
            <w:lang w:val="es-US"/>
          </w:rPr>
          <w:t>http://www.cidh.org/countryrep/Ecuador-sp/Capitulo%203.htm</w:t>
        </w:r>
      </w:hyperlink>
      <w:r>
        <w:rPr>
          <w:lang w:val="es-US"/>
        </w:rPr>
        <w:t>.</w:t>
      </w:r>
    </w:p>
  </w:footnote>
  <w:footnote w:id="10">
    <w:p w14:paraId="7C2E1A83" w14:textId="77777777" w:rsidR="00251E25" w:rsidRPr="00A671BD" w:rsidRDefault="00251E25">
      <w:pPr>
        <w:pStyle w:val="FootnoteText"/>
        <w:rPr>
          <w:lang w:val="es-US"/>
        </w:rPr>
      </w:pPr>
      <w:r>
        <w:rPr>
          <w:rStyle w:val="FootnoteReference"/>
        </w:rPr>
        <w:footnoteRef/>
      </w:r>
      <w:r w:rsidRPr="00A671BD">
        <w:rPr>
          <w:lang w:val="es-US"/>
        </w:rPr>
        <w:t xml:space="preserve"> CIDH. </w:t>
      </w:r>
      <w:r>
        <w:rPr>
          <w:lang w:val="es-US"/>
        </w:rPr>
        <w:t>Informe No. 90/14</w:t>
      </w:r>
      <w:r w:rsidRPr="00A671BD">
        <w:rPr>
          <w:lang w:val="es-US"/>
        </w:rPr>
        <w:t xml:space="preserve">. Admisibilidad y Fondo. </w:t>
      </w:r>
      <w:r>
        <w:rPr>
          <w:lang w:val="es-US"/>
        </w:rPr>
        <w:t>Luis Jorge Valencia Hinojosa</w:t>
      </w:r>
      <w:r w:rsidRPr="00A671BD">
        <w:rPr>
          <w:lang w:val="es-US"/>
        </w:rPr>
        <w:t xml:space="preserve">. Ecuador. </w:t>
      </w:r>
      <w:r>
        <w:rPr>
          <w:lang w:val="es-US"/>
        </w:rPr>
        <w:t>4</w:t>
      </w:r>
      <w:r w:rsidRPr="00A671BD">
        <w:rPr>
          <w:lang w:val="es-US"/>
        </w:rPr>
        <w:t xml:space="preserve"> de </w:t>
      </w:r>
      <w:r>
        <w:rPr>
          <w:lang w:val="es-US"/>
        </w:rPr>
        <w:t>noviembre de 2014</w:t>
      </w:r>
      <w:r w:rsidRPr="00A671BD">
        <w:rPr>
          <w:lang w:val="es-US"/>
        </w:rPr>
        <w:t>, párr. 1</w:t>
      </w:r>
      <w:r>
        <w:rPr>
          <w:lang w:val="es-US"/>
        </w:rPr>
        <w:t>37</w:t>
      </w:r>
      <w:r w:rsidRPr="00A671BD">
        <w:rPr>
          <w:lang w:val="es-US"/>
        </w:rPr>
        <w:t>.</w:t>
      </w:r>
    </w:p>
  </w:footnote>
  <w:footnote w:id="11">
    <w:p w14:paraId="0FBC0EED" w14:textId="77777777" w:rsidR="00251E25" w:rsidRPr="00547CBA" w:rsidRDefault="00251E25">
      <w:pPr>
        <w:pStyle w:val="FootnoteText"/>
        <w:rPr>
          <w:lang w:val="es-US"/>
        </w:rPr>
      </w:pPr>
      <w:r>
        <w:rPr>
          <w:rStyle w:val="FootnoteReference"/>
        </w:rPr>
        <w:footnoteRef/>
      </w:r>
      <w:r w:rsidRPr="00547CBA">
        <w:rPr>
          <w:lang w:val="es-US"/>
        </w:rPr>
        <w:t xml:space="preserve"> </w:t>
      </w:r>
      <w:r w:rsidRPr="00547CBA">
        <w:rPr>
          <w:bCs/>
          <w:lang w:val="es-US"/>
        </w:rPr>
        <w:t xml:space="preserve">Corte IDH. </w:t>
      </w:r>
      <w:r w:rsidRPr="00F13B81">
        <w:rPr>
          <w:bCs/>
          <w:i/>
          <w:iCs/>
          <w:lang w:val="es-US"/>
        </w:rPr>
        <w:t>Caso Valencia Hinojosa y otra Vs. Ecuador.</w:t>
      </w:r>
      <w:r w:rsidRPr="00547CBA">
        <w:rPr>
          <w:bCs/>
          <w:lang w:val="es-US"/>
        </w:rPr>
        <w:t xml:space="preserve"> Excepciones Preliminares, Fondo, Reparaciones y Costas. Sentencia de 29 de noviembre de 2016. Serie C No. 327 (“Sentencia </w:t>
      </w:r>
      <w:r w:rsidRPr="00F13B81">
        <w:rPr>
          <w:bCs/>
          <w:i/>
          <w:iCs/>
          <w:lang w:val="es-US"/>
        </w:rPr>
        <w:t>Valencia Hinojosa y otra</w:t>
      </w:r>
      <w:r w:rsidRPr="00547CBA">
        <w:rPr>
          <w:bCs/>
          <w:lang w:val="es-US"/>
        </w:rPr>
        <w:t>”), párr.</w:t>
      </w:r>
      <w:r>
        <w:rPr>
          <w:bCs/>
          <w:lang w:val="es-US"/>
        </w:rPr>
        <w:t xml:space="preserve"> 114.</w:t>
      </w:r>
    </w:p>
  </w:footnote>
  <w:footnote w:id="12">
    <w:p w14:paraId="3C954CF9" w14:textId="77777777" w:rsidR="00251E25" w:rsidRPr="00F3462C" w:rsidRDefault="00251E25">
      <w:pPr>
        <w:pStyle w:val="FootnoteText"/>
        <w:rPr>
          <w:lang w:val="es-US"/>
        </w:rPr>
      </w:pPr>
      <w:r>
        <w:rPr>
          <w:rStyle w:val="FootnoteReference"/>
        </w:rPr>
        <w:footnoteRef/>
      </w:r>
      <w:r w:rsidRPr="00F3462C">
        <w:rPr>
          <w:lang w:val="es-US"/>
        </w:rPr>
        <w:t xml:space="preserve"> </w:t>
      </w:r>
      <w:r>
        <w:rPr>
          <w:lang w:val="es-US"/>
        </w:rPr>
        <w:t xml:space="preserve"> Informe de la Comisión de la Verdad Ecuador 2010, Sin verdad no hay justicia, Resumen Ejecutivo, pág. 43</w:t>
      </w:r>
    </w:p>
  </w:footnote>
  <w:footnote w:id="13">
    <w:p w14:paraId="46B6D31C" w14:textId="77777777" w:rsidR="00251E25" w:rsidRPr="00937A06" w:rsidRDefault="00251E25">
      <w:pPr>
        <w:pStyle w:val="FootnoteText"/>
        <w:rPr>
          <w:lang w:val="es-US"/>
        </w:rPr>
      </w:pPr>
      <w:r>
        <w:rPr>
          <w:rStyle w:val="FootnoteReference"/>
        </w:rPr>
        <w:footnoteRef/>
      </w:r>
      <w:r w:rsidRPr="00937A06">
        <w:rPr>
          <w:lang w:val="es-US"/>
        </w:rPr>
        <w:t xml:space="preserve"> </w:t>
      </w:r>
      <w:r w:rsidRPr="00094637">
        <w:rPr>
          <w:b/>
          <w:bCs/>
          <w:lang w:val="es-US"/>
        </w:rPr>
        <w:t>Anexo 1.</w:t>
      </w:r>
      <w:r w:rsidRPr="00937A06">
        <w:rPr>
          <w:lang w:val="es-US"/>
        </w:rPr>
        <w:t xml:space="preserve"> Amnistía Internacional. </w:t>
      </w:r>
      <w:r>
        <w:rPr>
          <w:lang w:val="es-US"/>
        </w:rPr>
        <w:t>Comunicado de Prensa. Ecuador. Aníbal Aguas ¿Un caso más de impunidad? Londres, 22 agosto 1997</w:t>
      </w:r>
      <w:r w:rsidRPr="00937A06">
        <w:rPr>
          <w:lang w:val="es-US"/>
        </w:rPr>
        <w:t>, anexo petición inicial 23.04.2003.</w:t>
      </w:r>
    </w:p>
  </w:footnote>
  <w:footnote w:id="14">
    <w:p w14:paraId="6ECDAD2A" w14:textId="77777777" w:rsidR="00251E25" w:rsidRPr="00574704" w:rsidRDefault="00251E25">
      <w:pPr>
        <w:pStyle w:val="FootnoteText"/>
        <w:rPr>
          <w:lang w:val="es-ES"/>
        </w:rPr>
      </w:pPr>
      <w:r>
        <w:rPr>
          <w:rStyle w:val="FootnoteReference"/>
        </w:rPr>
        <w:footnoteRef/>
      </w:r>
      <w:r w:rsidRPr="0027308F">
        <w:rPr>
          <w:lang w:val="es-US"/>
        </w:rPr>
        <w:t xml:space="preserve"> </w:t>
      </w:r>
      <w:r w:rsidRPr="004E1297">
        <w:rPr>
          <w:lang w:val="es-US"/>
        </w:rPr>
        <w:t>Amnistía Internacional.</w:t>
      </w:r>
      <w:r>
        <w:rPr>
          <w:lang w:val="es-US"/>
        </w:rPr>
        <w:t xml:space="preserve"> Ecuador: Sin una justicia independiente e imparcial no existe el “Estado Social de Derecho”. </w:t>
      </w:r>
      <w:r w:rsidRPr="004E1297">
        <w:rPr>
          <w:lang w:val="es-US"/>
        </w:rPr>
        <w:t>AMR 28/010/2003/s</w:t>
      </w:r>
      <w:r>
        <w:rPr>
          <w:lang w:val="es-US"/>
        </w:rPr>
        <w:t xml:space="preserve">, 30 octubre 2003, disponible en: </w:t>
      </w:r>
      <w:hyperlink r:id="rId2" w:history="1">
        <w:r w:rsidRPr="004E1297">
          <w:rPr>
            <w:rStyle w:val="Hyperlink"/>
            <w:lang w:val="es-US"/>
          </w:rPr>
          <w:t>https://www.amnesty.org/download/Documents/104000/amr280102003es.pdf</w:t>
        </w:r>
      </w:hyperlink>
      <w:r>
        <w:rPr>
          <w:lang w:val="es-US"/>
        </w:rPr>
        <w:t xml:space="preserve"> (“Informe 2003”), p. 3. Ver también: </w:t>
      </w:r>
      <w:r w:rsidRPr="00DE073C">
        <w:rPr>
          <w:lang w:val="es-US"/>
        </w:rPr>
        <w:t>Amnistía Internacional. Ecuador: Promesas Incumplidas</w:t>
      </w:r>
      <w:r>
        <w:rPr>
          <w:lang w:val="es-US"/>
        </w:rPr>
        <w:t xml:space="preserve"> </w:t>
      </w:r>
      <w:r w:rsidRPr="00DE073C">
        <w:rPr>
          <w:lang w:val="es-US"/>
        </w:rPr>
        <w:t>Continúa la Impunidad en el Fuero Policial</w:t>
      </w:r>
      <w:r>
        <w:rPr>
          <w:lang w:val="es-US"/>
        </w:rPr>
        <w:t xml:space="preserve">. </w:t>
      </w:r>
      <w:r w:rsidRPr="00DE073C">
        <w:rPr>
          <w:lang w:val="es-US"/>
        </w:rPr>
        <w:t>AMR</w:t>
      </w:r>
      <w:r>
        <w:rPr>
          <w:lang w:val="es-US"/>
        </w:rPr>
        <w:t xml:space="preserve"> </w:t>
      </w:r>
      <w:r w:rsidRPr="00DE073C">
        <w:rPr>
          <w:lang w:val="es-US"/>
        </w:rPr>
        <w:t>28/018/2004/s</w:t>
      </w:r>
      <w:r>
        <w:rPr>
          <w:lang w:val="es-US"/>
        </w:rPr>
        <w:t xml:space="preserve">, 18 noviembre 2004. Disponible en: </w:t>
      </w:r>
      <w:hyperlink r:id="rId3" w:history="1">
        <w:r w:rsidRPr="00DE073C">
          <w:rPr>
            <w:rStyle w:val="Hyperlink"/>
            <w:lang w:val="es-US"/>
          </w:rPr>
          <w:t>https://www.amnesty.org/download/Documents/92000/amr280182004es.pdf</w:t>
        </w:r>
      </w:hyperlink>
      <w:r w:rsidRPr="00574704">
        <w:rPr>
          <w:rStyle w:val="Hyperlink"/>
          <w:lang w:val="es-ES"/>
        </w:rPr>
        <w:t>.</w:t>
      </w:r>
    </w:p>
  </w:footnote>
  <w:footnote w:id="15">
    <w:p w14:paraId="637915D9" w14:textId="77777777" w:rsidR="00251E25" w:rsidRPr="004E0633" w:rsidRDefault="00251E25">
      <w:pPr>
        <w:pStyle w:val="FootnoteText"/>
        <w:rPr>
          <w:lang w:val="es-US"/>
        </w:rPr>
      </w:pPr>
      <w:r>
        <w:rPr>
          <w:rStyle w:val="FootnoteReference"/>
        </w:rPr>
        <w:footnoteRef/>
      </w:r>
      <w:r w:rsidRPr="004E0633">
        <w:rPr>
          <w:lang w:val="es-US"/>
        </w:rPr>
        <w:t xml:space="preserve"> </w:t>
      </w:r>
      <w:r>
        <w:rPr>
          <w:lang w:val="es-US"/>
        </w:rPr>
        <w:t xml:space="preserve">Constitución de la República del Ecuador. Registro Oficial 449 del 20-Oct-2008, disponible en: </w:t>
      </w:r>
      <w:hyperlink r:id="rId4" w:history="1">
        <w:r w:rsidRPr="00F03320">
          <w:rPr>
            <w:rStyle w:val="Hyperlink"/>
            <w:lang w:val="es-US"/>
          </w:rPr>
          <w:t>http://www.lexis.com.ec/wp-content/uploads/2019/07/LI-CONSTITUCION-DE-LA-REPUBLICA-DEL-ECUADOR.pdf</w:t>
        </w:r>
      </w:hyperlink>
      <w:r>
        <w:rPr>
          <w:lang w:val="es-US"/>
        </w:rPr>
        <w:t>. La que en su a</w:t>
      </w:r>
      <w:r w:rsidRPr="004E0633">
        <w:rPr>
          <w:lang w:val="es-US"/>
        </w:rPr>
        <w:t>rtículo 160</w:t>
      </w:r>
      <w:r>
        <w:rPr>
          <w:lang w:val="es-US"/>
        </w:rPr>
        <w:t>,</w:t>
      </w:r>
      <w:r w:rsidRPr="004E0633">
        <w:rPr>
          <w:lang w:val="es-US"/>
        </w:rPr>
        <w:t xml:space="preserve"> inciso 4, indica: “Los miembros de las Fuerzas Armadas y de la Policía Nacional serán juzgados por los órganos de la Función Judicial; en el caso de delitos cometidos dentro de su misión específica, serán juzgados por salas especializadas en materia militar y policial, pertenecientes a la misma Función Judicial. Las infracciones disciplinarias serán juzgadas por los órganos competentes establecidos en la ley.</w:t>
      </w:r>
      <w:r>
        <w:rPr>
          <w:lang w:val="es-US"/>
        </w:rPr>
        <w:t>”.</w:t>
      </w:r>
    </w:p>
  </w:footnote>
  <w:footnote w:id="16">
    <w:p w14:paraId="37480DC2" w14:textId="77777777" w:rsidR="00251E25" w:rsidRPr="00A21399" w:rsidRDefault="00251E25">
      <w:pPr>
        <w:pStyle w:val="FootnoteText"/>
        <w:rPr>
          <w:lang w:val="es-US"/>
        </w:rPr>
      </w:pPr>
      <w:r>
        <w:rPr>
          <w:rStyle w:val="FootnoteReference"/>
        </w:rPr>
        <w:footnoteRef/>
      </w:r>
      <w:r w:rsidRPr="00937A06">
        <w:rPr>
          <w:lang w:val="es-US"/>
        </w:rPr>
        <w:t xml:space="preserve"> </w:t>
      </w:r>
      <w:r w:rsidRPr="00094637">
        <w:rPr>
          <w:b/>
          <w:bCs/>
          <w:lang w:val="es-US"/>
        </w:rPr>
        <w:t>Anexo 2.</w:t>
      </w:r>
      <w:r w:rsidRPr="00DE697E">
        <w:rPr>
          <w:lang w:val="es-US"/>
        </w:rPr>
        <w:t xml:space="preserve"> </w:t>
      </w:r>
      <w:r w:rsidRPr="001C3908">
        <w:rPr>
          <w:lang w:val="es-US"/>
        </w:rPr>
        <w:t xml:space="preserve">Policía Nacional del Ecuador. Dirección Nacional Investigaciones. Inteligencia P-2 CP-3. Informe </w:t>
      </w:r>
      <w:r>
        <w:rPr>
          <w:lang w:val="es-US"/>
        </w:rPr>
        <w:t xml:space="preserve">Policial, 09-P2, 03 marzo 1997 </w:t>
      </w:r>
      <w:r w:rsidRPr="001C3908">
        <w:rPr>
          <w:lang w:val="es-US"/>
        </w:rPr>
        <w:t xml:space="preserve">(“Informe Policial 03.03.1997”), </w:t>
      </w:r>
      <w:r>
        <w:rPr>
          <w:lang w:val="es-US"/>
        </w:rPr>
        <w:t xml:space="preserve">pág. 6; </w:t>
      </w:r>
      <w:r w:rsidRPr="00520B87">
        <w:rPr>
          <w:b/>
          <w:bCs/>
          <w:lang w:val="es-ES"/>
        </w:rPr>
        <w:t>Anexo 3.</w:t>
      </w:r>
      <w:r w:rsidRPr="00F74AFA">
        <w:rPr>
          <w:lang w:val="es-ES"/>
        </w:rPr>
        <w:t xml:space="preserve"> Sentencia. Segunda Corte Distrital de la Policía Nacional. Guayaquil, 19 junio 2001</w:t>
      </w:r>
      <w:r>
        <w:rPr>
          <w:lang w:val="es-US"/>
        </w:rPr>
        <w:t xml:space="preserve"> (“Sentencia Segunda Corte Distrital 19.6.2001”); </w:t>
      </w:r>
      <w:r w:rsidRPr="00C63037">
        <w:rPr>
          <w:b/>
          <w:bCs/>
          <w:lang w:val="es-US"/>
        </w:rPr>
        <w:t>Anexo 4</w:t>
      </w:r>
      <w:r w:rsidRPr="00C63037">
        <w:rPr>
          <w:b/>
          <w:bCs/>
          <w:lang w:val="es-ES"/>
        </w:rPr>
        <w:t>.</w:t>
      </w:r>
      <w:r w:rsidRPr="0027308F">
        <w:rPr>
          <w:lang w:val="es-ES"/>
        </w:rPr>
        <w:t xml:space="preserve"> Sentencia. Corte Nacional de Justicia Policial. </w:t>
      </w:r>
      <w:r>
        <w:rPr>
          <w:lang w:val="es-ES"/>
        </w:rPr>
        <w:t>Quito, 4 diciembre 2001</w:t>
      </w:r>
      <w:r>
        <w:rPr>
          <w:lang w:val="es-US"/>
        </w:rPr>
        <w:t xml:space="preserve"> (“Sentencia Corte Nacional de Justicia Policial 4.12.2001”)</w:t>
      </w:r>
      <w:r>
        <w:rPr>
          <w:lang w:val="es-ES"/>
        </w:rPr>
        <w:t xml:space="preserve">; </w:t>
      </w:r>
      <w:r w:rsidRPr="00B25904">
        <w:rPr>
          <w:b/>
          <w:bCs/>
          <w:lang w:val="es-US"/>
        </w:rPr>
        <w:t>Anexo 5.</w:t>
      </w:r>
      <w:r>
        <w:rPr>
          <w:lang w:val="es-US"/>
        </w:rPr>
        <w:t xml:space="preserve"> Distrito Judicial El Oro. República del Ecuador, Auto Cabeza de Proceso, firma Oscar Solano, Juez V Penal El Oro, 10 marzo 1997, foliación indeterminada 70-71 (“Auto Cabeza de Proceso 10.03.1997”), fojas 70-70vta; </w:t>
      </w:r>
      <w:r w:rsidRPr="00B25904">
        <w:rPr>
          <w:b/>
          <w:bCs/>
          <w:lang w:val="es-US"/>
        </w:rPr>
        <w:t>Anexo 6.</w:t>
      </w:r>
      <w:r>
        <w:rPr>
          <w:lang w:val="es-US"/>
        </w:rPr>
        <w:t xml:space="preserve"> </w:t>
      </w:r>
      <w:r w:rsidRPr="0090389C">
        <w:rPr>
          <w:lang w:val="es-US"/>
        </w:rPr>
        <w:t>J</w:t>
      </w:r>
      <w:r>
        <w:rPr>
          <w:lang w:val="es-US"/>
        </w:rPr>
        <w:t>u</w:t>
      </w:r>
      <w:r w:rsidRPr="0090389C">
        <w:rPr>
          <w:lang w:val="es-US"/>
        </w:rPr>
        <w:t>z</w:t>
      </w:r>
      <w:r>
        <w:rPr>
          <w:lang w:val="es-US"/>
        </w:rPr>
        <w:t xml:space="preserve">gado Segundo IV Distrito Policía Nacional. </w:t>
      </w:r>
      <w:r w:rsidRPr="0090389C">
        <w:rPr>
          <w:lang w:val="es-US"/>
        </w:rPr>
        <w:t xml:space="preserve">República del Ecuador, Auto Cabeza de Proceso, </w:t>
      </w:r>
      <w:r>
        <w:rPr>
          <w:lang w:val="es-US"/>
        </w:rPr>
        <w:t>14</w:t>
      </w:r>
      <w:r w:rsidRPr="0090389C">
        <w:rPr>
          <w:lang w:val="es-US"/>
        </w:rPr>
        <w:t xml:space="preserve"> </w:t>
      </w:r>
      <w:r>
        <w:rPr>
          <w:lang w:val="es-US"/>
        </w:rPr>
        <w:t xml:space="preserve">abril </w:t>
      </w:r>
      <w:r w:rsidRPr="0090389C">
        <w:rPr>
          <w:lang w:val="es-US"/>
        </w:rPr>
        <w:t xml:space="preserve">1997, foliación indeterminada </w:t>
      </w:r>
      <w:r>
        <w:rPr>
          <w:lang w:val="es-US"/>
        </w:rPr>
        <w:t xml:space="preserve">95-96 </w:t>
      </w:r>
      <w:r w:rsidRPr="0090389C">
        <w:rPr>
          <w:lang w:val="es-US"/>
        </w:rPr>
        <w:t>(“Auto Cabeza de P</w:t>
      </w:r>
      <w:r>
        <w:rPr>
          <w:lang w:val="es-US"/>
        </w:rPr>
        <w:t>roceso 14.04</w:t>
      </w:r>
      <w:r w:rsidRPr="0090389C">
        <w:rPr>
          <w:lang w:val="es-US"/>
        </w:rPr>
        <w:t xml:space="preserve">.1997”), fojas </w:t>
      </w:r>
      <w:r>
        <w:rPr>
          <w:lang w:val="es-US"/>
        </w:rPr>
        <w:t>95</w:t>
      </w:r>
      <w:r w:rsidRPr="0090389C">
        <w:rPr>
          <w:lang w:val="es-US"/>
        </w:rPr>
        <w:t>-</w:t>
      </w:r>
      <w:r>
        <w:rPr>
          <w:lang w:val="es-US"/>
        </w:rPr>
        <w:t>96</w:t>
      </w:r>
      <w:r w:rsidRPr="0090389C">
        <w:rPr>
          <w:lang w:val="es-US"/>
        </w:rPr>
        <w:t>;</w:t>
      </w:r>
      <w:r w:rsidRPr="00954E6B">
        <w:rPr>
          <w:lang w:val="es-US"/>
        </w:rPr>
        <w:t xml:space="preserve"> </w:t>
      </w:r>
      <w:r w:rsidRPr="00B25904">
        <w:rPr>
          <w:b/>
          <w:bCs/>
          <w:lang w:val="es-US"/>
        </w:rPr>
        <w:t>Anexo 7.</w:t>
      </w:r>
      <w:r>
        <w:rPr>
          <w:lang w:val="es-US"/>
        </w:rPr>
        <w:t xml:space="preserve"> Extractos noticias impresas, periódicos La Hora Ultima de Ambato, 4 marzo 1997, “Tortura y matan a comerciante ambateño” y Crónica Roja de Machala, 13 marzo 1997, “Habría sido torturado”. Todos </w:t>
      </w:r>
      <w:r w:rsidRPr="00A21399">
        <w:rPr>
          <w:lang w:val="es-US"/>
        </w:rPr>
        <w:t>anexo</w:t>
      </w:r>
      <w:r>
        <w:rPr>
          <w:lang w:val="es-US"/>
        </w:rPr>
        <w:t>s</w:t>
      </w:r>
      <w:r w:rsidRPr="00A21399">
        <w:rPr>
          <w:lang w:val="es-US"/>
        </w:rPr>
        <w:t xml:space="preserve"> petición inicial 23.04.2003</w:t>
      </w:r>
      <w:r w:rsidRPr="00AB143A">
        <w:rPr>
          <w:lang w:val="es-US"/>
        </w:rPr>
        <w:t>;</w:t>
      </w:r>
      <w:r>
        <w:rPr>
          <w:lang w:val="es-US"/>
        </w:rPr>
        <w:t xml:space="preserve"> y</w:t>
      </w:r>
      <w:r w:rsidRPr="00AB143A">
        <w:rPr>
          <w:lang w:val="es-US"/>
        </w:rPr>
        <w:t xml:space="preserve"> </w:t>
      </w:r>
      <w:r w:rsidRPr="00B25904">
        <w:rPr>
          <w:b/>
          <w:bCs/>
          <w:lang w:val="es-ES"/>
        </w:rPr>
        <w:t>Anexo 8.</w:t>
      </w:r>
      <w:r w:rsidRPr="00AB143A">
        <w:rPr>
          <w:lang w:val="es-ES"/>
        </w:rPr>
        <w:t xml:space="preserve"> Auto Apertura Plenario. Juzgado Segundo IV Distrito Policía Nacional. Guayaquil, 11 diciembre 1998 (“Auto Apertura Plenario 11.12.1998”)</w:t>
      </w:r>
      <w:r w:rsidRPr="00104E9B">
        <w:rPr>
          <w:lang w:val="es-US"/>
        </w:rPr>
        <w:t>, anexo escrito Estado 18.02.2005.</w:t>
      </w:r>
    </w:p>
  </w:footnote>
  <w:footnote w:id="17">
    <w:p w14:paraId="6244A2D7" w14:textId="77777777" w:rsidR="00251E25" w:rsidRPr="003D1B52" w:rsidRDefault="00251E25">
      <w:pPr>
        <w:pStyle w:val="FootnoteText"/>
        <w:rPr>
          <w:lang w:val="es-US"/>
        </w:rPr>
      </w:pPr>
      <w:r>
        <w:rPr>
          <w:rStyle w:val="FootnoteReference"/>
        </w:rPr>
        <w:footnoteRef/>
      </w:r>
      <w:r w:rsidRPr="00104E9B">
        <w:rPr>
          <w:lang w:val="pt-BR"/>
        </w:rPr>
        <w:t xml:space="preserve"> </w:t>
      </w:r>
      <w:r w:rsidRPr="00B25904">
        <w:rPr>
          <w:b/>
          <w:bCs/>
          <w:lang w:val="pt-BR"/>
        </w:rPr>
        <w:t>Anexo 9.</w:t>
      </w:r>
      <w:r w:rsidRPr="00104E9B">
        <w:rPr>
          <w:lang w:val="pt-BR"/>
        </w:rPr>
        <w:t xml:space="preserve"> Protocolo de Autopsia No. 14ML-EO-97, firma Dr. José R. Santacruz y Dr. Maco Zeas Procel. </w:t>
      </w:r>
      <w:r w:rsidRPr="003D1B52">
        <w:rPr>
          <w:lang w:val="es-US"/>
        </w:rPr>
        <w:t>Machala, marzo 2</w:t>
      </w:r>
      <w:r>
        <w:rPr>
          <w:lang w:val="es-US"/>
        </w:rPr>
        <w:t>,</w:t>
      </w:r>
      <w:r w:rsidRPr="003D1B52">
        <w:rPr>
          <w:lang w:val="es-US"/>
        </w:rPr>
        <w:t xml:space="preserve"> 1997. Anexo petición inicial 23.</w:t>
      </w:r>
      <w:r>
        <w:rPr>
          <w:lang w:val="es-US"/>
        </w:rPr>
        <w:t>04.2003.</w:t>
      </w:r>
      <w:r w:rsidRPr="003D1B52">
        <w:rPr>
          <w:lang w:val="es-US"/>
        </w:rPr>
        <w:t xml:space="preserve"> </w:t>
      </w:r>
      <w:r>
        <w:rPr>
          <w:lang w:val="es-US"/>
        </w:rPr>
        <w:t>El informe detalla, entre otros, las siguientes lesiones: “[…] Cabeza: En la nariz se observa una excoriación de medio cm. de diámetro; en el cuero cabelludo de la región occipital se observa una herida contusa de dos cm. de extensión; en la parte media de la mucosa del labio inferior se observa una herida contusa de un cm. de extensión rodeada de equimosis; los labios se encuentran ligeramente cianóticos, por cavidad oral se observa salida de sangre.- Cuello: A maniobras manuales el cuello se encuentra hiper movible, compatible con luxación total de la articulación occípito atloidea; en caras antero laterales se observa varias excoriaciones lineales desde medio a cuatro cm. de extensión.- Torax: Por encima de la región mamaria izquierda se observa una equimosis de cinco por tres cm. de diámetro; las livideces cadavéricas se observa en las caras dorso laterales.- […] Miembros superiores: En el tercio superior cara antero interna del brazo izquierdo se observa una equimosis de forma más o menos ovalada de cinco por dos cm. de diámetro; en el hombro derecho se observa una equimosis de dos cm. de diámetro; en el tercio superior cara posterior de antebrazo derecho se observa una equimosis de cinco por ocho cm. de diámetro, lechos ungueales cianóticos […]”</w:t>
      </w:r>
    </w:p>
  </w:footnote>
  <w:footnote w:id="18">
    <w:p w14:paraId="7E280A5D" w14:textId="77777777" w:rsidR="00251E25" w:rsidRPr="008D5A66" w:rsidRDefault="00251E25">
      <w:pPr>
        <w:pStyle w:val="FootnoteText"/>
        <w:rPr>
          <w:lang w:val="es-US"/>
        </w:rPr>
      </w:pPr>
      <w:r>
        <w:rPr>
          <w:rStyle w:val="FootnoteReference"/>
        </w:rPr>
        <w:footnoteRef/>
      </w:r>
      <w:r w:rsidRPr="008D5A66">
        <w:rPr>
          <w:lang w:val="es-US"/>
        </w:rPr>
        <w:t xml:space="preserve"> </w:t>
      </w:r>
      <w:r w:rsidRPr="00F7264C">
        <w:rPr>
          <w:b/>
          <w:bCs/>
          <w:lang w:val="es-US"/>
        </w:rPr>
        <w:t>Anexo 10.</w:t>
      </w:r>
      <w:r w:rsidRPr="008D5A66">
        <w:rPr>
          <w:lang w:val="es-US"/>
        </w:rPr>
        <w:t xml:space="preserve"> Extracto noticia impresa sin </w:t>
      </w:r>
      <w:r>
        <w:rPr>
          <w:lang w:val="es-US"/>
        </w:rPr>
        <w:t xml:space="preserve">datos de </w:t>
      </w:r>
      <w:r w:rsidRPr="008D5A66">
        <w:rPr>
          <w:lang w:val="es-US"/>
        </w:rPr>
        <w:t>fecha</w:t>
      </w:r>
      <w:r>
        <w:rPr>
          <w:lang w:val="es-US"/>
        </w:rPr>
        <w:t xml:space="preserve"> y título ilegible</w:t>
      </w:r>
      <w:r w:rsidRPr="008D5A66">
        <w:rPr>
          <w:lang w:val="es-US"/>
        </w:rPr>
        <w:t>, anexo petición inicia</w:t>
      </w:r>
      <w:r>
        <w:rPr>
          <w:lang w:val="es-US"/>
        </w:rPr>
        <w:t>l</w:t>
      </w:r>
      <w:r w:rsidRPr="008D5A66">
        <w:rPr>
          <w:lang w:val="es-US"/>
        </w:rPr>
        <w:t xml:space="preserve"> 23.04.2003.</w:t>
      </w:r>
    </w:p>
  </w:footnote>
  <w:footnote w:id="19">
    <w:p w14:paraId="61228014" w14:textId="77777777" w:rsidR="00251E25" w:rsidRPr="006315D5" w:rsidRDefault="00251E25">
      <w:pPr>
        <w:pStyle w:val="FootnoteText"/>
        <w:rPr>
          <w:lang w:val="es-US"/>
        </w:rPr>
      </w:pPr>
      <w:r>
        <w:rPr>
          <w:rStyle w:val="FootnoteReference"/>
        </w:rPr>
        <w:footnoteRef/>
      </w:r>
      <w:r w:rsidRPr="006A40DE">
        <w:rPr>
          <w:lang w:val="pt-BR"/>
        </w:rPr>
        <w:t xml:space="preserve"> </w:t>
      </w:r>
      <w:r w:rsidRPr="00C22CB6">
        <w:rPr>
          <w:b/>
          <w:bCs/>
          <w:lang w:val="pt-BR"/>
        </w:rPr>
        <w:t>Anexo 3.</w:t>
      </w:r>
      <w:r w:rsidRPr="006A40DE">
        <w:rPr>
          <w:lang w:val="pt-BR"/>
        </w:rPr>
        <w:t xml:space="preserve"> Sentencia Segunda Corte Distrital 19.6.2001; </w:t>
      </w:r>
      <w:r w:rsidRPr="00C22CB6">
        <w:rPr>
          <w:b/>
          <w:bCs/>
          <w:lang w:val="pt-BR"/>
        </w:rPr>
        <w:t>Anexo 4.</w:t>
      </w:r>
      <w:r w:rsidRPr="006A40DE">
        <w:rPr>
          <w:lang w:val="pt-BR"/>
        </w:rPr>
        <w:t xml:space="preserve"> </w:t>
      </w:r>
      <w:r w:rsidRPr="006315D5">
        <w:rPr>
          <w:lang w:val="es-US"/>
        </w:rPr>
        <w:t>Sentencia Corte Nacional de Justicia Policial 4.12.2001.</w:t>
      </w:r>
    </w:p>
  </w:footnote>
  <w:footnote w:id="20">
    <w:p w14:paraId="0398677F" w14:textId="77777777" w:rsidR="00251E25" w:rsidRPr="00AB2AF0" w:rsidRDefault="00251E25">
      <w:pPr>
        <w:pStyle w:val="FootnoteText"/>
        <w:rPr>
          <w:lang w:val="es-US"/>
        </w:rPr>
      </w:pPr>
      <w:r>
        <w:rPr>
          <w:rStyle w:val="FootnoteReference"/>
        </w:rPr>
        <w:footnoteRef/>
      </w:r>
      <w:r w:rsidRPr="00AB2AF0">
        <w:rPr>
          <w:lang w:val="es-US"/>
        </w:rPr>
        <w:t xml:space="preserve"> Refiere partes policiales</w:t>
      </w:r>
      <w:r>
        <w:rPr>
          <w:lang w:val="es-US"/>
        </w:rPr>
        <w:t xml:space="preserve"> de fecha 1 de marzo de 1997, su</w:t>
      </w:r>
      <w:r w:rsidRPr="00AB2AF0">
        <w:rPr>
          <w:lang w:val="es-US"/>
        </w:rPr>
        <w:t xml:space="preserve">scritos por </w:t>
      </w:r>
      <w:r>
        <w:rPr>
          <w:lang w:val="es-US"/>
        </w:rPr>
        <w:t>el Subtnte. Henry Martínez Pico, el Subtnte. Andrés Fuentes y el SgtoP. José Salazar.</w:t>
      </w:r>
    </w:p>
  </w:footnote>
  <w:footnote w:id="21">
    <w:p w14:paraId="08C719A7" w14:textId="77777777" w:rsidR="00251E25" w:rsidRPr="00DE697E" w:rsidRDefault="00251E25">
      <w:pPr>
        <w:pStyle w:val="FootnoteText"/>
        <w:rPr>
          <w:lang w:val="es-US"/>
        </w:rPr>
      </w:pPr>
      <w:r>
        <w:rPr>
          <w:rStyle w:val="FootnoteReference"/>
        </w:rPr>
        <w:footnoteRef/>
      </w:r>
      <w:r w:rsidRPr="00DE697E">
        <w:rPr>
          <w:lang w:val="es-US"/>
        </w:rPr>
        <w:t xml:space="preserve"> Indica haber entrevistado al P.</w:t>
      </w:r>
      <w:r>
        <w:rPr>
          <w:lang w:val="es-US"/>
        </w:rPr>
        <w:t xml:space="preserve">N. Victor Emilio Cely Ríos, el Subtnte. </w:t>
      </w:r>
      <w:r w:rsidRPr="006315D5">
        <w:rPr>
          <w:lang w:val="es-US"/>
        </w:rPr>
        <w:t xml:space="preserve">Henry Omar Martínez Pico, el Subtnte. </w:t>
      </w:r>
      <w:r w:rsidRPr="00DE697E">
        <w:rPr>
          <w:lang w:val="es-US"/>
        </w:rPr>
        <w:t>Andrés Ramiro Fuentes Pozo, el SgtoP. José Evergisto Salazar, el S</w:t>
      </w:r>
      <w:r>
        <w:rPr>
          <w:lang w:val="es-US"/>
        </w:rPr>
        <w:t>gtoS. Julio Gilberto Fajardo Cabrera, el CboS. Julio Alc;ivar Sandoval Torres y el CboS. Olivar Stalin Quichimbo.</w:t>
      </w:r>
    </w:p>
  </w:footnote>
  <w:footnote w:id="22">
    <w:p w14:paraId="592FDD14" w14:textId="77777777" w:rsidR="00251E25" w:rsidRPr="00DE697E" w:rsidRDefault="00251E25">
      <w:pPr>
        <w:pStyle w:val="FootnoteText"/>
        <w:rPr>
          <w:lang w:val="es-US"/>
        </w:rPr>
      </w:pPr>
      <w:r>
        <w:rPr>
          <w:rStyle w:val="FootnoteReference"/>
        </w:rPr>
        <w:footnoteRef/>
      </w:r>
      <w:r w:rsidRPr="00DE697E">
        <w:rPr>
          <w:lang w:val="es-US"/>
        </w:rPr>
        <w:t xml:space="preserve"> Indica haber entrevistado</w:t>
      </w:r>
      <w:r>
        <w:rPr>
          <w:lang w:val="es-US"/>
        </w:rPr>
        <w:t xml:space="preserve"> a Luis Guillermo Barnuevo Romero, Segundo Higinio Beldima Belduma, Luis Guillermo Espinoza y Paquita del Carmen Vivanco.</w:t>
      </w:r>
    </w:p>
  </w:footnote>
  <w:footnote w:id="23">
    <w:p w14:paraId="1C413810" w14:textId="77777777" w:rsidR="00251E25" w:rsidRPr="00DE697E" w:rsidRDefault="00251E25">
      <w:pPr>
        <w:pStyle w:val="FootnoteText"/>
        <w:rPr>
          <w:lang w:val="es-US"/>
        </w:rPr>
      </w:pPr>
      <w:r>
        <w:rPr>
          <w:rStyle w:val="FootnoteReference"/>
        </w:rPr>
        <w:footnoteRef/>
      </w:r>
      <w:r w:rsidRPr="00DE697E">
        <w:rPr>
          <w:lang w:val="es-US"/>
        </w:rPr>
        <w:t xml:space="preserve"> Indica haber entrevistado</w:t>
      </w:r>
      <w:r>
        <w:rPr>
          <w:lang w:val="es-US"/>
        </w:rPr>
        <w:t xml:space="preserve"> a Sofía Serrano Pérez</w:t>
      </w:r>
      <w:r w:rsidRPr="00DE697E">
        <w:rPr>
          <w:lang w:val="es-US"/>
        </w:rPr>
        <w:t xml:space="preserve"> </w:t>
      </w:r>
      <w:r>
        <w:rPr>
          <w:lang w:val="es-US"/>
        </w:rPr>
        <w:t>y Martha Judith Zambrano Cabo.</w:t>
      </w:r>
    </w:p>
  </w:footnote>
  <w:footnote w:id="24">
    <w:p w14:paraId="0D107197" w14:textId="77777777" w:rsidR="00251E25" w:rsidRPr="006315D5" w:rsidRDefault="00251E25">
      <w:pPr>
        <w:pStyle w:val="FootnoteText"/>
        <w:rPr>
          <w:lang w:val="es-US"/>
        </w:rPr>
      </w:pPr>
      <w:r>
        <w:rPr>
          <w:rStyle w:val="FootnoteReference"/>
        </w:rPr>
        <w:footnoteRef/>
      </w:r>
      <w:r w:rsidRPr="00D53DB7">
        <w:rPr>
          <w:lang w:val="pt-BR"/>
        </w:rPr>
        <w:t xml:space="preserve"> </w:t>
      </w:r>
      <w:r w:rsidRPr="0056634D">
        <w:rPr>
          <w:b/>
          <w:bCs/>
          <w:lang w:val="pt-BR"/>
        </w:rPr>
        <w:t>Anexo 2.</w:t>
      </w:r>
      <w:r w:rsidRPr="00D53DB7">
        <w:rPr>
          <w:lang w:val="pt-BR"/>
        </w:rPr>
        <w:t xml:space="preserve"> Informe Policial 03.03.1997, págs. </w:t>
      </w:r>
      <w:r w:rsidRPr="001C3908">
        <w:rPr>
          <w:lang w:val="es-US"/>
        </w:rPr>
        <w:t>4-5</w:t>
      </w:r>
      <w:r w:rsidRPr="006315D5">
        <w:rPr>
          <w:lang w:val="es-US"/>
        </w:rPr>
        <w:t>.</w:t>
      </w:r>
    </w:p>
  </w:footnote>
  <w:footnote w:id="25">
    <w:p w14:paraId="4AE27509" w14:textId="77777777" w:rsidR="00251E25" w:rsidRPr="00285063" w:rsidRDefault="00251E25">
      <w:pPr>
        <w:pStyle w:val="FootnoteText"/>
        <w:rPr>
          <w:lang w:val="es-US"/>
        </w:rPr>
      </w:pPr>
      <w:r>
        <w:rPr>
          <w:rStyle w:val="FootnoteReference"/>
        </w:rPr>
        <w:footnoteRef/>
      </w:r>
      <w:r w:rsidRPr="00285063">
        <w:rPr>
          <w:lang w:val="es-US"/>
        </w:rPr>
        <w:t xml:space="preserve"> </w:t>
      </w:r>
      <w:r w:rsidRPr="0056634D">
        <w:rPr>
          <w:b/>
          <w:bCs/>
          <w:lang w:val="es-US"/>
        </w:rPr>
        <w:t>Anexo 11.</w:t>
      </w:r>
      <w:r w:rsidRPr="00285063">
        <w:rPr>
          <w:lang w:val="es-US"/>
        </w:rPr>
        <w:t xml:space="preserve"> Comando Provincial Policía </w:t>
      </w:r>
      <w:r>
        <w:rPr>
          <w:lang w:val="es-US"/>
        </w:rPr>
        <w:t>Nacional El Oro No. 3, Boletín Prensa, Machala, 4 marzo 1997,</w:t>
      </w:r>
      <w:r w:rsidRPr="00285063">
        <w:rPr>
          <w:lang w:val="es-US"/>
        </w:rPr>
        <w:t xml:space="preserve"> anexo petición inicial 23.04.2003.</w:t>
      </w:r>
    </w:p>
  </w:footnote>
  <w:footnote w:id="26">
    <w:p w14:paraId="6CB0C989" w14:textId="77777777" w:rsidR="00251E25" w:rsidRPr="00DD1E42" w:rsidRDefault="00251E25">
      <w:pPr>
        <w:pStyle w:val="FootnoteText"/>
        <w:rPr>
          <w:lang w:val="es-US"/>
        </w:rPr>
      </w:pPr>
      <w:r>
        <w:rPr>
          <w:rStyle w:val="FootnoteReference"/>
        </w:rPr>
        <w:footnoteRef/>
      </w:r>
      <w:r w:rsidRPr="00451382">
        <w:rPr>
          <w:lang w:val="es-US"/>
        </w:rPr>
        <w:t xml:space="preserve"> </w:t>
      </w:r>
      <w:r w:rsidRPr="00BE42C5">
        <w:rPr>
          <w:b/>
          <w:bCs/>
          <w:lang w:val="es-US"/>
        </w:rPr>
        <w:t>Anexo 12.</w:t>
      </w:r>
      <w:r w:rsidRPr="00451382">
        <w:rPr>
          <w:lang w:val="es-US"/>
        </w:rPr>
        <w:t xml:space="preserve"> </w:t>
      </w:r>
      <w:r w:rsidRPr="00DD1E42">
        <w:rPr>
          <w:lang w:val="es-US"/>
        </w:rPr>
        <w:t>Extracto de noticia</w:t>
      </w:r>
      <w:r>
        <w:rPr>
          <w:lang w:val="es-US"/>
        </w:rPr>
        <w:t xml:space="preserve"> impresa</w:t>
      </w:r>
      <w:r w:rsidRPr="00DD1E42">
        <w:rPr>
          <w:lang w:val="es-US"/>
        </w:rPr>
        <w:t xml:space="preserve"> si</w:t>
      </w:r>
      <w:r>
        <w:rPr>
          <w:lang w:val="es-US"/>
        </w:rPr>
        <w:t>n fecha ni datos publicación, “¿</w:t>
      </w:r>
      <w:r w:rsidRPr="00DD1E42">
        <w:rPr>
          <w:lang w:val="es-US"/>
        </w:rPr>
        <w:t xml:space="preserve">Crimen o accidente?”, </w:t>
      </w:r>
      <w:r w:rsidRPr="00BB17C0">
        <w:rPr>
          <w:lang w:val="es-US"/>
        </w:rPr>
        <w:t xml:space="preserve">anexo petición inicial 23.04.2003. </w:t>
      </w:r>
      <w:r w:rsidRPr="00DD1E42">
        <w:rPr>
          <w:lang w:val="es-US"/>
        </w:rPr>
        <w:t xml:space="preserve"> </w:t>
      </w:r>
    </w:p>
  </w:footnote>
  <w:footnote w:id="27">
    <w:p w14:paraId="553082DB" w14:textId="77777777" w:rsidR="00251E25" w:rsidRPr="00900867" w:rsidRDefault="00251E25">
      <w:pPr>
        <w:pStyle w:val="FootnoteText"/>
        <w:rPr>
          <w:lang w:val="es-US"/>
        </w:rPr>
      </w:pPr>
      <w:r>
        <w:rPr>
          <w:rStyle w:val="FootnoteReference"/>
        </w:rPr>
        <w:footnoteRef/>
      </w:r>
      <w:r w:rsidRPr="00900867">
        <w:rPr>
          <w:lang w:val="es-US"/>
        </w:rPr>
        <w:t xml:space="preserve"> Citando a </w:t>
      </w:r>
      <w:r>
        <w:rPr>
          <w:lang w:val="es-US"/>
        </w:rPr>
        <w:t xml:space="preserve">declarar a </w:t>
      </w:r>
      <w:r w:rsidRPr="00900867">
        <w:rPr>
          <w:lang w:val="es-US"/>
        </w:rPr>
        <w:t>José Evergisto Salazar, Oliver Stalin Quichimbo, Julio Gilberto Fajardo Cabrera y Julio Sandoval Torres.</w:t>
      </w:r>
    </w:p>
  </w:footnote>
  <w:footnote w:id="28">
    <w:p w14:paraId="4118EF97" w14:textId="77777777" w:rsidR="00251E25" w:rsidRPr="00900867" w:rsidRDefault="00251E25">
      <w:pPr>
        <w:pStyle w:val="FootnoteText"/>
        <w:rPr>
          <w:lang w:val="es-US"/>
        </w:rPr>
      </w:pPr>
      <w:r>
        <w:rPr>
          <w:rStyle w:val="FootnoteReference"/>
        </w:rPr>
        <w:footnoteRef/>
      </w:r>
      <w:r w:rsidRPr="00900867">
        <w:rPr>
          <w:lang w:val="es-US"/>
        </w:rPr>
        <w:t xml:space="preserve"> Citando a </w:t>
      </w:r>
      <w:r>
        <w:rPr>
          <w:lang w:val="es-US"/>
        </w:rPr>
        <w:t xml:space="preserve">declarar a </w:t>
      </w:r>
      <w:r w:rsidRPr="00900867">
        <w:rPr>
          <w:lang w:val="es-US"/>
        </w:rPr>
        <w:t>Henry Omar Martínez, Pedro Elizalde y Mario Germán Luisa Gallo.</w:t>
      </w:r>
    </w:p>
  </w:footnote>
  <w:footnote w:id="29">
    <w:p w14:paraId="74AC3A23" w14:textId="77777777" w:rsidR="00251E25" w:rsidRPr="00900867" w:rsidRDefault="00251E25">
      <w:pPr>
        <w:pStyle w:val="FootnoteText"/>
        <w:rPr>
          <w:lang w:val="es-US"/>
        </w:rPr>
      </w:pPr>
      <w:r>
        <w:rPr>
          <w:rStyle w:val="FootnoteReference"/>
        </w:rPr>
        <w:footnoteRef/>
      </w:r>
      <w:r w:rsidRPr="00900867">
        <w:rPr>
          <w:lang w:val="es-US"/>
        </w:rPr>
        <w:t xml:space="preserve"> Citando a </w:t>
      </w:r>
      <w:r>
        <w:rPr>
          <w:lang w:val="es-US"/>
        </w:rPr>
        <w:t xml:space="preserve">declarar a </w:t>
      </w:r>
      <w:r w:rsidRPr="00900867">
        <w:rPr>
          <w:lang w:val="es-US"/>
        </w:rPr>
        <w:t xml:space="preserve">Luis Barnuevo, Paquita del </w:t>
      </w:r>
      <w:r>
        <w:rPr>
          <w:lang w:val="es-US"/>
        </w:rPr>
        <w:t>Carmen Vivanco, Segundo H. Belduma Belduma, Luis Guillermo Espinoza y Martha Judith Zambrano Cabo.</w:t>
      </w:r>
    </w:p>
  </w:footnote>
  <w:footnote w:id="30">
    <w:p w14:paraId="0E3F3918" w14:textId="77777777" w:rsidR="00251E25" w:rsidRPr="006315D5" w:rsidRDefault="00251E25">
      <w:pPr>
        <w:pStyle w:val="FootnoteText"/>
        <w:rPr>
          <w:lang w:val="pt-BR"/>
        </w:rPr>
      </w:pPr>
      <w:r>
        <w:rPr>
          <w:rStyle w:val="FootnoteReference"/>
        </w:rPr>
        <w:footnoteRef/>
      </w:r>
      <w:r w:rsidRPr="006315D5">
        <w:rPr>
          <w:lang w:val="pt-BR"/>
        </w:rPr>
        <w:t xml:space="preserve"> </w:t>
      </w:r>
      <w:r w:rsidRPr="008F73EE">
        <w:rPr>
          <w:b/>
          <w:bCs/>
          <w:lang w:val="pt-BR"/>
        </w:rPr>
        <w:t>Anexo 5.</w:t>
      </w:r>
      <w:r w:rsidRPr="006315D5">
        <w:rPr>
          <w:lang w:val="pt-BR"/>
        </w:rPr>
        <w:t xml:space="preserve"> Auto Cabeza de Proceso 10.03.1997, fojas 70vta.-71.</w:t>
      </w:r>
    </w:p>
  </w:footnote>
  <w:footnote w:id="31">
    <w:p w14:paraId="2A7E023F" w14:textId="77777777" w:rsidR="00251E25" w:rsidRPr="000C0D13" w:rsidRDefault="00251E25">
      <w:pPr>
        <w:pStyle w:val="FootnoteText"/>
        <w:rPr>
          <w:lang w:val="es-US"/>
        </w:rPr>
      </w:pPr>
      <w:r>
        <w:rPr>
          <w:rStyle w:val="FootnoteReference"/>
        </w:rPr>
        <w:footnoteRef/>
      </w:r>
      <w:r w:rsidRPr="006315D5">
        <w:rPr>
          <w:lang w:val="pt-BR"/>
        </w:rPr>
        <w:t xml:space="preserve"> </w:t>
      </w:r>
      <w:r w:rsidRPr="008F73EE">
        <w:rPr>
          <w:b/>
          <w:bCs/>
          <w:lang w:val="pt-BR"/>
        </w:rPr>
        <w:t>Anexo 13.</w:t>
      </w:r>
      <w:r w:rsidRPr="006315D5">
        <w:rPr>
          <w:lang w:val="pt-BR"/>
        </w:rPr>
        <w:t xml:space="preserve"> </w:t>
      </w:r>
      <w:r w:rsidRPr="002245BB">
        <w:rPr>
          <w:lang w:val="es-US"/>
        </w:rPr>
        <w:t xml:space="preserve">Acusación Particular, Luis Medardo Aguas </w:t>
      </w:r>
      <w:r>
        <w:rPr>
          <w:lang w:val="es-US"/>
        </w:rPr>
        <w:t>Acosta, 19 marzo 1997, a</w:t>
      </w:r>
      <w:r w:rsidRPr="007D52CE">
        <w:rPr>
          <w:lang w:val="es-US"/>
        </w:rPr>
        <w:t>nexo petición inicial 23.04.2003</w:t>
      </w:r>
      <w:r>
        <w:rPr>
          <w:lang w:val="es-US"/>
        </w:rPr>
        <w:t>.</w:t>
      </w:r>
    </w:p>
  </w:footnote>
  <w:footnote w:id="32">
    <w:p w14:paraId="3F28EB07" w14:textId="77777777" w:rsidR="00251E25" w:rsidRPr="002803D6" w:rsidRDefault="00251E25">
      <w:pPr>
        <w:pStyle w:val="FootnoteText"/>
        <w:rPr>
          <w:lang w:val="es-ES"/>
        </w:rPr>
      </w:pPr>
      <w:r>
        <w:rPr>
          <w:rStyle w:val="FootnoteReference"/>
        </w:rPr>
        <w:footnoteRef/>
      </w:r>
      <w:r w:rsidRPr="002803D6">
        <w:rPr>
          <w:lang w:val="es-ES"/>
        </w:rPr>
        <w:t xml:space="preserve"> </w:t>
      </w:r>
      <w:r>
        <w:rPr>
          <w:lang w:val="es-ES"/>
        </w:rPr>
        <w:t>Resolución no tenida a la vista, información extractada de</w:t>
      </w:r>
      <w:r w:rsidRPr="002803D6">
        <w:rPr>
          <w:lang w:val="es-ES"/>
        </w:rPr>
        <w:t>:</w:t>
      </w:r>
      <w:r>
        <w:rPr>
          <w:lang w:val="es-ES"/>
        </w:rPr>
        <w:t xml:space="preserve"> </w:t>
      </w:r>
      <w:r w:rsidRPr="00AD6995">
        <w:rPr>
          <w:b/>
          <w:bCs/>
          <w:lang w:val="es-ES"/>
        </w:rPr>
        <w:t>Anexo 14.</w:t>
      </w:r>
      <w:r>
        <w:rPr>
          <w:lang w:val="es-ES"/>
        </w:rPr>
        <w:t xml:space="preserve"> Auto Confirmación Apertura Plenario. Segunda Corte Distrital de la Policía Nacional. Guayaquil, 14 julio 1999, </w:t>
      </w:r>
      <w:r w:rsidRPr="00451382">
        <w:rPr>
          <w:lang w:val="es-US"/>
        </w:rPr>
        <w:t>anexo petición inicial 23.04.2003</w:t>
      </w:r>
      <w:r>
        <w:rPr>
          <w:lang w:val="es-US"/>
        </w:rPr>
        <w:t xml:space="preserve"> (“Confirmación apertura plenario 14.07.1999”)</w:t>
      </w:r>
      <w:r w:rsidRPr="00451382">
        <w:rPr>
          <w:lang w:val="es-US"/>
        </w:rPr>
        <w:t>.</w:t>
      </w:r>
    </w:p>
  </w:footnote>
  <w:footnote w:id="33">
    <w:p w14:paraId="1FCD319A" w14:textId="77777777" w:rsidR="00251E25" w:rsidRPr="00451382" w:rsidRDefault="00251E25">
      <w:pPr>
        <w:pStyle w:val="FootnoteText"/>
        <w:rPr>
          <w:lang w:val="es-US"/>
        </w:rPr>
      </w:pPr>
      <w:r>
        <w:rPr>
          <w:rStyle w:val="FootnoteReference"/>
        </w:rPr>
        <w:footnoteRef/>
      </w:r>
      <w:r w:rsidRPr="00451382">
        <w:rPr>
          <w:lang w:val="es-US"/>
        </w:rPr>
        <w:t xml:space="preserve"> </w:t>
      </w:r>
      <w:r w:rsidRPr="00ED5C36">
        <w:rPr>
          <w:b/>
          <w:bCs/>
          <w:lang w:val="es-US"/>
        </w:rPr>
        <w:t>Anexo 15.</w:t>
      </w:r>
      <w:r w:rsidRPr="00451382">
        <w:rPr>
          <w:lang w:val="es-US"/>
        </w:rPr>
        <w:t xml:space="preserve"> Comandancia IV Distrito P</w:t>
      </w:r>
      <w:r>
        <w:rPr>
          <w:lang w:val="es-US"/>
        </w:rPr>
        <w:t>olicía Nacional. Memo No. 404-CD, Guayaquil, 1 abril 1997</w:t>
      </w:r>
      <w:r w:rsidRPr="00451382">
        <w:rPr>
          <w:lang w:val="es-US"/>
        </w:rPr>
        <w:t>, anexo petición inicial 23.04.2003.</w:t>
      </w:r>
    </w:p>
  </w:footnote>
  <w:footnote w:id="34">
    <w:p w14:paraId="1DF4B46B" w14:textId="77777777" w:rsidR="00251E25" w:rsidRPr="00811A97" w:rsidRDefault="00251E25">
      <w:pPr>
        <w:pStyle w:val="FootnoteText"/>
        <w:rPr>
          <w:lang w:val="es-US"/>
        </w:rPr>
      </w:pPr>
      <w:r>
        <w:rPr>
          <w:rStyle w:val="FootnoteReference"/>
        </w:rPr>
        <w:footnoteRef/>
      </w:r>
      <w:r w:rsidRPr="00811A97">
        <w:rPr>
          <w:lang w:val="es-US"/>
        </w:rPr>
        <w:t xml:space="preserve"> </w:t>
      </w:r>
      <w:r w:rsidRPr="00ED5C36">
        <w:rPr>
          <w:b/>
          <w:bCs/>
          <w:lang w:val="es-US"/>
        </w:rPr>
        <w:t>Anexo 16.</w:t>
      </w:r>
      <w:r w:rsidRPr="00811A97">
        <w:rPr>
          <w:lang w:val="es-US"/>
        </w:rPr>
        <w:t xml:space="preserve"> Decisión Juez Quinto Penal. Machala, </w:t>
      </w:r>
      <w:r>
        <w:rPr>
          <w:lang w:val="es-US"/>
        </w:rPr>
        <w:t>2</w:t>
      </w:r>
      <w:r w:rsidRPr="00811A97">
        <w:rPr>
          <w:lang w:val="es-US"/>
        </w:rPr>
        <w:t xml:space="preserve"> abril 1997, causa penal No. 034-97</w:t>
      </w:r>
      <w:r>
        <w:rPr>
          <w:lang w:val="es-US"/>
        </w:rPr>
        <w:t xml:space="preserve"> (“</w:t>
      </w:r>
      <w:r w:rsidRPr="00D53DB7">
        <w:rPr>
          <w:lang w:val="es-US"/>
        </w:rPr>
        <w:t>Decisión Juez Quinto Penal 2.4.1997</w:t>
      </w:r>
      <w:r>
        <w:rPr>
          <w:lang w:val="es-US"/>
        </w:rPr>
        <w:t xml:space="preserve">”), </w:t>
      </w:r>
      <w:r w:rsidRPr="00811A97">
        <w:rPr>
          <w:lang w:val="es-US"/>
        </w:rPr>
        <w:t>anexo petición inicial 23.04.2003.</w:t>
      </w:r>
    </w:p>
  </w:footnote>
  <w:footnote w:id="35">
    <w:p w14:paraId="4FBA2DAF" w14:textId="77777777" w:rsidR="00251E25" w:rsidRPr="00E15E71" w:rsidRDefault="00251E25">
      <w:pPr>
        <w:pStyle w:val="FootnoteText"/>
        <w:rPr>
          <w:lang w:val="es-US"/>
        </w:rPr>
      </w:pPr>
      <w:r>
        <w:rPr>
          <w:rStyle w:val="FootnoteReference"/>
        </w:rPr>
        <w:footnoteRef/>
      </w:r>
      <w:r w:rsidRPr="00E15E71">
        <w:rPr>
          <w:lang w:val="es-US"/>
        </w:rPr>
        <w:t xml:space="preserve"> </w:t>
      </w:r>
      <w:r w:rsidRPr="00ED5C36">
        <w:rPr>
          <w:b/>
          <w:bCs/>
          <w:lang w:val="es-US"/>
        </w:rPr>
        <w:t>Anexo 17.</w:t>
      </w:r>
      <w:r w:rsidRPr="00E15E71">
        <w:rPr>
          <w:lang w:val="es-US"/>
        </w:rPr>
        <w:t xml:space="preserve"> </w:t>
      </w:r>
      <w:r>
        <w:rPr>
          <w:lang w:val="es-US"/>
        </w:rPr>
        <w:t>E</w:t>
      </w:r>
      <w:r w:rsidRPr="00E15E71">
        <w:rPr>
          <w:lang w:val="es-US"/>
        </w:rPr>
        <w:t>scrito</w:t>
      </w:r>
      <w:r>
        <w:rPr>
          <w:lang w:val="es-US"/>
        </w:rPr>
        <w:t>s</w:t>
      </w:r>
      <w:r w:rsidRPr="00E15E71">
        <w:rPr>
          <w:lang w:val="es-US"/>
        </w:rPr>
        <w:t xml:space="preserve"> ante J</w:t>
      </w:r>
      <w:r>
        <w:rPr>
          <w:lang w:val="es-US"/>
        </w:rPr>
        <w:t xml:space="preserve">uez Quinto Penal El Oro, </w:t>
      </w:r>
      <w:r w:rsidRPr="00E15E71">
        <w:rPr>
          <w:lang w:val="es-US"/>
        </w:rPr>
        <w:t>Luis Medardo Aguas Acosta,</w:t>
      </w:r>
      <w:r>
        <w:rPr>
          <w:lang w:val="es-US"/>
        </w:rPr>
        <w:t xml:space="preserve"> </w:t>
      </w:r>
      <w:r w:rsidRPr="00526B52">
        <w:rPr>
          <w:lang w:val="es-US"/>
        </w:rPr>
        <w:t>anexo</w:t>
      </w:r>
      <w:r>
        <w:rPr>
          <w:lang w:val="es-US"/>
        </w:rPr>
        <w:t>s</w:t>
      </w:r>
      <w:r w:rsidRPr="00526B52">
        <w:rPr>
          <w:lang w:val="es-US"/>
        </w:rPr>
        <w:t xml:space="preserve"> petición inicial 23.04.2003.</w:t>
      </w:r>
    </w:p>
  </w:footnote>
  <w:footnote w:id="36">
    <w:p w14:paraId="347770FC" w14:textId="77777777" w:rsidR="00251E25" w:rsidRPr="003C47D2" w:rsidRDefault="00251E25">
      <w:pPr>
        <w:pStyle w:val="FootnoteText"/>
        <w:rPr>
          <w:lang w:val="es-US"/>
        </w:rPr>
      </w:pPr>
      <w:r>
        <w:rPr>
          <w:rStyle w:val="FootnoteReference"/>
        </w:rPr>
        <w:footnoteRef/>
      </w:r>
      <w:r w:rsidRPr="003C47D2">
        <w:rPr>
          <w:lang w:val="es-US"/>
        </w:rPr>
        <w:t xml:space="preserve"> </w:t>
      </w:r>
      <w:r w:rsidRPr="00356272">
        <w:rPr>
          <w:b/>
          <w:bCs/>
          <w:lang w:val="es-US"/>
        </w:rPr>
        <w:t>Anexo 18.</w:t>
      </w:r>
      <w:r w:rsidRPr="003C47D2">
        <w:rPr>
          <w:lang w:val="es-US"/>
        </w:rPr>
        <w:t xml:space="preserve"> Decisión Juez Quinto Penal. </w:t>
      </w:r>
      <w:r w:rsidRPr="0027308F">
        <w:rPr>
          <w:lang w:val="es-US"/>
        </w:rPr>
        <w:t xml:space="preserve">Machala, 8 abril 1997; </w:t>
      </w:r>
      <w:r w:rsidRPr="004E31BD">
        <w:rPr>
          <w:b/>
          <w:bCs/>
          <w:lang w:val="es-US"/>
        </w:rPr>
        <w:t>Anexo 19.</w:t>
      </w:r>
      <w:r w:rsidRPr="0027308F">
        <w:rPr>
          <w:lang w:val="es-US"/>
        </w:rPr>
        <w:t xml:space="preserve"> </w:t>
      </w:r>
      <w:r w:rsidRPr="003C47D2">
        <w:rPr>
          <w:lang w:val="es-US"/>
        </w:rPr>
        <w:t xml:space="preserve">Decisión Juez Quinto Penal. Machala, 16 abril 1997; </w:t>
      </w:r>
      <w:r w:rsidRPr="004750E3">
        <w:rPr>
          <w:b/>
          <w:bCs/>
          <w:lang w:val="es-US"/>
        </w:rPr>
        <w:t>Anexo 20.</w:t>
      </w:r>
      <w:r w:rsidRPr="003C47D2">
        <w:rPr>
          <w:lang w:val="es-US"/>
        </w:rPr>
        <w:t xml:space="preserve"> </w:t>
      </w:r>
      <w:r w:rsidRPr="00811A97">
        <w:rPr>
          <w:lang w:val="es-US"/>
        </w:rPr>
        <w:t>Decisión Juez Quinto Penal. Machala, 11 abril 1997</w:t>
      </w:r>
      <w:r w:rsidRPr="003C47D2">
        <w:rPr>
          <w:lang w:val="es-US"/>
        </w:rPr>
        <w:t>, anexos petición inicial 23.04.2003.</w:t>
      </w:r>
    </w:p>
  </w:footnote>
  <w:footnote w:id="37">
    <w:p w14:paraId="6536484A" w14:textId="77777777" w:rsidR="00251E25" w:rsidRPr="00122045" w:rsidRDefault="00251E25" w:rsidP="00EE1050">
      <w:pPr>
        <w:pStyle w:val="FootnoteText"/>
        <w:rPr>
          <w:lang w:val="es-US"/>
        </w:rPr>
      </w:pPr>
      <w:r>
        <w:rPr>
          <w:rStyle w:val="FootnoteReference"/>
        </w:rPr>
        <w:footnoteRef/>
      </w:r>
      <w:r w:rsidRPr="003C47D2">
        <w:rPr>
          <w:lang w:val="es-US"/>
        </w:rPr>
        <w:t xml:space="preserve"> </w:t>
      </w:r>
      <w:r w:rsidRPr="0045798F">
        <w:rPr>
          <w:b/>
          <w:bCs/>
          <w:lang w:val="es-US"/>
        </w:rPr>
        <w:t>Anexo 21.</w:t>
      </w:r>
      <w:r w:rsidRPr="003C47D2">
        <w:rPr>
          <w:lang w:val="es-US"/>
        </w:rPr>
        <w:t xml:space="preserve"> </w:t>
      </w:r>
      <w:r w:rsidRPr="00122045">
        <w:rPr>
          <w:lang w:val="es-US"/>
        </w:rPr>
        <w:t>Fallo. Tribunal Constitucional. Caso 154-97-RA. Quito, 28 septiembre 1998</w:t>
      </w:r>
      <w:r>
        <w:rPr>
          <w:lang w:val="es-US"/>
        </w:rPr>
        <w:t>, a</w:t>
      </w:r>
      <w:r w:rsidRPr="00122045">
        <w:rPr>
          <w:lang w:val="es-US"/>
        </w:rPr>
        <w:t>nexo petición inicial 23.04.2003</w:t>
      </w:r>
      <w:r>
        <w:rPr>
          <w:lang w:val="es-US"/>
        </w:rPr>
        <w:t xml:space="preserve"> (“Fallo Tribunal Constitucional 28.09.1998”)</w:t>
      </w:r>
      <w:r w:rsidRPr="00122045">
        <w:rPr>
          <w:lang w:val="es-US"/>
        </w:rPr>
        <w:t>.</w:t>
      </w:r>
    </w:p>
  </w:footnote>
  <w:footnote w:id="38">
    <w:p w14:paraId="6E80296E" w14:textId="77777777" w:rsidR="00251E25" w:rsidRPr="0027308F" w:rsidRDefault="00251E25">
      <w:pPr>
        <w:pStyle w:val="FootnoteText"/>
        <w:rPr>
          <w:lang w:val="es-US"/>
        </w:rPr>
      </w:pPr>
      <w:r>
        <w:rPr>
          <w:rStyle w:val="FootnoteReference"/>
        </w:rPr>
        <w:footnoteRef/>
      </w:r>
      <w:r w:rsidRPr="0027308F">
        <w:rPr>
          <w:lang w:val="es-US"/>
        </w:rPr>
        <w:t xml:space="preserve"> </w:t>
      </w:r>
      <w:r w:rsidRPr="0045798F">
        <w:rPr>
          <w:b/>
          <w:bCs/>
          <w:lang w:val="es-US"/>
        </w:rPr>
        <w:t>Anexo 6.</w:t>
      </w:r>
      <w:r w:rsidRPr="0027308F">
        <w:rPr>
          <w:lang w:val="es-US"/>
        </w:rPr>
        <w:t xml:space="preserve"> Auto Cabeza de Proceso 14.04.1997, fojas 95vta.</w:t>
      </w:r>
    </w:p>
  </w:footnote>
  <w:footnote w:id="39">
    <w:p w14:paraId="45C2460A" w14:textId="77777777" w:rsidR="00251E25" w:rsidRPr="006345D1" w:rsidRDefault="00251E25">
      <w:pPr>
        <w:pStyle w:val="FootnoteText"/>
        <w:rPr>
          <w:lang w:val="es-US"/>
        </w:rPr>
      </w:pPr>
      <w:r>
        <w:rPr>
          <w:rStyle w:val="FootnoteReference"/>
        </w:rPr>
        <w:footnoteRef/>
      </w:r>
      <w:r w:rsidRPr="006345D1">
        <w:rPr>
          <w:lang w:val="es-US"/>
        </w:rPr>
        <w:t xml:space="preserve"> Citando a declarar al SgtoP. </w:t>
      </w:r>
      <w:r>
        <w:rPr>
          <w:lang w:val="es-US"/>
        </w:rPr>
        <w:t>José Evergisto Salazar y el CaboS. Julio Alcivar Sandoval Torres.</w:t>
      </w:r>
    </w:p>
  </w:footnote>
  <w:footnote w:id="40">
    <w:p w14:paraId="4905C8D2" w14:textId="77777777" w:rsidR="00251E25" w:rsidRPr="006345D1" w:rsidRDefault="00251E25">
      <w:pPr>
        <w:pStyle w:val="FootnoteText"/>
        <w:rPr>
          <w:lang w:val="es-US"/>
        </w:rPr>
      </w:pPr>
      <w:r>
        <w:rPr>
          <w:rStyle w:val="FootnoteReference"/>
        </w:rPr>
        <w:footnoteRef/>
      </w:r>
      <w:r w:rsidRPr="006345D1">
        <w:rPr>
          <w:lang w:val="es-US"/>
        </w:rPr>
        <w:t xml:space="preserve"> C</w:t>
      </w:r>
      <w:r>
        <w:rPr>
          <w:lang w:val="es-US"/>
        </w:rPr>
        <w:t>itando a declarar a</w:t>
      </w:r>
      <w:r w:rsidRPr="006345D1">
        <w:rPr>
          <w:lang w:val="es-US"/>
        </w:rPr>
        <w:t>l S</w:t>
      </w:r>
      <w:r>
        <w:rPr>
          <w:lang w:val="es-US"/>
        </w:rPr>
        <w:t>gtoS</w:t>
      </w:r>
      <w:r w:rsidRPr="006345D1">
        <w:rPr>
          <w:lang w:val="es-US"/>
        </w:rPr>
        <w:t>.</w:t>
      </w:r>
      <w:r>
        <w:rPr>
          <w:lang w:val="es-US"/>
        </w:rPr>
        <w:t xml:space="preserve"> Julio Gilberto Fajardo Cabrera, CboS. Olivar Estalven Quichimbo, Subtntes. Henry Omar Martínez Pico y Andrés Ramiro Fuentes, CboS. Pedro Elizalde y P.N. Mario Germán Luisa Gallo. </w:t>
      </w:r>
      <w:r w:rsidRPr="006345D1">
        <w:rPr>
          <w:lang w:val="es-US"/>
        </w:rPr>
        <w:t xml:space="preserve"> </w:t>
      </w:r>
    </w:p>
  </w:footnote>
  <w:footnote w:id="41">
    <w:p w14:paraId="7DF5FC4C" w14:textId="77777777" w:rsidR="00251E25" w:rsidRPr="006345D1" w:rsidRDefault="00251E25">
      <w:pPr>
        <w:pStyle w:val="FootnoteText"/>
        <w:rPr>
          <w:lang w:val="es-US"/>
        </w:rPr>
      </w:pPr>
      <w:r>
        <w:rPr>
          <w:rStyle w:val="FootnoteReference"/>
        </w:rPr>
        <w:footnoteRef/>
      </w:r>
      <w:r w:rsidRPr="006345D1">
        <w:rPr>
          <w:lang w:val="es-US"/>
        </w:rPr>
        <w:t xml:space="preserve"> Citando a declarar a Sofía Serrano Pérez, Martha Judith Zambrano Cabo, Paquita del Carmen Vivanco, Luis Guillermo Barnuevo </w:t>
      </w:r>
      <w:r>
        <w:rPr>
          <w:lang w:val="es-US"/>
        </w:rPr>
        <w:t>Romero, Segundo Higinio Belduma Belduma, Luis Guillermo Espinoza y José Montaño</w:t>
      </w:r>
    </w:p>
  </w:footnote>
  <w:footnote w:id="42">
    <w:p w14:paraId="60DCF1E8" w14:textId="77777777" w:rsidR="00251E25" w:rsidRPr="00102746" w:rsidRDefault="00251E25">
      <w:pPr>
        <w:pStyle w:val="FootnoteText"/>
        <w:rPr>
          <w:lang w:val="pt-BR"/>
        </w:rPr>
      </w:pPr>
      <w:r>
        <w:rPr>
          <w:rStyle w:val="FootnoteReference"/>
        </w:rPr>
        <w:footnoteRef/>
      </w:r>
      <w:r w:rsidRPr="00102746">
        <w:rPr>
          <w:lang w:val="pt-BR"/>
        </w:rPr>
        <w:t xml:space="preserve"> </w:t>
      </w:r>
      <w:r w:rsidRPr="0045798F">
        <w:rPr>
          <w:b/>
          <w:bCs/>
          <w:lang w:val="pt-BR"/>
        </w:rPr>
        <w:t>Anexo 6.</w:t>
      </w:r>
      <w:r w:rsidRPr="00102746">
        <w:rPr>
          <w:lang w:val="pt-BR"/>
        </w:rPr>
        <w:t xml:space="preserve"> Auto Cabeza de Proceso 14.04.1997, fojas 95vta.</w:t>
      </w:r>
    </w:p>
  </w:footnote>
  <w:footnote w:id="43">
    <w:p w14:paraId="17394CB1" w14:textId="77777777" w:rsidR="00251E25" w:rsidRPr="006105A8" w:rsidRDefault="00251E25">
      <w:pPr>
        <w:pStyle w:val="FootnoteText"/>
        <w:rPr>
          <w:lang w:val="es-US"/>
        </w:rPr>
      </w:pPr>
      <w:r>
        <w:rPr>
          <w:rStyle w:val="FootnoteReference"/>
        </w:rPr>
        <w:footnoteRef/>
      </w:r>
      <w:r w:rsidRPr="00102746">
        <w:rPr>
          <w:lang w:val="pt-BR"/>
        </w:rPr>
        <w:t xml:space="preserve"> </w:t>
      </w:r>
      <w:r w:rsidRPr="0045798F">
        <w:rPr>
          <w:b/>
          <w:bCs/>
          <w:lang w:val="pt-BR"/>
        </w:rPr>
        <w:t>Anexo 22.</w:t>
      </w:r>
      <w:r w:rsidRPr="00102746">
        <w:rPr>
          <w:lang w:val="pt-BR"/>
        </w:rPr>
        <w:t xml:space="preserve"> </w:t>
      </w:r>
      <w:r w:rsidRPr="003C47D2">
        <w:rPr>
          <w:lang w:val="es-US"/>
        </w:rPr>
        <w:t>Juzgado Segundo IV Distrito Pol</w:t>
      </w:r>
      <w:r>
        <w:rPr>
          <w:lang w:val="es-US"/>
        </w:rPr>
        <w:t xml:space="preserve">icía Nacional. Oficio No. 97-722-JII-CD, Guayaquil, 15 abril 1997; y </w:t>
      </w:r>
      <w:r w:rsidRPr="0045798F">
        <w:rPr>
          <w:b/>
          <w:bCs/>
          <w:lang w:val="es-US"/>
        </w:rPr>
        <w:t>Anexo 23.</w:t>
      </w:r>
      <w:r>
        <w:rPr>
          <w:lang w:val="es-US"/>
        </w:rPr>
        <w:t xml:space="preserve"> </w:t>
      </w:r>
      <w:r w:rsidRPr="006105A8">
        <w:rPr>
          <w:lang w:val="es-US"/>
        </w:rPr>
        <w:t xml:space="preserve">Decisión Juez Quinto Penal. </w:t>
      </w:r>
      <w:r w:rsidRPr="003C47D2">
        <w:rPr>
          <w:lang w:val="es-US"/>
        </w:rPr>
        <w:t xml:space="preserve">Machala, 16 abril 1997, causa penal No. 034-97, </w:t>
      </w:r>
      <w:r>
        <w:rPr>
          <w:lang w:val="es-US"/>
        </w:rPr>
        <w:t xml:space="preserve">ambos </w:t>
      </w:r>
      <w:r w:rsidRPr="003C47D2">
        <w:rPr>
          <w:lang w:val="es-US"/>
        </w:rPr>
        <w:t>anexo</w:t>
      </w:r>
      <w:r>
        <w:rPr>
          <w:lang w:val="es-US"/>
        </w:rPr>
        <w:t>s</w:t>
      </w:r>
      <w:r w:rsidRPr="003C47D2">
        <w:rPr>
          <w:lang w:val="es-US"/>
        </w:rPr>
        <w:t xml:space="preserve"> petición inicial 23.04.2003.</w:t>
      </w:r>
    </w:p>
  </w:footnote>
  <w:footnote w:id="44">
    <w:p w14:paraId="0C3FDC00" w14:textId="77777777" w:rsidR="00251E25" w:rsidRPr="00420730" w:rsidRDefault="00251E25">
      <w:pPr>
        <w:pStyle w:val="FootnoteText"/>
        <w:rPr>
          <w:lang w:val="es-US"/>
        </w:rPr>
      </w:pPr>
      <w:r>
        <w:rPr>
          <w:rStyle w:val="FootnoteReference"/>
        </w:rPr>
        <w:footnoteRef/>
      </w:r>
      <w:r w:rsidRPr="00420730">
        <w:rPr>
          <w:lang w:val="es-US"/>
        </w:rPr>
        <w:t xml:space="preserve"> </w:t>
      </w:r>
      <w:r w:rsidRPr="0045798F">
        <w:rPr>
          <w:b/>
          <w:bCs/>
          <w:lang w:val="es-US"/>
        </w:rPr>
        <w:t>Anexo 24.</w:t>
      </w:r>
      <w:r w:rsidRPr="006105A8">
        <w:rPr>
          <w:lang w:val="es-US"/>
        </w:rPr>
        <w:t xml:space="preserve"> </w:t>
      </w:r>
      <w:r>
        <w:rPr>
          <w:lang w:val="es-US"/>
        </w:rPr>
        <w:t xml:space="preserve">Decisión </w:t>
      </w:r>
      <w:r w:rsidRPr="006105A8">
        <w:rPr>
          <w:lang w:val="es-US"/>
        </w:rPr>
        <w:t>Juzgado Segundo IV</w:t>
      </w:r>
      <w:r>
        <w:rPr>
          <w:lang w:val="es-US"/>
        </w:rPr>
        <w:t xml:space="preserve"> Distrito Policía Nacional. Guayaquil, 23 abril 1997</w:t>
      </w:r>
      <w:r w:rsidRPr="00420730">
        <w:rPr>
          <w:lang w:val="es-US"/>
        </w:rPr>
        <w:t>, anexo petición inicial 23.04.2003.</w:t>
      </w:r>
    </w:p>
  </w:footnote>
  <w:footnote w:id="45">
    <w:p w14:paraId="08E79A3C" w14:textId="77777777" w:rsidR="00251E25" w:rsidRPr="000B07A5" w:rsidRDefault="00251E25" w:rsidP="00CD6F68">
      <w:pPr>
        <w:pStyle w:val="FootnoteText"/>
        <w:rPr>
          <w:lang w:val="es-ES"/>
        </w:rPr>
      </w:pPr>
      <w:r>
        <w:rPr>
          <w:rStyle w:val="FootnoteReference"/>
        </w:rPr>
        <w:footnoteRef/>
      </w:r>
      <w:r w:rsidRPr="000B07A5">
        <w:rPr>
          <w:lang w:val="es-ES"/>
        </w:rPr>
        <w:t xml:space="preserve"> </w:t>
      </w:r>
      <w:r>
        <w:rPr>
          <w:lang w:val="es-ES"/>
        </w:rPr>
        <w:t>Resolución no tenida a la vista, información extractada de</w:t>
      </w:r>
      <w:r w:rsidRPr="002803D6">
        <w:rPr>
          <w:lang w:val="es-ES"/>
        </w:rPr>
        <w:t>:</w:t>
      </w:r>
      <w:r>
        <w:rPr>
          <w:lang w:val="es-ES"/>
        </w:rPr>
        <w:t xml:space="preserve"> </w:t>
      </w:r>
      <w:r w:rsidRPr="0045798F">
        <w:rPr>
          <w:b/>
          <w:bCs/>
          <w:lang w:val="es-ES"/>
        </w:rPr>
        <w:t>Anexo 14.</w:t>
      </w:r>
      <w:r>
        <w:rPr>
          <w:lang w:val="es-ES"/>
        </w:rPr>
        <w:t xml:space="preserve"> </w:t>
      </w:r>
      <w:r>
        <w:rPr>
          <w:lang w:val="es-US"/>
        </w:rPr>
        <w:t>Confirmación apertura plenario 14.07.1999.</w:t>
      </w:r>
    </w:p>
  </w:footnote>
  <w:footnote w:id="46">
    <w:p w14:paraId="3814A60C" w14:textId="77777777" w:rsidR="00251E25" w:rsidRPr="0027308F" w:rsidRDefault="00251E25">
      <w:pPr>
        <w:pStyle w:val="FootnoteText"/>
        <w:rPr>
          <w:lang w:val="pt-BR"/>
        </w:rPr>
      </w:pPr>
      <w:r>
        <w:rPr>
          <w:rStyle w:val="FootnoteReference"/>
        </w:rPr>
        <w:footnoteRef/>
      </w:r>
      <w:r w:rsidRPr="004C5D66">
        <w:rPr>
          <w:lang w:val="es-US"/>
        </w:rPr>
        <w:t xml:space="preserve"> </w:t>
      </w:r>
      <w:r w:rsidRPr="008777C3">
        <w:rPr>
          <w:b/>
          <w:bCs/>
          <w:lang w:val="es-US"/>
        </w:rPr>
        <w:t>Anexo 25.</w:t>
      </w:r>
      <w:r w:rsidRPr="004C5D66">
        <w:rPr>
          <w:lang w:val="es-US"/>
        </w:rPr>
        <w:t xml:space="preserve"> A</w:t>
      </w:r>
      <w:r>
        <w:rPr>
          <w:lang w:val="es-US"/>
        </w:rPr>
        <w:t>cta</w:t>
      </w:r>
      <w:r w:rsidRPr="004C5D66">
        <w:rPr>
          <w:lang w:val="es-US"/>
        </w:rPr>
        <w:t xml:space="preserve"> de A</w:t>
      </w:r>
      <w:r>
        <w:rPr>
          <w:lang w:val="es-US"/>
        </w:rPr>
        <w:t>udiencia</w:t>
      </w:r>
      <w:r w:rsidRPr="004C5D66">
        <w:rPr>
          <w:lang w:val="es-US"/>
        </w:rPr>
        <w:t xml:space="preserve">. Juzgado Segundo IV Distrito Policía Nacional. </w:t>
      </w:r>
      <w:r w:rsidRPr="0027308F">
        <w:rPr>
          <w:lang w:val="pt-BR"/>
        </w:rPr>
        <w:t>Guayaquil, 24 abril 1997, anexo escrito Estado 18.02.2005.</w:t>
      </w:r>
    </w:p>
  </w:footnote>
  <w:footnote w:id="47">
    <w:p w14:paraId="0B32E152" w14:textId="77777777" w:rsidR="00251E25" w:rsidRPr="0027308F" w:rsidRDefault="00251E25">
      <w:pPr>
        <w:pStyle w:val="FootnoteText"/>
        <w:rPr>
          <w:lang w:val="pt-BR"/>
        </w:rPr>
      </w:pPr>
      <w:r>
        <w:rPr>
          <w:rStyle w:val="FootnoteReference"/>
        </w:rPr>
        <w:footnoteRef/>
      </w:r>
      <w:r w:rsidRPr="0027308F">
        <w:rPr>
          <w:lang w:val="pt-BR"/>
        </w:rPr>
        <w:t xml:space="preserve"> </w:t>
      </w:r>
      <w:r w:rsidRPr="008777C3">
        <w:rPr>
          <w:b/>
          <w:bCs/>
          <w:lang w:val="pt-BR"/>
        </w:rPr>
        <w:t>Anexo 26.</w:t>
      </w:r>
      <w:r w:rsidRPr="0027308F">
        <w:rPr>
          <w:lang w:val="pt-BR"/>
        </w:rPr>
        <w:t xml:space="preserve"> Acta de Audiencia. </w:t>
      </w:r>
      <w:r w:rsidRPr="00F412D5">
        <w:rPr>
          <w:lang w:val="es-US"/>
        </w:rPr>
        <w:t xml:space="preserve">Juzgado Segundo IV Distrito Policía Nacional. </w:t>
      </w:r>
      <w:r w:rsidRPr="0027308F">
        <w:rPr>
          <w:lang w:val="pt-BR"/>
        </w:rPr>
        <w:t>Guayaquil, 24 abril 1997, anexo escrito Estado 18.02.2005.</w:t>
      </w:r>
    </w:p>
  </w:footnote>
  <w:footnote w:id="48">
    <w:p w14:paraId="39FABACA" w14:textId="77777777" w:rsidR="00251E25" w:rsidRPr="00D506F5" w:rsidRDefault="00251E25">
      <w:pPr>
        <w:pStyle w:val="FootnoteText"/>
        <w:rPr>
          <w:lang w:val="es-US"/>
        </w:rPr>
      </w:pPr>
      <w:r>
        <w:rPr>
          <w:rStyle w:val="FootnoteReference"/>
        </w:rPr>
        <w:footnoteRef/>
      </w:r>
      <w:r w:rsidRPr="0027308F">
        <w:rPr>
          <w:lang w:val="pt-BR"/>
        </w:rPr>
        <w:t xml:space="preserve"> </w:t>
      </w:r>
      <w:r w:rsidRPr="008777C3">
        <w:rPr>
          <w:b/>
          <w:bCs/>
          <w:lang w:val="pt-BR"/>
        </w:rPr>
        <w:t>Anexo 27.</w:t>
      </w:r>
      <w:r w:rsidRPr="0027308F">
        <w:rPr>
          <w:lang w:val="pt-BR"/>
        </w:rPr>
        <w:t xml:space="preserve"> Acta de Audiencia. </w:t>
      </w:r>
      <w:r w:rsidRPr="00D506F5">
        <w:rPr>
          <w:lang w:val="es-US"/>
        </w:rPr>
        <w:t xml:space="preserve">Juzgado Segundo IV Distrito Policía Nacional. Guayaquil, </w:t>
      </w:r>
      <w:r>
        <w:rPr>
          <w:lang w:val="es-US"/>
        </w:rPr>
        <w:t>18</w:t>
      </w:r>
      <w:r w:rsidRPr="00D506F5">
        <w:rPr>
          <w:lang w:val="es-US"/>
        </w:rPr>
        <w:t xml:space="preserve"> </w:t>
      </w:r>
      <w:r>
        <w:rPr>
          <w:lang w:val="es-US"/>
        </w:rPr>
        <w:t xml:space="preserve">marzo 1998 y </w:t>
      </w:r>
      <w:r w:rsidRPr="008777C3">
        <w:rPr>
          <w:b/>
          <w:bCs/>
          <w:lang w:val="es-US"/>
        </w:rPr>
        <w:t>Anexo 28.</w:t>
      </w:r>
      <w:r w:rsidRPr="00CD6F68">
        <w:rPr>
          <w:lang w:val="es-US"/>
        </w:rPr>
        <w:t xml:space="preserve"> Acta de Audiencia. Juzgado Segundo IV Distrito Policía Nacional. Guayaquil, </w:t>
      </w:r>
      <w:r>
        <w:rPr>
          <w:lang w:val="es-US"/>
        </w:rPr>
        <w:t>29 junio</w:t>
      </w:r>
      <w:r w:rsidRPr="00CD6F68">
        <w:rPr>
          <w:lang w:val="es-US"/>
        </w:rPr>
        <w:t xml:space="preserve"> 1998</w:t>
      </w:r>
      <w:r w:rsidRPr="00D506F5">
        <w:rPr>
          <w:lang w:val="es-US"/>
        </w:rPr>
        <w:t>,</w:t>
      </w:r>
      <w:r>
        <w:rPr>
          <w:lang w:val="es-US"/>
        </w:rPr>
        <w:t xml:space="preserve"> ambos</w:t>
      </w:r>
      <w:r w:rsidRPr="00D506F5">
        <w:rPr>
          <w:lang w:val="es-US"/>
        </w:rPr>
        <w:t xml:space="preserve"> anexo</w:t>
      </w:r>
      <w:r>
        <w:rPr>
          <w:lang w:val="es-US"/>
        </w:rPr>
        <w:t>s</w:t>
      </w:r>
      <w:r w:rsidRPr="00D506F5">
        <w:rPr>
          <w:lang w:val="es-US"/>
        </w:rPr>
        <w:t xml:space="preserve"> escrito Estado 18.02.2005.</w:t>
      </w:r>
    </w:p>
  </w:footnote>
  <w:footnote w:id="49">
    <w:p w14:paraId="62DCB378" w14:textId="77777777" w:rsidR="00251E25" w:rsidRPr="00CD6F68" w:rsidRDefault="00251E25">
      <w:pPr>
        <w:pStyle w:val="FootnoteText"/>
        <w:rPr>
          <w:lang w:val="es-US"/>
        </w:rPr>
      </w:pPr>
      <w:r>
        <w:rPr>
          <w:rStyle w:val="FootnoteReference"/>
        </w:rPr>
        <w:footnoteRef/>
      </w:r>
      <w:r w:rsidRPr="00CD6F68">
        <w:rPr>
          <w:lang w:val="es-US"/>
        </w:rPr>
        <w:t xml:space="preserve"> </w:t>
      </w:r>
      <w:r w:rsidRPr="00B33894">
        <w:rPr>
          <w:b/>
          <w:bCs/>
          <w:lang w:val="es-US"/>
        </w:rPr>
        <w:t>Anexo 29.</w:t>
      </w:r>
      <w:r w:rsidRPr="00CD6F68">
        <w:rPr>
          <w:lang w:val="es-US"/>
        </w:rPr>
        <w:t xml:space="preserve"> Acta de Audiencia. Juzgado Segundo IV Distrito Policía Nacional. Guayaquil, </w:t>
      </w:r>
      <w:r>
        <w:rPr>
          <w:lang w:val="es-US"/>
        </w:rPr>
        <w:t>29 junio</w:t>
      </w:r>
      <w:r w:rsidRPr="00CD6F68">
        <w:rPr>
          <w:lang w:val="es-US"/>
        </w:rPr>
        <w:t xml:space="preserve"> 1998</w:t>
      </w:r>
      <w:r w:rsidRPr="00D506F5">
        <w:rPr>
          <w:lang w:val="es-US"/>
        </w:rPr>
        <w:t>,</w:t>
      </w:r>
      <w:r>
        <w:rPr>
          <w:lang w:val="es-US"/>
        </w:rPr>
        <w:t xml:space="preserve"> </w:t>
      </w:r>
      <w:r w:rsidRPr="00D506F5">
        <w:rPr>
          <w:lang w:val="es-US"/>
        </w:rPr>
        <w:t>anexo escrito Estado 18.02.2005.</w:t>
      </w:r>
    </w:p>
  </w:footnote>
  <w:footnote w:id="50">
    <w:p w14:paraId="47DDE580" w14:textId="77777777" w:rsidR="00251E25" w:rsidRPr="00C22764" w:rsidRDefault="00251E25">
      <w:pPr>
        <w:pStyle w:val="FootnoteText"/>
        <w:rPr>
          <w:lang w:val="es-US"/>
        </w:rPr>
      </w:pPr>
      <w:r>
        <w:rPr>
          <w:rStyle w:val="FootnoteReference"/>
        </w:rPr>
        <w:footnoteRef/>
      </w:r>
      <w:r w:rsidRPr="00C22764">
        <w:rPr>
          <w:lang w:val="es-US"/>
        </w:rPr>
        <w:t xml:space="preserve"> </w:t>
      </w:r>
      <w:r w:rsidRPr="00B33894">
        <w:rPr>
          <w:b/>
          <w:bCs/>
          <w:lang w:val="es-US"/>
        </w:rPr>
        <w:t>Anexo 30.</w:t>
      </w:r>
      <w:r w:rsidRPr="00C22764">
        <w:rPr>
          <w:lang w:val="es-US"/>
        </w:rPr>
        <w:t xml:space="preserve"> Acta de Audiencia. Juzgado Segundo IV Distrito Policía Nacional. Guayaquil, </w:t>
      </w:r>
      <w:r>
        <w:rPr>
          <w:lang w:val="es-US"/>
        </w:rPr>
        <w:t>8</w:t>
      </w:r>
      <w:r w:rsidRPr="00C22764">
        <w:rPr>
          <w:lang w:val="es-US"/>
        </w:rPr>
        <w:t xml:space="preserve"> </w:t>
      </w:r>
      <w:r>
        <w:rPr>
          <w:lang w:val="es-US"/>
        </w:rPr>
        <w:t>mayo 1997</w:t>
      </w:r>
      <w:r w:rsidRPr="00C22764">
        <w:rPr>
          <w:lang w:val="es-US"/>
        </w:rPr>
        <w:t>, anexo escrito Estado 18.02.2005.</w:t>
      </w:r>
    </w:p>
  </w:footnote>
  <w:footnote w:id="51">
    <w:p w14:paraId="26BA3059" w14:textId="77777777" w:rsidR="00251E25" w:rsidRPr="00C22764" w:rsidRDefault="00251E25">
      <w:pPr>
        <w:pStyle w:val="FootnoteText"/>
        <w:rPr>
          <w:lang w:val="es-US"/>
        </w:rPr>
      </w:pPr>
      <w:r>
        <w:rPr>
          <w:rStyle w:val="FootnoteReference"/>
        </w:rPr>
        <w:footnoteRef/>
      </w:r>
      <w:r w:rsidRPr="00C22764">
        <w:rPr>
          <w:lang w:val="es-US"/>
        </w:rPr>
        <w:t xml:space="preserve"> </w:t>
      </w:r>
      <w:r w:rsidRPr="00B33894">
        <w:rPr>
          <w:b/>
          <w:bCs/>
          <w:lang w:val="es-US"/>
        </w:rPr>
        <w:t>Anexo 31.</w:t>
      </w:r>
      <w:r w:rsidRPr="00CD6F68">
        <w:rPr>
          <w:lang w:val="es-US"/>
        </w:rPr>
        <w:t xml:space="preserve"> Acta de Audiencia. Juzgado Segundo IV Distrito Policía Nacional. Guayaquil, </w:t>
      </w:r>
      <w:r>
        <w:rPr>
          <w:lang w:val="es-US"/>
        </w:rPr>
        <w:t>12 mayo 1997</w:t>
      </w:r>
      <w:r w:rsidRPr="00D506F5">
        <w:rPr>
          <w:lang w:val="es-US"/>
        </w:rPr>
        <w:t>,</w:t>
      </w:r>
      <w:r>
        <w:rPr>
          <w:lang w:val="es-US"/>
        </w:rPr>
        <w:t xml:space="preserve"> </w:t>
      </w:r>
      <w:r w:rsidRPr="00D506F5">
        <w:rPr>
          <w:lang w:val="es-US"/>
        </w:rPr>
        <w:t>anexo escrito Estado 18.02.2005.</w:t>
      </w:r>
    </w:p>
  </w:footnote>
  <w:footnote w:id="52">
    <w:p w14:paraId="4FDD9FCC" w14:textId="77777777" w:rsidR="00251E25" w:rsidRPr="00C22764" w:rsidRDefault="00251E25">
      <w:pPr>
        <w:pStyle w:val="FootnoteText"/>
        <w:rPr>
          <w:lang w:val="es-US"/>
        </w:rPr>
      </w:pPr>
      <w:r>
        <w:rPr>
          <w:rStyle w:val="FootnoteReference"/>
        </w:rPr>
        <w:footnoteRef/>
      </w:r>
      <w:r w:rsidRPr="00C22764">
        <w:rPr>
          <w:lang w:val="es-US"/>
        </w:rPr>
        <w:t xml:space="preserve"> </w:t>
      </w:r>
      <w:r w:rsidRPr="00B33894">
        <w:rPr>
          <w:b/>
          <w:bCs/>
          <w:lang w:val="es-US"/>
        </w:rPr>
        <w:t>Anexo 32.</w:t>
      </w:r>
      <w:r w:rsidRPr="00CD6F68">
        <w:rPr>
          <w:lang w:val="es-US"/>
        </w:rPr>
        <w:t xml:space="preserve"> Acta de Audiencia. Juzgado Segundo IV Distrito Policía Nacional. Guayaquil, </w:t>
      </w:r>
      <w:r>
        <w:rPr>
          <w:lang w:val="es-US"/>
        </w:rPr>
        <w:t>18 marzo</w:t>
      </w:r>
      <w:r w:rsidRPr="00CD6F68">
        <w:rPr>
          <w:lang w:val="es-US"/>
        </w:rPr>
        <w:t xml:space="preserve"> 1998</w:t>
      </w:r>
      <w:r w:rsidRPr="00D506F5">
        <w:rPr>
          <w:lang w:val="es-US"/>
        </w:rPr>
        <w:t>,</w:t>
      </w:r>
      <w:r>
        <w:rPr>
          <w:lang w:val="es-US"/>
        </w:rPr>
        <w:t xml:space="preserve"> </w:t>
      </w:r>
      <w:r w:rsidRPr="00D506F5">
        <w:rPr>
          <w:lang w:val="es-US"/>
        </w:rPr>
        <w:t>anexo escrito Estado 18.02.2005.</w:t>
      </w:r>
    </w:p>
  </w:footnote>
  <w:footnote w:id="53">
    <w:p w14:paraId="04482A4F" w14:textId="77777777" w:rsidR="00251E25" w:rsidRPr="006315D5" w:rsidRDefault="00251E25">
      <w:pPr>
        <w:pStyle w:val="FootnoteText"/>
        <w:rPr>
          <w:lang w:val="es-US"/>
        </w:rPr>
      </w:pPr>
      <w:r>
        <w:rPr>
          <w:rStyle w:val="FootnoteReference"/>
        </w:rPr>
        <w:footnoteRef/>
      </w:r>
      <w:r w:rsidRPr="000C0869">
        <w:rPr>
          <w:lang w:val="es-US"/>
        </w:rPr>
        <w:t xml:space="preserve"> </w:t>
      </w:r>
      <w:r w:rsidRPr="00B33894">
        <w:rPr>
          <w:b/>
          <w:bCs/>
          <w:lang w:val="es-US"/>
        </w:rPr>
        <w:t>Anexo 33.</w:t>
      </w:r>
      <w:r w:rsidRPr="00CD6F68">
        <w:rPr>
          <w:lang w:val="es-US"/>
        </w:rPr>
        <w:t xml:space="preserve"> Acta de </w:t>
      </w:r>
      <w:r>
        <w:rPr>
          <w:lang w:val="es-US"/>
        </w:rPr>
        <w:t>Peritaje</w:t>
      </w:r>
      <w:r w:rsidRPr="00CD6F68">
        <w:rPr>
          <w:lang w:val="es-US"/>
        </w:rPr>
        <w:t xml:space="preserve">. Juzgado Segundo IV Distrito Policía Nacional. Guayaquil, </w:t>
      </w:r>
      <w:r>
        <w:rPr>
          <w:lang w:val="es-US"/>
        </w:rPr>
        <w:t>26 junio</w:t>
      </w:r>
      <w:r w:rsidRPr="00CD6F68">
        <w:rPr>
          <w:lang w:val="es-US"/>
        </w:rPr>
        <w:t xml:space="preserve"> 1998</w:t>
      </w:r>
      <w:r w:rsidRPr="00D506F5">
        <w:rPr>
          <w:lang w:val="es-US"/>
        </w:rPr>
        <w:t>,</w:t>
      </w:r>
      <w:r>
        <w:rPr>
          <w:lang w:val="es-US"/>
        </w:rPr>
        <w:t xml:space="preserve"> </w:t>
      </w:r>
      <w:r w:rsidRPr="00D506F5">
        <w:rPr>
          <w:lang w:val="es-US"/>
        </w:rPr>
        <w:t>anexo escrito Estado 18.02.2005.</w:t>
      </w:r>
    </w:p>
  </w:footnote>
  <w:footnote w:id="54">
    <w:p w14:paraId="5F8BB9F7" w14:textId="77777777" w:rsidR="00251E25" w:rsidRPr="006315D5" w:rsidRDefault="00251E25">
      <w:pPr>
        <w:pStyle w:val="FootnoteText"/>
        <w:rPr>
          <w:lang w:val="es-US"/>
        </w:rPr>
      </w:pPr>
      <w:r>
        <w:rPr>
          <w:rStyle w:val="FootnoteReference"/>
        </w:rPr>
        <w:footnoteRef/>
      </w:r>
      <w:r w:rsidRPr="00C22764">
        <w:rPr>
          <w:lang w:val="es-US"/>
        </w:rPr>
        <w:t xml:space="preserve"> </w:t>
      </w:r>
      <w:r w:rsidRPr="00B33894">
        <w:rPr>
          <w:b/>
          <w:bCs/>
          <w:lang w:val="es-US"/>
        </w:rPr>
        <w:t>Anexo 21.</w:t>
      </w:r>
      <w:r w:rsidRPr="00C22764">
        <w:rPr>
          <w:lang w:val="es-US"/>
        </w:rPr>
        <w:t xml:space="preserve"> </w:t>
      </w:r>
      <w:r w:rsidRPr="006315D5">
        <w:rPr>
          <w:lang w:val="es-US"/>
        </w:rPr>
        <w:t>Fallo Tribunal Constitucional 28.09.1998.</w:t>
      </w:r>
    </w:p>
  </w:footnote>
  <w:footnote w:id="55">
    <w:p w14:paraId="0E6A2B73" w14:textId="77777777" w:rsidR="00251E25" w:rsidRPr="002535D6" w:rsidRDefault="00251E25">
      <w:pPr>
        <w:pStyle w:val="FootnoteText"/>
        <w:rPr>
          <w:lang w:val="es-ES"/>
        </w:rPr>
      </w:pPr>
      <w:r>
        <w:rPr>
          <w:rStyle w:val="FootnoteReference"/>
        </w:rPr>
        <w:footnoteRef/>
      </w:r>
      <w:r w:rsidRPr="006315D5">
        <w:rPr>
          <w:lang w:val="es-US"/>
        </w:rPr>
        <w:t xml:space="preserve"> </w:t>
      </w:r>
      <w:r w:rsidRPr="00341E35">
        <w:rPr>
          <w:b/>
          <w:bCs/>
          <w:lang w:val="es-US"/>
        </w:rPr>
        <w:t>Anexo 34.</w:t>
      </w:r>
      <w:r w:rsidRPr="006315D5">
        <w:rPr>
          <w:lang w:val="es-US"/>
        </w:rPr>
        <w:t xml:space="preserve"> </w:t>
      </w:r>
      <w:r>
        <w:rPr>
          <w:lang w:val="es-US"/>
        </w:rPr>
        <w:t xml:space="preserve">Dictamen Fiscal II del IV Distrito de la Policía Nacional, causa penal No. 019-97, con timbre de recepción del </w:t>
      </w:r>
      <w:r w:rsidRPr="006105A8">
        <w:rPr>
          <w:lang w:val="es-US"/>
        </w:rPr>
        <w:t>Juzgado Segundo del IV</w:t>
      </w:r>
      <w:r>
        <w:rPr>
          <w:lang w:val="es-US"/>
        </w:rPr>
        <w:t xml:space="preserve"> Distrito de la Policía Nacional. Guayaquil, 30 septiembre 1998</w:t>
      </w:r>
      <w:r w:rsidRPr="00420730">
        <w:rPr>
          <w:lang w:val="es-US"/>
        </w:rPr>
        <w:t>, anexo petición inicial 23.04.2003.</w:t>
      </w:r>
    </w:p>
  </w:footnote>
  <w:footnote w:id="56">
    <w:p w14:paraId="1A1191C7" w14:textId="77777777" w:rsidR="00251E25" w:rsidRPr="00BA5E2F" w:rsidRDefault="00251E25">
      <w:pPr>
        <w:pStyle w:val="FootnoteText"/>
        <w:rPr>
          <w:lang w:val="es-US"/>
        </w:rPr>
      </w:pPr>
      <w:r>
        <w:rPr>
          <w:rStyle w:val="FootnoteReference"/>
        </w:rPr>
        <w:footnoteRef/>
      </w:r>
      <w:r w:rsidRPr="00BA5E2F">
        <w:rPr>
          <w:lang w:val="es-US"/>
        </w:rPr>
        <w:t xml:space="preserve"> Refiriéndo </w:t>
      </w:r>
      <w:r>
        <w:rPr>
          <w:lang w:val="es-US"/>
        </w:rPr>
        <w:t>l</w:t>
      </w:r>
      <w:r w:rsidRPr="00BA5E2F">
        <w:rPr>
          <w:lang w:val="es-US"/>
        </w:rPr>
        <w:t>a</w:t>
      </w:r>
      <w:r>
        <w:rPr>
          <w:lang w:val="es-US"/>
        </w:rPr>
        <w:t>s declaraciones de</w:t>
      </w:r>
      <w:r w:rsidRPr="00BA5E2F">
        <w:rPr>
          <w:lang w:val="es-US"/>
        </w:rPr>
        <w:t xml:space="preserve"> Luis Guillermo Barnuevo R</w:t>
      </w:r>
      <w:r>
        <w:rPr>
          <w:lang w:val="es-US"/>
        </w:rPr>
        <w:t>omero y Paquita del Carmen Vivanco.</w:t>
      </w:r>
    </w:p>
  </w:footnote>
  <w:footnote w:id="57">
    <w:p w14:paraId="2F123F35" w14:textId="77777777" w:rsidR="00251E25" w:rsidRPr="00BA5E2F" w:rsidRDefault="00251E25">
      <w:pPr>
        <w:pStyle w:val="FootnoteText"/>
        <w:rPr>
          <w:lang w:val="es-US"/>
        </w:rPr>
      </w:pPr>
      <w:r>
        <w:rPr>
          <w:rStyle w:val="FootnoteReference"/>
        </w:rPr>
        <w:footnoteRef/>
      </w:r>
      <w:r w:rsidRPr="00BA5E2F">
        <w:rPr>
          <w:lang w:val="es-US"/>
        </w:rPr>
        <w:t xml:space="preserve"> Refiriéndo las declaraciones de Sofía Serrano Vélez y </w:t>
      </w:r>
      <w:r>
        <w:rPr>
          <w:lang w:val="es-US"/>
        </w:rPr>
        <w:t>Martha Judith Zambrano Cabo.</w:t>
      </w:r>
    </w:p>
  </w:footnote>
  <w:footnote w:id="58">
    <w:p w14:paraId="6A0FABC5" w14:textId="77777777" w:rsidR="00251E25" w:rsidRPr="00BA5E2F" w:rsidRDefault="00251E25">
      <w:pPr>
        <w:pStyle w:val="FootnoteText"/>
        <w:rPr>
          <w:lang w:val="es-US"/>
        </w:rPr>
      </w:pPr>
      <w:r>
        <w:rPr>
          <w:rStyle w:val="FootnoteReference"/>
        </w:rPr>
        <w:footnoteRef/>
      </w:r>
      <w:r w:rsidRPr="00BA5E2F">
        <w:rPr>
          <w:lang w:val="es-US"/>
        </w:rPr>
        <w:t xml:space="preserve"> Refiriéndo</w:t>
      </w:r>
      <w:r w:rsidRPr="00BA5E2F">
        <w:rPr>
          <w:rFonts w:ascii="Times New Roman" w:eastAsia="Times New Roman" w:hAnsi="Times New Roman" w:cs="Times New Roman"/>
          <w:color w:val="auto"/>
          <w:sz w:val="24"/>
          <w:szCs w:val="24"/>
          <w:bdr w:val="none" w:sz="0" w:space="0" w:color="auto"/>
          <w:lang w:val="es-US" w:eastAsia="en-US"/>
        </w:rPr>
        <w:t xml:space="preserve"> </w:t>
      </w:r>
      <w:r w:rsidRPr="00BA5E2F">
        <w:rPr>
          <w:lang w:val="es-US"/>
        </w:rPr>
        <w:t>las declaraciones de los doctores José Rub</w:t>
      </w:r>
      <w:r>
        <w:rPr>
          <w:lang w:val="es-US"/>
        </w:rPr>
        <w:t>én Santacruz Barahona y Marco Orlando Zeas Procel.</w:t>
      </w:r>
    </w:p>
  </w:footnote>
  <w:footnote w:id="59">
    <w:p w14:paraId="763D8466" w14:textId="77777777" w:rsidR="00251E25" w:rsidRPr="00BA5E2F" w:rsidRDefault="00251E25">
      <w:pPr>
        <w:pStyle w:val="FootnoteText"/>
        <w:rPr>
          <w:lang w:val="es-US"/>
        </w:rPr>
      </w:pPr>
      <w:r>
        <w:rPr>
          <w:rStyle w:val="FootnoteReference"/>
        </w:rPr>
        <w:footnoteRef/>
      </w:r>
      <w:r w:rsidRPr="00BA5E2F">
        <w:rPr>
          <w:lang w:val="es-US"/>
        </w:rPr>
        <w:t xml:space="preserve"> Refiriéndo la declarac</w:t>
      </w:r>
      <w:r>
        <w:rPr>
          <w:lang w:val="es-US"/>
        </w:rPr>
        <w:t>ión</w:t>
      </w:r>
      <w:r w:rsidRPr="00BA5E2F">
        <w:rPr>
          <w:lang w:val="es-US"/>
        </w:rPr>
        <w:t xml:space="preserve"> de Luis Guillermo Espinoza.</w:t>
      </w:r>
    </w:p>
  </w:footnote>
  <w:footnote w:id="60">
    <w:p w14:paraId="310D231C" w14:textId="77777777" w:rsidR="00251E25" w:rsidRPr="00BA5E2F" w:rsidRDefault="00251E25">
      <w:pPr>
        <w:pStyle w:val="FootnoteText"/>
        <w:rPr>
          <w:lang w:val="pt-BR"/>
        </w:rPr>
      </w:pPr>
      <w:r>
        <w:rPr>
          <w:rStyle w:val="FootnoteReference"/>
        </w:rPr>
        <w:footnoteRef/>
      </w:r>
      <w:r w:rsidRPr="00BA5E2F">
        <w:rPr>
          <w:lang w:val="es-US"/>
        </w:rPr>
        <w:t xml:space="preserve"> Refiriéndo las declaraciones de</w:t>
      </w:r>
      <w:r>
        <w:rPr>
          <w:lang w:val="es-US"/>
        </w:rPr>
        <w:t xml:space="preserve">l Subtte. </w:t>
      </w:r>
      <w:r w:rsidRPr="00BA5E2F">
        <w:rPr>
          <w:lang w:val="pt-BR"/>
        </w:rPr>
        <w:t>Andrés Ramiro Fuentes Pozo, Tnte. H</w:t>
      </w:r>
      <w:r>
        <w:rPr>
          <w:lang w:val="pt-BR"/>
        </w:rPr>
        <w:t>enry Omar Marínez Pico, CboS. Pedro José Elizalde Sánchez, SgtoP. José Evergisto Salazar y CboS. Julio Alcivar Sandoval Torres.</w:t>
      </w:r>
    </w:p>
  </w:footnote>
  <w:footnote w:id="61">
    <w:p w14:paraId="6008ABEE" w14:textId="77777777" w:rsidR="00251E25" w:rsidRPr="006315D5" w:rsidRDefault="00251E25">
      <w:pPr>
        <w:pStyle w:val="FootnoteText"/>
        <w:rPr>
          <w:lang w:val="pt-BR"/>
        </w:rPr>
      </w:pPr>
      <w:r>
        <w:rPr>
          <w:rStyle w:val="FootnoteReference"/>
        </w:rPr>
        <w:footnoteRef/>
      </w:r>
      <w:r w:rsidRPr="00BA5E2F">
        <w:rPr>
          <w:lang w:val="pt-BR"/>
        </w:rPr>
        <w:t xml:space="preserve"> </w:t>
      </w:r>
      <w:r w:rsidRPr="003C69E0">
        <w:rPr>
          <w:b/>
          <w:bCs/>
          <w:lang w:val="pt-BR"/>
        </w:rPr>
        <w:t>Anexo 8.</w:t>
      </w:r>
      <w:r w:rsidRPr="00BA5E2F">
        <w:rPr>
          <w:lang w:val="pt-BR"/>
        </w:rPr>
        <w:t xml:space="preserve"> </w:t>
      </w:r>
      <w:r w:rsidRPr="006315D5">
        <w:rPr>
          <w:lang w:val="pt-BR"/>
        </w:rPr>
        <w:t>Auto Apertura Plenario</w:t>
      </w:r>
      <w:r>
        <w:rPr>
          <w:lang w:val="pt-BR"/>
        </w:rPr>
        <w:t xml:space="preserve"> 11.12.1998.</w:t>
      </w:r>
    </w:p>
  </w:footnote>
  <w:footnote w:id="62">
    <w:p w14:paraId="47B8C398" w14:textId="77777777" w:rsidR="00251E25" w:rsidRPr="006315D5" w:rsidRDefault="00251E25">
      <w:pPr>
        <w:pStyle w:val="FootnoteText"/>
        <w:rPr>
          <w:lang w:val="pt-BR"/>
        </w:rPr>
      </w:pPr>
      <w:r>
        <w:rPr>
          <w:rStyle w:val="FootnoteReference"/>
        </w:rPr>
        <w:footnoteRef/>
      </w:r>
      <w:r w:rsidRPr="006315D5">
        <w:rPr>
          <w:lang w:val="pt-BR"/>
        </w:rPr>
        <w:t xml:space="preserve"> </w:t>
      </w:r>
      <w:r w:rsidRPr="003C69E0">
        <w:rPr>
          <w:b/>
          <w:bCs/>
          <w:lang w:val="pt-BR"/>
        </w:rPr>
        <w:t>Anexo 35.</w:t>
      </w:r>
      <w:r w:rsidRPr="006315D5">
        <w:rPr>
          <w:lang w:val="pt-BR"/>
        </w:rPr>
        <w:t xml:space="preserve"> Comandancia General de la Policía Nacional. Oficio No. 20.192-DNAJ-PN. Quito, 18 de enero de 2000, anexo petición inicial 23.04.2003 (“Oficio Comandancia Gral.”).</w:t>
      </w:r>
    </w:p>
  </w:footnote>
  <w:footnote w:id="63">
    <w:p w14:paraId="16347AE8" w14:textId="77777777" w:rsidR="00251E25" w:rsidRPr="006315D5" w:rsidRDefault="00251E25">
      <w:pPr>
        <w:pStyle w:val="FootnoteText"/>
        <w:rPr>
          <w:lang w:val="pt-BR"/>
        </w:rPr>
      </w:pPr>
      <w:r>
        <w:rPr>
          <w:rStyle w:val="FootnoteReference"/>
        </w:rPr>
        <w:footnoteRef/>
      </w:r>
      <w:r w:rsidRPr="006315D5">
        <w:rPr>
          <w:lang w:val="pt-BR"/>
        </w:rPr>
        <w:t xml:space="preserve"> </w:t>
      </w:r>
      <w:r w:rsidRPr="003C69E0">
        <w:rPr>
          <w:b/>
          <w:bCs/>
          <w:lang w:val="pt-BR"/>
        </w:rPr>
        <w:t>Anexo 36.</w:t>
      </w:r>
      <w:r w:rsidRPr="006315D5">
        <w:rPr>
          <w:lang w:val="pt-BR"/>
        </w:rPr>
        <w:t xml:space="preserve"> Acta de Audiencia. Juzgado Segundo IV Distrito Policía Nacional. Guayaquil, 1 febrero 1999, anexo escrito Estado 18.02.2005.</w:t>
      </w:r>
    </w:p>
  </w:footnote>
  <w:footnote w:id="64">
    <w:p w14:paraId="765BE434" w14:textId="77777777" w:rsidR="00251E25" w:rsidRPr="00104E9B" w:rsidRDefault="00251E25">
      <w:pPr>
        <w:pStyle w:val="FootnoteText"/>
        <w:rPr>
          <w:lang w:val="pt-BR"/>
        </w:rPr>
      </w:pPr>
      <w:r>
        <w:rPr>
          <w:rStyle w:val="FootnoteReference"/>
        </w:rPr>
        <w:footnoteRef/>
      </w:r>
      <w:r w:rsidRPr="006315D5">
        <w:rPr>
          <w:lang w:val="pt-BR"/>
        </w:rPr>
        <w:t xml:space="preserve"> </w:t>
      </w:r>
      <w:r w:rsidRPr="003C69E0">
        <w:rPr>
          <w:b/>
          <w:bCs/>
          <w:lang w:val="pt-BR"/>
        </w:rPr>
        <w:t>Anexo 37.</w:t>
      </w:r>
      <w:r w:rsidRPr="006315D5">
        <w:rPr>
          <w:lang w:val="pt-BR"/>
        </w:rPr>
        <w:t xml:space="preserve"> Acta de Audiencia. </w:t>
      </w:r>
      <w:r w:rsidRPr="00104E9B">
        <w:rPr>
          <w:lang w:val="pt-BR"/>
        </w:rPr>
        <w:t>Juzgado Segundo IV Distrito Policía Nacional. Guayaquil, 4 octubre 1999, anexo escrito Estado 18.02.2005.</w:t>
      </w:r>
    </w:p>
  </w:footnote>
  <w:footnote w:id="65">
    <w:p w14:paraId="3E4E9B7F" w14:textId="77777777" w:rsidR="00251E25" w:rsidRPr="009C4B9A" w:rsidRDefault="00251E25">
      <w:pPr>
        <w:pStyle w:val="FootnoteText"/>
        <w:rPr>
          <w:lang w:val="es-US"/>
        </w:rPr>
      </w:pPr>
      <w:r>
        <w:rPr>
          <w:rStyle w:val="FootnoteReference"/>
        </w:rPr>
        <w:footnoteRef/>
      </w:r>
      <w:r w:rsidRPr="00534885">
        <w:rPr>
          <w:lang w:val="es-US"/>
        </w:rPr>
        <w:t xml:space="preserve"> Amnistía Internacional. Informe 2003, págs. </w:t>
      </w:r>
      <w:r>
        <w:rPr>
          <w:lang w:val="es-US"/>
        </w:rPr>
        <w:t>3-4.</w:t>
      </w:r>
    </w:p>
  </w:footnote>
  <w:footnote w:id="66">
    <w:p w14:paraId="68B033AC" w14:textId="77777777" w:rsidR="00251E25" w:rsidRPr="004B2581" w:rsidRDefault="00251E25">
      <w:pPr>
        <w:pStyle w:val="FootnoteText"/>
        <w:rPr>
          <w:lang w:val="es-ES"/>
        </w:rPr>
      </w:pPr>
      <w:r>
        <w:rPr>
          <w:rStyle w:val="FootnoteReference"/>
        </w:rPr>
        <w:footnoteRef/>
      </w:r>
      <w:r w:rsidRPr="003C47D2">
        <w:rPr>
          <w:lang w:val="es-ES"/>
        </w:rPr>
        <w:t xml:space="preserve"> </w:t>
      </w:r>
      <w:r w:rsidRPr="007A262C">
        <w:rPr>
          <w:b/>
          <w:bCs/>
          <w:lang w:val="es-ES"/>
        </w:rPr>
        <w:t>Anexo 14.</w:t>
      </w:r>
      <w:r w:rsidRPr="003C47D2">
        <w:rPr>
          <w:lang w:val="es-ES"/>
        </w:rPr>
        <w:t xml:space="preserve"> </w:t>
      </w:r>
      <w:r>
        <w:rPr>
          <w:lang w:val="es-US"/>
        </w:rPr>
        <w:t>Confirmación apertura plenario 14.07.1999.</w:t>
      </w:r>
    </w:p>
  </w:footnote>
  <w:footnote w:id="67">
    <w:p w14:paraId="4ABB33D6" w14:textId="77777777" w:rsidR="00251E25" w:rsidRPr="00104E9B" w:rsidRDefault="00251E25" w:rsidP="009E125F">
      <w:pPr>
        <w:pStyle w:val="FootnoteText"/>
        <w:rPr>
          <w:lang w:val="pt-BR"/>
        </w:rPr>
      </w:pPr>
      <w:r>
        <w:rPr>
          <w:rStyle w:val="FootnoteReference"/>
        </w:rPr>
        <w:footnoteRef/>
      </w:r>
      <w:r w:rsidRPr="00104E9B">
        <w:rPr>
          <w:lang w:val="pt-BR"/>
        </w:rPr>
        <w:t xml:space="preserve"> </w:t>
      </w:r>
      <w:r w:rsidRPr="007A262C">
        <w:rPr>
          <w:b/>
          <w:bCs/>
          <w:lang w:val="pt-BR"/>
        </w:rPr>
        <w:t>Anexo 35.</w:t>
      </w:r>
      <w:r w:rsidRPr="00104E9B">
        <w:rPr>
          <w:lang w:val="pt-BR"/>
        </w:rPr>
        <w:t xml:space="preserve"> Oficio Comandancia Gral.</w:t>
      </w:r>
    </w:p>
  </w:footnote>
  <w:footnote w:id="68">
    <w:p w14:paraId="0AC0773B" w14:textId="77777777" w:rsidR="00251E25" w:rsidRPr="00207BCB" w:rsidRDefault="00251E25" w:rsidP="00367D21">
      <w:pPr>
        <w:pStyle w:val="FootnoteText"/>
        <w:rPr>
          <w:lang w:val="es-US"/>
        </w:rPr>
      </w:pPr>
      <w:r>
        <w:rPr>
          <w:rStyle w:val="FootnoteReference"/>
        </w:rPr>
        <w:footnoteRef/>
      </w:r>
      <w:r w:rsidRPr="00207BCB">
        <w:rPr>
          <w:lang w:val="es-US"/>
        </w:rPr>
        <w:t xml:space="preserve"> </w:t>
      </w:r>
      <w:r w:rsidRPr="007A262C">
        <w:rPr>
          <w:b/>
          <w:bCs/>
          <w:lang w:val="es-US"/>
        </w:rPr>
        <w:t>Anexo 38.</w:t>
      </w:r>
      <w:r>
        <w:rPr>
          <w:lang w:val="es-US"/>
        </w:rPr>
        <w:t xml:space="preserve"> Acta audiencia pública. Tribunal del Crimen Oficiales Subalternos Policía Nacional. Guayaquil, 7 septiembre 2000,</w:t>
      </w:r>
      <w:r w:rsidRPr="00207BCB">
        <w:rPr>
          <w:lang w:val="es-US"/>
        </w:rPr>
        <w:t xml:space="preserve"> anexo escrito Estado 18.02.2005.</w:t>
      </w:r>
    </w:p>
  </w:footnote>
  <w:footnote w:id="69">
    <w:p w14:paraId="14AAC7C9" w14:textId="77777777" w:rsidR="00251E25" w:rsidRPr="007D5B79" w:rsidRDefault="00251E25">
      <w:pPr>
        <w:pStyle w:val="FootnoteText"/>
        <w:rPr>
          <w:lang w:val="es-ES"/>
        </w:rPr>
      </w:pPr>
      <w:r>
        <w:rPr>
          <w:rStyle w:val="FootnoteReference"/>
        </w:rPr>
        <w:footnoteRef/>
      </w:r>
      <w:r w:rsidRPr="006315D5">
        <w:rPr>
          <w:lang w:val="es-US"/>
        </w:rPr>
        <w:t xml:space="preserve"> </w:t>
      </w:r>
      <w:r w:rsidRPr="007A262C">
        <w:rPr>
          <w:b/>
          <w:bCs/>
          <w:lang w:val="es-US"/>
        </w:rPr>
        <w:t>Anexo 39.</w:t>
      </w:r>
      <w:r w:rsidRPr="006315D5">
        <w:rPr>
          <w:lang w:val="es-US"/>
        </w:rPr>
        <w:t xml:space="preserve"> </w:t>
      </w:r>
      <w:r w:rsidRPr="00683709">
        <w:rPr>
          <w:lang w:val="es-US"/>
        </w:rPr>
        <w:t>Acta audiencia p</w:t>
      </w:r>
      <w:r>
        <w:rPr>
          <w:lang w:val="es-US"/>
        </w:rPr>
        <w:t>rivada</w:t>
      </w:r>
      <w:r w:rsidRPr="00683709">
        <w:rPr>
          <w:lang w:val="es-US"/>
        </w:rPr>
        <w:t xml:space="preserve">. Tribunal del </w:t>
      </w:r>
      <w:r>
        <w:rPr>
          <w:lang w:val="es-US"/>
        </w:rPr>
        <w:t>C</w:t>
      </w:r>
      <w:r w:rsidRPr="00683709">
        <w:rPr>
          <w:lang w:val="es-US"/>
        </w:rPr>
        <w:t xml:space="preserve">rimen </w:t>
      </w:r>
      <w:r>
        <w:rPr>
          <w:lang w:val="es-US"/>
        </w:rPr>
        <w:t>O</w:t>
      </w:r>
      <w:r w:rsidRPr="00683709">
        <w:rPr>
          <w:lang w:val="es-US"/>
        </w:rPr>
        <w:t xml:space="preserve">ficiales </w:t>
      </w:r>
      <w:r>
        <w:rPr>
          <w:lang w:val="es-US"/>
        </w:rPr>
        <w:t>S</w:t>
      </w:r>
      <w:r w:rsidRPr="00683709">
        <w:rPr>
          <w:lang w:val="es-US"/>
        </w:rPr>
        <w:t>ubalternos Policía Nacional</w:t>
      </w:r>
      <w:r>
        <w:rPr>
          <w:lang w:val="es-US"/>
        </w:rPr>
        <w:t xml:space="preserve">; y </w:t>
      </w:r>
      <w:r w:rsidRPr="007A262C">
        <w:rPr>
          <w:b/>
          <w:bCs/>
          <w:lang w:val="es-US"/>
        </w:rPr>
        <w:t>Anexo 40.</w:t>
      </w:r>
      <w:r>
        <w:rPr>
          <w:lang w:val="es-US"/>
        </w:rPr>
        <w:t xml:space="preserve"> Sentencia </w:t>
      </w:r>
      <w:r w:rsidRPr="00683709">
        <w:rPr>
          <w:lang w:val="es-US"/>
        </w:rPr>
        <w:t xml:space="preserve">Tribunal del </w:t>
      </w:r>
      <w:r>
        <w:rPr>
          <w:lang w:val="es-US"/>
        </w:rPr>
        <w:t>C</w:t>
      </w:r>
      <w:r w:rsidRPr="00683709">
        <w:rPr>
          <w:lang w:val="es-US"/>
        </w:rPr>
        <w:t xml:space="preserve">rimen </w:t>
      </w:r>
      <w:r>
        <w:rPr>
          <w:lang w:val="es-US"/>
        </w:rPr>
        <w:t>O</w:t>
      </w:r>
      <w:r w:rsidRPr="00683709">
        <w:rPr>
          <w:lang w:val="es-US"/>
        </w:rPr>
        <w:t xml:space="preserve">ficiales </w:t>
      </w:r>
      <w:r>
        <w:rPr>
          <w:lang w:val="es-US"/>
        </w:rPr>
        <w:t>S</w:t>
      </w:r>
      <w:r w:rsidRPr="00683709">
        <w:rPr>
          <w:lang w:val="es-US"/>
        </w:rPr>
        <w:t xml:space="preserve">ubalternos Policía Nacional. </w:t>
      </w:r>
      <w:r>
        <w:rPr>
          <w:lang w:val="es-US"/>
        </w:rPr>
        <w:t xml:space="preserve">Ambos fechados </w:t>
      </w:r>
      <w:r w:rsidRPr="00683709">
        <w:rPr>
          <w:lang w:val="es-US"/>
        </w:rPr>
        <w:t>Guayaquil, 7 septiembre 2000</w:t>
      </w:r>
      <w:r>
        <w:rPr>
          <w:lang w:val="es-US"/>
        </w:rPr>
        <w:t xml:space="preserve">, ambos </w:t>
      </w:r>
      <w:r w:rsidRPr="00683709">
        <w:rPr>
          <w:lang w:val="es-US"/>
        </w:rPr>
        <w:t>anexo</w:t>
      </w:r>
      <w:r>
        <w:rPr>
          <w:lang w:val="es-US"/>
        </w:rPr>
        <w:t>s</w:t>
      </w:r>
      <w:r w:rsidRPr="00683709">
        <w:rPr>
          <w:lang w:val="es-US"/>
        </w:rPr>
        <w:t xml:space="preserve"> escrito Estado 18.02.2005.</w:t>
      </w:r>
    </w:p>
  </w:footnote>
  <w:footnote w:id="70">
    <w:p w14:paraId="76BF2A15" w14:textId="77777777" w:rsidR="00251E25" w:rsidRPr="00F74AFA" w:rsidRDefault="00251E25">
      <w:pPr>
        <w:pStyle w:val="FootnoteText"/>
        <w:rPr>
          <w:lang w:val="pt-BR"/>
        </w:rPr>
      </w:pPr>
      <w:r>
        <w:rPr>
          <w:rStyle w:val="FootnoteReference"/>
        </w:rPr>
        <w:footnoteRef/>
      </w:r>
      <w:r w:rsidRPr="00693F90">
        <w:rPr>
          <w:lang w:val="pt-BR"/>
        </w:rPr>
        <w:t xml:space="preserve"> </w:t>
      </w:r>
      <w:r w:rsidRPr="00AB3FCC">
        <w:rPr>
          <w:b/>
          <w:bCs/>
          <w:lang w:val="pt-BR"/>
        </w:rPr>
        <w:t>Anexo 3.</w:t>
      </w:r>
      <w:r w:rsidRPr="00693F90">
        <w:rPr>
          <w:lang w:val="pt-BR"/>
        </w:rPr>
        <w:t xml:space="preserve"> </w:t>
      </w:r>
      <w:r w:rsidRPr="00F74AFA">
        <w:rPr>
          <w:lang w:val="pt-BR"/>
        </w:rPr>
        <w:t>Sentencia Segunda Corte Distrital 19.6.2001.</w:t>
      </w:r>
    </w:p>
  </w:footnote>
  <w:footnote w:id="71">
    <w:p w14:paraId="1EBE4D16" w14:textId="77777777" w:rsidR="00251E25" w:rsidRPr="00F74AFA" w:rsidRDefault="00251E25">
      <w:pPr>
        <w:pStyle w:val="FootnoteText"/>
        <w:rPr>
          <w:lang w:val="pt-BR"/>
        </w:rPr>
      </w:pPr>
      <w:r>
        <w:rPr>
          <w:rStyle w:val="FootnoteReference"/>
        </w:rPr>
        <w:footnoteRef/>
      </w:r>
      <w:r w:rsidRPr="00693F90">
        <w:rPr>
          <w:lang w:val="pt-BR"/>
        </w:rPr>
        <w:t xml:space="preserve"> </w:t>
      </w:r>
      <w:r w:rsidRPr="00AB3FCC">
        <w:rPr>
          <w:b/>
          <w:bCs/>
          <w:lang w:val="pt-BR"/>
        </w:rPr>
        <w:t>Anexo 4.</w:t>
      </w:r>
      <w:r w:rsidRPr="00693F90">
        <w:rPr>
          <w:lang w:val="pt-BR"/>
        </w:rPr>
        <w:t xml:space="preserve"> </w:t>
      </w:r>
      <w:r w:rsidRPr="00F74AFA">
        <w:rPr>
          <w:lang w:val="pt-BR"/>
        </w:rPr>
        <w:t>Sentencia Corte Nacional de Justicia Policial 4.12.2001</w:t>
      </w:r>
      <w:r w:rsidRPr="00693F90">
        <w:rPr>
          <w:lang w:val="pt-BR"/>
        </w:rPr>
        <w:t>.</w:t>
      </w:r>
    </w:p>
  </w:footnote>
  <w:footnote w:id="72">
    <w:p w14:paraId="059FF660" w14:textId="77777777" w:rsidR="00251E25" w:rsidRPr="004F6B39" w:rsidRDefault="00251E25" w:rsidP="004F6B39">
      <w:pPr>
        <w:pStyle w:val="FootnoteText"/>
        <w:rPr>
          <w:lang w:val="pt-BR"/>
        </w:rPr>
      </w:pPr>
      <w:r>
        <w:rPr>
          <w:rStyle w:val="FootnoteReference"/>
        </w:rPr>
        <w:footnoteRef/>
      </w:r>
      <w:r w:rsidRPr="0027308F">
        <w:rPr>
          <w:lang w:val="pt-BR"/>
        </w:rPr>
        <w:t xml:space="preserve"> </w:t>
      </w:r>
      <w:r w:rsidRPr="00AB3FCC">
        <w:rPr>
          <w:b/>
          <w:bCs/>
          <w:lang w:val="pt-BR"/>
        </w:rPr>
        <w:t>Anexo 41.</w:t>
      </w:r>
      <w:r w:rsidRPr="0027308F">
        <w:rPr>
          <w:lang w:val="pt-BR"/>
        </w:rPr>
        <w:t xml:space="preserve"> </w:t>
      </w:r>
      <w:r w:rsidRPr="005161F1">
        <w:rPr>
          <w:lang w:val="pt-BR"/>
        </w:rPr>
        <w:t xml:space="preserve">Sentencia. Corte Nacional de Justicia Policial. </w:t>
      </w:r>
      <w:r w:rsidRPr="004F6B39">
        <w:rPr>
          <w:lang w:val="pt-BR"/>
        </w:rPr>
        <w:t>Quito, 22 enero 2003,</w:t>
      </w:r>
      <w:r w:rsidRPr="004F6B39">
        <w:rPr>
          <w:rFonts w:ascii="Times New Roman" w:eastAsia="Times New Roman" w:hAnsi="Times New Roman" w:cs="Times New Roman"/>
          <w:color w:val="auto"/>
          <w:sz w:val="24"/>
          <w:szCs w:val="24"/>
          <w:bdr w:val="none" w:sz="0" w:space="0" w:color="auto"/>
          <w:lang w:val="pt-BR" w:eastAsia="en-US"/>
        </w:rPr>
        <w:t xml:space="preserve"> </w:t>
      </w:r>
      <w:r w:rsidRPr="004F6B39">
        <w:rPr>
          <w:lang w:val="pt-BR"/>
        </w:rPr>
        <w:t>anexo escrito Estado 18.02.2005.</w:t>
      </w:r>
    </w:p>
  </w:footnote>
  <w:footnote w:id="73">
    <w:p w14:paraId="64BB68E3" w14:textId="77777777" w:rsidR="00251E25" w:rsidRPr="00DB456E" w:rsidRDefault="00251E25">
      <w:pPr>
        <w:pStyle w:val="FootnoteText"/>
        <w:rPr>
          <w:lang w:val="es-ES"/>
        </w:rPr>
      </w:pPr>
      <w:r>
        <w:rPr>
          <w:rStyle w:val="FootnoteReference"/>
        </w:rPr>
        <w:footnoteRef/>
      </w:r>
      <w:r w:rsidRPr="004F6B39">
        <w:rPr>
          <w:lang w:val="pt-BR"/>
        </w:rPr>
        <w:t xml:space="preserve"> </w:t>
      </w:r>
      <w:r w:rsidRPr="00AB3FCC">
        <w:rPr>
          <w:b/>
          <w:bCs/>
          <w:lang w:val="pt-BR"/>
        </w:rPr>
        <w:t>Anexo 42.</w:t>
      </w:r>
      <w:r w:rsidRPr="004F6B39">
        <w:rPr>
          <w:lang w:val="pt-BR"/>
        </w:rPr>
        <w:t xml:space="preserve"> </w:t>
      </w:r>
      <w:r>
        <w:rPr>
          <w:lang w:val="es-US"/>
        </w:rPr>
        <w:t xml:space="preserve">Decisión. </w:t>
      </w:r>
      <w:r w:rsidRPr="006105A8">
        <w:rPr>
          <w:lang w:val="es-US"/>
        </w:rPr>
        <w:t>Juzgado Segundo IV</w:t>
      </w:r>
      <w:r>
        <w:rPr>
          <w:lang w:val="es-US"/>
        </w:rPr>
        <w:t xml:space="preserve"> Distrito Policía Nacional. Guayaquil, 3 mayo 2002</w:t>
      </w:r>
      <w:r w:rsidRPr="00420730">
        <w:rPr>
          <w:lang w:val="es-US"/>
        </w:rPr>
        <w:t>, anexo petición inicial 23.04.2003.</w:t>
      </w:r>
    </w:p>
  </w:footnote>
  <w:footnote w:id="74">
    <w:p w14:paraId="04B3A628" w14:textId="77777777" w:rsidR="00251E25" w:rsidRPr="00BA52EB" w:rsidRDefault="00251E25">
      <w:pPr>
        <w:pStyle w:val="FootnoteText"/>
        <w:rPr>
          <w:lang w:val="es-ES"/>
        </w:rPr>
      </w:pPr>
      <w:r>
        <w:rPr>
          <w:rStyle w:val="FootnoteReference"/>
        </w:rPr>
        <w:footnoteRef/>
      </w:r>
      <w:r w:rsidRPr="00BA52EB">
        <w:rPr>
          <w:lang w:val="es-ES"/>
        </w:rPr>
        <w:t xml:space="preserve"> </w:t>
      </w:r>
      <w:r w:rsidRPr="00AB3FCC">
        <w:rPr>
          <w:b/>
          <w:bCs/>
          <w:lang w:val="es-US"/>
        </w:rPr>
        <w:t>Anexo 43.</w:t>
      </w:r>
      <w:r w:rsidRPr="006105A8">
        <w:rPr>
          <w:lang w:val="es-US"/>
        </w:rPr>
        <w:t xml:space="preserve"> </w:t>
      </w:r>
      <w:r>
        <w:rPr>
          <w:lang w:val="es-US"/>
        </w:rPr>
        <w:t xml:space="preserve">Decisión. </w:t>
      </w:r>
      <w:r w:rsidRPr="006105A8">
        <w:rPr>
          <w:lang w:val="es-US"/>
        </w:rPr>
        <w:t>Juzgado Segundo IV</w:t>
      </w:r>
      <w:r>
        <w:rPr>
          <w:lang w:val="es-US"/>
        </w:rPr>
        <w:t xml:space="preserve"> Distrito Policía Nacional. Guayaquil, 14 mayo 2002</w:t>
      </w:r>
      <w:r w:rsidRPr="00420730">
        <w:rPr>
          <w:lang w:val="es-US"/>
        </w:rPr>
        <w:t>, anexo petición inicial 23.04.2003.</w:t>
      </w:r>
    </w:p>
  </w:footnote>
  <w:footnote w:id="75">
    <w:p w14:paraId="7AFA1043" w14:textId="77777777" w:rsidR="00251E25" w:rsidRPr="00CB64AA" w:rsidRDefault="00251E25">
      <w:pPr>
        <w:pStyle w:val="FootnoteText"/>
        <w:rPr>
          <w:lang w:val="es-ES"/>
        </w:rPr>
      </w:pPr>
      <w:r>
        <w:rPr>
          <w:rStyle w:val="FootnoteReference"/>
        </w:rPr>
        <w:footnoteRef/>
      </w:r>
      <w:r w:rsidRPr="00CB64AA">
        <w:rPr>
          <w:lang w:val="es-ES"/>
        </w:rPr>
        <w:t xml:space="preserve"> </w:t>
      </w:r>
      <w:r w:rsidRPr="00AB3FCC">
        <w:rPr>
          <w:b/>
          <w:bCs/>
          <w:lang w:val="es-ES"/>
        </w:rPr>
        <w:t>Anexo 44.</w:t>
      </w:r>
      <w:r>
        <w:rPr>
          <w:lang w:val="es-ES"/>
        </w:rPr>
        <w:t xml:space="preserve"> Oficios </w:t>
      </w:r>
      <w:r w:rsidRPr="006105A8">
        <w:rPr>
          <w:lang w:val="es-US"/>
        </w:rPr>
        <w:t>Juzgado Segundo IV</w:t>
      </w:r>
      <w:r>
        <w:rPr>
          <w:lang w:val="es-US"/>
        </w:rPr>
        <w:t xml:space="preserve"> Distrito Policía Nacional. Guayaquil, 14 mayo 2002</w:t>
      </w:r>
      <w:r w:rsidRPr="00420730">
        <w:rPr>
          <w:lang w:val="es-US"/>
        </w:rPr>
        <w:t>, anexo</w:t>
      </w:r>
      <w:r>
        <w:rPr>
          <w:lang w:val="es-US"/>
        </w:rPr>
        <w:t>s</w:t>
      </w:r>
      <w:r w:rsidRPr="00420730">
        <w:rPr>
          <w:lang w:val="es-US"/>
        </w:rPr>
        <w:t xml:space="preserve"> petición inicial 23.04.2003.</w:t>
      </w:r>
    </w:p>
  </w:footnote>
  <w:footnote w:id="76">
    <w:p w14:paraId="664EE255" w14:textId="77777777" w:rsidR="00251E25" w:rsidRPr="0063411A" w:rsidRDefault="00251E25">
      <w:pPr>
        <w:pStyle w:val="FootnoteText"/>
        <w:rPr>
          <w:lang w:val="es-ES"/>
        </w:rPr>
      </w:pPr>
      <w:r>
        <w:rPr>
          <w:rStyle w:val="FootnoteReference"/>
        </w:rPr>
        <w:footnoteRef/>
      </w:r>
      <w:r w:rsidRPr="0063411A">
        <w:rPr>
          <w:lang w:val="es-ES"/>
        </w:rPr>
        <w:t xml:space="preserve"> </w:t>
      </w:r>
      <w:r w:rsidRPr="00AB3FCC">
        <w:rPr>
          <w:b/>
          <w:bCs/>
          <w:lang w:val="es-ES"/>
        </w:rPr>
        <w:t>Anexo 45.</w:t>
      </w:r>
      <w:r w:rsidRPr="0063411A">
        <w:rPr>
          <w:lang w:val="es-ES"/>
        </w:rPr>
        <w:t xml:space="preserve"> </w:t>
      </w:r>
      <w:r w:rsidRPr="00443ECC">
        <w:rPr>
          <w:lang w:val="es-ES"/>
        </w:rPr>
        <w:t>Comandancia General Po</w:t>
      </w:r>
      <w:r>
        <w:rPr>
          <w:lang w:val="es-ES"/>
        </w:rPr>
        <w:t>licía Nacional. Oficio 2003-602-DGP-AL-SCP. Quito, 31 marzo 2003</w:t>
      </w:r>
      <w:r w:rsidRPr="00420730">
        <w:rPr>
          <w:lang w:val="es-US"/>
        </w:rPr>
        <w:t>, anexo petición inicial 23.04.2003</w:t>
      </w:r>
    </w:p>
  </w:footnote>
  <w:footnote w:id="77">
    <w:p w14:paraId="7B4DCACA" w14:textId="77777777" w:rsidR="00251E25" w:rsidRPr="008779FF" w:rsidRDefault="00251E25" w:rsidP="007957E0">
      <w:pPr>
        <w:pStyle w:val="FootnoteText"/>
        <w:rPr>
          <w:lang w:val="es-US"/>
        </w:rPr>
      </w:pPr>
      <w:r>
        <w:rPr>
          <w:rStyle w:val="FootnoteReference"/>
        </w:rPr>
        <w:footnoteRef/>
      </w:r>
      <w:r w:rsidRPr="008779FF">
        <w:rPr>
          <w:lang w:val="es-US"/>
        </w:rPr>
        <w:t xml:space="preserve"> </w:t>
      </w:r>
      <w:r w:rsidRPr="00EE4A7E">
        <w:rPr>
          <w:b/>
          <w:bCs/>
          <w:lang w:val="es-US"/>
        </w:rPr>
        <w:t>Anexo 46.</w:t>
      </w:r>
      <w:r w:rsidRPr="008779FF">
        <w:rPr>
          <w:lang w:val="es-US"/>
        </w:rPr>
        <w:t xml:space="preserve"> P</w:t>
      </w:r>
      <w:r>
        <w:rPr>
          <w:lang w:val="es-US"/>
        </w:rPr>
        <w:t>olicí</w:t>
      </w:r>
      <w:r w:rsidRPr="008779FF">
        <w:rPr>
          <w:lang w:val="es-US"/>
        </w:rPr>
        <w:t xml:space="preserve">a Nacional del Ecuador. </w:t>
      </w:r>
      <w:r>
        <w:rPr>
          <w:lang w:val="es-US"/>
        </w:rPr>
        <w:t xml:space="preserve">Dirección Nacional de la Policía Judicial e Investigaciones. Asesoría Jurídica. Oficio No. 2012-1257-AJ-DNPJeI-PN. Quito, 18 octubre 2012, </w:t>
      </w:r>
      <w:r w:rsidRPr="008779FF">
        <w:rPr>
          <w:lang w:val="es-US"/>
        </w:rPr>
        <w:t xml:space="preserve">anexo escrito Estado </w:t>
      </w:r>
      <w:r>
        <w:rPr>
          <w:lang w:val="es-US"/>
        </w:rPr>
        <w:t>29.12.201</w:t>
      </w:r>
      <w:r w:rsidRPr="008779FF">
        <w:rPr>
          <w:lang w:val="es-US"/>
        </w:rPr>
        <w:t>5.</w:t>
      </w:r>
    </w:p>
  </w:footnote>
  <w:footnote w:id="78">
    <w:p w14:paraId="7269A782" w14:textId="77777777" w:rsidR="00251E25" w:rsidRPr="0027308F" w:rsidRDefault="00251E25">
      <w:pPr>
        <w:pStyle w:val="FootnoteText"/>
        <w:rPr>
          <w:lang w:val="es-US"/>
        </w:rPr>
      </w:pPr>
      <w:r>
        <w:rPr>
          <w:rStyle w:val="FootnoteReference"/>
        </w:rPr>
        <w:footnoteRef/>
      </w:r>
      <w:r w:rsidRPr="007957E0">
        <w:rPr>
          <w:lang w:val="es-US"/>
        </w:rPr>
        <w:t xml:space="preserve"> </w:t>
      </w:r>
      <w:r w:rsidRPr="00EE4A7E">
        <w:rPr>
          <w:b/>
          <w:bCs/>
          <w:lang w:val="es-US"/>
        </w:rPr>
        <w:t>Anexo 47.</w:t>
      </w:r>
      <w:r w:rsidRPr="008779FF">
        <w:rPr>
          <w:lang w:val="es-US"/>
        </w:rPr>
        <w:t xml:space="preserve"> P</w:t>
      </w:r>
      <w:r>
        <w:rPr>
          <w:lang w:val="es-US"/>
        </w:rPr>
        <w:t>olicí</w:t>
      </w:r>
      <w:r w:rsidRPr="008779FF">
        <w:rPr>
          <w:lang w:val="es-US"/>
        </w:rPr>
        <w:t xml:space="preserve">a Nacional del Ecuador. </w:t>
      </w:r>
      <w:r>
        <w:rPr>
          <w:lang w:val="es-US"/>
        </w:rPr>
        <w:t xml:space="preserve">Dirección Nacional de la Policía Judicial e Investigaciones. Asesoría Jurídica. Oficio No. 2015-1378-AJ-DNPJEI-PN. Quito, 27 noviembre 2015, </w:t>
      </w:r>
      <w:r w:rsidRPr="008779FF">
        <w:rPr>
          <w:lang w:val="es-US"/>
        </w:rPr>
        <w:t xml:space="preserve">anexo escrito Estado </w:t>
      </w:r>
      <w:r>
        <w:rPr>
          <w:lang w:val="es-US"/>
        </w:rPr>
        <w:t>29.12.201</w:t>
      </w:r>
      <w:r w:rsidRPr="008779FF">
        <w:rPr>
          <w:lang w:val="es-US"/>
        </w:rPr>
        <w:t>5.</w:t>
      </w:r>
    </w:p>
  </w:footnote>
  <w:footnote w:id="79">
    <w:p w14:paraId="5A4C1771" w14:textId="77777777" w:rsidR="00251E25" w:rsidRPr="00693F90" w:rsidRDefault="00251E25">
      <w:pPr>
        <w:pStyle w:val="FootnoteText"/>
        <w:rPr>
          <w:lang w:val="es-US"/>
        </w:rPr>
      </w:pPr>
      <w:r>
        <w:rPr>
          <w:rStyle w:val="FootnoteReference"/>
        </w:rPr>
        <w:footnoteRef/>
      </w:r>
      <w:r w:rsidRPr="008135F6">
        <w:rPr>
          <w:lang w:val="es-US"/>
        </w:rPr>
        <w:t xml:space="preserve"> El artículo 4.1 de la Convención Americana establece, en lo pertinente, lo siguiente: “Toda persona tiene derecho a que se respete su vida.  Este derecho estará protegido por la ley y, en general, a partir del momento de la concepción. Nadie puede ser pri</w:t>
      </w:r>
      <w:r>
        <w:rPr>
          <w:lang w:val="es-US"/>
        </w:rPr>
        <w:t>vado de la vida arbitrariamente</w:t>
      </w:r>
      <w:r w:rsidRPr="008135F6">
        <w:rPr>
          <w:lang w:val="es-US"/>
        </w:rPr>
        <w:t xml:space="preserve">”. </w:t>
      </w:r>
    </w:p>
  </w:footnote>
  <w:footnote w:id="80">
    <w:p w14:paraId="342C3593" w14:textId="77777777" w:rsidR="00251E25" w:rsidRPr="008135F6" w:rsidRDefault="00251E25">
      <w:pPr>
        <w:pStyle w:val="FootnoteText"/>
        <w:rPr>
          <w:lang w:val="es-US"/>
        </w:rPr>
      </w:pPr>
      <w:r>
        <w:rPr>
          <w:rStyle w:val="FootnoteReference"/>
        </w:rPr>
        <w:footnoteRef/>
      </w:r>
      <w:r w:rsidRPr="008135F6">
        <w:rPr>
          <w:lang w:val="es-US"/>
        </w:rPr>
        <w:t xml:space="preserve"> El artículo 5.1 y 5.2 de la Convención Americana establece, en lo pertinente, lo siguiente: “1. Toda persona tiene derecho a que se respete su integridad física, psíquica y moral. 2. Nadie debe ser sometido a torturas ni a penas o tratos crueles, inhumanos o degradantes. </w:t>
      </w:r>
      <w:r w:rsidRPr="008135F6">
        <w:rPr>
          <w:lang w:val="es-ES"/>
        </w:rPr>
        <w:t>Toda persona privada de libertad será tratada con el respeto debido a la dignidad inherente al ser humano</w:t>
      </w:r>
      <w:r w:rsidRPr="008135F6">
        <w:rPr>
          <w:lang w:val="es-US"/>
        </w:rPr>
        <w:t>”.</w:t>
      </w:r>
    </w:p>
  </w:footnote>
  <w:footnote w:id="81">
    <w:p w14:paraId="1F1014FB" w14:textId="77777777" w:rsidR="00251E25" w:rsidRPr="008135F6" w:rsidRDefault="00251E25">
      <w:pPr>
        <w:pStyle w:val="FootnoteText"/>
        <w:rPr>
          <w:lang w:val="es-US"/>
        </w:rPr>
      </w:pPr>
      <w:r>
        <w:rPr>
          <w:rStyle w:val="FootnoteReference"/>
        </w:rPr>
        <w:footnoteRef/>
      </w:r>
      <w:r w:rsidRPr="008135F6">
        <w:rPr>
          <w:lang w:val="es-US"/>
        </w:rPr>
        <w:t xml:space="preserve"> El artículo 1.1 de la Convención A</w:t>
      </w:r>
      <w:r>
        <w:rPr>
          <w:lang w:val="es-US"/>
        </w:rPr>
        <w:t>mericana establece lo siguiente: “</w:t>
      </w:r>
      <w:r w:rsidRPr="008135F6">
        <w:rPr>
          <w:lang w:val="es-U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Pr>
          <w:lang w:val="es-US"/>
        </w:rPr>
        <w:t>”</w:t>
      </w:r>
      <w:r w:rsidRPr="008135F6">
        <w:rPr>
          <w:lang w:val="es-US"/>
        </w:rPr>
        <w:t>.</w:t>
      </w:r>
    </w:p>
  </w:footnote>
  <w:footnote w:id="82">
    <w:p w14:paraId="4701AD16" w14:textId="77777777" w:rsidR="00251E25" w:rsidRPr="007667F1" w:rsidRDefault="00251E25">
      <w:pPr>
        <w:pStyle w:val="FootnoteText"/>
        <w:rPr>
          <w:lang w:val="es-US"/>
        </w:rPr>
      </w:pPr>
      <w:r>
        <w:rPr>
          <w:rStyle w:val="FootnoteReference"/>
        </w:rPr>
        <w:footnoteRef/>
      </w:r>
      <w:r w:rsidRPr="007667F1">
        <w:rPr>
          <w:lang w:val="es-US"/>
        </w:rPr>
        <w:t xml:space="preserve"> El artículo 2 de la Convención A</w:t>
      </w:r>
      <w:r>
        <w:rPr>
          <w:lang w:val="es-US"/>
        </w:rPr>
        <w:t>mericana establece lo siguiente: “</w:t>
      </w:r>
      <w:r w:rsidRPr="007667F1">
        <w:rPr>
          <w:lang w:val="es-US"/>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r>
        <w:rPr>
          <w:lang w:val="es-US"/>
        </w:rPr>
        <w:t>”</w:t>
      </w:r>
      <w:r w:rsidRPr="007667F1">
        <w:rPr>
          <w:lang w:val="es-US"/>
        </w:rPr>
        <w:t>.</w:t>
      </w:r>
    </w:p>
  </w:footnote>
  <w:footnote w:id="83">
    <w:p w14:paraId="2659FEE8" w14:textId="77777777" w:rsidR="00251E25" w:rsidRPr="003B1C01" w:rsidRDefault="00251E25" w:rsidP="008135F6">
      <w:pPr>
        <w:pStyle w:val="FootnoteText"/>
        <w:rPr>
          <w:lang w:val="es-ES"/>
        </w:rPr>
      </w:pPr>
      <w:r w:rsidRPr="003B1C01">
        <w:rPr>
          <w:rStyle w:val="FootnoteReference"/>
          <w:lang w:val="es-ES"/>
        </w:rPr>
        <w:footnoteRef/>
      </w:r>
      <w:r w:rsidRPr="003B1C01">
        <w:rPr>
          <w:lang w:val="es-ES"/>
        </w:rPr>
        <w:t xml:space="preserve"> </w:t>
      </w:r>
      <w:r w:rsidRPr="003B1C01">
        <w:rPr>
          <w:rFonts w:cs="Times"/>
          <w:lang w:val="es-ES"/>
        </w:rPr>
        <w:t xml:space="preserve">Corte IDH. </w:t>
      </w:r>
      <w:r w:rsidRPr="003B1C01">
        <w:rPr>
          <w:rFonts w:cs="Times"/>
          <w:i/>
          <w:iCs/>
          <w:lang w:val="es-ES"/>
        </w:rPr>
        <w:t>Caso de los “Niños de la Calle” (Villagrán Morales y otros) Vs. Guatemala.</w:t>
      </w:r>
      <w:r w:rsidRPr="003B1C01">
        <w:rPr>
          <w:rFonts w:cs="Times"/>
          <w:lang w:val="es-ES"/>
        </w:rPr>
        <w:t xml:space="preserve"> Fondo. Sentencia de 19 de noviembre de 1999. Serie C No. 63 </w:t>
      </w:r>
      <w:r w:rsidRPr="003B1C01">
        <w:rPr>
          <w:lang w:val="es-ES"/>
        </w:rPr>
        <w:t>(</w:t>
      </w:r>
      <w:r w:rsidRPr="003B1C01">
        <w:rPr>
          <w:i/>
          <w:lang w:val="es-ES"/>
        </w:rPr>
        <w:t>Sentencia Niños de la Calle</w:t>
      </w:r>
      <w:r w:rsidRPr="003B1C01">
        <w:rPr>
          <w:lang w:val="es-ES"/>
        </w:rPr>
        <w:t xml:space="preserve">), párr. 144. </w:t>
      </w:r>
    </w:p>
  </w:footnote>
  <w:footnote w:id="84">
    <w:p w14:paraId="6594E2EB" w14:textId="77777777" w:rsidR="00251E25" w:rsidRPr="00EC5370" w:rsidRDefault="00251E25" w:rsidP="008135F6">
      <w:pPr>
        <w:pStyle w:val="FootnoteText"/>
        <w:tabs>
          <w:tab w:val="left" w:pos="720"/>
          <w:tab w:val="left" w:pos="900"/>
          <w:tab w:val="left" w:pos="1080"/>
        </w:tabs>
        <w:rPr>
          <w:lang w:val="es-ES_tradnl"/>
        </w:rPr>
      </w:pPr>
      <w:r w:rsidRPr="003B1C01">
        <w:rPr>
          <w:rStyle w:val="FootnoteReference"/>
        </w:rPr>
        <w:footnoteRef/>
      </w:r>
      <w:r w:rsidRPr="003B1C01">
        <w:rPr>
          <w:lang w:val="es-ES_tradnl"/>
        </w:rPr>
        <w:t xml:space="preserve"> Ver, entre otros: Corte IDH. </w:t>
      </w:r>
      <w:r w:rsidRPr="003B1C01">
        <w:rPr>
          <w:bCs/>
          <w:i/>
          <w:lang w:val="es-ES_tradnl"/>
        </w:rPr>
        <w:t>Caso Zambrano Vélez y otros Vs. Ecuador.</w:t>
      </w:r>
      <w:r w:rsidRPr="003B1C01">
        <w:rPr>
          <w:b/>
          <w:bCs/>
          <w:lang w:val="es-ES_tradnl"/>
        </w:rPr>
        <w:t xml:space="preserve"> </w:t>
      </w:r>
      <w:r w:rsidRPr="003B1C01">
        <w:rPr>
          <w:lang w:val="es-ES_tradnl"/>
        </w:rPr>
        <w:t xml:space="preserve">Fondo, Reparaciones y Costas. Sentencia de 4 de julio de 2007. Serie C No. 166 (Sentencia </w:t>
      </w:r>
      <w:r w:rsidRPr="003B1C01">
        <w:rPr>
          <w:i/>
          <w:lang w:val="es-ES_tradnl"/>
        </w:rPr>
        <w:t>Zambrano Vélez y otros</w:t>
      </w:r>
      <w:r w:rsidRPr="003B1C01">
        <w:rPr>
          <w:lang w:val="es-ES_tradnl"/>
        </w:rPr>
        <w:t>), párr. 80</w:t>
      </w:r>
      <w:r w:rsidRPr="003B1C01">
        <w:rPr>
          <w:rFonts w:cs="Arial"/>
          <w:lang w:val="es-ES_tradnl"/>
        </w:rPr>
        <w:t xml:space="preserve">; </w:t>
      </w:r>
      <w:r w:rsidRPr="003B1C01">
        <w:rPr>
          <w:i/>
          <w:lang w:val="es-ES_tradnl"/>
        </w:rPr>
        <w:t>Caso Montero Aranguren y otros (Retén de Catia) Vs. Venezuela</w:t>
      </w:r>
      <w:r w:rsidRPr="003B1C01">
        <w:rPr>
          <w:lang w:val="es-ES_tradnl"/>
        </w:rPr>
        <w:t xml:space="preserve">. Excepción Preliminar, Fondo, Reparaciones y Costas. Sentencia de 5 de julio de 2006. Serie C No. 150 (Sentencia </w:t>
      </w:r>
      <w:r w:rsidRPr="003B1C01">
        <w:rPr>
          <w:i/>
          <w:lang w:val="es-ES_tradnl"/>
        </w:rPr>
        <w:t>Retén de Catia</w:t>
      </w:r>
      <w:r w:rsidRPr="003B1C01">
        <w:rPr>
          <w:lang w:val="es-ES_tradnl"/>
        </w:rPr>
        <w:t>), pár</w:t>
      </w:r>
      <w:r w:rsidRPr="00EC5370">
        <w:rPr>
          <w:lang w:val="es-ES_tradnl"/>
        </w:rPr>
        <w:t xml:space="preserve">r. </w:t>
      </w:r>
      <w:r w:rsidRPr="00EC5370">
        <w:rPr>
          <w:rFonts w:cs="Arial"/>
          <w:lang w:val="es-ES_tradnl"/>
        </w:rPr>
        <w:t xml:space="preserve">65. </w:t>
      </w:r>
    </w:p>
  </w:footnote>
  <w:footnote w:id="85">
    <w:p w14:paraId="1BD24D01" w14:textId="77777777" w:rsidR="00251E25" w:rsidRPr="00653B23" w:rsidRDefault="00251E25" w:rsidP="00800208">
      <w:pPr>
        <w:pStyle w:val="FootnoteText"/>
        <w:rPr>
          <w:lang w:val="es-US"/>
        </w:rPr>
      </w:pPr>
      <w:r w:rsidRPr="00EC5370">
        <w:rPr>
          <w:rStyle w:val="FootnoteReference"/>
          <w:lang w:val="es-US"/>
        </w:rPr>
        <w:footnoteRef/>
      </w:r>
      <w:r w:rsidRPr="00EC5370">
        <w:rPr>
          <w:lang w:val="es-US"/>
        </w:rPr>
        <w:t xml:space="preserve"> </w:t>
      </w:r>
      <w:r w:rsidRPr="00EC5370">
        <w:rPr>
          <w:bCs/>
          <w:lang w:val="es-US"/>
        </w:rPr>
        <w:t xml:space="preserve">Corte IDH. </w:t>
      </w:r>
      <w:r w:rsidRPr="00EC5370">
        <w:rPr>
          <w:bCs/>
          <w:i/>
          <w:lang w:val="es-US"/>
        </w:rPr>
        <w:t>Caso Servellón García y otros Vs. Honduras.</w:t>
      </w:r>
      <w:r w:rsidRPr="00EC5370">
        <w:rPr>
          <w:bCs/>
          <w:lang w:val="es-US"/>
        </w:rPr>
        <w:t xml:space="preserve"> Sentencia de 21 de septiembre de 2006. </w:t>
      </w:r>
      <w:r w:rsidRPr="002E16D2">
        <w:rPr>
          <w:bCs/>
          <w:lang w:val="es-US"/>
        </w:rPr>
        <w:t>Serie C No. 152, párr. 98.</w:t>
      </w:r>
    </w:p>
  </w:footnote>
  <w:footnote w:id="86">
    <w:p w14:paraId="6DE0EDF6" w14:textId="77777777" w:rsidR="00251E25" w:rsidRPr="003B1C01" w:rsidRDefault="00251E25" w:rsidP="002E16D2">
      <w:pPr>
        <w:pStyle w:val="FootnoteText"/>
        <w:rPr>
          <w:lang w:val="es-US"/>
        </w:rPr>
      </w:pPr>
      <w:r w:rsidRPr="003B1C01">
        <w:rPr>
          <w:rStyle w:val="FootnoteReference"/>
        </w:rPr>
        <w:footnoteRef/>
      </w:r>
      <w:r w:rsidRPr="00D53DB7">
        <w:rPr>
          <w:lang w:val="pt-BR"/>
        </w:rPr>
        <w:t xml:space="preserve"> </w:t>
      </w:r>
      <w:r w:rsidRPr="00D53DB7">
        <w:rPr>
          <w:bCs/>
          <w:lang w:val="pt-BR"/>
        </w:rPr>
        <w:t xml:space="preserve">Corte IDH. </w:t>
      </w:r>
      <w:r w:rsidRPr="00D53DB7">
        <w:rPr>
          <w:bCs/>
          <w:i/>
          <w:lang w:val="pt-BR"/>
        </w:rPr>
        <w:t xml:space="preserve">Caso Loayza Tamayo Vs. </w:t>
      </w:r>
      <w:r w:rsidRPr="003B1C01">
        <w:rPr>
          <w:bCs/>
          <w:i/>
          <w:lang w:val="es-ES"/>
        </w:rPr>
        <w:t>Perú</w:t>
      </w:r>
      <w:r w:rsidRPr="003B1C01">
        <w:rPr>
          <w:bCs/>
          <w:lang w:val="es-ES"/>
        </w:rPr>
        <w:t xml:space="preserve">. Fondo. Sentencia de 17 de septiembre de 1997. Serie C No. 33 (Sentencia </w:t>
      </w:r>
      <w:r w:rsidRPr="003B1C01">
        <w:rPr>
          <w:bCs/>
          <w:i/>
          <w:lang w:val="es-ES"/>
        </w:rPr>
        <w:t>Loayza Tamayo</w:t>
      </w:r>
      <w:r w:rsidRPr="003B1C01">
        <w:rPr>
          <w:bCs/>
          <w:lang w:val="es-ES"/>
        </w:rPr>
        <w:t>), párr. 57</w:t>
      </w:r>
      <w:r w:rsidRPr="003B1C01">
        <w:rPr>
          <w:lang w:val="es-US"/>
        </w:rPr>
        <w:t>.</w:t>
      </w:r>
    </w:p>
  </w:footnote>
  <w:footnote w:id="87">
    <w:p w14:paraId="6915E4F6" w14:textId="77777777" w:rsidR="00251E25" w:rsidRPr="003B1C01" w:rsidRDefault="00251E25" w:rsidP="002E16D2">
      <w:pPr>
        <w:pStyle w:val="FootnoteText"/>
        <w:rPr>
          <w:lang w:val="es-ES"/>
        </w:rPr>
      </w:pPr>
      <w:r w:rsidRPr="003B1C01">
        <w:rPr>
          <w:rStyle w:val="FootnoteReference"/>
        </w:rPr>
        <w:footnoteRef/>
      </w:r>
      <w:r w:rsidRPr="003B1C01">
        <w:rPr>
          <w:lang w:val="es-ES"/>
        </w:rPr>
        <w:t xml:space="preserve"> </w:t>
      </w:r>
      <w:r w:rsidRPr="003B1C01">
        <w:rPr>
          <w:bCs/>
          <w:lang w:val="es-ES"/>
        </w:rPr>
        <w:t xml:space="preserve">Corte IDH. Sentencia </w:t>
      </w:r>
      <w:r w:rsidRPr="003B1C01">
        <w:rPr>
          <w:bCs/>
          <w:i/>
          <w:lang w:val="es-ES"/>
        </w:rPr>
        <w:t>Loayza Tamayo</w:t>
      </w:r>
      <w:r w:rsidRPr="003B1C01">
        <w:rPr>
          <w:bCs/>
          <w:lang w:val="es-ES"/>
        </w:rPr>
        <w:t>, párr. 57</w:t>
      </w:r>
      <w:r w:rsidRPr="003B1C01">
        <w:rPr>
          <w:lang w:val="es-US"/>
        </w:rPr>
        <w:t>.</w:t>
      </w:r>
    </w:p>
  </w:footnote>
  <w:footnote w:id="88">
    <w:p w14:paraId="07FD8F1B" w14:textId="77777777" w:rsidR="00251E25" w:rsidRPr="003B1C01" w:rsidRDefault="00251E25" w:rsidP="002E16D2">
      <w:pPr>
        <w:pStyle w:val="FootnoteText"/>
        <w:rPr>
          <w:lang w:val="pt-BR"/>
        </w:rPr>
      </w:pPr>
      <w:r w:rsidRPr="003B1C01">
        <w:rPr>
          <w:rStyle w:val="FootnoteReference"/>
        </w:rPr>
        <w:footnoteRef/>
      </w:r>
      <w:r w:rsidRPr="00D53DB7">
        <w:rPr>
          <w:lang w:val="pt-BR"/>
        </w:rPr>
        <w:t xml:space="preserve"> </w:t>
      </w:r>
      <w:r w:rsidRPr="00D53DB7">
        <w:rPr>
          <w:bCs/>
          <w:lang w:val="pt-BR"/>
        </w:rPr>
        <w:t>Corte IDH. Sentencia</w:t>
      </w:r>
      <w:r w:rsidRPr="00D53DB7">
        <w:rPr>
          <w:bCs/>
          <w:i/>
          <w:lang w:val="pt-BR"/>
        </w:rPr>
        <w:t xml:space="preserve"> Retén de Catia</w:t>
      </w:r>
      <w:r w:rsidRPr="00D53DB7">
        <w:rPr>
          <w:bCs/>
          <w:lang w:val="pt-BR"/>
        </w:rPr>
        <w:t xml:space="preserve">, </w:t>
      </w:r>
      <w:r w:rsidRPr="00D53DB7">
        <w:rPr>
          <w:lang w:val="pt-BR"/>
        </w:rPr>
        <w:t xml:space="preserve">párr. </w:t>
      </w:r>
      <w:r w:rsidRPr="003B1C01">
        <w:rPr>
          <w:lang w:val="pt-BR"/>
        </w:rPr>
        <w:t>85</w:t>
      </w:r>
    </w:p>
  </w:footnote>
  <w:footnote w:id="89">
    <w:p w14:paraId="2567BB34" w14:textId="77777777" w:rsidR="00251E25" w:rsidRPr="003B1C01" w:rsidRDefault="00251E25" w:rsidP="002E16D2">
      <w:pPr>
        <w:pStyle w:val="FootnoteText"/>
        <w:rPr>
          <w:rFonts w:cs="Univers"/>
          <w:lang w:val="pt-BR"/>
        </w:rPr>
      </w:pPr>
      <w:r w:rsidRPr="003B1C01">
        <w:rPr>
          <w:rStyle w:val="FootnoteReference"/>
          <w:lang w:val="es-ES"/>
        </w:rPr>
        <w:footnoteRef/>
      </w:r>
      <w:r w:rsidRPr="002E16D2">
        <w:rPr>
          <w:lang w:val="pt-BR"/>
        </w:rPr>
        <w:t xml:space="preserve"> Corte IDH. </w:t>
      </w:r>
      <w:r w:rsidRPr="002E16D2">
        <w:rPr>
          <w:i/>
          <w:iCs/>
          <w:lang w:val="pt-BR"/>
        </w:rPr>
        <w:t xml:space="preserve">Caso Maritza Urrutia Vs. </w:t>
      </w:r>
      <w:r w:rsidRPr="003B1C01">
        <w:rPr>
          <w:i/>
          <w:iCs/>
          <w:lang w:val="es-ES"/>
        </w:rPr>
        <w:t>Guatemala</w:t>
      </w:r>
      <w:r w:rsidRPr="003B1C01">
        <w:rPr>
          <w:lang w:val="es-ES"/>
        </w:rPr>
        <w:t xml:space="preserve">. Fondo, Reparaciones y Costas. Sentencia de 27 de noviembre de 2003. Serie C No. 103 (Sentencia </w:t>
      </w:r>
      <w:r w:rsidRPr="003B1C01">
        <w:rPr>
          <w:i/>
          <w:lang w:val="es-ES"/>
        </w:rPr>
        <w:t>Maritza Urrutia</w:t>
      </w:r>
      <w:r w:rsidRPr="003B1C01">
        <w:rPr>
          <w:lang w:val="es-ES"/>
        </w:rPr>
        <w:t xml:space="preserve">), párr. 89; y </w:t>
      </w:r>
      <w:r w:rsidRPr="003B1C01">
        <w:rPr>
          <w:i/>
          <w:iCs/>
          <w:lang w:val="es-ES"/>
        </w:rPr>
        <w:t>Caso Cantoral Benavides Vs. Perú</w:t>
      </w:r>
      <w:r w:rsidRPr="003B1C01">
        <w:rPr>
          <w:lang w:val="es-ES"/>
        </w:rPr>
        <w:t xml:space="preserve">. </w:t>
      </w:r>
      <w:r w:rsidRPr="003B1C01">
        <w:rPr>
          <w:i/>
          <w:iCs/>
          <w:lang w:val="es-ES"/>
        </w:rPr>
        <w:t>Reparaciones</w:t>
      </w:r>
      <w:r w:rsidRPr="003B1C01">
        <w:rPr>
          <w:lang w:val="es-ES"/>
        </w:rPr>
        <w:t xml:space="preserve">. Sentencia de 3 de diciembre de 2001, Serie C No. 88 (Reparaciones </w:t>
      </w:r>
      <w:r w:rsidRPr="003B1C01">
        <w:rPr>
          <w:i/>
          <w:lang w:val="es-ES"/>
        </w:rPr>
        <w:t>Cantoral Benavides</w:t>
      </w:r>
      <w:r w:rsidRPr="003B1C01">
        <w:rPr>
          <w:lang w:val="es-ES"/>
        </w:rPr>
        <w:t>)</w:t>
      </w:r>
      <w:r w:rsidRPr="003B1C01">
        <w:rPr>
          <w:i/>
          <w:iCs/>
          <w:lang w:val="es-ES"/>
        </w:rPr>
        <w:t xml:space="preserve">, </w:t>
      </w:r>
      <w:r w:rsidRPr="003B1C01">
        <w:rPr>
          <w:lang w:val="es-ES"/>
        </w:rPr>
        <w:t xml:space="preserve">párr. </w:t>
      </w:r>
      <w:r w:rsidRPr="003B1C01">
        <w:rPr>
          <w:lang w:val="pt-BR"/>
        </w:rPr>
        <w:t xml:space="preserve">95.  </w:t>
      </w:r>
    </w:p>
  </w:footnote>
  <w:footnote w:id="90">
    <w:p w14:paraId="17857CCE" w14:textId="77777777" w:rsidR="00251E25" w:rsidRPr="003B1C01" w:rsidRDefault="00251E25" w:rsidP="002E16D2">
      <w:pPr>
        <w:pStyle w:val="FootnoteText"/>
        <w:rPr>
          <w:lang w:val="es-ES"/>
        </w:rPr>
      </w:pPr>
      <w:r w:rsidRPr="003B1C01">
        <w:rPr>
          <w:rStyle w:val="FootnoteReference"/>
          <w:lang w:val="es-ES"/>
        </w:rPr>
        <w:footnoteRef/>
      </w:r>
      <w:r w:rsidRPr="003B1C01">
        <w:rPr>
          <w:lang w:val="pt-BR"/>
        </w:rPr>
        <w:t xml:space="preserve"> Corte IDH. Sentencia </w:t>
      </w:r>
      <w:r w:rsidRPr="003B1C01">
        <w:rPr>
          <w:i/>
          <w:iCs/>
          <w:lang w:val="pt-BR"/>
        </w:rPr>
        <w:t>Maritza Urrutia</w:t>
      </w:r>
      <w:r w:rsidRPr="003B1C01">
        <w:rPr>
          <w:lang w:val="pt-BR"/>
        </w:rPr>
        <w:t xml:space="preserve">, párr. </w:t>
      </w:r>
      <w:r w:rsidRPr="00D53DB7">
        <w:rPr>
          <w:lang w:val="es-US"/>
        </w:rPr>
        <w:t xml:space="preserve">92; Reparaciones </w:t>
      </w:r>
      <w:r w:rsidRPr="00D53DB7">
        <w:rPr>
          <w:i/>
          <w:iCs/>
          <w:lang w:val="es-US"/>
        </w:rPr>
        <w:t xml:space="preserve">Cantoral Benavides, </w:t>
      </w:r>
      <w:r w:rsidRPr="00D53DB7">
        <w:rPr>
          <w:lang w:val="es-US"/>
        </w:rPr>
        <w:t xml:space="preserve">párrs. </w:t>
      </w:r>
      <w:r w:rsidRPr="003B1C01">
        <w:rPr>
          <w:lang w:val="es-ES"/>
        </w:rPr>
        <w:t xml:space="preserve">102 y 103.  </w:t>
      </w:r>
    </w:p>
  </w:footnote>
  <w:footnote w:id="91">
    <w:p w14:paraId="7711A62D" w14:textId="77777777" w:rsidR="00251E25" w:rsidRPr="003B1C01" w:rsidRDefault="00251E25" w:rsidP="002E16D2">
      <w:pPr>
        <w:pStyle w:val="FootnoteText"/>
        <w:rPr>
          <w:lang w:val="es-US"/>
        </w:rPr>
      </w:pPr>
      <w:r w:rsidRPr="003B1C01">
        <w:rPr>
          <w:rStyle w:val="FootnoteReference"/>
        </w:rPr>
        <w:footnoteRef/>
      </w:r>
      <w:r w:rsidRPr="003B1C01">
        <w:rPr>
          <w:lang w:val="es-US"/>
        </w:rPr>
        <w:t xml:space="preserve"> </w:t>
      </w:r>
      <w:r w:rsidRPr="003B1C01">
        <w:rPr>
          <w:lang w:val="es-ES"/>
        </w:rPr>
        <w:t xml:space="preserve">En atención a que la prohibición de tortura se encuentra expresamente incluida en el artículo 5.2 de la Convención, la Comisión estima innecesario en el presente caso analizar </w:t>
      </w:r>
      <w:r>
        <w:rPr>
          <w:lang w:val="es-ES"/>
        </w:rPr>
        <w:t xml:space="preserve">el concepto de tortura a la luz de </w:t>
      </w:r>
      <w:r w:rsidRPr="003B1C01">
        <w:rPr>
          <w:lang w:val="es-ES"/>
        </w:rPr>
        <w:t xml:space="preserve">lo previsto en la </w:t>
      </w:r>
      <w:r w:rsidRPr="003B1C01">
        <w:rPr>
          <w:lang w:val="es-VE"/>
        </w:rPr>
        <w:t xml:space="preserve">Convención Interamericana para prevenir y Sancionar la Tortura, </w:t>
      </w:r>
      <w:r>
        <w:rPr>
          <w:lang w:val="es-VE"/>
        </w:rPr>
        <w:t xml:space="preserve">ya </w:t>
      </w:r>
      <w:r w:rsidRPr="003B1C01">
        <w:rPr>
          <w:lang w:val="es-VE"/>
        </w:rPr>
        <w:t xml:space="preserve">que </w:t>
      </w:r>
      <w:r>
        <w:rPr>
          <w:lang w:val="es-VE"/>
        </w:rPr>
        <w:t xml:space="preserve">ésta </w:t>
      </w:r>
      <w:r w:rsidRPr="003B1C01">
        <w:rPr>
          <w:lang w:val="es-VE"/>
        </w:rPr>
        <w:t xml:space="preserve">fue ratificada por </w:t>
      </w:r>
      <w:r>
        <w:rPr>
          <w:lang w:val="es-VE"/>
        </w:rPr>
        <w:t xml:space="preserve">Ecuador </w:t>
      </w:r>
      <w:r w:rsidRPr="003B1C01">
        <w:rPr>
          <w:lang w:val="es-VE"/>
        </w:rPr>
        <w:t>con posterioridad a los hechos.</w:t>
      </w:r>
    </w:p>
  </w:footnote>
  <w:footnote w:id="92">
    <w:p w14:paraId="7B210727" w14:textId="77777777" w:rsidR="00251E25" w:rsidRPr="00693F90" w:rsidRDefault="00251E25" w:rsidP="002E16D2">
      <w:pPr>
        <w:pStyle w:val="FootnoteText"/>
        <w:rPr>
          <w:lang w:val="es-US"/>
        </w:rPr>
      </w:pPr>
      <w:r w:rsidRPr="003B1C01">
        <w:rPr>
          <w:rStyle w:val="FootnoteReference"/>
        </w:rPr>
        <w:footnoteRef/>
      </w:r>
      <w:r w:rsidRPr="003B1C01">
        <w:rPr>
          <w:lang w:val="es-ES"/>
        </w:rPr>
        <w:t xml:space="preserve"> </w:t>
      </w:r>
      <w:r w:rsidRPr="00081C7F">
        <w:rPr>
          <w:bCs/>
          <w:lang w:val="es-ES"/>
        </w:rPr>
        <w:t xml:space="preserve">Corte IDH. </w:t>
      </w:r>
      <w:r w:rsidRPr="00081C7F">
        <w:rPr>
          <w:bCs/>
          <w:i/>
          <w:lang w:val="es-ES"/>
        </w:rPr>
        <w:t>Caso Espinoza Gonzáles Vs. Perú.</w:t>
      </w:r>
      <w:r w:rsidRPr="00081C7F">
        <w:rPr>
          <w:bCs/>
          <w:lang w:val="es-ES"/>
        </w:rPr>
        <w:t xml:space="preserve"> Excepciones Preliminares, Fondo, Reparaciones y Costas. Sentencia de 20 de noviembre de 2014. Serie C No. 289 (Sentencia </w:t>
      </w:r>
      <w:r w:rsidRPr="00081C7F">
        <w:rPr>
          <w:bCs/>
          <w:i/>
          <w:lang w:val="es-ES"/>
        </w:rPr>
        <w:t>Espinoza Gonzáles</w:t>
      </w:r>
      <w:r w:rsidRPr="00081C7F">
        <w:rPr>
          <w:bCs/>
          <w:lang w:val="es-ES"/>
        </w:rPr>
        <w:t xml:space="preserve">), párr. </w:t>
      </w:r>
      <w:r w:rsidRPr="00693F90">
        <w:rPr>
          <w:lang w:val="es-US"/>
        </w:rPr>
        <w:t>143.</w:t>
      </w:r>
    </w:p>
  </w:footnote>
  <w:footnote w:id="93">
    <w:p w14:paraId="3D1C5848" w14:textId="77777777" w:rsidR="00251E25" w:rsidRPr="00EC5370" w:rsidRDefault="00251E25" w:rsidP="008135F6">
      <w:pPr>
        <w:pStyle w:val="FootnoteText"/>
        <w:rPr>
          <w:lang w:val="es-ES"/>
        </w:rPr>
      </w:pPr>
      <w:r w:rsidRPr="003B1C01">
        <w:rPr>
          <w:rStyle w:val="FootnoteReference"/>
        </w:rPr>
        <w:footnoteRef/>
      </w:r>
      <w:r w:rsidRPr="00D53DB7">
        <w:rPr>
          <w:lang w:val="pt-BR"/>
        </w:rPr>
        <w:t xml:space="preserve"> </w:t>
      </w:r>
      <w:r w:rsidRPr="00D53DB7">
        <w:rPr>
          <w:bCs/>
          <w:lang w:val="pt-BR"/>
        </w:rPr>
        <w:t xml:space="preserve">Corte IDH. </w:t>
      </w:r>
      <w:r w:rsidRPr="00D53DB7">
        <w:rPr>
          <w:bCs/>
          <w:i/>
          <w:lang w:val="pt-BR"/>
        </w:rPr>
        <w:t xml:space="preserve">Caso Bámaca Velásquez Vs. </w:t>
      </w:r>
      <w:r w:rsidRPr="003B1C01">
        <w:rPr>
          <w:bCs/>
          <w:i/>
          <w:lang w:val="es-ES"/>
        </w:rPr>
        <w:t>Guatemala.</w:t>
      </w:r>
      <w:r w:rsidRPr="003B1C01">
        <w:rPr>
          <w:bCs/>
          <w:lang w:val="es-ES"/>
        </w:rPr>
        <w:t xml:space="preserve"> Fondo. Sentencia de 25 de noviembre de 2000. Serie C No. 70</w:t>
      </w:r>
      <w:r>
        <w:rPr>
          <w:bCs/>
          <w:lang w:val="es-ES"/>
        </w:rPr>
        <w:t xml:space="preserve"> (Sentencia </w:t>
      </w:r>
      <w:r w:rsidRPr="0055463E">
        <w:rPr>
          <w:bCs/>
          <w:i/>
          <w:lang w:val="es-ES"/>
        </w:rPr>
        <w:t>Bámaca Velásquez</w:t>
      </w:r>
      <w:r>
        <w:rPr>
          <w:bCs/>
          <w:lang w:val="es-ES"/>
        </w:rPr>
        <w:t>)</w:t>
      </w:r>
      <w:r w:rsidRPr="00EC5370">
        <w:rPr>
          <w:bCs/>
          <w:lang w:val="es-ES"/>
        </w:rPr>
        <w:t xml:space="preserve">, párr. 174. </w:t>
      </w:r>
    </w:p>
  </w:footnote>
  <w:footnote w:id="94">
    <w:p w14:paraId="03739867" w14:textId="77777777" w:rsidR="00251E25" w:rsidRPr="00EC5370" w:rsidRDefault="00251E25" w:rsidP="00472798">
      <w:pPr>
        <w:pStyle w:val="FootnoteText"/>
        <w:rPr>
          <w:lang w:val="es-US"/>
        </w:rPr>
      </w:pPr>
      <w:r w:rsidRPr="00EC5370">
        <w:rPr>
          <w:rStyle w:val="FootnoteReference"/>
          <w:lang w:val="es-US"/>
        </w:rPr>
        <w:footnoteRef/>
      </w:r>
      <w:r w:rsidRPr="00EC5370">
        <w:rPr>
          <w:lang w:val="es-US"/>
        </w:rPr>
        <w:t xml:space="preserve"> </w:t>
      </w:r>
      <w:r w:rsidRPr="00EC5370">
        <w:rPr>
          <w:bCs/>
          <w:lang w:val="es-US"/>
        </w:rPr>
        <w:t xml:space="preserve">Corte IDH. </w:t>
      </w:r>
      <w:r w:rsidRPr="00EC5370">
        <w:rPr>
          <w:bCs/>
          <w:i/>
          <w:lang w:val="es-US"/>
        </w:rPr>
        <w:t>Caso Castillo Petruzzi y otros Vs. Perú</w:t>
      </w:r>
      <w:r w:rsidRPr="00EC5370">
        <w:rPr>
          <w:bCs/>
          <w:lang w:val="es-US"/>
        </w:rPr>
        <w:t>. Fondo, Reparaciones y Costas. Sentencia de 30 de mayo de 1999. Serie C No. 52</w:t>
      </w:r>
      <w:r>
        <w:rPr>
          <w:bCs/>
          <w:lang w:val="es-US"/>
        </w:rPr>
        <w:t xml:space="preserve"> (Sentencia </w:t>
      </w:r>
      <w:r w:rsidRPr="00A44D6C">
        <w:rPr>
          <w:bCs/>
          <w:i/>
          <w:iCs/>
          <w:lang w:val="es-US"/>
        </w:rPr>
        <w:t>Castillo Petruzzi y otros</w:t>
      </w:r>
      <w:r>
        <w:rPr>
          <w:bCs/>
          <w:lang w:val="es-US"/>
        </w:rPr>
        <w:t>)</w:t>
      </w:r>
      <w:r w:rsidRPr="00EC5370">
        <w:rPr>
          <w:bCs/>
          <w:lang w:val="es-US"/>
        </w:rPr>
        <w:t xml:space="preserve">, párr. </w:t>
      </w:r>
      <w:r>
        <w:rPr>
          <w:bCs/>
          <w:lang w:val="es-US"/>
        </w:rPr>
        <w:t>89</w:t>
      </w:r>
      <w:r w:rsidRPr="00EC5370">
        <w:rPr>
          <w:bCs/>
          <w:lang w:val="es-US"/>
        </w:rPr>
        <w:t>.</w:t>
      </w:r>
    </w:p>
  </w:footnote>
  <w:footnote w:id="95">
    <w:p w14:paraId="04AA5D85" w14:textId="77777777" w:rsidR="00251E25" w:rsidRPr="00653B23" w:rsidRDefault="00251E25" w:rsidP="00472798">
      <w:pPr>
        <w:pStyle w:val="FootnoteText"/>
        <w:rPr>
          <w:rFonts w:cs="Arial"/>
          <w:lang w:val="es-US"/>
        </w:rPr>
      </w:pPr>
      <w:r w:rsidRPr="00653B23">
        <w:rPr>
          <w:rStyle w:val="FootnoteReference"/>
          <w:rFonts w:cs="Arial"/>
          <w:lang w:val="es-US"/>
        </w:rPr>
        <w:footnoteRef/>
      </w:r>
      <w:r w:rsidRPr="00EC5370">
        <w:rPr>
          <w:rFonts w:cs="Arial"/>
          <w:lang w:val="es-US"/>
        </w:rPr>
        <w:t xml:space="preserve"> </w:t>
      </w:r>
      <w:r w:rsidRPr="00EC5370">
        <w:rPr>
          <w:lang w:val="es-US"/>
        </w:rPr>
        <w:t xml:space="preserve">CIDH. </w:t>
      </w:r>
      <w:hyperlink r:id="rId5" w:history="1">
        <w:r w:rsidRPr="00653B23">
          <w:rPr>
            <w:lang w:val="es-US"/>
          </w:rPr>
          <w:t>Informe No. 174/10</w:t>
        </w:r>
      </w:hyperlink>
      <w:r w:rsidRPr="00653B23">
        <w:rPr>
          <w:lang w:val="es-US"/>
        </w:rPr>
        <w:t xml:space="preserve">, Caso 12.688. Fondo. </w:t>
      </w:r>
      <w:r w:rsidRPr="001E21C3">
        <w:rPr>
          <w:i/>
          <w:lang w:val="es-US"/>
        </w:rPr>
        <w:t>Nadege Dorzama y otros o Masacre de Guayubin.</w:t>
      </w:r>
      <w:r>
        <w:rPr>
          <w:lang w:val="es-US"/>
        </w:rPr>
        <w:t xml:space="preserve"> República Dominicana.</w:t>
      </w:r>
      <w:r w:rsidRPr="00653B23">
        <w:rPr>
          <w:lang w:val="es-US"/>
        </w:rPr>
        <w:t xml:space="preserve"> 2 de noviembre de 2010, párr. 108. Ver</w:t>
      </w:r>
      <w:r>
        <w:rPr>
          <w:lang w:val="es-US"/>
        </w:rPr>
        <w:t>,</w:t>
      </w:r>
      <w:r w:rsidRPr="00653B23">
        <w:rPr>
          <w:lang w:val="es-US"/>
        </w:rPr>
        <w:t xml:space="preserve"> en este sentido: Corte ID</w:t>
      </w:r>
      <w:r>
        <w:rPr>
          <w:lang w:val="es-US"/>
        </w:rPr>
        <w:t>H</w:t>
      </w:r>
      <w:r w:rsidRPr="00653B23">
        <w:rPr>
          <w:lang w:val="es-US"/>
        </w:rPr>
        <w:t>,</w:t>
      </w:r>
      <w:r>
        <w:rPr>
          <w:lang w:val="es-US"/>
        </w:rPr>
        <w:t xml:space="preserve"> </w:t>
      </w:r>
      <w:r w:rsidRPr="001E21C3">
        <w:rPr>
          <w:lang w:val="es-ES_tradnl"/>
        </w:rPr>
        <w:t xml:space="preserve">Sentencia </w:t>
      </w:r>
      <w:r w:rsidRPr="001E21C3">
        <w:rPr>
          <w:i/>
          <w:lang w:val="es-ES_tradnl"/>
        </w:rPr>
        <w:t>Zambrano Vélez y otros</w:t>
      </w:r>
      <w:r>
        <w:rPr>
          <w:rFonts w:cs="Arial"/>
          <w:lang w:val="es-US"/>
        </w:rPr>
        <w:t>, párr. 83</w:t>
      </w:r>
      <w:r w:rsidRPr="00653B23">
        <w:rPr>
          <w:rFonts w:cs="Arial"/>
          <w:lang w:val="es-US"/>
        </w:rPr>
        <w:t xml:space="preserve"> y </w:t>
      </w:r>
      <w:r w:rsidRPr="001E21C3">
        <w:rPr>
          <w:rFonts w:cs="Arial"/>
          <w:lang w:val="es-ES_tradnl"/>
        </w:rPr>
        <w:t xml:space="preserve">Sentencia </w:t>
      </w:r>
      <w:r w:rsidRPr="001E21C3">
        <w:rPr>
          <w:rFonts w:cs="Arial"/>
          <w:i/>
          <w:lang w:val="es-ES_tradnl"/>
        </w:rPr>
        <w:t>Retén de Catia</w:t>
      </w:r>
      <w:r w:rsidRPr="00653B23">
        <w:rPr>
          <w:rFonts w:cs="Arial"/>
          <w:lang w:val="es-US"/>
        </w:rPr>
        <w:t xml:space="preserve">, párr. 67. </w:t>
      </w:r>
    </w:p>
  </w:footnote>
  <w:footnote w:id="96">
    <w:p w14:paraId="16D27057" w14:textId="77777777" w:rsidR="00251E25" w:rsidRPr="003B1C01" w:rsidRDefault="00251E25" w:rsidP="00857B4A">
      <w:pPr>
        <w:pStyle w:val="FootnoteText"/>
        <w:rPr>
          <w:lang w:val="es-ES"/>
        </w:rPr>
      </w:pPr>
      <w:r w:rsidRPr="003B1C01">
        <w:rPr>
          <w:rStyle w:val="FootnoteReference"/>
        </w:rPr>
        <w:footnoteRef/>
      </w:r>
      <w:r>
        <w:rPr>
          <w:lang w:val="es-ES"/>
        </w:rPr>
        <w:t xml:space="preserve"> Ver, entre otros:</w:t>
      </w:r>
      <w:r w:rsidRPr="003B1C01">
        <w:rPr>
          <w:lang w:val="es-ES"/>
        </w:rPr>
        <w:t xml:space="preserve"> </w:t>
      </w:r>
      <w:r w:rsidRPr="003B1C01">
        <w:rPr>
          <w:bCs/>
          <w:lang w:val="es-ES"/>
        </w:rPr>
        <w:t xml:space="preserve">Corte IDH. </w:t>
      </w:r>
      <w:r w:rsidRPr="003B1C01">
        <w:rPr>
          <w:bCs/>
          <w:i/>
          <w:lang w:val="es-ES"/>
        </w:rPr>
        <w:t>Caso Juan Humberto Sánchez Vs. Honduras</w:t>
      </w:r>
      <w:r w:rsidRPr="003B1C01">
        <w:rPr>
          <w:bCs/>
          <w:lang w:val="es-ES"/>
        </w:rPr>
        <w:t>. Excepción Preliminar, Fondo, Reparaciones y Costas. Sentencia de 7 de junio de 2003. Serie C No. 99, párr. 111</w:t>
      </w:r>
      <w:r>
        <w:rPr>
          <w:bCs/>
          <w:lang w:val="es-ES"/>
        </w:rPr>
        <w:t xml:space="preserve">; </w:t>
      </w:r>
      <w:r w:rsidRPr="000D0C14">
        <w:rPr>
          <w:bCs/>
          <w:lang w:val="es-ES_tradnl"/>
        </w:rPr>
        <w:t xml:space="preserve">Sentencia </w:t>
      </w:r>
      <w:r w:rsidRPr="000D0C14">
        <w:rPr>
          <w:bCs/>
          <w:i/>
          <w:lang w:val="es-ES_tradnl"/>
        </w:rPr>
        <w:t>Zambrano Vélez y otros</w:t>
      </w:r>
      <w:r w:rsidRPr="000D0C14">
        <w:rPr>
          <w:bCs/>
          <w:lang w:val="es-US"/>
        </w:rPr>
        <w:t xml:space="preserve">, párr. </w:t>
      </w:r>
      <w:r w:rsidRPr="00653B23">
        <w:rPr>
          <w:rFonts w:ascii="Cambria" w:eastAsia="Times New Roman" w:hAnsi="Cambria"/>
          <w:bdr w:val="none" w:sz="0" w:space="0" w:color="auto"/>
          <w:lang w:val="es-US"/>
        </w:rPr>
        <w:t>108;</w:t>
      </w:r>
      <w:r>
        <w:rPr>
          <w:rFonts w:ascii="Cambria" w:eastAsia="Times New Roman" w:hAnsi="Cambria"/>
          <w:bdr w:val="none" w:sz="0" w:space="0" w:color="auto"/>
          <w:lang w:val="es-US"/>
        </w:rPr>
        <w:t xml:space="preserve"> y </w:t>
      </w:r>
      <w:r w:rsidRPr="000D0C14">
        <w:rPr>
          <w:rFonts w:ascii="Cambria" w:eastAsia="Times New Roman" w:hAnsi="Cambria"/>
          <w:bdr w:val="none" w:sz="0" w:space="0" w:color="auto"/>
          <w:lang w:val="es-ES_tradnl"/>
        </w:rPr>
        <w:t xml:space="preserve">Sentencia </w:t>
      </w:r>
      <w:r w:rsidRPr="000D0C14">
        <w:rPr>
          <w:rFonts w:ascii="Cambria" w:eastAsia="Times New Roman" w:hAnsi="Cambria"/>
          <w:i/>
          <w:bdr w:val="none" w:sz="0" w:space="0" w:color="auto"/>
          <w:lang w:val="es-ES_tradnl"/>
        </w:rPr>
        <w:t>Retén de Catia</w:t>
      </w:r>
      <w:r w:rsidRPr="000D0C14">
        <w:rPr>
          <w:rFonts w:ascii="Cambria" w:eastAsia="Times New Roman" w:hAnsi="Cambria"/>
          <w:bdr w:val="none" w:sz="0" w:space="0" w:color="auto"/>
          <w:lang w:val="es-US"/>
        </w:rPr>
        <w:t xml:space="preserve">, párr. </w:t>
      </w:r>
      <w:r w:rsidRPr="00653B23">
        <w:rPr>
          <w:rFonts w:ascii="Cambria" w:eastAsia="Times New Roman" w:hAnsi="Cambria"/>
          <w:bdr w:val="none" w:sz="0" w:space="0" w:color="auto"/>
          <w:lang w:val="es-US"/>
        </w:rPr>
        <w:t>80</w:t>
      </w:r>
      <w:r>
        <w:rPr>
          <w:rFonts w:ascii="Cambria" w:eastAsia="Times New Roman" w:hAnsi="Cambria"/>
          <w:bdr w:val="none" w:sz="0" w:space="0" w:color="auto"/>
          <w:lang w:val="es-US"/>
        </w:rPr>
        <w:t>.</w:t>
      </w:r>
    </w:p>
  </w:footnote>
  <w:footnote w:id="97">
    <w:p w14:paraId="222C75DA" w14:textId="77777777" w:rsidR="00251E25" w:rsidRPr="004F56D5" w:rsidRDefault="00251E25">
      <w:pPr>
        <w:pStyle w:val="FootnoteText"/>
        <w:rPr>
          <w:lang w:val="es-US"/>
        </w:rPr>
      </w:pPr>
      <w:r>
        <w:rPr>
          <w:rStyle w:val="FootnoteReference"/>
        </w:rPr>
        <w:footnoteRef/>
      </w:r>
      <w:r w:rsidRPr="004F56D5">
        <w:rPr>
          <w:lang w:val="es-US"/>
        </w:rPr>
        <w:t xml:space="preserve"> </w:t>
      </w:r>
      <w:r>
        <w:rPr>
          <w:lang w:val="es-US"/>
        </w:rPr>
        <w:t xml:space="preserve">ONU. </w:t>
      </w:r>
      <w:r w:rsidRPr="004F56D5">
        <w:rPr>
          <w:lang w:val="es-US"/>
        </w:rPr>
        <w:t>Principios Básicos sobre el Empleo de la Fuerza y de Armas de Fuego por los Funcionarios Encargados de Hacer Cumplir la Ley</w:t>
      </w:r>
      <w:r>
        <w:rPr>
          <w:lang w:val="es-US"/>
        </w:rPr>
        <w:t xml:space="preserve">. </w:t>
      </w:r>
      <w:r w:rsidRPr="004F56D5">
        <w:rPr>
          <w:lang w:val="es-US"/>
        </w:rPr>
        <w:t>Adoptados por el Octavo Congreso de las Naciones Unidas sobre Prevención del Delito y Tratamiento del Delincuente, celebrado en La Habana (Cuba) del 27 de agosto al 7 de septiembre de 1990</w:t>
      </w:r>
      <w:r>
        <w:rPr>
          <w:lang w:val="es-US"/>
        </w:rPr>
        <w:t xml:space="preserve"> (ONU, Principios Básicos sobre el Empleo de la Fuerza), disponible en: </w:t>
      </w:r>
      <w:hyperlink r:id="rId6" w:history="1">
        <w:r w:rsidRPr="004F56D5">
          <w:rPr>
            <w:rStyle w:val="Hyperlink"/>
            <w:lang w:val="es-US"/>
          </w:rPr>
          <w:t>https://www.ohchr.org/SP/ProfessionalInterest/Pages/UseOfForceAndFirearms.aspx</w:t>
        </w:r>
      </w:hyperlink>
      <w:r>
        <w:rPr>
          <w:lang w:val="es-US"/>
        </w:rPr>
        <w:t>.</w:t>
      </w:r>
    </w:p>
  </w:footnote>
  <w:footnote w:id="98">
    <w:p w14:paraId="1EB1E12C" w14:textId="77777777" w:rsidR="00251E25" w:rsidRPr="005E61BA" w:rsidRDefault="00251E25">
      <w:pPr>
        <w:pStyle w:val="FootnoteText"/>
        <w:rPr>
          <w:lang w:val="es-US"/>
        </w:rPr>
      </w:pPr>
      <w:r>
        <w:rPr>
          <w:rStyle w:val="FootnoteReference"/>
        </w:rPr>
        <w:footnoteRef/>
      </w:r>
      <w:r w:rsidRPr="004F56D5">
        <w:rPr>
          <w:lang w:val="es-US"/>
        </w:rPr>
        <w:t xml:space="preserve"> </w:t>
      </w:r>
      <w:r>
        <w:rPr>
          <w:lang w:val="es-US"/>
        </w:rPr>
        <w:t xml:space="preserve">ONU. </w:t>
      </w:r>
      <w:r w:rsidRPr="005E61BA">
        <w:rPr>
          <w:lang w:val="es-US"/>
        </w:rPr>
        <w:t>Código de conducta para funcionarios encargados de hacer cumplir la ley</w:t>
      </w:r>
      <w:r>
        <w:rPr>
          <w:lang w:val="es-US"/>
        </w:rPr>
        <w:t xml:space="preserve">. </w:t>
      </w:r>
      <w:r w:rsidRPr="005E61BA">
        <w:rPr>
          <w:lang w:val="es-US"/>
        </w:rPr>
        <w:t>Adoptado por la Asamblea General en su resolución 34/169, de 17 de diciembre de 1979</w:t>
      </w:r>
      <w:r>
        <w:rPr>
          <w:lang w:val="es-US"/>
        </w:rPr>
        <w:t xml:space="preserve"> (ONU, Código de Conducta), disponible en: </w:t>
      </w:r>
      <w:hyperlink r:id="rId7" w:history="1">
        <w:r w:rsidRPr="005E61BA">
          <w:rPr>
            <w:rStyle w:val="Hyperlink"/>
            <w:lang w:val="es-US"/>
          </w:rPr>
          <w:t>https://www.ohchr.org/SP/ProfessionalInterest/Pages/LawEnforcementOfficials.aspx</w:t>
        </w:r>
      </w:hyperlink>
      <w:r>
        <w:rPr>
          <w:lang w:val="es-US"/>
        </w:rPr>
        <w:t>.</w:t>
      </w:r>
    </w:p>
  </w:footnote>
  <w:footnote w:id="99">
    <w:p w14:paraId="29181892" w14:textId="77777777" w:rsidR="00251E25" w:rsidRPr="005E61BA" w:rsidRDefault="00251E25" w:rsidP="005E61BA">
      <w:pPr>
        <w:pStyle w:val="FootnoteText"/>
        <w:rPr>
          <w:lang w:val="es-US"/>
        </w:rPr>
      </w:pPr>
      <w:r>
        <w:rPr>
          <w:rStyle w:val="FootnoteReference"/>
        </w:rPr>
        <w:footnoteRef/>
      </w:r>
      <w:r w:rsidRPr="005E61BA">
        <w:rPr>
          <w:lang w:val="es-US"/>
        </w:rPr>
        <w:t xml:space="preserve"> Corte IDH. </w:t>
      </w:r>
      <w:r w:rsidRPr="005E61BA">
        <w:rPr>
          <w:i/>
          <w:lang w:val="es-US"/>
        </w:rPr>
        <w:t>Caso Nadege Dorzema y otros Vs. República Dominicana.</w:t>
      </w:r>
      <w:r w:rsidRPr="005E61BA">
        <w:rPr>
          <w:lang w:val="es-US"/>
        </w:rPr>
        <w:t xml:space="preserve"> Fondo, Reparaciones y Costas. Sentencia de 24 de o</w:t>
      </w:r>
      <w:r>
        <w:rPr>
          <w:lang w:val="es-US"/>
        </w:rPr>
        <w:t xml:space="preserve">ctubre de 2012. Serie C No. 251 (Sentencia </w:t>
      </w:r>
      <w:r w:rsidRPr="005E61BA">
        <w:rPr>
          <w:i/>
          <w:lang w:val="es-US"/>
        </w:rPr>
        <w:t>Nadege Dorzema y otros</w:t>
      </w:r>
      <w:r>
        <w:rPr>
          <w:i/>
          <w:lang w:val="es-US"/>
        </w:rPr>
        <w:t>)</w:t>
      </w:r>
      <w:r w:rsidRPr="005E61BA">
        <w:rPr>
          <w:lang w:val="es-US"/>
        </w:rPr>
        <w:t>, párr. 78.</w:t>
      </w:r>
    </w:p>
  </w:footnote>
  <w:footnote w:id="100">
    <w:p w14:paraId="1C736CBD" w14:textId="77777777" w:rsidR="00251E25" w:rsidRPr="004C1D58" w:rsidRDefault="00251E25">
      <w:pPr>
        <w:pStyle w:val="FootnoteText"/>
        <w:rPr>
          <w:lang w:val="es-US"/>
        </w:rPr>
      </w:pPr>
      <w:r>
        <w:rPr>
          <w:rStyle w:val="FootnoteReference"/>
        </w:rPr>
        <w:footnoteRef/>
      </w:r>
      <w:r w:rsidRPr="004C1D58">
        <w:rPr>
          <w:lang w:val="es-US"/>
        </w:rPr>
        <w:t xml:space="preserve"> Corte IDH. </w:t>
      </w:r>
      <w:r w:rsidRPr="004C1D58">
        <w:rPr>
          <w:i/>
          <w:lang w:val="es-US"/>
        </w:rPr>
        <w:t>Caso Hermanos Landaeta Mejías y otros Vs. Venezuela</w:t>
      </w:r>
      <w:r w:rsidRPr="004C1D58">
        <w:rPr>
          <w:lang w:val="es-US"/>
        </w:rPr>
        <w:t>. Excepciones Preliminares, Fondo, Reparaciones y Costas. Sentencia de 27 de agosto de 2014. Serie C No. 281</w:t>
      </w:r>
      <w:r>
        <w:rPr>
          <w:lang w:val="es-US"/>
        </w:rPr>
        <w:t xml:space="preserve"> (Sentencia</w:t>
      </w:r>
      <w:r w:rsidRPr="004C1D58">
        <w:rPr>
          <w:rFonts w:ascii="Times New Roman" w:eastAsia="Times New Roman" w:hAnsi="Times New Roman" w:cs="Times New Roman"/>
          <w:i/>
          <w:color w:val="auto"/>
          <w:sz w:val="24"/>
          <w:szCs w:val="24"/>
          <w:bdr w:val="none" w:sz="0" w:space="0" w:color="auto"/>
          <w:lang w:val="es-US" w:eastAsia="en-US"/>
        </w:rPr>
        <w:t xml:space="preserve"> </w:t>
      </w:r>
      <w:r w:rsidRPr="004C1D58">
        <w:rPr>
          <w:i/>
          <w:lang w:val="es-US"/>
        </w:rPr>
        <w:t>Hermanos Landaeta Mejías y otros</w:t>
      </w:r>
      <w:r>
        <w:rPr>
          <w:i/>
          <w:lang w:val="es-US"/>
        </w:rPr>
        <w:t>)</w:t>
      </w:r>
      <w:r>
        <w:rPr>
          <w:lang w:val="es-US"/>
        </w:rPr>
        <w:t>, párrs. 125-127.</w:t>
      </w:r>
    </w:p>
  </w:footnote>
  <w:footnote w:id="101">
    <w:p w14:paraId="131F3E05" w14:textId="77777777" w:rsidR="00251E25" w:rsidRPr="004C1D58" w:rsidRDefault="00251E25">
      <w:pPr>
        <w:pStyle w:val="FootnoteText"/>
        <w:rPr>
          <w:lang w:val="es-US"/>
        </w:rPr>
      </w:pPr>
      <w:r>
        <w:rPr>
          <w:rStyle w:val="FootnoteReference"/>
        </w:rPr>
        <w:footnoteRef/>
      </w:r>
      <w:r w:rsidRPr="004C1D58">
        <w:rPr>
          <w:lang w:val="es-US"/>
        </w:rPr>
        <w:t xml:space="preserve"> </w:t>
      </w:r>
      <w:r>
        <w:rPr>
          <w:lang w:val="es-US"/>
        </w:rPr>
        <w:t xml:space="preserve">Corte IDH. </w:t>
      </w:r>
      <w:r w:rsidRPr="004C1D58">
        <w:rPr>
          <w:lang w:val="es-US"/>
        </w:rPr>
        <w:t>Sentencia</w:t>
      </w:r>
      <w:r w:rsidRPr="004C1D58">
        <w:rPr>
          <w:i/>
          <w:lang w:val="es-US"/>
        </w:rPr>
        <w:t xml:space="preserve"> Hermanos Landaeta Mejías y otros</w:t>
      </w:r>
      <w:r>
        <w:rPr>
          <w:i/>
          <w:lang w:val="es-US"/>
        </w:rPr>
        <w:t>,</w:t>
      </w:r>
      <w:r>
        <w:rPr>
          <w:lang w:val="es-US"/>
        </w:rPr>
        <w:t xml:space="preserve"> párr. 126. </w:t>
      </w:r>
    </w:p>
  </w:footnote>
  <w:footnote w:id="102">
    <w:p w14:paraId="309AF180" w14:textId="77777777" w:rsidR="00251E25" w:rsidRPr="00653B23" w:rsidRDefault="00251E25" w:rsidP="004C1D58">
      <w:pPr>
        <w:jc w:val="both"/>
        <w:rPr>
          <w:rFonts w:ascii="Cambria" w:hAnsi="Cambria"/>
          <w:sz w:val="16"/>
          <w:szCs w:val="16"/>
          <w:lang w:val="es-US"/>
        </w:rPr>
      </w:pPr>
      <w:r w:rsidRPr="00653B23">
        <w:rPr>
          <w:rStyle w:val="FootnoteReference"/>
          <w:rFonts w:ascii="Cambria" w:hAnsi="Cambria"/>
          <w:sz w:val="16"/>
          <w:szCs w:val="16"/>
          <w:lang w:val="es-US"/>
        </w:rPr>
        <w:footnoteRef/>
      </w:r>
      <w:r w:rsidRPr="00653B23">
        <w:rPr>
          <w:rFonts w:ascii="Cambria" w:hAnsi="Cambria"/>
          <w:sz w:val="16"/>
          <w:szCs w:val="16"/>
          <w:lang w:val="es-US"/>
        </w:rPr>
        <w:t xml:space="preserve"> </w:t>
      </w:r>
      <w:r>
        <w:rPr>
          <w:rFonts w:ascii="Cambria" w:hAnsi="Cambria"/>
          <w:sz w:val="16"/>
          <w:szCs w:val="16"/>
          <w:lang w:val="es-US"/>
        </w:rPr>
        <w:t xml:space="preserve">Corte IDH. </w:t>
      </w:r>
      <w:r w:rsidRPr="004C1D58">
        <w:rPr>
          <w:rFonts w:ascii="Cambria" w:hAnsi="Cambria"/>
          <w:sz w:val="16"/>
          <w:szCs w:val="16"/>
          <w:lang w:val="es-US"/>
        </w:rPr>
        <w:t>Sentencia</w:t>
      </w:r>
      <w:r w:rsidRPr="004C1D58">
        <w:rPr>
          <w:rFonts w:ascii="Cambria" w:hAnsi="Cambria"/>
          <w:i/>
          <w:sz w:val="16"/>
          <w:szCs w:val="16"/>
          <w:lang w:val="es-US"/>
        </w:rPr>
        <w:t xml:space="preserve"> Hermanos Landaeta Mejías y otros,</w:t>
      </w:r>
      <w:r w:rsidRPr="004C1D58">
        <w:rPr>
          <w:rFonts w:ascii="Cambria" w:hAnsi="Cambria"/>
          <w:sz w:val="16"/>
          <w:szCs w:val="16"/>
          <w:lang w:val="es-US"/>
        </w:rPr>
        <w:t xml:space="preserve"> párr. </w:t>
      </w:r>
      <w:r>
        <w:rPr>
          <w:rFonts w:ascii="Cambria" w:hAnsi="Cambria"/>
          <w:sz w:val="16"/>
          <w:szCs w:val="16"/>
          <w:lang w:val="es-US"/>
        </w:rPr>
        <w:t xml:space="preserve">126; y </w:t>
      </w:r>
      <w:r w:rsidRPr="00081C7F">
        <w:rPr>
          <w:rFonts w:ascii="Cambria" w:hAnsi="Cambria"/>
          <w:sz w:val="16"/>
          <w:szCs w:val="16"/>
          <w:lang w:val="es-US"/>
        </w:rPr>
        <w:t>Sentencia</w:t>
      </w:r>
      <w:r w:rsidRPr="00081C7F">
        <w:rPr>
          <w:rFonts w:ascii="Cambria" w:hAnsi="Cambria"/>
          <w:i/>
          <w:sz w:val="16"/>
          <w:szCs w:val="16"/>
          <w:lang w:val="es-US"/>
        </w:rPr>
        <w:t xml:space="preserve"> Nadege Dorzema y otros</w:t>
      </w:r>
      <w:r>
        <w:rPr>
          <w:rFonts w:ascii="Cambria" w:hAnsi="Cambria"/>
          <w:sz w:val="16"/>
          <w:szCs w:val="16"/>
          <w:lang w:val="es-US"/>
        </w:rPr>
        <w:t xml:space="preserve">, párr. </w:t>
      </w:r>
      <w:r w:rsidRPr="00081C7F">
        <w:rPr>
          <w:rFonts w:ascii="Cambria" w:hAnsi="Cambria"/>
          <w:sz w:val="16"/>
          <w:szCs w:val="16"/>
          <w:lang w:val="es-US"/>
        </w:rPr>
        <w:t>8</w:t>
      </w:r>
      <w:r>
        <w:rPr>
          <w:rFonts w:ascii="Cambria" w:hAnsi="Cambria"/>
          <w:sz w:val="16"/>
          <w:szCs w:val="16"/>
          <w:lang w:val="es-US"/>
        </w:rPr>
        <w:t>0</w:t>
      </w:r>
      <w:r w:rsidRPr="00081C7F">
        <w:rPr>
          <w:rFonts w:ascii="Cambria" w:hAnsi="Cambria"/>
          <w:sz w:val="16"/>
          <w:szCs w:val="16"/>
          <w:lang w:val="es-US"/>
        </w:rPr>
        <w:t>.</w:t>
      </w:r>
    </w:p>
  </w:footnote>
  <w:footnote w:id="103">
    <w:p w14:paraId="432F915E" w14:textId="77777777" w:rsidR="00251E25" w:rsidRPr="003B0246" w:rsidRDefault="00251E25">
      <w:pPr>
        <w:pStyle w:val="FootnoteText"/>
        <w:rPr>
          <w:lang w:val="es-ES"/>
        </w:rPr>
      </w:pPr>
      <w:r>
        <w:rPr>
          <w:rStyle w:val="FootnoteReference"/>
        </w:rPr>
        <w:footnoteRef/>
      </w:r>
      <w:r w:rsidRPr="00D53DB7">
        <w:rPr>
          <w:lang w:val="pt-BR"/>
        </w:rPr>
        <w:t xml:space="preserve"> </w:t>
      </w:r>
      <w:r w:rsidRPr="00D53DB7">
        <w:rPr>
          <w:bCs/>
          <w:lang w:val="pt-BR"/>
        </w:rPr>
        <w:t>Corte IDH. Sentencia</w:t>
      </w:r>
      <w:r w:rsidRPr="00D53DB7">
        <w:rPr>
          <w:bCs/>
          <w:i/>
          <w:lang w:val="pt-BR"/>
        </w:rPr>
        <w:t xml:space="preserve"> Retén de Catia</w:t>
      </w:r>
      <w:r w:rsidRPr="00D53DB7">
        <w:rPr>
          <w:bCs/>
          <w:lang w:val="pt-BR"/>
        </w:rPr>
        <w:t xml:space="preserve">, </w:t>
      </w:r>
      <w:r w:rsidRPr="00D53DB7">
        <w:rPr>
          <w:lang w:val="pt-BR"/>
        </w:rPr>
        <w:t xml:space="preserve">párr. </w:t>
      </w:r>
      <w:r w:rsidRPr="00574704">
        <w:rPr>
          <w:lang w:val="es-US"/>
        </w:rPr>
        <w:t>68.</w:t>
      </w:r>
    </w:p>
  </w:footnote>
  <w:footnote w:id="104">
    <w:p w14:paraId="12E8A322" w14:textId="77777777" w:rsidR="00251E25" w:rsidRPr="003B0246" w:rsidRDefault="00251E25">
      <w:pPr>
        <w:pStyle w:val="FootnoteText"/>
        <w:rPr>
          <w:lang w:val="es-ES"/>
        </w:rPr>
      </w:pPr>
      <w:r>
        <w:rPr>
          <w:rStyle w:val="FootnoteReference"/>
        </w:rPr>
        <w:footnoteRef/>
      </w:r>
      <w:r w:rsidRPr="003B0246">
        <w:rPr>
          <w:lang w:val="es-ES"/>
        </w:rPr>
        <w:t xml:space="preserve"> </w:t>
      </w:r>
      <w:r>
        <w:rPr>
          <w:lang w:val="es-ES"/>
        </w:rPr>
        <w:t xml:space="preserve">Corte IDH. </w:t>
      </w:r>
      <w:r w:rsidRPr="00547CBA">
        <w:rPr>
          <w:bCs/>
          <w:lang w:val="es-US"/>
        </w:rPr>
        <w:t xml:space="preserve">Sentencia </w:t>
      </w:r>
      <w:r w:rsidRPr="00F13B81">
        <w:rPr>
          <w:bCs/>
          <w:i/>
          <w:iCs/>
          <w:lang w:val="es-US"/>
        </w:rPr>
        <w:t>Valencia Hinojosa y otra</w:t>
      </w:r>
      <w:r>
        <w:rPr>
          <w:bCs/>
          <w:lang w:val="es-US"/>
        </w:rPr>
        <w:t>, párr. 137</w:t>
      </w:r>
      <w:r w:rsidRPr="00FA58FA">
        <w:rPr>
          <w:lang w:val="es-ES_tradnl"/>
        </w:rPr>
        <w:t>.</w:t>
      </w:r>
    </w:p>
  </w:footnote>
  <w:footnote w:id="105">
    <w:p w14:paraId="01C71CFB" w14:textId="77777777" w:rsidR="00251E25" w:rsidRPr="0094427B" w:rsidRDefault="00251E25" w:rsidP="00472798">
      <w:pPr>
        <w:pStyle w:val="FootnoteText"/>
        <w:rPr>
          <w:highlight w:val="yellow"/>
          <w:lang w:val="es-US"/>
        </w:rPr>
      </w:pPr>
      <w:r w:rsidRPr="00653B23">
        <w:rPr>
          <w:rStyle w:val="FootnoteReference"/>
          <w:lang w:val="es-US"/>
        </w:rPr>
        <w:footnoteRef/>
      </w:r>
      <w:r w:rsidRPr="00653B23">
        <w:rPr>
          <w:lang w:val="es-US"/>
        </w:rPr>
        <w:t xml:space="preserve"> </w:t>
      </w:r>
      <w:r w:rsidRPr="007041A0">
        <w:rPr>
          <w:lang w:val="es-US"/>
        </w:rPr>
        <w:t>Corte IDH. Sentencia</w:t>
      </w:r>
      <w:r w:rsidRPr="007041A0">
        <w:rPr>
          <w:i/>
          <w:lang w:val="es-US"/>
        </w:rPr>
        <w:t xml:space="preserve"> Nadege Dorzema y otros</w:t>
      </w:r>
      <w:r w:rsidRPr="007041A0">
        <w:rPr>
          <w:lang w:val="es-US"/>
        </w:rPr>
        <w:t>, párr. 8</w:t>
      </w:r>
      <w:r>
        <w:rPr>
          <w:lang w:val="es-US"/>
        </w:rPr>
        <w:t>1.</w:t>
      </w:r>
    </w:p>
  </w:footnote>
  <w:footnote w:id="106">
    <w:p w14:paraId="4EAF838D" w14:textId="77777777" w:rsidR="00251E25" w:rsidRPr="00653B23" w:rsidRDefault="00251E25" w:rsidP="008D39A2">
      <w:pPr>
        <w:jc w:val="both"/>
        <w:rPr>
          <w:rFonts w:ascii="Cambria" w:hAnsi="Cambria"/>
          <w:sz w:val="16"/>
          <w:szCs w:val="16"/>
          <w:lang w:val="es-US"/>
        </w:rPr>
      </w:pPr>
      <w:r w:rsidRPr="00653B23">
        <w:rPr>
          <w:rStyle w:val="FootnoteReference"/>
          <w:rFonts w:ascii="Cambria" w:hAnsi="Cambria"/>
          <w:sz w:val="16"/>
          <w:szCs w:val="16"/>
          <w:lang w:val="es-US"/>
        </w:rPr>
        <w:footnoteRef/>
      </w:r>
      <w:r w:rsidRPr="00653B23">
        <w:rPr>
          <w:rFonts w:ascii="Cambria" w:hAnsi="Cambria"/>
          <w:sz w:val="16"/>
          <w:szCs w:val="16"/>
          <w:lang w:val="es-US"/>
        </w:rPr>
        <w:t xml:space="preserve"> En relación con el artículo 2 de la Convención Americana, la Corte ha </w:t>
      </w:r>
      <w:r>
        <w:rPr>
          <w:rFonts w:ascii="Cambria" w:hAnsi="Cambria"/>
          <w:sz w:val="16"/>
          <w:szCs w:val="16"/>
          <w:lang w:val="es-US"/>
        </w:rPr>
        <w:t xml:space="preserve">indicado </w:t>
      </w:r>
      <w:r w:rsidRPr="00653B23">
        <w:rPr>
          <w:rFonts w:ascii="Cambria" w:hAnsi="Cambria"/>
          <w:sz w:val="16"/>
          <w:szCs w:val="16"/>
          <w:lang w:val="es-US"/>
        </w:rPr>
        <w:t xml:space="preserve">que </w:t>
      </w:r>
      <w:r>
        <w:rPr>
          <w:rFonts w:ascii="Cambria" w:hAnsi="Cambria"/>
          <w:sz w:val="16"/>
          <w:szCs w:val="16"/>
          <w:lang w:val="es-US"/>
        </w:rPr>
        <w:t>éste requiere</w:t>
      </w:r>
      <w:r w:rsidRPr="00653B23">
        <w:rPr>
          <w:rFonts w:ascii="Cambria" w:hAnsi="Cambria"/>
          <w:sz w:val="16"/>
          <w:szCs w:val="16"/>
          <w:lang w:val="es-US"/>
        </w:rPr>
        <w:t xml:space="preserve"> “la expedición de normas y el desarrollo de prácticas conducentes a la efectiva observancia de dichas garantías”. Específicamente</w:t>
      </w:r>
      <w:r>
        <w:rPr>
          <w:rFonts w:ascii="Cambria" w:hAnsi="Cambria"/>
          <w:sz w:val="16"/>
          <w:szCs w:val="16"/>
          <w:lang w:val="es-US"/>
        </w:rPr>
        <w:t xml:space="preserve">, </w:t>
      </w:r>
      <w:r w:rsidRPr="00653B23">
        <w:rPr>
          <w:rFonts w:ascii="Cambria" w:hAnsi="Cambria"/>
          <w:sz w:val="16"/>
          <w:szCs w:val="16"/>
          <w:lang w:val="es-US"/>
        </w:rPr>
        <w:t>la Corte ha declarad</w:t>
      </w:r>
      <w:r>
        <w:rPr>
          <w:rFonts w:ascii="Cambria" w:hAnsi="Cambria"/>
          <w:sz w:val="16"/>
          <w:szCs w:val="16"/>
          <w:lang w:val="es-US"/>
        </w:rPr>
        <w:t>o</w:t>
      </w:r>
      <w:r w:rsidRPr="00653B23">
        <w:rPr>
          <w:rFonts w:ascii="Cambria" w:hAnsi="Cambria"/>
          <w:sz w:val="16"/>
          <w:szCs w:val="16"/>
          <w:lang w:val="es-US"/>
        </w:rPr>
        <w:t xml:space="preserve"> su incumplimiento cuando el Estado no cumple </w:t>
      </w:r>
      <w:r>
        <w:rPr>
          <w:rFonts w:ascii="Cambria" w:hAnsi="Cambria"/>
          <w:sz w:val="16"/>
          <w:szCs w:val="16"/>
          <w:lang w:val="es-US"/>
        </w:rPr>
        <w:t xml:space="preserve">con </w:t>
      </w:r>
      <w:r w:rsidRPr="00653B23">
        <w:rPr>
          <w:rFonts w:ascii="Cambria" w:hAnsi="Cambria"/>
          <w:sz w:val="16"/>
          <w:szCs w:val="16"/>
          <w:lang w:val="es-US"/>
        </w:rPr>
        <w:t>“garantizar el derecho a la vida mediante una adecuada legislación sobre el uso de la fuerza”</w:t>
      </w:r>
      <w:r>
        <w:rPr>
          <w:rFonts w:ascii="Cambria" w:hAnsi="Cambria"/>
          <w:sz w:val="16"/>
          <w:szCs w:val="16"/>
          <w:lang w:val="es-US"/>
        </w:rPr>
        <w:t xml:space="preserve"> y cuando no demuestra “</w:t>
      </w:r>
      <w:r w:rsidRPr="00653B23">
        <w:rPr>
          <w:rFonts w:ascii="Cambria" w:hAnsi="Cambria"/>
          <w:sz w:val="16"/>
          <w:szCs w:val="16"/>
          <w:lang w:val="es-US"/>
        </w:rPr>
        <w:t>haber brindado capacitación, ni entrenamiento en la materia a los agentes encargados de hacer cumplir la ley”.</w:t>
      </w:r>
      <w:r>
        <w:rPr>
          <w:rFonts w:ascii="Cambria" w:hAnsi="Cambria"/>
          <w:sz w:val="16"/>
          <w:szCs w:val="16"/>
          <w:lang w:val="es-US"/>
        </w:rPr>
        <w:t xml:space="preserve"> </w:t>
      </w:r>
      <w:r w:rsidRPr="008D39A2">
        <w:rPr>
          <w:rFonts w:ascii="Cambria" w:hAnsi="Cambria"/>
          <w:sz w:val="16"/>
          <w:szCs w:val="16"/>
          <w:lang w:val="es-US"/>
        </w:rPr>
        <w:t>Corte IDH. Sentencia</w:t>
      </w:r>
      <w:r w:rsidRPr="008D39A2">
        <w:rPr>
          <w:rFonts w:ascii="Cambria" w:hAnsi="Cambria"/>
          <w:i/>
          <w:sz w:val="16"/>
          <w:szCs w:val="16"/>
          <w:lang w:val="es-US"/>
        </w:rPr>
        <w:t xml:space="preserve"> Nadege Dorzema y otros</w:t>
      </w:r>
      <w:r w:rsidRPr="008D39A2">
        <w:rPr>
          <w:rFonts w:ascii="Cambria" w:hAnsi="Cambria"/>
          <w:sz w:val="16"/>
          <w:szCs w:val="16"/>
          <w:lang w:val="es-US"/>
        </w:rPr>
        <w:t xml:space="preserve">, párr. </w:t>
      </w:r>
      <w:r>
        <w:rPr>
          <w:rFonts w:ascii="Cambria" w:hAnsi="Cambria"/>
          <w:sz w:val="16"/>
          <w:szCs w:val="16"/>
          <w:lang w:val="es-US"/>
        </w:rPr>
        <w:t>82 y 207.</w:t>
      </w:r>
    </w:p>
  </w:footnote>
  <w:footnote w:id="107">
    <w:p w14:paraId="3E56A52C" w14:textId="77777777" w:rsidR="00251E25" w:rsidRPr="00653B23" w:rsidRDefault="00251E25" w:rsidP="00472798">
      <w:pPr>
        <w:pStyle w:val="FootnoteText"/>
        <w:rPr>
          <w:lang w:val="es-US"/>
        </w:rPr>
      </w:pPr>
      <w:r w:rsidRPr="00653B23">
        <w:rPr>
          <w:rStyle w:val="FootnoteReference"/>
          <w:lang w:val="es-US"/>
        </w:rPr>
        <w:footnoteRef/>
      </w:r>
      <w:r>
        <w:rPr>
          <w:lang w:val="es-US"/>
        </w:rPr>
        <w:t xml:space="preserve"> </w:t>
      </w:r>
      <w:r w:rsidRPr="00EE73BA">
        <w:rPr>
          <w:lang w:val="es-US"/>
        </w:rPr>
        <w:t>Corte IDH. Sentencia</w:t>
      </w:r>
      <w:r w:rsidRPr="00EE73BA">
        <w:rPr>
          <w:i/>
          <w:lang w:val="es-US"/>
        </w:rPr>
        <w:t xml:space="preserve"> Hermanos Landaeta Mejías y otros,</w:t>
      </w:r>
      <w:r w:rsidRPr="00EE73BA">
        <w:rPr>
          <w:lang w:val="es-US"/>
        </w:rPr>
        <w:t xml:space="preserve"> párrs. 130-136</w:t>
      </w:r>
      <w:r>
        <w:rPr>
          <w:lang w:val="es-US"/>
        </w:rPr>
        <w:t>;</w:t>
      </w:r>
      <w:r w:rsidRPr="00EE73BA">
        <w:rPr>
          <w:lang w:val="es-US"/>
        </w:rPr>
        <w:t xml:space="preserve"> y Sentencia</w:t>
      </w:r>
      <w:r w:rsidRPr="00EE73BA">
        <w:rPr>
          <w:i/>
          <w:lang w:val="es-US"/>
        </w:rPr>
        <w:t xml:space="preserve"> Nadege Dorzema y otros</w:t>
      </w:r>
      <w:r w:rsidRPr="00EE73BA">
        <w:rPr>
          <w:lang w:val="es-US"/>
        </w:rPr>
        <w:t>, párrs. 83-85.</w:t>
      </w:r>
    </w:p>
  </w:footnote>
  <w:footnote w:id="108">
    <w:p w14:paraId="1D0B5783" w14:textId="77777777" w:rsidR="00251E25" w:rsidRPr="00EE73BA" w:rsidRDefault="00251E25">
      <w:pPr>
        <w:pStyle w:val="FootnoteText"/>
        <w:rPr>
          <w:lang w:val="es-US"/>
        </w:rPr>
      </w:pPr>
      <w:r>
        <w:rPr>
          <w:rStyle w:val="FootnoteReference"/>
        </w:rPr>
        <w:footnoteRef/>
      </w:r>
      <w:r w:rsidRPr="00EE73BA">
        <w:rPr>
          <w:lang w:val="es-US"/>
        </w:rPr>
        <w:t xml:space="preserve"> </w:t>
      </w:r>
      <w:r w:rsidRPr="00DC0AE1">
        <w:rPr>
          <w:lang w:val="es-US"/>
        </w:rPr>
        <w:t>Corte IDH. Sentencia</w:t>
      </w:r>
      <w:r w:rsidRPr="00DC0AE1">
        <w:rPr>
          <w:i/>
          <w:lang w:val="es-US"/>
        </w:rPr>
        <w:t xml:space="preserve"> Hermanos Landaeta Mejías y otros,</w:t>
      </w:r>
      <w:r w:rsidRPr="00DC0AE1">
        <w:rPr>
          <w:lang w:val="es-US"/>
        </w:rPr>
        <w:t xml:space="preserve"> párr. 1</w:t>
      </w:r>
      <w:r>
        <w:rPr>
          <w:lang w:val="es-US"/>
        </w:rPr>
        <w:t xml:space="preserve">34 (i); </w:t>
      </w:r>
      <w:r w:rsidRPr="00DC0AE1">
        <w:rPr>
          <w:lang w:val="es-US"/>
        </w:rPr>
        <w:t>y Sentencia</w:t>
      </w:r>
      <w:r w:rsidRPr="00DC0AE1">
        <w:rPr>
          <w:i/>
          <w:lang w:val="es-US"/>
        </w:rPr>
        <w:t xml:space="preserve"> Nadege Dorzema y otros</w:t>
      </w:r>
      <w:r w:rsidRPr="00DC0AE1">
        <w:rPr>
          <w:lang w:val="es-US"/>
        </w:rPr>
        <w:t xml:space="preserve">, párr. </w:t>
      </w:r>
      <w:r>
        <w:rPr>
          <w:lang w:val="es-US"/>
        </w:rPr>
        <w:t>85(i)</w:t>
      </w:r>
      <w:r w:rsidRPr="00DC0AE1">
        <w:rPr>
          <w:lang w:val="es-US"/>
        </w:rPr>
        <w:t>.</w:t>
      </w:r>
    </w:p>
  </w:footnote>
  <w:footnote w:id="109">
    <w:p w14:paraId="5728FDDA" w14:textId="77777777" w:rsidR="00251E25" w:rsidRPr="00653B23" w:rsidRDefault="00251E25" w:rsidP="00472798">
      <w:pPr>
        <w:pStyle w:val="FootnoteText"/>
        <w:rPr>
          <w:lang w:val="es-US"/>
        </w:rPr>
      </w:pPr>
      <w:r w:rsidRPr="00653B23">
        <w:rPr>
          <w:rStyle w:val="FootnoteReference"/>
          <w:lang w:val="es-US"/>
        </w:rPr>
        <w:footnoteRef/>
      </w:r>
      <w:r w:rsidRPr="00653B23">
        <w:rPr>
          <w:lang w:val="es-US"/>
        </w:rPr>
        <w:t xml:space="preserve"> Corte</w:t>
      </w:r>
      <w:r>
        <w:rPr>
          <w:lang w:val="es-US"/>
        </w:rPr>
        <w:t xml:space="preserve"> </w:t>
      </w:r>
      <w:r w:rsidRPr="00653B23">
        <w:rPr>
          <w:lang w:val="es-US"/>
        </w:rPr>
        <w:t>IDH</w:t>
      </w:r>
      <w:r w:rsidRPr="00EE73BA">
        <w:rPr>
          <w:lang w:val="es-US"/>
        </w:rPr>
        <w:t>. Sentencia</w:t>
      </w:r>
      <w:r w:rsidRPr="00EE73BA">
        <w:rPr>
          <w:i/>
          <w:lang w:val="es-US"/>
        </w:rPr>
        <w:t xml:space="preserve"> Hermanos Landaeta Mejías y otros,</w:t>
      </w:r>
      <w:r w:rsidRPr="00EE73BA">
        <w:rPr>
          <w:lang w:val="es-US"/>
        </w:rPr>
        <w:t xml:space="preserve"> párr. 13</w:t>
      </w:r>
      <w:r>
        <w:rPr>
          <w:lang w:val="es-US"/>
        </w:rPr>
        <w:t>0</w:t>
      </w:r>
      <w:r w:rsidRPr="00653B23">
        <w:rPr>
          <w:lang w:val="es-US"/>
        </w:rPr>
        <w:t>.</w:t>
      </w:r>
    </w:p>
  </w:footnote>
  <w:footnote w:id="110">
    <w:p w14:paraId="5A9F760D" w14:textId="77777777" w:rsidR="00251E25" w:rsidRPr="00B94B64" w:rsidRDefault="00251E25">
      <w:pPr>
        <w:pStyle w:val="FootnoteText"/>
        <w:rPr>
          <w:lang w:val="es-US"/>
        </w:rPr>
      </w:pPr>
      <w:r>
        <w:rPr>
          <w:rStyle w:val="FootnoteReference"/>
        </w:rPr>
        <w:footnoteRef/>
      </w:r>
      <w:r w:rsidRPr="00A62E6F">
        <w:rPr>
          <w:lang w:val="es-US"/>
        </w:rPr>
        <w:t xml:space="preserve"> Corte IDH. Sentencia</w:t>
      </w:r>
      <w:r w:rsidRPr="00A62E6F">
        <w:rPr>
          <w:i/>
          <w:lang w:val="es-US"/>
        </w:rPr>
        <w:t xml:space="preserve"> Hermanos Landaeta Mejías y otros,</w:t>
      </w:r>
      <w:r w:rsidRPr="00A62E6F">
        <w:rPr>
          <w:lang w:val="es-US"/>
        </w:rPr>
        <w:t xml:space="preserve"> párr. 13</w:t>
      </w:r>
      <w:r>
        <w:rPr>
          <w:lang w:val="es-US"/>
        </w:rPr>
        <w:t>4 (ii)</w:t>
      </w:r>
      <w:r w:rsidRPr="00A62E6F">
        <w:rPr>
          <w:lang w:val="es-US"/>
        </w:rPr>
        <w:t>; y Sentencia</w:t>
      </w:r>
      <w:r w:rsidRPr="00A62E6F">
        <w:rPr>
          <w:i/>
          <w:lang w:val="es-US"/>
        </w:rPr>
        <w:t xml:space="preserve"> Nadege Dorzema y otros</w:t>
      </w:r>
      <w:r w:rsidRPr="00A62E6F">
        <w:rPr>
          <w:lang w:val="es-US"/>
        </w:rPr>
        <w:t>, párr. 85(i</w:t>
      </w:r>
      <w:r>
        <w:rPr>
          <w:lang w:val="es-US"/>
        </w:rPr>
        <w:t>i</w:t>
      </w:r>
      <w:r w:rsidRPr="00A62E6F">
        <w:rPr>
          <w:lang w:val="es-US"/>
        </w:rPr>
        <w:t>).</w:t>
      </w:r>
    </w:p>
  </w:footnote>
  <w:footnote w:id="111">
    <w:p w14:paraId="3280B31B" w14:textId="77777777" w:rsidR="00251E25" w:rsidRPr="003612B4" w:rsidRDefault="00251E25">
      <w:pPr>
        <w:pStyle w:val="FootnoteText"/>
        <w:rPr>
          <w:lang w:val="es-US"/>
        </w:rPr>
      </w:pPr>
      <w:r>
        <w:rPr>
          <w:rStyle w:val="FootnoteReference"/>
        </w:rPr>
        <w:footnoteRef/>
      </w:r>
      <w:r w:rsidRPr="00B94B64">
        <w:rPr>
          <w:lang w:val="es-US"/>
        </w:rPr>
        <w:t xml:space="preserve"> Corte IDH. Sentencia</w:t>
      </w:r>
      <w:r w:rsidRPr="00B94B64">
        <w:rPr>
          <w:i/>
          <w:lang w:val="es-US"/>
        </w:rPr>
        <w:t xml:space="preserve"> Nadege Dorzema y otros</w:t>
      </w:r>
      <w:r w:rsidRPr="00B94B64">
        <w:rPr>
          <w:lang w:val="es-US"/>
        </w:rPr>
        <w:t>, párr. 8</w:t>
      </w:r>
      <w:r>
        <w:rPr>
          <w:lang w:val="es-US"/>
        </w:rPr>
        <w:t>5 (ii)</w:t>
      </w:r>
      <w:r w:rsidRPr="00B94B64">
        <w:rPr>
          <w:lang w:val="es-US"/>
        </w:rPr>
        <w:t>.</w:t>
      </w:r>
    </w:p>
  </w:footnote>
  <w:footnote w:id="112">
    <w:p w14:paraId="0E63D93F" w14:textId="77777777" w:rsidR="00251E25" w:rsidRPr="00574704" w:rsidRDefault="00251E25">
      <w:pPr>
        <w:pStyle w:val="FootnoteText"/>
        <w:rPr>
          <w:lang w:val="pt-BR"/>
        </w:rPr>
      </w:pPr>
      <w:r>
        <w:rPr>
          <w:rStyle w:val="FootnoteReference"/>
        </w:rPr>
        <w:footnoteRef/>
      </w:r>
      <w:r w:rsidRPr="003612B4">
        <w:rPr>
          <w:lang w:val="es-US"/>
        </w:rPr>
        <w:t xml:space="preserve"> Corte IDH. Sentencia</w:t>
      </w:r>
      <w:r w:rsidRPr="003612B4">
        <w:rPr>
          <w:i/>
          <w:lang w:val="es-US"/>
        </w:rPr>
        <w:t xml:space="preserve"> Hermanos Landaeta Mejías y otros,</w:t>
      </w:r>
      <w:r w:rsidRPr="003612B4">
        <w:rPr>
          <w:lang w:val="es-US"/>
        </w:rPr>
        <w:t xml:space="preserve"> párr. 134 (i</w:t>
      </w:r>
      <w:r>
        <w:rPr>
          <w:lang w:val="es-US"/>
        </w:rPr>
        <w:t>i</w:t>
      </w:r>
      <w:r w:rsidRPr="003612B4">
        <w:rPr>
          <w:lang w:val="es-US"/>
        </w:rPr>
        <w:t>i); y Sentencia</w:t>
      </w:r>
      <w:r w:rsidRPr="003612B4">
        <w:rPr>
          <w:i/>
          <w:lang w:val="es-US"/>
        </w:rPr>
        <w:t xml:space="preserve"> Nadege Dorzema y otros</w:t>
      </w:r>
      <w:r w:rsidRPr="003612B4">
        <w:rPr>
          <w:lang w:val="es-US"/>
        </w:rPr>
        <w:t xml:space="preserve">, párr. </w:t>
      </w:r>
      <w:r w:rsidRPr="00574704">
        <w:rPr>
          <w:lang w:val="pt-BR"/>
        </w:rPr>
        <w:t>85(iii).</w:t>
      </w:r>
    </w:p>
  </w:footnote>
  <w:footnote w:id="113">
    <w:p w14:paraId="2791EF79" w14:textId="77777777" w:rsidR="00251E25" w:rsidRPr="00D53DB7" w:rsidRDefault="00251E25">
      <w:pPr>
        <w:pStyle w:val="FootnoteText"/>
        <w:rPr>
          <w:lang w:val="es-US"/>
        </w:rPr>
      </w:pPr>
      <w:r>
        <w:rPr>
          <w:rStyle w:val="FootnoteReference"/>
        </w:rPr>
        <w:footnoteRef/>
      </w:r>
      <w:r w:rsidRPr="00574704">
        <w:rPr>
          <w:lang w:val="pt-BR"/>
        </w:rPr>
        <w:t xml:space="preserve"> </w:t>
      </w:r>
      <w:r w:rsidRPr="00574704">
        <w:rPr>
          <w:bCs/>
          <w:lang w:val="pt-BR"/>
        </w:rPr>
        <w:t>Corte IDH. Sentencia</w:t>
      </w:r>
      <w:r w:rsidRPr="00574704">
        <w:rPr>
          <w:bCs/>
          <w:i/>
          <w:lang w:val="pt-BR"/>
        </w:rPr>
        <w:t xml:space="preserve"> Retén de Catia</w:t>
      </w:r>
      <w:r w:rsidRPr="00574704">
        <w:rPr>
          <w:bCs/>
          <w:lang w:val="pt-BR"/>
        </w:rPr>
        <w:t xml:space="preserve">, </w:t>
      </w:r>
      <w:r w:rsidRPr="00574704">
        <w:rPr>
          <w:lang w:val="pt-BR"/>
        </w:rPr>
        <w:t xml:space="preserve">párr. </w:t>
      </w:r>
      <w:r w:rsidRPr="00D53DB7">
        <w:rPr>
          <w:lang w:val="es-US"/>
        </w:rPr>
        <w:t>68.</w:t>
      </w:r>
    </w:p>
  </w:footnote>
  <w:footnote w:id="114">
    <w:p w14:paraId="249CC788" w14:textId="77777777" w:rsidR="00251E25" w:rsidRPr="00263287" w:rsidRDefault="00251E25">
      <w:pPr>
        <w:pStyle w:val="FootnoteText"/>
        <w:rPr>
          <w:lang w:val="es-US"/>
        </w:rPr>
      </w:pPr>
      <w:r>
        <w:rPr>
          <w:rStyle w:val="FootnoteReference"/>
        </w:rPr>
        <w:footnoteRef/>
      </w:r>
      <w:r w:rsidRPr="00D53DB7">
        <w:rPr>
          <w:lang w:val="es-US"/>
        </w:rPr>
        <w:t xml:space="preserve"> Corte IDH. </w:t>
      </w:r>
      <w:r w:rsidRPr="00263287">
        <w:rPr>
          <w:lang w:val="es-US"/>
        </w:rPr>
        <w:t>Sentencia</w:t>
      </w:r>
      <w:r w:rsidRPr="00263287">
        <w:rPr>
          <w:i/>
          <w:lang w:val="es-US"/>
        </w:rPr>
        <w:t xml:space="preserve"> Hermanos Landaeta Mejías y otros,</w:t>
      </w:r>
      <w:r w:rsidRPr="00263287">
        <w:rPr>
          <w:lang w:val="es-US"/>
        </w:rPr>
        <w:t xml:space="preserve"> párrs. </w:t>
      </w:r>
      <w:r>
        <w:rPr>
          <w:lang w:val="es-US"/>
        </w:rPr>
        <w:t>143</w:t>
      </w:r>
      <w:r w:rsidRPr="00263287">
        <w:rPr>
          <w:lang w:val="es-US"/>
        </w:rPr>
        <w:t>-1</w:t>
      </w:r>
      <w:r>
        <w:rPr>
          <w:lang w:val="es-US"/>
        </w:rPr>
        <w:t>4</w:t>
      </w:r>
      <w:r w:rsidRPr="00263287">
        <w:rPr>
          <w:lang w:val="es-US"/>
        </w:rPr>
        <w:t>6</w:t>
      </w:r>
      <w:r>
        <w:rPr>
          <w:lang w:val="es-US"/>
        </w:rPr>
        <w:t>;</w:t>
      </w:r>
      <w:r w:rsidRPr="00263287">
        <w:rPr>
          <w:lang w:val="es-US"/>
        </w:rPr>
        <w:t xml:space="preserve"> y Sentencia</w:t>
      </w:r>
      <w:r w:rsidRPr="00263287">
        <w:rPr>
          <w:i/>
          <w:lang w:val="es-US"/>
        </w:rPr>
        <w:t xml:space="preserve"> Nadege Dorzema y otros</w:t>
      </w:r>
      <w:r w:rsidRPr="00263287">
        <w:rPr>
          <w:lang w:val="es-US"/>
        </w:rPr>
        <w:t xml:space="preserve">, párrs. </w:t>
      </w:r>
      <w:r>
        <w:rPr>
          <w:lang w:val="es-US"/>
        </w:rPr>
        <w:t>99-117</w:t>
      </w:r>
      <w:r w:rsidRPr="00263287">
        <w:rPr>
          <w:lang w:val="es-US"/>
        </w:rPr>
        <w:t>.</w:t>
      </w:r>
    </w:p>
  </w:footnote>
  <w:footnote w:id="115">
    <w:p w14:paraId="2D9F6654" w14:textId="77777777" w:rsidR="00251E25" w:rsidRPr="00534885" w:rsidRDefault="00251E25" w:rsidP="00472798">
      <w:pPr>
        <w:pStyle w:val="FootnoteText"/>
        <w:rPr>
          <w:lang w:val="es-US"/>
        </w:rPr>
      </w:pPr>
      <w:r w:rsidRPr="00653B23">
        <w:rPr>
          <w:rStyle w:val="FootnoteReference"/>
          <w:lang w:val="es-US"/>
        </w:rPr>
        <w:footnoteRef/>
      </w:r>
      <w:r w:rsidRPr="00653B23">
        <w:rPr>
          <w:lang w:val="es-US"/>
        </w:rPr>
        <w:t xml:space="preserve"> </w:t>
      </w:r>
      <w:r w:rsidRPr="00263287">
        <w:rPr>
          <w:lang w:val="es-US"/>
        </w:rPr>
        <w:t>Corte IDH. Sentencia</w:t>
      </w:r>
      <w:r w:rsidRPr="00263287">
        <w:rPr>
          <w:i/>
          <w:lang w:val="es-US"/>
        </w:rPr>
        <w:t xml:space="preserve"> Hermanos Landaeta Mejías y otros,</w:t>
      </w:r>
      <w:r w:rsidRPr="00263287">
        <w:rPr>
          <w:lang w:val="es-US"/>
        </w:rPr>
        <w:t xml:space="preserve"> párr. </w:t>
      </w:r>
      <w:r>
        <w:rPr>
          <w:lang w:val="es-US"/>
        </w:rPr>
        <w:t>143;</w:t>
      </w:r>
      <w:r w:rsidRPr="00263287">
        <w:rPr>
          <w:lang w:val="es-US"/>
        </w:rPr>
        <w:t xml:space="preserve"> y Sentencia</w:t>
      </w:r>
      <w:r w:rsidRPr="00263287">
        <w:rPr>
          <w:i/>
          <w:lang w:val="es-US"/>
        </w:rPr>
        <w:t xml:space="preserve"> Nadege Dorzema y otros</w:t>
      </w:r>
      <w:r w:rsidRPr="00263287">
        <w:rPr>
          <w:lang w:val="es-US"/>
        </w:rPr>
        <w:t xml:space="preserve">, párr. </w:t>
      </w:r>
      <w:r w:rsidRPr="00534885">
        <w:rPr>
          <w:lang w:val="es-US"/>
        </w:rPr>
        <w:t>100.</w:t>
      </w:r>
    </w:p>
  </w:footnote>
  <w:footnote w:id="116">
    <w:p w14:paraId="572567A6" w14:textId="77777777" w:rsidR="00251E25" w:rsidRPr="00534885" w:rsidRDefault="00251E25">
      <w:pPr>
        <w:pStyle w:val="FootnoteText"/>
        <w:rPr>
          <w:lang w:val="es-US"/>
        </w:rPr>
      </w:pPr>
      <w:r>
        <w:rPr>
          <w:rStyle w:val="FootnoteReference"/>
        </w:rPr>
        <w:footnoteRef/>
      </w:r>
      <w:r w:rsidRPr="00534885">
        <w:rPr>
          <w:lang w:val="es-US"/>
        </w:rPr>
        <w:t xml:space="preserve"> Corte IDH. Sentencia</w:t>
      </w:r>
      <w:r w:rsidRPr="00534885">
        <w:rPr>
          <w:i/>
          <w:lang w:val="es-US"/>
        </w:rPr>
        <w:t xml:space="preserve"> Nadege Dorzema y otros</w:t>
      </w:r>
      <w:r w:rsidRPr="00534885">
        <w:rPr>
          <w:lang w:val="es-US"/>
        </w:rPr>
        <w:t>, párrs. 111-117.</w:t>
      </w:r>
    </w:p>
  </w:footnote>
  <w:footnote w:id="117">
    <w:p w14:paraId="510641EA" w14:textId="77777777" w:rsidR="00251E25" w:rsidRPr="00947246" w:rsidRDefault="00251E25" w:rsidP="00471B02">
      <w:pPr>
        <w:pStyle w:val="FootnoteText"/>
        <w:rPr>
          <w:lang w:val="es-US"/>
        </w:rPr>
      </w:pPr>
      <w:r>
        <w:rPr>
          <w:rStyle w:val="FootnoteReference"/>
        </w:rPr>
        <w:footnoteRef/>
      </w:r>
      <w:r w:rsidRPr="00947246">
        <w:rPr>
          <w:lang w:val="es-US"/>
        </w:rPr>
        <w:t xml:space="preserve"> </w:t>
      </w:r>
      <w:r>
        <w:rPr>
          <w:lang w:val="es-US"/>
        </w:rPr>
        <w:t>Observaciones del Estado, 29 de octubre de 2013, págs. 1-2.</w:t>
      </w:r>
    </w:p>
  </w:footnote>
  <w:footnote w:id="118">
    <w:p w14:paraId="781B9C73" w14:textId="77777777" w:rsidR="00251E25" w:rsidRPr="00947246" w:rsidRDefault="00251E25" w:rsidP="00471B02">
      <w:pPr>
        <w:pStyle w:val="FootnoteText"/>
        <w:rPr>
          <w:lang w:val="es-US"/>
        </w:rPr>
      </w:pPr>
      <w:r>
        <w:rPr>
          <w:rStyle w:val="FootnoteReference"/>
        </w:rPr>
        <w:footnoteRef/>
      </w:r>
      <w:r w:rsidRPr="00947246">
        <w:rPr>
          <w:lang w:val="es-US"/>
        </w:rPr>
        <w:t xml:space="preserve"> Observaciones del Estado, 1 de marzo de 2012,</w:t>
      </w:r>
      <w:r>
        <w:rPr>
          <w:lang w:val="es-US"/>
        </w:rPr>
        <w:t xml:space="preserve"> pág. 1.</w:t>
      </w:r>
    </w:p>
  </w:footnote>
  <w:footnote w:id="119">
    <w:p w14:paraId="564DDDF0" w14:textId="77777777" w:rsidR="00251E25" w:rsidRPr="005D2ED4" w:rsidRDefault="00251E25">
      <w:pPr>
        <w:pStyle w:val="FootnoteText"/>
        <w:rPr>
          <w:lang w:val="es-US"/>
        </w:rPr>
      </w:pPr>
      <w:r>
        <w:rPr>
          <w:rStyle w:val="FootnoteReference"/>
        </w:rPr>
        <w:footnoteRef/>
      </w:r>
      <w:r w:rsidRPr="005D2ED4">
        <w:rPr>
          <w:lang w:val="es-US"/>
        </w:rPr>
        <w:t xml:space="preserve"> </w:t>
      </w:r>
      <w:r>
        <w:rPr>
          <w:lang w:val="es-US"/>
        </w:rPr>
        <w:t xml:space="preserve">Observaciones del Estado, 1 de marzo de 2012, págs. 2-3. </w:t>
      </w:r>
    </w:p>
  </w:footnote>
  <w:footnote w:id="120">
    <w:p w14:paraId="04482B44" w14:textId="77777777" w:rsidR="00251E25" w:rsidRPr="00CA711A" w:rsidRDefault="00251E25">
      <w:pPr>
        <w:pStyle w:val="FootnoteText"/>
        <w:rPr>
          <w:lang w:val="es-ES"/>
        </w:rPr>
      </w:pPr>
      <w:r>
        <w:rPr>
          <w:rStyle w:val="FootnoteReference"/>
        </w:rPr>
        <w:footnoteRef/>
      </w:r>
      <w:r w:rsidRPr="00CA711A">
        <w:rPr>
          <w:lang w:val="es-ES"/>
        </w:rPr>
        <w:t xml:space="preserve"> </w:t>
      </w:r>
      <w:r>
        <w:rPr>
          <w:lang w:val="es-ES"/>
        </w:rPr>
        <w:t>El Código Penal Policial vigente al tiempo que se cometieron los hechos contenía diversas figuras penales que, de hecho, se utilizaron en el caso de autos, incluyendo los artículos 145, 227, 228 y 232 que penalizaban la muerte por tormentos corporales, el homicidio, el asesinato y el homicidio involuntario.</w:t>
      </w:r>
    </w:p>
  </w:footnote>
  <w:footnote w:id="121">
    <w:p w14:paraId="5FB07278" w14:textId="77777777" w:rsidR="00251E25" w:rsidRPr="00534885" w:rsidRDefault="00251E25">
      <w:pPr>
        <w:pStyle w:val="FootnoteText"/>
        <w:rPr>
          <w:lang w:val="pt-BR"/>
        </w:rPr>
      </w:pPr>
      <w:r>
        <w:rPr>
          <w:rStyle w:val="FootnoteReference"/>
        </w:rPr>
        <w:footnoteRef/>
      </w:r>
      <w:r w:rsidRPr="00CA2F31">
        <w:rPr>
          <w:lang w:val="es-ES"/>
        </w:rPr>
        <w:t xml:space="preserve"> </w:t>
      </w:r>
      <w:r>
        <w:rPr>
          <w:lang w:val="es-ES"/>
        </w:rPr>
        <w:t xml:space="preserve">Por una determinación similar, ver </w:t>
      </w:r>
      <w:r w:rsidRPr="003B1C01">
        <w:rPr>
          <w:bCs/>
          <w:lang w:val="es-US"/>
        </w:rPr>
        <w:t>Corte IDH. Sentencia</w:t>
      </w:r>
      <w:r w:rsidRPr="003B1C01">
        <w:rPr>
          <w:bCs/>
          <w:i/>
          <w:lang w:val="es-US"/>
        </w:rPr>
        <w:t xml:space="preserve"> </w:t>
      </w:r>
      <w:r>
        <w:rPr>
          <w:bCs/>
          <w:i/>
          <w:lang w:val="es-US"/>
        </w:rPr>
        <w:t>Valencia Hinojosa y otra</w:t>
      </w:r>
      <w:r w:rsidRPr="003B1C01">
        <w:rPr>
          <w:bCs/>
          <w:lang w:val="es-US"/>
        </w:rPr>
        <w:t xml:space="preserve">, </w:t>
      </w:r>
      <w:r w:rsidRPr="003B1C01">
        <w:rPr>
          <w:lang w:val="es-US"/>
        </w:rPr>
        <w:t xml:space="preserve">párr. </w:t>
      </w:r>
      <w:r w:rsidRPr="00534885">
        <w:rPr>
          <w:lang w:val="pt-BR"/>
        </w:rPr>
        <w:t>137.</w:t>
      </w:r>
    </w:p>
  </w:footnote>
  <w:footnote w:id="122">
    <w:p w14:paraId="0F244A3A" w14:textId="77777777" w:rsidR="00251E25" w:rsidRPr="00FC1A4F" w:rsidRDefault="00251E25" w:rsidP="002679A6">
      <w:pPr>
        <w:pStyle w:val="FootnoteText"/>
        <w:rPr>
          <w:lang w:val="pt-BR"/>
        </w:rPr>
      </w:pPr>
      <w:r>
        <w:rPr>
          <w:rStyle w:val="FootnoteReference"/>
        </w:rPr>
        <w:footnoteRef/>
      </w:r>
      <w:r w:rsidRPr="00FC1A4F">
        <w:rPr>
          <w:lang w:val="pt-BR"/>
        </w:rPr>
        <w:t xml:space="preserve"> </w:t>
      </w:r>
      <w:r w:rsidRPr="00EE4A7E">
        <w:rPr>
          <w:b/>
          <w:bCs/>
          <w:lang w:val="pt-BR"/>
        </w:rPr>
        <w:t>Anexo 3.</w:t>
      </w:r>
      <w:r w:rsidRPr="00693F90">
        <w:rPr>
          <w:lang w:val="pt-BR"/>
        </w:rPr>
        <w:t xml:space="preserve"> </w:t>
      </w:r>
      <w:r w:rsidRPr="00F74AFA">
        <w:rPr>
          <w:lang w:val="pt-BR"/>
        </w:rPr>
        <w:t>Sentencia Segunda Corte Distrital 19.6.2001.</w:t>
      </w:r>
    </w:p>
  </w:footnote>
  <w:footnote w:id="123">
    <w:p w14:paraId="7E40445F" w14:textId="77777777" w:rsidR="00251E25" w:rsidRPr="00FC1A4F" w:rsidRDefault="00251E25" w:rsidP="00E957E7">
      <w:pPr>
        <w:pStyle w:val="FootnoteText"/>
        <w:rPr>
          <w:lang w:val="es-US"/>
        </w:rPr>
      </w:pPr>
      <w:r>
        <w:rPr>
          <w:rStyle w:val="FootnoteReference"/>
        </w:rPr>
        <w:footnoteRef/>
      </w:r>
      <w:r w:rsidRPr="00D53DB7">
        <w:rPr>
          <w:lang w:val="es-US"/>
        </w:rPr>
        <w:t xml:space="preserve"> </w:t>
      </w:r>
      <w:r w:rsidRPr="00EE4A7E">
        <w:rPr>
          <w:b/>
          <w:bCs/>
          <w:lang w:val="es-US"/>
        </w:rPr>
        <w:t>Anexo 16.</w:t>
      </w:r>
      <w:r w:rsidRPr="00D53DB7">
        <w:rPr>
          <w:lang w:val="es-US"/>
        </w:rPr>
        <w:t xml:space="preserve"> Decisión Juez Quinto Penal 2.4.1997. </w:t>
      </w:r>
      <w:r>
        <w:rPr>
          <w:lang w:val="es-US"/>
        </w:rPr>
        <w:t xml:space="preserve">Ver también, </w:t>
      </w:r>
      <w:r w:rsidRPr="00DA698A">
        <w:rPr>
          <w:lang w:val="es-US"/>
        </w:rPr>
        <w:t>Observaciones del Estado, 1 de marzo de 2012, pág.</w:t>
      </w:r>
      <w:r>
        <w:rPr>
          <w:lang w:val="es-US"/>
        </w:rPr>
        <w:t xml:space="preserve"> 6</w:t>
      </w:r>
    </w:p>
  </w:footnote>
  <w:footnote w:id="124">
    <w:p w14:paraId="028BDE49" w14:textId="77777777" w:rsidR="00251E25" w:rsidRPr="008B7DCD" w:rsidRDefault="00251E25" w:rsidP="00EA289A">
      <w:pPr>
        <w:pStyle w:val="FootnoteText"/>
        <w:rPr>
          <w:lang w:val="es-US"/>
        </w:rPr>
      </w:pPr>
      <w:r>
        <w:rPr>
          <w:rStyle w:val="FootnoteReference"/>
        </w:rPr>
        <w:footnoteRef/>
      </w:r>
      <w:r w:rsidRPr="008B7DCD">
        <w:rPr>
          <w:lang w:val="es-US"/>
        </w:rPr>
        <w:t xml:space="preserve"> Observaciones del Estado, 1 de marzo de 2012, pág. </w:t>
      </w:r>
      <w:r>
        <w:rPr>
          <w:lang w:val="es-US"/>
        </w:rPr>
        <w:t>7</w:t>
      </w:r>
      <w:r w:rsidRPr="008B7DCD">
        <w:rPr>
          <w:lang w:val="es-US"/>
        </w:rPr>
        <w:t>.</w:t>
      </w:r>
      <w:r>
        <w:rPr>
          <w:lang w:val="es-US"/>
        </w:rPr>
        <w:t xml:space="preserve"> Ver también, Observaciones del Estado, 1 de marzo de 2010, págs. 2-4.</w:t>
      </w:r>
    </w:p>
  </w:footnote>
  <w:footnote w:id="125">
    <w:p w14:paraId="4ADB4E0B" w14:textId="77777777" w:rsidR="00251E25" w:rsidRPr="005D5371" w:rsidRDefault="00251E25">
      <w:pPr>
        <w:pStyle w:val="FootnoteText"/>
        <w:rPr>
          <w:lang w:val="es-US"/>
        </w:rPr>
      </w:pPr>
      <w:r>
        <w:rPr>
          <w:rStyle w:val="FootnoteReference"/>
        </w:rPr>
        <w:footnoteRef/>
      </w:r>
      <w:r w:rsidRPr="005D5371">
        <w:rPr>
          <w:lang w:val="es-US"/>
        </w:rPr>
        <w:t xml:space="preserve"> El artículo 8</w:t>
      </w:r>
      <w:r>
        <w:rPr>
          <w:lang w:val="es-US"/>
        </w:rPr>
        <w:t>.1</w:t>
      </w:r>
      <w:r w:rsidRPr="005D5371">
        <w:rPr>
          <w:lang w:val="es-US"/>
        </w:rPr>
        <w:t xml:space="preserve"> de la Convención Americana establece lo siguiente: “</w:t>
      </w:r>
      <w:r w:rsidRPr="005D5371">
        <w:rPr>
          <w:bCs/>
          <w:lang w:val="es-ES"/>
        </w:rPr>
        <w:t xml:space="preserve">Artículo 8.  Garantías Judiciales. </w:t>
      </w:r>
      <w:r w:rsidRPr="005D5371">
        <w:rPr>
          <w:lang w:val="es-E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5D5371">
        <w:rPr>
          <w:lang w:val="es-US"/>
        </w:rPr>
        <w:t>”</w:t>
      </w:r>
      <w:r w:rsidRPr="005D5371">
        <w:rPr>
          <w:lang w:val="es-ES"/>
        </w:rPr>
        <w:t>.</w:t>
      </w:r>
    </w:p>
  </w:footnote>
  <w:footnote w:id="126">
    <w:p w14:paraId="5A4DC653" w14:textId="77777777" w:rsidR="00251E25" w:rsidRPr="00A533B1" w:rsidRDefault="00251E25" w:rsidP="005E32D2">
      <w:pPr>
        <w:pStyle w:val="FootnoteText"/>
        <w:rPr>
          <w:lang w:val="es-US"/>
        </w:rPr>
      </w:pPr>
      <w:r>
        <w:rPr>
          <w:rStyle w:val="FootnoteReference"/>
        </w:rPr>
        <w:footnoteRef/>
      </w:r>
      <w:r w:rsidRPr="005D5371">
        <w:rPr>
          <w:lang w:val="es-US"/>
        </w:rPr>
        <w:t xml:space="preserve"> El artículo 25</w:t>
      </w:r>
      <w:r>
        <w:rPr>
          <w:lang w:val="es-US"/>
        </w:rPr>
        <w:t xml:space="preserve"> </w:t>
      </w:r>
      <w:r w:rsidRPr="005D5371">
        <w:rPr>
          <w:lang w:val="es-US"/>
        </w:rPr>
        <w:t>de la Convención Americana establece lo siguiente: “</w:t>
      </w:r>
      <w:r w:rsidRPr="005D5371">
        <w:rPr>
          <w:bCs/>
          <w:lang w:val="es-ES"/>
        </w:rPr>
        <w:t xml:space="preserve">Artículo 25.  Protección Judicial. </w:t>
      </w:r>
      <w:r w:rsidRPr="005D5371">
        <w:rPr>
          <w:lang w:val="es-ES"/>
        </w:rPr>
        <w:t xml:space="preserve">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w:t>
      </w:r>
      <w:r w:rsidRPr="00A533B1">
        <w:rPr>
          <w:lang w:val="es-ES"/>
        </w:rPr>
        <w:t>funciones oficiales”.</w:t>
      </w:r>
    </w:p>
  </w:footnote>
  <w:footnote w:id="127">
    <w:p w14:paraId="74BE562F" w14:textId="77777777" w:rsidR="00251E25" w:rsidRPr="00A533B1" w:rsidRDefault="00251E25" w:rsidP="005D5371">
      <w:pPr>
        <w:pStyle w:val="FootnoteText"/>
        <w:rPr>
          <w:lang w:val="es-ES"/>
        </w:rPr>
      </w:pPr>
      <w:r w:rsidRPr="00A533B1">
        <w:rPr>
          <w:rStyle w:val="FootnoteReference"/>
        </w:rPr>
        <w:footnoteRef/>
      </w:r>
      <w:r w:rsidRPr="00A533B1">
        <w:rPr>
          <w:lang w:val="es-US"/>
        </w:rPr>
        <w:t xml:space="preserve"> </w:t>
      </w:r>
      <w:r w:rsidRPr="00A533B1">
        <w:rPr>
          <w:lang w:val="es-ES"/>
        </w:rPr>
        <w:t>La Convención Interamericana para Prevenir y Sancionar la Tortura establece, en lo pertinente, lo siguiente: “Artículo 1. Los Estados partes se obligan a prevenir y a sancionar la tortura en los términos de la presente Convención. […] Artículo 6. De conformidad con lo dispuesto en el artículo 1, los Estados partes tomarán medidas efectivas para prevenir y sancionar la tortura en el ámbito de su jurisdicción.</w:t>
      </w:r>
    </w:p>
    <w:p w14:paraId="44FD48D4" w14:textId="77777777" w:rsidR="00251E25" w:rsidRPr="005D5371" w:rsidRDefault="00251E25" w:rsidP="005D5371">
      <w:pPr>
        <w:pStyle w:val="FootnoteText"/>
        <w:rPr>
          <w:lang w:val="es-US"/>
        </w:rPr>
      </w:pPr>
      <w:r w:rsidRPr="00A533B1">
        <w:rPr>
          <w:lang w:val="es-ES"/>
        </w:rPr>
        <w:t>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 […] Artículo 8.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 Una vez agotado el ordenamiento jurídico interno del respectivo Estado y los recursos que éste prevé, el caso podrá ser sometido a instancias internacionales cuya competencia haya sido aceptada por ese Estado.” La República del Ecuador</w:t>
      </w:r>
      <w:r w:rsidRPr="00A533B1">
        <w:rPr>
          <w:lang w:val="es-VE"/>
        </w:rPr>
        <w:t xml:space="preserve"> depositó su instrumento de ratificación de dicha Convención el 9 de noviembre de 1999.</w:t>
      </w:r>
    </w:p>
  </w:footnote>
  <w:footnote w:id="128">
    <w:p w14:paraId="43DFBB51" w14:textId="77777777" w:rsidR="00251E25" w:rsidRPr="00FA58FA" w:rsidRDefault="00251E25" w:rsidP="005D5371">
      <w:pPr>
        <w:pStyle w:val="FootnoteText"/>
        <w:rPr>
          <w:lang w:val="es-ES_tradnl"/>
        </w:rPr>
      </w:pPr>
      <w:r w:rsidRPr="003B1C01">
        <w:rPr>
          <w:rStyle w:val="FootnoteReference"/>
        </w:rPr>
        <w:footnoteRef/>
      </w:r>
      <w:r w:rsidRPr="00693F90">
        <w:rPr>
          <w:lang w:val="pt-BR"/>
        </w:rPr>
        <w:t xml:space="preserve"> Corte IDH. </w:t>
      </w:r>
      <w:r w:rsidRPr="005D5371">
        <w:rPr>
          <w:lang w:val="pt-BR"/>
        </w:rPr>
        <w:t xml:space="preserve">Sentencia </w:t>
      </w:r>
      <w:r w:rsidRPr="005D5371">
        <w:rPr>
          <w:i/>
          <w:lang w:val="pt-BR"/>
        </w:rPr>
        <w:t>Masacre de las Dos Erres</w:t>
      </w:r>
      <w:r w:rsidRPr="005D5371">
        <w:rPr>
          <w:lang w:val="pt-BR"/>
        </w:rPr>
        <w:t xml:space="preserve">, párr. 104; </w:t>
      </w:r>
      <w:r w:rsidRPr="005D5371">
        <w:rPr>
          <w:bCs/>
          <w:lang w:val="pt-BR"/>
        </w:rPr>
        <w:t xml:space="preserve">Corte IDH. </w:t>
      </w:r>
      <w:r w:rsidRPr="003B1C01">
        <w:rPr>
          <w:bCs/>
          <w:lang w:val="es-US"/>
        </w:rPr>
        <w:t>Caso Velásquez Rodríguez Vs. Honduras. Excepciones Preliminares. Sentencia de 26 de junio de 1987. Serie C No. 1</w:t>
      </w:r>
      <w:r w:rsidRPr="003B1C01">
        <w:rPr>
          <w:bCs/>
          <w:lang w:val="es-ES"/>
        </w:rPr>
        <w:t>, párr. 91;</w:t>
      </w:r>
      <w:r w:rsidRPr="003B1C01">
        <w:rPr>
          <w:lang w:val="es-ES_tradnl"/>
        </w:rPr>
        <w:t xml:space="preserve"> Sentencia </w:t>
      </w:r>
      <w:r w:rsidRPr="003B1C01">
        <w:rPr>
          <w:bCs/>
          <w:i/>
          <w:lang w:val="es-ES_tradnl"/>
        </w:rPr>
        <w:t xml:space="preserve">Zambrano Vélez y otros, </w:t>
      </w:r>
      <w:r w:rsidRPr="003B1C01">
        <w:rPr>
          <w:bCs/>
          <w:lang w:val="es-ES_tradnl"/>
        </w:rPr>
        <w:t>párr.</w:t>
      </w:r>
      <w:r w:rsidRPr="003B1C01">
        <w:rPr>
          <w:lang w:val="es-ES_tradnl"/>
        </w:rPr>
        <w:t xml:space="preserve"> </w:t>
      </w:r>
      <w:r w:rsidRPr="00FA58FA">
        <w:rPr>
          <w:lang w:val="es-ES_tradnl"/>
        </w:rPr>
        <w:t xml:space="preserve">114; Sentencia </w:t>
      </w:r>
      <w:r w:rsidRPr="00FA58FA">
        <w:rPr>
          <w:i/>
          <w:lang w:val="es-ES_tradnl"/>
        </w:rPr>
        <w:t>Penal Miguel Castro Castro</w:t>
      </w:r>
      <w:r w:rsidRPr="00FA58FA">
        <w:rPr>
          <w:lang w:val="es-ES_tradnl"/>
        </w:rPr>
        <w:t>, párr. 381</w:t>
      </w:r>
      <w:r>
        <w:rPr>
          <w:lang w:val="es-ES_tradnl"/>
        </w:rPr>
        <w:t>;</w:t>
      </w:r>
      <w:r w:rsidRPr="001425B8">
        <w:rPr>
          <w:bCs/>
          <w:lang w:val="es-US"/>
        </w:rPr>
        <w:t xml:space="preserve"> </w:t>
      </w:r>
      <w:r w:rsidRPr="00547CBA">
        <w:rPr>
          <w:bCs/>
          <w:lang w:val="es-US"/>
        </w:rPr>
        <w:t xml:space="preserve">Sentencia </w:t>
      </w:r>
      <w:r w:rsidRPr="00F13B81">
        <w:rPr>
          <w:bCs/>
          <w:i/>
          <w:iCs/>
          <w:lang w:val="es-US"/>
        </w:rPr>
        <w:t>Valencia Hinojosa y otra</w:t>
      </w:r>
      <w:r>
        <w:rPr>
          <w:bCs/>
          <w:lang w:val="es-US"/>
        </w:rPr>
        <w:t>, párrs. 115</w:t>
      </w:r>
      <w:r w:rsidRPr="00FA58FA">
        <w:rPr>
          <w:lang w:val="es-ES_tradnl"/>
        </w:rPr>
        <w:t>.</w:t>
      </w:r>
    </w:p>
  </w:footnote>
  <w:footnote w:id="129">
    <w:p w14:paraId="7921E525" w14:textId="77777777" w:rsidR="00251E25" w:rsidRPr="00A44D6C" w:rsidRDefault="00251E25">
      <w:pPr>
        <w:pStyle w:val="FootnoteText"/>
        <w:rPr>
          <w:lang w:val="es-ES"/>
        </w:rPr>
      </w:pPr>
      <w:r>
        <w:rPr>
          <w:rStyle w:val="FootnoteReference"/>
        </w:rPr>
        <w:footnoteRef/>
      </w:r>
      <w:r w:rsidRPr="00A44D6C">
        <w:rPr>
          <w:lang w:val="es-ES"/>
        </w:rPr>
        <w:t xml:space="preserve"> </w:t>
      </w:r>
      <w:r>
        <w:rPr>
          <w:lang w:val="es-ES"/>
        </w:rPr>
        <w:t xml:space="preserve">Corte IDH. </w:t>
      </w:r>
      <w:r>
        <w:rPr>
          <w:bCs/>
          <w:lang w:val="es-US"/>
        </w:rPr>
        <w:t xml:space="preserve">Sentencia </w:t>
      </w:r>
      <w:r w:rsidRPr="00A44D6C">
        <w:rPr>
          <w:bCs/>
          <w:i/>
          <w:iCs/>
          <w:lang w:val="es-US"/>
        </w:rPr>
        <w:t>Castillo Petruzzi y otros</w:t>
      </w:r>
      <w:r>
        <w:rPr>
          <w:bCs/>
          <w:i/>
          <w:iCs/>
          <w:lang w:val="es-US"/>
        </w:rPr>
        <w:t>,</w:t>
      </w:r>
      <w:r>
        <w:rPr>
          <w:bCs/>
          <w:lang w:val="es-US"/>
        </w:rPr>
        <w:t xml:space="preserve"> párr. 128.</w:t>
      </w:r>
    </w:p>
  </w:footnote>
  <w:footnote w:id="130">
    <w:p w14:paraId="2460AAAA" w14:textId="77777777" w:rsidR="00251E25" w:rsidRPr="00693F90" w:rsidRDefault="00251E25" w:rsidP="00BD47A1">
      <w:pPr>
        <w:pStyle w:val="FootnoteText"/>
        <w:rPr>
          <w:lang w:val="es-US"/>
        </w:rPr>
      </w:pPr>
      <w:r>
        <w:rPr>
          <w:rStyle w:val="FootnoteReference"/>
        </w:rPr>
        <w:footnoteRef/>
      </w:r>
      <w:r w:rsidRPr="0027308F">
        <w:rPr>
          <w:lang w:val="es-US"/>
        </w:rPr>
        <w:t xml:space="preserve"> CIDH. </w:t>
      </w:r>
      <w:r w:rsidRPr="00985C34">
        <w:rPr>
          <w:lang w:val="es-US"/>
        </w:rPr>
        <w:t>Informe No. 33/13. Admisibilidad y Fondo. José Luis García Ibarra y familia.</w:t>
      </w:r>
      <w:r>
        <w:rPr>
          <w:lang w:val="es-US"/>
        </w:rPr>
        <w:t xml:space="preserve"> Ecuador</w:t>
      </w:r>
      <w:r w:rsidRPr="00985C34">
        <w:rPr>
          <w:lang w:val="es-US"/>
        </w:rPr>
        <w:t xml:space="preserve">. </w:t>
      </w:r>
      <w:r>
        <w:rPr>
          <w:lang w:val="es-US"/>
        </w:rPr>
        <w:t xml:space="preserve">10 de julio de 2013, </w:t>
      </w:r>
      <w:r w:rsidRPr="00693F90">
        <w:rPr>
          <w:lang w:val="es-US"/>
        </w:rPr>
        <w:t>párr. 185</w:t>
      </w:r>
      <w:r>
        <w:rPr>
          <w:lang w:val="es-US"/>
        </w:rPr>
        <w:t xml:space="preserve">. De manera similar la Corte Interamericana se ha referido al fuero militar para investigar y sancionar violaciones a derechos humanos, señalando que </w:t>
      </w:r>
      <w:r w:rsidRPr="00BD47A1">
        <w:rPr>
          <w:lang w:val="es-US"/>
        </w:rPr>
        <w:t>"</w:t>
      </w:r>
      <w:r>
        <w:rPr>
          <w:lang w:val="es-US"/>
        </w:rPr>
        <w:t xml:space="preserve">el </w:t>
      </w:r>
      <w:r w:rsidRPr="00BD47A1">
        <w:rPr>
          <w:lang w:val="es-US"/>
        </w:rPr>
        <w:t>Estado vulneró e</w:t>
      </w:r>
      <w:r>
        <w:rPr>
          <w:lang w:val="es-US"/>
        </w:rPr>
        <w:t xml:space="preserve">l principio del juez natural al </w:t>
      </w:r>
      <w:r w:rsidRPr="00BD47A1">
        <w:rPr>
          <w:lang w:val="es-US"/>
        </w:rPr>
        <w:t>extralimitar la esfera de la justicia castrense en el present</w:t>
      </w:r>
      <w:r>
        <w:rPr>
          <w:lang w:val="es-US"/>
        </w:rPr>
        <w:t xml:space="preserve">e caso, en contravención de los </w:t>
      </w:r>
      <w:r w:rsidRPr="00BD47A1">
        <w:rPr>
          <w:lang w:val="es-US"/>
        </w:rPr>
        <w:t>parámetros de excepcionalidad y restricción que caracterizan a la jurisdicción penal militar</w:t>
      </w:r>
      <w:r w:rsidRPr="00B079F6">
        <w:rPr>
          <w:lang w:val="es-US"/>
        </w:rPr>
        <w:t xml:space="preserve"> </w:t>
      </w:r>
      <w:r w:rsidRPr="00BD47A1">
        <w:rPr>
          <w:lang w:val="es-US"/>
        </w:rPr>
        <w:t>"</w:t>
      </w:r>
      <w:r>
        <w:rPr>
          <w:lang w:val="es-US"/>
        </w:rPr>
        <w:t>. Corte</w:t>
      </w:r>
      <w:r w:rsidRPr="00BD47A1">
        <w:rPr>
          <w:lang w:val="es-US"/>
        </w:rPr>
        <w:t xml:space="preserve"> IDH. Caso Radilla Pacheco Vs. México. Excepciones Preliminares, Fondo, Reparaciones y Costas. Sentencia de 23 de nov</w:t>
      </w:r>
      <w:r>
        <w:rPr>
          <w:lang w:val="es-US"/>
        </w:rPr>
        <w:t>iembre de 2009. Serie C No. 209, párr.282.</w:t>
      </w:r>
    </w:p>
  </w:footnote>
  <w:footnote w:id="131">
    <w:p w14:paraId="2B7FF6BA" w14:textId="77777777" w:rsidR="00251E25" w:rsidRPr="00476722" w:rsidRDefault="00251E25">
      <w:pPr>
        <w:pStyle w:val="FootnoteText"/>
        <w:rPr>
          <w:lang w:val="es-US"/>
        </w:rPr>
      </w:pPr>
      <w:r>
        <w:rPr>
          <w:rStyle w:val="FootnoteReference"/>
        </w:rPr>
        <w:footnoteRef/>
      </w:r>
      <w:r w:rsidRPr="00FA58FA">
        <w:rPr>
          <w:lang w:val="es-ES_tradnl"/>
        </w:rPr>
        <w:t xml:space="preserve"> </w:t>
      </w:r>
      <w:r w:rsidRPr="004516CA">
        <w:rPr>
          <w:lang w:val="es-US"/>
        </w:rPr>
        <w:t xml:space="preserve">Corte IDH. </w:t>
      </w:r>
      <w:r w:rsidRPr="004516CA">
        <w:rPr>
          <w:i/>
          <w:lang w:val="es-US"/>
        </w:rPr>
        <w:t>Caso Apitz Barbera y otros (“Corte Primera de lo Contencioso Administrativo”) Vs. Venezuela.</w:t>
      </w:r>
      <w:r w:rsidRPr="004516CA">
        <w:rPr>
          <w:lang w:val="es-US"/>
        </w:rPr>
        <w:t xml:space="preserve"> Excepción Preliminar, Fondo, Reparaciones y Costas. Sentencia de 5 de agosto de 2008. Serie C No. 182</w:t>
      </w:r>
      <w:r>
        <w:rPr>
          <w:lang w:val="es-US"/>
        </w:rPr>
        <w:t xml:space="preserve"> (Sentencia </w:t>
      </w:r>
      <w:r w:rsidRPr="00476722">
        <w:rPr>
          <w:i/>
          <w:lang w:val="es-US"/>
        </w:rPr>
        <w:t>Apitz Barbera y otros</w:t>
      </w:r>
      <w:r>
        <w:rPr>
          <w:lang w:val="es-US"/>
        </w:rPr>
        <w:t>), párr. 55.</w:t>
      </w:r>
    </w:p>
  </w:footnote>
  <w:footnote w:id="132">
    <w:p w14:paraId="67291589" w14:textId="77777777" w:rsidR="00251E25" w:rsidRPr="00476722" w:rsidRDefault="00251E25">
      <w:pPr>
        <w:pStyle w:val="FootnoteText"/>
        <w:rPr>
          <w:lang w:val="es-US"/>
        </w:rPr>
      </w:pPr>
      <w:r>
        <w:rPr>
          <w:rStyle w:val="FootnoteReference"/>
        </w:rPr>
        <w:footnoteRef/>
      </w:r>
      <w:r w:rsidRPr="00476722">
        <w:rPr>
          <w:lang w:val="es-US"/>
        </w:rPr>
        <w:t xml:space="preserve"> </w:t>
      </w:r>
      <w:r w:rsidRPr="00476722">
        <w:rPr>
          <w:bCs/>
          <w:lang w:val="es-US"/>
        </w:rPr>
        <w:t xml:space="preserve">Corte IDH. </w:t>
      </w:r>
      <w:r w:rsidRPr="00476722">
        <w:rPr>
          <w:bCs/>
          <w:i/>
          <w:lang w:val="es-US"/>
        </w:rPr>
        <w:t>Caso Reverón Trujillo Vs. Venezuela.</w:t>
      </w:r>
      <w:r w:rsidRPr="00476722">
        <w:rPr>
          <w:bCs/>
          <w:lang w:val="es-US"/>
        </w:rPr>
        <w:t xml:space="preserve"> Excepción Preliminar, Fondo, Reparaciones y Costas. Sentencia de 30 de junio de 2009. Serie C No. 197, párr. 114.</w:t>
      </w:r>
    </w:p>
  </w:footnote>
  <w:footnote w:id="133">
    <w:p w14:paraId="2E2C0C0D" w14:textId="77777777" w:rsidR="00251E25" w:rsidRPr="00574704" w:rsidRDefault="00251E25" w:rsidP="004516CA">
      <w:pPr>
        <w:pStyle w:val="FootnoteText"/>
        <w:rPr>
          <w:lang w:val="es-US"/>
        </w:rPr>
      </w:pPr>
      <w:r>
        <w:rPr>
          <w:rStyle w:val="FootnoteReference"/>
        </w:rPr>
        <w:footnoteRef/>
      </w:r>
      <w:r>
        <w:rPr>
          <w:lang w:val="es-US"/>
        </w:rPr>
        <w:t xml:space="preserve"> Corte IDH. </w:t>
      </w:r>
      <w:r w:rsidRPr="00476722">
        <w:rPr>
          <w:lang w:val="es-US"/>
        </w:rPr>
        <w:t xml:space="preserve">Sentencia </w:t>
      </w:r>
      <w:r w:rsidRPr="00476722">
        <w:rPr>
          <w:i/>
          <w:lang w:val="es-US"/>
        </w:rPr>
        <w:t>Apitz Barbera y otros</w:t>
      </w:r>
      <w:r w:rsidRPr="004516CA">
        <w:rPr>
          <w:lang w:val="es-US"/>
        </w:rPr>
        <w:t xml:space="preserve">, párr. </w:t>
      </w:r>
      <w:r w:rsidRPr="00574704">
        <w:rPr>
          <w:lang w:val="es-US"/>
        </w:rPr>
        <w:t>56.</w:t>
      </w:r>
    </w:p>
  </w:footnote>
  <w:footnote w:id="134">
    <w:p w14:paraId="6AD71C0C" w14:textId="77777777" w:rsidR="00251E25" w:rsidRPr="00F13B81" w:rsidRDefault="00251E25">
      <w:pPr>
        <w:pStyle w:val="FootnoteText"/>
        <w:rPr>
          <w:lang w:val="es-ES"/>
        </w:rPr>
      </w:pPr>
      <w:r>
        <w:rPr>
          <w:rStyle w:val="FootnoteReference"/>
        </w:rPr>
        <w:footnoteRef/>
      </w:r>
      <w:r w:rsidRPr="00F13B81">
        <w:rPr>
          <w:lang w:val="es-ES"/>
        </w:rPr>
        <w:t xml:space="preserve"> </w:t>
      </w:r>
      <w:r>
        <w:rPr>
          <w:lang w:val="es-ES"/>
        </w:rPr>
        <w:t xml:space="preserve">Corte IDH. </w:t>
      </w:r>
      <w:r w:rsidRPr="00547CBA">
        <w:rPr>
          <w:bCs/>
          <w:lang w:val="es-US"/>
        </w:rPr>
        <w:t xml:space="preserve">Sentencia </w:t>
      </w:r>
      <w:r w:rsidRPr="00F13B81">
        <w:rPr>
          <w:bCs/>
          <w:i/>
          <w:iCs/>
          <w:lang w:val="es-US"/>
        </w:rPr>
        <w:t>Valencia Hinojosa y otra</w:t>
      </w:r>
      <w:r>
        <w:rPr>
          <w:bCs/>
          <w:lang w:val="es-US"/>
        </w:rPr>
        <w:t>, párrs. 97, 113.</w:t>
      </w:r>
    </w:p>
  </w:footnote>
  <w:footnote w:id="135">
    <w:p w14:paraId="595BE395" w14:textId="77777777" w:rsidR="00251E25" w:rsidRPr="001425B8" w:rsidRDefault="00251E25">
      <w:pPr>
        <w:pStyle w:val="FootnoteText"/>
        <w:rPr>
          <w:lang w:val="es-ES"/>
        </w:rPr>
      </w:pPr>
      <w:r>
        <w:rPr>
          <w:rStyle w:val="FootnoteReference"/>
        </w:rPr>
        <w:footnoteRef/>
      </w:r>
      <w:r w:rsidRPr="001425B8">
        <w:rPr>
          <w:lang w:val="es-ES"/>
        </w:rPr>
        <w:t xml:space="preserve"> </w:t>
      </w:r>
      <w:r>
        <w:rPr>
          <w:lang w:val="es-ES"/>
        </w:rPr>
        <w:t xml:space="preserve">Corte IDH. </w:t>
      </w:r>
      <w:r w:rsidRPr="00547CBA">
        <w:rPr>
          <w:bCs/>
          <w:lang w:val="es-US"/>
        </w:rPr>
        <w:t xml:space="preserve">Sentencia </w:t>
      </w:r>
      <w:r w:rsidRPr="00F13B81">
        <w:rPr>
          <w:bCs/>
          <w:i/>
          <w:iCs/>
          <w:lang w:val="es-US"/>
        </w:rPr>
        <w:t>Valencia Hinojosa y otra</w:t>
      </w:r>
      <w:r>
        <w:rPr>
          <w:bCs/>
          <w:lang w:val="es-US"/>
        </w:rPr>
        <w:t>, párr. 114.</w:t>
      </w:r>
    </w:p>
  </w:footnote>
  <w:footnote w:id="136">
    <w:p w14:paraId="3536A246" w14:textId="77777777" w:rsidR="00251E25" w:rsidRPr="009A4F9D" w:rsidRDefault="00251E25">
      <w:pPr>
        <w:pStyle w:val="FootnoteText"/>
        <w:rPr>
          <w:lang w:val="es-ES"/>
        </w:rPr>
      </w:pPr>
      <w:r>
        <w:rPr>
          <w:rStyle w:val="FootnoteReference"/>
        </w:rPr>
        <w:footnoteRef/>
      </w:r>
      <w:r w:rsidRPr="00C90BE8">
        <w:rPr>
          <w:lang w:val="es-ES"/>
        </w:rPr>
        <w:t xml:space="preserve"> </w:t>
      </w:r>
      <w:r>
        <w:rPr>
          <w:lang w:val="es-ES"/>
        </w:rPr>
        <w:t xml:space="preserve">Corte IDH. </w:t>
      </w:r>
      <w:r w:rsidRPr="00547CBA">
        <w:rPr>
          <w:bCs/>
          <w:lang w:val="es-US"/>
        </w:rPr>
        <w:t xml:space="preserve">Sentencia </w:t>
      </w:r>
      <w:r w:rsidRPr="00F13B81">
        <w:rPr>
          <w:bCs/>
          <w:i/>
          <w:iCs/>
          <w:lang w:val="es-US"/>
        </w:rPr>
        <w:t>Valencia Hinojosa y otra</w:t>
      </w:r>
      <w:r>
        <w:rPr>
          <w:bCs/>
          <w:lang w:val="es-US"/>
        </w:rPr>
        <w:t>, párr. 118.</w:t>
      </w:r>
    </w:p>
  </w:footnote>
  <w:footnote w:id="137">
    <w:p w14:paraId="0BFC146D" w14:textId="77777777" w:rsidR="00251E25" w:rsidRPr="00534885" w:rsidRDefault="00251E25" w:rsidP="00163F45">
      <w:pPr>
        <w:pStyle w:val="FootnoteText"/>
        <w:rPr>
          <w:lang w:val="pt-BR"/>
        </w:rPr>
      </w:pPr>
      <w:r>
        <w:rPr>
          <w:rStyle w:val="FootnoteReference"/>
        </w:rPr>
        <w:footnoteRef/>
      </w:r>
      <w:r w:rsidRPr="009A4F9D">
        <w:rPr>
          <w:lang w:val="es-ES"/>
        </w:rPr>
        <w:t xml:space="preserve"> Por una deter</w:t>
      </w:r>
      <w:r>
        <w:rPr>
          <w:lang w:val="es-ES"/>
        </w:rPr>
        <w:t xml:space="preserve">minación similar, ver: Corte IDH. </w:t>
      </w:r>
      <w:r w:rsidRPr="00547CBA">
        <w:rPr>
          <w:bCs/>
          <w:lang w:val="es-US"/>
        </w:rPr>
        <w:t xml:space="preserve">Sentencia </w:t>
      </w:r>
      <w:r w:rsidRPr="00F13B81">
        <w:rPr>
          <w:bCs/>
          <w:i/>
          <w:iCs/>
          <w:lang w:val="es-US"/>
        </w:rPr>
        <w:t>Valencia Hinojosa y otra</w:t>
      </w:r>
      <w:r>
        <w:rPr>
          <w:bCs/>
          <w:lang w:val="es-US"/>
        </w:rPr>
        <w:t xml:space="preserve">, párr. </w:t>
      </w:r>
      <w:r w:rsidRPr="00534885">
        <w:rPr>
          <w:bCs/>
          <w:lang w:val="pt-BR"/>
        </w:rPr>
        <w:t>124.</w:t>
      </w:r>
    </w:p>
  </w:footnote>
  <w:footnote w:id="138">
    <w:p w14:paraId="60A84787" w14:textId="77777777" w:rsidR="00251E25" w:rsidRPr="003B1C01" w:rsidRDefault="00251E25" w:rsidP="005D5371">
      <w:pPr>
        <w:pStyle w:val="FootnoteText"/>
        <w:rPr>
          <w:lang w:val="pt-BR"/>
        </w:rPr>
      </w:pPr>
      <w:r w:rsidRPr="003B1C01">
        <w:rPr>
          <w:rStyle w:val="FootnoteReference"/>
        </w:rPr>
        <w:footnoteRef/>
      </w:r>
      <w:r w:rsidRPr="003B1C01">
        <w:rPr>
          <w:lang w:val="pt-BR"/>
        </w:rPr>
        <w:t xml:space="preserve"> Corte IDH. </w:t>
      </w:r>
      <w:r w:rsidRPr="003B1C01">
        <w:rPr>
          <w:bCs/>
          <w:lang w:val="pt-BR"/>
        </w:rPr>
        <w:t xml:space="preserve">Sentencia </w:t>
      </w:r>
      <w:r w:rsidRPr="003B1C01">
        <w:rPr>
          <w:bCs/>
          <w:i/>
          <w:lang w:val="pt-BR"/>
        </w:rPr>
        <w:t>Maritza Urrutia</w:t>
      </w:r>
      <w:r w:rsidRPr="003B1C01">
        <w:rPr>
          <w:bCs/>
          <w:lang w:val="pt-BR"/>
        </w:rPr>
        <w:t>, párr. 127.</w:t>
      </w:r>
    </w:p>
  </w:footnote>
  <w:footnote w:id="139">
    <w:p w14:paraId="32CCED25" w14:textId="77777777" w:rsidR="00251E25" w:rsidRPr="004B0D6F" w:rsidRDefault="00251E25" w:rsidP="005D5371">
      <w:pPr>
        <w:pStyle w:val="FootnoteText"/>
        <w:rPr>
          <w:bCs/>
          <w:lang w:val="es-US"/>
        </w:rPr>
      </w:pPr>
      <w:r w:rsidRPr="004B0D6F">
        <w:rPr>
          <w:rStyle w:val="FootnoteReference"/>
        </w:rPr>
        <w:footnoteRef/>
      </w:r>
      <w:r w:rsidRPr="004B0D6F">
        <w:rPr>
          <w:lang w:val="pt-BR"/>
        </w:rPr>
        <w:t xml:space="preserve"> </w:t>
      </w:r>
      <w:r w:rsidRPr="004B0D6F">
        <w:rPr>
          <w:bCs/>
          <w:lang w:val="pt-BR"/>
        </w:rPr>
        <w:t xml:space="preserve">Corte IDH. </w:t>
      </w:r>
      <w:r w:rsidRPr="00574704">
        <w:rPr>
          <w:bCs/>
          <w:i/>
          <w:lang w:val="pt-BR"/>
        </w:rPr>
        <w:t xml:space="preserve">Caso Gutiérrez Soler Vs. </w:t>
      </w:r>
      <w:r w:rsidRPr="004B0D6F">
        <w:rPr>
          <w:bCs/>
          <w:i/>
          <w:lang w:val="es-US"/>
        </w:rPr>
        <w:t xml:space="preserve">Colombia. </w:t>
      </w:r>
      <w:r w:rsidRPr="004B0D6F">
        <w:rPr>
          <w:bCs/>
          <w:lang w:val="es-US"/>
        </w:rPr>
        <w:t xml:space="preserve">Sentencia de 12 de septiembre de 2005. Serie C No. 132, párr. 54; Sentencia </w:t>
      </w:r>
      <w:r w:rsidRPr="004B0D6F">
        <w:rPr>
          <w:bCs/>
          <w:i/>
          <w:lang w:val="es-US"/>
        </w:rPr>
        <w:t>Ticona Estrada</w:t>
      </w:r>
      <w:r w:rsidRPr="004B0D6F">
        <w:rPr>
          <w:bCs/>
          <w:lang w:val="es-US"/>
        </w:rPr>
        <w:t xml:space="preserve">, párr 94; </w:t>
      </w:r>
      <w:r w:rsidRPr="004B0D6F">
        <w:rPr>
          <w:bCs/>
          <w:i/>
          <w:lang w:val="es-US"/>
        </w:rPr>
        <w:t>Caso Mendoza y otros Vs. Argentina.</w:t>
      </w:r>
      <w:r w:rsidRPr="004B0D6F">
        <w:rPr>
          <w:bCs/>
          <w:lang w:val="es-US"/>
        </w:rPr>
        <w:t xml:space="preserve"> Excepciones Preliminares, Fondo y Reparaciones. Sentencia de 14 de mayo de 2013. Serie C No. 260, párr. 234.</w:t>
      </w:r>
    </w:p>
  </w:footnote>
  <w:footnote w:id="140">
    <w:p w14:paraId="7AB27BE1" w14:textId="77777777" w:rsidR="00251E25" w:rsidRPr="004B0D6F" w:rsidRDefault="00251E25" w:rsidP="005D5371">
      <w:pPr>
        <w:pStyle w:val="FootnoteText"/>
        <w:rPr>
          <w:lang w:val="es-US"/>
        </w:rPr>
      </w:pPr>
      <w:r w:rsidRPr="004B0D6F">
        <w:rPr>
          <w:rStyle w:val="FootnoteReference"/>
        </w:rPr>
        <w:footnoteRef/>
      </w:r>
      <w:r w:rsidRPr="004B0D6F">
        <w:rPr>
          <w:lang w:val="es-US"/>
        </w:rPr>
        <w:t xml:space="preserve"> </w:t>
      </w:r>
      <w:r w:rsidRPr="004B0D6F">
        <w:rPr>
          <w:bCs/>
          <w:lang w:val="es-US"/>
        </w:rPr>
        <w:t xml:space="preserve">Corte IDH. Sentencia </w:t>
      </w:r>
      <w:r w:rsidRPr="004B0D6F">
        <w:rPr>
          <w:bCs/>
          <w:i/>
          <w:lang w:val="es-US"/>
        </w:rPr>
        <w:t>Galindo Cárdenas y otros</w:t>
      </w:r>
      <w:r w:rsidRPr="004B0D6F">
        <w:rPr>
          <w:bCs/>
          <w:lang w:val="es-US"/>
        </w:rPr>
        <w:t>, párr. 261 y nota al pie 231.</w:t>
      </w:r>
    </w:p>
  </w:footnote>
  <w:footnote w:id="141">
    <w:p w14:paraId="2C4765F8" w14:textId="77777777" w:rsidR="00251E25" w:rsidRDefault="00251E25" w:rsidP="00AD6EDB">
      <w:pPr>
        <w:pStyle w:val="FootnoteText"/>
        <w:rPr>
          <w:lang w:val="es-US"/>
        </w:rPr>
      </w:pPr>
      <w:r>
        <w:rPr>
          <w:rStyle w:val="FootnoteReference"/>
          <w:color w:val="000000" w:themeColor="text1"/>
        </w:rPr>
        <w:footnoteRef/>
      </w:r>
      <w:r>
        <w:rPr>
          <w:color w:val="000000" w:themeColor="text1"/>
          <w:lang w:val="es-ES"/>
        </w:rPr>
        <w:t xml:space="preserve"> Corte IDH. </w:t>
      </w:r>
      <w:r>
        <w:rPr>
          <w:i/>
          <w:iCs/>
          <w:color w:val="000000" w:themeColor="text1"/>
          <w:lang w:val="es-ES"/>
        </w:rPr>
        <w:t>Caso Rodríguez Vera y otros (Desaparecidos del Palacio de Justicia) Vs. Colombia.</w:t>
      </w:r>
      <w:r>
        <w:rPr>
          <w:color w:val="000000" w:themeColor="text1"/>
          <w:lang w:val="es-ES"/>
        </w:rPr>
        <w:t xml:space="preserve"> Excepciones Preliminares, Fondo, Reparaciones y Costas. Sentencia de 14 de noviembre de 2014. </w:t>
      </w:r>
      <w:r>
        <w:rPr>
          <w:color w:val="000000" w:themeColor="text1"/>
          <w:lang w:val="es-US"/>
        </w:rPr>
        <w:t>Serie C No. 287, párr. 476.</w:t>
      </w:r>
    </w:p>
  </w:footnote>
  <w:footnote w:id="142">
    <w:p w14:paraId="4A1F9F0E" w14:textId="77777777" w:rsidR="00251E25" w:rsidRPr="004B0D6F" w:rsidRDefault="00251E25" w:rsidP="004B0D6F">
      <w:pPr>
        <w:pStyle w:val="FootnoteText"/>
        <w:rPr>
          <w:lang w:val="es-US"/>
        </w:rPr>
      </w:pPr>
      <w:r w:rsidRPr="004B0D6F">
        <w:rPr>
          <w:rStyle w:val="FootnoteReference"/>
          <w:lang w:val="es-US"/>
        </w:rPr>
        <w:footnoteRef/>
      </w:r>
      <w:r w:rsidRPr="004B0D6F">
        <w:rPr>
          <w:lang w:val="es-US"/>
        </w:rPr>
        <w:t xml:space="preserve"> </w:t>
      </w:r>
      <w:r w:rsidRPr="004B0D6F">
        <w:rPr>
          <w:rStyle w:val="Strong"/>
          <w:b w:val="0"/>
          <w:shd w:val="clear" w:color="auto" w:fill="FFFFFF"/>
          <w:lang w:val="es-US"/>
        </w:rPr>
        <w:t xml:space="preserve">Corte IDH. </w:t>
      </w:r>
      <w:r w:rsidRPr="003D5422">
        <w:rPr>
          <w:rStyle w:val="Strong"/>
          <w:b w:val="0"/>
          <w:i/>
          <w:shd w:val="clear" w:color="auto" w:fill="FFFFFF"/>
          <w:lang w:val="es-US"/>
        </w:rPr>
        <w:t>Caso Nadege Dorzema y otros Vs. República Dominicana.</w:t>
      </w:r>
      <w:r w:rsidRPr="004B0D6F">
        <w:rPr>
          <w:rStyle w:val="Strong"/>
          <w:b w:val="0"/>
          <w:shd w:val="clear" w:color="auto" w:fill="FFFFFF"/>
          <w:lang w:val="es-US"/>
        </w:rPr>
        <w:t xml:space="preserve"> Fondo, Reparaciones y Costas. Sentencia de 24 de octubre de 2012. Serie C No. 251, párr. 101.</w:t>
      </w:r>
    </w:p>
  </w:footnote>
  <w:footnote w:id="143">
    <w:p w14:paraId="3A25AC43" w14:textId="77777777" w:rsidR="00251E25" w:rsidRPr="004B0D6F" w:rsidRDefault="00251E25" w:rsidP="00DD5522">
      <w:pPr>
        <w:pStyle w:val="FootnoteText"/>
        <w:rPr>
          <w:lang w:val="es-US"/>
        </w:rPr>
      </w:pPr>
      <w:r w:rsidRPr="004B0D6F">
        <w:rPr>
          <w:rStyle w:val="FootnoteReference"/>
          <w:lang w:val="es-US"/>
        </w:rPr>
        <w:footnoteRef/>
      </w:r>
      <w:r w:rsidRPr="004B0D6F">
        <w:rPr>
          <w:lang w:val="es-US"/>
        </w:rPr>
        <w:t xml:space="preserve"> CIDH. Informe Anual 2015. Capítulo IV.A. Uso de la Fuerza, párr. 229.</w:t>
      </w:r>
    </w:p>
  </w:footnote>
  <w:footnote w:id="144">
    <w:p w14:paraId="524E4774" w14:textId="77777777" w:rsidR="00251E25" w:rsidRPr="00263287" w:rsidRDefault="00251E25" w:rsidP="00DD5522">
      <w:pPr>
        <w:pStyle w:val="FootnoteText"/>
        <w:rPr>
          <w:highlight w:val="yellow"/>
          <w:lang w:val="es-US"/>
        </w:rPr>
      </w:pPr>
      <w:r w:rsidRPr="004B0D6F">
        <w:rPr>
          <w:rStyle w:val="FootnoteReference"/>
          <w:lang w:val="es-US"/>
        </w:rPr>
        <w:footnoteRef/>
      </w:r>
      <w:r w:rsidRPr="004B0D6F">
        <w:rPr>
          <w:lang w:val="es-US"/>
        </w:rPr>
        <w:t xml:space="preserve"> CIDH. Informe Anual 2015. Capítulo IV.A. Uso de la Fuerza, párr. 232. En este sentido, ver: Corte IDH: Caso Hermanos Landaeta Mejías y Otros Vs Venezuela. Sentencia de 27 de agosto de 2014. Excepciones Preliminares, Fondo, Reparaciones y Costas. Serie C No. 281, párr. 143; Caso Nadege Dorzema y otros Vs. República Dominicana</w:t>
      </w:r>
      <w:r w:rsidRPr="00653B23">
        <w:rPr>
          <w:lang w:val="es-US"/>
        </w:rPr>
        <w:t xml:space="preserve">. Fondo Reparaciones y Costas. Sentencia de 24 de octubre de 2012 Serie C No. 251, párr. </w:t>
      </w:r>
      <w:r w:rsidRPr="00263287">
        <w:rPr>
          <w:lang w:val="es-US"/>
        </w:rPr>
        <w:t>100.</w:t>
      </w:r>
    </w:p>
  </w:footnote>
  <w:footnote w:id="145">
    <w:p w14:paraId="20180110" w14:textId="77777777" w:rsidR="00251E25" w:rsidRPr="00BF622F" w:rsidRDefault="00251E25" w:rsidP="00ED58D0">
      <w:pPr>
        <w:pStyle w:val="FootnoteText"/>
        <w:rPr>
          <w:lang w:val="es-ES"/>
        </w:rPr>
      </w:pPr>
      <w:r w:rsidRPr="00BF622F">
        <w:rPr>
          <w:rStyle w:val="FootnoteReference"/>
        </w:rPr>
        <w:footnoteRef/>
      </w:r>
      <w:r w:rsidRPr="00BF622F">
        <w:rPr>
          <w:lang w:val="es-ES"/>
        </w:rPr>
        <w:t xml:space="preserve"> UN. </w:t>
      </w:r>
      <w:r w:rsidRPr="00C21BAD">
        <w:rPr>
          <w:i/>
          <w:lang w:val="es-ES"/>
        </w:rPr>
        <w:t>Protocolo de Minnesota sobre la Investigación de Muertes Potencialmente Ilícitas</w:t>
      </w:r>
      <w:r w:rsidRPr="00BF622F">
        <w:rPr>
          <w:lang w:val="es-ES"/>
        </w:rPr>
        <w:t xml:space="preserve"> (2016), Oficina del Alto Comisionado de las Naciones Unidas para los Derechos Humanos, Nueva York y Ginebra, 2017</w:t>
      </w:r>
      <w:r>
        <w:rPr>
          <w:lang w:val="es-ES"/>
        </w:rPr>
        <w:t xml:space="preserve">, </w:t>
      </w:r>
      <w:r w:rsidRPr="00ED58D0">
        <w:rPr>
          <w:lang w:val="es-ES"/>
        </w:rPr>
        <w:t>actualización de la versión original titulada “Manual de las Naciones Unidas sobre la Prevención e</w:t>
      </w:r>
      <w:r>
        <w:rPr>
          <w:lang w:val="es-ES"/>
        </w:rPr>
        <w:t xml:space="preserve"> </w:t>
      </w:r>
      <w:r w:rsidRPr="00ED58D0">
        <w:rPr>
          <w:lang w:val="es-ES"/>
        </w:rPr>
        <w:t>Investigación Eficaces de las Ejecuciones Extralegales, Arbitrarias o Sumarias” de 1991</w:t>
      </w:r>
      <w:r>
        <w:rPr>
          <w:lang w:val="es-ES"/>
        </w:rPr>
        <w:t xml:space="preserve"> (</w:t>
      </w:r>
      <w:r w:rsidRPr="004C7C22">
        <w:rPr>
          <w:i/>
          <w:lang w:val="es-ES"/>
        </w:rPr>
        <w:t>Protocolo de Minnesota</w:t>
      </w:r>
      <w:r>
        <w:rPr>
          <w:lang w:val="es-ES"/>
        </w:rPr>
        <w:t>)</w:t>
      </w:r>
      <w:r w:rsidRPr="00BF622F">
        <w:rPr>
          <w:lang w:val="es-ES"/>
        </w:rPr>
        <w:t>.</w:t>
      </w:r>
      <w:r>
        <w:rPr>
          <w:lang w:val="es-ES"/>
        </w:rPr>
        <w:t xml:space="preserve"> Disponible en: </w:t>
      </w:r>
      <w:r w:rsidRPr="00ED58D0">
        <w:rPr>
          <w:lang w:val="es-ES"/>
        </w:rPr>
        <w:t>https://www.ohchr.org/Documents/Publications/MinnesotaProtocol_SP.pdf</w:t>
      </w:r>
      <w:r>
        <w:rPr>
          <w:lang w:val="es-ES"/>
        </w:rPr>
        <w:t>.</w:t>
      </w:r>
    </w:p>
  </w:footnote>
  <w:footnote w:id="146">
    <w:p w14:paraId="53ED8712" w14:textId="77777777" w:rsidR="00251E25" w:rsidRPr="00000F3A" w:rsidRDefault="00251E25" w:rsidP="00DA509B">
      <w:pPr>
        <w:pStyle w:val="FootnoteText"/>
        <w:rPr>
          <w:lang w:val="es-US"/>
        </w:rPr>
      </w:pPr>
      <w:r>
        <w:rPr>
          <w:rStyle w:val="FootnoteReference"/>
        </w:rPr>
        <w:footnoteRef/>
      </w:r>
      <w:r w:rsidRPr="00000F3A">
        <w:rPr>
          <w:lang w:val="es-US"/>
        </w:rPr>
        <w:t xml:space="preserve"> </w:t>
      </w:r>
      <w:r w:rsidRPr="0093536F">
        <w:rPr>
          <w:rFonts w:eastAsia="Times New Roman"/>
          <w:bCs/>
          <w:color w:val="auto"/>
          <w:lang w:val="es-ES"/>
        </w:rPr>
        <w:t xml:space="preserve">Corte IDH. </w:t>
      </w:r>
      <w:r w:rsidRPr="00C55B05">
        <w:rPr>
          <w:rFonts w:eastAsia="Times New Roman"/>
          <w:bCs/>
          <w:i/>
          <w:color w:val="auto"/>
          <w:lang w:val="es-ES"/>
        </w:rPr>
        <w:t xml:space="preserve">Caso Ortiz Hernández y otros Vs. Venezuela. </w:t>
      </w:r>
      <w:r w:rsidRPr="0093536F">
        <w:rPr>
          <w:rFonts w:eastAsia="Times New Roman"/>
          <w:bCs/>
          <w:color w:val="auto"/>
          <w:lang w:val="es-ES"/>
        </w:rPr>
        <w:t xml:space="preserve">Fondo, Reparaciones y Costas. </w:t>
      </w:r>
      <w:r w:rsidRPr="00FA6F80">
        <w:rPr>
          <w:rFonts w:eastAsia="Times New Roman"/>
          <w:bCs/>
          <w:color w:val="auto"/>
          <w:lang w:val="es-CO"/>
        </w:rPr>
        <w:t xml:space="preserve">Sentencia de 22 de agosto de 2017. </w:t>
      </w:r>
      <w:r>
        <w:rPr>
          <w:rFonts w:eastAsia="Times New Roman"/>
          <w:bCs/>
          <w:color w:val="auto"/>
          <w:lang w:val="es-CO"/>
        </w:rPr>
        <w:t>Serie C No. 338, p</w:t>
      </w:r>
      <w:r w:rsidRPr="00F13BBE">
        <w:rPr>
          <w:rFonts w:eastAsia="Times New Roman"/>
          <w:bCs/>
          <w:color w:val="auto"/>
          <w:lang w:val="es-CO"/>
        </w:rPr>
        <w:t>árr. 161.</w:t>
      </w:r>
    </w:p>
  </w:footnote>
  <w:footnote w:id="147">
    <w:p w14:paraId="5A63A996" w14:textId="77777777" w:rsidR="00251E25" w:rsidRPr="00402225" w:rsidRDefault="00251E25" w:rsidP="0041222F">
      <w:pPr>
        <w:pStyle w:val="FootnoteText"/>
        <w:rPr>
          <w:lang w:val="es-ES"/>
        </w:rPr>
      </w:pPr>
      <w:r>
        <w:rPr>
          <w:rStyle w:val="FootnoteReference"/>
        </w:rPr>
        <w:footnoteRef/>
      </w:r>
      <w:r w:rsidRPr="00402225">
        <w:rPr>
          <w:lang w:val="es-ES"/>
        </w:rPr>
        <w:t xml:space="preserve"> </w:t>
      </w:r>
      <w:r>
        <w:rPr>
          <w:lang w:val="es-ES"/>
        </w:rPr>
        <w:t>Ver sección III. A. “Marco normativo y contexto general de la jurisdicción policial en el Ecuador”.</w:t>
      </w:r>
    </w:p>
  </w:footnote>
  <w:footnote w:id="148">
    <w:p w14:paraId="3C6DB67C" w14:textId="77777777" w:rsidR="00251E25" w:rsidRPr="000A081A" w:rsidRDefault="00251E25" w:rsidP="0041222F">
      <w:pPr>
        <w:pStyle w:val="FootnoteText"/>
        <w:rPr>
          <w:lang w:val="es-ES"/>
        </w:rPr>
      </w:pPr>
      <w:r>
        <w:rPr>
          <w:rStyle w:val="FootnoteReference"/>
        </w:rPr>
        <w:footnoteRef/>
      </w:r>
      <w:r w:rsidRPr="00A56A76">
        <w:rPr>
          <w:lang w:val="pt-BR"/>
        </w:rPr>
        <w:t xml:space="preserve"> Corte IDH. </w:t>
      </w:r>
      <w:r w:rsidRPr="00A56A76">
        <w:rPr>
          <w:i/>
          <w:lang w:val="pt-BR"/>
        </w:rPr>
        <w:t xml:space="preserve">Caso Gomes Lund y otros ("Guerrilha do Araguaia") Vs. </w:t>
      </w:r>
      <w:r w:rsidRPr="000A081A">
        <w:rPr>
          <w:i/>
          <w:lang w:val="es-ES"/>
        </w:rPr>
        <w:t>Brasil</w:t>
      </w:r>
      <w:r w:rsidRPr="000A081A">
        <w:rPr>
          <w:lang w:val="es-ES"/>
        </w:rPr>
        <w:t>. Excepciones Preliminares, Fondo, Reparaciones y Costas. Sentencia de 24 de noviembre de 2010. Serie C No. 219</w:t>
      </w:r>
      <w:r>
        <w:rPr>
          <w:lang w:val="es-ES"/>
        </w:rPr>
        <w:t xml:space="preserve">, párr. 171; </w:t>
      </w:r>
      <w:r w:rsidRPr="00B86E74">
        <w:rPr>
          <w:i/>
          <w:lang w:val="es-ES"/>
        </w:rPr>
        <w:t>Caso Gelman Vs. Uruguay.</w:t>
      </w:r>
      <w:r w:rsidRPr="00B86E74">
        <w:rPr>
          <w:lang w:val="es-ES"/>
        </w:rPr>
        <w:t xml:space="preserve"> Fondo y Reparaciones. Sentencia de 24 de febrero de 2011. Serie C No. 221</w:t>
      </w:r>
      <w:r>
        <w:rPr>
          <w:lang w:val="es-ES"/>
        </w:rPr>
        <w:t xml:space="preserve">, párr. 225; </w:t>
      </w:r>
      <w:r w:rsidRPr="00780D09">
        <w:rPr>
          <w:i/>
          <w:lang w:val="es-ES"/>
        </w:rPr>
        <w:t>Caso Ibsen Cárdenas e Ibsen Peña Vs. Bolivia.</w:t>
      </w:r>
      <w:r w:rsidRPr="00C90E0C">
        <w:rPr>
          <w:lang w:val="es-ES"/>
        </w:rPr>
        <w:t xml:space="preserve"> Fondo, Reparaciones y Costas. Sentencia de 1 de septiembre de 2010. Serie C No. 217</w:t>
      </w:r>
      <w:r>
        <w:rPr>
          <w:lang w:val="es-ES"/>
        </w:rPr>
        <w:t>, párrs. 207-208</w:t>
      </w:r>
      <w:r w:rsidRPr="00C90E0C">
        <w:rPr>
          <w:lang w:val="es-ES"/>
        </w:rPr>
        <w:t>.</w:t>
      </w:r>
    </w:p>
  </w:footnote>
  <w:footnote w:id="149">
    <w:p w14:paraId="57FE8877" w14:textId="77777777" w:rsidR="00251E25" w:rsidRPr="00534885" w:rsidRDefault="00251E25" w:rsidP="0041222F">
      <w:pPr>
        <w:pStyle w:val="FootnoteText"/>
        <w:rPr>
          <w:lang w:val="es-US"/>
        </w:rPr>
      </w:pPr>
      <w:r>
        <w:rPr>
          <w:rStyle w:val="FootnoteReference"/>
        </w:rPr>
        <w:footnoteRef/>
      </w:r>
      <w:r w:rsidRPr="00780D09">
        <w:rPr>
          <w:lang w:val="es-ES"/>
        </w:rPr>
        <w:t xml:space="preserve"> Corte IDH. </w:t>
      </w:r>
      <w:r w:rsidRPr="00780D09">
        <w:rPr>
          <w:i/>
          <w:lang w:val="es-ES"/>
        </w:rPr>
        <w:t>Caso Bueno Alves Vs. Argentina.</w:t>
      </w:r>
      <w:r w:rsidRPr="00780D09">
        <w:rPr>
          <w:lang w:val="es-ES"/>
        </w:rPr>
        <w:t xml:space="preserve"> Supervisión de Cumplimiento de Sentencia. Resolución de la Corte Interamericana de Derechos Humanos de 5 de julio de 2011</w:t>
      </w:r>
      <w:r>
        <w:rPr>
          <w:lang w:val="es-ES"/>
        </w:rPr>
        <w:t xml:space="preserve">, párr. </w:t>
      </w:r>
      <w:r w:rsidRPr="00534885">
        <w:rPr>
          <w:lang w:val="es-US"/>
        </w:rPr>
        <w:t>45.</w:t>
      </w:r>
    </w:p>
  </w:footnote>
  <w:footnote w:id="150">
    <w:p w14:paraId="5AC619C4" w14:textId="77777777" w:rsidR="00251E25" w:rsidRPr="00A86CE0" w:rsidRDefault="00251E25">
      <w:pPr>
        <w:pStyle w:val="FootnoteText"/>
        <w:rPr>
          <w:lang w:val="es-US"/>
        </w:rPr>
      </w:pPr>
      <w:r>
        <w:rPr>
          <w:rStyle w:val="FootnoteReference"/>
        </w:rPr>
        <w:footnoteRef/>
      </w:r>
      <w:r w:rsidRPr="00A86CE0">
        <w:rPr>
          <w:lang w:val="es-US"/>
        </w:rPr>
        <w:t xml:space="preserve"> </w:t>
      </w:r>
      <w:r w:rsidRPr="00653B23">
        <w:rPr>
          <w:rStyle w:val="FootnoteReference"/>
          <w:lang w:val="es-US"/>
        </w:rPr>
        <w:footnoteRef/>
      </w:r>
      <w:r w:rsidRPr="00653B23">
        <w:rPr>
          <w:lang w:val="es-US"/>
        </w:rPr>
        <w:t xml:space="preserve"> </w:t>
      </w:r>
      <w:r w:rsidRPr="007041A0">
        <w:rPr>
          <w:lang w:val="es-US"/>
        </w:rPr>
        <w:t>Corte IDH. Sentencia</w:t>
      </w:r>
      <w:r w:rsidRPr="007041A0">
        <w:rPr>
          <w:i/>
          <w:lang w:val="es-US"/>
        </w:rPr>
        <w:t xml:space="preserve"> Nadege Dorzema y otros</w:t>
      </w:r>
      <w:r w:rsidRPr="007041A0">
        <w:rPr>
          <w:lang w:val="es-US"/>
        </w:rPr>
        <w:t>, párr.</w:t>
      </w:r>
      <w:r>
        <w:rPr>
          <w:lang w:val="es-US"/>
        </w:rPr>
        <w:t xml:space="preserve"> 195.</w:t>
      </w:r>
    </w:p>
  </w:footnote>
  <w:footnote w:id="151">
    <w:p w14:paraId="7CD75A8D" w14:textId="77777777" w:rsidR="00251E25" w:rsidRPr="00534885" w:rsidRDefault="00251E25" w:rsidP="00F77983">
      <w:pPr>
        <w:pStyle w:val="FootnoteText"/>
        <w:rPr>
          <w:rFonts w:ascii="Cambria" w:hAnsi="Cambria"/>
          <w:lang w:val="pt-BR"/>
        </w:rPr>
      </w:pPr>
      <w:r>
        <w:rPr>
          <w:rStyle w:val="FootnoteReference"/>
          <w:rFonts w:ascii="Cambria" w:hAnsi="Cambria"/>
        </w:rPr>
        <w:footnoteRef/>
      </w:r>
      <w:r w:rsidRPr="00D53DB7">
        <w:rPr>
          <w:rFonts w:ascii="Cambria" w:hAnsi="Cambria" w:cs="Arial"/>
          <w:lang w:val="pt-BR"/>
        </w:rPr>
        <w:t xml:space="preserve"> </w:t>
      </w:r>
      <w:r w:rsidRPr="00D53DB7">
        <w:rPr>
          <w:rFonts w:ascii="Cambria" w:hAnsi="Cambria"/>
          <w:lang w:val="pt-BR"/>
        </w:rPr>
        <w:t xml:space="preserve">Corte IDH. Sentencia </w:t>
      </w:r>
      <w:r w:rsidRPr="00D53DB7">
        <w:rPr>
          <w:rFonts w:ascii="Cambria" w:hAnsi="Cambria"/>
          <w:i/>
          <w:lang w:val="pt-BR"/>
        </w:rPr>
        <w:t>Comunidad Moiwana</w:t>
      </w:r>
      <w:r w:rsidRPr="00D53DB7">
        <w:rPr>
          <w:rFonts w:ascii="Cambria" w:hAnsi="Cambria"/>
          <w:lang w:val="pt-BR"/>
        </w:rPr>
        <w:t xml:space="preserve">, párr. </w:t>
      </w:r>
      <w:r>
        <w:rPr>
          <w:rFonts w:ascii="Cambria" w:hAnsi="Cambria"/>
          <w:lang w:val="es-US"/>
        </w:rPr>
        <w:t xml:space="preserve">160; </w:t>
      </w:r>
      <w:r>
        <w:rPr>
          <w:rFonts w:ascii="Cambria" w:hAnsi="Cambria"/>
          <w:i/>
          <w:lang w:val="es-US"/>
        </w:rPr>
        <w:t>Caso Gómez Palomino Vs. Perú</w:t>
      </w:r>
      <w:r>
        <w:rPr>
          <w:rFonts w:ascii="Cambria" w:hAnsi="Cambria"/>
          <w:lang w:val="es-US"/>
        </w:rPr>
        <w:t xml:space="preserve">. Fondo, Reparaciones y Costas. Sentencia de 22 de noviembre de 2005. Serie C No. 136, párr. </w:t>
      </w:r>
      <w:r>
        <w:rPr>
          <w:rFonts w:ascii="Cambria" w:hAnsi="Cambria" w:cs="Arial"/>
          <w:lang w:val="es-US"/>
        </w:rPr>
        <w:t xml:space="preserve">85; </w:t>
      </w:r>
      <w:r>
        <w:rPr>
          <w:rFonts w:ascii="Cambria" w:hAnsi="Cambria"/>
          <w:i/>
          <w:lang w:val="es-ES_tradnl"/>
        </w:rPr>
        <w:t>Caso García Asto y Ramírez Rojas Vs. Perú</w:t>
      </w:r>
      <w:r>
        <w:rPr>
          <w:rFonts w:ascii="Cambria" w:hAnsi="Cambria"/>
          <w:lang w:val="es-ES_tradnl"/>
        </w:rPr>
        <w:t xml:space="preserve">. </w:t>
      </w:r>
      <w:r>
        <w:rPr>
          <w:rFonts w:ascii="Cambria" w:hAnsi="Cambria"/>
          <w:lang w:val="es-AR"/>
        </w:rPr>
        <w:t>Fondo, Reparaciones y Costas.</w:t>
      </w:r>
      <w:r>
        <w:rPr>
          <w:rFonts w:ascii="Cambria" w:hAnsi="Cambria"/>
          <w:lang w:val="es-ES_tradnl"/>
        </w:rPr>
        <w:t xml:space="preserve"> Sentencia de 25 de noviembre de 2005. </w:t>
      </w:r>
      <w:r w:rsidRPr="00D53DB7">
        <w:rPr>
          <w:rFonts w:ascii="Cambria" w:hAnsi="Cambria"/>
          <w:lang w:val="es-US"/>
        </w:rPr>
        <w:t>Serie C No. 137</w:t>
      </w:r>
      <w:r w:rsidRPr="00D53DB7">
        <w:rPr>
          <w:rFonts w:ascii="Cambria" w:hAnsi="Cambria" w:cs="Arial"/>
          <w:iCs/>
          <w:lang w:val="es-US"/>
        </w:rPr>
        <w:t xml:space="preserve">, párr. </w:t>
      </w:r>
      <w:r w:rsidRPr="00534885">
        <w:rPr>
          <w:rFonts w:ascii="Cambria" w:hAnsi="Cambria" w:cs="Arial"/>
          <w:iCs/>
          <w:lang w:val="pt-BR"/>
        </w:rPr>
        <w:t xml:space="preserve">166. </w:t>
      </w:r>
    </w:p>
  </w:footnote>
  <w:footnote w:id="152">
    <w:p w14:paraId="6CB9D811" w14:textId="77777777" w:rsidR="00251E25" w:rsidRPr="00534885" w:rsidRDefault="00251E25" w:rsidP="00F77983">
      <w:pPr>
        <w:pStyle w:val="FootnoteText"/>
        <w:rPr>
          <w:rFonts w:ascii="Cambria" w:hAnsi="Cambria"/>
          <w:lang w:val="pt-BR"/>
        </w:rPr>
      </w:pPr>
      <w:r>
        <w:rPr>
          <w:rStyle w:val="FootnoteReference"/>
          <w:rFonts w:ascii="Cambria" w:hAnsi="Cambria"/>
        </w:rPr>
        <w:footnoteRef/>
      </w:r>
      <w:r w:rsidRPr="00534885">
        <w:rPr>
          <w:rFonts w:ascii="Cambria" w:hAnsi="Cambria"/>
          <w:lang w:val="pt-BR"/>
        </w:rPr>
        <w:t xml:space="preserve"> Corte IDH. Sentencia </w:t>
      </w:r>
      <w:r w:rsidRPr="00534885">
        <w:rPr>
          <w:rFonts w:ascii="Cambria" w:hAnsi="Cambria"/>
          <w:i/>
          <w:lang w:val="pt-BR"/>
        </w:rPr>
        <w:t>Ricardo Canese</w:t>
      </w:r>
      <w:r w:rsidRPr="00534885">
        <w:rPr>
          <w:rFonts w:ascii="Cambria" w:hAnsi="Cambria"/>
          <w:lang w:val="pt-BR"/>
        </w:rPr>
        <w:t>, párr.</w:t>
      </w:r>
      <w:r w:rsidRPr="00534885">
        <w:rPr>
          <w:rFonts w:ascii="Cambria" w:hAnsi="Cambria" w:cs="Arial"/>
          <w:lang w:val="pt-BR"/>
        </w:rPr>
        <w:t xml:space="preserve"> 142.</w:t>
      </w:r>
    </w:p>
  </w:footnote>
  <w:footnote w:id="153">
    <w:p w14:paraId="30A30654" w14:textId="77777777" w:rsidR="00251E25" w:rsidRDefault="00251E25" w:rsidP="00F77983">
      <w:pPr>
        <w:pStyle w:val="FootnoteText"/>
        <w:rPr>
          <w:rFonts w:ascii="Cambria" w:hAnsi="Cambria"/>
          <w:lang w:val="es-ES_tradnl"/>
        </w:rPr>
      </w:pPr>
      <w:r>
        <w:rPr>
          <w:rStyle w:val="FootnoteReference"/>
          <w:rFonts w:ascii="Cambria" w:hAnsi="Cambria"/>
        </w:rPr>
        <w:footnoteRef/>
      </w:r>
      <w:r w:rsidRPr="00534885">
        <w:rPr>
          <w:rFonts w:ascii="Cambria" w:hAnsi="Cambria" w:cs="Arial"/>
          <w:lang w:val="pt-BR"/>
        </w:rPr>
        <w:t xml:space="preserve"> </w:t>
      </w:r>
      <w:r w:rsidRPr="00534885">
        <w:rPr>
          <w:rFonts w:ascii="Cambria" w:hAnsi="Cambria"/>
          <w:lang w:val="pt-BR"/>
        </w:rPr>
        <w:t xml:space="preserve">Corte IDH. </w:t>
      </w:r>
      <w:r w:rsidRPr="00D53DB7">
        <w:rPr>
          <w:rFonts w:ascii="Cambria" w:hAnsi="Cambria"/>
          <w:i/>
          <w:lang w:val="pt-BR"/>
        </w:rPr>
        <w:t>Caso</w:t>
      </w:r>
      <w:r w:rsidRPr="00D53DB7">
        <w:rPr>
          <w:rFonts w:ascii="Cambria" w:hAnsi="Cambria"/>
          <w:lang w:val="pt-BR"/>
        </w:rPr>
        <w:t xml:space="preserve"> </w:t>
      </w:r>
      <w:r w:rsidRPr="00D53DB7">
        <w:rPr>
          <w:rFonts w:ascii="Cambria" w:hAnsi="Cambria"/>
          <w:i/>
          <w:lang w:val="pt-BR"/>
        </w:rPr>
        <w:t xml:space="preserve">López Álvarez Vs. </w:t>
      </w:r>
      <w:r>
        <w:rPr>
          <w:rFonts w:ascii="Cambria" w:hAnsi="Cambria"/>
          <w:i/>
          <w:lang w:val="es-ES_tradnl"/>
        </w:rPr>
        <w:t>Honduras</w:t>
      </w:r>
      <w:r>
        <w:rPr>
          <w:rFonts w:ascii="Cambria" w:hAnsi="Cambria"/>
          <w:lang w:val="es-ES_tradnl"/>
        </w:rPr>
        <w:t>. Fondo, Reparaciones y Costas. Sentencia de 1 de febrero de 2006. Serie C No. 141, párr.</w:t>
      </w:r>
      <w:r>
        <w:rPr>
          <w:rFonts w:ascii="Cambria" w:hAnsi="Cambria" w:cs="Arial"/>
          <w:lang w:val="es-ES"/>
        </w:rPr>
        <w:t xml:space="preserve"> 129; </w:t>
      </w:r>
      <w:r>
        <w:rPr>
          <w:rFonts w:ascii="Cambria" w:hAnsi="Cambria"/>
          <w:lang w:val="es-ES_tradnl"/>
        </w:rPr>
        <w:t xml:space="preserve">Corte IDH. </w:t>
      </w:r>
      <w:r>
        <w:rPr>
          <w:rFonts w:ascii="Cambria" w:hAnsi="Cambria"/>
          <w:i/>
          <w:lang w:val="es-ES_tradnl"/>
        </w:rPr>
        <w:t>Caso Acosta Calderón Vs. Ecuador</w:t>
      </w:r>
      <w:r>
        <w:rPr>
          <w:rFonts w:ascii="Cambria" w:hAnsi="Cambria"/>
          <w:lang w:val="es-ES_tradnl"/>
        </w:rPr>
        <w:t xml:space="preserve">. Fondo, Reparaciones y Costas. Sentencia de 24 de junio de 2005. Serie C No. 129 (Sentencia </w:t>
      </w:r>
      <w:r>
        <w:rPr>
          <w:rFonts w:ascii="Cambria" w:hAnsi="Cambria"/>
          <w:i/>
          <w:lang w:val="es-ES_tradnl"/>
        </w:rPr>
        <w:t>Acosta Calderón</w:t>
      </w:r>
      <w:r>
        <w:rPr>
          <w:rFonts w:ascii="Cambria" w:hAnsi="Cambria"/>
          <w:lang w:val="es-ES_tradnl"/>
        </w:rPr>
        <w:t>), párr.</w:t>
      </w:r>
      <w:r>
        <w:rPr>
          <w:rFonts w:ascii="Cambria" w:hAnsi="Cambria" w:cs="Arial"/>
          <w:lang w:val="es-ES"/>
        </w:rPr>
        <w:t xml:space="preserve"> 104; y</w:t>
      </w:r>
      <w:r>
        <w:rPr>
          <w:rFonts w:ascii="Cambria" w:hAnsi="Cambria"/>
          <w:lang w:val="es-ES_tradnl"/>
        </w:rPr>
        <w:t xml:space="preserve"> Corte IDH. </w:t>
      </w:r>
      <w:r>
        <w:rPr>
          <w:rFonts w:ascii="Cambria" w:hAnsi="Cambria"/>
          <w:i/>
          <w:lang w:val="es-ES_tradnl"/>
        </w:rPr>
        <w:t>Caso Tibi Vs. Ecuador</w:t>
      </w:r>
      <w:r>
        <w:rPr>
          <w:rFonts w:ascii="Cambria" w:hAnsi="Cambria"/>
          <w:lang w:val="es-ES_tradnl"/>
        </w:rPr>
        <w:t>. Excepciones Preliminares, Fondo, Reparaciones y Costas. Sentencia de 7 de septiembre de 2004. Serie C No. 114</w:t>
      </w:r>
      <w:r>
        <w:rPr>
          <w:rFonts w:ascii="Cambria" w:hAnsi="Cambria" w:cs="Arial"/>
          <w:lang w:val="es-ES_tradnl"/>
        </w:rPr>
        <w:t>, párr. 168.</w:t>
      </w:r>
    </w:p>
  </w:footnote>
  <w:footnote w:id="154">
    <w:p w14:paraId="79368B9F" w14:textId="77777777" w:rsidR="00251E25" w:rsidRPr="00D53DB7" w:rsidRDefault="00251E25" w:rsidP="00F77983">
      <w:pPr>
        <w:pStyle w:val="FootnoteText"/>
        <w:rPr>
          <w:rFonts w:ascii="Cambria" w:hAnsi="Cambria"/>
          <w:lang w:val="pt-BR"/>
        </w:rPr>
      </w:pPr>
      <w:r>
        <w:rPr>
          <w:rStyle w:val="FootnoteReference"/>
          <w:rFonts w:ascii="Cambria" w:hAnsi="Cambria"/>
        </w:rPr>
        <w:footnoteRef/>
      </w:r>
      <w:r w:rsidRPr="00D53DB7">
        <w:rPr>
          <w:rFonts w:ascii="Cambria" w:hAnsi="Cambria" w:cs="Arial"/>
          <w:lang w:val="pt-BR"/>
        </w:rPr>
        <w:t xml:space="preserve"> </w:t>
      </w:r>
      <w:r w:rsidRPr="00D53DB7">
        <w:rPr>
          <w:rFonts w:ascii="Cambria" w:hAnsi="Cambria"/>
          <w:lang w:val="pt-BR"/>
        </w:rPr>
        <w:t xml:space="preserve">Corte IDH. Sentencia </w:t>
      </w:r>
      <w:r w:rsidRPr="00D53DB7">
        <w:rPr>
          <w:rFonts w:ascii="Cambria" w:hAnsi="Cambria"/>
          <w:i/>
          <w:lang w:val="pt-BR"/>
        </w:rPr>
        <w:t>Masacre de Santo Domingo</w:t>
      </w:r>
      <w:r w:rsidRPr="00D53DB7">
        <w:rPr>
          <w:rFonts w:ascii="Cambria" w:hAnsi="Cambria"/>
          <w:lang w:val="pt-BR"/>
        </w:rPr>
        <w:t>, párr.</w:t>
      </w:r>
      <w:r w:rsidRPr="00D53DB7">
        <w:rPr>
          <w:rFonts w:ascii="Cambria" w:hAnsi="Cambria" w:cs="Arial"/>
          <w:lang w:val="pt-BR"/>
        </w:rPr>
        <w:t xml:space="preserve"> 164.</w:t>
      </w:r>
    </w:p>
  </w:footnote>
  <w:footnote w:id="155">
    <w:p w14:paraId="3C973B10" w14:textId="77777777" w:rsidR="00251E25" w:rsidRPr="000635BE" w:rsidRDefault="00251E25" w:rsidP="00574704">
      <w:pPr>
        <w:tabs>
          <w:tab w:val="left" w:pos="720"/>
        </w:tabs>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hAnsi="Cambria"/>
          <w:bCs/>
          <w:color w:val="000000" w:themeColor="text1"/>
          <w:sz w:val="16"/>
          <w:szCs w:val="16"/>
          <w:lang w:val="uz-Cyrl-UZ"/>
        </w:rPr>
        <w:t xml:space="preserve">Corte IDH. </w:t>
      </w:r>
      <w:r w:rsidRPr="00574704">
        <w:rPr>
          <w:rFonts w:ascii="Cambria" w:hAnsi="Cambria"/>
          <w:bCs/>
          <w:i/>
          <w:color w:val="000000" w:themeColor="text1"/>
          <w:sz w:val="16"/>
          <w:szCs w:val="16"/>
          <w:lang w:val="uz-Cyrl-UZ"/>
        </w:rPr>
        <w:t>Caso Andrade Salmón Vs. Bolivia.</w:t>
      </w:r>
      <w:r w:rsidRPr="000635BE">
        <w:rPr>
          <w:rFonts w:ascii="Cambria" w:hAnsi="Cambria"/>
          <w:bCs/>
          <w:color w:val="000000" w:themeColor="text1"/>
          <w:sz w:val="16"/>
          <w:szCs w:val="16"/>
          <w:lang w:val="uz-Cyrl-UZ"/>
        </w:rPr>
        <w:t xml:space="preserve"> Fondo, Reparaciones y Costas. Sentencia de 1 de diciembre de 2016. Serie C No. 33</w:t>
      </w:r>
      <w:r w:rsidRPr="00534885">
        <w:rPr>
          <w:rFonts w:ascii="Cambria" w:hAnsi="Cambria"/>
          <w:bCs/>
          <w:color w:val="000000" w:themeColor="text1"/>
          <w:sz w:val="16"/>
          <w:szCs w:val="16"/>
          <w:lang w:val="uz-Cyrl-UZ"/>
        </w:rPr>
        <w:t xml:space="preserve"> (Sentencia</w:t>
      </w:r>
      <w:r w:rsidRPr="007E0EF9">
        <w:rPr>
          <w:rFonts w:ascii="Cambria" w:hAnsi="Cambria"/>
          <w:bCs/>
          <w:i/>
          <w:color w:val="000000" w:themeColor="text1"/>
          <w:sz w:val="16"/>
          <w:szCs w:val="16"/>
          <w:lang w:val="uz-Cyrl-UZ"/>
        </w:rPr>
        <w:t xml:space="preserve"> </w:t>
      </w:r>
      <w:r w:rsidRPr="00A56A76">
        <w:rPr>
          <w:rFonts w:ascii="Cambria" w:hAnsi="Cambria"/>
          <w:bCs/>
          <w:i/>
          <w:color w:val="000000" w:themeColor="text1"/>
          <w:sz w:val="16"/>
          <w:szCs w:val="16"/>
          <w:lang w:val="uz-Cyrl-UZ"/>
        </w:rPr>
        <w:t>Andrade Salmón</w:t>
      </w:r>
      <w:r w:rsidRPr="00534885">
        <w:rPr>
          <w:rFonts w:ascii="Cambria" w:hAnsi="Cambria"/>
          <w:bCs/>
          <w:i/>
          <w:color w:val="000000" w:themeColor="text1"/>
          <w:sz w:val="16"/>
          <w:szCs w:val="16"/>
          <w:lang w:val="uz-Cyrl-UZ"/>
        </w:rPr>
        <w:t>)</w:t>
      </w:r>
      <w:r w:rsidRPr="00534885">
        <w:rPr>
          <w:rFonts w:ascii="Cambria" w:hAnsi="Cambria"/>
          <w:bCs/>
          <w:color w:val="000000" w:themeColor="text1"/>
          <w:sz w:val="16"/>
          <w:szCs w:val="16"/>
          <w:lang w:val="uz-Cyrl-UZ"/>
        </w:rPr>
        <w:t>, p</w:t>
      </w:r>
      <w:r w:rsidRPr="000635BE">
        <w:rPr>
          <w:rFonts w:ascii="Cambria" w:hAnsi="Cambria"/>
          <w:bCs/>
          <w:color w:val="000000" w:themeColor="text1"/>
          <w:sz w:val="16"/>
          <w:szCs w:val="16"/>
          <w:lang w:val="uz-Cyrl-UZ"/>
        </w:rPr>
        <w:t>árr. 158.</w:t>
      </w:r>
      <w:r w:rsidRPr="000635BE">
        <w:rPr>
          <w:rFonts w:ascii="Cambria" w:hAnsi="Cambria"/>
          <w:color w:val="000000" w:themeColor="text1"/>
          <w:sz w:val="16"/>
          <w:szCs w:val="16"/>
          <w:lang w:val="uz-Cyrl-UZ"/>
        </w:rPr>
        <w:tab/>
      </w:r>
    </w:p>
  </w:footnote>
  <w:footnote w:id="156">
    <w:p w14:paraId="10C1A8A9" w14:textId="77777777" w:rsidR="00251E25" w:rsidRPr="000635BE" w:rsidRDefault="00251E25" w:rsidP="00574704">
      <w:pPr>
        <w:ind w:right="-90"/>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574704">
        <w:rPr>
          <w:rFonts w:ascii="Cambria" w:hAnsi="Cambria"/>
          <w:bCs/>
          <w:i/>
          <w:color w:val="000000" w:themeColor="text1"/>
          <w:sz w:val="16"/>
          <w:szCs w:val="16"/>
          <w:lang w:val="uz-Cyrl-UZ"/>
        </w:rPr>
        <w:t>Caso Genie Lacayo Vs. Nicaragua.</w:t>
      </w:r>
      <w:r w:rsidRPr="000635BE">
        <w:rPr>
          <w:rFonts w:ascii="Cambria" w:hAnsi="Cambria"/>
          <w:bCs/>
          <w:color w:val="000000" w:themeColor="text1"/>
          <w:sz w:val="16"/>
          <w:szCs w:val="16"/>
          <w:lang w:val="uz-Cyrl-UZ"/>
        </w:rPr>
        <w:t xml:space="preserve"> Fondo, Reparaciones y Costas. Sentencia de 29 de enero de 1997. Serie C No. 30</w:t>
      </w:r>
      <w:r w:rsidRPr="000635BE">
        <w:rPr>
          <w:rFonts w:ascii="Cambria" w:hAnsi="Cambria"/>
          <w:color w:val="000000" w:themeColor="text1"/>
          <w:sz w:val="16"/>
          <w:szCs w:val="16"/>
          <w:lang w:val="uz-Cyrl-UZ"/>
        </w:rPr>
        <w:t>, párr. 78</w:t>
      </w:r>
      <w:r>
        <w:rPr>
          <w:rFonts w:ascii="Cambria" w:hAnsi="Cambria"/>
          <w:color w:val="000000" w:themeColor="text1"/>
          <w:sz w:val="16"/>
          <w:szCs w:val="16"/>
          <w:lang w:val="es-ES"/>
        </w:rPr>
        <w:t>;</w:t>
      </w:r>
      <w:r w:rsidRPr="000635BE">
        <w:rPr>
          <w:rFonts w:ascii="Cambria" w:hAnsi="Cambria"/>
          <w:color w:val="000000" w:themeColor="text1"/>
          <w:sz w:val="16"/>
          <w:szCs w:val="16"/>
          <w:lang w:val="uz-Cyrl-UZ"/>
        </w:rPr>
        <w:t xml:space="preserve"> </w:t>
      </w:r>
      <w:r w:rsidRPr="00574704">
        <w:rPr>
          <w:rFonts w:ascii="Cambria" w:hAnsi="Cambria"/>
          <w:i/>
          <w:color w:val="000000" w:themeColor="text1"/>
          <w:sz w:val="16"/>
          <w:szCs w:val="16"/>
          <w:lang w:val="uz-Cyrl-UZ"/>
        </w:rPr>
        <w:t>Caso Quispialaya Vilcapoma Vs. Perú.</w:t>
      </w:r>
      <w:r w:rsidRPr="007E0EF9">
        <w:rPr>
          <w:rFonts w:ascii="Cambria" w:hAnsi="Cambria"/>
          <w:color w:val="000000" w:themeColor="text1"/>
          <w:sz w:val="16"/>
          <w:szCs w:val="16"/>
          <w:lang w:val="uz-Cyrl-UZ"/>
        </w:rPr>
        <w:t xml:space="preserve"> Excepciones Preliminares, Fondo, Reparaciones y Costas. Sentencia de 23 de noviembre de 2015. Serie C No. 308</w:t>
      </w:r>
      <w:r w:rsidRPr="00534885">
        <w:rPr>
          <w:rFonts w:ascii="Cambria" w:hAnsi="Cambria"/>
          <w:color w:val="000000" w:themeColor="text1"/>
          <w:sz w:val="16"/>
          <w:szCs w:val="16"/>
          <w:lang w:val="uz-Cyrl-UZ"/>
        </w:rPr>
        <w:t xml:space="preserve"> (Sentencia </w:t>
      </w:r>
      <w:r w:rsidRPr="00A56A76">
        <w:rPr>
          <w:rFonts w:ascii="Cambria" w:hAnsi="Cambria"/>
          <w:i/>
          <w:color w:val="000000" w:themeColor="text1"/>
          <w:sz w:val="16"/>
          <w:szCs w:val="16"/>
          <w:lang w:val="uz-Cyrl-UZ"/>
        </w:rPr>
        <w:t>Quispialaya Vilcapoma</w:t>
      </w:r>
      <w:r w:rsidRPr="00534885">
        <w:rPr>
          <w:rFonts w:ascii="Cambria" w:hAnsi="Cambria"/>
          <w:color w:val="000000" w:themeColor="text1"/>
          <w:sz w:val="16"/>
          <w:szCs w:val="16"/>
          <w:lang w:val="uz-Cyrl-UZ"/>
        </w:rPr>
        <w:t>)</w:t>
      </w:r>
      <w:r w:rsidRPr="007E0EF9">
        <w:rPr>
          <w:rFonts w:ascii="Cambria" w:hAnsi="Cambria"/>
          <w:color w:val="000000" w:themeColor="text1"/>
          <w:sz w:val="16"/>
          <w:szCs w:val="16"/>
          <w:lang w:val="uz-Cyrl-UZ"/>
        </w:rPr>
        <w:t xml:space="preserve">, </w:t>
      </w:r>
      <w:r w:rsidRPr="000635BE">
        <w:rPr>
          <w:rFonts w:ascii="Cambria" w:hAnsi="Cambria"/>
          <w:bCs/>
          <w:color w:val="000000" w:themeColor="text1"/>
          <w:sz w:val="16"/>
          <w:szCs w:val="16"/>
          <w:lang w:val="uz-Cyrl-UZ"/>
        </w:rPr>
        <w:t>párr. 179.</w:t>
      </w:r>
      <w:r w:rsidRPr="000635BE">
        <w:rPr>
          <w:rFonts w:ascii="Cambria" w:hAnsi="Cambria"/>
          <w:color w:val="000000" w:themeColor="text1"/>
          <w:sz w:val="16"/>
          <w:szCs w:val="16"/>
          <w:lang w:val="uz-Cyrl-UZ" w:eastAsia="x-none"/>
        </w:rPr>
        <w:t xml:space="preserve"> </w:t>
      </w:r>
    </w:p>
  </w:footnote>
  <w:footnote w:id="157">
    <w:p w14:paraId="707018AF" w14:textId="77777777" w:rsidR="00251E25" w:rsidRPr="000635BE" w:rsidRDefault="00251E25" w:rsidP="00574704">
      <w:pPr>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534885">
        <w:rPr>
          <w:rFonts w:ascii="Cambria" w:hAnsi="Cambria"/>
          <w:color w:val="000000" w:themeColor="text1"/>
          <w:sz w:val="16"/>
          <w:szCs w:val="16"/>
          <w:lang w:val="uz-Cyrl-UZ"/>
        </w:rPr>
        <w:t xml:space="preserve">Sentencia </w:t>
      </w:r>
      <w:r w:rsidRPr="00574704">
        <w:rPr>
          <w:rFonts w:ascii="Cambria" w:hAnsi="Cambria"/>
          <w:bCs/>
          <w:i/>
          <w:color w:val="000000" w:themeColor="text1"/>
          <w:sz w:val="16"/>
          <w:szCs w:val="16"/>
          <w:lang w:val="uz-Cyrl-UZ"/>
        </w:rPr>
        <w:t>Acosta Calderón</w:t>
      </w:r>
      <w:r w:rsidRPr="000635BE">
        <w:rPr>
          <w:rFonts w:ascii="Cambria" w:hAnsi="Cambria"/>
          <w:bCs/>
          <w:color w:val="000000" w:themeColor="text1"/>
          <w:sz w:val="16"/>
          <w:szCs w:val="16"/>
          <w:lang w:val="uz-Cyrl-UZ"/>
        </w:rPr>
        <w:t>, párr. 106</w:t>
      </w:r>
      <w:r w:rsidRPr="00534885">
        <w:rPr>
          <w:rFonts w:ascii="Cambria" w:hAnsi="Cambria"/>
          <w:bCs/>
          <w:color w:val="000000" w:themeColor="text1"/>
          <w:sz w:val="16"/>
          <w:szCs w:val="16"/>
          <w:lang w:val="uz-Cyrl-UZ"/>
        </w:rPr>
        <w:t>; Sentencia</w:t>
      </w:r>
      <w:r w:rsidRPr="000635BE">
        <w:rPr>
          <w:rFonts w:ascii="Cambria" w:hAnsi="Cambria"/>
          <w:bCs/>
          <w:color w:val="000000" w:themeColor="text1"/>
          <w:sz w:val="16"/>
          <w:szCs w:val="16"/>
          <w:lang w:val="uz-Cyrl-UZ"/>
        </w:rPr>
        <w:t xml:space="preserve"> </w:t>
      </w:r>
      <w:r w:rsidRPr="00574704">
        <w:rPr>
          <w:rFonts w:ascii="Cambria" w:hAnsi="Cambria"/>
          <w:bCs/>
          <w:i/>
          <w:color w:val="000000" w:themeColor="text1"/>
          <w:sz w:val="16"/>
          <w:szCs w:val="16"/>
          <w:lang w:val="uz-Cyrl-UZ"/>
        </w:rPr>
        <w:t>Quispialaya Vilcapoma</w:t>
      </w:r>
      <w:r w:rsidRPr="000635BE">
        <w:rPr>
          <w:rFonts w:ascii="Cambria" w:hAnsi="Cambria"/>
          <w:bCs/>
          <w:color w:val="000000" w:themeColor="text1"/>
          <w:sz w:val="16"/>
          <w:szCs w:val="16"/>
          <w:lang w:val="uz-Cyrl-UZ"/>
        </w:rPr>
        <w:t>, párr. 179</w:t>
      </w:r>
      <w:r w:rsidRPr="000635BE">
        <w:rPr>
          <w:rFonts w:ascii="Cambria" w:hAnsi="Cambria"/>
          <w:color w:val="000000" w:themeColor="text1"/>
          <w:sz w:val="16"/>
          <w:szCs w:val="16"/>
          <w:lang w:val="uz-Cyrl-UZ"/>
        </w:rPr>
        <w:t>.</w:t>
      </w:r>
    </w:p>
  </w:footnote>
  <w:footnote w:id="158">
    <w:p w14:paraId="176FE1BF" w14:textId="77777777" w:rsidR="00251E25" w:rsidRPr="000635BE" w:rsidRDefault="00251E25" w:rsidP="00574704">
      <w:pPr>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574704">
        <w:rPr>
          <w:rFonts w:ascii="Cambria" w:hAnsi="Cambria"/>
          <w:i/>
          <w:color w:val="000000" w:themeColor="text1"/>
          <w:sz w:val="16"/>
          <w:szCs w:val="16"/>
          <w:lang w:val="uz-Cyrl-UZ" w:eastAsia="x-none"/>
        </w:rPr>
        <w:t>Caso Furlan y familiares Vs. Argentina</w:t>
      </w:r>
      <w:r w:rsidRPr="000635BE">
        <w:rPr>
          <w:rFonts w:ascii="Cambria" w:hAnsi="Cambria"/>
          <w:color w:val="000000" w:themeColor="text1"/>
          <w:sz w:val="16"/>
          <w:szCs w:val="16"/>
          <w:lang w:val="uz-Cyrl-UZ" w:eastAsia="x-none"/>
        </w:rPr>
        <w:t>. Excepciones Preliminares, Fondo, Reparaciones y Costas. Sentencia de 31 de agosto de 2012. Serie C No. 246</w:t>
      </w:r>
      <w:r>
        <w:rPr>
          <w:rFonts w:ascii="Cambria" w:hAnsi="Cambria"/>
          <w:color w:val="000000" w:themeColor="text1"/>
          <w:sz w:val="16"/>
          <w:szCs w:val="16"/>
          <w:lang w:val="es-ES" w:eastAsia="x-none"/>
        </w:rPr>
        <w:t xml:space="preserve"> (Sentencia </w:t>
      </w:r>
      <w:r w:rsidRPr="00A56A76">
        <w:rPr>
          <w:rFonts w:ascii="Cambria" w:hAnsi="Cambria"/>
          <w:i/>
          <w:color w:val="000000" w:themeColor="text1"/>
          <w:sz w:val="16"/>
          <w:szCs w:val="16"/>
          <w:lang w:val="uz-Cyrl-UZ" w:eastAsia="x-none"/>
        </w:rPr>
        <w:t>Furlan y familiares</w:t>
      </w:r>
      <w:r>
        <w:rPr>
          <w:rFonts w:ascii="Cambria" w:hAnsi="Cambria"/>
          <w:i/>
          <w:color w:val="000000" w:themeColor="text1"/>
          <w:sz w:val="16"/>
          <w:szCs w:val="16"/>
          <w:lang w:val="es-ES" w:eastAsia="x-none"/>
        </w:rPr>
        <w:t>)</w:t>
      </w:r>
      <w:r w:rsidRPr="000635BE">
        <w:rPr>
          <w:rFonts w:ascii="Cambria" w:hAnsi="Cambria"/>
          <w:color w:val="000000" w:themeColor="text1"/>
          <w:sz w:val="16"/>
          <w:szCs w:val="16"/>
          <w:lang w:val="uz-Cyrl-UZ" w:eastAsia="x-none"/>
        </w:rPr>
        <w:t>, párr. 156</w:t>
      </w:r>
      <w:r>
        <w:rPr>
          <w:rFonts w:ascii="Cambria" w:hAnsi="Cambria"/>
          <w:color w:val="000000" w:themeColor="text1"/>
          <w:sz w:val="16"/>
          <w:szCs w:val="16"/>
          <w:lang w:val="es-ES" w:eastAsia="x-none"/>
        </w:rPr>
        <w:t xml:space="preserve">; Sentencia </w:t>
      </w:r>
      <w:r w:rsidRPr="00574704">
        <w:rPr>
          <w:rFonts w:ascii="Cambria" w:hAnsi="Cambria"/>
          <w:i/>
          <w:color w:val="000000" w:themeColor="text1"/>
          <w:sz w:val="16"/>
          <w:szCs w:val="16"/>
          <w:lang w:val="uz-Cyrl-UZ"/>
        </w:rPr>
        <w:t>Quispialaya Vilcapoma</w:t>
      </w:r>
      <w:r>
        <w:rPr>
          <w:rFonts w:ascii="Cambria" w:hAnsi="Cambria"/>
          <w:color w:val="000000" w:themeColor="text1"/>
          <w:sz w:val="16"/>
          <w:szCs w:val="16"/>
          <w:lang w:val="es-ES"/>
        </w:rPr>
        <w:t>,</w:t>
      </w:r>
      <w:r w:rsidRPr="000635BE">
        <w:rPr>
          <w:rFonts w:ascii="Cambria" w:hAnsi="Cambria"/>
          <w:color w:val="000000" w:themeColor="text1"/>
          <w:sz w:val="16"/>
          <w:szCs w:val="16"/>
          <w:lang w:val="uz-Cyrl-UZ"/>
        </w:rPr>
        <w:t xml:space="preserve"> párr. 179. </w:t>
      </w:r>
    </w:p>
  </w:footnote>
  <w:footnote w:id="159">
    <w:p w14:paraId="3A340CB7" w14:textId="77777777" w:rsidR="00251E25" w:rsidRPr="000635BE" w:rsidRDefault="00251E25" w:rsidP="00574704">
      <w:pPr>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574704">
        <w:rPr>
          <w:rFonts w:ascii="Cambria" w:hAnsi="Cambria"/>
          <w:i/>
          <w:color w:val="000000" w:themeColor="text1"/>
          <w:sz w:val="16"/>
          <w:szCs w:val="16"/>
          <w:lang w:val="uz-Cyrl-UZ"/>
        </w:rPr>
        <w:t>Caso Gonzales Lluy y otros Vs. Ecuador.</w:t>
      </w:r>
      <w:r w:rsidRPr="000635BE">
        <w:rPr>
          <w:rFonts w:ascii="Cambria" w:hAnsi="Cambria"/>
          <w:color w:val="000000" w:themeColor="text1"/>
          <w:sz w:val="16"/>
          <w:szCs w:val="16"/>
          <w:lang w:val="uz-Cyrl-UZ"/>
        </w:rPr>
        <w:t xml:space="preserve"> Excepciones Preliminares, Fondo, Reparaciones y Costas. Sentencia de 1 de septiembre de 2015. Serie C No. 298, párr. 300.</w:t>
      </w:r>
    </w:p>
  </w:footnote>
  <w:footnote w:id="160">
    <w:p w14:paraId="79D8A863" w14:textId="77777777" w:rsidR="00251E25" w:rsidRPr="000635BE" w:rsidRDefault="00251E25" w:rsidP="00574704">
      <w:pPr>
        <w:jc w:val="both"/>
        <w:rPr>
          <w:rFonts w:ascii="Cambria" w:hAnsi="Cambria"/>
          <w:bCs/>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bCs/>
          <w:color w:val="000000" w:themeColor="text1"/>
          <w:sz w:val="16"/>
          <w:szCs w:val="16"/>
          <w:lang w:val="uz-Cyrl-UZ"/>
        </w:rPr>
        <w:t xml:space="preserve"> </w:t>
      </w:r>
      <w:r w:rsidRPr="000635BE">
        <w:rPr>
          <w:rFonts w:ascii="Cambria" w:hAnsi="Cambria"/>
          <w:color w:val="000000" w:themeColor="text1"/>
          <w:sz w:val="16"/>
          <w:szCs w:val="16"/>
          <w:lang w:val="uz-Cyrl-UZ"/>
        </w:rPr>
        <w:t xml:space="preserve">Corte IDH. </w:t>
      </w:r>
      <w:r w:rsidRPr="00574704" w:rsidDel="00971FE9">
        <w:rPr>
          <w:rFonts w:ascii="Cambria" w:hAnsi="Cambria"/>
          <w:bCs/>
          <w:i/>
          <w:color w:val="000000" w:themeColor="text1"/>
          <w:sz w:val="16"/>
          <w:szCs w:val="16"/>
          <w:lang w:val="uz-Cyrl-UZ"/>
        </w:rPr>
        <w:t>Caso Salvador Chiriboga Vs. Ecuador.</w:t>
      </w:r>
      <w:r w:rsidRPr="000635BE" w:rsidDel="00971FE9">
        <w:rPr>
          <w:rFonts w:ascii="Cambria" w:hAnsi="Cambria"/>
          <w:bCs/>
          <w:color w:val="000000" w:themeColor="text1"/>
          <w:sz w:val="16"/>
          <w:szCs w:val="16"/>
          <w:lang w:val="uz-Cyrl-UZ"/>
        </w:rPr>
        <w:t xml:space="preserve"> Excepción Preliminar y Fondo. Sentencia de 6 de mayo de 2008. Serie C No. 179, párr. 83</w:t>
      </w:r>
      <w:r>
        <w:rPr>
          <w:rFonts w:ascii="Cambria" w:hAnsi="Cambria"/>
          <w:bCs/>
          <w:color w:val="000000" w:themeColor="text1"/>
          <w:sz w:val="16"/>
          <w:szCs w:val="16"/>
          <w:lang w:val="es-ES"/>
        </w:rPr>
        <w:t xml:space="preserve">; Sentencia </w:t>
      </w:r>
      <w:r w:rsidRPr="00574704">
        <w:rPr>
          <w:rFonts w:ascii="Cambria" w:hAnsi="Cambria"/>
          <w:i/>
          <w:color w:val="000000" w:themeColor="text1"/>
          <w:sz w:val="16"/>
          <w:szCs w:val="16"/>
          <w:lang w:val="uz-Cyrl-UZ" w:eastAsia="x-none"/>
        </w:rPr>
        <w:t>Furlan y familiares</w:t>
      </w:r>
      <w:r w:rsidRPr="000635BE">
        <w:rPr>
          <w:rFonts w:ascii="Cambria" w:hAnsi="Cambria"/>
          <w:bCs/>
          <w:color w:val="000000" w:themeColor="text1"/>
          <w:sz w:val="16"/>
          <w:szCs w:val="16"/>
          <w:lang w:val="uz-Cyrl-UZ"/>
        </w:rPr>
        <w:t>, párr. 156</w:t>
      </w:r>
      <w:r w:rsidRPr="00534885">
        <w:rPr>
          <w:rFonts w:ascii="Cambria" w:hAnsi="Cambria"/>
          <w:bCs/>
          <w:color w:val="000000" w:themeColor="text1"/>
          <w:sz w:val="16"/>
          <w:szCs w:val="16"/>
          <w:lang w:val="uz-Cyrl-UZ"/>
        </w:rPr>
        <w:t xml:space="preserve">; Sentencia </w:t>
      </w:r>
      <w:r w:rsidRPr="00574704">
        <w:rPr>
          <w:rFonts w:ascii="Cambria" w:hAnsi="Cambria"/>
          <w:bCs/>
          <w:i/>
          <w:color w:val="000000" w:themeColor="text1"/>
          <w:sz w:val="16"/>
          <w:szCs w:val="16"/>
          <w:lang w:val="uz-Cyrl-UZ"/>
        </w:rPr>
        <w:t>Quispialaya Vilcapoma</w:t>
      </w:r>
      <w:r w:rsidRPr="000635BE">
        <w:rPr>
          <w:rFonts w:ascii="Cambria" w:hAnsi="Cambria"/>
          <w:bCs/>
          <w:color w:val="000000" w:themeColor="text1"/>
          <w:sz w:val="16"/>
          <w:szCs w:val="16"/>
          <w:lang w:val="uz-Cyrl-UZ"/>
        </w:rPr>
        <w:t>, párr. 179</w:t>
      </w:r>
      <w:r w:rsidRPr="000635BE">
        <w:rPr>
          <w:rFonts w:ascii="Cambria" w:hAnsi="Cambria"/>
          <w:color w:val="000000" w:themeColor="text1"/>
          <w:sz w:val="16"/>
          <w:szCs w:val="16"/>
          <w:lang w:val="uz-Cyrl-UZ"/>
        </w:rPr>
        <w:t xml:space="preserve">. </w:t>
      </w:r>
    </w:p>
  </w:footnote>
  <w:footnote w:id="161">
    <w:p w14:paraId="07C0CAFD" w14:textId="77777777" w:rsidR="00251E25" w:rsidRPr="000635BE" w:rsidRDefault="00251E25" w:rsidP="00574704">
      <w:pPr>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534885">
        <w:rPr>
          <w:rFonts w:ascii="Cambria" w:hAnsi="Cambria"/>
          <w:color w:val="000000" w:themeColor="text1"/>
          <w:sz w:val="16"/>
          <w:szCs w:val="16"/>
          <w:lang w:val="uz-Cyrl-UZ"/>
        </w:rPr>
        <w:t xml:space="preserve">Sentencia </w:t>
      </w:r>
      <w:r w:rsidRPr="00574704">
        <w:rPr>
          <w:rFonts w:ascii="Cambria" w:hAnsi="Cambria"/>
          <w:bCs/>
          <w:i/>
          <w:color w:val="000000" w:themeColor="text1"/>
          <w:sz w:val="16"/>
          <w:szCs w:val="16"/>
          <w:lang w:val="uz-Cyrl-UZ"/>
        </w:rPr>
        <w:t>Furlan y familiares</w:t>
      </w:r>
      <w:r w:rsidRPr="000635BE">
        <w:rPr>
          <w:rFonts w:ascii="Cambria" w:hAnsi="Cambria"/>
          <w:bCs/>
          <w:color w:val="000000" w:themeColor="text1"/>
          <w:sz w:val="16"/>
          <w:szCs w:val="16"/>
          <w:lang w:val="uz-Cyrl-UZ"/>
        </w:rPr>
        <w:t>, párr. 156</w:t>
      </w:r>
      <w:r w:rsidRPr="00534885">
        <w:rPr>
          <w:rFonts w:ascii="Cambria" w:hAnsi="Cambria"/>
          <w:bCs/>
          <w:color w:val="000000" w:themeColor="text1"/>
          <w:sz w:val="16"/>
          <w:szCs w:val="16"/>
          <w:lang w:val="uz-Cyrl-UZ"/>
        </w:rPr>
        <w:t xml:space="preserve">; Sentencia </w:t>
      </w:r>
      <w:r w:rsidRPr="00574704">
        <w:rPr>
          <w:rFonts w:ascii="Cambria" w:hAnsi="Cambria"/>
          <w:bCs/>
          <w:i/>
          <w:color w:val="000000" w:themeColor="text1"/>
          <w:sz w:val="16"/>
          <w:szCs w:val="16"/>
          <w:lang w:val="uz-Cyrl-UZ"/>
        </w:rPr>
        <w:t>Quispialaya Vilcapoma</w:t>
      </w:r>
      <w:r w:rsidRPr="000635BE">
        <w:rPr>
          <w:rFonts w:ascii="Cambria" w:hAnsi="Cambria"/>
          <w:bCs/>
          <w:color w:val="000000" w:themeColor="text1"/>
          <w:sz w:val="16"/>
          <w:szCs w:val="16"/>
          <w:lang w:val="uz-Cyrl-UZ"/>
        </w:rPr>
        <w:t>, párr. 179</w:t>
      </w:r>
      <w:r w:rsidRPr="00534885">
        <w:rPr>
          <w:rFonts w:ascii="Cambria" w:hAnsi="Cambria"/>
          <w:bCs/>
          <w:color w:val="000000" w:themeColor="text1"/>
          <w:sz w:val="16"/>
          <w:szCs w:val="16"/>
          <w:lang w:val="uz-Cyrl-UZ"/>
        </w:rPr>
        <w:t xml:space="preserve">; </w:t>
      </w:r>
      <w:r w:rsidRPr="00574704">
        <w:rPr>
          <w:rFonts w:ascii="Cambria" w:hAnsi="Cambria"/>
          <w:bCs/>
          <w:i/>
          <w:color w:val="000000" w:themeColor="text1"/>
          <w:sz w:val="16"/>
          <w:szCs w:val="16"/>
          <w:lang w:val="uz-Cyrl-UZ"/>
        </w:rPr>
        <w:t>Caso de las Masacres de Ituango Vs. Colombia</w:t>
      </w:r>
      <w:r w:rsidRPr="000635BE">
        <w:rPr>
          <w:rFonts w:ascii="Cambria" w:hAnsi="Cambria"/>
          <w:bCs/>
          <w:color w:val="000000" w:themeColor="text1"/>
          <w:sz w:val="16"/>
          <w:szCs w:val="16"/>
          <w:lang w:val="uz-Cyrl-UZ"/>
        </w:rPr>
        <w:t>. Excepción Preliminar, Fondo, Reparaciones y Costas. Sentencia de 1 de julio de 2006. Serie C No. 148</w:t>
      </w:r>
      <w:r w:rsidRPr="00534885">
        <w:rPr>
          <w:rFonts w:ascii="Cambria" w:hAnsi="Cambria"/>
          <w:bCs/>
          <w:color w:val="000000" w:themeColor="text1"/>
          <w:sz w:val="16"/>
          <w:szCs w:val="16"/>
          <w:lang w:val="uz-Cyrl-UZ"/>
        </w:rPr>
        <w:t xml:space="preserve"> (</w:t>
      </w:r>
      <w:r w:rsidRPr="00534885">
        <w:rPr>
          <w:rFonts w:ascii="Cambria" w:hAnsi="Cambria"/>
          <w:bCs/>
          <w:i/>
          <w:color w:val="000000" w:themeColor="text1"/>
          <w:sz w:val="16"/>
          <w:szCs w:val="16"/>
          <w:lang w:val="uz-Cyrl-UZ"/>
        </w:rPr>
        <w:t xml:space="preserve">Sentencia </w:t>
      </w:r>
      <w:r w:rsidRPr="00574704">
        <w:rPr>
          <w:rFonts w:ascii="Cambria" w:hAnsi="Cambria"/>
          <w:bCs/>
          <w:i/>
          <w:color w:val="000000" w:themeColor="text1"/>
          <w:sz w:val="16"/>
          <w:szCs w:val="16"/>
          <w:lang w:val="uz-Cyrl-UZ"/>
        </w:rPr>
        <w:t>Masacres de Ituango</w:t>
      </w:r>
      <w:r w:rsidRPr="00534885">
        <w:rPr>
          <w:rFonts w:ascii="Cambria" w:hAnsi="Cambria"/>
          <w:bCs/>
          <w:color w:val="000000" w:themeColor="text1"/>
          <w:sz w:val="16"/>
          <w:szCs w:val="16"/>
          <w:lang w:val="uz-Cyrl-UZ"/>
        </w:rPr>
        <w:t>)</w:t>
      </w:r>
      <w:r w:rsidRPr="000635BE">
        <w:rPr>
          <w:rFonts w:ascii="Cambria" w:hAnsi="Cambria"/>
          <w:bCs/>
          <w:color w:val="000000" w:themeColor="text1"/>
          <w:sz w:val="16"/>
          <w:szCs w:val="16"/>
          <w:lang w:val="uz-Cyrl-UZ"/>
        </w:rPr>
        <w:t>, párr. 293.</w:t>
      </w:r>
    </w:p>
  </w:footnote>
  <w:footnote w:id="162">
    <w:p w14:paraId="0A380A7B" w14:textId="77777777" w:rsidR="00251E25" w:rsidRPr="000635BE" w:rsidRDefault="00251E25" w:rsidP="00574704">
      <w:pPr>
        <w:tabs>
          <w:tab w:val="left" w:pos="720"/>
        </w:tabs>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hAnsi="Cambria"/>
          <w:bCs/>
          <w:color w:val="000000" w:themeColor="text1"/>
          <w:sz w:val="16"/>
          <w:szCs w:val="16"/>
          <w:lang w:val="uz-Cyrl-UZ"/>
        </w:rPr>
        <w:t xml:space="preserve">Corte IDH. </w:t>
      </w:r>
      <w:r w:rsidRPr="00574704">
        <w:rPr>
          <w:rFonts w:ascii="Cambria" w:hAnsi="Cambria"/>
          <w:bCs/>
          <w:i/>
          <w:color w:val="000000" w:themeColor="text1"/>
          <w:sz w:val="16"/>
          <w:szCs w:val="16"/>
          <w:lang w:val="uz-Cyrl-UZ"/>
        </w:rPr>
        <w:t>Caso Andrade Salmón Vs. Bolivia.</w:t>
      </w:r>
      <w:r w:rsidRPr="000635BE">
        <w:rPr>
          <w:rFonts w:ascii="Cambria" w:hAnsi="Cambria"/>
          <w:bCs/>
          <w:color w:val="000000" w:themeColor="text1"/>
          <w:sz w:val="16"/>
          <w:szCs w:val="16"/>
          <w:lang w:val="uz-Cyrl-UZ"/>
        </w:rPr>
        <w:t xml:space="preserve"> Fondo, Reparaciones y Costas. Sentencia de 1 de diciembre de 2016. Serie C No. 330</w:t>
      </w:r>
      <w:r>
        <w:rPr>
          <w:rFonts w:ascii="Cambria" w:hAnsi="Cambria"/>
          <w:bCs/>
          <w:color w:val="000000" w:themeColor="text1"/>
          <w:sz w:val="16"/>
          <w:szCs w:val="16"/>
          <w:lang w:val="es-ES"/>
        </w:rPr>
        <w:t>, p</w:t>
      </w:r>
      <w:r w:rsidRPr="000635BE">
        <w:rPr>
          <w:rFonts w:ascii="Cambria" w:hAnsi="Cambria"/>
          <w:bCs/>
          <w:color w:val="000000" w:themeColor="text1"/>
          <w:sz w:val="16"/>
          <w:szCs w:val="16"/>
          <w:lang w:val="uz-Cyrl-UZ"/>
        </w:rPr>
        <w:t>árr. 159.</w:t>
      </w:r>
      <w:r w:rsidRPr="000635BE">
        <w:rPr>
          <w:rFonts w:ascii="Cambria" w:hAnsi="Cambria"/>
          <w:color w:val="000000" w:themeColor="text1"/>
          <w:sz w:val="16"/>
          <w:szCs w:val="16"/>
          <w:lang w:val="uz-Cyrl-UZ"/>
        </w:rPr>
        <w:tab/>
      </w:r>
    </w:p>
  </w:footnote>
  <w:footnote w:id="163">
    <w:p w14:paraId="22F6B780" w14:textId="77777777" w:rsidR="00251E25" w:rsidRPr="00574704" w:rsidRDefault="00251E25" w:rsidP="00B77AA2">
      <w:pPr>
        <w:pStyle w:val="FootnoteText"/>
        <w:rPr>
          <w:lang w:val="es-ES"/>
        </w:rPr>
      </w:pPr>
      <w:r>
        <w:rPr>
          <w:rStyle w:val="FootnoteReference"/>
        </w:rPr>
        <w:footnoteRef/>
      </w:r>
      <w:r w:rsidRPr="00574704">
        <w:rPr>
          <w:lang w:val="es-ES"/>
        </w:rPr>
        <w:t xml:space="preserve"> Corte IDH. </w:t>
      </w:r>
      <w:r w:rsidRPr="00574704">
        <w:rPr>
          <w:i/>
          <w:lang w:val="es-ES"/>
        </w:rPr>
        <w:t>Caso Fornerón e hija Vs. Argentina.</w:t>
      </w:r>
      <w:r w:rsidRPr="00574704">
        <w:rPr>
          <w:lang w:val="es-ES"/>
        </w:rPr>
        <w:t xml:space="preserve"> Fondo, Reparaciones y Costas. Sentencia de 27 de abril de 2012. Serie C No. 242, párr. 69.</w:t>
      </w:r>
    </w:p>
  </w:footnote>
  <w:footnote w:id="164">
    <w:p w14:paraId="6DEA606C" w14:textId="77777777" w:rsidR="00251E25" w:rsidRPr="00574704" w:rsidRDefault="00251E25" w:rsidP="00B77AA2">
      <w:pPr>
        <w:pStyle w:val="FootnoteText"/>
        <w:rPr>
          <w:lang w:val="es-ES"/>
        </w:rPr>
      </w:pPr>
      <w:r>
        <w:rPr>
          <w:rStyle w:val="FootnoteReference"/>
        </w:rPr>
        <w:footnoteRef/>
      </w:r>
      <w:r w:rsidRPr="00574704">
        <w:rPr>
          <w:lang w:val="es-ES"/>
        </w:rPr>
        <w:t xml:space="preserve"> Corte </w:t>
      </w:r>
      <w:r>
        <w:rPr>
          <w:lang w:val="es-ES"/>
        </w:rPr>
        <w:t xml:space="preserve">IDH. </w:t>
      </w:r>
      <w:r w:rsidRPr="00B77AA2">
        <w:rPr>
          <w:lang w:val="es-ES"/>
        </w:rPr>
        <w:t>Caso Myrna Mack Chang Vs. Guatemala. Fondo, Reparaciones y Costas. Sentencia de 25 de</w:t>
      </w:r>
      <w:r>
        <w:rPr>
          <w:lang w:val="es-ES"/>
        </w:rPr>
        <w:t xml:space="preserve"> </w:t>
      </w:r>
      <w:r w:rsidRPr="00B77AA2">
        <w:rPr>
          <w:lang w:val="es-ES"/>
        </w:rPr>
        <w:t>noviembre de 2003. Serie C No. 101, párr. 211</w:t>
      </w:r>
      <w:r>
        <w:rPr>
          <w:lang w:val="es-ES"/>
        </w:rPr>
        <w:t xml:space="preserve">; </w:t>
      </w:r>
      <w:r w:rsidRPr="00574704">
        <w:rPr>
          <w:i/>
          <w:lang w:val="es-ES"/>
        </w:rPr>
        <w:t>Caso García Ibarra y otros Vs. Ecuador.</w:t>
      </w:r>
      <w:r w:rsidRPr="00B77AA2">
        <w:rPr>
          <w:lang w:val="es-ES"/>
        </w:rPr>
        <w:t xml:space="preserve"> Excepciones Preliminares, Fondo, Reparaciones y Costas. Sentencia de 17 de noviembre de 2015. Serie C No. 306, párr. 132.</w:t>
      </w:r>
    </w:p>
  </w:footnote>
  <w:footnote w:id="165">
    <w:p w14:paraId="5381EE8B" w14:textId="77777777" w:rsidR="00251E25" w:rsidRPr="00574704" w:rsidRDefault="00251E25">
      <w:pPr>
        <w:pStyle w:val="FootnoteText"/>
        <w:rPr>
          <w:lang w:val="es-ES"/>
        </w:rPr>
      </w:pPr>
      <w:r>
        <w:rPr>
          <w:rStyle w:val="FootnoteReference"/>
        </w:rPr>
        <w:footnoteRef/>
      </w:r>
      <w:r w:rsidRPr="00574704">
        <w:rPr>
          <w:lang w:val="es-ES"/>
        </w:rPr>
        <w:t xml:space="preserve"> </w:t>
      </w:r>
      <w:r w:rsidRPr="00B77AA2">
        <w:rPr>
          <w:lang w:val="es-ES"/>
        </w:rPr>
        <w:t>Corte IDH. Caso Valle Jaramillo y otros Vs. Colombia. Fondo, Reparaciones y Costas. Sentencia de 27 de noviembre de 2008. Serie C No. 192</w:t>
      </w:r>
      <w:r>
        <w:rPr>
          <w:lang w:val="es-ES"/>
        </w:rPr>
        <w:t xml:space="preserve"> (</w:t>
      </w:r>
      <w:r w:rsidRPr="00925087">
        <w:rPr>
          <w:noProof/>
          <w:lang w:val="es-ES"/>
        </w:rPr>
        <w:t xml:space="preserve">Sentencia </w:t>
      </w:r>
      <w:r w:rsidRPr="00925087">
        <w:rPr>
          <w:i/>
          <w:noProof/>
          <w:lang w:val="es-ES"/>
        </w:rPr>
        <w:t>Valle Jaramillo</w:t>
      </w:r>
      <w:r>
        <w:rPr>
          <w:i/>
          <w:noProof/>
          <w:lang w:val="es-ES"/>
        </w:rPr>
        <w:t>)</w:t>
      </w:r>
      <w:r w:rsidRPr="00925087">
        <w:rPr>
          <w:noProof/>
          <w:lang w:val="es-ES"/>
        </w:rPr>
        <w:t>, párr.</w:t>
      </w:r>
      <w:r w:rsidRPr="00925087">
        <w:rPr>
          <w:lang w:val="es-ES_tradnl"/>
        </w:rPr>
        <w:t xml:space="preserve"> 1</w:t>
      </w:r>
      <w:r>
        <w:rPr>
          <w:lang w:val="es-ES_tradnl"/>
        </w:rPr>
        <w:t xml:space="preserve">55; </w:t>
      </w:r>
      <w:r>
        <w:rPr>
          <w:rFonts w:ascii="Cambria" w:hAnsi="Cambria"/>
          <w:color w:val="000000" w:themeColor="text1"/>
          <w:lang w:val="es-ES" w:eastAsia="x-none"/>
        </w:rPr>
        <w:t xml:space="preserve">Sentencia </w:t>
      </w:r>
      <w:r w:rsidRPr="00A56A76">
        <w:rPr>
          <w:rFonts w:ascii="Cambria" w:hAnsi="Cambria"/>
          <w:i/>
          <w:color w:val="000000" w:themeColor="text1"/>
          <w:lang w:val="uz-Cyrl-UZ" w:eastAsia="x-none"/>
        </w:rPr>
        <w:t>Furlan y familiares</w:t>
      </w:r>
      <w:r w:rsidRPr="000635BE">
        <w:rPr>
          <w:rFonts w:ascii="Cambria" w:hAnsi="Cambria"/>
          <w:color w:val="000000" w:themeColor="text1"/>
          <w:lang w:val="uz-Cyrl-UZ" w:eastAsia="x-none"/>
        </w:rPr>
        <w:t xml:space="preserve">, párr. </w:t>
      </w:r>
      <w:r>
        <w:rPr>
          <w:rFonts w:ascii="Cambria" w:hAnsi="Cambria"/>
          <w:color w:val="000000" w:themeColor="text1"/>
          <w:lang w:val="es-ES" w:eastAsia="x-none"/>
        </w:rPr>
        <w:t>202</w:t>
      </w:r>
      <w:r w:rsidRPr="00925087">
        <w:rPr>
          <w:lang w:val="es-ES_tradnl"/>
        </w:rPr>
        <w:t>.</w:t>
      </w:r>
    </w:p>
  </w:footnote>
  <w:footnote w:id="166">
    <w:p w14:paraId="3AA92622" w14:textId="77777777" w:rsidR="00251E25" w:rsidRPr="00574704" w:rsidRDefault="00251E25">
      <w:pPr>
        <w:pStyle w:val="FootnoteText"/>
        <w:rPr>
          <w:lang w:val="es-ES"/>
        </w:rPr>
      </w:pPr>
      <w:r>
        <w:rPr>
          <w:rStyle w:val="FootnoteReference"/>
        </w:rPr>
        <w:footnoteRef/>
      </w:r>
      <w:r w:rsidRPr="00574704">
        <w:rPr>
          <w:lang w:val="es-ES"/>
        </w:rPr>
        <w:t xml:space="preserve"> </w:t>
      </w:r>
      <w:r>
        <w:rPr>
          <w:lang w:val="es-ES"/>
        </w:rPr>
        <w:t xml:space="preserve">Por una determinación similar ver: </w:t>
      </w:r>
      <w:r w:rsidRPr="00BF5DFB">
        <w:rPr>
          <w:lang w:val="es-ES"/>
        </w:rPr>
        <w:t xml:space="preserve">CIDH, Informe No. 41/15, Casos 12.335, 12. 336, 12. 757, 12.711. </w:t>
      </w:r>
      <w:r w:rsidRPr="00574704">
        <w:rPr>
          <w:lang w:val="es-ES"/>
        </w:rPr>
        <w:t xml:space="preserve">Fondo. </w:t>
      </w:r>
      <w:r w:rsidRPr="00574704">
        <w:rPr>
          <w:i/>
          <w:lang w:val="es-ES"/>
        </w:rPr>
        <w:t>Gustavo Giraldo Villamizar Durán y otros.</w:t>
      </w:r>
      <w:r w:rsidRPr="00574704">
        <w:rPr>
          <w:lang w:val="es-ES"/>
        </w:rPr>
        <w:t xml:space="preserve"> Colombia. 28 de julio de 2015, párr. 226.</w:t>
      </w:r>
    </w:p>
  </w:footnote>
  <w:footnote w:id="167">
    <w:p w14:paraId="0628C5D0" w14:textId="77777777" w:rsidR="00251E25" w:rsidRPr="00925087" w:rsidRDefault="00251E25" w:rsidP="00FA58FA">
      <w:pPr>
        <w:pStyle w:val="FootnoteText"/>
        <w:rPr>
          <w:lang w:val="es-US"/>
        </w:rPr>
      </w:pPr>
      <w:r w:rsidRPr="00925087">
        <w:rPr>
          <w:rStyle w:val="FootnoteReference"/>
        </w:rPr>
        <w:footnoteRef/>
      </w:r>
      <w:r w:rsidRPr="00925087">
        <w:rPr>
          <w:lang w:val="es-US"/>
        </w:rPr>
        <w:t xml:space="preserve"> Corte IDH. </w:t>
      </w:r>
      <w:r w:rsidRPr="00925087">
        <w:rPr>
          <w:i/>
          <w:lang w:val="es-US"/>
        </w:rPr>
        <w:t>Caso de la Masacre de Las Dos Erres Vs. Guatemala</w:t>
      </w:r>
      <w:r w:rsidRPr="00925087">
        <w:rPr>
          <w:lang w:val="es-US"/>
        </w:rPr>
        <w:t>. Excepción Preliminar, Fondo, Reparaciones y Costas. Sentencia de 24 de noviem</w:t>
      </w:r>
      <w:r>
        <w:rPr>
          <w:lang w:val="es-US"/>
        </w:rPr>
        <w:t>bre de 2009. Serie C No. 211, (</w:t>
      </w:r>
      <w:r w:rsidRPr="00925087">
        <w:rPr>
          <w:lang w:val="es-ES"/>
        </w:rPr>
        <w:t xml:space="preserve">Sentencia </w:t>
      </w:r>
      <w:r w:rsidRPr="00925087">
        <w:rPr>
          <w:i/>
          <w:lang w:val="es-ES"/>
        </w:rPr>
        <w:t>Masacre de las Dos Erres</w:t>
      </w:r>
      <w:r w:rsidRPr="00925087">
        <w:rPr>
          <w:lang w:val="es-ES"/>
        </w:rPr>
        <w:t>), párr. 206</w:t>
      </w:r>
      <w:r>
        <w:rPr>
          <w:lang w:val="es-ES"/>
        </w:rPr>
        <w:t xml:space="preserve">; </w:t>
      </w:r>
      <w:r w:rsidRPr="00677F2B">
        <w:rPr>
          <w:i/>
          <w:lang w:val="es-ES"/>
        </w:rPr>
        <w:t>Caso Pollo Rivera y otros Vs. Perú.</w:t>
      </w:r>
      <w:r w:rsidRPr="00677F2B">
        <w:rPr>
          <w:lang w:val="es-ES"/>
        </w:rPr>
        <w:t xml:space="preserve"> Fondo, Reparaciones y Costas. Sentencia de 21 de octubre de 2016. Serie C No. 319</w:t>
      </w:r>
      <w:r>
        <w:rPr>
          <w:lang w:val="es-ES"/>
        </w:rPr>
        <w:t>, párr. 261</w:t>
      </w:r>
      <w:r w:rsidRPr="00925087">
        <w:rPr>
          <w:lang w:val="es-ES"/>
        </w:rPr>
        <w:t>.</w:t>
      </w:r>
    </w:p>
  </w:footnote>
  <w:footnote w:id="168">
    <w:p w14:paraId="65397FC5" w14:textId="77777777" w:rsidR="00251E25" w:rsidRPr="00925087" w:rsidRDefault="00251E25" w:rsidP="00FA58FA">
      <w:pPr>
        <w:pStyle w:val="FootnoteText"/>
        <w:rPr>
          <w:lang w:val="es-US"/>
        </w:rPr>
      </w:pPr>
      <w:r w:rsidRPr="00925087">
        <w:rPr>
          <w:rStyle w:val="FootnoteReference"/>
        </w:rPr>
        <w:footnoteRef/>
      </w:r>
      <w:r w:rsidRPr="00925087">
        <w:rPr>
          <w:lang w:val="es-US"/>
        </w:rPr>
        <w:t xml:space="preserve"> Corte IDH. Sentencia </w:t>
      </w:r>
      <w:r w:rsidRPr="00925087">
        <w:rPr>
          <w:i/>
          <w:lang w:val="es-US"/>
        </w:rPr>
        <w:t>Masacre de las Dos Erres</w:t>
      </w:r>
      <w:r w:rsidRPr="00925087">
        <w:rPr>
          <w:lang w:val="es-US"/>
        </w:rPr>
        <w:t>, párr. 20</w:t>
      </w:r>
      <w:r>
        <w:rPr>
          <w:lang w:val="es-US"/>
        </w:rPr>
        <w:t xml:space="preserve">; </w:t>
      </w:r>
      <w:r w:rsidRPr="00547CBA">
        <w:rPr>
          <w:bCs/>
          <w:lang w:val="es-US"/>
        </w:rPr>
        <w:t xml:space="preserve">Sentencia </w:t>
      </w:r>
      <w:r w:rsidRPr="00F13B81">
        <w:rPr>
          <w:bCs/>
          <w:i/>
          <w:iCs/>
          <w:lang w:val="es-US"/>
        </w:rPr>
        <w:t>Valencia Hinojosa y otra</w:t>
      </w:r>
      <w:r>
        <w:rPr>
          <w:bCs/>
          <w:lang w:val="es-US"/>
        </w:rPr>
        <w:t xml:space="preserve">, párr. 142; </w:t>
      </w:r>
      <w:r w:rsidRPr="0055463E">
        <w:rPr>
          <w:i/>
          <w:lang w:val="es-US"/>
        </w:rPr>
        <w:t>Caso Blake Vs. Guatemala.</w:t>
      </w:r>
      <w:r w:rsidRPr="00677F2B">
        <w:rPr>
          <w:lang w:val="es-US"/>
        </w:rPr>
        <w:t xml:space="preserve"> Fondo. Sentencia de 24 de enero de 1998. Serie C No. 36</w:t>
      </w:r>
      <w:r>
        <w:rPr>
          <w:lang w:val="es-US"/>
        </w:rPr>
        <w:t xml:space="preserve">, párr. 114; </w:t>
      </w:r>
      <w:r w:rsidRPr="0055463E">
        <w:rPr>
          <w:i/>
          <w:lang w:val="es-US"/>
        </w:rPr>
        <w:t>Caso Quispialaya Vilcapoma Vs. Perú.</w:t>
      </w:r>
      <w:r w:rsidRPr="0055463E">
        <w:rPr>
          <w:lang w:val="es-US"/>
        </w:rPr>
        <w:t xml:space="preserve"> Excepciones Preliminares, Fondo, Reparaciones y Costas. Sentencia de 23 de noviembre de 2015. Serie C No. 308</w:t>
      </w:r>
      <w:r>
        <w:rPr>
          <w:lang w:val="es-US"/>
        </w:rPr>
        <w:t>, párr. 244.</w:t>
      </w:r>
      <w:r w:rsidRPr="00925087">
        <w:rPr>
          <w:lang w:val="es-US"/>
        </w:rPr>
        <w:t xml:space="preserve"> </w:t>
      </w:r>
    </w:p>
  </w:footnote>
  <w:footnote w:id="169">
    <w:p w14:paraId="69E7A625" w14:textId="77777777" w:rsidR="00251E25" w:rsidRPr="00E5046F" w:rsidRDefault="00251E25" w:rsidP="00FA58FA">
      <w:pPr>
        <w:pStyle w:val="FootnoteText"/>
        <w:rPr>
          <w:lang w:val="es-ES_tradnl"/>
        </w:rPr>
      </w:pPr>
      <w:r w:rsidRPr="00925087">
        <w:rPr>
          <w:rStyle w:val="FootnoteReference"/>
        </w:rPr>
        <w:footnoteRef/>
      </w:r>
      <w:r w:rsidRPr="00925087">
        <w:rPr>
          <w:lang w:val="es-US"/>
        </w:rPr>
        <w:t xml:space="preserve"> </w:t>
      </w:r>
      <w:r w:rsidRPr="00925087">
        <w:rPr>
          <w:noProof/>
          <w:lang w:val="es-US"/>
        </w:rPr>
        <w:t xml:space="preserve">Corte IDH. </w:t>
      </w:r>
      <w:r w:rsidRPr="00925087">
        <w:rPr>
          <w:noProof/>
          <w:lang w:val="es-ES"/>
        </w:rPr>
        <w:t xml:space="preserve">Sentencia </w:t>
      </w:r>
      <w:r w:rsidRPr="00925087">
        <w:rPr>
          <w:i/>
          <w:noProof/>
          <w:lang w:val="es-ES"/>
        </w:rPr>
        <w:t>Valle Jaramillo</w:t>
      </w:r>
      <w:r w:rsidRPr="00925087">
        <w:rPr>
          <w:noProof/>
          <w:lang w:val="es-ES"/>
        </w:rPr>
        <w:t>, párr.</w:t>
      </w:r>
      <w:r w:rsidRPr="00925087">
        <w:rPr>
          <w:lang w:val="es-ES_tradnl"/>
        </w:rPr>
        <w:t xml:space="preserve"> 102. Ver también:</w:t>
      </w:r>
      <w:r w:rsidRPr="00925087">
        <w:rPr>
          <w:rFonts w:eastAsia="Arial Unicode MS" w:cs="Times New Roman"/>
          <w:color w:val="auto"/>
          <w:lang w:val="es-ES" w:eastAsia="en-US"/>
        </w:rPr>
        <w:t xml:space="preserve"> Corte IDH. </w:t>
      </w:r>
      <w:r w:rsidRPr="00925087">
        <w:rPr>
          <w:rFonts w:eastAsia="Arial Unicode MS" w:cs="Times New Roman"/>
          <w:i/>
          <w:color w:val="auto"/>
          <w:lang w:val="es-ES" w:eastAsia="en-US"/>
        </w:rPr>
        <w:t>Caso de las Masacres de Ituango Vs. Colombia</w:t>
      </w:r>
      <w:r w:rsidRPr="00925087">
        <w:rPr>
          <w:rFonts w:eastAsia="Arial Unicode MS" w:cs="Times New Roman"/>
          <w:color w:val="auto"/>
          <w:lang w:val="es-ES" w:eastAsia="en-US"/>
        </w:rPr>
        <w:t>. Sentencia de 1 de julio de 2006. Serie C No. 148</w:t>
      </w:r>
      <w:r w:rsidRPr="00925087">
        <w:rPr>
          <w:lang w:val="es-ES"/>
        </w:rPr>
        <w:t xml:space="preserve">, párr. 261; </w:t>
      </w:r>
      <w:r w:rsidRPr="00925087">
        <w:rPr>
          <w:i/>
          <w:lang w:val="es-ES"/>
        </w:rPr>
        <w:t>Caso de la "Masacre de Mapiripán" Vs. Colombia</w:t>
      </w:r>
      <w:r w:rsidRPr="00925087">
        <w:rPr>
          <w:lang w:val="es-ES"/>
        </w:rPr>
        <w:t>. Sentencia de 15 de septiembre de 2005. Serie C No. 134, párr.</w:t>
      </w:r>
      <w:r w:rsidRPr="00925087">
        <w:rPr>
          <w:lang w:val="es-US"/>
        </w:rPr>
        <w:t xml:space="preserve"> 145.</w:t>
      </w:r>
    </w:p>
  </w:footnote>
  <w:footnote w:id="170">
    <w:p w14:paraId="76DDC3C3" w14:textId="77777777" w:rsidR="00251E25" w:rsidRPr="00D813A3" w:rsidRDefault="00251E25">
      <w:pPr>
        <w:pStyle w:val="FootnoteText"/>
        <w:rPr>
          <w:lang w:val="es-US"/>
        </w:rPr>
      </w:pPr>
      <w:r>
        <w:rPr>
          <w:rStyle w:val="FootnoteReference"/>
        </w:rPr>
        <w:footnoteRef/>
      </w:r>
      <w:r w:rsidRPr="00D53DB7">
        <w:rPr>
          <w:lang w:val="pt-BR"/>
        </w:rPr>
        <w:t xml:space="preserve"> Corte IDH. </w:t>
      </w:r>
      <w:r w:rsidRPr="00D53DB7">
        <w:rPr>
          <w:bCs/>
          <w:lang w:val="pt-BR"/>
        </w:rPr>
        <w:t xml:space="preserve">Sentencia </w:t>
      </w:r>
      <w:r w:rsidRPr="00D53DB7">
        <w:rPr>
          <w:bCs/>
          <w:i/>
          <w:lang w:val="pt-BR"/>
        </w:rPr>
        <w:t xml:space="preserve">Bámaca Velásquez, </w:t>
      </w:r>
      <w:r w:rsidRPr="00D53DB7">
        <w:rPr>
          <w:bCs/>
          <w:lang w:val="pt-BR"/>
        </w:rPr>
        <w:t xml:space="preserve">párr. </w:t>
      </w:r>
      <w:r>
        <w:rPr>
          <w:bCs/>
          <w:lang w:val="es-ES"/>
        </w:rPr>
        <w:t xml:space="preserve">163; </w:t>
      </w:r>
      <w:r w:rsidRPr="00E63356">
        <w:rPr>
          <w:bCs/>
          <w:i/>
          <w:lang w:val="es-ES"/>
        </w:rPr>
        <w:t>Caso Velásquez Paiz y otros Vs. Guatemala.</w:t>
      </w:r>
      <w:r w:rsidRPr="00E63356">
        <w:rPr>
          <w:bCs/>
          <w:lang w:val="es-ES"/>
        </w:rPr>
        <w:t xml:space="preserve"> Excepciones Preliminares, Fondo, Reparaciones y Costas. Sentencia de 19 de noviembre de 2015. Serie C No. 307</w:t>
      </w:r>
      <w:r>
        <w:rPr>
          <w:bCs/>
          <w:lang w:val="es-ES"/>
        </w:rPr>
        <w:t>, párr. 209.</w:t>
      </w:r>
      <w:r w:rsidRPr="00925087">
        <w:rPr>
          <w:lang w:val="es-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DC1D" w14:textId="77777777" w:rsidR="00251E25" w:rsidRDefault="00251E25" w:rsidP="000C19D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78C01E6" w14:textId="77777777" w:rsidR="00251E25" w:rsidRDefault="00251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17F1" w14:textId="77777777" w:rsidR="00251E25" w:rsidRDefault="00251E25" w:rsidP="00A50FCF">
    <w:pPr>
      <w:pStyle w:val="Header"/>
      <w:tabs>
        <w:tab w:val="clear" w:pos="4320"/>
        <w:tab w:val="clear" w:pos="8640"/>
      </w:tabs>
      <w:jc w:val="center"/>
      <w:rPr>
        <w:sz w:val="22"/>
        <w:szCs w:val="22"/>
      </w:rPr>
    </w:pPr>
    <w:r>
      <w:rPr>
        <w:noProof/>
        <w:sz w:val="22"/>
        <w:szCs w:val="22"/>
      </w:rPr>
      <w:drawing>
        <wp:inline distT="0" distB="0" distL="0" distR="0" wp14:anchorId="4EC99576" wp14:editId="2677A79C">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783862A" w14:textId="77777777" w:rsidR="00251E25" w:rsidRPr="00EC7D62" w:rsidRDefault="00BE07BF" w:rsidP="00A50FCF">
    <w:pPr>
      <w:pStyle w:val="Header"/>
      <w:tabs>
        <w:tab w:val="clear" w:pos="4320"/>
        <w:tab w:val="clear" w:pos="8640"/>
      </w:tabs>
      <w:jc w:val="center"/>
      <w:rPr>
        <w:sz w:val="22"/>
        <w:szCs w:val="22"/>
      </w:rPr>
    </w:pPr>
    <w:r>
      <w:rPr>
        <w:noProof/>
        <w:sz w:val="22"/>
        <w:szCs w:val="22"/>
        <w:bdr w:val="nil"/>
      </w:rPr>
      <w:pict w14:anchorId="5765DA0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3B3FD0"/>
    <w:multiLevelType w:val="hybridMultilevel"/>
    <w:tmpl w:val="35FAFF90"/>
    <w:lvl w:ilvl="0" w:tplc="C5D8AC78">
      <w:start w:val="1"/>
      <w:numFmt w:val="decimal"/>
      <w:lvlText w:val="%1."/>
      <w:lvlJc w:val="left"/>
      <w:pPr>
        <w:ind w:left="3330" w:hanging="360"/>
      </w:pPr>
      <w:rPr>
        <w:rFonts w:ascii="Cambria" w:hAnsi="Cambria" w:hint="default"/>
        <w:b w:val="0"/>
        <w:i w:val="0"/>
        <w:sz w:val="20"/>
      </w:rPr>
    </w:lvl>
    <w:lvl w:ilvl="1" w:tplc="F5C4EC74">
      <w:start w:val="1"/>
      <w:numFmt w:val="lowerLetter"/>
      <w:lvlText w:val="%2)"/>
      <w:lvlJc w:val="left"/>
      <w:pPr>
        <w:ind w:left="2074" w:hanging="360"/>
      </w:pPr>
      <w:rPr>
        <w:rFonts w:hint="default"/>
      </w:r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C5107"/>
    <w:multiLevelType w:val="hybridMultilevel"/>
    <w:tmpl w:val="1F6E3488"/>
    <w:lvl w:ilvl="0" w:tplc="BCE67EDA">
      <w:start w:val="1"/>
      <w:numFmt w:val="upperLetter"/>
      <w:pStyle w:val="Heading2"/>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5F216A"/>
    <w:multiLevelType w:val="multilevel"/>
    <w:tmpl w:val="CDA48226"/>
    <w:lvl w:ilvl="0">
      <w:start w:val="1"/>
      <w:numFmt w:val="decimal"/>
      <w:pStyle w:val="Heading3"/>
      <w:lvlText w:val="%1."/>
      <w:lvlJc w:val="left"/>
      <w:pPr>
        <w:ind w:left="1080" w:hanging="360"/>
      </w:p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944332"/>
    <w:multiLevelType w:val="hybridMultilevel"/>
    <w:tmpl w:val="48788A34"/>
    <w:lvl w:ilvl="0" w:tplc="F1F4D5D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2A0BA1"/>
    <w:multiLevelType w:val="hybridMultilevel"/>
    <w:tmpl w:val="5194EE92"/>
    <w:lvl w:ilvl="0" w:tplc="1534EA50">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681F10"/>
    <w:multiLevelType w:val="hybridMultilevel"/>
    <w:tmpl w:val="A8D6BFA0"/>
    <w:lvl w:ilvl="0" w:tplc="E20A29CA">
      <w:start w:val="1"/>
      <w:numFmt w:val="decimal"/>
      <w:lvlText w:val="%1."/>
      <w:lvlJc w:val="left"/>
      <w:pPr>
        <w:ind w:left="1425" w:hanging="705"/>
      </w:pPr>
      <w:rPr>
        <w:rFonts w:hint="default"/>
        <w:sz w:val="20"/>
        <w:szCs w:val="20"/>
        <w:lang w:val="es-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961E8CC4"/>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50C2010"/>
    <w:multiLevelType w:val="hybridMultilevel"/>
    <w:tmpl w:val="DB46AD22"/>
    <w:lvl w:ilvl="0" w:tplc="63D0792E">
      <w:start w:val="1"/>
      <w:numFmt w:val="decimal"/>
      <w:pStyle w:val="ListParagraph"/>
      <w:lvlText w:val="%1."/>
      <w:lvlJc w:val="left"/>
      <w:pPr>
        <w:ind w:left="631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3771858">
    <w:abstractNumId w:val="4"/>
  </w:num>
  <w:num w:numId="2" w16cid:durableId="1364862954">
    <w:abstractNumId w:val="5"/>
  </w:num>
  <w:num w:numId="3" w16cid:durableId="287904358">
    <w:abstractNumId w:val="55"/>
  </w:num>
  <w:num w:numId="4" w16cid:durableId="1605188472">
    <w:abstractNumId w:val="22"/>
  </w:num>
  <w:num w:numId="5" w16cid:durableId="535586971">
    <w:abstractNumId w:val="49"/>
  </w:num>
  <w:num w:numId="6" w16cid:durableId="900949099">
    <w:abstractNumId w:val="29"/>
  </w:num>
  <w:num w:numId="7" w16cid:durableId="1265110590">
    <w:abstractNumId w:val="6"/>
  </w:num>
  <w:num w:numId="8" w16cid:durableId="809712518">
    <w:abstractNumId w:val="17"/>
  </w:num>
  <w:num w:numId="9" w16cid:durableId="860629756">
    <w:abstractNumId w:val="43"/>
  </w:num>
  <w:num w:numId="10" w16cid:durableId="776174048">
    <w:abstractNumId w:val="0"/>
  </w:num>
  <w:num w:numId="11" w16cid:durableId="132986645">
    <w:abstractNumId w:val="38"/>
  </w:num>
  <w:num w:numId="12" w16cid:durableId="1882933427">
    <w:abstractNumId w:val="39"/>
  </w:num>
  <w:num w:numId="13" w16cid:durableId="1128427925">
    <w:abstractNumId w:val="45"/>
  </w:num>
  <w:num w:numId="14" w16cid:durableId="577130438">
    <w:abstractNumId w:val="1"/>
  </w:num>
  <w:num w:numId="15" w16cid:durableId="768963710">
    <w:abstractNumId w:val="2"/>
  </w:num>
  <w:num w:numId="16" w16cid:durableId="1825009553">
    <w:abstractNumId w:val="7"/>
  </w:num>
  <w:num w:numId="17" w16cid:durableId="713971216">
    <w:abstractNumId w:val="8"/>
  </w:num>
  <w:num w:numId="18" w16cid:durableId="986083147">
    <w:abstractNumId w:val="9"/>
  </w:num>
  <w:num w:numId="19" w16cid:durableId="43676295">
    <w:abstractNumId w:val="10"/>
  </w:num>
  <w:num w:numId="20" w16cid:durableId="1884630438">
    <w:abstractNumId w:val="11"/>
  </w:num>
  <w:num w:numId="21" w16cid:durableId="996693213">
    <w:abstractNumId w:val="12"/>
  </w:num>
  <w:num w:numId="22" w16cid:durableId="112289455">
    <w:abstractNumId w:val="13"/>
  </w:num>
  <w:num w:numId="23" w16cid:durableId="193545537">
    <w:abstractNumId w:val="14"/>
  </w:num>
  <w:num w:numId="24" w16cid:durableId="840194679">
    <w:abstractNumId w:val="15"/>
  </w:num>
  <w:num w:numId="25" w16cid:durableId="2014717154">
    <w:abstractNumId w:val="18"/>
  </w:num>
  <w:num w:numId="26" w16cid:durableId="1194346726">
    <w:abstractNumId w:val="19"/>
  </w:num>
  <w:num w:numId="27" w16cid:durableId="548758939">
    <w:abstractNumId w:val="23"/>
  </w:num>
  <w:num w:numId="28" w16cid:durableId="905529388">
    <w:abstractNumId w:val="24"/>
  </w:num>
  <w:num w:numId="29" w16cid:durableId="102002516">
    <w:abstractNumId w:val="25"/>
  </w:num>
  <w:num w:numId="30" w16cid:durableId="1123615110">
    <w:abstractNumId w:val="28"/>
  </w:num>
  <w:num w:numId="31" w16cid:durableId="81730769">
    <w:abstractNumId w:val="30"/>
  </w:num>
  <w:num w:numId="32" w16cid:durableId="73674042">
    <w:abstractNumId w:val="31"/>
  </w:num>
  <w:num w:numId="33" w16cid:durableId="14428379">
    <w:abstractNumId w:val="32"/>
  </w:num>
  <w:num w:numId="34" w16cid:durableId="169567567">
    <w:abstractNumId w:val="33"/>
  </w:num>
  <w:num w:numId="35" w16cid:durableId="2135100615">
    <w:abstractNumId w:val="34"/>
  </w:num>
  <w:num w:numId="36" w16cid:durableId="69743158">
    <w:abstractNumId w:val="35"/>
  </w:num>
  <w:num w:numId="37" w16cid:durableId="1030449690">
    <w:abstractNumId w:val="36"/>
  </w:num>
  <w:num w:numId="38" w16cid:durableId="1697383511">
    <w:abstractNumId w:val="37"/>
  </w:num>
  <w:num w:numId="39" w16cid:durableId="1496140973">
    <w:abstractNumId w:val="40"/>
  </w:num>
  <w:num w:numId="40" w16cid:durableId="862399894">
    <w:abstractNumId w:val="41"/>
  </w:num>
  <w:num w:numId="41" w16cid:durableId="1473253799">
    <w:abstractNumId w:val="48"/>
  </w:num>
  <w:num w:numId="42" w16cid:durableId="1849249110">
    <w:abstractNumId w:val="50"/>
  </w:num>
  <w:num w:numId="43" w16cid:durableId="2040203359">
    <w:abstractNumId w:val="51"/>
  </w:num>
  <w:num w:numId="44" w16cid:durableId="1125540549">
    <w:abstractNumId w:val="52"/>
  </w:num>
  <w:num w:numId="45" w16cid:durableId="175848557">
    <w:abstractNumId w:val="54"/>
  </w:num>
  <w:num w:numId="46" w16cid:durableId="418452953">
    <w:abstractNumId w:val="56"/>
  </w:num>
  <w:num w:numId="47" w16cid:durableId="271983200">
    <w:abstractNumId w:val="57"/>
  </w:num>
  <w:num w:numId="48" w16cid:durableId="103767659">
    <w:abstractNumId w:val="58"/>
  </w:num>
  <w:num w:numId="49" w16cid:durableId="653222311">
    <w:abstractNumId w:val="59"/>
  </w:num>
  <w:num w:numId="50" w16cid:durableId="85810550">
    <w:abstractNumId w:val="60"/>
  </w:num>
  <w:num w:numId="51" w16cid:durableId="1059981327">
    <w:abstractNumId w:val="20"/>
  </w:num>
  <w:num w:numId="52" w16cid:durableId="234433719">
    <w:abstractNumId w:val="42"/>
  </w:num>
  <w:num w:numId="53" w16cid:durableId="2046521609">
    <w:abstractNumId w:val="46"/>
  </w:num>
  <w:num w:numId="54" w16cid:durableId="1734884883">
    <w:abstractNumId w:val="27"/>
  </w:num>
  <w:num w:numId="55" w16cid:durableId="1804731302">
    <w:abstractNumId w:val="44"/>
  </w:num>
  <w:num w:numId="56" w16cid:durableId="580212545">
    <w:abstractNumId w:val="53"/>
  </w:num>
  <w:num w:numId="57" w16cid:durableId="413085562">
    <w:abstractNumId w:val="16"/>
  </w:num>
  <w:num w:numId="58" w16cid:durableId="416901685">
    <w:abstractNumId w:val="16"/>
    <w:lvlOverride w:ilvl="0">
      <w:startOverride w:val="1"/>
    </w:lvlOverride>
  </w:num>
  <w:num w:numId="59" w16cid:durableId="1498181273">
    <w:abstractNumId w:val="21"/>
  </w:num>
  <w:num w:numId="60" w16cid:durableId="1395007323">
    <w:abstractNumId w:val="16"/>
    <w:lvlOverride w:ilvl="0">
      <w:startOverride w:val="1"/>
    </w:lvlOverride>
  </w:num>
  <w:num w:numId="61" w16cid:durableId="4670677">
    <w:abstractNumId w:val="3"/>
  </w:num>
  <w:num w:numId="62" w16cid:durableId="14968428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417456">
    <w:abstractNumId w:val="26"/>
  </w:num>
  <w:num w:numId="64" w16cid:durableId="1977493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45946631">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36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W0MLYwMjEwN7U0MTJU0lEKTi0uzszPAykwqQUAYv/F0SwAAAA="/>
  </w:docVars>
  <w:rsids>
    <w:rsidRoot w:val="006B2D5C"/>
    <w:rsid w:val="0000036F"/>
    <w:rsid w:val="0000092B"/>
    <w:rsid w:val="00000CDA"/>
    <w:rsid w:val="00000F7B"/>
    <w:rsid w:val="000016CD"/>
    <w:rsid w:val="00002A5F"/>
    <w:rsid w:val="00002AC4"/>
    <w:rsid w:val="00003597"/>
    <w:rsid w:val="00003FA4"/>
    <w:rsid w:val="0000501E"/>
    <w:rsid w:val="0000503E"/>
    <w:rsid w:val="00006896"/>
    <w:rsid w:val="00006DD2"/>
    <w:rsid w:val="00006E1F"/>
    <w:rsid w:val="000070D7"/>
    <w:rsid w:val="00007604"/>
    <w:rsid w:val="000107CE"/>
    <w:rsid w:val="00010967"/>
    <w:rsid w:val="0001180B"/>
    <w:rsid w:val="00011F12"/>
    <w:rsid w:val="00011FCF"/>
    <w:rsid w:val="000126E7"/>
    <w:rsid w:val="000129D5"/>
    <w:rsid w:val="00013835"/>
    <w:rsid w:val="00015540"/>
    <w:rsid w:val="0001555E"/>
    <w:rsid w:val="000158FD"/>
    <w:rsid w:val="00015EA1"/>
    <w:rsid w:val="000161EF"/>
    <w:rsid w:val="00016CF5"/>
    <w:rsid w:val="00016E08"/>
    <w:rsid w:val="0001788C"/>
    <w:rsid w:val="00020583"/>
    <w:rsid w:val="00021CBB"/>
    <w:rsid w:val="0002223E"/>
    <w:rsid w:val="00022C1D"/>
    <w:rsid w:val="000230A9"/>
    <w:rsid w:val="00023D4E"/>
    <w:rsid w:val="00025DD7"/>
    <w:rsid w:val="0002747A"/>
    <w:rsid w:val="00027CB0"/>
    <w:rsid w:val="0003026F"/>
    <w:rsid w:val="00030464"/>
    <w:rsid w:val="00030942"/>
    <w:rsid w:val="00031C94"/>
    <w:rsid w:val="00031E4C"/>
    <w:rsid w:val="00032034"/>
    <w:rsid w:val="0003211E"/>
    <w:rsid w:val="000332C7"/>
    <w:rsid w:val="00034A67"/>
    <w:rsid w:val="00034B75"/>
    <w:rsid w:val="000350D0"/>
    <w:rsid w:val="00035205"/>
    <w:rsid w:val="000352FA"/>
    <w:rsid w:val="0003553F"/>
    <w:rsid w:val="00036654"/>
    <w:rsid w:val="000371BF"/>
    <w:rsid w:val="00037C6D"/>
    <w:rsid w:val="00040C3A"/>
    <w:rsid w:val="00040D82"/>
    <w:rsid w:val="00040EEB"/>
    <w:rsid w:val="000411B9"/>
    <w:rsid w:val="00042141"/>
    <w:rsid w:val="000428DF"/>
    <w:rsid w:val="00044246"/>
    <w:rsid w:val="00044B9D"/>
    <w:rsid w:val="00045FCB"/>
    <w:rsid w:val="0004637B"/>
    <w:rsid w:val="00047EA6"/>
    <w:rsid w:val="00050897"/>
    <w:rsid w:val="00050BB2"/>
    <w:rsid w:val="00050EC3"/>
    <w:rsid w:val="0005104C"/>
    <w:rsid w:val="0005136A"/>
    <w:rsid w:val="0005173E"/>
    <w:rsid w:val="0005297B"/>
    <w:rsid w:val="00053146"/>
    <w:rsid w:val="00053662"/>
    <w:rsid w:val="000539FE"/>
    <w:rsid w:val="000542DD"/>
    <w:rsid w:val="00054320"/>
    <w:rsid w:val="00055391"/>
    <w:rsid w:val="00056136"/>
    <w:rsid w:val="000562D7"/>
    <w:rsid w:val="00056F86"/>
    <w:rsid w:val="00057592"/>
    <w:rsid w:val="000604FA"/>
    <w:rsid w:val="00060E5D"/>
    <w:rsid w:val="0006167C"/>
    <w:rsid w:val="00061B95"/>
    <w:rsid w:val="00061D58"/>
    <w:rsid w:val="00061DB4"/>
    <w:rsid w:val="000622BD"/>
    <w:rsid w:val="00063267"/>
    <w:rsid w:val="000641F5"/>
    <w:rsid w:val="00064256"/>
    <w:rsid w:val="0006466A"/>
    <w:rsid w:val="000650BB"/>
    <w:rsid w:val="000651AF"/>
    <w:rsid w:val="000659DC"/>
    <w:rsid w:val="00065A99"/>
    <w:rsid w:val="0006603F"/>
    <w:rsid w:val="00066B6C"/>
    <w:rsid w:val="00066D1F"/>
    <w:rsid w:val="00066EA5"/>
    <w:rsid w:val="0006788F"/>
    <w:rsid w:val="00067A5D"/>
    <w:rsid w:val="00067FE5"/>
    <w:rsid w:val="0007021D"/>
    <w:rsid w:val="00070C0C"/>
    <w:rsid w:val="00070DF2"/>
    <w:rsid w:val="000716C5"/>
    <w:rsid w:val="00072708"/>
    <w:rsid w:val="00072950"/>
    <w:rsid w:val="00072D26"/>
    <w:rsid w:val="00073869"/>
    <w:rsid w:val="00075E23"/>
    <w:rsid w:val="00076967"/>
    <w:rsid w:val="00080468"/>
    <w:rsid w:val="0008061F"/>
    <w:rsid w:val="000808CB"/>
    <w:rsid w:val="00080DC9"/>
    <w:rsid w:val="00081C7F"/>
    <w:rsid w:val="000821D3"/>
    <w:rsid w:val="000825B7"/>
    <w:rsid w:val="00082795"/>
    <w:rsid w:val="00082E57"/>
    <w:rsid w:val="0008347A"/>
    <w:rsid w:val="00083AB3"/>
    <w:rsid w:val="0008415E"/>
    <w:rsid w:val="00084258"/>
    <w:rsid w:val="000842A3"/>
    <w:rsid w:val="00084422"/>
    <w:rsid w:val="00084521"/>
    <w:rsid w:val="00084A09"/>
    <w:rsid w:val="00085A84"/>
    <w:rsid w:val="00085D6C"/>
    <w:rsid w:val="00086510"/>
    <w:rsid w:val="00086EE9"/>
    <w:rsid w:val="0008768F"/>
    <w:rsid w:val="00087ACD"/>
    <w:rsid w:val="000904A5"/>
    <w:rsid w:val="0009144B"/>
    <w:rsid w:val="00091F6C"/>
    <w:rsid w:val="0009327B"/>
    <w:rsid w:val="0009344A"/>
    <w:rsid w:val="0009377E"/>
    <w:rsid w:val="00093838"/>
    <w:rsid w:val="000939DB"/>
    <w:rsid w:val="00094132"/>
    <w:rsid w:val="00094327"/>
    <w:rsid w:val="00094637"/>
    <w:rsid w:val="00095496"/>
    <w:rsid w:val="000956F2"/>
    <w:rsid w:val="00095DEB"/>
    <w:rsid w:val="00096C0B"/>
    <w:rsid w:val="00096C79"/>
    <w:rsid w:val="000978BC"/>
    <w:rsid w:val="00097A6F"/>
    <w:rsid w:val="000A081A"/>
    <w:rsid w:val="000A0C49"/>
    <w:rsid w:val="000A0DEC"/>
    <w:rsid w:val="000A15D8"/>
    <w:rsid w:val="000A1733"/>
    <w:rsid w:val="000A1C41"/>
    <w:rsid w:val="000A1E62"/>
    <w:rsid w:val="000A2400"/>
    <w:rsid w:val="000A392E"/>
    <w:rsid w:val="000A3DBA"/>
    <w:rsid w:val="000A4D29"/>
    <w:rsid w:val="000A524C"/>
    <w:rsid w:val="000A575F"/>
    <w:rsid w:val="000A576A"/>
    <w:rsid w:val="000A63A1"/>
    <w:rsid w:val="000A66B9"/>
    <w:rsid w:val="000A6B46"/>
    <w:rsid w:val="000A75FA"/>
    <w:rsid w:val="000A7746"/>
    <w:rsid w:val="000A7CA4"/>
    <w:rsid w:val="000B04C4"/>
    <w:rsid w:val="000B07A5"/>
    <w:rsid w:val="000B0C39"/>
    <w:rsid w:val="000B13B7"/>
    <w:rsid w:val="000B15B7"/>
    <w:rsid w:val="000B1973"/>
    <w:rsid w:val="000B1B03"/>
    <w:rsid w:val="000B2272"/>
    <w:rsid w:val="000B22D8"/>
    <w:rsid w:val="000B2387"/>
    <w:rsid w:val="000B2510"/>
    <w:rsid w:val="000B2D2A"/>
    <w:rsid w:val="000B30B3"/>
    <w:rsid w:val="000B343C"/>
    <w:rsid w:val="000B3894"/>
    <w:rsid w:val="000B4102"/>
    <w:rsid w:val="000B499E"/>
    <w:rsid w:val="000B5ECA"/>
    <w:rsid w:val="000B6884"/>
    <w:rsid w:val="000B6C04"/>
    <w:rsid w:val="000B6CDB"/>
    <w:rsid w:val="000B77AA"/>
    <w:rsid w:val="000C0869"/>
    <w:rsid w:val="000C0D13"/>
    <w:rsid w:val="000C0EF0"/>
    <w:rsid w:val="000C19D9"/>
    <w:rsid w:val="000C1E49"/>
    <w:rsid w:val="000C2CA2"/>
    <w:rsid w:val="000C333F"/>
    <w:rsid w:val="000C52F9"/>
    <w:rsid w:val="000C5511"/>
    <w:rsid w:val="000C558C"/>
    <w:rsid w:val="000C5A25"/>
    <w:rsid w:val="000C5D13"/>
    <w:rsid w:val="000C5E0D"/>
    <w:rsid w:val="000C606E"/>
    <w:rsid w:val="000C6226"/>
    <w:rsid w:val="000C68A1"/>
    <w:rsid w:val="000C6A8E"/>
    <w:rsid w:val="000C6B56"/>
    <w:rsid w:val="000C6E88"/>
    <w:rsid w:val="000C71E0"/>
    <w:rsid w:val="000C7457"/>
    <w:rsid w:val="000C7D8F"/>
    <w:rsid w:val="000D06D9"/>
    <w:rsid w:val="000D09C4"/>
    <w:rsid w:val="000D0C14"/>
    <w:rsid w:val="000D10DB"/>
    <w:rsid w:val="000D11AB"/>
    <w:rsid w:val="000D1472"/>
    <w:rsid w:val="000D27C5"/>
    <w:rsid w:val="000D2E67"/>
    <w:rsid w:val="000D3C33"/>
    <w:rsid w:val="000D41EE"/>
    <w:rsid w:val="000D4C1E"/>
    <w:rsid w:val="000D52B3"/>
    <w:rsid w:val="000D5A42"/>
    <w:rsid w:val="000D5AF2"/>
    <w:rsid w:val="000D5BED"/>
    <w:rsid w:val="000D62BB"/>
    <w:rsid w:val="000D6A0D"/>
    <w:rsid w:val="000D72E9"/>
    <w:rsid w:val="000D7864"/>
    <w:rsid w:val="000D7FC7"/>
    <w:rsid w:val="000E0422"/>
    <w:rsid w:val="000E0448"/>
    <w:rsid w:val="000E0EDC"/>
    <w:rsid w:val="000E11AF"/>
    <w:rsid w:val="000E2999"/>
    <w:rsid w:val="000E2F3D"/>
    <w:rsid w:val="000E3E1C"/>
    <w:rsid w:val="000E3E49"/>
    <w:rsid w:val="000E4B76"/>
    <w:rsid w:val="000E525B"/>
    <w:rsid w:val="000E58EE"/>
    <w:rsid w:val="000E5EB5"/>
    <w:rsid w:val="000E66CA"/>
    <w:rsid w:val="000E6BC8"/>
    <w:rsid w:val="000E78F8"/>
    <w:rsid w:val="000E7963"/>
    <w:rsid w:val="000E7C1D"/>
    <w:rsid w:val="000E7E90"/>
    <w:rsid w:val="000F01E7"/>
    <w:rsid w:val="000F0A1E"/>
    <w:rsid w:val="000F1135"/>
    <w:rsid w:val="000F1222"/>
    <w:rsid w:val="000F12C5"/>
    <w:rsid w:val="000F12EE"/>
    <w:rsid w:val="000F2929"/>
    <w:rsid w:val="000F35ED"/>
    <w:rsid w:val="000F4D38"/>
    <w:rsid w:val="000F56D3"/>
    <w:rsid w:val="000F5871"/>
    <w:rsid w:val="000F73EE"/>
    <w:rsid w:val="000F7520"/>
    <w:rsid w:val="001011BA"/>
    <w:rsid w:val="001019B8"/>
    <w:rsid w:val="00101C20"/>
    <w:rsid w:val="00101D0B"/>
    <w:rsid w:val="00101F30"/>
    <w:rsid w:val="00102746"/>
    <w:rsid w:val="00103A6C"/>
    <w:rsid w:val="00104229"/>
    <w:rsid w:val="00104335"/>
    <w:rsid w:val="00104E9B"/>
    <w:rsid w:val="0010504C"/>
    <w:rsid w:val="00105C1C"/>
    <w:rsid w:val="001064ED"/>
    <w:rsid w:val="001066D2"/>
    <w:rsid w:val="001069AF"/>
    <w:rsid w:val="00106B7B"/>
    <w:rsid w:val="00106C7A"/>
    <w:rsid w:val="00107131"/>
    <w:rsid w:val="001072ED"/>
    <w:rsid w:val="0010736F"/>
    <w:rsid w:val="0010737E"/>
    <w:rsid w:val="00107E1E"/>
    <w:rsid w:val="00110284"/>
    <w:rsid w:val="0011094A"/>
    <w:rsid w:val="001110B9"/>
    <w:rsid w:val="001110F8"/>
    <w:rsid w:val="00111AE1"/>
    <w:rsid w:val="00111CC5"/>
    <w:rsid w:val="00112DF2"/>
    <w:rsid w:val="0011380E"/>
    <w:rsid w:val="00113F73"/>
    <w:rsid w:val="001142B0"/>
    <w:rsid w:val="001147A2"/>
    <w:rsid w:val="00114862"/>
    <w:rsid w:val="0011538A"/>
    <w:rsid w:val="00115665"/>
    <w:rsid w:val="00115A57"/>
    <w:rsid w:val="0011698F"/>
    <w:rsid w:val="00116E16"/>
    <w:rsid w:val="00117114"/>
    <w:rsid w:val="00117B96"/>
    <w:rsid w:val="00120060"/>
    <w:rsid w:val="00120D58"/>
    <w:rsid w:val="0012113D"/>
    <w:rsid w:val="00121CC2"/>
    <w:rsid w:val="00121D63"/>
    <w:rsid w:val="00122045"/>
    <w:rsid w:val="0012289E"/>
    <w:rsid w:val="0012358E"/>
    <w:rsid w:val="00123D6A"/>
    <w:rsid w:val="00123FD6"/>
    <w:rsid w:val="001243DA"/>
    <w:rsid w:val="00124409"/>
    <w:rsid w:val="00125FB6"/>
    <w:rsid w:val="001261C7"/>
    <w:rsid w:val="0012652A"/>
    <w:rsid w:val="00126839"/>
    <w:rsid w:val="00127E48"/>
    <w:rsid w:val="001306F0"/>
    <w:rsid w:val="00130A8A"/>
    <w:rsid w:val="00131042"/>
    <w:rsid w:val="00131FD6"/>
    <w:rsid w:val="00132663"/>
    <w:rsid w:val="00132978"/>
    <w:rsid w:val="00132CEB"/>
    <w:rsid w:val="001334CA"/>
    <w:rsid w:val="001335B4"/>
    <w:rsid w:val="00133EE5"/>
    <w:rsid w:val="001349CC"/>
    <w:rsid w:val="0013566E"/>
    <w:rsid w:val="0013667D"/>
    <w:rsid w:val="00136882"/>
    <w:rsid w:val="0014006E"/>
    <w:rsid w:val="00140461"/>
    <w:rsid w:val="00141DB5"/>
    <w:rsid w:val="0014242B"/>
    <w:rsid w:val="001425B8"/>
    <w:rsid w:val="001426B1"/>
    <w:rsid w:val="00142A18"/>
    <w:rsid w:val="00143165"/>
    <w:rsid w:val="00143BFF"/>
    <w:rsid w:val="00143E28"/>
    <w:rsid w:val="00144470"/>
    <w:rsid w:val="00144BE6"/>
    <w:rsid w:val="001461A1"/>
    <w:rsid w:val="00147B76"/>
    <w:rsid w:val="00151C85"/>
    <w:rsid w:val="00151EAC"/>
    <w:rsid w:val="001525F6"/>
    <w:rsid w:val="00152CDF"/>
    <w:rsid w:val="00154864"/>
    <w:rsid w:val="00155377"/>
    <w:rsid w:val="001554ED"/>
    <w:rsid w:val="00155FC3"/>
    <w:rsid w:val="00156155"/>
    <w:rsid w:val="0015627E"/>
    <w:rsid w:val="001564E1"/>
    <w:rsid w:val="00156F01"/>
    <w:rsid w:val="00157AE7"/>
    <w:rsid w:val="00160455"/>
    <w:rsid w:val="0016088B"/>
    <w:rsid w:val="00161769"/>
    <w:rsid w:val="0016208B"/>
    <w:rsid w:val="00162332"/>
    <w:rsid w:val="00162372"/>
    <w:rsid w:val="00162560"/>
    <w:rsid w:val="00162AD1"/>
    <w:rsid w:val="00162FE3"/>
    <w:rsid w:val="001636C7"/>
    <w:rsid w:val="00163F45"/>
    <w:rsid w:val="00165529"/>
    <w:rsid w:val="00165D91"/>
    <w:rsid w:val="00166189"/>
    <w:rsid w:val="0016665F"/>
    <w:rsid w:val="0016732C"/>
    <w:rsid w:val="00167586"/>
    <w:rsid w:val="00167A34"/>
    <w:rsid w:val="001701E3"/>
    <w:rsid w:val="0017056A"/>
    <w:rsid w:val="00170924"/>
    <w:rsid w:val="00170B1F"/>
    <w:rsid w:val="001714AD"/>
    <w:rsid w:val="00172149"/>
    <w:rsid w:val="0017252D"/>
    <w:rsid w:val="0017268B"/>
    <w:rsid w:val="00172871"/>
    <w:rsid w:val="00172F6D"/>
    <w:rsid w:val="0017315A"/>
    <w:rsid w:val="0017416D"/>
    <w:rsid w:val="00174201"/>
    <w:rsid w:val="00174446"/>
    <w:rsid w:val="00174525"/>
    <w:rsid w:val="00174717"/>
    <w:rsid w:val="0017499B"/>
    <w:rsid w:val="00174B55"/>
    <w:rsid w:val="00174C6B"/>
    <w:rsid w:val="001756EE"/>
    <w:rsid w:val="00175769"/>
    <w:rsid w:val="001758D8"/>
    <w:rsid w:val="00175E44"/>
    <w:rsid w:val="00177977"/>
    <w:rsid w:val="00177C19"/>
    <w:rsid w:val="00180DE0"/>
    <w:rsid w:val="00181ACA"/>
    <w:rsid w:val="00181E1E"/>
    <w:rsid w:val="00181F34"/>
    <w:rsid w:val="001826CD"/>
    <w:rsid w:val="00182C08"/>
    <w:rsid w:val="001832CD"/>
    <w:rsid w:val="00184EB5"/>
    <w:rsid w:val="00186413"/>
    <w:rsid w:val="00186414"/>
    <w:rsid w:val="00186C56"/>
    <w:rsid w:val="00186E93"/>
    <w:rsid w:val="001873A1"/>
    <w:rsid w:val="0018788A"/>
    <w:rsid w:val="001878C7"/>
    <w:rsid w:val="0019074A"/>
    <w:rsid w:val="001909CE"/>
    <w:rsid w:val="0019100B"/>
    <w:rsid w:val="00191AF4"/>
    <w:rsid w:val="00193170"/>
    <w:rsid w:val="0019329F"/>
    <w:rsid w:val="00193DD1"/>
    <w:rsid w:val="00194270"/>
    <w:rsid w:val="00194602"/>
    <w:rsid w:val="0019529F"/>
    <w:rsid w:val="001954A9"/>
    <w:rsid w:val="001964F6"/>
    <w:rsid w:val="001976C6"/>
    <w:rsid w:val="001A033C"/>
    <w:rsid w:val="001A043E"/>
    <w:rsid w:val="001A0879"/>
    <w:rsid w:val="001A0BCC"/>
    <w:rsid w:val="001A1250"/>
    <w:rsid w:val="001A1C0A"/>
    <w:rsid w:val="001A4B12"/>
    <w:rsid w:val="001A4D23"/>
    <w:rsid w:val="001A4FC2"/>
    <w:rsid w:val="001A579F"/>
    <w:rsid w:val="001A5B67"/>
    <w:rsid w:val="001A5C25"/>
    <w:rsid w:val="001A763F"/>
    <w:rsid w:val="001A7870"/>
    <w:rsid w:val="001A7E53"/>
    <w:rsid w:val="001A7EA4"/>
    <w:rsid w:val="001B07C3"/>
    <w:rsid w:val="001B0D2B"/>
    <w:rsid w:val="001B0DF9"/>
    <w:rsid w:val="001B0EB5"/>
    <w:rsid w:val="001B21B2"/>
    <w:rsid w:val="001B2E2F"/>
    <w:rsid w:val="001B3859"/>
    <w:rsid w:val="001B6C99"/>
    <w:rsid w:val="001C020C"/>
    <w:rsid w:val="001C043C"/>
    <w:rsid w:val="001C08FD"/>
    <w:rsid w:val="001C103F"/>
    <w:rsid w:val="001C12D2"/>
    <w:rsid w:val="001C1B41"/>
    <w:rsid w:val="001C2100"/>
    <w:rsid w:val="001C35E1"/>
    <w:rsid w:val="001C3908"/>
    <w:rsid w:val="001C3B7A"/>
    <w:rsid w:val="001C42BC"/>
    <w:rsid w:val="001C4345"/>
    <w:rsid w:val="001C4EA2"/>
    <w:rsid w:val="001C5852"/>
    <w:rsid w:val="001C7F8A"/>
    <w:rsid w:val="001D18C7"/>
    <w:rsid w:val="001D1BF3"/>
    <w:rsid w:val="001D1C8B"/>
    <w:rsid w:val="001D24AB"/>
    <w:rsid w:val="001D26AE"/>
    <w:rsid w:val="001D3119"/>
    <w:rsid w:val="001D4434"/>
    <w:rsid w:val="001D466D"/>
    <w:rsid w:val="001D57C4"/>
    <w:rsid w:val="001D5D67"/>
    <w:rsid w:val="001D65EF"/>
    <w:rsid w:val="001D6D34"/>
    <w:rsid w:val="001D6F55"/>
    <w:rsid w:val="001D7534"/>
    <w:rsid w:val="001D75CE"/>
    <w:rsid w:val="001D7931"/>
    <w:rsid w:val="001D79BA"/>
    <w:rsid w:val="001E0C83"/>
    <w:rsid w:val="001E12AA"/>
    <w:rsid w:val="001E15B6"/>
    <w:rsid w:val="001E21C3"/>
    <w:rsid w:val="001E30EC"/>
    <w:rsid w:val="001E329B"/>
    <w:rsid w:val="001E4153"/>
    <w:rsid w:val="001E4217"/>
    <w:rsid w:val="001E5640"/>
    <w:rsid w:val="001E5F3D"/>
    <w:rsid w:val="001E6479"/>
    <w:rsid w:val="001E727E"/>
    <w:rsid w:val="001E7309"/>
    <w:rsid w:val="001E78F1"/>
    <w:rsid w:val="001F0253"/>
    <w:rsid w:val="001F0A5B"/>
    <w:rsid w:val="001F2565"/>
    <w:rsid w:val="001F2C57"/>
    <w:rsid w:val="001F3086"/>
    <w:rsid w:val="001F3937"/>
    <w:rsid w:val="001F3FBB"/>
    <w:rsid w:val="001F461D"/>
    <w:rsid w:val="001F4A29"/>
    <w:rsid w:val="001F4C97"/>
    <w:rsid w:val="001F681F"/>
    <w:rsid w:val="001F695E"/>
    <w:rsid w:val="001F6BFD"/>
    <w:rsid w:val="002001E0"/>
    <w:rsid w:val="00200EEF"/>
    <w:rsid w:val="00201808"/>
    <w:rsid w:val="0020243F"/>
    <w:rsid w:val="002029BB"/>
    <w:rsid w:val="00202C30"/>
    <w:rsid w:val="0020431B"/>
    <w:rsid w:val="00204A54"/>
    <w:rsid w:val="00204B61"/>
    <w:rsid w:val="002055FA"/>
    <w:rsid w:val="00205999"/>
    <w:rsid w:val="00205C67"/>
    <w:rsid w:val="00207816"/>
    <w:rsid w:val="00207BCB"/>
    <w:rsid w:val="002100C1"/>
    <w:rsid w:val="00210117"/>
    <w:rsid w:val="00210407"/>
    <w:rsid w:val="00210A41"/>
    <w:rsid w:val="00210DF7"/>
    <w:rsid w:val="0021118F"/>
    <w:rsid w:val="00211D1D"/>
    <w:rsid w:val="002121C4"/>
    <w:rsid w:val="00213710"/>
    <w:rsid w:val="00213982"/>
    <w:rsid w:val="00214927"/>
    <w:rsid w:val="002158DB"/>
    <w:rsid w:val="002163AE"/>
    <w:rsid w:val="002168E2"/>
    <w:rsid w:val="002202CE"/>
    <w:rsid w:val="0022071C"/>
    <w:rsid w:val="0022079F"/>
    <w:rsid w:val="00220900"/>
    <w:rsid w:val="00221240"/>
    <w:rsid w:val="00221A3B"/>
    <w:rsid w:val="002226DF"/>
    <w:rsid w:val="0022273F"/>
    <w:rsid w:val="00222DD8"/>
    <w:rsid w:val="00223411"/>
    <w:rsid w:val="002235ED"/>
    <w:rsid w:val="002245BB"/>
    <w:rsid w:val="00224A05"/>
    <w:rsid w:val="002250A3"/>
    <w:rsid w:val="0022562D"/>
    <w:rsid w:val="0022672A"/>
    <w:rsid w:val="002270F3"/>
    <w:rsid w:val="00227CD3"/>
    <w:rsid w:val="00227F6B"/>
    <w:rsid w:val="00230931"/>
    <w:rsid w:val="00230A7E"/>
    <w:rsid w:val="00230EC7"/>
    <w:rsid w:val="0023170F"/>
    <w:rsid w:val="00231B77"/>
    <w:rsid w:val="00231DB6"/>
    <w:rsid w:val="00232BDC"/>
    <w:rsid w:val="002332D5"/>
    <w:rsid w:val="00233CB7"/>
    <w:rsid w:val="00234B8F"/>
    <w:rsid w:val="00235217"/>
    <w:rsid w:val="002353CB"/>
    <w:rsid w:val="0023567C"/>
    <w:rsid w:val="00235A29"/>
    <w:rsid w:val="00235BF2"/>
    <w:rsid w:val="002369D5"/>
    <w:rsid w:val="00236D72"/>
    <w:rsid w:val="00236EAB"/>
    <w:rsid w:val="00237482"/>
    <w:rsid w:val="00237A4E"/>
    <w:rsid w:val="00237CE8"/>
    <w:rsid w:val="00240670"/>
    <w:rsid w:val="002406D4"/>
    <w:rsid w:val="00240D6D"/>
    <w:rsid w:val="002415F1"/>
    <w:rsid w:val="002418BF"/>
    <w:rsid w:val="00241A3A"/>
    <w:rsid w:val="00242969"/>
    <w:rsid w:val="00242F7E"/>
    <w:rsid w:val="002440DB"/>
    <w:rsid w:val="002455BF"/>
    <w:rsid w:val="002459F8"/>
    <w:rsid w:val="00245CCA"/>
    <w:rsid w:val="00245FAA"/>
    <w:rsid w:val="0024640D"/>
    <w:rsid w:val="00246BFC"/>
    <w:rsid w:val="00246D1F"/>
    <w:rsid w:val="00247403"/>
    <w:rsid w:val="00247542"/>
    <w:rsid w:val="00247CA0"/>
    <w:rsid w:val="00250091"/>
    <w:rsid w:val="00251220"/>
    <w:rsid w:val="00251E25"/>
    <w:rsid w:val="00252696"/>
    <w:rsid w:val="00252A14"/>
    <w:rsid w:val="002535D6"/>
    <w:rsid w:val="00254715"/>
    <w:rsid w:val="00254A8C"/>
    <w:rsid w:val="00254C43"/>
    <w:rsid w:val="00254D6A"/>
    <w:rsid w:val="00255434"/>
    <w:rsid w:val="00256B6C"/>
    <w:rsid w:val="00256C87"/>
    <w:rsid w:val="0025792B"/>
    <w:rsid w:val="00257B8D"/>
    <w:rsid w:val="00260FC6"/>
    <w:rsid w:val="00261BA0"/>
    <w:rsid w:val="00262BB6"/>
    <w:rsid w:val="00263287"/>
    <w:rsid w:val="00263389"/>
    <w:rsid w:val="00263568"/>
    <w:rsid w:val="00263E99"/>
    <w:rsid w:val="00264922"/>
    <w:rsid w:val="002649D0"/>
    <w:rsid w:val="00266B61"/>
    <w:rsid w:val="0026712A"/>
    <w:rsid w:val="002671D3"/>
    <w:rsid w:val="00267867"/>
    <w:rsid w:val="002679A6"/>
    <w:rsid w:val="002704DB"/>
    <w:rsid w:val="00270AB7"/>
    <w:rsid w:val="00271363"/>
    <w:rsid w:val="00271A2D"/>
    <w:rsid w:val="00272A79"/>
    <w:rsid w:val="00272E75"/>
    <w:rsid w:val="0027308F"/>
    <w:rsid w:val="00273F41"/>
    <w:rsid w:val="00274654"/>
    <w:rsid w:val="0027487D"/>
    <w:rsid w:val="002748FD"/>
    <w:rsid w:val="00274FF5"/>
    <w:rsid w:val="00275192"/>
    <w:rsid w:val="00275C16"/>
    <w:rsid w:val="00275F46"/>
    <w:rsid w:val="00276BD5"/>
    <w:rsid w:val="00276DF8"/>
    <w:rsid w:val="00276FB1"/>
    <w:rsid w:val="00277E90"/>
    <w:rsid w:val="00277EF9"/>
    <w:rsid w:val="00277F7E"/>
    <w:rsid w:val="002803D6"/>
    <w:rsid w:val="002804A2"/>
    <w:rsid w:val="0028087A"/>
    <w:rsid w:val="00281001"/>
    <w:rsid w:val="00281153"/>
    <w:rsid w:val="0028188A"/>
    <w:rsid w:val="00281F8D"/>
    <w:rsid w:val="0028228B"/>
    <w:rsid w:val="002824D1"/>
    <w:rsid w:val="002827DD"/>
    <w:rsid w:val="00282B1F"/>
    <w:rsid w:val="00282F26"/>
    <w:rsid w:val="00283257"/>
    <w:rsid w:val="00283C77"/>
    <w:rsid w:val="00285063"/>
    <w:rsid w:val="00285916"/>
    <w:rsid w:val="0028669D"/>
    <w:rsid w:val="00286791"/>
    <w:rsid w:val="00286923"/>
    <w:rsid w:val="00286B29"/>
    <w:rsid w:val="00286B37"/>
    <w:rsid w:val="00286DBB"/>
    <w:rsid w:val="002870AA"/>
    <w:rsid w:val="00287139"/>
    <w:rsid w:val="0028717A"/>
    <w:rsid w:val="00287ED6"/>
    <w:rsid w:val="002905F7"/>
    <w:rsid w:val="0029089F"/>
    <w:rsid w:val="00290D11"/>
    <w:rsid w:val="002916A2"/>
    <w:rsid w:val="002924F0"/>
    <w:rsid w:val="00293BE3"/>
    <w:rsid w:val="00293EB1"/>
    <w:rsid w:val="002944B4"/>
    <w:rsid w:val="0029554E"/>
    <w:rsid w:val="002958B3"/>
    <w:rsid w:val="00295DF4"/>
    <w:rsid w:val="00296B96"/>
    <w:rsid w:val="00297BB5"/>
    <w:rsid w:val="002A019D"/>
    <w:rsid w:val="002A0AAE"/>
    <w:rsid w:val="002A127D"/>
    <w:rsid w:val="002A17DF"/>
    <w:rsid w:val="002A1BF3"/>
    <w:rsid w:val="002A2ED2"/>
    <w:rsid w:val="002A36DE"/>
    <w:rsid w:val="002A3E8A"/>
    <w:rsid w:val="002A49AD"/>
    <w:rsid w:val="002A5108"/>
    <w:rsid w:val="002A56FD"/>
    <w:rsid w:val="002A5820"/>
    <w:rsid w:val="002A5CF8"/>
    <w:rsid w:val="002A6413"/>
    <w:rsid w:val="002A6670"/>
    <w:rsid w:val="002A7849"/>
    <w:rsid w:val="002A7A30"/>
    <w:rsid w:val="002A7C9D"/>
    <w:rsid w:val="002B02E2"/>
    <w:rsid w:val="002B03DC"/>
    <w:rsid w:val="002B075B"/>
    <w:rsid w:val="002B1BF0"/>
    <w:rsid w:val="002B2030"/>
    <w:rsid w:val="002B2354"/>
    <w:rsid w:val="002B24AA"/>
    <w:rsid w:val="002B2768"/>
    <w:rsid w:val="002B27FF"/>
    <w:rsid w:val="002B3220"/>
    <w:rsid w:val="002B3B67"/>
    <w:rsid w:val="002B604A"/>
    <w:rsid w:val="002B616B"/>
    <w:rsid w:val="002B7450"/>
    <w:rsid w:val="002B7501"/>
    <w:rsid w:val="002B7921"/>
    <w:rsid w:val="002C086A"/>
    <w:rsid w:val="002C095A"/>
    <w:rsid w:val="002C0E7B"/>
    <w:rsid w:val="002C0EAC"/>
    <w:rsid w:val="002C3FE1"/>
    <w:rsid w:val="002C41F6"/>
    <w:rsid w:val="002C4A2F"/>
    <w:rsid w:val="002C4BA0"/>
    <w:rsid w:val="002C506F"/>
    <w:rsid w:val="002C5731"/>
    <w:rsid w:val="002C5B60"/>
    <w:rsid w:val="002C6168"/>
    <w:rsid w:val="002C62E2"/>
    <w:rsid w:val="002C6A12"/>
    <w:rsid w:val="002C7299"/>
    <w:rsid w:val="002C74C2"/>
    <w:rsid w:val="002C7C85"/>
    <w:rsid w:val="002C7DCC"/>
    <w:rsid w:val="002D011A"/>
    <w:rsid w:val="002D02B8"/>
    <w:rsid w:val="002D068C"/>
    <w:rsid w:val="002D1109"/>
    <w:rsid w:val="002D2271"/>
    <w:rsid w:val="002D2B26"/>
    <w:rsid w:val="002D2BAB"/>
    <w:rsid w:val="002D31B6"/>
    <w:rsid w:val="002D40FA"/>
    <w:rsid w:val="002D4676"/>
    <w:rsid w:val="002D4886"/>
    <w:rsid w:val="002D5372"/>
    <w:rsid w:val="002D5C27"/>
    <w:rsid w:val="002D5CBC"/>
    <w:rsid w:val="002D5FD6"/>
    <w:rsid w:val="002D6745"/>
    <w:rsid w:val="002D7742"/>
    <w:rsid w:val="002D7C74"/>
    <w:rsid w:val="002D7EA2"/>
    <w:rsid w:val="002E0676"/>
    <w:rsid w:val="002E16D2"/>
    <w:rsid w:val="002E187C"/>
    <w:rsid w:val="002E1ECA"/>
    <w:rsid w:val="002E2682"/>
    <w:rsid w:val="002E33FC"/>
    <w:rsid w:val="002E3FA8"/>
    <w:rsid w:val="002E402A"/>
    <w:rsid w:val="002E4AEA"/>
    <w:rsid w:val="002E5664"/>
    <w:rsid w:val="002E5A2C"/>
    <w:rsid w:val="002E5B02"/>
    <w:rsid w:val="002E5FB5"/>
    <w:rsid w:val="002E6CCA"/>
    <w:rsid w:val="002E6D1C"/>
    <w:rsid w:val="002E78D0"/>
    <w:rsid w:val="002E79DB"/>
    <w:rsid w:val="002F069E"/>
    <w:rsid w:val="002F0BE4"/>
    <w:rsid w:val="002F1EDE"/>
    <w:rsid w:val="002F221A"/>
    <w:rsid w:val="002F2FCF"/>
    <w:rsid w:val="002F3570"/>
    <w:rsid w:val="002F3C7A"/>
    <w:rsid w:val="002F467E"/>
    <w:rsid w:val="002F4A88"/>
    <w:rsid w:val="002F5171"/>
    <w:rsid w:val="002F5303"/>
    <w:rsid w:val="002F5F67"/>
    <w:rsid w:val="002F6D18"/>
    <w:rsid w:val="002F75D1"/>
    <w:rsid w:val="002F77E9"/>
    <w:rsid w:val="002F7F37"/>
    <w:rsid w:val="002F7FB0"/>
    <w:rsid w:val="00302304"/>
    <w:rsid w:val="003026DA"/>
    <w:rsid w:val="00302733"/>
    <w:rsid w:val="00302B45"/>
    <w:rsid w:val="00303671"/>
    <w:rsid w:val="00303953"/>
    <w:rsid w:val="00303D52"/>
    <w:rsid w:val="00304A51"/>
    <w:rsid w:val="00304D49"/>
    <w:rsid w:val="003050C3"/>
    <w:rsid w:val="0030606F"/>
    <w:rsid w:val="003074C3"/>
    <w:rsid w:val="00307ABC"/>
    <w:rsid w:val="00307F8D"/>
    <w:rsid w:val="0031008C"/>
    <w:rsid w:val="003100D6"/>
    <w:rsid w:val="0031160D"/>
    <w:rsid w:val="00311990"/>
    <w:rsid w:val="00311C36"/>
    <w:rsid w:val="0031342C"/>
    <w:rsid w:val="00313C7A"/>
    <w:rsid w:val="00313EB6"/>
    <w:rsid w:val="00314078"/>
    <w:rsid w:val="0031474F"/>
    <w:rsid w:val="00314D74"/>
    <w:rsid w:val="0031535D"/>
    <w:rsid w:val="00315822"/>
    <w:rsid w:val="00316B71"/>
    <w:rsid w:val="00316C58"/>
    <w:rsid w:val="003176D2"/>
    <w:rsid w:val="00317AC1"/>
    <w:rsid w:val="0032012B"/>
    <w:rsid w:val="00320700"/>
    <w:rsid w:val="003207E7"/>
    <w:rsid w:val="003209E6"/>
    <w:rsid w:val="00320DCC"/>
    <w:rsid w:val="00321AA5"/>
    <w:rsid w:val="003225B4"/>
    <w:rsid w:val="00322B86"/>
    <w:rsid w:val="00322CFB"/>
    <w:rsid w:val="00322EBB"/>
    <w:rsid w:val="0032317F"/>
    <w:rsid w:val="003237E1"/>
    <w:rsid w:val="003242FB"/>
    <w:rsid w:val="00325ECD"/>
    <w:rsid w:val="0032742E"/>
    <w:rsid w:val="0032793C"/>
    <w:rsid w:val="00327A3F"/>
    <w:rsid w:val="00330151"/>
    <w:rsid w:val="0033028D"/>
    <w:rsid w:val="00331392"/>
    <w:rsid w:val="0033169F"/>
    <w:rsid w:val="00331A83"/>
    <w:rsid w:val="00332A28"/>
    <w:rsid w:val="00332E9A"/>
    <w:rsid w:val="00333C83"/>
    <w:rsid w:val="00333FFC"/>
    <w:rsid w:val="00334428"/>
    <w:rsid w:val="003345E1"/>
    <w:rsid w:val="00334FCA"/>
    <w:rsid w:val="00335E6B"/>
    <w:rsid w:val="003362C3"/>
    <w:rsid w:val="00337045"/>
    <w:rsid w:val="003370DC"/>
    <w:rsid w:val="0034097B"/>
    <w:rsid w:val="00340BD2"/>
    <w:rsid w:val="00341670"/>
    <w:rsid w:val="00341D15"/>
    <w:rsid w:val="00341DF2"/>
    <w:rsid w:val="00341E35"/>
    <w:rsid w:val="003421CA"/>
    <w:rsid w:val="003425F5"/>
    <w:rsid w:val="00342B8A"/>
    <w:rsid w:val="00344093"/>
    <w:rsid w:val="00344DE6"/>
    <w:rsid w:val="00345653"/>
    <w:rsid w:val="00345893"/>
    <w:rsid w:val="0034633E"/>
    <w:rsid w:val="00346436"/>
    <w:rsid w:val="00346597"/>
    <w:rsid w:val="003465EE"/>
    <w:rsid w:val="003466AD"/>
    <w:rsid w:val="00346764"/>
    <w:rsid w:val="00346C95"/>
    <w:rsid w:val="00346FB1"/>
    <w:rsid w:val="00347477"/>
    <w:rsid w:val="00347750"/>
    <w:rsid w:val="00350669"/>
    <w:rsid w:val="0035066B"/>
    <w:rsid w:val="00350D39"/>
    <w:rsid w:val="00351680"/>
    <w:rsid w:val="00351B3D"/>
    <w:rsid w:val="00351C25"/>
    <w:rsid w:val="003521E2"/>
    <w:rsid w:val="00352469"/>
    <w:rsid w:val="00352651"/>
    <w:rsid w:val="0035317A"/>
    <w:rsid w:val="00355864"/>
    <w:rsid w:val="00355ECD"/>
    <w:rsid w:val="00356185"/>
    <w:rsid w:val="00356272"/>
    <w:rsid w:val="00356A94"/>
    <w:rsid w:val="00356C6A"/>
    <w:rsid w:val="003573A6"/>
    <w:rsid w:val="0035775B"/>
    <w:rsid w:val="00357DB0"/>
    <w:rsid w:val="00360380"/>
    <w:rsid w:val="00360B1E"/>
    <w:rsid w:val="003612B4"/>
    <w:rsid w:val="00361415"/>
    <w:rsid w:val="003614EF"/>
    <w:rsid w:val="00361608"/>
    <w:rsid w:val="00361DB5"/>
    <w:rsid w:val="00362A1D"/>
    <w:rsid w:val="003631C8"/>
    <w:rsid w:val="0036356C"/>
    <w:rsid w:val="003636FF"/>
    <w:rsid w:val="00363EA4"/>
    <w:rsid w:val="003641DB"/>
    <w:rsid w:val="003645BE"/>
    <w:rsid w:val="00364642"/>
    <w:rsid w:val="003649BF"/>
    <w:rsid w:val="00364F3E"/>
    <w:rsid w:val="00365843"/>
    <w:rsid w:val="00365872"/>
    <w:rsid w:val="00365950"/>
    <w:rsid w:val="00365B7F"/>
    <w:rsid w:val="0036663C"/>
    <w:rsid w:val="003667DA"/>
    <w:rsid w:val="00367D21"/>
    <w:rsid w:val="00371B47"/>
    <w:rsid w:val="00372245"/>
    <w:rsid w:val="00372AD5"/>
    <w:rsid w:val="00372D08"/>
    <w:rsid w:val="003730A0"/>
    <w:rsid w:val="00373C26"/>
    <w:rsid w:val="00373EBA"/>
    <w:rsid w:val="00374291"/>
    <w:rsid w:val="00374E6D"/>
    <w:rsid w:val="0037519E"/>
    <w:rsid w:val="003757E4"/>
    <w:rsid w:val="003759BE"/>
    <w:rsid w:val="00375EC1"/>
    <w:rsid w:val="00375ED2"/>
    <w:rsid w:val="00376089"/>
    <w:rsid w:val="00376AA0"/>
    <w:rsid w:val="00377588"/>
    <w:rsid w:val="003778B0"/>
    <w:rsid w:val="00377A16"/>
    <w:rsid w:val="00377A49"/>
    <w:rsid w:val="00380715"/>
    <w:rsid w:val="00381669"/>
    <w:rsid w:val="00381AB3"/>
    <w:rsid w:val="00381DFA"/>
    <w:rsid w:val="00383388"/>
    <w:rsid w:val="00383760"/>
    <w:rsid w:val="00383E97"/>
    <w:rsid w:val="003846EE"/>
    <w:rsid w:val="003859F2"/>
    <w:rsid w:val="00386B49"/>
    <w:rsid w:val="00386CF0"/>
    <w:rsid w:val="003871FE"/>
    <w:rsid w:val="00387537"/>
    <w:rsid w:val="00387BA5"/>
    <w:rsid w:val="00387DE8"/>
    <w:rsid w:val="00391550"/>
    <w:rsid w:val="00391A6F"/>
    <w:rsid w:val="00391E2A"/>
    <w:rsid w:val="00392474"/>
    <w:rsid w:val="003924B6"/>
    <w:rsid w:val="003928DC"/>
    <w:rsid w:val="003934E9"/>
    <w:rsid w:val="003938D1"/>
    <w:rsid w:val="00393A5A"/>
    <w:rsid w:val="0039521F"/>
    <w:rsid w:val="00395842"/>
    <w:rsid w:val="003958BF"/>
    <w:rsid w:val="00395AF3"/>
    <w:rsid w:val="0039606E"/>
    <w:rsid w:val="0039684B"/>
    <w:rsid w:val="0039724B"/>
    <w:rsid w:val="00397993"/>
    <w:rsid w:val="00397A97"/>
    <w:rsid w:val="003A0768"/>
    <w:rsid w:val="003A0A9B"/>
    <w:rsid w:val="003A1002"/>
    <w:rsid w:val="003A193E"/>
    <w:rsid w:val="003A2EE9"/>
    <w:rsid w:val="003A3258"/>
    <w:rsid w:val="003A4F10"/>
    <w:rsid w:val="003A526B"/>
    <w:rsid w:val="003A558B"/>
    <w:rsid w:val="003A62C9"/>
    <w:rsid w:val="003A6760"/>
    <w:rsid w:val="003A6D8F"/>
    <w:rsid w:val="003A795F"/>
    <w:rsid w:val="003A7D23"/>
    <w:rsid w:val="003B0246"/>
    <w:rsid w:val="003B03A0"/>
    <w:rsid w:val="003B0ABC"/>
    <w:rsid w:val="003B0CEB"/>
    <w:rsid w:val="003B18C2"/>
    <w:rsid w:val="003B1C01"/>
    <w:rsid w:val="003B3EDC"/>
    <w:rsid w:val="003B47BB"/>
    <w:rsid w:val="003B4FC4"/>
    <w:rsid w:val="003B58FC"/>
    <w:rsid w:val="003B5E1D"/>
    <w:rsid w:val="003B61C4"/>
    <w:rsid w:val="003B6CED"/>
    <w:rsid w:val="003B74FB"/>
    <w:rsid w:val="003B7E7B"/>
    <w:rsid w:val="003C07FC"/>
    <w:rsid w:val="003C17A8"/>
    <w:rsid w:val="003C185C"/>
    <w:rsid w:val="003C1B88"/>
    <w:rsid w:val="003C1C3F"/>
    <w:rsid w:val="003C3025"/>
    <w:rsid w:val="003C3244"/>
    <w:rsid w:val="003C47D2"/>
    <w:rsid w:val="003C4F64"/>
    <w:rsid w:val="003C5636"/>
    <w:rsid w:val="003C5975"/>
    <w:rsid w:val="003C6658"/>
    <w:rsid w:val="003C676B"/>
    <w:rsid w:val="003C69E0"/>
    <w:rsid w:val="003C73CF"/>
    <w:rsid w:val="003C7A7B"/>
    <w:rsid w:val="003C7D8F"/>
    <w:rsid w:val="003D0AE0"/>
    <w:rsid w:val="003D0DA0"/>
    <w:rsid w:val="003D0DB2"/>
    <w:rsid w:val="003D0F6C"/>
    <w:rsid w:val="003D0FF8"/>
    <w:rsid w:val="003D152A"/>
    <w:rsid w:val="003D1B52"/>
    <w:rsid w:val="003D1E11"/>
    <w:rsid w:val="003D1F6B"/>
    <w:rsid w:val="003D2000"/>
    <w:rsid w:val="003D281A"/>
    <w:rsid w:val="003D34EE"/>
    <w:rsid w:val="003D3BC2"/>
    <w:rsid w:val="003D5422"/>
    <w:rsid w:val="003D5739"/>
    <w:rsid w:val="003D649E"/>
    <w:rsid w:val="003D67C7"/>
    <w:rsid w:val="003D7BBB"/>
    <w:rsid w:val="003D7C03"/>
    <w:rsid w:val="003E0305"/>
    <w:rsid w:val="003E0BDD"/>
    <w:rsid w:val="003E0E01"/>
    <w:rsid w:val="003E124C"/>
    <w:rsid w:val="003E160E"/>
    <w:rsid w:val="003E1699"/>
    <w:rsid w:val="003E1CE6"/>
    <w:rsid w:val="003E1DFE"/>
    <w:rsid w:val="003E2839"/>
    <w:rsid w:val="003E432F"/>
    <w:rsid w:val="003E4869"/>
    <w:rsid w:val="003E6CA1"/>
    <w:rsid w:val="003E735D"/>
    <w:rsid w:val="003E74EC"/>
    <w:rsid w:val="003E7576"/>
    <w:rsid w:val="003E7B5D"/>
    <w:rsid w:val="003E7C7B"/>
    <w:rsid w:val="003E7D98"/>
    <w:rsid w:val="003F04B8"/>
    <w:rsid w:val="003F234E"/>
    <w:rsid w:val="003F2D64"/>
    <w:rsid w:val="003F2DB9"/>
    <w:rsid w:val="003F2F8B"/>
    <w:rsid w:val="003F3114"/>
    <w:rsid w:val="003F330D"/>
    <w:rsid w:val="003F3BEC"/>
    <w:rsid w:val="003F4583"/>
    <w:rsid w:val="003F4F55"/>
    <w:rsid w:val="003F50BF"/>
    <w:rsid w:val="003F5438"/>
    <w:rsid w:val="003F5447"/>
    <w:rsid w:val="003F6A62"/>
    <w:rsid w:val="003F6F01"/>
    <w:rsid w:val="003F7120"/>
    <w:rsid w:val="003F77CC"/>
    <w:rsid w:val="003F7F64"/>
    <w:rsid w:val="0040005C"/>
    <w:rsid w:val="004006BA"/>
    <w:rsid w:val="0040076D"/>
    <w:rsid w:val="00401218"/>
    <w:rsid w:val="0040159C"/>
    <w:rsid w:val="004015C4"/>
    <w:rsid w:val="00402125"/>
    <w:rsid w:val="00402225"/>
    <w:rsid w:val="00403119"/>
    <w:rsid w:val="004031A0"/>
    <w:rsid w:val="00404109"/>
    <w:rsid w:val="00405262"/>
    <w:rsid w:val="004054D0"/>
    <w:rsid w:val="00405E62"/>
    <w:rsid w:val="0040602C"/>
    <w:rsid w:val="00406258"/>
    <w:rsid w:val="00406A0F"/>
    <w:rsid w:val="00407123"/>
    <w:rsid w:val="0040737A"/>
    <w:rsid w:val="00407620"/>
    <w:rsid w:val="00407BCD"/>
    <w:rsid w:val="00410202"/>
    <w:rsid w:val="0041038D"/>
    <w:rsid w:val="004106E7"/>
    <w:rsid w:val="00411636"/>
    <w:rsid w:val="00411EEC"/>
    <w:rsid w:val="0041222F"/>
    <w:rsid w:val="004131EC"/>
    <w:rsid w:val="00413770"/>
    <w:rsid w:val="0041388B"/>
    <w:rsid w:val="004147A0"/>
    <w:rsid w:val="00415A82"/>
    <w:rsid w:val="00415DE1"/>
    <w:rsid w:val="0041611C"/>
    <w:rsid w:val="004165C2"/>
    <w:rsid w:val="0041705E"/>
    <w:rsid w:val="00417544"/>
    <w:rsid w:val="00417B20"/>
    <w:rsid w:val="00420730"/>
    <w:rsid w:val="00420799"/>
    <w:rsid w:val="00421A5D"/>
    <w:rsid w:val="004228F8"/>
    <w:rsid w:val="0042353D"/>
    <w:rsid w:val="00423CC8"/>
    <w:rsid w:val="004240C9"/>
    <w:rsid w:val="00424498"/>
    <w:rsid w:val="00424B39"/>
    <w:rsid w:val="00424C9B"/>
    <w:rsid w:val="00425361"/>
    <w:rsid w:val="0042570F"/>
    <w:rsid w:val="00426114"/>
    <w:rsid w:val="004266BA"/>
    <w:rsid w:val="0042738D"/>
    <w:rsid w:val="0042749E"/>
    <w:rsid w:val="0043034A"/>
    <w:rsid w:val="0043116F"/>
    <w:rsid w:val="004318E7"/>
    <w:rsid w:val="00431AE0"/>
    <w:rsid w:val="00432116"/>
    <w:rsid w:val="00432137"/>
    <w:rsid w:val="00432160"/>
    <w:rsid w:val="00432515"/>
    <w:rsid w:val="0043256D"/>
    <w:rsid w:val="00432BAF"/>
    <w:rsid w:val="00433B91"/>
    <w:rsid w:val="004344C3"/>
    <w:rsid w:val="00434D83"/>
    <w:rsid w:val="00434DA4"/>
    <w:rsid w:val="0043569F"/>
    <w:rsid w:val="00435BE5"/>
    <w:rsid w:val="00436123"/>
    <w:rsid w:val="00436570"/>
    <w:rsid w:val="0043693B"/>
    <w:rsid w:val="00436E30"/>
    <w:rsid w:val="00437655"/>
    <w:rsid w:val="00440320"/>
    <w:rsid w:val="004405D3"/>
    <w:rsid w:val="004412AC"/>
    <w:rsid w:val="00441E8E"/>
    <w:rsid w:val="00441ECB"/>
    <w:rsid w:val="004420A1"/>
    <w:rsid w:val="00442F73"/>
    <w:rsid w:val="00443E2C"/>
    <w:rsid w:val="00443ECC"/>
    <w:rsid w:val="00444E69"/>
    <w:rsid w:val="00446225"/>
    <w:rsid w:val="004466D0"/>
    <w:rsid w:val="00447727"/>
    <w:rsid w:val="00451382"/>
    <w:rsid w:val="004513F4"/>
    <w:rsid w:val="004516CA"/>
    <w:rsid w:val="0045242F"/>
    <w:rsid w:val="00452813"/>
    <w:rsid w:val="00453C2C"/>
    <w:rsid w:val="00453D2A"/>
    <w:rsid w:val="00454A61"/>
    <w:rsid w:val="00454C9C"/>
    <w:rsid w:val="00455118"/>
    <w:rsid w:val="0045550A"/>
    <w:rsid w:val="00455A6C"/>
    <w:rsid w:val="00455BB2"/>
    <w:rsid w:val="00455F34"/>
    <w:rsid w:val="00456775"/>
    <w:rsid w:val="00456B16"/>
    <w:rsid w:val="00457222"/>
    <w:rsid w:val="004573BD"/>
    <w:rsid w:val="004574B0"/>
    <w:rsid w:val="0045798F"/>
    <w:rsid w:val="00457AEC"/>
    <w:rsid w:val="0046035D"/>
    <w:rsid w:val="0046094B"/>
    <w:rsid w:val="00460A2C"/>
    <w:rsid w:val="00460DF1"/>
    <w:rsid w:val="004623B0"/>
    <w:rsid w:val="0046242D"/>
    <w:rsid w:val="00465843"/>
    <w:rsid w:val="00465AE4"/>
    <w:rsid w:val="00465D42"/>
    <w:rsid w:val="00465DDD"/>
    <w:rsid w:val="00466204"/>
    <w:rsid w:val="00466819"/>
    <w:rsid w:val="00466A7E"/>
    <w:rsid w:val="00466C9B"/>
    <w:rsid w:val="00466CB5"/>
    <w:rsid w:val="00466DA0"/>
    <w:rsid w:val="00466E61"/>
    <w:rsid w:val="0046749F"/>
    <w:rsid w:val="00467573"/>
    <w:rsid w:val="00467B7E"/>
    <w:rsid w:val="00467D73"/>
    <w:rsid w:val="0047010B"/>
    <w:rsid w:val="004705B1"/>
    <w:rsid w:val="00470929"/>
    <w:rsid w:val="00470FB3"/>
    <w:rsid w:val="004711AD"/>
    <w:rsid w:val="0047130C"/>
    <w:rsid w:val="004713B2"/>
    <w:rsid w:val="00471618"/>
    <w:rsid w:val="004716B9"/>
    <w:rsid w:val="00471A5E"/>
    <w:rsid w:val="00471B02"/>
    <w:rsid w:val="00471D05"/>
    <w:rsid w:val="004726FE"/>
    <w:rsid w:val="00472798"/>
    <w:rsid w:val="004729CA"/>
    <w:rsid w:val="00472ADB"/>
    <w:rsid w:val="00474DAF"/>
    <w:rsid w:val="00475047"/>
    <w:rsid w:val="004750E3"/>
    <w:rsid w:val="004755F6"/>
    <w:rsid w:val="0047577F"/>
    <w:rsid w:val="00476722"/>
    <w:rsid w:val="00476EE0"/>
    <w:rsid w:val="00477592"/>
    <w:rsid w:val="00477B9B"/>
    <w:rsid w:val="00477D17"/>
    <w:rsid w:val="004802A1"/>
    <w:rsid w:val="0048062F"/>
    <w:rsid w:val="0048203B"/>
    <w:rsid w:val="00482288"/>
    <w:rsid w:val="00482EC8"/>
    <w:rsid w:val="00483513"/>
    <w:rsid w:val="0048362D"/>
    <w:rsid w:val="0048560E"/>
    <w:rsid w:val="00486F1C"/>
    <w:rsid w:val="004872FE"/>
    <w:rsid w:val="00490A48"/>
    <w:rsid w:val="00491336"/>
    <w:rsid w:val="0049196E"/>
    <w:rsid w:val="00493283"/>
    <w:rsid w:val="004936A9"/>
    <w:rsid w:val="00493CBF"/>
    <w:rsid w:val="00493E9A"/>
    <w:rsid w:val="0049419D"/>
    <w:rsid w:val="00494C42"/>
    <w:rsid w:val="00495CB1"/>
    <w:rsid w:val="004962CC"/>
    <w:rsid w:val="00496604"/>
    <w:rsid w:val="00496675"/>
    <w:rsid w:val="00496E03"/>
    <w:rsid w:val="004A01F4"/>
    <w:rsid w:val="004A0D15"/>
    <w:rsid w:val="004A0F5E"/>
    <w:rsid w:val="004A146C"/>
    <w:rsid w:val="004A1E5E"/>
    <w:rsid w:val="004A1EE3"/>
    <w:rsid w:val="004A322D"/>
    <w:rsid w:val="004A3566"/>
    <w:rsid w:val="004A3AA1"/>
    <w:rsid w:val="004A3D4F"/>
    <w:rsid w:val="004A5186"/>
    <w:rsid w:val="004A530F"/>
    <w:rsid w:val="004A65C2"/>
    <w:rsid w:val="004A696A"/>
    <w:rsid w:val="004A6A8B"/>
    <w:rsid w:val="004A70D3"/>
    <w:rsid w:val="004A7D44"/>
    <w:rsid w:val="004A7F6E"/>
    <w:rsid w:val="004B03E6"/>
    <w:rsid w:val="004B0D6F"/>
    <w:rsid w:val="004B108A"/>
    <w:rsid w:val="004B16C3"/>
    <w:rsid w:val="004B1819"/>
    <w:rsid w:val="004B2581"/>
    <w:rsid w:val="004B386F"/>
    <w:rsid w:val="004B42AC"/>
    <w:rsid w:val="004B457D"/>
    <w:rsid w:val="004B4876"/>
    <w:rsid w:val="004B4B5E"/>
    <w:rsid w:val="004B4DF0"/>
    <w:rsid w:val="004B5223"/>
    <w:rsid w:val="004B54A0"/>
    <w:rsid w:val="004B5991"/>
    <w:rsid w:val="004B5D01"/>
    <w:rsid w:val="004B6460"/>
    <w:rsid w:val="004B6C49"/>
    <w:rsid w:val="004B70BB"/>
    <w:rsid w:val="004C0218"/>
    <w:rsid w:val="004C0405"/>
    <w:rsid w:val="004C0DB0"/>
    <w:rsid w:val="004C0E5A"/>
    <w:rsid w:val="004C102F"/>
    <w:rsid w:val="004C17DC"/>
    <w:rsid w:val="004C1CAB"/>
    <w:rsid w:val="004C1CBD"/>
    <w:rsid w:val="004C1D58"/>
    <w:rsid w:val="004C201F"/>
    <w:rsid w:val="004C20D2"/>
    <w:rsid w:val="004C22C7"/>
    <w:rsid w:val="004C2477"/>
    <w:rsid w:val="004C4B62"/>
    <w:rsid w:val="004C5063"/>
    <w:rsid w:val="004C5292"/>
    <w:rsid w:val="004C54C9"/>
    <w:rsid w:val="004C56B8"/>
    <w:rsid w:val="004C5D66"/>
    <w:rsid w:val="004C6F02"/>
    <w:rsid w:val="004C6F4A"/>
    <w:rsid w:val="004C709B"/>
    <w:rsid w:val="004C71B8"/>
    <w:rsid w:val="004C73DD"/>
    <w:rsid w:val="004C790D"/>
    <w:rsid w:val="004C7977"/>
    <w:rsid w:val="004C7FBE"/>
    <w:rsid w:val="004D047A"/>
    <w:rsid w:val="004D0EB1"/>
    <w:rsid w:val="004D0F33"/>
    <w:rsid w:val="004D14AD"/>
    <w:rsid w:val="004D1841"/>
    <w:rsid w:val="004D195F"/>
    <w:rsid w:val="004D2720"/>
    <w:rsid w:val="004D2C0C"/>
    <w:rsid w:val="004D2CE9"/>
    <w:rsid w:val="004D3A07"/>
    <w:rsid w:val="004D4F15"/>
    <w:rsid w:val="004D50BF"/>
    <w:rsid w:val="004D6025"/>
    <w:rsid w:val="004D6105"/>
    <w:rsid w:val="004D634E"/>
    <w:rsid w:val="004D6618"/>
    <w:rsid w:val="004D6CC4"/>
    <w:rsid w:val="004D6F70"/>
    <w:rsid w:val="004D7592"/>
    <w:rsid w:val="004D7791"/>
    <w:rsid w:val="004D7AD4"/>
    <w:rsid w:val="004E0633"/>
    <w:rsid w:val="004E1297"/>
    <w:rsid w:val="004E13C2"/>
    <w:rsid w:val="004E1A13"/>
    <w:rsid w:val="004E2649"/>
    <w:rsid w:val="004E2F89"/>
    <w:rsid w:val="004E3046"/>
    <w:rsid w:val="004E31BD"/>
    <w:rsid w:val="004E47D8"/>
    <w:rsid w:val="004E5108"/>
    <w:rsid w:val="004E51CD"/>
    <w:rsid w:val="004E53D8"/>
    <w:rsid w:val="004E5FB0"/>
    <w:rsid w:val="004E607E"/>
    <w:rsid w:val="004E630E"/>
    <w:rsid w:val="004E6F1D"/>
    <w:rsid w:val="004F0360"/>
    <w:rsid w:val="004F0CF7"/>
    <w:rsid w:val="004F18C7"/>
    <w:rsid w:val="004F1C35"/>
    <w:rsid w:val="004F2270"/>
    <w:rsid w:val="004F241B"/>
    <w:rsid w:val="004F34AE"/>
    <w:rsid w:val="004F3F14"/>
    <w:rsid w:val="004F41EF"/>
    <w:rsid w:val="004F47A6"/>
    <w:rsid w:val="004F50BF"/>
    <w:rsid w:val="004F520C"/>
    <w:rsid w:val="004F56D5"/>
    <w:rsid w:val="004F5719"/>
    <w:rsid w:val="004F627D"/>
    <w:rsid w:val="004F6366"/>
    <w:rsid w:val="004F675A"/>
    <w:rsid w:val="004F6B39"/>
    <w:rsid w:val="004F6C5C"/>
    <w:rsid w:val="004F7326"/>
    <w:rsid w:val="004F73BD"/>
    <w:rsid w:val="004F76C9"/>
    <w:rsid w:val="004F79E5"/>
    <w:rsid w:val="0050002E"/>
    <w:rsid w:val="00500547"/>
    <w:rsid w:val="00500B94"/>
    <w:rsid w:val="00501399"/>
    <w:rsid w:val="005014D4"/>
    <w:rsid w:val="0050156C"/>
    <w:rsid w:val="00501577"/>
    <w:rsid w:val="00501AA9"/>
    <w:rsid w:val="00501B17"/>
    <w:rsid w:val="00501F4C"/>
    <w:rsid w:val="005032BD"/>
    <w:rsid w:val="00503546"/>
    <w:rsid w:val="00503702"/>
    <w:rsid w:val="00504EFF"/>
    <w:rsid w:val="00506073"/>
    <w:rsid w:val="00506323"/>
    <w:rsid w:val="0050633D"/>
    <w:rsid w:val="00506575"/>
    <w:rsid w:val="00507115"/>
    <w:rsid w:val="00507171"/>
    <w:rsid w:val="005072AF"/>
    <w:rsid w:val="00507BC4"/>
    <w:rsid w:val="005102B8"/>
    <w:rsid w:val="0051063A"/>
    <w:rsid w:val="00510EF7"/>
    <w:rsid w:val="005128E4"/>
    <w:rsid w:val="005133DB"/>
    <w:rsid w:val="00513B96"/>
    <w:rsid w:val="00513D84"/>
    <w:rsid w:val="0051494B"/>
    <w:rsid w:val="00514DED"/>
    <w:rsid w:val="00515E3D"/>
    <w:rsid w:val="005161F1"/>
    <w:rsid w:val="0051677B"/>
    <w:rsid w:val="00516904"/>
    <w:rsid w:val="005178CC"/>
    <w:rsid w:val="00517E17"/>
    <w:rsid w:val="00520436"/>
    <w:rsid w:val="00520B87"/>
    <w:rsid w:val="00520DCD"/>
    <w:rsid w:val="00521027"/>
    <w:rsid w:val="005215A5"/>
    <w:rsid w:val="005216D0"/>
    <w:rsid w:val="00522169"/>
    <w:rsid w:val="00522A58"/>
    <w:rsid w:val="00523632"/>
    <w:rsid w:val="0052392A"/>
    <w:rsid w:val="00524342"/>
    <w:rsid w:val="005243B2"/>
    <w:rsid w:val="005247D6"/>
    <w:rsid w:val="00524C31"/>
    <w:rsid w:val="00525560"/>
    <w:rsid w:val="00525990"/>
    <w:rsid w:val="00526B52"/>
    <w:rsid w:val="00526D00"/>
    <w:rsid w:val="00526D89"/>
    <w:rsid w:val="00527675"/>
    <w:rsid w:val="005279F6"/>
    <w:rsid w:val="00527E08"/>
    <w:rsid w:val="005300A3"/>
    <w:rsid w:val="0053047D"/>
    <w:rsid w:val="005305FD"/>
    <w:rsid w:val="00530BCA"/>
    <w:rsid w:val="00530DCC"/>
    <w:rsid w:val="0053126B"/>
    <w:rsid w:val="00531346"/>
    <w:rsid w:val="005314DE"/>
    <w:rsid w:val="005324B1"/>
    <w:rsid w:val="005332CA"/>
    <w:rsid w:val="0053390B"/>
    <w:rsid w:val="005340C6"/>
    <w:rsid w:val="00534364"/>
    <w:rsid w:val="005346EF"/>
    <w:rsid w:val="00534764"/>
    <w:rsid w:val="00534885"/>
    <w:rsid w:val="00535212"/>
    <w:rsid w:val="005354F3"/>
    <w:rsid w:val="00535B49"/>
    <w:rsid w:val="005363CC"/>
    <w:rsid w:val="0053648D"/>
    <w:rsid w:val="00536923"/>
    <w:rsid w:val="00537241"/>
    <w:rsid w:val="005373D1"/>
    <w:rsid w:val="005374D0"/>
    <w:rsid w:val="0054024D"/>
    <w:rsid w:val="005405C3"/>
    <w:rsid w:val="00540BCE"/>
    <w:rsid w:val="00540DCD"/>
    <w:rsid w:val="005411F6"/>
    <w:rsid w:val="00542D94"/>
    <w:rsid w:val="00543059"/>
    <w:rsid w:val="005430CE"/>
    <w:rsid w:val="00543407"/>
    <w:rsid w:val="005435C6"/>
    <w:rsid w:val="00544A9C"/>
    <w:rsid w:val="00544C49"/>
    <w:rsid w:val="00545F55"/>
    <w:rsid w:val="00546B87"/>
    <w:rsid w:val="00547184"/>
    <w:rsid w:val="005479BC"/>
    <w:rsid w:val="00547CBA"/>
    <w:rsid w:val="00547CFA"/>
    <w:rsid w:val="005504F4"/>
    <w:rsid w:val="005508E3"/>
    <w:rsid w:val="00550C72"/>
    <w:rsid w:val="0055110D"/>
    <w:rsid w:val="005516A1"/>
    <w:rsid w:val="00551A15"/>
    <w:rsid w:val="00551D21"/>
    <w:rsid w:val="005523D2"/>
    <w:rsid w:val="00552E81"/>
    <w:rsid w:val="00553064"/>
    <w:rsid w:val="00553262"/>
    <w:rsid w:val="00553C5E"/>
    <w:rsid w:val="00553DC5"/>
    <w:rsid w:val="00554364"/>
    <w:rsid w:val="0055463E"/>
    <w:rsid w:val="00554B82"/>
    <w:rsid w:val="005557AB"/>
    <w:rsid w:val="00556C48"/>
    <w:rsid w:val="00556C50"/>
    <w:rsid w:val="005574A6"/>
    <w:rsid w:val="00557B97"/>
    <w:rsid w:val="005605D9"/>
    <w:rsid w:val="005605E2"/>
    <w:rsid w:val="00560E40"/>
    <w:rsid w:val="005619B5"/>
    <w:rsid w:val="00562003"/>
    <w:rsid w:val="00563625"/>
    <w:rsid w:val="00563F2E"/>
    <w:rsid w:val="0056423D"/>
    <w:rsid w:val="00564A24"/>
    <w:rsid w:val="00565104"/>
    <w:rsid w:val="00565744"/>
    <w:rsid w:val="0056634D"/>
    <w:rsid w:val="00566453"/>
    <w:rsid w:val="00566535"/>
    <w:rsid w:val="005668BF"/>
    <w:rsid w:val="00566A44"/>
    <w:rsid w:val="0056729C"/>
    <w:rsid w:val="0056774D"/>
    <w:rsid w:val="00567C55"/>
    <w:rsid w:val="00567F9E"/>
    <w:rsid w:val="005700F1"/>
    <w:rsid w:val="0057011C"/>
    <w:rsid w:val="00570837"/>
    <w:rsid w:val="00570949"/>
    <w:rsid w:val="00570AD5"/>
    <w:rsid w:val="00571446"/>
    <w:rsid w:val="00571F11"/>
    <w:rsid w:val="00572413"/>
    <w:rsid w:val="005725B2"/>
    <w:rsid w:val="0057365F"/>
    <w:rsid w:val="00573F7D"/>
    <w:rsid w:val="0057402A"/>
    <w:rsid w:val="00574704"/>
    <w:rsid w:val="0057481A"/>
    <w:rsid w:val="00574CD3"/>
    <w:rsid w:val="00574E2C"/>
    <w:rsid w:val="00575185"/>
    <w:rsid w:val="00576014"/>
    <w:rsid w:val="00576266"/>
    <w:rsid w:val="005766B9"/>
    <w:rsid w:val="00576755"/>
    <w:rsid w:val="00576F19"/>
    <w:rsid w:val="005771D0"/>
    <w:rsid w:val="0057762E"/>
    <w:rsid w:val="00580B2D"/>
    <w:rsid w:val="0058260B"/>
    <w:rsid w:val="00582E15"/>
    <w:rsid w:val="00583799"/>
    <w:rsid w:val="0058449C"/>
    <w:rsid w:val="00584E97"/>
    <w:rsid w:val="00585393"/>
    <w:rsid w:val="0058658A"/>
    <w:rsid w:val="00586AD2"/>
    <w:rsid w:val="00586F64"/>
    <w:rsid w:val="005876F0"/>
    <w:rsid w:val="00587EDE"/>
    <w:rsid w:val="0059030D"/>
    <w:rsid w:val="0059052C"/>
    <w:rsid w:val="00590B5F"/>
    <w:rsid w:val="0059191A"/>
    <w:rsid w:val="00591B87"/>
    <w:rsid w:val="0059215E"/>
    <w:rsid w:val="005921FF"/>
    <w:rsid w:val="0059253B"/>
    <w:rsid w:val="005925C5"/>
    <w:rsid w:val="005937F1"/>
    <w:rsid w:val="00593B86"/>
    <w:rsid w:val="00593E4C"/>
    <w:rsid w:val="005941FC"/>
    <w:rsid w:val="005945FF"/>
    <w:rsid w:val="005953DF"/>
    <w:rsid w:val="00595C1D"/>
    <w:rsid w:val="005961B3"/>
    <w:rsid w:val="005964B9"/>
    <w:rsid w:val="005972C7"/>
    <w:rsid w:val="00597523"/>
    <w:rsid w:val="0059789B"/>
    <w:rsid w:val="00597917"/>
    <w:rsid w:val="005A05B8"/>
    <w:rsid w:val="005A1575"/>
    <w:rsid w:val="005A1E88"/>
    <w:rsid w:val="005A24A3"/>
    <w:rsid w:val="005A25C6"/>
    <w:rsid w:val="005A2700"/>
    <w:rsid w:val="005A4472"/>
    <w:rsid w:val="005A46E5"/>
    <w:rsid w:val="005A4BB0"/>
    <w:rsid w:val="005A4F44"/>
    <w:rsid w:val="005A5042"/>
    <w:rsid w:val="005A5070"/>
    <w:rsid w:val="005A59D3"/>
    <w:rsid w:val="005A5D82"/>
    <w:rsid w:val="005A6D0E"/>
    <w:rsid w:val="005A6F19"/>
    <w:rsid w:val="005A701E"/>
    <w:rsid w:val="005A71D3"/>
    <w:rsid w:val="005A7366"/>
    <w:rsid w:val="005A7427"/>
    <w:rsid w:val="005A78EE"/>
    <w:rsid w:val="005B002E"/>
    <w:rsid w:val="005B0037"/>
    <w:rsid w:val="005B07CA"/>
    <w:rsid w:val="005B0F68"/>
    <w:rsid w:val="005B179C"/>
    <w:rsid w:val="005B1C16"/>
    <w:rsid w:val="005B1DE8"/>
    <w:rsid w:val="005B1F83"/>
    <w:rsid w:val="005B219F"/>
    <w:rsid w:val="005B24D6"/>
    <w:rsid w:val="005B343C"/>
    <w:rsid w:val="005B373C"/>
    <w:rsid w:val="005B38C5"/>
    <w:rsid w:val="005B39B9"/>
    <w:rsid w:val="005B3E3E"/>
    <w:rsid w:val="005B4622"/>
    <w:rsid w:val="005B46EE"/>
    <w:rsid w:val="005B50E0"/>
    <w:rsid w:val="005B52B0"/>
    <w:rsid w:val="005B5643"/>
    <w:rsid w:val="005B57D5"/>
    <w:rsid w:val="005B5A35"/>
    <w:rsid w:val="005B5F1F"/>
    <w:rsid w:val="005B61E1"/>
    <w:rsid w:val="005B6806"/>
    <w:rsid w:val="005B7881"/>
    <w:rsid w:val="005B78D8"/>
    <w:rsid w:val="005B7964"/>
    <w:rsid w:val="005B7AB2"/>
    <w:rsid w:val="005B7C8F"/>
    <w:rsid w:val="005C0A68"/>
    <w:rsid w:val="005C0AED"/>
    <w:rsid w:val="005C1938"/>
    <w:rsid w:val="005C1942"/>
    <w:rsid w:val="005C2DE7"/>
    <w:rsid w:val="005C357E"/>
    <w:rsid w:val="005C3B66"/>
    <w:rsid w:val="005C4225"/>
    <w:rsid w:val="005C4786"/>
    <w:rsid w:val="005C4CA4"/>
    <w:rsid w:val="005C4CA5"/>
    <w:rsid w:val="005C5C9B"/>
    <w:rsid w:val="005C6381"/>
    <w:rsid w:val="005C6735"/>
    <w:rsid w:val="005C7F72"/>
    <w:rsid w:val="005D015B"/>
    <w:rsid w:val="005D022E"/>
    <w:rsid w:val="005D05BF"/>
    <w:rsid w:val="005D0DB1"/>
    <w:rsid w:val="005D155E"/>
    <w:rsid w:val="005D1A63"/>
    <w:rsid w:val="005D2235"/>
    <w:rsid w:val="005D24AC"/>
    <w:rsid w:val="005D2ED4"/>
    <w:rsid w:val="005D3D2B"/>
    <w:rsid w:val="005D3DE1"/>
    <w:rsid w:val="005D5371"/>
    <w:rsid w:val="005D553F"/>
    <w:rsid w:val="005D6513"/>
    <w:rsid w:val="005D6FC7"/>
    <w:rsid w:val="005E0E54"/>
    <w:rsid w:val="005E1459"/>
    <w:rsid w:val="005E1E17"/>
    <w:rsid w:val="005E20DB"/>
    <w:rsid w:val="005E2160"/>
    <w:rsid w:val="005E2804"/>
    <w:rsid w:val="005E2960"/>
    <w:rsid w:val="005E2A02"/>
    <w:rsid w:val="005E32D2"/>
    <w:rsid w:val="005E3DE5"/>
    <w:rsid w:val="005E4432"/>
    <w:rsid w:val="005E4446"/>
    <w:rsid w:val="005E460E"/>
    <w:rsid w:val="005E4871"/>
    <w:rsid w:val="005E4AAE"/>
    <w:rsid w:val="005E4C5F"/>
    <w:rsid w:val="005E57A9"/>
    <w:rsid w:val="005E589E"/>
    <w:rsid w:val="005E59FF"/>
    <w:rsid w:val="005E61BA"/>
    <w:rsid w:val="005E6ACB"/>
    <w:rsid w:val="005E703E"/>
    <w:rsid w:val="005F0DAD"/>
    <w:rsid w:val="005F0F33"/>
    <w:rsid w:val="005F10A5"/>
    <w:rsid w:val="005F2AB3"/>
    <w:rsid w:val="005F2B7C"/>
    <w:rsid w:val="005F309E"/>
    <w:rsid w:val="005F3160"/>
    <w:rsid w:val="005F35F7"/>
    <w:rsid w:val="005F3D64"/>
    <w:rsid w:val="005F46DF"/>
    <w:rsid w:val="005F67BD"/>
    <w:rsid w:val="005F6B3F"/>
    <w:rsid w:val="005F79D9"/>
    <w:rsid w:val="005F7E93"/>
    <w:rsid w:val="006003F7"/>
    <w:rsid w:val="00600692"/>
    <w:rsid w:val="00600DEB"/>
    <w:rsid w:val="006013EA"/>
    <w:rsid w:val="006024C2"/>
    <w:rsid w:val="00602751"/>
    <w:rsid w:val="00603A05"/>
    <w:rsid w:val="00603AD9"/>
    <w:rsid w:val="00603DC9"/>
    <w:rsid w:val="006042EC"/>
    <w:rsid w:val="0060460B"/>
    <w:rsid w:val="00604A16"/>
    <w:rsid w:val="00604A9B"/>
    <w:rsid w:val="0060554D"/>
    <w:rsid w:val="00605D22"/>
    <w:rsid w:val="00605FE6"/>
    <w:rsid w:val="00606592"/>
    <w:rsid w:val="00606792"/>
    <w:rsid w:val="00606C21"/>
    <w:rsid w:val="00607462"/>
    <w:rsid w:val="00607E40"/>
    <w:rsid w:val="006104B0"/>
    <w:rsid w:val="006105A8"/>
    <w:rsid w:val="00610A8D"/>
    <w:rsid w:val="00611D17"/>
    <w:rsid w:val="00612431"/>
    <w:rsid w:val="006125C3"/>
    <w:rsid w:val="00612B73"/>
    <w:rsid w:val="00612E19"/>
    <w:rsid w:val="00613257"/>
    <w:rsid w:val="006138EF"/>
    <w:rsid w:val="00613DAD"/>
    <w:rsid w:val="00614FF1"/>
    <w:rsid w:val="00615283"/>
    <w:rsid w:val="0061551E"/>
    <w:rsid w:val="006158E1"/>
    <w:rsid w:val="006159F8"/>
    <w:rsid w:val="00615ABF"/>
    <w:rsid w:val="00615FBF"/>
    <w:rsid w:val="006168BE"/>
    <w:rsid w:val="00616C25"/>
    <w:rsid w:val="006173ED"/>
    <w:rsid w:val="00617B9C"/>
    <w:rsid w:val="00621AA4"/>
    <w:rsid w:val="00622105"/>
    <w:rsid w:val="00622B2C"/>
    <w:rsid w:val="00622C92"/>
    <w:rsid w:val="00622E37"/>
    <w:rsid w:val="0062309A"/>
    <w:rsid w:val="006236CC"/>
    <w:rsid w:val="00623FBF"/>
    <w:rsid w:val="006243D8"/>
    <w:rsid w:val="006244C1"/>
    <w:rsid w:val="0062479A"/>
    <w:rsid w:val="00624DD2"/>
    <w:rsid w:val="006253FB"/>
    <w:rsid w:val="00627BE5"/>
    <w:rsid w:val="00627C9F"/>
    <w:rsid w:val="00630806"/>
    <w:rsid w:val="00630FC6"/>
    <w:rsid w:val="006310E4"/>
    <w:rsid w:val="006311E9"/>
    <w:rsid w:val="006315D5"/>
    <w:rsid w:val="00632354"/>
    <w:rsid w:val="00632F9E"/>
    <w:rsid w:val="00632FE8"/>
    <w:rsid w:val="006332BB"/>
    <w:rsid w:val="0063331B"/>
    <w:rsid w:val="00633602"/>
    <w:rsid w:val="0063411A"/>
    <w:rsid w:val="00634322"/>
    <w:rsid w:val="006345D1"/>
    <w:rsid w:val="0063464F"/>
    <w:rsid w:val="00634839"/>
    <w:rsid w:val="006348A6"/>
    <w:rsid w:val="00634E3D"/>
    <w:rsid w:val="006351E1"/>
    <w:rsid w:val="006351ED"/>
    <w:rsid w:val="006353B9"/>
    <w:rsid w:val="006356DD"/>
    <w:rsid w:val="00635DF5"/>
    <w:rsid w:val="00636377"/>
    <w:rsid w:val="0063660C"/>
    <w:rsid w:val="006372FB"/>
    <w:rsid w:val="006373E0"/>
    <w:rsid w:val="00637B6A"/>
    <w:rsid w:val="00637C54"/>
    <w:rsid w:val="0064044A"/>
    <w:rsid w:val="006407B7"/>
    <w:rsid w:val="00641279"/>
    <w:rsid w:val="00641BDF"/>
    <w:rsid w:val="00642075"/>
    <w:rsid w:val="00642707"/>
    <w:rsid w:val="00642810"/>
    <w:rsid w:val="00642C52"/>
    <w:rsid w:val="00642DE7"/>
    <w:rsid w:val="0064303A"/>
    <w:rsid w:val="00643722"/>
    <w:rsid w:val="006439FF"/>
    <w:rsid w:val="00643D2B"/>
    <w:rsid w:val="00643F7A"/>
    <w:rsid w:val="00644A53"/>
    <w:rsid w:val="00645038"/>
    <w:rsid w:val="00645117"/>
    <w:rsid w:val="00645348"/>
    <w:rsid w:val="0064637C"/>
    <w:rsid w:val="00646410"/>
    <w:rsid w:val="00646961"/>
    <w:rsid w:val="006475AB"/>
    <w:rsid w:val="00647C22"/>
    <w:rsid w:val="00650157"/>
    <w:rsid w:val="0065020B"/>
    <w:rsid w:val="00651F3C"/>
    <w:rsid w:val="00652333"/>
    <w:rsid w:val="00652ACB"/>
    <w:rsid w:val="00654712"/>
    <w:rsid w:val="00655082"/>
    <w:rsid w:val="00655232"/>
    <w:rsid w:val="00655315"/>
    <w:rsid w:val="00655B8E"/>
    <w:rsid w:val="006560C0"/>
    <w:rsid w:val="00657D92"/>
    <w:rsid w:val="006600BE"/>
    <w:rsid w:val="00660705"/>
    <w:rsid w:val="006618B7"/>
    <w:rsid w:val="00661932"/>
    <w:rsid w:val="00661ED0"/>
    <w:rsid w:val="00663130"/>
    <w:rsid w:val="006635F2"/>
    <w:rsid w:val="0066367B"/>
    <w:rsid w:val="00663C75"/>
    <w:rsid w:val="00663F58"/>
    <w:rsid w:val="0066584F"/>
    <w:rsid w:val="00665E9A"/>
    <w:rsid w:val="006672CE"/>
    <w:rsid w:val="00667AC4"/>
    <w:rsid w:val="00667CAE"/>
    <w:rsid w:val="0067019D"/>
    <w:rsid w:val="006703BE"/>
    <w:rsid w:val="00670DF3"/>
    <w:rsid w:val="00670E54"/>
    <w:rsid w:val="00670E81"/>
    <w:rsid w:val="0067103B"/>
    <w:rsid w:val="00672059"/>
    <w:rsid w:val="00672091"/>
    <w:rsid w:val="00672BEB"/>
    <w:rsid w:val="0067311E"/>
    <w:rsid w:val="00673128"/>
    <w:rsid w:val="006737AC"/>
    <w:rsid w:val="006738E6"/>
    <w:rsid w:val="0067406A"/>
    <w:rsid w:val="0067458C"/>
    <w:rsid w:val="006754EF"/>
    <w:rsid w:val="006768FA"/>
    <w:rsid w:val="00677C50"/>
    <w:rsid w:val="00677F2B"/>
    <w:rsid w:val="0068009E"/>
    <w:rsid w:val="00680205"/>
    <w:rsid w:val="006809AE"/>
    <w:rsid w:val="00680CA6"/>
    <w:rsid w:val="00680D08"/>
    <w:rsid w:val="00680F99"/>
    <w:rsid w:val="006812BF"/>
    <w:rsid w:val="00681AF8"/>
    <w:rsid w:val="00681BE8"/>
    <w:rsid w:val="00682192"/>
    <w:rsid w:val="00682264"/>
    <w:rsid w:val="00682381"/>
    <w:rsid w:val="006835DB"/>
    <w:rsid w:val="00683709"/>
    <w:rsid w:val="00684669"/>
    <w:rsid w:val="006853E2"/>
    <w:rsid w:val="0068580D"/>
    <w:rsid w:val="00686497"/>
    <w:rsid w:val="00686CB9"/>
    <w:rsid w:val="00687167"/>
    <w:rsid w:val="00687D4D"/>
    <w:rsid w:val="00687FA7"/>
    <w:rsid w:val="0069029B"/>
    <w:rsid w:val="00690D8C"/>
    <w:rsid w:val="00691107"/>
    <w:rsid w:val="0069131A"/>
    <w:rsid w:val="0069140F"/>
    <w:rsid w:val="006919C7"/>
    <w:rsid w:val="00691EA3"/>
    <w:rsid w:val="00691EB1"/>
    <w:rsid w:val="00692219"/>
    <w:rsid w:val="006922BF"/>
    <w:rsid w:val="00692405"/>
    <w:rsid w:val="0069286C"/>
    <w:rsid w:val="006937DB"/>
    <w:rsid w:val="00693F90"/>
    <w:rsid w:val="00694F62"/>
    <w:rsid w:val="00695096"/>
    <w:rsid w:val="00695164"/>
    <w:rsid w:val="006956AB"/>
    <w:rsid w:val="006960FE"/>
    <w:rsid w:val="00696183"/>
    <w:rsid w:val="006970F2"/>
    <w:rsid w:val="00697B23"/>
    <w:rsid w:val="00697E34"/>
    <w:rsid w:val="006A0C89"/>
    <w:rsid w:val="006A17D2"/>
    <w:rsid w:val="006A1966"/>
    <w:rsid w:val="006A22A4"/>
    <w:rsid w:val="006A2371"/>
    <w:rsid w:val="006A2CAF"/>
    <w:rsid w:val="006A361C"/>
    <w:rsid w:val="006A40DE"/>
    <w:rsid w:val="006A48BB"/>
    <w:rsid w:val="006A4B39"/>
    <w:rsid w:val="006A5414"/>
    <w:rsid w:val="006A548C"/>
    <w:rsid w:val="006A6404"/>
    <w:rsid w:val="006A73E6"/>
    <w:rsid w:val="006A7856"/>
    <w:rsid w:val="006B011A"/>
    <w:rsid w:val="006B05E0"/>
    <w:rsid w:val="006B0835"/>
    <w:rsid w:val="006B0C91"/>
    <w:rsid w:val="006B0EA0"/>
    <w:rsid w:val="006B18A8"/>
    <w:rsid w:val="006B2D5C"/>
    <w:rsid w:val="006B308F"/>
    <w:rsid w:val="006B3388"/>
    <w:rsid w:val="006B3692"/>
    <w:rsid w:val="006B4510"/>
    <w:rsid w:val="006B455B"/>
    <w:rsid w:val="006B48F5"/>
    <w:rsid w:val="006B4D40"/>
    <w:rsid w:val="006B5364"/>
    <w:rsid w:val="006B59F1"/>
    <w:rsid w:val="006B5E2F"/>
    <w:rsid w:val="006B603C"/>
    <w:rsid w:val="006B70C6"/>
    <w:rsid w:val="006C0FEF"/>
    <w:rsid w:val="006C153F"/>
    <w:rsid w:val="006C1A20"/>
    <w:rsid w:val="006C247C"/>
    <w:rsid w:val="006C24B7"/>
    <w:rsid w:val="006C24E5"/>
    <w:rsid w:val="006C286F"/>
    <w:rsid w:val="006C35AB"/>
    <w:rsid w:val="006C3717"/>
    <w:rsid w:val="006C3831"/>
    <w:rsid w:val="006C3948"/>
    <w:rsid w:val="006C39C0"/>
    <w:rsid w:val="006C3BC5"/>
    <w:rsid w:val="006C3C78"/>
    <w:rsid w:val="006C3D8E"/>
    <w:rsid w:val="006C458E"/>
    <w:rsid w:val="006C4AB6"/>
    <w:rsid w:val="006C4EB1"/>
    <w:rsid w:val="006C555D"/>
    <w:rsid w:val="006C571F"/>
    <w:rsid w:val="006C589D"/>
    <w:rsid w:val="006C5C33"/>
    <w:rsid w:val="006C63E1"/>
    <w:rsid w:val="006C68F3"/>
    <w:rsid w:val="006C698A"/>
    <w:rsid w:val="006C705D"/>
    <w:rsid w:val="006C7299"/>
    <w:rsid w:val="006C7861"/>
    <w:rsid w:val="006C78F8"/>
    <w:rsid w:val="006C7DA6"/>
    <w:rsid w:val="006D008F"/>
    <w:rsid w:val="006D1AA9"/>
    <w:rsid w:val="006D1FCF"/>
    <w:rsid w:val="006D2BBF"/>
    <w:rsid w:val="006D2DF8"/>
    <w:rsid w:val="006D31A6"/>
    <w:rsid w:val="006D33FE"/>
    <w:rsid w:val="006D3E4E"/>
    <w:rsid w:val="006D4DAD"/>
    <w:rsid w:val="006D54A1"/>
    <w:rsid w:val="006D5551"/>
    <w:rsid w:val="006D58F0"/>
    <w:rsid w:val="006D5A9C"/>
    <w:rsid w:val="006D61C8"/>
    <w:rsid w:val="006D672E"/>
    <w:rsid w:val="006D6EDC"/>
    <w:rsid w:val="006D7862"/>
    <w:rsid w:val="006D7B59"/>
    <w:rsid w:val="006D7F91"/>
    <w:rsid w:val="006E0166"/>
    <w:rsid w:val="006E047A"/>
    <w:rsid w:val="006E064B"/>
    <w:rsid w:val="006E0B0C"/>
    <w:rsid w:val="006E0FD4"/>
    <w:rsid w:val="006E0FF0"/>
    <w:rsid w:val="006E138C"/>
    <w:rsid w:val="006E192C"/>
    <w:rsid w:val="006E1A9E"/>
    <w:rsid w:val="006E3350"/>
    <w:rsid w:val="006E39EA"/>
    <w:rsid w:val="006E4400"/>
    <w:rsid w:val="006E4EA9"/>
    <w:rsid w:val="006E5D91"/>
    <w:rsid w:val="006E5F56"/>
    <w:rsid w:val="006E627F"/>
    <w:rsid w:val="006E73A1"/>
    <w:rsid w:val="006E7B34"/>
    <w:rsid w:val="006E7F36"/>
    <w:rsid w:val="006E7FA3"/>
    <w:rsid w:val="006F0270"/>
    <w:rsid w:val="006F0820"/>
    <w:rsid w:val="006F1651"/>
    <w:rsid w:val="006F16F0"/>
    <w:rsid w:val="006F1C66"/>
    <w:rsid w:val="006F2A76"/>
    <w:rsid w:val="006F3571"/>
    <w:rsid w:val="006F42CD"/>
    <w:rsid w:val="006F44E0"/>
    <w:rsid w:val="006F46CB"/>
    <w:rsid w:val="006F5CA7"/>
    <w:rsid w:val="006F5F63"/>
    <w:rsid w:val="006F679D"/>
    <w:rsid w:val="006F7202"/>
    <w:rsid w:val="006F75F8"/>
    <w:rsid w:val="006F78D5"/>
    <w:rsid w:val="007006E3"/>
    <w:rsid w:val="007014EC"/>
    <w:rsid w:val="007019E2"/>
    <w:rsid w:val="00702176"/>
    <w:rsid w:val="007021AD"/>
    <w:rsid w:val="00702DAB"/>
    <w:rsid w:val="00702E4F"/>
    <w:rsid w:val="007035AD"/>
    <w:rsid w:val="00703B4F"/>
    <w:rsid w:val="00703FB5"/>
    <w:rsid w:val="007041A0"/>
    <w:rsid w:val="0070465B"/>
    <w:rsid w:val="007048A5"/>
    <w:rsid w:val="0070664B"/>
    <w:rsid w:val="0070685A"/>
    <w:rsid w:val="0070697F"/>
    <w:rsid w:val="00706B2F"/>
    <w:rsid w:val="00707226"/>
    <w:rsid w:val="00707854"/>
    <w:rsid w:val="007079A3"/>
    <w:rsid w:val="00707BAD"/>
    <w:rsid w:val="007113A9"/>
    <w:rsid w:val="007114C8"/>
    <w:rsid w:val="007123E5"/>
    <w:rsid w:val="00713544"/>
    <w:rsid w:val="007139D5"/>
    <w:rsid w:val="00714747"/>
    <w:rsid w:val="00715E90"/>
    <w:rsid w:val="00715F91"/>
    <w:rsid w:val="00716F65"/>
    <w:rsid w:val="007173E4"/>
    <w:rsid w:val="00717ED3"/>
    <w:rsid w:val="007218BC"/>
    <w:rsid w:val="0072199C"/>
    <w:rsid w:val="00721D52"/>
    <w:rsid w:val="00722069"/>
    <w:rsid w:val="00722C9F"/>
    <w:rsid w:val="00723BA2"/>
    <w:rsid w:val="0072443C"/>
    <w:rsid w:val="00724BDD"/>
    <w:rsid w:val="007253B8"/>
    <w:rsid w:val="007254EF"/>
    <w:rsid w:val="00726A58"/>
    <w:rsid w:val="00726B29"/>
    <w:rsid w:val="007277E4"/>
    <w:rsid w:val="00727CFE"/>
    <w:rsid w:val="00727E8A"/>
    <w:rsid w:val="0073016D"/>
    <w:rsid w:val="00730358"/>
    <w:rsid w:val="0073083E"/>
    <w:rsid w:val="0073087D"/>
    <w:rsid w:val="007308D6"/>
    <w:rsid w:val="00730DF3"/>
    <w:rsid w:val="007311AF"/>
    <w:rsid w:val="00732ECB"/>
    <w:rsid w:val="00732FC0"/>
    <w:rsid w:val="00733360"/>
    <w:rsid w:val="00733500"/>
    <w:rsid w:val="00733611"/>
    <w:rsid w:val="007337E9"/>
    <w:rsid w:val="00733BAA"/>
    <w:rsid w:val="00734A99"/>
    <w:rsid w:val="007353C5"/>
    <w:rsid w:val="0073631B"/>
    <w:rsid w:val="00737295"/>
    <w:rsid w:val="0073741F"/>
    <w:rsid w:val="00740922"/>
    <w:rsid w:val="00741215"/>
    <w:rsid w:val="007413EB"/>
    <w:rsid w:val="00741599"/>
    <w:rsid w:val="0074173E"/>
    <w:rsid w:val="0074176E"/>
    <w:rsid w:val="00741872"/>
    <w:rsid w:val="00741B7D"/>
    <w:rsid w:val="00741EED"/>
    <w:rsid w:val="00742D3C"/>
    <w:rsid w:val="00742EC5"/>
    <w:rsid w:val="0074599F"/>
    <w:rsid w:val="00745D39"/>
    <w:rsid w:val="00745DCA"/>
    <w:rsid w:val="0074608E"/>
    <w:rsid w:val="00746BA7"/>
    <w:rsid w:val="00747003"/>
    <w:rsid w:val="007471A3"/>
    <w:rsid w:val="0074764E"/>
    <w:rsid w:val="00747793"/>
    <w:rsid w:val="0075005B"/>
    <w:rsid w:val="00751020"/>
    <w:rsid w:val="00751515"/>
    <w:rsid w:val="007517D7"/>
    <w:rsid w:val="00751B83"/>
    <w:rsid w:val="007521E0"/>
    <w:rsid w:val="00752EA6"/>
    <w:rsid w:val="00752F91"/>
    <w:rsid w:val="007533EA"/>
    <w:rsid w:val="007536FF"/>
    <w:rsid w:val="00754B02"/>
    <w:rsid w:val="00754DEF"/>
    <w:rsid w:val="00755124"/>
    <w:rsid w:val="00755904"/>
    <w:rsid w:val="00755C63"/>
    <w:rsid w:val="00755C72"/>
    <w:rsid w:val="00755E42"/>
    <w:rsid w:val="00756063"/>
    <w:rsid w:val="007562CA"/>
    <w:rsid w:val="00756566"/>
    <w:rsid w:val="00756F15"/>
    <w:rsid w:val="00757118"/>
    <w:rsid w:val="007571C1"/>
    <w:rsid w:val="0075758B"/>
    <w:rsid w:val="007577E1"/>
    <w:rsid w:val="0075784B"/>
    <w:rsid w:val="00757D7B"/>
    <w:rsid w:val="00760B72"/>
    <w:rsid w:val="007620AC"/>
    <w:rsid w:val="00762BD6"/>
    <w:rsid w:val="00762FD4"/>
    <w:rsid w:val="0076339F"/>
    <w:rsid w:val="00763F55"/>
    <w:rsid w:val="00765217"/>
    <w:rsid w:val="007656C5"/>
    <w:rsid w:val="00765FC3"/>
    <w:rsid w:val="00766285"/>
    <w:rsid w:val="0076643F"/>
    <w:rsid w:val="007667F1"/>
    <w:rsid w:val="00766FA0"/>
    <w:rsid w:val="00767A63"/>
    <w:rsid w:val="00767CEF"/>
    <w:rsid w:val="00770142"/>
    <w:rsid w:val="00770B32"/>
    <w:rsid w:val="00770C45"/>
    <w:rsid w:val="00771764"/>
    <w:rsid w:val="00771834"/>
    <w:rsid w:val="00771A6A"/>
    <w:rsid w:val="00772101"/>
    <w:rsid w:val="0077253E"/>
    <w:rsid w:val="0077256D"/>
    <w:rsid w:val="00772ACB"/>
    <w:rsid w:val="00772B60"/>
    <w:rsid w:val="00772B7F"/>
    <w:rsid w:val="007736EA"/>
    <w:rsid w:val="00773B49"/>
    <w:rsid w:val="0077436C"/>
    <w:rsid w:val="00774416"/>
    <w:rsid w:val="00774702"/>
    <w:rsid w:val="00774AB9"/>
    <w:rsid w:val="00774B7A"/>
    <w:rsid w:val="00774CCC"/>
    <w:rsid w:val="00775997"/>
    <w:rsid w:val="00775DA0"/>
    <w:rsid w:val="00776750"/>
    <w:rsid w:val="00776D8A"/>
    <w:rsid w:val="00777795"/>
    <w:rsid w:val="00777F63"/>
    <w:rsid w:val="00780168"/>
    <w:rsid w:val="00780333"/>
    <w:rsid w:val="0078045D"/>
    <w:rsid w:val="00780730"/>
    <w:rsid w:val="00780D09"/>
    <w:rsid w:val="007821F0"/>
    <w:rsid w:val="007823B9"/>
    <w:rsid w:val="00782567"/>
    <w:rsid w:val="00782E4E"/>
    <w:rsid w:val="0078318C"/>
    <w:rsid w:val="007838E6"/>
    <w:rsid w:val="00783E27"/>
    <w:rsid w:val="00784179"/>
    <w:rsid w:val="007844B5"/>
    <w:rsid w:val="0078494B"/>
    <w:rsid w:val="007851BA"/>
    <w:rsid w:val="007856D5"/>
    <w:rsid w:val="0078687F"/>
    <w:rsid w:val="00787796"/>
    <w:rsid w:val="0078786C"/>
    <w:rsid w:val="007879E7"/>
    <w:rsid w:val="007911EE"/>
    <w:rsid w:val="00791246"/>
    <w:rsid w:val="00791D74"/>
    <w:rsid w:val="00791E1D"/>
    <w:rsid w:val="00792892"/>
    <w:rsid w:val="007928DB"/>
    <w:rsid w:val="00792B58"/>
    <w:rsid w:val="007932D9"/>
    <w:rsid w:val="00793B08"/>
    <w:rsid w:val="00794845"/>
    <w:rsid w:val="00794D73"/>
    <w:rsid w:val="00794FB4"/>
    <w:rsid w:val="007957E0"/>
    <w:rsid w:val="0079704C"/>
    <w:rsid w:val="007970D6"/>
    <w:rsid w:val="007976A0"/>
    <w:rsid w:val="007A019B"/>
    <w:rsid w:val="007A02AE"/>
    <w:rsid w:val="007A0F56"/>
    <w:rsid w:val="007A262C"/>
    <w:rsid w:val="007A28FC"/>
    <w:rsid w:val="007A298A"/>
    <w:rsid w:val="007A2DF4"/>
    <w:rsid w:val="007A3090"/>
    <w:rsid w:val="007A4A3C"/>
    <w:rsid w:val="007A5817"/>
    <w:rsid w:val="007A5CD2"/>
    <w:rsid w:val="007B1196"/>
    <w:rsid w:val="007B1211"/>
    <w:rsid w:val="007B136F"/>
    <w:rsid w:val="007B16D4"/>
    <w:rsid w:val="007B1FB7"/>
    <w:rsid w:val="007B305E"/>
    <w:rsid w:val="007B3103"/>
    <w:rsid w:val="007B312A"/>
    <w:rsid w:val="007B31EF"/>
    <w:rsid w:val="007B40EB"/>
    <w:rsid w:val="007B41C4"/>
    <w:rsid w:val="007B4C02"/>
    <w:rsid w:val="007B54C9"/>
    <w:rsid w:val="007B5B8D"/>
    <w:rsid w:val="007B60E9"/>
    <w:rsid w:val="007B64A5"/>
    <w:rsid w:val="007B690F"/>
    <w:rsid w:val="007B696E"/>
    <w:rsid w:val="007B6CC3"/>
    <w:rsid w:val="007B7736"/>
    <w:rsid w:val="007C0622"/>
    <w:rsid w:val="007C0764"/>
    <w:rsid w:val="007C193A"/>
    <w:rsid w:val="007C1F91"/>
    <w:rsid w:val="007C201B"/>
    <w:rsid w:val="007C247E"/>
    <w:rsid w:val="007C251C"/>
    <w:rsid w:val="007C27CD"/>
    <w:rsid w:val="007C2A3A"/>
    <w:rsid w:val="007C2AD7"/>
    <w:rsid w:val="007C2BA3"/>
    <w:rsid w:val="007C2D76"/>
    <w:rsid w:val="007C2DD8"/>
    <w:rsid w:val="007C30D0"/>
    <w:rsid w:val="007C3254"/>
    <w:rsid w:val="007C3334"/>
    <w:rsid w:val="007C3E0D"/>
    <w:rsid w:val="007C3F6D"/>
    <w:rsid w:val="007C4616"/>
    <w:rsid w:val="007C53C1"/>
    <w:rsid w:val="007C5EEF"/>
    <w:rsid w:val="007C6AC2"/>
    <w:rsid w:val="007C6B47"/>
    <w:rsid w:val="007C73B3"/>
    <w:rsid w:val="007C756A"/>
    <w:rsid w:val="007C79F2"/>
    <w:rsid w:val="007C7A2C"/>
    <w:rsid w:val="007D0253"/>
    <w:rsid w:val="007D0753"/>
    <w:rsid w:val="007D0B6B"/>
    <w:rsid w:val="007D0DED"/>
    <w:rsid w:val="007D1098"/>
    <w:rsid w:val="007D1552"/>
    <w:rsid w:val="007D2056"/>
    <w:rsid w:val="007D272D"/>
    <w:rsid w:val="007D2B98"/>
    <w:rsid w:val="007D3112"/>
    <w:rsid w:val="007D3ACB"/>
    <w:rsid w:val="007D3F96"/>
    <w:rsid w:val="007D4074"/>
    <w:rsid w:val="007D4295"/>
    <w:rsid w:val="007D455B"/>
    <w:rsid w:val="007D47DE"/>
    <w:rsid w:val="007D4AD5"/>
    <w:rsid w:val="007D52CE"/>
    <w:rsid w:val="007D55A1"/>
    <w:rsid w:val="007D5B79"/>
    <w:rsid w:val="007D672E"/>
    <w:rsid w:val="007D73BE"/>
    <w:rsid w:val="007D7917"/>
    <w:rsid w:val="007D7DF1"/>
    <w:rsid w:val="007D7EA9"/>
    <w:rsid w:val="007E0EF9"/>
    <w:rsid w:val="007E12D8"/>
    <w:rsid w:val="007E1F32"/>
    <w:rsid w:val="007E21BC"/>
    <w:rsid w:val="007E2605"/>
    <w:rsid w:val="007E2DFF"/>
    <w:rsid w:val="007E3084"/>
    <w:rsid w:val="007E3147"/>
    <w:rsid w:val="007E3522"/>
    <w:rsid w:val="007E3653"/>
    <w:rsid w:val="007E4B27"/>
    <w:rsid w:val="007E4D59"/>
    <w:rsid w:val="007E5490"/>
    <w:rsid w:val="007E5BB4"/>
    <w:rsid w:val="007E5CF5"/>
    <w:rsid w:val="007E618D"/>
    <w:rsid w:val="007E6E96"/>
    <w:rsid w:val="007E78EF"/>
    <w:rsid w:val="007F005C"/>
    <w:rsid w:val="007F0635"/>
    <w:rsid w:val="007F1426"/>
    <w:rsid w:val="007F1D1F"/>
    <w:rsid w:val="007F26C0"/>
    <w:rsid w:val="007F2ACE"/>
    <w:rsid w:val="007F2C26"/>
    <w:rsid w:val="007F486E"/>
    <w:rsid w:val="007F4AAD"/>
    <w:rsid w:val="007F4F54"/>
    <w:rsid w:val="007F4FAC"/>
    <w:rsid w:val="007F5904"/>
    <w:rsid w:val="007F629E"/>
    <w:rsid w:val="007F6AFA"/>
    <w:rsid w:val="007F6C9B"/>
    <w:rsid w:val="007F7E9A"/>
    <w:rsid w:val="00800208"/>
    <w:rsid w:val="0080081F"/>
    <w:rsid w:val="00800917"/>
    <w:rsid w:val="00800C74"/>
    <w:rsid w:val="008011DE"/>
    <w:rsid w:val="008012CA"/>
    <w:rsid w:val="00801AAE"/>
    <w:rsid w:val="00801BC0"/>
    <w:rsid w:val="008027B7"/>
    <w:rsid w:val="00803093"/>
    <w:rsid w:val="00803F1C"/>
    <w:rsid w:val="0080539A"/>
    <w:rsid w:val="008056AC"/>
    <w:rsid w:val="00805D01"/>
    <w:rsid w:val="0080600E"/>
    <w:rsid w:val="00807CCE"/>
    <w:rsid w:val="00807FAD"/>
    <w:rsid w:val="00810662"/>
    <w:rsid w:val="00810F10"/>
    <w:rsid w:val="00811562"/>
    <w:rsid w:val="008116DE"/>
    <w:rsid w:val="00811991"/>
    <w:rsid w:val="00811A97"/>
    <w:rsid w:val="008122C5"/>
    <w:rsid w:val="00812B9A"/>
    <w:rsid w:val="00813285"/>
    <w:rsid w:val="008135F6"/>
    <w:rsid w:val="008137B0"/>
    <w:rsid w:val="00813889"/>
    <w:rsid w:val="00814CA9"/>
    <w:rsid w:val="00814D84"/>
    <w:rsid w:val="00815021"/>
    <w:rsid w:val="00815132"/>
    <w:rsid w:val="00816215"/>
    <w:rsid w:val="0081634C"/>
    <w:rsid w:val="008163CF"/>
    <w:rsid w:val="008167E0"/>
    <w:rsid w:val="00817347"/>
    <w:rsid w:val="008173CE"/>
    <w:rsid w:val="00817612"/>
    <w:rsid w:val="00820B4D"/>
    <w:rsid w:val="0082116F"/>
    <w:rsid w:val="008217E6"/>
    <w:rsid w:val="008223A6"/>
    <w:rsid w:val="0082265F"/>
    <w:rsid w:val="00822792"/>
    <w:rsid w:val="00822ACE"/>
    <w:rsid w:val="008231C1"/>
    <w:rsid w:val="008240CB"/>
    <w:rsid w:val="00824BF3"/>
    <w:rsid w:val="0082505D"/>
    <w:rsid w:val="0082591F"/>
    <w:rsid w:val="00825A17"/>
    <w:rsid w:val="00825E94"/>
    <w:rsid w:val="008266A7"/>
    <w:rsid w:val="00827647"/>
    <w:rsid w:val="00827827"/>
    <w:rsid w:val="00827831"/>
    <w:rsid w:val="00827C07"/>
    <w:rsid w:val="00827CEC"/>
    <w:rsid w:val="008305D2"/>
    <w:rsid w:val="00831087"/>
    <w:rsid w:val="008312C0"/>
    <w:rsid w:val="00831649"/>
    <w:rsid w:val="00831D2B"/>
    <w:rsid w:val="00831FB2"/>
    <w:rsid w:val="0083241A"/>
    <w:rsid w:val="00832825"/>
    <w:rsid w:val="0083318B"/>
    <w:rsid w:val="008338A4"/>
    <w:rsid w:val="00834292"/>
    <w:rsid w:val="00836705"/>
    <w:rsid w:val="00836F6C"/>
    <w:rsid w:val="0083729F"/>
    <w:rsid w:val="00837C45"/>
    <w:rsid w:val="008401DE"/>
    <w:rsid w:val="0084024D"/>
    <w:rsid w:val="0084090C"/>
    <w:rsid w:val="00840BEB"/>
    <w:rsid w:val="00841132"/>
    <w:rsid w:val="00841DB1"/>
    <w:rsid w:val="008427AF"/>
    <w:rsid w:val="00842BA5"/>
    <w:rsid w:val="00843779"/>
    <w:rsid w:val="0084450F"/>
    <w:rsid w:val="00844730"/>
    <w:rsid w:val="00845263"/>
    <w:rsid w:val="0084548E"/>
    <w:rsid w:val="0084558F"/>
    <w:rsid w:val="008457C2"/>
    <w:rsid w:val="00846129"/>
    <w:rsid w:val="008461CF"/>
    <w:rsid w:val="00846808"/>
    <w:rsid w:val="00846FD4"/>
    <w:rsid w:val="0084701F"/>
    <w:rsid w:val="0084710F"/>
    <w:rsid w:val="00847A34"/>
    <w:rsid w:val="0085064C"/>
    <w:rsid w:val="00850688"/>
    <w:rsid w:val="00850C9E"/>
    <w:rsid w:val="00851166"/>
    <w:rsid w:val="00851E5D"/>
    <w:rsid w:val="008521B8"/>
    <w:rsid w:val="008521FC"/>
    <w:rsid w:val="00852358"/>
    <w:rsid w:val="00853651"/>
    <w:rsid w:val="00854423"/>
    <w:rsid w:val="00855ECF"/>
    <w:rsid w:val="00855FB0"/>
    <w:rsid w:val="00855FEA"/>
    <w:rsid w:val="008568DF"/>
    <w:rsid w:val="00857A82"/>
    <w:rsid w:val="00857B4A"/>
    <w:rsid w:val="00860526"/>
    <w:rsid w:val="008605B3"/>
    <w:rsid w:val="008608A3"/>
    <w:rsid w:val="0086113B"/>
    <w:rsid w:val="00861BE3"/>
    <w:rsid w:val="00861D76"/>
    <w:rsid w:val="00861E23"/>
    <w:rsid w:val="00861E43"/>
    <w:rsid w:val="008622A6"/>
    <w:rsid w:val="00863A43"/>
    <w:rsid w:val="00864952"/>
    <w:rsid w:val="00864C2D"/>
    <w:rsid w:val="008650C8"/>
    <w:rsid w:val="00865679"/>
    <w:rsid w:val="00865B82"/>
    <w:rsid w:val="00865E2F"/>
    <w:rsid w:val="00866B51"/>
    <w:rsid w:val="00866F41"/>
    <w:rsid w:val="0086714F"/>
    <w:rsid w:val="00867D75"/>
    <w:rsid w:val="008714CF"/>
    <w:rsid w:val="008714DC"/>
    <w:rsid w:val="00872825"/>
    <w:rsid w:val="00872E7E"/>
    <w:rsid w:val="00873594"/>
    <w:rsid w:val="00873836"/>
    <w:rsid w:val="008744B7"/>
    <w:rsid w:val="00874F61"/>
    <w:rsid w:val="008757BE"/>
    <w:rsid w:val="00875D87"/>
    <w:rsid w:val="0087651B"/>
    <w:rsid w:val="00877290"/>
    <w:rsid w:val="008772C6"/>
    <w:rsid w:val="008777C3"/>
    <w:rsid w:val="008779FF"/>
    <w:rsid w:val="00880EE5"/>
    <w:rsid w:val="008817F8"/>
    <w:rsid w:val="00881FAF"/>
    <w:rsid w:val="00882744"/>
    <w:rsid w:val="0088328D"/>
    <w:rsid w:val="00883E79"/>
    <w:rsid w:val="00884D49"/>
    <w:rsid w:val="0088538F"/>
    <w:rsid w:val="00885737"/>
    <w:rsid w:val="00885AFC"/>
    <w:rsid w:val="00886499"/>
    <w:rsid w:val="0088714F"/>
    <w:rsid w:val="008875AC"/>
    <w:rsid w:val="00887C05"/>
    <w:rsid w:val="00890650"/>
    <w:rsid w:val="008909AB"/>
    <w:rsid w:val="008922C9"/>
    <w:rsid w:val="0089372B"/>
    <w:rsid w:val="008946B2"/>
    <w:rsid w:val="00894764"/>
    <w:rsid w:val="0089522B"/>
    <w:rsid w:val="008952CB"/>
    <w:rsid w:val="0089582B"/>
    <w:rsid w:val="00895C69"/>
    <w:rsid w:val="008967CE"/>
    <w:rsid w:val="008967F9"/>
    <w:rsid w:val="00896941"/>
    <w:rsid w:val="00896B78"/>
    <w:rsid w:val="008971BF"/>
    <w:rsid w:val="00897E12"/>
    <w:rsid w:val="00897FBA"/>
    <w:rsid w:val="008A05FF"/>
    <w:rsid w:val="008A075A"/>
    <w:rsid w:val="008A078F"/>
    <w:rsid w:val="008A1689"/>
    <w:rsid w:val="008A2390"/>
    <w:rsid w:val="008A2BAE"/>
    <w:rsid w:val="008A2BE1"/>
    <w:rsid w:val="008A406A"/>
    <w:rsid w:val="008A443F"/>
    <w:rsid w:val="008A5DE2"/>
    <w:rsid w:val="008A6489"/>
    <w:rsid w:val="008A6E5E"/>
    <w:rsid w:val="008A73F6"/>
    <w:rsid w:val="008A7591"/>
    <w:rsid w:val="008A7D9A"/>
    <w:rsid w:val="008A7E0F"/>
    <w:rsid w:val="008B0F21"/>
    <w:rsid w:val="008B0F96"/>
    <w:rsid w:val="008B12F5"/>
    <w:rsid w:val="008B198F"/>
    <w:rsid w:val="008B37A0"/>
    <w:rsid w:val="008B43C0"/>
    <w:rsid w:val="008B524B"/>
    <w:rsid w:val="008B5281"/>
    <w:rsid w:val="008B5B24"/>
    <w:rsid w:val="008B5C76"/>
    <w:rsid w:val="008B5F7F"/>
    <w:rsid w:val="008B729C"/>
    <w:rsid w:val="008B72D1"/>
    <w:rsid w:val="008B7B8D"/>
    <w:rsid w:val="008B7DCD"/>
    <w:rsid w:val="008C06E5"/>
    <w:rsid w:val="008C1594"/>
    <w:rsid w:val="008C1B0D"/>
    <w:rsid w:val="008C1FA4"/>
    <w:rsid w:val="008C2376"/>
    <w:rsid w:val="008C2826"/>
    <w:rsid w:val="008C2B35"/>
    <w:rsid w:val="008C3098"/>
    <w:rsid w:val="008C334B"/>
    <w:rsid w:val="008C3521"/>
    <w:rsid w:val="008C4890"/>
    <w:rsid w:val="008C6D24"/>
    <w:rsid w:val="008C7E1A"/>
    <w:rsid w:val="008C7E53"/>
    <w:rsid w:val="008D12C0"/>
    <w:rsid w:val="008D1705"/>
    <w:rsid w:val="008D1768"/>
    <w:rsid w:val="008D1EA1"/>
    <w:rsid w:val="008D2000"/>
    <w:rsid w:val="008D22D4"/>
    <w:rsid w:val="008D2558"/>
    <w:rsid w:val="008D2D61"/>
    <w:rsid w:val="008D2E12"/>
    <w:rsid w:val="008D2E5F"/>
    <w:rsid w:val="008D311C"/>
    <w:rsid w:val="008D39A2"/>
    <w:rsid w:val="008D3A92"/>
    <w:rsid w:val="008D3E70"/>
    <w:rsid w:val="008D4314"/>
    <w:rsid w:val="008D4452"/>
    <w:rsid w:val="008D4E4E"/>
    <w:rsid w:val="008D4F18"/>
    <w:rsid w:val="008D5A66"/>
    <w:rsid w:val="008D6DA4"/>
    <w:rsid w:val="008D768D"/>
    <w:rsid w:val="008D7C32"/>
    <w:rsid w:val="008D7F74"/>
    <w:rsid w:val="008E0BE7"/>
    <w:rsid w:val="008E0D40"/>
    <w:rsid w:val="008E1DBA"/>
    <w:rsid w:val="008E2577"/>
    <w:rsid w:val="008E353E"/>
    <w:rsid w:val="008E3759"/>
    <w:rsid w:val="008E49A9"/>
    <w:rsid w:val="008E5527"/>
    <w:rsid w:val="008E654D"/>
    <w:rsid w:val="008E6862"/>
    <w:rsid w:val="008E6DE2"/>
    <w:rsid w:val="008E75CD"/>
    <w:rsid w:val="008F0CF0"/>
    <w:rsid w:val="008F13AE"/>
    <w:rsid w:val="008F155E"/>
    <w:rsid w:val="008F1912"/>
    <w:rsid w:val="008F1B28"/>
    <w:rsid w:val="008F1B2C"/>
    <w:rsid w:val="008F2DCA"/>
    <w:rsid w:val="008F3640"/>
    <w:rsid w:val="008F3894"/>
    <w:rsid w:val="008F3DC3"/>
    <w:rsid w:val="008F44DC"/>
    <w:rsid w:val="008F4FAE"/>
    <w:rsid w:val="008F53FE"/>
    <w:rsid w:val="008F5A94"/>
    <w:rsid w:val="008F604B"/>
    <w:rsid w:val="008F646A"/>
    <w:rsid w:val="008F6598"/>
    <w:rsid w:val="008F6CE1"/>
    <w:rsid w:val="008F73EE"/>
    <w:rsid w:val="008F753D"/>
    <w:rsid w:val="008F76EB"/>
    <w:rsid w:val="00900867"/>
    <w:rsid w:val="0090134E"/>
    <w:rsid w:val="009014A4"/>
    <w:rsid w:val="0090270B"/>
    <w:rsid w:val="00902D31"/>
    <w:rsid w:val="00902D94"/>
    <w:rsid w:val="0090389C"/>
    <w:rsid w:val="009041DC"/>
    <w:rsid w:val="00905181"/>
    <w:rsid w:val="009075E1"/>
    <w:rsid w:val="0091078E"/>
    <w:rsid w:val="00910791"/>
    <w:rsid w:val="00910C1D"/>
    <w:rsid w:val="00911135"/>
    <w:rsid w:val="009120B6"/>
    <w:rsid w:val="0091214A"/>
    <w:rsid w:val="009122D7"/>
    <w:rsid w:val="00912868"/>
    <w:rsid w:val="00913555"/>
    <w:rsid w:val="00913885"/>
    <w:rsid w:val="00913A0D"/>
    <w:rsid w:val="009147F5"/>
    <w:rsid w:val="0091507B"/>
    <w:rsid w:val="0091527F"/>
    <w:rsid w:val="00915474"/>
    <w:rsid w:val="00915EBD"/>
    <w:rsid w:val="00915EDF"/>
    <w:rsid w:val="00916A9D"/>
    <w:rsid w:val="00916E7C"/>
    <w:rsid w:val="00917B5A"/>
    <w:rsid w:val="00917E56"/>
    <w:rsid w:val="00920479"/>
    <w:rsid w:val="00920A58"/>
    <w:rsid w:val="00920A8C"/>
    <w:rsid w:val="0092111F"/>
    <w:rsid w:val="009225C8"/>
    <w:rsid w:val="00923EF8"/>
    <w:rsid w:val="00924B2F"/>
    <w:rsid w:val="0092529A"/>
    <w:rsid w:val="009257EB"/>
    <w:rsid w:val="00925F30"/>
    <w:rsid w:val="00930043"/>
    <w:rsid w:val="00930074"/>
    <w:rsid w:val="00930DAC"/>
    <w:rsid w:val="00930E6E"/>
    <w:rsid w:val="009312E9"/>
    <w:rsid w:val="009317D3"/>
    <w:rsid w:val="00931FA2"/>
    <w:rsid w:val="009339F4"/>
    <w:rsid w:val="00933DE4"/>
    <w:rsid w:val="00934A2C"/>
    <w:rsid w:val="00934E46"/>
    <w:rsid w:val="00935391"/>
    <w:rsid w:val="009355EE"/>
    <w:rsid w:val="0093689E"/>
    <w:rsid w:val="009373E4"/>
    <w:rsid w:val="009374D2"/>
    <w:rsid w:val="009376FC"/>
    <w:rsid w:val="009379F3"/>
    <w:rsid w:val="00937A06"/>
    <w:rsid w:val="009408E5"/>
    <w:rsid w:val="00940BF7"/>
    <w:rsid w:val="0094104A"/>
    <w:rsid w:val="009410C0"/>
    <w:rsid w:val="00941C6B"/>
    <w:rsid w:val="00941E39"/>
    <w:rsid w:val="009425E1"/>
    <w:rsid w:val="00942943"/>
    <w:rsid w:val="009430B7"/>
    <w:rsid w:val="009434B1"/>
    <w:rsid w:val="0094364F"/>
    <w:rsid w:val="009437C2"/>
    <w:rsid w:val="009439BD"/>
    <w:rsid w:val="00943C1B"/>
    <w:rsid w:val="009440A9"/>
    <w:rsid w:val="009447BD"/>
    <w:rsid w:val="00944ACF"/>
    <w:rsid w:val="00944D0E"/>
    <w:rsid w:val="0094648E"/>
    <w:rsid w:val="00946F48"/>
    <w:rsid w:val="00947239"/>
    <w:rsid w:val="00947246"/>
    <w:rsid w:val="009474A4"/>
    <w:rsid w:val="0094784F"/>
    <w:rsid w:val="00950075"/>
    <w:rsid w:val="00950496"/>
    <w:rsid w:val="00950994"/>
    <w:rsid w:val="009509BA"/>
    <w:rsid w:val="00951384"/>
    <w:rsid w:val="00951CBC"/>
    <w:rsid w:val="00952E6A"/>
    <w:rsid w:val="009530A1"/>
    <w:rsid w:val="0095455F"/>
    <w:rsid w:val="009545A4"/>
    <w:rsid w:val="00954E6B"/>
    <w:rsid w:val="00955152"/>
    <w:rsid w:val="009554CC"/>
    <w:rsid w:val="009557E1"/>
    <w:rsid w:val="00955C6A"/>
    <w:rsid w:val="00955C6C"/>
    <w:rsid w:val="00955CBF"/>
    <w:rsid w:val="00955FDF"/>
    <w:rsid w:val="009568E7"/>
    <w:rsid w:val="00957012"/>
    <w:rsid w:val="0095776F"/>
    <w:rsid w:val="00957A1E"/>
    <w:rsid w:val="00957C51"/>
    <w:rsid w:val="00960286"/>
    <w:rsid w:val="009608B7"/>
    <w:rsid w:val="009609E8"/>
    <w:rsid w:val="00960AB4"/>
    <w:rsid w:val="00963B17"/>
    <w:rsid w:val="00963F26"/>
    <w:rsid w:val="00963FAE"/>
    <w:rsid w:val="00963FC6"/>
    <w:rsid w:val="0096405F"/>
    <w:rsid w:val="009643B5"/>
    <w:rsid w:val="00964ADE"/>
    <w:rsid w:val="00964C48"/>
    <w:rsid w:val="009654B1"/>
    <w:rsid w:val="009656F0"/>
    <w:rsid w:val="00965797"/>
    <w:rsid w:val="00965970"/>
    <w:rsid w:val="00965DDD"/>
    <w:rsid w:val="00965FE0"/>
    <w:rsid w:val="0096620B"/>
    <w:rsid w:val="009667D4"/>
    <w:rsid w:val="00966966"/>
    <w:rsid w:val="009669D6"/>
    <w:rsid w:val="0096706E"/>
    <w:rsid w:val="009675AF"/>
    <w:rsid w:val="009677B4"/>
    <w:rsid w:val="00967917"/>
    <w:rsid w:val="00967A5A"/>
    <w:rsid w:val="009704CC"/>
    <w:rsid w:val="0097149B"/>
    <w:rsid w:val="009723CD"/>
    <w:rsid w:val="009729C3"/>
    <w:rsid w:val="0097354D"/>
    <w:rsid w:val="009744E1"/>
    <w:rsid w:val="0097499C"/>
    <w:rsid w:val="00975C4E"/>
    <w:rsid w:val="009761FF"/>
    <w:rsid w:val="00976227"/>
    <w:rsid w:val="00976A9F"/>
    <w:rsid w:val="00976F7E"/>
    <w:rsid w:val="00977687"/>
    <w:rsid w:val="00977833"/>
    <w:rsid w:val="00977BD6"/>
    <w:rsid w:val="009808DF"/>
    <w:rsid w:val="00981E6A"/>
    <w:rsid w:val="00981FBA"/>
    <w:rsid w:val="00982021"/>
    <w:rsid w:val="009821EB"/>
    <w:rsid w:val="0098248F"/>
    <w:rsid w:val="009825D8"/>
    <w:rsid w:val="00985AA4"/>
    <w:rsid w:val="00985BBF"/>
    <w:rsid w:val="00985C34"/>
    <w:rsid w:val="00985C42"/>
    <w:rsid w:val="009866C8"/>
    <w:rsid w:val="00986BCE"/>
    <w:rsid w:val="00986D7B"/>
    <w:rsid w:val="009872E7"/>
    <w:rsid w:val="0099065C"/>
    <w:rsid w:val="009908CF"/>
    <w:rsid w:val="00990EFF"/>
    <w:rsid w:val="009916EE"/>
    <w:rsid w:val="00992741"/>
    <w:rsid w:val="00992803"/>
    <w:rsid w:val="009936D9"/>
    <w:rsid w:val="00993720"/>
    <w:rsid w:val="00993E67"/>
    <w:rsid w:val="009943C0"/>
    <w:rsid w:val="0099661E"/>
    <w:rsid w:val="00997350"/>
    <w:rsid w:val="00997A8E"/>
    <w:rsid w:val="00997BC5"/>
    <w:rsid w:val="009A030A"/>
    <w:rsid w:val="009A0BD2"/>
    <w:rsid w:val="009A0BE3"/>
    <w:rsid w:val="009A194F"/>
    <w:rsid w:val="009A1F82"/>
    <w:rsid w:val="009A269B"/>
    <w:rsid w:val="009A278E"/>
    <w:rsid w:val="009A3628"/>
    <w:rsid w:val="009A3B0D"/>
    <w:rsid w:val="009A41DE"/>
    <w:rsid w:val="009A47B3"/>
    <w:rsid w:val="009A49B1"/>
    <w:rsid w:val="009A4F41"/>
    <w:rsid w:val="009A4F9D"/>
    <w:rsid w:val="009A5138"/>
    <w:rsid w:val="009A56BB"/>
    <w:rsid w:val="009A6A28"/>
    <w:rsid w:val="009A6C3B"/>
    <w:rsid w:val="009B0504"/>
    <w:rsid w:val="009B058D"/>
    <w:rsid w:val="009B0F0D"/>
    <w:rsid w:val="009B1949"/>
    <w:rsid w:val="009B1B84"/>
    <w:rsid w:val="009B1E82"/>
    <w:rsid w:val="009B2379"/>
    <w:rsid w:val="009B28CF"/>
    <w:rsid w:val="009B34F4"/>
    <w:rsid w:val="009B381B"/>
    <w:rsid w:val="009B410B"/>
    <w:rsid w:val="009B5BDC"/>
    <w:rsid w:val="009B5C50"/>
    <w:rsid w:val="009B5F96"/>
    <w:rsid w:val="009B6BCE"/>
    <w:rsid w:val="009B6BF9"/>
    <w:rsid w:val="009B6DF1"/>
    <w:rsid w:val="009B73DF"/>
    <w:rsid w:val="009C0439"/>
    <w:rsid w:val="009C1308"/>
    <w:rsid w:val="009C16CB"/>
    <w:rsid w:val="009C2416"/>
    <w:rsid w:val="009C265B"/>
    <w:rsid w:val="009C31F6"/>
    <w:rsid w:val="009C3434"/>
    <w:rsid w:val="009C3927"/>
    <w:rsid w:val="009C3AB7"/>
    <w:rsid w:val="009C3CCD"/>
    <w:rsid w:val="009C4B9A"/>
    <w:rsid w:val="009C4EAA"/>
    <w:rsid w:val="009C502D"/>
    <w:rsid w:val="009C50A4"/>
    <w:rsid w:val="009C67E0"/>
    <w:rsid w:val="009C6BFB"/>
    <w:rsid w:val="009C6D2C"/>
    <w:rsid w:val="009D0441"/>
    <w:rsid w:val="009D0D09"/>
    <w:rsid w:val="009D1378"/>
    <w:rsid w:val="009D1753"/>
    <w:rsid w:val="009D2D73"/>
    <w:rsid w:val="009D420F"/>
    <w:rsid w:val="009D42BD"/>
    <w:rsid w:val="009D44B5"/>
    <w:rsid w:val="009D451D"/>
    <w:rsid w:val="009D4B77"/>
    <w:rsid w:val="009D4D13"/>
    <w:rsid w:val="009D5597"/>
    <w:rsid w:val="009D5AC3"/>
    <w:rsid w:val="009D615E"/>
    <w:rsid w:val="009D646F"/>
    <w:rsid w:val="009D6B3F"/>
    <w:rsid w:val="009D70A3"/>
    <w:rsid w:val="009D7324"/>
    <w:rsid w:val="009D7611"/>
    <w:rsid w:val="009D76BD"/>
    <w:rsid w:val="009D7822"/>
    <w:rsid w:val="009D79F3"/>
    <w:rsid w:val="009D7D0B"/>
    <w:rsid w:val="009E063E"/>
    <w:rsid w:val="009E0805"/>
    <w:rsid w:val="009E0B61"/>
    <w:rsid w:val="009E0F8D"/>
    <w:rsid w:val="009E0F95"/>
    <w:rsid w:val="009E125F"/>
    <w:rsid w:val="009E1AC5"/>
    <w:rsid w:val="009E3433"/>
    <w:rsid w:val="009E36B6"/>
    <w:rsid w:val="009E53DE"/>
    <w:rsid w:val="009E5C2C"/>
    <w:rsid w:val="009E6A99"/>
    <w:rsid w:val="009E6A9E"/>
    <w:rsid w:val="009E6ABC"/>
    <w:rsid w:val="009E70B6"/>
    <w:rsid w:val="009E73EF"/>
    <w:rsid w:val="009E791D"/>
    <w:rsid w:val="009F0D68"/>
    <w:rsid w:val="009F18A1"/>
    <w:rsid w:val="009F19B7"/>
    <w:rsid w:val="009F1C5B"/>
    <w:rsid w:val="009F2459"/>
    <w:rsid w:val="009F253E"/>
    <w:rsid w:val="009F2E61"/>
    <w:rsid w:val="009F39B5"/>
    <w:rsid w:val="009F4867"/>
    <w:rsid w:val="009F4B8D"/>
    <w:rsid w:val="009F50A0"/>
    <w:rsid w:val="009F5D85"/>
    <w:rsid w:val="009F5DBA"/>
    <w:rsid w:val="009F5E04"/>
    <w:rsid w:val="009F68CA"/>
    <w:rsid w:val="009F694D"/>
    <w:rsid w:val="009F7182"/>
    <w:rsid w:val="009F7798"/>
    <w:rsid w:val="00A00035"/>
    <w:rsid w:val="00A00379"/>
    <w:rsid w:val="00A00DB9"/>
    <w:rsid w:val="00A018B8"/>
    <w:rsid w:val="00A01AB8"/>
    <w:rsid w:val="00A01E90"/>
    <w:rsid w:val="00A02315"/>
    <w:rsid w:val="00A0251B"/>
    <w:rsid w:val="00A02CE1"/>
    <w:rsid w:val="00A033BC"/>
    <w:rsid w:val="00A0371E"/>
    <w:rsid w:val="00A0374C"/>
    <w:rsid w:val="00A03A30"/>
    <w:rsid w:val="00A0436E"/>
    <w:rsid w:val="00A043BA"/>
    <w:rsid w:val="00A04C92"/>
    <w:rsid w:val="00A0532A"/>
    <w:rsid w:val="00A06139"/>
    <w:rsid w:val="00A064F7"/>
    <w:rsid w:val="00A06712"/>
    <w:rsid w:val="00A06921"/>
    <w:rsid w:val="00A06E03"/>
    <w:rsid w:val="00A06FCC"/>
    <w:rsid w:val="00A07E03"/>
    <w:rsid w:val="00A1023C"/>
    <w:rsid w:val="00A10248"/>
    <w:rsid w:val="00A10466"/>
    <w:rsid w:val="00A117B8"/>
    <w:rsid w:val="00A119C4"/>
    <w:rsid w:val="00A11B40"/>
    <w:rsid w:val="00A11D90"/>
    <w:rsid w:val="00A11E35"/>
    <w:rsid w:val="00A1284B"/>
    <w:rsid w:val="00A13668"/>
    <w:rsid w:val="00A13FB4"/>
    <w:rsid w:val="00A14323"/>
    <w:rsid w:val="00A14EE4"/>
    <w:rsid w:val="00A151AA"/>
    <w:rsid w:val="00A15AC3"/>
    <w:rsid w:val="00A15F1F"/>
    <w:rsid w:val="00A16268"/>
    <w:rsid w:val="00A170C8"/>
    <w:rsid w:val="00A174A3"/>
    <w:rsid w:val="00A200A8"/>
    <w:rsid w:val="00A20588"/>
    <w:rsid w:val="00A21383"/>
    <w:rsid w:val="00A21399"/>
    <w:rsid w:val="00A21B05"/>
    <w:rsid w:val="00A2323F"/>
    <w:rsid w:val="00A23702"/>
    <w:rsid w:val="00A23803"/>
    <w:rsid w:val="00A23BD2"/>
    <w:rsid w:val="00A23CBA"/>
    <w:rsid w:val="00A23CEE"/>
    <w:rsid w:val="00A243A2"/>
    <w:rsid w:val="00A24C82"/>
    <w:rsid w:val="00A25186"/>
    <w:rsid w:val="00A258A6"/>
    <w:rsid w:val="00A2598E"/>
    <w:rsid w:val="00A26037"/>
    <w:rsid w:val="00A26AE4"/>
    <w:rsid w:val="00A26E41"/>
    <w:rsid w:val="00A2752D"/>
    <w:rsid w:val="00A308D1"/>
    <w:rsid w:val="00A30C31"/>
    <w:rsid w:val="00A317BC"/>
    <w:rsid w:val="00A31A7D"/>
    <w:rsid w:val="00A31C1F"/>
    <w:rsid w:val="00A32208"/>
    <w:rsid w:val="00A325DB"/>
    <w:rsid w:val="00A32622"/>
    <w:rsid w:val="00A328B3"/>
    <w:rsid w:val="00A32952"/>
    <w:rsid w:val="00A32EA9"/>
    <w:rsid w:val="00A332E7"/>
    <w:rsid w:val="00A33B1E"/>
    <w:rsid w:val="00A34AE4"/>
    <w:rsid w:val="00A35F8A"/>
    <w:rsid w:val="00A3653E"/>
    <w:rsid w:val="00A36601"/>
    <w:rsid w:val="00A36A4F"/>
    <w:rsid w:val="00A36CB8"/>
    <w:rsid w:val="00A3718A"/>
    <w:rsid w:val="00A37935"/>
    <w:rsid w:val="00A37B74"/>
    <w:rsid w:val="00A40E3B"/>
    <w:rsid w:val="00A4161D"/>
    <w:rsid w:val="00A423BE"/>
    <w:rsid w:val="00A425B5"/>
    <w:rsid w:val="00A429AA"/>
    <w:rsid w:val="00A42CD6"/>
    <w:rsid w:val="00A42F65"/>
    <w:rsid w:val="00A4350C"/>
    <w:rsid w:val="00A4478F"/>
    <w:rsid w:val="00A44D6C"/>
    <w:rsid w:val="00A45AA3"/>
    <w:rsid w:val="00A4769C"/>
    <w:rsid w:val="00A50239"/>
    <w:rsid w:val="00A506AE"/>
    <w:rsid w:val="00A50FCF"/>
    <w:rsid w:val="00A511DD"/>
    <w:rsid w:val="00A51261"/>
    <w:rsid w:val="00A512A9"/>
    <w:rsid w:val="00A5193D"/>
    <w:rsid w:val="00A52446"/>
    <w:rsid w:val="00A528D1"/>
    <w:rsid w:val="00A52C45"/>
    <w:rsid w:val="00A52D64"/>
    <w:rsid w:val="00A5312D"/>
    <w:rsid w:val="00A533B1"/>
    <w:rsid w:val="00A549A8"/>
    <w:rsid w:val="00A55434"/>
    <w:rsid w:val="00A561BD"/>
    <w:rsid w:val="00A56290"/>
    <w:rsid w:val="00A56F26"/>
    <w:rsid w:val="00A57382"/>
    <w:rsid w:val="00A5769E"/>
    <w:rsid w:val="00A5780C"/>
    <w:rsid w:val="00A57A90"/>
    <w:rsid w:val="00A610CD"/>
    <w:rsid w:val="00A61247"/>
    <w:rsid w:val="00A613C0"/>
    <w:rsid w:val="00A613D7"/>
    <w:rsid w:val="00A6175F"/>
    <w:rsid w:val="00A622F6"/>
    <w:rsid w:val="00A626AE"/>
    <w:rsid w:val="00A62E6F"/>
    <w:rsid w:val="00A633B5"/>
    <w:rsid w:val="00A63A45"/>
    <w:rsid w:val="00A63E05"/>
    <w:rsid w:val="00A640A2"/>
    <w:rsid w:val="00A64128"/>
    <w:rsid w:val="00A648CF"/>
    <w:rsid w:val="00A65251"/>
    <w:rsid w:val="00A65601"/>
    <w:rsid w:val="00A65744"/>
    <w:rsid w:val="00A6582B"/>
    <w:rsid w:val="00A65B75"/>
    <w:rsid w:val="00A66293"/>
    <w:rsid w:val="00A66C54"/>
    <w:rsid w:val="00A671BD"/>
    <w:rsid w:val="00A67C36"/>
    <w:rsid w:val="00A67E8C"/>
    <w:rsid w:val="00A67F58"/>
    <w:rsid w:val="00A704E4"/>
    <w:rsid w:val="00A70E16"/>
    <w:rsid w:val="00A710FA"/>
    <w:rsid w:val="00A711AF"/>
    <w:rsid w:val="00A7147F"/>
    <w:rsid w:val="00A7212D"/>
    <w:rsid w:val="00A727B8"/>
    <w:rsid w:val="00A727FB"/>
    <w:rsid w:val="00A72B52"/>
    <w:rsid w:val="00A72C66"/>
    <w:rsid w:val="00A72DE3"/>
    <w:rsid w:val="00A74E57"/>
    <w:rsid w:val="00A74EAE"/>
    <w:rsid w:val="00A74FB0"/>
    <w:rsid w:val="00A75E63"/>
    <w:rsid w:val="00A75F1F"/>
    <w:rsid w:val="00A76FB5"/>
    <w:rsid w:val="00A772DE"/>
    <w:rsid w:val="00A77528"/>
    <w:rsid w:val="00A7759C"/>
    <w:rsid w:val="00A77CC4"/>
    <w:rsid w:val="00A80FC8"/>
    <w:rsid w:val="00A814FA"/>
    <w:rsid w:val="00A81AA6"/>
    <w:rsid w:val="00A84274"/>
    <w:rsid w:val="00A867FA"/>
    <w:rsid w:val="00A869D7"/>
    <w:rsid w:val="00A86CE0"/>
    <w:rsid w:val="00A873C6"/>
    <w:rsid w:val="00A912E4"/>
    <w:rsid w:val="00A916A5"/>
    <w:rsid w:val="00A91B5F"/>
    <w:rsid w:val="00A91D13"/>
    <w:rsid w:val="00A92735"/>
    <w:rsid w:val="00A92978"/>
    <w:rsid w:val="00A9298C"/>
    <w:rsid w:val="00A93B76"/>
    <w:rsid w:val="00A9444E"/>
    <w:rsid w:val="00A949C8"/>
    <w:rsid w:val="00A94D87"/>
    <w:rsid w:val="00A95266"/>
    <w:rsid w:val="00A95767"/>
    <w:rsid w:val="00A9586B"/>
    <w:rsid w:val="00A96147"/>
    <w:rsid w:val="00A9671D"/>
    <w:rsid w:val="00A96D0E"/>
    <w:rsid w:val="00A97044"/>
    <w:rsid w:val="00A97286"/>
    <w:rsid w:val="00A97408"/>
    <w:rsid w:val="00A97656"/>
    <w:rsid w:val="00AA05B1"/>
    <w:rsid w:val="00AA09A2"/>
    <w:rsid w:val="00AA0D6A"/>
    <w:rsid w:val="00AA0DCB"/>
    <w:rsid w:val="00AA1BD5"/>
    <w:rsid w:val="00AA1FF6"/>
    <w:rsid w:val="00AA29BC"/>
    <w:rsid w:val="00AA3891"/>
    <w:rsid w:val="00AA3D1B"/>
    <w:rsid w:val="00AA3E31"/>
    <w:rsid w:val="00AA40C8"/>
    <w:rsid w:val="00AA44F2"/>
    <w:rsid w:val="00AA617B"/>
    <w:rsid w:val="00AA63BE"/>
    <w:rsid w:val="00AA6658"/>
    <w:rsid w:val="00AA6C3F"/>
    <w:rsid w:val="00AA72A1"/>
    <w:rsid w:val="00AA73BD"/>
    <w:rsid w:val="00AA7795"/>
    <w:rsid w:val="00AA7996"/>
    <w:rsid w:val="00AA7CAD"/>
    <w:rsid w:val="00AB0041"/>
    <w:rsid w:val="00AB0326"/>
    <w:rsid w:val="00AB0A85"/>
    <w:rsid w:val="00AB0F51"/>
    <w:rsid w:val="00AB143A"/>
    <w:rsid w:val="00AB1808"/>
    <w:rsid w:val="00AB1920"/>
    <w:rsid w:val="00AB28B4"/>
    <w:rsid w:val="00AB2AF0"/>
    <w:rsid w:val="00AB2C08"/>
    <w:rsid w:val="00AB3A26"/>
    <w:rsid w:val="00AB3FCC"/>
    <w:rsid w:val="00AB4802"/>
    <w:rsid w:val="00AB49F5"/>
    <w:rsid w:val="00AB5CEB"/>
    <w:rsid w:val="00AB6640"/>
    <w:rsid w:val="00AB77FB"/>
    <w:rsid w:val="00AC000B"/>
    <w:rsid w:val="00AC052D"/>
    <w:rsid w:val="00AC0C13"/>
    <w:rsid w:val="00AC19CB"/>
    <w:rsid w:val="00AC1FA5"/>
    <w:rsid w:val="00AC284E"/>
    <w:rsid w:val="00AC2D19"/>
    <w:rsid w:val="00AC30A5"/>
    <w:rsid w:val="00AC30F9"/>
    <w:rsid w:val="00AC3C3E"/>
    <w:rsid w:val="00AC4A6D"/>
    <w:rsid w:val="00AC4F0A"/>
    <w:rsid w:val="00AC532C"/>
    <w:rsid w:val="00AC55D4"/>
    <w:rsid w:val="00AC7DCD"/>
    <w:rsid w:val="00AD0041"/>
    <w:rsid w:val="00AD0393"/>
    <w:rsid w:val="00AD0446"/>
    <w:rsid w:val="00AD077C"/>
    <w:rsid w:val="00AD15A7"/>
    <w:rsid w:val="00AD2855"/>
    <w:rsid w:val="00AD28E6"/>
    <w:rsid w:val="00AD2A35"/>
    <w:rsid w:val="00AD3186"/>
    <w:rsid w:val="00AD3A60"/>
    <w:rsid w:val="00AD4C3B"/>
    <w:rsid w:val="00AD525A"/>
    <w:rsid w:val="00AD5CC9"/>
    <w:rsid w:val="00AD6004"/>
    <w:rsid w:val="00AD68B1"/>
    <w:rsid w:val="00AD6974"/>
    <w:rsid w:val="00AD6995"/>
    <w:rsid w:val="00AD6EDB"/>
    <w:rsid w:val="00AD7B14"/>
    <w:rsid w:val="00AE0967"/>
    <w:rsid w:val="00AE0BBA"/>
    <w:rsid w:val="00AE0C42"/>
    <w:rsid w:val="00AE0DD5"/>
    <w:rsid w:val="00AE1EAE"/>
    <w:rsid w:val="00AE21AA"/>
    <w:rsid w:val="00AE258E"/>
    <w:rsid w:val="00AE3F03"/>
    <w:rsid w:val="00AE40C2"/>
    <w:rsid w:val="00AE45DA"/>
    <w:rsid w:val="00AE4992"/>
    <w:rsid w:val="00AE4DE1"/>
    <w:rsid w:val="00AE538C"/>
    <w:rsid w:val="00AE5488"/>
    <w:rsid w:val="00AE560B"/>
    <w:rsid w:val="00AE5686"/>
    <w:rsid w:val="00AE61A5"/>
    <w:rsid w:val="00AE6F91"/>
    <w:rsid w:val="00AE7353"/>
    <w:rsid w:val="00AE7427"/>
    <w:rsid w:val="00AF0C06"/>
    <w:rsid w:val="00AF2525"/>
    <w:rsid w:val="00AF2ECD"/>
    <w:rsid w:val="00AF2F7C"/>
    <w:rsid w:val="00AF38C5"/>
    <w:rsid w:val="00AF5571"/>
    <w:rsid w:val="00AF5576"/>
    <w:rsid w:val="00AF57B0"/>
    <w:rsid w:val="00AF5B30"/>
    <w:rsid w:val="00AF5B87"/>
    <w:rsid w:val="00AF6038"/>
    <w:rsid w:val="00AF631A"/>
    <w:rsid w:val="00AF6D45"/>
    <w:rsid w:val="00AF793E"/>
    <w:rsid w:val="00AF7988"/>
    <w:rsid w:val="00AF7A3E"/>
    <w:rsid w:val="00B008EC"/>
    <w:rsid w:val="00B00DA9"/>
    <w:rsid w:val="00B01334"/>
    <w:rsid w:val="00B0179B"/>
    <w:rsid w:val="00B01E57"/>
    <w:rsid w:val="00B02A92"/>
    <w:rsid w:val="00B02D3C"/>
    <w:rsid w:val="00B03D8F"/>
    <w:rsid w:val="00B03FB3"/>
    <w:rsid w:val="00B045DE"/>
    <w:rsid w:val="00B05650"/>
    <w:rsid w:val="00B0607F"/>
    <w:rsid w:val="00B0624D"/>
    <w:rsid w:val="00B063D9"/>
    <w:rsid w:val="00B065A6"/>
    <w:rsid w:val="00B06AA2"/>
    <w:rsid w:val="00B07184"/>
    <w:rsid w:val="00B071F1"/>
    <w:rsid w:val="00B07341"/>
    <w:rsid w:val="00B079F6"/>
    <w:rsid w:val="00B07CCF"/>
    <w:rsid w:val="00B10F6E"/>
    <w:rsid w:val="00B11B9A"/>
    <w:rsid w:val="00B122A1"/>
    <w:rsid w:val="00B129A6"/>
    <w:rsid w:val="00B13B62"/>
    <w:rsid w:val="00B13D25"/>
    <w:rsid w:val="00B13E29"/>
    <w:rsid w:val="00B14DF5"/>
    <w:rsid w:val="00B15283"/>
    <w:rsid w:val="00B15B2C"/>
    <w:rsid w:val="00B16099"/>
    <w:rsid w:val="00B16146"/>
    <w:rsid w:val="00B164EC"/>
    <w:rsid w:val="00B16BE9"/>
    <w:rsid w:val="00B17994"/>
    <w:rsid w:val="00B17E1F"/>
    <w:rsid w:val="00B215D4"/>
    <w:rsid w:val="00B21DF6"/>
    <w:rsid w:val="00B222C9"/>
    <w:rsid w:val="00B22372"/>
    <w:rsid w:val="00B228DC"/>
    <w:rsid w:val="00B229B4"/>
    <w:rsid w:val="00B2325D"/>
    <w:rsid w:val="00B23472"/>
    <w:rsid w:val="00B2380C"/>
    <w:rsid w:val="00B23BFE"/>
    <w:rsid w:val="00B2402C"/>
    <w:rsid w:val="00B2409D"/>
    <w:rsid w:val="00B24FB1"/>
    <w:rsid w:val="00B256A5"/>
    <w:rsid w:val="00B25904"/>
    <w:rsid w:val="00B25DB9"/>
    <w:rsid w:val="00B26F78"/>
    <w:rsid w:val="00B303AF"/>
    <w:rsid w:val="00B30539"/>
    <w:rsid w:val="00B308FA"/>
    <w:rsid w:val="00B30ED4"/>
    <w:rsid w:val="00B314DB"/>
    <w:rsid w:val="00B31CAB"/>
    <w:rsid w:val="00B320F4"/>
    <w:rsid w:val="00B32F9C"/>
    <w:rsid w:val="00B33764"/>
    <w:rsid w:val="00B33894"/>
    <w:rsid w:val="00B33C25"/>
    <w:rsid w:val="00B33D77"/>
    <w:rsid w:val="00B349EA"/>
    <w:rsid w:val="00B34CE7"/>
    <w:rsid w:val="00B35424"/>
    <w:rsid w:val="00B361F2"/>
    <w:rsid w:val="00B369AC"/>
    <w:rsid w:val="00B36BCE"/>
    <w:rsid w:val="00B3718B"/>
    <w:rsid w:val="00B378BE"/>
    <w:rsid w:val="00B405AB"/>
    <w:rsid w:val="00B40896"/>
    <w:rsid w:val="00B40BD0"/>
    <w:rsid w:val="00B40F74"/>
    <w:rsid w:val="00B4200F"/>
    <w:rsid w:val="00B4252D"/>
    <w:rsid w:val="00B427B7"/>
    <w:rsid w:val="00B42A18"/>
    <w:rsid w:val="00B42A78"/>
    <w:rsid w:val="00B42BFD"/>
    <w:rsid w:val="00B42E7A"/>
    <w:rsid w:val="00B44347"/>
    <w:rsid w:val="00B4632A"/>
    <w:rsid w:val="00B46588"/>
    <w:rsid w:val="00B46B35"/>
    <w:rsid w:val="00B46E29"/>
    <w:rsid w:val="00B46F1C"/>
    <w:rsid w:val="00B479B9"/>
    <w:rsid w:val="00B50215"/>
    <w:rsid w:val="00B50984"/>
    <w:rsid w:val="00B513B1"/>
    <w:rsid w:val="00B5172D"/>
    <w:rsid w:val="00B52C05"/>
    <w:rsid w:val="00B52FC3"/>
    <w:rsid w:val="00B530F1"/>
    <w:rsid w:val="00B533A7"/>
    <w:rsid w:val="00B53B6D"/>
    <w:rsid w:val="00B53D21"/>
    <w:rsid w:val="00B54A0C"/>
    <w:rsid w:val="00B54C2F"/>
    <w:rsid w:val="00B54CA3"/>
    <w:rsid w:val="00B55098"/>
    <w:rsid w:val="00B55EEE"/>
    <w:rsid w:val="00B5619E"/>
    <w:rsid w:val="00B56DDB"/>
    <w:rsid w:val="00B57A0A"/>
    <w:rsid w:val="00B60253"/>
    <w:rsid w:val="00B60AC3"/>
    <w:rsid w:val="00B615CC"/>
    <w:rsid w:val="00B61FF0"/>
    <w:rsid w:val="00B62C7E"/>
    <w:rsid w:val="00B632D6"/>
    <w:rsid w:val="00B6374A"/>
    <w:rsid w:val="00B6565B"/>
    <w:rsid w:val="00B6615F"/>
    <w:rsid w:val="00B6638B"/>
    <w:rsid w:val="00B665E5"/>
    <w:rsid w:val="00B66AB5"/>
    <w:rsid w:val="00B67999"/>
    <w:rsid w:val="00B704EE"/>
    <w:rsid w:val="00B70D71"/>
    <w:rsid w:val="00B71451"/>
    <w:rsid w:val="00B73186"/>
    <w:rsid w:val="00B74537"/>
    <w:rsid w:val="00B74E27"/>
    <w:rsid w:val="00B75208"/>
    <w:rsid w:val="00B767AD"/>
    <w:rsid w:val="00B76B8E"/>
    <w:rsid w:val="00B76C96"/>
    <w:rsid w:val="00B76E3C"/>
    <w:rsid w:val="00B76E83"/>
    <w:rsid w:val="00B77436"/>
    <w:rsid w:val="00B77980"/>
    <w:rsid w:val="00B77AA2"/>
    <w:rsid w:val="00B805E8"/>
    <w:rsid w:val="00B80B03"/>
    <w:rsid w:val="00B81095"/>
    <w:rsid w:val="00B81EBB"/>
    <w:rsid w:val="00B82131"/>
    <w:rsid w:val="00B821DC"/>
    <w:rsid w:val="00B82A60"/>
    <w:rsid w:val="00B82FA7"/>
    <w:rsid w:val="00B83136"/>
    <w:rsid w:val="00B8327E"/>
    <w:rsid w:val="00B83FE4"/>
    <w:rsid w:val="00B84D99"/>
    <w:rsid w:val="00B850CE"/>
    <w:rsid w:val="00B85700"/>
    <w:rsid w:val="00B859F8"/>
    <w:rsid w:val="00B85FA6"/>
    <w:rsid w:val="00B86162"/>
    <w:rsid w:val="00B863CD"/>
    <w:rsid w:val="00B8668E"/>
    <w:rsid w:val="00B86AE0"/>
    <w:rsid w:val="00B86E74"/>
    <w:rsid w:val="00B87050"/>
    <w:rsid w:val="00B8755E"/>
    <w:rsid w:val="00B87CF5"/>
    <w:rsid w:val="00B910A6"/>
    <w:rsid w:val="00B91DB8"/>
    <w:rsid w:val="00B921B1"/>
    <w:rsid w:val="00B92BFD"/>
    <w:rsid w:val="00B92E13"/>
    <w:rsid w:val="00B930FB"/>
    <w:rsid w:val="00B93EEA"/>
    <w:rsid w:val="00B93FDC"/>
    <w:rsid w:val="00B947D6"/>
    <w:rsid w:val="00B947DD"/>
    <w:rsid w:val="00B94B64"/>
    <w:rsid w:val="00B94E18"/>
    <w:rsid w:val="00B9537A"/>
    <w:rsid w:val="00B9542F"/>
    <w:rsid w:val="00B9549A"/>
    <w:rsid w:val="00B96642"/>
    <w:rsid w:val="00B97632"/>
    <w:rsid w:val="00B976DF"/>
    <w:rsid w:val="00B9789F"/>
    <w:rsid w:val="00B97B04"/>
    <w:rsid w:val="00B97C02"/>
    <w:rsid w:val="00BA217C"/>
    <w:rsid w:val="00BA2701"/>
    <w:rsid w:val="00BA276C"/>
    <w:rsid w:val="00BA303A"/>
    <w:rsid w:val="00BA30BC"/>
    <w:rsid w:val="00BA3219"/>
    <w:rsid w:val="00BA37F2"/>
    <w:rsid w:val="00BA461E"/>
    <w:rsid w:val="00BA468F"/>
    <w:rsid w:val="00BA47FF"/>
    <w:rsid w:val="00BA4D2E"/>
    <w:rsid w:val="00BA52EB"/>
    <w:rsid w:val="00BA593E"/>
    <w:rsid w:val="00BA5AB9"/>
    <w:rsid w:val="00BA5E2F"/>
    <w:rsid w:val="00BA76DB"/>
    <w:rsid w:val="00BB056D"/>
    <w:rsid w:val="00BB103F"/>
    <w:rsid w:val="00BB17C0"/>
    <w:rsid w:val="00BB2264"/>
    <w:rsid w:val="00BB306F"/>
    <w:rsid w:val="00BB3ABE"/>
    <w:rsid w:val="00BB41C1"/>
    <w:rsid w:val="00BB5B9C"/>
    <w:rsid w:val="00BB5D00"/>
    <w:rsid w:val="00BB627B"/>
    <w:rsid w:val="00BB62D2"/>
    <w:rsid w:val="00BB6487"/>
    <w:rsid w:val="00BB68C4"/>
    <w:rsid w:val="00BB75FA"/>
    <w:rsid w:val="00BC0749"/>
    <w:rsid w:val="00BC0DFD"/>
    <w:rsid w:val="00BC1180"/>
    <w:rsid w:val="00BC11E7"/>
    <w:rsid w:val="00BC1A04"/>
    <w:rsid w:val="00BC4303"/>
    <w:rsid w:val="00BC431D"/>
    <w:rsid w:val="00BC4B2D"/>
    <w:rsid w:val="00BC504F"/>
    <w:rsid w:val="00BC5854"/>
    <w:rsid w:val="00BC6167"/>
    <w:rsid w:val="00BC664D"/>
    <w:rsid w:val="00BC773E"/>
    <w:rsid w:val="00BC7AD3"/>
    <w:rsid w:val="00BC7FFB"/>
    <w:rsid w:val="00BD0810"/>
    <w:rsid w:val="00BD0BC2"/>
    <w:rsid w:val="00BD2561"/>
    <w:rsid w:val="00BD2AE2"/>
    <w:rsid w:val="00BD2F46"/>
    <w:rsid w:val="00BD32EC"/>
    <w:rsid w:val="00BD39C9"/>
    <w:rsid w:val="00BD3C85"/>
    <w:rsid w:val="00BD400B"/>
    <w:rsid w:val="00BD47A1"/>
    <w:rsid w:val="00BD4B89"/>
    <w:rsid w:val="00BD5103"/>
    <w:rsid w:val="00BD5DDF"/>
    <w:rsid w:val="00BD620F"/>
    <w:rsid w:val="00BE07BF"/>
    <w:rsid w:val="00BE091D"/>
    <w:rsid w:val="00BE13DB"/>
    <w:rsid w:val="00BE17D8"/>
    <w:rsid w:val="00BE1937"/>
    <w:rsid w:val="00BE1987"/>
    <w:rsid w:val="00BE2211"/>
    <w:rsid w:val="00BE277E"/>
    <w:rsid w:val="00BE35F4"/>
    <w:rsid w:val="00BE368D"/>
    <w:rsid w:val="00BE378C"/>
    <w:rsid w:val="00BE3B63"/>
    <w:rsid w:val="00BE42C5"/>
    <w:rsid w:val="00BE5B4A"/>
    <w:rsid w:val="00BE64D6"/>
    <w:rsid w:val="00BE6907"/>
    <w:rsid w:val="00BE70C3"/>
    <w:rsid w:val="00BE7CEE"/>
    <w:rsid w:val="00BE7D94"/>
    <w:rsid w:val="00BF02CB"/>
    <w:rsid w:val="00BF0DEB"/>
    <w:rsid w:val="00BF10E3"/>
    <w:rsid w:val="00BF11D3"/>
    <w:rsid w:val="00BF1664"/>
    <w:rsid w:val="00BF2308"/>
    <w:rsid w:val="00BF3031"/>
    <w:rsid w:val="00BF3092"/>
    <w:rsid w:val="00BF316F"/>
    <w:rsid w:val="00BF5C21"/>
    <w:rsid w:val="00BF5DFB"/>
    <w:rsid w:val="00BF6912"/>
    <w:rsid w:val="00BF6FD8"/>
    <w:rsid w:val="00BF7059"/>
    <w:rsid w:val="00BF77D4"/>
    <w:rsid w:val="00C006B4"/>
    <w:rsid w:val="00C00BEB"/>
    <w:rsid w:val="00C00DE5"/>
    <w:rsid w:val="00C014EC"/>
    <w:rsid w:val="00C01616"/>
    <w:rsid w:val="00C01977"/>
    <w:rsid w:val="00C0306C"/>
    <w:rsid w:val="00C03244"/>
    <w:rsid w:val="00C035E5"/>
    <w:rsid w:val="00C03680"/>
    <w:rsid w:val="00C03863"/>
    <w:rsid w:val="00C04025"/>
    <w:rsid w:val="00C04B2D"/>
    <w:rsid w:val="00C04CA1"/>
    <w:rsid w:val="00C04D7B"/>
    <w:rsid w:val="00C04F51"/>
    <w:rsid w:val="00C05161"/>
    <w:rsid w:val="00C0517D"/>
    <w:rsid w:val="00C0534B"/>
    <w:rsid w:val="00C054DF"/>
    <w:rsid w:val="00C058ED"/>
    <w:rsid w:val="00C05A45"/>
    <w:rsid w:val="00C06456"/>
    <w:rsid w:val="00C06EC9"/>
    <w:rsid w:val="00C07AA0"/>
    <w:rsid w:val="00C10621"/>
    <w:rsid w:val="00C107E8"/>
    <w:rsid w:val="00C115D3"/>
    <w:rsid w:val="00C11DC1"/>
    <w:rsid w:val="00C12386"/>
    <w:rsid w:val="00C13277"/>
    <w:rsid w:val="00C13AB8"/>
    <w:rsid w:val="00C13BDA"/>
    <w:rsid w:val="00C146AF"/>
    <w:rsid w:val="00C14743"/>
    <w:rsid w:val="00C1474B"/>
    <w:rsid w:val="00C14761"/>
    <w:rsid w:val="00C152E5"/>
    <w:rsid w:val="00C1550A"/>
    <w:rsid w:val="00C15799"/>
    <w:rsid w:val="00C15893"/>
    <w:rsid w:val="00C1769B"/>
    <w:rsid w:val="00C179F1"/>
    <w:rsid w:val="00C20581"/>
    <w:rsid w:val="00C214AE"/>
    <w:rsid w:val="00C215AF"/>
    <w:rsid w:val="00C21762"/>
    <w:rsid w:val="00C2227E"/>
    <w:rsid w:val="00C22764"/>
    <w:rsid w:val="00C22BCC"/>
    <w:rsid w:val="00C22CB6"/>
    <w:rsid w:val="00C233F3"/>
    <w:rsid w:val="00C23A2E"/>
    <w:rsid w:val="00C24543"/>
    <w:rsid w:val="00C24D37"/>
    <w:rsid w:val="00C25459"/>
    <w:rsid w:val="00C25504"/>
    <w:rsid w:val="00C2552B"/>
    <w:rsid w:val="00C256A2"/>
    <w:rsid w:val="00C259C0"/>
    <w:rsid w:val="00C25E1F"/>
    <w:rsid w:val="00C25EA5"/>
    <w:rsid w:val="00C26BE9"/>
    <w:rsid w:val="00C307E6"/>
    <w:rsid w:val="00C30A8C"/>
    <w:rsid w:val="00C318CC"/>
    <w:rsid w:val="00C32096"/>
    <w:rsid w:val="00C32172"/>
    <w:rsid w:val="00C324C8"/>
    <w:rsid w:val="00C326F6"/>
    <w:rsid w:val="00C32E19"/>
    <w:rsid w:val="00C3379D"/>
    <w:rsid w:val="00C338D8"/>
    <w:rsid w:val="00C33BC0"/>
    <w:rsid w:val="00C36479"/>
    <w:rsid w:val="00C36798"/>
    <w:rsid w:val="00C36F4F"/>
    <w:rsid w:val="00C405E4"/>
    <w:rsid w:val="00C40789"/>
    <w:rsid w:val="00C407E4"/>
    <w:rsid w:val="00C4089D"/>
    <w:rsid w:val="00C40C7C"/>
    <w:rsid w:val="00C43429"/>
    <w:rsid w:val="00C44454"/>
    <w:rsid w:val="00C446B9"/>
    <w:rsid w:val="00C44F9E"/>
    <w:rsid w:val="00C450AB"/>
    <w:rsid w:val="00C45A80"/>
    <w:rsid w:val="00C46141"/>
    <w:rsid w:val="00C46EE5"/>
    <w:rsid w:val="00C471D8"/>
    <w:rsid w:val="00C47598"/>
    <w:rsid w:val="00C50251"/>
    <w:rsid w:val="00C50D09"/>
    <w:rsid w:val="00C51515"/>
    <w:rsid w:val="00C51891"/>
    <w:rsid w:val="00C51BB3"/>
    <w:rsid w:val="00C52472"/>
    <w:rsid w:val="00C52AA0"/>
    <w:rsid w:val="00C52AE7"/>
    <w:rsid w:val="00C53787"/>
    <w:rsid w:val="00C5436F"/>
    <w:rsid w:val="00C545C9"/>
    <w:rsid w:val="00C55382"/>
    <w:rsid w:val="00C55B05"/>
    <w:rsid w:val="00C5660B"/>
    <w:rsid w:val="00C57070"/>
    <w:rsid w:val="00C57E86"/>
    <w:rsid w:val="00C602D8"/>
    <w:rsid w:val="00C60624"/>
    <w:rsid w:val="00C606D1"/>
    <w:rsid w:val="00C607F8"/>
    <w:rsid w:val="00C609F3"/>
    <w:rsid w:val="00C6109F"/>
    <w:rsid w:val="00C61516"/>
    <w:rsid w:val="00C625B6"/>
    <w:rsid w:val="00C62A75"/>
    <w:rsid w:val="00C63037"/>
    <w:rsid w:val="00C63397"/>
    <w:rsid w:val="00C63ED6"/>
    <w:rsid w:val="00C64166"/>
    <w:rsid w:val="00C64234"/>
    <w:rsid w:val="00C64CE1"/>
    <w:rsid w:val="00C64EB8"/>
    <w:rsid w:val="00C65674"/>
    <w:rsid w:val="00C656E1"/>
    <w:rsid w:val="00C65C92"/>
    <w:rsid w:val="00C65FE6"/>
    <w:rsid w:val="00C668B7"/>
    <w:rsid w:val="00C669F4"/>
    <w:rsid w:val="00C66B09"/>
    <w:rsid w:val="00C66B72"/>
    <w:rsid w:val="00C66E28"/>
    <w:rsid w:val="00C67242"/>
    <w:rsid w:val="00C67768"/>
    <w:rsid w:val="00C67C81"/>
    <w:rsid w:val="00C708A6"/>
    <w:rsid w:val="00C70A9A"/>
    <w:rsid w:val="00C70B4D"/>
    <w:rsid w:val="00C73091"/>
    <w:rsid w:val="00C74420"/>
    <w:rsid w:val="00C75282"/>
    <w:rsid w:val="00C779D2"/>
    <w:rsid w:val="00C80A5B"/>
    <w:rsid w:val="00C80B98"/>
    <w:rsid w:val="00C80CD8"/>
    <w:rsid w:val="00C80D1F"/>
    <w:rsid w:val="00C810D8"/>
    <w:rsid w:val="00C816BB"/>
    <w:rsid w:val="00C82428"/>
    <w:rsid w:val="00C82B97"/>
    <w:rsid w:val="00C8366C"/>
    <w:rsid w:val="00C836AB"/>
    <w:rsid w:val="00C83F14"/>
    <w:rsid w:val="00C8474C"/>
    <w:rsid w:val="00C85503"/>
    <w:rsid w:val="00C858D4"/>
    <w:rsid w:val="00C85ABB"/>
    <w:rsid w:val="00C85AE6"/>
    <w:rsid w:val="00C85BFD"/>
    <w:rsid w:val="00C86193"/>
    <w:rsid w:val="00C86F13"/>
    <w:rsid w:val="00C875F9"/>
    <w:rsid w:val="00C9063D"/>
    <w:rsid w:val="00C90BE8"/>
    <w:rsid w:val="00C90E0C"/>
    <w:rsid w:val="00C91FD4"/>
    <w:rsid w:val="00C92CA3"/>
    <w:rsid w:val="00C952BE"/>
    <w:rsid w:val="00C955D3"/>
    <w:rsid w:val="00C9567A"/>
    <w:rsid w:val="00C956BD"/>
    <w:rsid w:val="00C95A3D"/>
    <w:rsid w:val="00C95A8A"/>
    <w:rsid w:val="00C95ECA"/>
    <w:rsid w:val="00C96AF4"/>
    <w:rsid w:val="00C9708B"/>
    <w:rsid w:val="00C97129"/>
    <w:rsid w:val="00C97747"/>
    <w:rsid w:val="00CA1292"/>
    <w:rsid w:val="00CA13C7"/>
    <w:rsid w:val="00CA23D2"/>
    <w:rsid w:val="00CA2F31"/>
    <w:rsid w:val="00CA39AC"/>
    <w:rsid w:val="00CA4197"/>
    <w:rsid w:val="00CA44B1"/>
    <w:rsid w:val="00CA4801"/>
    <w:rsid w:val="00CA488B"/>
    <w:rsid w:val="00CA5158"/>
    <w:rsid w:val="00CA5599"/>
    <w:rsid w:val="00CA5AC0"/>
    <w:rsid w:val="00CA5B42"/>
    <w:rsid w:val="00CA667E"/>
    <w:rsid w:val="00CA6701"/>
    <w:rsid w:val="00CA6B2D"/>
    <w:rsid w:val="00CA711A"/>
    <w:rsid w:val="00CA7224"/>
    <w:rsid w:val="00CA7962"/>
    <w:rsid w:val="00CB01FD"/>
    <w:rsid w:val="00CB0B97"/>
    <w:rsid w:val="00CB0F6D"/>
    <w:rsid w:val="00CB1009"/>
    <w:rsid w:val="00CB212D"/>
    <w:rsid w:val="00CB244D"/>
    <w:rsid w:val="00CB2583"/>
    <w:rsid w:val="00CB2660"/>
    <w:rsid w:val="00CB309A"/>
    <w:rsid w:val="00CB4115"/>
    <w:rsid w:val="00CB5DAA"/>
    <w:rsid w:val="00CB64AA"/>
    <w:rsid w:val="00CB6E91"/>
    <w:rsid w:val="00CB6F5F"/>
    <w:rsid w:val="00CB6F94"/>
    <w:rsid w:val="00CB74D9"/>
    <w:rsid w:val="00CB7A06"/>
    <w:rsid w:val="00CB7B53"/>
    <w:rsid w:val="00CC08E2"/>
    <w:rsid w:val="00CC1656"/>
    <w:rsid w:val="00CC20EC"/>
    <w:rsid w:val="00CC2CCB"/>
    <w:rsid w:val="00CC3245"/>
    <w:rsid w:val="00CC3E80"/>
    <w:rsid w:val="00CC47BB"/>
    <w:rsid w:val="00CC4B48"/>
    <w:rsid w:val="00CC573A"/>
    <w:rsid w:val="00CC587D"/>
    <w:rsid w:val="00CC5E90"/>
    <w:rsid w:val="00CC6049"/>
    <w:rsid w:val="00CC61D1"/>
    <w:rsid w:val="00CC63CF"/>
    <w:rsid w:val="00CC6665"/>
    <w:rsid w:val="00CC6C2B"/>
    <w:rsid w:val="00CC7216"/>
    <w:rsid w:val="00CC727C"/>
    <w:rsid w:val="00CD033A"/>
    <w:rsid w:val="00CD046C"/>
    <w:rsid w:val="00CD05AD"/>
    <w:rsid w:val="00CD10C5"/>
    <w:rsid w:val="00CD12A2"/>
    <w:rsid w:val="00CD2AF6"/>
    <w:rsid w:val="00CD37F2"/>
    <w:rsid w:val="00CD3AC5"/>
    <w:rsid w:val="00CD4B36"/>
    <w:rsid w:val="00CD5A34"/>
    <w:rsid w:val="00CD5B28"/>
    <w:rsid w:val="00CD6248"/>
    <w:rsid w:val="00CD6F68"/>
    <w:rsid w:val="00CD7B9A"/>
    <w:rsid w:val="00CE076C"/>
    <w:rsid w:val="00CE0BAF"/>
    <w:rsid w:val="00CE0BE8"/>
    <w:rsid w:val="00CE17FF"/>
    <w:rsid w:val="00CE1C94"/>
    <w:rsid w:val="00CE1D1D"/>
    <w:rsid w:val="00CE20A4"/>
    <w:rsid w:val="00CE25C8"/>
    <w:rsid w:val="00CE2B87"/>
    <w:rsid w:val="00CE301A"/>
    <w:rsid w:val="00CE4349"/>
    <w:rsid w:val="00CE4514"/>
    <w:rsid w:val="00CE4C0C"/>
    <w:rsid w:val="00CE4EA2"/>
    <w:rsid w:val="00CE5199"/>
    <w:rsid w:val="00CE66D5"/>
    <w:rsid w:val="00CE688F"/>
    <w:rsid w:val="00CE6C02"/>
    <w:rsid w:val="00CE73A8"/>
    <w:rsid w:val="00CE73B2"/>
    <w:rsid w:val="00CE7F0C"/>
    <w:rsid w:val="00CE7F7B"/>
    <w:rsid w:val="00CF03A6"/>
    <w:rsid w:val="00CF051A"/>
    <w:rsid w:val="00CF0B1E"/>
    <w:rsid w:val="00CF1432"/>
    <w:rsid w:val="00CF21F7"/>
    <w:rsid w:val="00CF2694"/>
    <w:rsid w:val="00CF3ADA"/>
    <w:rsid w:val="00CF3EFF"/>
    <w:rsid w:val="00CF403C"/>
    <w:rsid w:val="00CF5A22"/>
    <w:rsid w:val="00CF6178"/>
    <w:rsid w:val="00CF637A"/>
    <w:rsid w:val="00CF66C3"/>
    <w:rsid w:val="00CF6F45"/>
    <w:rsid w:val="00CF74C3"/>
    <w:rsid w:val="00D0032F"/>
    <w:rsid w:val="00D00C4D"/>
    <w:rsid w:val="00D0187E"/>
    <w:rsid w:val="00D021E0"/>
    <w:rsid w:val="00D02C94"/>
    <w:rsid w:val="00D03315"/>
    <w:rsid w:val="00D03EB5"/>
    <w:rsid w:val="00D03EF8"/>
    <w:rsid w:val="00D04CA5"/>
    <w:rsid w:val="00D059DE"/>
    <w:rsid w:val="00D05F77"/>
    <w:rsid w:val="00D05F82"/>
    <w:rsid w:val="00D06710"/>
    <w:rsid w:val="00D06D62"/>
    <w:rsid w:val="00D06FA4"/>
    <w:rsid w:val="00D07F70"/>
    <w:rsid w:val="00D105C9"/>
    <w:rsid w:val="00D1086E"/>
    <w:rsid w:val="00D11067"/>
    <w:rsid w:val="00D11427"/>
    <w:rsid w:val="00D1181E"/>
    <w:rsid w:val="00D12193"/>
    <w:rsid w:val="00D12278"/>
    <w:rsid w:val="00D13125"/>
    <w:rsid w:val="00D138D2"/>
    <w:rsid w:val="00D13FCE"/>
    <w:rsid w:val="00D1400F"/>
    <w:rsid w:val="00D14368"/>
    <w:rsid w:val="00D14D1F"/>
    <w:rsid w:val="00D14DA4"/>
    <w:rsid w:val="00D156FD"/>
    <w:rsid w:val="00D15884"/>
    <w:rsid w:val="00D16950"/>
    <w:rsid w:val="00D16D5A"/>
    <w:rsid w:val="00D17096"/>
    <w:rsid w:val="00D173FB"/>
    <w:rsid w:val="00D1753D"/>
    <w:rsid w:val="00D17B40"/>
    <w:rsid w:val="00D17C42"/>
    <w:rsid w:val="00D20951"/>
    <w:rsid w:val="00D20C07"/>
    <w:rsid w:val="00D21592"/>
    <w:rsid w:val="00D21A4E"/>
    <w:rsid w:val="00D21C66"/>
    <w:rsid w:val="00D22066"/>
    <w:rsid w:val="00D224FC"/>
    <w:rsid w:val="00D229E4"/>
    <w:rsid w:val="00D2310E"/>
    <w:rsid w:val="00D24B55"/>
    <w:rsid w:val="00D254B3"/>
    <w:rsid w:val="00D255E8"/>
    <w:rsid w:val="00D25C77"/>
    <w:rsid w:val="00D25E90"/>
    <w:rsid w:val="00D25FC6"/>
    <w:rsid w:val="00D2706B"/>
    <w:rsid w:val="00D27DB2"/>
    <w:rsid w:val="00D306D1"/>
    <w:rsid w:val="00D31E72"/>
    <w:rsid w:val="00D32343"/>
    <w:rsid w:val="00D327BE"/>
    <w:rsid w:val="00D32D0D"/>
    <w:rsid w:val="00D32D92"/>
    <w:rsid w:val="00D32F09"/>
    <w:rsid w:val="00D330D5"/>
    <w:rsid w:val="00D34440"/>
    <w:rsid w:val="00D34786"/>
    <w:rsid w:val="00D36273"/>
    <w:rsid w:val="00D36E9B"/>
    <w:rsid w:val="00D37BFC"/>
    <w:rsid w:val="00D37D8B"/>
    <w:rsid w:val="00D40305"/>
    <w:rsid w:val="00D40668"/>
    <w:rsid w:val="00D409F4"/>
    <w:rsid w:val="00D40A9F"/>
    <w:rsid w:val="00D40B76"/>
    <w:rsid w:val="00D40E61"/>
    <w:rsid w:val="00D40EA9"/>
    <w:rsid w:val="00D41094"/>
    <w:rsid w:val="00D41D77"/>
    <w:rsid w:val="00D41E25"/>
    <w:rsid w:val="00D433A5"/>
    <w:rsid w:val="00D43440"/>
    <w:rsid w:val="00D43882"/>
    <w:rsid w:val="00D44314"/>
    <w:rsid w:val="00D4575D"/>
    <w:rsid w:val="00D457A0"/>
    <w:rsid w:val="00D46B4E"/>
    <w:rsid w:val="00D46BCC"/>
    <w:rsid w:val="00D46D2E"/>
    <w:rsid w:val="00D471E4"/>
    <w:rsid w:val="00D47504"/>
    <w:rsid w:val="00D476DA"/>
    <w:rsid w:val="00D47A8E"/>
    <w:rsid w:val="00D47BED"/>
    <w:rsid w:val="00D500B0"/>
    <w:rsid w:val="00D506F5"/>
    <w:rsid w:val="00D50B9D"/>
    <w:rsid w:val="00D515A0"/>
    <w:rsid w:val="00D524CB"/>
    <w:rsid w:val="00D52D14"/>
    <w:rsid w:val="00D531BB"/>
    <w:rsid w:val="00D53A31"/>
    <w:rsid w:val="00D53DB7"/>
    <w:rsid w:val="00D550A6"/>
    <w:rsid w:val="00D56D88"/>
    <w:rsid w:val="00D56EA4"/>
    <w:rsid w:val="00D56F68"/>
    <w:rsid w:val="00D57E43"/>
    <w:rsid w:val="00D60237"/>
    <w:rsid w:val="00D60D4C"/>
    <w:rsid w:val="00D61B8C"/>
    <w:rsid w:val="00D61FBE"/>
    <w:rsid w:val="00D6292E"/>
    <w:rsid w:val="00D62DA2"/>
    <w:rsid w:val="00D6301B"/>
    <w:rsid w:val="00D639D2"/>
    <w:rsid w:val="00D6411C"/>
    <w:rsid w:val="00D64317"/>
    <w:rsid w:val="00D64DC2"/>
    <w:rsid w:val="00D64DEC"/>
    <w:rsid w:val="00D6525A"/>
    <w:rsid w:val="00D653F9"/>
    <w:rsid w:val="00D6649A"/>
    <w:rsid w:val="00D66FAB"/>
    <w:rsid w:val="00D6702C"/>
    <w:rsid w:val="00D67217"/>
    <w:rsid w:val="00D67227"/>
    <w:rsid w:val="00D67363"/>
    <w:rsid w:val="00D674F3"/>
    <w:rsid w:val="00D6752C"/>
    <w:rsid w:val="00D679C8"/>
    <w:rsid w:val="00D67E04"/>
    <w:rsid w:val="00D67FDA"/>
    <w:rsid w:val="00D70C0A"/>
    <w:rsid w:val="00D712D3"/>
    <w:rsid w:val="00D71416"/>
    <w:rsid w:val="00D71422"/>
    <w:rsid w:val="00D728F6"/>
    <w:rsid w:val="00D72DC6"/>
    <w:rsid w:val="00D7393F"/>
    <w:rsid w:val="00D73CDD"/>
    <w:rsid w:val="00D7457D"/>
    <w:rsid w:val="00D7458A"/>
    <w:rsid w:val="00D74720"/>
    <w:rsid w:val="00D7474D"/>
    <w:rsid w:val="00D74EC5"/>
    <w:rsid w:val="00D75537"/>
    <w:rsid w:val="00D7558D"/>
    <w:rsid w:val="00D757C2"/>
    <w:rsid w:val="00D75C4D"/>
    <w:rsid w:val="00D75F42"/>
    <w:rsid w:val="00D75FEC"/>
    <w:rsid w:val="00D76B0D"/>
    <w:rsid w:val="00D7716D"/>
    <w:rsid w:val="00D774C1"/>
    <w:rsid w:val="00D777D1"/>
    <w:rsid w:val="00D80077"/>
    <w:rsid w:val="00D802BA"/>
    <w:rsid w:val="00D8068E"/>
    <w:rsid w:val="00D8093E"/>
    <w:rsid w:val="00D80B3D"/>
    <w:rsid w:val="00D80DFF"/>
    <w:rsid w:val="00D813A3"/>
    <w:rsid w:val="00D81D92"/>
    <w:rsid w:val="00D81E20"/>
    <w:rsid w:val="00D81F1B"/>
    <w:rsid w:val="00D825BF"/>
    <w:rsid w:val="00D82665"/>
    <w:rsid w:val="00D828B9"/>
    <w:rsid w:val="00D82F4B"/>
    <w:rsid w:val="00D830D7"/>
    <w:rsid w:val="00D83D73"/>
    <w:rsid w:val="00D8561C"/>
    <w:rsid w:val="00D86086"/>
    <w:rsid w:val="00D902FC"/>
    <w:rsid w:val="00D9070F"/>
    <w:rsid w:val="00D90A6F"/>
    <w:rsid w:val="00D91575"/>
    <w:rsid w:val="00D91A92"/>
    <w:rsid w:val="00D92AC0"/>
    <w:rsid w:val="00D92B96"/>
    <w:rsid w:val="00D92EB5"/>
    <w:rsid w:val="00D93044"/>
    <w:rsid w:val="00D932AD"/>
    <w:rsid w:val="00D94306"/>
    <w:rsid w:val="00D94635"/>
    <w:rsid w:val="00D951C5"/>
    <w:rsid w:val="00D9665F"/>
    <w:rsid w:val="00D9692A"/>
    <w:rsid w:val="00D96E66"/>
    <w:rsid w:val="00D96ECC"/>
    <w:rsid w:val="00D97489"/>
    <w:rsid w:val="00D9769C"/>
    <w:rsid w:val="00D97898"/>
    <w:rsid w:val="00DA0A50"/>
    <w:rsid w:val="00DA0D1B"/>
    <w:rsid w:val="00DA0DAC"/>
    <w:rsid w:val="00DA11C3"/>
    <w:rsid w:val="00DA1C8C"/>
    <w:rsid w:val="00DA49E4"/>
    <w:rsid w:val="00DA4B18"/>
    <w:rsid w:val="00DA509B"/>
    <w:rsid w:val="00DA60F6"/>
    <w:rsid w:val="00DA67EC"/>
    <w:rsid w:val="00DA698A"/>
    <w:rsid w:val="00DA6FCF"/>
    <w:rsid w:val="00DA7073"/>
    <w:rsid w:val="00DA71B8"/>
    <w:rsid w:val="00DA7B5F"/>
    <w:rsid w:val="00DB0E0E"/>
    <w:rsid w:val="00DB17B2"/>
    <w:rsid w:val="00DB1FFE"/>
    <w:rsid w:val="00DB2106"/>
    <w:rsid w:val="00DB2FD8"/>
    <w:rsid w:val="00DB3485"/>
    <w:rsid w:val="00DB3B0E"/>
    <w:rsid w:val="00DB3E3D"/>
    <w:rsid w:val="00DB415A"/>
    <w:rsid w:val="00DB456E"/>
    <w:rsid w:val="00DB4CDD"/>
    <w:rsid w:val="00DB4EAB"/>
    <w:rsid w:val="00DB50F0"/>
    <w:rsid w:val="00DB5665"/>
    <w:rsid w:val="00DB5D9C"/>
    <w:rsid w:val="00DB71EE"/>
    <w:rsid w:val="00DB724A"/>
    <w:rsid w:val="00DC02F0"/>
    <w:rsid w:val="00DC0663"/>
    <w:rsid w:val="00DC072E"/>
    <w:rsid w:val="00DC0AE1"/>
    <w:rsid w:val="00DC0F2B"/>
    <w:rsid w:val="00DC11E7"/>
    <w:rsid w:val="00DC25DE"/>
    <w:rsid w:val="00DC33B7"/>
    <w:rsid w:val="00DC34E9"/>
    <w:rsid w:val="00DC42C1"/>
    <w:rsid w:val="00DC4DF9"/>
    <w:rsid w:val="00DC667A"/>
    <w:rsid w:val="00DC6F35"/>
    <w:rsid w:val="00DC7023"/>
    <w:rsid w:val="00DC769A"/>
    <w:rsid w:val="00DD03CA"/>
    <w:rsid w:val="00DD0F1A"/>
    <w:rsid w:val="00DD140A"/>
    <w:rsid w:val="00DD175F"/>
    <w:rsid w:val="00DD1857"/>
    <w:rsid w:val="00DD1E42"/>
    <w:rsid w:val="00DD1F65"/>
    <w:rsid w:val="00DD26A1"/>
    <w:rsid w:val="00DD2930"/>
    <w:rsid w:val="00DD2CF2"/>
    <w:rsid w:val="00DD37E3"/>
    <w:rsid w:val="00DD3D86"/>
    <w:rsid w:val="00DD3FE1"/>
    <w:rsid w:val="00DD4B52"/>
    <w:rsid w:val="00DD4ED8"/>
    <w:rsid w:val="00DD5522"/>
    <w:rsid w:val="00DD5AA6"/>
    <w:rsid w:val="00DD5DB0"/>
    <w:rsid w:val="00DD6387"/>
    <w:rsid w:val="00DD6C24"/>
    <w:rsid w:val="00DD6C6A"/>
    <w:rsid w:val="00DD78BE"/>
    <w:rsid w:val="00DD791A"/>
    <w:rsid w:val="00DD7EE8"/>
    <w:rsid w:val="00DE073C"/>
    <w:rsid w:val="00DE0F27"/>
    <w:rsid w:val="00DE12FF"/>
    <w:rsid w:val="00DE1318"/>
    <w:rsid w:val="00DE1FFB"/>
    <w:rsid w:val="00DE21BF"/>
    <w:rsid w:val="00DE2900"/>
    <w:rsid w:val="00DE2927"/>
    <w:rsid w:val="00DE2B3C"/>
    <w:rsid w:val="00DE2B3D"/>
    <w:rsid w:val="00DE3048"/>
    <w:rsid w:val="00DE3A86"/>
    <w:rsid w:val="00DE3F09"/>
    <w:rsid w:val="00DE4662"/>
    <w:rsid w:val="00DE4700"/>
    <w:rsid w:val="00DE4B93"/>
    <w:rsid w:val="00DE4C43"/>
    <w:rsid w:val="00DE4C68"/>
    <w:rsid w:val="00DE4FD0"/>
    <w:rsid w:val="00DE51A3"/>
    <w:rsid w:val="00DE583F"/>
    <w:rsid w:val="00DE63AB"/>
    <w:rsid w:val="00DE697E"/>
    <w:rsid w:val="00DE6AFE"/>
    <w:rsid w:val="00DE7D3D"/>
    <w:rsid w:val="00DF02C8"/>
    <w:rsid w:val="00DF0506"/>
    <w:rsid w:val="00DF070E"/>
    <w:rsid w:val="00DF1EC4"/>
    <w:rsid w:val="00DF20E5"/>
    <w:rsid w:val="00DF28A1"/>
    <w:rsid w:val="00DF2E56"/>
    <w:rsid w:val="00DF33D4"/>
    <w:rsid w:val="00DF35D4"/>
    <w:rsid w:val="00DF464F"/>
    <w:rsid w:val="00DF47DE"/>
    <w:rsid w:val="00DF48B9"/>
    <w:rsid w:val="00DF4CC6"/>
    <w:rsid w:val="00DF4CDF"/>
    <w:rsid w:val="00DF5222"/>
    <w:rsid w:val="00DF6D91"/>
    <w:rsid w:val="00DF722E"/>
    <w:rsid w:val="00DF746D"/>
    <w:rsid w:val="00DF7775"/>
    <w:rsid w:val="00DF7A5E"/>
    <w:rsid w:val="00DF7A69"/>
    <w:rsid w:val="00E00188"/>
    <w:rsid w:val="00E0059D"/>
    <w:rsid w:val="00E0060F"/>
    <w:rsid w:val="00E014F5"/>
    <w:rsid w:val="00E017D2"/>
    <w:rsid w:val="00E01A4D"/>
    <w:rsid w:val="00E01A94"/>
    <w:rsid w:val="00E01D2E"/>
    <w:rsid w:val="00E021C1"/>
    <w:rsid w:val="00E0225F"/>
    <w:rsid w:val="00E02281"/>
    <w:rsid w:val="00E02740"/>
    <w:rsid w:val="00E0297A"/>
    <w:rsid w:val="00E02EDF"/>
    <w:rsid w:val="00E0340B"/>
    <w:rsid w:val="00E035A8"/>
    <w:rsid w:val="00E0362E"/>
    <w:rsid w:val="00E039AB"/>
    <w:rsid w:val="00E043D2"/>
    <w:rsid w:val="00E04538"/>
    <w:rsid w:val="00E04A90"/>
    <w:rsid w:val="00E04B89"/>
    <w:rsid w:val="00E057F0"/>
    <w:rsid w:val="00E06609"/>
    <w:rsid w:val="00E06742"/>
    <w:rsid w:val="00E07F4D"/>
    <w:rsid w:val="00E10AFC"/>
    <w:rsid w:val="00E10FE6"/>
    <w:rsid w:val="00E11033"/>
    <w:rsid w:val="00E125F9"/>
    <w:rsid w:val="00E126B7"/>
    <w:rsid w:val="00E12878"/>
    <w:rsid w:val="00E12A98"/>
    <w:rsid w:val="00E130E2"/>
    <w:rsid w:val="00E13A5F"/>
    <w:rsid w:val="00E14156"/>
    <w:rsid w:val="00E1459B"/>
    <w:rsid w:val="00E14F7A"/>
    <w:rsid w:val="00E1570D"/>
    <w:rsid w:val="00E15E71"/>
    <w:rsid w:val="00E1600B"/>
    <w:rsid w:val="00E161CD"/>
    <w:rsid w:val="00E1639A"/>
    <w:rsid w:val="00E163CA"/>
    <w:rsid w:val="00E16654"/>
    <w:rsid w:val="00E17958"/>
    <w:rsid w:val="00E17FAB"/>
    <w:rsid w:val="00E219C7"/>
    <w:rsid w:val="00E22100"/>
    <w:rsid w:val="00E2220C"/>
    <w:rsid w:val="00E225D5"/>
    <w:rsid w:val="00E22A73"/>
    <w:rsid w:val="00E22F35"/>
    <w:rsid w:val="00E234F2"/>
    <w:rsid w:val="00E23D26"/>
    <w:rsid w:val="00E23E4F"/>
    <w:rsid w:val="00E24E28"/>
    <w:rsid w:val="00E256E9"/>
    <w:rsid w:val="00E26279"/>
    <w:rsid w:val="00E26396"/>
    <w:rsid w:val="00E266CE"/>
    <w:rsid w:val="00E270A0"/>
    <w:rsid w:val="00E30329"/>
    <w:rsid w:val="00E303E8"/>
    <w:rsid w:val="00E30E01"/>
    <w:rsid w:val="00E30FFC"/>
    <w:rsid w:val="00E313B0"/>
    <w:rsid w:val="00E31CCA"/>
    <w:rsid w:val="00E32E8B"/>
    <w:rsid w:val="00E3322C"/>
    <w:rsid w:val="00E3344F"/>
    <w:rsid w:val="00E3563A"/>
    <w:rsid w:val="00E35A9C"/>
    <w:rsid w:val="00E3625D"/>
    <w:rsid w:val="00E37211"/>
    <w:rsid w:val="00E37F67"/>
    <w:rsid w:val="00E40535"/>
    <w:rsid w:val="00E40B15"/>
    <w:rsid w:val="00E4132B"/>
    <w:rsid w:val="00E42C4B"/>
    <w:rsid w:val="00E43157"/>
    <w:rsid w:val="00E4349D"/>
    <w:rsid w:val="00E437CE"/>
    <w:rsid w:val="00E442C4"/>
    <w:rsid w:val="00E44BCD"/>
    <w:rsid w:val="00E44DCD"/>
    <w:rsid w:val="00E45CF7"/>
    <w:rsid w:val="00E461CE"/>
    <w:rsid w:val="00E467A3"/>
    <w:rsid w:val="00E46ABD"/>
    <w:rsid w:val="00E46E38"/>
    <w:rsid w:val="00E50138"/>
    <w:rsid w:val="00E503A4"/>
    <w:rsid w:val="00E5076E"/>
    <w:rsid w:val="00E50B1D"/>
    <w:rsid w:val="00E5217F"/>
    <w:rsid w:val="00E52296"/>
    <w:rsid w:val="00E53125"/>
    <w:rsid w:val="00E534DC"/>
    <w:rsid w:val="00E5488D"/>
    <w:rsid w:val="00E54BF2"/>
    <w:rsid w:val="00E54EB4"/>
    <w:rsid w:val="00E54EF4"/>
    <w:rsid w:val="00E553B3"/>
    <w:rsid w:val="00E55AA4"/>
    <w:rsid w:val="00E561F8"/>
    <w:rsid w:val="00E5635D"/>
    <w:rsid w:val="00E568CD"/>
    <w:rsid w:val="00E56EE0"/>
    <w:rsid w:val="00E575FE"/>
    <w:rsid w:val="00E62912"/>
    <w:rsid w:val="00E62B4F"/>
    <w:rsid w:val="00E62BBE"/>
    <w:rsid w:val="00E62C3A"/>
    <w:rsid w:val="00E63266"/>
    <w:rsid w:val="00E63356"/>
    <w:rsid w:val="00E63764"/>
    <w:rsid w:val="00E640AB"/>
    <w:rsid w:val="00E65437"/>
    <w:rsid w:val="00E657BC"/>
    <w:rsid w:val="00E6586E"/>
    <w:rsid w:val="00E65925"/>
    <w:rsid w:val="00E660F4"/>
    <w:rsid w:val="00E67941"/>
    <w:rsid w:val="00E7005D"/>
    <w:rsid w:val="00E70ACC"/>
    <w:rsid w:val="00E70F20"/>
    <w:rsid w:val="00E71531"/>
    <w:rsid w:val="00E71798"/>
    <w:rsid w:val="00E71FE2"/>
    <w:rsid w:val="00E720CA"/>
    <w:rsid w:val="00E72420"/>
    <w:rsid w:val="00E72BF0"/>
    <w:rsid w:val="00E733F5"/>
    <w:rsid w:val="00E73F59"/>
    <w:rsid w:val="00E7457F"/>
    <w:rsid w:val="00E74B5F"/>
    <w:rsid w:val="00E74E0B"/>
    <w:rsid w:val="00E766CB"/>
    <w:rsid w:val="00E769CC"/>
    <w:rsid w:val="00E7725D"/>
    <w:rsid w:val="00E77736"/>
    <w:rsid w:val="00E77952"/>
    <w:rsid w:val="00E77EA6"/>
    <w:rsid w:val="00E807EA"/>
    <w:rsid w:val="00E810C3"/>
    <w:rsid w:val="00E812CD"/>
    <w:rsid w:val="00E8143B"/>
    <w:rsid w:val="00E81D73"/>
    <w:rsid w:val="00E81D85"/>
    <w:rsid w:val="00E81EAD"/>
    <w:rsid w:val="00E82866"/>
    <w:rsid w:val="00E8380A"/>
    <w:rsid w:val="00E84BDE"/>
    <w:rsid w:val="00E84EB5"/>
    <w:rsid w:val="00E850D2"/>
    <w:rsid w:val="00E85662"/>
    <w:rsid w:val="00E856A9"/>
    <w:rsid w:val="00E85B71"/>
    <w:rsid w:val="00E85BC3"/>
    <w:rsid w:val="00E861EA"/>
    <w:rsid w:val="00E8789F"/>
    <w:rsid w:val="00E87BFE"/>
    <w:rsid w:val="00E87C6C"/>
    <w:rsid w:val="00E900C3"/>
    <w:rsid w:val="00E90664"/>
    <w:rsid w:val="00E909AA"/>
    <w:rsid w:val="00E90B0D"/>
    <w:rsid w:val="00E90B96"/>
    <w:rsid w:val="00E91A52"/>
    <w:rsid w:val="00E91EAE"/>
    <w:rsid w:val="00E92E85"/>
    <w:rsid w:val="00E93093"/>
    <w:rsid w:val="00E937B3"/>
    <w:rsid w:val="00E94109"/>
    <w:rsid w:val="00E947EA"/>
    <w:rsid w:val="00E955A4"/>
    <w:rsid w:val="00E955E5"/>
    <w:rsid w:val="00E95613"/>
    <w:rsid w:val="00E957E7"/>
    <w:rsid w:val="00E95A08"/>
    <w:rsid w:val="00E95A11"/>
    <w:rsid w:val="00E9627C"/>
    <w:rsid w:val="00E97B71"/>
    <w:rsid w:val="00EA00EF"/>
    <w:rsid w:val="00EA1836"/>
    <w:rsid w:val="00EA19D8"/>
    <w:rsid w:val="00EA2877"/>
    <w:rsid w:val="00EA289A"/>
    <w:rsid w:val="00EA375B"/>
    <w:rsid w:val="00EA3D34"/>
    <w:rsid w:val="00EA3E9E"/>
    <w:rsid w:val="00EA3F39"/>
    <w:rsid w:val="00EA409F"/>
    <w:rsid w:val="00EA5073"/>
    <w:rsid w:val="00EA5466"/>
    <w:rsid w:val="00EA5F8C"/>
    <w:rsid w:val="00EA668B"/>
    <w:rsid w:val="00EA6831"/>
    <w:rsid w:val="00EA7162"/>
    <w:rsid w:val="00EB13F2"/>
    <w:rsid w:val="00EB2292"/>
    <w:rsid w:val="00EB23D5"/>
    <w:rsid w:val="00EB2F07"/>
    <w:rsid w:val="00EB3272"/>
    <w:rsid w:val="00EB3E11"/>
    <w:rsid w:val="00EB454D"/>
    <w:rsid w:val="00EB4AC6"/>
    <w:rsid w:val="00EB4E6A"/>
    <w:rsid w:val="00EB53F1"/>
    <w:rsid w:val="00EB640E"/>
    <w:rsid w:val="00EB6A2C"/>
    <w:rsid w:val="00EB7B3A"/>
    <w:rsid w:val="00EB7B5C"/>
    <w:rsid w:val="00EC033F"/>
    <w:rsid w:val="00EC0394"/>
    <w:rsid w:val="00EC11A7"/>
    <w:rsid w:val="00EC12FF"/>
    <w:rsid w:val="00EC175D"/>
    <w:rsid w:val="00EC29AD"/>
    <w:rsid w:val="00EC417B"/>
    <w:rsid w:val="00EC41D9"/>
    <w:rsid w:val="00EC501F"/>
    <w:rsid w:val="00EC5258"/>
    <w:rsid w:val="00EC5370"/>
    <w:rsid w:val="00EC5551"/>
    <w:rsid w:val="00EC6099"/>
    <w:rsid w:val="00EC6ED3"/>
    <w:rsid w:val="00EC6F9C"/>
    <w:rsid w:val="00EC7605"/>
    <w:rsid w:val="00EC79A3"/>
    <w:rsid w:val="00ED133F"/>
    <w:rsid w:val="00ED35F9"/>
    <w:rsid w:val="00ED3664"/>
    <w:rsid w:val="00ED39A8"/>
    <w:rsid w:val="00ED3B1E"/>
    <w:rsid w:val="00ED3F75"/>
    <w:rsid w:val="00ED465E"/>
    <w:rsid w:val="00ED4C93"/>
    <w:rsid w:val="00ED53A9"/>
    <w:rsid w:val="00ED58D0"/>
    <w:rsid w:val="00ED5C36"/>
    <w:rsid w:val="00ED6249"/>
    <w:rsid w:val="00ED66FD"/>
    <w:rsid w:val="00ED7264"/>
    <w:rsid w:val="00ED7505"/>
    <w:rsid w:val="00ED76BE"/>
    <w:rsid w:val="00EE077C"/>
    <w:rsid w:val="00EE1050"/>
    <w:rsid w:val="00EE15D6"/>
    <w:rsid w:val="00EE1971"/>
    <w:rsid w:val="00EE21F5"/>
    <w:rsid w:val="00EE22EA"/>
    <w:rsid w:val="00EE2386"/>
    <w:rsid w:val="00EE2A96"/>
    <w:rsid w:val="00EE2B43"/>
    <w:rsid w:val="00EE4A7E"/>
    <w:rsid w:val="00EE4C8F"/>
    <w:rsid w:val="00EE5057"/>
    <w:rsid w:val="00EE5290"/>
    <w:rsid w:val="00EE5377"/>
    <w:rsid w:val="00EE5D3F"/>
    <w:rsid w:val="00EE5DDC"/>
    <w:rsid w:val="00EE5FF2"/>
    <w:rsid w:val="00EE62FF"/>
    <w:rsid w:val="00EE658F"/>
    <w:rsid w:val="00EE6A15"/>
    <w:rsid w:val="00EE6E0F"/>
    <w:rsid w:val="00EE6E19"/>
    <w:rsid w:val="00EE73BA"/>
    <w:rsid w:val="00EF01A4"/>
    <w:rsid w:val="00EF2175"/>
    <w:rsid w:val="00EF240C"/>
    <w:rsid w:val="00EF2414"/>
    <w:rsid w:val="00EF32D0"/>
    <w:rsid w:val="00EF39AB"/>
    <w:rsid w:val="00EF408F"/>
    <w:rsid w:val="00EF40EA"/>
    <w:rsid w:val="00EF40FE"/>
    <w:rsid w:val="00EF415A"/>
    <w:rsid w:val="00EF4489"/>
    <w:rsid w:val="00EF50D7"/>
    <w:rsid w:val="00EF52FB"/>
    <w:rsid w:val="00EF619B"/>
    <w:rsid w:val="00EF6420"/>
    <w:rsid w:val="00EF6BA7"/>
    <w:rsid w:val="00EF6D58"/>
    <w:rsid w:val="00EF7A8F"/>
    <w:rsid w:val="00F00B55"/>
    <w:rsid w:val="00F00D9A"/>
    <w:rsid w:val="00F00DD5"/>
    <w:rsid w:val="00F01B84"/>
    <w:rsid w:val="00F01CFE"/>
    <w:rsid w:val="00F028B0"/>
    <w:rsid w:val="00F02AD1"/>
    <w:rsid w:val="00F02C00"/>
    <w:rsid w:val="00F02FF5"/>
    <w:rsid w:val="00F03320"/>
    <w:rsid w:val="00F03982"/>
    <w:rsid w:val="00F03C1F"/>
    <w:rsid w:val="00F03E7C"/>
    <w:rsid w:val="00F0467D"/>
    <w:rsid w:val="00F04865"/>
    <w:rsid w:val="00F04B60"/>
    <w:rsid w:val="00F04D76"/>
    <w:rsid w:val="00F05434"/>
    <w:rsid w:val="00F07CE3"/>
    <w:rsid w:val="00F1045E"/>
    <w:rsid w:val="00F108B3"/>
    <w:rsid w:val="00F11EB0"/>
    <w:rsid w:val="00F11EED"/>
    <w:rsid w:val="00F12168"/>
    <w:rsid w:val="00F12AD9"/>
    <w:rsid w:val="00F12D66"/>
    <w:rsid w:val="00F136CA"/>
    <w:rsid w:val="00F137AC"/>
    <w:rsid w:val="00F13B81"/>
    <w:rsid w:val="00F143E4"/>
    <w:rsid w:val="00F14EBD"/>
    <w:rsid w:val="00F1545F"/>
    <w:rsid w:val="00F1591B"/>
    <w:rsid w:val="00F15DFF"/>
    <w:rsid w:val="00F167E2"/>
    <w:rsid w:val="00F1684E"/>
    <w:rsid w:val="00F16B9E"/>
    <w:rsid w:val="00F17533"/>
    <w:rsid w:val="00F17642"/>
    <w:rsid w:val="00F17EA6"/>
    <w:rsid w:val="00F21143"/>
    <w:rsid w:val="00F2184B"/>
    <w:rsid w:val="00F21D2F"/>
    <w:rsid w:val="00F221FC"/>
    <w:rsid w:val="00F22BA3"/>
    <w:rsid w:val="00F22D06"/>
    <w:rsid w:val="00F23D5B"/>
    <w:rsid w:val="00F24549"/>
    <w:rsid w:val="00F253CC"/>
    <w:rsid w:val="00F26E46"/>
    <w:rsid w:val="00F2736D"/>
    <w:rsid w:val="00F27438"/>
    <w:rsid w:val="00F2772B"/>
    <w:rsid w:val="00F31041"/>
    <w:rsid w:val="00F31069"/>
    <w:rsid w:val="00F31BC4"/>
    <w:rsid w:val="00F32133"/>
    <w:rsid w:val="00F32943"/>
    <w:rsid w:val="00F3307B"/>
    <w:rsid w:val="00F339CD"/>
    <w:rsid w:val="00F33D93"/>
    <w:rsid w:val="00F33FF7"/>
    <w:rsid w:val="00F34338"/>
    <w:rsid w:val="00F343E0"/>
    <w:rsid w:val="00F3462C"/>
    <w:rsid w:val="00F34E9F"/>
    <w:rsid w:val="00F35CA1"/>
    <w:rsid w:val="00F36D9E"/>
    <w:rsid w:val="00F37106"/>
    <w:rsid w:val="00F4071A"/>
    <w:rsid w:val="00F4110F"/>
    <w:rsid w:val="00F412D5"/>
    <w:rsid w:val="00F416F6"/>
    <w:rsid w:val="00F42A63"/>
    <w:rsid w:val="00F42D29"/>
    <w:rsid w:val="00F439DF"/>
    <w:rsid w:val="00F44367"/>
    <w:rsid w:val="00F44424"/>
    <w:rsid w:val="00F465A4"/>
    <w:rsid w:val="00F4686E"/>
    <w:rsid w:val="00F469B4"/>
    <w:rsid w:val="00F4708B"/>
    <w:rsid w:val="00F47B76"/>
    <w:rsid w:val="00F47C15"/>
    <w:rsid w:val="00F502FF"/>
    <w:rsid w:val="00F50B8C"/>
    <w:rsid w:val="00F519CF"/>
    <w:rsid w:val="00F51A37"/>
    <w:rsid w:val="00F537A2"/>
    <w:rsid w:val="00F53E62"/>
    <w:rsid w:val="00F541B1"/>
    <w:rsid w:val="00F55CBB"/>
    <w:rsid w:val="00F562DD"/>
    <w:rsid w:val="00F5668F"/>
    <w:rsid w:val="00F56BA5"/>
    <w:rsid w:val="00F60AB7"/>
    <w:rsid w:val="00F60E22"/>
    <w:rsid w:val="00F61E64"/>
    <w:rsid w:val="00F62781"/>
    <w:rsid w:val="00F62A9F"/>
    <w:rsid w:val="00F632DC"/>
    <w:rsid w:val="00F63D93"/>
    <w:rsid w:val="00F6403A"/>
    <w:rsid w:val="00F657EC"/>
    <w:rsid w:val="00F66258"/>
    <w:rsid w:val="00F668FD"/>
    <w:rsid w:val="00F67DA2"/>
    <w:rsid w:val="00F70454"/>
    <w:rsid w:val="00F70D1B"/>
    <w:rsid w:val="00F715FF"/>
    <w:rsid w:val="00F71A22"/>
    <w:rsid w:val="00F72492"/>
    <w:rsid w:val="00F7264C"/>
    <w:rsid w:val="00F72F94"/>
    <w:rsid w:val="00F73104"/>
    <w:rsid w:val="00F7370C"/>
    <w:rsid w:val="00F749FA"/>
    <w:rsid w:val="00F74A3F"/>
    <w:rsid w:val="00F74AFA"/>
    <w:rsid w:val="00F75B07"/>
    <w:rsid w:val="00F77983"/>
    <w:rsid w:val="00F77C9D"/>
    <w:rsid w:val="00F80119"/>
    <w:rsid w:val="00F805FB"/>
    <w:rsid w:val="00F8075A"/>
    <w:rsid w:val="00F812D6"/>
    <w:rsid w:val="00F81395"/>
    <w:rsid w:val="00F813B1"/>
    <w:rsid w:val="00F81F18"/>
    <w:rsid w:val="00F81FFD"/>
    <w:rsid w:val="00F82323"/>
    <w:rsid w:val="00F82433"/>
    <w:rsid w:val="00F83586"/>
    <w:rsid w:val="00F83E9D"/>
    <w:rsid w:val="00F84206"/>
    <w:rsid w:val="00F84297"/>
    <w:rsid w:val="00F845FB"/>
    <w:rsid w:val="00F84881"/>
    <w:rsid w:val="00F84F80"/>
    <w:rsid w:val="00F861B0"/>
    <w:rsid w:val="00F865DF"/>
    <w:rsid w:val="00F86FEA"/>
    <w:rsid w:val="00F87309"/>
    <w:rsid w:val="00F87382"/>
    <w:rsid w:val="00F879A7"/>
    <w:rsid w:val="00F87F8B"/>
    <w:rsid w:val="00F902EB"/>
    <w:rsid w:val="00F90561"/>
    <w:rsid w:val="00F90B38"/>
    <w:rsid w:val="00F911AF"/>
    <w:rsid w:val="00F9134F"/>
    <w:rsid w:val="00F91400"/>
    <w:rsid w:val="00F916AC"/>
    <w:rsid w:val="00F917D1"/>
    <w:rsid w:val="00F91B83"/>
    <w:rsid w:val="00F9221B"/>
    <w:rsid w:val="00F925B4"/>
    <w:rsid w:val="00F92E44"/>
    <w:rsid w:val="00F932BE"/>
    <w:rsid w:val="00F9409C"/>
    <w:rsid w:val="00F94925"/>
    <w:rsid w:val="00F95CD9"/>
    <w:rsid w:val="00F961A0"/>
    <w:rsid w:val="00F9653B"/>
    <w:rsid w:val="00F965A5"/>
    <w:rsid w:val="00F97BFB"/>
    <w:rsid w:val="00F97F5B"/>
    <w:rsid w:val="00FA14E8"/>
    <w:rsid w:val="00FA15CB"/>
    <w:rsid w:val="00FA222E"/>
    <w:rsid w:val="00FA236A"/>
    <w:rsid w:val="00FA2691"/>
    <w:rsid w:val="00FA330E"/>
    <w:rsid w:val="00FA4E4C"/>
    <w:rsid w:val="00FA58FA"/>
    <w:rsid w:val="00FA616D"/>
    <w:rsid w:val="00FA7667"/>
    <w:rsid w:val="00FB0001"/>
    <w:rsid w:val="00FB05F3"/>
    <w:rsid w:val="00FB0962"/>
    <w:rsid w:val="00FB0D44"/>
    <w:rsid w:val="00FB0DC8"/>
    <w:rsid w:val="00FB1D5F"/>
    <w:rsid w:val="00FB1F25"/>
    <w:rsid w:val="00FB205E"/>
    <w:rsid w:val="00FB21D4"/>
    <w:rsid w:val="00FB2A08"/>
    <w:rsid w:val="00FB3C86"/>
    <w:rsid w:val="00FB3DFD"/>
    <w:rsid w:val="00FB45F3"/>
    <w:rsid w:val="00FB5224"/>
    <w:rsid w:val="00FB58AE"/>
    <w:rsid w:val="00FB5D6B"/>
    <w:rsid w:val="00FB5F47"/>
    <w:rsid w:val="00FB62CF"/>
    <w:rsid w:val="00FB6462"/>
    <w:rsid w:val="00FB6A7A"/>
    <w:rsid w:val="00FB6CCA"/>
    <w:rsid w:val="00FB7914"/>
    <w:rsid w:val="00FB7CB6"/>
    <w:rsid w:val="00FC005C"/>
    <w:rsid w:val="00FC021B"/>
    <w:rsid w:val="00FC08B3"/>
    <w:rsid w:val="00FC08BE"/>
    <w:rsid w:val="00FC0A6D"/>
    <w:rsid w:val="00FC0E91"/>
    <w:rsid w:val="00FC16DC"/>
    <w:rsid w:val="00FC1A4F"/>
    <w:rsid w:val="00FC328D"/>
    <w:rsid w:val="00FC3C2C"/>
    <w:rsid w:val="00FC5129"/>
    <w:rsid w:val="00FC5299"/>
    <w:rsid w:val="00FC56B2"/>
    <w:rsid w:val="00FC57F6"/>
    <w:rsid w:val="00FC629E"/>
    <w:rsid w:val="00FC6747"/>
    <w:rsid w:val="00FC6D5C"/>
    <w:rsid w:val="00FC7BF7"/>
    <w:rsid w:val="00FD0011"/>
    <w:rsid w:val="00FD0562"/>
    <w:rsid w:val="00FD1DD3"/>
    <w:rsid w:val="00FD2043"/>
    <w:rsid w:val="00FD2B4C"/>
    <w:rsid w:val="00FD3C3B"/>
    <w:rsid w:val="00FD3EBA"/>
    <w:rsid w:val="00FD3F0A"/>
    <w:rsid w:val="00FD4F20"/>
    <w:rsid w:val="00FD5A99"/>
    <w:rsid w:val="00FD6354"/>
    <w:rsid w:val="00FD68FE"/>
    <w:rsid w:val="00FD6954"/>
    <w:rsid w:val="00FD6A16"/>
    <w:rsid w:val="00FD6F0A"/>
    <w:rsid w:val="00FD7018"/>
    <w:rsid w:val="00FD7161"/>
    <w:rsid w:val="00FE07DD"/>
    <w:rsid w:val="00FE14DB"/>
    <w:rsid w:val="00FE252B"/>
    <w:rsid w:val="00FE27F0"/>
    <w:rsid w:val="00FE2DC3"/>
    <w:rsid w:val="00FE2E06"/>
    <w:rsid w:val="00FE3D14"/>
    <w:rsid w:val="00FE3DEC"/>
    <w:rsid w:val="00FE5A50"/>
    <w:rsid w:val="00FE65D3"/>
    <w:rsid w:val="00FE6ABD"/>
    <w:rsid w:val="00FE6B45"/>
    <w:rsid w:val="00FE7511"/>
    <w:rsid w:val="00FE788E"/>
    <w:rsid w:val="00FE7BCE"/>
    <w:rsid w:val="00FE7F97"/>
    <w:rsid w:val="00FF00D6"/>
    <w:rsid w:val="00FF092E"/>
    <w:rsid w:val="00FF09B3"/>
    <w:rsid w:val="00FF18D1"/>
    <w:rsid w:val="00FF1F17"/>
    <w:rsid w:val="00FF21DB"/>
    <w:rsid w:val="00FF269E"/>
    <w:rsid w:val="00FF2FE2"/>
    <w:rsid w:val="00FF33F9"/>
    <w:rsid w:val="00FF34DF"/>
    <w:rsid w:val="00FF4034"/>
    <w:rsid w:val="00FF44D1"/>
    <w:rsid w:val="00FF47EC"/>
    <w:rsid w:val="00FF498C"/>
    <w:rsid w:val="00FF53DF"/>
    <w:rsid w:val="00FF55F3"/>
    <w:rsid w:val="00FF577C"/>
    <w:rsid w:val="00FF5851"/>
    <w:rsid w:val="00FF590A"/>
    <w:rsid w:val="00FF5CBA"/>
    <w:rsid w:val="00FF6A6A"/>
    <w:rsid w:val="00FF799F"/>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189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AE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ListParagraph"/>
    <w:next w:val="Normal"/>
    <w:link w:val="Heading1Char"/>
    <w:uiPriority w:val="9"/>
    <w:qFormat/>
    <w:rsid w:val="00314D74"/>
    <w:pPr>
      <w:numPr>
        <w:numId w:val="54"/>
      </w:numPr>
      <w:suppressAutoHyphens/>
      <w:ind w:left="1440" w:hanging="806"/>
      <w:outlineLvl w:val="0"/>
    </w:pPr>
    <w:rPr>
      <w:rFonts w:asciiTheme="majorHAnsi" w:hAnsiTheme="majorHAnsi"/>
      <w:b/>
      <w:szCs w:val="20"/>
      <w:lang w:val="es-ES_tradnl"/>
    </w:rPr>
  </w:style>
  <w:style w:type="paragraph" w:styleId="Heading2">
    <w:name w:val="heading 2"/>
    <w:basedOn w:val="Normal"/>
    <w:next w:val="Normal"/>
    <w:link w:val="Heading2Char"/>
    <w:qFormat/>
    <w:rsid w:val="00314D74"/>
    <w:pPr>
      <w:keepNext/>
      <w:numPr>
        <w:numId w:val="57"/>
      </w:numPr>
      <w:outlineLvl w:val="1"/>
    </w:pPr>
    <w:rPr>
      <w:rFonts w:ascii="Cambria" w:hAnsi="Cambria" w:cs="Arial"/>
      <w:b/>
      <w:bCs/>
      <w:iCs/>
      <w:sz w:val="20"/>
      <w:szCs w:val="28"/>
    </w:rPr>
  </w:style>
  <w:style w:type="paragraph" w:styleId="Heading3">
    <w:name w:val="heading 3"/>
    <w:basedOn w:val="Normal"/>
    <w:next w:val="Normal"/>
    <w:link w:val="Heading3Char"/>
    <w:qFormat/>
    <w:rsid w:val="00A151AA"/>
    <w:pPr>
      <w:keepNext/>
      <w:numPr>
        <w:numId w:val="59"/>
      </w:numPr>
      <w:jc w:val="both"/>
      <w:outlineLvl w:val="2"/>
    </w:pPr>
    <w:rPr>
      <w:rFonts w:ascii="Cambria" w:hAnsi="Cambria" w:cs="Arial"/>
      <w:b/>
      <w:bCs/>
      <w:sz w:val="20"/>
      <w:szCs w:val="26"/>
    </w:rPr>
  </w:style>
  <w:style w:type="paragraph" w:styleId="Heading4">
    <w:name w:val="heading 4"/>
    <w:basedOn w:val="Normal"/>
    <w:next w:val="Normal"/>
    <w:link w:val="Heading4Char"/>
    <w:uiPriority w:val="9"/>
    <w:unhideWhenUsed/>
    <w:qFormat/>
    <w:rsid w:val="00982021"/>
    <w:pPr>
      <w:keepNext/>
      <w:keepLines/>
      <w:outlineLvl w:val="3"/>
    </w:pPr>
    <w:rPr>
      <w:rFonts w:ascii="Cambria" w:eastAsiaTheme="majorEastAsia" w:hAnsi="Cambria" w:cstheme="majorBidi"/>
      <w:b/>
      <w:iCs/>
      <w:sz w:val="20"/>
    </w:rPr>
  </w:style>
  <w:style w:type="paragraph" w:styleId="Heading5">
    <w:name w:val="heading 5"/>
    <w:basedOn w:val="Normal"/>
    <w:next w:val="Normal"/>
    <w:link w:val="Heading5Char"/>
    <w:uiPriority w:val="9"/>
    <w:unhideWhenUsed/>
    <w:qFormat/>
    <w:rsid w:val="00340BD2"/>
    <w:pPr>
      <w:keepNext/>
      <w:keepLines/>
      <w:outlineLvl w:val="4"/>
    </w:pPr>
    <w:rPr>
      <w:rFonts w:asciiTheme="majorHAnsi" w:eastAsiaTheme="majorEastAsia" w:hAnsiTheme="majorHAnsi"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Colorful List - Accent 12"/>
    <w:link w:val="ListParagraphChar"/>
    <w:uiPriority w:val="72"/>
    <w:qFormat/>
    <w:rsid w:val="00CE1C94"/>
    <w:pPr>
      <w:numPr>
        <w:numId w:val="56"/>
      </w:numPr>
      <w:ind w:left="0" w:firstLine="0"/>
      <w:jc w:val="both"/>
    </w:pPr>
    <w:rPr>
      <w:rFonts w:ascii="Cambria" w:eastAsia="Cambria" w:hAnsi="Cambria" w:cs="Cambria"/>
      <w:color w:val="000000"/>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A15F1F"/>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14D74"/>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Ref. de nota al pi"/>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A15F1F"/>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314D74"/>
    <w:rPr>
      <w:rFonts w:ascii="Cambria" w:eastAsia="Times New Roman" w:hAnsi="Cambria" w:cs="Arial"/>
      <w:b/>
      <w:bCs/>
      <w:iCs/>
      <w:szCs w:val="28"/>
      <w:bdr w:val="none" w:sz="0" w:space="0" w:color="auto"/>
      <w:lang w:val="en-US" w:eastAsia="en-US"/>
    </w:rPr>
  </w:style>
  <w:style w:type="character" w:customStyle="1" w:styleId="Heading3Char">
    <w:name w:val="Heading 3 Char"/>
    <w:basedOn w:val="DefaultParagraphFont"/>
    <w:link w:val="Heading3"/>
    <w:rsid w:val="00A151AA"/>
    <w:rPr>
      <w:rFonts w:ascii="Cambria" w:eastAsia="Times New Roman" w:hAnsi="Cambria"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spacing w:before="200" w:after="160" w:line="240" w:lineRule="exact"/>
    </w:pPr>
    <w:rPr>
      <w:rFonts w:ascii="Verdana" w:hAnsi="Verdana"/>
      <w:sz w:val="22"/>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Colorful List - Accent 12 Char"/>
    <w:link w:val="ListParagraph"/>
    <w:uiPriority w:val="72"/>
    <w:locked/>
    <w:rsid w:val="00CE1C94"/>
    <w:rPr>
      <w:rFonts w:ascii="Cambria" w:eastAsia="Cambria" w:hAnsi="Cambria" w:cs="Cambria"/>
      <w:color w:val="000000"/>
      <w:szCs w:val="24"/>
      <w:u w:color="000000"/>
      <w:lang w:val="en-US"/>
    </w:rPr>
  </w:style>
  <w:style w:type="paragraph" w:styleId="Quote">
    <w:name w:val="Quote"/>
    <w:basedOn w:val="Normal"/>
    <w:next w:val="Normal"/>
    <w:link w:val="QuoteChar"/>
    <w:uiPriority w:val="29"/>
    <w:qFormat/>
    <w:rsid w:val="00CE1C94"/>
    <w:pPr>
      <w:ind w:left="357" w:right="357"/>
      <w:jc w:val="both"/>
    </w:pPr>
    <w:rPr>
      <w:rFonts w:ascii="Cambria" w:hAnsi="Cambria"/>
      <w:iCs/>
      <w:sz w:val="18"/>
    </w:rPr>
  </w:style>
  <w:style w:type="character" w:customStyle="1" w:styleId="QuoteChar">
    <w:name w:val="Quote Char"/>
    <w:basedOn w:val="DefaultParagraphFont"/>
    <w:link w:val="Quote"/>
    <w:uiPriority w:val="29"/>
    <w:rsid w:val="00CE1C94"/>
    <w:rPr>
      <w:rFonts w:ascii="Cambria" w:eastAsia="Times New Roman" w:hAnsi="Cambria"/>
      <w:iCs/>
      <w:sz w:val="18"/>
      <w:szCs w:val="24"/>
      <w:bdr w:val="none" w:sz="0" w:space="0" w:color="auto"/>
      <w:lang w:val="en-US" w:eastAsia="en-US"/>
    </w:rPr>
  </w:style>
  <w:style w:type="character" w:styleId="Strong">
    <w:name w:val="Strong"/>
    <w:basedOn w:val="DefaultParagraphFont"/>
    <w:uiPriority w:val="22"/>
    <w:qFormat/>
    <w:rsid w:val="00513D84"/>
    <w:rPr>
      <w:b/>
      <w:bCs/>
    </w:rPr>
  </w:style>
  <w:style w:type="paragraph" w:styleId="NormalWeb">
    <w:name w:val="Normal (Web)"/>
    <w:aliases w:val="Normal (Web) Char1,Normal (Web) Char Char,Normal (Web) Char1 Char,Normal (Web) Char Char Char"/>
    <w:basedOn w:val="Normal"/>
    <w:uiPriority w:val="99"/>
    <w:unhideWhenUsed/>
    <w:rsid w:val="0034633E"/>
  </w:style>
  <w:style w:type="character" w:customStyle="1" w:styleId="BodyTextIndentChar">
    <w:name w:val="Body Text Indent Char"/>
    <w:basedOn w:val="DefaultParagraphFont"/>
    <w:link w:val="BodyTextIndent"/>
    <w:rsid w:val="00500B94"/>
    <w:rPr>
      <w:rFonts w:eastAsia="Times New Roman"/>
      <w:color w:val="000000"/>
      <w:sz w:val="24"/>
      <w:szCs w:val="24"/>
      <w:u w:color="000000"/>
      <w:lang w:val="es-ES_tradnl"/>
    </w:rPr>
  </w:style>
  <w:style w:type="character" w:styleId="CommentReference">
    <w:name w:val="annotation reference"/>
    <w:basedOn w:val="DefaultParagraphFont"/>
    <w:uiPriority w:val="99"/>
    <w:semiHidden/>
    <w:unhideWhenUsed/>
    <w:rsid w:val="00B66AB5"/>
    <w:rPr>
      <w:sz w:val="16"/>
      <w:szCs w:val="16"/>
    </w:rPr>
  </w:style>
  <w:style w:type="paragraph" w:styleId="CommentText">
    <w:name w:val="annotation text"/>
    <w:basedOn w:val="Normal"/>
    <w:link w:val="CommentTextChar"/>
    <w:uiPriority w:val="99"/>
    <w:semiHidden/>
    <w:unhideWhenUsed/>
    <w:rsid w:val="00B66AB5"/>
    <w:rPr>
      <w:sz w:val="20"/>
      <w:szCs w:val="20"/>
    </w:rPr>
  </w:style>
  <w:style w:type="character" w:customStyle="1" w:styleId="CommentTextChar">
    <w:name w:val="Comment Text Char"/>
    <w:basedOn w:val="DefaultParagraphFont"/>
    <w:link w:val="CommentText"/>
    <w:uiPriority w:val="99"/>
    <w:semiHidden/>
    <w:rsid w:val="00B66AB5"/>
    <w:rPr>
      <w:rFonts w:eastAsia="Times New Roman"/>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B66AB5"/>
    <w:rPr>
      <w:b/>
      <w:bCs/>
    </w:rPr>
  </w:style>
  <w:style w:type="character" w:customStyle="1" w:styleId="CommentSubjectChar">
    <w:name w:val="Comment Subject Char"/>
    <w:basedOn w:val="CommentTextChar"/>
    <w:link w:val="CommentSubject"/>
    <w:uiPriority w:val="99"/>
    <w:semiHidden/>
    <w:rsid w:val="00B66AB5"/>
    <w:rPr>
      <w:rFonts w:eastAsia="Times New Roman"/>
      <w:b/>
      <w:bCs/>
      <w:bdr w:val="none" w:sz="0" w:space="0" w:color="auto"/>
      <w:lang w:val="en-US" w:eastAsia="en-US"/>
    </w:rPr>
  </w:style>
  <w:style w:type="paragraph" w:styleId="Revision">
    <w:name w:val="Revision"/>
    <w:hidden/>
    <w:uiPriority w:val="99"/>
    <w:semiHidden/>
    <w:rsid w:val="009D7D0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character" w:styleId="FollowedHyperlink">
    <w:name w:val="FollowedHyperlink"/>
    <w:basedOn w:val="DefaultParagraphFont"/>
    <w:uiPriority w:val="99"/>
    <w:semiHidden/>
    <w:unhideWhenUsed/>
    <w:rsid w:val="00D86086"/>
    <w:rPr>
      <w:color w:val="800080" w:themeColor="followedHyperlink"/>
      <w:u w:val="single"/>
    </w:rPr>
  </w:style>
  <w:style w:type="paragraph" w:customStyle="1" w:styleId="Texto">
    <w:name w:val="Texto"/>
    <w:basedOn w:val="Normal"/>
    <w:link w:val="TextoCar"/>
    <w:rsid w:val="007571C1"/>
    <w:pPr>
      <w:spacing w:after="101" w:line="216" w:lineRule="exact"/>
      <w:ind w:firstLine="288"/>
      <w:jc w:val="both"/>
    </w:pPr>
    <w:rPr>
      <w:rFonts w:ascii="Arial" w:hAnsi="Arial" w:cs="Arial"/>
      <w:sz w:val="18"/>
      <w:szCs w:val="18"/>
      <w:lang w:val="es-MX" w:eastAsia="es-ES"/>
    </w:rPr>
  </w:style>
  <w:style w:type="character" w:customStyle="1" w:styleId="TextoCar">
    <w:name w:val="Texto Car"/>
    <w:link w:val="Texto"/>
    <w:locked/>
    <w:rsid w:val="00C15799"/>
    <w:rPr>
      <w:rFonts w:ascii="Arial" w:eastAsia="Times New Roman" w:hAnsi="Arial" w:cs="Arial"/>
      <w:sz w:val="18"/>
      <w:szCs w:val="18"/>
      <w:bdr w:val="none" w:sz="0" w:space="0" w:color="auto"/>
      <w:lang w:val="es-MX"/>
    </w:rPr>
  </w:style>
  <w:style w:type="paragraph" w:styleId="PlainText">
    <w:name w:val="Plain Text"/>
    <w:basedOn w:val="Normal"/>
    <w:link w:val="PlainTextChar"/>
    <w:rsid w:val="00C15799"/>
    <w:rPr>
      <w:rFonts w:ascii="Courier New" w:hAnsi="Courier New" w:cs="Courier New"/>
      <w:sz w:val="20"/>
      <w:szCs w:val="20"/>
      <w:lang w:val="es-ES" w:eastAsia="es-ES"/>
    </w:rPr>
  </w:style>
  <w:style w:type="character" w:customStyle="1" w:styleId="PlainTextChar">
    <w:name w:val="Plain Text Char"/>
    <w:basedOn w:val="DefaultParagraphFont"/>
    <w:link w:val="PlainText"/>
    <w:rsid w:val="00C15799"/>
    <w:rPr>
      <w:rFonts w:ascii="Courier New" w:eastAsia="Times New Roman" w:hAnsi="Courier New" w:cs="Courier New"/>
      <w:bdr w:val="none" w:sz="0" w:space="0" w:color="auto"/>
    </w:rPr>
  </w:style>
  <w:style w:type="character" w:customStyle="1" w:styleId="Heading4Char">
    <w:name w:val="Heading 4 Char"/>
    <w:basedOn w:val="DefaultParagraphFont"/>
    <w:link w:val="Heading4"/>
    <w:uiPriority w:val="9"/>
    <w:rsid w:val="00982021"/>
    <w:rPr>
      <w:rFonts w:ascii="Cambria" w:eastAsiaTheme="majorEastAsia" w:hAnsi="Cambria" w:cstheme="majorBidi"/>
      <w:b/>
      <w:iCs/>
      <w:szCs w:val="24"/>
      <w:bdr w:val="none" w:sz="0" w:space="0" w:color="auto"/>
      <w:lang w:val="en-US" w:eastAsia="en-US"/>
    </w:rPr>
  </w:style>
  <w:style w:type="character" w:styleId="BookTitle">
    <w:name w:val="Book Title"/>
    <w:basedOn w:val="DefaultParagraphFont"/>
    <w:uiPriority w:val="33"/>
    <w:qFormat/>
    <w:rsid w:val="00C952BE"/>
    <w:rPr>
      <w:b/>
      <w:bCs/>
      <w:i/>
      <w:iCs/>
      <w:spacing w:val="5"/>
    </w:rPr>
  </w:style>
  <w:style w:type="character" w:customStyle="1" w:styleId="UnresolvedMention1">
    <w:name w:val="Unresolved Mention1"/>
    <w:basedOn w:val="DefaultParagraphFont"/>
    <w:uiPriority w:val="99"/>
    <w:semiHidden/>
    <w:unhideWhenUsed/>
    <w:rsid w:val="004D7592"/>
    <w:rPr>
      <w:color w:val="605E5C"/>
      <w:shd w:val="clear" w:color="auto" w:fill="E1DFDD"/>
    </w:rPr>
  </w:style>
  <w:style w:type="character" w:customStyle="1" w:styleId="A6">
    <w:name w:val="A6"/>
    <w:uiPriority w:val="99"/>
    <w:rsid w:val="001758D8"/>
    <w:rPr>
      <w:rFonts w:ascii="Avenir Next" w:hAnsi="Avenir Next" w:cs="Avenir Next" w:hint="default"/>
      <w:color w:val="211D1E"/>
      <w:sz w:val="32"/>
      <w:szCs w:val="32"/>
    </w:r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uiPriority w:val="99"/>
    <w:locked/>
    <w:rsid w:val="008C06E5"/>
    <w:rPr>
      <w:rFonts w:ascii="Calibri" w:eastAsia="Times New Roman" w:hAnsi="Calibri"/>
      <w:color w:val="000000"/>
      <w:u w:color="000000"/>
      <w:lang w:val="en-US"/>
    </w:rPr>
  </w:style>
  <w:style w:type="character" w:customStyle="1" w:styleId="Heading5Char">
    <w:name w:val="Heading 5 Char"/>
    <w:basedOn w:val="DefaultParagraphFont"/>
    <w:link w:val="Heading5"/>
    <w:uiPriority w:val="9"/>
    <w:rsid w:val="00340BD2"/>
    <w:rPr>
      <w:rFonts w:asciiTheme="majorHAnsi" w:eastAsiaTheme="majorEastAsia" w:hAnsiTheme="majorHAnsi" w:cstheme="majorBidi"/>
      <w:b/>
      <w:szCs w:val="24"/>
      <w:bdr w:val="none" w:sz="0" w:space="0" w:color="auto"/>
      <w:lang w:val="en-US" w:eastAsia="en-US"/>
    </w:rPr>
  </w:style>
  <w:style w:type="paragraph" w:styleId="TOC5">
    <w:name w:val="toc 5"/>
    <w:basedOn w:val="Normal"/>
    <w:next w:val="Normal"/>
    <w:autoRedefine/>
    <w:uiPriority w:val="39"/>
    <w:unhideWhenUsed/>
    <w:rsid w:val="00C50251"/>
    <w:pPr>
      <w:spacing w:after="100"/>
      <w:ind w:left="960"/>
    </w:pPr>
  </w:style>
  <w:style w:type="paragraph" w:customStyle="1" w:styleId="1">
    <w:name w:val="1"/>
    <w:basedOn w:val="Normal"/>
    <w:rsid w:val="00AD3186"/>
    <w:pPr>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314">
      <w:bodyDiv w:val="1"/>
      <w:marLeft w:val="0"/>
      <w:marRight w:val="0"/>
      <w:marTop w:val="0"/>
      <w:marBottom w:val="0"/>
      <w:divBdr>
        <w:top w:val="none" w:sz="0" w:space="0" w:color="auto"/>
        <w:left w:val="none" w:sz="0" w:space="0" w:color="auto"/>
        <w:bottom w:val="none" w:sz="0" w:space="0" w:color="auto"/>
        <w:right w:val="none" w:sz="0" w:space="0" w:color="auto"/>
      </w:divBdr>
    </w:div>
    <w:div w:id="86394162">
      <w:bodyDiv w:val="1"/>
      <w:marLeft w:val="0"/>
      <w:marRight w:val="0"/>
      <w:marTop w:val="0"/>
      <w:marBottom w:val="0"/>
      <w:divBdr>
        <w:top w:val="none" w:sz="0" w:space="0" w:color="auto"/>
        <w:left w:val="none" w:sz="0" w:space="0" w:color="auto"/>
        <w:bottom w:val="none" w:sz="0" w:space="0" w:color="auto"/>
        <w:right w:val="none" w:sz="0" w:space="0" w:color="auto"/>
      </w:divBdr>
    </w:div>
    <w:div w:id="122697461">
      <w:bodyDiv w:val="1"/>
      <w:marLeft w:val="0"/>
      <w:marRight w:val="0"/>
      <w:marTop w:val="0"/>
      <w:marBottom w:val="0"/>
      <w:divBdr>
        <w:top w:val="none" w:sz="0" w:space="0" w:color="auto"/>
        <w:left w:val="none" w:sz="0" w:space="0" w:color="auto"/>
        <w:bottom w:val="none" w:sz="0" w:space="0" w:color="auto"/>
        <w:right w:val="none" w:sz="0" w:space="0" w:color="auto"/>
      </w:divBdr>
    </w:div>
    <w:div w:id="135726993">
      <w:bodyDiv w:val="1"/>
      <w:marLeft w:val="0"/>
      <w:marRight w:val="0"/>
      <w:marTop w:val="0"/>
      <w:marBottom w:val="0"/>
      <w:divBdr>
        <w:top w:val="none" w:sz="0" w:space="0" w:color="auto"/>
        <w:left w:val="none" w:sz="0" w:space="0" w:color="auto"/>
        <w:bottom w:val="none" w:sz="0" w:space="0" w:color="auto"/>
        <w:right w:val="none" w:sz="0" w:space="0" w:color="auto"/>
      </w:divBdr>
    </w:div>
    <w:div w:id="161699800">
      <w:bodyDiv w:val="1"/>
      <w:marLeft w:val="0"/>
      <w:marRight w:val="0"/>
      <w:marTop w:val="0"/>
      <w:marBottom w:val="0"/>
      <w:divBdr>
        <w:top w:val="none" w:sz="0" w:space="0" w:color="auto"/>
        <w:left w:val="none" w:sz="0" w:space="0" w:color="auto"/>
        <w:bottom w:val="none" w:sz="0" w:space="0" w:color="auto"/>
        <w:right w:val="none" w:sz="0" w:space="0" w:color="auto"/>
      </w:divBdr>
    </w:div>
    <w:div w:id="212696029">
      <w:bodyDiv w:val="1"/>
      <w:marLeft w:val="0"/>
      <w:marRight w:val="0"/>
      <w:marTop w:val="0"/>
      <w:marBottom w:val="0"/>
      <w:divBdr>
        <w:top w:val="none" w:sz="0" w:space="0" w:color="auto"/>
        <w:left w:val="none" w:sz="0" w:space="0" w:color="auto"/>
        <w:bottom w:val="none" w:sz="0" w:space="0" w:color="auto"/>
        <w:right w:val="none" w:sz="0" w:space="0" w:color="auto"/>
      </w:divBdr>
    </w:div>
    <w:div w:id="216285644">
      <w:bodyDiv w:val="1"/>
      <w:marLeft w:val="0"/>
      <w:marRight w:val="0"/>
      <w:marTop w:val="0"/>
      <w:marBottom w:val="0"/>
      <w:divBdr>
        <w:top w:val="none" w:sz="0" w:space="0" w:color="auto"/>
        <w:left w:val="none" w:sz="0" w:space="0" w:color="auto"/>
        <w:bottom w:val="none" w:sz="0" w:space="0" w:color="auto"/>
        <w:right w:val="none" w:sz="0" w:space="0" w:color="auto"/>
      </w:divBdr>
    </w:div>
    <w:div w:id="227616483">
      <w:bodyDiv w:val="1"/>
      <w:marLeft w:val="0"/>
      <w:marRight w:val="0"/>
      <w:marTop w:val="0"/>
      <w:marBottom w:val="0"/>
      <w:divBdr>
        <w:top w:val="none" w:sz="0" w:space="0" w:color="auto"/>
        <w:left w:val="none" w:sz="0" w:space="0" w:color="auto"/>
        <w:bottom w:val="none" w:sz="0" w:space="0" w:color="auto"/>
        <w:right w:val="none" w:sz="0" w:space="0" w:color="auto"/>
      </w:divBdr>
    </w:div>
    <w:div w:id="228150237">
      <w:bodyDiv w:val="1"/>
      <w:marLeft w:val="0"/>
      <w:marRight w:val="0"/>
      <w:marTop w:val="0"/>
      <w:marBottom w:val="0"/>
      <w:divBdr>
        <w:top w:val="none" w:sz="0" w:space="0" w:color="auto"/>
        <w:left w:val="none" w:sz="0" w:space="0" w:color="auto"/>
        <w:bottom w:val="none" w:sz="0" w:space="0" w:color="auto"/>
        <w:right w:val="none" w:sz="0" w:space="0" w:color="auto"/>
      </w:divBdr>
    </w:div>
    <w:div w:id="305476145">
      <w:bodyDiv w:val="1"/>
      <w:marLeft w:val="0"/>
      <w:marRight w:val="0"/>
      <w:marTop w:val="0"/>
      <w:marBottom w:val="0"/>
      <w:divBdr>
        <w:top w:val="none" w:sz="0" w:space="0" w:color="auto"/>
        <w:left w:val="none" w:sz="0" w:space="0" w:color="auto"/>
        <w:bottom w:val="none" w:sz="0" w:space="0" w:color="auto"/>
        <w:right w:val="none" w:sz="0" w:space="0" w:color="auto"/>
      </w:divBdr>
    </w:div>
    <w:div w:id="335809216">
      <w:bodyDiv w:val="1"/>
      <w:marLeft w:val="0"/>
      <w:marRight w:val="0"/>
      <w:marTop w:val="0"/>
      <w:marBottom w:val="0"/>
      <w:divBdr>
        <w:top w:val="none" w:sz="0" w:space="0" w:color="auto"/>
        <w:left w:val="none" w:sz="0" w:space="0" w:color="auto"/>
        <w:bottom w:val="none" w:sz="0" w:space="0" w:color="auto"/>
        <w:right w:val="none" w:sz="0" w:space="0" w:color="auto"/>
      </w:divBdr>
    </w:div>
    <w:div w:id="343871125">
      <w:bodyDiv w:val="1"/>
      <w:marLeft w:val="0"/>
      <w:marRight w:val="0"/>
      <w:marTop w:val="0"/>
      <w:marBottom w:val="0"/>
      <w:divBdr>
        <w:top w:val="none" w:sz="0" w:space="0" w:color="auto"/>
        <w:left w:val="none" w:sz="0" w:space="0" w:color="auto"/>
        <w:bottom w:val="none" w:sz="0" w:space="0" w:color="auto"/>
        <w:right w:val="none" w:sz="0" w:space="0" w:color="auto"/>
      </w:divBdr>
      <w:divsChild>
        <w:div w:id="418600223">
          <w:marLeft w:val="-225"/>
          <w:marRight w:val="-225"/>
          <w:marTop w:val="45"/>
          <w:marBottom w:val="45"/>
          <w:divBdr>
            <w:top w:val="none" w:sz="0" w:space="0" w:color="auto"/>
            <w:left w:val="none" w:sz="0" w:space="0" w:color="auto"/>
            <w:bottom w:val="none" w:sz="0" w:space="0" w:color="auto"/>
            <w:right w:val="none" w:sz="0" w:space="0" w:color="auto"/>
          </w:divBdr>
        </w:div>
      </w:divsChild>
    </w:div>
    <w:div w:id="368990563">
      <w:bodyDiv w:val="1"/>
      <w:marLeft w:val="0"/>
      <w:marRight w:val="0"/>
      <w:marTop w:val="0"/>
      <w:marBottom w:val="0"/>
      <w:divBdr>
        <w:top w:val="none" w:sz="0" w:space="0" w:color="auto"/>
        <w:left w:val="none" w:sz="0" w:space="0" w:color="auto"/>
        <w:bottom w:val="none" w:sz="0" w:space="0" w:color="auto"/>
        <w:right w:val="none" w:sz="0" w:space="0" w:color="auto"/>
      </w:divBdr>
    </w:div>
    <w:div w:id="373772720">
      <w:bodyDiv w:val="1"/>
      <w:marLeft w:val="0"/>
      <w:marRight w:val="0"/>
      <w:marTop w:val="0"/>
      <w:marBottom w:val="0"/>
      <w:divBdr>
        <w:top w:val="none" w:sz="0" w:space="0" w:color="auto"/>
        <w:left w:val="none" w:sz="0" w:space="0" w:color="auto"/>
        <w:bottom w:val="none" w:sz="0" w:space="0" w:color="auto"/>
        <w:right w:val="none" w:sz="0" w:space="0" w:color="auto"/>
      </w:divBdr>
    </w:div>
    <w:div w:id="439571371">
      <w:bodyDiv w:val="1"/>
      <w:marLeft w:val="0"/>
      <w:marRight w:val="0"/>
      <w:marTop w:val="0"/>
      <w:marBottom w:val="0"/>
      <w:divBdr>
        <w:top w:val="none" w:sz="0" w:space="0" w:color="auto"/>
        <w:left w:val="none" w:sz="0" w:space="0" w:color="auto"/>
        <w:bottom w:val="none" w:sz="0" w:space="0" w:color="auto"/>
        <w:right w:val="none" w:sz="0" w:space="0" w:color="auto"/>
      </w:divBdr>
    </w:div>
    <w:div w:id="546916731">
      <w:bodyDiv w:val="1"/>
      <w:marLeft w:val="0"/>
      <w:marRight w:val="0"/>
      <w:marTop w:val="0"/>
      <w:marBottom w:val="0"/>
      <w:divBdr>
        <w:top w:val="none" w:sz="0" w:space="0" w:color="auto"/>
        <w:left w:val="none" w:sz="0" w:space="0" w:color="auto"/>
        <w:bottom w:val="none" w:sz="0" w:space="0" w:color="auto"/>
        <w:right w:val="none" w:sz="0" w:space="0" w:color="auto"/>
      </w:divBdr>
    </w:div>
    <w:div w:id="547569904">
      <w:bodyDiv w:val="1"/>
      <w:marLeft w:val="0"/>
      <w:marRight w:val="0"/>
      <w:marTop w:val="0"/>
      <w:marBottom w:val="0"/>
      <w:divBdr>
        <w:top w:val="none" w:sz="0" w:space="0" w:color="auto"/>
        <w:left w:val="none" w:sz="0" w:space="0" w:color="auto"/>
        <w:bottom w:val="none" w:sz="0" w:space="0" w:color="auto"/>
        <w:right w:val="none" w:sz="0" w:space="0" w:color="auto"/>
      </w:divBdr>
    </w:div>
    <w:div w:id="568347557">
      <w:bodyDiv w:val="1"/>
      <w:marLeft w:val="0"/>
      <w:marRight w:val="0"/>
      <w:marTop w:val="0"/>
      <w:marBottom w:val="0"/>
      <w:divBdr>
        <w:top w:val="none" w:sz="0" w:space="0" w:color="auto"/>
        <w:left w:val="none" w:sz="0" w:space="0" w:color="auto"/>
        <w:bottom w:val="none" w:sz="0" w:space="0" w:color="auto"/>
        <w:right w:val="none" w:sz="0" w:space="0" w:color="auto"/>
      </w:divBdr>
    </w:div>
    <w:div w:id="610284828">
      <w:bodyDiv w:val="1"/>
      <w:marLeft w:val="0"/>
      <w:marRight w:val="0"/>
      <w:marTop w:val="0"/>
      <w:marBottom w:val="0"/>
      <w:divBdr>
        <w:top w:val="none" w:sz="0" w:space="0" w:color="auto"/>
        <w:left w:val="none" w:sz="0" w:space="0" w:color="auto"/>
        <w:bottom w:val="none" w:sz="0" w:space="0" w:color="auto"/>
        <w:right w:val="none" w:sz="0" w:space="0" w:color="auto"/>
      </w:divBdr>
    </w:div>
    <w:div w:id="617295215">
      <w:bodyDiv w:val="1"/>
      <w:marLeft w:val="0"/>
      <w:marRight w:val="0"/>
      <w:marTop w:val="0"/>
      <w:marBottom w:val="0"/>
      <w:divBdr>
        <w:top w:val="none" w:sz="0" w:space="0" w:color="auto"/>
        <w:left w:val="none" w:sz="0" w:space="0" w:color="auto"/>
        <w:bottom w:val="none" w:sz="0" w:space="0" w:color="auto"/>
        <w:right w:val="none" w:sz="0" w:space="0" w:color="auto"/>
      </w:divBdr>
    </w:div>
    <w:div w:id="690306415">
      <w:bodyDiv w:val="1"/>
      <w:marLeft w:val="0"/>
      <w:marRight w:val="0"/>
      <w:marTop w:val="0"/>
      <w:marBottom w:val="0"/>
      <w:divBdr>
        <w:top w:val="none" w:sz="0" w:space="0" w:color="auto"/>
        <w:left w:val="none" w:sz="0" w:space="0" w:color="auto"/>
        <w:bottom w:val="none" w:sz="0" w:space="0" w:color="auto"/>
        <w:right w:val="none" w:sz="0" w:space="0" w:color="auto"/>
      </w:divBdr>
    </w:div>
    <w:div w:id="704255512">
      <w:bodyDiv w:val="1"/>
      <w:marLeft w:val="0"/>
      <w:marRight w:val="0"/>
      <w:marTop w:val="0"/>
      <w:marBottom w:val="0"/>
      <w:divBdr>
        <w:top w:val="none" w:sz="0" w:space="0" w:color="auto"/>
        <w:left w:val="none" w:sz="0" w:space="0" w:color="auto"/>
        <w:bottom w:val="none" w:sz="0" w:space="0" w:color="auto"/>
        <w:right w:val="none" w:sz="0" w:space="0" w:color="auto"/>
      </w:divBdr>
    </w:div>
    <w:div w:id="737241426">
      <w:bodyDiv w:val="1"/>
      <w:marLeft w:val="0"/>
      <w:marRight w:val="0"/>
      <w:marTop w:val="0"/>
      <w:marBottom w:val="0"/>
      <w:divBdr>
        <w:top w:val="none" w:sz="0" w:space="0" w:color="auto"/>
        <w:left w:val="none" w:sz="0" w:space="0" w:color="auto"/>
        <w:bottom w:val="none" w:sz="0" w:space="0" w:color="auto"/>
        <w:right w:val="none" w:sz="0" w:space="0" w:color="auto"/>
      </w:divBdr>
    </w:div>
    <w:div w:id="791284996">
      <w:bodyDiv w:val="1"/>
      <w:marLeft w:val="0"/>
      <w:marRight w:val="0"/>
      <w:marTop w:val="0"/>
      <w:marBottom w:val="0"/>
      <w:divBdr>
        <w:top w:val="none" w:sz="0" w:space="0" w:color="auto"/>
        <w:left w:val="none" w:sz="0" w:space="0" w:color="auto"/>
        <w:bottom w:val="none" w:sz="0" w:space="0" w:color="auto"/>
        <w:right w:val="none" w:sz="0" w:space="0" w:color="auto"/>
      </w:divBdr>
    </w:div>
    <w:div w:id="814025543">
      <w:bodyDiv w:val="1"/>
      <w:marLeft w:val="0"/>
      <w:marRight w:val="0"/>
      <w:marTop w:val="0"/>
      <w:marBottom w:val="0"/>
      <w:divBdr>
        <w:top w:val="none" w:sz="0" w:space="0" w:color="auto"/>
        <w:left w:val="none" w:sz="0" w:space="0" w:color="auto"/>
        <w:bottom w:val="none" w:sz="0" w:space="0" w:color="auto"/>
        <w:right w:val="none" w:sz="0" w:space="0" w:color="auto"/>
      </w:divBdr>
      <w:divsChild>
        <w:div w:id="1916621704">
          <w:marLeft w:val="0"/>
          <w:marRight w:val="0"/>
          <w:marTop w:val="0"/>
          <w:marBottom w:val="0"/>
          <w:divBdr>
            <w:top w:val="none" w:sz="0" w:space="0" w:color="auto"/>
            <w:left w:val="none" w:sz="0" w:space="0" w:color="auto"/>
            <w:bottom w:val="none" w:sz="0" w:space="0" w:color="auto"/>
            <w:right w:val="none" w:sz="0" w:space="0" w:color="auto"/>
          </w:divBdr>
          <w:divsChild>
            <w:div w:id="312030778">
              <w:marLeft w:val="0"/>
              <w:marRight w:val="0"/>
              <w:marTop w:val="0"/>
              <w:marBottom w:val="0"/>
              <w:divBdr>
                <w:top w:val="none" w:sz="0" w:space="0" w:color="auto"/>
                <w:left w:val="none" w:sz="0" w:space="0" w:color="auto"/>
                <w:bottom w:val="none" w:sz="0" w:space="0" w:color="auto"/>
                <w:right w:val="none" w:sz="0" w:space="0" w:color="auto"/>
              </w:divBdr>
              <w:divsChild>
                <w:div w:id="667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11258">
      <w:bodyDiv w:val="1"/>
      <w:marLeft w:val="0"/>
      <w:marRight w:val="0"/>
      <w:marTop w:val="0"/>
      <w:marBottom w:val="0"/>
      <w:divBdr>
        <w:top w:val="none" w:sz="0" w:space="0" w:color="auto"/>
        <w:left w:val="none" w:sz="0" w:space="0" w:color="auto"/>
        <w:bottom w:val="none" w:sz="0" w:space="0" w:color="auto"/>
        <w:right w:val="none" w:sz="0" w:space="0" w:color="auto"/>
      </w:divBdr>
    </w:div>
    <w:div w:id="943464027">
      <w:bodyDiv w:val="1"/>
      <w:marLeft w:val="0"/>
      <w:marRight w:val="0"/>
      <w:marTop w:val="0"/>
      <w:marBottom w:val="0"/>
      <w:divBdr>
        <w:top w:val="none" w:sz="0" w:space="0" w:color="auto"/>
        <w:left w:val="none" w:sz="0" w:space="0" w:color="auto"/>
        <w:bottom w:val="none" w:sz="0" w:space="0" w:color="auto"/>
        <w:right w:val="none" w:sz="0" w:space="0" w:color="auto"/>
      </w:divBdr>
    </w:div>
    <w:div w:id="944995517">
      <w:bodyDiv w:val="1"/>
      <w:marLeft w:val="0"/>
      <w:marRight w:val="0"/>
      <w:marTop w:val="0"/>
      <w:marBottom w:val="0"/>
      <w:divBdr>
        <w:top w:val="none" w:sz="0" w:space="0" w:color="auto"/>
        <w:left w:val="none" w:sz="0" w:space="0" w:color="auto"/>
        <w:bottom w:val="none" w:sz="0" w:space="0" w:color="auto"/>
        <w:right w:val="none" w:sz="0" w:space="0" w:color="auto"/>
      </w:divBdr>
    </w:div>
    <w:div w:id="980236894">
      <w:bodyDiv w:val="1"/>
      <w:marLeft w:val="0"/>
      <w:marRight w:val="0"/>
      <w:marTop w:val="0"/>
      <w:marBottom w:val="0"/>
      <w:divBdr>
        <w:top w:val="none" w:sz="0" w:space="0" w:color="auto"/>
        <w:left w:val="none" w:sz="0" w:space="0" w:color="auto"/>
        <w:bottom w:val="none" w:sz="0" w:space="0" w:color="auto"/>
        <w:right w:val="none" w:sz="0" w:space="0" w:color="auto"/>
      </w:divBdr>
    </w:div>
    <w:div w:id="999577467">
      <w:bodyDiv w:val="1"/>
      <w:marLeft w:val="0"/>
      <w:marRight w:val="0"/>
      <w:marTop w:val="0"/>
      <w:marBottom w:val="0"/>
      <w:divBdr>
        <w:top w:val="none" w:sz="0" w:space="0" w:color="auto"/>
        <w:left w:val="none" w:sz="0" w:space="0" w:color="auto"/>
        <w:bottom w:val="none" w:sz="0" w:space="0" w:color="auto"/>
        <w:right w:val="none" w:sz="0" w:space="0" w:color="auto"/>
      </w:divBdr>
    </w:div>
    <w:div w:id="1027410331">
      <w:bodyDiv w:val="1"/>
      <w:marLeft w:val="0"/>
      <w:marRight w:val="0"/>
      <w:marTop w:val="0"/>
      <w:marBottom w:val="0"/>
      <w:divBdr>
        <w:top w:val="none" w:sz="0" w:space="0" w:color="auto"/>
        <w:left w:val="none" w:sz="0" w:space="0" w:color="auto"/>
        <w:bottom w:val="none" w:sz="0" w:space="0" w:color="auto"/>
        <w:right w:val="none" w:sz="0" w:space="0" w:color="auto"/>
      </w:divBdr>
    </w:div>
    <w:div w:id="1035891257">
      <w:bodyDiv w:val="1"/>
      <w:marLeft w:val="0"/>
      <w:marRight w:val="0"/>
      <w:marTop w:val="0"/>
      <w:marBottom w:val="0"/>
      <w:divBdr>
        <w:top w:val="none" w:sz="0" w:space="0" w:color="auto"/>
        <w:left w:val="none" w:sz="0" w:space="0" w:color="auto"/>
        <w:bottom w:val="none" w:sz="0" w:space="0" w:color="auto"/>
        <w:right w:val="none" w:sz="0" w:space="0" w:color="auto"/>
      </w:divBdr>
    </w:div>
    <w:div w:id="1058816904">
      <w:bodyDiv w:val="1"/>
      <w:marLeft w:val="0"/>
      <w:marRight w:val="0"/>
      <w:marTop w:val="0"/>
      <w:marBottom w:val="0"/>
      <w:divBdr>
        <w:top w:val="none" w:sz="0" w:space="0" w:color="auto"/>
        <w:left w:val="none" w:sz="0" w:space="0" w:color="auto"/>
        <w:bottom w:val="none" w:sz="0" w:space="0" w:color="auto"/>
        <w:right w:val="none" w:sz="0" w:space="0" w:color="auto"/>
      </w:divBdr>
    </w:div>
    <w:div w:id="1059860746">
      <w:bodyDiv w:val="1"/>
      <w:marLeft w:val="0"/>
      <w:marRight w:val="0"/>
      <w:marTop w:val="0"/>
      <w:marBottom w:val="0"/>
      <w:divBdr>
        <w:top w:val="none" w:sz="0" w:space="0" w:color="auto"/>
        <w:left w:val="none" w:sz="0" w:space="0" w:color="auto"/>
        <w:bottom w:val="none" w:sz="0" w:space="0" w:color="auto"/>
        <w:right w:val="none" w:sz="0" w:space="0" w:color="auto"/>
      </w:divBdr>
    </w:div>
    <w:div w:id="1077364118">
      <w:bodyDiv w:val="1"/>
      <w:marLeft w:val="0"/>
      <w:marRight w:val="0"/>
      <w:marTop w:val="0"/>
      <w:marBottom w:val="0"/>
      <w:divBdr>
        <w:top w:val="none" w:sz="0" w:space="0" w:color="auto"/>
        <w:left w:val="none" w:sz="0" w:space="0" w:color="auto"/>
        <w:bottom w:val="none" w:sz="0" w:space="0" w:color="auto"/>
        <w:right w:val="none" w:sz="0" w:space="0" w:color="auto"/>
      </w:divBdr>
    </w:div>
    <w:div w:id="1094278381">
      <w:bodyDiv w:val="1"/>
      <w:marLeft w:val="0"/>
      <w:marRight w:val="0"/>
      <w:marTop w:val="0"/>
      <w:marBottom w:val="0"/>
      <w:divBdr>
        <w:top w:val="none" w:sz="0" w:space="0" w:color="auto"/>
        <w:left w:val="none" w:sz="0" w:space="0" w:color="auto"/>
        <w:bottom w:val="none" w:sz="0" w:space="0" w:color="auto"/>
        <w:right w:val="none" w:sz="0" w:space="0" w:color="auto"/>
      </w:divBdr>
    </w:div>
    <w:div w:id="1095784823">
      <w:bodyDiv w:val="1"/>
      <w:marLeft w:val="0"/>
      <w:marRight w:val="0"/>
      <w:marTop w:val="0"/>
      <w:marBottom w:val="0"/>
      <w:divBdr>
        <w:top w:val="none" w:sz="0" w:space="0" w:color="auto"/>
        <w:left w:val="none" w:sz="0" w:space="0" w:color="auto"/>
        <w:bottom w:val="none" w:sz="0" w:space="0" w:color="auto"/>
        <w:right w:val="none" w:sz="0" w:space="0" w:color="auto"/>
      </w:divBdr>
    </w:div>
    <w:div w:id="1126390039">
      <w:bodyDiv w:val="1"/>
      <w:marLeft w:val="0"/>
      <w:marRight w:val="0"/>
      <w:marTop w:val="0"/>
      <w:marBottom w:val="0"/>
      <w:divBdr>
        <w:top w:val="none" w:sz="0" w:space="0" w:color="auto"/>
        <w:left w:val="none" w:sz="0" w:space="0" w:color="auto"/>
        <w:bottom w:val="none" w:sz="0" w:space="0" w:color="auto"/>
        <w:right w:val="none" w:sz="0" w:space="0" w:color="auto"/>
      </w:divBdr>
    </w:div>
    <w:div w:id="1132215452">
      <w:bodyDiv w:val="1"/>
      <w:marLeft w:val="0"/>
      <w:marRight w:val="0"/>
      <w:marTop w:val="0"/>
      <w:marBottom w:val="0"/>
      <w:divBdr>
        <w:top w:val="none" w:sz="0" w:space="0" w:color="auto"/>
        <w:left w:val="none" w:sz="0" w:space="0" w:color="auto"/>
        <w:bottom w:val="none" w:sz="0" w:space="0" w:color="auto"/>
        <w:right w:val="none" w:sz="0" w:space="0" w:color="auto"/>
      </w:divBdr>
    </w:div>
    <w:div w:id="1136684914">
      <w:bodyDiv w:val="1"/>
      <w:marLeft w:val="0"/>
      <w:marRight w:val="0"/>
      <w:marTop w:val="0"/>
      <w:marBottom w:val="0"/>
      <w:divBdr>
        <w:top w:val="none" w:sz="0" w:space="0" w:color="auto"/>
        <w:left w:val="none" w:sz="0" w:space="0" w:color="auto"/>
        <w:bottom w:val="none" w:sz="0" w:space="0" w:color="auto"/>
        <w:right w:val="none" w:sz="0" w:space="0" w:color="auto"/>
      </w:divBdr>
    </w:div>
    <w:div w:id="1145121876">
      <w:bodyDiv w:val="1"/>
      <w:marLeft w:val="0"/>
      <w:marRight w:val="0"/>
      <w:marTop w:val="0"/>
      <w:marBottom w:val="0"/>
      <w:divBdr>
        <w:top w:val="none" w:sz="0" w:space="0" w:color="auto"/>
        <w:left w:val="none" w:sz="0" w:space="0" w:color="auto"/>
        <w:bottom w:val="none" w:sz="0" w:space="0" w:color="auto"/>
        <w:right w:val="none" w:sz="0" w:space="0" w:color="auto"/>
      </w:divBdr>
    </w:div>
    <w:div w:id="1220938084">
      <w:bodyDiv w:val="1"/>
      <w:marLeft w:val="0"/>
      <w:marRight w:val="0"/>
      <w:marTop w:val="0"/>
      <w:marBottom w:val="0"/>
      <w:divBdr>
        <w:top w:val="none" w:sz="0" w:space="0" w:color="auto"/>
        <w:left w:val="none" w:sz="0" w:space="0" w:color="auto"/>
        <w:bottom w:val="none" w:sz="0" w:space="0" w:color="auto"/>
        <w:right w:val="none" w:sz="0" w:space="0" w:color="auto"/>
      </w:divBdr>
    </w:div>
    <w:div w:id="1237976013">
      <w:bodyDiv w:val="1"/>
      <w:marLeft w:val="0"/>
      <w:marRight w:val="0"/>
      <w:marTop w:val="0"/>
      <w:marBottom w:val="0"/>
      <w:divBdr>
        <w:top w:val="none" w:sz="0" w:space="0" w:color="auto"/>
        <w:left w:val="none" w:sz="0" w:space="0" w:color="auto"/>
        <w:bottom w:val="none" w:sz="0" w:space="0" w:color="auto"/>
        <w:right w:val="none" w:sz="0" w:space="0" w:color="auto"/>
      </w:divBdr>
    </w:div>
    <w:div w:id="1239755144">
      <w:bodyDiv w:val="1"/>
      <w:marLeft w:val="0"/>
      <w:marRight w:val="0"/>
      <w:marTop w:val="0"/>
      <w:marBottom w:val="0"/>
      <w:divBdr>
        <w:top w:val="none" w:sz="0" w:space="0" w:color="auto"/>
        <w:left w:val="none" w:sz="0" w:space="0" w:color="auto"/>
        <w:bottom w:val="none" w:sz="0" w:space="0" w:color="auto"/>
        <w:right w:val="none" w:sz="0" w:space="0" w:color="auto"/>
      </w:divBdr>
    </w:div>
    <w:div w:id="1252816693">
      <w:bodyDiv w:val="1"/>
      <w:marLeft w:val="0"/>
      <w:marRight w:val="0"/>
      <w:marTop w:val="0"/>
      <w:marBottom w:val="0"/>
      <w:divBdr>
        <w:top w:val="none" w:sz="0" w:space="0" w:color="auto"/>
        <w:left w:val="none" w:sz="0" w:space="0" w:color="auto"/>
        <w:bottom w:val="none" w:sz="0" w:space="0" w:color="auto"/>
        <w:right w:val="none" w:sz="0" w:space="0" w:color="auto"/>
      </w:divBdr>
    </w:div>
    <w:div w:id="1264262633">
      <w:bodyDiv w:val="1"/>
      <w:marLeft w:val="0"/>
      <w:marRight w:val="0"/>
      <w:marTop w:val="0"/>
      <w:marBottom w:val="0"/>
      <w:divBdr>
        <w:top w:val="none" w:sz="0" w:space="0" w:color="auto"/>
        <w:left w:val="none" w:sz="0" w:space="0" w:color="auto"/>
        <w:bottom w:val="none" w:sz="0" w:space="0" w:color="auto"/>
        <w:right w:val="none" w:sz="0" w:space="0" w:color="auto"/>
      </w:divBdr>
    </w:div>
    <w:div w:id="1350059171">
      <w:bodyDiv w:val="1"/>
      <w:marLeft w:val="0"/>
      <w:marRight w:val="0"/>
      <w:marTop w:val="0"/>
      <w:marBottom w:val="0"/>
      <w:divBdr>
        <w:top w:val="none" w:sz="0" w:space="0" w:color="auto"/>
        <w:left w:val="none" w:sz="0" w:space="0" w:color="auto"/>
        <w:bottom w:val="none" w:sz="0" w:space="0" w:color="auto"/>
        <w:right w:val="none" w:sz="0" w:space="0" w:color="auto"/>
      </w:divBdr>
    </w:div>
    <w:div w:id="1359505983">
      <w:bodyDiv w:val="1"/>
      <w:marLeft w:val="0"/>
      <w:marRight w:val="0"/>
      <w:marTop w:val="0"/>
      <w:marBottom w:val="0"/>
      <w:divBdr>
        <w:top w:val="none" w:sz="0" w:space="0" w:color="auto"/>
        <w:left w:val="none" w:sz="0" w:space="0" w:color="auto"/>
        <w:bottom w:val="none" w:sz="0" w:space="0" w:color="auto"/>
        <w:right w:val="none" w:sz="0" w:space="0" w:color="auto"/>
      </w:divBdr>
    </w:div>
    <w:div w:id="1396927392">
      <w:bodyDiv w:val="1"/>
      <w:marLeft w:val="0"/>
      <w:marRight w:val="0"/>
      <w:marTop w:val="0"/>
      <w:marBottom w:val="0"/>
      <w:divBdr>
        <w:top w:val="none" w:sz="0" w:space="0" w:color="auto"/>
        <w:left w:val="none" w:sz="0" w:space="0" w:color="auto"/>
        <w:bottom w:val="none" w:sz="0" w:space="0" w:color="auto"/>
        <w:right w:val="none" w:sz="0" w:space="0" w:color="auto"/>
      </w:divBdr>
    </w:div>
    <w:div w:id="1402558776">
      <w:bodyDiv w:val="1"/>
      <w:marLeft w:val="0"/>
      <w:marRight w:val="0"/>
      <w:marTop w:val="0"/>
      <w:marBottom w:val="0"/>
      <w:divBdr>
        <w:top w:val="none" w:sz="0" w:space="0" w:color="auto"/>
        <w:left w:val="none" w:sz="0" w:space="0" w:color="auto"/>
        <w:bottom w:val="none" w:sz="0" w:space="0" w:color="auto"/>
        <w:right w:val="none" w:sz="0" w:space="0" w:color="auto"/>
      </w:divBdr>
    </w:div>
    <w:div w:id="1406026302">
      <w:bodyDiv w:val="1"/>
      <w:marLeft w:val="0"/>
      <w:marRight w:val="0"/>
      <w:marTop w:val="0"/>
      <w:marBottom w:val="0"/>
      <w:divBdr>
        <w:top w:val="none" w:sz="0" w:space="0" w:color="auto"/>
        <w:left w:val="none" w:sz="0" w:space="0" w:color="auto"/>
        <w:bottom w:val="none" w:sz="0" w:space="0" w:color="auto"/>
        <w:right w:val="none" w:sz="0" w:space="0" w:color="auto"/>
      </w:divBdr>
    </w:div>
    <w:div w:id="1444110309">
      <w:bodyDiv w:val="1"/>
      <w:marLeft w:val="0"/>
      <w:marRight w:val="0"/>
      <w:marTop w:val="0"/>
      <w:marBottom w:val="0"/>
      <w:divBdr>
        <w:top w:val="none" w:sz="0" w:space="0" w:color="auto"/>
        <w:left w:val="none" w:sz="0" w:space="0" w:color="auto"/>
        <w:bottom w:val="none" w:sz="0" w:space="0" w:color="auto"/>
        <w:right w:val="none" w:sz="0" w:space="0" w:color="auto"/>
      </w:divBdr>
    </w:div>
    <w:div w:id="1467044732">
      <w:bodyDiv w:val="1"/>
      <w:marLeft w:val="0"/>
      <w:marRight w:val="0"/>
      <w:marTop w:val="0"/>
      <w:marBottom w:val="0"/>
      <w:divBdr>
        <w:top w:val="none" w:sz="0" w:space="0" w:color="auto"/>
        <w:left w:val="none" w:sz="0" w:space="0" w:color="auto"/>
        <w:bottom w:val="none" w:sz="0" w:space="0" w:color="auto"/>
        <w:right w:val="none" w:sz="0" w:space="0" w:color="auto"/>
      </w:divBdr>
    </w:div>
    <w:div w:id="1480881221">
      <w:bodyDiv w:val="1"/>
      <w:marLeft w:val="0"/>
      <w:marRight w:val="0"/>
      <w:marTop w:val="0"/>
      <w:marBottom w:val="0"/>
      <w:divBdr>
        <w:top w:val="none" w:sz="0" w:space="0" w:color="auto"/>
        <w:left w:val="none" w:sz="0" w:space="0" w:color="auto"/>
        <w:bottom w:val="none" w:sz="0" w:space="0" w:color="auto"/>
        <w:right w:val="none" w:sz="0" w:space="0" w:color="auto"/>
      </w:divBdr>
      <w:divsChild>
        <w:div w:id="1075468871">
          <w:marLeft w:val="-225"/>
          <w:marRight w:val="-225"/>
          <w:marTop w:val="45"/>
          <w:marBottom w:val="45"/>
          <w:divBdr>
            <w:top w:val="none" w:sz="0" w:space="0" w:color="auto"/>
            <w:left w:val="none" w:sz="0" w:space="0" w:color="auto"/>
            <w:bottom w:val="none" w:sz="0" w:space="0" w:color="auto"/>
            <w:right w:val="none" w:sz="0" w:space="0" w:color="auto"/>
          </w:divBdr>
        </w:div>
        <w:div w:id="74322240">
          <w:marLeft w:val="-225"/>
          <w:marRight w:val="-225"/>
          <w:marTop w:val="45"/>
          <w:marBottom w:val="45"/>
          <w:divBdr>
            <w:top w:val="none" w:sz="0" w:space="0" w:color="auto"/>
            <w:left w:val="none" w:sz="0" w:space="0" w:color="auto"/>
            <w:bottom w:val="none" w:sz="0" w:space="0" w:color="auto"/>
            <w:right w:val="none" w:sz="0" w:space="0" w:color="auto"/>
          </w:divBdr>
        </w:div>
      </w:divsChild>
    </w:div>
    <w:div w:id="1487668440">
      <w:bodyDiv w:val="1"/>
      <w:marLeft w:val="0"/>
      <w:marRight w:val="0"/>
      <w:marTop w:val="0"/>
      <w:marBottom w:val="0"/>
      <w:divBdr>
        <w:top w:val="none" w:sz="0" w:space="0" w:color="auto"/>
        <w:left w:val="none" w:sz="0" w:space="0" w:color="auto"/>
        <w:bottom w:val="none" w:sz="0" w:space="0" w:color="auto"/>
        <w:right w:val="none" w:sz="0" w:space="0" w:color="auto"/>
      </w:divBdr>
    </w:div>
    <w:div w:id="1493107778">
      <w:bodyDiv w:val="1"/>
      <w:marLeft w:val="0"/>
      <w:marRight w:val="0"/>
      <w:marTop w:val="0"/>
      <w:marBottom w:val="0"/>
      <w:divBdr>
        <w:top w:val="none" w:sz="0" w:space="0" w:color="auto"/>
        <w:left w:val="none" w:sz="0" w:space="0" w:color="auto"/>
        <w:bottom w:val="none" w:sz="0" w:space="0" w:color="auto"/>
        <w:right w:val="none" w:sz="0" w:space="0" w:color="auto"/>
      </w:divBdr>
    </w:div>
    <w:div w:id="1541166572">
      <w:bodyDiv w:val="1"/>
      <w:marLeft w:val="0"/>
      <w:marRight w:val="0"/>
      <w:marTop w:val="0"/>
      <w:marBottom w:val="0"/>
      <w:divBdr>
        <w:top w:val="none" w:sz="0" w:space="0" w:color="auto"/>
        <w:left w:val="none" w:sz="0" w:space="0" w:color="auto"/>
        <w:bottom w:val="none" w:sz="0" w:space="0" w:color="auto"/>
        <w:right w:val="none" w:sz="0" w:space="0" w:color="auto"/>
      </w:divBdr>
    </w:div>
    <w:div w:id="1547257260">
      <w:bodyDiv w:val="1"/>
      <w:marLeft w:val="0"/>
      <w:marRight w:val="0"/>
      <w:marTop w:val="0"/>
      <w:marBottom w:val="0"/>
      <w:divBdr>
        <w:top w:val="none" w:sz="0" w:space="0" w:color="auto"/>
        <w:left w:val="none" w:sz="0" w:space="0" w:color="auto"/>
        <w:bottom w:val="none" w:sz="0" w:space="0" w:color="auto"/>
        <w:right w:val="none" w:sz="0" w:space="0" w:color="auto"/>
      </w:divBdr>
    </w:div>
    <w:div w:id="1573927406">
      <w:bodyDiv w:val="1"/>
      <w:marLeft w:val="0"/>
      <w:marRight w:val="0"/>
      <w:marTop w:val="0"/>
      <w:marBottom w:val="0"/>
      <w:divBdr>
        <w:top w:val="none" w:sz="0" w:space="0" w:color="auto"/>
        <w:left w:val="none" w:sz="0" w:space="0" w:color="auto"/>
        <w:bottom w:val="none" w:sz="0" w:space="0" w:color="auto"/>
        <w:right w:val="none" w:sz="0" w:space="0" w:color="auto"/>
      </w:divBdr>
    </w:div>
    <w:div w:id="1587808513">
      <w:bodyDiv w:val="1"/>
      <w:marLeft w:val="0"/>
      <w:marRight w:val="0"/>
      <w:marTop w:val="0"/>
      <w:marBottom w:val="0"/>
      <w:divBdr>
        <w:top w:val="none" w:sz="0" w:space="0" w:color="auto"/>
        <w:left w:val="none" w:sz="0" w:space="0" w:color="auto"/>
        <w:bottom w:val="none" w:sz="0" w:space="0" w:color="auto"/>
        <w:right w:val="none" w:sz="0" w:space="0" w:color="auto"/>
      </w:divBdr>
    </w:div>
    <w:div w:id="1592549456">
      <w:bodyDiv w:val="1"/>
      <w:marLeft w:val="0"/>
      <w:marRight w:val="0"/>
      <w:marTop w:val="0"/>
      <w:marBottom w:val="0"/>
      <w:divBdr>
        <w:top w:val="none" w:sz="0" w:space="0" w:color="auto"/>
        <w:left w:val="none" w:sz="0" w:space="0" w:color="auto"/>
        <w:bottom w:val="none" w:sz="0" w:space="0" w:color="auto"/>
        <w:right w:val="none" w:sz="0" w:space="0" w:color="auto"/>
      </w:divBdr>
    </w:div>
    <w:div w:id="1650011372">
      <w:bodyDiv w:val="1"/>
      <w:marLeft w:val="0"/>
      <w:marRight w:val="0"/>
      <w:marTop w:val="0"/>
      <w:marBottom w:val="0"/>
      <w:divBdr>
        <w:top w:val="none" w:sz="0" w:space="0" w:color="auto"/>
        <w:left w:val="none" w:sz="0" w:space="0" w:color="auto"/>
        <w:bottom w:val="none" w:sz="0" w:space="0" w:color="auto"/>
        <w:right w:val="none" w:sz="0" w:space="0" w:color="auto"/>
      </w:divBdr>
    </w:div>
    <w:div w:id="1684433441">
      <w:bodyDiv w:val="1"/>
      <w:marLeft w:val="0"/>
      <w:marRight w:val="0"/>
      <w:marTop w:val="0"/>
      <w:marBottom w:val="0"/>
      <w:divBdr>
        <w:top w:val="none" w:sz="0" w:space="0" w:color="auto"/>
        <w:left w:val="none" w:sz="0" w:space="0" w:color="auto"/>
        <w:bottom w:val="none" w:sz="0" w:space="0" w:color="auto"/>
        <w:right w:val="none" w:sz="0" w:space="0" w:color="auto"/>
      </w:divBdr>
    </w:div>
    <w:div w:id="1702852672">
      <w:bodyDiv w:val="1"/>
      <w:marLeft w:val="0"/>
      <w:marRight w:val="0"/>
      <w:marTop w:val="0"/>
      <w:marBottom w:val="0"/>
      <w:divBdr>
        <w:top w:val="none" w:sz="0" w:space="0" w:color="auto"/>
        <w:left w:val="none" w:sz="0" w:space="0" w:color="auto"/>
        <w:bottom w:val="none" w:sz="0" w:space="0" w:color="auto"/>
        <w:right w:val="none" w:sz="0" w:space="0" w:color="auto"/>
      </w:divBdr>
    </w:div>
    <w:div w:id="1703433972">
      <w:bodyDiv w:val="1"/>
      <w:marLeft w:val="0"/>
      <w:marRight w:val="0"/>
      <w:marTop w:val="0"/>
      <w:marBottom w:val="0"/>
      <w:divBdr>
        <w:top w:val="none" w:sz="0" w:space="0" w:color="auto"/>
        <w:left w:val="none" w:sz="0" w:space="0" w:color="auto"/>
        <w:bottom w:val="none" w:sz="0" w:space="0" w:color="auto"/>
        <w:right w:val="none" w:sz="0" w:space="0" w:color="auto"/>
      </w:divBdr>
    </w:div>
    <w:div w:id="1760326000">
      <w:bodyDiv w:val="1"/>
      <w:marLeft w:val="0"/>
      <w:marRight w:val="0"/>
      <w:marTop w:val="0"/>
      <w:marBottom w:val="0"/>
      <w:divBdr>
        <w:top w:val="none" w:sz="0" w:space="0" w:color="auto"/>
        <w:left w:val="none" w:sz="0" w:space="0" w:color="auto"/>
        <w:bottom w:val="none" w:sz="0" w:space="0" w:color="auto"/>
        <w:right w:val="none" w:sz="0" w:space="0" w:color="auto"/>
      </w:divBdr>
    </w:div>
    <w:div w:id="177956748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0339649">
      <w:bodyDiv w:val="1"/>
      <w:marLeft w:val="0"/>
      <w:marRight w:val="0"/>
      <w:marTop w:val="0"/>
      <w:marBottom w:val="0"/>
      <w:divBdr>
        <w:top w:val="none" w:sz="0" w:space="0" w:color="auto"/>
        <w:left w:val="none" w:sz="0" w:space="0" w:color="auto"/>
        <w:bottom w:val="none" w:sz="0" w:space="0" w:color="auto"/>
        <w:right w:val="none" w:sz="0" w:space="0" w:color="auto"/>
      </w:divBdr>
    </w:div>
    <w:div w:id="1805195177">
      <w:bodyDiv w:val="1"/>
      <w:marLeft w:val="0"/>
      <w:marRight w:val="0"/>
      <w:marTop w:val="0"/>
      <w:marBottom w:val="0"/>
      <w:divBdr>
        <w:top w:val="none" w:sz="0" w:space="0" w:color="auto"/>
        <w:left w:val="none" w:sz="0" w:space="0" w:color="auto"/>
        <w:bottom w:val="none" w:sz="0" w:space="0" w:color="auto"/>
        <w:right w:val="none" w:sz="0" w:space="0" w:color="auto"/>
      </w:divBdr>
    </w:div>
    <w:div w:id="1809204489">
      <w:bodyDiv w:val="1"/>
      <w:marLeft w:val="0"/>
      <w:marRight w:val="0"/>
      <w:marTop w:val="0"/>
      <w:marBottom w:val="0"/>
      <w:divBdr>
        <w:top w:val="none" w:sz="0" w:space="0" w:color="auto"/>
        <w:left w:val="none" w:sz="0" w:space="0" w:color="auto"/>
        <w:bottom w:val="none" w:sz="0" w:space="0" w:color="auto"/>
        <w:right w:val="none" w:sz="0" w:space="0" w:color="auto"/>
      </w:divBdr>
    </w:div>
    <w:div w:id="1839080660">
      <w:bodyDiv w:val="1"/>
      <w:marLeft w:val="0"/>
      <w:marRight w:val="0"/>
      <w:marTop w:val="0"/>
      <w:marBottom w:val="0"/>
      <w:divBdr>
        <w:top w:val="none" w:sz="0" w:space="0" w:color="auto"/>
        <w:left w:val="none" w:sz="0" w:space="0" w:color="auto"/>
        <w:bottom w:val="none" w:sz="0" w:space="0" w:color="auto"/>
        <w:right w:val="none" w:sz="0" w:space="0" w:color="auto"/>
      </w:divBdr>
    </w:div>
    <w:div w:id="1851068988">
      <w:bodyDiv w:val="1"/>
      <w:marLeft w:val="0"/>
      <w:marRight w:val="0"/>
      <w:marTop w:val="0"/>
      <w:marBottom w:val="0"/>
      <w:divBdr>
        <w:top w:val="none" w:sz="0" w:space="0" w:color="auto"/>
        <w:left w:val="none" w:sz="0" w:space="0" w:color="auto"/>
        <w:bottom w:val="none" w:sz="0" w:space="0" w:color="auto"/>
        <w:right w:val="none" w:sz="0" w:space="0" w:color="auto"/>
      </w:divBdr>
    </w:div>
    <w:div w:id="1866093394">
      <w:bodyDiv w:val="1"/>
      <w:marLeft w:val="0"/>
      <w:marRight w:val="0"/>
      <w:marTop w:val="0"/>
      <w:marBottom w:val="0"/>
      <w:divBdr>
        <w:top w:val="none" w:sz="0" w:space="0" w:color="auto"/>
        <w:left w:val="none" w:sz="0" w:space="0" w:color="auto"/>
        <w:bottom w:val="none" w:sz="0" w:space="0" w:color="auto"/>
        <w:right w:val="none" w:sz="0" w:space="0" w:color="auto"/>
      </w:divBdr>
    </w:div>
    <w:div w:id="1908570787">
      <w:bodyDiv w:val="1"/>
      <w:marLeft w:val="0"/>
      <w:marRight w:val="0"/>
      <w:marTop w:val="0"/>
      <w:marBottom w:val="0"/>
      <w:divBdr>
        <w:top w:val="none" w:sz="0" w:space="0" w:color="auto"/>
        <w:left w:val="none" w:sz="0" w:space="0" w:color="auto"/>
        <w:bottom w:val="none" w:sz="0" w:space="0" w:color="auto"/>
        <w:right w:val="none" w:sz="0" w:space="0" w:color="auto"/>
      </w:divBdr>
      <w:divsChild>
        <w:div w:id="1356032635">
          <w:marLeft w:val="0"/>
          <w:marRight w:val="0"/>
          <w:marTop w:val="0"/>
          <w:marBottom w:val="0"/>
          <w:divBdr>
            <w:top w:val="none" w:sz="0" w:space="0" w:color="auto"/>
            <w:left w:val="none" w:sz="0" w:space="0" w:color="auto"/>
            <w:bottom w:val="none" w:sz="0" w:space="0" w:color="auto"/>
            <w:right w:val="none" w:sz="0" w:space="0" w:color="auto"/>
          </w:divBdr>
        </w:div>
        <w:div w:id="116803243">
          <w:marLeft w:val="0"/>
          <w:marRight w:val="0"/>
          <w:marTop w:val="0"/>
          <w:marBottom w:val="0"/>
          <w:divBdr>
            <w:top w:val="none" w:sz="0" w:space="0" w:color="auto"/>
            <w:left w:val="none" w:sz="0" w:space="0" w:color="auto"/>
            <w:bottom w:val="none" w:sz="0" w:space="0" w:color="auto"/>
            <w:right w:val="none" w:sz="0" w:space="0" w:color="auto"/>
          </w:divBdr>
        </w:div>
        <w:div w:id="901910348">
          <w:marLeft w:val="0"/>
          <w:marRight w:val="0"/>
          <w:marTop w:val="0"/>
          <w:marBottom w:val="0"/>
          <w:divBdr>
            <w:top w:val="none" w:sz="0" w:space="0" w:color="auto"/>
            <w:left w:val="none" w:sz="0" w:space="0" w:color="auto"/>
            <w:bottom w:val="none" w:sz="0" w:space="0" w:color="auto"/>
            <w:right w:val="none" w:sz="0" w:space="0" w:color="auto"/>
          </w:divBdr>
        </w:div>
        <w:div w:id="1734156064">
          <w:marLeft w:val="0"/>
          <w:marRight w:val="0"/>
          <w:marTop w:val="0"/>
          <w:marBottom w:val="0"/>
          <w:divBdr>
            <w:top w:val="none" w:sz="0" w:space="0" w:color="auto"/>
            <w:left w:val="none" w:sz="0" w:space="0" w:color="auto"/>
            <w:bottom w:val="none" w:sz="0" w:space="0" w:color="auto"/>
            <w:right w:val="none" w:sz="0" w:space="0" w:color="auto"/>
          </w:divBdr>
        </w:div>
        <w:div w:id="685598680">
          <w:marLeft w:val="0"/>
          <w:marRight w:val="0"/>
          <w:marTop w:val="0"/>
          <w:marBottom w:val="0"/>
          <w:divBdr>
            <w:top w:val="none" w:sz="0" w:space="0" w:color="auto"/>
            <w:left w:val="none" w:sz="0" w:space="0" w:color="auto"/>
            <w:bottom w:val="none" w:sz="0" w:space="0" w:color="auto"/>
            <w:right w:val="none" w:sz="0" w:space="0" w:color="auto"/>
          </w:divBdr>
        </w:div>
        <w:div w:id="1774785627">
          <w:marLeft w:val="0"/>
          <w:marRight w:val="0"/>
          <w:marTop w:val="0"/>
          <w:marBottom w:val="0"/>
          <w:divBdr>
            <w:top w:val="none" w:sz="0" w:space="0" w:color="auto"/>
            <w:left w:val="none" w:sz="0" w:space="0" w:color="auto"/>
            <w:bottom w:val="none" w:sz="0" w:space="0" w:color="auto"/>
            <w:right w:val="none" w:sz="0" w:space="0" w:color="auto"/>
          </w:divBdr>
        </w:div>
      </w:divsChild>
    </w:div>
    <w:div w:id="2021615241">
      <w:bodyDiv w:val="1"/>
      <w:marLeft w:val="0"/>
      <w:marRight w:val="0"/>
      <w:marTop w:val="0"/>
      <w:marBottom w:val="0"/>
      <w:divBdr>
        <w:top w:val="none" w:sz="0" w:space="0" w:color="auto"/>
        <w:left w:val="none" w:sz="0" w:space="0" w:color="auto"/>
        <w:bottom w:val="none" w:sz="0" w:space="0" w:color="auto"/>
        <w:right w:val="none" w:sz="0" w:space="0" w:color="auto"/>
      </w:divBdr>
    </w:div>
    <w:div w:id="2062748140">
      <w:bodyDiv w:val="1"/>
      <w:marLeft w:val="0"/>
      <w:marRight w:val="0"/>
      <w:marTop w:val="0"/>
      <w:marBottom w:val="0"/>
      <w:divBdr>
        <w:top w:val="none" w:sz="0" w:space="0" w:color="auto"/>
        <w:left w:val="none" w:sz="0" w:space="0" w:color="auto"/>
        <w:bottom w:val="none" w:sz="0" w:space="0" w:color="auto"/>
        <w:right w:val="none" w:sz="0" w:space="0" w:color="auto"/>
      </w:divBdr>
    </w:div>
    <w:div w:id="2101486947">
      <w:bodyDiv w:val="1"/>
      <w:marLeft w:val="0"/>
      <w:marRight w:val="0"/>
      <w:marTop w:val="0"/>
      <w:marBottom w:val="0"/>
      <w:divBdr>
        <w:top w:val="none" w:sz="0" w:space="0" w:color="auto"/>
        <w:left w:val="none" w:sz="0" w:space="0" w:color="auto"/>
        <w:bottom w:val="none" w:sz="0" w:space="0" w:color="auto"/>
        <w:right w:val="none" w:sz="0" w:space="0" w:color="auto"/>
      </w:divBdr>
    </w:div>
    <w:div w:id="2110352290">
      <w:bodyDiv w:val="1"/>
      <w:marLeft w:val="0"/>
      <w:marRight w:val="0"/>
      <w:marTop w:val="0"/>
      <w:marBottom w:val="0"/>
      <w:divBdr>
        <w:top w:val="none" w:sz="0" w:space="0" w:color="auto"/>
        <w:left w:val="none" w:sz="0" w:space="0" w:color="auto"/>
        <w:bottom w:val="none" w:sz="0" w:space="0" w:color="auto"/>
        <w:right w:val="none" w:sz="0" w:space="0" w:color="auto"/>
      </w:divBdr>
    </w:div>
    <w:div w:id="2112780458">
      <w:bodyDiv w:val="1"/>
      <w:marLeft w:val="0"/>
      <w:marRight w:val="0"/>
      <w:marTop w:val="0"/>
      <w:marBottom w:val="0"/>
      <w:divBdr>
        <w:top w:val="none" w:sz="0" w:space="0" w:color="auto"/>
        <w:left w:val="none" w:sz="0" w:space="0" w:color="auto"/>
        <w:bottom w:val="none" w:sz="0" w:space="0" w:color="auto"/>
        <w:right w:val="none" w:sz="0" w:space="0" w:color="auto"/>
      </w:divBdr>
    </w:div>
    <w:div w:id="2116703620">
      <w:bodyDiv w:val="1"/>
      <w:marLeft w:val="0"/>
      <w:marRight w:val="0"/>
      <w:marTop w:val="0"/>
      <w:marBottom w:val="0"/>
      <w:divBdr>
        <w:top w:val="none" w:sz="0" w:space="0" w:color="auto"/>
        <w:left w:val="none" w:sz="0" w:space="0" w:color="auto"/>
        <w:bottom w:val="none" w:sz="0" w:space="0" w:color="auto"/>
        <w:right w:val="none" w:sz="0" w:space="0" w:color="auto"/>
      </w:divBdr>
    </w:div>
    <w:div w:id="211871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mnesty.org/download/Documents/92000/amr280182004es.pdf" TargetMode="External"/><Relationship Id="rId7" Type="http://schemas.openxmlformats.org/officeDocument/2006/relationships/hyperlink" Target="https://www.ohchr.org/SP/ProfessionalInterest/Pages/LawEnforcementOfficials.aspx" TargetMode="External"/><Relationship Id="rId2" Type="http://schemas.openxmlformats.org/officeDocument/2006/relationships/hyperlink" Target="https://www.amnesty.org/download/Documents/104000/amr280102003es.pdf" TargetMode="External"/><Relationship Id="rId1" Type="http://schemas.openxmlformats.org/officeDocument/2006/relationships/hyperlink" Target="http://www.cidh.org/countryrep/Ecuador-sp/Capitulo%203.htm" TargetMode="External"/><Relationship Id="rId6" Type="http://schemas.openxmlformats.org/officeDocument/2006/relationships/hyperlink" Target="https://www.ohchr.org/SP/ProfessionalInterest/Pages/UseOfForceAndFirearms.aspx" TargetMode="External"/><Relationship Id="rId5" Type="http://schemas.openxmlformats.org/officeDocument/2006/relationships/hyperlink" Target="http://www.oas.org/es/cidh/decisiones/2012/ARPU12424ES.doc" TargetMode="External"/><Relationship Id="rId4" Type="http://schemas.openxmlformats.org/officeDocument/2006/relationships/hyperlink" Target="http://www.lexis.com.ec/wp-content/uploads/2019/07/LI-CONSTITUCION-DE-LA-REPUBLICA-DEL-ECUADO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0" ma:contentTypeDescription="Create a new document." ma:contentTypeScope="" ma:versionID="a3c9e2074a419d971f823c9b93150342">
  <xsd:schema xmlns:xsd="http://www.w3.org/2001/XMLSchema" xmlns:xs="http://www.w3.org/2001/XMLSchema" xmlns:p="http://schemas.microsoft.com/office/2006/metadata/properties" xmlns:ns2="7ff2a89a-f9c3-4229-b04b-1f4abb2786a1" targetNamespace="http://schemas.microsoft.com/office/2006/metadata/properties" ma:root="true" ma:fieldsID="547aa0da750f56173e33ae577620fc7d" ns2:_="">
    <xsd:import namespace="7ff2a89a-f9c3-4229-b04b-1f4abb278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26062-8896-40F8-B8B0-B103947BE9AE}">
  <ds:schemaRefs>
    <ds:schemaRef ds:uri="http://schemas.microsoft.com/sharepoint/v3/contenttype/forms"/>
  </ds:schemaRefs>
</ds:datastoreItem>
</file>

<file path=customXml/itemProps2.xml><?xml version="1.0" encoding="utf-8"?>
<ds:datastoreItem xmlns:ds="http://schemas.openxmlformats.org/officeDocument/2006/customXml" ds:itemID="{AE5338BB-14F9-4566-B154-D6CDDEBB6088}">
  <ds:schemaRefs>
    <ds:schemaRef ds:uri="http://schemas.openxmlformats.org/officeDocument/2006/bibliography"/>
  </ds:schemaRefs>
</ds:datastoreItem>
</file>

<file path=customXml/itemProps3.xml><?xml version="1.0" encoding="utf-8"?>
<ds:datastoreItem xmlns:ds="http://schemas.openxmlformats.org/officeDocument/2006/customXml" ds:itemID="{F944B474-0975-43B1-94EE-0F972539E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C24A2-B1EC-43BA-A14E-E4FD4E182D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13375</Words>
  <Characters>76243</Characters>
  <Application>Microsoft Office Word</Application>
  <DocSecurity>0</DocSecurity>
  <Lines>635</Lines>
  <Paragraphs>178</Paragraphs>
  <ScaleCrop>false</ScaleCrop>
  <Company/>
  <LinksUpToDate>false</LinksUpToDate>
  <CharactersWithSpaces>89440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2022-04-18T19:01:00Z</dcterms:created>
  <dcterms:modified xsi:type="dcterms:W3CDTF">2022-04-18T19:01:00Z</dcterms:modified>
</cp:coreProperties>
</file>