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B73A" w14:textId="77777777" w:rsidR="00040C3A" w:rsidRPr="00B91121" w:rsidRDefault="00D306D1" w:rsidP="00627C9F">
      <w:pPr>
        <w:jc w:val="both"/>
        <w:rPr>
          <w:rFonts w:asciiTheme="majorHAnsi" w:hAnsiTheme="majorHAnsi" w:cs="Univers"/>
          <w:b/>
          <w:bCs/>
          <w:sz w:val="22"/>
          <w:szCs w:val="22"/>
          <w:lang w:val="es-ES_tradnl"/>
        </w:rPr>
      </w:pPr>
      <w:r w:rsidRPr="00B9112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EDA22B2" wp14:editId="6171ADA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5EE6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9112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11EBE58" wp14:editId="7379336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AE505" w14:textId="77777777" w:rsidR="00A52FEB" w:rsidRDefault="00A52FEB" w:rsidP="00AE5488">
                            <w:r>
                              <w:rPr>
                                <w:noProof/>
                              </w:rPr>
                              <w:drawing>
                                <wp:inline distT="0" distB="0" distL="0" distR="0" wp14:anchorId="190DB5F3" wp14:editId="3E09D8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EBE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A1AE505" w14:textId="77777777" w:rsidR="00A52FEB" w:rsidRDefault="00A52FEB" w:rsidP="00AE5488">
                      <w:r>
                        <w:rPr>
                          <w:noProof/>
                        </w:rPr>
                        <w:drawing>
                          <wp:inline distT="0" distB="0" distL="0" distR="0" wp14:anchorId="190DB5F3" wp14:editId="3E09D8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1DF0EE8" w14:textId="77777777" w:rsidR="00040C3A" w:rsidRPr="00B91121" w:rsidRDefault="00040C3A" w:rsidP="00040C3A">
      <w:pPr>
        <w:tabs>
          <w:tab w:val="center" w:pos="5400"/>
        </w:tabs>
        <w:suppressAutoHyphens/>
        <w:jc w:val="both"/>
        <w:rPr>
          <w:rFonts w:asciiTheme="majorHAnsi" w:hAnsiTheme="majorHAnsi"/>
          <w:sz w:val="22"/>
          <w:szCs w:val="22"/>
          <w:lang w:val="es-ES"/>
        </w:rPr>
      </w:pPr>
    </w:p>
    <w:p w14:paraId="654B7DCC" w14:textId="77777777" w:rsidR="00040C3A" w:rsidRPr="00B91121" w:rsidRDefault="00040C3A" w:rsidP="00040C3A">
      <w:pPr>
        <w:tabs>
          <w:tab w:val="center" w:pos="5400"/>
        </w:tabs>
        <w:suppressAutoHyphens/>
        <w:jc w:val="both"/>
        <w:rPr>
          <w:rFonts w:asciiTheme="majorHAnsi" w:hAnsiTheme="majorHAnsi"/>
          <w:sz w:val="22"/>
          <w:szCs w:val="22"/>
          <w:lang w:val="es-ES"/>
        </w:rPr>
      </w:pPr>
    </w:p>
    <w:p w14:paraId="1C25D8B3" w14:textId="77777777" w:rsidR="005128E4" w:rsidRPr="00B91121" w:rsidRDefault="005128E4" w:rsidP="00040C3A">
      <w:pPr>
        <w:tabs>
          <w:tab w:val="center" w:pos="5400"/>
        </w:tabs>
        <w:suppressAutoHyphens/>
        <w:rPr>
          <w:rFonts w:asciiTheme="majorHAnsi" w:hAnsiTheme="majorHAnsi"/>
          <w:sz w:val="22"/>
          <w:szCs w:val="22"/>
          <w:lang w:val="es-ES_tradnl"/>
        </w:rPr>
      </w:pPr>
    </w:p>
    <w:p w14:paraId="72F7107C" w14:textId="77777777" w:rsidR="005128E4" w:rsidRPr="00B91121" w:rsidRDefault="005128E4" w:rsidP="00040C3A">
      <w:pPr>
        <w:tabs>
          <w:tab w:val="center" w:pos="5400"/>
        </w:tabs>
        <w:suppressAutoHyphens/>
        <w:rPr>
          <w:rFonts w:asciiTheme="majorHAnsi" w:hAnsiTheme="majorHAnsi"/>
          <w:sz w:val="22"/>
          <w:szCs w:val="22"/>
          <w:lang w:val="es-ES_tradnl"/>
        </w:rPr>
      </w:pPr>
    </w:p>
    <w:p w14:paraId="0B404D80" w14:textId="77777777" w:rsidR="005128E4" w:rsidRPr="00B91121" w:rsidRDefault="005128E4" w:rsidP="00040C3A">
      <w:pPr>
        <w:tabs>
          <w:tab w:val="center" w:pos="5400"/>
        </w:tabs>
        <w:suppressAutoHyphens/>
        <w:rPr>
          <w:rFonts w:asciiTheme="majorHAnsi" w:hAnsiTheme="majorHAnsi"/>
          <w:sz w:val="22"/>
          <w:szCs w:val="22"/>
          <w:lang w:val="es-ES_tradnl"/>
        </w:rPr>
      </w:pPr>
    </w:p>
    <w:p w14:paraId="3CE9E312" w14:textId="77777777" w:rsidR="00040C3A" w:rsidRPr="00B91121" w:rsidRDefault="00040C3A" w:rsidP="005128E4">
      <w:pPr>
        <w:tabs>
          <w:tab w:val="center" w:pos="5400"/>
        </w:tabs>
        <w:suppressAutoHyphens/>
        <w:jc w:val="center"/>
        <w:rPr>
          <w:rFonts w:asciiTheme="majorHAnsi" w:hAnsiTheme="majorHAnsi"/>
          <w:sz w:val="22"/>
          <w:szCs w:val="22"/>
          <w:lang w:val="es-ES_tradnl"/>
        </w:rPr>
      </w:pPr>
    </w:p>
    <w:p w14:paraId="73B8EC86" w14:textId="77777777" w:rsidR="00040C3A" w:rsidRPr="00B91121" w:rsidRDefault="00040C3A" w:rsidP="005128E4">
      <w:pPr>
        <w:tabs>
          <w:tab w:val="center" w:pos="5400"/>
        </w:tabs>
        <w:suppressAutoHyphens/>
        <w:jc w:val="center"/>
        <w:rPr>
          <w:rFonts w:asciiTheme="majorHAnsi" w:hAnsiTheme="majorHAnsi"/>
          <w:sz w:val="22"/>
          <w:szCs w:val="22"/>
          <w:lang w:val="es-ES_tradnl"/>
        </w:rPr>
      </w:pPr>
    </w:p>
    <w:p w14:paraId="1856B95B" w14:textId="77777777" w:rsidR="005B52B0" w:rsidRPr="00B91121" w:rsidRDefault="005B52B0" w:rsidP="005128E4">
      <w:pPr>
        <w:tabs>
          <w:tab w:val="center" w:pos="5400"/>
        </w:tabs>
        <w:suppressAutoHyphens/>
        <w:jc w:val="center"/>
        <w:rPr>
          <w:rFonts w:asciiTheme="majorHAnsi" w:hAnsiTheme="majorHAnsi"/>
          <w:sz w:val="22"/>
          <w:szCs w:val="22"/>
          <w:lang w:val="es-ES_tradnl"/>
        </w:rPr>
      </w:pPr>
    </w:p>
    <w:p w14:paraId="5211A875" w14:textId="77777777" w:rsidR="005B52B0" w:rsidRPr="00B91121" w:rsidRDefault="005B52B0" w:rsidP="005128E4">
      <w:pPr>
        <w:tabs>
          <w:tab w:val="center" w:pos="5400"/>
        </w:tabs>
        <w:suppressAutoHyphens/>
        <w:jc w:val="center"/>
        <w:rPr>
          <w:rFonts w:asciiTheme="majorHAnsi" w:hAnsiTheme="majorHAnsi"/>
          <w:sz w:val="22"/>
          <w:szCs w:val="22"/>
          <w:lang w:val="es-ES_tradnl"/>
        </w:rPr>
      </w:pPr>
    </w:p>
    <w:p w14:paraId="0A786686" w14:textId="77777777" w:rsidR="005B52B0" w:rsidRPr="00B91121" w:rsidRDefault="005B52B0" w:rsidP="005128E4">
      <w:pPr>
        <w:tabs>
          <w:tab w:val="center" w:pos="5400"/>
        </w:tabs>
        <w:suppressAutoHyphens/>
        <w:jc w:val="center"/>
        <w:rPr>
          <w:rFonts w:asciiTheme="majorHAnsi" w:hAnsiTheme="majorHAnsi"/>
          <w:sz w:val="22"/>
          <w:szCs w:val="22"/>
          <w:lang w:val="es-ES_tradnl"/>
        </w:rPr>
      </w:pPr>
    </w:p>
    <w:p w14:paraId="4801EA3C" w14:textId="77777777" w:rsidR="00040C3A" w:rsidRPr="00B91121" w:rsidRDefault="00040C3A" w:rsidP="00040C3A">
      <w:pPr>
        <w:tabs>
          <w:tab w:val="center" w:pos="5400"/>
        </w:tabs>
        <w:suppressAutoHyphens/>
        <w:jc w:val="center"/>
        <w:rPr>
          <w:rFonts w:asciiTheme="majorHAnsi" w:hAnsiTheme="majorHAnsi"/>
          <w:sz w:val="22"/>
          <w:szCs w:val="22"/>
          <w:lang w:val="es-ES_tradnl"/>
        </w:rPr>
      </w:pPr>
    </w:p>
    <w:p w14:paraId="0C83EB8C" w14:textId="77777777" w:rsidR="00040C3A" w:rsidRPr="00B91121" w:rsidRDefault="00040C3A" w:rsidP="00040C3A">
      <w:pPr>
        <w:tabs>
          <w:tab w:val="center" w:pos="5400"/>
        </w:tabs>
        <w:suppressAutoHyphens/>
        <w:jc w:val="center"/>
        <w:rPr>
          <w:rFonts w:asciiTheme="majorHAnsi" w:hAnsiTheme="majorHAnsi"/>
          <w:sz w:val="22"/>
          <w:szCs w:val="22"/>
          <w:lang w:val="es-ES_tradnl"/>
        </w:rPr>
      </w:pPr>
    </w:p>
    <w:p w14:paraId="3BF014FA" w14:textId="713300A0" w:rsidR="00040C3A" w:rsidRPr="00B91121" w:rsidRDefault="00F6687F" w:rsidP="00040C3A">
      <w:pPr>
        <w:tabs>
          <w:tab w:val="center" w:pos="5400"/>
        </w:tabs>
        <w:suppressAutoHyphens/>
        <w:jc w:val="center"/>
        <w:rPr>
          <w:rFonts w:asciiTheme="majorHAnsi" w:hAnsiTheme="majorHAnsi"/>
          <w:sz w:val="22"/>
          <w:szCs w:val="22"/>
          <w:lang w:val="es-ES_tradnl"/>
        </w:rPr>
      </w:pPr>
      <w:r w:rsidRPr="00B9112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CF2D5" wp14:editId="6DE37377">
                <wp:simplePos x="0" y="0"/>
                <wp:positionH relativeFrom="column">
                  <wp:posOffset>-333375</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E9FCA" w14:textId="50E86703" w:rsidR="00A52FEB" w:rsidRPr="004E2649" w:rsidRDefault="00A52F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4F5A1" w14:textId="576560B8" w:rsidR="00A52FEB" w:rsidRPr="004E2649" w:rsidRDefault="00A52F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264</w:t>
                            </w:r>
                          </w:p>
                          <w:p w14:paraId="0AEFF4E3" w14:textId="25D1FCC2" w:rsidR="00A52FEB" w:rsidRPr="007C756A" w:rsidRDefault="00A52FEB"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6 diciembre </w:t>
                            </w:r>
                            <w:r w:rsidRPr="007C756A">
                              <w:rPr>
                                <w:rFonts w:asciiTheme="minorHAnsi" w:hAnsiTheme="minorHAnsi"/>
                                <w:color w:val="FFFFFF" w:themeColor="background1"/>
                                <w:sz w:val="22"/>
                                <w:lang w:val="es-US"/>
                              </w:rPr>
                              <w:t>20</w:t>
                            </w:r>
                            <w:r>
                              <w:rPr>
                                <w:rFonts w:asciiTheme="minorHAnsi" w:hAnsiTheme="minorHAnsi"/>
                                <w:color w:val="FFFFFF" w:themeColor="background1"/>
                                <w:sz w:val="22"/>
                                <w:lang w:val="es-US"/>
                              </w:rPr>
                              <w:t>19</w:t>
                            </w:r>
                          </w:p>
                          <w:p w14:paraId="32926250" w14:textId="77777777" w:rsidR="00A52FEB" w:rsidRPr="007C756A" w:rsidRDefault="00A52FEB"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CF2D5" id="Text Box 8" o:spid="_x0000_s1027" type="#_x0000_t202" style="position:absolute;left:0;text-align:left;margin-left:-26.25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" filled="f" stroked="f" strokeweight=".5pt">
                <v:textbox>
                  <w:txbxContent>
                    <w:p w14:paraId="595E9FCA" w14:textId="50E86703" w:rsidR="00A52FEB" w:rsidRPr="004E2649" w:rsidRDefault="00A52F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4F5A1" w14:textId="576560B8" w:rsidR="00A52FEB" w:rsidRPr="004E2649" w:rsidRDefault="00A52F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264</w:t>
                      </w:r>
                    </w:p>
                    <w:p w14:paraId="0AEFF4E3" w14:textId="25D1FCC2" w:rsidR="00A52FEB" w:rsidRPr="007C756A" w:rsidRDefault="00A52FEB"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6 diciembre </w:t>
                      </w:r>
                      <w:r w:rsidRPr="007C756A">
                        <w:rPr>
                          <w:rFonts w:asciiTheme="minorHAnsi" w:hAnsiTheme="minorHAnsi"/>
                          <w:color w:val="FFFFFF" w:themeColor="background1"/>
                          <w:sz w:val="22"/>
                          <w:lang w:val="es-US"/>
                        </w:rPr>
                        <w:t>20</w:t>
                      </w:r>
                      <w:r>
                        <w:rPr>
                          <w:rFonts w:asciiTheme="minorHAnsi" w:hAnsiTheme="minorHAnsi"/>
                          <w:color w:val="FFFFFF" w:themeColor="background1"/>
                          <w:sz w:val="22"/>
                          <w:lang w:val="es-US"/>
                        </w:rPr>
                        <w:t>19</w:t>
                      </w:r>
                    </w:p>
                    <w:p w14:paraId="32926250" w14:textId="77777777" w:rsidR="00A52FEB" w:rsidRPr="007C756A" w:rsidRDefault="00A52FEB"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r w:rsidR="003D3BC2" w:rsidRPr="00B9112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BB5AC72" wp14:editId="09C08A0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2BCD7" w14:textId="7050E93A" w:rsidR="00A52FEB" w:rsidRPr="007D30CA" w:rsidRDefault="00A52FEB" w:rsidP="00997BC5">
                            <w:pPr>
                              <w:spacing w:line="276" w:lineRule="auto"/>
                              <w:rPr>
                                <w:rFonts w:asciiTheme="majorHAnsi" w:hAnsiTheme="majorHAnsi" w:cs="Arial"/>
                                <w:b/>
                                <w:bCs/>
                                <w:color w:val="0D0D0D" w:themeColor="text1" w:themeTint="F2"/>
                                <w:sz w:val="36"/>
                                <w:szCs w:val="22"/>
                                <w:lang w:val="es-MX"/>
                              </w:rPr>
                            </w:pPr>
                            <w:r w:rsidRPr="007D30CA">
                              <w:rPr>
                                <w:rFonts w:asciiTheme="majorHAnsi" w:hAnsiTheme="majorHAnsi" w:cs="Arial"/>
                                <w:b/>
                                <w:bCs/>
                                <w:color w:val="0D0D0D" w:themeColor="text1" w:themeTint="F2"/>
                                <w:sz w:val="36"/>
                                <w:szCs w:val="22"/>
                                <w:lang w:val="es-MX"/>
                              </w:rPr>
                              <w:t xml:space="preserve">INFORME </w:t>
                            </w:r>
                            <w:r w:rsidRPr="007D30CA">
                              <w:rPr>
                                <w:rFonts w:asciiTheme="majorHAnsi" w:hAnsiTheme="majorHAnsi" w:cs="Arial"/>
                                <w:b/>
                                <w:bCs/>
                                <w:color w:val="0D0D0D" w:themeColor="text1" w:themeTint="F2"/>
                                <w:sz w:val="36"/>
                                <w:szCs w:val="40"/>
                                <w:lang w:val="es-MX"/>
                              </w:rPr>
                              <w:t>No.</w:t>
                            </w:r>
                            <w:r w:rsidRPr="007D30CA">
                              <w:rPr>
                                <w:rFonts w:asciiTheme="majorHAnsi" w:hAnsiTheme="majorHAnsi" w:cs="Arial"/>
                                <w:b/>
                                <w:bCs/>
                                <w:color w:val="0D0D0D" w:themeColor="text1" w:themeTint="F2"/>
                                <w:sz w:val="36"/>
                                <w:szCs w:val="22"/>
                                <w:lang w:val="es-MX"/>
                              </w:rPr>
                              <w:t xml:space="preserve"> </w:t>
                            </w:r>
                            <w:r>
                              <w:rPr>
                                <w:rFonts w:asciiTheme="majorHAnsi" w:hAnsiTheme="majorHAnsi" w:cs="Arial"/>
                                <w:b/>
                                <w:bCs/>
                                <w:color w:val="0D0D0D" w:themeColor="text1" w:themeTint="F2"/>
                                <w:sz w:val="36"/>
                                <w:szCs w:val="22"/>
                                <w:lang w:val="es-MX"/>
                              </w:rPr>
                              <w:t>236</w:t>
                            </w:r>
                            <w:r w:rsidRPr="007D30CA">
                              <w:rPr>
                                <w:rFonts w:asciiTheme="majorHAnsi" w:hAnsiTheme="majorHAnsi" w:cs="Arial"/>
                                <w:b/>
                                <w:bCs/>
                                <w:color w:val="0D0D0D" w:themeColor="text1" w:themeTint="F2"/>
                                <w:sz w:val="36"/>
                                <w:szCs w:val="22"/>
                                <w:lang w:val="es-MX"/>
                              </w:rPr>
                              <w:t>/19</w:t>
                            </w:r>
                          </w:p>
                          <w:p w14:paraId="50D35B9F" w14:textId="77777777" w:rsidR="00A52FEB" w:rsidRDefault="00A52FEB" w:rsidP="000158FD">
                            <w:pPr>
                              <w:spacing w:line="276" w:lineRule="auto"/>
                              <w:rPr>
                                <w:rFonts w:asciiTheme="majorHAnsi" w:hAnsiTheme="majorHAnsi" w:cs="Arial"/>
                                <w:b/>
                                <w:color w:val="0D0D0D" w:themeColor="text1" w:themeTint="F2"/>
                                <w:sz w:val="36"/>
                                <w:szCs w:val="22"/>
                                <w:lang w:val="es-MX"/>
                              </w:rPr>
                            </w:pPr>
                            <w:r w:rsidRPr="007D30CA">
                              <w:rPr>
                                <w:rFonts w:asciiTheme="majorHAnsi" w:hAnsiTheme="majorHAnsi" w:cs="Arial"/>
                                <w:b/>
                                <w:color w:val="0D0D0D" w:themeColor="text1" w:themeTint="F2"/>
                                <w:sz w:val="36"/>
                                <w:szCs w:val="22"/>
                                <w:lang w:val="es-MX"/>
                              </w:rPr>
                              <w:t xml:space="preserve">CASO </w:t>
                            </w:r>
                            <w:r>
                              <w:rPr>
                                <w:rFonts w:asciiTheme="majorHAnsi" w:hAnsiTheme="majorHAnsi" w:cs="Arial"/>
                                <w:b/>
                                <w:color w:val="0D0D0D" w:themeColor="text1" w:themeTint="F2"/>
                                <w:sz w:val="36"/>
                                <w:szCs w:val="22"/>
                                <w:lang w:val="es-MX"/>
                              </w:rPr>
                              <w:t>13.002</w:t>
                            </w:r>
                          </w:p>
                          <w:p w14:paraId="576EC298" w14:textId="77777777" w:rsidR="00A52FEB" w:rsidRPr="007D30CA" w:rsidRDefault="00A52FEB" w:rsidP="000158FD">
                            <w:pPr>
                              <w:spacing w:line="276" w:lineRule="auto"/>
                              <w:rPr>
                                <w:rFonts w:asciiTheme="majorHAnsi" w:hAnsiTheme="majorHAnsi" w:cs="Arial"/>
                                <w:b/>
                                <w:color w:val="0D0D0D" w:themeColor="text1" w:themeTint="F2"/>
                                <w:sz w:val="36"/>
                                <w:szCs w:val="22"/>
                                <w:lang w:val="es-MX"/>
                              </w:rPr>
                            </w:pPr>
                            <w:r w:rsidRPr="00C80925">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4F2C2745" w14:textId="77777777" w:rsidR="00A52FEB" w:rsidRPr="0010736F" w:rsidRDefault="00A52FEB" w:rsidP="00997BC5">
                            <w:pPr>
                              <w:spacing w:line="276" w:lineRule="auto"/>
                              <w:rPr>
                                <w:rFonts w:asciiTheme="majorHAnsi" w:hAnsiTheme="majorHAnsi" w:cs="Arial"/>
                                <w:color w:val="0D0D0D" w:themeColor="text1" w:themeTint="F2"/>
                                <w:szCs w:val="22"/>
                                <w:lang w:val="es-ES_tradnl"/>
                              </w:rPr>
                            </w:pPr>
                            <w:bookmarkStart w:id="0" w:name="_ftnref1"/>
                          </w:p>
                          <w:p w14:paraId="6BEB6B0A" w14:textId="77777777" w:rsidR="00A52FEB" w:rsidRPr="0010736F" w:rsidRDefault="00A52F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CRISTINA BRITEZ ARCE Y FAMILIA</w:t>
                            </w:r>
                          </w:p>
                          <w:bookmarkEnd w:id="0"/>
                          <w:p w14:paraId="41764AD4" w14:textId="77777777" w:rsidR="00A52FEB" w:rsidRPr="0010736F" w:rsidRDefault="00A52FE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2218BF1" w14:textId="77777777" w:rsidR="00A52FEB" w:rsidRPr="00AE5488" w:rsidRDefault="00A52FE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5AC72"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33C2BCD7" w14:textId="7050E93A" w:rsidR="00A52FEB" w:rsidRPr="007D30CA" w:rsidRDefault="00A52FEB" w:rsidP="00997BC5">
                      <w:pPr>
                        <w:spacing w:line="276" w:lineRule="auto"/>
                        <w:rPr>
                          <w:rFonts w:asciiTheme="majorHAnsi" w:hAnsiTheme="majorHAnsi" w:cs="Arial"/>
                          <w:b/>
                          <w:bCs/>
                          <w:color w:val="0D0D0D" w:themeColor="text1" w:themeTint="F2"/>
                          <w:sz w:val="36"/>
                          <w:szCs w:val="22"/>
                          <w:lang w:val="es-MX"/>
                        </w:rPr>
                      </w:pPr>
                      <w:r w:rsidRPr="007D30CA">
                        <w:rPr>
                          <w:rFonts w:asciiTheme="majorHAnsi" w:hAnsiTheme="majorHAnsi" w:cs="Arial"/>
                          <w:b/>
                          <w:bCs/>
                          <w:color w:val="0D0D0D" w:themeColor="text1" w:themeTint="F2"/>
                          <w:sz w:val="36"/>
                          <w:szCs w:val="22"/>
                          <w:lang w:val="es-MX"/>
                        </w:rPr>
                        <w:t xml:space="preserve">INFORME </w:t>
                      </w:r>
                      <w:r w:rsidRPr="007D30CA">
                        <w:rPr>
                          <w:rFonts w:asciiTheme="majorHAnsi" w:hAnsiTheme="majorHAnsi" w:cs="Arial"/>
                          <w:b/>
                          <w:bCs/>
                          <w:color w:val="0D0D0D" w:themeColor="text1" w:themeTint="F2"/>
                          <w:sz w:val="36"/>
                          <w:szCs w:val="40"/>
                          <w:lang w:val="es-MX"/>
                        </w:rPr>
                        <w:t>No.</w:t>
                      </w:r>
                      <w:r w:rsidRPr="007D30CA">
                        <w:rPr>
                          <w:rFonts w:asciiTheme="majorHAnsi" w:hAnsiTheme="majorHAnsi" w:cs="Arial"/>
                          <w:b/>
                          <w:bCs/>
                          <w:color w:val="0D0D0D" w:themeColor="text1" w:themeTint="F2"/>
                          <w:sz w:val="36"/>
                          <w:szCs w:val="22"/>
                          <w:lang w:val="es-MX"/>
                        </w:rPr>
                        <w:t xml:space="preserve"> </w:t>
                      </w:r>
                      <w:r>
                        <w:rPr>
                          <w:rFonts w:asciiTheme="majorHAnsi" w:hAnsiTheme="majorHAnsi" w:cs="Arial"/>
                          <w:b/>
                          <w:bCs/>
                          <w:color w:val="0D0D0D" w:themeColor="text1" w:themeTint="F2"/>
                          <w:sz w:val="36"/>
                          <w:szCs w:val="22"/>
                          <w:lang w:val="es-MX"/>
                        </w:rPr>
                        <w:t>236</w:t>
                      </w:r>
                      <w:r w:rsidRPr="007D30CA">
                        <w:rPr>
                          <w:rFonts w:asciiTheme="majorHAnsi" w:hAnsiTheme="majorHAnsi" w:cs="Arial"/>
                          <w:b/>
                          <w:bCs/>
                          <w:color w:val="0D0D0D" w:themeColor="text1" w:themeTint="F2"/>
                          <w:sz w:val="36"/>
                          <w:szCs w:val="22"/>
                          <w:lang w:val="es-MX"/>
                        </w:rPr>
                        <w:t>/19</w:t>
                      </w:r>
                    </w:p>
                    <w:p w14:paraId="50D35B9F" w14:textId="77777777" w:rsidR="00A52FEB" w:rsidRDefault="00A52FEB" w:rsidP="000158FD">
                      <w:pPr>
                        <w:spacing w:line="276" w:lineRule="auto"/>
                        <w:rPr>
                          <w:rFonts w:asciiTheme="majorHAnsi" w:hAnsiTheme="majorHAnsi" w:cs="Arial"/>
                          <w:b/>
                          <w:color w:val="0D0D0D" w:themeColor="text1" w:themeTint="F2"/>
                          <w:sz w:val="36"/>
                          <w:szCs w:val="22"/>
                          <w:lang w:val="es-MX"/>
                        </w:rPr>
                      </w:pPr>
                      <w:r w:rsidRPr="007D30CA">
                        <w:rPr>
                          <w:rFonts w:asciiTheme="majorHAnsi" w:hAnsiTheme="majorHAnsi" w:cs="Arial"/>
                          <w:b/>
                          <w:color w:val="0D0D0D" w:themeColor="text1" w:themeTint="F2"/>
                          <w:sz w:val="36"/>
                          <w:szCs w:val="22"/>
                          <w:lang w:val="es-MX"/>
                        </w:rPr>
                        <w:t xml:space="preserve">CASO </w:t>
                      </w:r>
                      <w:r>
                        <w:rPr>
                          <w:rFonts w:asciiTheme="majorHAnsi" w:hAnsiTheme="majorHAnsi" w:cs="Arial"/>
                          <w:b/>
                          <w:color w:val="0D0D0D" w:themeColor="text1" w:themeTint="F2"/>
                          <w:sz w:val="36"/>
                          <w:szCs w:val="22"/>
                          <w:lang w:val="es-MX"/>
                        </w:rPr>
                        <w:t>13.002</w:t>
                      </w:r>
                    </w:p>
                    <w:p w14:paraId="576EC298" w14:textId="77777777" w:rsidR="00A52FEB" w:rsidRPr="007D30CA" w:rsidRDefault="00A52FEB" w:rsidP="000158FD">
                      <w:pPr>
                        <w:spacing w:line="276" w:lineRule="auto"/>
                        <w:rPr>
                          <w:rFonts w:asciiTheme="majorHAnsi" w:hAnsiTheme="majorHAnsi" w:cs="Arial"/>
                          <w:b/>
                          <w:color w:val="0D0D0D" w:themeColor="text1" w:themeTint="F2"/>
                          <w:sz w:val="36"/>
                          <w:szCs w:val="22"/>
                          <w:lang w:val="es-MX"/>
                        </w:rPr>
                      </w:pPr>
                      <w:r w:rsidRPr="00C80925">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4F2C2745" w14:textId="77777777" w:rsidR="00A52FEB" w:rsidRPr="0010736F" w:rsidRDefault="00A52FEB" w:rsidP="00997BC5">
                      <w:pPr>
                        <w:spacing w:line="276" w:lineRule="auto"/>
                        <w:rPr>
                          <w:rFonts w:asciiTheme="majorHAnsi" w:hAnsiTheme="majorHAnsi" w:cs="Arial"/>
                          <w:color w:val="0D0D0D" w:themeColor="text1" w:themeTint="F2"/>
                          <w:szCs w:val="22"/>
                          <w:lang w:val="es-ES_tradnl"/>
                        </w:rPr>
                      </w:pPr>
                      <w:bookmarkStart w:id="1" w:name="_ftnref1"/>
                    </w:p>
                    <w:p w14:paraId="6BEB6B0A" w14:textId="77777777" w:rsidR="00A52FEB" w:rsidRPr="0010736F" w:rsidRDefault="00A52F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CRISTINA BRITEZ ARCE Y FAMILIA</w:t>
                      </w:r>
                    </w:p>
                    <w:bookmarkEnd w:id="1"/>
                    <w:p w14:paraId="41764AD4" w14:textId="77777777" w:rsidR="00A52FEB" w:rsidRPr="0010736F" w:rsidRDefault="00A52FE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2218BF1" w14:textId="77777777" w:rsidR="00A52FEB" w:rsidRPr="00AE5488" w:rsidRDefault="00A52FEB" w:rsidP="007A5817">
                      <w:pPr>
                        <w:rPr>
                          <w:color w:val="0D0D0D" w:themeColor="text1" w:themeTint="F2"/>
                          <w:lang w:val="es-ES_tradnl"/>
                        </w:rPr>
                      </w:pPr>
                    </w:p>
                  </w:txbxContent>
                </v:textbox>
              </v:shape>
            </w:pict>
          </mc:Fallback>
        </mc:AlternateContent>
      </w:r>
    </w:p>
    <w:p w14:paraId="0461A0BA" w14:textId="77777777" w:rsidR="00040C3A" w:rsidRPr="00B91121" w:rsidRDefault="00040C3A" w:rsidP="00040C3A">
      <w:pPr>
        <w:tabs>
          <w:tab w:val="center" w:pos="5400"/>
        </w:tabs>
        <w:suppressAutoHyphens/>
        <w:jc w:val="center"/>
        <w:rPr>
          <w:rFonts w:asciiTheme="majorHAnsi" w:hAnsiTheme="majorHAnsi"/>
          <w:sz w:val="22"/>
          <w:szCs w:val="22"/>
          <w:lang w:val="es-ES_tradnl"/>
        </w:rPr>
      </w:pPr>
    </w:p>
    <w:p w14:paraId="305FB43F" w14:textId="77777777" w:rsidR="00040C3A" w:rsidRPr="00B91121" w:rsidRDefault="00040C3A" w:rsidP="00040C3A">
      <w:pPr>
        <w:tabs>
          <w:tab w:val="center" w:pos="5400"/>
        </w:tabs>
        <w:suppressAutoHyphens/>
        <w:jc w:val="center"/>
        <w:rPr>
          <w:rFonts w:asciiTheme="majorHAnsi" w:hAnsiTheme="majorHAnsi"/>
          <w:sz w:val="22"/>
          <w:szCs w:val="22"/>
          <w:lang w:val="es-ES_tradnl"/>
        </w:rPr>
      </w:pPr>
    </w:p>
    <w:p w14:paraId="6292A2F6" w14:textId="77777777" w:rsidR="00040C3A" w:rsidRPr="00B91121" w:rsidRDefault="00040C3A" w:rsidP="00040C3A">
      <w:pPr>
        <w:tabs>
          <w:tab w:val="center" w:pos="5400"/>
        </w:tabs>
        <w:suppressAutoHyphens/>
        <w:jc w:val="center"/>
        <w:rPr>
          <w:rFonts w:asciiTheme="majorHAnsi" w:hAnsiTheme="majorHAnsi" w:cs="Arial"/>
          <w:sz w:val="22"/>
          <w:szCs w:val="22"/>
          <w:lang w:val="es-ES_tradnl"/>
        </w:rPr>
      </w:pPr>
    </w:p>
    <w:p w14:paraId="2E829B8C" w14:textId="77777777" w:rsidR="00040C3A" w:rsidRPr="00B91121" w:rsidRDefault="00040C3A" w:rsidP="00040C3A">
      <w:pPr>
        <w:tabs>
          <w:tab w:val="center" w:pos="5400"/>
        </w:tabs>
        <w:suppressAutoHyphens/>
        <w:jc w:val="center"/>
        <w:rPr>
          <w:rFonts w:asciiTheme="majorHAnsi" w:hAnsiTheme="majorHAnsi"/>
          <w:sz w:val="22"/>
          <w:szCs w:val="22"/>
          <w:lang w:val="es-ES_tradnl"/>
        </w:rPr>
      </w:pPr>
    </w:p>
    <w:p w14:paraId="63961E14" w14:textId="77777777" w:rsidR="00040C3A" w:rsidRPr="00B91121" w:rsidRDefault="00040C3A" w:rsidP="00040C3A">
      <w:pPr>
        <w:tabs>
          <w:tab w:val="center" w:pos="5400"/>
        </w:tabs>
        <w:suppressAutoHyphens/>
        <w:jc w:val="center"/>
        <w:rPr>
          <w:rFonts w:asciiTheme="majorHAnsi" w:hAnsiTheme="majorHAnsi"/>
          <w:sz w:val="22"/>
          <w:szCs w:val="22"/>
          <w:lang w:val="es-ES_tradnl"/>
        </w:rPr>
      </w:pPr>
    </w:p>
    <w:p w14:paraId="110CC567" w14:textId="77777777" w:rsidR="00040C3A" w:rsidRPr="00B91121" w:rsidRDefault="00040C3A" w:rsidP="00040C3A">
      <w:pPr>
        <w:tabs>
          <w:tab w:val="center" w:pos="5400"/>
        </w:tabs>
        <w:suppressAutoHyphens/>
        <w:jc w:val="center"/>
        <w:rPr>
          <w:rFonts w:asciiTheme="majorHAnsi" w:hAnsiTheme="majorHAnsi"/>
          <w:sz w:val="22"/>
          <w:szCs w:val="22"/>
          <w:lang w:val="es-ES_tradnl"/>
        </w:rPr>
      </w:pPr>
    </w:p>
    <w:p w14:paraId="31FDB59E" w14:textId="77777777" w:rsidR="00040C3A" w:rsidRPr="00B91121" w:rsidRDefault="00040C3A" w:rsidP="00040C3A">
      <w:pPr>
        <w:tabs>
          <w:tab w:val="center" w:pos="5400"/>
        </w:tabs>
        <w:suppressAutoHyphens/>
        <w:jc w:val="center"/>
        <w:rPr>
          <w:rFonts w:asciiTheme="majorHAnsi" w:hAnsiTheme="majorHAnsi"/>
          <w:sz w:val="22"/>
          <w:szCs w:val="22"/>
          <w:lang w:val="es-ES_tradnl"/>
        </w:rPr>
      </w:pPr>
    </w:p>
    <w:p w14:paraId="6D2D46E3" w14:textId="77777777" w:rsidR="005128E4" w:rsidRPr="00B91121" w:rsidRDefault="005128E4" w:rsidP="00040C3A">
      <w:pPr>
        <w:tabs>
          <w:tab w:val="center" w:pos="5400"/>
        </w:tabs>
        <w:suppressAutoHyphens/>
        <w:jc w:val="center"/>
        <w:rPr>
          <w:rFonts w:asciiTheme="majorHAnsi" w:hAnsiTheme="majorHAnsi"/>
          <w:sz w:val="22"/>
          <w:szCs w:val="22"/>
          <w:lang w:val="es-ES_tradnl"/>
        </w:rPr>
      </w:pPr>
    </w:p>
    <w:p w14:paraId="7D056028" w14:textId="77777777" w:rsidR="00040C3A" w:rsidRPr="00B91121" w:rsidRDefault="00040C3A" w:rsidP="00040C3A">
      <w:pPr>
        <w:tabs>
          <w:tab w:val="center" w:pos="5400"/>
        </w:tabs>
        <w:suppressAutoHyphens/>
        <w:jc w:val="center"/>
        <w:rPr>
          <w:rFonts w:asciiTheme="majorHAnsi" w:hAnsiTheme="majorHAnsi"/>
          <w:sz w:val="22"/>
          <w:szCs w:val="22"/>
          <w:lang w:val="es-ES_tradnl"/>
        </w:rPr>
      </w:pPr>
    </w:p>
    <w:p w14:paraId="5246DBBC" w14:textId="77777777" w:rsidR="005128E4" w:rsidRPr="00B91121" w:rsidRDefault="005128E4" w:rsidP="00040C3A">
      <w:pPr>
        <w:tabs>
          <w:tab w:val="center" w:pos="5400"/>
        </w:tabs>
        <w:suppressAutoHyphens/>
        <w:jc w:val="center"/>
        <w:rPr>
          <w:rFonts w:asciiTheme="majorHAnsi" w:hAnsiTheme="majorHAnsi"/>
          <w:sz w:val="22"/>
          <w:szCs w:val="22"/>
          <w:lang w:val="es-ES_tradnl"/>
        </w:rPr>
      </w:pPr>
    </w:p>
    <w:p w14:paraId="0368A938" w14:textId="77777777" w:rsidR="005128E4" w:rsidRPr="00B91121" w:rsidRDefault="005128E4" w:rsidP="00040C3A">
      <w:pPr>
        <w:tabs>
          <w:tab w:val="center" w:pos="5400"/>
        </w:tabs>
        <w:suppressAutoHyphens/>
        <w:jc w:val="center"/>
        <w:rPr>
          <w:rFonts w:asciiTheme="majorHAnsi" w:hAnsiTheme="majorHAnsi"/>
          <w:sz w:val="22"/>
          <w:szCs w:val="22"/>
          <w:lang w:val="es-ES_tradnl"/>
        </w:rPr>
      </w:pPr>
    </w:p>
    <w:p w14:paraId="61308EBA" w14:textId="77777777" w:rsidR="005128E4" w:rsidRPr="00B91121" w:rsidRDefault="005128E4" w:rsidP="00040C3A">
      <w:pPr>
        <w:tabs>
          <w:tab w:val="center" w:pos="5400"/>
        </w:tabs>
        <w:suppressAutoHyphens/>
        <w:jc w:val="center"/>
        <w:rPr>
          <w:rFonts w:asciiTheme="majorHAnsi" w:hAnsiTheme="majorHAnsi"/>
          <w:sz w:val="22"/>
          <w:szCs w:val="22"/>
          <w:lang w:val="es-ES_tradnl"/>
        </w:rPr>
      </w:pPr>
    </w:p>
    <w:p w14:paraId="1EE0570E" w14:textId="77777777" w:rsidR="00040C3A" w:rsidRPr="00B91121" w:rsidRDefault="00040C3A" w:rsidP="00040C3A">
      <w:pPr>
        <w:tabs>
          <w:tab w:val="center" w:pos="5400"/>
        </w:tabs>
        <w:suppressAutoHyphens/>
        <w:jc w:val="center"/>
        <w:rPr>
          <w:rFonts w:asciiTheme="majorHAnsi" w:hAnsiTheme="majorHAnsi"/>
          <w:sz w:val="22"/>
          <w:szCs w:val="22"/>
          <w:lang w:val="es-ES_tradnl"/>
        </w:rPr>
      </w:pPr>
    </w:p>
    <w:p w14:paraId="1F7873A1" w14:textId="77777777" w:rsidR="00040C3A" w:rsidRPr="00B91121" w:rsidRDefault="00040C3A" w:rsidP="00040C3A">
      <w:pPr>
        <w:tabs>
          <w:tab w:val="center" w:pos="5400"/>
        </w:tabs>
        <w:suppressAutoHyphens/>
        <w:jc w:val="center"/>
        <w:rPr>
          <w:rFonts w:asciiTheme="majorHAnsi" w:hAnsiTheme="majorHAnsi"/>
          <w:sz w:val="22"/>
          <w:szCs w:val="22"/>
          <w:lang w:val="es-ES_tradnl"/>
        </w:rPr>
      </w:pPr>
    </w:p>
    <w:p w14:paraId="6AF89C29"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5E8BC555"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331E3236"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2878FD69"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449E7D09"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0F2F9E96"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30E38B94"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246E7141"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3BFB7ED7"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3A3DC8BC"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6F4AAAD6"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1E88CC14"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0109EA52"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746EF11A"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5F245DD1" w14:textId="77777777" w:rsidR="00A50FCF" w:rsidRPr="00B91121" w:rsidRDefault="0090270B" w:rsidP="00040C3A">
      <w:pPr>
        <w:tabs>
          <w:tab w:val="center" w:pos="5400"/>
        </w:tabs>
        <w:suppressAutoHyphens/>
        <w:jc w:val="center"/>
        <w:rPr>
          <w:rFonts w:asciiTheme="majorHAnsi" w:hAnsiTheme="majorHAnsi"/>
          <w:sz w:val="18"/>
          <w:szCs w:val="22"/>
          <w:lang w:val="es-ES_tradnl"/>
        </w:rPr>
      </w:pPr>
      <w:r w:rsidRPr="00B9112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2C81067" wp14:editId="602A243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2462A" w14:textId="4485B643" w:rsidR="00A52FEB" w:rsidRPr="00027A6B" w:rsidRDefault="00A52FEB"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w:t>
                            </w:r>
                            <w:r w:rsidR="00F6687F">
                              <w:rPr>
                                <w:rFonts w:asciiTheme="majorHAnsi" w:hAnsiTheme="majorHAnsi"/>
                                <w:color w:val="0D0D0D" w:themeColor="text1" w:themeTint="F2"/>
                                <w:sz w:val="18"/>
                                <w:szCs w:val="20"/>
                                <w:lang w:val="es-ES"/>
                              </w:rPr>
                              <w:t xml:space="preserve">en San Salvador, </w:t>
                            </w:r>
                            <w:r w:rsidR="00F476DE">
                              <w:rPr>
                                <w:rFonts w:asciiTheme="majorHAnsi" w:hAnsiTheme="majorHAnsi"/>
                                <w:color w:val="0D0D0D" w:themeColor="text1" w:themeTint="F2"/>
                                <w:sz w:val="18"/>
                                <w:szCs w:val="20"/>
                                <w:lang w:val="es-ES"/>
                              </w:rPr>
                              <w:t>E</w:t>
                            </w:r>
                            <w:r w:rsidR="00F6687F">
                              <w:rPr>
                                <w:rFonts w:asciiTheme="majorHAnsi" w:hAnsiTheme="majorHAnsi"/>
                                <w:color w:val="0D0D0D" w:themeColor="text1" w:themeTint="F2"/>
                                <w:sz w:val="18"/>
                                <w:szCs w:val="20"/>
                                <w:lang w:val="es-ES"/>
                              </w:rPr>
                              <w:t xml:space="preserve">l Salvador </w:t>
                            </w:r>
                            <w:r>
                              <w:rPr>
                                <w:rFonts w:asciiTheme="majorHAnsi" w:hAnsiTheme="majorHAnsi"/>
                                <w:color w:val="0D0D0D" w:themeColor="text1" w:themeTint="F2"/>
                                <w:sz w:val="18"/>
                                <w:szCs w:val="20"/>
                                <w:lang w:val="es-ES"/>
                              </w:rPr>
                              <w:t>el 6 de diciembre de 2019</w:t>
                            </w:r>
                            <w:r w:rsidRPr="00890650">
                              <w:rPr>
                                <w:rFonts w:asciiTheme="majorHAnsi" w:hAnsiTheme="majorHAnsi"/>
                                <w:color w:val="0D0D0D" w:themeColor="text1" w:themeTint="F2"/>
                                <w:sz w:val="18"/>
                                <w:szCs w:val="20"/>
                                <w:lang w:val="es-E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8106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322462A" w14:textId="4485B643" w:rsidR="00A52FEB" w:rsidRPr="00027A6B" w:rsidRDefault="00A52FEB"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w:t>
                      </w:r>
                      <w:r w:rsidR="00F6687F">
                        <w:rPr>
                          <w:rFonts w:asciiTheme="majorHAnsi" w:hAnsiTheme="majorHAnsi"/>
                          <w:color w:val="0D0D0D" w:themeColor="text1" w:themeTint="F2"/>
                          <w:sz w:val="18"/>
                          <w:szCs w:val="20"/>
                          <w:lang w:val="es-ES"/>
                        </w:rPr>
                        <w:t xml:space="preserve">en San Salvador, </w:t>
                      </w:r>
                      <w:r w:rsidR="00F476DE">
                        <w:rPr>
                          <w:rFonts w:asciiTheme="majorHAnsi" w:hAnsiTheme="majorHAnsi"/>
                          <w:color w:val="0D0D0D" w:themeColor="text1" w:themeTint="F2"/>
                          <w:sz w:val="18"/>
                          <w:szCs w:val="20"/>
                          <w:lang w:val="es-ES"/>
                        </w:rPr>
                        <w:t>E</w:t>
                      </w:r>
                      <w:r w:rsidR="00F6687F">
                        <w:rPr>
                          <w:rFonts w:asciiTheme="majorHAnsi" w:hAnsiTheme="majorHAnsi"/>
                          <w:color w:val="0D0D0D" w:themeColor="text1" w:themeTint="F2"/>
                          <w:sz w:val="18"/>
                          <w:szCs w:val="20"/>
                          <w:lang w:val="es-ES"/>
                        </w:rPr>
                        <w:t xml:space="preserve">l Salvador </w:t>
                      </w:r>
                      <w:r>
                        <w:rPr>
                          <w:rFonts w:asciiTheme="majorHAnsi" w:hAnsiTheme="majorHAnsi"/>
                          <w:color w:val="0D0D0D" w:themeColor="text1" w:themeTint="F2"/>
                          <w:sz w:val="18"/>
                          <w:szCs w:val="20"/>
                          <w:lang w:val="es-ES"/>
                        </w:rPr>
                        <w:t>el 6 de diciembre de 2019</w:t>
                      </w:r>
                      <w:r w:rsidRPr="00890650">
                        <w:rPr>
                          <w:rFonts w:asciiTheme="majorHAnsi" w:hAnsiTheme="majorHAnsi"/>
                          <w:color w:val="0D0D0D" w:themeColor="text1" w:themeTint="F2"/>
                          <w:sz w:val="18"/>
                          <w:szCs w:val="20"/>
                          <w:lang w:val="es-ES"/>
                        </w:rPr>
                        <w:br/>
                      </w:r>
                    </w:p>
                  </w:txbxContent>
                </v:textbox>
              </v:shape>
            </w:pict>
          </mc:Fallback>
        </mc:AlternateContent>
      </w:r>
    </w:p>
    <w:p w14:paraId="11300B8C"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7B37AD8E"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220A2D87"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7B816124"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2D789EC3" w14:textId="77777777" w:rsidR="00A50FCF" w:rsidRPr="00B91121" w:rsidRDefault="0090270B" w:rsidP="00040C3A">
      <w:pPr>
        <w:tabs>
          <w:tab w:val="center" w:pos="5400"/>
        </w:tabs>
        <w:suppressAutoHyphens/>
        <w:jc w:val="center"/>
        <w:rPr>
          <w:rFonts w:asciiTheme="majorHAnsi" w:hAnsiTheme="majorHAnsi"/>
          <w:sz w:val="18"/>
          <w:szCs w:val="22"/>
          <w:lang w:val="es-ES_tradnl"/>
        </w:rPr>
      </w:pPr>
      <w:r w:rsidRPr="00B9112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BBB77C4" wp14:editId="71EE7FB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581A4" w14:textId="524CC4E6" w:rsidR="00A52FEB" w:rsidRPr="007C756A" w:rsidRDefault="00A52FEB" w:rsidP="00113F73">
                            <w:pPr>
                              <w:spacing w:line="276" w:lineRule="auto"/>
                              <w:rPr>
                                <w:rFonts w:asciiTheme="majorHAnsi" w:hAnsiTheme="majorHAnsi"/>
                                <w:color w:val="595959" w:themeColor="text1" w:themeTint="A6"/>
                                <w:sz w:val="18"/>
                                <w:szCs w:val="18"/>
                                <w:lang w:val="es-US"/>
                              </w:rPr>
                            </w:pPr>
                            <w:r w:rsidRPr="002A4B39">
                              <w:rPr>
                                <w:rFonts w:asciiTheme="majorHAnsi" w:hAnsiTheme="majorHAnsi"/>
                                <w:b/>
                                <w:color w:val="595959" w:themeColor="text1" w:themeTint="A6"/>
                                <w:sz w:val="18"/>
                                <w:szCs w:val="18"/>
                                <w:lang w:val="pt-BR"/>
                              </w:rPr>
                              <w:t>Citar como:</w:t>
                            </w:r>
                            <w:r w:rsidRPr="002A4B39">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236</w:t>
                            </w:r>
                            <w:r w:rsidRPr="002A4B39">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2A4B39">
                              <w:rPr>
                                <w:rFonts w:asciiTheme="majorHAnsi" w:hAnsiTheme="majorHAnsi"/>
                                <w:color w:val="595959" w:themeColor="text1" w:themeTint="A6"/>
                                <w:sz w:val="18"/>
                                <w:szCs w:val="18"/>
                                <w:lang w:val="pt-BR"/>
                              </w:rPr>
                              <w:t xml:space="preserve">. </w:t>
                            </w:r>
                            <w:r w:rsidRPr="002A4B39">
                              <w:rPr>
                                <w:rFonts w:asciiTheme="majorHAnsi" w:hAnsiTheme="majorHAnsi"/>
                                <w:color w:val="595959" w:themeColor="text1" w:themeTint="A6"/>
                                <w:sz w:val="18"/>
                                <w:szCs w:val="18"/>
                                <w:lang w:val="es-ES_tradnl"/>
                              </w:rPr>
                              <w:t xml:space="preserve">Caso </w:t>
                            </w:r>
                            <w:r>
                              <w:rPr>
                                <w:rFonts w:asciiTheme="majorHAnsi" w:hAnsiTheme="majorHAnsi"/>
                                <w:color w:val="595959" w:themeColor="text1" w:themeTint="A6"/>
                                <w:sz w:val="18"/>
                                <w:szCs w:val="18"/>
                                <w:lang w:val="es-ES_tradnl"/>
                              </w:rPr>
                              <w:t>13</w:t>
                            </w:r>
                            <w:r w:rsidRPr="002A4B39">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002</w:t>
                            </w:r>
                            <w:r w:rsidRPr="002A4B39">
                              <w:rPr>
                                <w:rFonts w:asciiTheme="majorHAnsi" w:hAnsiTheme="majorHAnsi"/>
                                <w:color w:val="595959" w:themeColor="text1" w:themeTint="A6"/>
                                <w:sz w:val="18"/>
                                <w:szCs w:val="18"/>
                                <w:lang w:val="es-ES_tradnl"/>
                              </w:rPr>
                              <w:t xml:space="preserve">. Fondo. </w:t>
                            </w:r>
                            <w:r>
                              <w:rPr>
                                <w:rFonts w:asciiTheme="majorHAnsi" w:hAnsiTheme="majorHAnsi"/>
                                <w:color w:val="595959" w:themeColor="text1" w:themeTint="A6"/>
                                <w:sz w:val="18"/>
                                <w:szCs w:val="18"/>
                                <w:lang w:val="es-ES_tradnl"/>
                              </w:rPr>
                              <w:t>Cristina Britez Arce y familia</w:t>
                            </w:r>
                            <w:r w:rsidRPr="002A4B39">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2A4B39">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6 de diciembre de 2019</w:t>
                            </w:r>
                            <w:r w:rsidRPr="002A4B39">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77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80581A4" w14:textId="524CC4E6" w:rsidR="00A52FEB" w:rsidRPr="007C756A" w:rsidRDefault="00A52FEB" w:rsidP="00113F73">
                      <w:pPr>
                        <w:spacing w:line="276" w:lineRule="auto"/>
                        <w:rPr>
                          <w:rFonts w:asciiTheme="majorHAnsi" w:hAnsiTheme="majorHAnsi"/>
                          <w:color w:val="595959" w:themeColor="text1" w:themeTint="A6"/>
                          <w:sz w:val="18"/>
                          <w:szCs w:val="18"/>
                          <w:lang w:val="es-US"/>
                        </w:rPr>
                      </w:pPr>
                      <w:r w:rsidRPr="002A4B39">
                        <w:rPr>
                          <w:rFonts w:asciiTheme="majorHAnsi" w:hAnsiTheme="majorHAnsi"/>
                          <w:b/>
                          <w:color w:val="595959" w:themeColor="text1" w:themeTint="A6"/>
                          <w:sz w:val="18"/>
                          <w:szCs w:val="18"/>
                          <w:lang w:val="pt-BR"/>
                        </w:rPr>
                        <w:t>Citar como:</w:t>
                      </w:r>
                      <w:r w:rsidRPr="002A4B39">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236</w:t>
                      </w:r>
                      <w:r w:rsidRPr="002A4B39">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2A4B39">
                        <w:rPr>
                          <w:rFonts w:asciiTheme="majorHAnsi" w:hAnsiTheme="majorHAnsi"/>
                          <w:color w:val="595959" w:themeColor="text1" w:themeTint="A6"/>
                          <w:sz w:val="18"/>
                          <w:szCs w:val="18"/>
                          <w:lang w:val="pt-BR"/>
                        </w:rPr>
                        <w:t xml:space="preserve">. </w:t>
                      </w:r>
                      <w:r w:rsidRPr="002A4B39">
                        <w:rPr>
                          <w:rFonts w:asciiTheme="majorHAnsi" w:hAnsiTheme="majorHAnsi"/>
                          <w:color w:val="595959" w:themeColor="text1" w:themeTint="A6"/>
                          <w:sz w:val="18"/>
                          <w:szCs w:val="18"/>
                          <w:lang w:val="es-ES_tradnl"/>
                        </w:rPr>
                        <w:t xml:space="preserve">Caso </w:t>
                      </w:r>
                      <w:r>
                        <w:rPr>
                          <w:rFonts w:asciiTheme="majorHAnsi" w:hAnsiTheme="majorHAnsi"/>
                          <w:color w:val="595959" w:themeColor="text1" w:themeTint="A6"/>
                          <w:sz w:val="18"/>
                          <w:szCs w:val="18"/>
                          <w:lang w:val="es-ES_tradnl"/>
                        </w:rPr>
                        <w:t>13</w:t>
                      </w:r>
                      <w:r w:rsidRPr="002A4B39">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002</w:t>
                      </w:r>
                      <w:r w:rsidRPr="002A4B39">
                        <w:rPr>
                          <w:rFonts w:asciiTheme="majorHAnsi" w:hAnsiTheme="majorHAnsi"/>
                          <w:color w:val="595959" w:themeColor="text1" w:themeTint="A6"/>
                          <w:sz w:val="18"/>
                          <w:szCs w:val="18"/>
                          <w:lang w:val="es-ES_tradnl"/>
                        </w:rPr>
                        <w:t xml:space="preserve">. Fondo. </w:t>
                      </w:r>
                      <w:r>
                        <w:rPr>
                          <w:rFonts w:asciiTheme="majorHAnsi" w:hAnsiTheme="majorHAnsi"/>
                          <w:color w:val="595959" w:themeColor="text1" w:themeTint="A6"/>
                          <w:sz w:val="18"/>
                          <w:szCs w:val="18"/>
                          <w:lang w:val="es-ES_tradnl"/>
                        </w:rPr>
                        <w:t>Cristina Britez Arce y familia</w:t>
                      </w:r>
                      <w:r w:rsidRPr="002A4B39">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2A4B39">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6 de diciembre de 2019</w:t>
                      </w:r>
                      <w:r w:rsidRPr="002A4B39">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p>
                  </w:txbxContent>
                </v:textbox>
              </v:shape>
            </w:pict>
          </mc:Fallback>
        </mc:AlternateContent>
      </w:r>
    </w:p>
    <w:p w14:paraId="076F5BE9" w14:textId="77777777" w:rsidR="00A50FCF" w:rsidRPr="00B91121" w:rsidRDefault="00A50FCF" w:rsidP="00040C3A">
      <w:pPr>
        <w:tabs>
          <w:tab w:val="center" w:pos="5400"/>
        </w:tabs>
        <w:suppressAutoHyphens/>
        <w:jc w:val="center"/>
        <w:rPr>
          <w:rFonts w:asciiTheme="majorHAnsi" w:hAnsiTheme="majorHAnsi"/>
          <w:sz w:val="18"/>
          <w:szCs w:val="22"/>
          <w:lang w:val="es-ES_tradnl"/>
        </w:rPr>
      </w:pPr>
    </w:p>
    <w:p w14:paraId="5625AE8B" w14:textId="77777777" w:rsidR="0090270B" w:rsidRPr="00B91121" w:rsidRDefault="00D306D1" w:rsidP="005516A1">
      <w:pPr>
        <w:tabs>
          <w:tab w:val="center" w:pos="5400"/>
        </w:tabs>
        <w:suppressAutoHyphens/>
        <w:jc w:val="center"/>
        <w:rPr>
          <w:rFonts w:asciiTheme="majorHAnsi" w:hAnsiTheme="majorHAnsi"/>
          <w:b/>
          <w:sz w:val="20"/>
          <w:lang w:val="es-ES_tradnl"/>
        </w:rPr>
      </w:pPr>
      <w:r w:rsidRPr="00B9112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5A7077E" wp14:editId="53D74F9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235C3" w14:textId="77777777" w:rsidR="00A52FEB" w:rsidRPr="00D72DC6" w:rsidRDefault="00A52FEB" w:rsidP="00F02AD1">
                            <w:pPr>
                              <w:rPr>
                                <w:color w:val="FFFFFF" w:themeColor="background1"/>
                                <w14:textFill>
                                  <w14:noFill/>
                                </w14:textFill>
                              </w:rPr>
                            </w:pPr>
                            <w:r>
                              <w:rPr>
                                <w:noProof/>
                                <w:color w:val="FFFFFF" w:themeColor="background1"/>
                              </w:rPr>
                              <w:drawing>
                                <wp:inline distT="0" distB="0" distL="0" distR="0" wp14:anchorId="1AB38F4C" wp14:editId="758D1F23">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7077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F4235C3" w14:textId="77777777" w:rsidR="00A52FEB" w:rsidRPr="00D72DC6" w:rsidRDefault="00A52FEB" w:rsidP="00F02AD1">
                      <w:pPr>
                        <w:rPr>
                          <w:color w:val="FFFFFF" w:themeColor="background1"/>
                          <w14:textFill>
                            <w14:noFill/>
                          </w14:textFill>
                        </w:rPr>
                      </w:pPr>
                      <w:r>
                        <w:rPr>
                          <w:noProof/>
                          <w:color w:val="FFFFFF" w:themeColor="background1"/>
                        </w:rPr>
                        <w:drawing>
                          <wp:inline distT="0" distB="0" distL="0" distR="0" wp14:anchorId="1AB38F4C" wp14:editId="758D1F23">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B9112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615B731" wp14:editId="0A218A0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C1005" w14:textId="77777777" w:rsidR="00A52FEB" w:rsidRPr="004B7EB6" w:rsidRDefault="00A52FE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5B731"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EDC1005" w14:textId="77777777" w:rsidR="00A52FEB" w:rsidRPr="004B7EB6" w:rsidRDefault="00A52FE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EA5ED79" w14:textId="77777777" w:rsidR="0070697F" w:rsidRPr="00B91121" w:rsidRDefault="0070697F" w:rsidP="00032214">
      <w:pPr>
        <w:tabs>
          <w:tab w:val="center" w:pos="5400"/>
        </w:tabs>
        <w:suppressAutoHyphens/>
        <w:rPr>
          <w:rFonts w:asciiTheme="majorHAnsi" w:hAnsiTheme="majorHAnsi"/>
          <w:b/>
          <w:sz w:val="20"/>
          <w:lang w:val="es-ES_tradnl"/>
        </w:rPr>
        <w:sectPr w:rsidR="0070697F" w:rsidRPr="00B9112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E943923" w14:textId="77777777" w:rsidR="00722C9F" w:rsidRPr="00B91121" w:rsidRDefault="00722C9F" w:rsidP="00032214">
      <w:pPr>
        <w:tabs>
          <w:tab w:val="center" w:pos="5400"/>
        </w:tabs>
        <w:suppressAutoHyphens/>
        <w:spacing w:line="276" w:lineRule="auto"/>
        <w:rPr>
          <w:rFonts w:asciiTheme="majorHAnsi" w:hAnsiTheme="majorHAnsi"/>
          <w:sz w:val="18"/>
          <w:szCs w:val="20"/>
          <w:lang w:val="es-ES_tradnl"/>
        </w:rPr>
      </w:pPr>
    </w:p>
    <w:p w14:paraId="5760C90F" w14:textId="77777777" w:rsidR="00722C9F" w:rsidRPr="00B91121" w:rsidRDefault="00722C9F" w:rsidP="00722C9F">
      <w:pPr>
        <w:tabs>
          <w:tab w:val="center" w:pos="5400"/>
        </w:tabs>
        <w:suppressAutoHyphens/>
        <w:spacing w:line="276" w:lineRule="auto"/>
        <w:jc w:val="center"/>
        <w:rPr>
          <w:rFonts w:asciiTheme="majorHAnsi" w:hAnsiTheme="majorHAnsi"/>
          <w:b/>
          <w:sz w:val="20"/>
          <w:szCs w:val="20"/>
          <w:lang w:val="es-ES_tradnl"/>
        </w:rPr>
      </w:pPr>
      <w:r w:rsidRPr="00B91121">
        <w:rPr>
          <w:rFonts w:asciiTheme="majorHAnsi" w:hAnsiTheme="majorHAnsi"/>
          <w:b/>
          <w:sz w:val="20"/>
          <w:szCs w:val="20"/>
          <w:lang w:val="es-ES_tradnl"/>
        </w:rPr>
        <w:t>ÍNDICE</w:t>
      </w:r>
    </w:p>
    <w:p w14:paraId="370E1A05" w14:textId="77777777" w:rsidR="008D768D" w:rsidRPr="00B91121" w:rsidRDefault="008D768D" w:rsidP="006125C3">
      <w:pPr>
        <w:tabs>
          <w:tab w:val="center" w:pos="5400"/>
        </w:tabs>
        <w:suppressAutoHyphens/>
        <w:spacing w:line="276" w:lineRule="auto"/>
        <w:rPr>
          <w:rFonts w:asciiTheme="majorHAnsi" w:hAnsiTheme="majorHAnsi"/>
          <w:sz w:val="20"/>
          <w:szCs w:val="20"/>
          <w:lang w:val="es-ES_tradnl"/>
        </w:rPr>
      </w:pPr>
    </w:p>
    <w:p w14:paraId="0EC9A1D3" w14:textId="320DCA39" w:rsidR="00347DA3" w:rsidRPr="00347DA3" w:rsidRDefault="006125C3">
      <w:pPr>
        <w:pStyle w:val="TOC1"/>
        <w:tabs>
          <w:tab w:val="left" w:pos="1440"/>
          <w:tab w:val="right" w:leader="dot" w:pos="9350"/>
        </w:tabs>
        <w:rPr>
          <w:rFonts w:asciiTheme="majorHAnsi" w:eastAsiaTheme="minorEastAsia" w:hAnsiTheme="majorHAnsi" w:cstheme="minorBidi"/>
          <w:noProof/>
          <w:sz w:val="20"/>
          <w:szCs w:val="20"/>
          <w:bdr w:val="none" w:sz="0" w:space="0" w:color="auto"/>
        </w:rPr>
      </w:pPr>
      <w:r w:rsidRPr="00B91121">
        <w:rPr>
          <w:rFonts w:asciiTheme="majorHAnsi" w:hAnsiTheme="majorHAnsi"/>
          <w:b/>
          <w:sz w:val="20"/>
          <w:szCs w:val="20"/>
          <w:lang w:val="es-ES_tradnl"/>
        </w:rPr>
        <w:fldChar w:fldCharType="begin"/>
      </w:r>
      <w:r w:rsidRPr="00B91121">
        <w:rPr>
          <w:rFonts w:asciiTheme="majorHAnsi" w:hAnsiTheme="majorHAnsi"/>
          <w:b/>
          <w:sz w:val="20"/>
          <w:szCs w:val="20"/>
          <w:lang w:val="es-ES_tradnl"/>
        </w:rPr>
        <w:instrText xml:space="preserve"> TOC \o "1-7" \h \z \u </w:instrText>
      </w:r>
      <w:r w:rsidRPr="00B91121">
        <w:rPr>
          <w:rFonts w:asciiTheme="majorHAnsi" w:hAnsiTheme="majorHAnsi"/>
          <w:b/>
          <w:sz w:val="20"/>
          <w:szCs w:val="20"/>
          <w:lang w:val="es-ES_tradnl"/>
        </w:rPr>
        <w:fldChar w:fldCharType="separate"/>
      </w:r>
      <w:hyperlink w:anchor="_Toc33525287" w:history="1">
        <w:r w:rsidR="00347DA3" w:rsidRPr="00347DA3">
          <w:rPr>
            <w:rStyle w:val="Hyperlink"/>
            <w:rFonts w:asciiTheme="majorHAnsi" w:hAnsiTheme="majorHAnsi"/>
            <w:noProof/>
            <w:sz w:val="20"/>
            <w:szCs w:val="20"/>
          </w:rPr>
          <w:t>I.</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INTRODUCCIÓN</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_Toc33525287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sidR="00A84548">
          <w:rPr>
            <w:rFonts w:asciiTheme="majorHAnsi" w:hAnsiTheme="majorHAnsi"/>
            <w:noProof/>
            <w:webHidden/>
            <w:sz w:val="20"/>
            <w:szCs w:val="20"/>
          </w:rPr>
          <w:t>2</w:t>
        </w:r>
        <w:r w:rsidR="00347DA3" w:rsidRPr="00347DA3">
          <w:rPr>
            <w:rFonts w:asciiTheme="majorHAnsi" w:hAnsiTheme="majorHAnsi"/>
            <w:noProof/>
            <w:webHidden/>
            <w:sz w:val="20"/>
            <w:szCs w:val="20"/>
          </w:rPr>
          <w:fldChar w:fldCharType="end"/>
        </w:r>
      </w:hyperlink>
    </w:p>
    <w:p w14:paraId="6851E681" w14:textId="3DE7150A" w:rsidR="00347DA3" w:rsidRPr="00347DA3" w:rsidRDefault="00A84548">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33525288" w:history="1">
        <w:r w:rsidR="00347DA3" w:rsidRPr="00347DA3">
          <w:rPr>
            <w:rStyle w:val="Hyperlink"/>
            <w:rFonts w:asciiTheme="majorHAnsi" w:hAnsiTheme="majorHAnsi"/>
            <w:noProof/>
            <w:sz w:val="20"/>
            <w:szCs w:val="20"/>
          </w:rPr>
          <w:t>II.</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ALEGATOS DE LAS PARTES</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_Toc33525288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2</w:t>
        </w:r>
        <w:r w:rsidR="00347DA3" w:rsidRPr="00347DA3">
          <w:rPr>
            <w:rFonts w:asciiTheme="majorHAnsi" w:hAnsiTheme="majorHAnsi"/>
            <w:noProof/>
            <w:webHidden/>
            <w:sz w:val="20"/>
            <w:szCs w:val="20"/>
          </w:rPr>
          <w:fldChar w:fldCharType="end"/>
        </w:r>
      </w:hyperlink>
    </w:p>
    <w:p w14:paraId="2904CE50" w14:textId="7005EAEE" w:rsidR="00347DA3" w:rsidRPr="00347DA3" w:rsidRDefault="00A84548">
      <w:pPr>
        <w:pStyle w:val="TOC2"/>
        <w:rPr>
          <w:rFonts w:asciiTheme="majorHAnsi" w:eastAsiaTheme="minorEastAsia" w:hAnsiTheme="majorHAnsi" w:cstheme="minorBidi"/>
          <w:noProof/>
          <w:sz w:val="20"/>
          <w:szCs w:val="20"/>
          <w:bdr w:val="none" w:sz="0" w:space="0" w:color="auto"/>
        </w:rPr>
      </w:pPr>
      <w:hyperlink w:anchor="_Toc33525289" w:history="1">
        <w:r w:rsidR="00347DA3" w:rsidRPr="00347DA3">
          <w:rPr>
            <w:rStyle w:val="Hyperlink"/>
            <w:rFonts w:asciiTheme="majorHAnsi" w:hAnsiTheme="majorHAnsi"/>
            <w:noProof/>
            <w:sz w:val="20"/>
            <w:szCs w:val="20"/>
          </w:rPr>
          <w:t>A.</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Parte peticionaria</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_Toc33525289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2</w:t>
        </w:r>
        <w:r w:rsidR="00347DA3" w:rsidRPr="00347DA3">
          <w:rPr>
            <w:rFonts w:asciiTheme="majorHAnsi" w:hAnsiTheme="majorHAnsi"/>
            <w:noProof/>
            <w:webHidden/>
            <w:sz w:val="20"/>
            <w:szCs w:val="20"/>
          </w:rPr>
          <w:fldChar w:fldCharType="end"/>
        </w:r>
      </w:hyperlink>
    </w:p>
    <w:p w14:paraId="386B98AC" w14:textId="19F8CFA7" w:rsidR="00347DA3" w:rsidRPr="00347DA3" w:rsidRDefault="00A84548">
      <w:pPr>
        <w:pStyle w:val="TOC2"/>
        <w:rPr>
          <w:rFonts w:asciiTheme="majorHAnsi" w:eastAsiaTheme="minorEastAsia" w:hAnsiTheme="majorHAnsi" w:cstheme="minorBidi"/>
          <w:noProof/>
          <w:sz w:val="20"/>
          <w:szCs w:val="20"/>
          <w:bdr w:val="none" w:sz="0" w:space="0" w:color="auto"/>
        </w:rPr>
      </w:pPr>
      <w:hyperlink w:anchor="_Toc33525290" w:history="1">
        <w:r w:rsidR="00347DA3" w:rsidRPr="00347DA3">
          <w:rPr>
            <w:rStyle w:val="Hyperlink"/>
            <w:rFonts w:asciiTheme="majorHAnsi" w:hAnsiTheme="majorHAnsi"/>
            <w:noProof/>
            <w:sz w:val="20"/>
            <w:szCs w:val="20"/>
          </w:rPr>
          <w:t>B.</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Estado</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_Toc33525290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3</w:t>
        </w:r>
        <w:r w:rsidR="00347DA3" w:rsidRPr="00347DA3">
          <w:rPr>
            <w:rFonts w:asciiTheme="majorHAnsi" w:hAnsiTheme="majorHAnsi"/>
            <w:noProof/>
            <w:webHidden/>
            <w:sz w:val="20"/>
            <w:szCs w:val="20"/>
          </w:rPr>
          <w:fldChar w:fldCharType="end"/>
        </w:r>
      </w:hyperlink>
    </w:p>
    <w:p w14:paraId="12CCCE83" w14:textId="19D7FBDD" w:rsidR="00347DA3" w:rsidRPr="00347DA3" w:rsidRDefault="00A84548">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33525291" w:history="1">
        <w:r w:rsidR="00347DA3" w:rsidRPr="00347DA3">
          <w:rPr>
            <w:rStyle w:val="Hyperlink"/>
            <w:rFonts w:asciiTheme="majorHAnsi" w:hAnsiTheme="majorHAnsi"/>
            <w:noProof/>
            <w:sz w:val="20"/>
            <w:szCs w:val="20"/>
          </w:rPr>
          <w:t>III.</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DETERMINACIONES DE HECHO</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_Toc33525291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5</w:t>
        </w:r>
        <w:r w:rsidR="00347DA3" w:rsidRPr="00347DA3">
          <w:rPr>
            <w:rFonts w:asciiTheme="majorHAnsi" w:hAnsiTheme="majorHAnsi"/>
            <w:noProof/>
            <w:webHidden/>
            <w:sz w:val="20"/>
            <w:szCs w:val="20"/>
          </w:rPr>
          <w:fldChar w:fldCharType="end"/>
        </w:r>
      </w:hyperlink>
    </w:p>
    <w:p w14:paraId="561B2AC4" w14:textId="4CC63E5B" w:rsidR="00347DA3" w:rsidRPr="00347DA3" w:rsidRDefault="00A84548">
      <w:pPr>
        <w:pStyle w:val="TOC2"/>
        <w:rPr>
          <w:rFonts w:asciiTheme="majorHAnsi" w:eastAsiaTheme="minorEastAsia" w:hAnsiTheme="majorHAnsi" w:cstheme="minorBidi"/>
          <w:noProof/>
          <w:sz w:val="20"/>
          <w:szCs w:val="20"/>
          <w:bdr w:val="none" w:sz="0" w:space="0" w:color="auto"/>
        </w:rPr>
      </w:pPr>
      <w:hyperlink w:anchor="_Toc33525292" w:history="1">
        <w:r w:rsidR="00347DA3" w:rsidRPr="00347DA3">
          <w:rPr>
            <w:rStyle w:val="Hyperlink"/>
            <w:rFonts w:asciiTheme="majorHAnsi" w:hAnsiTheme="majorHAnsi"/>
            <w:noProof/>
            <w:sz w:val="20"/>
            <w:szCs w:val="20"/>
          </w:rPr>
          <w:t>A.</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De la muerte de Cristina Britez Arce</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_Toc33525292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5</w:t>
        </w:r>
        <w:r w:rsidR="00347DA3" w:rsidRPr="00347DA3">
          <w:rPr>
            <w:rFonts w:asciiTheme="majorHAnsi" w:hAnsiTheme="majorHAnsi"/>
            <w:noProof/>
            <w:webHidden/>
            <w:sz w:val="20"/>
            <w:szCs w:val="20"/>
          </w:rPr>
          <w:fldChar w:fldCharType="end"/>
        </w:r>
      </w:hyperlink>
    </w:p>
    <w:p w14:paraId="6B447D5D" w14:textId="47020A78" w:rsidR="00347DA3" w:rsidRPr="00347DA3" w:rsidRDefault="00A84548">
      <w:pPr>
        <w:pStyle w:val="TOC2"/>
        <w:rPr>
          <w:rFonts w:asciiTheme="majorHAnsi" w:eastAsiaTheme="minorEastAsia" w:hAnsiTheme="majorHAnsi" w:cstheme="minorBidi"/>
          <w:noProof/>
          <w:sz w:val="20"/>
          <w:szCs w:val="20"/>
          <w:bdr w:val="none" w:sz="0" w:space="0" w:color="auto"/>
        </w:rPr>
      </w:pPr>
      <w:hyperlink w:anchor="_Toc33525293" w:history="1">
        <w:r w:rsidR="00347DA3" w:rsidRPr="00347DA3">
          <w:rPr>
            <w:rStyle w:val="Hyperlink"/>
            <w:rFonts w:asciiTheme="majorHAnsi" w:hAnsiTheme="majorHAnsi"/>
            <w:noProof/>
            <w:sz w:val="20"/>
            <w:szCs w:val="20"/>
          </w:rPr>
          <w:t>B.</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Procesos internos</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_Toc33525293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5</w:t>
        </w:r>
        <w:r w:rsidR="00347DA3" w:rsidRPr="00347DA3">
          <w:rPr>
            <w:rFonts w:asciiTheme="majorHAnsi" w:hAnsiTheme="majorHAnsi"/>
            <w:noProof/>
            <w:webHidden/>
            <w:sz w:val="20"/>
            <w:szCs w:val="20"/>
          </w:rPr>
          <w:fldChar w:fldCharType="end"/>
        </w:r>
      </w:hyperlink>
    </w:p>
    <w:p w14:paraId="3D8A42A9" w14:textId="40F62E7B" w:rsidR="00347DA3" w:rsidRPr="00347DA3" w:rsidRDefault="00A84548">
      <w:pPr>
        <w:pStyle w:val="TOC3"/>
        <w:tabs>
          <w:tab w:val="left" w:pos="2160"/>
        </w:tabs>
        <w:rPr>
          <w:rFonts w:asciiTheme="majorHAnsi" w:eastAsiaTheme="minorEastAsia" w:hAnsiTheme="majorHAnsi" w:cstheme="minorBidi"/>
          <w:noProof/>
          <w:sz w:val="20"/>
          <w:szCs w:val="20"/>
          <w:bdr w:val="none" w:sz="0" w:space="0" w:color="auto"/>
        </w:rPr>
      </w:pPr>
      <w:hyperlink w:anchor="_Toc33525294" w:history="1">
        <w:r w:rsidR="00347DA3" w:rsidRPr="00347DA3">
          <w:rPr>
            <w:rStyle w:val="Hyperlink"/>
            <w:rFonts w:asciiTheme="majorHAnsi" w:hAnsiTheme="majorHAnsi"/>
            <w:noProof/>
            <w:sz w:val="20"/>
            <w:szCs w:val="20"/>
            <w:lang w:val="es-US"/>
          </w:rPr>
          <w:t>1.</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lang w:val="es-US"/>
          </w:rPr>
          <w:t>Causa No. 2391 caratulada Britez Arce Cristina s/homicidio culposo – Juzgado Correccional No. 8, Secretaría 63</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_Toc33525294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5</w:t>
        </w:r>
        <w:r w:rsidR="00347DA3" w:rsidRPr="00347DA3">
          <w:rPr>
            <w:rFonts w:asciiTheme="majorHAnsi" w:hAnsiTheme="majorHAnsi"/>
            <w:noProof/>
            <w:webHidden/>
            <w:sz w:val="20"/>
            <w:szCs w:val="20"/>
          </w:rPr>
          <w:fldChar w:fldCharType="end"/>
        </w:r>
      </w:hyperlink>
    </w:p>
    <w:p w14:paraId="7C2C1A31" w14:textId="2AE48995" w:rsidR="00347DA3" w:rsidRPr="00347DA3" w:rsidRDefault="00A84548">
      <w:pPr>
        <w:pStyle w:val="TOC3"/>
        <w:tabs>
          <w:tab w:val="left" w:pos="2160"/>
        </w:tabs>
        <w:rPr>
          <w:rFonts w:asciiTheme="majorHAnsi" w:eastAsiaTheme="minorEastAsia" w:hAnsiTheme="majorHAnsi" w:cstheme="minorBidi"/>
          <w:noProof/>
          <w:sz w:val="20"/>
          <w:szCs w:val="20"/>
          <w:bdr w:val="none" w:sz="0" w:space="0" w:color="auto"/>
        </w:rPr>
      </w:pPr>
      <w:hyperlink w:anchor="_Toc33525295" w:history="1">
        <w:r w:rsidR="00347DA3" w:rsidRPr="00347DA3">
          <w:rPr>
            <w:rStyle w:val="Hyperlink"/>
            <w:rFonts w:asciiTheme="majorHAnsi" w:hAnsiTheme="majorHAnsi"/>
            <w:noProof/>
            <w:sz w:val="20"/>
            <w:szCs w:val="20"/>
            <w:lang w:val="es-MX"/>
          </w:rPr>
          <w:t>2.</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lang w:val="es-MX"/>
          </w:rPr>
          <w:t>Causa No. 21.375/96 caratulada CASAVILLA, Florencio y otro s/falsificación de documento público  -Juzgado Nacional en lo Criminal de Instrucción No. 3, Secretaría 110</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_Toc33525295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7</w:t>
        </w:r>
        <w:r w:rsidR="00347DA3" w:rsidRPr="00347DA3">
          <w:rPr>
            <w:rFonts w:asciiTheme="majorHAnsi" w:hAnsiTheme="majorHAnsi"/>
            <w:noProof/>
            <w:webHidden/>
            <w:sz w:val="20"/>
            <w:szCs w:val="20"/>
          </w:rPr>
          <w:fldChar w:fldCharType="end"/>
        </w:r>
      </w:hyperlink>
    </w:p>
    <w:p w14:paraId="42F5D0F9" w14:textId="49031664" w:rsidR="00347DA3" w:rsidRPr="00347DA3" w:rsidRDefault="00A84548">
      <w:pPr>
        <w:pStyle w:val="TOC3"/>
        <w:tabs>
          <w:tab w:val="left" w:pos="2160"/>
        </w:tabs>
        <w:rPr>
          <w:rFonts w:asciiTheme="majorHAnsi" w:eastAsiaTheme="minorEastAsia" w:hAnsiTheme="majorHAnsi" w:cstheme="minorBidi"/>
          <w:noProof/>
          <w:sz w:val="20"/>
          <w:szCs w:val="20"/>
          <w:bdr w:val="none" w:sz="0" w:space="0" w:color="auto"/>
        </w:rPr>
      </w:pPr>
      <w:hyperlink w:anchor="_Toc33525296" w:history="1">
        <w:r w:rsidR="00347DA3" w:rsidRPr="00347DA3">
          <w:rPr>
            <w:rStyle w:val="Hyperlink"/>
            <w:rFonts w:asciiTheme="majorHAnsi" w:hAnsiTheme="majorHAnsi"/>
            <w:noProof/>
            <w:sz w:val="20"/>
            <w:szCs w:val="20"/>
            <w:lang w:val="es-MX"/>
          </w:rPr>
          <w:t>3.</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lang w:val="es-MX"/>
          </w:rPr>
          <w:t>Causa 27.985/98, caratulada CUERPO FORENSE s/falso testimonio  –Juzgado Nacional en lo Criminal de Instrucción No. 4, Secretaría 113</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_Toc33525296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9</w:t>
        </w:r>
        <w:r w:rsidR="00347DA3" w:rsidRPr="00347DA3">
          <w:rPr>
            <w:rFonts w:asciiTheme="majorHAnsi" w:hAnsiTheme="majorHAnsi"/>
            <w:noProof/>
            <w:webHidden/>
            <w:sz w:val="20"/>
            <w:szCs w:val="20"/>
          </w:rPr>
          <w:fldChar w:fldCharType="end"/>
        </w:r>
      </w:hyperlink>
    </w:p>
    <w:p w14:paraId="6B5EAE01" w14:textId="1CCBEE35" w:rsidR="00347DA3" w:rsidRPr="00347DA3" w:rsidRDefault="00A84548">
      <w:pPr>
        <w:pStyle w:val="TOC3"/>
        <w:tabs>
          <w:tab w:val="left" w:pos="2160"/>
        </w:tabs>
        <w:rPr>
          <w:rFonts w:asciiTheme="majorHAnsi" w:eastAsiaTheme="minorEastAsia" w:hAnsiTheme="majorHAnsi" w:cstheme="minorBidi"/>
          <w:noProof/>
          <w:sz w:val="20"/>
          <w:szCs w:val="20"/>
          <w:bdr w:val="none" w:sz="0" w:space="0" w:color="auto"/>
        </w:rPr>
      </w:pPr>
      <w:hyperlink w:anchor="_Toc33525297" w:history="1">
        <w:r w:rsidR="00347DA3" w:rsidRPr="00347DA3">
          <w:rPr>
            <w:rStyle w:val="Hyperlink"/>
            <w:rFonts w:asciiTheme="majorHAnsi" w:hAnsiTheme="majorHAnsi"/>
            <w:noProof/>
            <w:sz w:val="20"/>
            <w:szCs w:val="20"/>
            <w:lang w:val="es-MX"/>
          </w:rPr>
          <w:t>4.</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lang w:val="es-MX"/>
          </w:rPr>
          <w:t>Proceso civil por daños y perjuicios. Expediente 42.229/94 rotulado “Avaro Miguel Ángel contra Fernández, Silvia y otros sobre daños y perjuicios”</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_Toc33525297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11</w:t>
        </w:r>
        <w:r w:rsidR="00347DA3" w:rsidRPr="00347DA3">
          <w:rPr>
            <w:rFonts w:asciiTheme="majorHAnsi" w:hAnsiTheme="majorHAnsi"/>
            <w:noProof/>
            <w:webHidden/>
            <w:sz w:val="20"/>
            <w:szCs w:val="20"/>
          </w:rPr>
          <w:fldChar w:fldCharType="end"/>
        </w:r>
      </w:hyperlink>
    </w:p>
    <w:p w14:paraId="2A465C7E" w14:textId="3FAEBFC7" w:rsidR="00347DA3" w:rsidRPr="00347DA3" w:rsidRDefault="00A84548">
      <w:pPr>
        <w:pStyle w:val="TOC3"/>
        <w:tabs>
          <w:tab w:val="left" w:pos="2160"/>
        </w:tabs>
        <w:rPr>
          <w:rFonts w:asciiTheme="majorHAnsi" w:eastAsiaTheme="minorEastAsia" w:hAnsiTheme="majorHAnsi" w:cstheme="minorBidi"/>
          <w:noProof/>
          <w:sz w:val="20"/>
          <w:szCs w:val="20"/>
          <w:bdr w:val="none" w:sz="0" w:space="0" w:color="auto"/>
        </w:rPr>
      </w:pPr>
      <w:hyperlink w:anchor="_Toc33525298" w:history="1">
        <w:r w:rsidR="00347DA3" w:rsidRPr="00347DA3">
          <w:rPr>
            <w:rStyle w:val="Hyperlink"/>
            <w:rFonts w:asciiTheme="majorHAnsi" w:hAnsiTheme="majorHAnsi"/>
            <w:noProof/>
            <w:sz w:val="20"/>
            <w:szCs w:val="20"/>
            <w:lang w:val="es-MX"/>
          </w:rPr>
          <w:t>5.</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lang w:val="es-MX"/>
          </w:rPr>
          <w:t>Causa No. 27.080/2011 ante el Juzgado en lo Criminal de Instrucción No. 13  por presunto falso testimonio</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_Toc33525298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13</w:t>
        </w:r>
        <w:r w:rsidR="00347DA3" w:rsidRPr="00347DA3">
          <w:rPr>
            <w:rFonts w:asciiTheme="majorHAnsi" w:hAnsiTheme="majorHAnsi"/>
            <w:noProof/>
            <w:webHidden/>
            <w:sz w:val="20"/>
            <w:szCs w:val="20"/>
          </w:rPr>
          <w:fldChar w:fldCharType="end"/>
        </w:r>
      </w:hyperlink>
    </w:p>
    <w:p w14:paraId="685718A0" w14:textId="524EA8A9" w:rsidR="00347DA3" w:rsidRPr="00347DA3" w:rsidRDefault="00A84548">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33525299" w:history="1">
        <w:r w:rsidR="00347DA3" w:rsidRPr="00347DA3">
          <w:rPr>
            <w:rStyle w:val="Hyperlink"/>
            <w:rFonts w:asciiTheme="majorHAnsi" w:hAnsiTheme="majorHAnsi"/>
            <w:noProof/>
            <w:sz w:val="20"/>
            <w:szCs w:val="20"/>
          </w:rPr>
          <w:t>IV.</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ANÁLISIS DE DERECHO</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_Toc33525299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14</w:t>
        </w:r>
        <w:r w:rsidR="00347DA3" w:rsidRPr="00347DA3">
          <w:rPr>
            <w:rFonts w:asciiTheme="majorHAnsi" w:hAnsiTheme="majorHAnsi"/>
            <w:noProof/>
            <w:webHidden/>
            <w:sz w:val="20"/>
            <w:szCs w:val="20"/>
          </w:rPr>
          <w:fldChar w:fldCharType="end"/>
        </w:r>
      </w:hyperlink>
    </w:p>
    <w:p w14:paraId="70589D92" w14:textId="3031E504" w:rsidR="00347DA3" w:rsidRPr="00347DA3" w:rsidRDefault="00A84548">
      <w:pPr>
        <w:pStyle w:val="TOC2"/>
        <w:rPr>
          <w:rFonts w:asciiTheme="majorHAnsi" w:eastAsiaTheme="minorEastAsia" w:hAnsiTheme="majorHAnsi" w:cstheme="minorBidi"/>
          <w:noProof/>
          <w:sz w:val="20"/>
          <w:szCs w:val="20"/>
          <w:bdr w:val="none" w:sz="0" w:space="0" w:color="auto"/>
        </w:rPr>
      </w:pPr>
      <w:hyperlink w:anchor="_Toc33525300" w:history="1">
        <w:r w:rsidR="00347DA3" w:rsidRPr="00347DA3">
          <w:rPr>
            <w:rStyle w:val="Hyperlink"/>
            <w:rFonts w:asciiTheme="majorHAnsi" w:hAnsiTheme="majorHAnsi"/>
            <w:noProof/>
            <w:sz w:val="20"/>
            <w:szCs w:val="20"/>
          </w:rPr>
          <w:t>A.</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Derecho a la vida, a la integridad personal y el derecho a la salud, en relación con al artículo 1.1  de la Convención Americana y  artículo 7 de la Convención de Belém do Pará</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_Toc33525300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14</w:t>
        </w:r>
        <w:r w:rsidR="00347DA3" w:rsidRPr="00347DA3">
          <w:rPr>
            <w:rFonts w:asciiTheme="majorHAnsi" w:hAnsiTheme="majorHAnsi"/>
            <w:noProof/>
            <w:webHidden/>
            <w:sz w:val="20"/>
            <w:szCs w:val="20"/>
          </w:rPr>
          <w:fldChar w:fldCharType="end"/>
        </w:r>
      </w:hyperlink>
    </w:p>
    <w:p w14:paraId="12A1D604" w14:textId="75AF69E6" w:rsidR="00347DA3" w:rsidRPr="00347DA3" w:rsidRDefault="00A84548">
      <w:pPr>
        <w:pStyle w:val="TOC3"/>
        <w:tabs>
          <w:tab w:val="left" w:pos="2160"/>
        </w:tabs>
        <w:rPr>
          <w:rFonts w:asciiTheme="majorHAnsi" w:eastAsiaTheme="minorEastAsia" w:hAnsiTheme="majorHAnsi" w:cstheme="minorBidi"/>
          <w:noProof/>
          <w:sz w:val="20"/>
          <w:szCs w:val="20"/>
          <w:bdr w:val="none" w:sz="0" w:space="0" w:color="auto"/>
        </w:rPr>
      </w:pPr>
      <w:hyperlink w:anchor="_Toc33525301" w:history="1">
        <w:r w:rsidR="00347DA3" w:rsidRPr="00347DA3">
          <w:rPr>
            <w:rStyle w:val="Hyperlink"/>
            <w:rFonts w:asciiTheme="majorHAnsi" w:hAnsiTheme="majorHAnsi"/>
            <w:noProof/>
            <w:sz w:val="20"/>
            <w:szCs w:val="20"/>
            <w:lang w:val="es-US"/>
          </w:rPr>
          <w:t>1.</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lang w:val="es-US"/>
          </w:rPr>
          <w:t>Consideraciones generales sobre atribución de responsabilidad</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_Toc33525301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14</w:t>
        </w:r>
        <w:r w:rsidR="00347DA3" w:rsidRPr="00347DA3">
          <w:rPr>
            <w:rFonts w:asciiTheme="majorHAnsi" w:hAnsiTheme="majorHAnsi"/>
            <w:noProof/>
            <w:webHidden/>
            <w:sz w:val="20"/>
            <w:szCs w:val="20"/>
          </w:rPr>
          <w:fldChar w:fldCharType="end"/>
        </w:r>
      </w:hyperlink>
    </w:p>
    <w:p w14:paraId="659C0130" w14:textId="441A1E31" w:rsidR="00347DA3" w:rsidRPr="00347DA3" w:rsidRDefault="00A84548">
      <w:pPr>
        <w:pStyle w:val="TOC3"/>
        <w:tabs>
          <w:tab w:val="left" w:pos="2160"/>
        </w:tabs>
        <w:rPr>
          <w:rFonts w:asciiTheme="majorHAnsi" w:eastAsiaTheme="minorEastAsia" w:hAnsiTheme="majorHAnsi" w:cstheme="minorBidi"/>
          <w:noProof/>
          <w:sz w:val="20"/>
          <w:szCs w:val="20"/>
          <w:bdr w:val="none" w:sz="0" w:space="0" w:color="auto"/>
        </w:rPr>
      </w:pPr>
      <w:hyperlink w:anchor="_Toc33525302" w:history="1">
        <w:r w:rsidR="00347DA3" w:rsidRPr="00347DA3">
          <w:rPr>
            <w:rStyle w:val="Hyperlink"/>
            <w:rFonts w:asciiTheme="majorHAnsi" w:hAnsiTheme="majorHAnsi"/>
            <w:noProof/>
            <w:sz w:val="20"/>
            <w:szCs w:val="20"/>
            <w:lang w:val="es-US"/>
          </w:rPr>
          <w:t>2.</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lang w:val="es-US"/>
          </w:rPr>
          <w:t xml:space="preserve">Consideraciones generales sobre el artículo 26 y el </w:t>
        </w:r>
        <w:r w:rsidR="00347DA3" w:rsidRPr="00347DA3">
          <w:rPr>
            <w:rStyle w:val="Hyperlink"/>
            <w:rFonts w:asciiTheme="majorHAnsi" w:hAnsiTheme="majorHAnsi"/>
            <w:noProof/>
            <w:sz w:val="20"/>
            <w:szCs w:val="20"/>
            <w:lang w:val="es-CO"/>
          </w:rPr>
          <w:t>derecho a la salud</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_Toc33525302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15</w:t>
        </w:r>
        <w:r w:rsidR="00347DA3" w:rsidRPr="00347DA3">
          <w:rPr>
            <w:rFonts w:asciiTheme="majorHAnsi" w:hAnsiTheme="majorHAnsi"/>
            <w:noProof/>
            <w:webHidden/>
            <w:sz w:val="20"/>
            <w:szCs w:val="20"/>
          </w:rPr>
          <w:fldChar w:fldCharType="end"/>
        </w:r>
      </w:hyperlink>
    </w:p>
    <w:p w14:paraId="2CE66EF2" w14:textId="12186F62" w:rsidR="00347DA3" w:rsidRPr="00347DA3" w:rsidRDefault="00A84548">
      <w:pPr>
        <w:pStyle w:val="TOC3"/>
        <w:tabs>
          <w:tab w:val="left" w:pos="2160"/>
        </w:tabs>
        <w:rPr>
          <w:rFonts w:asciiTheme="majorHAnsi" w:eastAsiaTheme="minorEastAsia" w:hAnsiTheme="majorHAnsi" w:cstheme="minorBidi"/>
          <w:noProof/>
          <w:sz w:val="20"/>
          <w:szCs w:val="20"/>
          <w:bdr w:val="none" w:sz="0" w:space="0" w:color="auto"/>
        </w:rPr>
      </w:pPr>
      <w:hyperlink w:anchor="_Toc33525303" w:history="1">
        <w:r w:rsidR="00347DA3" w:rsidRPr="00347DA3">
          <w:rPr>
            <w:rStyle w:val="Hyperlink"/>
            <w:rFonts w:asciiTheme="majorHAnsi" w:hAnsiTheme="majorHAnsi"/>
            <w:noProof/>
            <w:sz w:val="20"/>
            <w:szCs w:val="20"/>
            <w:lang w:val="es-US"/>
          </w:rPr>
          <w:t>3.</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lang w:val="es-US"/>
          </w:rPr>
          <w:t>Sobre el derecho a la vida, a la integridad personal y a la salud de mujeres gestantes</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_Toc33525303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17</w:t>
        </w:r>
        <w:r w:rsidR="00347DA3" w:rsidRPr="00347DA3">
          <w:rPr>
            <w:rFonts w:asciiTheme="majorHAnsi" w:hAnsiTheme="majorHAnsi"/>
            <w:noProof/>
            <w:webHidden/>
            <w:sz w:val="20"/>
            <w:szCs w:val="20"/>
          </w:rPr>
          <w:fldChar w:fldCharType="end"/>
        </w:r>
      </w:hyperlink>
    </w:p>
    <w:p w14:paraId="1F3B11F5" w14:textId="180A2A15" w:rsidR="00347DA3" w:rsidRPr="00347DA3" w:rsidRDefault="00A84548">
      <w:pPr>
        <w:pStyle w:val="TOC3"/>
        <w:tabs>
          <w:tab w:val="left" w:pos="2160"/>
        </w:tabs>
        <w:rPr>
          <w:rFonts w:asciiTheme="majorHAnsi" w:eastAsiaTheme="minorEastAsia" w:hAnsiTheme="majorHAnsi" w:cstheme="minorBidi"/>
          <w:noProof/>
          <w:sz w:val="20"/>
          <w:szCs w:val="20"/>
          <w:bdr w:val="none" w:sz="0" w:space="0" w:color="auto"/>
        </w:rPr>
      </w:pPr>
      <w:hyperlink w:anchor="_Toc33525304" w:history="1">
        <w:r w:rsidR="00347DA3" w:rsidRPr="00347DA3">
          <w:rPr>
            <w:rStyle w:val="Hyperlink"/>
            <w:rFonts w:asciiTheme="majorHAnsi" w:hAnsiTheme="majorHAnsi"/>
            <w:noProof/>
            <w:sz w:val="20"/>
            <w:szCs w:val="20"/>
          </w:rPr>
          <w:t>4.</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Análisis del caso</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_Toc33525304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19</w:t>
        </w:r>
        <w:r w:rsidR="00347DA3" w:rsidRPr="00347DA3">
          <w:rPr>
            <w:rFonts w:asciiTheme="majorHAnsi" w:hAnsiTheme="majorHAnsi"/>
            <w:noProof/>
            <w:webHidden/>
            <w:sz w:val="20"/>
            <w:szCs w:val="20"/>
          </w:rPr>
          <w:fldChar w:fldCharType="end"/>
        </w:r>
      </w:hyperlink>
    </w:p>
    <w:p w14:paraId="382CA7E4" w14:textId="032AB3C9" w:rsidR="00347DA3" w:rsidRPr="00347DA3" w:rsidRDefault="00A84548">
      <w:pPr>
        <w:pStyle w:val="TOC2"/>
        <w:rPr>
          <w:rFonts w:asciiTheme="majorHAnsi" w:eastAsiaTheme="minorEastAsia" w:hAnsiTheme="majorHAnsi" w:cstheme="minorBidi"/>
          <w:noProof/>
          <w:sz w:val="20"/>
          <w:szCs w:val="20"/>
          <w:bdr w:val="none" w:sz="0" w:space="0" w:color="auto"/>
        </w:rPr>
      </w:pPr>
      <w:hyperlink w:anchor="_Toc33525305" w:history="1">
        <w:r w:rsidR="00347DA3" w:rsidRPr="00347DA3">
          <w:rPr>
            <w:rStyle w:val="Hyperlink"/>
            <w:rFonts w:asciiTheme="majorHAnsi" w:hAnsiTheme="majorHAnsi"/>
            <w:noProof/>
            <w:sz w:val="20"/>
            <w:szCs w:val="20"/>
          </w:rPr>
          <w:t>B.</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Derechos a las garantías judiciales y protección judicial (artículos 8.1 y 25.1 de la Convención Americana, en relación con el artículo 1.1 del mismo instrumento), y artículo 7 de la Convención de Belém do Pará</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_Toc33525305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21</w:t>
        </w:r>
        <w:r w:rsidR="00347DA3" w:rsidRPr="00347DA3">
          <w:rPr>
            <w:rFonts w:asciiTheme="majorHAnsi" w:hAnsiTheme="majorHAnsi"/>
            <w:noProof/>
            <w:webHidden/>
            <w:sz w:val="20"/>
            <w:szCs w:val="20"/>
          </w:rPr>
          <w:fldChar w:fldCharType="end"/>
        </w:r>
      </w:hyperlink>
    </w:p>
    <w:p w14:paraId="24319F09" w14:textId="617CB1DB" w:rsidR="00347DA3" w:rsidRPr="00347DA3" w:rsidRDefault="00A84548">
      <w:pPr>
        <w:pStyle w:val="TOC3"/>
        <w:tabs>
          <w:tab w:val="left" w:pos="2160"/>
        </w:tabs>
        <w:rPr>
          <w:rFonts w:asciiTheme="majorHAnsi" w:eastAsiaTheme="minorEastAsia" w:hAnsiTheme="majorHAnsi" w:cstheme="minorBidi"/>
          <w:noProof/>
          <w:sz w:val="20"/>
          <w:szCs w:val="20"/>
          <w:bdr w:val="none" w:sz="0" w:space="0" w:color="auto"/>
        </w:rPr>
      </w:pPr>
      <w:hyperlink w:anchor="_Toc33525306" w:history="1">
        <w:r w:rsidR="00347DA3" w:rsidRPr="00347DA3">
          <w:rPr>
            <w:rStyle w:val="Hyperlink"/>
            <w:rFonts w:asciiTheme="majorHAnsi" w:hAnsiTheme="majorHAnsi"/>
            <w:noProof/>
            <w:sz w:val="20"/>
            <w:szCs w:val="20"/>
          </w:rPr>
          <w:t>1.</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Consideraciones generales</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_Toc33525306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21</w:t>
        </w:r>
        <w:r w:rsidR="00347DA3" w:rsidRPr="00347DA3">
          <w:rPr>
            <w:rFonts w:asciiTheme="majorHAnsi" w:hAnsiTheme="majorHAnsi"/>
            <w:noProof/>
            <w:webHidden/>
            <w:sz w:val="20"/>
            <w:szCs w:val="20"/>
          </w:rPr>
          <w:fldChar w:fldCharType="end"/>
        </w:r>
      </w:hyperlink>
    </w:p>
    <w:p w14:paraId="1EAEE181" w14:textId="6EAE446D" w:rsidR="00347DA3" w:rsidRPr="00347DA3" w:rsidRDefault="00A84548">
      <w:pPr>
        <w:pStyle w:val="TOC3"/>
        <w:tabs>
          <w:tab w:val="left" w:pos="2160"/>
        </w:tabs>
        <w:rPr>
          <w:rFonts w:asciiTheme="majorHAnsi" w:eastAsiaTheme="minorEastAsia" w:hAnsiTheme="majorHAnsi" w:cstheme="minorBidi"/>
          <w:noProof/>
          <w:sz w:val="20"/>
          <w:szCs w:val="20"/>
          <w:bdr w:val="none" w:sz="0" w:space="0" w:color="auto"/>
        </w:rPr>
      </w:pPr>
      <w:hyperlink w:anchor="_Toc33525307" w:history="1">
        <w:r w:rsidR="00347DA3" w:rsidRPr="00347DA3">
          <w:rPr>
            <w:rStyle w:val="Hyperlink"/>
            <w:rFonts w:asciiTheme="majorHAnsi" w:hAnsiTheme="majorHAnsi"/>
            <w:noProof/>
            <w:sz w:val="20"/>
            <w:szCs w:val="20"/>
          </w:rPr>
          <w:t>2.</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Análisis del caso</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_Toc33525307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22</w:t>
        </w:r>
        <w:r w:rsidR="00347DA3" w:rsidRPr="00347DA3">
          <w:rPr>
            <w:rFonts w:asciiTheme="majorHAnsi" w:hAnsiTheme="majorHAnsi"/>
            <w:noProof/>
            <w:webHidden/>
            <w:sz w:val="20"/>
            <w:szCs w:val="20"/>
          </w:rPr>
          <w:fldChar w:fldCharType="end"/>
        </w:r>
      </w:hyperlink>
    </w:p>
    <w:p w14:paraId="360DE569" w14:textId="17C6EE43" w:rsidR="00347DA3" w:rsidRPr="00347DA3" w:rsidRDefault="00A84548">
      <w:pPr>
        <w:pStyle w:val="TOC4"/>
        <w:tabs>
          <w:tab w:val="left" w:pos="1440"/>
          <w:tab w:val="right" w:leader="dot" w:pos="9350"/>
        </w:tabs>
        <w:rPr>
          <w:rFonts w:asciiTheme="majorHAnsi" w:eastAsiaTheme="minorEastAsia" w:hAnsiTheme="majorHAnsi" w:cstheme="minorBidi"/>
          <w:noProof/>
          <w:sz w:val="20"/>
          <w:szCs w:val="20"/>
          <w:bdr w:val="none" w:sz="0" w:space="0" w:color="auto"/>
        </w:rPr>
      </w:pPr>
      <w:hyperlink w:anchor="_Toc33525308" w:history="1">
        <w:r w:rsidR="00347DA3" w:rsidRPr="00347DA3">
          <w:rPr>
            <w:rStyle w:val="Hyperlink"/>
            <w:rFonts w:asciiTheme="majorHAnsi" w:hAnsiTheme="majorHAnsi"/>
            <w:noProof/>
            <w:sz w:val="20"/>
            <w:szCs w:val="20"/>
            <w:lang w:val="es-MX"/>
          </w:rPr>
          <w:t>2.1.</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lang w:val="es-MX"/>
          </w:rPr>
          <w:t>Debida diligencia</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_Toc33525308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22</w:t>
        </w:r>
        <w:r w:rsidR="00347DA3" w:rsidRPr="00347DA3">
          <w:rPr>
            <w:rFonts w:asciiTheme="majorHAnsi" w:hAnsiTheme="majorHAnsi"/>
            <w:noProof/>
            <w:webHidden/>
            <w:sz w:val="20"/>
            <w:szCs w:val="20"/>
          </w:rPr>
          <w:fldChar w:fldCharType="end"/>
        </w:r>
      </w:hyperlink>
    </w:p>
    <w:p w14:paraId="4E26B4ED" w14:textId="6D1BCDD4" w:rsidR="00347DA3" w:rsidRPr="00347DA3" w:rsidRDefault="00A84548">
      <w:pPr>
        <w:pStyle w:val="TOC4"/>
        <w:tabs>
          <w:tab w:val="left" w:pos="1440"/>
          <w:tab w:val="right" w:leader="dot" w:pos="9350"/>
        </w:tabs>
        <w:rPr>
          <w:rFonts w:asciiTheme="majorHAnsi" w:eastAsiaTheme="minorEastAsia" w:hAnsiTheme="majorHAnsi" w:cstheme="minorBidi"/>
          <w:noProof/>
          <w:sz w:val="20"/>
          <w:szCs w:val="20"/>
          <w:bdr w:val="none" w:sz="0" w:space="0" w:color="auto"/>
        </w:rPr>
      </w:pPr>
      <w:hyperlink w:anchor="_Toc33525309" w:history="1">
        <w:r w:rsidR="00347DA3" w:rsidRPr="00347DA3">
          <w:rPr>
            <w:rStyle w:val="Hyperlink"/>
            <w:rFonts w:asciiTheme="majorHAnsi" w:hAnsiTheme="majorHAnsi"/>
            <w:noProof/>
            <w:sz w:val="20"/>
            <w:szCs w:val="20"/>
          </w:rPr>
          <w:t>2.2.</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Plazo razonable</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_Toc33525309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23</w:t>
        </w:r>
        <w:r w:rsidR="00347DA3" w:rsidRPr="00347DA3">
          <w:rPr>
            <w:rFonts w:asciiTheme="majorHAnsi" w:hAnsiTheme="majorHAnsi"/>
            <w:noProof/>
            <w:webHidden/>
            <w:sz w:val="20"/>
            <w:szCs w:val="20"/>
          </w:rPr>
          <w:fldChar w:fldCharType="end"/>
        </w:r>
      </w:hyperlink>
    </w:p>
    <w:p w14:paraId="3DF7C263" w14:textId="41E3B19D" w:rsidR="00347DA3" w:rsidRPr="00347DA3" w:rsidRDefault="00A84548">
      <w:pPr>
        <w:pStyle w:val="TOC2"/>
        <w:rPr>
          <w:rFonts w:asciiTheme="majorHAnsi" w:eastAsiaTheme="minorEastAsia" w:hAnsiTheme="majorHAnsi" w:cstheme="minorBidi"/>
          <w:noProof/>
          <w:sz w:val="20"/>
          <w:szCs w:val="20"/>
          <w:bdr w:val="none" w:sz="0" w:space="0" w:color="auto"/>
        </w:rPr>
      </w:pPr>
      <w:hyperlink w:anchor="_Toc33525310" w:history="1">
        <w:r w:rsidR="00347DA3" w:rsidRPr="00347DA3">
          <w:rPr>
            <w:rStyle w:val="Hyperlink"/>
            <w:rFonts w:asciiTheme="majorHAnsi" w:hAnsiTheme="majorHAnsi"/>
            <w:noProof/>
            <w:sz w:val="20"/>
            <w:szCs w:val="20"/>
          </w:rPr>
          <w:t>C.</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El derecho a la integridad personal del hijo y la hija de Cristina Britez Arce en relación con el artículo 1.1 de la Convención Americana.</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_Toc33525310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24</w:t>
        </w:r>
        <w:r w:rsidR="00347DA3" w:rsidRPr="00347DA3">
          <w:rPr>
            <w:rFonts w:asciiTheme="majorHAnsi" w:hAnsiTheme="majorHAnsi"/>
            <w:noProof/>
            <w:webHidden/>
            <w:sz w:val="20"/>
            <w:szCs w:val="20"/>
          </w:rPr>
          <w:fldChar w:fldCharType="end"/>
        </w:r>
      </w:hyperlink>
    </w:p>
    <w:p w14:paraId="64E92515" w14:textId="41ADE0D5" w:rsidR="00347DA3" w:rsidRPr="00347DA3" w:rsidRDefault="00A84548">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33525311" w:history="1">
        <w:r w:rsidR="00347DA3" w:rsidRPr="00347DA3">
          <w:rPr>
            <w:rStyle w:val="Hyperlink"/>
            <w:rFonts w:asciiTheme="majorHAnsi" w:hAnsiTheme="majorHAnsi"/>
            <w:noProof/>
            <w:sz w:val="20"/>
            <w:szCs w:val="20"/>
          </w:rPr>
          <w:t>V.</w:t>
        </w:r>
        <w:r w:rsidR="00347DA3" w:rsidRPr="00347DA3">
          <w:rPr>
            <w:rFonts w:asciiTheme="majorHAnsi" w:eastAsiaTheme="minorEastAsia" w:hAnsiTheme="majorHAnsi" w:cstheme="minorBidi"/>
            <w:noProof/>
            <w:sz w:val="20"/>
            <w:szCs w:val="20"/>
            <w:bdr w:val="none" w:sz="0" w:space="0" w:color="auto"/>
          </w:rPr>
          <w:tab/>
        </w:r>
        <w:r w:rsidR="00347DA3" w:rsidRPr="00347DA3">
          <w:rPr>
            <w:rStyle w:val="Hyperlink"/>
            <w:rFonts w:asciiTheme="majorHAnsi" w:hAnsiTheme="majorHAnsi"/>
            <w:noProof/>
            <w:sz w:val="20"/>
            <w:szCs w:val="20"/>
          </w:rPr>
          <w:t>CONCLUSIONES Y RECOMENDACIONES</w:t>
        </w:r>
        <w:r w:rsidR="00347DA3" w:rsidRPr="00347DA3">
          <w:rPr>
            <w:rFonts w:asciiTheme="majorHAnsi" w:hAnsiTheme="majorHAnsi"/>
            <w:noProof/>
            <w:webHidden/>
            <w:sz w:val="20"/>
            <w:szCs w:val="20"/>
          </w:rPr>
          <w:tab/>
        </w:r>
        <w:r w:rsidR="00347DA3" w:rsidRPr="00347DA3">
          <w:rPr>
            <w:rFonts w:asciiTheme="majorHAnsi" w:hAnsiTheme="majorHAnsi"/>
            <w:noProof/>
            <w:webHidden/>
            <w:sz w:val="20"/>
            <w:szCs w:val="20"/>
          </w:rPr>
          <w:fldChar w:fldCharType="begin"/>
        </w:r>
        <w:r w:rsidR="00347DA3" w:rsidRPr="00347DA3">
          <w:rPr>
            <w:rFonts w:asciiTheme="majorHAnsi" w:hAnsiTheme="majorHAnsi"/>
            <w:noProof/>
            <w:webHidden/>
            <w:sz w:val="20"/>
            <w:szCs w:val="20"/>
          </w:rPr>
          <w:instrText xml:space="preserve"> PAGEREF _Toc33525311 \h </w:instrText>
        </w:r>
        <w:r w:rsidR="00347DA3" w:rsidRPr="00347DA3">
          <w:rPr>
            <w:rFonts w:asciiTheme="majorHAnsi" w:hAnsiTheme="majorHAnsi"/>
            <w:noProof/>
            <w:webHidden/>
            <w:sz w:val="20"/>
            <w:szCs w:val="20"/>
          </w:rPr>
        </w:r>
        <w:r w:rsidR="00347DA3" w:rsidRPr="00347DA3">
          <w:rPr>
            <w:rFonts w:asciiTheme="majorHAnsi" w:hAnsiTheme="majorHAnsi"/>
            <w:noProof/>
            <w:webHidden/>
            <w:sz w:val="20"/>
            <w:szCs w:val="20"/>
          </w:rPr>
          <w:fldChar w:fldCharType="separate"/>
        </w:r>
        <w:r>
          <w:rPr>
            <w:rFonts w:asciiTheme="majorHAnsi" w:hAnsiTheme="majorHAnsi"/>
            <w:noProof/>
            <w:webHidden/>
            <w:sz w:val="20"/>
            <w:szCs w:val="20"/>
          </w:rPr>
          <w:t>25</w:t>
        </w:r>
        <w:r w:rsidR="00347DA3" w:rsidRPr="00347DA3">
          <w:rPr>
            <w:rFonts w:asciiTheme="majorHAnsi" w:hAnsiTheme="majorHAnsi"/>
            <w:noProof/>
            <w:webHidden/>
            <w:sz w:val="20"/>
            <w:szCs w:val="20"/>
          </w:rPr>
          <w:fldChar w:fldCharType="end"/>
        </w:r>
      </w:hyperlink>
    </w:p>
    <w:p w14:paraId="257ADB28" w14:textId="34E34B39" w:rsidR="00722C9F" w:rsidRPr="00B91121" w:rsidRDefault="006125C3" w:rsidP="00A52FEB">
      <w:pPr>
        <w:tabs>
          <w:tab w:val="center" w:pos="5400"/>
        </w:tabs>
        <w:suppressAutoHyphens/>
        <w:spacing w:line="276" w:lineRule="auto"/>
        <w:rPr>
          <w:rFonts w:ascii="Cambria" w:hAnsi="Cambria" w:cs="Calibri"/>
          <w:sz w:val="20"/>
          <w:szCs w:val="20"/>
          <w:lang w:val="es-ES"/>
        </w:rPr>
      </w:pPr>
      <w:r w:rsidRPr="00B91121">
        <w:rPr>
          <w:rFonts w:asciiTheme="majorHAnsi" w:hAnsiTheme="majorHAnsi"/>
          <w:b/>
          <w:sz w:val="20"/>
          <w:szCs w:val="20"/>
          <w:lang w:val="es-ES_tradnl"/>
        </w:rPr>
        <w:fldChar w:fldCharType="end"/>
      </w:r>
      <w:r w:rsidR="00722C9F" w:rsidRPr="00B91121">
        <w:rPr>
          <w:rFonts w:ascii="Cambria" w:hAnsi="Cambria" w:cs="Calibri"/>
          <w:sz w:val="20"/>
          <w:szCs w:val="20"/>
          <w:lang w:val="es-ES"/>
        </w:rPr>
        <w:br w:type="page"/>
      </w:r>
    </w:p>
    <w:p w14:paraId="753651B7" w14:textId="77777777" w:rsidR="00D12193" w:rsidRPr="00B91121" w:rsidRDefault="00A03A30" w:rsidP="00B474B7">
      <w:pPr>
        <w:pStyle w:val="Heading1"/>
      </w:pPr>
      <w:bookmarkStart w:id="2" w:name="_Toc22199921"/>
      <w:bookmarkStart w:id="3" w:name="_Toc33525287"/>
      <w:r w:rsidRPr="00B91121">
        <w:lastRenderedPageBreak/>
        <w:t>INTRODUCCIÓN</w:t>
      </w:r>
      <w:bookmarkEnd w:id="2"/>
      <w:bookmarkEnd w:id="3"/>
    </w:p>
    <w:p w14:paraId="3FE9BE8F" w14:textId="77777777" w:rsidR="005C4CA5" w:rsidRPr="00B91121" w:rsidRDefault="005C4CA5" w:rsidP="004900D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05404F24" w14:textId="77777777" w:rsidR="004900DD" w:rsidRPr="00B91121" w:rsidRDefault="005C4CA5" w:rsidP="004900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 xml:space="preserve">El </w:t>
      </w:r>
      <w:r w:rsidR="007D30CA" w:rsidRPr="00B91121">
        <w:rPr>
          <w:rFonts w:ascii="Cambria" w:hAnsi="Cambria"/>
          <w:sz w:val="20"/>
          <w:szCs w:val="20"/>
          <w:lang w:val="es-AR"/>
        </w:rPr>
        <w:t>20</w:t>
      </w:r>
      <w:r w:rsidRPr="00B91121">
        <w:rPr>
          <w:rFonts w:ascii="Cambria" w:hAnsi="Cambria"/>
          <w:sz w:val="20"/>
          <w:szCs w:val="20"/>
          <w:lang w:val="es-AR"/>
        </w:rPr>
        <w:t xml:space="preserve"> de</w:t>
      </w:r>
      <w:r w:rsidR="007D30CA" w:rsidRPr="00B91121">
        <w:rPr>
          <w:rFonts w:ascii="Cambria" w:hAnsi="Cambria"/>
          <w:sz w:val="20"/>
          <w:szCs w:val="20"/>
          <w:lang w:val="es-AR"/>
        </w:rPr>
        <w:t xml:space="preserve"> abril </w:t>
      </w:r>
      <w:r w:rsidRPr="00B91121">
        <w:rPr>
          <w:rFonts w:ascii="Cambria" w:hAnsi="Cambria"/>
          <w:sz w:val="20"/>
          <w:szCs w:val="20"/>
          <w:lang w:val="es-AR"/>
        </w:rPr>
        <w:t xml:space="preserve">de </w:t>
      </w:r>
      <w:r w:rsidR="007D30CA" w:rsidRPr="00B91121">
        <w:rPr>
          <w:rFonts w:ascii="Cambria" w:hAnsi="Cambria"/>
          <w:sz w:val="20"/>
          <w:szCs w:val="20"/>
          <w:lang w:val="es-AR"/>
        </w:rPr>
        <w:t>2001</w:t>
      </w:r>
      <w:r w:rsidR="00F551E4" w:rsidRPr="00B91121">
        <w:rPr>
          <w:rFonts w:ascii="Cambria" w:hAnsi="Cambria"/>
          <w:sz w:val="20"/>
          <w:szCs w:val="20"/>
          <w:lang w:val="es-AR"/>
        </w:rPr>
        <w:t xml:space="preserve"> </w:t>
      </w:r>
      <w:r w:rsidRPr="00B91121">
        <w:rPr>
          <w:rFonts w:ascii="Cambria" w:hAnsi="Cambria"/>
          <w:sz w:val="20"/>
          <w:szCs w:val="20"/>
          <w:lang w:val="es-AR"/>
        </w:rPr>
        <w:t xml:space="preserve">la Comisión Interamericana de Derechos Humanos (en adelante “la Comisión Interamericana”, “la Comisión” o “la CIDH”) recibió una petición presentada por </w:t>
      </w:r>
      <w:r w:rsidR="00953A6A" w:rsidRPr="00B91121">
        <w:rPr>
          <w:rFonts w:ascii="Cambria" w:hAnsi="Cambria"/>
          <w:sz w:val="20"/>
          <w:szCs w:val="20"/>
          <w:lang w:val="es-AR"/>
        </w:rPr>
        <w:t xml:space="preserve">Ezequiel Martín y Vanina Verónica Avaro </w:t>
      </w:r>
      <w:r w:rsidRPr="00B91121">
        <w:rPr>
          <w:rFonts w:ascii="Cambria" w:hAnsi="Cambria"/>
          <w:sz w:val="20"/>
          <w:szCs w:val="20"/>
          <w:lang w:val="es-AR"/>
        </w:rPr>
        <w:t xml:space="preserve">(en adelante “la parte peticionaria”) en la cual se alega la responsabilidad internacional de </w:t>
      </w:r>
      <w:r w:rsidR="00953A6A" w:rsidRPr="00B91121">
        <w:rPr>
          <w:rFonts w:ascii="Cambria" w:hAnsi="Cambria"/>
          <w:sz w:val="20"/>
          <w:szCs w:val="20"/>
          <w:lang w:val="es-AR"/>
        </w:rPr>
        <w:t>Argentina</w:t>
      </w:r>
      <w:r w:rsidRPr="00B91121">
        <w:rPr>
          <w:rFonts w:ascii="Cambria" w:hAnsi="Cambria"/>
          <w:sz w:val="20"/>
          <w:szCs w:val="20"/>
          <w:lang w:val="es-AR"/>
        </w:rPr>
        <w:t xml:space="preserve"> (en adelante “el Estado </w:t>
      </w:r>
      <w:r w:rsidR="00953A6A" w:rsidRPr="00B91121">
        <w:rPr>
          <w:rFonts w:ascii="Cambria" w:hAnsi="Cambria"/>
          <w:sz w:val="20"/>
          <w:szCs w:val="20"/>
          <w:lang w:val="es-AR"/>
        </w:rPr>
        <w:t>argentino”</w:t>
      </w:r>
      <w:r w:rsidRPr="00B91121">
        <w:rPr>
          <w:rFonts w:ascii="Cambria" w:hAnsi="Cambria"/>
          <w:sz w:val="20"/>
          <w:szCs w:val="20"/>
          <w:lang w:val="es-AR"/>
        </w:rPr>
        <w:t>, “el Estado” o “</w:t>
      </w:r>
      <w:r w:rsidR="00953A6A" w:rsidRPr="00B91121">
        <w:rPr>
          <w:rFonts w:ascii="Cambria" w:hAnsi="Cambria"/>
          <w:sz w:val="20"/>
          <w:szCs w:val="20"/>
          <w:lang w:val="es-AR"/>
        </w:rPr>
        <w:t>Argentina</w:t>
      </w:r>
      <w:r w:rsidRPr="00B91121">
        <w:rPr>
          <w:rFonts w:ascii="Cambria" w:hAnsi="Cambria"/>
          <w:sz w:val="20"/>
          <w:szCs w:val="20"/>
          <w:lang w:val="es-AR"/>
        </w:rPr>
        <w:t xml:space="preserve">”) en perjuicio de </w:t>
      </w:r>
      <w:r w:rsidR="002B3F33" w:rsidRPr="00B91121">
        <w:rPr>
          <w:rFonts w:ascii="Cambria" w:hAnsi="Cambria"/>
          <w:sz w:val="20"/>
          <w:szCs w:val="20"/>
          <w:lang w:val="es-AR"/>
        </w:rPr>
        <w:t xml:space="preserve">su madre, </w:t>
      </w:r>
      <w:r w:rsidR="00953A6A" w:rsidRPr="00B91121">
        <w:rPr>
          <w:rFonts w:ascii="Cambria" w:hAnsi="Cambria"/>
          <w:sz w:val="20"/>
          <w:szCs w:val="20"/>
          <w:lang w:val="es-AR"/>
        </w:rPr>
        <w:t>Cristina Britez Arce por las alegadas irregularidades que habrían tenido lugar en los procesos judiciales que se sust</w:t>
      </w:r>
      <w:r w:rsidR="004900DD" w:rsidRPr="00B91121">
        <w:rPr>
          <w:rFonts w:ascii="Cambria" w:hAnsi="Cambria"/>
          <w:sz w:val="20"/>
          <w:szCs w:val="20"/>
          <w:lang w:val="es-AR"/>
        </w:rPr>
        <w:t>a</w:t>
      </w:r>
      <w:r w:rsidR="00953A6A" w:rsidRPr="00B91121">
        <w:rPr>
          <w:rFonts w:ascii="Cambria" w:hAnsi="Cambria"/>
          <w:sz w:val="20"/>
          <w:szCs w:val="20"/>
          <w:lang w:val="es-AR"/>
        </w:rPr>
        <w:t>nciaron en sede interna como consecuencia de su muerte</w:t>
      </w:r>
      <w:r w:rsidR="00991866" w:rsidRPr="00B91121">
        <w:rPr>
          <w:rFonts w:ascii="Cambria" w:hAnsi="Cambria"/>
          <w:sz w:val="20"/>
          <w:szCs w:val="20"/>
          <w:lang w:val="es-AR"/>
        </w:rPr>
        <w:t xml:space="preserve">. </w:t>
      </w:r>
    </w:p>
    <w:p w14:paraId="0F28CDBB" w14:textId="77777777" w:rsidR="004900DD" w:rsidRPr="00B91121" w:rsidRDefault="004900DD" w:rsidP="004900D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2B693482" w14:textId="77777777" w:rsidR="0002319A" w:rsidRPr="00B91121" w:rsidRDefault="00865597" w:rsidP="004900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La Comisión aprobó el informe de admisibilidad No.</w:t>
      </w:r>
      <w:r w:rsidR="00953A6A" w:rsidRPr="00B91121">
        <w:rPr>
          <w:rFonts w:ascii="Cambria" w:hAnsi="Cambria"/>
          <w:sz w:val="20"/>
          <w:szCs w:val="20"/>
          <w:lang w:val="es-AR"/>
        </w:rPr>
        <w:t xml:space="preserve"> 46</w:t>
      </w:r>
      <w:r w:rsidRPr="00B91121">
        <w:rPr>
          <w:rFonts w:ascii="Cambria" w:hAnsi="Cambria"/>
          <w:sz w:val="20"/>
          <w:szCs w:val="20"/>
          <w:lang w:val="es-AR"/>
        </w:rPr>
        <w:t>/</w:t>
      </w:r>
      <w:r w:rsidR="00953A6A" w:rsidRPr="00B91121">
        <w:rPr>
          <w:rFonts w:ascii="Cambria" w:hAnsi="Cambria"/>
          <w:sz w:val="20"/>
          <w:szCs w:val="20"/>
          <w:lang w:val="es-AR"/>
        </w:rPr>
        <w:t>15</w:t>
      </w:r>
      <w:r w:rsidRPr="00B91121">
        <w:rPr>
          <w:rFonts w:ascii="Cambria" w:hAnsi="Cambria"/>
          <w:sz w:val="20"/>
          <w:szCs w:val="20"/>
          <w:lang w:val="es-AR"/>
        </w:rPr>
        <w:t xml:space="preserve"> el </w:t>
      </w:r>
      <w:r w:rsidR="00953A6A" w:rsidRPr="00B91121">
        <w:rPr>
          <w:rFonts w:ascii="Cambria" w:hAnsi="Cambria"/>
          <w:sz w:val="20"/>
          <w:szCs w:val="20"/>
          <w:lang w:val="es-AR"/>
        </w:rPr>
        <w:t xml:space="preserve">28 </w:t>
      </w:r>
      <w:r w:rsidRPr="00B91121">
        <w:rPr>
          <w:rFonts w:ascii="Cambria" w:hAnsi="Cambria"/>
          <w:sz w:val="20"/>
          <w:szCs w:val="20"/>
          <w:lang w:val="es-AR"/>
        </w:rPr>
        <w:t xml:space="preserve">de </w:t>
      </w:r>
      <w:r w:rsidR="00953A6A" w:rsidRPr="00B91121">
        <w:rPr>
          <w:rFonts w:ascii="Cambria" w:hAnsi="Cambria"/>
          <w:sz w:val="20"/>
          <w:szCs w:val="20"/>
          <w:lang w:val="es-AR"/>
        </w:rPr>
        <w:t xml:space="preserve">julio </w:t>
      </w:r>
      <w:r w:rsidRPr="00B91121">
        <w:rPr>
          <w:rFonts w:ascii="Cambria" w:hAnsi="Cambria"/>
          <w:sz w:val="20"/>
          <w:szCs w:val="20"/>
          <w:lang w:val="es-AR"/>
        </w:rPr>
        <w:t xml:space="preserve">de </w:t>
      </w:r>
      <w:r w:rsidR="00953A6A" w:rsidRPr="00B91121">
        <w:rPr>
          <w:rFonts w:ascii="Cambria" w:hAnsi="Cambria"/>
          <w:sz w:val="20"/>
          <w:szCs w:val="20"/>
          <w:lang w:val="es-AR"/>
        </w:rPr>
        <w:t>2015</w:t>
      </w:r>
      <w:r w:rsidRPr="00B91121">
        <w:rPr>
          <w:rStyle w:val="FootnoteReference"/>
          <w:rFonts w:asciiTheme="majorHAnsi" w:eastAsia="Cambria" w:hAnsiTheme="majorHAnsi" w:cs="Cambria"/>
          <w:iCs/>
          <w:color w:val="000000"/>
          <w:u w:color="000000"/>
          <w:lang w:val="es-ES" w:eastAsia="es-ES"/>
        </w:rPr>
        <w:footnoteReference w:id="2"/>
      </w:r>
      <w:r w:rsidR="00F87144" w:rsidRPr="00B91121">
        <w:rPr>
          <w:rFonts w:ascii="Cambria" w:hAnsi="Cambria"/>
          <w:sz w:val="20"/>
          <w:szCs w:val="20"/>
          <w:lang w:val="es-AR"/>
        </w:rPr>
        <w:t>.</w:t>
      </w:r>
      <w:r w:rsidRPr="00B91121">
        <w:rPr>
          <w:rFonts w:ascii="Cambria" w:hAnsi="Cambria"/>
          <w:sz w:val="20"/>
          <w:szCs w:val="20"/>
          <w:lang w:val="es-AR"/>
        </w:rPr>
        <w:t xml:space="preserve"> El</w:t>
      </w:r>
      <w:r w:rsidR="008C7015" w:rsidRPr="00B91121">
        <w:rPr>
          <w:rFonts w:ascii="Cambria" w:hAnsi="Cambria"/>
          <w:sz w:val="20"/>
          <w:szCs w:val="20"/>
          <w:lang w:val="es-AR"/>
        </w:rPr>
        <w:t xml:space="preserve"> </w:t>
      </w:r>
      <w:r w:rsidR="001A31FD" w:rsidRPr="00B91121">
        <w:rPr>
          <w:rFonts w:ascii="Cambria" w:hAnsi="Cambria"/>
          <w:sz w:val="20"/>
          <w:szCs w:val="20"/>
          <w:lang w:val="es-AR"/>
        </w:rPr>
        <w:t>1 de octubre de 2015,</w:t>
      </w:r>
      <w:r w:rsidR="008C7015" w:rsidRPr="00B91121">
        <w:rPr>
          <w:rFonts w:ascii="Cambria" w:hAnsi="Cambria"/>
          <w:sz w:val="20"/>
          <w:szCs w:val="20"/>
          <w:lang w:val="es-AR"/>
        </w:rPr>
        <w:t xml:space="preserve"> </w:t>
      </w:r>
      <w:r w:rsidRPr="00B91121">
        <w:rPr>
          <w:rFonts w:ascii="Cambria" w:hAnsi="Cambria"/>
          <w:sz w:val="20"/>
          <w:szCs w:val="20"/>
          <w:lang w:val="es-AR"/>
        </w:rPr>
        <w:t>la Comisión notificó dicho informe a las partes y se puso a disposición a fin de llegar a una solución amistosa</w:t>
      </w:r>
      <w:r w:rsidR="00A66E7F" w:rsidRPr="00B91121">
        <w:rPr>
          <w:rFonts w:ascii="Cambria" w:hAnsi="Cambria"/>
          <w:sz w:val="20"/>
          <w:szCs w:val="20"/>
          <w:lang w:val="es-AR"/>
        </w:rPr>
        <w:t>, sin que se dieran las condiciones para iniciar dicho procedimiento</w:t>
      </w:r>
      <w:r w:rsidRPr="00B91121">
        <w:rPr>
          <w:rFonts w:ascii="Cambria" w:hAnsi="Cambria"/>
          <w:sz w:val="20"/>
          <w:szCs w:val="20"/>
          <w:lang w:val="es-AR"/>
        </w:rPr>
        <w:t xml:space="preserve">. Las partes contaron con los plazos reglamentarios para presentar sus observaciones adicionales sobre el fondo. Toda la información recibida fue debidamente trasladada entre las partes. </w:t>
      </w:r>
    </w:p>
    <w:p w14:paraId="7E103431" w14:textId="77777777" w:rsidR="003027AB" w:rsidRPr="00B91121" w:rsidRDefault="003027AB" w:rsidP="00797302">
      <w:pPr>
        <w:ind w:left="360" w:hanging="360"/>
        <w:rPr>
          <w:lang w:val="es-MX"/>
        </w:rPr>
      </w:pPr>
    </w:p>
    <w:p w14:paraId="4EAF3B41" w14:textId="77777777" w:rsidR="003027AB" w:rsidRPr="00B91121" w:rsidRDefault="003027AB" w:rsidP="00B474B7">
      <w:pPr>
        <w:pStyle w:val="Heading1"/>
      </w:pPr>
      <w:bookmarkStart w:id="4" w:name="_Toc22199922"/>
      <w:bookmarkStart w:id="5" w:name="_Toc33525288"/>
      <w:r w:rsidRPr="00B91121">
        <w:t>ALEGATOS DE LAS PARTES</w:t>
      </w:r>
      <w:bookmarkEnd w:id="4"/>
      <w:bookmarkEnd w:id="5"/>
    </w:p>
    <w:p w14:paraId="33810568" w14:textId="77777777" w:rsidR="003027AB" w:rsidRPr="00B91121" w:rsidRDefault="003027AB" w:rsidP="00797302"/>
    <w:p w14:paraId="77B9239F" w14:textId="77777777" w:rsidR="003027AB" w:rsidRPr="002A4B39" w:rsidRDefault="003027AB" w:rsidP="002A4B39">
      <w:pPr>
        <w:pStyle w:val="Heading2"/>
      </w:pPr>
      <w:bookmarkStart w:id="6" w:name="_Toc22199923"/>
      <w:bookmarkStart w:id="7" w:name="_Toc33525289"/>
      <w:r w:rsidRPr="002A4B39">
        <w:t>Parte peticionaria</w:t>
      </w:r>
      <w:bookmarkEnd w:id="6"/>
      <w:bookmarkEnd w:id="7"/>
      <w:r w:rsidRPr="002A4B39">
        <w:t xml:space="preserve"> </w:t>
      </w:r>
    </w:p>
    <w:p w14:paraId="1498777C" w14:textId="77777777" w:rsidR="0002319A" w:rsidRPr="00B91121" w:rsidRDefault="0002319A" w:rsidP="004900D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382C991A" w14:textId="77777777" w:rsidR="003027AB" w:rsidRPr="00B91121" w:rsidRDefault="0002319A" w:rsidP="004900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 xml:space="preserve">La parte peticionaria </w:t>
      </w:r>
      <w:r w:rsidR="000E2875" w:rsidRPr="00B91121">
        <w:rPr>
          <w:rFonts w:ascii="Cambria" w:hAnsi="Cambria"/>
          <w:sz w:val="20"/>
          <w:szCs w:val="20"/>
          <w:lang w:val="es-AR"/>
        </w:rPr>
        <w:t>alega que el 1˚ de junio de 1992</w:t>
      </w:r>
      <w:r w:rsidRPr="00B91121">
        <w:rPr>
          <w:rFonts w:ascii="Cambria" w:hAnsi="Cambria"/>
          <w:sz w:val="20"/>
          <w:szCs w:val="20"/>
          <w:lang w:val="es-AR"/>
        </w:rPr>
        <w:t>, una mala praxis médica por</w:t>
      </w:r>
      <w:r w:rsidR="00F87144" w:rsidRPr="00B91121">
        <w:rPr>
          <w:rFonts w:ascii="Cambria" w:hAnsi="Cambria"/>
          <w:sz w:val="20"/>
          <w:szCs w:val="20"/>
          <w:lang w:val="es-AR"/>
        </w:rPr>
        <w:t xml:space="preserve"> parte del personal médico del H</w:t>
      </w:r>
      <w:r w:rsidRPr="00B91121">
        <w:rPr>
          <w:rFonts w:ascii="Cambria" w:hAnsi="Cambria"/>
          <w:sz w:val="20"/>
          <w:szCs w:val="20"/>
          <w:lang w:val="es-AR"/>
        </w:rPr>
        <w:t xml:space="preserve">ospital </w:t>
      </w:r>
      <w:r w:rsidR="00F87144" w:rsidRPr="00B91121">
        <w:rPr>
          <w:rFonts w:ascii="Cambria" w:hAnsi="Cambria"/>
          <w:sz w:val="20"/>
          <w:szCs w:val="20"/>
          <w:lang w:val="es-AR"/>
        </w:rPr>
        <w:t>P</w:t>
      </w:r>
      <w:r w:rsidRPr="00B91121">
        <w:rPr>
          <w:rFonts w:ascii="Cambria" w:hAnsi="Cambria"/>
          <w:sz w:val="20"/>
          <w:szCs w:val="20"/>
          <w:lang w:val="es-AR"/>
        </w:rPr>
        <w:t xml:space="preserve">úblico Materno Infantil “Ramón </w:t>
      </w:r>
      <w:r w:rsidR="00141CA1" w:rsidRPr="00B91121">
        <w:rPr>
          <w:rFonts w:ascii="Cambria" w:hAnsi="Cambria"/>
          <w:sz w:val="20"/>
          <w:szCs w:val="20"/>
          <w:lang w:val="es-AR"/>
        </w:rPr>
        <w:t>Sardá</w:t>
      </w:r>
      <w:r w:rsidRPr="00B91121">
        <w:rPr>
          <w:rFonts w:ascii="Cambria" w:hAnsi="Cambria"/>
          <w:sz w:val="20"/>
          <w:szCs w:val="20"/>
          <w:lang w:val="es-AR"/>
        </w:rPr>
        <w:t>”</w:t>
      </w:r>
      <w:r w:rsidR="00F87144" w:rsidRPr="00B91121">
        <w:rPr>
          <w:rFonts w:ascii="Cambria" w:hAnsi="Cambria"/>
          <w:sz w:val="20"/>
          <w:szCs w:val="20"/>
          <w:lang w:val="es-AR"/>
        </w:rPr>
        <w:t xml:space="preserve"> </w:t>
      </w:r>
      <w:r w:rsidRPr="00B91121">
        <w:rPr>
          <w:rFonts w:ascii="Cambria" w:hAnsi="Cambria"/>
          <w:sz w:val="20"/>
          <w:szCs w:val="20"/>
          <w:lang w:val="es-AR"/>
        </w:rPr>
        <w:t>de la Ciudad de Buenos Aires</w:t>
      </w:r>
      <w:r w:rsidR="00AF74E6" w:rsidRPr="00B91121">
        <w:rPr>
          <w:rFonts w:ascii="Cambria" w:hAnsi="Cambria"/>
          <w:sz w:val="20"/>
          <w:szCs w:val="20"/>
          <w:lang w:val="es-AR"/>
        </w:rPr>
        <w:t xml:space="preserve"> (en adelante </w:t>
      </w:r>
      <w:r w:rsidR="0065018D" w:rsidRPr="00B91121">
        <w:rPr>
          <w:rFonts w:ascii="Cambria" w:hAnsi="Cambria"/>
          <w:sz w:val="20"/>
          <w:szCs w:val="20"/>
          <w:lang w:val="es-AR"/>
        </w:rPr>
        <w:t>“</w:t>
      </w:r>
      <w:r w:rsidR="00AF74E6" w:rsidRPr="00B91121">
        <w:rPr>
          <w:rFonts w:ascii="Cambria" w:hAnsi="Cambria"/>
          <w:sz w:val="20"/>
          <w:szCs w:val="20"/>
          <w:lang w:val="es-AR"/>
        </w:rPr>
        <w:t xml:space="preserve">Hospital </w:t>
      </w:r>
      <w:r w:rsidR="00F87144" w:rsidRPr="00B91121">
        <w:rPr>
          <w:rFonts w:ascii="Cambria" w:hAnsi="Cambria"/>
          <w:sz w:val="20"/>
          <w:szCs w:val="20"/>
          <w:lang w:val="es-AR"/>
        </w:rPr>
        <w:t xml:space="preserve">Público </w:t>
      </w:r>
      <w:r w:rsidR="00AF74E6" w:rsidRPr="00B91121">
        <w:rPr>
          <w:rFonts w:ascii="Cambria" w:hAnsi="Cambria"/>
          <w:sz w:val="20"/>
          <w:szCs w:val="20"/>
          <w:lang w:val="es-AR"/>
        </w:rPr>
        <w:t>Sardá</w:t>
      </w:r>
      <w:r w:rsidR="0065018D" w:rsidRPr="00B91121">
        <w:rPr>
          <w:rFonts w:ascii="Cambria" w:hAnsi="Cambria"/>
          <w:sz w:val="20"/>
          <w:szCs w:val="20"/>
          <w:lang w:val="es-AR"/>
        </w:rPr>
        <w:t>”),</w:t>
      </w:r>
      <w:r w:rsidRPr="00B91121">
        <w:rPr>
          <w:rFonts w:ascii="Cambria" w:hAnsi="Cambria"/>
          <w:sz w:val="20"/>
          <w:szCs w:val="20"/>
          <w:lang w:val="es-AR"/>
        </w:rPr>
        <w:t xml:space="preserve"> habría ocasionado la muerte </w:t>
      </w:r>
      <w:r w:rsidR="007941F6" w:rsidRPr="00B91121">
        <w:rPr>
          <w:rFonts w:ascii="Cambria" w:hAnsi="Cambria"/>
          <w:sz w:val="20"/>
          <w:szCs w:val="20"/>
          <w:lang w:val="es-AR"/>
        </w:rPr>
        <w:t>de</w:t>
      </w:r>
      <w:r w:rsidR="003027AB" w:rsidRPr="00B91121">
        <w:rPr>
          <w:rFonts w:ascii="Cambria" w:hAnsi="Cambria"/>
          <w:sz w:val="20"/>
          <w:szCs w:val="20"/>
          <w:lang w:val="es-AR"/>
        </w:rPr>
        <w:t xml:space="preserve"> </w:t>
      </w:r>
      <w:r w:rsidRPr="00B91121">
        <w:rPr>
          <w:rFonts w:ascii="Cambria" w:hAnsi="Cambria"/>
          <w:sz w:val="20"/>
          <w:szCs w:val="20"/>
          <w:lang w:val="es-AR"/>
        </w:rPr>
        <w:t xml:space="preserve">Cristina Britez Arce, quien se encontraba en estado de gravidez. La </w:t>
      </w:r>
      <w:r w:rsidR="003027AB" w:rsidRPr="00B91121">
        <w:rPr>
          <w:rFonts w:ascii="Cambria" w:hAnsi="Cambria"/>
          <w:sz w:val="20"/>
          <w:szCs w:val="20"/>
          <w:lang w:val="es-AR"/>
        </w:rPr>
        <w:t xml:space="preserve">señora Britez Arce </w:t>
      </w:r>
      <w:r w:rsidR="000E2875" w:rsidRPr="00B91121">
        <w:rPr>
          <w:rFonts w:ascii="Cambria" w:hAnsi="Cambria"/>
          <w:sz w:val="20"/>
          <w:szCs w:val="20"/>
          <w:lang w:val="es-AR"/>
        </w:rPr>
        <w:t xml:space="preserve">se </w:t>
      </w:r>
      <w:r w:rsidR="00284511" w:rsidRPr="00B91121">
        <w:rPr>
          <w:rFonts w:ascii="Cambria" w:hAnsi="Cambria"/>
          <w:sz w:val="20"/>
          <w:szCs w:val="20"/>
          <w:lang w:val="es-AR"/>
        </w:rPr>
        <w:t>presentó</w:t>
      </w:r>
      <w:r w:rsidR="000E2875" w:rsidRPr="00B91121">
        <w:rPr>
          <w:rFonts w:ascii="Cambria" w:hAnsi="Cambria"/>
          <w:sz w:val="20"/>
          <w:szCs w:val="20"/>
          <w:lang w:val="es-AR"/>
        </w:rPr>
        <w:t xml:space="preserve"> al hospital donde le informaron que el feto había </w:t>
      </w:r>
      <w:r w:rsidR="00743446" w:rsidRPr="00B91121">
        <w:rPr>
          <w:rFonts w:ascii="Cambria" w:hAnsi="Cambria"/>
          <w:sz w:val="20"/>
          <w:szCs w:val="20"/>
          <w:lang w:val="es-AR"/>
        </w:rPr>
        <w:t>falleci</w:t>
      </w:r>
      <w:r w:rsidR="000E2875" w:rsidRPr="00B91121">
        <w:rPr>
          <w:rFonts w:ascii="Cambria" w:hAnsi="Cambria"/>
          <w:sz w:val="20"/>
          <w:szCs w:val="20"/>
          <w:lang w:val="es-AR"/>
        </w:rPr>
        <w:t xml:space="preserve">do y ella </w:t>
      </w:r>
      <w:r w:rsidR="00284511" w:rsidRPr="00B91121">
        <w:rPr>
          <w:rFonts w:ascii="Cambria" w:hAnsi="Cambria"/>
          <w:sz w:val="20"/>
          <w:szCs w:val="20"/>
          <w:lang w:val="es-AR"/>
        </w:rPr>
        <w:t>falleció</w:t>
      </w:r>
      <w:r w:rsidR="000E2875" w:rsidRPr="00B91121">
        <w:rPr>
          <w:rFonts w:ascii="Cambria" w:hAnsi="Cambria"/>
          <w:sz w:val="20"/>
          <w:szCs w:val="20"/>
          <w:lang w:val="es-AR"/>
        </w:rPr>
        <w:t xml:space="preserve"> al poco tiempo</w:t>
      </w:r>
      <w:r w:rsidR="00284511" w:rsidRPr="00B91121">
        <w:rPr>
          <w:rFonts w:ascii="Cambria" w:hAnsi="Cambria"/>
          <w:sz w:val="20"/>
          <w:szCs w:val="20"/>
          <w:lang w:val="es-AR"/>
        </w:rPr>
        <w:t xml:space="preserve"> </w:t>
      </w:r>
      <w:r w:rsidR="00F87144" w:rsidRPr="00B91121">
        <w:rPr>
          <w:rFonts w:ascii="Cambria" w:hAnsi="Cambria"/>
          <w:sz w:val="20"/>
          <w:szCs w:val="20"/>
          <w:lang w:val="es-AR"/>
        </w:rPr>
        <w:t>de</w:t>
      </w:r>
      <w:r w:rsidR="00284511" w:rsidRPr="00B91121">
        <w:rPr>
          <w:rFonts w:ascii="Cambria" w:hAnsi="Cambria"/>
          <w:sz w:val="20"/>
          <w:szCs w:val="20"/>
          <w:lang w:val="es-AR"/>
        </w:rPr>
        <w:t xml:space="preserve"> haberle inducido el parto del producto muerto</w:t>
      </w:r>
      <w:r w:rsidR="000E2875" w:rsidRPr="00B91121">
        <w:rPr>
          <w:rFonts w:ascii="Cambria" w:hAnsi="Cambria"/>
          <w:sz w:val="20"/>
          <w:szCs w:val="20"/>
          <w:lang w:val="es-AR"/>
        </w:rPr>
        <w:t xml:space="preserve">. Afirma que </w:t>
      </w:r>
      <w:r w:rsidR="00284511" w:rsidRPr="00B91121">
        <w:rPr>
          <w:rFonts w:ascii="Cambria" w:hAnsi="Cambria"/>
          <w:sz w:val="20"/>
          <w:szCs w:val="20"/>
          <w:lang w:val="es-AR"/>
        </w:rPr>
        <w:t xml:space="preserve">ambas muertes se dieron </w:t>
      </w:r>
      <w:r w:rsidR="006B7E7A" w:rsidRPr="00B91121">
        <w:rPr>
          <w:rFonts w:ascii="Cambria" w:hAnsi="Cambria"/>
          <w:sz w:val="20"/>
          <w:szCs w:val="20"/>
          <w:lang w:val="es-AR"/>
        </w:rPr>
        <w:t>como</w:t>
      </w:r>
      <w:r w:rsidR="000E2875" w:rsidRPr="00B91121">
        <w:rPr>
          <w:rFonts w:ascii="Cambria" w:hAnsi="Cambria"/>
          <w:sz w:val="20"/>
          <w:szCs w:val="20"/>
          <w:lang w:val="es-AR"/>
        </w:rPr>
        <w:t xml:space="preserve"> c</w:t>
      </w:r>
      <w:r w:rsidRPr="00B91121">
        <w:rPr>
          <w:rFonts w:ascii="Cambria" w:hAnsi="Cambria"/>
          <w:sz w:val="20"/>
          <w:szCs w:val="20"/>
          <w:lang w:val="es-AR"/>
        </w:rPr>
        <w:t xml:space="preserve">onsecuencia de </w:t>
      </w:r>
      <w:r w:rsidR="00743446" w:rsidRPr="00B91121">
        <w:rPr>
          <w:rFonts w:ascii="Cambria" w:hAnsi="Cambria"/>
          <w:sz w:val="20"/>
          <w:szCs w:val="20"/>
          <w:lang w:val="es-AR"/>
        </w:rPr>
        <w:t>una</w:t>
      </w:r>
      <w:r w:rsidRPr="00B91121">
        <w:rPr>
          <w:rFonts w:ascii="Cambria" w:hAnsi="Cambria"/>
          <w:sz w:val="20"/>
          <w:szCs w:val="20"/>
          <w:lang w:val="es-AR"/>
        </w:rPr>
        <w:t xml:space="preserve"> preeclampsia-eclampsia</w:t>
      </w:r>
      <w:r w:rsidR="000E2875" w:rsidRPr="00B91121">
        <w:rPr>
          <w:rFonts w:ascii="Cambria" w:hAnsi="Cambria"/>
          <w:sz w:val="20"/>
          <w:szCs w:val="20"/>
          <w:lang w:val="es-AR"/>
        </w:rPr>
        <w:t xml:space="preserve"> que no fue debidamente diagnosticada</w:t>
      </w:r>
      <w:r w:rsidRPr="00B91121">
        <w:rPr>
          <w:rFonts w:ascii="Cambria" w:hAnsi="Cambria"/>
          <w:sz w:val="20"/>
          <w:szCs w:val="20"/>
          <w:lang w:val="es-AR"/>
        </w:rPr>
        <w:t xml:space="preserve">. A raíz de estos hechos, se sustanciaron una serie de procesos penales, </w:t>
      </w:r>
      <w:r w:rsidR="00DF02EC" w:rsidRPr="00B91121">
        <w:rPr>
          <w:rFonts w:ascii="Cambria" w:hAnsi="Cambria"/>
          <w:sz w:val="20"/>
          <w:szCs w:val="20"/>
          <w:lang w:val="es-AR"/>
        </w:rPr>
        <w:t>en los que</w:t>
      </w:r>
      <w:r w:rsidR="000E2875" w:rsidRPr="00B91121">
        <w:rPr>
          <w:rFonts w:ascii="Cambria" w:hAnsi="Cambria"/>
          <w:sz w:val="20"/>
          <w:szCs w:val="20"/>
          <w:lang w:val="es-AR"/>
        </w:rPr>
        <w:t xml:space="preserve"> </w:t>
      </w:r>
      <w:r w:rsidR="00DF02EC" w:rsidRPr="00B91121">
        <w:rPr>
          <w:rFonts w:ascii="Cambria" w:hAnsi="Cambria"/>
          <w:sz w:val="20"/>
          <w:szCs w:val="20"/>
          <w:lang w:val="es-AR"/>
        </w:rPr>
        <w:t xml:space="preserve">no se contó con </w:t>
      </w:r>
      <w:r w:rsidRPr="00B91121">
        <w:rPr>
          <w:rFonts w:ascii="Cambria" w:hAnsi="Cambria"/>
          <w:sz w:val="20"/>
          <w:szCs w:val="20"/>
          <w:lang w:val="es-AR"/>
        </w:rPr>
        <w:t xml:space="preserve">acceso a un tribunal independiente e imparcial, ni </w:t>
      </w:r>
      <w:r w:rsidR="00DF02EC" w:rsidRPr="00B91121">
        <w:rPr>
          <w:rFonts w:ascii="Cambria" w:hAnsi="Cambria"/>
          <w:sz w:val="20"/>
          <w:szCs w:val="20"/>
          <w:lang w:val="es-AR"/>
        </w:rPr>
        <w:t>con</w:t>
      </w:r>
      <w:r w:rsidRPr="00B91121">
        <w:rPr>
          <w:rFonts w:ascii="Cambria" w:hAnsi="Cambria"/>
          <w:sz w:val="20"/>
          <w:szCs w:val="20"/>
          <w:lang w:val="es-AR"/>
        </w:rPr>
        <w:t xml:space="preserve"> una decisión debidamente fundada. </w:t>
      </w:r>
      <w:r w:rsidR="00214ED8" w:rsidRPr="00B91121">
        <w:rPr>
          <w:rFonts w:ascii="Cambria" w:hAnsi="Cambria"/>
          <w:sz w:val="20"/>
          <w:szCs w:val="20"/>
          <w:lang w:val="es-AR"/>
        </w:rPr>
        <w:t xml:space="preserve">Asimismo, afirma que la muerte de Cristina Britez ocasionó estragos físicos y emocionales en sus dos hijos adolescentes. </w:t>
      </w:r>
    </w:p>
    <w:p w14:paraId="21FA581C" w14:textId="77777777" w:rsidR="003027AB" w:rsidRPr="00B91121" w:rsidRDefault="003027AB" w:rsidP="003027AB">
      <w:pPr>
        <w:pStyle w:val="parrafos"/>
        <w:numPr>
          <w:ilvl w:val="0"/>
          <w:numId w:val="0"/>
        </w:numPr>
      </w:pPr>
    </w:p>
    <w:p w14:paraId="1C12DF99" w14:textId="77777777" w:rsidR="00FF7174" w:rsidRPr="00B91121" w:rsidRDefault="0002319A" w:rsidP="004900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Indica que</w:t>
      </w:r>
      <w:r w:rsidR="003027AB" w:rsidRPr="00B91121">
        <w:rPr>
          <w:rFonts w:ascii="Cambria" w:hAnsi="Cambria"/>
          <w:sz w:val="20"/>
          <w:szCs w:val="20"/>
          <w:lang w:val="es-AR"/>
        </w:rPr>
        <w:t xml:space="preserve"> se </w:t>
      </w:r>
      <w:r w:rsidR="00284511" w:rsidRPr="00B91121">
        <w:rPr>
          <w:rFonts w:ascii="Cambria" w:hAnsi="Cambria"/>
          <w:sz w:val="20"/>
          <w:szCs w:val="20"/>
          <w:lang w:val="es-AR"/>
        </w:rPr>
        <w:t xml:space="preserve">interpuso una denuncia penal en </w:t>
      </w:r>
      <w:r w:rsidRPr="00B91121">
        <w:rPr>
          <w:rFonts w:ascii="Cambria" w:hAnsi="Cambria"/>
          <w:sz w:val="20"/>
          <w:szCs w:val="20"/>
          <w:lang w:val="es-AR"/>
        </w:rPr>
        <w:t xml:space="preserve">contra </w:t>
      </w:r>
      <w:r w:rsidR="00532490" w:rsidRPr="00B91121">
        <w:rPr>
          <w:rFonts w:ascii="Cambria" w:hAnsi="Cambria"/>
          <w:sz w:val="20"/>
          <w:szCs w:val="20"/>
          <w:lang w:val="es-AR"/>
        </w:rPr>
        <w:t>d</w:t>
      </w:r>
      <w:r w:rsidR="00DF02EC" w:rsidRPr="00B91121">
        <w:rPr>
          <w:rFonts w:ascii="Cambria" w:hAnsi="Cambria"/>
          <w:sz w:val="20"/>
          <w:szCs w:val="20"/>
          <w:lang w:val="es-AR"/>
        </w:rPr>
        <w:t xml:space="preserve">el personal </w:t>
      </w:r>
      <w:r w:rsidRPr="00B91121">
        <w:rPr>
          <w:rFonts w:ascii="Cambria" w:hAnsi="Cambria"/>
          <w:sz w:val="20"/>
          <w:szCs w:val="20"/>
          <w:lang w:val="es-AR"/>
        </w:rPr>
        <w:t>médico que atend</w:t>
      </w:r>
      <w:r w:rsidR="00106B19" w:rsidRPr="00B91121">
        <w:rPr>
          <w:rFonts w:ascii="Cambria" w:hAnsi="Cambria"/>
          <w:sz w:val="20"/>
          <w:szCs w:val="20"/>
          <w:lang w:val="es-AR"/>
        </w:rPr>
        <w:t>i</w:t>
      </w:r>
      <w:r w:rsidR="00DF02EC" w:rsidRPr="00B91121">
        <w:rPr>
          <w:rFonts w:ascii="Cambria" w:hAnsi="Cambria"/>
          <w:sz w:val="20"/>
          <w:szCs w:val="20"/>
          <w:lang w:val="es-AR"/>
        </w:rPr>
        <w:t>ó</w:t>
      </w:r>
      <w:r w:rsidRPr="00B91121">
        <w:rPr>
          <w:rFonts w:ascii="Cambria" w:hAnsi="Cambria"/>
          <w:sz w:val="20"/>
          <w:szCs w:val="20"/>
          <w:lang w:val="es-AR"/>
        </w:rPr>
        <w:t xml:space="preserve"> a </w:t>
      </w:r>
      <w:r w:rsidR="00DF02EC" w:rsidRPr="00B91121">
        <w:rPr>
          <w:rFonts w:ascii="Cambria" w:hAnsi="Cambria"/>
          <w:sz w:val="20"/>
          <w:szCs w:val="20"/>
          <w:lang w:val="es-AR"/>
        </w:rPr>
        <w:t>la señora</w:t>
      </w:r>
      <w:r w:rsidRPr="00B91121">
        <w:rPr>
          <w:rFonts w:ascii="Cambria" w:hAnsi="Cambria"/>
          <w:sz w:val="20"/>
          <w:szCs w:val="20"/>
          <w:lang w:val="es-AR"/>
        </w:rPr>
        <w:t xml:space="preserve"> Britez Arce en el hospital</w:t>
      </w:r>
      <w:r w:rsidR="00743446" w:rsidRPr="00B91121">
        <w:rPr>
          <w:rFonts w:ascii="Cambria" w:hAnsi="Cambria"/>
          <w:sz w:val="20"/>
          <w:szCs w:val="20"/>
          <w:lang w:val="es-AR"/>
        </w:rPr>
        <w:t xml:space="preserve"> y </w:t>
      </w:r>
      <w:r w:rsidR="00DF02EC" w:rsidRPr="00B91121">
        <w:rPr>
          <w:rFonts w:ascii="Cambria" w:hAnsi="Cambria"/>
          <w:sz w:val="20"/>
          <w:szCs w:val="20"/>
          <w:lang w:val="es-AR"/>
        </w:rPr>
        <w:t xml:space="preserve">que, </w:t>
      </w:r>
      <w:r w:rsidR="00743446" w:rsidRPr="00B91121">
        <w:rPr>
          <w:rFonts w:ascii="Cambria" w:hAnsi="Cambria"/>
          <w:sz w:val="20"/>
          <w:szCs w:val="20"/>
          <w:lang w:val="es-AR"/>
        </w:rPr>
        <w:t>dentro del proceso</w:t>
      </w:r>
      <w:r w:rsidR="00DF02EC" w:rsidRPr="00B91121">
        <w:rPr>
          <w:rFonts w:ascii="Cambria" w:hAnsi="Cambria"/>
          <w:sz w:val="20"/>
          <w:szCs w:val="20"/>
          <w:lang w:val="es-AR"/>
        </w:rPr>
        <w:t>,</w:t>
      </w:r>
      <w:r w:rsidR="00743446" w:rsidRPr="00B91121">
        <w:rPr>
          <w:rFonts w:ascii="Cambria" w:hAnsi="Cambria"/>
          <w:sz w:val="20"/>
          <w:szCs w:val="20"/>
          <w:lang w:val="es-AR"/>
        </w:rPr>
        <w:t xml:space="preserve"> </w:t>
      </w:r>
      <w:r w:rsidRPr="00B91121">
        <w:rPr>
          <w:rFonts w:ascii="Cambria" w:hAnsi="Cambria"/>
          <w:sz w:val="20"/>
          <w:szCs w:val="20"/>
          <w:lang w:val="es-AR"/>
        </w:rPr>
        <w:t>se requ</w:t>
      </w:r>
      <w:r w:rsidR="00743446" w:rsidRPr="00B91121">
        <w:rPr>
          <w:rFonts w:ascii="Cambria" w:hAnsi="Cambria"/>
          <w:sz w:val="20"/>
          <w:szCs w:val="20"/>
          <w:lang w:val="es-AR"/>
        </w:rPr>
        <w:t xml:space="preserve">irió </w:t>
      </w:r>
      <w:r w:rsidRPr="00B91121">
        <w:rPr>
          <w:rFonts w:ascii="Cambria" w:hAnsi="Cambria"/>
          <w:sz w:val="20"/>
          <w:szCs w:val="20"/>
          <w:lang w:val="es-AR"/>
        </w:rPr>
        <w:t xml:space="preserve">una pericia médica, </w:t>
      </w:r>
      <w:r w:rsidR="009D3BA1" w:rsidRPr="00B91121">
        <w:rPr>
          <w:rFonts w:ascii="Cambria" w:hAnsi="Cambria"/>
          <w:sz w:val="20"/>
          <w:szCs w:val="20"/>
          <w:lang w:val="es-AR"/>
        </w:rPr>
        <w:t xml:space="preserve">realizada por los peritos Poggi y Casavilla, </w:t>
      </w:r>
      <w:r w:rsidRPr="00B91121">
        <w:rPr>
          <w:rFonts w:ascii="Cambria" w:hAnsi="Cambria"/>
          <w:sz w:val="20"/>
          <w:szCs w:val="20"/>
          <w:lang w:val="es-AR"/>
        </w:rPr>
        <w:t xml:space="preserve">la cual fue aportada al expediente un año </w:t>
      </w:r>
      <w:r w:rsidR="00743446" w:rsidRPr="00B91121">
        <w:rPr>
          <w:rFonts w:ascii="Cambria" w:hAnsi="Cambria"/>
          <w:sz w:val="20"/>
          <w:szCs w:val="20"/>
          <w:lang w:val="es-AR"/>
        </w:rPr>
        <w:t>después</w:t>
      </w:r>
      <w:r w:rsidR="00106B19" w:rsidRPr="00B91121">
        <w:rPr>
          <w:rFonts w:ascii="Cambria" w:hAnsi="Cambria"/>
          <w:sz w:val="20"/>
          <w:szCs w:val="20"/>
          <w:lang w:val="es-AR"/>
        </w:rPr>
        <w:t>. A</w:t>
      </w:r>
      <w:r w:rsidRPr="00B91121">
        <w:rPr>
          <w:rFonts w:ascii="Cambria" w:hAnsi="Cambria"/>
          <w:sz w:val="20"/>
          <w:szCs w:val="20"/>
          <w:lang w:val="es-AR"/>
        </w:rPr>
        <w:t xml:space="preserve">lega </w:t>
      </w:r>
      <w:r w:rsidR="00106B19" w:rsidRPr="00B91121">
        <w:rPr>
          <w:rFonts w:ascii="Cambria" w:hAnsi="Cambria"/>
          <w:sz w:val="20"/>
          <w:szCs w:val="20"/>
          <w:lang w:val="es-AR"/>
        </w:rPr>
        <w:t xml:space="preserve">que </w:t>
      </w:r>
      <w:r w:rsidR="00DF02EC" w:rsidRPr="00B91121">
        <w:rPr>
          <w:rFonts w:ascii="Cambria" w:hAnsi="Cambria"/>
          <w:sz w:val="20"/>
          <w:szCs w:val="20"/>
          <w:lang w:val="es-AR"/>
        </w:rPr>
        <w:t xml:space="preserve">la </w:t>
      </w:r>
      <w:r w:rsidRPr="00B91121">
        <w:rPr>
          <w:rFonts w:ascii="Cambria" w:hAnsi="Cambria"/>
          <w:sz w:val="20"/>
          <w:szCs w:val="20"/>
          <w:lang w:val="es-AR"/>
        </w:rPr>
        <w:t xml:space="preserve">pericia </w:t>
      </w:r>
      <w:r w:rsidR="00DF02EC" w:rsidRPr="00B91121">
        <w:rPr>
          <w:rFonts w:ascii="Cambria" w:hAnsi="Cambria"/>
          <w:sz w:val="20"/>
          <w:szCs w:val="20"/>
          <w:lang w:val="es-AR"/>
        </w:rPr>
        <w:t xml:space="preserve">fue </w:t>
      </w:r>
      <w:r w:rsidRPr="00B91121">
        <w:rPr>
          <w:rFonts w:ascii="Cambria" w:hAnsi="Cambria"/>
          <w:sz w:val="20"/>
          <w:szCs w:val="20"/>
          <w:lang w:val="es-AR"/>
        </w:rPr>
        <w:t>falsa</w:t>
      </w:r>
      <w:r w:rsidR="00DF02EC" w:rsidRPr="00B91121">
        <w:rPr>
          <w:rFonts w:ascii="Cambria" w:hAnsi="Cambria"/>
          <w:sz w:val="20"/>
          <w:szCs w:val="20"/>
          <w:lang w:val="es-AR"/>
        </w:rPr>
        <w:t xml:space="preserve"> y</w:t>
      </w:r>
      <w:r w:rsidR="00F87144" w:rsidRPr="00B91121">
        <w:rPr>
          <w:rFonts w:ascii="Cambria" w:hAnsi="Cambria"/>
          <w:sz w:val="20"/>
          <w:szCs w:val="20"/>
          <w:lang w:val="es-AR"/>
        </w:rPr>
        <w:t>,</w:t>
      </w:r>
      <w:r w:rsidR="00DF02EC" w:rsidRPr="00B91121">
        <w:rPr>
          <w:rFonts w:ascii="Cambria" w:hAnsi="Cambria"/>
          <w:sz w:val="20"/>
          <w:szCs w:val="20"/>
          <w:lang w:val="es-AR"/>
        </w:rPr>
        <w:t xml:space="preserve"> por ello, </w:t>
      </w:r>
      <w:r w:rsidR="00743446" w:rsidRPr="00B91121">
        <w:rPr>
          <w:rFonts w:ascii="Cambria" w:hAnsi="Cambria"/>
          <w:sz w:val="20"/>
          <w:szCs w:val="20"/>
          <w:lang w:val="es-AR"/>
        </w:rPr>
        <w:t xml:space="preserve">fue declarada nula por la </w:t>
      </w:r>
      <w:r w:rsidRPr="00B91121">
        <w:rPr>
          <w:rFonts w:ascii="Cambria" w:hAnsi="Cambria"/>
          <w:sz w:val="20"/>
          <w:szCs w:val="20"/>
          <w:lang w:val="es-AR"/>
        </w:rPr>
        <w:t>jueza interviniente</w:t>
      </w:r>
      <w:r w:rsidR="00743446" w:rsidRPr="00B91121">
        <w:rPr>
          <w:rFonts w:ascii="Cambria" w:hAnsi="Cambria"/>
          <w:sz w:val="20"/>
          <w:szCs w:val="20"/>
          <w:lang w:val="es-AR"/>
        </w:rPr>
        <w:t xml:space="preserve">, quien </w:t>
      </w:r>
      <w:r w:rsidRPr="00B91121">
        <w:rPr>
          <w:rFonts w:ascii="Cambria" w:hAnsi="Cambria"/>
          <w:sz w:val="20"/>
          <w:szCs w:val="20"/>
          <w:lang w:val="es-AR"/>
        </w:rPr>
        <w:t>formul</w:t>
      </w:r>
      <w:r w:rsidR="00743446" w:rsidRPr="00B91121">
        <w:rPr>
          <w:rFonts w:ascii="Cambria" w:hAnsi="Cambria"/>
          <w:sz w:val="20"/>
          <w:szCs w:val="20"/>
          <w:lang w:val="es-AR"/>
        </w:rPr>
        <w:t>ó</w:t>
      </w:r>
      <w:r w:rsidRPr="00B91121">
        <w:rPr>
          <w:rFonts w:ascii="Cambria" w:hAnsi="Cambria"/>
          <w:sz w:val="20"/>
          <w:szCs w:val="20"/>
          <w:lang w:val="es-AR"/>
        </w:rPr>
        <w:t xml:space="preserve"> denuncia de oficio por falsedad de instrumento público. </w:t>
      </w:r>
    </w:p>
    <w:p w14:paraId="1B18B79E" w14:textId="77777777" w:rsidR="00FF7174" w:rsidRPr="00B91121" w:rsidRDefault="00FF7174" w:rsidP="0086464B">
      <w:pPr>
        <w:ind w:left="360"/>
        <w:rPr>
          <w:lang w:val="es-ES"/>
        </w:rPr>
      </w:pPr>
    </w:p>
    <w:p w14:paraId="1E48E35F" w14:textId="77777777" w:rsidR="00FF7174" w:rsidRPr="00B91121" w:rsidRDefault="0002319A" w:rsidP="004900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 xml:space="preserve">Posteriormente, </w:t>
      </w:r>
      <w:r w:rsidR="00805BA5" w:rsidRPr="00B91121">
        <w:rPr>
          <w:rFonts w:ascii="Cambria" w:hAnsi="Cambria"/>
          <w:sz w:val="20"/>
          <w:szCs w:val="20"/>
          <w:lang w:val="es-AR"/>
        </w:rPr>
        <w:t xml:space="preserve">se </w:t>
      </w:r>
      <w:r w:rsidR="00284511" w:rsidRPr="00B91121">
        <w:rPr>
          <w:rFonts w:ascii="Cambria" w:hAnsi="Cambria"/>
          <w:sz w:val="20"/>
          <w:szCs w:val="20"/>
          <w:lang w:val="es-AR"/>
        </w:rPr>
        <w:t>ordenó</w:t>
      </w:r>
      <w:r w:rsidR="000E2875" w:rsidRPr="00B91121">
        <w:rPr>
          <w:rFonts w:ascii="Cambria" w:hAnsi="Cambria"/>
          <w:sz w:val="20"/>
          <w:szCs w:val="20"/>
          <w:lang w:val="es-AR"/>
        </w:rPr>
        <w:t xml:space="preserve"> u</w:t>
      </w:r>
      <w:r w:rsidRPr="00B91121">
        <w:rPr>
          <w:rFonts w:ascii="Cambria" w:hAnsi="Cambria"/>
          <w:sz w:val="20"/>
          <w:szCs w:val="20"/>
          <w:lang w:val="es-AR"/>
        </w:rPr>
        <w:t xml:space="preserve">na nueva pericia, la cual </w:t>
      </w:r>
      <w:r w:rsidR="00FF7174" w:rsidRPr="00B91121">
        <w:rPr>
          <w:rFonts w:ascii="Cambria" w:hAnsi="Cambria"/>
          <w:sz w:val="20"/>
          <w:szCs w:val="20"/>
          <w:lang w:val="es-AR"/>
        </w:rPr>
        <w:t xml:space="preserve">fue </w:t>
      </w:r>
      <w:r w:rsidR="000E2875" w:rsidRPr="00B91121">
        <w:rPr>
          <w:rFonts w:ascii="Cambria" w:hAnsi="Cambria"/>
          <w:sz w:val="20"/>
          <w:szCs w:val="20"/>
          <w:lang w:val="es-AR"/>
        </w:rPr>
        <w:t>p</w:t>
      </w:r>
      <w:r w:rsidRPr="00B91121">
        <w:rPr>
          <w:rFonts w:ascii="Cambria" w:hAnsi="Cambria"/>
          <w:sz w:val="20"/>
          <w:szCs w:val="20"/>
          <w:lang w:val="es-AR"/>
        </w:rPr>
        <w:t>re</w:t>
      </w:r>
      <w:r w:rsidR="000E2875" w:rsidRPr="00B91121">
        <w:rPr>
          <w:rFonts w:ascii="Cambria" w:hAnsi="Cambria"/>
          <w:sz w:val="20"/>
          <w:szCs w:val="20"/>
          <w:lang w:val="es-AR"/>
        </w:rPr>
        <w:t xml:space="preserve">sentada </w:t>
      </w:r>
      <w:r w:rsidRPr="00B91121">
        <w:rPr>
          <w:rFonts w:ascii="Cambria" w:hAnsi="Cambria"/>
          <w:sz w:val="20"/>
          <w:szCs w:val="20"/>
          <w:lang w:val="es-AR"/>
        </w:rPr>
        <w:t xml:space="preserve">un día antes de que la acción penal prescribiera. En </w:t>
      </w:r>
      <w:r w:rsidR="00805BA5" w:rsidRPr="00B91121">
        <w:rPr>
          <w:rFonts w:ascii="Cambria" w:hAnsi="Cambria"/>
          <w:sz w:val="20"/>
          <w:szCs w:val="20"/>
          <w:lang w:val="es-AR"/>
        </w:rPr>
        <w:t>ésta</w:t>
      </w:r>
      <w:r w:rsidRPr="00B91121">
        <w:rPr>
          <w:rFonts w:ascii="Cambria" w:hAnsi="Cambria"/>
          <w:sz w:val="20"/>
          <w:szCs w:val="20"/>
          <w:lang w:val="es-AR"/>
        </w:rPr>
        <w:t xml:space="preserve"> se corrobor</w:t>
      </w:r>
      <w:r w:rsidR="00FF7174" w:rsidRPr="00B91121">
        <w:rPr>
          <w:rFonts w:ascii="Cambria" w:hAnsi="Cambria"/>
          <w:sz w:val="20"/>
          <w:szCs w:val="20"/>
          <w:lang w:val="es-AR"/>
        </w:rPr>
        <w:t>ó</w:t>
      </w:r>
      <w:r w:rsidRPr="00B91121">
        <w:rPr>
          <w:rFonts w:ascii="Cambria" w:hAnsi="Cambria"/>
          <w:sz w:val="20"/>
          <w:szCs w:val="20"/>
          <w:lang w:val="es-AR"/>
        </w:rPr>
        <w:t xml:space="preserve"> que la </w:t>
      </w:r>
      <w:r w:rsidR="00FF7174" w:rsidRPr="00B91121">
        <w:rPr>
          <w:rFonts w:ascii="Cambria" w:hAnsi="Cambria"/>
          <w:sz w:val="20"/>
          <w:szCs w:val="20"/>
          <w:lang w:val="es-AR"/>
        </w:rPr>
        <w:t>señor</w:t>
      </w:r>
      <w:r w:rsidR="00805BA5" w:rsidRPr="00B91121">
        <w:rPr>
          <w:rFonts w:ascii="Cambria" w:hAnsi="Cambria"/>
          <w:sz w:val="20"/>
          <w:szCs w:val="20"/>
          <w:lang w:val="es-AR"/>
        </w:rPr>
        <w:t>a</w:t>
      </w:r>
      <w:r w:rsidR="00FF7174" w:rsidRPr="00B91121">
        <w:rPr>
          <w:rFonts w:ascii="Cambria" w:hAnsi="Cambria"/>
          <w:sz w:val="20"/>
          <w:szCs w:val="20"/>
          <w:lang w:val="es-AR"/>
        </w:rPr>
        <w:t xml:space="preserve"> Britez Arce </w:t>
      </w:r>
      <w:r w:rsidRPr="00B91121">
        <w:rPr>
          <w:rFonts w:ascii="Cambria" w:hAnsi="Cambria"/>
          <w:sz w:val="20"/>
          <w:szCs w:val="20"/>
          <w:lang w:val="es-AR"/>
        </w:rPr>
        <w:t xml:space="preserve">era una paciente de alto riesgo y que había sido mal atendida. Con base en esa nueva pericia, </w:t>
      </w:r>
      <w:r w:rsidR="000E2875" w:rsidRPr="00B91121">
        <w:rPr>
          <w:rFonts w:ascii="Cambria" w:hAnsi="Cambria"/>
          <w:sz w:val="20"/>
          <w:szCs w:val="20"/>
          <w:lang w:val="es-AR"/>
        </w:rPr>
        <w:t xml:space="preserve">el fiscal </w:t>
      </w:r>
      <w:r w:rsidRPr="00B91121">
        <w:rPr>
          <w:rFonts w:ascii="Cambria" w:hAnsi="Cambria"/>
          <w:sz w:val="20"/>
          <w:szCs w:val="20"/>
          <w:lang w:val="es-AR"/>
        </w:rPr>
        <w:t>determin</w:t>
      </w:r>
      <w:r w:rsidR="00805BA5" w:rsidRPr="00B91121">
        <w:rPr>
          <w:rFonts w:ascii="Cambria" w:hAnsi="Cambria"/>
          <w:sz w:val="20"/>
          <w:szCs w:val="20"/>
          <w:lang w:val="es-AR"/>
        </w:rPr>
        <w:t>ó</w:t>
      </w:r>
      <w:r w:rsidRPr="00B91121">
        <w:rPr>
          <w:rFonts w:ascii="Cambria" w:hAnsi="Cambria"/>
          <w:sz w:val="20"/>
          <w:szCs w:val="20"/>
          <w:lang w:val="es-AR"/>
        </w:rPr>
        <w:t xml:space="preserve"> el procesamiento del</w:t>
      </w:r>
      <w:r w:rsidR="00DF02EC" w:rsidRPr="00B91121">
        <w:rPr>
          <w:rFonts w:ascii="Cambria" w:hAnsi="Cambria"/>
          <w:sz w:val="20"/>
          <w:szCs w:val="20"/>
          <w:lang w:val="es-AR"/>
        </w:rPr>
        <w:t xml:space="preserve"> personal</w:t>
      </w:r>
      <w:r w:rsidRPr="00B91121">
        <w:rPr>
          <w:rFonts w:ascii="Cambria" w:hAnsi="Cambria"/>
          <w:sz w:val="20"/>
          <w:szCs w:val="20"/>
          <w:lang w:val="es-AR"/>
        </w:rPr>
        <w:t xml:space="preserve"> médico</w:t>
      </w:r>
      <w:r w:rsidR="00DF02EC" w:rsidRPr="00B91121">
        <w:rPr>
          <w:rFonts w:ascii="Cambria" w:hAnsi="Cambria"/>
          <w:sz w:val="20"/>
          <w:szCs w:val="20"/>
          <w:lang w:val="es-AR"/>
        </w:rPr>
        <w:t>,</w:t>
      </w:r>
      <w:r w:rsidRPr="00B91121">
        <w:rPr>
          <w:rFonts w:ascii="Cambria" w:hAnsi="Cambria"/>
          <w:sz w:val="20"/>
          <w:szCs w:val="20"/>
          <w:lang w:val="es-AR"/>
        </w:rPr>
        <w:t xml:space="preserve"> por homicidio</w:t>
      </w:r>
      <w:r w:rsidR="00284511" w:rsidRPr="00B91121">
        <w:rPr>
          <w:rFonts w:ascii="Cambria" w:hAnsi="Cambria"/>
          <w:sz w:val="20"/>
          <w:szCs w:val="20"/>
          <w:lang w:val="es-AR"/>
        </w:rPr>
        <w:t xml:space="preserve"> culposo</w:t>
      </w:r>
      <w:r w:rsidRPr="00B91121">
        <w:rPr>
          <w:rFonts w:ascii="Cambria" w:hAnsi="Cambria"/>
          <w:sz w:val="20"/>
          <w:szCs w:val="20"/>
          <w:lang w:val="es-AR"/>
        </w:rPr>
        <w:t xml:space="preserve">. </w:t>
      </w:r>
      <w:r w:rsidR="00805BA5" w:rsidRPr="00B91121">
        <w:rPr>
          <w:rFonts w:ascii="Cambria" w:hAnsi="Cambria"/>
          <w:sz w:val="20"/>
          <w:szCs w:val="20"/>
          <w:lang w:val="es-AR"/>
        </w:rPr>
        <w:t>A</w:t>
      </w:r>
      <w:r w:rsidR="00FF7174" w:rsidRPr="00B91121">
        <w:rPr>
          <w:rFonts w:ascii="Cambria" w:hAnsi="Cambria"/>
          <w:sz w:val="20"/>
          <w:szCs w:val="20"/>
          <w:lang w:val="es-AR"/>
        </w:rPr>
        <w:t xml:space="preserve">lega </w:t>
      </w:r>
      <w:r w:rsidR="000E2875" w:rsidRPr="00B91121">
        <w:rPr>
          <w:rFonts w:ascii="Cambria" w:hAnsi="Cambria"/>
          <w:sz w:val="20"/>
          <w:szCs w:val="20"/>
          <w:lang w:val="es-AR"/>
        </w:rPr>
        <w:t xml:space="preserve">además </w:t>
      </w:r>
      <w:r w:rsidR="00FF7174" w:rsidRPr="00B91121">
        <w:rPr>
          <w:rFonts w:ascii="Cambria" w:hAnsi="Cambria"/>
          <w:sz w:val="20"/>
          <w:szCs w:val="20"/>
          <w:lang w:val="es-AR"/>
        </w:rPr>
        <w:t>que</w:t>
      </w:r>
      <w:r w:rsidR="000E2875" w:rsidRPr="00B91121">
        <w:rPr>
          <w:rFonts w:ascii="Cambria" w:hAnsi="Cambria"/>
          <w:sz w:val="20"/>
          <w:szCs w:val="20"/>
          <w:lang w:val="es-AR"/>
        </w:rPr>
        <w:t>,</w:t>
      </w:r>
      <w:r w:rsidR="00FF7174" w:rsidRPr="00B91121">
        <w:rPr>
          <w:rFonts w:ascii="Cambria" w:hAnsi="Cambria"/>
          <w:sz w:val="20"/>
          <w:szCs w:val="20"/>
          <w:lang w:val="es-AR"/>
        </w:rPr>
        <w:t xml:space="preserve"> </w:t>
      </w:r>
      <w:r w:rsidRPr="00B91121">
        <w:rPr>
          <w:rFonts w:ascii="Cambria" w:hAnsi="Cambria"/>
          <w:sz w:val="20"/>
          <w:szCs w:val="20"/>
          <w:lang w:val="es-AR"/>
        </w:rPr>
        <w:t xml:space="preserve">durante la tramitación de la investigación, la historia clínica </w:t>
      </w:r>
      <w:r w:rsidR="00FF7174" w:rsidRPr="00B91121">
        <w:rPr>
          <w:rFonts w:ascii="Cambria" w:hAnsi="Cambria"/>
          <w:sz w:val="20"/>
          <w:szCs w:val="20"/>
          <w:lang w:val="es-AR"/>
        </w:rPr>
        <w:t xml:space="preserve">fue </w:t>
      </w:r>
      <w:r w:rsidRPr="00B91121">
        <w:rPr>
          <w:rFonts w:ascii="Cambria" w:hAnsi="Cambria"/>
          <w:sz w:val="20"/>
          <w:szCs w:val="20"/>
          <w:lang w:val="es-AR"/>
        </w:rPr>
        <w:t>alterada.</w:t>
      </w:r>
    </w:p>
    <w:p w14:paraId="6D47651D" w14:textId="77777777" w:rsidR="00FF7174" w:rsidRPr="00B91121" w:rsidRDefault="00FF7174" w:rsidP="0086464B">
      <w:pPr>
        <w:ind w:left="360"/>
        <w:rPr>
          <w:lang w:val="es-ES"/>
        </w:rPr>
      </w:pPr>
    </w:p>
    <w:p w14:paraId="66FEECD0" w14:textId="77777777" w:rsidR="00312E3F" w:rsidRPr="00B91121" w:rsidRDefault="00F824D4" w:rsidP="004900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ES"/>
        </w:rPr>
        <w:t xml:space="preserve">Refiere </w:t>
      </w:r>
      <w:r w:rsidR="00532490" w:rsidRPr="00B91121">
        <w:rPr>
          <w:rFonts w:ascii="Cambria" w:hAnsi="Cambria"/>
          <w:sz w:val="20"/>
          <w:szCs w:val="20"/>
          <w:lang w:val="es-AR"/>
        </w:rPr>
        <w:t>que e</w:t>
      </w:r>
      <w:r w:rsidR="00DF02EC" w:rsidRPr="00B91121">
        <w:rPr>
          <w:rFonts w:ascii="Cambria" w:hAnsi="Cambria"/>
          <w:sz w:val="20"/>
          <w:szCs w:val="20"/>
          <w:lang w:val="es-AR"/>
        </w:rPr>
        <w:t xml:space="preserve">n </w:t>
      </w:r>
      <w:r w:rsidR="0002319A" w:rsidRPr="00B91121">
        <w:rPr>
          <w:rFonts w:ascii="Cambria" w:hAnsi="Cambria"/>
          <w:sz w:val="20"/>
          <w:szCs w:val="20"/>
          <w:lang w:val="es-AR"/>
        </w:rPr>
        <w:t xml:space="preserve">diciembre de 1998, el fiscal interviniente </w:t>
      </w:r>
      <w:r w:rsidR="00DF02EC" w:rsidRPr="00B91121">
        <w:rPr>
          <w:rFonts w:ascii="Cambria" w:hAnsi="Cambria"/>
          <w:sz w:val="20"/>
          <w:szCs w:val="20"/>
          <w:lang w:val="es-AR"/>
        </w:rPr>
        <w:t>s</w:t>
      </w:r>
      <w:r w:rsidR="0002319A" w:rsidRPr="00B91121">
        <w:rPr>
          <w:rFonts w:ascii="Cambria" w:hAnsi="Cambria"/>
          <w:sz w:val="20"/>
          <w:szCs w:val="20"/>
          <w:lang w:val="es-AR"/>
        </w:rPr>
        <w:t>olicit</w:t>
      </w:r>
      <w:r w:rsidR="00DF02EC" w:rsidRPr="00B91121">
        <w:rPr>
          <w:rFonts w:ascii="Cambria" w:hAnsi="Cambria"/>
          <w:sz w:val="20"/>
          <w:szCs w:val="20"/>
          <w:lang w:val="es-AR"/>
        </w:rPr>
        <w:t xml:space="preserve">ó </w:t>
      </w:r>
      <w:r w:rsidR="00B83108" w:rsidRPr="00B91121">
        <w:rPr>
          <w:rFonts w:ascii="Cambria" w:hAnsi="Cambria"/>
          <w:sz w:val="20"/>
          <w:szCs w:val="20"/>
          <w:lang w:val="es-AR"/>
        </w:rPr>
        <w:t>p</w:t>
      </w:r>
      <w:r w:rsidR="0002319A" w:rsidRPr="00B91121">
        <w:rPr>
          <w:rFonts w:ascii="Cambria" w:hAnsi="Cambria"/>
          <w:sz w:val="20"/>
          <w:szCs w:val="20"/>
          <w:lang w:val="es-AR"/>
        </w:rPr>
        <w:t>enas de 3 años de prisión y 9 años de inhabilitación para ejercer la medicina</w:t>
      </w:r>
      <w:r w:rsidR="00B83108" w:rsidRPr="00B91121">
        <w:rPr>
          <w:rFonts w:ascii="Cambria" w:hAnsi="Cambria"/>
          <w:sz w:val="20"/>
          <w:szCs w:val="20"/>
          <w:lang w:val="es-AR"/>
        </w:rPr>
        <w:t xml:space="preserve"> para el personal médico acusado; s</w:t>
      </w:r>
      <w:r w:rsidR="0002319A" w:rsidRPr="00B91121">
        <w:rPr>
          <w:rFonts w:ascii="Cambria" w:hAnsi="Cambria"/>
          <w:sz w:val="20"/>
          <w:szCs w:val="20"/>
          <w:lang w:val="es-AR"/>
        </w:rPr>
        <w:t>in embargo, e</w:t>
      </w:r>
      <w:r w:rsidR="00B83108" w:rsidRPr="00B91121">
        <w:rPr>
          <w:rFonts w:ascii="Cambria" w:hAnsi="Cambria"/>
          <w:sz w:val="20"/>
          <w:szCs w:val="20"/>
          <w:lang w:val="es-AR"/>
        </w:rPr>
        <w:t>n</w:t>
      </w:r>
      <w:r w:rsidR="0002319A" w:rsidRPr="00B91121">
        <w:rPr>
          <w:rFonts w:ascii="Cambria" w:hAnsi="Cambria"/>
          <w:sz w:val="20"/>
          <w:szCs w:val="20"/>
          <w:lang w:val="es-AR"/>
        </w:rPr>
        <w:t xml:space="preserve"> julio de 2003,</w:t>
      </w:r>
      <w:r w:rsidR="00B83108" w:rsidRPr="00B91121">
        <w:rPr>
          <w:rFonts w:ascii="Cambria" w:hAnsi="Cambria"/>
          <w:sz w:val="20"/>
          <w:szCs w:val="20"/>
          <w:lang w:val="es-AR"/>
        </w:rPr>
        <w:t xml:space="preserve"> se dictó </w:t>
      </w:r>
      <w:r w:rsidR="0002319A" w:rsidRPr="00B91121">
        <w:rPr>
          <w:rFonts w:ascii="Cambria" w:hAnsi="Cambria"/>
          <w:sz w:val="20"/>
          <w:szCs w:val="20"/>
          <w:lang w:val="es-AR"/>
        </w:rPr>
        <w:t>sentencia,</w:t>
      </w:r>
      <w:r w:rsidR="00AF3884" w:rsidRPr="00B91121">
        <w:rPr>
          <w:rFonts w:ascii="Cambria" w:hAnsi="Cambria"/>
          <w:sz w:val="20"/>
          <w:szCs w:val="20"/>
          <w:lang w:val="es-AR"/>
        </w:rPr>
        <w:t xml:space="preserve"> absolvié</w:t>
      </w:r>
      <w:r w:rsidR="0002319A" w:rsidRPr="00B91121">
        <w:rPr>
          <w:rFonts w:ascii="Cambria" w:hAnsi="Cambria"/>
          <w:sz w:val="20"/>
          <w:szCs w:val="20"/>
          <w:lang w:val="es-AR"/>
        </w:rPr>
        <w:t>ndo</w:t>
      </w:r>
      <w:r w:rsidR="00AF3884" w:rsidRPr="00B91121">
        <w:rPr>
          <w:rFonts w:ascii="Cambria" w:hAnsi="Cambria"/>
          <w:sz w:val="20"/>
          <w:szCs w:val="20"/>
          <w:lang w:val="es-AR"/>
        </w:rPr>
        <w:t>los</w:t>
      </w:r>
      <w:r w:rsidRPr="00B91121">
        <w:rPr>
          <w:rFonts w:ascii="Cambria" w:hAnsi="Cambria"/>
          <w:sz w:val="20"/>
          <w:szCs w:val="20"/>
          <w:lang w:val="es-AR"/>
        </w:rPr>
        <w:t xml:space="preserve"> de culpa. Informa que d</w:t>
      </w:r>
      <w:r w:rsidR="0002319A" w:rsidRPr="00B91121">
        <w:rPr>
          <w:rFonts w:ascii="Cambria" w:hAnsi="Cambria"/>
          <w:sz w:val="20"/>
          <w:szCs w:val="20"/>
          <w:lang w:val="es-AR"/>
        </w:rPr>
        <w:t xml:space="preserve">icha decisión </w:t>
      </w:r>
      <w:r w:rsidRPr="00B91121">
        <w:rPr>
          <w:rFonts w:ascii="Cambria" w:hAnsi="Cambria"/>
          <w:sz w:val="20"/>
          <w:szCs w:val="20"/>
          <w:lang w:val="es-AR"/>
        </w:rPr>
        <w:t xml:space="preserve">fue </w:t>
      </w:r>
      <w:r w:rsidR="0002319A" w:rsidRPr="00B91121">
        <w:rPr>
          <w:rFonts w:ascii="Cambria" w:hAnsi="Cambria"/>
          <w:sz w:val="20"/>
          <w:szCs w:val="20"/>
          <w:lang w:val="es-AR"/>
        </w:rPr>
        <w:t>confirmada en segunda instancia</w:t>
      </w:r>
      <w:r w:rsidRPr="00B91121">
        <w:rPr>
          <w:rFonts w:ascii="Cambria" w:hAnsi="Cambria"/>
          <w:sz w:val="20"/>
          <w:szCs w:val="20"/>
          <w:lang w:val="es-AR"/>
        </w:rPr>
        <w:t xml:space="preserve"> y</w:t>
      </w:r>
      <w:r w:rsidR="00B83108" w:rsidRPr="00B91121">
        <w:rPr>
          <w:rFonts w:ascii="Cambria" w:hAnsi="Cambria"/>
          <w:sz w:val="20"/>
          <w:szCs w:val="20"/>
          <w:lang w:val="es-AR"/>
        </w:rPr>
        <w:t xml:space="preserve"> </w:t>
      </w:r>
      <w:r w:rsidRPr="00B91121">
        <w:rPr>
          <w:rFonts w:ascii="Cambria" w:hAnsi="Cambria"/>
          <w:sz w:val="20"/>
          <w:szCs w:val="20"/>
          <w:lang w:val="es-AR"/>
        </w:rPr>
        <w:t xml:space="preserve">que </w:t>
      </w:r>
      <w:r w:rsidR="00B83108" w:rsidRPr="00B91121">
        <w:rPr>
          <w:rFonts w:ascii="Cambria" w:hAnsi="Cambria"/>
          <w:sz w:val="20"/>
          <w:szCs w:val="20"/>
          <w:lang w:val="es-AR"/>
        </w:rPr>
        <w:t>el recurso extraordinario federal fue inadmitido por extemporáneo, lo cual sucedió</w:t>
      </w:r>
      <w:r w:rsidR="00AF3884" w:rsidRPr="00B91121">
        <w:rPr>
          <w:rFonts w:ascii="Cambria" w:hAnsi="Cambria"/>
          <w:sz w:val="20"/>
          <w:szCs w:val="20"/>
          <w:lang w:val="es-AR"/>
        </w:rPr>
        <w:t xml:space="preserve"> por </w:t>
      </w:r>
      <w:r w:rsidR="0002319A" w:rsidRPr="00B91121">
        <w:rPr>
          <w:rFonts w:ascii="Cambria" w:hAnsi="Cambria"/>
          <w:sz w:val="20"/>
          <w:szCs w:val="20"/>
          <w:lang w:val="es-AR"/>
        </w:rPr>
        <w:t xml:space="preserve">una “maniobra” del personal del tribunal al momento de la recepción, </w:t>
      </w:r>
      <w:r w:rsidR="00B83108" w:rsidRPr="00B91121">
        <w:rPr>
          <w:rFonts w:ascii="Cambria" w:hAnsi="Cambria"/>
          <w:sz w:val="20"/>
          <w:szCs w:val="20"/>
          <w:lang w:val="es-AR"/>
        </w:rPr>
        <w:t xml:space="preserve">que </w:t>
      </w:r>
      <w:r w:rsidR="0002319A" w:rsidRPr="00B91121">
        <w:rPr>
          <w:rFonts w:ascii="Cambria" w:hAnsi="Cambria"/>
          <w:sz w:val="20"/>
          <w:szCs w:val="20"/>
          <w:lang w:val="es-AR"/>
        </w:rPr>
        <w:t xml:space="preserve">les </w:t>
      </w:r>
      <w:r w:rsidR="00B83108" w:rsidRPr="00B91121">
        <w:rPr>
          <w:rFonts w:ascii="Cambria" w:hAnsi="Cambria"/>
          <w:sz w:val="20"/>
          <w:szCs w:val="20"/>
          <w:lang w:val="es-AR"/>
        </w:rPr>
        <w:t>n</w:t>
      </w:r>
      <w:r w:rsidR="0002319A" w:rsidRPr="00B91121">
        <w:rPr>
          <w:rFonts w:ascii="Cambria" w:hAnsi="Cambria"/>
          <w:sz w:val="20"/>
          <w:szCs w:val="20"/>
          <w:lang w:val="es-AR"/>
        </w:rPr>
        <w:t>eg</w:t>
      </w:r>
      <w:r w:rsidR="00B83108" w:rsidRPr="00B91121">
        <w:rPr>
          <w:rFonts w:ascii="Cambria" w:hAnsi="Cambria"/>
          <w:sz w:val="20"/>
          <w:szCs w:val="20"/>
          <w:lang w:val="es-AR"/>
        </w:rPr>
        <w:t xml:space="preserve">ó </w:t>
      </w:r>
      <w:r w:rsidR="0002319A" w:rsidRPr="00B91121">
        <w:rPr>
          <w:rFonts w:ascii="Cambria" w:hAnsi="Cambria"/>
          <w:sz w:val="20"/>
          <w:szCs w:val="20"/>
          <w:lang w:val="es-AR"/>
        </w:rPr>
        <w:t>el acceso en tiempo.</w:t>
      </w:r>
      <w:r w:rsidR="00C0626A" w:rsidRPr="00B91121">
        <w:rPr>
          <w:rFonts w:ascii="Cambria" w:hAnsi="Cambria"/>
          <w:sz w:val="20"/>
          <w:szCs w:val="20"/>
          <w:lang w:val="es-AR"/>
        </w:rPr>
        <w:t xml:space="preserve"> A</w:t>
      </w:r>
      <w:r w:rsidRPr="00B91121">
        <w:rPr>
          <w:rFonts w:ascii="Cambria" w:hAnsi="Cambria"/>
          <w:sz w:val="20"/>
          <w:szCs w:val="20"/>
          <w:lang w:val="es-AR"/>
        </w:rPr>
        <w:t xml:space="preserve">clara </w:t>
      </w:r>
      <w:r w:rsidR="00627B5C" w:rsidRPr="00B91121">
        <w:rPr>
          <w:rFonts w:ascii="Cambria" w:hAnsi="Cambria"/>
          <w:sz w:val="20"/>
          <w:szCs w:val="20"/>
          <w:lang w:val="es-AR"/>
        </w:rPr>
        <w:t xml:space="preserve">que aunque se presentó a las 9:29 horas, el personal colocó a mano la hora 9:32, en vez de utilizar el sello fechador oficial. </w:t>
      </w:r>
    </w:p>
    <w:p w14:paraId="5CCFDB53" w14:textId="77777777" w:rsidR="00312E3F" w:rsidRPr="00B91121" w:rsidRDefault="00312E3F" w:rsidP="0086464B">
      <w:pPr>
        <w:ind w:left="360"/>
        <w:rPr>
          <w:lang w:val="es-AR"/>
        </w:rPr>
      </w:pPr>
    </w:p>
    <w:p w14:paraId="2D1DF158" w14:textId="77777777" w:rsidR="00C8685D" w:rsidRPr="00B91121" w:rsidRDefault="006A1B7B" w:rsidP="004900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 xml:space="preserve">En cuanto a la </w:t>
      </w:r>
      <w:r w:rsidR="00312E3F" w:rsidRPr="00B91121">
        <w:rPr>
          <w:rFonts w:ascii="Cambria" w:hAnsi="Cambria"/>
          <w:sz w:val="20"/>
          <w:szCs w:val="20"/>
          <w:lang w:val="es-AR"/>
        </w:rPr>
        <w:t>causa por falsificación de instrumento público</w:t>
      </w:r>
      <w:r w:rsidR="00C0626A" w:rsidRPr="00B91121">
        <w:rPr>
          <w:rFonts w:ascii="Cambria" w:hAnsi="Cambria"/>
          <w:sz w:val="20"/>
          <w:szCs w:val="20"/>
          <w:lang w:val="es-AR"/>
        </w:rPr>
        <w:t xml:space="preserve"> sustanciada en paralelo</w:t>
      </w:r>
      <w:r w:rsidRPr="00B91121">
        <w:rPr>
          <w:rFonts w:ascii="Cambria" w:hAnsi="Cambria"/>
          <w:sz w:val="20"/>
          <w:szCs w:val="20"/>
          <w:lang w:val="es-AR"/>
        </w:rPr>
        <w:t xml:space="preserve">, alega que </w:t>
      </w:r>
      <w:r w:rsidR="0002319A" w:rsidRPr="00B91121">
        <w:rPr>
          <w:rFonts w:ascii="Cambria" w:hAnsi="Cambria"/>
          <w:sz w:val="20"/>
          <w:szCs w:val="20"/>
          <w:lang w:val="es-AR"/>
        </w:rPr>
        <w:t>la etapa de instrucción se extendi</w:t>
      </w:r>
      <w:r w:rsidR="00F824D4" w:rsidRPr="00B91121">
        <w:rPr>
          <w:rFonts w:ascii="Cambria" w:hAnsi="Cambria"/>
          <w:sz w:val="20"/>
          <w:szCs w:val="20"/>
          <w:lang w:val="es-AR"/>
        </w:rPr>
        <w:t>ó</w:t>
      </w:r>
      <w:r w:rsidR="0002319A" w:rsidRPr="00B91121">
        <w:rPr>
          <w:rFonts w:ascii="Cambria" w:hAnsi="Cambria"/>
          <w:sz w:val="20"/>
          <w:szCs w:val="20"/>
          <w:lang w:val="es-AR"/>
        </w:rPr>
        <w:t xml:space="preserve"> por más de cuatro años, a lo largo de los cuales el juez a cargo </w:t>
      </w:r>
      <w:r w:rsidR="00F824D4" w:rsidRPr="00B91121">
        <w:rPr>
          <w:rFonts w:ascii="Cambria" w:hAnsi="Cambria"/>
          <w:sz w:val="20"/>
          <w:szCs w:val="20"/>
          <w:lang w:val="es-AR"/>
        </w:rPr>
        <w:t xml:space="preserve">declaró el sobreseimiento de </w:t>
      </w:r>
      <w:r w:rsidR="0002319A" w:rsidRPr="00B91121">
        <w:rPr>
          <w:rFonts w:ascii="Cambria" w:hAnsi="Cambria"/>
          <w:sz w:val="20"/>
          <w:szCs w:val="20"/>
          <w:lang w:val="es-AR"/>
        </w:rPr>
        <w:t>los peritos imputados</w:t>
      </w:r>
      <w:r w:rsidR="00F824D4" w:rsidRPr="00B91121">
        <w:rPr>
          <w:rFonts w:ascii="Cambria" w:hAnsi="Cambria"/>
          <w:sz w:val="20"/>
          <w:szCs w:val="20"/>
          <w:lang w:val="es-AR"/>
        </w:rPr>
        <w:t>,</w:t>
      </w:r>
      <w:r w:rsidR="0002319A" w:rsidRPr="00B91121">
        <w:rPr>
          <w:rFonts w:ascii="Cambria" w:hAnsi="Cambria"/>
          <w:sz w:val="20"/>
          <w:szCs w:val="20"/>
          <w:lang w:val="es-AR"/>
        </w:rPr>
        <w:t xml:space="preserve"> en cinco oportunidades y</w:t>
      </w:r>
      <w:r w:rsidR="00F824D4" w:rsidRPr="00B91121">
        <w:rPr>
          <w:rFonts w:ascii="Cambria" w:hAnsi="Cambria"/>
          <w:sz w:val="20"/>
          <w:szCs w:val="20"/>
          <w:lang w:val="es-AR"/>
        </w:rPr>
        <w:t>,</w:t>
      </w:r>
      <w:r w:rsidR="0002319A" w:rsidRPr="00B91121">
        <w:rPr>
          <w:rFonts w:ascii="Cambria" w:hAnsi="Cambria"/>
          <w:sz w:val="20"/>
          <w:szCs w:val="20"/>
          <w:lang w:val="es-AR"/>
        </w:rPr>
        <w:t xml:space="preserve"> en cada una de ellas, la Sala Cuarta de la Cámara de </w:t>
      </w:r>
      <w:r w:rsidR="0002319A" w:rsidRPr="00B91121">
        <w:rPr>
          <w:rFonts w:ascii="Cambria" w:hAnsi="Cambria"/>
          <w:sz w:val="20"/>
          <w:szCs w:val="20"/>
          <w:lang w:val="es-AR"/>
        </w:rPr>
        <w:lastRenderedPageBreak/>
        <w:t>Apelaciones revoc</w:t>
      </w:r>
      <w:r w:rsidR="00F824D4" w:rsidRPr="00B91121">
        <w:rPr>
          <w:rFonts w:ascii="Cambria" w:hAnsi="Cambria"/>
          <w:sz w:val="20"/>
          <w:szCs w:val="20"/>
          <w:lang w:val="es-AR"/>
        </w:rPr>
        <w:t>ó</w:t>
      </w:r>
      <w:r w:rsidR="0002319A" w:rsidRPr="00B91121">
        <w:rPr>
          <w:rFonts w:ascii="Cambria" w:hAnsi="Cambria"/>
          <w:sz w:val="20"/>
          <w:szCs w:val="20"/>
          <w:lang w:val="es-AR"/>
        </w:rPr>
        <w:t xml:space="preserve"> la decisión de sobreseimiento. Luego del cuarto sobreseimiento revocado, el juez de la causa decidió</w:t>
      </w:r>
      <w:r w:rsidR="001D18E5" w:rsidRPr="00B91121">
        <w:rPr>
          <w:rFonts w:ascii="Cambria" w:hAnsi="Cambria"/>
          <w:sz w:val="20"/>
          <w:szCs w:val="20"/>
          <w:lang w:val="es-AR"/>
        </w:rPr>
        <w:t xml:space="preserve"> </w:t>
      </w:r>
      <w:r w:rsidR="0002319A" w:rsidRPr="00B91121">
        <w:rPr>
          <w:rFonts w:ascii="Cambria" w:hAnsi="Cambria"/>
          <w:sz w:val="20"/>
          <w:szCs w:val="20"/>
          <w:lang w:val="es-AR"/>
        </w:rPr>
        <w:t>requerir una pericia a cargo del plenario del Cuerpo Médico Forense de la Corte Suprema de Justicia de la Nación (en adelante “Cuerpo Médico Forense”)</w:t>
      </w:r>
      <w:r w:rsidRPr="00B91121">
        <w:rPr>
          <w:rFonts w:ascii="Cambria" w:hAnsi="Cambria"/>
          <w:sz w:val="20"/>
          <w:szCs w:val="20"/>
          <w:lang w:val="es-AR"/>
        </w:rPr>
        <w:t xml:space="preserve">, que </w:t>
      </w:r>
      <w:r w:rsidR="001D18E5" w:rsidRPr="00B91121">
        <w:rPr>
          <w:rFonts w:ascii="Cambria" w:hAnsi="Cambria"/>
          <w:sz w:val="20"/>
          <w:szCs w:val="20"/>
          <w:lang w:val="es-AR"/>
        </w:rPr>
        <w:t xml:space="preserve">dictaminó </w:t>
      </w:r>
      <w:r w:rsidR="0002319A" w:rsidRPr="00B91121">
        <w:rPr>
          <w:rFonts w:ascii="Cambria" w:hAnsi="Cambria"/>
          <w:sz w:val="20"/>
          <w:szCs w:val="20"/>
          <w:lang w:val="es-AR"/>
        </w:rPr>
        <w:t>que la pericia practicada</w:t>
      </w:r>
      <w:r w:rsidR="00C0626A" w:rsidRPr="00B91121">
        <w:rPr>
          <w:rFonts w:ascii="Cambria" w:hAnsi="Cambria"/>
          <w:sz w:val="20"/>
          <w:szCs w:val="20"/>
          <w:lang w:val="es-AR"/>
        </w:rPr>
        <w:t xml:space="preserve"> en el proceso contra los médicos del Hospital </w:t>
      </w:r>
      <w:r w:rsidR="00F824D4" w:rsidRPr="00B91121">
        <w:rPr>
          <w:rFonts w:ascii="Cambria" w:hAnsi="Cambria"/>
          <w:sz w:val="20"/>
          <w:szCs w:val="20"/>
          <w:lang w:val="es-AR"/>
        </w:rPr>
        <w:t xml:space="preserve">Público </w:t>
      </w:r>
      <w:r w:rsidR="00141CA1" w:rsidRPr="00B91121">
        <w:rPr>
          <w:rFonts w:ascii="Cambria" w:hAnsi="Cambria"/>
          <w:sz w:val="20"/>
          <w:szCs w:val="20"/>
          <w:lang w:val="es-AR"/>
        </w:rPr>
        <w:t>Sardá</w:t>
      </w:r>
      <w:r w:rsidR="00C0626A" w:rsidRPr="00B91121">
        <w:rPr>
          <w:rFonts w:ascii="Cambria" w:hAnsi="Cambria"/>
          <w:sz w:val="20"/>
          <w:szCs w:val="20"/>
          <w:lang w:val="es-AR"/>
        </w:rPr>
        <w:t xml:space="preserve"> había sido correcta</w:t>
      </w:r>
      <w:r w:rsidR="0002319A" w:rsidRPr="00B91121">
        <w:rPr>
          <w:rFonts w:ascii="Cambria" w:hAnsi="Cambria"/>
          <w:sz w:val="20"/>
          <w:szCs w:val="20"/>
          <w:lang w:val="es-AR"/>
        </w:rPr>
        <w:t>, descartando que se hubiera cometido una mala praxis médica.</w:t>
      </w:r>
      <w:r w:rsidR="001E6C7E" w:rsidRPr="00B91121">
        <w:rPr>
          <w:rFonts w:ascii="Cambria" w:hAnsi="Cambria"/>
          <w:sz w:val="20"/>
          <w:szCs w:val="20"/>
          <w:lang w:val="es-AR"/>
        </w:rPr>
        <w:t xml:space="preserve"> </w:t>
      </w:r>
      <w:r w:rsidR="00C8685D" w:rsidRPr="00B91121">
        <w:rPr>
          <w:rFonts w:ascii="Cambria" w:hAnsi="Cambria"/>
          <w:sz w:val="20"/>
          <w:szCs w:val="20"/>
          <w:lang w:val="es-AR"/>
        </w:rPr>
        <w:t>Señala que, si bien la pericia</w:t>
      </w:r>
      <w:r w:rsidR="00C0626A" w:rsidRPr="00B91121">
        <w:rPr>
          <w:rFonts w:ascii="Cambria" w:hAnsi="Cambria"/>
          <w:sz w:val="20"/>
          <w:szCs w:val="20"/>
          <w:lang w:val="es-AR"/>
        </w:rPr>
        <w:t xml:space="preserve"> </w:t>
      </w:r>
      <w:r w:rsidR="00C8685D" w:rsidRPr="00B91121">
        <w:rPr>
          <w:rFonts w:ascii="Cambria" w:hAnsi="Cambria"/>
          <w:sz w:val="20"/>
          <w:szCs w:val="20"/>
          <w:lang w:val="es-AR"/>
        </w:rPr>
        <w:t xml:space="preserve">fue dejada sin efecto </w:t>
      </w:r>
      <w:r w:rsidR="001047E3" w:rsidRPr="00B91121">
        <w:rPr>
          <w:rFonts w:ascii="Cambria" w:hAnsi="Cambria"/>
          <w:sz w:val="20"/>
          <w:szCs w:val="20"/>
          <w:lang w:val="es-AR"/>
        </w:rPr>
        <w:t>“</w:t>
      </w:r>
      <w:r w:rsidR="00C8685D" w:rsidRPr="00B91121">
        <w:rPr>
          <w:rFonts w:ascii="Cambria" w:hAnsi="Cambria"/>
          <w:sz w:val="20"/>
          <w:szCs w:val="20"/>
          <w:lang w:val="es-AR"/>
        </w:rPr>
        <w:t>por corrupción</w:t>
      </w:r>
      <w:r w:rsidR="001047E3" w:rsidRPr="00B91121">
        <w:rPr>
          <w:rFonts w:ascii="Cambria" w:hAnsi="Cambria"/>
          <w:sz w:val="20"/>
          <w:szCs w:val="20"/>
          <w:lang w:val="es-AR"/>
        </w:rPr>
        <w:t>”</w:t>
      </w:r>
      <w:r w:rsidR="00C8685D" w:rsidRPr="00B91121">
        <w:rPr>
          <w:rFonts w:ascii="Cambria" w:hAnsi="Cambria"/>
          <w:sz w:val="20"/>
          <w:szCs w:val="20"/>
          <w:lang w:val="es-AR"/>
        </w:rPr>
        <w:t xml:space="preserve"> de sus miembros, existieron actos procesales y decisiones que tomaron esa prueba —y otras piezas también impugnadas— como antecedente, lo cual configuraría uso de prueba ilegalmente obtenida. </w:t>
      </w:r>
    </w:p>
    <w:p w14:paraId="70C08FE9" w14:textId="77777777" w:rsidR="009E7AC2" w:rsidRPr="00B91121" w:rsidRDefault="009E7AC2" w:rsidP="00C8685D">
      <w:pPr>
        <w:pStyle w:val="parrafos"/>
        <w:numPr>
          <w:ilvl w:val="0"/>
          <w:numId w:val="0"/>
        </w:numPr>
      </w:pPr>
    </w:p>
    <w:p w14:paraId="265DE0C5" w14:textId="77777777" w:rsidR="00C0626A" w:rsidRPr="00B91121" w:rsidRDefault="001E6C7E" w:rsidP="004900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 xml:space="preserve">Agrega que en </w:t>
      </w:r>
      <w:r w:rsidR="0002319A" w:rsidRPr="00B91121">
        <w:rPr>
          <w:rFonts w:ascii="Cambria" w:hAnsi="Cambria"/>
          <w:sz w:val="20"/>
          <w:szCs w:val="20"/>
          <w:lang w:val="es-AR"/>
        </w:rPr>
        <w:t>noviembre de 1997, el juez ordenó la realización de otra pericia, esta vez encomendada a la Universidad Católica de la Provincia de Córdoba. Dicha</w:t>
      </w:r>
      <w:r w:rsidRPr="00B91121">
        <w:rPr>
          <w:rFonts w:ascii="Cambria" w:hAnsi="Cambria"/>
          <w:sz w:val="20"/>
          <w:szCs w:val="20"/>
          <w:lang w:val="es-AR"/>
        </w:rPr>
        <w:t xml:space="preserve"> pericia dio </w:t>
      </w:r>
      <w:r w:rsidR="0002319A" w:rsidRPr="00B91121">
        <w:rPr>
          <w:rFonts w:ascii="Cambria" w:hAnsi="Cambria"/>
          <w:sz w:val="20"/>
          <w:szCs w:val="20"/>
          <w:lang w:val="es-AR"/>
        </w:rPr>
        <w:t>por acreditad</w:t>
      </w:r>
      <w:r w:rsidRPr="00B91121">
        <w:rPr>
          <w:rFonts w:ascii="Cambria" w:hAnsi="Cambria"/>
          <w:sz w:val="20"/>
          <w:szCs w:val="20"/>
          <w:lang w:val="es-AR"/>
        </w:rPr>
        <w:t>o</w:t>
      </w:r>
      <w:r w:rsidR="0002319A" w:rsidRPr="00B91121">
        <w:rPr>
          <w:rFonts w:ascii="Cambria" w:hAnsi="Cambria"/>
          <w:sz w:val="20"/>
          <w:szCs w:val="20"/>
          <w:lang w:val="es-AR"/>
        </w:rPr>
        <w:t xml:space="preserve"> que la </w:t>
      </w:r>
      <w:r w:rsidRPr="00B91121">
        <w:rPr>
          <w:rFonts w:ascii="Cambria" w:hAnsi="Cambria"/>
          <w:sz w:val="20"/>
          <w:szCs w:val="20"/>
          <w:lang w:val="es-AR"/>
        </w:rPr>
        <w:t xml:space="preserve">señora Britez Arce </w:t>
      </w:r>
      <w:r w:rsidR="0002319A" w:rsidRPr="00B91121">
        <w:rPr>
          <w:rFonts w:ascii="Cambria" w:hAnsi="Cambria"/>
          <w:sz w:val="20"/>
          <w:szCs w:val="20"/>
          <w:lang w:val="es-AR"/>
        </w:rPr>
        <w:t>mu</w:t>
      </w:r>
      <w:r w:rsidRPr="00B91121">
        <w:rPr>
          <w:rFonts w:ascii="Cambria" w:hAnsi="Cambria"/>
          <w:sz w:val="20"/>
          <w:szCs w:val="20"/>
          <w:lang w:val="es-AR"/>
        </w:rPr>
        <w:t xml:space="preserve">rió </w:t>
      </w:r>
      <w:r w:rsidR="0002319A" w:rsidRPr="00B91121">
        <w:rPr>
          <w:rFonts w:ascii="Cambria" w:hAnsi="Cambria"/>
          <w:sz w:val="20"/>
          <w:szCs w:val="20"/>
          <w:lang w:val="es-AR"/>
        </w:rPr>
        <w:t>de la patología preeclapmsia-eclampsia</w:t>
      </w:r>
      <w:r w:rsidRPr="00B91121">
        <w:rPr>
          <w:rFonts w:ascii="Cambria" w:hAnsi="Cambria"/>
          <w:sz w:val="20"/>
          <w:szCs w:val="20"/>
          <w:lang w:val="es-AR"/>
        </w:rPr>
        <w:t xml:space="preserve">, </w:t>
      </w:r>
      <w:r w:rsidR="00F824D4" w:rsidRPr="00B91121">
        <w:rPr>
          <w:rFonts w:ascii="Cambria" w:hAnsi="Cambria"/>
          <w:sz w:val="20"/>
          <w:szCs w:val="20"/>
          <w:lang w:val="es-AR"/>
        </w:rPr>
        <w:t xml:space="preserve">misma </w:t>
      </w:r>
      <w:r w:rsidRPr="00B91121">
        <w:rPr>
          <w:rFonts w:ascii="Cambria" w:hAnsi="Cambria"/>
          <w:sz w:val="20"/>
          <w:szCs w:val="20"/>
          <w:lang w:val="es-AR"/>
        </w:rPr>
        <w:t>que</w:t>
      </w:r>
      <w:r w:rsidR="0002319A" w:rsidRPr="00B91121">
        <w:rPr>
          <w:rFonts w:ascii="Cambria" w:hAnsi="Cambria"/>
          <w:sz w:val="20"/>
          <w:szCs w:val="20"/>
          <w:lang w:val="es-AR"/>
        </w:rPr>
        <w:t xml:space="preserve"> no había sido debidamente diagnosticada</w:t>
      </w:r>
      <w:r w:rsidR="00F824D4" w:rsidRPr="00B91121">
        <w:rPr>
          <w:rFonts w:ascii="Cambria" w:hAnsi="Cambria"/>
          <w:sz w:val="20"/>
          <w:szCs w:val="20"/>
          <w:lang w:val="es-AR"/>
        </w:rPr>
        <w:t xml:space="preserve">; </w:t>
      </w:r>
      <w:r w:rsidR="0002319A" w:rsidRPr="00B91121">
        <w:rPr>
          <w:rFonts w:ascii="Cambria" w:hAnsi="Cambria"/>
          <w:sz w:val="20"/>
          <w:szCs w:val="20"/>
          <w:lang w:val="es-AR"/>
        </w:rPr>
        <w:t>que no se había instituido ningún tratamiento</w:t>
      </w:r>
      <w:r w:rsidR="00F824D4" w:rsidRPr="00B91121">
        <w:rPr>
          <w:rFonts w:ascii="Cambria" w:hAnsi="Cambria"/>
          <w:sz w:val="20"/>
          <w:szCs w:val="20"/>
          <w:lang w:val="es-AR"/>
        </w:rPr>
        <w:t>;</w:t>
      </w:r>
      <w:r w:rsidR="0002319A" w:rsidRPr="00B91121">
        <w:rPr>
          <w:rFonts w:ascii="Cambria" w:hAnsi="Cambria"/>
          <w:sz w:val="20"/>
          <w:szCs w:val="20"/>
          <w:lang w:val="es-AR"/>
        </w:rPr>
        <w:t xml:space="preserve"> que no se habrían ofrecido recomendaciones </w:t>
      </w:r>
      <w:r w:rsidR="00FA0525" w:rsidRPr="00B91121">
        <w:rPr>
          <w:rFonts w:ascii="Cambria" w:hAnsi="Cambria"/>
          <w:sz w:val="20"/>
          <w:szCs w:val="20"/>
          <w:lang w:val="es-AR"/>
        </w:rPr>
        <w:t xml:space="preserve">de seguimiento </w:t>
      </w:r>
      <w:r w:rsidR="0002319A" w:rsidRPr="00B91121">
        <w:rPr>
          <w:rFonts w:ascii="Cambria" w:hAnsi="Cambria"/>
          <w:sz w:val="20"/>
          <w:szCs w:val="20"/>
          <w:lang w:val="es-AR"/>
        </w:rPr>
        <w:t>mínimas</w:t>
      </w:r>
      <w:r w:rsidR="00FA0525" w:rsidRPr="00B91121">
        <w:rPr>
          <w:rFonts w:ascii="Cambria" w:hAnsi="Cambria"/>
          <w:sz w:val="20"/>
          <w:szCs w:val="20"/>
          <w:lang w:val="es-AR"/>
        </w:rPr>
        <w:t xml:space="preserve">; </w:t>
      </w:r>
      <w:r w:rsidR="00C0626A" w:rsidRPr="00B91121">
        <w:rPr>
          <w:rFonts w:ascii="Cambria" w:hAnsi="Cambria"/>
          <w:sz w:val="20"/>
          <w:szCs w:val="20"/>
          <w:lang w:val="es-AR"/>
        </w:rPr>
        <w:t>que no se le</w:t>
      </w:r>
      <w:r w:rsidR="0002319A" w:rsidRPr="00B91121">
        <w:rPr>
          <w:rFonts w:ascii="Cambria" w:hAnsi="Cambria"/>
          <w:sz w:val="20"/>
          <w:szCs w:val="20"/>
          <w:lang w:val="es-AR"/>
        </w:rPr>
        <w:t xml:space="preserve"> había evaluado correctamente en las visitas de control y que no se le había medicado correctamente. </w:t>
      </w:r>
      <w:r w:rsidR="00A564DA" w:rsidRPr="00B91121">
        <w:rPr>
          <w:rFonts w:ascii="Cambria" w:hAnsi="Cambria"/>
          <w:sz w:val="20"/>
          <w:szCs w:val="20"/>
          <w:lang w:val="es-AR"/>
        </w:rPr>
        <w:t xml:space="preserve"> No obstante ello, esa pericia f</w:t>
      </w:r>
      <w:r w:rsidR="0002319A" w:rsidRPr="00B91121">
        <w:rPr>
          <w:rFonts w:ascii="Cambria" w:hAnsi="Cambria"/>
          <w:sz w:val="20"/>
          <w:szCs w:val="20"/>
          <w:lang w:val="es-AR"/>
        </w:rPr>
        <w:t>ue utilizad</w:t>
      </w:r>
      <w:r w:rsidR="00A564DA" w:rsidRPr="00B91121">
        <w:rPr>
          <w:rFonts w:ascii="Cambria" w:hAnsi="Cambria"/>
          <w:sz w:val="20"/>
          <w:szCs w:val="20"/>
          <w:lang w:val="es-AR"/>
        </w:rPr>
        <w:t>a</w:t>
      </w:r>
      <w:r w:rsidR="0002319A" w:rsidRPr="00B91121">
        <w:rPr>
          <w:rFonts w:ascii="Cambria" w:hAnsi="Cambria"/>
          <w:sz w:val="20"/>
          <w:szCs w:val="20"/>
          <w:lang w:val="es-AR"/>
        </w:rPr>
        <w:t xml:space="preserve"> como fundamento para sobreseer a los peritos. </w:t>
      </w:r>
      <w:r w:rsidR="003E35A2" w:rsidRPr="00B91121">
        <w:rPr>
          <w:rFonts w:ascii="Cambria" w:hAnsi="Cambria"/>
          <w:sz w:val="20"/>
          <w:szCs w:val="20"/>
          <w:lang w:val="es-AR"/>
        </w:rPr>
        <w:t xml:space="preserve">Indica </w:t>
      </w:r>
      <w:r w:rsidR="0002319A" w:rsidRPr="00B91121">
        <w:rPr>
          <w:rFonts w:ascii="Cambria" w:hAnsi="Cambria"/>
          <w:sz w:val="20"/>
          <w:szCs w:val="20"/>
          <w:lang w:val="es-AR"/>
        </w:rPr>
        <w:t xml:space="preserve">que </w:t>
      </w:r>
      <w:r w:rsidR="003E35A2" w:rsidRPr="00B91121">
        <w:rPr>
          <w:rFonts w:ascii="Cambria" w:hAnsi="Cambria"/>
          <w:sz w:val="20"/>
          <w:szCs w:val="20"/>
          <w:lang w:val="es-AR"/>
        </w:rPr>
        <w:t xml:space="preserve">se recusó </w:t>
      </w:r>
      <w:r w:rsidR="0002319A" w:rsidRPr="00B91121">
        <w:rPr>
          <w:rFonts w:ascii="Cambria" w:hAnsi="Cambria"/>
          <w:sz w:val="20"/>
          <w:szCs w:val="20"/>
          <w:lang w:val="es-AR"/>
        </w:rPr>
        <w:t>al juez a cargo de la causa</w:t>
      </w:r>
      <w:r w:rsidR="009E7AC2" w:rsidRPr="00B91121">
        <w:rPr>
          <w:rFonts w:ascii="Cambria" w:hAnsi="Cambria"/>
          <w:sz w:val="20"/>
          <w:szCs w:val="20"/>
          <w:lang w:val="es-AR"/>
        </w:rPr>
        <w:t xml:space="preserve"> </w:t>
      </w:r>
      <w:r w:rsidR="0002319A" w:rsidRPr="00B91121">
        <w:rPr>
          <w:rFonts w:ascii="Cambria" w:hAnsi="Cambria"/>
          <w:sz w:val="20"/>
          <w:szCs w:val="20"/>
          <w:lang w:val="es-AR"/>
        </w:rPr>
        <w:t>por “dilaciones injustificadas”</w:t>
      </w:r>
      <w:r w:rsidR="00FA0525" w:rsidRPr="00B91121">
        <w:rPr>
          <w:rFonts w:ascii="Cambria" w:hAnsi="Cambria"/>
          <w:sz w:val="20"/>
          <w:szCs w:val="20"/>
          <w:lang w:val="es-AR"/>
        </w:rPr>
        <w:t>,</w:t>
      </w:r>
      <w:r w:rsidR="0002319A" w:rsidRPr="00B91121">
        <w:rPr>
          <w:rFonts w:ascii="Cambria" w:hAnsi="Cambria"/>
          <w:sz w:val="20"/>
          <w:szCs w:val="20"/>
          <w:lang w:val="es-AR"/>
        </w:rPr>
        <w:t xml:space="preserve"> por el “interés del magistrado en el proceso” y por “prejuzgamiento”. </w:t>
      </w:r>
      <w:r w:rsidR="005F7B0A" w:rsidRPr="00B91121">
        <w:rPr>
          <w:rFonts w:ascii="Cambria" w:hAnsi="Cambria"/>
          <w:sz w:val="20"/>
          <w:szCs w:val="20"/>
          <w:lang w:val="es-AR"/>
        </w:rPr>
        <w:t>Precis</w:t>
      </w:r>
      <w:r w:rsidR="00FA0525" w:rsidRPr="00B91121">
        <w:rPr>
          <w:rFonts w:ascii="Cambria" w:hAnsi="Cambria"/>
          <w:sz w:val="20"/>
          <w:szCs w:val="20"/>
          <w:lang w:val="es-AR"/>
        </w:rPr>
        <w:t>a</w:t>
      </w:r>
      <w:r w:rsidR="005F7B0A" w:rsidRPr="00B91121">
        <w:rPr>
          <w:rFonts w:ascii="Cambria" w:hAnsi="Cambria"/>
          <w:sz w:val="20"/>
          <w:szCs w:val="20"/>
          <w:lang w:val="es-AR"/>
        </w:rPr>
        <w:t xml:space="preserve"> que d</w:t>
      </w:r>
      <w:r w:rsidR="0002319A" w:rsidRPr="00B91121">
        <w:rPr>
          <w:rFonts w:ascii="Cambria" w:hAnsi="Cambria"/>
          <w:sz w:val="20"/>
          <w:szCs w:val="20"/>
          <w:lang w:val="es-AR"/>
        </w:rPr>
        <w:t xml:space="preserve">icha recusación </w:t>
      </w:r>
      <w:r w:rsidR="003E35A2" w:rsidRPr="00B91121">
        <w:rPr>
          <w:rFonts w:ascii="Cambria" w:hAnsi="Cambria"/>
          <w:sz w:val="20"/>
          <w:szCs w:val="20"/>
          <w:lang w:val="es-AR"/>
        </w:rPr>
        <w:t xml:space="preserve">fue </w:t>
      </w:r>
      <w:r w:rsidR="0002319A" w:rsidRPr="00B91121">
        <w:rPr>
          <w:rFonts w:ascii="Cambria" w:hAnsi="Cambria"/>
          <w:sz w:val="20"/>
          <w:szCs w:val="20"/>
          <w:lang w:val="es-AR"/>
        </w:rPr>
        <w:t>rechazada.</w:t>
      </w:r>
    </w:p>
    <w:p w14:paraId="7A84BA9B" w14:textId="77777777" w:rsidR="00C0626A" w:rsidRPr="00B91121" w:rsidRDefault="00C0626A" w:rsidP="00C0626A">
      <w:pPr>
        <w:pStyle w:val="parrafos"/>
        <w:numPr>
          <w:ilvl w:val="0"/>
          <w:numId w:val="0"/>
        </w:numPr>
      </w:pPr>
    </w:p>
    <w:p w14:paraId="50F7D2BB" w14:textId="77777777" w:rsidR="00B83108" w:rsidRPr="00B91121" w:rsidRDefault="0002319A" w:rsidP="004900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L</w:t>
      </w:r>
      <w:r w:rsidR="00C8685D" w:rsidRPr="00B91121">
        <w:rPr>
          <w:rFonts w:ascii="Cambria" w:hAnsi="Cambria"/>
          <w:sz w:val="20"/>
          <w:szCs w:val="20"/>
          <w:lang w:val="es-AR"/>
        </w:rPr>
        <w:t>a parte</w:t>
      </w:r>
      <w:r w:rsidRPr="00B91121">
        <w:rPr>
          <w:rFonts w:ascii="Cambria" w:hAnsi="Cambria"/>
          <w:sz w:val="20"/>
          <w:szCs w:val="20"/>
          <w:lang w:val="es-AR"/>
        </w:rPr>
        <w:t xml:space="preserve"> peticionari</w:t>
      </w:r>
      <w:r w:rsidR="00C8685D" w:rsidRPr="00B91121">
        <w:rPr>
          <w:rFonts w:ascii="Cambria" w:hAnsi="Cambria"/>
          <w:sz w:val="20"/>
          <w:szCs w:val="20"/>
          <w:lang w:val="es-AR"/>
        </w:rPr>
        <w:t>a</w:t>
      </w:r>
      <w:r w:rsidRPr="00B91121">
        <w:rPr>
          <w:rFonts w:ascii="Cambria" w:hAnsi="Cambria"/>
          <w:sz w:val="20"/>
          <w:szCs w:val="20"/>
          <w:lang w:val="es-AR"/>
        </w:rPr>
        <w:t xml:space="preserve"> indica que</w:t>
      </w:r>
      <w:r w:rsidR="00C8685D" w:rsidRPr="00B91121">
        <w:rPr>
          <w:rFonts w:ascii="Cambria" w:hAnsi="Cambria"/>
          <w:sz w:val="20"/>
          <w:szCs w:val="20"/>
          <w:lang w:val="es-AR"/>
        </w:rPr>
        <w:t xml:space="preserve"> en abril de 1998 el </w:t>
      </w:r>
      <w:r w:rsidR="00F7502D" w:rsidRPr="00B91121">
        <w:rPr>
          <w:rFonts w:ascii="Cambria" w:hAnsi="Cambria"/>
          <w:sz w:val="20"/>
          <w:szCs w:val="20"/>
          <w:lang w:val="es-AR"/>
        </w:rPr>
        <w:t xml:space="preserve">ex esposo </w:t>
      </w:r>
      <w:r w:rsidR="000C15FE" w:rsidRPr="00B91121">
        <w:rPr>
          <w:rFonts w:ascii="Cambria" w:hAnsi="Cambria"/>
          <w:sz w:val="20"/>
          <w:szCs w:val="20"/>
          <w:lang w:val="es-AR"/>
        </w:rPr>
        <w:t>de la señora Cristina Britez Ar</w:t>
      </w:r>
      <w:r w:rsidR="00C8685D" w:rsidRPr="00B91121">
        <w:rPr>
          <w:rFonts w:ascii="Cambria" w:hAnsi="Cambria"/>
          <w:sz w:val="20"/>
          <w:szCs w:val="20"/>
          <w:lang w:val="es-AR"/>
        </w:rPr>
        <w:t xml:space="preserve">ce interpuso </w:t>
      </w:r>
      <w:r w:rsidRPr="00B91121">
        <w:rPr>
          <w:rFonts w:ascii="Cambria" w:hAnsi="Cambria"/>
          <w:sz w:val="20"/>
          <w:szCs w:val="20"/>
          <w:lang w:val="es-AR"/>
        </w:rPr>
        <w:t>una querell</w:t>
      </w:r>
      <w:r w:rsidR="00C8685D" w:rsidRPr="00B91121">
        <w:rPr>
          <w:rFonts w:ascii="Cambria" w:hAnsi="Cambria"/>
          <w:sz w:val="20"/>
          <w:szCs w:val="20"/>
          <w:lang w:val="es-AR"/>
        </w:rPr>
        <w:t>a</w:t>
      </w:r>
      <w:r w:rsidRPr="00B91121">
        <w:rPr>
          <w:rFonts w:ascii="Cambria" w:hAnsi="Cambria"/>
          <w:sz w:val="20"/>
          <w:szCs w:val="20"/>
          <w:lang w:val="es-AR"/>
        </w:rPr>
        <w:t xml:space="preserve"> por falso testimonio contra los 31 integrantes del Cuerpo Médico</w:t>
      </w:r>
      <w:r w:rsidR="00FA0525" w:rsidRPr="00B91121">
        <w:rPr>
          <w:rFonts w:ascii="Cambria" w:hAnsi="Cambria"/>
          <w:sz w:val="20"/>
          <w:szCs w:val="20"/>
          <w:lang w:val="es-AR"/>
        </w:rPr>
        <w:t xml:space="preserve"> Forense</w:t>
      </w:r>
      <w:r w:rsidRPr="00B91121">
        <w:rPr>
          <w:rFonts w:ascii="Cambria" w:hAnsi="Cambria"/>
          <w:sz w:val="20"/>
          <w:szCs w:val="20"/>
          <w:lang w:val="es-AR"/>
        </w:rPr>
        <w:t xml:space="preserve">. En abril de 1999, el juez a cargo </w:t>
      </w:r>
      <w:r w:rsidR="00FA0525" w:rsidRPr="00B91121">
        <w:rPr>
          <w:rFonts w:ascii="Cambria" w:hAnsi="Cambria"/>
          <w:sz w:val="20"/>
          <w:szCs w:val="20"/>
          <w:lang w:val="es-AR"/>
        </w:rPr>
        <w:t xml:space="preserve">decidió </w:t>
      </w:r>
      <w:r w:rsidRPr="00B91121">
        <w:rPr>
          <w:rFonts w:ascii="Cambria" w:hAnsi="Cambria"/>
          <w:sz w:val="20"/>
          <w:szCs w:val="20"/>
          <w:lang w:val="es-AR"/>
        </w:rPr>
        <w:t xml:space="preserve">sobreseer a los 31 médicos implicados en la causa. </w:t>
      </w:r>
      <w:r w:rsidR="0012540A" w:rsidRPr="00B91121">
        <w:rPr>
          <w:rFonts w:ascii="Cambria" w:hAnsi="Cambria"/>
          <w:sz w:val="20"/>
          <w:szCs w:val="20"/>
          <w:lang w:val="es-AR"/>
        </w:rPr>
        <w:t xml:space="preserve">Alega que </w:t>
      </w:r>
      <w:r w:rsidR="00C65DE7" w:rsidRPr="00B91121">
        <w:rPr>
          <w:rFonts w:ascii="Cambria" w:hAnsi="Cambria"/>
          <w:sz w:val="20"/>
          <w:szCs w:val="20"/>
          <w:lang w:val="es-AR"/>
        </w:rPr>
        <w:t xml:space="preserve">en el marco de la apelación de </w:t>
      </w:r>
      <w:r w:rsidRPr="00B91121">
        <w:rPr>
          <w:rFonts w:ascii="Cambria" w:hAnsi="Cambria"/>
          <w:sz w:val="20"/>
          <w:szCs w:val="20"/>
          <w:lang w:val="es-AR"/>
        </w:rPr>
        <w:t xml:space="preserve">esta decisión, </w:t>
      </w:r>
      <w:r w:rsidR="00C65DE7" w:rsidRPr="00B91121">
        <w:rPr>
          <w:rFonts w:ascii="Cambria" w:hAnsi="Cambria"/>
          <w:sz w:val="20"/>
          <w:szCs w:val="20"/>
          <w:lang w:val="es-AR"/>
        </w:rPr>
        <w:t xml:space="preserve">se dejaron de considerar 26 </w:t>
      </w:r>
      <w:r w:rsidRPr="00B91121">
        <w:rPr>
          <w:rFonts w:ascii="Cambria" w:hAnsi="Cambria"/>
          <w:sz w:val="20"/>
          <w:szCs w:val="20"/>
          <w:lang w:val="es-AR"/>
        </w:rPr>
        <w:t>pruebas</w:t>
      </w:r>
      <w:r w:rsidR="00F7502D" w:rsidRPr="00B91121">
        <w:rPr>
          <w:rFonts w:ascii="Cambria" w:hAnsi="Cambria"/>
          <w:sz w:val="20"/>
          <w:szCs w:val="20"/>
          <w:lang w:val="es-AR"/>
        </w:rPr>
        <w:t xml:space="preserve"> esenciales</w:t>
      </w:r>
      <w:r w:rsidR="00C0626A" w:rsidRPr="00B91121">
        <w:rPr>
          <w:rFonts w:ascii="Cambria" w:hAnsi="Cambria"/>
          <w:sz w:val="20"/>
          <w:szCs w:val="20"/>
          <w:lang w:val="es-AR"/>
        </w:rPr>
        <w:t xml:space="preserve"> y se le</w:t>
      </w:r>
      <w:r w:rsidRPr="00B91121">
        <w:rPr>
          <w:rFonts w:ascii="Cambria" w:hAnsi="Cambria"/>
          <w:sz w:val="20"/>
          <w:szCs w:val="20"/>
          <w:lang w:val="es-AR"/>
        </w:rPr>
        <w:t xml:space="preserve"> priv</w:t>
      </w:r>
      <w:r w:rsidR="0012540A" w:rsidRPr="00B91121">
        <w:rPr>
          <w:rFonts w:ascii="Cambria" w:hAnsi="Cambria"/>
          <w:sz w:val="20"/>
          <w:szCs w:val="20"/>
          <w:lang w:val="es-AR"/>
        </w:rPr>
        <w:t>ó</w:t>
      </w:r>
      <w:r w:rsidRPr="00B91121">
        <w:rPr>
          <w:rFonts w:ascii="Cambria" w:hAnsi="Cambria"/>
          <w:sz w:val="20"/>
          <w:szCs w:val="20"/>
          <w:lang w:val="es-AR"/>
        </w:rPr>
        <w:t xml:space="preserve"> de un fallo debidamente razonado. </w:t>
      </w:r>
      <w:r w:rsidR="0012540A" w:rsidRPr="00B91121">
        <w:rPr>
          <w:rFonts w:ascii="Cambria" w:hAnsi="Cambria"/>
          <w:sz w:val="20"/>
          <w:szCs w:val="20"/>
          <w:lang w:val="es-AR"/>
        </w:rPr>
        <w:t>Informa que c</w:t>
      </w:r>
      <w:r w:rsidRPr="00B91121">
        <w:rPr>
          <w:rFonts w:ascii="Cambria" w:hAnsi="Cambria"/>
          <w:sz w:val="20"/>
          <w:szCs w:val="20"/>
          <w:lang w:val="es-AR"/>
        </w:rPr>
        <w:t xml:space="preserve">ontra dicho decisorio, </w:t>
      </w:r>
      <w:r w:rsidR="0012540A" w:rsidRPr="00B91121">
        <w:rPr>
          <w:rFonts w:ascii="Cambria" w:hAnsi="Cambria"/>
          <w:sz w:val="20"/>
          <w:szCs w:val="20"/>
          <w:lang w:val="es-AR"/>
        </w:rPr>
        <w:t xml:space="preserve">se </w:t>
      </w:r>
      <w:r w:rsidRPr="00B91121">
        <w:rPr>
          <w:rFonts w:ascii="Cambria" w:hAnsi="Cambria"/>
          <w:sz w:val="20"/>
          <w:szCs w:val="20"/>
          <w:lang w:val="es-AR"/>
        </w:rPr>
        <w:t>int</w:t>
      </w:r>
      <w:r w:rsidR="0012540A" w:rsidRPr="00B91121">
        <w:rPr>
          <w:rFonts w:ascii="Cambria" w:hAnsi="Cambria"/>
          <w:sz w:val="20"/>
          <w:szCs w:val="20"/>
          <w:lang w:val="es-AR"/>
        </w:rPr>
        <w:t xml:space="preserve">erpusieron recurso de casación y, posteriormente, </w:t>
      </w:r>
      <w:r w:rsidR="00BD2FF8" w:rsidRPr="00B91121">
        <w:rPr>
          <w:rFonts w:ascii="Cambria" w:hAnsi="Cambria"/>
          <w:sz w:val="20"/>
          <w:szCs w:val="20"/>
          <w:lang w:val="es-AR"/>
        </w:rPr>
        <w:t xml:space="preserve">uno </w:t>
      </w:r>
      <w:r w:rsidRPr="00B91121">
        <w:rPr>
          <w:rFonts w:ascii="Cambria" w:hAnsi="Cambria"/>
          <w:sz w:val="20"/>
          <w:szCs w:val="20"/>
          <w:lang w:val="es-AR"/>
        </w:rPr>
        <w:t xml:space="preserve">de queja por casación denegada, </w:t>
      </w:r>
      <w:r w:rsidR="0012540A" w:rsidRPr="00B91121">
        <w:rPr>
          <w:rFonts w:ascii="Cambria" w:hAnsi="Cambria"/>
          <w:sz w:val="20"/>
          <w:szCs w:val="20"/>
          <w:lang w:val="es-AR"/>
        </w:rPr>
        <w:t xml:space="preserve">así como recurso extraordinario federal, todos </w:t>
      </w:r>
      <w:r w:rsidR="00BD2FF8" w:rsidRPr="00B91121">
        <w:rPr>
          <w:rFonts w:ascii="Cambria" w:hAnsi="Cambria"/>
          <w:sz w:val="20"/>
          <w:szCs w:val="20"/>
          <w:lang w:val="es-AR"/>
        </w:rPr>
        <w:t xml:space="preserve">ellos </w:t>
      </w:r>
      <w:r w:rsidR="0012540A" w:rsidRPr="00B91121">
        <w:rPr>
          <w:rFonts w:ascii="Cambria" w:hAnsi="Cambria"/>
          <w:sz w:val="20"/>
          <w:szCs w:val="20"/>
          <w:lang w:val="es-AR"/>
        </w:rPr>
        <w:t>denegados</w:t>
      </w:r>
      <w:r w:rsidR="00F7502D" w:rsidRPr="00B91121">
        <w:rPr>
          <w:rFonts w:ascii="Cambria" w:hAnsi="Cambria"/>
          <w:sz w:val="20"/>
          <w:szCs w:val="20"/>
          <w:lang w:val="es-AR"/>
        </w:rPr>
        <w:t xml:space="preserve"> argumentando que se limitó a la valoración de la prueba</w:t>
      </w:r>
      <w:r w:rsidRPr="00B91121">
        <w:rPr>
          <w:rFonts w:ascii="Cambria" w:hAnsi="Cambria"/>
          <w:sz w:val="20"/>
          <w:szCs w:val="20"/>
          <w:lang w:val="es-AR"/>
        </w:rPr>
        <w:t xml:space="preserve">. </w:t>
      </w:r>
      <w:r w:rsidR="0012540A" w:rsidRPr="00B91121">
        <w:rPr>
          <w:rFonts w:ascii="Cambria" w:hAnsi="Cambria"/>
          <w:sz w:val="20"/>
          <w:szCs w:val="20"/>
          <w:lang w:val="es-AR"/>
        </w:rPr>
        <w:t xml:space="preserve"> La parte peticionaria afirma que </w:t>
      </w:r>
      <w:r w:rsidRPr="00B91121">
        <w:rPr>
          <w:rFonts w:ascii="Cambria" w:hAnsi="Cambria"/>
          <w:sz w:val="20"/>
          <w:szCs w:val="20"/>
          <w:lang w:val="es-AR"/>
        </w:rPr>
        <w:t xml:space="preserve">no </w:t>
      </w:r>
      <w:r w:rsidR="0012540A" w:rsidRPr="00B91121">
        <w:rPr>
          <w:rFonts w:ascii="Cambria" w:hAnsi="Cambria"/>
          <w:sz w:val="20"/>
          <w:szCs w:val="20"/>
          <w:lang w:val="es-AR"/>
        </w:rPr>
        <w:t xml:space="preserve">pudo </w:t>
      </w:r>
      <w:r w:rsidRPr="00B91121">
        <w:rPr>
          <w:rFonts w:ascii="Cambria" w:hAnsi="Cambria"/>
          <w:sz w:val="20"/>
          <w:szCs w:val="20"/>
          <w:lang w:val="es-AR"/>
        </w:rPr>
        <w:t>acceder a una revisión integral del fallo en los términos del artículo 8.2.h de la Convención.</w:t>
      </w:r>
      <w:r w:rsidR="00627B5C" w:rsidRPr="00B91121">
        <w:rPr>
          <w:rFonts w:ascii="Cambria" w:hAnsi="Cambria"/>
          <w:sz w:val="20"/>
          <w:szCs w:val="20"/>
          <w:lang w:val="es-AR"/>
        </w:rPr>
        <w:t xml:space="preserve"> </w:t>
      </w:r>
    </w:p>
    <w:p w14:paraId="4E5C24AD" w14:textId="77777777" w:rsidR="009444E1" w:rsidRPr="00B91121" w:rsidRDefault="009444E1" w:rsidP="0086464B">
      <w:pPr>
        <w:ind w:left="360"/>
        <w:rPr>
          <w:lang w:val="es-ES"/>
        </w:rPr>
      </w:pPr>
    </w:p>
    <w:p w14:paraId="3FF7EB65" w14:textId="77777777" w:rsidR="009444E1" w:rsidRPr="00B91121" w:rsidRDefault="009444E1" w:rsidP="004900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Alega que la impunidad que consiguieron los 31 integra</w:t>
      </w:r>
      <w:r w:rsidR="00C0626A" w:rsidRPr="00B91121">
        <w:rPr>
          <w:rFonts w:ascii="Cambria" w:hAnsi="Cambria"/>
          <w:sz w:val="20"/>
          <w:szCs w:val="20"/>
          <w:lang w:val="es-AR"/>
        </w:rPr>
        <w:t xml:space="preserve">ntes del Cuerpo Médico Forense influyó </w:t>
      </w:r>
      <w:r w:rsidRPr="00B91121">
        <w:rPr>
          <w:rFonts w:ascii="Cambria" w:hAnsi="Cambria"/>
          <w:sz w:val="20"/>
          <w:szCs w:val="20"/>
          <w:lang w:val="es-AR"/>
        </w:rPr>
        <w:t>directamente en el resto de las causas</w:t>
      </w:r>
      <w:r w:rsidR="00C0626A" w:rsidRPr="00B91121">
        <w:rPr>
          <w:rFonts w:ascii="Cambria" w:hAnsi="Cambria"/>
          <w:sz w:val="20"/>
          <w:szCs w:val="20"/>
          <w:lang w:val="es-AR"/>
        </w:rPr>
        <w:t xml:space="preserve"> puesto que </w:t>
      </w:r>
      <w:r w:rsidRPr="00B91121">
        <w:rPr>
          <w:rFonts w:ascii="Cambria" w:hAnsi="Cambria"/>
          <w:sz w:val="20"/>
          <w:szCs w:val="20"/>
          <w:lang w:val="es-AR"/>
        </w:rPr>
        <w:t>se absolvió de culpa y cargo a los médicos imputados</w:t>
      </w:r>
      <w:r w:rsidR="00C0626A" w:rsidRPr="00B91121">
        <w:rPr>
          <w:rFonts w:ascii="Cambria" w:hAnsi="Cambria"/>
          <w:sz w:val="20"/>
          <w:szCs w:val="20"/>
          <w:lang w:val="es-AR"/>
        </w:rPr>
        <w:t xml:space="preserve"> por la mala praxis así como a los peritos que realizaron la primer</w:t>
      </w:r>
      <w:r w:rsidR="00F51692" w:rsidRPr="00B91121">
        <w:rPr>
          <w:rFonts w:ascii="Cambria" w:hAnsi="Cambria"/>
          <w:sz w:val="20"/>
          <w:szCs w:val="20"/>
          <w:lang w:val="es-AR"/>
        </w:rPr>
        <w:t>a</w:t>
      </w:r>
      <w:r w:rsidR="00C0626A" w:rsidRPr="00B91121">
        <w:rPr>
          <w:rFonts w:ascii="Cambria" w:hAnsi="Cambria"/>
          <w:sz w:val="20"/>
          <w:szCs w:val="20"/>
          <w:lang w:val="es-AR"/>
        </w:rPr>
        <w:t xml:space="preserve"> pericia</w:t>
      </w:r>
      <w:r w:rsidRPr="00B91121">
        <w:rPr>
          <w:rFonts w:ascii="Cambria" w:hAnsi="Cambria"/>
          <w:sz w:val="20"/>
          <w:szCs w:val="20"/>
          <w:lang w:val="es-AR"/>
        </w:rPr>
        <w:t xml:space="preserve">. </w:t>
      </w:r>
      <w:r w:rsidR="006064BB" w:rsidRPr="00B91121">
        <w:rPr>
          <w:rFonts w:ascii="Cambria" w:hAnsi="Cambria"/>
          <w:sz w:val="20"/>
          <w:szCs w:val="20"/>
          <w:lang w:val="es-AR"/>
        </w:rPr>
        <w:t xml:space="preserve"> </w:t>
      </w:r>
    </w:p>
    <w:p w14:paraId="250E66C6" w14:textId="77777777" w:rsidR="006064BB" w:rsidRPr="00B91121" w:rsidRDefault="006064BB" w:rsidP="006064BB">
      <w:pPr>
        <w:pStyle w:val="parrafos"/>
        <w:numPr>
          <w:ilvl w:val="0"/>
          <w:numId w:val="0"/>
        </w:numPr>
        <w:rPr>
          <w:lang w:val="es-ES"/>
        </w:rPr>
      </w:pPr>
    </w:p>
    <w:p w14:paraId="34896EAE" w14:textId="77777777" w:rsidR="00DE6DF0" w:rsidRPr="00B91121" w:rsidRDefault="00364F36" w:rsidP="004900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 xml:space="preserve">Refiere que se presentó una demanda civil por daños y perjuicios en 1994 y que no fue sino 18 años después que se obtuvo una decisión definitiva. Afirma que también en ese proceso se dieron irregularidades, como lo fue que </w:t>
      </w:r>
      <w:r w:rsidR="003432A7" w:rsidRPr="00B91121">
        <w:rPr>
          <w:rFonts w:ascii="Cambria" w:hAnsi="Cambria"/>
          <w:sz w:val="20"/>
          <w:szCs w:val="20"/>
          <w:lang w:val="es-AR"/>
        </w:rPr>
        <w:t>uno de los</w:t>
      </w:r>
      <w:r w:rsidRPr="00B91121">
        <w:rPr>
          <w:rFonts w:ascii="Cambria" w:hAnsi="Cambria"/>
          <w:sz w:val="20"/>
          <w:szCs w:val="20"/>
          <w:lang w:val="es-AR"/>
        </w:rPr>
        <w:t xml:space="preserve"> médico</w:t>
      </w:r>
      <w:r w:rsidR="003432A7" w:rsidRPr="00B91121">
        <w:rPr>
          <w:rFonts w:ascii="Cambria" w:hAnsi="Cambria"/>
          <w:sz w:val="20"/>
          <w:szCs w:val="20"/>
          <w:lang w:val="es-AR"/>
        </w:rPr>
        <w:t>s</w:t>
      </w:r>
      <w:r w:rsidRPr="00B91121">
        <w:rPr>
          <w:rFonts w:ascii="Cambria" w:hAnsi="Cambria"/>
          <w:sz w:val="20"/>
          <w:szCs w:val="20"/>
          <w:lang w:val="es-AR"/>
        </w:rPr>
        <w:t xml:space="preserve"> nombrado</w:t>
      </w:r>
      <w:r w:rsidR="00F85AD5" w:rsidRPr="00B91121">
        <w:rPr>
          <w:rFonts w:ascii="Cambria" w:hAnsi="Cambria"/>
          <w:sz w:val="20"/>
          <w:szCs w:val="20"/>
          <w:lang w:val="es-AR"/>
        </w:rPr>
        <w:t>s</w:t>
      </w:r>
      <w:r w:rsidRPr="00B91121">
        <w:rPr>
          <w:rFonts w:ascii="Cambria" w:hAnsi="Cambria"/>
          <w:sz w:val="20"/>
          <w:szCs w:val="20"/>
          <w:lang w:val="es-AR"/>
        </w:rPr>
        <w:t xml:space="preserve"> para hacer una pericia,</w:t>
      </w:r>
      <w:r w:rsidR="009D3BA1" w:rsidRPr="00B91121">
        <w:rPr>
          <w:rFonts w:ascii="Cambria" w:hAnsi="Cambria"/>
          <w:sz w:val="20"/>
          <w:szCs w:val="20"/>
          <w:lang w:val="es-AR"/>
        </w:rPr>
        <w:t xml:space="preserve"> el doctor Barrón,</w:t>
      </w:r>
      <w:r w:rsidRPr="00B91121">
        <w:rPr>
          <w:rFonts w:ascii="Cambria" w:hAnsi="Cambria"/>
          <w:sz w:val="20"/>
          <w:szCs w:val="20"/>
          <w:lang w:val="es-AR"/>
        </w:rPr>
        <w:t xml:space="preserve"> aunque juró como perito independiente, fue introducido en la causa exprofeso porque ya había sido perito sobre los mismos puntos de pericia </w:t>
      </w:r>
      <w:r w:rsidR="003432A7" w:rsidRPr="00B91121">
        <w:rPr>
          <w:rFonts w:ascii="Cambria" w:hAnsi="Cambria"/>
          <w:sz w:val="20"/>
          <w:szCs w:val="20"/>
          <w:lang w:val="es-AR"/>
        </w:rPr>
        <w:t>(las causas de la</w:t>
      </w:r>
      <w:r w:rsidR="00FA0525" w:rsidRPr="00B91121">
        <w:rPr>
          <w:rFonts w:ascii="Cambria" w:hAnsi="Cambria"/>
          <w:sz w:val="20"/>
          <w:szCs w:val="20"/>
          <w:lang w:val="es-AR"/>
        </w:rPr>
        <w:t xml:space="preserve"> muerte de Cristina Britez y de su hijo por nacer</w:t>
      </w:r>
      <w:r w:rsidR="003432A7" w:rsidRPr="00B91121">
        <w:rPr>
          <w:rFonts w:ascii="Cambria" w:hAnsi="Cambria"/>
          <w:sz w:val="20"/>
          <w:szCs w:val="20"/>
          <w:lang w:val="es-AR"/>
        </w:rPr>
        <w:t xml:space="preserve">) </w:t>
      </w:r>
      <w:r w:rsidRPr="00B91121">
        <w:rPr>
          <w:rFonts w:ascii="Cambria" w:hAnsi="Cambria"/>
          <w:sz w:val="20"/>
          <w:szCs w:val="20"/>
          <w:lang w:val="es-AR"/>
        </w:rPr>
        <w:t xml:space="preserve">en marzo de 2002 en un informe producido por la Facultad de Medicina de la Universidad de Buenos Aires, dentro de la causa </w:t>
      </w:r>
      <w:r w:rsidR="003432A7" w:rsidRPr="00B91121">
        <w:rPr>
          <w:rFonts w:ascii="Cambria" w:hAnsi="Cambria"/>
          <w:sz w:val="20"/>
          <w:szCs w:val="20"/>
          <w:lang w:val="es-AR"/>
        </w:rPr>
        <w:t>seguida contra los p</w:t>
      </w:r>
      <w:r w:rsidR="007F3748" w:rsidRPr="00B91121">
        <w:rPr>
          <w:rFonts w:ascii="Cambria" w:hAnsi="Cambria"/>
          <w:sz w:val="20"/>
          <w:szCs w:val="20"/>
          <w:lang w:val="es-AR"/>
        </w:rPr>
        <w:t>erito</w:t>
      </w:r>
      <w:r w:rsidR="009D3BA1" w:rsidRPr="00B91121">
        <w:rPr>
          <w:rFonts w:ascii="Cambria" w:hAnsi="Cambria"/>
          <w:sz w:val="20"/>
          <w:szCs w:val="20"/>
          <w:lang w:val="es-AR"/>
        </w:rPr>
        <w:t>s Ca</w:t>
      </w:r>
      <w:r w:rsidR="003432A7" w:rsidRPr="00B91121">
        <w:rPr>
          <w:rFonts w:ascii="Cambria" w:hAnsi="Cambria"/>
          <w:sz w:val="20"/>
          <w:szCs w:val="20"/>
          <w:lang w:val="es-AR"/>
        </w:rPr>
        <w:t xml:space="preserve">savilla y Poggi. Indica que </w:t>
      </w:r>
      <w:r w:rsidR="007F3748" w:rsidRPr="00B91121">
        <w:rPr>
          <w:rFonts w:ascii="Cambria" w:hAnsi="Cambria"/>
          <w:sz w:val="20"/>
          <w:szCs w:val="20"/>
          <w:lang w:val="es-AR"/>
        </w:rPr>
        <w:t>la sentencia de primera instancia se basó en la pericia de ese perito</w:t>
      </w:r>
      <w:r w:rsidR="009D3BA1" w:rsidRPr="00B91121">
        <w:rPr>
          <w:rFonts w:ascii="Cambria" w:hAnsi="Cambria"/>
          <w:sz w:val="20"/>
          <w:szCs w:val="20"/>
          <w:lang w:val="es-AR"/>
        </w:rPr>
        <w:t>, que ya había opinado sobre el tema</w:t>
      </w:r>
      <w:r w:rsidR="007F3748" w:rsidRPr="00B91121">
        <w:rPr>
          <w:rFonts w:ascii="Cambria" w:hAnsi="Cambria"/>
          <w:sz w:val="20"/>
          <w:szCs w:val="20"/>
          <w:lang w:val="es-AR"/>
        </w:rPr>
        <w:t xml:space="preserve">. </w:t>
      </w:r>
      <w:r w:rsidR="00E21500" w:rsidRPr="00B91121">
        <w:rPr>
          <w:rFonts w:ascii="Cambria" w:hAnsi="Cambria"/>
          <w:sz w:val="20"/>
          <w:szCs w:val="20"/>
          <w:lang w:val="es-AR"/>
        </w:rPr>
        <w:t>Agrega que e</w:t>
      </w:r>
      <w:r w:rsidR="00DE6DF0" w:rsidRPr="00B91121">
        <w:rPr>
          <w:rFonts w:ascii="Cambria" w:hAnsi="Cambria"/>
          <w:sz w:val="20"/>
          <w:szCs w:val="20"/>
          <w:lang w:val="es-AR"/>
        </w:rPr>
        <w:t xml:space="preserve">n segunda instancia se prescindió del peritaje del doctor Barrón pero no se tuvo en cuenta </w:t>
      </w:r>
      <w:r w:rsidR="00062201" w:rsidRPr="00B91121">
        <w:rPr>
          <w:rFonts w:ascii="Cambria" w:hAnsi="Cambria"/>
          <w:sz w:val="20"/>
          <w:szCs w:val="20"/>
          <w:lang w:val="es-AR"/>
        </w:rPr>
        <w:t xml:space="preserve">ninguna </w:t>
      </w:r>
      <w:r w:rsidR="00DE6DF0" w:rsidRPr="00B91121">
        <w:rPr>
          <w:rFonts w:ascii="Cambria" w:hAnsi="Cambria"/>
          <w:sz w:val="20"/>
          <w:szCs w:val="20"/>
          <w:lang w:val="es-AR"/>
        </w:rPr>
        <w:t xml:space="preserve">otra </w:t>
      </w:r>
      <w:r w:rsidR="00062201" w:rsidRPr="00B91121">
        <w:rPr>
          <w:rFonts w:ascii="Cambria" w:hAnsi="Cambria"/>
          <w:sz w:val="20"/>
          <w:szCs w:val="20"/>
          <w:lang w:val="es-AR"/>
        </w:rPr>
        <w:t xml:space="preserve">pericia para confirmar la desestimación de la demanda. </w:t>
      </w:r>
    </w:p>
    <w:p w14:paraId="1767DE42" w14:textId="77777777" w:rsidR="00361415" w:rsidRPr="00B91121" w:rsidRDefault="00361415" w:rsidP="00914740">
      <w:pPr>
        <w:tabs>
          <w:tab w:val="left" w:pos="360"/>
        </w:tabs>
        <w:suppressAutoHyphens/>
        <w:rPr>
          <w:rFonts w:asciiTheme="majorHAnsi" w:hAnsiTheme="majorHAnsi"/>
          <w:color w:val="548DD4" w:themeColor="text2" w:themeTint="99"/>
          <w:sz w:val="20"/>
          <w:szCs w:val="20"/>
          <w:lang w:val="es-VE"/>
        </w:rPr>
      </w:pPr>
    </w:p>
    <w:p w14:paraId="06C643AD" w14:textId="77777777" w:rsidR="00D12193" w:rsidRPr="00B91121" w:rsidRDefault="0022273F" w:rsidP="002A4B39">
      <w:pPr>
        <w:pStyle w:val="Heading2"/>
      </w:pPr>
      <w:bookmarkStart w:id="8" w:name="_Toc22199924"/>
      <w:bookmarkStart w:id="9" w:name="_Toc33525290"/>
      <w:r w:rsidRPr="00B91121">
        <w:t>Estado</w:t>
      </w:r>
      <w:bookmarkEnd w:id="8"/>
      <w:bookmarkEnd w:id="9"/>
      <w:r w:rsidR="00CC63CF" w:rsidRPr="00B91121">
        <w:t xml:space="preserve"> </w:t>
      </w:r>
    </w:p>
    <w:p w14:paraId="7F1EF213" w14:textId="77777777" w:rsidR="007C756A" w:rsidRPr="00B91121" w:rsidRDefault="007C756A" w:rsidP="00914740">
      <w:pPr>
        <w:tabs>
          <w:tab w:val="left" w:pos="360"/>
        </w:tabs>
        <w:suppressAutoHyphens/>
        <w:rPr>
          <w:rFonts w:asciiTheme="majorHAnsi" w:hAnsiTheme="majorHAnsi"/>
          <w:sz w:val="20"/>
          <w:szCs w:val="20"/>
          <w:lang w:val="es-ES_tradnl"/>
        </w:rPr>
      </w:pPr>
    </w:p>
    <w:p w14:paraId="6139C5E0" w14:textId="77777777" w:rsidR="00261A50" w:rsidRPr="00B91121" w:rsidRDefault="00485865" w:rsidP="00261A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1440"/>
        </w:tabs>
        <w:ind w:left="0" w:firstLine="0"/>
        <w:jc w:val="both"/>
        <w:rPr>
          <w:rFonts w:ascii="Cambria" w:hAnsi="Cambria"/>
          <w:sz w:val="20"/>
          <w:szCs w:val="20"/>
          <w:lang w:val="es-ES"/>
        </w:rPr>
      </w:pPr>
      <w:r w:rsidRPr="00B91121">
        <w:rPr>
          <w:rFonts w:ascii="Cambria" w:hAnsi="Cambria"/>
          <w:sz w:val="20"/>
          <w:szCs w:val="20"/>
          <w:lang w:val="es-ES_tradnl"/>
        </w:rPr>
        <w:t xml:space="preserve">El Estado </w:t>
      </w:r>
      <w:r w:rsidR="00172591" w:rsidRPr="00B91121">
        <w:rPr>
          <w:rFonts w:ascii="Cambria" w:hAnsi="Cambria"/>
          <w:sz w:val="20"/>
          <w:szCs w:val="20"/>
          <w:lang w:val="es-ES"/>
        </w:rPr>
        <w:t>alega que se pretende hacer uso de la CIDH como una “cuarta instancia” para que revise las valoraciones de hecho y de derecho efectuadas por los jueces y tribunales internos.</w:t>
      </w:r>
    </w:p>
    <w:p w14:paraId="00690FB3" w14:textId="77777777" w:rsidR="00261A50" w:rsidRPr="00B91121" w:rsidRDefault="00261A50" w:rsidP="00261A5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ES"/>
        </w:rPr>
      </w:pPr>
    </w:p>
    <w:p w14:paraId="598BFA07" w14:textId="77777777" w:rsidR="00172591" w:rsidRPr="00B91121" w:rsidRDefault="00172591" w:rsidP="00261A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1440"/>
        </w:tabs>
        <w:ind w:left="0" w:firstLine="0"/>
        <w:jc w:val="both"/>
        <w:rPr>
          <w:rFonts w:ascii="Cambria" w:hAnsi="Cambria"/>
          <w:sz w:val="20"/>
          <w:szCs w:val="20"/>
          <w:lang w:val="es-ES"/>
        </w:rPr>
      </w:pPr>
      <w:r w:rsidRPr="00B91121">
        <w:rPr>
          <w:rFonts w:asciiTheme="majorHAnsi" w:hAnsiTheme="majorHAnsi"/>
          <w:sz w:val="20"/>
          <w:szCs w:val="20"/>
          <w:lang w:val="es-ES_tradnl"/>
        </w:rPr>
        <w:t>El Estado alega que, en el marco de la causa por homicidio culposo</w:t>
      </w:r>
      <w:r w:rsidR="00485865" w:rsidRPr="00B91121">
        <w:rPr>
          <w:rFonts w:asciiTheme="majorHAnsi" w:hAnsiTheme="majorHAnsi"/>
          <w:sz w:val="20"/>
          <w:szCs w:val="20"/>
          <w:lang w:val="es-ES_tradnl"/>
        </w:rPr>
        <w:t>,</w:t>
      </w:r>
      <w:r w:rsidRPr="00B91121">
        <w:rPr>
          <w:rFonts w:asciiTheme="majorHAnsi" w:hAnsiTheme="majorHAnsi"/>
          <w:sz w:val="20"/>
          <w:szCs w:val="20"/>
          <w:lang w:val="es-ES_tradnl"/>
        </w:rPr>
        <w:t xml:space="preserve"> se investigó la presunta responsabilidad penal del personal médico que atendió a la </w:t>
      </w:r>
      <w:r w:rsidR="00AB04B7" w:rsidRPr="00B91121">
        <w:rPr>
          <w:rFonts w:asciiTheme="majorHAnsi" w:hAnsiTheme="majorHAnsi"/>
          <w:sz w:val="20"/>
          <w:szCs w:val="20"/>
          <w:lang w:val="es-ES_tradnl"/>
        </w:rPr>
        <w:t xml:space="preserve">señora Cristina Britez Arce y, en </w:t>
      </w:r>
      <w:r w:rsidRPr="00B91121">
        <w:rPr>
          <w:rFonts w:asciiTheme="majorHAnsi" w:hAnsiTheme="majorHAnsi"/>
          <w:sz w:val="20"/>
          <w:szCs w:val="20"/>
          <w:lang w:val="es-ES_tradnl"/>
        </w:rPr>
        <w:t xml:space="preserve">julio de 2003, </w:t>
      </w:r>
      <w:r w:rsidR="00AB04B7" w:rsidRPr="00B91121">
        <w:rPr>
          <w:rFonts w:asciiTheme="majorHAnsi" w:hAnsiTheme="majorHAnsi"/>
          <w:sz w:val="20"/>
          <w:szCs w:val="20"/>
          <w:lang w:val="es-ES_tradnl"/>
        </w:rPr>
        <w:t>se les absolvió d</w:t>
      </w:r>
      <w:r w:rsidRPr="00B91121">
        <w:rPr>
          <w:rFonts w:asciiTheme="majorHAnsi" w:hAnsiTheme="majorHAnsi"/>
          <w:sz w:val="20"/>
          <w:szCs w:val="20"/>
          <w:lang w:val="es-ES_tradnl"/>
        </w:rPr>
        <w:t xml:space="preserve">e culpa y cargo. Dicha sentencia </w:t>
      </w:r>
      <w:r w:rsidR="00E21500" w:rsidRPr="00B91121">
        <w:rPr>
          <w:rFonts w:asciiTheme="majorHAnsi" w:hAnsiTheme="majorHAnsi"/>
          <w:sz w:val="20"/>
          <w:szCs w:val="20"/>
          <w:lang w:val="es-ES_tradnl"/>
        </w:rPr>
        <w:t xml:space="preserve">fue </w:t>
      </w:r>
      <w:r w:rsidRPr="00B91121">
        <w:rPr>
          <w:rFonts w:asciiTheme="majorHAnsi" w:hAnsiTheme="majorHAnsi"/>
          <w:sz w:val="20"/>
          <w:szCs w:val="20"/>
          <w:lang w:val="es-ES_tradnl"/>
        </w:rPr>
        <w:t>apelada por la fiscalía interviniente y confirmada en segunda</w:t>
      </w:r>
      <w:r w:rsidR="0046395B" w:rsidRPr="00B91121">
        <w:rPr>
          <w:rFonts w:asciiTheme="majorHAnsi" w:hAnsiTheme="majorHAnsi"/>
          <w:sz w:val="20"/>
          <w:szCs w:val="20"/>
          <w:lang w:val="es-ES_tradnl"/>
        </w:rPr>
        <w:t xml:space="preserve"> instancia</w:t>
      </w:r>
      <w:r w:rsidR="00AB04B7" w:rsidRPr="00B91121">
        <w:rPr>
          <w:rFonts w:asciiTheme="majorHAnsi" w:hAnsiTheme="majorHAnsi"/>
          <w:sz w:val="20"/>
          <w:szCs w:val="20"/>
          <w:lang w:val="es-ES_tradnl"/>
        </w:rPr>
        <w:t>; a</w:t>
      </w:r>
      <w:r w:rsidRPr="00B91121">
        <w:rPr>
          <w:rFonts w:asciiTheme="majorHAnsi" w:hAnsiTheme="majorHAnsi"/>
          <w:sz w:val="20"/>
          <w:szCs w:val="20"/>
          <w:lang w:val="es-ES_tradnl"/>
        </w:rPr>
        <w:t xml:space="preserve">simismo, </w:t>
      </w:r>
      <w:r w:rsidR="00AB04B7" w:rsidRPr="00B91121">
        <w:rPr>
          <w:rFonts w:asciiTheme="majorHAnsi" w:hAnsiTheme="majorHAnsi"/>
          <w:sz w:val="20"/>
          <w:szCs w:val="20"/>
          <w:lang w:val="es-ES_tradnl"/>
        </w:rPr>
        <w:t xml:space="preserve">el </w:t>
      </w:r>
      <w:r w:rsidRPr="00B91121">
        <w:rPr>
          <w:rFonts w:asciiTheme="majorHAnsi" w:hAnsiTheme="majorHAnsi"/>
          <w:sz w:val="20"/>
          <w:szCs w:val="20"/>
          <w:lang w:val="es-ES_tradnl"/>
        </w:rPr>
        <w:t xml:space="preserve">recurso extraordinario federal </w:t>
      </w:r>
      <w:r w:rsidR="00AB04B7" w:rsidRPr="00B91121">
        <w:rPr>
          <w:rFonts w:asciiTheme="majorHAnsi" w:hAnsiTheme="majorHAnsi"/>
          <w:sz w:val="20"/>
          <w:szCs w:val="20"/>
          <w:lang w:val="es-ES_tradnl"/>
        </w:rPr>
        <w:t xml:space="preserve">interpuesto </w:t>
      </w:r>
      <w:r w:rsidRPr="00B91121">
        <w:rPr>
          <w:rFonts w:asciiTheme="majorHAnsi" w:hAnsiTheme="majorHAnsi"/>
          <w:sz w:val="20"/>
          <w:szCs w:val="20"/>
          <w:lang w:val="es-ES_tradnl"/>
        </w:rPr>
        <w:t>fue rechazado por extemporán</w:t>
      </w:r>
      <w:r w:rsidR="00AB04B7" w:rsidRPr="00B91121">
        <w:rPr>
          <w:rFonts w:asciiTheme="majorHAnsi" w:hAnsiTheme="majorHAnsi"/>
          <w:sz w:val="20"/>
          <w:szCs w:val="20"/>
          <w:lang w:val="es-ES_tradnl"/>
        </w:rPr>
        <w:t>eo por la Cámara de Apelaciones</w:t>
      </w:r>
      <w:r w:rsidRPr="00B91121">
        <w:rPr>
          <w:rFonts w:asciiTheme="majorHAnsi" w:hAnsiTheme="majorHAnsi"/>
          <w:sz w:val="20"/>
          <w:szCs w:val="20"/>
          <w:lang w:val="es-ES_tradnl"/>
        </w:rPr>
        <w:t xml:space="preserve">. </w:t>
      </w:r>
    </w:p>
    <w:p w14:paraId="6A03BAA1" w14:textId="77777777" w:rsidR="00172591" w:rsidRPr="00B91121" w:rsidRDefault="00172591" w:rsidP="0017259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VE"/>
        </w:rPr>
      </w:pPr>
    </w:p>
    <w:p w14:paraId="2C1BA3C8" w14:textId="77777777" w:rsidR="00172591" w:rsidRPr="00B91121" w:rsidRDefault="00172591" w:rsidP="00261A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1440"/>
        </w:tabs>
        <w:ind w:left="0" w:firstLine="0"/>
        <w:jc w:val="both"/>
        <w:rPr>
          <w:rFonts w:asciiTheme="majorHAnsi" w:hAnsiTheme="majorHAnsi"/>
          <w:sz w:val="20"/>
          <w:szCs w:val="20"/>
          <w:lang w:val="es-ES_tradnl"/>
        </w:rPr>
      </w:pPr>
      <w:r w:rsidRPr="00B91121">
        <w:rPr>
          <w:rFonts w:asciiTheme="majorHAnsi" w:hAnsiTheme="majorHAnsi"/>
          <w:sz w:val="20"/>
          <w:szCs w:val="20"/>
          <w:lang w:val="es-ES_tradnl"/>
        </w:rPr>
        <w:t xml:space="preserve">Por otro lado, el Estado </w:t>
      </w:r>
      <w:r w:rsidR="0046395B" w:rsidRPr="00B91121">
        <w:rPr>
          <w:rFonts w:asciiTheme="majorHAnsi" w:hAnsiTheme="majorHAnsi"/>
          <w:sz w:val="20"/>
          <w:szCs w:val="20"/>
          <w:lang w:val="es-ES_tradnl"/>
        </w:rPr>
        <w:t xml:space="preserve">indica </w:t>
      </w:r>
      <w:r w:rsidRPr="00B91121">
        <w:rPr>
          <w:rFonts w:asciiTheme="majorHAnsi" w:hAnsiTheme="majorHAnsi"/>
          <w:sz w:val="20"/>
          <w:szCs w:val="20"/>
          <w:lang w:val="es-ES_tradnl"/>
        </w:rPr>
        <w:t>que, en la causa iniciada de oficio por falsificación de instrumento público, el juzgado interviniente investigó la presunta responsabilidad penal de</w:t>
      </w:r>
      <w:r w:rsidR="00B4451A" w:rsidRPr="00B91121">
        <w:rPr>
          <w:rFonts w:asciiTheme="majorHAnsi" w:hAnsiTheme="majorHAnsi"/>
          <w:sz w:val="20"/>
          <w:szCs w:val="20"/>
          <w:lang w:val="es-ES_tradnl"/>
        </w:rPr>
        <w:t xml:space="preserve"> </w:t>
      </w:r>
      <w:r w:rsidR="0046395B" w:rsidRPr="00B91121">
        <w:rPr>
          <w:rFonts w:asciiTheme="majorHAnsi" w:hAnsiTheme="majorHAnsi"/>
          <w:sz w:val="20"/>
          <w:szCs w:val="20"/>
          <w:lang w:val="es-ES_tradnl"/>
        </w:rPr>
        <w:t>dos peritos y</w:t>
      </w:r>
      <w:r w:rsidRPr="00B91121">
        <w:rPr>
          <w:rFonts w:asciiTheme="majorHAnsi" w:hAnsiTheme="majorHAnsi"/>
          <w:sz w:val="20"/>
          <w:szCs w:val="20"/>
          <w:lang w:val="es-ES_tradnl"/>
        </w:rPr>
        <w:t xml:space="preserve"> se convocó a un plenario del Cuerpo Médico Forense, el cual se expidió el 21 de mayo de 1997. Según el Estado, este plenario “fue dejado sin efecto” por la Sala Cuarta de la Cámara de Crimen, motivo por el cual se ordenó otra pericia, la cual se realizó </w:t>
      </w:r>
      <w:r w:rsidRPr="00B91121">
        <w:rPr>
          <w:rFonts w:asciiTheme="majorHAnsi" w:hAnsiTheme="majorHAnsi"/>
          <w:sz w:val="20"/>
          <w:szCs w:val="20"/>
          <w:lang w:val="es-ES_tradnl"/>
        </w:rPr>
        <w:lastRenderedPageBreak/>
        <w:t xml:space="preserve">en la Universidad Católica de la Provincia de Córdoba. Sostiene el Estado que el juzgado sobreseyó a ambos peritos forenses, decisión que fue confirmada por la Cámara Nacional de Apelaciones en lo Criminal y Correccional, el 21 de octubre de 2002. </w:t>
      </w:r>
    </w:p>
    <w:p w14:paraId="3B66FBB6" w14:textId="77777777" w:rsidR="00172591" w:rsidRPr="00B91121" w:rsidRDefault="00172591" w:rsidP="0017259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14:paraId="78D3369A" w14:textId="77777777" w:rsidR="00172591" w:rsidRPr="00B91121" w:rsidRDefault="00172591" w:rsidP="00261A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1440"/>
        </w:tabs>
        <w:ind w:left="0" w:firstLine="0"/>
        <w:jc w:val="both"/>
        <w:rPr>
          <w:rFonts w:asciiTheme="majorHAnsi" w:hAnsiTheme="majorHAnsi"/>
          <w:sz w:val="20"/>
          <w:szCs w:val="20"/>
          <w:lang w:val="es-ES_tradnl"/>
        </w:rPr>
      </w:pPr>
      <w:r w:rsidRPr="00B91121">
        <w:rPr>
          <w:rFonts w:asciiTheme="majorHAnsi" w:hAnsiTheme="majorHAnsi"/>
          <w:sz w:val="20"/>
          <w:szCs w:val="20"/>
          <w:lang w:val="es-ES_tradnl"/>
        </w:rPr>
        <w:t xml:space="preserve">Adicionalmente, el Estado </w:t>
      </w:r>
      <w:r w:rsidR="00E21500" w:rsidRPr="00B91121">
        <w:rPr>
          <w:rFonts w:asciiTheme="majorHAnsi" w:hAnsiTheme="majorHAnsi"/>
          <w:sz w:val="20"/>
          <w:szCs w:val="20"/>
          <w:lang w:val="es-ES_tradnl"/>
        </w:rPr>
        <w:t xml:space="preserve">señala </w:t>
      </w:r>
      <w:r w:rsidRPr="00B91121">
        <w:rPr>
          <w:rFonts w:asciiTheme="majorHAnsi" w:hAnsiTheme="majorHAnsi"/>
          <w:sz w:val="20"/>
          <w:szCs w:val="20"/>
          <w:lang w:val="es-ES_tradnl"/>
        </w:rPr>
        <w:t>que, a partir de la denuncia interpuesta por el padre de los peticionarios, se investig</w:t>
      </w:r>
      <w:r w:rsidR="00E21500" w:rsidRPr="00B91121">
        <w:rPr>
          <w:rFonts w:asciiTheme="majorHAnsi" w:hAnsiTheme="majorHAnsi"/>
          <w:sz w:val="20"/>
          <w:szCs w:val="20"/>
          <w:lang w:val="es-ES_tradnl"/>
        </w:rPr>
        <w:t>ó</w:t>
      </w:r>
      <w:r w:rsidRPr="00B91121">
        <w:rPr>
          <w:rFonts w:asciiTheme="majorHAnsi" w:hAnsiTheme="majorHAnsi"/>
          <w:sz w:val="20"/>
          <w:szCs w:val="20"/>
          <w:lang w:val="es-ES_tradnl"/>
        </w:rPr>
        <w:t xml:space="preserve"> la presunta responsabilidad de 31 médicos del Cuerpo Médico Forense, </w:t>
      </w:r>
      <w:r w:rsidR="00FF46A5" w:rsidRPr="00B91121">
        <w:rPr>
          <w:rFonts w:asciiTheme="majorHAnsi" w:hAnsiTheme="majorHAnsi"/>
          <w:sz w:val="20"/>
          <w:szCs w:val="20"/>
          <w:lang w:val="es-ES_tradnl"/>
        </w:rPr>
        <w:t xml:space="preserve">por considerar que </w:t>
      </w:r>
      <w:r w:rsidRPr="00B91121">
        <w:rPr>
          <w:rFonts w:asciiTheme="majorHAnsi" w:hAnsiTheme="majorHAnsi"/>
          <w:sz w:val="20"/>
          <w:szCs w:val="20"/>
          <w:lang w:val="es-ES_tradnl"/>
        </w:rPr>
        <w:t>falsifica</w:t>
      </w:r>
      <w:r w:rsidR="00FF46A5" w:rsidRPr="00B91121">
        <w:rPr>
          <w:rFonts w:asciiTheme="majorHAnsi" w:hAnsiTheme="majorHAnsi"/>
          <w:sz w:val="20"/>
          <w:szCs w:val="20"/>
          <w:lang w:val="es-ES_tradnl"/>
        </w:rPr>
        <w:t xml:space="preserve">ron </w:t>
      </w:r>
      <w:r w:rsidR="00E42548" w:rsidRPr="00B91121">
        <w:rPr>
          <w:rFonts w:asciiTheme="majorHAnsi" w:hAnsiTheme="majorHAnsi"/>
          <w:sz w:val="20"/>
          <w:szCs w:val="20"/>
          <w:lang w:val="es-ES_tradnl"/>
        </w:rPr>
        <w:t xml:space="preserve">su </w:t>
      </w:r>
      <w:r w:rsidRPr="00B91121">
        <w:rPr>
          <w:rFonts w:asciiTheme="majorHAnsi" w:hAnsiTheme="majorHAnsi"/>
          <w:sz w:val="20"/>
          <w:szCs w:val="20"/>
          <w:lang w:val="es-ES_tradnl"/>
        </w:rPr>
        <w:t>pericia plenaria. Ex</w:t>
      </w:r>
      <w:r w:rsidR="0046395B" w:rsidRPr="00B91121">
        <w:rPr>
          <w:rFonts w:asciiTheme="majorHAnsi" w:hAnsiTheme="majorHAnsi"/>
          <w:sz w:val="20"/>
          <w:szCs w:val="20"/>
          <w:lang w:val="es-ES_tradnl"/>
        </w:rPr>
        <w:t>plica el Estado que</w:t>
      </w:r>
      <w:r w:rsidRPr="00B91121">
        <w:rPr>
          <w:rFonts w:asciiTheme="majorHAnsi" w:hAnsiTheme="majorHAnsi"/>
          <w:sz w:val="20"/>
          <w:szCs w:val="20"/>
          <w:lang w:val="es-ES_tradnl"/>
        </w:rPr>
        <w:t xml:space="preserve"> el 12 de abril de 1999, el juzgado resolvió sobreseer a los 31 médicos imputados, decisión que fue apelada por l</w:t>
      </w:r>
      <w:r w:rsidR="00E42548" w:rsidRPr="00B91121">
        <w:rPr>
          <w:rFonts w:asciiTheme="majorHAnsi" w:hAnsiTheme="majorHAnsi"/>
          <w:sz w:val="20"/>
          <w:szCs w:val="20"/>
          <w:lang w:val="es-ES_tradnl"/>
        </w:rPr>
        <w:t xml:space="preserve">a parte querellante </w:t>
      </w:r>
      <w:r w:rsidRPr="00B91121">
        <w:rPr>
          <w:rFonts w:asciiTheme="majorHAnsi" w:hAnsiTheme="majorHAnsi"/>
          <w:sz w:val="20"/>
          <w:szCs w:val="20"/>
          <w:lang w:val="es-ES_tradnl"/>
        </w:rPr>
        <w:t xml:space="preserve">y confirmada por la Cámara de Apelaciones, el 6 de agosto de 1999. Contra dicha decisión, </w:t>
      </w:r>
      <w:r w:rsidR="00E42548" w:rsidRPr="00B91121">
        <w:rPr>
          <w:rFonts w:asciiTheme="majorHAnsi" w:hAnsiTheme="majorHAnsi"/>
          <w:sz w:val="20"/>
          <w:szCs w:val="20"/>
          <w:lang w:val="es-ES_tradnl"/>
        </w:rPr>
        <w:t xml:space="preserve">se </w:t>
      </w:r>
      <w:r w:rsidRPr="00B91121">
        <w:rPr>
          <w:rFonts w:asciiTheme="majorHAnsi" w:hAnsiTheme="majorHAnsi"/>
          <w:sz w:val="20"/>
          <w:szCs w:val="20"/>
          <w:lang w:val="es-ES_tradnl"/>
        </w:rPr>
        <w:t>interpus</w:t>
      </w:r>
      <w:r w:rsidR="00E42548" w:rsidRPr="00B91121">
        <w:rPr>
          <w:rFonts w:asciiTheme="majorHAnsi" w:hAnsiTheme="majorHAnsi"/>
          <w:sz w:val="20"/>
          <w:szCs w:val="20"/>
          <w:lang w:val="es-ES_tradnl"/>
        </w:rPr>
        <w:t>o</w:t>
      </w:r>
      <w:r w:rsidRPr="00B91121">
        <w:rPr>
          <w:rFonts w:asciiTheme="majorHAnsi" w:hAnsiTheme="majorHAnsi"/>
          <w:sz w:val="20"/>
          <w:szCs w:val="20"/>
          <w:lang w:val="es-ES_tradnl"/>
        </w:rPr>
        <w:t xml:space="preserve"> recurso de casación, el cual fue rechazado el 20 de octubre de 1999. Interpuesto el recurso de queja por casación denegada, la Cámara Nacional de Casación Penal resolvió desestimarlo el 30 de marzo de 2000. Contra dicha decisión, l</w:t>
      </w:r>
      <w:r w:rsidR="00E42548" w:rsidRPr="00B91121">
        <w:rPr>
          <w:rFonts w:asciiTheme="majorHAnsi" w:hAnsiTheme="majorHAnsi"/>
          <w:sz w:val="20"/>
          <w:szCs w:val="20"/>
          <w:lang w:val="es-ES_tradnl"/>
        </w:rPr>
        <w:t xml:space="preserve">a parte querellante </w:t>
      </w:r>
      <w:r w:rsidRPr="00B91121">
        <w:rPr>
          <w:rFonts w:asciiTheme="majorHAnsi" w:hAnsiTheme="majorHAnsi"/>
          <w:sz w:val="20"/>
          <w:szCs w:val="20"/>
          <w:lang w:val="es-ES_tradnl"/>
        </w:rPr>
        <w:t>interpuso recurso extraordinario federal, el cual fue declarado inadmisible.</w:t>
      </w:r>
    </w:p>
    <w:p w14:paraId="59E2A8B5" w14:textId="77777777" w:rsidR="00172591" w:rsidRPr="00B91121" w:rsidRDefault="00172591" w:rsidP="0017259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VE"/>
        </w:rPr>
      </w:pPr>
    </w:p>
    <w:p w14:paraId="676EFDD8" w14:textId="77777777" w:rsidR="00172591" w:rsidRPr="00B91121" w:rsidRDefault="00757E10" w:rsidP="00261A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1440"/>
        </w:tabs>
        <w:ind w:left="0" w:firstLine="0"/>
        <w:jc w:val="both"/>
        <w:rPr>
          <w:rFonts w:asciiTheme="majorHAnsi" w:hAnsiTheme="majorHAnsi"/>
          <w:sz w:val="20"/>
          <w:szCs w:val="20"/>
          <w:lang w:val="es-ES_tradnl"/>
        </w:rPr>
      </w:pPr>
      <w:r w:rsidRPr="00B91121">
        <w:rPr>
          <w:rFonts w:asciiTheme="majorHAnsi" w:hAnsiTheme="majorHAnsi"/>
          <w:sz w:val="20"/>
          <w:szCs w:val="20"/>
          <w:lang w:val="es-ES_tradnl"/>
        </w:rPr>
        <w:t xml:space="preserve">El </w:t>
      </w:r>
      <w:r w:rsidR="00172591" w:rsidRPr="00B91121">
        <w:rPr>
          <w:rFonts w:asciiTheme="majorHAnsi" w:hAnsiTheme="majorHAnsi"/>
          <w:sz w:val="20"/>
          <w:szCs w:val="20"/>
          <w:lang w:val="es-ES_tradnl"/>
        </w:rPr>
        <w:t>Estado alega que los procesos seguidos en contra del</w:t>
      </w:r>
      <w:r w:rsidR="00B4451A" w:rsidRPr="00B91121">
        <w:rPr>
          <w:rFonts w:asciiTheme="majorHAnsi" w:hAnsiTheme="majorHAnsi"/>
          <w:sz w:val="20"/>
          <w:szCs w:val="20"/>
          <w:lang w:val="es-ES_tradnl"/>
        </w:rPr>
        <w:t xml:space="preserve"> personal </w:t>
      </w:r>
      <w:r w:rsidR="00172591" w:rsidRPr="00B91121">
        <w:rPr>
          <w:rFonts w:asciiTheme="majorHAnsi" w:hAnsiTheme="majorHAnsi"/>
          <w:sz w:val="20"/>
          <w:szCs w:val="20"/>
          <w:lang w:val="es-ES_tradnl"/>
        </w:rPr>
        <w:t xml:space="preserve">médico imputado se ajustaron a las garantías del debido proceso legal conforme </w:t>
      </w:r>
      <w:r w:rsidR="00811D41" w:rsidRPr="00B91121">
        <w:rPr>
          <w:rFonts w:asciiTheme="majorHAnsi" w:hAnsiTheme="majorHAnsi"/>
          <w:sz w:val="20"/>
          <w:szCs w:val="20"/>
          <w:lang w:val="es-ES_tradnl"/>
        </w:rPr>
        <w:t xml:space="preserve">a </w:t>
      </w:r>
      <w:r w:rsidR="00172591" w:rsidRPr="00B91121">
        <w:rPr>
          <w:rFonts w:asciiTheme="majorHAnsi" w:hAnsiTheme="majorHAnsi"/>
          <w:sz w:val="20"/>
          <w:szCs w:val="20"/>
          <w:lang w:val="es-ES_tradnl"/>
        </w:rPr>
        <w:t xml:space="preserve">los estándares exigidos por el derecho internacional de los derechos humanos y la Convención Americana. En tal sentido, </w:t>
      </w:r>
      <w:r w:rsidR="00811D41" w:rsidRPr="00B91121">
        <w:rPr>
          <w:rFonts w:asciiTheme="majorHAnsi" w:hAnsiTheme="majorHAnsi"/>
          <w:sz w:val="20"/>
          <w:szCs w:val="20"/>
          <w:lang w:val="es-ES_tradnl"/>
        </w:rPr>
        <w:t>afirma</w:t>
      </w:r>
      <w:r w:rsidR="00172591" w:rsidRPr="00B91121">
        <w:rPr>
          <w:rFonts w:asciiTheme="majorHAnsi" w:hAnsiTheme="majorHAnsi"/>
          <w:sz w:val="20"/>
          <w:szCs w:val="20"/>
          <w:lang w:val="es-ES_tradnl"/>
        </w:rPr>
        <w:t xml:space="preserve"> que no consta en los expedientes ningún elemento que permita sostener la inexistencia de independencia e imparcialidad de los jueces o </w:t>
      </w:r>
      <w:r w:rsidR="00B4451A" w:rsidRPr="00B91121">
        <w:rPr>
          <w:rFonts w:asciiTheme="majorHAnsi" w:hAnsiTheme="majorHAnsi"/>
          <w:sz w:val="20"/>
          <w:szCs w:val="20"/>
          <w:lang w:val="es-ES_tradnl"/>
        </w:rPr>
        <w:t xml:space="preserve">de </w:t>
      </w:r>
      <w:r w:rsidR="00172591" w:rsidRPr="00B91121">
        <w:rPr>
          <w:rFonts w:asciiTheme="majorHAnsi" w:hAnsiTheme="majorHAnsi"/>
          <w:sz w:val="20"/>
          <w:szCs w:val="20"/>
          <w:lang w:val="es-ES_tradnl"/>
        </w:rPr>
        <w:t>los tribunales que absolvieron a los médicos imputados. Asevera que l</w:t>
      </w:r>
      <w:r w:rsidR="00DE6DA9" w:rsidRPr="00B91121">
        <w:rPr>
          <w:rFonts w:asciiTheme="majorHAnsi" w:hAnsiTheme="majorHAnsi"/>
          <w:sz w:val="20"/>
          <w:szCs w:val="20"/>
          <w:lang w:val="es-ES_tradnl"/>
        </w:rPr>
        <w:t>a</w:t>
      </w:r>
      <w:r w:rsidR="00172591" w:rsidRPr="00B91121">
        <w:rPr>
          <w:rFonts w:asciiTheme="majorHAnsi" w:hAnsiTheme="majorHAnsi"/>
          <w:sz w:val="20"/>
          <w:szCs w:val="20"/>
          <w:lang w:val="es-ES_tradnl"/>
        </w:rPr>
        <w:t xml:space="preserve"> </w:t>
      </w:r>
      <w:r w:rsidR="00DE6DA9" w:rsidRPr="00B91121">
        <w:rPr>
          <w:rFonts w:asciiTheme="majorHAnsi" w:hAnsiTheme="majorHAnsi"/>
          <w:sz w:val="20"/>
          <w:szCs w:val="20"/>
          <w:lang w:val="es-ES_tradnl"/>
        </w:rPr>
        <w:t xml:space="preserve">parte </w:t>
      </w:r>
      <w:r w:rsidR="00172591" w:rsidRPr="00B91121">
        <w:rPr>
          <w:rFonts w:asciiTheme="majorHAnsi" w:hAnsiTheme="majorHAnsi"/>
          <w:sz w:val="20"/>
          <w:szCs w:val="20"/>
          <w:lang w:val="es-ES_tradnl"/>
        </w:rPr>
        <w:t>peticionari</w:t>
      </w:r>
      <w:r w:rsidR="00DE6DA9" w:rsidRPr="00B91121">
        <w:rPr>
          <w:rFonts w:asciiTheme="majorHAnsi" w:hAnsiTheme="majorHAnsi"/>
          <w:sz w:val="20"/>
          <w:szCs w:val="20"/>
          <w:lang w:val="es-ES_tradnl"/>
        </w:rPr>
        <w:t>a</w:t>
      </w:r>
      <w:r w:rsidR="00172591" w:rsidRPr="00B91121">
        <w:rPr>
          <w:rFonts w:asciiTheme="majorHAnsi" w:hAnsiTheme="majorHAnsi"/>
          <w:sz w:val="20"/>
          <w:szCs w:val="20"/>
          <w:lang w:val="es-ES_tradnl"/>
        </w:rPr>
        <w:t>, en su carácter de querellante, nunca recus</w:t>
      </w:r>
      <w:r w:rsidRPr="00B91121">
        <w:rPr>
          <w:rFonts w:asciiTheme="majorHAnsi" w:hAnsiTheme="majorHAnsi"/>
          <w:sz w:val="20"/>
          <w:szCs w:val="20"/>
          <w:lang w:val="es-ES_tradnl"/>
        </w:rPr>
        <w:t>ó</w:t>
      </w:r>
      <w:r w:rsidR="00172591" w:rsidRPr="00B91121">
        <w:rPr>
          <w:rFonts w:asciiTheme="majorHAnsi" w:hAnsiTheme="majorHAnsi"/>
          <w:sz w:val="20"/>
          <w:szCs w:val="20"/>
          <w:lang w:val="es-ES_tradnl"/>
        </w:rPr>
        <w:t xml:space="preserve"> a los jueces intervinientes, siempre goz</w:t>
      </w:r>
      <w:r w:rsidRPr="00B91121">
        <w:rPr>
          <w:rFonts w:asciiTheme="majorHAnsi" w:hAnsiTheme="majorHAnsi"/>
          <w:sz w:val="20"/>
          <w:szCs w:val="20"/>
          <w:lang w:val="es-ES_tradnl"/>
        </w:rPr>
        <w:t>ó</w:t>
      </w:r>
      <w:r w:rsidR="00172591" w:rsidRPr="00B91121">
        <w:rPr>
          <w:rFonts w:asciiTheme="majorHAnsi" w:hAnsiTheme="majorHAnsi"/>
          <w:sz w:val="20"/>
          <w:szCs w:val="20"/>
          <w:lang w:val="es-ES_tradnl"/>
        </w:rPr>
        <w:t xml:space="preserve"> plenamente de la posibilidad de efectuar todas las presentaciones que consider</w:t>
      </w:r>
      <w:r w:rsidRPr="00B91121">
        <w:rPr>
          <w:rFonts w:asciiTheme="majorHAnsi" w:hAnsiTheme="majorHAnsi"/>
          <w:sz w:val="20"/>
          <w:szCs w:val="20"/>
          <w:lang w:val="es-ES_tradnl"/>
        </w:rPr>
        <w:t>ó</w:t>
      </w:r>
      <w:r w:rsidR="00172591" w:rsidRPr="00B91121">
        <w:rPr>
          <w:rFonts w:asciiTheme="majorHAnsi" w:hAnsiTheme="majorHAnsi"/>
          <w:sz w:val="20"/>
          <w:szCs w:val="20"/>
          <w:lang w:val="es-ES_tradnl"/>
        </w:rPr>
        <w:t xml:space="preserve"> pertinentes y present</w:t>
      </w:r>
      <w:r w:rsidRPr="00B91121">
        <w:rPr>
          <w:rFonts w:asciiTheme="majorHAnsi" w:hAnsiTheme="majorHAnsi"/>
          <w:sz w:val="20"/>
          <w:szCs w:val="20"/>
          <w:lang w:val="es-ES_tradnl"/>
        </w:rPr>
        <w:t xml:space="preserve">ó </w:t>
      </w:r>
      <w:r w:rsidR="00172591" w:rsidRPr="00B91121">
        <w:rPr>
          <w:rFonts w:asciiTheme="majorHAnsi" w:hAnsiTheme="majorHAnsi"/>
          <w:sz w:val="20"/>
          <w:szCs w:val="20"/>
          <w:lang w:val="es-ES_tradnl"/>
        </w:rPr>
        <w:t>tod</w:t>
      </w:r>
      <w:r w:rsidRPr="00B91121">
        <w:rPr>
          <w:rFonts w:asciiTheme="majorHAnsi" w:hAnsiTheme="majorHAnsi"/>
          <w:sz w:val="20"/>
          <w:szCs w:val="20"/>
          <w:lang w:val="es-ES_tradnl"/>
        </w:rPr>
        <w:t xml:space="preserve">os </w:t>
      </w:r>
      <w:r w:rsidR="00172591" w:rsidRPr="00B91121">
        <w:rPr>
          <w:rFonts w:asciiTheme="majorHAnsi" w:hAnsiTheme="majorHAnsi"/>
          <w:sz w:val="20"/>
          <w:szCs w:val="20"/>
          <w:lang w:val="es-ES_tradnl"/>
        </w:rPr>
        <w:t>los recursos procesales previstos por el derecho interno.</w:t>
      </w:r>
    </w:p>
    <w:p w14:paraId="280D3C5C" w14:textId="77777777" w:rsidR="00172591" w:rsidRPr="00B91121" w:rsidRDefault="00172591" w:rsidP="004123B2">
      <w:pPr>
        <w:rPr>
          <w:lang w:val="es-MX"/>
        </w:rPr>
      </w:pPr>
    </w:p>
    <w:p w14:paraId="1ED156B0" w14:textId="77777777" w:rsidR="00CC63CF" w:rsidRPr="00B91121" w:rsidRDefault="00172591" w:rsidP="00261A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1440"/>
        </w:tabs>
        <w:ind w:left="0" w:firstLine="0"/>
        <w:jc w:val="both"/>
        <w:rPr>
          <w:rFonts w:asciiTheme="majorHAnsi" w:hAnsiTheme="majorHAnsi"/>
          <w:sz w:val="20"/>
          <w:szCs w:val="20"/>
          <w:lang w:val="es-ES_tradnl"/>
        </w:rPr>
      </w:pPr>
      <w:r w:rsidRPr="00B91121">
        <w:rPr>
          <w:rFonts w:asciiTheme="majorHAnsi" w:hAnsiTheme="majorHAnsi"/>
          <w:sz w:val="20"/>
          <w:szCs w:val="20"/>
          <w:lang w:val="es-ES_tradnl"/>
        </w:rPr>
        <w:t>El Estado señala que la cadena de pericias, que los peticionarios alegan fueron falsificadas al efecto de encubrir a personal médico, han sido dejadas sin efecto en el ámbito interno. La última de ellas —la realizada por el plenario del Cuerpo Médico Forense— fue descalificada por la Cámara del Crimen y luego fue ordenada una nueva pericia, respecto de la cual no luce cuestionamiento alguno por parte de los denunciantes, al menos en los actuados.</w:t>
      </w:r>
      <w:r w:rsidR="00811D41" w:rsidRPr="00B91121">
        <w:rPr>
          <w:rFonts w:asciiTheme="majorHAnsi" w:hAnsiTheme="majorHAnsi"/>
          <w:sz w:val="20"/>
          <w:szCs w:val="20"/>
          <w:lang w:val="es-ES_tradnl"/>
        </w:rPr>
        <w:t xml:space="preserve"> A</w:t>
      </w:r>
      <w:r w:rsidRPr="00B91121">
        <w:rPr>
          <w:rFonts w:asciiTheme="majorHAnsi" w:hAnsiTheme="majorHAnsi"/>
          <w:sz w:val="20"/>
          <w:szCs w:val="20"/>
          <w:lang w:val="es-ES_tradnl"/>
        </w:rPr>
        <w:t>greg</w:t>
      </w:r>
      <w:r w:rsidR="00811D41" w:rsidRPr="00B91121">
        <w:rPr>
          <w:rFonts w:asciiTheme="majorHAnsi" w:hAnsiTheme="majorHAnsi"/>
          <w:sz w:val="20"/>
          <w:szCs w:val="20"/>
          <w:lang w:val="es-ES_tradnl"/>
        </w:rPr>
        <w:t>a</w:t>
      </w:r>
      <w:r w:rsidRPr="00B91121">
        <w:rPr>
          <w:rFonts w:asciiTheme="majorHAnsi" w:hAnsiTheme="majorHAnsi"/>
          <w:sz w:val="20"/>
          <w:szCs w:val="20"/>
          <w:lang w:val="es-ES_tradnl"/>
        </w:rPr>
        <w:t xml:space="preserve"> que el mero hecho de que el personal médico que ha sido objeto de denuncia por parte de los peticionarios no haya sido condenado por los delitos que estos les atribuyen, no supone que se hubieran configurado violaciones a las garantías judiciales. </w:t>
      </w:r>
    </w:p>
    <w:p w14:paraId="5FF7596E" w14:textId="77777777" w:rsidR="00FF6D26" w:rsidRPr="00B91121" w:rsidRDefault="00FF6D26" w:rsidP="00FF6D26">
      <w:pPr>
        <w:pStyle w:val="parrafos"/>
        <w:numPr>
          <w:ilvl w:val="0"/>
          <w:numId w:val="0"/>
        </w:numPr>
      </w:pPr>
    </w:p>
    <w:p w14:paraId="2F2EB358" w14:textId="77777777" w:rsidR="00261A50" w:rsidRPr="00B91121" w:rsidRDefault="00FF6D26" w:rsidP="00261A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1440"/>
        </w:tabs>
        <w:ind w:left="0" w:firstLine="0"/>
        <w:jc w:val="both"/>
        <w:rPr>
          <w:rFonts w:asciiTheme="majorHAnsi" w:hAnsiTheme="majorHAnsi"/>
          <w:sz w:val="20"/>
          <w:szCs w:val="20"/>
          <w:lang w:val="es-ES_tradnl"/>
        </w:rPr>
      </w:pPr>
      <w:r w:rsidRPr="00B91121">
        <w:rPr>
          <w:rFonts w:asciiTheme="majorHAnsi" w:hAnsiTheme="majorHAnsi"/>
          <w:sz w:val="20"/>
          <w:szCs w:val="20"/>
          <w:lang w:val="es-ES_tradnl"/>
        </w:rPr>
        <w:t>El Estado refiere que la parte peticionaria se limita a señalar que los fallos emitidos por las distintas instancias judiciales fueron equivocados en sus razonamientos y que no tomaron en cuenta hechos y pruebas esenciales para demostrar la responsabilidad penal de los imputados</w:t>
      </w:r>
      <w:r w:rsidR="00811D41" w:rsidRPr="00B91121">
        <w:rPr>
          <w:rFonts w:asciiTheme="majorHAnsi" w:hAnsiTheme="majorHAnsi"/>
          <w:sz w:val="20"/>
          <w:szCs w:val="20"/>
          <w:lang w:val="es-ES_tradnl"/>
        </w:rPr>
        <w:t>. S</w:t>
      </w:r>
      <w:r w:rsidR="004A0C3C" w:rsidRPr="00B91121">
        <w:rPr>
          <w:rFonts w:asciiTheme="majorHAnsi" w:hAnsiTheme="majorHAnsi"/>
          <w:sz w:val="20"/>
          <w:szCs w:val="20"/>
          <w:lang w:val="es-ES_tradnl"/>
        </w:rPr>
        <w:t>e limita a cuestionar las valoraciones de los hechos y elementos probatorios producidos en las causas.</w:t>
      </w:r>
    </w:p>
    <w:p w14:paraId="2DA2FD67" w14:textId="77777777" w:rsidR="00261A50" w:rsidRPr="00B91121" w:rsidRDefault="00261A50" w:rsidP="00300E48">
      <w:pPr>
        <w:ind w:left="720"/>
        <w:rPr>
          <w:lang w:val="es-ES_tradnl"/>
        </w:rPr>
      </w:pPr>
    </w:p>
    <w:p w14:paraId="60E0285D" w14:textId="77777777" w:rsidR="001D586D" w:rsidRPr="00B91121" w:rsidRDefault="001D586D" w:rsidP="00261A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1440"/>
        </w:tabs>
        <w:ind w:left="0" w:firstLine="0"/>
        <w:jc w:val="both"/>
        <w:rPr>
          <w:rFonts w:ascii="Cambria" w:hAnsi="Cambria"/>
          <w:sz w:val="20"/>
          <w:szCs w:val="20"/>
          <w:lang w:val="es-ES_tradnl"/>
        </w:rPr>
      </w:pPr>
      <w:r w:rsidRPr="00B91121">
        <w:rPr>
          <w:rFonts w:ascii="Cambria" w:hAnsi="Cambria"/>
          <w:sz w:val="20"/>
          <w:szCs w:val="20"/>
          <w:lang w:val="es-MX"/>
        </w:rPr>
        <w:t>En cuanto a la alegada violación del derec</w:t>
      </w:r>
      <w:r w:rsidR="00D2210B" w:rsidRPr="00B91121">
        <w:rPr>
          <w:rFonts w:ascii="Cambria" w:hAnsi="Cambria"/>
          <w:sz w:val="20"/>
          <w:szCs w:val="20"/>
          <w:lang w:val="es-MX"/>
        </w:rPr>
        <w:t xml:space="preserve">ho a la vida, el Estado indica </w:t>
      </w:r>
      <w:r w:rsidRPr="00B91121">
        <w:rPr>
          <w:rFonts w:ascii="Cambria" w:hAnsi="Cambria"/>
          <w:sz w:val="20"/>
          <w:szCs w:val="20"/>
          <w:lang w:val="es-MX"/>
        </w:rPr>
        <w:t xml:space="preserve">que los hechos no han sido corroborados en sede interna, ni tampoco la parte peticionaria aportó pruebas que permitan demostrar que la muerte de la </w:t>
      </w:r>
      <w:r w:rsidR="00D2210B" w:rsidRPr="00B91121">
        <w:rPr>
          <w:rFonts w:ascii="Cambria" w:hAnsi="Cambria"/>
          <w:sz w:val="20"/>
          <w:szCs w:val="20"/>
          <w:lang w:val="es-MX"/>
        </w:rPr>
        <w:t xml:space="preserve">señora </w:t>
      </w:r>
      <w:r w:rsidRPr="00B91121">
        <w:rPr>
          <w:rFonts w:ascii="Cambria" w:hAnsi="Cambria"/>
          <w:sz w:val="20"/>
          <w:szCs w:val="20"/>
          <w:lang w:val="es-MX"/>
        </w:rPr>
        <w:t xml:space="preserve">Britez Arce ocurrió como consecuencia de la </w:t>
      </w:r>
      <w:r w:rsidR="00811D41" w:rsidRPr="00B91121">
        <w:rPr>
          <w:rFonts w:ascii="Cambria" w:hAnsi="Cambria"/>
          <w:sz w:val="20"/>
          <w:szCs w:val="20"/>
          <w:lang w:val="es-MX"/>
        </w:rPr>
        <w:t xml:space="preserve">presunta </w:t>
      </w:r>
      <w:r w:rsidRPr="00B91121">
        <w:rPr>
          <w:rFonts w:ascii="Cambria" w:hAnsi="Cambria"/>
          <w:sz w:val="20"/>
          <w:szCs w:val="20"/>
          <w:lang w:val="es-MX"/>
        </w:rPr>
        <w:t>mala práxis ejercida por el equi</w:t>
      </w:r>
      <w:r w:rsidR="00141CA1" w:rsidRPr="00B91121">
        <w:rPr>
          <w:rFonts w:ascii="Cambria" w:hAnsi="Cambria"/>
          <w:sz w:val="20"/>
          <w:szCs w:val="20"/>
          <w:lang w:val="es-MX"/>
        </w:rPr>
        <w:t>po médico de</w:t>
      </w:r>
      <w:r w:rsidR="00811D41" w:rsidRPr="00B91121">
        <w:rPr>
          <w:rFonts w:ascii="Cambria" w:hAnsi="Cambria"/>
          <w:sz w:val="20"/>
          <w:szCs w:val="20"/>
          <w:lang w:val="es-MX"/>
        </w:rPr>
        <w:t xml:space="preserve">l Hospital Público </w:t>
      </w:r>
      <w:r w:rsidR="00141CA1" w:rsidRPr="00B91121">
        <w:rPr>
          <w:rFonts w:ascii="Cambria" w:hAnsi="Cambria"/>
          <w:sz w:val="20"/>
          <w:szCs w:val="20"/>
          <w:lang w:val="es-MX"/>
        </w:rPr>
        <w:t>Sardá</w:t>
      </w:r>
      <w:r w:rsidRPr="00B91121">
        <w:rPr>
          <w:rFonts w:ascii="Cambria" w:hAnsi="Cambria"/>
          <w:sz w:val="20"/>
          <w:szCs w:val="20"/>
          <w:lang w:val="es-MX"/>
        </w:rPr>
        <w:t>. Asimismo,</w:t>
      </w:r>
      <w:r w:rsidR="00D2210B" w:rsidRPr="00B91121">
        <w:rPr>
          <w:rFonts w:ascii="Cambria" w:hAnsi="Cambria"/>
          <w:sz w:val="20"/>
          <w:szCs w:val="20"/>
          <w:lang w:val="es-MX"/>
        </w:rPr>
        <w:t xml:space="preserve"> afirma que</w:t>
      </w:r>
      <w:r w:rsidRPr="00B91121">
        <w:rPr>
          <w:rFonts w:ascii="Cambria" w:hAnsi="Cambria"/>
          <w:sz w:val="20"/>
          <w:szCs w:val="20"/>
          <w:lang w:val="es-MX"/>
        </w:rPr>
        <w:t xml:space="preserve"> la existencia o no de mala práxis no puede ser determinada por la Comisión, no sólo porque carecería de los elementos necesarios para así establecerlo, sino porque además dicha determinación excede su ámbito de competen</w:t>
      </w:r>
      <w:r w:rsidR="00811D41" w:rsidRPr="00B91121">
        <w:rPr>
          <w:rFonts w:ascii="Cambria" w:hAnsi="Cambria"/>
          <w:sz w:val="20"/>
          <w:szCs w:val="20"/>
          <w:lang w:val="es-MX"/>
        </w:rPr>
        <w:t>cia</w:t>
      </w:r>
      <w:r w:rsidRPr="00B91121">
        <w:rPr>
          <w:rFonts w:ascii="Cambria" w:hAnsi="Cambria"/>
          <w:color w:val="000000" w:themeColor="text1"/>
          <w:sz w:val="20"/>
          <w:szCs w:val="20"/>
          <w:lang w:val="es-VE"/>
        </w:rPr>
        <w:t xml:space="preserve">, </w:t>
      </w:r>
      <w:r w:rsidR="00CC7705" w:rsidRPr="00B91121">
        <w:rPr>
          <w:rFonts w:ascii="Cambria" w:hAnsi="Cambria"/>
          <w:color w:val="000000" w:themeColor="text1"/>
          <w:sz w:val="20"/>
          <w:szCs w:val="20"/>
          <w:lang w:val="es-VE"/>
        </w:rPr>
        <w:t xml:space="preserve">que corresponde a la </w:t>
      </w:r>
      <w:r w:rsidRPr="00B91121">
        <w:rPr>
          <w:rFonts w:ascii="Cambria" w:hAnsi="Cambria"/>
          <w:color w:val="000000" w:themeColor="text1"/>
          <w:sz w:val="20"/>
          <w:szCs w:val="20"/>
          <w:lang w:val="es-VE"/>
        </w:rPr>
        <w:t>justicia local</w:t>
      </w:r>
      <w:r w:rsidR="00CC7705" w:rsidRPr="00B91121">
        <w:rPr>
          <w:rFonts w:ascii="Cambria" w:hAnsi="Cambria"/>
          <w:color w:val="000000" w:themeColor="text1"/>
          <w:sz w:val="20"/>
          <w:szCs w:val="20"/>
          <w:lang w:val="es-VE"/>
        </w:rPr>
        <w:t xml:space="preserve"> y</w:t>
      </w:r>
      <w:r w:rsidRPr="00B91121">
        <w:rPr>
          <w:rFonts w:ascii="Cambria" w:hAnsi="Cambria"/>
          <w:color w:val="000000" w:themeColor="text1"/>
          <w:sz w:val="20"/>
          <w:szCs w:val="20"/>
          <w:lang w:val="es-VE"/>
        </w:rPr>
        <w:t xml:space="preserve"> que </w:t>
      </w:r>
      <w:r w:rsidR="00811D41" w:rsidRPr="00B91121">
        <w:rPr>
          <w:rFonts w:ascii="Cambria" w:hAnsi="Cambria"/>
          <w:color w:val="000000" w:themeColor="text1"/>
          <w:sz w:val="20"/>
          <w:szCs w:val="20"/>
          <w:lang w:val="es-VE"/>
        </w:rPr>
        <w:t xml:space="preserve">ésta </w:t>
      </w:r>
      <w:r w:rsidRPr="00B91121">
        <w:rPr>
          <w:rFonts w:ascii="Cambria" w:hAnsi="Cambria"/>
          <w:color w:val="000000" w:themeColor="text1"/>
          <w:sz w:val="20"/>
          <w:szCs w:val="20"/>
          <w:lang w:val="es-VE"/>
        </w:rPr>
        <w:t>ya se pronunció al respe</w:t>
      </w:r>
      <w:r w:rsidR="00D2210B" w:rsidRPr="00B91121">
        <w:rPr>
          <w:rFonts w:ascii="Cambria" w:hAnsi="Cambria"/>
          <w:color w:val="000000" w:themeColor="text1"/>
          <w:sz w:val="20"/>
          <w:szCs w:val="20"/>
          <w:lang w:val="es-VE"/>
        </w:rPr>
        <w:t>cto descartando esa posibilidad</w:t>
      </w:r>
      <w:r w:rsidRPr="00B91121">
        <w:rPr>
          <w:rFonts w:ascii="Cambria" w:hAnsi="Cambria"/>
          <w:color w:val="000000" w:themeColor="text1"/>
          <w:sz w:val="20"/>
          <w:szCs w:val="20"/>
          <w:lang w:val="es-VE"/>
        </w:rPr>
        <w:t>.</w:t>
      </w:r>
    </w:p>
    <w:p w14:paraId="127970B9" w14:textId="77777777" w:rsidR="004639D4" w:rsidRPr="00B91121" w:rsidRDefault="004639D4" w:rsidP="0086464B">
      <w:pPr>
        <w:ind w:left="720"/>
        <w:rPr>
          <w:lang w:val="es-ES_tradnl"/>
        </w:rPr>
      </w:pPr>
    </w:p>
    <w:p w14:paraId="57E62320" w14:textId="77777777" w:rsidR="004639D4" w:rsidRPr="00B91121" w:rsidRDefault="004639D4" w:rsidP="00261A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1440"/>
        </w:tabs>
        <w:ind w:left="0" w:firstLine="0"/>
        <w:jc w:val="both"/>
        <w:rPr>
          <w:rFonts w:ascii="Cambria" w:hAnsi="Cambria"/>
          <w:sz w:val="20"/>
          <w:szCs w:val="20"/>
          <w:lang w:val="es-MX"/>
        </w:rPr>
      </w:pPr>
      <w:r w:rsidRPr="00B91121">
        <w:rPr>
          <w:rFonts w:ascii="Cambria" w:hAnsi="Cambria"/>
          <w:sz w:val="20"/>
          <w:szCs w:val="20"/>
          <w:lang w:val="es-MX"/>
        </w:rPr>
        <w:t xml:space="preserve">El Estado refiere que la parte peticionaria no ha logrado fundamentar de manera fehaciente  que las violaciones alegadas se hayan producido. Afirma que el único respaldo de la parte peticionara es el informe pericial realizado por los médicos de la Universidad Católica de Córdoba que fuera desestimado en sede interna. </w:t>
      </w:r>
      <w:r w:rsidR="00360AE5" w:rsidRPr="00B91121">
        <w:rPr>
          <w:rFonts w:ascii="Cambria" w:hAnsi="Cambria"/>
          <w:sz w:val="20"/>
          <w:szCs w:val="20"/>
          <w:lang w:val="es-MX"/>
        </w:rPr>
        <w:t xml:space="preserve"> Respecto de dicha pericia, el Estado señala que fue desestimada tanto en la causa penal como en la civil por considerar que las conclusiones a las que arribaron los médicos se habían visto teñidas de parcialidad no sólo por haberse excedido en la adjetivación de las conductas y en la descalificación personal de los otros profesionales intervinientes, sino también por “haber construido muchos de sus razonamientos a partir de datos no probados, o alegados solo por la parte actora en la demanda”.</w:t>
      </w:r>
    </w:p>
    <w:p w14:paraId="32DE6C20" w14:textId="3929D42E" w:rsidR="00924138" w:rsidRDefault="00924138" w:rsidP="0086464B">
      <w:pPr>
        <w:ind w:left="720"/>
        <w:rPr>
          <w:lang w:val="es-ES"/>
        </w:rPr>
      </w:pPr>
    </w:p>
    <w:p w14:paraId="14BDB0DF" w14:textId="7FBB1FE1" w:rsidR="00F6687F" w:rsidRDefault="00F6687F" w:rsidP="0086464B">
      <w:pPr>
        <w:ind w:left="720"/>
        <w:rPr>
          <w:lang w:val="es-ES"/>
        </w:rPr>
      </w:pPr>
    </w:p>
    <w:p w14:paraId="48C30787" w14:textId="1E5BAF86" w:rsidR="00F6687F" w:rsidRDefault="00F6687F" w:rsidP="0086464B">
      <w:pPr>
        <w:ind w:left="720"/>
        <w:rPr>
          <w:lang w:val="es-ES"/>
        </w:rPr>
      </w:pPr>
    </w:p>
    <w:p w14:paraId="3E6965A5" w14:textId="77777777" w:rsidR="00F6687F" w:rsidRPr="00B91121" w:rsidRDefault="00F6687F" w:rsidP="0086464B">
      <w:pPr>
        <w:ind w:left="720"/>
        <w:rPr>
          <w:lang w:val="es-ES"/>
        </w:rPr>
      </w:pPr>
    </w:p>
    <w:p w14:paraId="19E6D7E0" w14:textId="77777777" w:rsidR="00924138" w:rsidRPr="00B91121" w:rsidRDefault="00924138" w:rsidP="00261A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1440"/>
        </w:tabs>
        <w:ind w:left="0" w:firstLine="0"/>
        <w:jc w:val="both"/>
        <w:rPr>
          <w:rFonts w:ascii="Cambria" w:hAnsi="Cambria"/>
          <w:sz w:val="20"/>
          <w:szCs w:val="20"/>
          <w:lang w:val="es-MX"/>
        </w:rPr>
      </w:pPr>
      <w:r w:rsidRPr="00B91121">
        <w:rPr>
          <w:rFonts w:ascii="Cambria" w:hAnsi="Cambria"/>
          <w:sz w:val="20"/>
          <w:szCs w:val="20"/>
          <w:lang w:val="es-MX"/>
        </w:rPr>
        <w:t xml:space="preserve">El Estado señala que debe tenerse en cuenta que: a) la señora Birtez Arce comenzó sus controles en la Maternidad </w:t>
      </w:r>
      <w:r w:rsidR="00141CA1" w:rsidRPr="00B91121">
        <w:rPr>
          <w:rFonts w:ascii="Cambria" w:hAnsi="Cambria"/>
          <w:sz w:val="20"/>
          <w:szCs w:val="20"/>
          <w:lang w:val="es-MX"/>
        </w:rPr>
        <w:t>Sardá</w:t>
      </w:r>
      <w:r w:rsidRPr="00B91121">
        <w:rPr>
          <w:rFonts w:ascii="Cambria" w:hAnsi="Cambria"/>
          <w:sz w:val="20"/>
          <w:szCs w:val="20"/>
          <w:lang w:val="es-MX"/>
        </w:rPr>
        <w:t xml:space="preserve"> el 10 de marzo de 1992, contando ya con 29 semanas de gestación; b) se le realizaron numerosos controles, no presentando anomalías; c) que las alegadas irregularidades de la historia clínica No.</w:t>
      </w:r>
      <w:r w:rsidR="00D2210B" w:rsidRPr="00B91121">
        <w:rPr>
          <w:rFonts w:ascii="Cambria" w:hAnsi="Cambria"/>
          <w:sz w:val="20"/>
          <w:szCs w:val="20"/>
          <w:lang w:val="es-MX"/>
        </w:rPr>
        <w:t xml:space="preserve"> 309.420 no fueron acreditadas </w:t>
      </w:r>
      <w:r w:rsidRPr="00B91121">
        <w:rPr>
          <w:rFonts w:ascii="Cambria" w:hAnsi="Cambria"/>
          <w:sz w:val="20"/>
          <w:szCs w:val="20"/>
          <w:lang w:val="es-MX"/>
        </w:rPr>
        <w:t>en sede interna, donde se consideró que las mismas obedecían a desprolijidades y no reflejaban voluntad de adulterar un documento; d) que la decisión de la familia de no realizar una autopsia inmediata después del deceso de la señora Britez Arce, dificultó las posibilidades de estable</w:t>
      </w:r>
      <w:r w:rsidR="00D2210B" w:rsidRPr="00B91121">
        <w:rPr>
          <w:rFonts w:ascii="Cambria" w:hAnsi="Cambria"/>
          <w:sz w:val="20"/>
          <w:szCs w:val="20"/>
          <w:lang w:val="es-MX"/>
        </w:rPr>
        <w:t>cer con certeza la causa</w:t>
      </w:r>
      <w:r w:rsidRPr="00B91121">
        <w:rPr>
          <w:rFonts w:ascii="Cambria" w:hAnsi="Cambria"/>
          <w:sz w:val="20"/>
          <w:szCs w:val="20"/>
          <w:lang w:val="es-MX"/>
        </w:rPr>
        <w:t xml:space="preserve"> de su muerte.</w:t>
      </w:r>
    </w:p>
    <w:p w14:paraId="47F47475" w14:textId="77777777" w:rsidR="00924138" w:rsidRPr="00B91121" w:rsidRDefault="00924138" w:rsidP="00261A5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MX"/>
        </w:rPr>
      </w:pPr>
    </w:p>
    <w:p w14:paraId="08247C4E" w14:textId="77777777" w:rsidR="00924138" w:rsidRPr="00B91121" w:rsidRDefault="00924138" w:rsidP="00261A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1440"/>
        </w:tabs>
        <w:ind w:left="0" w:firstLine="0"/>
        <w:jc w:val="both"/>
        <w:rPr>
          <w:rFonts w:ascii="Cambria" w:hAnsi="Cambria"/>
          <w:sz w:val="20"/>
          <w:szCs w:val="20"/>
          <w:lang w:val="es-MX"/>
        </w:rPr>
      </w:pPr>
      <w:r w:rsidRPr="00B91121">
        <w:rPr>
          <w:rFonts w:ascii="Cambria" w:hAnsi="Cambria"/>
          <w:sz w:val="20"/>
          <w:szCs w:val="20"/>
          <w:lang w:val="es-MX"/>
        </w:rPr>
        <w:t xml:space="preserve"> </w:t>
      </w:r>
      <w:r w:rsidR="00D2210B" w:rsidRPr="00B91121">
        <w:rPr>
          <w:rFonts w:ascii="Cambria" w:hAnsi="Cambria"/>
          <w:sz w:val="20"/>
          <w:szCs w:val="20"/>
          <w:lang w:val="es-MX"/>
        </w:rPr>
        <w:t xml:space="preserve">Reitera </w:t>
      </w:r>
      <w:r w:rsidR="00185DDE" w:rsidRPr="00B91121">
        <w:rPr>
          <w:rFonts w:ascii="Cambria" w:hAnsi="Cambria"/>
          <w:sz w:val="20"/>
          <w:szCs w:val="20"/>
          <w:lang w:val="es-MX"/>
        </w:rPr>
        <w:t>que no consta en los expedientes ningún elemento que permita sostener la falta de independencia e im</w:t>
      </w:r>
      <w:r w:rsidR="00093C3F" w:rsidRPr="00B91121">
        <w:rPr>
          <w:rFonts w:ascii="Cambria" w:hAnsi="Cambria"/>
          <w:sz w:val="20"/>
          <w:szCs w:val="20"/>
          <w:lang w:val="es-MX"/>
        </w:rPr>
        <w:t>parcialidad respecto de los juec</w:t>
      </w:r>
      <w:r w:rsidR="00185DDE" w:rsidRPr="00B91121">
        <w:rPr>
          <w:rFonts w:ascii="Cambria" w:hAnsi="Cambria"/>
          <w:sz w:val="20"/>
          <w:szCs w:val="20"/>
          <w:lang w:val="es-MX"/>
        </w:rPr>
        <w:t>es o tribunales que absolvieron a los médicos imputados por la muerte de Cristina Britez ni a los imputados por falsedad de las pericias.</w:t>
      </w:r>
      <w:r w:rsidR="00672777" w:rsidRPr="00B91121">
        <w:rPr>
          <w:rFonts w:ascii="Cambria" w:hAnsi="Cambria"/>
          <w:sz w:val="20"/>
          <w:szCs w:val="20"/>
          <w:lang w:val="es-MX"/>
        </w:rPr>
        <w:t xml:space="preserve"> Refiere que la parte peticionaria se limita a cuestionar las valoraciones de los hechos y elementos probatorios, sin poder probar violación alguna al debido proceso</w:t>
      </w:r>
      <w:r w:rsidR="00D2210B" w:rsidRPr="00B91121">
        <w:rPr>
          <w:rFonts w:ascii="Cambria" w:hAnsi="Cambria"/>
          <w:sz w:val="20"/>
          <w:szCs w:val="20"/>
          <w:lang w:val="es-MX"/>
        </w:rPr>
        <w:t>.</w:t>
      </w:r>
    </w:p>
    <w:p w14:paraId="7AC180F8" w14:textId="77777777" w:rsidR="00187B3E" w:rsidRPr="00B91121" w:rsidRDefault="00187B3E" w:rsidP="00924138">
      <w:pPr>
        <w:ind w:left="720" w:hanging="360"/>
        <w:rPr>
          <w:color w:val="FF0000"/>
          <w:sz w:val="20"/>
          <w:szCs w:val="20"/>
          <w:lang w:val="es-AR"/>
        </w:rPr>
      </w:pPr>
    </w:p>
    <w:p w14:paraId="6C7D929E" w14:textId="77777777" w:rsidR="00187B3E" w:rsidRPr="00B91121" w:rsidRDefault="00187B3E" w:rsidP="00B474B7">
      <w:pPr>
        <w:pStyle w:val="Heading1"/>
      </w:pPr>
      <w:bookmarkStart w:id="10" w:name="_Toc22199925"/>
      <w:bookmarkStart w:id="11" w:name="_Toc33525291"/>
      <w:r w:rsidRPr="00B91121">
        <w:t>DETERMINACIONES DE HECHO</w:t>
      </w:r>
      <w:bookmarkEnd w:id="10"/>
      <w:bookmarkEnd w:id="11"/>
      <w:r w:rsidRPr="00B91121">
        <w:t xml:space="preserve"> </w:t>
      </w:r>
    </w:p>
    <w:p w14:paraId="286EA03A" w14:textId="77777777" w:rsidR="00187B3E" w:rsidRPr="00B91121" w:rsidRDefault="00187B3E" w:rsidP="00187B3E">
      <w:pPr>
        <w:tabs>
          <w:tab w:val="left" w:pos="360"/>
        </w:tabs>
        <w:rPr>
          <w:rFonts w:asciiTheme="majorHAnsi" w:hAnsiTheme="majorHAnsi"/>
          <w:b/>
          <w:color w:val="FF0000"/>
          <w:sz w:val="20"/>
          <w:szCs w:val="20"/>
          <w:lang w:val="es-ES_tradnl"/>
        </w:rPr>
      </w:pPr>
    </w:p>
    <w:p w14:paraId="3705890B" w14:textId="77777777" w:rsidR="00187B3E" w:rsidRPr="00B91121" w:rsidRDefault="00187B3E" w:rsidP="00AF2FE4">
      <w:pPr>
        <w:pStyle w:val="Heading2"/>
        <w:numPr>
          <w:ilvl w:val="0"/>
          <w:numId w:val="62"/>
        </w:numPr>
      </w:pPr>
      <w:bookmarkStart w:id="12" w:name="_Toc22199926"/>
      <w:bookmarkStart w:id="13" w:name="_Toc33525292"/>
      <w:r w:rsidRPr="00B91121">
        <w:t>De la muerte de Cristina Britez Arce</w:t>
      </w:r>
      <w:bookmarkEnd w:id="12"/>
      <w:bookmarkEnd w:id="13"/>
      <w:r w:rsidRPr="00B91121">
        <w:t xml:space="preserve"> </w:t>
      </w:r>
    </w:p>
    <w:p w14:paraId="6A6738C5" w14:textId="77777777" w:rsidR="00187B3E" w:rsidRPr="00B91121" w:rsidRDefault="00187B3E" w:rsidP="0086464B">
      <w:pPr>
        <w:ind w:left="360"/>
        <w:rPr>
          <w:lang w:val="es-ES"/>
        </w:rPr>
      </w:pPr>
    </w:p>
    <w:p w14:paraId="14F9CC3D" w14:textId="77777777" w:rsidR="00F57DF5" w:rsidRPr="00B91121" w:rsidRDefault="004934E7" w:rsidP="00F57D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lang w:val="es-AR"/>
        </w:rPr>
      </w:pPr>
      <w:r w:rsidRPr="00B91121">
        <w:rPr>
          <w:rFonts w:ascii="Cambria" w:hAnsi="Cambria"/>
          <w:sz w:val="20"/>
          <w:szCs w:val="20"/>
          <w:lang w:val="es-AR"/>
        </w:rPr>
        <w:t>Cristina</w:t>
      </w:r>
      <w:r w:rsidR="00F834B3" w:rsidRPr="00B91121">
        <w:rPr>
          <w:rFonts w:ascii="Cambria" w:hAnsi="Cambria"/>
          <w:sz w:val="20"/>
          <w:szCs w:val="20"/>
          <w:lang w:val="es-AR"/>
        </w:rPr>
        <w:t xml:space="preserve"> Britez Arce, de 38 años de edad, madre de </w:t>
      </w:r>
      <w:r w:rsidR="00F02340" w:rsidRPr="00B91121">
        <w:rPr>
          <w:rFonts w:ascii="Cambria" w:hAnsi="Cambria"/>
          <w:sz w:val="20"/>
          <w:szCs w:val="20"/>
          <w:lang w:val="es-AR"/>
        </w:rPr>
        <w:t>Ezequiel Martin Avaro y Vanina Verónica Avaro</w:t>
      </w:r>
      <w:r w:rsidR="0015428A" w:rsidRPr="00B91121">
        <w:rPr>
          <w:rFonts w:ascii="Cambria" w:hAnsi="Cambria"/>
          <w:sz w:val="20"/>
          <w:szCs w:val="20"/>
          <w:lang w:val="es-AR"/>
        </w:rPr>
        <w:t xml:space="preserve">, de </w:t>
      </w:r>
      <w:r w:rsidR="00AF74E6" w:rsidRPr="00B91121">
        <w:rPr>
          <w:rFonts w:ascii="Cambria" w:hAnsi="Cambria"/>
          <w:sz w:val="20"/>
          <w:szCs w:val="20"/>
          <w:lang w:val="es-AR"/>
        </w:rPr>
        <w:t xml:space="preserve">entonces </w:t>
      </w:r>
      <w:r w:rsidR="0015428A" w:rsidRPr="00B91121">
        <w:rPr>
          <w:rFonts w:ascii="Cambria" w:hAnsi="Cambria"/>
          <w:sz w:val="20"/>
          <w:szCs w:val="20"/>
          <w:lang w:val="es-AR"/>
        </w:rPr>
        <w:t>15 y 12 años de edad</w:t>
      </w:r>
      <w:r w:rsidR="00273574" w:rsidRPr="00B91121">
        <w:rPr>
          <w:rFonts w:ascii="Cambria" w:hAnsi="Cambria"/>
          <w:sz w:val="20"/>
          <w:szCs w:val="20"/>
          <w:lang w:val="es-AR"/>
        </w:rPr>
        <w:t xml:space="preserve">, respectivamente, </w:t>
      </w:r>
      <w:r w:rsidR="00F834B3" w:rsidRPr="00B91121">
        <w:rPr>
          <w:rFonts w:ascii="Cambria" w:hAnsi="Cambria"/>
          <w:sz w:val="20"/>
          <w:szCs w:val="20"/>
          <w:lang w:val="es-AR"/>
        </w:rPr>
        <w:t xml:space="preserve"> y cursando </w:t>
      </w:r>
      <w:r w:rsidR="006258E0" w:rsidRPr="00B91121">
        <w:rPr>
          <w:rFonts w:ascii="Cambria" w:hAnsi="Cambria"/>
          <w:sz w:val="20"/>
          <w:szCs w:val="20"/>
          <w:lang w:val="es-AR"/>
        </w:rPr>
        <w:t>con nueve meses de gestación</w:t>
      </w:r>
      <w:r w:rsidR="006258E0" w:rsidRPr="00B91121">
        <w:rPr>
          <w:rStyle w:val="FootnoteReference"/>
          <w:rFonts w:ascii="Cambria" w:hAnsi="Cambria"/>
          <w:sz w:val="20"/>
          <w:szCs w:val="20"/>
          <w:lang w:val="es-AR"/>
        </w:rPr>
        <w:footnoteReference w:id="3"/>
      </w:r>
      <w:r w:rsidR="00F834B3" w:rsidRPr="00B91121">
        <w:rPr>
          <w:rFonts w:ascii="Cambria" w:hAnsi="Cambria"/>
          <w:sz w:val="20"/>
          <w:szCs w:val="20"/>
          <w:lang w:val="es-AR"/>
        </w:rPr>
        <w:t>, se presentó</w:t>
      </w:r>
      <w:r w:rsidR="005B74D2" w:rsidRPr="00B91121">
        <w:rPr>
          <w:rFonts w:ascii="Cambria" w:hAnsi="Cambria"/>
          <w:sz w:val="20"/>
          <w:szCs w:val="20"/>
          <w:lang w:val="es-AR"/>
        </w:rPr>
        <w:t xml:space="preserve"> </w:t>
      </w:r>
      <w:r w:rsidR="005B74D2" w:rsidRPr="00B91121">
        <w:rPr>
          <w:rFonts w:asciiTheme="majorHAnsi" w:hAnsiTheme="majorHAnsi"/>
          <w:sz w:val="20"/>
          <w:szCs w:val="20"/>
          <w:lang w:val="es-AR"/>
        </w:rPr>
        <w:t xml:space="preserve">al </w:t>
      </w:r>
      <w:r w:rsidR="00CA0F65" w:rsidRPr="00B91121">
        <w:rPr>
          <w:rFonts w:asciiTheme="majorHAnsi" w:hAnsiTheme="majorHAnsi"/>
          <w:color w:val="000000"/>
          <w:sz w:val="20"/>
          <w:szCs w:val="20"/>
          <w:lang w:val="es-ES"/>
        </w:rPr>
        <w:t>Hospital</w:t>
      </w:r>
      <w:r w:rsidR="0037761F" w:rsidRPr="00B91121">
        <w:rPr>
          <w:rFonts w:asciiTheme="majorHAnsi" w:hAnsiTheme="majorHAnsi"/>
          <w:color w:val="000000"/>
          <w:sz w:val="20"/>
          <w:szCs w:val="20"/>
          <w:lang w:val="es-ES"/>
        </w:rPr>
        <w:t xml:space="preserve"> Público</w:t>
      </w:r>
      <w:r w:rsidR="00CA0F65" w:rsidRPr="00B91121">
        <w:rPr>
          <w:rFonts w:asciiTheme="majorHAnsi" w:hAnsiTheme="majorHAnsi"/>
          <w:color w:val="000000"/>
          <w:sz w:val="20"/>
          <w:szCs w:val="20"/>
          <w:lang w:val="es-ES"/>
        </w:rPr>
        <w:t xml:space="preserve"> </w:t>
      </w:r>
      <w:r w:rsidR="00141CA1" w:rsidRPr="00B91121">
        <w:rPr>
          <w:rFonts w:asciiTheme="majorHAnsi" w:hAnsiTheme="majorHAnsi"/>
          <w:color w:val="000000"/>
          <w:sz w:val="20"/>
          <w:szCs w:val="20"/>
          <w:lang w:val="es-ES"/>
        </w:rPr>
        <w:t>Sardá</w:t>
      </w:r>
      <w:r w:rsidR="0094408B" w:rsidRPr="00B91121">
        <w:rPr>
          <w:rFonts w:asciiTheme="majorHAnsi" w:hAnsiTheme="majorHAnsi"/>
          <w:color w:val="000000"/>
          <w:sz w:val="20"/>
          <w:szCs w:val="20"/>
          <w:lang w:val="es-ES"/>
        </w:rPr>
        <w:t xml:space="preserve"> </w:t>
      </w:r>
      <w:r w:rsidR="00F834B3" w:rsidRPr="00B91121">
        <w:rPr>
          <w:rFonts w:asciiTheme="majorHAnsi" w:hAnsiTheme="majorHAnsi"/>
          <w:sz w:val="20"/>
          <w:szCs w:val="20"/>
          <w:lang w:val="es-AR"/>
        </w:rPr>
        <w:t>el día 1 de junio de 19</w:t>
      </w:r>
      <w:r w:rsidR="005B74D2" w:rsidRPr="00B91121">
        <w:rPr>
          <w:rFonts w:asciiTheme="majorHAnsi" w:hAnsiTheme="majorHAnsi"/>
          <w:sz w:val="20"/>
          <w:szCs w:val="20"/>
          <w:lang w:val="es-AR"/>
        </w:rPr>
        <w:t>92</w:t>
      </w:r>
      <w:r w:rsidR="008F546A" w:rsidRPr="00B91121">
        <w:rPr>
          <w:rFonts w:asciiTheme="majorHAnsi" w:hAnsiTheme="majorHAnsi"/>
          <w:sz w:val="20"/>
          <w:szCs w:val="20"/>
          <w:lang w:val="es-AR"/>
        </w:rPr>
        <w:t xml:space="preserve">, </w:t>
      </w:r>
      <w:r w:rsidR="00AD334A" w:rsidRPr="00B91121">
        <w:rPr>
          <w:rFonts w:asciiTheme="majorHAnsi" w:hAnsiTheme="majorHAnsi"/>
          <w:sz w:val="20"/>
          <w:szCs w:val="20"/>
          <w:lang w:val="es-AR"/>
        </w:rPr>
        <w:t>alrededor de las nueve horas, aduciendo molestias lumbares, fiebre y escasa pérdida de líquido por genitales</w:t>
      </w:r>
      <w:r w:rsidR="00AD334A" w:rsidRPr="00B91121">
        <w:rPr>
          <w:rStyle w:val="FootnoteReference"/>
          <w:rFonts w:asciiTheme="majorHAnsi" w:hAnsiTheme="majorHAnsi"/>
          <w:sz w:val="20"/>
          <w:szCs w:val="20"/>
          <w:lang w:val="es-AR"/>
        </w:rPr>
        <w:footnoteReference w:id="4"/>
      </w:r>
      <w:r w:rsidR="00AD334A" w:rsidRPr="00B91121">
        <w:rPr>
          <w:rFonts w:asciiTheme="majorHAnsi" w:hAnsiTheme="majorHAnsi"/>
          <w:sz w:val="20"/>
          <w:szCs w:val="20"/>
          <w:lang w:val="es-AR"/>
        </w:rPr>
        <w:t>. Se le practicó una ecografía que resultó indicativa de feto muerto, por lo que se le internó para inducirle el parto de feto muerto</w:t>
      </w:r>
      <w:r w:rsidR="00CA0F65" w:rsidRPr="00B91121">
        <w:rPr>
          <w:rStyle w:val="FootnoteReference"/>
          <w:rFonts w:asciiTheme="majorHAnsi" w:hAnsiTheme="majorHAnsi"/>
          <w:sz w:val="20"/>
          <w:szCs w:val="20"/>
          <w:lang w:val="es-AR"/>
        </w:rPr>
        <w:footnoteReference w:id="5"/>
      </w:r>
      <w:r w:rsidR="00F834B3" w:rsidRPr="00B91121">
        <w:rPr>
          <w:rFonts w:asciiTheme="majorHAnsi" w:hAnsiTheme="majorHAnsi"/>
          <w:sz w:val="20"/>
          <w:szCs w:val="20"/>
          <w:lang w:val="es-AR"/>
        </w:rPr>
        <w:t>.</w:t>
      </w:r>
      <w:r w:rsidR="00F834B3" w:rsidRPr="00B91121">
        <w:rPr>
          <w:rFonts w:ascii="Cambria" w:hAnsi="Cambria"/>
          <w:sz w:val="20"/>
          <w:szCs w:val="20"/>
          <w:lang w:val="es-AR"/>
        </w:rPr>
        <w:t xml:space="preserve">  </w:t>
      </w:r>
      <w:r w:rsidR="00CA0F65" w:rsidRPr="00B91121">
        <w:rPr>
          <w:rFonts w:ascii="Cambria" w:hAnsi="Cambria"/>
          <w:sz w:val="20"/>
          <w:szCs w:val="20"/>
          <w:lang w:val="es-AR"/>
        </w:rPr>
        <w:t>Según certificado de defunción, Cristina Britez Arce murió ese mismo día por “paro cardio respiratorio no traumático”</w:t>
      </w:r>
      <w:r w:rsidR="00CA0F65" w:rsidRPr="00B91121">
        <w:rPr>
          <w:rStyle w:val="FootnoteReference"/>
          <w:rFonts w:ascii="Cambria" w:hAnsi="Cambria"/>
          <w:sz w:val="20"/>
          <w:szCs w:val="20"/>
          <w:lang w:val="es-AR"/>
        </w:rPr>
        <w:footnoteReference w:id="6"/>
      </w:r>
      <w:r w:rsidR="00CA0F65" w:rsidRPr="00B91121">
        <w:rPr>
          <w:rFonts w:ascii="Cambria" w:hAnsi="Cambria"/>
          <w:sz w:val="20"/>
          <w:szCs w:val="20"/>
          <w:lang w:val="es-AR"/>
        </w:rPr>
        <w:t xml:space="preserve">. </w:t>
      </w:r>
    </w:p>
    <w:p w14:paraId="4E1CFE80" w14:textId="77777777" w:rsidR="00F87144" w:rsidRPr="00B91121" w:rsidRDefault="00F87144" w:rsidP="00F871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lang w:val="es-AR"/>
        </w:rPr>
      </w:pPr>
    </w:p>
    <w:p w14:paraId="495C5322" w14:textId="77777777" w:rsidR="00F57DF5" w:rsidRPr="00B91121" w:rsidRDefault="00F57DF5" w:rsidP="00AF2FE4">
      <w:pPr>
        <w:pStyle w:val="Heading2"/>
        <w:numPr>
          <w:ilvl w:val="0"/>
          <w:numId w:val="62"/>
        </w:numPr>
      </w:pPr>
      <w:bookmarkStart w:id="14" w:name="_Toc22199927"/>
      <w:bookmarkStart w:id="15" w:name="_Toc33525293"/>
      <w:r w:rsidRPr="00B91121">
        <w:t>Procesos internos</w:t>
      </w:r>
      <w:bookmarkEnd w:id="14"/>
      <w:bookmarkEnd w:id="15"/>
    </w:p>
    <w:p w14:paraId="75EE28FF" w14:textId="77777777" w:rsidR="00907320" w:rsidRPr="00B91121" w:rsidRDefault="00907320" w:rsidP="00907320">
      <w:pPr>
        <w:rPr>
          <w:lang w:val="es-ES_tradnl"/>
        </w:rPr>
      </w:pPr>
    </w:p>
    <w:p w14:paraId="4CA7C32F" w14:textId="77777777" w:rsidR="005F6D2F" w:rsidRPr="00BD424E" w:rsidRDefault="005A6D9D" w:rsidP="002A4B39">
      <w:pPr>
        <w:pStyle w:val="Heading3"/>
        <w:ind w:left="360"/>
        <w:jc w:val="both"/>
        <w:rPr>
          <w:lang w:val="es-US"/>
        </w:rPr>
      </w:pPr>
      <w:bookmarkStart w:id="16" w:name="_Toc22199928"/>
      <w:bookmarkStart w:id="17" w:name="_Toc33525294"/>
      <w:r w:rsidRPr="00BD424E">
        <w:rPr>
          <w:lang w:val="es-US"/>
        </w:rPr>
        <w:t>Causa</w:t>
      </w:r>
      <w:r w:rsidR="00932FB0" w:rsidRPr="00BD424E">
        <w:rPr>
          <w:lang w:val="es-US"/>
        </w:rPr>
        <w:t xml:space="preserve"> No.</w:t>
      </w:r>
      <w:r w:rsidRPr="00BD424E">
        <w:rPr>
          <w:lang w:val="es-US"/>
        </w:rPr>
        <w:t xml:space="preserve"> 2391 caratulada Britez Arce Cristina</w:t>
      </w:r>
      <w:r w:rsidR="00907320" w:rsidRPr="00BD424E">
        <w:rPr>
          <w:lang w:val="es-US"/>
        </w:rPr>
        <w:t xml:space="preserve"> </w:t>
      </w:r>
      <w:r w:rsidRPr="00BD424E">
        <w:rPr>
          <w:lang w:val="es-US"/>
        </w:rPr>
        <w:t>s/</w:t>
      </w:r>
      <w:r w:rsidR="00907320" w:rsidRPr="00BD424E">
        <w:rPr>
          <w:lang w:val="es-US"/>
        </w:rPr>
        <w:t xml:space="preserve">homicidio culposo </w:t>
      </w:r>
      <w:r w:rsidR="00297F03" w:rsidRPr="00BD424E">
        <w:rPr>
          <w:lang w:val="es-US"/>
        </w:rPr>
        <w:t>– Juzgado Correccional No. 8, Secretaría 63</w:t>
      </w:r>
      <w:r w:rsidR="00881477" w:rsidRPr="00B91121">
        <w:rPr>
          <w:rStyle w:val="FootnoteReference"/>
          <w:vertAlign w:val="baseline"/>
        </w:rPr>
        <w:footnoteReference w:id="7"/>
      </w:r>
      <w:bookmarkEnd w:id="16"/>
      <w:bookmarkEnd w:id="17"/>
    </w:p>
    <w:p w14:paraId="5AF7C85A" w14:textId="77777777" w:rsidR="00FF46A5" w:rsidRPr="00B91121" w:rsidRDefault="00FF46A5" w:rsidP="0086464B">
      <w:pPr>
        <w:ind w:left="720"/>
        <w:rPr>
          <w:lang w:val="es-ES"/>
        </w:rPr>
      </w:pPr>
    </w:p>
    <w:p w14:paraId="6ECDFC36" w14:textId="77777777" w:rsidR="00314C8A" w:rsidRPr="00B91121" w:rsidRDefault="005F6D2F" w:rsidP="00314C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 xml:space="preserve">El </w:t>
      </w:r>
      <w:r w:rsidR="00D95057" w:rsidRPr="00B91121">
        <w:rPr>
          <w:rFonts w:ascii="Cambria" w:hAnsi="Cambria"/>
          <w:sz w:val="20"/>
          <w:szCs w:val="20"/>
          <w:lang w:val="es-AR"/>
        </w:rPr>
        <w:t xml:space="preserve">15 de junio de 1992, </w:t>
      </w:r>
      <w:r w:rsidRPr="00B91121">
        <w:rPr>
          <w:rFonts w:ascii="Cambria" w:hAnsi="Cambria"/>
          <w:sz w:val="20"/>
          <w:szCs w:val="20"/>
          <w:lang w:val="es-AR"/>
        </w:rPr>
        <w:t>el señor Miguel Ángel Avaro</w:t>
      </w:r>
      <w:r w:rsidR="00D95057" w:rsidRPr="00B91121">
        <w:rPr>
          <w:rFonts w:ascii="Cambria" w:hAnsi="Cambria"/>
          <w:sz w:val="20"/>
          <w:szCs w:val="20"/>
          <w:lang w:val="es-AR"/>
        </w:rPr>
        <w:t>, padre de Ezequiel Martin Avaro y Vanina Verónica Avaro,</w:t>
      </w:r>
      <w:r w:rsidRPr="00B91121">
        <w:rPr>
          <w:rFonts w:ascii="Cambria" w:hAnsi="Cambria"/>
          <w:sz w:val="20"/>
          <w:szCs w:val="20"/>
          <w:lang w:val="es-AR"/>
        </w:rPr>
        <w:t xml:space="preserve"> presentó una denuncia penal por </w:t>
      </w:r>
      <w:r w:rsidR="000C15FE" w:rsidRPr="00B91121">
        <w:rPr>
          <w:rFonts w:ascii="Cambria" w:hAnsi="Cambria"/>
          <w:sz w:val="20"/>
          <w:szCs w:val="20"/>
          <w:lang w:val="es-AR"/>
        </w:rPr>
        <w:t xml:space="preserve">la muerte </w:t>
      </w:r>
      <w:r w:rsidR="00AB6B95" w:rsidRPr="00B91121">
        <w:rPr>
          <w:rFonts w:ascii="Cambria" w:hAnsi="Cambria"/>
          <w:sz w:val="20"/>
          <w:szCs w:val="20"/>
          <w:lang w:val="es-AR"/>
        </w:rPr>
        <w:t>de Cristina Britez Arce, solicitando su autopsia y la del feto</w:t>
      </w:r>
      <w:r w:rsidR="00AB6B95" w:rsidRPr="00B91121">
        <w:rPr>
          <w:rStyle w:val="FootnoteReference"/>
          <w:rFonts w:ascii="Cambria" w:hAnsi="Cambria"/>
          <w:sz w:val="20"/>
          <w:szCs w:val="20"/>
          <w:lang w:val="es-AR"/>
        </w:rPr>
        <w:footnoteReference w:id="8"/>
      </w:r>
      <w:r w:rsidR="00AB6B95" w:rsidRPr="00B91121">
        <w:rPr>
          <w:rFonts w:ascii="Cambria" w:hAnsi="Cambria"/>
          <w:sz w:val="20"/>
          <w:szCs w:val="20"/>
          <w:lang w:val="es-AR"/>
        </w:rPr>
        <w:t xml:space="preserve">. </w:t>
      </w:r>
      <w:r w:rsidR="000760E2" w:rsidRPr="00B91121">
        <w:rPr>
          <w:rFonts w:ascii="Cambria" w:hAnsi="Cambria"/>
          <w:sz w:val="20"/>
          <w:szCs w:val="20"/>
          <w:lang w:val="es-AR"/>
        </w:rPr>
        <w:t xml:space="preserve">La </w:t>
      </w:r>
      <w:r w:rsidR="00696A61" w:rsidRPr="00B91121">
        <w:rPr>
          <w:rFonts w:ascii="Cambria" w:hAnsi="Cambria"/>
          <w:sz w:val="20"/>
          <w:szCs w:val="20"/>
          <w:lang w:val="es-AR"/>
        </w:rPr>
        <w:t>querella solicitó la suspensión de la autopsia por “haberse dispuesto que intervengan en la misma peritos de parte propuesto por quién no es parte”</w:t>
      </w:r>
      <w:r w:rsidR="00696A61" w:rsidRPr="00B91121">
        <w:rPr>
          <w:rStyle w:val="FootnoteReference"/>
          <w:rFonts w:ascii="Cambria" w:hAnsi="Cambria"/>
          <w:sz w:val="20"/>
          <w:szCs w:val="20"/>
          <w:lang w:val="es-AR"/>
        </w:rPr>
        <w:footnoteReference w:id="9"/>
      </w:r>
      <w:r w:rsidR="00696A61" w:rsidRPr="00B91121">
        <w:rPr>
          <w:rFonts w:ascii="Cambria" w:hAnsi="Cambria"/>
          <w:sz w:val="20"/>
          <w:szCs w:val="20"/>
          <w:lang w:val="es-AR"/>
        </w:rPr>
        <w:t>.</w:t>
      </w:r>
      <w:r w:rsidR="000760E2" w:rsidRPr="00B91121">
        <w:rPr>
          <w:rFonts w:ascii="Cambria" w:hAnsi="Cambria"/>
          <w:sz w:val="20"/>
          <w:szCs w:val="20"/>
          <w:lang w:val="es-AR"/>
        </w:rPr>
        <w:t xml:space="preserve"> </w:t>
      </w:r>
      <w:r w:rsidR="00696A61" w:rsidRPr="00B91121">
        <w:rPr>
          <w:rFonts w:ascii="Cambria" w:hAnsi="Cambria"/>
          <w:sz w:val="20"/>
          <w:szCs w:val="20"/>
          <w:lang w:val="es-AR"/>
        </w:rPr>
        <w:t>La autopsia se realizó el 25 de julio de 1992</w:t>
      </w:r>
      <w:r w:rsidR="00696A61" w:rsidRPr="00B91121">
        <w:rPr>
          <w:rStyle w:val="FootnoteReference"/>
          <w:rFonts w:ascii="Cambria" w:hAnsi="Cambria"/>
          <w:sz w:val="20"/>
          <w:szCs w:val="20"/>
          <w:lang w:val="es-AR"/>
        </w:rPr>
        <w:footnoteReference w:id="10"/>
      </w:r>
      <w:r w:rsidR="00696A61" w:rsidRPr="00B91121">
        <w:rPr>
          <w:rFonts w:ascii="Cambria" w:hAnsi="Cambria"/>
          <w:sz w:val="20"/>
          <w:szCs w:val="20"/>
          <w:lang w:val="es-AR"/>
        </w:rPr>
        <w:t xml:space="preserve">. </w:t>
      </w:r>
    </w:p>
    <w:p w14:paraId="6F518373" w14:textId="77777777" w:rsidR="00314C8A" w:rsidRPr="00B91121" w:rsidRDefault="00314C8A" w:rsidP="00314C8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252CB8E8" w14:textId="77777777" w:rsidR="00F71979" w:rsidRPr="00B91121" w:rsidRDefault="00437D9E" w:rsidP="00314C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Dentro de la causa, el 24 de junio de 1993, los peritos forenses Carlos Fernando Leoncio Poggi y Florencio Casavilla presentaron una pericia que posteriormente fue declarada nula</w:t>
      </w:r>
      <w:r w:rsidR="00AC4ED0" w:rsidRPr="00B91121">
        <w:rPr>
          <w:rFonts w:ascii="Cambria" w:hAnsi="Cambria"/>
          <w:sz w:val="20"/>
          <w:szCs w:val="20"/>
          <w:lang w:val="es-AR"/>
        </w:rPr>
        <w:t>. El 4 de octubre de 1993, l</w:t>
      </w:r>
      <w:r w:rsidRPr="00B91121">
        <w:rPr>
          <w:rFonts w:ascii="Cambria" w:hAnsi="Cambria"/>
          <w:sz w:val="20"/>
          <w:szCs w:val="20"/>
          <w:lang w:val="es-AR"/>
        </w:rPr>
        <w:t>a jueza</w:t>
      </w:r>
      <w:r w:rsidR="00F71979" w:rsidRPr="00B91121">
        <w:rPr>
          <w:rFonts w:ascii="Cambria" w:hAnsi="Cambria"/>
          <w:sz w:val="20"/>
          <w:szCs w:val="20"/>
          <w:lang w:val="es-AR"/>
        </w:rPr>
        <w:t xml:space="preserve"> correccional </w:t>
      </w:r>
      <w:r w:rsidRPr="00B91121">
        <w:rPr>
          <w:rFonts w:ascii="Cambria" w:hAnsi="Cambria"/>
          <w:sz w:val="20"/>
          <w:szCs w:val="20"/>
          <w:lang w:val="es-AR"/>
        </w:rPr>
        <w:t xml:space="preserve">presentó denuncia de oficio en su contra por falsedad de instrumento público. Dicha denuncia dio origen a la causa radicada bajo el expediente No. 21.375/96, que se detallará más adelante. </w:t>
      </w:r>
    </w:p>
    <w:p w14:paraId="3FBE65F0" w14:textId="61990C94" w:rsidR="00F71979" w:rsidRDefault="00F71979" w:rsidP="00F71979">
      <w:pPr>
        <w:pStyle w:val="parrafos"/>
        <w:numPr>
          <w:ilvl w:val="0"/>
          <w:numId w:val="0"/>
        </w:numPr>
      </w:pPr>
    </w:p>
    <w:p w14:paraId="47847570" w14:textId="0CC805C6" w:rsidR="00F6687F" w:rsidRDefault="00F6687F" w:rsidP="00F71979">
      <w:pPr>
        <w:pStyle w:val="parrafos"/>
        <w:numPr>
          <w:ilvl w:val="0"/>
          <w:numId w:val="0"/>
        </w:numPr>
      </w:pPr>
    </w:p>
    <w:p w14:paraId="70924070" w14:textId="77777777" w:rsidR="00F6687F" w:rsidRPr="00B91121" w:rsidRDefault="00F6687F" w:rsidP="00F71979">
      <w:pPr>
        <w:pStyle w:val="parrafos"/>
        <w:numPr>
          <w:ilvl w:val="0"/>
          <w:numId w:val="0"/>
        </w:numPr>
      </w:pPr>
    </w:p>
    <w:p w14:paraId="065970DF" w14:textId="77777777" w:rsidR="00FA31A2" w:rsidRPr="00B91121" w:rsidRDefault="00F71979" w:rsidP="00D03C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lastRenderedPageBreak/>
        <w:t xml:space="preserve">Se </w:t>
      </w:r>
      <w:r w:rsidR="00FA31A2" w:rsidRPr="00B91121">
        <w:rPr>
          <w:rFonts w:ascii="Cambria" w:hAnsi="Cambria"/>
          <w:sz w:val="20"/>
          <w:szCs w:val="20"/>
          <w:lang w:val="es-AR"/>
        </w:rPr>
        <w:t>solicitó a la Facultad de Medicina de la Universidad Nacional</w:t>
      </w:r>
      <w:r w:rsidR="00A2634B" w:rsidRPr="00B91121">
        <w:rPr>
          <w:rFonts w:ascii="Cambria" w:hAnsi="Cambria"/>
          <w:sz w:val="20"/>
          <w:szCs w:val="20"/>
          <w:lang w:val="es-AR"/>
        </w:rPr>
        <w:t xml:space="preserve"> </w:t>
      </w:r>
      <w:r w:rsidR="00FA31A2" w:rsidRPr="00B91121">
        <w:rPr>
          <w:rFonts w:ascii="Cambria" w:hAnsi="Cambria"/>
          <w:sz w:val="20"/>
          <w:szCs w:val="20"/>
          <w:lang w:val="es-AR"/>
        </w:rPr>
        <w:t>de Buenos Aires</w:t>
      </w:r>
      <w:r w:rsidR="00251FC0" w:rsidRPr="00B91121">
        <w:rPr>
          <w:rFonts w:ascii="Cambria" w:hAnsi="Cambria"/>
          <w:sz w:val="20"/>
          <w:szCs w:val="20"/>
          <w:lang w:val="es-AR"/>
        </w:rPr>
        <w:t xml:space="preserve"> la realización de una pericia; sin embargo, </w:t>
      </w:r>
      <w:r w:rsidR="00FA31A2" w:rsidRPr="00B91121">
        <w:rPr>
          <w:rFonts w:ascii="Cambria" w:hAnsi="Cambria"/>
          <w:sz w:val="20"/>
          <w:szCs w:val="20"/>
          <w:lang w:val="es-AR"/>
        </w:rPr>
        <w:t>la Facultad informó no poder acceder a lo solicitado</w:t>
      </w:r>
      <w:r w:rsidR="00FA31A2" w:rsidRPr="00B91121">
        <w:rPr>
          <w:rStyle w:val="FootnoteReference"/>
          <w:rFonts w:asciiTheme="majorHAnsi" w:eastAsia="Cambria" w:hAnsiTheme="majorHAnsi" w:cs="Cambria"/>
          <w:iCs/>
          <w:color w:val="000000"/>
          <w:sz w:val="20"/>
          <w:szCs w:val="20"/>
          <w:u w:color="000000"/>
          <w:lang w:val="es-ES" w:eastAsia="es-ES"/>
        </w:rPr>
        <w:footnoteReference w:id="11"/>
      </w:r>
      <w:r w:rsidR="00FA31A2" w:rsidRPr="00B91121">
        <w:rPr>
          <w:rFonts w:ascii="Cambria" w:hAnsi="Cambria"/>
          <w:sz w:val="20"/>
          <w:szCs w:val="20"/>
          <w:lang w:val="es-AR"/>
        </w:rPr>
        <w:t xml:space="preserve">. Se solicitó entonces al Cuerpo Médico Forense la designación de </w:t>
      </w:r>
      <w:r w:rsidR="00251FC0" w:rsidRPr="00B91121">
        <w:rPr>
          <w:rFonts w:ascii="Cambria" w:hAnsi="Cambria"/>
          <w:sz w:val="20"/>
          <w:szCs w:val="20"/>
          <w:lang w:val="es-AR"/>
        </w:rPr>
        <w:t xml:space="preserve">otros </w:t>
      </w:r>
      <w:r w:rsidR="00FA31A2" w:rsidRPr="00B91121">
        <w:rPr>
          <w:rFonts w:ascii="Cambria" w:hAnsi="Cambria"/>
          <w:sz w:val="20"/>
          <w:szCs w:val="20"/>
          <w:lang w:val="es-AR"/>
        </w:rPr>
        <w:t>médicos forenses con especialidad en tocoginecología y obstetricia</w:t>
      </w:r>
      <w:r w:rsidR="00FA31A2" w:rsidRPr="00B91121">
        <w:rPr>
          <w:rStyle w:val="FootnoteReference"/>
          <w:rFonts w:asciiTheme="majorHAnsi" w:hAnsiTheme="majorHAnsi"/>
          <w:color w:val="000000" w:themeColor="text1"/>
          <w:sz w:val="20"/>
          <w:szCs w:val="20"/>
          <w:lang w:val="es-ES"/>
        </w:rPr>
        <w:footnoteReference w:id="12"/>
      </w:r>
      <w:r w:rsidR="00FA31A2" w:rsidRPr="00B91121">
        <w:rPr>
          <w:rStyle w:val="FootnoteReference"/>
          <w:rFonts w:asciiTheme="majorHAnsi" w:hAnsiTheme="majorHAnsi"/>
          <w:color w:val="000000" w:themeColor="text1"/>
          <w:sz w:val="20"/>
          <w:szCs w:val="20"/>
          <w:lang w:val="es-ES"/>
        </w:rPr>
        <w:t>.</w:t>
      </w:r>
      <w:r w:rsidR="00FA31A2" w:rsidRPr="00B91121">
        <w:rPr>
          <w:rFonts w:ascii="Cambria" w:hAnsi="Cambria"/>
          <w:sz w:val="20"/>
          <w:szCs w:val="20"/>
          <w:lang w:val="es-AR"/>
        </w:rPr>
        <w:t xml:space="preserve"> El 25 de abril de 1995 los doctores Schiavo, Papagni, Wikinski, Arlía y Castex, del Cuerpo Médico Forense, </w:t>
      </w:r>
      <w:r w:rsidR="00AC4ED0" w:rsidRPr="00B91121">
        <w:rPr>
          <w:rFonts w:ascii="Cambria" w:hAnsi="Cambria"/>
          <w:sz w:val="20"/>
          <w:szCs w:val="20"/>
          <w:lang w:val="es-AR"/>
        </w:rPr>
        <w:t xml:space="preserve">realizaron un </w:t>
      </w:r>
      <w:r w:rsidR="00FA31A2" w:rsidRPr="00B91121">
        <w:rPr>
          <w:rFonts w:ascii="Cambria" w:hAnsi="Cambria"/>
          <w:sz w:val="20"/>
          <w:szCs w:val="20"/>
          <w:lang w:val="es-AR"/>
        </w:rPr>
        <w:t>informe pericial</w:t>
      </w:r>
      <w:r w:rsidR="00FA31A2" w:rsidRPr="00B91121">
        <w:rPr>
          <w:rStyle w:val="FootnoteReference"/>
          <w:rFonts w:asciiTheme="majorHAnsi" w:hAnsiTheme="majorHAnsi"/>
          <w:color w:val="000000" w:themeColor="text1"/>
          <w:sz w:val="20"/>
          <w:szCs w:val="20"/>
          <w:lang w:val="es-ES"/>
        </w:rPr>
        <w:footnoteReference w:id="13"/>
      </w:r>
      <w:r w:rsidR="00251FC0" w:rsidRPr="00B91121">
        <w:rPr>
          <w:rFonts w:ascii="Cambria" w:hAnsi="Cambria"/>
          <w:sz w:val="20"/>
          <w:szCs w:val="20"/>
          <w:lang w:val="es-AR"/>
        </w:rPr>
        <w:t>. La Comisi</w:t>
      </w:r>
      <w:r w:rsidR="00251FC0" w:rsidRPr="00B91121">
        <w:rPr>
          <w:rFonts w:ascii="Cambria" w:hAnsi="Cambria"/>
          <w:sz w:val="20"/>
          <w:szCs w:val="20"/>
          <w:lang w:val="es-MX"/>
        </w:rPr>
        <w:t>ón no cuenta con copia de</w:t>
      </w:r>
      <w:r w:rsidR="00FA31A2" w:rsidRPr="00B91121">
        <w:rPr>
          <w:rFonts w:ascii="Cambria" w:hAnsi="Cambria"/>
          <w:sz w:val="20"/>
          <w:szCs w:val="20"/>
          <w:lang w:val="es-AR"/>
        </w:rPr>
        <w:t xml:space="preserve"> </w:t>
      </w:r>
      <w:r w:rsidR="00251FC0" w:rsidRPr="00B91121">
        <w:rPr>
          <w:rFonts w:ascii="Cambria" w:hAnsi="Cambria"/>
          <w:sz w:val="20"/>
          <w:szCs w:val="20"/>
          <w:lang w:val="es-AR"/>
        </w:rPr>
        <w:t xml:space="preserve">dicho informe. </w:t>
      </w:r>
    </w:p>
    <w:p w14:paraId="304BD5D5" w14:textId="77777777" w:rsidR="00FA31A2" w:rsidRPr="00B91121" w:rsidRDefault="00FA31A2" w:rsidP="00FA31A2">
      <w:pPr>
        <w:pStyle w:val="parrafos"/>
        <w:numPr>
          <w:ilvl w:val="0"/>
          <w:numId w:val="0"/>
        </w:numPr>
      </w:pPr>
    </w:p>
    <w:p w14:paraId="68571668" w14:textId="77777777" w:rsidR="00F71979" w:rsidRPr="00B91121" w:rsidRDefault="00421D90" w:rsidP="00D03C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AR"/>
        </w:rPr>
      </w:pPr>
      <w:r w:rsidRPr="00B91121">
        <w:rPr>
          <w:rFonts w:asciiTheme="majorHAnsi" w:hAnsiTheme="majorHAnsi"/>
          <w:sz w:val="20"/>
          <w:szCs w:val="20"/>
          <w:lang w:val="es-AR"/>
        </w:rPr>
        <w:t>La parte peticionaria afirma q</w:t>
      </w:r>
      <w:r w:rsidR="00F71979" w:rsidRPr="00B91121">
        <w:rPr>
          <w:rFonts w:asciiTheme="majorHAnsi" w:hAnsiTheme="majorHAnsi"/>
          <w:sz w:val="20"/>
          <w:szCs w:val="20"/>
          <w:lang w:val="es-AR"/>
        </w:rPr>
        <w:t xml:space="preserve">ue la jueza Ángela Mónica Braidito interrogó a uno de </w:t>
      </w:r>
      <w:r w:rsidRPr="00B91121">
        <w:rPr>
          <w:rFonts w:asciiTheme="majorHAnsi" w:hAnsiTheme="majorHAnsi"/>
          <w:sz w:val="20"/>
          <w:szCs w:val="20"/>
          <w:lang w:val="es-AR"/>
        </w:rPr>
        <w:t xml:space="preserve">ellos, quien </w:t>
      </w:r>
      <w:r w:rsidR="00F71979" w:rsidRPr="00B91121">
        <w:rPr>
          <w:rFonts w:asciiTheme="majorHAnsi" w:hAnsiTheme="majorHAnsi"/>
          <w:sz w:val="20"/>
          <w:szCs w:val="20"/>
          <w:lang w:val="es-AR"/>
        </w:rPr>
        <w:t xml:space="preserve">“a duras penas” </w:t>
      </w:r>
      <w:r w:rsidRPr="00B91121">
        <w:rPr>
          <w:rFonts w:asciiTheme="majorHAnsi" w:hAnsiTheme="majorHAnsi"/>
          <w:sz w:val="20"/>
          <w:szCs w:val="20"/>
          <w:lang w:val="es-AR"/>
        </w:rPr>
        <w:t xml:space="preserve">dijo </w:t>
      </w:r>
      <w:r w:rsidR="00F71979" w:rsidRPr="00B91121">
        <w:rPr>
          <w:rFonts w:asciiTheme="majorHAnsi" w:hAnsiTheme="majorHAnsi"/>
          <w:sz w:val="20"/>
          <w:szCs w:val="20"/>
          <w:lang w:val="es-AR"/>
        </w:rPr>
        <w:t>que la paciente sí era de alto riesgo</w:t>
      </w:r>
      <w:r w:rsidR="00F71979" w:rsidRPr="00B91121">
        <w:rPr>
          <w:rStyle w:val="FootnoteReference"/>
          <w:rFonts w:asciiTheme="majorHAnsi" w:hAnsiTheme="majorHAnsi"/>
          <w:color w:val="000000" w:themeColor="text1"/>
          <w:sz w:val="20"/>
          <w:szCs w:val="20"/>
          <w:lang w:val="es-ES"/>
        </w:rPr>
        <w:footnoteReference w:id="14"/>
      </w:r>
      <w:r w:rsidRPr="00B91121">
        <w:rPr>
          <w:rFonts w:asciiTheme="majorHAnsi" w:hAnsiTheme="majorHAnsi"/>
          <w:sz w:val="20"/>
          <w:szCs w:val="20"/>
          <w:lang w:val="es-AR"/>
        </w:rPr>
        <w:t>.</w:t>
      </w:r>
      <w:r w:rsidR="00F71979" w:rsidRPr="00B91121">
        <w:rPr>
          <w:rFonts w:asciiTheme="majorHAnsi" w:hAnsiTheme="majorHAnsi"/>
          <w:sz w:val="20"/>
          <w:szCs w:val="20"/>
          <w:lang w:val="es-AR"/>
        </w:rPr>
        <w:t xml:space="preserve"> </w:t>
      </w:r>
      <w:r w:rsidR="003952CE" w:rsidRPr="00B91121">
        <w:rPr>
          <w:rFonts w:asciiTheme="majorHAnsi" w:hAnsiTheme="majorHAnsi"/>
          <w:sz w:val="20"/>
          <w:szCs w:val="20"/>
          <w:lang w:val="es-AR"/>
        </w:rPr>
        <w:t xml:space="preserve"> En su peritaje refirieron que las tomas de presión que aparecen en la historia clínica muestran anormalidad y hacen referencia al síndrome gestusico </w:t>
      </w:r>
      <w:r w:rsidR="00CF509B" w:rsidRPr="00B91121">
        <w:rPr>
          <w:rFonts w:asciiTheme="majorHAnsi" w:hAnsiTheme="majorHAnsi"/>
          <w:sz w:val="20"/>
          <w:szCs w:val="20"/>
          <w:lang w:val="es-AR"/>
        </w:rPr>
        <w:t>mínimo</w:t>
      </w:r>
      <w:r w:rsidR="003952CE" w:rsidRPr="00B91121">
        <w:rPr>
          <w:rFonts w:asciiTheme="majorHAnsi" w:hAnsiTheme="majorHAnsi"/>
          <w:sz w:val="20"/>
          <w:szCs w:val="20"/>
          <w:lang w:val="es-AR"/>
        </w:rPr>
        <w:t xml:space="preserve"> que se asimila a la preeclamsia leve y señalan la conveniencia de internar a la paciente</w:t>
      </w:r>
      <w:r w:rsidR="003952CE" w:rsidRPr="00B91121">
        <w:rPr>
          <w:rStyle w:val="FootnoteReference"/>
          <w:rFonts w:asciiTheme="majorHAnsi" w:hAnsiTheme="majorHAnsi"/>
          <w:color w:val="000000" w:themeColor="text1"/>
          <w:sz w:val="20"/>
          <w:szCs w:val="20"/>
          <w:lang w:val="es-ES"/>
        </w:rPr>
        <w:footnoteReference w:id="15"/>
      </w:r>
      <w:r w:rsidR="003952CE" w:rsidRPr="00B91121">
        <w:rPr>
          <w:rFonts w:asciiTheme="majorHAnsi" w:hAnsiTheme="majorHAnsi"/>
          <w:sz w:val="20"/>
          <w:szCs w:val="20"/>
          <w:lang w:val="es-AR"/>
        </w:rPr>
        <w:t xml:space="preserve">. </w:t>
      </w:r>
    </w:p>
    <w:p w14:paraId="70037F4D" w14:textId="77777777" w:rsidR="00F71979" w:rsidRPr="00B91121" w:rsidRDefault="00F71979" w:rsidP="00FA31A2">
      <w:pPr>
        <w:pStyle w:val="parrafos"/>
        <w:numPr>
          <w:ilvl w:val="0"/>
          <w:numId w:val="0"/>
        </w:numPr>
      </w:pPr>
    </w:p>
    <w:p w14:paraId="51379FE9" w14:textId="77777777" w:rsidR="005F6D2F" w:rsidRPr="00B91121" w:rsidRDefault="005F6D2F" w:rsidP="00C275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AR"/>
        </w:rPr>
      </w:pPr>
      <w:r w:rsidRPr="00B91121">
        <w:rPr>
          <w:rFonts w:asciiTheme="majorHAnsi" w:hAnsiTheme="majorHAnsi"/>
          <w:sz w:val="20"/>
          <w:szCs w:val="20"/>
          <w:lang w:val="es-AR"/>
        </w:rPr>
        <w:t xml:space="preserve">El 16 de diciembre de 1998, el Fiscal </w:t>
      </w:r>
      <w:r w:rsidR="003F3927" w:rsidRPr="00B91121">
        <w:rPr>
          <w:rFonts w:asciiTheme="majorHAnsi" w:hAnsiTheme="majorHAnsi"/>
          <w:sz w:val="20"/>
          <w:szCs w:val="20"/>
          <w:lang w:val="es-AR"/>
        </w:rPr>
        <w:t xml:space="preserve">Nacional en lo Criminal de </w:t>
      </w:r>
      <w:r w:rsidR="00783BB9" w:rsidRPr="00B91121">
        <w:rPr>
          <w:rFonts w:asciiTheme="majorHAnsi" w:hAnsiTheme="majorHAnsi"/>
          <w:sz w:val="20"/>
          <w:szCs w:val="20"/>
          <w:lang w:val="es-AR"/>
        </w:rPr>
        <w:t>Instrucción</w:t>
      </w:r>
      <w:r w:rsidR="00077503" w:rsidRPr="00B91121">
        <w:rPr>
          <w:rFonts w:asciiTheme="majorHAnsi" w:hAnsiTheme="majorHAnsi"/>
          <w:sz w:val="20"/>
          <w:szCs w:val="20"/>
          <w:lang w:val="es-AR"/>
        </w:rPr>
        <w:t xml:space="preserve"> No.</w:t>
      </w:r>
      <w:r w:rsidR="003F3927" w:rsidRPr="00B91121">
        <w:rPr>
          <w:rFonts w:asciiTheme="majorHAnsi" w:hAnsiTheme="majorHAnsi"/>
          <w:sz w:val="20"/>
          <w:szCs w:val="20"/>
          <w:lang w:val="es-AR"/>
        </w:rPr>
        <w:t xml:space="preserve"> 14, formuló </w:t>
      </w:r>
      <w:r w:rsidRPr="00B91121">
        <w:rPr>
          <w:rFonts w:asciiTheme="majorHAnsi" w:hAnsiTheme="majorHAnsi"/>
          <w:sz w:val="20"/>
          <w:szCs w:val="20"/>
          <w:lang w:val="es-AR"/>
        </w:rPr>
        <w:t>acus</w:t>
      </w:r>
      <w:r w:rsidR="003F3927" w:rsidRPr="00B91121">
        <w:rPr>
          <w:rFonts w:asciiTheme="majorHAnsi" w:hAnsiTheme="majorHAnsi"/>
          <w:sz w:val="20"/>
          <w:szCs w:val="20"/>
          <w:lang w:val="es-AR"/>
        </w:rPr>
        <w:t xml:space="preserve">ación </w:t>
      </w:r>
      <w:r w:rsidRPr="00B91121">
        <w:rPr>
          <w:rFonts w:asciiTheme="majorHAnsi" w:hAnsiTheme="majorHAnsi"/>
          <w:sz w:val="20"/>
          <w:szCs w:val="20"/>
          <w:lang w:val="es-AR"/>
        </w:rPr>
        <w:t xml:space="preserve">formal por homicidio culposo </w:t>
      </w:r>
      <w:r w:rsidR="003F3927" w:rsidRPr="00B91121">
        <w:rPr>
          <w:rFonts w:asciiTheme="majorHAnsi" w:hAnsiTheme="majorHAnsi"/>
          <w:sz w:val="20"/>
          <w:szCs w:val="20"/>
          <w:lang w:val="es-AR"/>
        </w:rPr>
        <w:t xml:space="preserve">contra </w:t>
      </w:r>
      <w:r w:rsidRPr="00B91121">
        <w:rPr>
          <w:rFonts w:asciiTheme="majorHAnsi" w:hAnsiTheme="majorHAnsi"/>
          <w:sz w:val="20"/>
          <w:szCs w:val="20"/>
          <w:lang w:val="es-AR"/>
        </w:rPr>
        <w:t>la médica Patricia</w:t>
      </w:r>
      <w:r w:rsidR="004B1D59" w:rsidRPr="00B91121">
        <w:rPr>
          <w:rFonts w:asciiTheme="majorHAnsi" w:hAnsiTheme="majorHAnsi"/>
          <w:sz w:val="20"/>
          <w:szCs w:val="20"/>
          <w:lang w:val="es-AR"/>
        </w:rPr>
        <w:t xml:space="preserve"> Carmen</w:t>
      </w:r>
      <w:r w:rsidR="00077503" w:rsidRPr="00B91121">
        <w:rPr>
          <w:rFonts w:asciiTheme="majorHAnsi" w:hAnsiTheme="majorHAnsi"/>
          <w:sz w:val="20"/>
          <w:szCs w:val="20"/>
          <w:lang w:val="es-AR"/>
        </w:rPr>
        <w:t xml:space="preserve"> Anido y e</w:t>
      </w:r>
      <w:r w:rsidRPr="00B91121">
        <w:rPr>
          <w:rFonts w:asciiTheme="majorHAnsi" w:hAnsiTheme="majorHAnsi"/>
          <w:sz w:val="20"/>
          <w:szCs w:val="20"/>
          <w:lang w:val="es-AR"/>
        </w:rPr>
        <w:t xml:space="preserve">l médico Eduardo </w:t>
      </w:r>
      <w:r w:rsidR="004B1D59" w:rsidRPr="00B91121">
        <w:rPr>
          <w:rFonts w:asciiTheme="majorHAnsi" w:hAnsiTheme="majorHAnsi"/>
          <w:sz w:val="20"/>
          <w:szCs w:val="20"/>
          <w:lang w:val="es-AR"/>
        </w:rPr>
        <w:t xml:space="preserve">Mario </w:t>
      </w:r>
      <w:r w:rsidRPr="00B91121">
        <w:rPr>
          <w:rFonts w:asciiTheme="majorHAnsi" w:hAnsiTheme="majorHAnsi"/>
          <w:sz w:val="20"/>
          <w:szCs w:val="20"/>
          <w:lang w:val="es-AR"/>
        </w:rPr>
        <w:t>Negri,</w:t>
      </w:r>
      <w:r w:rsidR="000C15FE" w:rsidRPr="00B91121">
        <w:rPr>
          <w:rFonts w:asciiTheme="majorHAnsi" w:hAnsiTheme="majorHAnsi"/>
          <w:sz w:val="20"/>
          <w:szCs w:val="20"/>
          <w:lang w:val="es-AR"/>
        </w:rPr>
        <w:t xml:space="preserve"> profesionales del </w:t>
      </w:r>
      <w:r w:rsidR="00077503" w:rsidRPr="00B91121">
        <w:rPr>
          <w:rFonts w:asciiTheme="majorHAnsi" w:hAnsiTheme="majorHAnsi"/>
          <w:sz w:val="20"/>
          <w:szCs w:val="20"/>
          <w:lang w:val="es-AR"/>
        </w:rPr>
        <w:t>H</w:t>
      </w:r>
      <w:r w:rsidR="000C15FE" w:rsidRPr="00B91121">
        <w:rPr>
          <w:rFonts w:asciiTheme="majorHAnsi" w:hAnsiTheme="majorHAnsi"/>
          <w:sz w:val="20"/>
          <w:szCs w:val="20"/>
          <w:lang w:val="es-AR"/>
        </w:rPr>
        <w:t xml:space="preserve">ospital </w:t>
      </w:r>
      <w:r w:rsidR="0037761F" w:rsidRPr="00B91121">
        <w:rPr>
          <w:rFonts w:asciiTheme="majorHAnsi" w:hAnsiTheme="majorHAnsi"/>
          <w:sz w:val="20"/>
          <w:szCs w:val="20"/>
          <w:lang w:val="es-AR"/>
        </w:rPr>
        <w:t xml:space="preserve">Público </w:t>
      </w:r>
      <w:r w:rsidR="00141CA1" w:rsidRPr="00B91121">
        <w:rPr>
          <w:rFonts w:asciiTheme="majorHAnsi" w:hAnsiTheme="majorHAnsi"/>
          <w:sz w:val="20"/>
          <w:szCs w:val="20"/>
          <w:lang w:val="es-AR"/>
        </w:rPr>
        <w:t>Sardá</w:t>
      </w:r>
      <w:r w:rsidR="000C15FE" w:rsidRPr="00B91121">
        <w:rPr>
          <w:rFonts w:asciiTheme="majorHAnsi" w:hAnsiTheme="majorHAnsi"/>
          <w:sz w:val="20"/>
          <w:szCs w:val="20"/>
          <w:lang w:val="es-AR"/>
        </w:rPr>
        <w:t>,</w:t>
      </w:r>
      <w:r w:rsidRPr="00B91121">
        <w:rPr>
          <w:rFonts w:asciiTheme="majorHAnsi" w:hAnsiTheme="majorHAnsi"/>
          <w:sz w:val="20"/>
          <w:szCs w:val="20"/>
          <w:lang w:val="es-AR"/>
        </w:rPr>
        <w:t xml:space="preserve"> solicitando que se les impusieran penas de tres años de prisión</w:t>
      </w:r>
      <w:r w:rsidR="00783BB9" w:rsidRPr="00B91121">
        <w:rPr>
          <w:rFonts w:asciiTheme="majorHAnsi" w:hAnsiTheme="majorHAnsi"/>
          <w:sz w:val="20"/>
          <w:szCs w:val="20"/>
          <w:lang w:val="es-AR"/>
        </w:rPr>
        <w:t xml:space="preserve"> de ejecución condicional</w:t>
      </w:r>
      <w:r w:rsidRPr="00B91121">
        <w:rPr>
          <w:rFonts w:asciiTheme="majorHAnsi" w:hAnsiTheme="majorHAnsi"/>
          <w:sz w:val="20"/>
          <w:szCs w:val="20"/>
          <w:lang w:val="es-AR"/>
        </w:rPr>
        <w:t xml:space="preserve"> y nueve años de inhabilitación </w:t>
      </w:r>
      <w:r w:rsidR="00783BB9" w:rsidRPr="00B91121">
        <w:rPr>
          <w:rFonts w:asciiTheme="majorHAnsi" w:hAnsiTheme="majorHAnsi"/>
          <w:sz w:val="20"/>
          <w:szCs w:val="20"/>
          <w:lang w:val="es-AR"/>
        </w:rPr>
        <w:t xml:space="preserve">especial </w:t>
      </w:r>
      <w:r w:rsidRPr="00B91121">
        <w:rPr>
          <w:rFonts w:asciiTheme="majorHAnsi" w:hAnsiTheme="majorHAnsi"/>
          <w:sz w:val="20"/>
          <w:szCs w:val="20"/>
          <w:lang w:val="es-AR"/>
        </w:rPr>
        <w:t xml:space="preserve">para ejercer la medicina. </w:t>
      </w:r>
      <w:r w:rsidR="00B05CAE" w:rsidRPr="00B91121">
        <w:rPr>
          <w:rFonts w:asciiTheme="majorHAnsi" w:hAnsiTheme="majorHAnsi"/>
          <w:sz w:val="20"/>
          <w:szCs w:val="20"/>
          <w:lang w:val="es-AR"/>
        </w:rPr>
        <w:t xml:space="preserve"> En su acusación se refirió</w:t>
      </w:r>
      <w:r w:rsidR="00B45F91" w:rsidRPr="00B91121">
        <w:rPr>
          <w:rFonts w:asciiTheme="majorHAnsi" w:hAnsiTheme="majorHAnsi"/>
          <w:sz w:val="20"/>
          <w:szCs w:val="20"/>
          <w:lang w:val="es-AR"/>
        </w:rPr>
        <w:t xml:space="preserve"> al carácter “intencionadamente ecléctico y contradictorio que presentan numerosos informes médicos”</w:t>
      </w:r>
      <w:r w:rsidR="00077503" w:rsidRPr="00B91121">
        <w:rPr>
          <w:rStyle w:val="FootnoteReference"/>
          <w:rFonts w:asciiTheme="majorHAnsi" w:hAnsiTheme="majorHAnsi"/>
          <w:color w:val="000000" w:themeColor="text1"/>
          <w:sz w:val="20"/>
          <w:szCs w:val="20"/>
          <w:lang w:val="es-ES"/>
        </w:rPr>
        <w:footnoteReference w:id="16"/>
      </w:r>
      <w:r w:rsidR="00B45F91" w:rsidRPr="00B91121">
        <w:rPr>
          <w:rFonts w:asciiTheme="majorHAnsi" w:hAnsiTheme="majorHAnsi"/>
          <w:sz w:val="20"/>
          <w:szCs w:val="20"/>
          <w:lang w:val="es-AR"/>
        </w:rPr>
        <w:t xml:space="preserve">. </w:t>
      </w:r>
      <w:r w:rsidR="004A57E3" w:rsidRPr="00B91121">
        <w:rPr>
          <w:rFonts w:asciiTheme="majorHAnsi" w:hAnsiTheme="majorHAnsi"/>
          <w:sz w:val="20"/>
          <w:szCs w:val="20"/>
          <w:lang w:val="es-AR"/>
        </w:rPr>
        <w:t>Como base para su acusación sostuvo</w:t>
      </w:r>
      <w:r w:rsidR="00B05CAE" w:rsidRPr="00B91121">
        <w:rPr>
          <w:rFonts w:asciiTheme="majorHAnsi" w:hAnsiTheme="majorHAnsi"/>
          <w:sz w:val="20"/>
          <w:szCs w:val="20"/>
          <w:lang w:val="es-AR"/>
        </w:rPr>
        <w:t xml:space="preserve"> </w:t>
      </w:r>
      <w:r w:rsidR="003F3927" w:rsidRPr="00B91121">
        <w:rPr>
          <w:rFonts w:asciiTheme="majorHAnsi" w:hAnsiTheme="majorHAnsi"/>
          <w:sz w:val="20"/>
          <w:szCs w:val="20"/>
          <w:lang w:val="es-AR"/>
        </w:rPr>
        <w:t>que:</w:t>
      </w:r>
    </w:p>
    <w:p w14:paraId="5DFEA00F" w14:textId="77777777" w:rsidR="003F3927" w:rsidRPr="00B91121" w:rsidRDefault="003F3927" w:rsidP="0086464B">
      <w:pPr>
        <w:ind w:left="720"/>
      </w:pPr>
    </w:p>
    <w:p w14:paraId="0C4F474E" w14:textId="77777777" w:rsidR="00B05CAE" w:rsidRPr="00B91121" w:rsidRDefault="00B05CAE" w:rsidP="004934E7">
      <w:pPr>
        <w:ind w:left="360" w:right="360"/>
        <w:jc w:val="both"/>
        <w:rPr>
          <w:rFonts w:asciiTheme="majorHAnsi" w:hAnsiTheme="majorHAnsi"/>
          <w:sz w:val="18"/>
          <w:szCs w:val="18"/>
          <w:lang w:val="es-ES"/>
        </w:rPr>
      </w:pPr>
      <w:r w:rsidRPr="00B91121">
        <w:rPr>
          <w:rFonts w:asciiTheme="majorHAnsi" w:hAnsiTheme="majorHAnsi"/>
          <w:sz w:val="18"/>
          <w:szCs w:val="18"/>
          <w:lang w:val="es-ES"/>
        </w:rPr>
        <w:t xml:space="preserve">[…] </w:t>
      </w:r>
      <w:r w:rsidR="003F3927" w:rsidRPr="00B91121">
        <w:rPr>
          <w:rFonts w:asciiTheme="majorHAnsi" w:hAnsiTheme="majorHAnsi"/>
          <w:sz w:val="18"/>
          <w:szCs w:val="18"/>
          <w:lang w:val="es-ES"/>
        </w:rPr>
        <w:t xml:space="preserve">numerosos actos procesales invalidados, profusas diligencias probatorias con conclusiones encontradas y hasta con causas criminales en trámite motivadas en aquellos, generándose “investigaciones de la investigación”, las cuales, a la fecha, se encuentran en pleno trámite de dilucidación. </w:t>
      </w:r>
    </w:p>
    <w:p w14:paraId="586F255F" w14:textId="77777777" w:rsidR="003F3927" w:rsidRPr="00B91121" w:rsidRDefault="003F3927" w:rsidP="004934E7">
      <w:pPr>
        <w:ind w:left="360" w:right="360"/>
        <w:jc w:val="both"/>
        <w:rPr>
          <w:rFonts w:asciiTheme="majorHAnsi" w:hAnsiTheme="majorHAnsi"/>
          <w:sz w:val="18"/>
          <w:szCs w:val="18"/>
          <w:lang w:val="es-ES"/>
        </w:rPr>
      </w:pPr>
      <w:r w:rsidRPr="00B91121">
        <w:rPr>
          <w:rFonts w:asciiTheme="majorHAnsi" w:hAnsiTheme="majorHAnsi"/>
          <w:sz w:val="18"/>
          <w:szCs w:val="18"/>
          <w:lang w:val="es-ES"/>
        </w:rPr>
        <w:t xml:space="preserve">Todo esto, ha conllevado a realizar un ingente esfuerzo más allá de lo común, en la colecta de elementos, a los efectos de arribar a una contundencia </w:t>
      </w:r>
      <w:r w:rsidR="003E0BCF" w:rsidRPr="00B91121">
        <w:rPr>
          <w:rFonts w:asciiTheme="majorHAnsi" w:hAnsiTheme="majorHAnsi"/>
          <w:sz w:val="18"/>
          <w:szCs w:val="18"/>
          <w:lang w:val="es-ES"/>
        </w:rPr>
        <w:t xml:space="preserve">probatoria suficiente para poder progresar en éstas. </w:t>
      </w:r>
    </w:p>
    <w:p w14:paraId="3AF98388" w14:textId="77777777" w:rsidR="00CE175A" w:rsidRPr="00B91121" w:rsidRDefault="00B05CAE" w:rsidP="004934E7">
      <w:pPr>
        <w:ind w:left="360" w:right="360"/>
        <w:jc w:val="both"/>
        <w:rPr>
          <w:rFonts w:asciiTheme="majorHAnsi" w:hAnsiTheme="majorHAnsi"/>
          <w:sz w:val="18"/>
          <w:szCs w:val="18"/>
          <w:lang w:val="es-ES"/>
        </w:rPr>
      </w:pPr>
      <w:r w:rsidRPr="00B91121">
        <w:rPr>
          <w:rFonts w:asciiTheme="majorHAnsi" w:hAnsiTheme="majorHAnsi"/>
          <w:sz w:val="18"/>
          <w:szCs w:val="18"/>
          <w:lang w:val="es-ES"/>
        </w:rPr>
        <w:t xml:space="preserve">[…] </w:t>
      </w:r>
      <w:r w:rsidR="003E0BCF" w:rsidRPr="00B91121">
        <w:rPr>
          <w:rFonts w:asciiTheme="majorHAnsi" w:hAnsiTheme="majorHAnsi"/>
          <w:sz w:val="18"/>
          <w:szCs w:val="18"/>
          <w:lang w:val="es-ES"/>
        </w:rPr>
        <w:t>por demás voluminosa causa, que ha conspirado contra los mismos tiempos proces</w:t>
      </w:r>
      <w:r w:rsidR="00CE175A" w:rsidRPr="00B91121">
        <w:rPr>
          <w:rFonts w:asciiTheme="majorHAnsi" w:hAnsiTheme="majorHAnsi"/>
          <w:sz w:val="18"/>
          <w:szCs w:val="18"/>
          <w:lang w:val="es-ES"/>
        </w:rPr>
        <w:t>ales que regulan la misma, e inclusive, condenándola al manto de la prescripción en el caso, respecto de determinados imputados.</w:t>
      </w:r>
    </w:p>
    <w:p w14:paraId="1137BFF7" w14:textId="77777777" w:rsidR="00405214" w:rsidRPr="00B91121" w:rsidRDefault="00405214" w:rsidP="004934E7">
      <w:pPr>
        <w:ind w:left="360" w:right="360"/>
        <w:jc w:val="both"/>
        <w:rPr>
          <w:rFonts w:asciiTheme="majorHAnsi" w:hAnsiTheme="majorHAnsi"/>
          <w:sz w:val="18"/>
          <w:szCs w:val="18"/>
          <w:lang w:val="es-ES"/>
        </w:rPr>
      </w:pPr>
      <w:r w:rsidRPr="00B91121">
        <w:rPr>
          <w:rFonts w:asciiTheme="majorHAnsi" w:hAnsiTheme="majorHAnsi"/>
          <w:sz w:val="18"/>
          <w:szCs w:val="18"/>
          <w:lang w:val="es-ES"/>
        </w:rPr>
        <w:t>[…]</w:t>
      </w:r>
      <w:r w:rsidR="00B05CAE" w:rsidRPr="00B91121">
        <w:rPr>
          <w:rFonts w:asciiTheme="majorHAnsi" w:hAnsiTheme="majorHAnsi"/>
          <w:sz w:val="18"/>
          <w:szCs w:val="18"/>
          <w:lang w:val="es-ES"/>
        </w:rPr>
        <w:t xml:space="preserve"> </w:t>
      </w:r>
      <w:r w:rsidRPr="00B91121">
        <w:rPr>
          <w:rFonts w:asciiTheme="majorHAnsi" w:hAnsiTheme="majorHAnsi"/>
          <w:sz w:val="18"/>
          <w:szCs w:val="18"/>
          <w:lang w:val="es-ES"/>
        </w:rPr>
        <w:t>Debo destacar también las declaraciones testimoniales de HORACIO ANTONIO SCHIAVO  a fs. 450/1 y de HECTOR NICOLAS PAPAGNI  a fs. 452, en la que señalaron coincidentemente que de las visitas realizadas por la mujer el 6 de abril y el 5 de mayo debieron los profesionales tratantes haber adoptado otros recaudos con la paciente, dado que en la primera se la debió internar y en la segunda disponer exámenes más exhaustivos.</w:t>
      </w:r>
    </w:p>
    <w:p w14:paraId="22CC2C1E" w14:textId="77777777" w:rsidR="00CE175A" w:rsidRPr="00B91121" w:rsidRDefault="00405214" w:rsidP="004934E7">
      <w:pPr>
        <w:ind w:left="360" w:right="360"/>
        <w:jc w:val="both"/>
        <w:rPr>
          <w:rFonts w:asciiTheme="majorHAnsi" w:hAnsiTheme="majorHAnsi"/>
          <w:sz w:val="18"/>
          <w:szCs w:val="18"/>
          <w:lang w:val="es-ES"/>
        </w:rPr>
      </w:pPr>
      <w:r w:rsidRPr="00B91121">
        <w:rPr>
          <w:rFonts w:asciiTheme="majorHAnsi" w:hAnsiTheme="majorHAnsi"/>
          <w:sz w:val="18"/>
          <w:szCs w:val="18"/>
          <w:lang w:val="es-ES"/>
        </w:rPr>
        <w:t>[…] Asimismo, resulta de interés para la cuestión las respuestas de la Academia Nacional de Medicina[…]</w:t>
      </w:r>
      <w:r w:rsidR="004C01D8" w:rsidRPr="00B91121">
        <w:rPr>
          <w:rFonts w:asciiTheme="majorHAnsi" w:hAnsiTheme="majorHAnsi"/>
          <w:sz w:val="18"/>
          <w:szCs w:val="18"/>
          <w:lang w:val="es-ES"/>
        </w:rPr>
        <w:t xml:space="preserve">De tal informe puede extractarse la clasificación aceptada de hipertensión durante el embarazo […] señalando que conforme la Secretaría de Salud </w:t>
      </w:r>
      <w:r w:rsidRPr="00B91121">
        <w:rPr>
          <w:rFonts w:asciiTheme="majorHAnsi" w:hAnsiTheme="majorHAnsi"/>
          <w:sz w:val="18"/>
          <w:szCs w:val="18"/>
          <w:lang w:val="es-ES"/>
        </w:rPr>
        <w:t xml:space="preserve"> </w:t>
      </w:r>
      <w:r w:rsidR="004C01D8" w:rsidRPr="00B91121">
        <w:rPr>
          <w:rFonts w:asciiTheme="majorHAnsi" w:hAnsiTheme="majorHAnsi"/>
          <w:sz w:val="18"/>
          <w:szCs w:val="18"/>
          <w:lang w:val="es-ES"/>
        </w:rPr>
        <w:t>Pública de la Nación como primer lectura patológica la de 140/90 mm. hg. en mujeres normotensas fuera del embarazo. Señalan asimismo los diversos grados de gravedad de los cuadros y la necesidad del seguimiento ambulatorio o de internación conforme el cuadro de gravedad de la paciente, destacando que la hipertensión durante el embarazo hace peligrar la salud materna y fetal […] Fundamentalmente, ha de tenerse en cuenta a los fines de establecer el diagnóstico y causas del fallecimiento de BRITEZ ARCE y su hijo en gestación la Pericia realizada por la Facultad de Medicina de la Universidad Católica de Córdoba que luce a fs. 1262/1289, que en lo pertinente, expresa que la causa de muerte es la Preeclampsia no diagnosticada ni tratada. Señala que ya en la segunda</w:t>
      </w:r>
      <w:r w:rsidR="00C24C88" w:rsidRPr="00B91121">
        <w:rPr>
          <w:rFonts w:asciiTheme="majorHAnsi" w:hAnsiTheme="majorHAnsi"/>
          <w:sz w:val="18"/>
          <w:szCs w:val="18"/>
          <w:lang w:val="es-ES"/>
        </w:rPr>
        <w:t xml:space="preserve"> consulta tenía en la historia c</w:t>
      </w:r>
      <w:r w:rsidR="004C01D8" w:rsidRPr="00B91121">
        <w:rPr>
          <w:rFonts w:asciiTheme="majorHAnsi" w:hAnsiTheme="majorHAnsi"/>
          <w:sz w:val="18"/>
          <w:szCs w:val="18"/>
          <w:lang w:val="es-ES"/>
        </w:rPr>
        <w:t>línica un trastorno hipertensivo de gestación, los antecedentes de hipertensión previa en gesta anterior, como lo indica el cardiólogo, son elementos suficientes</w:t>
      </w:r>
      <w:r w:rsidR="001D4CDD" w:rsidRPr="00B91121">
        <w:rPr>
          <w:rFonts w:asciiTheme="majorHAnsi" w:hAnsiTheme="majorHAnsi"/>
          <w:sz w:val="18"/>
          <w:szCs w:val="18"/>
          <w:lang w:val="es-ES"/>
        </w:rPr>
        <w:t xml:space="preserve"> para encuadrar a esta paciente como una Preeclampsia. </w:t>
      </w:r>
    </w:p>
    <w:p w14:paraId="0DC53605" w14:textId="77777777" w:rsidR="001D4CDD" w:rsidRPr="00B91121" w:rsidRDefault="001D4CDD" w:rsidP="004934E7">
      <w:pPr>
        <w:ind w:left="360" w:right="360"/>
        <w:jc w:val="both"/>
        <w:rPr>
          <w:rFonts w:asciiTheme="majorHAnsi" w:hAnsiTheme="majorHAnsi"/>
          <w:sz w:val="18"/>
          <w:szCs w:val="18"/>
          <w:lang w:val="es-ES"/>
        </w:rPr>
      </w:pPr>
      <w:r w:rsidRPr="00B91121">
        <w:rPr>
          <w:rFonts w:asciiTheme="majorHAnsi" w:hAnsiTheme="majorHAnsi"/>
          <w:sz w:val="18"/>
          <w:szCs w:val="18"/>
          <w:lang w:val="es-ES"/>
        </w:rPr>
        <w:t xml:space="preserve">[…] Se han omitido en la interpretación de este estudio, la línea de base de la frecuencia cardíaca, el tipo de variabilidad y los descensos de la frecuencia cardíaca fetal […] no estudiaron el líquido amniótico, ni siquiera la examinaron genitalmente para comprobar el estado del cuello uterino y de allí establecer la factibilidad de internar a la paciente. </w:t>
      </w:r>
    </w:p>
    <w:p w14:paraId="61B61D5B" w14:textId="77777777" w:rsidR="004D3557" w:rsidRPr="00B91121" w:rsidRDefault="004D3557" w:rsidP="004934E7">
      <w:pPr>
        <w:ind w:left="360" w:right="360"/>
        <w:jc w:val="both"/>
        <w:rPr>
          <w:rFonts w:asciiTheme="majorHAnsi" w:hAnsiTheme="majorHAnsi"/>
          <w:sz w:val="18"/>
          <w:szCs w:val="18"/>
          <w:lang w:val="es-ES"/>
        </w:rPr>
      </w:pPr>
      <w:r w:rsidRPr="00B91121">
        <w:rPr>
          <w:rFonts w:asciiTheme="majorHAnsi" w:hAnsiTheme="majorHAnsi"/>
          <w:sz w:val="18"/>
          <w:szCs w:val="18"/>
          <w:lang w:val="es-ES"/>
        </w:rPr>
        <w:t xml:space="preserve">[…] Debe señalarse que la Hiperglucemia puede ser debida al estrés sufrido por la paciente al recibir la noticia de la muerte de su hijo […] Destacan asimismo que estaba sometida a un estrés importante, (la noticia de la muerte de su hijo). ¿Porqué (sic) no se esperó el resultado antes de someterla a otro estrés como el trabajo de parto o </w:t>
      </w:r>
      <w:r w:rsidRPr="00B91121">
        <w:rPr>
          <w:rFonts w:asciiTheme="majorHAnsi" w:hAnsiTheme="majorHAnsi"/>
          <w:sz w:val="18"/>
          <w:szCs w:val="18"/>
          <w:lang w:val="es-ES"/>
        </w:rPr>
        <w:lastRenderedPageBreak/>
        <w:t>parto?</w:t>
      </w:r>
      <w:r w:rsidR="00C24C88" w:rsidRPr="00B91121">
        <w:rPr>
          <w:rFonts w:asciiTheme="majorHAnsi" w:hAnsiTheme="majorHAnsi"/>
          <w:sz w:val="18"/>
          <w:szCs w:val="18"/>
          <w:lang w:val="es-ES"/>
        </w:rPr>
        <w:t xml:space="preserve"> </w:t>
      </w:r>
      <w:r w:rsidRPr="00B91121">
        <w:rPr>
          <w:rFonts w:asciiTheme="majorHAnsi" w:hAnsiTheme="majorHAnsi"/>
          <w:sz w:val="18"/>
          <w:szCs w:val="18"/>
          <w:lang w:val="es-ES"/>
        </w:rPr>
        <w:t>Conclusión: de acuerdo a los hechos consignados en la Historia Clínica, la paciente sufrió una Eclampsia, su acidosis y su hemorragia cerebral la llevaron a la muerte por paro c</w:t>
      </w:r>
      <w:r w:rsidR="00C24C88" w:rsidRPr="00B91121">
        <w:rPr>
          <w:rFonts w:asciiTheme="majorHAnsi" w:hAnsiTheme="majorHAnsi"/>
          <w:sz w:val="18"/>
          <w:szCs w:val="18"/>
          <w:lang w:val="es-ES"/>
        </w:rPr>
        <w:t>ardio respiratorio irreversible.</w:t>
      </w:r>
    </w:p>
    <w:p w14:paraId="22910719" w14:textId="77777777" w:rsidR="004D3557" w:rsidRPr="00B91121" w:rsidRDefault="004D3557" w:rsidP="004934E7">
      <w:pPr>
        <w:ind w:left="360" w:right="360"/>
        <w:jc w:val="both"/>
        <w:rPr>
          <w:rFonts w:asciiTheme="majorHAnsi" w:hAnsiTheme="majorHAnsi"/>
          <w:sz w:val="18"/>
          <w:szCs w:val="18"/>
          <w:lang w:val="es-ES"/>
        </w:rPr>
      </w:pPr>
      <w:r w:rsidRPr="00B91121">
        <w:rPr>
          <w:rFonts w:asciiTheme="majorHAnsi" w:hAnsiTheme="majorHAnsi"/>
          <w:sz w:val="18"/>
          <w:szCs w:val="18"/>
          <w:lang w:val="es-ES"/>
        </w:rPr>
        <w:t xml:space="preserve">Se agregaron a fs. 1164/1187 las conclusiones de la pericia médica ordenada en autos suscripta por los Sres. Médicos Forenses Oficiales, DRES. HÉCTOR PAPAGNI Y HORACIO SCHIAVO, junto con los especialistas de parte DRES. ANA MARIA BORELLI Y ALBERTO BRAILOVSKT, quienes presentaron disidencias por separado. </w:t>
      </w:r>
    </w:p>
    <w:p w14:paraId="30CA1829" w14:textId="77777777" w:rsidR="00B00F50" w:rsidRPr="00B91121" w:rsidRDefault="00B00F50" w:rsidP="004934E7">
      <w:pPr>
        <w:ind w:left="360" w:right="360"/>
        <w:jc w:val="both"/>
        <w:rPr>
          <w:rFonts w:asciiTheme="majorHAnsi" w:hAnsiTheme="majorHAnsi"/>
          <w:sz w:val="18"/>
          <w:szCs w:val="18"/>
        </w:rPr>
      </w:pPr>
      <w:r w:rsidRPr="00B91121">
        <w:rPr>
          <w:rFonts w:asciiTheme="majorHAnsi" w:hAnsiTheme="majorHAnsi"/>
          <w:sz w:val="18"/>
          <w:szCs w:val="18"/>
          <w:lang w:val="es-ES"/>
        </w:rPr>
        <w:t>A pregunta formulada por esta Fiscalía, señalaron luego que la hipertensión es la primera causa de muerte materna en el mundo, aún con tratamiento […]</w:t>
      </w:r>
      <w:r w:rsidR="00C24C88" w:rsidRPr="00B91121">
        <w:rPr>
          <w:rFonts w:asciiTheme="majorHAnsi" w:hAnsiTheme="majorHAnsi"/>
          <w:sz w:val="18"/>
          <w:szCs w:val="18"/>
          <w:lang w:val="es-ES"/>
        </w:rPr>
        <w:t>.</w:t>
      </w:r>
      <w:r w:rsidRPr="00B91121">
        <w:rPr>
          <w:rFonts w:asciiTheme="majorHAnsi" w:hAnsiTheme="majorHAnsi"/>
          <w:sz w:val="18"/>
          <w:szCs w:val="18"/>
          <w:lang w:val="es-ES"/>
        </w:rPr>
        <w:t xml:space="preserve"> En base a aquellas consideraciones es que ratifican los (sic) expresado por ellos con anterioridad en punto a la conveniencia de internar a la paciente por su aumento de peso, tensión arterial de Mx. 130 Mn. 90, 38 años de edad, preeclampsia consignada en un embarazo anterior, que la convierte en una gestante de riesgo y que constituyen los primeros signos anteriores a la tormenta y que aún internado, no podría descartarse su evolución</w:t>
      </w:r>
      <w:r w:rsidR="004A57E3" w:rsidRPr="00B91121">
        <w:rPr>
          <w:rFonts w:asciiTheme="majorHAnsi" w:hAnsiTheme="majorHAnsi"/>
          <w:sz w:val="18"/>
          <w:szCs w:val="18"/>
          <w:lang w:val="es-ES"/>
        </w:rPr>
        <w:t xml:space="preserve"> […]</w:t>
      </w:r>
      <w:r w:rsidR="00CD1722" w:rsidRPr="00B91121">
        <w:rPr>
          <w:rStyle w:val="FootnoteReference"/>
          <w:rFonts w:asciiTheme="majorHAnsi" w:hAnsiTheme="majorHAnsi"/>
          <w:sz w:val="18"/>
          <w:szCs w:val="18"/>
        </w:rPr>
        <w:footnoteReference w:id="17"/>
      </w:r>
      <w:r w:rsidRPr="00B91121">
        <w:rPr>
          <w:rFonts w:asciiTheme="majorHAnsi" w:hAnsiTheme="majorHAnsi"/>
          <w:sz w:val="18"/>
          <w:szCs w:val="18"/>
        </w:rPr>
        <w:t xml:space="preserve">. </w:t>
      </w:r>
    </w:p>
    <w:p w14:paraId="540D9AB6" w14:textId="77777777" w:rsidR="00A2640C" w:rsidRPr="00B91121" w:rsidRDefault="00A2640C" w:rsidP="00A2640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28F50C57" w14:textId="77777777" w:rsidR="008F546A" w:rsidRPr="00B91121" w:rsidRDefault="008F546A" w:rsidP="003E2F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AR"/>
        </w:rPr>
      </w:pPr>
      <w:r w:rsidRPr="00B91121">
        <w:rPr>
          <w:rFonts w:ascii="Cambria" w:hAnsi="Cambria"/>
          <w:sz w:val="20"/>
          <w:szCs w:val="20"/>
          <w:lang w:val="es-ES"/>
        </w:rPr>
        <w:t>El 18 de julio de 2003, se dictó sentencia absolutoria</w:t>
      </w:r>
      <w:r w:rsidR="007A2B48" w:rsidRPr="00B91121">
        <w:rPr>
          <w:rFonts w:ascii="Cambria" w:hAnsi="Cambria"/>
          <w:sz w:val="20"/>
          <w:szCs w:val="20"/>
          <w:lang w:val="es-ES"/>
        </w:rPr>
        <w:t xml:space="preserve"> al personal médico imputado Negri y Anido, </w:t>
      </w:r>
      <w:r w:rsidR="00A044CC" w:rsidRPr="00B91121">
        <w:rPr>
          <w:rFonts w:ascii="Cambria" w:hAnsi="Cambria"/>
          <w:sz w:val="20"/>
          <w:szCs w:val="20"/>
          <w:lang w:val="es-ES"/>
        </w:rPr>
        <w:t>por ser</w:t>
      </w:r>
      <w:r w:rsidR="007A2B48" w:rsidRPr="00B91121">
        <w:rPr>
          <w:rFonts w:ascii="Cambria" w:hAnsi="Cambria"/>
          <w:sz w:val="20"/>
          <w:szCs w:val="20"/>
          <w:lang w:val="es-ES"/>
        </w:rPr>
        <w:t xml:space="preserve"> controvertido que la occisa hubiera tenido un embarazo de riesgo “y  como se desconocen las causas de la muerte del feto y su madre, habré de tener en cuenta, lo dictaminado por el Cuerpo Médico Forense en el último de los exámenes técnicos agregados a la causa”</w:t>
      </w:r>
      <w:r w:rsidR="007A2B48" w:rsidRPr="00B91121">
        <w:rPr>
          <w:rStyle w:val="FootnoteReference"/>
          <w:rFonts w:ascii="Cambria" w:hAnsi="Cambria"/>
          <w:sz w:val="20"/>
          <w:szCs w:val="20"/>
          <w:lang w:val="es-ES"/>
        </w:rPr>
        <w:footnoteReference w:id="18"/>
      </w:r>
      <w:r w:rsidR="007A2B48" w:rsidRPr="00B91121">
        <w:rPr>
          <w:rFonts w:ascii="Cambria" w:hAnsi="Cambria"/>
          <w:sz w:val="20"/>
          <w:szCs w:val="20"/>
          <w:lang w:val="es-ES"/>
        </w:rPr>
        <w:t>. Según la juez</w:t>
      </w:r>
      <w:r w:rsidR="006833DF" w:rsidRPr="00B91121">
        <w:rPr>
          <w:rFonts w:ascii="Cambria" w:hAnsi="Cambria"/>
          <w:sz w:val="20"/>
          <w:szCs w:val="20"/>
          <w:lang w:val="es-ES"/>
        </w:rPr>
        <w:t>a</w:t>
      </w:r>
      <w:r w:rsidR="007A2B48" w:rsidRPr="00B91121">
        <w:rPr>
          <w:rFonts w:ascii="Cambria" w:hAnsi="Cambria"/>
          <w:sz w:val="20"/>
          <w:szCs w:val="20"/>
          <w:lang w:val="es-ES"/>
        </w:rPr>
        <w:t xml:space="preserve"> de primera instancia</w:t>
      </w:r>
      <w:r w:rsidR="00C67B7D" w:rsidRPr="00B91121">
        <w:rPr>
          <w:rFonts w:ascii="Cambria" w:hAnsi="Cambria"/>
          <w:sz w:val="20"/>
          <w:szCs w:val="20"/>
          <w:lang w:val="es-ES"/>
        </w:rPr>
        <w:t>,</w:t>
      </w:r>
      <w:r w:rsidR="007A2B48" w:rsidRPr="00B91121">
        <w:rPr>
          <w:rFonts w:ascii="Cambria" w:hAnsi="Cambria"/>
          <w:sz w:val="20"/>
          <w:szCs w:val="20"/>
          <w:lang w:val="es-ES"/>
        </w:rPr>
        <w:t xml:space="preserve"> no se dieron los </w:t>
      </w:r>
      <w:r w:rsidR="00890642" w:rsidRPr="00B91121">
        <w:rPr>
          <w:rFonts w:ascii="Cambria" w:hAnsi="Cambria"/>
          <w:sz w:val="20"/>
          <w:szCs w:val="20"/>
          <w:lang w:val="es-ES"/>
        </w:rPr>
        <w:t>tres</w:t>
      </w:r>
      <w:r w:rsidR="007A2B48" w:rsidRPr="00B91121">
        <w:rPr>
          <w:rFonts w:ascii="Cambria" w:hAnsi="Cambria"/>
          <w:sz w:val="20"/>
          <w:szCs w:val="20"/>
          <w:lang w:val="es-ES"/>
        </w:rPr>
        <w:t xml:space="preserve"> elementos fundamentales de imprudencia: 1) previsibilidad objetiva del resultado; 2) </w:t>
      </w:r>
      <w:r w:rsidR="00C15901" w:rsidRPr="00B91121">
        <w:rPr>
          <w:rFonts w:ascii="Cambria" w:hAnsi="Cambria"/>
          <w:sz w:val="20"/>
          <w:szCs w:val="20"/>
          <w:lang w:val="es-ES"/>
        </w:rPr>
        <w:t>infracción</w:t>
      </w:r>
      <w:r w:rsidR="007A2B48" w:rsidRPr="00B91121">
        <w:rPr>
          <w:rFonts w:ascii="Cambria" w:hAnsi="Cambria"/>
          <w:sz w:val="20"/>
          <w:szCs w:val="20"/>
          <w:lang w:val="es-ES"/>
        </w:rPr>
        <w:t xml:space="preserve"> de la diligencia  o cuidado que conforma el disvalor de la acción;  y 3) el </w:t>
      </w:r>
      <w:r w:rsidR="00C15901" w:rsidRPr="00B91121">
        <w:rPr>
          <w:rFonts w:ascii="Cambria" w:hAnsi="Cambria"/>
          <w:sz w:val="20"/>
          <w:szCs w:val="20"/>
          <w:lang w:val="es-ES"/>
        </w:rPr>
        <w:t>resultado</w:t>
      </w:r>
      <w:r w:rsidR="007A2B48" w:rsidRPr="00B91121">
        <w:rPr>
          <w:rFonts w:ascii="Cambria" w:hAnsi="Cambria"/>
          <w:sz w:val="20"/>
          <w:szCs w:val="20"/>
          <w:lang w:val="es-ES"/>
        </w:rPr>
        <w:t xml:space="preserve"> objetivamente imputable que presenta el disvalor del resultado</w:t>
      </w:r>
      <w:r w:rsidR="00C15901" w:rsidRPr="00B91121">
        <w:rPr>
          <w:rStyle w:val="FootnoteReference"/>
          <w:rFonts w:ascii="Cambria" w:hAnsi="Cambria"/>
          <w:sz w:val="20"/>
          <w:szCs w:val="20"/>
          <w:lang w:val="es-ES"/>
        </w:rPr>
        <w:footnoteReference w:id="19"/>
      </w:r>
      <w:r w:rsidR="007A2B48" w:rsidRPr="00B91121">
        <w:rPr>
          <w:rFonts w:ascii="Cambria" w:hAnsi="Cambria"/>
          <w:sz w:val="20"/>
          <w:szCs w:val="20"/>
          <w:lang w:val="es-ES"/>
        </w:rPr>
        <w:t>.</w:t>
      </w:r>
      <w:r w:rsidR="00C15901" w:rsidRPr="00B91121">
        <w:rPr>
          <w:rFonts w:ascii="Cambria" w:hAnsi="Cambria"/>
          <w:sz w:val="20"/>
          <w:szCs w:val="20"/>
          <w:lang w:val="es-ES"/>
        </w:rPr>
        <w:t xml:space="preserve"> </w:t>
      </w:r>
      <w:r w:rsidR="007A2B48" w:rsidRPr="00B91121">
        <w:rPr>
          <w:rFonts w:ascii="Cambria" w:hAnsi="Cambria"/>
          <w:sz w:val="20"/>
          <w:szCs w:val="20"/>
          <w:lang w:val="es-ES"/>
        </w:rPr>
        <w:t>Dicha sentencia fue</w:t>
      </w:r>
      <w:r w:rsidRPr="00B91121">
        <w:rPr>
          <w:rFonts w:ascii="Cambria" w:hAnsi="Cambria"/>
          <w:sz w:val="20"/>
          <w:szCs w:val="20"/>
          <w:lang w:val="es-ES"/>
        </w:rPr>
        <w:t xml:space="preserve"> apelada por el fiscal y confirmada por la Cámara de Apelaciones en lo Criminal y Correccional</w:t>
      </w:r>
      <w:r w:rsidR="00B04BE6" w:rsidRPr="00B91121">
        <w:rPr>
          <w:rFonts w:ascii="Cambria" w:hAnsi="Cambria"/>
          <w:sz w:val="20"/>
          <w:szCs w:val="20"/>
          <w:lang w:val="es-ES"/>
        </w:rPr>
        <w:t>, indicando que “las hipótesis manejadas por la querella son probables, pero no han sido probadas, y la demora en la autopsia no permite conclusiones certeras sobre la causa de la muerte, por lo cual no es posible con certeza absoluta determinar la razón de la muerte y no es dable atribuir responsabilidad a los médicos acusados”</w:t>
      </w:r>
      <w:r w:rsidR="00B04BE6" w:rsidRPr="00B91121">
        <w:rPr>
          <w:rStyle w:val="FootnoteReference"/>
          <w:rFonts w:ascii="Cambria" w:hAnsi="Cambria"/>
          <w:sz w:val="20"/>
          <w:szCs w:val="20"/>
          <w:lang w:val="es-ES"/>
        </w:rPr>
        <w:footnoteReference w:id="20"/>
      </w:r>
      <w:r w:rsidRPr="00B91121">
        <w:rPr>
          <w:rFonts w:ascii="Cambria" w:hAnsi="Cambria"/>
          <w:sz w:val="20"/>
          <w:szCs w:val="20"/>
          <w:lang w:val="es-ES"/>
        </w:rPr>
        <w:t xml:space="preserve">. </w:t>
      </w:r>
      <w:r w:rsidR="00925071" w:rsidRPr="00B91121">
        <w:rPr>
          <w:rFonts w:ascii="Cambria" w:hAnsi="Cambria"/>
          <w:sz w:val="20"/>
          <w:szCs w:val="20"/>
          <w:lang w:val="es-ES"/>
        </w:rPr>
        <w:t>E</w:t>
      </w:r>
      <w:r w:rsidR="00C15901" w:rsidRPr="00B91121">
        <w:rPr>
          <w:rFonts w:ascii="Cambria" w:hAnsi="Cambria"/>
          <w:sz w:val="20"/>
          <w:szCs w:val="20"/>
          <w:lang w:val="es-ES"/>
        </w:rPr>
        <w:t xml:space="preserve">n el </w:t>
      </w:r>
      <w:r w:rsidR="00925071" w:rsidRPr="00B91121">
        <w:rPr>
          <w:rFonts w:ascii="Cambria" w:hAnsi="Cambria"/>
          <w:sz w:val="20"/>
          <w:szCs w:val="20"/>
          <w:lang w:val="es-ES"/>
        </w:rPr>
        <w:t>recurso</w:t>
      </w:r>
      <w:r w:rsidRPr="00B91121">
        <w:rPr>
          <w:rFonts w:ascii="Cambria" w:hAnsi="Cambria"/>
          <w:sz w:val="20"/>
          <w:szCs w:val="20"/>
          <w:lang w:val="es-ES"/>
        </w:rPr>
        <w:t xml:space="preserve"> extraordinario federal</w:t>
      </w:r>
      <w:r w:rsidR="00B04BE6" w:rsidRPr="00B91121">
        <w:rPr>
          <w:rFonts w:ascii="Cambria" w:hAnsi="Cambria"/>
          <w:sz w:val="20"/>
          <w:szCs w:val="20"/>
          <w:lang w:val="es-ES"/>
        </w:rPr>
        <w:t xml:space="preserve">, </w:t>
      </w:r>
      <w:r w:rsidR="00486694" w:rsidRPr="00B91121">
        <w:rPr>
          <w:rFonts w:ascii="Cambria" w:hAnsi="Cambria"/>
          <w:sz w:val="20"/>
          <w:szCs w:val="20"/>
          <w:lang w:val="es-ES"/>
        </w:rPr>
        <w:t>se a</w:t>
      </w:r>
      <w:r w:rsidR="00B04BE6" w:rsidRPr="00B91121">
        <w:rPr>
          <w:rFonts w:ascii="Cambria" w:hAnsi="Cambria"/>
          <w:sz w:val="20"/>
          <w:szCs w:val="20"/>
          <w:lang w:val="es-ES"/>
        </w:rPr>
        <w:t xml:space="preserve">firmó </w:t>
      </w:r>
      <w:r w:rsidR="00C15901" w:rsidRPr="00B91121">
        <w:rPr>
          <w:rFonts w:ascii="Cambria" w:hAnsi="Cambria"/>
          <w:sz w:val="20"/>
          <w:szCs w:val="20"/>
          <w:lang w:val="es-ES"/>
        </w:rPr>
        <w:t xml:space="preserve"> que la juez de primera instancia no tuvo en cuenta las argumentaciones de la querella en cuanto a la nulidad planteada por la introducción de </w:t>
      </w:r>
      <w:r w:rsidR="00486694" w:rsidRPr="00B91121">
        <w:rPr>
          <w:rFonts w:ascii="Cambria" w:hAnsi="Cambria"/>
          <w:sz w:val="20"/>
          <w:szCs w:val="20"/>
          <w:lang w:val="es-ES"/>
        </w:rPr>
        <w:t xml:space="preserve">una ficha de consultorio </w:t>
      </w:r>
      <w:r w:rsidR="00C15901" w:rsidRPr="00B91121">
        <w:rPr>
          <w:rFonts w:ascii="Cambria" w:hAnsi="Cambria"/>
          <w:sz w:val="20"/>
          <w:szCs w:val="20"/>
          <w:lang w:val="es-ES"/>
        </w:rPr>
        <w:t>obtenida de forma ilegítima</w:t>
      </w:r>
      <w:r w:rsidR="00486694" w:rsidRPr="00B91121">
        <w:rPr>
          <w:rFonts w:ascii="Cambria" w:hAnsi="Cambria"/>
          <w:sz w:val="20"/>
          <w:szCs w:val="20"/>
          <w:lang w:val="es-ES"/>
        </w:rPr>
        <w:t>, produciéndose así “</w:t>
      </w:r>
      <w:r w:rsidR="001B33A4" w:rsidRPr="00B91121">
        <w:rPr>
          <w:rFonts w:ascii="Cambria" w:hAnsi="Cambria"/>
          <w:sz w:val="20"/>
          <w:szCs w:val="20"/>
          <w:lang w:val="es-ES"/>
        </w:rPr>
        <w:t>la teoría del fruto del árbol envenenado”</w:t>
      </w:r>
      <w:r w:rsidR="00C15901" w:rsidRPr="00B91121">
        <w:rPr>
          <w:rFonts w:ascii="Cambria" w:hAnsi="Cambria"/>
          <w:sz w:val="20"/>
          <w:szCs w:val="20"/>
          <w:lang w:val="es-ES"/>
        </w:rPr>
        <w:t xml:space="preserve">. </w:t>
      </w:r>
      <w:r w:rsidR="00486694" w:rsidRPr="00B91121">
        <w:rPr>
          <w:rFonts w:ascii="Cambria" w:hAnsi="Cambria"/>
          <w:sz w:val="20"/>
          <w:szCs w:val="20"/>
          <w:lang w:val="es-ES"/>
        </w:rPr>
        <w:t>Asimismo, afirmó</w:t>
      </w:r>
      <w:r w:rsidR="00032A5E" w:rsidRPr="00B91121">
        <w:rPr>
          <w:rFonts w:ascii="Cambria" w:hAnsi="Cambria"/>
          <w:sz w:val="20"/>
          <w:szCs w:val="20"/>
          <w:lang w:val="es-ES"/>
        </w:rPr>
        <w:t xml:space="preserve"> que las pruebas “esenciales y decisivas” expuestas por la querella no fueron considera</w:t>
      </w:r>
      <w:r w:rsidR="00890642" w:rsidRPr="00B91121">
        <w:rPr>
          <w:rFonts w:ascii="Cambria" w:hAnsi="Cambria"/>
          <w:sz w:val="20"/>
          <w:szCs w:val="20"/>
          <w:lang w:val="es-ES"/>
        </w:rPr>
        <w:t>da</w:t>
      </w:r>
      <w:r w:rsidR="00032A5E" w:rsidRPr="00B91121">
        <w:rPr>
          <w:rFonts w:ascii="Cambria" w:hAnsi="Cambria"/>
          <w:sz w:val="20"/>
          <w:szCs w:val="20"/>
          <w:lang w:val="es-ES"/>
        </w:rPr>
        <w:t>s ni en la sentencia de primera ni en la de segunda instancia</w:t>
      </w:r>
      <w:r w:rsidR="00032A5E" w:rsidRPr="00B91121">
        <w:rPr>
          <w:rStyle w:val="FootnoteReference"/>
          <w:rFonts w:ascii="Cambria" w:hAnsi="Cambria"/>
          <w:sz w:val="20"/>
          <w:szCs w:val="20"/>
          <w:lang w:val="es-ES"/>
        </w:rPr>
        <w:footnoteReference w:id="21"/>
      </w:r>
      <w:r w:rsidR="00032A5E" w:rsidRPr="00B91121">
        <w:rPr>
          <w:rFonts w:ascii="Cambria" w:hAnsi="Cambria"/>
          <w:sz w:val="20"/>
          <w:szCs w:val="20"/>
          <w:lang w:val="es-ES"/>
        </w:rPr>
        <w:t xml:space="preserve">. </w:t>
      </w:r>
      <w:r w:rsidR="00D7535C" w:rsidRPr="00B91121">
        <w:rPr>
          <w:rFonts w:asciiTheme="majorHAnsi" w:hAnsiTheme="majorHAnsi"/>
          <w:sz w:val="20"/>
          <w:szCs w:val="20"/>
          <w:lang w:val="es-ES"/>
        </w:rPr>
        <w:t>Según lo señalado por ambas partes, el recurso fue rechazado por extemporáneo por la Cámara de Apelaciones.</w:t>
      </w:r>
    </w:p>
    <w:p w14:paraId="5BE71F60" w14:textId="77777777" w:rsidR="003E2F58" w:rsidRPr="00B91121" w:rsidRDefault="003E2F58" w:rsidP="003E2F5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4CAB8170" w14:textId="77777777" w:rsidR="003E2F58" w:rsidRPr="00B91121" w:rsidRDefault="003E2F58" w:rsidP="002A4B39">
      <w:pPr>
        <w:pStyle w:val="Heading3"/>
        <w:ind w:left="360"/>
        <w:jc w:val="both"/>
        <w:rPr>
          <w:lang w:val="es-MX"/>
        </w:rPr>
      </w:pPr>
      <w:bookmarkStart w:id="18" w:name="_Toc22199929"/>
      <w:bookmarkStart w:id="19" w:name="_Toc33525295"/>
      <w:r w:rsidRPr="00B91121">
        <w:rPr>
          <w:lang w:val="es-MX"/>
        </w:rPr>
        <w:t xml:space="preserve">Causa </w:t>
      </w:r>
      <w:r w:rsidR="00BF544C" w:rsidRPr="00B91121">
        <w:rPr>
          <w:lang w:val="es-MX"/>
        </w:rPr>
        <w:t xml:space="preserve">No. </w:t>
      </w:r>
      <w:r w:rsidRPr="00B91121">
        <w:rPr>
          <w:lang w:val="es-MX"/>
        </w:rPr>
        <w:t>21.375</w:t>
      </w:r>
      <w:r w:rsidR="00D02FBE" w:rsidRPr="00B91121">
        <w:rPr>
          <w:lang w:val="es-MX"/>
        </w:rPr>
        <w:t xml:space="preserve">/96 caratulada CASAVILLA, Florencio y otro s/falsificación de documento público  </w:t>
      </w:r>
      <w:r w:rsidR="00297F03" w:rsidRPr="00B91121">
        <w:rPr>
          <w:lang w:val="es-MX"/>
        </w:rPr>
        <w:t>-Juzgado Nacional en lo Criminal de I</w:t>
      </w:r>
      <w:r w:rsidR="00ED2491" w:rsidRPr="00B91121">
        <w:rPr>
          <w:lang w:val="es-MX"/>
        </w:rPr>
        <w:t>nstrucción No. 3, Secretaría 110</w:t>
      </w:r>
      <w:r w:rsidR="00ED2491" w:rsidRPr="00B91121">
        <w:rPr>
          <w:rStyle w:val="FootnoteReference"/>
          <w:vertAlign w:val="baseline"/>
        </w:rPr>
        <w:footnoteReference w:id="22"/>
      </w:r>
      <w:bookmarkEnd w:id="18"/>
      <w:bookmarkEnd w:id="19"/>
    </w:p>
    <w:p w14:paraId="6A917E2D" w14:textId="77777777" w:rsidR="003E2F58" w:rsidRPr="00B91121" w:rsidRDefault="003E2F58" w:rsidP="003E2F5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6AA2720A" w14:textId="77777777" w:rsidR="00EF224D" w:rsidRPr="00B91121" w:rsidRDefault="00EF224D" w:rsidP="00F77D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ES"/>
        </w:rPr>
      </w:pPr>
      <w:r w:rsidRPr="00B91121">
        <w:rPr>
          <w:rFonts w:ascii="Cambria" w:hAnsi="Cambria"/>
          <w:sz w:val="20"/>
          <w:szCs w:val="20"/>
          <w:lang w:val="es-ES"/>
        </w:rPr>
        <w:t>Como se refirió anteriormente, l</w:t>
      </w:r>
      <w:r w:rsidR="00D02FBE" w:rsidRPr="00B91121">
        <w:rPr>
          <w:rFonts w:ascii="Cambria" w:hAnsi="Cambria"/>
          <w:sz w:val="20"/>
          <w:szCs w:val="20"/>
          <w:lang w:val="es-ES"/>
        </w:rPr>
        <w:t xml:space="preserve">a causa se originó por la </w:t>
      </w:r>
      <w:r w:rsidRPr="00B91121">
        <w:rPr>
          <w:rFonts w:ascii="Cambria" w:hAnsi="Cambria"/>
          <w:sz w:val="20"/>
          <w:szCs w:val="20"/>
          <w:lang w:val="es-ES"/>
        </w:rPr>
        <w:t>denuncia</w:t>
      </w:r>
      <w:r w:rsidR="00967968" w:rsidRPr="00B91121">
        <w:rPr>
          <w:rFonts w:ascii="Cambria" w:hAnsi="Cambria"/>
          <w:sz w:val="20"/>
          <w:szCs w:val="20"/>
          <w:lang w:val="es-ES"/>
        </w:rPr>
        <w:t xml:space="preserve"> de oficio </w:t>
      </w:r>
      <w:r w:rsidRPr="00B91121">
        <w:rPr>
          <w:rFonts w:ascii="Cambria" w:hAnsi="Cambria"/>
          <w:sz w:val="20"/>
          <w:szCs w:val="20"/>
          <w:lang w:val="es-ES"/>
        </w:rPr>
        <w:t>interpuesta por la jueza</w:t>
      </w:r>
      <w:r w:rsidR="00482B14" w:rsidRPr="00B91121">
        <w:rPr>
          <w:rFonts w:ascii="Cambria" w:hAnsi="Cambria"/>
          <w:sz w:val="20"/>
          <w:szCs w:val="20"/>
          <w:lang w:val="es-ES"/>
        </w:rPr>
        <w:t xml:space="preserve"> correccional, </w:t>
      </w:r>
      <w:r w:rsidRPr="00B91121">
        <w:rPr>
          <w:rFonts w:ascii="Cambria" w:hAnsi="Cambria"/>
          <w:sz w:val="20"/>
          <w:szCs w:val="20"/>
          <w:lang w:val="es-ES"/>
        </w:rPr>
        <w:t xml:space="preserve">por la </w:t>
      </w:r>
      <w:r w:rsidR="00D02FBE" w:rsidRPr="00B91121">
        <w:rPr>
          <w:rFonts w:ascii="Cambria" w:hAnsi="Cambria"/>
          <w:sz w:val="20"/>
          <w:szCs w:val="20"/>
          <w:lang w:val="es-ES"/>
        </w:rPr>
        <w:t xml:space="preserve">presunta responsabilidad penal de los doctores Florencio Casavilla y Carlos Fernando Leoncio Poggi por </w:t>
      </w:r>
      <w:r w:rsidRPr="00B91121">
        <w:rPr>
          <w:rFonts w:ascii="Cambria" w:hAnsi="Cambria"/>
          <w:sz w:val="20"/>
          <w:szCs w:val="20"/>
          <w:lang w:val="es-ES"/>
        </w:rPr>
        <w:t>falsificación</w:t>
      </w:r>
      <w:r w:rsidR="00D02FBE" w:rsidRPr="00B91121">
        <w:rPr>
          <w:rFonts w:ascii="Cambria" w:hAnsi="Cambria"/>
          <w:sz w:val="20"/>
          <w:szCs w:val="20"/>
          <w:lang w:val="es-ES"/>
        </w:rPr>
        <w:t xml:space="preserve"> de </w:t>
      </w:r>
      <w:r w:rsidRPr="00B91121">
        <w:rPr>
          <w:rFonts w:ascii="Cambria" w:hAnsi="Cambria"/>
          <w:sz w:val="20"/>
          <w:szCs w:val="20"/>
          <w:lang w:val="es-ES"/>
        </w:rPr>
        <w:t xml:space="preserve">la </w:t>
      </w:r>
      <w:r w:rsidR="00D02FBE" w:rsidRPr="00B91121">
        <w:rPr>
          <w:rFonts w:ascii="Cambria" w:hAnsi="Cambria"/>
          <w:sz w:val="20"/>
          <w:szCs w:val="20"/>
          <w:lang w:val="es-ES"/>
        </w:rPr>
        <w:t>pericia efectuada dentro de la causa 2</w:t>
      </w:r>
      <w:r w:rsidR="00506ABA" w:rsidRPr="00B91121">
        <w:rPr>
          <w:rFonts w:ascii="Cambria" w:hAnsi="Cambria"/>
          <w:sz w:val="20"/>
          <w:szCs w:val="20"/>
          <w:lang w:val="es-ES"/>
        </w:rPr>
        <w:t>.</w:t>
      </w:r>
      <w:r w:rsidR="00D02FBE" w:rsidRPr="00B91121">
        <w:rPr>
          <w:rFonts w:ascii="Cambria" w:hAnsi="Cambria"/>
          <w:sz w:val="20"/>
          <w:szCs w:val="20"/>
          <w:lang w:val="es-ES"/>
        </w:rPr>
        <w:t xml:space="preserve">391.  </w:t>
      </w:r>
      <w:r w:rsidR="00BF544C" w:rsidRPr="00B91121">
        <w:rPr>
          <w:rFonts w:ascii="Cambria" w:hAnsi="Cambria"/>
          <w:sz w:val="20"/>
          <w:szCs w:val="20"/>
          <w:lang w:val="es-ES"/>
        </w:rPr>
        <w:t>Se denunci</w:t>
      </w:r>
      <w:r w:rsidR="00F40320" w:rsidRPr="00B91121">
        <w:rPr>
          <w:rFonts w:ascii="Cambria" w:hAnsi="Cambria"/>
          <w:sz w:val="20"/>
          <w:szCs w:val="20"/>
          <w:lang w:val="es-ES"/>
        </w:rPr>
        <w:t>ó</w:t>
      </w:r>
      <w:r w:rsidR="00BF544C" w:rsidRPr="00B91121">
        <w:rPr>
          <w:rFonts w:ascii="Cambria" w:hAnsi="Cambria"/>
          <w:sz w:val="20"/>
          <w:szCs w:val="20"/>
          <w:lang w:val="es-ES"/>
        </w:rPr>
        <w:t xml:space="preserve"> la comisión de los delitos de falsa pericia, falsificación de instrumento público y encubrimiento</w:t>
      </w:r>
      <w:r w:rsidR="00AC3B14" w:rsidRPr="00B91121">
        <w:rPr>
          <w:rStyle w:val="FootnoteReference"/>
          <w:rFonts w:ascii="Cambria" w:hAnsi="Cambria"/>
          <w:sz w:val="20"/>
          <w:szCs w:val="20"/>
          <w:lang w:val="es-ES"/>
        </w:rPr>
        <w:footnoteReference w:id="23"/>
      </w:r>
      <w:r w:rsidR="00AC3B14" w:rsidRPr="00B91121">
        <w:rPr>
          <w:rFonts w:ascii="Cambria" w:hAnsi="Cambria"/>
          <w:sz w:val="20"/>
          <w:szCs w:val="20"/>
          <w:lang w:val="es-ES"/>
        </w:rPr>
        <w:t>. Po</w:t>
      </w:r>
      <w:r w:rsidR="00BF544C" w:rsidRPr="00B91121">
        <w:rPr>
          <w:rFonts w:ascii="Cambria" w:hAnsi="Cambria"/>
          <w:sz w:val="20"/>
          <w:szCs w:val="20"/>
          <w:lang w:val="es-ES"/>
        </w:rPr>
        <w:t>steriormente se ampl</w:t>
      </w:r>
      <w:r w:rsidR="00AC3B14" w:rsidRPr="00B91121">
        <w:rPr>
          <w:rFonts w:ascii="Cambria" w:hAnsi="Cambria"/>
          <w:sz w:val="20"/>
          <w:szCs w:val="20"/>
          <w:lang w:val="es-ES"/>
        </w:rPr>
        <w:t>ió</w:t>
      </w:r>
      <w:r w:rsidR="00BF544C" w:rsidRPr="00B91121">
        <w:rPr>
          <w:rFonts w:ascii="Cambria" w:hAnsi="Cambria"/>
          <w:sz w:val="20"/>
          <w:szCs w:val="20"/>
          <w:lang w:val="es-ES"/>
        </w:rPr>
        <w:t xml:space="preserve"> la denuncia por falsificación de la historia clínica No. 309420</w:t>
      </w:r>
      <w:r w:rsidR="00BF544C" w:rsidRPr="00B91121">
        <w:rPr>
          <w:rStyle w:val="FootnoteReference"/>
          <w:rFonts w:asciiTheme="majorHAnsi" w:eastAsia="Cambria" w:hAnsiTheme="majorHAnsi" w:cs="Cambria"/>
          <w:iCs/>
          <w:color w:val="000000"/>
          <w:sz w:val="20"/>
          <w:szCs w:val="20"/>
          <w:u w:color="000000"/>
          <w:lang w:val="es-ES" w:eastAsia="es-ES"/>
        </w:rPr>
        <w:footnoteReference w:id="24"/>
      </w:r>
      <w:r w:rsidR="00BF544C" w:rsidRPr="00B91121">
        <w:rPr>
          <w:rFonts w:ascii="Cambria" w:hAnsi="Cambria"/>
          <w:sz w:val="20"/>
          <w:szCs w:val="20"/>
          <w:lang w:val="es-ES"/>
        </w:rPr>
        <w:t xml:space="preserve">. </w:t>
      </w:r>
      <w:r w:rsidR="00AE6969" w:rsidRPr="00B91121">
        <w:rPr>
          <w:rFonts w:ascii="Cambria" w:hAnsi="Cambria"/>
          <w:sz w:val="20"/>
          <w:szCs w:val="20"/>
          <w:lang w:val="es-ES"/>
        </w:rPr>
        <w:t>La querella solicitó también sumario administrativo contra los médicos Casavilla y Poggi</w:t>
      </w:r>
      <w:r w:rsidR="00AE6969" w:rsidRPr="00B91121">
        <w:rPr>
          <w:rStyle w:val="FootnoteReference"/>
          <w:rFonts w:asciiTheme="majorHAnsi" w:eastAsia="Cambria" w:hAnsiTheme="majorHAnsi" w:cs="Cambria"/>
          <w:iCs/>
          <w:color w:val="000000"/>
          <w:sz w:val="20"/>
          <w:szCs w:val="20"/>
          <w:u w:color="000000"/>
          <w:lang w:val="es-ES" w:eastAsia="es-ES"/>
        </w:rPr>
        <w:footnoteReference w:id="25"/>
      </w:r>
      <w:r w:rsidR="00AE6969" w:rsidRPr="00B91121">
        <w:rPr>
          <w:rFonts w:ascii="Cambria" w:hAnsi="Cambria"/>
          <w:sz w:val="20"/>
          <w:szCs w:val="20"/>
          <w:lang w:val="es-ES"/>
        </w:rPr>
        <w:t>.</w:t>
      </w:r>
    </w:p>
    <w:p w14:paraId="74FDE6D6" w14:textId="136AD646" w:rsidR="00A45188" w:rsidRDefault="00A45188" w:rsidP="00AE6969">
      <w:pPr>
        <w:rPr>
          <w:lang w:val="es-ES"/>
        </w:rPr>
      </w:pPr>
    </w:p>
    <w:p w14:paraId="04AB0A09" w14:textId="48D6B76D" w:rsidR="00F6687F" w:rsidRDefault="00F6687F" w:rsidP="00AE6969">
      <w:pPr>
        <w:rPr>
          <w:lang w:val="es-ES"/>
        </w:rPr>
      </w:pPr>
    </w:p>
    <w:p w14:paraId="70479F1F" w14:textId="6A3515F7" w:rsidR="00F6687F" w:rsidRDefault="00F6687F" w:rsidP="00AE6969">
      <w:pPr>
        <w:rPr>
          <w:lang w:val="es-ES"/>
        </w:rPr>
      </w:pPr>
    </w:p>
    <w:p w14:paraId="119893C7" w14:textId="77777777" w:rsidR="00F6687F" w:rsidRPr="00B91121" w:rsidRDefault="00F6687F" w:rsidP="00AE6969">
      <w:pPr>
        <w:rPr>
          <w:lang w:val="es-ES"/>
        </w:rPr>
      </w:pPr>
    </w:p>
    <w:p w14:paraId="4B8D8D96" w14:textId="77777777" w:rsidR="00A45188" w:rsidRPr="00B91121" w:rsidRDefault="00A45188" w:rsidP="00F77D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ES"/>
        </w:rPr>
      </w:pPr>
      <w:r w:rsidRPr="00B91121">
        <w:rPr>
          <w:rFonts w:ascii="Cambria" w:hAnsi="Cambria"/>
          <w:sz w:val="20"/>
          <w:szCs w:val="20"/>
          <w:lang w:val="es-ES"/>
        </w:rPr>
        <w:lastRenderedPageBreak/>
        <w:t xml:space="preserve">Se </w:t>
      </w:r>
      <w:r w:rsidR="00CF509B" w:rsidRPr="00B91121">
        <w:rPr>
          <w:rFonts w:ascii="Cambria" w:hAnsi="Cambria"/>
          <w:sz w:val="20"/>
          <w:szCs w:val="20"/>
          <w:lang w:val="es-ES"/>
        </w:rPr>
        <w:t xml:space="preserve">solicitó </w:t>
      </w:r>
      <w:r w:rsidRPr="00B91121">
        <w:rPr>
          <w:rFonts w:ascii="Cambria" w:hAnsi="Cambria"/>
          <w:sz w:val="20"/>
          <w:szCs w:val="20"/>
          <w:lang w:val="es-ES"/>
        </w:rPr>
        <w:t>peritación por intermedio del director de la Academia Nacional de Medicina, con puntos de pericia</w:t>
      </w:r>
      <w:r w:rsidR="00C45493" w:rsidRPr="00B91121">
        <w:rPr>
          <w:rStyle w:val="FootnoteReference"/>
          <w:rFonts w:asciiTheme="majorHAnsi" w:eastAsia="Cambria" w:hAnsiTheme="majorHAnsi" w:cs="Cambria"/>
          <w:iCs/>
          <w:color w:val="000000"/>
          <w:sz w:val="20"/>
          <w:szCs w:val="20"/>
          <w:u w:color="000000"/>
          <w:lang w:eastAsia="es-ES"/>
        </w:rPr>
        <w:footnoteReference w:id="26"/>
      </w:r>
      <w:r w:rsidRPr="00B91121">
        <w:rPr>
          <w:rFonts w:ascii="Cambria" w:hAnsi="Cambria"/>
          <w:sz w:val="20"/>
          <w:szCs w:val="20"/>
          <w:lang w:val="es-ES"/>
        </w:rPr>
        <w:t>. Se present</w:t>
      </w:r>
      <w:r w:rsidR="00F87144" w:rsidRPr="00B91121">
        <w:rPr>
          <w:rFonts w:ascii="Cambria" w:hAnsi="Cambria"/>
          <w:sz w:val="20"/>
          <w:szCs w:val="20"/>
          <w:lang w:val="es-ES"/>
        </w:rPr>
        <w:t>ó</w:t>
      </w:r>
      <w:r w:rsidR="00C45493" w:rsidRPr="00B91121">
        <w:rPr>
          <w:rFonts w:ascii="Cambria" w:hAnsi="Cambria"/>
          <w:sz w:val="20"/>
          <w:szCs w:val="20"/>
          <w:lang w:val="es-ES"/>
        </w:rPr>
        <w:t xml:space="preserve"> informe el 11 de julio de 1996</w:t>
      </w:r>
      <w:r w:rsidR="00C45493" w:rsidRPr="00B91121">
        <w:rPr>
          <w:rStyle w:val="FootnoteReference"/>
          <w:rFonts w:asciiTheme="majorHAnsi" w:eastAsia="Cambria" w:hAnsiTheme="majorHAnsi" w:cs="Cambria"/>
          <w:iCs/>
          <w:color w:val="000000"/>
          <w:sz w:val="20"/>
          <w:szCs w:val="20"/>
          <w:u w:color="000000"/>
          <w:lang w:eastAsia="es-ES"/>
        </w:rPr>
        <w:footnoteReference w:id="27"/>
      </w:r>
      <w:r w:rsidR="008A2A50" w:rsidRPr="00B91121">
        <w:rPr>
          <w:rFonts w:ascii="Cambria" w:hAnsi="Cambria"/>
          <w:sz w:val="20"/>
          <w:szCs w:val="20"/>
          <w:lang w:val="es-ES"/>
        </w:rPr>
        <w:t>.</w:t>
      </w:r>
      <w:r w:rsidR="00C45493" w:rsidRPr="00B91121">
        <w:rPr>
          <w:rFonts w:ascii="Cambria" w:hAnsi="Cambria"/>
          <w:sz w:val="20"/>
          <w:szCs w:val="20"/>
          <w:lang w:val="es-ES"/>
        </w:rPr>
        <w:t xml:space="preserve"> Se informa que no puede expedirse con respecto a los puntos 4 y 6 porque se refieren a un caso puntual no vinculado a problemas genéricos y donde están en juego situaciones particulares</w:t>
      </w:r>
      <w:r w:rsidR="00C45493" w:rsidRPr="00B91121">
        <w:rPr>
          <w:rStyle w:val="FootnoteReference"/>
          <w:rFonts w:asciiTheme="majorHAnsi" w:eastAsia="Cambria" w:hAnsiTheme="majorHAnsi" w:cs="Cambria"/>
          <w:iCs/>
          <w:color w:val="000000"/>
          <w:sz w:val="20"/>
          <w:szCs w:val="20"/>
          <w:u w:color="000000"/>
          <w:lang w:val="es-ES" w:eastAsia="es-ES"/>
        </w:rPr>
        <w:footnoteReference w:id="28"/>
      </w:r>
      <w:r w:rsidR="00300E48" w:rsidRPr="00B91121">
        <w:rPr>
          <w:rFonts w:ascii="Cambria" w:hAnsi="Cambria"/>
          <w:sz w:val="20"/>
          <w:szCs w:val="20"/>
          <w:lang w:val="es-ES"/>
        </w:rPr>
        <w:t>.</w:t>
      </w:r>
      <w:r w:rsidR="00C45493" w:rsidRPr="00B91121">
        <w:rPr>
          <w:rFonts w:ascii="Cambria" w:hAnsi="Cambria"/>
          <w:sz w:val="20"/>
          <w:szCs w:val="20"/>
          <w:lang w:val="es-ES"/>
        </w:rPr>
        <w:t xml:space="preserve"> </w:t>
      </w:r>
    </w:p>
    <w:p w14:paraId="107D986C" w14:textId="77777777" w:rsidR="00D02FBE" w:rsidRPr="00B91121" w:rsidRDefault="00D02FBE" w:rsidP="00D02FB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3D4D3469" w14:textId="77777777" w:rsidR="00C45493" w:rsidRPr="00B91121" w:rsidRDefault="00C45493" w:rsidP="007637D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Los médicos fueron sobreseídos</w:t>
      </w:r>
      <w:r w:rsidR="00CF509B" w:rsidRPr="00B91121">
        <w:rPr>
          <w:rFonts w:ascii="Cambria" w:hAnsi="Cambria"/>
          <w:sz w:val="20"/>
          <w:szCs w:val="20"/>
          <w:lang w:val="es-AR"/>
        </w:rPr>
        <w:t xml:space="preserve"> y t</w:t>
      </w:r>
      <w:r w:rsidRPr="00B91121">
        <w:rPr>
          <w:rFonts w:ascii="Cambria" w:hAnsi="Cambria"/>
          <w:sz w:val="20"/>
          <w:szCs w:val="20"/>
          <w:lang w:val="es-AR"/>
        </w:rPr>
        <w:t>anto el Ministerio Público de la Nación como la parte querellante interpusieron recurso de apelación. Se revocó el auto de sobreseimiento y se ordenó al Cuerpo Médico Forense en pleno, debiendo abstenerse de dictaminar los doctores Casavilla, Poggi, Schiavo y Papagni, en un plazo improrrogable de veinte días</w:t>
      </w:r>
      <w:r w:rsidRPr="00B91121">
        <w:rPr>
          <w:rStyle w:val="FootnoteReference"/>
          <w:rFonts w:ascii="Cambria" w:hAnsi="Cambria"/>
          <w:sz w:val="20"/>
          <w:szCs w:val="20"/>
          <w:lang w:val="es-AR"/>
        </w:rPr>
        <w:footnoteReference w:id="29"/>
      </w:r>
      <w:r w:rsidRPr="00B91121">
        <w:rPr>
          <w:rFonts w:ascii="Cambria" w:hAnsi="Cambria"/>
          <w:sz w:val="20"/>
          <w:szCs w:val="20"/>
          <w:lang w:val="es-AR"/>
        </w:rPr>
        <w:t xml:space="preserve">.  </w:t>
      </w:r>
    </w:p>
    <w:p w14:paraId="55E07D6E" w14:textId="77777777" w:rsidR="00AE6969" w:rsidRPr="00B91121" w:rsidRDefault="00AE6969" w:rsidP="00AE696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2038C446" w14:textId="77777777" w:rsidR="00AE6969" w:rsidRPr="00B91121" w:rsidRDefault="00AE6969" w:rsidP="00AE69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 xml:space="preserve">Esto dio origen a un plenario </w:t>
      </w:r>
      <w:r w:rsidR="0081757C" w:rsidRPr="00B91121">
        <w:rPr>
          <w:rFonts w:ascii="Cambria" w:hAnsi="Cambria"/>
          <w:sz w:val="20"/>
          <w:szCs w:val="20"/>
          <w:lang w:val="es-AR"/>
        </w:rPr>
        <w:t xml:space="preserve">del </w:t>
      </w:r>
      <w:r w:rsidRPr="00B91121">
        <w:rPr>
          <w:rFonts w:ascii="Cambria" w:hAnsi="Cambria"/>
          <w:sz w:val="20"/>
          <w:szCs w:val="20"/>
          <w:lang w:val="es-AR"/>
        </w:rPr>
        <w:t xml:space="preserve">Cuerpo Forense de la Nación que se expidió el 21 de mayo de 1997. </w:t>
      </w:r>
      <w:r w:rsidR="008A2A50" w:rsidRPr="00B91121">
        <w:rPr>
          <w:rFonts w:ascii="Cambria" w:hAnsi="Cambria"/>
          <w:sz w:val="20"/>
          <w:szCs w:val="20"/>
          <w:lang w:val="es-AR"/>
        </w:rPr>
        <w:t>Según lo informado por ambas partes, d</w:t>
      </w:r>
      <w:r w:rsidRPr="00B91121">
        <w:rPr>
          <w:rFonts w:ascii="Cambria" w:hAnsi="Cambria"/>
          <w:sz w:val="20"/>
          <w:szCs w:val="20"/>
          <w:lang w:val="es-AR"/>
        </w:rPr>
        <w:t>icho plenario fue dejado sin efecto por la Sala IV de la Cámara del Crimen el 23 de septiembre de 1997 y se ordenó otra pericia que se realizó en la Universidad Católica de Córdoba</w:t>
      </w:r>
      <w:r w:rsidRPr="00B91121">
        <w:rPr>
          <w:rStyle w:val="FootnoteReference"/>
          <w:rFonts w:ascii="Cambria" w:hAnsi="Cambria"/>
          <w:sz w:val="20"/>
          <w:szCs w:val="20"/>
          <w:lang w:val="es-AR"/>
        </w:rPr>
        <w:footnoteReference w:id="30"/>
      </w:r>
      <w:r w:rsidRPr="00B91121">
        <w:rPr>
          <w:rFonts w:ascii="Cambria" w:hAnsi="Cambria"/>
          <w:sz w:val="20"/>
          <w:szCs w:val="20"/>
          <w:lang w:val="es-AR"/>
        </w:rPr>
        <w:t xml:space="preserve">. </w:t>
      </w:r>
    </w:p>
    <w:p w14:paraId="3CCE66B4" w14:textId="77777777" w:rsidR="006439A2" w:rsidRPr="00B91121" w:rsidRDefault="006439A2" w:rsidP="00AE696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5546E6D9" w14:textId="77777777" w:rsidR="006439A2" w:rsidRPr="00B91121" w:rsidRDefault="006439A2" w:rsidP="006439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 xml:space="preserve">El 13 de marzo de 1998, </w:t>
      </w:r>
      <w:r w:rsidR="007A2B48" w:rsidRPr="00B91121">
        <w:rPr>
          <w:rFonts w:ascii="Cambria" w:hAnsi="Cambria"/>
          <w:sz w:val="20"/>
          <w:szCs w:val="20"/>
          <w:lang w:val="es-AR"/>
        </w:rPr>
        <w:t>a solicitud del Juez de Instrucción N</w:t>
      </w:r>
      <w:r w:rsidR="00F855E9" w:rsidRPr="00B91121">
        <w:rPr>
          <w:rFonts w:ascii="Cambria" w:hAnsi="Cambria"/>
          <w:sz w:val="20"/>
          <w:szCs w:val="20"/>
          <w:lang w:val="es-AR"/>
        </w:rPr>
        <w:t>acional No</w:t>
      </w:r>
      <w:r w:rsidR="00890642" w:rsidRPr="00B91121">
        <w:rPr>
          <w:rFonts w:ascii="Cambria" w:hAnsi="Cambria"/>
          <w:sz w:val="20"/>
          <w:szCs w:val="20"/>
          <w:lang w:val="es-AR"/>
        </w:rPr>
        <w:t>.</w:t>
      </w:r>
      <w:r w:rsidR="00F855E9" w:rsidRPr="00B91121">
        <w:rPr>
          <w:rFonts w:ascii="Cambria" w:hAnsi="Cambria"/>
          <w:sz w:val="20"/>
          <w:szCs w:val="20"/>
          <w:lang w:val="es-AR"/>
        </w:rPr>
        <w:t xml:space="preserve"> 3, </w:t>
      </w:r>
      <w:r w:rsidRPr="00B91121">
        <w:rPr>
          <w:rFonts w:ascii="Cambria" w:hAnsi="Cambria"/>
          <w:sz w:val="20"/>
          <w:szCs w:val="20"/>
          <w:lang w:val="es-AR"/>
        </w:rPr>
        <w:t xml:space="preserve">peritos médicos de la Universidad Católica de Córdoba realizaron una </w:t>
      </w:r>
      <w:r w:rsidR="008A2A50" w:rsidRPr="00B91121">
        <w:rPr>
          <w:rFonts w:ascii="Cambria" w:hAnsi="Cambria"/>
          <w:sz w:val="20"/>
          <w:szCs w:val="20"/>
          <w:lang w:val="es-AR"/>
        </w:rPr>
        <w:t>“</w:t>
      </w:r>
      <w:r w:rsidRPr="00B91121">
        <w:rPr>
          <w:rFonts w:ascii="Cambria" w:hAnsi="Cambria"/>
          <w:sz w:val="20"/>
          <w:szCs w:val="20"/>
          <w:lang w:val="es-AR"/>
        </w:rPr>
        <w:t>pericia médica oficial confronte</w:t>
      </w:r>
      <w:r w:rsidR="008A2A50" w:rsidRPr="00B91121">
        <w:rPr>
          <w:rFonts w:ascii="Cambria" w:hAnsi="Cambria"/>
          <w:sz w:val="20"/>
          <w:szCs w:val="20"/>
          <w:lang w:val="es-AR"/>
        </w:rPr>
        <w:t>”</w:t>
      </w:r>
      <w:r w:rsidRPr="00B91121">
        <w:rPr>
          <w:rFonts w:ascii="Cambria" w:hAnsi="Cambria"/>
          <w:sz w:val="20"/>
          <w:szCs w:val="20"/>
          <w:lang w:val="es-AR"/>
        </w:rPr>
        <w:t xml:space="preserve"> a aquella de los doctores Poggi y Casavilla. </w:t>
      </w:r>
      <w:r w:rsidR="00F855E9" w:rsidRPr="00B91121">
        <w:rPr>
          <w:rFonts w:ascii="Cambria" w:hAnsi="Cambria"/>
          <w:sz w:val="20"/>
          <w:szCs w:val="20"/>
          <w:lang w:val="es-AR"/>
        </w:rPr>
        <w:t xml:space="preserve"> El informe fue remitido al juez, mediante nota del 25 de ese mes, por el decano de la Universidad, Esteban Trakal. </w:t>
      </w:r>
      <w:r w:rsidRPr="00B91121">
        <w:rPr>
          <w:rFonts w:ascii="Cambria" w:hAnsi="Cambria"/>
          <w:sz w:val="20"/>
          <w:szCs w:val="20"/>
          <w:lang w:val="es-AR"/>
        </w:rPr>
        <w:t>Entre las observaciones</w:t>
      </w:r>
      <w:r w:rsidR="00F855E9" w:rsidRPr="00B91121">
        <w:rPr>
          <w:rFonts w:ascii="Cambria" w:hAnsi="Cambria"/>
          <w:sz w:val="20"/>
          <w:szCs w:val="20"/>
          <w:lang w:val="es-AR"/>
        </w:rPr>
        <w:t xml:space="preserve"> de la pericia, cabe destacar</w:t>
      </w:r>
      <w:r w:rsidRPr="00B91121">
        <w:rPr>
          <w:rFonts w:ascii="Cambria" w:hAnsi="Cambria"/>
          <w:sz w:val="20"/>
          <w:szCs w:val="20"/>
          <w:lang w:val="es-AR"/>
        </w:rPr>
        <w:t>:</w:t>
      </w:r>
    </w:p>
    <w:p w14:paraId="1C12FC69" w14:textId="77777777" w:rsidR="006439A2" w:rsidRPr="00B91121" w:rsidRDefault="006439A2" w:rsidP="0086464B">
      <w:pPr>
        <w:ind w:left="360"/>
      </w:pPr>
    </w:p>
    <w:p w14:paraId="1F69F900" w14:textId="77777777" w:rsidR="006439A2" w:rsidRPr="00B91121" w:rsidRDefault="006439A2" w:rsidP="004934E7">
      <w:pPr>
        <w:ind w:left="360" w:right="360"/>
        <w:jc w:val="both"/>
        <w:rPr>
          <w:rFonts w:asciiTheme="majorHAnsi" w:hAnsiTheme="majorHAnsi"/>
          <w:sz w:val="18"/>
          <w:szCs w:val="18"/>
          <w:lang w:val="es-ES"/>
        </w:rPr>
      </w:pPr>
      <w:r w:rsidRPr="00B91121">
        <w:rPr>
          <w:rFonts w:asciiTheme="majorHAnsi" w:hAnsiTheme="majorHAnsi"/>
          <w:sz w:val="18"/>
          <w:szCs w:val="18"/>
          <w:lang w:val="es-ES"/>
        </w:rPr>
        <w:t xml:space="preserve">La causa de muerte es la Preeclampsia no diagnosticada ni tratada. Ya en la segunda consulta tenía en la Historia Clínica un trastorno hipertensivo del embarazo que con […] son elementos suficientes para encuadrar a esta paciente como una Preeclampsia[…] Faltó también un control más exhaustivo de la madre durante el monitoreo, como la toma de la tensión arterial, y como ya esta paciente era su octavo monitoreo fetal, no estudiaron el líquido amniótico, ni siquiera la examinaron genitalmente para comprobar el estado del cuello uterino y de allí establecer la factibilidad de internar a la paciente ( Fs. 688). El estudio de líquido amniótico se puede realizar por medio de un método invasivo que es la amniocentesis, y no invasivo, que es la amnionopía. […]Estas técnicas son simples y no se realizaron. </w:t>
      </w:r>
    </w:p>
    <w:p w14:paraId="3F8238F6" w14:textId="77777777" w:rsidR="006439A2" w:rsidRPr="00B91121" w:rsidRDefault="00596102" w:rsidP="0059610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60"/>
        <w:jc w:val="both"/>
        <w:rPr>
          <w:rFonts w:asciiTheme="majorHAnsi" w:hAnsiTheme="majorHAnsi"/>
          <w:sz w:val="18"/>
          <w:szCs w:val="18"/>
          <w:lang w:val="es-AR"/>
        </w:rPr>
      </w:pPr>
      <w:r w:rsidRPr="00B91121">
        <w:rPr>
          <w:rFonts w:asciiTheme="majorHAnsi" w:hAnsiTheme="majorHAnsi"/>
          <w:sz w:val="18"/>
          <w:szCs w:val="18"/>
          <w:lang w:val="es-AR"/>
        </w:rPr>
        <w:tab/>
      </w:r>
      <w:r w:rsidR="006439A2" w:rsidRPr="00B91121">
        <w:rPr>
          <w:rFonts w:asciiTheme="majorHAnsi" w:hAnsiTheme="majorHAnsi"/>
          <w:sz w:val="18"/>
          <w:szCs w:val="18"/>
          <w:lang w:val="es-AR"/>
        </w:rPr>
        <w:t xml:space="preserve">[…] no se describe el feto muerto que se recibe en el parto. </w:t>
      </w:r>
    </w:p>
    <w:p w14:paraId="01D0058B" w14:textId="77777777" w:rsidR="006439A2" w:rsidRPr="00B91121" w:rsidRDefault="006439A2" w:rsidP="004934E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AR"/>
        </w:rPr>
      </w:pPr>
      <w:r w:rsidRPr="00B91121">
        <w:rPr>
          <w:rFonts w:asciiTheme="majorHAnsi" w:hAnsiTheme="majorHAnsi"/>
          <w:sz w:val="18"/>
          <w:szCs w:val="18"/>
          <w:lang w:val="es-AR"/>
        </w:rPr>
        <w:t>Cómo es que no se informa que no se solicitó el estudio anatomopatológico de la placenta si se la tuvo en la mano (extracción manual), (folio 692), cuando ésta se realiza es de buen criterio enviarla para estudios, por lo menos, para saber si está completa. “La placenta es la hoja escrita del embarazo”</w:t>
      </w:r>
      <w:r w:rsidRPr="00B91121">
        <w:rPr>
          <w:rStyle w:val="FootnoteReference"/>
          <w:rFonts w:asciiTheme="majorHAnsi" w:hAnsiTheme="majorHAnsi"/>
          <w:sz w:val="18"/>
          <w:szCs w:val="18"/>
          <w:lang w:val="es-AR"/>
        </w:rPr>
        <w:footnoteReference w:id="31"/>
      </w:r>
    </w:p>
    <w:p w14:paraId="2471669C" w14:textId="77777777" w:rsidR="006439A2" w:rsidRPr="00B91121" w:rsidRDefault="006439A2" w:rsidP="004934E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AR"/>
        </w:rPr>
      </w:pPr>
      <w:r w:rsidRPr="00B91121">
        <w:rPr>
          <w:rFonts w:asciiTheme="majorHAnsi" w:hAnsiTheme="majorHAnsi"/>
          <w:sz w:val="18"/>
          <w:szCs w:val="18"/>
          <w:lang w:val="es-AR"/>
        </w:rPr>
        <w:t>[…] Conclusión: de acuerdo a los hechos consignados en la Historia Clínica, la paciente sufrió una Eclampsia, su acidosis y su hemorragia cerebral la llevaron a la muerte por paro cardiorespiratorio irreversible (folio 693)</w:t>
      </w:r>
    </w:p>
    <w:p w14:paraId="2D7A4298" w14:textId="77777777" w:rsidR="006439A2" w:rsidRPr="00B91121" w:rsidRDefault="006439A2" w:rsidP="004934E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ES"/>
        </w:rPr>
      </w:pPr>
      <w:r w:rsidRPr="00B91121">
        <w:rPr>
          <w:rFonts w:asciiTheme="majorHAnsi" w:hAnsiTheme="majorHAnsi"/>
          <w:sz w:val="18"/>
          <w:szCs w:val="18"/>
          <w:lang w:val="es-ES"/>
        </w:rPr>
        <w:t>[…] era un embarazo de riesgo y no se tomaran (sic) las prevenciones necesarias.</w:t>
      </w:r>
    </w:p>
    <w:p w14:paraId="46599C7B" w14:textId="77777777" w:rsidR="006439A2" w:rsidRPr="00B91121" w:rsidRDefault="006439A2" w:rsidP="004934E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ES"/>
        </w:rPr>
      </w:pPr>
      <w:r w:rsidRPr="00B91121">
        <w:rPr>
          <w:rFonts w:asciiTheme="majorHAnsi" w:hAnsiTheme="majorHAnsi"/>
          <w:sz w:val="18"/>
          <w:szCs w:val="18"/>
          <w:lang w:val="es-ES"/>
        </w:rPr>
        <w:t>[…] Los doctores Poggi y Casavilla no interpretan  correctamente los hechos consignados en la Historia Clínica.</w:t>
      </w:r>
    </w:p>
    <w:p w14:paraId="76D4FDA9" w14:textId="77777777" w:rsidR="006439A2" w:rsidRPr="00B91121" w:rsidRDefault="006439A2" w:rsidP="00F83D8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Cambria" w:hAnsi="Cambria"/>
          <w:sz w:val="20"/>
          <w:szCs w:val="20"/>
          <w:lang w:val="es-AR"/>
        </w:rPr>
      </w:pPr>
      <w:r w:rsidRPr="00B91121">
        <w:rPr>
          <w:rFonts w:asciiTheme="majorHAnsi" w:hAnsiTheme="majorHAnsi"/>
          <w:sz w:val="18"/>
          <w:szCs w:val="18"/>
          <w:lang w:val="es-ES"/>
        </w:rPr>
        <w:t>[…] Consideramos que el factor de riesgo más importante que tuvo la Señora Britez Arce y su feto, es la pésima calidad de atención que se le brindó […]</w:t>
      </w:r>
      <w:r w:rsidR="00F83D88" w:rsidRPr="00B91121">
        <w:rPr>
          <w:rStyle w:val="FootnoteReference"/>
          <w:rFonts w:asciiTheme="majorHAnsi" w:hAnsiTheme="majorHAnsi"/>
          <w:sz w:val="18"/>
          <w:szCs w:val="18"/>
          <w:lang w:val="es-ES"/>
        </w:rPr>
        <w:footnoteReference w:id="32"/>
      </w:r>
      <w:r w:rsidR="00F83D88" w:rsidRPr="00B91121">
        <w:rPr>
          <w:rFonts w:asciiTheme="majorHAnsi" w:hAnsiTheme="majorHAnsi"/>
          <w:sz w:val="18"/>
          <w:szCs w:val="18"/>
          <w:lang w:val="es-ES"/>
        </w:rPr>
        <w:t>.</w:t>
      </w:r>
    </w:p>
    <w:p w14:paraId="64143A92" w14:textId="77777777" w:rsidR="00C45493" w:rsidRPr="00B91121" w:rsidRDefault="00C45493" w:rsidP="0086464B">
      <w:pPr>
        <w:ind w:left="720"/>
        <w:rPr>
          <w:lang w:val="es-ES"/>
        </w:rPr>
      </w:pPr>
    </w:p>
    <w:p w14:paraId="7717EEBE" w14:textId="77777777" w:rsidR="00F40320" w:rsidRPr="00B91121" w:rsidRDefault="00FA31A2" w:rsidP="00F403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Según lo referido en el peritaje de la Universidad Católica de Córdoba, la historia clínica ten</w:t>
      </w:r>
      <w:r w:rsidR="00C67B7D" w:rsidRPr="00B91121">
        <w:rPr>
          <w:rFonts w:ascii="Cambria" w:hAnsi="Cambria"/>
          <w:sz w:val="20"/>
          <w:szCs w:val="20"/>
          <w:lang w:val="es-AR"/>
        </w:rPr>
        <w:t>ía</w:t>
      </w:r>
      <w:r w:rsidRPr="00B91121">
        <w:rPr>
          <w:rFonts w:ascii="Cambria" w:hAnsi="Cambria"/>
          <w:sz w:val="20"/>
          <w:szCs w:val="20"/>
          <w:lang w:val="es-AR"/>
        </w:rPr>
        <w:t xml:space="preserve"> varias omisiones</w:t>
      </w:r>
      <w:r w:rsidRPr="00B91121">
        <w:rPr>
          <w:rStyle w:val="FootnoteReference"/>
          <w:rFonts w:ascii="Cambria" w:hAnsi="Cambria"/>
          <w:sz w:val="20"/>
          <w:szCs w:val="20"/>
          <w:lang w:val="es-AR"/>
        </w:rPr>
        <w:footnoteReference w:id="33"/>
      </w:r>
      <w:r w:rsidRPr="00B91121">
        <w:rPr>
          <w:rFonts w:ascii="Cambria" w:hAnsi="Cambria"/>
          <w:sz w:val="20"/>
          <w:szCs w:val="20"/>
          <w:lang w:val="es-AR"/>
        </w:rPr>
        <w:t xml:space="preserve">. Asimismo, </w:t>
      </w:r>
      <w:r w:rsidRPr="00B91121">
        <w:rPr>
          <w:rFonts w:ascii="Cambria" w:hAnsi="Cambria"/>
          <w:sz w:val="20"/>
          <w:szCs w:val="20"/>
          <w:lang w:val="es-ES"/>
        </w:rPr>
        <w:t xml:space="preserve">la historia clínica tenía otro número, un número adulterado, además de que no se encontraba foliada en su totalidad, varias hojas tienen el nombre incompleto.  Ese peritaje, además de señalar las falencias en la historia clínica y en la atención durante el embarazo tanto al feto como a la madre, así como una deficiente atención durante el 1 de junio de 1992, refiere que los peritos Poggi y Casavilla no interpretaron </w:t>
      </w:r>
      <w:r w:rsidRPr="00B91121">
        <w:rPr>
          <w:rFonts w:ascii="Cambria" w:hAnsi="Cambria"/>
          <w:sz w:val="20"/>
          <w:szCs w:val="20"/>
          <w:lang w:val="es-ES"/>
        </w:rPr>
        <w:lastRenderedPageBreak/>
        <w:t xml:space="preserve">correctamente la información que se les presentó para la realización del informe pericial y afirman que “no tienen justificación las conclusiones de los doctores Poggi y Casavilla”, advierte que la mayoría de los hechos que están en la historia clínica fueron interpretados </w:t>
      </w:r>
      <w:r w:rsidR="0078468E" w:rsidRPr="00B91121">
        <w:rPr>
          <w:rFonts w:ascii="Cambria" w:hAnsi="Cambria"/>
          <w:sz w:val="20"/>
          <w:szCs w:val="20"/>
          <w:lang w:val="es-ES"/>
        </w:rPr>
        <w:t>erróneamente</w:t>
      </w:r>
      <w:r w:rsidRPr="00B91121">
        <w:rPr>
          <w:rFonts w:ascii="Cambria" w:hAnsi="Cambria"/>
          <w:sz w:val="20"/>
          <w:szCs w:val="20"/>
          <w:lang w:val="es-ES"/>
        </w:rPr>
        <w:t xml:space="preserve"> y como conclusión se han apartado de la realidad</w:t>
      </w:r>
      <w:r w:rsidRPr="00B91121">
        <w:rPr>
          <w:rStyle w:val="FootnoteReference"/>
          <w:rFonts w:ascii="Cambria" w:hAnsi="Cambria"/>
          <w:sz w:val="20"/>
          <w:szCs w:val="20"/>
          <w:lang w:val="es-ES"/>
        </w:rPr>
        <w:footnoteReference w:id="34"/>
      </w:r>
      <w:r w:rsidRPr="00B91121">
        <w:rPr>
          <w:rFonts w:ascii="Cambria" w:hAnsi="Cambria"/>
          <w:sz w:val="20"/>
          <w:szCs w:val="20"/>
          <w:lang w:val="es-ES"/>
        </w:rPr>
        <w:t>.</w:t>
      </w:r>
    </w:p>
    <w:p w14:paraId="6C2EEAF4" w14:textId="77777777" w:rsidR="00F40320" w:rsidRPr="00B91121" w:rsidRDefault="00F40320" w:rsidP="00F4032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5EF87D43" w14:textId="28EAF277" w:rsidR="00596102" w:rsidRPr="00B91121" w:rsidRDefault="00596102" w:rsidP="00F403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AR"/>
        </w:rPr>
      </w:pPr>
      <w:r w:rsidRPr="00B91121">
        <w:rPr>
          <w:rFonts w:asciiTheme="majorHAnsi" w:hAnsiTheme="majorHAnsi"/>
          <w:sz w:val="20"/>
          <w:szCs w:val="20"/>
          <w:lang w:val="es-MX"/>
        </w:rPr>
        <w:t xml:space="preserve">El 30 de abril de 1998 la </w:t>
      </w:r>
      <w:r w:rsidR="007332C3">
        <w:rPr>
          <w:rFonts w:asciiTheme="majorHAnsi" w:hAnsiTheme="majorHAnsi"/>
          <w:sz w:val="20"/>
          <w:szCs w:val="20"/>
          <w:lang w:val="es-MX"/>
        </w:rPr>
        <w:t xml:space="preserve">parte </w:t>
      </w:r>
      <w:r w:rsidRPr="00B91121">
        <w:rPr>
          <w:rFonts w:asciiTheme="majorHAnsi" w:hAnsiTheme="majorHAnsi"/>
          <w:sz w:val="20"/>
          <w:szCs w:val="20"/>
          <w:lang w:val="es-MX"/>
        </w:rPr>
        <w:t>querella</w:t>
      </w:r>
      <w:r w:rsidR="007332C3">
        <w:rPr>
          <w:rFonts w:asciiTheme="majorHAnsi" w:hAnsiTheme="majorHAnsi"/>
          <w:sz w:val="20"/>
          <w:szCs w:val="20"/>
          <w:lang w:val="es-MX"/>
        </w:rPr>
        <w:t>nte</w:t>
      </w:r>
      <w:r w:rsidRPr="00B91121">
        <w:rPr>
          <w:rFonts w:asciiTheme="majorHAnsi" w:hAnsiTheme="majorHAnsi"/>
          <w:sz w:val="20"/>
          <w:szCs w:val="20"/>
          <w:lang w:val="es-MX"/>
        </w:rPr>
        <w:t xml:space="preserve"> presentó recusación del juez de instrucción Guillermo Carvajal por: i) el interés del magistrado en el proceso, inclinando su atención hacia los imputados; </w:t>
      </w:r>
      <w:r w:rsidR="00C4421C" w:rsidRPr="00B91121">
        <w:rPr>
          <w:rFonts w:asciiTheme="majorHAnsi" w:hAnsiTheme="majorHAnsi"/>
          <w:sz w:val="20"/>
          <w:szCs w:val="20"/>
          <w:lang w:val="es-MX"/>
        </w:rPr>
        <w:t xml:space="preserve">y </w:t>
      </w:r>
      <w:r w:rsidRPr="00B91121">
        <w:rPr>
          <w:rFonts w:asciiTheme="majorHAnsi" w:hAnsiTheme="majorHAnsi"/>
          <w:sz w:val="20"/>
          <w:szCs w:val="20"/>
          <w:lang w:val="es-MX"/>
        </w:rPr>
        <w:t>ii) prejuzgamiento, por haber anticipado varias veces su manera de apreciar el caso. La querella ad</w:t>
      </w:r>
      <w:r w:rsidR="006833DF" w:rsidRPr="00B91121">
        <w:rPr>
          <w:rFonts w:asciiTheme="majorHAnsi" w:hAnsiTheme="majorHAnsi"/>
          <w:sz w:val="20"/>
          <w:szCs w:val="20"/>
          <w:lang w:val="es-MX"/>
        </w:rPr>
        <w:t>virtió que si bien el sumario so</w:t>
      </w:r>
      <w:r w:rsidRPr="00B91121">
        <w:rPr>
          <w:rFonts w:asciiTheme="majorHAnsi" w:hAnsiTheme="majorHAnsi"/>
          <w:sz w:val="20"/>
          <w:szCs w:val="20"/>
          <w:lang w:val="es-MX"/>
        </w:rPr>
        <w:t>lo debe durar cuatro meses, de conformidad con el artículo 507 del CPP, e</w:t>
      </w:r>
      <w:r w:rsidR="00C67B7D" w:rsidRPr="00B91121">
        <w:rPr>
          <w:rFonts w:asciiTheme="majorHAnsi" w:hAnsiTheme="majorHAnsi"/>
          <w:sz w:val="20"/>
          <w:szCs w:val="20"/>
          <w:lang w:val="es-MX"/>
        </w:rPr>
        <w:t>ste duró casi cinco años. Agregó</w:t>
      </w:r>
      <w:r w:rsidRPr="00B91121">
        <w:rPr>
          <w:rFonts w:asciiTheme="majorHAnsi" w:hAnsiTheme="majorHAnsi"/>
          <w:sz w:val="20"/>
          <w:szCs w:val="20"/>
          <w:lang w:val="es-MX"/>
        </w:rPr>
        <w:t xml:space="preserve"> que no obstante contar con </w:t>
      </w:r>
      <w:r w:rsidRPr="00B91121">
        <w:rPr>
          <w:rFonts w:asciiTheme="majorHAnsi" w:hAnsiTheme="majorHAnsi"/>
          <w:sz w:val="20"/>
          <w:szCs w:val="20"/>
          <w:lang w:val="es-AR"/>
        </w:rPr>
        <w:t xml:space="preserve">“pruebas contundentes para procesar a los imputados Poggi y Casavilla”, los sobreseyó en </w:t>
      </w:r>
      <w:r w:rsidRPr="00B91121">
        <w:rPr>
          <w:rFonts w:asciiTheme="majorHAnsi" w:hAnsiTheme="majorHAnsi"/>
          <w:sz w:val="20"/>
          <w:szCs w:val="20"/>
          <w:lang w:val="es-MX"/>
        </w:rPr>
        <w:t>cinco ocasiones, todas revocadas por la Sala IV</w:t>
      </w:r>
      <w:r w:rsidR="00C67B7D" w:rsidRPr="00B91121">
        <w:rPr>
          <w:rFonts w:asciiTheme="majorHAnsi" w:hAnsiTheme="majorHAnsi"/>
          <w:sz w:val="20"/>
          <w:szCs w:val="20"/>
          <w:lang w:val="es-MX"/>
        </w:rPr>
        <w:t xml:space="preserve"> de la Cámara del Crimen. Indicó</w:t>
      </w:r>
      <w:r w:rsidRPr="00B91121">
        <w:rPr>
          <w:rFonts w:asciiTheme="majorHAnsi" w:hAnsiTheme="majorHAnsi"/>
          <w:sz w:val="20"/>
          <w:szCs w:val="20"/>
          <w:lang w:val="es-MX"/>
        </w:rPr>
        <w:t xml:space="preserve"> que “provocó” una pericia en la Federación de Asociaciones de ginecología y obstetricia FASGO “con el único objeto de provocar una pericia medida compensadora de la de Córdoba”, intentando dilatar para lograr la prescripción. Asimismo, afirmó que no cumplió con los requerimientos del Fiscal de 1ª Instancia Dr Crous; de segunda instancia, Dr. Sáenz,  y de la misma Sala IV en el sentido de que debía indagar nuevamente a los imputados</w:t>
      </w:r>
      <w:r w:rsidRPr="00B91121">
        <w:rPr>
          <w:rStyle w:val="FootnoteReference"/>
          <w:rFonts w:asciiTheme="majorHAnsi" w:hAnsiTheme="majorHAnsi"/>
          <w:sz w:val="20"/>
          <w:szCs w:val="20"/>
          <w:lang w:val="es-AR"/>
        </w:rPr>
        <w:footnoteReference w:id="35"/>
      </w:r>
      <w:r w:rsidRPr="00B91121">
        <w:rPr>
          <w:rFonts w:asciiTheme="majorHAnsi" w:hAnsiTheme="majorHAnsi"/>
          <w:sz w:val="20"/>
          <w:szCs w:val="20"/>
          <w:lang w:val="es-MX"/>
        </w:rPr>
        <w:t xml:space="preserve">. </w:t>
      </w:r>
    </w:p>
    <w:p w14:paraId="7DEA5F75" w14:textId="77777777" w:rsidR="00596102" w:rsidRPr="00B91121" w:rsidRDefault="00596102" w:rsidP="00596102">
      <w:pPr>
        <w:pStyle w:val="parrafos"/>
        <w:numPr>
          <w:ilvl w:val="0"/>
          <w:numId w:val="0"/>
        </w:numPr>
      </w:pPr>
    </w:p>
    <w:p w14:paraId="235D0FD4" w14:textId="77777777" w:rsidR="00634451" w:rsidRPr="00B91121" w:rsidRDefault="00596102" w:rsidP="00634451">
      <w:pPr>
        <w:pStyle w:val="parrafos"/>
        <w:ind w:left="0" w:firstLine="0"/>
      </w:pPr>
      <w:r w:rsidRPr="00B91121">
        <w:t>El 18 de junio de 1998 se declaró improcedente la recusación pero se recomendó al juez Guillermo Carvajal “arbitrar mayor celeridad en el trámite del proceso dado que, como lo ha señalado el quejoso, nos encontraríamos en vísperas de la prescripción de la acción penal”</w:t>
      </w:r>
      <w:r w:rsidRPr="00B91121">
        <w:rPr>
          <w:rStyle w:val="FootnoteReference"/>
        </w:rPr>
        <w:footnoteReference w:id="36"/>
      </w:r>
      <w:r w:rsidR="00F7458D" w:rsidRPr="00B91121">
        <w:t>.</w:t>
      </w:r>
      <w:r w:rsidRPr="00B91121">
        <w:t xml:space="preserve"> </w:t>
      </w:r>
    </w:p>
    <w:p w14:paraId="44350976" w14:textId="77777777" w:rsidR="00634451" w:rsidRPr="00B91121" w:rsidRDefault="00634451" w:rsidP="00C10423">
      <w:pPr>
        <w:ind w:left="360"/>
        <w:rPr>
          <w:lang w:val="es-MX"/>
        </w:rPr>
      </w:pPr>
    </w:p>
    <w:p w14:paraId="41B8DEB7" w14:textId="77777777" w:rsidR="000744FD" w:rsidRPr="00B91121" w:rsidRDefault="00596102" w:rsidP="00634451">
      <w:pPr>
        <w:pStyle w:val="parrafos"/>
        <w:ind w:left="0" w:firstLine="0"/>
      </w:pPr>
      <w:r w:rsidRPr="00B91121">
        <w:rPr>
          <w:rFonts w:ascii="Cambria" w:hAnsi="Cambria"/>
          <w:lang w:val="es-AR"/>
        </w:rPr>
        <w:t xml:space="preserve">El </w:t>
      </w:r>
      <w:r w:rsidR="00D02FBE" w:rsidRPr="00B91121">
        <w:rPr>
          <w:rFonts w:ascii="Cambria" w:hAnsi="Cambria"/>
          <w:lang w:val="es-AR"/>
        </w:rPr>
        <w:t>21 de octubre de 2002, la Cámara de Apelaciones confirmó la resolución de primera instancia que sobreseyó a los médicos Casavilla y Poggi</w:t>
      </w:r>
      <w:r w:rsidR="00D02FBE" w:rsidRPr="00B91121">
        <w:rPr>
          <w:rStyle w:val="FootnoteReference"/>
          <w:rFonts w:ascii="Cambria" w:hAnsi="Cambria"/>
          <w:lang w:val="es-AR"/>
        </w:rPr>
        <w:footnoteReference w:id="37"/>
      </w:r>
      <w:r w:rsidR="00D02FBE" w:rsidRPr="00B91121">
        <w:rPr>
          <w:rFonts w:ascii="Cambria" w:hAnsi="Cambria"/>
          <w:lang w:val="es-AR"/>
        </w:rPr>
        <w:t>.</w:t>
      </w:r>
      <w:r w:rsidR="000A473A" w:rsidRPr="00B91121">
        <w:rPr>
          <w:rFonts w:ascii="Cambria" w:hAnsi="Cambria"/>
          <w:lang w:val="es-AR"/>
        </w:rPr>
        <w:t xml:space="preserve"> </w:t>
      </w:r>
      <w:r w:rsidR="00653D59" w:rsidRPr="00B91121">
        <w:rPr>
          <w:rFonts w:ascii="Cambria" w:hAnsi="Cambria"/>
          <w:lang w:val="es-AR"/>
        </w:rPr>
        <w:t>E</w:t>
      </w:r>
      <w:r w:rsidR="000674C1" w:rsidRPr="00B91121">
        <w:rPr>
          <w:rFonts w:ascii="Cambria" w:hAnsi="Cambria"/>
          <w:lang w:val="es-AR"/>
        </w:rPr>
        <w:t>llo</w:t>
      </w:r>
      <w:r w:rsidR="00653D59" w:rsidRPr="00B91121">
        <w:rPr>
          <w:rFonts w:ascii="Cambria" w:hAnsi="Cambria"/>
          <w:lang w:val="es-AR"/>
        </w:rPr>
        <w:t xml:space="preserve">, tomando en cuenta las respuestas del </w:t>
      </w:r>
      <w:r w:rsidR="009E75BF" w:rsidRPr="00B91121">
        <w:rPr>
          <w:rFonts w:ascii="Cambria" w:hAnsi="Cambria"/>
          <w:lang w:val="es-AR"/>
        </w:rPr>
        <w:t xml:space="preserve">último </w:t>
      </w:r>
      <w:r w:rsidR="000674C1" w:rsidRPr="00B91121">
        <w:rPr>
          <w:rFonts w:ascii="Cambria" w:hAnsi="Cambria"/>
          <w:lang w:val="es-AR"/>
        </w:rPr>
        <w:t xml:space="preserve">informe pericial realizado </w:t>
      </w:r>
      <w:r w:rsidR="009E75BF" w:rsidRPr="00B91121">
        <w:rPr>
          <w:rFonts w:ascii="Cambria" w:hAnsi="Cambria"/>
          <w:lang w:val="es-AR"/>
        </w:rPr>
        <w:t xml:space="preserve">en la causa, </w:t>
      </w:r>
      <w:r w:rsidR="000674C1" w:rsidRPr="00B91121">
        <w:rPr>
          <w:rFonts w:ascii="Cambria" w:hAnsi="Cambria"/>
          <w:lang w:val="es-AR"/>
        </w:rPr>
        <w:t>por la Unidad Académica de Obstetricia del Hospital de Clínicas, perteneciente a la Facultad de Medicina de la Universidad de Buenos Aires</w:t>
      </w:r>
      <w:r w:rsidR="00653D59" w:rsidRPr="00B91121">
        <w:rPr>
          <w:rFonts w:ascii="Cambria" w:hAnsi="Cambria"/>
          <w:lang w:val="es-AR"/>
        </w:rPr>
        <w:t>, en la que, entre otras se dijo que Cristina Britez Arce no era una paciente de alto riesgo y curs</w:t>
      </w:r>
      <w:r w:rsidR="002423BF" w:rsidRPr="00B91121">
        <w:rPr>
          <w:rFonts w:ascii="Cambria" w:hAnsi="Cambria"/>
          <w:lang w:val="es-AR"/>
        </w:rPr>
        <w:t>ó</w:t>
      </w:r>
      <w:r w:rsidR="00653D59" w:rsidRPr="00B91121">
        <w:rPr>
          <w:rFonts w:ascii="Cambria" w:hAnsi="Cambria"/>
          <w:lang w:val="es-AR"/>
        </w:rPr>
        <w:t xml:space="preserve"> un embarazo de evolución normal, así como que la atención que se le prestó era la adecuada</w:t>
      </w:r>
      <w:r w:rsidRPr="00B91121">
        <w:rPr>
          <w:rStyle w:val="FootnoteReference"/>
          <w:rFonts w:ascii="Cambria" w:hAnsi="Cambria"/>
          <w:lang w:val="es-AR"/>
        </w:rPr>
        <w:footnoteReference w:id="38"/>
      </w:r>
      <w:r w:rsidR="00653D59" w:rsidRPr="00B91121">
        <w:rPr>
          <w:rFonts w:ascii="Cambria" w:hAnsi="Cambria"/>
          <w:lang w:val="es-AR"/>
        </w:rPr>
        <w:t>.</w:t>
      </w:r>
      <w:r w:rsidR="00CF509B" w:rsidRPr="00B91121">
        <w:rPr>
          <w:rFonts w:ascii="Cambria" w:hAnsi="Cambria"/>
          <w:lang w:val="es-AR"/>
        </w:rPr>
        <w:t xml:space="preserve"> </w:t>
      </w:r>
    </w:p>
    <w:p w14:paraId="6C44ED11" w14:textId="77777777" w:rsidR="00946D04" w:rsidRPr="00B91121" w:rsidRDefault="00946D04" w:rsidP="00CF728B">
      <w:pPr>
        <w:pStyle w:val="Heading3"/>
        <w:numPr>
          <w:ilvl w:val="0"/>
          <w:numId w:val="0"/>
        </w:numPr>
        <w:ind w:left="720"/>
        <w:rPr>
          <w:lang w:val="es-ES"/>
        </w:rPr>
      </w:pPr>
    </w:p>
    <w:p w14:paraId="2B47962B" w14:textId="77777777" w:rsidR="00946D04" w:rsidRPr="00B91121" w:rsidRDefault="00946D04" w:rsidP="002A4B39">
      <w:pPr>
        <w:pStyle w:val="Heading3"/>
        <w:ind w:left="360"/>
        <w:jc w:val="both"/>
        <w:rPr>
          <w:lang w:val="es-MX"/>
        </w:rPr>
      </w:pPr>
      <w:bookmarkStart w:id="20" w:name="_Toc22199930"/>
      <w:bookmarkStart w:id="21" w:name="_Toc33525296"/>
      <w:r w:rsidRPr="00B91121">
        <w:rPr>
          <w:lang w:val="es-MX"/>
        </w:rPr>
        <w:t>Causa 27.985</w:t>
      </w:r>
      <w:r w:rsidR="00971602" w:rsidRPr="00B91121">
        <w:rPr>
          <w:lang w:val="es-MX"/>
        </w:rPr>
        <w:t>/98</w:t>
      </w:r>
      <w:r w:rsidR="001E721A" w:rsidRPr="00B91121">
        <w:rPr>
          <w:lang w:val="es-MX"/>
        </w:rPr>
        <w:t xml:space="preserve">, caratulada CUERPO FORENSE s/falso testimonio </w:t>
      </w:r>
      <w:r w:rsidRPr="00B91121">
        <w:rPr>
          <w:lang w:val="es-MX"/>
        </w:rPr>
        <w:t xml:space="preserve"> –</w:t>
      </w:r>
      <w:r w:rsidR="00B36ABF" w:rsidRPr="00B91121">
        <w:rPr>
          <w:lang w:val="es-MX"/>
        </w:rPr>
        <w:t>Juzgado Nacional en lo Criminal de Instrucción No. 4, Secretaría 113</w:t>
      </w:r>
      <w:r w:rsidR="00174D04" w:rsidRPr="00B91121">
        <w:rPr>
          <w:rStyle w:val="FootnoteReference"/>
          <w:b w:val="0"/>
        </w:rPr>
        <w:footnoteReference w:id="39"/>
      </w:r>
      <w:bookmarkEnd w:id="20"/>
      <w:bookmarkEnd w:id="21"/>
    </w:p>
    <w:p w14:paraId="7458C629" w14:textId="77777777" w:rsidR="007F16DE" w:rsidRPr="00B91121" w:rsidRDefault="007F16DE" w:rsidP="007F16D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0CB70B3C" w14:textId="77777777" w:rsidR="00FF46A5" w:rsidRPr="00B91121" w:rsidRDefault="00545E88" w:rsidP="00000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ES"/>
        </w:rPr>
        <w:t xml:space="preserve">El </w:t>
      </w:r>
      <w:r w:rsidR="0046624B" w:rsidRPr="00B91121">
        <w:rPr>
          <w:rFonts w:ascii="Cambria" w:hAnsi="Cambria"/>
          <w:sz w:val="20"/>
          <w:szCs w:val="20"/>
          <w:lang w:val="es-ES"/>
        </w:rPr>
        <w:t xml:space="preserve">1 de abril de 1998 el señor Miguel Ángel Avaro, padre de </w:t>
      </w:r>
      <w:r w:rsidR="0046624B" w:rsidRPr="00B91121">
        <w:rPr>
          <w:rFonts w:ascii="Cambria" w:hAnsi="Cambria"/>
          <w:sz w:val="20"/>
          <w:szCs w:val="20"/>
          <w:lang w:val="es-AR"/>
        </w:rPr>
        <w:t xml:space="preserve">Ezequiel Martin Avaro y Vanina Verónica Avaro, </w:t>
      </w:r>
      <w:r w:rsidRPr="00B91121">
        <w:rPr>
          <w:rFonts w:ascii="Cambria" w:hAnsi="Cambria"/>
          <w:sz w:val="20"/>
          <w:szCs w:val="20"/>
          <w:lang w:val="es-AR"/>
        </w:rPr>
        <w:t xml:space="preserve">presentó denuncia penal </w:t>
      </w:r>
      <w:r w:rsidR="0046624B" w:rsidRPr="00B91121">
        <w:rPr>
          <w:rFonts w:ascii="Cambria" w:hAnsi="Cambria"/>
          <w:sz w:val="20"/>
          <w:szCs w:val="20"/>
          <w:lang w:val="es-AR"/>
        </w:rPr>
        <w:t>contra los 31 médicos que realizaron la pericia plenaria en la causa 21.375/96</w:t>
      </w:r>
      <w:r w:rsidR="00784980" w:rsidRPr="00B91121">
        <w:rPr>
          <w:rFonts w:ascii="Cambria" w:hAnsi="Cambria"/>
          <w:sz w:val="20"/>
          <w:szCs w:val="20"/>
          <w:lang w:val="es-AR"/>
        </w:rPr>
        <w:t>,</w:t>
      </w:r>
      <w:r w:rsidR="00BD2808" w:rsidRPr="00B91121">
        <w:rPr>
          <w:rFonts w:ascii="Cambria" w:hAnsi="Cambria"/>
          <w:sz w:val="20"/>
          <w:szCs w:val="20"/>
          <w:lang w:val="es-AR"/>
        </w:rPr>
        <w:t xml:space="preserve"> de 21 de mayo de 1997,</w:t>
      </w:r>
      <w:r w:rsidR="00784980" w:rsidRPr="00B91121">
        <w:rPr>
          <w:rFonts w:ascii="Cambria" w:hAnsi="Cambria"/>
          <w:sz w:val="20"/>
          <w:szCs w:val="20"/>
          <w:lang w:val="es-AR"/>
        </w:rPr>
        <w:t xml:space="preserve"> por  considerar que </w:t>
      </w:r>
      <w:r w:rsidR="0021369F" w:rsidRPr="00B91121">
        <w:rPr>
          <w:rFonts w:ascii="Cambria" w:hAnsi="Cambria"/>
          <w:sz w:val="20"/>
          <w:szCs w:val="20"/>
          <w:lang w:val="es-AR"/>
        </w:rPr>
        <w:t>la p</w:t>
      </w:r>
      <w:r w:rsidR="006833DF" w:rsidRPr="00B91121">
        <w:rPr>
          <w:rFonts w:ascii="Cambria" w:hAnsi="Cambria"/>
          <w:sz w:val="20"/>
          <w:szCs w:val="20"/>
          <w:lang w:val="es-AR"/>
        </w:rPr>
        <w:t>ericia</w:t>
      </w:r>
      <w:r w:rsidR="0021369F" w:rsidRPr="00B91121">
        <w:rPr>
          <w:rFonts w:ascii="Cambria" w:hAnsi="Cambria"/>
          <w:sz w:val="20"/>
          <w:szCs w:val="20"/>
          <w:lang w:val="es-AR"/>
        </w:rPr>
        <w:t xml:space="preserve"> fue falsa y ocultó las causas de la muerte de Cristina Britez Arce</w:t>
      </w:r>
      <w:r w:rsidR="0046624B" w:rsidRPr="00B91121">
        <w:rPr>
          <w:rStyle w:val="FootnoteReference"/>
          <w:rFonts w:ascii="Cambria" w:hAnsi="Cambria"/>
          <w:sz w:val="20"/>
          <w:szCs w:val="20"/>
          <w:lang w:val="es-AR"/>
        </w:rPr>
        <w:footnoteReference w:id="40"/>
      </w:r>
      <w:r w:rsidR="0046624B" w:rsidRPr="00B91121">
        <w:rPr>
          <w:rFonts w:ascii="Cambria" w:hAnsi="Cambria"/>
          <w:sz w:val="20"/>
          <w:szCs w:val="20"/>
          <w:lang w:val="es-AR"/>
        </w:rPr>
        <w:t>.</w:t>
      </w:r>
      <w:r w:rsidR="00C30988" w:rsidRPr="00B91121">
        <w:rPr>
          <w:rFonts w:ascii="Cambria" w:hAnsi="Cambria"/>
          <w:sz w:val="20"/>
          <w:szCs w:val="20"/>
          <w:lang w:val="es-AR"/>
        </w:rPr>
        <w:t xml:space="preserve"> En dicha denuncia, el señor Avaro </w:t>
      </w:r>
      <w:r w:rsidR="00506ABA" w:rsidRPr="00B91121">
        <w:rPr>
          <w:rFonts w:ascii="Cambria" w:hAnsi="Cambria"/>
          <w:sz w:val="20"/>
          <w:szCs w:val="20"/>
          <w:lang w:val="es-AR"/>
        </w:rPr>
        <w:t xml:space="preserve">indicó </w:t>
      </w:r>
      <w:r w:rsidR="00C30988" w:rsidRPr="00B91121">
        <w:rPr>
          <w:rFonts w:ascii="Cambria" w:hAnsi="Cambria"/>
          <w:sz w:val="20"/>
          <w:szCs w:val="20"/>
          <w:lang w:val="es-AR"/>
        </w:rPr>
        <w:t>que la pericia plenaria fue dejada sin efecto por la Sala IV de la Cámara “por sospecha”</w:t>
      </w:r>
      <w:r w:rsidR="00AE75B3" w:rsidRPr="00B91121">
        <w:rPr>
          <w:rStyle w:val="FootnoteReference"/>
          <w:rFonts w:ascii="Cambria" w:hAnsi="Cambria"/>
          <w:sz w:val="20"/>
          <w:szCs w:val="20"/>
          <w:lang w:val="es-AR"/>
        </w:rPr>
        <w:footnoteReference w:id="41"/>
      </w:r>
      <w:r w:rsidR="00C30988" w:rsidRPr="00B91121">
        <w:rPr>
          <w:rFonts w:ascii="Cambria" w:hAnsi="Cambria"/>
          <w:sz w:val="20"/>
          <w:szCs w:val="20"/>
          <w:lang w:val="es-AR"/>
        </w:rPr>
        <w:t>.</w:t>
      </w:r>
      <w:r w:rsidR="0046624B" w:rsidRPr="00B91121">
        <w:rPr>
          <w:rFonts w:ascii="Cambria" w:hAnsi="Cambria"/>
          <w:sz w:val="20"/>
          <w:szCs w:val="20"/>
          <w:lang w:val="es-AR"/>
        </w:rPr>
        <w:t xml:space="preserve"> </w:t>
      </w:r>
    </w:p>
    <w:p w14:paraId="6536A57B" w14:textId="77777777" w:rsidR="008A5ADB" w:rsidRPr="00B91121" w:rsidRDefault="008A5ADB" w:rsidP="008A5A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7C7751B9" w14:textId="77777777" w:rsidR="008A5ADB" w:rsidRPr="00B91121" w:rsidRDefault="008A5ADB" w:rsidP="00000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El diario La Nación, en un artículo de 1998 sost</w:t>
      </w:r>
      <w:r w:rsidR="00506ABA" w:rsidRPr="00B91121">
        <w:rPr>
          <w:rFonts w:ascii="Cambria" w:hAnsi="Cambria"/>
          <w:sz w:val="20"/>
          <w:szCs w:val="20"/>
          <w:lang w:val="es-AR"/>
        </w:rPr>
        <w:t>uvo</w:t>
      </w:r>
      <w:r w:rsidRPr="00B91121">
        <w:rPr>
          <w:rFonts w:ascii="Cambria" w:hAnsi="Cambria"/>
          <w:sz w:val="20"/>
          <w:szCs w:val="20"/>
          <w:lang w:val="es-AR"/>
        </w:rPr>
        <w:t xml:space="preserve"> que en una entrevista con el doctor Julio Ravioli, éste habría revelado que </w:t>
      </w:r>
      <w:r w:rsidR="004F14E2" w:rsidRPr="00B91121">
        <w:rPr>
          <w:rFonts w:ascii="Cambria" w:hAnsi="Cambria"/>
          <w:sz w:val="20"/>
          <w:szCs w:val="20"/>
          <w:lang w:val="es-AR"/>
        </w:rPr>
        <w:t xml:space="preserve">en </w:t>
      </w:r>
      <w:r w:rsidRPr="00B91121">
        <w:rPr>
          <w:rFonts w:ascii="Cambria" w:hAnsi="Cambria"/>
          <w:sz w:val="20"/>
          <w:szCs w:val="20"/>
          <w:lang w:val="es-AR"/>
        </w:rPr>
        <w:t>el plenario ordenado por el juez Carvajal</w:t>
      </w:r>
      <w:r w:rsidR="004F14E2" w:rsidRPr="00B91121">
        <w:rPr>
          <w:rFonts w:ascii="Cambria" w:hAnsi="Cambria"/>
          <w:sz w:val="20"/>
          <w:szCs w:val="20"/>
          <w:lang w:val="es-AR"/>
        </w:rPr>
        <w:t xml:space="preserve"> había circulado un informe con las preguntas ya </w:t>
      </w:r>
      <w:r w:rsidR="00506ABA" w:rsidRPr="00B91121">
        <w:rPr>
          <w:rFonts w:ascii="Cambria" w:hAnsi="Cambria"/>
          <w:sz w:val="20"/>
          <w:szCs w:val="20"/>
          <w:lang w:val="es-AR"/>
        </w:rPr>
        <w:t>contestadas</w:t>
      </w:r>
      <w:r w:rsidR="004F14E2" w:rsidRPr="00B91121">
        <w:rPr>
          <w:rFonts w:ascii="Cambria" w:hAnsi="Cambria"/>
          <w:sz w:val="20"/>
          <w:szCs w:val="20"/>
          <w:lang w:val="es-AR"/>
        </w:rPr>
        <w:t>, para que los forenses sólo tuvieran que firmar</w:t>
      </w:r>
      <w:r w:rsidR="00506ABA" w:rsidRPr="00B91121">
        <w:rPr>
          <w:rStyle w:val="FootnoteReference"/>
          <w:rFonts w:ascii="Cambria" w:hAnsi="Cambria"/>
          <w:sz w:val="20"/>
          <w:szCs w:val="20"/>
          <w:lang w:val="es-AR"/>
        </w:rPr>
        <w:footnoteReference w:id="42"/>
      </w:r>
      <w:r w:rsidR="004F14E2" w:rsidRPr="00B91121">
        <w:rPr>
          <w:rFonts w:ascii="Cambria" w:hAnsi="Cambria"/>
          <w:sz w:val="20"/>
          <w:szCs w:val="20"/>
          <w:lang w:val="es-AR"/>
        </w:rPr>
        <w:t xml:space="preserve">. </w:t>
      </w:r>
      <w:r w:rsidR="006064BB" w:rsidRPr="00B91121">
        <w:rPr>
          <w:rFonts w:ascii="Cambria" w:hAnsi="Cambria"/>
          <w:sz w:val="20"/>
          <w:szCs w:val="20"/>
          <w:lang w:val="es-AR"/>
        </w:rPr>
        <w:t xml:space="preserve"> Médicos del Cuerpo Médico Forense promovieron demanda contra el diario </w:t>
      </w:r>
      <w:r w:rsidR="00EC75DD" w:rsidRPr="00B91121">
        <w:rPr>
          <w:rFonts w:ascii="Cambria" w:hAnsi="Cambria"/>
          <w:sz w:val="20"/>
          <w:szCs w:val="20"/>
          <w:lang w:val="es-AR"/>
        </w:rPr>
        <w:t>“</w:t>
      </w:r>
      <w:r w:rsidR="006064BB" w:rsidRPr="00B91121">
        <w:rPr>
          <w:rFonts w:ascii="Cambria" w:hAnsi="Cambria"/>
          <w:sz w:val="20"/>
          <w:szCs w:val="20"/>
          <w:lang w:val="es-AR"/>
        </w:rPr>
        <w:t>La Nación</w:t>
      </w:r>
      <w:r w:rsidR="00EC75DD" w:rsidRPr="00B91121">
        <w:rPr>
          <w:rFonts w:ascii="Cambria" w:hAnsi="Cambria"/>
          <w:sz w:val="20"/>
          <w:szCs w:val="20"/>
          <w:lang w:val="es-AR"/>
        </w:rPr>
        <w:t>”</w:t>
      </w:r>
      <w:r w:rsidR="006064BB" w:rsidRPr="00B91121">
        <w:rPr>
          <w:rFonts w:ascii="Cambria" w:hAnsi="Cambria"/>
          <w:sz w:val="20"/>
          <w:szCs w:val="20"/>
          <w:lang w:val="es-AR"/>
        </w:rPr>
        <w:t xml:space="preserve"> por da</w:t>
      </w:r>
      <w:r w:rsidR="00C4421C" w:rsidRPr="00B91121">
        <w:rPr>
          <w:rFonts w:ascii="Cambria" w:hAnsi="Cambria"/>
          <w:sz w:val="20"/>
          <w:szCs w:val="20"/>
          <w:lang w:val="es-AR"/>
        </w:rPr>
        <w:t>ñ</w:t>
      </w:r>
      <w:r w:rsidR="006064BB" w:rsidRPr="00B91121">
        <w:rPr>
          <w:rFonts w:ascii="Cambria" w:hAnsi="Cambria"/>
          <w:sz w:val="20"/>
          <w:szCs w:val="20"/>
          <w:lang w:val="es-AR"/>
        </w:rPr>
        <w:t xml:space="preserve">os que les habrían provocado varias notas que “cuestionaron su desempeño profesional […] con especial referencia a dos causas penales relacionadas con el fallecimiento de la señora Cristina Britez Arce y su hijo por nacer en la maternidad Sarda […]. En la resolución del recurso de hecho deducido por </w:t>
      </w:r>
      <w:r w:rsidR="00EC75DD" w:rsidRPr="00B91121">
        <w:rPr>
          <w:rFonts w:ascii="Cambria" w:hAnsi="Cambria"/>
          <w:sz w:val="20"/>
          <w:szCs w:val="20"/>
          <w:lang w:val="es-AR"/>
        </w:rPr>
        <w:t>“</w:t>
      </w:r>
      <w:r w:rsidR="006064BB" w:rsidRPr="00B91121">
        <w:rPr>
          <w:rFonts w:ascii="Cambria" w:hAnsi="Cambria"/>
          <w:sz w:val="20"/>
          <w:szCs w:val="20"/>
          <w:lang w:val="es-AR"/>
        </w:rPr>
        <w:t xml:space="preserve">La </w:t>
      </w:r>
      <w:r w:rsidR="00B74A7E" w:rsidRPr="00B91121">
        <w:rPr>
          <w:rFonts w:ascii="Cambria" w:hAnsi="Cambria"/>
          <w:sz w:val="20"/>
          <w:szCs w:val="20"/>
          <w:lang w:val="es-AR"/>
        </w:rPr>
        <w:t>Nación</w:t>
      </w:r>
      <w:r w:rsidR="00EC75DD" w:rsidRPr="00B91121">
        <w:rPr>
          <w:rFonts w:ascii="Cambria" w:hAnsi="Cambria"/>
          <w:sz w:val="20"/>
          <w:szCs w:val="20"/>
          <w:lang w:val="es-AR"/>
        </w:rPr>
        <w:t>”</w:t>
      </w:r>
      <w:r w:rsidR="006064BB" w:rsidRPr="00B91121">
        <w:rPr>
          <w:rFonts w:ascii="Cambria" w:hAnsi="Cambria"/>
          <w:sz w:val="20"/>
          <w:szCs w:val="20"/>
          <w:lang w:val="es-AR"/>
        </w:rPr>
        <w:t xml:space="preserve">, la </w:t>
      </w:r>
      <w:r w:rsidR="004147DC" w:rsidRPr="00B91121">
        <w:rPr>
          <w:rFonts w:ascii="Cambria" w:hAnsi="Cambria"/>
          <w:sz w:val="20"/>
          <w:szCs w:val="20"/>
          <w:lang w:val="es-AR"/>
        </w:rPr>
        <w:t xml:space="preserve">Corte </w:t>
      </w:r>
      <w:r w:rsidR="006064BB" w:rsidRPr="00B91121">
        <w:rPr>
          <w:rFonts w:ascii="Cambria" w:hAnsi="Cambria"/>
          <w:sz w:val="20"/>
          <w:szCs w:val="20"/>
          <w:lang w:val="es-AR"/>
        </w:rPr>
        <w:t xml:space="preserve">Suprema </w:t>
      </w:r>
      <w:r w:rsidR="004147DC" w:rsidRPr="00B91121">
        <w:rPr>
          <w:rFonts w:ascii="Cambria" w:hAnsi="Cambria"/>
          <w:sz w:val="20"/>
          <w:szCs w:val="20"/>
          <w:lang w:val="es-AR"/>
        </w:rPr>
        <w:t xml:space="preserve">de Justicia de </w:t>
      </w:r>
      <w:r w:rsidR="00EC75DD" w:rsidRPr="00B91121">
        <w:rPr>
          <w:rFonts w:ascii="Cambria" w:hAnsi="Cambria"/>
          <w:sz w:val="20"/>
          <w:szCs w:val="20"/>
          <w:lang w:val="es-AR"/>
        </w:rPr>
        <w:t xml:space="preserve">la </w:t>
      </w:r>
      <w:r w:rsidR="00B74A7E" w:rsidRPr="00B91121">
        <w:rPr>
          <w:rFonts w:ascii="Cambria" w:hAnsi="Cambria"/>
          <w:sz w:val="20"/>
          <w:szCs w:val="20"/>
          <w:lang w:val="es-AR"/>
        </w:rPr>
        <w:t>Nación</w:t>
      </w:r>
      <w:r w:rsidR="006064BB" w:rsidRPr="00B91121">
        <w:rPr>
          <w:rFonts w:ascii="Cambria" w:hAnsi="Cambria"/>
          <w:sz w:val="20"/>
          <w:szCs w:val="20"/>
          <w:lang w:val="es-AR"/>
        </w:rPr>
        <w:t xml:space="preserve"> </w:t>
      </w:r>
      <w:r w:rsidR="00B74A7E" w:rsidRPr="00B91121">
        <w:rPr>
          <w:rFonts w:ascii="Cambria" w:hAnsi="Cambria"/>
          <w:sz w:val="20"/>
          <w:szCs w:val="20"/>
          <w:lang w:val="es-AR"/>
        </w:rPr>
        <w:t xml:space="preserve">resolvió que “la </w:t>
      </w:r>
      <w:r w:rsidR="00B74A7E" w:rsidRPr="00B91121">
        <w:rPr>
          <w:rFonts w:ascii="Cambria" w:hAnsi="Cambria"/>
          <w:sz w:val="20"/>
          <w:szCs w:val="20"/>
          <w:lang w:val="es-AR"/>
        </w:rPr>
        <w:lastRenderedPageBreak/>
        <w:t>dec</w:t>
      </w:r>
      <w:r w:rsidR="006833DF" w:rsidRPr="00B91121">
        <w:rPr>
          <w:rFonts w:ascii="Cambria" w:hAnsi="Cambria"/>
          <w:sz w:val="20"/>
          <w:szCs w:val="20"/>
          <w:lang w:val="es-AR"/>
        </w:rPr>
        <w:t>isión apelada que responsabilizó</w:t>
      </w:r>
      <w:r w:rsidR="00B74A7E" w:rsidRPr="00B91121">
        <w:rPr>
          <w:rFonts w:ascii="Cambria" w:hAnsi="Cambria"/>
          <w:sz w:val="20"/>
          <w:szCs w:val="20"/>
          <w:lang w:val="es-AR"/>
        </w:rPr>
        <w:t xml:space="preserve"> al referido diario, constituye una restricción indebida a la libertad de expresión, por lo que debe ser revocada”</w:t>
      </w:r>
      <w:r w:rsidR="00B74A7E" w:rsidRPr="00B91121">
        <w:rPr>
          <w:rStyle w:val="FootnoteReference"/>
          <w:rFonts w:ascii="Cambria" w:hAnsi="Cambria"/>
          <w:sz w:val="20"/>
          <w:szCs w:val="20"/>
          <w:lang w:val="es-AR"/>
        </w:rPr>
        <w:footnoteReference w:id="43"/>
      </w:r>
      <w:r w:rsidR="00B74A7E" w:rsidRPr="00B91121">
        <w:rPr>
          <w:rFonts w:ascii="Cambria" w:hAnsi="Cambria"/>
          <w:sz w:val="20"/>
          <w:szCs w:val="20"/>
          <w:lang w:val="es-AR"/>
        </w:rPr>
        <w:t>.</w:t>
      </w:r>
    </w:p>
    <w:p w14:paraId="08871195" w14:textId="77777777" w:rsidR="00BD2E38" w:rsidRPr="00B91121" w:rsidRDefault="00BD2E38" w:rsidP="0086464B">
      <w:pPr>
        <w:ind w:left="720"/>
        <w:rPr>
          <w:lang w:val="es-ES"/>
        </w:rPr>
      </w:pPr>
    </w:p>
    <w:p w14:paraId="40BA3FD8" w14:textId="77777777" w:rsidR="00ED2491" w:rsidRPr="00B91121" w:rsidRDefault="00BD2E38" w:rsidP="00F206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El 7 de septiembre de 1998, el docto</w:t>
      </w:r>
      <w:r w:rsidR="004A0463" w:rsidRPr="00B91121">
        <w:rPr>
          <w:rFonts w:ascii="Cambria" w:hAnsi="Cambria"/>
          <w:sz w:val="20"/>
          <w:szCs w:val="20"/>
          <w:lang w:val="es-AR"/>
        </w:rPr>
        <w:t>r Julio Alberto</w:t>
      </w:r>
      <w:r w:rsidRPr="00B91121">
        <w:rPr>
          <w:rFonts w:ascii="Cambria" w:hAnsi="Cambria"/>
          <w:sz w:val="20"/>
          <w:szCs w:val="20"/>
          <w:lang w:val="es-AR"/>
        </w:rPr>
        <w:t xml:space="preserve"> Ravioli presentó declaración testimonial. En la misma refirió, entre otras cuestiones</w:t>
      </w:r>
      <w:r w:rsidR="00506ABA" w:rsidRPr="00B91121">
        <w:rPr>
          <w:rFonts w:ascii="Cambria" w:hAnsi="Cambria"/>
          <w:sz w:val="20"/>
          <w:szCs w:val="20"/>
          <w:lang w:val="es-AR"/>
        </w:rPr>
        <w:t>,</w:t>
      </w:r>
      <w:r w:rsidRPr="00B91121">
        <w:rPr>
          <w:rFonts w:ascii="Cambria" w:hAnsi="Cambria"/>
          <w:sz w:val="20"/>
          <w:szCs w:val="20"/>
          <w:lang w:val="es-AR"/>
        </w:rPr>
        <w:t xml:space="preserve"> que </w:t>
      </w:r>
      <w:r w:rsidR="004A0463" w:rsidRPr="00B91121">
        <w:rPr>
          <w:rFonts w:ascii="Cambria" w:hAnsi="Cambria"/>
          <w:sz w:val="20"/>
          <w:szCs w:val="20"/>
          <w:lang w:val="es-AR"/>
        </w:rPr>
        <w:t>“</w:t>
      </w:r>
      <w:r w:rsidRPr="00B91121">
        <w:rPr>
          <w:rFonts w:ascii="Cambria" w:hAnsi="Cambria"/>
          <w:sz w:val="20"/>
          <w:szCs w:val="20"/>
          <w:lang w:val="es-AR"/>
        </w:rPr>
        <w:t>lleg</w:t>
      </w:r>
      <w:r w:rsidR="004A0463" w:rsidRPr="00B91121">
        <w:rPr>
          <w:rFonts w:ascii="Cambria" w:hAnsi="Cambria"/>
          <w:sz w:val="20"/>
          <w:szCs w:val="20"/>
          <w:lang w:val="es-AR"/>
        </w:rPr>
        <w:t>a</w:t>
      </w:r>
      <w:r w:rsidRPr="00B91121">
        <w:rPr>
          <w:rFonts w:ascii="Cambria" w:hAnsi="Cambria"/>
          <w:sz w:val="20"/>
          <w:szCs w:val="20"/>
          <w:lang w:val="es-AR"/>
        </w:rPr>
        <w:t xml:space="preserve"> </w:t>
      </w:r>
      <w:r w:rsidR="004A0463" w:rsidRPr="00B91121">
        <w:rPr>
          <w:rFonts w:ascii="Cambria" w:hAnsi="Cambria"/>
          <w:sz w:val="20"/>
          <w:szCs w:val="20"/>
          <w:lang w:val="es-AR"/>
        </w:rPr>
        <w:t xml:space="preserve">a la oficina un informe firmado por 21 médicos forenses más o menos  y que era </w:t>
      </w:r>
      <w:r w:rsidR="00F206BE" w:rsidRPr="00B91121">
        <w:rPr>
          <w:rFonts w:ascii="Cambria" w:hAnsi="Cambria"/>
          <w:sz w:val="20"/>
          <w:szCs w:val="20"/>
          <w:lang w:val="es-AR"/>
        </w:rPr>
        <w:t xml:space="preserve">el cuestionario </w:t>
      </w:r>
      <w:r w:rsidR="004A0463" w:rsidRPr="00B91121">
        <w:rPr>
          <w:rFonts w:ascii="Cambria" w:hAnsi="Cambria"/>
          <w:sz w:val="20"/>
          <w:szCs w:val="20"/>
          <w:lang w:val="es-AR"/>
        </w:rPr>
        <w:t>respondido. Vino a la oficina de los T</w:t>
      </w:r>
      <w:r w:rsidRPr="00B91121">
        <w:rPr>
          <w:rFonts w:ascii="Cambria" w:hAnsi="Cambria"/>
          <w:sz w:val="20"/>
          <w:szCs w:val="20"/>
          <w:lang w:val="es-AR"/>
        </w:rPr>
        <w:t>anatólogos</w:t>
      </w:r>
      <w:r w:rsidR="00F206BE" w:rsidRPr="00B91121">
        <w:rPr>
          <w:rFonts w:ascii="Cambria" w:hAnsi="Cambria"/>
          <w:sz w:val="20"/>
          <w:szCs w:val="20"/>
          <w:lang w:val="es-AR"/>
        </w:rPr>
        <w:t xml:space="preserve">, </w:t>
      </w:r>
      <w:r w:rsidR="004A0463" w:rsidRPr="00B91121">
        <w:rPr>
          <w:rFonts w:ascii="Cambria" w:hAnsi="Cambria"/>
          <w:sz w:val="20"/>
          <w:szCs w:val="20"/>
          <w:lang w:val="es-AR"/>
        </w:rPr>
        <w:t>porque había cinco de ellos que todavía no habían firmado. Ese fue nuestro primer contacto con esta causa”. Indicó también que “en este informe se contestaban preguntas y nada más, sin consideraciones, y todo informe médico legal, en general tiene un capítulo que se llama consideraciones médico legales”</w:t>
      </w:r>
      <w:r w:rsidR="004A0463" w:rsidRPr="00B91121">
        <w:rPr>
          <w:rStyle w:val="FootnoteReference"/>
          <w:rFonts w:ascii="Cambria" w:hAnsi="Cambria"/>
          <w:sz w:val="20"/>
          <w:szCs w:val="20"/>
          <w:lang w:val="es-AR"/>
        </w:rPr>
        <w:footnoteReference w:id="44"/>
      </w:r>
      <w:r w:rsidR="004A0463" w:rsidRPr="00B91121">
        <w:rPr>
          <w:rFonts w:ascii="Cambria" w:hAnsi="Cambria"/>
          <w:sz w:val="20"/>
          <w:szCs w:val="20"/>
          <w:lang w:val="es-AR"/>
        </w:rPr>
        <w:t xml:space="preserve">.  Refirió que </w:t>
      </w:r>
      <w:r w:rsidRPr="00B91121">
        <w:rPr>
          <w:rFonts w:ascii="Cambria" w:hAnsi="Cambria"/>
          <w:sz w:val="20"/>
          <w:szCs w:val="20"/>
          <w:lang w:val="es-AR"/>
        </w:rPr>
        <w:t>solicitaron el expediente y manifestaron no poderse expedir sobre los aspectos de obstetricia. Al ser informados que no podían excusarse, decidieron preparar</w:t>
      </w:r>
      <w:r w:rsidR="00170017" w:rsidRPr="00B91121">
        <w:rPr>
          <w:rFonts w:ascii="Cambria" w:hAnsi="Cambria"/>
          <w:sz w:val="20"/>
          <w:szCs w:val="20"/>
          <w:lang w:val="es-AR"/>
        </w:rPr>
        <w:t xml:space="preserve"> un informe separado. Indicó que para la realización del plenario no hubo reunión de los forenses ni discusión</w:t>
      </w:r>
      <w:r w:rsidR="004A0463" w:rsidRPr="00B91121">
        <w:rPr>
          <w:rFonts w:ascii="Cambria" w:hAnsi="Cambria"/>
          <w:sz w:val="20"/>
          <w:szCs w:val="20"/>
          <w:lang w:val="es-AR"/>
        </w:rPr>
        <w:t xml:space="preserve">. Agregó </w:t>
      </w:r>
      <w:r w:rsidR="00170017" w:rsidRPr="00B91121">
        <w:rPr>
          <w:rFonts w:ascii="Cambria" w:hAnsi="Cambria"/>
          <w:sz w:val="20"/>
          <w:szCs w:val="20"/>
          <w:lang w:val="es-AR"/>
        </w:rPr>
        <w:t xml:space="preserve">que hubo un tercer informe, firmado por separado por cuatro médicos generales: Pérez de Pliego, Rodríguez Girault, </w:t>
      </w:r>
      <w:r w:rsidR="008F5CC9" w:rsidRPr="00B91121">
        <w:rPr>
          <w:rFonts w:ascii="Cambria" w:hAnsi="Cambria"/>
          <w:sz w:val="20"/>
          <w:szCs w:val="20"/>
          <w:lang w:val="es-AR"/>
        </w:rPr>
        <w:t xml:space="preserve">Aldo </w:t>
      </w:r>
      <w:r w:rsidR="00170017" w:rsidRPr="00B91121">
        <w:rPr>
          <w:rFonts w:ascii="Cambria" w:hAnsi="Cambria"/>
          <w:sz w:val="20"/>
          <w:szCs w:val="20"/>
          <w:lang w:val="es-AR"/>
        </w:rPr>
        <w:t>Lud</w:t>
      </w:r>
      <w:r w:rsidR="008F5CC9" w:rsidRPr="00B91121">
        <w:rPr>
          <w:rFonts w:ascii="Cambria" w:hAnsi="Cambria"/>
          <w:sz w:val="20"/>
          <w:szCs w:val="20"/>
          <w:lang w:val="es-AR"/>
        </w:rPr>
        <w:t>ueñ</w:t>
      </w:r>
      <w:r w:rsidR="00170017" w:rsidRPr="00B91121">
        <w:rPr>
          <w:rFonts w:ascii="Cambria" w:hAnsi="Cambria"/>
          <w:sz w:val="20"/>
          <w:szCs w:val="20"/>
          <w:lang w:val="es-AR"/>
        </w:rPr>
        <w:t>a y Jara</w:t>
      </w:r>
      <w:r w:rsidR="008F5CC9" w:rsidRPr="00B91121">
        <w:rPr>
          <w:rFonts w:ascii="Cambria" w:hAnsi="Cambria"/>
          <w:sz w:val="20"/>
          <w:szCs w:val="20"/>
          <w:lang w:val="es-AR"/>
        </w:rPr>
        <w:t>zo</w:t>
      </w:r>
      <w:r w:rsidR="00170017" w:rsidRPr="00B91121">
        <w:rPr>
          <w:rFonts w:ascii="Cambria" w:hAnsi="Cambria"/>
          <w:sz w:val="20"/>
          <w:szCs w:val="20"/>
          <w:lang w:val="es-AR"/>
        </w:rPr>
        <w:t xml:space="preserve"> Veira</w:t>
      </w:r>
      <w:r w:rsidR="004A0463" w:rsidRPr="00B91121">
        <w:rPr>
          <w:rFonts w:ascii="Cambria" w:hAnsi="Cambria"/>
          <w:sz w:val="20"/>
          <w:szCs w:val="20"/>
          <w:lang w:val="es-AR"/>
        </w:rPr>
        <w:t>.</w:t>
      </w:r>
      <w:r w:rsidR="00EC6AA0" w:rsidRPr="00B91121">
        <w:rPr>
          <w:rFonts w:ascii="Cambria" w:hAnsi="Cambria"/>
          <w:sz w:val="20"/>
          <w:szCs w:val="20"/>
          <w:lang w:val="es-AR"/>
        </w:rPr>
        <w:t xml:space="preserve"> </w:t>
      </w:r>
      <w:r w:rsidR="00BE6AC0" w:rsidRPr="00B91121">
        <w:rPr>
          <w:rFonts w:ascii="Cambria" w:hAnsi="Cambria"/>
          <w:sz w:val="20"/>
          <w:szCs w:val="20"/>
          <w:lang w:val="es-AR"/>
        </w:rPr>
        <w:t>La querella afirm</w:t>
      </w:r>
      <w:r w:rsidR="00EC75DD" w:rsidRPr="00B91121">
        <w:rPr>
          <w:rFonts w:ascii="Cambria" w:hAnsi="Cambria"/>
          <w:sz w:val="20"/>
          <w:szCs w:val="20"/>
          <w:lang w:val="es-AR"/>
        </w:rPr>
        <w:t>ó</w:t>
      </w:r>
      <w:r w:rsidR="00BE6AC0" w:rsidRPr="00B91121">
        <w:rPr>
          <w:rFonts w:ascii="Cambria" w:hAnsi="Cambria"/>
          <w:sz w:val="20"/>
          <w:szCs w:val="20"/>
          <w:lang w:val="es-AR"/>
        </w:rPr>
        <w:t xml:space="preserve"> que el mismo Decano del Cuerpo Médico Forense admitió haber pedido a tres médicos que confeccionaran las respuestas que circularan ante todos los médicos forenses y firmaran el dictamen </w:t>
      </w:r>
      <w:r w:rsidR="00007B4E" w:rsidRPr="00B91121">
        <w:rPr>
          <w:rFonts w:ascii="Cambria" w:hAnsi="Cambria"/>
          <w:sz w:val="20"/>
          <w:szCs w:val="20"/>
          <w:lang w:val="es-AR"/>
        </w:rPr>
        <w:t>pre elaborado</w:t>
      </w:r>
      <w:r w:rsidR="00007B4E" w:rsidRPr="00B91121">
        <w:rPr>
          <w:rStyle w:val="FootnoteReference"/>
          <w:rFonts w:ascii="Cambria" w:hAnsi="Cambria"/>
          <w:sz w:val="20"/>
          <w:szCs w:val="20"/>
          <w:lang w:val="es-AR"/>
        </w:rPr>
        <w:footnoteReference w:id="45"/>
      </w:r>
      <w:r w:rsidR="00BE6AC0" w:rsidRPr="00B91121">
        <w:rPr>
          <w:rFonts w:ascii="Cambria" w:hAnsi="Cambria"/>
          <w:sz w:val="20"/>
          <w:szCs w:val="20"/>
          <w:lang w:val="es-AR"/>
        </w:rPr>
        <w:t xml:space="preserve">. </w:t>
      </w:r>
      <w:r w:rsidR="00ED2491" w:rsidRPr="00B91121">
        <w:rPr>
          <w:rFonts w:ascii="Cambria" w:hAnsi="Cambria"/>
          <w:sz w:val="20"/>
          <w:szCs w:val="20"/>
          <w:lang w:val="es-AR"/>
        </w:rPr>
        <w:t>La Fiscal No. 6, Areu Franco, pidió requerimiento de instrucción y que se investig</w:t>
      </w:r>
      <w:r w:rsidR="00EC75DD" w:rsidRPr="00B91121">
        <w:rPr>
          <w:rFonts w:ascii="Cambria" w:hAnsi="Cambria"/>
          <w:sz w:val="20"/>
          <w:szCs w:val="20"/>
          <w:lang w:val="es-AR"/>
        </w:rPr>
        <w:t>ara</w:t>
      </w:r>
      <w:r w:rsidR="00ED2491" w:rsidRPr="00B91121">
        <w:rPr>
          <w:rFonts w:ascii="Cambria" w:hAnsi="Cambria"/>
          <w:sz w:val="20"/>
          <w:szCs w:val="20"/>
          <w:lang w:val="es-AR"/>
        </w:rPr>
        <w:t xml:space="preserve"> por qué habiendo 87 médicos en el Cuerpo Médico Forense, solo firmaron el plenario</w:t>
      </w:r>
      <w:r w:rsidR="00F206BE" w:rsidRPr="00B91121">
        <w:rPr>
          <w:rFonts w:ascii="Cambria" w:hAnsi="Cambria"/>
          <w:sz w:val="20"/>
          <w:szCs w:val="20"/>
          <w:lang w:val="es-AR"/>
        </w:rPr>
        <w:t xml:space="preserve"> 40 médicos, </w:t>
      </w:r>
      <w:r w:rsidR="00ED2491" w:rsidRPr="00B91121">
        <w:rPr>
          <w:rFonts w:ascii="Cambria" w:hAnsi="Cambria"/>
          <w:sz w:val="20"/>
          <w:szCs w:val="20"/>
          <w:lang w:val="es-AR"/>
        </w:rPr>
        <w:t>en 3 informes</w:t>
      </w:r>
      <w:r w:rsidR="00EC75DD" w:rsidRPr="00B91121">
        <w:rPr>
          <w:rFonts w:ascii="Cambria" w:hAnsi="Cambria"/>
          <w:sz w:val="20"/>
          <w:szCs w:val="20"/>
          <w:lang w:val="es-AR"/>
        </w:rPr>
        <w:t xml:space="preserve"> diferentes</w:t>
      </w:r>
      <w:r w:rsidR="00ED2491" w:rsidRPr="00B91121">
        <w:rPr>
          <w:rStyle w:val="FootnoteReference"/>
          <w:rFonts w:ascii="Cambria" w:hAnsi="Cambria"/>
          <w:sz w:val="20"/>
          <w:szCs w:val="20"/>
          <w:lang w:val="es-AR"/>
        </w:rPr>
        <w:footnoteReference w:id="46"/>
      </w:r>
      <w:r w:rsidR="00ED2491" w:rsidRPr="00B91121">
        <w:rPr>
          <w:rFonts w:ascii="Cambria" w:hAnsi="Cambria"/>
          <w:sz w:val="20"/>
          <w:szCs w:val="20"/>
          <w:lang w:val="es-AR"/>
        </w:rPr>
        <w:t xml:space="preserve">. </w:t>
      </w:r>
    </w:p>
    <w:p w14:paraId="44301C95" w14:textId="77777777" w:rsidR="00FF46A5" w:rsidRPr="00B91121" w:rsidRDefault="00FF46A5" w:rsidP="00FF46A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04C5552D" w14:textId="77777777" w:rsidR="003708A9" w:rsidRPr="00B91121" w:rsidRDefault="0046624B" w:rsidP="00000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El 12 de abril de 1999</w:t>
      </w:r>
      <w:r w:rsidR="00EC75DD" w:rsidRPr="00B91121">
        <w:rPr>
          <w:rFonts w:ascii="Cambria" w:hAnsi="Cambria"/>
          <w:sz w:val="20"/>
          <w:szCs w:val="20"/>
          <w:lang w:val="es-AR"/>
        </w:rPr>
        <w:t>,</w:t>
      </w:r>
      <w:r w:rsidRPr="00B91121">
        <w:rPr>
          <w:rFonts w:ascii="Cambria" w:hAnsi="Cambria"/>
          <w:sz w:val="20"/>
          <w:szCs w:val="20"/>
          <w:lang w:val="es-AR"/>
        </w:rPr>
        <w:t xml:space="preserve"> el juez de la causa resolvió sobreseer a los médicos imputados</w:t>
      </w:r>
      <w:r w:rsidRPr="00B91121">
        <w:rPr>
          <w:rStyle w:val="FootnoteReference"/>
          <w:rFonts w:ascii="Cambria" w:hAnsi="Cambria"/>
          <w:sz w:val="20"/>
          <w:szCs w:val="20"/>
          <w:lang w:val="es-AR"/>
        </w:rPr>
        <w:footnoteReference w:id="47"/>
      </w:r>
      <w:r w:rsidRPr="00B91121">
        <w:rPr>
          <w:rFonts w:ascii="Cambria" w:hAnsi="Cambria"/>
          <w:sz w:val="20"/>
          <w:szCs w:val="20"/>
          <w:lang w:val="es-AR"/>
        </w:rPr>
        <w:t xml:space="preserve">. </w:t>
      </w:r>
      <w:r w:rsidR="008C563C" w:rsidRPr="00B91121">
        <w:rPr>
          <w:rFonts w:ascii="Cambria" w:hAnsi="Cambria"/>
          <w:sz w:val="20"/>
          <w:szCs w:val="20"/>
          <w:lang w:val="es-ES"/>
        </w:rPr>
        <w:t>El 16 de abril de 1999, l</w:t>
      </w:r>
      <w:r w:rsidR="00AD3F71" w:rsidRPr="00B91121">
        <w:rPr>
          <w:rFonts w:ascii="Cambria" w:hAnsi="Cambria"/>
          <w:sz w:val="20"/>
          <w:szCs w:val="20"/>
          <w:lang w:val="es-ES"/>
        </w:rPr>
        <w:t xml:space="preserve">a querella </w:t>
      </w:r>
      <w:r w:rsidR="007F16DE" w:rsidRPr="00B91121">
        <w:rPr>
          <w:rFonts w:ascii="Cambria" w:hAnsi="Cambria"/>
          <w:sz w:val="20"/>
          <w:szCs w:val="20"/>
          <w:lang w:val="es-ES"/>
        </w:rPr>
        <w:t>interpuso recurso de apelación y nulidad</w:t>
      </w:r>
      <w:r w:rsidR="00225266" w:rsidRPr="00B91121">
        <w:rPr>
          <w:rFonts w:ascii="Cambria" w:hAnsi="Cambria"/>
          <w:sz w:val="20"/>
          <w:szCs w:val="20"/>
          <w:lang w:val="es-ES"/>
        </w:rPr>
        <w:t>, por falta de motivación,</w:t>
      </w:r>
      <w:r w:rsidR="007F16DE" w:rsidRPr="00B91121">
        <w:rPr>
          <w:rFonts w:ascii="Cambria" w:hAnsi="Cambria"/>
          <w:sz w:val="20"/>
          <w:szCs w:val="20"/>
          <w:lang w:val="es-ES"/>
        </w:rPr>
        <w:t xml:space="preserve"> contra la resolución de sobreseimiento a los 31 mé</w:t>
      </w:r>
      <w:r w:rsidR="00DE13EF" w:rsidRPr="00B91121">
        <w:rPr>
          <w:rFonts w:ascii="Cambria" w:hAnsi="Cambria"/>
          <w:sz w:val="20"/>
          <w:szCs w:val="20"/>
          <w:lang w:val="es-ES"/>
        </w:rPr>
        <w:t xml:space="preserve">dicos. </w:t>
      </w:r>
      <w:r w:rsidR="003708A9" w:rsidRPr="00B91121">
        <w:rPr>
          <w:rFonts w:ascii="Cambria" w:hAnsi="Cambria"/>
          <w:sz w:val="20"/>
          <w:szCs w:val="20"/>
          <w:lang w:val="es-ES"/>
        </w:rPr>
        <w:t xml:space="preserve">En su escrito afirmó que la resolución no atendió </w:t>
      </w:r>
      <w:r w:rsidR="003676B6" w:rsidRPr="00B91121">
        <w:rPr>
          <w:rFonts w:ascii="Cambria" w:hAnsi="Cambria"/>
          <w:sz w:val="20"/>
          <w:szCs w:val="20"/>
          <w:lang w:val="es-ES"/>
        </w:rPr>
        <w:t xml:space="preserve">múltiples </w:t>
      </w:r>
      <w:r w:rsidR="003708A9" w:rsidRPr="00B91121">
        <w:rPr>
          <w:rFonts w:ascii="Cambria" w:hAnsi="Cambria"/>
          <w:sz w:val="20"/>
          <w:szCs w:val="20"/>
          <w:lang w:val="es-ES"/>
        </w:rPr>
        <w:t>probanzas expuestas por la querella, de fundamental relevancia</w:t>
      </w:r>
      <w:r w:rsidR="003676B6" w:rsidRPr="00B91121">
        <w:rPr>
          <w:rStyle w:val="FootnoteReference"/>
          <w:rFonts w:ascii="Cambria" w:hAnsi="Cambria"/>
          <w:sz w:val="20"/>
          <w:szCs w:val="20"/>
          <w:lang w:val="es-ES"/>
        </w:rPr>
        <w:footnoteReference w:id="48"/>
      </w:r>
      <w:r w:rsidR="003708A9" w:rsidRPr="00B91121">
        <w:rPr>
          <w:rFonts w:ascii="Cambria" w:hAnsi="Cambria"/>
          <w:sz w:val="20"/>
          <w:szCs w:val="20"/>
          <w:lang w:val="es-ES"/>
        </w:rPr>
        <w:t xml:space="preserve">. </w:t>
      </w:r>
    </w:p>
    <w:p w14:paraId="2161590B" w14:textId="77777777" w:rsidR="003708A9" w:rsidRPr="00B91121" w:rsidRDefault="003708A9" w:rsidP="0086464B">
      <w:pPr>
        <w:ind w:left="720"/>
        <w:rPr>
          <w:lang w:val="es-ES"/>
        </w:rPr>
      </w:pPr>
    </w:p>
    <w:p w14:paraId="2EA1CF97" w14:textId="03BF60B4" w:rsidR="00FA24C5" w:rsidRPr="00B91121" w:rsidRDefault="000006F9" w:rsidP="00000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El 6 de agosto de 1999 se emitió resolución indicando que “la resolución del Sr. juez de instrucción está fundada, de modo que la discordancia con su contenido no puede llevar a la sanción peticionada”</w:t>
      </w:r>
      <w:r w:rsidR="003676B6" w:rsidRPr="00B91121">
        <w:rPr>
          <w:rStyle w:val="FootnoteReference"/>
          <w:rFonts w:ascii="Cambria" w:hAnsi="Cambria"/>
          <w:sz w:val="20"/>
          <w:szCs w:val="20"/>
          <w:lang w:val="es-AR"/>
        </w:rPr>
        <w:footnoteReference w:id="49"/>
      </w:r>
      <w:r w:rsidRPr="00B91121">
        <w:rPr>
          <w:rFonts w:ascii="Cambria" w:hAnsi="Cambria"/>
          <w:sz w:val="20"/>
          <w:szCs w:val="20"/>
          <w:lang w:val="es-AR"/>
        </w:rPr>
        <w:t>. En cuanto al fond</w:t>
      </w:r>
      <w:r w:rsidR="00C066CD" w:rsidRPr="00B91121">
        <w:rPr>
          <w:rFonts w:ascii="Cambria" w:hAnsi="Cambria"/>
          <w:sz w:val="20"/>
          <w:szCs w:val="20"/>
          <w:lang w:val="es-AR"/>
        </w:rPr>
        <w:t>o, el tribunal hace un recuento de las pericias</w:t>
      </w:r>
      <w:r w:rsidR="00FA24C5" w:rsidRPr="00B91121">
        <w:rPr>
          <w:rFonts w:ascii="Cambria" w:hAnsi="Cambria"/>
          <w:sz w:val="20"/>
          <w:szCs w:val="20"/>
          <w:lang w:val="es-AR"/>
        </w:rPr>
        <w:t xml:space="preserve"> realizadas tanto en la causa 2.391 como en la 21.375. La resolución señala “insistir en que éste es un tercer proceso, en el cual no se investiga la causa de la muerte de Cristina Britez de Arce (sic), sino si hubo o no hubo delito por parte de los médicos que realizaron la pericia, pedida por el juez de la causa, con relación a otra pericia de los Dres. Casavilla y Poggi</w:t>
      </w:r>
      <w:r w:rsidR="00AC395F" w:rsidRPr="00B91121">
        <w:rPr>
          <w:rFonts w:ascii="Cambria" w:hAnsi="Cambria"/>
          <w:sz w:val="20"/>
          <w:szCs w:val="20"/>
          <w:lang w:val="es-AR"/>
        </w:rPr>
        <w:t>”</w:t>
      </w:r>
      <w:r w:rsidR="00AC395F" w:rsidRPr="00B91121">
        <w:rPr>
          <w:rStyle w:val="FootnoteReference"/>
          <w:rFonts w:ascii="Cambria" w:hAnsi="Cambria"/>
          <w:sz w:val="20"/>
          <w:szCs w:val="20"/>
          <w:lang w:val="es-AR"/>
        </w:rPr>
        <w:footnoteReference w:id="50"/>
      </w:r>
      <w:r w:rsidR="00FA24C5" w:rsidRPr="00B91121">
        <w:rPr>
          <w:rFonts w:ascii="Cambria" w:hAnsi="Cambria"/>
          <w:sz w:val="20"/>
          <w:szCs w:val="20"/>
          <w:lang w:val="es-AR"/>
        </w:rPr>
        <w:t xml:space="preserve">. </w:t>
      </w:r>
      <w:r w:rsidR="003676B6" w:rsidRPr="00B91121">
        <w:rPr>
          <w:rFonts w:ascii="Cambria" w:hAnsi="Cambria"/>
          <w:sz w:val="20"/>
          <w:szCs w:val="20"/>
          <w:lang w:val="es-AR"/>
        </w:rPr>
        <w:t xml:space="preserve">Asimismo, indica </w:t>
      </w:r>
      <w:r w:rsidR="00AC395F" w:rsidRPr="00B91121">
        <w:rPr>
          <w:rFonts w:ascii="Cambria" w:hAnsi="Cambria"/>
          <w:sz w:val="20"/>
          <w:szCs w:val="20"/>
          <w:lang w:val="es-AR"/>
        </w:rPr>
        <w:t xml:space="preserve">que los tres dictámenes de los médicos forenses, “difieren en las consideraciones de carácter técnico, pero que, en lo sustancial, eran idénticos en cuanto a sus conclusiones”; así, se transcribe parte de dichos dictámenes. </w:t>
      </w:r>
      <w:r w:rsidR="00642A36" w:rsidRPr="00B91121">
        <w:rPr>
          <w:rFonts w:ascii="Cambria" w:hAnsi="Cambria"/>
          <w:sz w:val="20"/>
          <w:szCs w:val="20"/>
          <w:lang w:val="es-AR"/>
        </w:rPr>
        <w:t xml:space="preserve"> Se hace referencia también a la pericia de la Universidad de Córdoba y se concluye que “la falsedad consiste en que se diga algo contrario al saber específico de quien declara</w:t>
      </w:r>
      <w:r w:rsidR="00D6353A" w:rsidRPr="00B91121">
        <w:rPr>
          <w:rFonts w:ascii="Cambria" w:hAnsi="Cambria"/>
          <w:sz w:val="20"/>
          <w:szCs w:val="20"/>
          <w:lang w:val="es-AR"/>
        </w:rPr>
        <w:t xml:space="preserve">. […] De este modo, la mera discrepancia con otros peritos sobre las conclusiones a que se llega no alcanzan a tipificar el delito que ahora se imputa. Ni siquiera el error o la ignorancia pueden hacer incurrir a una persona en este delito. […] Por lo tanto, no es tarea del juez, como pretenden las partes, hacer las veces de un tercer perito, sino que, por el contrario ha de analizar si el peritaje, en el caso concreto, está de acuerdo con los hechos que se han investigado y tienen un mínimo de veracidad. </w:t>
      </w:r>
      <w:r w:rsidR="00782955" w:rsidRPr="00B91121">
        <w:rPr>
          <w:rFonts w:ascii="Cambria" w:hAnsi="Cambria"/>
          <w:sz w:val="20"/>
          <w:szCs w:val="20"/>
          <w:lang w:val="es-AR"/>
        </w:rPr>
        <w:t>[…] La otra acusación de la querella, que no está en la acusación fiscal, es el haber ocultado presuntas falsedades de la historia clínica</w:t>
      </w:r>
      <w:r w:rsidR="00CA52F8" w:rsidRPr="00B91121">
        <w:rPr>
          <w:rFonts w:ascii="Cambria" w:hAnsi="Cambria"/>
          <w:sz w:val="20"/>
          <w:szCs w:val="20"/>
          <w:lang w:val="es-AR"/>
        </w:rPr>
        <w:t xml:space="preserve">. Ahora bien, en este punto, para que pudiera haberse hecho tal imputación a los médicos forenses, se debería haber probado que efectivamente ella ha sido falsificada de manera sustancial, y que ello no fue voluntariamente advertido al juez por parte de los peritos oficiales </w:t>
      </w:r>
      <w:r w:rsidR="00782955" w:rsidRPr="00B91121">
        <w:rPr>
          <w:rFonts w:ascii="Cambria" w:hAnsi="Cambria"/>
          <w:sz w:val="20"/>
          <w:szCs w:val="20"/>
          <w:lang w:val="es-AR"/>
        </w:rPr>
        <w:t>[…]</w:t>
      </w:r>
      <w:r w:rsidR="00CA52F8" w:rsidRPr="00B91121">
        <w:rPr>
          <w:rFonts w:ascii="Cambria" w:hAnsi="Cambria"/>
          <w:sz w:val="20"/>
          <w:szCs w:val="20"/>
          <w:lang w:val="es-AR"/>
        </w:rPr>
        <w:t>.</w:t>
      </w:r>
      <w:r w:rsidR="00782955" w:rsidRPr="00B91121">
        <w:rPr>
          <w:rFonts w:ascii="Cambria" w:hAnsi="Cambria"/>
          <w:sz w:val="20"/>
          <w:szCs w:val="20"/>
          <w:lang w:val="es-AR"/>
        </w:rPr>
        <w:t xml:space="preserve"> Mal se puede imputar a los forenses el haber ocultado una falsedad que, hasta el momento, no está acreditada […] Por otra parte, y como bien lo ha puesto de resalto el Sr. Juez de instrucción, las presuntas falsedades y omisiones sólo fueron descubiertas luego, más </w:t>
      </w:r>
      <w:r w:rsidR="00676554" w:rsidRPr="00B91121">
        <w:rPr>
          <w:rFonts w:ascii="Cambria" w:hAnsi="Cambria"/>
          <w:sz w:val="20"/>
          <w:szCs w:val="20"/>
          <w:lang w:val="es-AR"/>
        </w:rPr>
        <w:t>allá</w:t>
      </w:r>
      <w:r w:rsidR="00782955" w:rsidRPr="00B91121">
        <w:rPr>
          <w:rFonts w:ascii="Cambria" w:hAnsi="Cambria"/>
          <w:sz w:val="20"/>
          <w:szCs w:val="20"/>
          <w:lang w:val="es-AR"/>
        </w:rPr>
        <w:t xml:space="preserve"> de que los médicos trabajaron sobre el material enviado por el tribunal. En dichas condiciones, no hay otra alternativa que la de confirmar el sobreseimiento apelado”</w:t>
      </w:r>
      <w:r w:rsidR="00782955" w:rsidRPr="00B91121">
        <w:rPr>
          <w:rStyle w:val="FootnoteReference"/>
          <w:rFonts w:ascii="Cambria" w:hAnsi="Cambria"/>
          <w:sz w:val="20"/>
          <w:szCs w:val="20"/>
          <w:lang w:val="es-AR"/>
        </w:rPr>
        <w:footnoteReference w:id="51"/>
      </w:r>
      <w:r w:rsidR="00782955" w:rsidRPr="00B91121">
        <w:rPr>
          <w:rFonts w:ascii="Cambria" w:hAnsi="Cambria"/>
          <w:sz w:val="20"/>
          <w:szCs w:val="20"/>
          <w:lang w:val="es-AR"/>
        </w:rPr>
        <w:t xml:space="preserve">. </w:t>
      </w:r>
    </w:p>
    <w:p w14:paraId="10A5B078" w14:textId="77777777" w:rsidR="00FA24C5" w:rsidRPr="00B91121" w:rsidRDefault="00FA24C5" w:rsidP="0086464B">
      <w:pPr>
        <w:ind w:left="720"/>
        <w:rPr>
          <w:lang w:val="es-ES"/>
        </w:rPr>
      </w:pPr>
    </w:p>
    <w:p w14:paraId="3F6FB28D" w14:textId="77777777" w:rsidR="00406B4A" w:rsidRPr="00B91121" w:rsidRDefault="00C066CD" w:rsidP="00000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lastRenderedPageBreak/>
        <w:t xml:space="preserve"> </w:t>
      </w:r>
      <w:r w:rsidR="00E932E6" w:rsidRPr="00B91121">
        <w:rPr>
          <w:rFonts w:ascii="Cambria" w:hAnsi="Cambria"/>
          <w:sz w:val="20"/>
          <w:szCs w:val="20"/>
          <w:lang w:val="es-AR"/>
        </w:rPr>
        <w:t>La parte querellante interpuso recurso de casació</w:t>
      </w:r>
      <w:r w:rsidR="001A19F4" w:rsidRPr="00B91121">
        <w:rPr>
          <w:rFonts w:ascii="Cambria" w:hAnsi="Cambria"/>
          <w:sz w:val="20"/>
          <w:szCs w:val="20"/>
          <w:lang w:val="es-AR"/>
        </w:rPr>
        <w:t>n, que fue rechazado</w:t>
      </w:r>
      <w:r w:rsidR="000A01D4" w:rsidRPr="00B91121">
        <w:rPr>
          <w:rFonts w:ascii="Cambria" w:hAnsi="Cambria"/>
          <w:sz w:val="20"/>
          <w:szCs w:val="20"/>
          <w:lang w:val="es-AR"/>
        </w:rPr>
        <w:t xml:space="preserve"> el 20 de octubre de 1999</w:t>
      </w:r>
      <w:r w:rsidR="00676554" w:rsidRPr="00B91121">
        <w:rPr>
          <w:rFonts w:ascii="Cambria" w:hAnsi="Cambria"/>
          <w:sz w:val="20"/>
          <w:szCs w:val="20"/>
          <w:lang w:val="es-AR"/>
        </w:rPr>
        <w:t xml:space="preserve"> por la Cámara Nacional de Casación Penal</w:t>
      </w:r>
      <w:r w:rsidR="00F85839" w:rsidRPr="00B91121">
        <w:rPr>
          <w:rFonts w:ascii="Cambria" w:hAnsi="Cambria"/>
          <w:sz w:val="20"/>
          <w:szCs w:val="20"/>
          <w:lang w:val="es-AR"/>
        </w:rPr>
        <w:t xml:space="preserve">, </w:t>
      </w:r>
      <w:r w:rsidR="00406B4A" w:rsidRPr="00B91121">
        <w:rPr>
          <w:rFonts w:ascii="Cambria" w:hAnsi="Cambria"/>
          <w:sz w:val="20"/>
          <w:szCs w:val="20"/>
          <w:lang w:val="es-AR"/>
        </w:rPr>
        <w:t xml:space="preserve">por considerar que el recurso “no puede prosperar, toda vez que además de no darse el supuesto de nulidad por falta de fundamentación indicado por los querellantes para proceder a la apertura de la instancia </w:t>
      </w:r>
      <w:r w:rsidR="00B72F47" w:rsidRPr="00B91121">
        <w:rPr>
          <w:rFonts w:ascii="Cambria" w:hAnsi="Cambria"/>
          <w:sz w:val="20"/>
          <w:szCs w:val="20"/>
          <w:lang w:val="es-AR"/>
        </w:rPr>
        <w:t>extraordinaria</w:t>
      </w:r>
      <w:r w:rsidR="00406B4A" w:rsidRPr="00B91121">
        <w:rPr>
          <w:rFonts w:ascii="Cambria" w:hAnsi="Cambria"/>
          <w:sz w:val="20"/>
          <w:szCs w:val="20"/>
          <w:lang w:val="es-AR"/>
        </w:rPr>
        <w:t xml:space="preserve">, al entenderse que </w:t>
      </w:r>
      <w:r w:rsidR="00B72F47" w:rsidRPr="00B91121">
        <w:rPr>
          <w:rFonts w:ascii="Cambria" w:hAnsi="Cambria"/>
          <w:sz w:val="20"/>
          <w:szCs w:val="20"/>
          <w:lang w:val="es-AR"/>
        </w:rPr>
        <w:t>el auto en cuestión da razón suficiente y fundamenta de manera adecuada la decisión allí adoptada. En consecuencia corresponde señalar que al no darse el supuesto de arbitrariedad de sentencia señalado, el recurso de casación no habrá de ser concedido”</w:t>
      </w:r>
      <w:r w:rsidR="00B72F47" w:rsidRPr="00B91121">
        <w:rPr>
          <w:rStyle w:val="FootnoteReference"/>
          <w:rFonts w:ascii="Cambria" w:hAnsi="Cambria"/>
          <w:sz w:val="20"/>
          <w:szCs w:val="20"/>
          <w:lang w:val="es-AR"/>
        </w:rPr>
        <w:footnoteReference w:id="52"/>
      </w:r>
      <w:r w:rsidR="00B72F47" w:rsidRPr="00B91121">
        <w:rPr>
          <w:rFonts w:ascii="Cambria" w:hAnsi="Cambria"/>
          <w:sz w:val="20"/>
          <w:szCs w:val="20"/>
          <w:lang w:val="es-AR"/>
        </w:rPr>
        <w:t>.</w:t>
      </w:r>
    </w:p>
    <w:p w14:paraId="3B21A596" w14:textId="77777777" w:rsidR="00B72F47" w:rsidRPr="00B91121" w:rsidRDefault="00B72F47" w:rsidP="0067655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14DA4795" w14:textId="77777777" w:rsidR="00007B4E" w:rsidRPr="00B91121" w:rsidRDefault="00007B4E" w:rsidP="00000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El 2 de noviembre de 1999, l</w:t>
      </w:r>
      <w:r w:rsidR="00676554" w:rsidRPr="00B91121">
        <w:rPr>
          <w:rFonts w:ascii="Cambria" w:hAnsi="Cambria"/>
          <w:sz w:val="20"/>
          <w:szCs w:val="20"/>
          <w:lang w:val="es-AR"/>
        </w:rPr>
        <w:t xml:space="preserve">a parte querellante </w:t>
      </w:r>
      <w:r w:rsidR="002F139F" w:rsidRPr="00B91121">
        <w:rPr>
          <w:rFonts w:ascii="Cambria" w:hAnsi="Cambria"/>
          <w:sz w:val="20"/>
          <w:szCs w:val="20"/>
          <w:lang w:val="es-AR"/>
        </w:rPr>
        <w:t xml:space="preserve">interpuso recurso de queja </w:t>
      </w:r>
      <w:r w:rsidR="000D4C4B" w:rsidRPr="00B91121">
        <w:rPr>
          <w:rFonts w:ascii="Cambria" w:hAnsi="Cambria"/>
          <w:sz w:val="20"/>
          <w:szCs w:val="20"/>
          <w:lang w:val="es-AR"/>
        </w:rPr>
        <w:t xml:space="preserve">por casación denegada, </w:t>
      </w:r>
      <w:r w:rsidR="002F139F" w:rsidRPr="00B91121">
        <w:rPr>
          <w:rFonts w:ascii="Cambria" w:hAnsi="Cambria"/>
          <w:sz w:val="20"/>
          <w:szCs w:val="20"/>
          <w:lang w:val="es-AR"/>
        </w:rPr>
        <w:t>ante la Cámara Nacional de Casación Penal</w:t>
      </w:r>
      <w:r w:rsidR="00BE6AC0" w:rsidRPr="00B91121">
        <w:rPr>
          <w:rFonts w:ascii="Cambria" w:hAnsi="Cambria"/>
          <w:sz w:val="20"/>
          <w:szCs w:val="20"/>
          <w:lang w:val="es-AR"/>
        </w:rPr>
        <w:t>, a</w:t>
      </w:r>
      <w:r w:rsidRPr="00B91121">
        <w:rPr>
          <w:rFonts w:ascii="Cambria" w:hAnsi="Cambria"/>
          <w:sz w:val="20"/>
          <w:szCs w:val="20"/>
          <w:lang w:val="es-AR"/>
        </w:rPr>
        <w:t>firmando que “es tal la gravedad institucional que presenta este caso, que la Sala I de la Cámara no puede argumentar que deniega la casación con el solo genérico argumento de que no hay nulidad por falta de fundamentación, de que la resolución da razón suficiente y que no corresponde la casación por no darse el supuesto de arbitrariedad. NADA MÁS. Considera esta querella que así ha sido privada del derecho constitucional a un fallo fundado”</w:t>
      </w:r>
      <w:r w:rsidRPr="00B91121">
        <w:rPr>
          <w:rStyle w:val="FootnoteReference"/>
          <w:rFonts w:ascii="Cambria" w:hAnsi="Cambria"/>
          <w:sz w:val="20"/>
          <w:szCs w:val="20"/>
          <w:lang w:val="es-AR"/>
        </w:rPr>
        <w:footnoteReference w:id="53"/>
      </w:r>
      <w:r w:rsidRPr="00B91121">
        <w:rPr>
          <w:rFonts w:ascii="Cambria" w:hAnsi="Cambria"/>
          <w:sz w:val="20"/>
          <w:szCs w:val="20"/>
          <w:lang w:val="es-AR"/>
        </w:rPr>
        <w:t xml:space="preserve">. El recurso de queja </w:t>
      </w:r>
      <w:r w:rsidR="00BE6AC0" w:rsidRPr="00B91121">
        <w:rPr>
          <w:rFonts w:ascii="Cambria" w:hAnsi="Cambria"/>
          <w:sz w:val="20"/>
          <w:szCs w:val="20"/>
          <w:lang w:val="es-AR"/>
        </w:rPr>
        <w:t>fue desestimad</w:t>
      </w:r>
      <w:r w:rsidRPr="00B91121">
        <w:rPr>
          <w:rFonts w:ascii="Cambria" w:hAnsi="Cambria"/>
          <w:sz w:val="20"/>
          <w:szCs w:val="20"/>
          <w:lang w:val="es-AR"/>
        </w:rPr>
        <w:t>o</w:t>
      </w:r>
      <w:r w:rsidR="00BE6AC0" w:rsidRPr="00B91121">
        <w:rPr>
          <w:rFonts w:ascii="Cambria" w:hAnsi="Cambria"/>
          <w:sz w:val="20"/>
          <w:szCs w:val="20"/>
          <w:lang w:val="es-AR"/>
        </w:rPr>
        <w:t xml:space="preserve"> </w:t>
      </w:r>
      <w:r w:rsidR="000D4C4B" w:rsidRPr="00B91121">
        <w:rPr>
          <w:rFonts w:ascii="Cambria" w:hAnsi="Cambria"/>
          <w:sz w:val="20"/>
          <w:szCs w:val="20"/>
          <w:lang w:val="es-AR"/>
        </w:rPr>
        <w:t>el 30 de ma</w:t>
      </w:r>
      <w:r w:rsidR="00BE6AC0" w:rsidRPr="00B91121">
        <w:rPr>
          <w:rFonts w:ascii="Cambria" w:hAnsi="Cambria"/>
          <w:sz w:val="20"/>
          <w:szCs w:val="20"/>
          <w:lang w:val="es-AR"/>
        </w:rPr>
        <w:t>rzo de 2000</w:t>
      </w:r>
      <w:r w:rsidRPr="00B91121">
        <w:rPr>
          <w:rFonts w:ascii="Cambria" w:hAnsi="Cambria"/>
          <w:sz w:val="20"/>
          <w:szCs w:val="20"/>
          <w:lang w:val="es-AR"/>
        </w:rPr>
        <w:t xml:space="preserve"> por las siguientes razones:</w:t>
      </w:r>
    </w:p>
    <w:p w14:paraId="14F8DBAD" w14:textId="77777777" w:rsidR="00007B4E" w:rsidRPr="00B91121" w:rsidRDefault="00007B4E" w:rsidP="00007B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2A102655" w14:textId="77777777" w:rsidR="007028A2" w:rsidRPr="00B91121" w:rsidRDefault="00140D5A" w:rsidP="004E39E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Cambria" w:hAnsi="Cambria"/>
          <w:sz w:val="18"/>
          <w:szCs w:val="18"/>
          <w:lang w:val="es-AR"/>
        </w:rPr>
      </w:pPr>
      <w:r w:rsidRPr="00B91121">
        <w:rPr>
          <w:rFonts w:ascii="Cambria" w:hAnsi="Cambria"/>
          <w:sz w:val="18"/>
          <w:szCs w:val="18"/>
          <w:lang w:val="es-AR"/>
        </w:rPr>
        <w:t xml:space="preserve">En primer término es dable señalar que tal como indica la </w:t>
      </w:r>
      <w:r w:rsidR="004E39E4" w:rsidRPr="00B91121">
        <w:rPr>
          <w:rFonts w:ascii="Cambria" w:hAnsi="Cambria"/>
          <w:sz w:val="18"/>
          <w:szCs w:val="18"/>
          <w:lang w:val="es-AR"/>
        </w:rPr>
        <w:t>Cámara</w:t>
      </w:r>
      <w:r w:rsidRPr="00B91121">
        <w:rPr>
          <w:rFonts w:ascii="Cambria" w:hAnsi="Cambria"/>
          <w:sz w:val="18"/>
          <w:szCs w:val="18"/>
          <w:lang w:val="es-AR"/>
        </w:rPr>
        <w:t xml:space="preserve"> a quo – en la resolución que confirma el sobreseimiento de los imputados-, en estas actuaciones “no se investiga la causa de muerte de Cristina Britez Arce, sino si hubo o no delito por parte de los </w:t>
      </w:r>
      <w:r w:rsidR="004E39E4" w:rsidRPr="00B91121">
        <w:rPr>
          <w:rFonts w:ascii="Cambria" w:hAnsi="Cambria"/>
          <w:sz w:val="18"/>
          <w:szCs w:val="18"/>
          <w:lang w:val="es-AR"/>
        </w:rPr>
        <w:t>médicos</w:t>
      </w:r>
      <w:r w:rsidRPr="00B91121">
        <w:rPr>
          <w:rFonts w:ascii="Cambria" w:hAnsi="Cambria"/>
          <w:sz w:val="18"/>
          <w:szCs w:val="18"/>
          <w:lang w:val="es-AR"/>
        </w:rPr>
        <w:t xml:space="preserve"> que realizaron la pericia pedida por el juez de</w:t>
      </w:r>
      <w:r w:rsidR="004E39E4" w:rsidRPr="00B91121">
        <w:rPr>
          <w:rFonts w:ascii="Cambria" w:hAnsi="Cambria"/>
          <w:sz w:val="18"/>
          <w:szCs w:val="18"/>
          <w:lang w:val="es-AR"/>
        </w:rPr>
        <w:t xml:space="preserve"> </w:t>
      </w:r>
      <w:r w:rsidRPr="00B91121">
        <w:rPr>
          <w:rFonts w:ascii="Cambria" w:hAnsi="Cambria"/>
          <w:sz w:val="18"/>
          <w:szCs w:val="18"/>
          <w:lang w:val="es-AR"/>
        </w:rPr>
        <w:t>la causa, con relación a otra pericia de los Dres. Casavilla y Poggi […]. Esta imputación se genera en la peritación realizada por los Dres. Cacciavillani y Llabot “</w:t>
      </w:r>
      <w:r w:rsidR="004E39E4" w:rsidRPr="00B91121">
        <w:rPr>
          <w:rFonts w:ascii="Cambria" w:hAnsi="Cambria"/>
          <w:sz w:val="18"/>
          <w:szCs w:val="18"/>
          <w:lang w:val="es-AR"/>
        </w:rPr>
        <w:t>médicos</w:t>
      </w:r>
      <w:r w:rsidRPr="00B91121">
        <w:rPr>
          <w:rFonts w:ascii="Cambria" w:hAnsi="Cambria"/>
          <w:sz w:val="18"/>
          <w:szCs w:val="18"/>
          <w:lang w:val="es-AR"/>
        </w:rPr>
        <w:t xml:space="preserve"> cordobeses pertenecientes a la Universidad  </w:t>
      </w:r>
      <w:r w:rsidR="004E39E4" w:rsidRPr="00B91121">
        <w:rPr>
          <w:rFonts w:ascii="Cambria" w:hAnsi="Cambria"/>
          <w:sz w:val="18"/>
          <w:szCs w:val="18"/>
          <w:lang w:val="es-AR"/>
        </w:rPr>
        <w:t>Católica</w:t>
      </w:r>
      <w:r w:rsidRPr="00B91121">
        <w:rPr>
          <w:rFonts w:ascii="Cambria" w:hAnsi="Cambria"/>
          <w:sz w:val="18"/>
          <w:szCs w:val="18"/>
          <w:lang w:val="es-AR"/>
        </w:rPr>
        <w:t xml:space="preserve"> de </w:t>
      </w:r>
      <w:r w:rsidR="004E39E4" w:rsidRPr="00B91121">
        <w:rPr>
          <w:rFonts w:ascii="Cambria" w:hAnsi="Cambria"/>
          <w:sz w:val="18"/>
          <w:szCs w:val="18"/>
          <w:lang w:val="es-AR"/>
        </w:rPr>
        <w:t>Córdoba</w:t>
      </w:r>
      <w:r w:rsidRPr="00B91121">
        <w:rPr>
          <w:rFonts w:ascii="Cambria" w:hAnsi="Cambria"/>
          <w:sz w:val="18"/>
          <w:szCs w:val="18"/>
          <w:lang w:val="es-AR"/>
        </w:rPr>
        <w:t xml:space="preserve">, propuestos por la querella para asumir el papel de peritos oficiales y prueba principal…” en estos actuados que, en lo fundamental, afirman la existencia de una patología – eclampia o preeclampsia- en la paciente que “no fue tratada ni diagnosticada por los </w:t>
      </w:r>
      <w:r w:rsidR="004E39E4" w:rsidRPr="00B91121">
        <w:rPr>
          <w:rFonts w:ascii="Cambria" w:hAnsi="Cambria"/>
          <w:sz w:val="18"/>
          <w:szCs w:val="18"/>
          <w:lang w:val="es-AR"/>
        </w:rPr>
        <w:t>médicos</w:t>
      </w:r>
      <w:r w:rsidRPr="00B91121">
        <w:rPr>
          <w:rFonts w:ascii="Cambria" w:hAnsi="Cambria"/>
          <w:sz w:val="18"/>
          <w:szCs w:val="18"/>
          <w:lang w:val="es-AR"/>
        </w:rPr>
        <w:t xml:space="preserve"> del Sarda”</w:t>
      </w:r>
      <w:r w:rsidR="007028A2" w:rsidRPr="00B91121">
        <w:rPr>
          <w:rFonts w:ascii="Cambria" w:hAnsi="Cambria"/>
          <w:sz w:val="18"/>
          <w:szCs w:val="18"/>
          <w:lang w:val="es-AR"/>
        </w:rPr>
        <w:t>.</w:t>
      </w:r>
    </w:p>
    <w:p w14:paraId="489B6458" w14:textId="77777777" w:rsidR="00007B4E" w:rsidRPr="00B91121" w:rsidRDefault="007028A2" w:rsidP="004E39E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Cambria" w:hAnsi="Cambria"/>
          <w:sz w:val="18"/>
          <w:szCs w:val="18"/>
          <w:lang w:val="es-AR"/>
        </w:rPr>
      </w:pPr>
      <w:r w:rsidRPr="00B91121">
        <w:rPr>
          <w:rFonts w:ascii="Cambria" w:hAnsi="Cambria"/>
          <w:sz w:val="18"/>
          <w:szCs w:val="18"/>
          <w:lang w:val="es-AR"/>
        </w:rPr>
        <w:t>[…]</w:t>
      </w:r>
      <w:r w:rsidR="00140D5A" w:rsidRPr="00B91121">
        <w:rPr>
          <w:rFonts w:ascii="Cambria" w:hAnsi="Cambria"/>
          <w:sz w:val="18"/>
          <w:szCs w:val="18"/>
          <w:lang w:val="es-AR"/>
        </w:rPr>
        <w:t xml:space="preserve"> </w:t>
      </w:r>
      <w:r w:rsidR="00007B4E" w:rsidRPr="00B91121">
        <w:rPr>
          <w:rFonts w:ascii="Cambria" w:hAnsi="Cambria"/>
          <w:sz w:val="18"/>
          <w:szCs w:val="18"/>
          <w:lang w:val="es-AR"/>
        </w:rPr>
        <w:t xml:space="preserve"> </w:t>
      </w:r>
      <w:r w:rsidRPr="00B91121">
        <w:rPr>
          <w:rFonts w:ascii="Cambria" w:hAnsi="Cambria"/>
          <w:sz w:val="18"/>
          <w:szCs w:val="18"/>
          <w:lang w:val="es-AR"/>
        </w:rPr>
        <w:t xml:space="preserve">Cabe señalar que nada dice el recurrente- que basa sus agravios en la falta de motivación de la sentencia por supuestas violaciones al </w:t>
      </w:r>
      <w:r w:rsidR="003A40F8" w:rsidRPr="00B91121">
        <w:rPr>
          <w:rFonts w:ascii="Cambria" w:hAnsi="Cambria"/>
          <w:sz w:val="18"/>
          <w:szCs w:val="18"/>
          <w:lang w:val="es-AR"/>
        </w:rPr>
        <w:t>principio</w:t>
      </w:r>
      <w:r w:rsidRPr="00B91121">
        <w:rPr>
          <w:rFonts w:ascii="Cambria" w:hAnsi="Cambria"/>
          <w:sz w:val="18"/>
          <w:szCs w:val="18"/>
          <w:lang w:val="es-AR"/>
        </w:rPr>
        <w:t xml:space="preserve"> de razón </w:t>
      </w:r>
      <w:r w:rsidR="003A40F8" w:rsidRPr="00B91121">
        <w:rPr>
          <w:rFonts w:ascii="Cambria" w:hAnsi="Cambria"/>
          <w:sz w:val="18"/>
          <w:szCs w:val="18"/>
          <w:lang w:val="es-AR"/>
        </w:rPr>
        <w:t>suficiente</w:t>
      </w:r>
      <w:r w:rsidRPr="00B91121">
        <w:rPr>
          <w:rFonts w:ascii="Cambria" w:hAnsi="Cambria"/>
          <w:sz w:val="18"/>
          <w:szCs w:val="18"/>
          <w:lang w:val="es-AR"/>
        </w:rPr>
        <w:t>, a las reglas de la lógica, la psicología y l</w:t>
      </w:r>
      <w:r w:rsidR="003A40F8" w:rsidRPr="00B91121">
        <w:rPr>
          <w:rFonts w:ascii="Cambria" w:hAnsi="Cambria"/>
          <w:sz w:val="18"/>
          <w:szCs w:val="18"/>
          <w:lang w:val="es-AR"/>
        </w:rPr>
        <w:t>a experiencia</w:t>
      </w:r>
      <w:r w:rsidRPr="00B91121">
        <w:rPr>
          <w:rFonts w:ascii="Cambria" w:hAnsi="Cambria"/>
          <w:sz w:val="18"/>
          <w:szCs w:val="18"/>
          <w:lang w:val="es-AR"/>
        </w:rPr>
        <w:t xml:space="preserve"> común y por la prescindencia de prueba decisiva y su alteración – respecto de la fundamentación </w:t>
      </w:r>
      <w:r w:rsidR="003A40F8" w:rsidRPr="00B91121">
        <w:rPr>
          <w:rFonts w:ascii="Cambria" w:hAnsi="Cambria"/>
          <w:sz w:val="18"/>
          <w:szCs w:val="18"/>
          <w:lang w:val="es-AR"/>
        </w:rPr>
        <w:t>reseñada</w:t>
      </w:r>
      <w:r w:rsidRPr="00B91121">
        <w:rPr>
          <w:rFonts w:ascii="Cambria" w:hAnsi="Cambria"/>
          <w:sz w:val="18"/>
          <w:szCs w:val="18"/>
          <w:lang w:val="es-AR"/>
        </w:rPr>
        <w:t xml:space="preserve">, por lo que en este sentido su presentación carece de fundamentación autónoma al no refutar los argumentos con que la </w:t>
      </w:r>
      <w:r w:rsidR="003A40F8" w:rsidRPr="00B91121">
        <w:rPr>
          <w:rFonts w:ascii="Cambria" w:hAnsi="Cambria"/>
          <w:sz w:val="18"/>
          <w:szCs w:val="18"/>
          <w:lang w:val="es-AR"/>
        </w:rPr>
        <w:t>Cámara</w:t>
      </w:r>
      <w:r w:rsidRPr="00B91121">
        <w:rPr>
          <w:rFonts w:ascii="Cambria" w:hAnsi="Cambria"/>
          <w:sz w:val="18"/>
          <w:szCs w:val="18"/>
          <w:lang w:val="es-AR"/>
        </w:rPr>
        <w:t xml:space="preserve"> confirma el sobreseimiento decretado por el Juez  de Instrucción.</w:t>
      </w:r>
    </w:p>
    <w:p w14:paraId="0C65592A" w14:textId="77777777" w:rsidR="003A40F8" w:rsidRPr="00B91121" w:rsidRDefault="007028A2" w:rsidP="004E39E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Cambria" w:hAnsi="Cambria"/>
          <w:sz w:val="18"/>
          <w:szCs w:val="18"/>
          <w:lang w:val="es-AR"/>
        </w:rPr>
      </w:pPr>
      <w:r w:rsidRPr="00B91121">
        <w:rPr>
          <w:rFonts w:ascii="Cambria" w:hAnsi="Cambria"/>
          <w:sz w:val="18"/>
          <w:szCs w:val="18"/>
          <w:lang w:val="es-AR"/>
        </w:rPr>
        <w:t xml:space="preserve">Si bien bastaría esta omisión del remedio casatorio para decretar su inadmisibilidad, a mayor abundamiento cabe manifestar que, no obstante las agudas discrepancias existentes entre las peritaciones realizadas por </w:t>
      </w:r>
      <w:r w:rsidR="001B0DB7" w:rsidRPr="00B91121">
        <w:rPr>
          <w:rFonts w:ascii="Cambria" w:hAnsi="Cambria"/>
          <w:sz w:val="18"/>
          <w:szCs w:val="18"/>
          <w:lang w:val="es-AR"/>
        </w:rPr>
        <w:t xml:space="preserve">los expertos designados por la Universidad Nacional de </w:t>
      </w:r>
      <w:r w:rsidR="003A40F8" w:rsidRPr="00B91121">
        <w:rPr>
          <w:rFonts w:ascii="Cambria" w:hAnsi="Cambria"/>
          <w:sz w:val="18"/>
          <w:szCs w:val="18"/>
          <w:lang w:val="es-AR"/>
        </w:rPr>
        <w:t>Córdoba</w:t>
      </w:r>
      <w:r w:rsidR="001B0DB7" w:rsidRPr="00B91121">
        <w:rPr>
          <w:rFonts w:ascii="Cambria" w:hAnsi="Cambria"/>
          <w:sz w:val="18"/>
          <w:szCs w:val="18"/>
          <w:lang w:val="es-AR"/>
        </w:rPr>
        <w:t xml:space="preserve"> y por los integrantes del Cuerpo </w:t>
      </w:r>
      <w:r w:rsidR="003A40F8" w:rsidRPr="00B91121">
        <w:rPr>
          <w:rFonts w:ascii="Cambria" w:hAnsi="Cambria"/>
          <w:sz w:val="18"/>
          <w:szCs w:val="18"/>
          <w:lang w:val="es-AR"/>
        </w:rPr>
        <w:t>Médico</w:t>
      </w:r>
      <w:r w:rsidR="001B0DB7" w:rsidRPr="00B91121">
        <w:rPr>
          <w:rFonts w:ascii="Cambria" w:hAnsi="Cambria"/>
          <w:sz w:val="18"/>
          <w:szCs w:val="18"/>
          <w:lang w:val="es-AR"/>
        </w:rPr>
        <w:t xml:space="preserve"> Forense, </w:t>
      </w:r>
      <w:r w:rsidR="003A40F8" w:rsidRPr="00B91121">
        <w:rPr>
          <w:rFonts w:ascii="Cambria" w:hAnsi="Cambria"/>
          <w:sz w:val="18"/>
          <w:szCs w:val="18"/>
          <w:lang w:val="es-AR"/>
        </w:rPr>
        <w:t xml:space="preserve">las cuestiones traídas a esta instancia se refieren a situaciones que remiten al análisis de cuestiones de hecho y prueba ajenas a la vía intentada, no advirtiéndose fallas en el razonamiento de la Cámara a quo que permitan tachar su sentencia de arbitraria o infundada. </w:t>
      </w:r>
    </w:p>
    <w:p w14:paraId="271A67E4" w14:textId="77777777" w:rsidR="007028A2" w:rsidRPr="00B91121" w:rsidRDefault="003A40F8" w:rsidP="00EE694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Cambria" w:hAnsi="Cambria"/>
          <w:sz w:val="18"/>
          <w:szCs w:val="18"/>
          <w:lang w:val="es-AR"/>
        </w:rPr>
      </w:pPr>
      <w:r w:rsidRPr="00B91121">
        <w:rPr>
          <w:rFonts w:ascii="Cambria" w:hAnsi="Cambria"/>
          <w:sz w:val="18"/>
          <w:szCs w:val="18"/>
          <w:lang w:val="es-AR"/>
        </w:rPr>
        <w:t>[…] Por último, es necesario señalar, respecto de las presuntas irregularidades en la historia clínica, que la decisión de esta Sala se dicta en el estricto contexto del recurso de queja […] no puede ingresar al análisis de situaciones que se verifican en una causa diversa […]</w:t>
      </w:r>
      <w:r w:rsidRPr="00B91121">
        <w:rPr>
          <w:rStyle w:val="FootnoteReference"/>
          <w:rFonts w:ascii="Cambria" w:hAnsi="Cambria"/>
          <w:sz w:val="18"/>
          <w:szCs w:val="18"/>
          <w:lang w:val="es-AR"/>
        </w:rPr>
        <w:footnoteReference w:id="54"/>
      </w:r>
      <w:r w:rsidRPr="00B91121">
        <w:rPr>
          <w:rFonts w:ascii="Cambria" w:hAnsi="Cambria"/>
          <w:sz w:val="18"/>
          <w:szCs w:val="18"/>
          <w:lang w:val="es-AR"/>
        </w:rPr>
        <w:t>”</w:t>
      </w:r>
    </w:p>
    <w:p w14:paraId="3B10622E" w14:textId="77777777" w:rsidR="00007B4E" w:rsidRPr="00B91121" w:rsidRDefault="00007B4E" w:rsidP="00007B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7E935C11" w14:textId="77777777" w:rsidR="003E2F58" w:rsidRPr="00B91121" w:rsidRDefault="00BE6AC0" w:rsidP="00000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Contra dicha resolución</w:t>
      </w:r>
      <w:r w:rsidR="001779F0" w:rsidRPr="00B91121">
        <w:rPr>
          <w:rFonts w:ascii="Cambria" w:hAnsi="Cambria"/>
          <w:sz w:val="20"/>
          <w:szCs w:val="20"/>
          <w:lang w:val="es-AR"/>
        </w:rPr>
        <w:t>, el 8 de mayo de 2000, la querella</w:t>
      </w:r>
      <w:r w:rsidRPr="00B91121">
        <w:rPr>
          <w:rFonts w:ascii="Cambria" w:hAnsi="Cambria"/>
          <w:sz w:val="20"/>
          <w:szCs w:val="20"/>
          <w:lang w:val="es-AR"/>
        </w:rPr>
        <w:t xml:space="preserve"> </w:t>
      </w:r>
      <w:r w:rsidR="00D72837" w:rsidRPr="00B91121">
        <w:rPr>
          <w:rFonts w:ascii="Cambria" w:hAnsi="Cambria"/>
          <w:sz w:val="20"/>
          <w:szCs w:val="20"/>
          <w:lang w:val="es-AR"/>
        </w:rPr>
        <w:t>interp</w:t>
      </w:r>
      <w:r w:rsidR="001779F0" w:rsidRPr="00B91121">
        <w:rPr>
          <w:rFonts w:ascii="Cambria" w:hAnsi="Cambria"/>
          <w:sz w:val="20"/>
          <w:szCs w:val="20"/>
          <w:lang w:val="es-AR"/>
        </w:rPr>
        <w:t>uso recurso extraordinario federal, en el que también</w:t>
      </w:r>
      <w:r w:rsidR="00111A81" w:rsidRPr="00B91121">
        <w:rPr>
          <w:rFonts w:ascii="Cambria" w:hAnsi="Cambria"/>
          <w:sz w:val="20"/>
          <w:szCs w:val="20"/>
          <w:lang w:val="es-AR"/>
        </w:rPr>
        <w:t xml:space="preserve"> presentó </w:t>
      </w:r>
      <w:r w:rsidR="001779F0" w:rsidRPr="00B91121">
        <w:rPr>
          <w:rFonts w:ascii="Cambria" w:hAnsi="Cambria"/>
          <w:sz w:val="20"/>
          <w:szCs w:val="20"/>
          <w:lang w:val="es-AR"/>
        </w:rPr>
        <w:t xml:space="preserve">recusación </w:t>
      </w:r>
      <w:r w:rsidR="00111A81" w:rsidRPr="00B91121">
        <w:rPr>
          <w:rFonts w:ascii="Cambria" w:hAnsi="Cambria"/>
          <w:sz w:val="20"/>
          <w:szCs w:val="20"/>
          <w:lang w:val="es-AR"/>
        </w:rPr>
        <w:t>“contra los integrantes de la Corte Suprema de Justicia de la Nación […] a efectos de la conformación del alto tribunal con miembros que no tengan relación jerárquica sobre el CUERPO MEDICO FORENSE”</w:t>
      </w:r>
      <w:r w:rsidR="00111A81" w:rsidRPr="00B91121">
        <w:rPr>
          <w:rStyle w:val="FootnoteReference"/>
          <w:rFonts w:ascii="Cambria" w:hAnsi="Cambria"/>
          <w:sz w:val="20"/>
          <w:szCs w:val="20"/>
          <w:lang w:val="es-AR"/>
        </w:rPr>
        <w:footnoteReference w:id="55"/>
      </w:r>
      <w:r w:rsidR="00111A81" w:rsidRPr="00B91121">
        <w:rPr>
          <w:rFonts w:ascii="Cambria" w:hAnsi="Cambria"/>
          <w:sz w:val="20"/>
          <w:szCs w:val="20"/>
          <w:lang w:val="es-AR"/>
        </w:rPr>
        <w:t>. Dicho recurso f</w:t>
      </w:r>
      <w:r w:rsidR="00D72837" w:rsidRPr="00B91121">
        <w:rPr>
          <w:rFonts w:ascii="Cambria" w:hAnsi="Cambria"/>
          <w:sz w:val="20"/>
          <w:szCs w:val="20"/>
          <w:lang w:val="es-AR"/>
        </w:rPr>
        <w:t>ue declarado inadmisible por la Cámara Nacional de Casación Penal el 17 de octubre de 2000</w:t>
      </w:r>
      <w:r w:rsidR="00111A81" w:rsidRPr="00B91121">
        <w:rPr>
          <w:rFonts w:ascii="Cambria" w:hAnsi="Cambria"/>
          <w:sz w:val="20"/>
          <w:szCs w:val="20"/>
          <w:lang w:val="es-AR"/>
        </w:rPr>
        <w:t>, por considerar que se cuestionan valoraciones de prueba y por no advertirse causales de arbitrariedad</w:t>
      </w:r>
      <w:r w:rsidR="00D72837" w:rsidRPr="00B91121">
        <w:rPr>
          <w:rStyle w:val="FootnoteReference"/>
          <w:rFonts w:ascii="Cambria" w:hAnsi="Cambria"/>
          <w:sz w:val="20"/>
          <w:szCs w:val="20"/>
          <w:lang w:val="es-AR"/>
        </w:rPr>
        <w:footnoteReference w:id="56"/>
      </w:r>
      <w:r w:rsidR="00D72837" w:rsidRPr="00B91121">
        <w:rPr>
          <w:rFonts w:ascii="Cambria" w:hAnsi="Cambria"/>
          <w:sz w:val="20"/>
          <w:szCs w:val="20"/>
          <w:lang w:val="es-AR"/>
        </w:rPr>
        <w:t>.</w:t>
      </w:r>
    </w:p>
    <w:p w14:paraId="764004D0" w14:textId="142CE9F9" w:rsidR="00052315" w:rsidRDefault="00052315" w:rsidP="002071F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11059D85" w14:textId="77777777" w:rsidR="00052315" w:rsidRPr="00B91121" w:rsidRDefault="00052315" w:rsidP="002A4B39">
      <w:pPr>
        <w:pStyle w:val="Heading3"/>
        <w:ind w:left="360"/>
        <w:jc w:val="both"/>
        <w:rPr>
          <w:lang w:val="es-MX"/>
        </w:rPr>
      </w:pPr>
      <w:bookmarkStart w:id="22" w:name="_Toc22199931"/>
      <w:bookmarkStart w:id="23" w:name="_Toc33525297"/>
      <w:r w:rsidRPr="00B91121">
        <w:rPr>
          <w:lang w:val="es-MX"/>
        </w:rPr>
        <w:t>Proceso civil por daños y perjuicios. Expediente 42.229/94 rotulado “Avaro Miguel Ángel contra Fernández, Silvia y otros sobre daños y perjuicios”</w:t>
      </w:r>
      <w:bookmarkEnd w:id="22"/>
      <w:bookmarkEnd w:id="23"/>
    </w:p>
    <w:p w14:paraId="1F78B7D5" w14:textId="77777777" w:rsidR="00052315" w:rsidRPr="00B91121" w:rsidRDefault="00052315" w:rsidP="0005231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753128EA" w14:textId="77777777" w:rsidR="004C2CE1" w:rsidRPr="00B91121" w:rsidRDefault="00052315" w:rsidP="00000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La demanda fue presentada por el señor Miguel Ángel Avaro el 31 de mayo de 199</w:t>
      </w:r>
      <w:r w:rsidR="004C2CE1" w:rsidRPr="00B91121">
        <w:rPr>
          <w:rFonts w:ascii="Cambria" w:hAnsi="Cambria"/>
          <w:sz w:val="20"/>
          <w:szCs w:val="20"/>
          <w:lang w:val="es-AR"/>
        </w:rPr>
        <w:t>4 contra los médicos responsables de la atención médica de l</w:t>
      </w:r>
      <w:r w:rsidR="00A00BEA" w:rsidRPr="00B91121">
        <w:rPr>
          <w:rFonts w:ascii="Cambria" w:hAnsi="Cambria"/>
          <w:sz w:val="20"/>
          <w:szCs w:val="20"/>
          <w:lang w:val="es-AR"/>
        </w:rPr>
        <w:t xml:space="preserve">a señora Cristina Britez Arce, </w:t>
      </w:r>
      <w:r w:rsidR="004C2CE1" w:rsidRPr="00B91121">
        <w:rPr>
          <w:rFonts w:ascii="Cambria" w:hAnsi="Cambria"/>
          <w:sz w:val="20"/>
          <w:szCs w:val="20"/>
          <w:lang w:val="es-AR"/>
        </w:rPr>
        <w:t xml:space="preserve">contra el Hospital Materno Infantil Ramón </w:t>
      </w:r>
      <w:r w:rsidR="00141CA1" w:rsidRPr="00B91121">
        <w:rPr>
          <w:rFonts w:ascii="Cambria" w:hAnsi="Cambria"/>
          <w:sz w:val="20"/>
          <w:szCs w:val="20"/>
          <w:lang w:val="es-AR"/>
        </w:rPr>
        <w:t>Sardá</w:t>
      </w:r>
      <w:r w:rsidR="004C2CE1" w:rsidRPr="00B91121">
        <w:rPr>
          <w:rFonts w:ascii="Cambria" w:hAnsi="Cambria"/>
          <w:sz w:val="20"/>
          <w:szCs w:val="20"/>
          <w:lang w:val="es-AR"/>
        </w:rPr>
        <w:t xml:space="preserve"> y contra el Gobierno de la Ciudad de Buenos Aires</w:t>
      </w:r>
      <w:r w:rsidR="00015EDD" w:rsidRPr="00B91121">
        <w:rPr>
          <w:rFonts w:ascii="Cambria" w:hAnsi="Cambria"/>
          <w:sz w:val="20"/>
          <w:szCs w:val="20"/>
          <w:lang w:val="es-AR"/>
        </w:rPr>
        <w:t>, por negligencia, impericia e imprudencia.</w:t>
      </w:r>
      <w:r w:rsidR="00A00BEA" w:rsidRPr="00B91121">
        <w:rPr>
          <w:rStyle w:val="FootnoteReference"/>
          <w:rFonts w:ascii="Cambria" w:hAnsi="Cambria"/>
          <w:sz w:val="20"/>
          <w:szCs w:val="20"/>
          <w:lang w:val="es-AR"/>
        </w:rPr>
        <w:footnoteReference w:id="57"/>
      </w:r>
      <w:r w:rsidRPr="00B91121">
        <w:rPr>
          <w:rFonts w:ascii="Cambria" w:hAnsi="Cambria"/>
          <w:sz w:val="20"/>
          <w:szCs w:val="20"/>
          <w:lang w:val="es-AR"/>
        </w:rPr>
        <w:t xml:space="preserve">. </w:t>
      </w:r>
    </w:p>
    <w:p w14:paraId="79FB7E3C" w14:textId="77777777" w:rsidR="004C2CE1" w:rsidRPr="00B91121" w:rsidRDefault="004C2CE1" w:rsidP="004C2CE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4026ACEC" w14:textId="77777777" w:rsidR="004C2CE1" w:rsidRPr="00B91121" w:rsidRDefault="00052315" w:rsidP="00000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 xml:space="preserve">El </w:t>
      </w:r>
      <w:r w:rsidR="001770C6" w:rsidRPr="00B91121">
        <w:rPr>
          <w:rFonts w:ascii="Cambria" w:hAnsi="Cambria"/>
          <w:sz w:val="20"/>
          <w:szCs w:val="20"/>
          <w:lang w:val="es-AR"/>
        </w:rPr>
        <w:t>24 de julio de 2000</w:t>
      </w:r>
      <w:r w:rsidR="00364F36" w:rsidRPr="00B91121">
        <w:rPr>
          <w:rFonts w:ascii="Cambria" w:hAnsi="Cambria"/>
          <w:sz w:val="20"/>
          <w:szCs w:val="20"/>
          <w:lang w:val="es-AR"/>
        </w:rPr>
        <w:t xml:space="preserve"> el médico Eduardo Roberto Barrón  presentó pericia oficial ordenada por el juez civil a cargo del Juzgado N</w:t>
      </w:r>
      <w:r w:rsidR="001770C6" w:rsidRPr="00B91121">
        <w:rPr>
          <w:rFonts w:ascii="Cambria" w:hAnsi="Cambria"/>
          <w:sz w:val="20"/>
          <w:szCs w:val="20"/>
          <w:lang w:val="es-AR"/>
        </w:rPr>
        <w:t>o. 101, Alejandro C. Verdaguer, contestando a diez preguntas sobre la atención otorgada a la señora Britez durante su embarazo y el día 1 de junio de 1992.</w:t>
      </w:r>
      <w:r w:rsidR="000179A6" w:rsidRPr="00B91121">
        <w:rPr>
          <w:rFonts w:ascii="Cambria" w:hAnsi="Cambria"/>
          <w:sz w:val="20"/>
          <w:szCs w:val="20"/>
          <w:lang w:val="es-AR"/>
        </w:rPr>
        <w:t xml:space="preserve"> Indicó que “38 años de edad y el antecedente de hipertension arterial HTA previa al embarazo son factores de riesgo para hipertension arterial. Es decir, qu</w:t>
      </w:r>
      <w:r w:rsidR="00C2773E" w:rsidRPr="00B91121">
        <w:rPr>
          <w:rFonts w:ascii="Cambria" w:hAnsi="Cambria"/>
          <w:sz w:val="20"/>
          <w:szCs w:val="20"/>
          <w:lang w:val="es-AR"/>
        </w:rPr>
        <w:t xml:space="preserve">e puede considerarse al embarazo de la Sra. Britez Arce como de alto riesgo, para desarrollar hipertensión arterial durante el embarazo. </w:t>
      </w:r>
      <w:r w:rsidR="00C2773E" w:rsidRPr="00B91121">
        <w:rPr>
          <w:rFonts w:ascii="Cambria" w:hAnsi="Cambria"/>
          <w:sz w:val="20"/>
          <w:szCs w:val="20"/>
          <w:lang w:val="es-ES"/>
        </w:rPr>
        <w:t>[…]  De acuerdo a los antecedentes, la Sra. Britez Arce era hipertensa previa. No tuvo hipertensión arterial durante el embarazo que motivó esta demanda.</w:t>
      </w:r>
      <w:r w:rsidR="00461FCA" w:rsidRPr="00B91121">
        <w:rPr>
          <w:rFonts w:ascii="Cambria" w:hAnsi="Cambria"/>
          <w:sz w:val="20"/>
          <w:szCs w:val="20"/>
          <w:lang w:val="es-ES"/>
        </w:rPr>
        <w:t xml:space="preserve"> […] para asegurar las condiciones al momento del parto habría que tener una evaluación cardiológica de ese momento, pero de acuerdo a los controles descriptos y los valores de tensión arterial que presentó la paciente no había riesgo cardiaco aumentado […] el aumento excesivo de peso es un factor de riesgo</w:t>
      </w:r>
      <w:r w:rsidR="004735D4" w:rsidRPr="00B91121">
        <w:rPr>
          <w:rFonts w:ascii="Cambria" w:hAnsi="Cambria"/>
          <w:sz w:val="20"/>
          <w:szCs w:val="20"/>
          <w:lang w:val="es-ES"/>
        </w:rPr>
        <w:t xml:space="preserve"> […] No había indicación de interrumpir el embarazo prematuramente. […] Sí, el tratamiento seguido por los médicos de no realizar una cesárea y provocar el parto mediante una inducción, fue el adecuado a forma, lugar y modo”</w:t>
      </w:r>
      <w:r w:rsidR="004735D4" w:rsidRPr="00B91121">
        <w:rPr>
          <w:rStyle w:val="FootnoteReference"/>
          <w:rFonts w:ascii="Cambria" w:hAnsi="Cambria"/>
          <w:sz w:val="20"/>
          <w:szCs w:val="20"/>
          <w:lang w:val="es-ES"/>
        </w:rPr>
        <w:footnoteReference w:id="58"/>
      </w:r>
      <w:r w:rsidR="004735D4" w:rsidRPr="00B91121">
        <w:rPr>
          <w:rFonts w:ascii="Cambria" w:hAnsi="Cambria"/>
          <w:sz w:val="20"/>
          <w:szCs w:val="20"/>
          <w:lang w:val="es-ES"/>
        </w:rPr>
        <w:t xml:space="preserve">. </w:t>
      </w:r>
    </w:p>
    <w:p w14:paraId="26C4AD95" w14:textId="77777777" w:rsidR="003432A7" w:rsidRPr="00B91121" w:rsidRDefault="003432A7" w:rsidP="0086464B">
      <w:pPr>
        <w:ind w:left="720"/>
        <w:rPr>
          <w:lang w:val="es-ES"/>
        </w:rPr>
      </w:pPr>
    </w:p>
    <w:p w14:paraId="6243EA6B" w14:textId="77777777" w:rsidR="00CE4C5D" w:rsidRPr="00B91121" w:rsidRDefault="003432A7" w:rsidP="00000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AR"/>
        </w:rPr>
      </w:pPr>
      <w:r w:rsidRPr="00B91121">
        <w:rPr>
          <w:rFonts w:ascii="Cambria" w:hAnsi="Cambria"/>
          <w:sz w:val="20"/>
          <w:szCs w:val="20"/>
          <w:lang w:val="es-AR"/>
        </w:rPr>
        <w:t xml:space="preserve">El 27 de </w:t>
      </w:r>
      <w:r w:rsidRPr="00B91121">
        <w:rPr>
          <w:rFonts w:asciiTheme="majorHAnsi" w:hAnsiTheme="majorHAnsi"/>
          <w:sz w:val="20"/>
          <w:szCs w:val="20"/>
          <w:lang w:val="es-AR"/>
        </w:rPr>
        <w:t>noviembre de 2008, el médico Ángel Miguel Cabarcas, designado por la parte actora, presentó informe pericial</w:t>
      </w:r>
      <w:r w:rsidR="003E453B" w:rsidRPr="00B91121">
        <w:rPr>
          <w:rStyle w:val="FootnoteReference"/>
          <w:rFonts w:asciiTheme="majorHAnsi" w:hAnsiTheme="majorHAnsi"/>
          <w:sz w:val="20"/>
          <w:szCs w:val="20"/>
          <w:lang w:val="es-AR"/>
        </w:rPr>
        <w:footnoteReference w:id="59"/>
      </w:r>
      <w:r w:rsidRPr="00B91121">
        <w:rPr>
          <w:rFonts w:asciiTheme="majorHAnsi" w:hAnsiTheme="majorHAnsi"/>
          <w:sz w:val="20"/>
          <w:szCs w:val="20"/>
          <w:lang w:val="es-AR"/>
        </w:rPr>
        <w:t xml:space="preserve">. </w:t>
      </w:r>
      <w:r w:rsidR="003E453B" w:rsidRPr="00B91121">
        <w:rPr>
          <w:rFonts w:asciiTheme="majorHAnsi" w:hAnsiTheme="majorHAnsi"/>
          <w:sz w:val="20"/>
          <w:szCs w:val="20"/>
          <w:lang w:val="es-AR"/>
        </w:rPr>
        <w:t xml:space="preserve"> </w:t>
      </w:r>
      <w:r w:rsidR="00CE4C5D" w:rsidRPr="00B91121">
        <w:rPr>
          <w:rFonts w:asciiTheme="majorHAnsi" w:hAnsiTheme="majorHAnsi"/>
          <w:sz w:val="20"/>
          <w:szCs w:val="20"/>
          <w:lang w:val="es-AR"/>
        </w:rPr>
        <w:t>Entre sus consideraciones, afirmó que “había hipertensión, y si a ello se le suma el aumento exagerado de peso tendremos hipertensión en embarazo actual y aumento exagerado de peso todo lo cual conforma un cuadro de PREECLAMPSIA”. Respecto a la ecografía del 19 de mayo de 1992 refiere que “por la tabla de gestación estaba con un embarazo de 39 semanas pero se informa erróneamente que está de 36 semanas</w:t>
      </w:r>
      <w:r w:rsidR="00ED74FF" w:rsidRPr="00B91121">
        <w:rPr>
          <w:rFonts w:asciiTheme="majorHAnsi" w:hAnsiTheme="majorHAnsi"/>
          <w:sz w:val="20"/>
          <w:szCs w:val="20"/>
          <w:lang w:val="es-AR"/>
        </w:rPr>
        <w:t xml:space="preserve"> […] Esta placenta está hablando de un embarazo a término con posibles signos de envejecimiento. Est</w:t>
      </w:r>
      <w:r w:rsidR="00E9560A" w:rsidRPr="00B91121">
        <w:rPr>
          <w:rFonts w:asciiTheme="majorHAnsi" w:hAnsiTheme="majorHAnsi"/>
          <w:sz w:val="20"/>
          <w:szCs w:val="20"/>
          <w:lang w:val="es-AR"/>
        </w:rPr>
        <w:t>o</w:t>
      </w:r>
      <w:r w:rsidR="00ED74FF" w:rsidRPr="00B91121">
        <w:rPr>
          <w:rFonts w:asciiTheme="majorHAnsi" w:hAnsiTheme="majorHAnsi"/>
          <w:sz w:val="20"/>
          <w:szCs w:val="20"/>
          <w:lang w:val="es-AR"/>
        </w:rPr>
        <w:t xml:space="preserve"> para internar a la Sra. Britez Arce y realizarle rutinas de laboratorios, investigarle la madurez fetal, colesterolemia, fondo de ojo (detecta infartos en la retina y desprendimientos parciales en la misma). Tensión arterial dos veces por día, control de orina, etc.</w:t>
      </w:r>
      <w:r w:rsidR="0082740E" w:rsidRPr="00B91121">
        <w:rPr>
          <w:rFonts w:asciiTheme="majorHAnsi" w:hAnsiTheme="majorHAnsi"/>
          <w:sz w:val="20"/>
          <w:szCs w:val="20"/>
          <w:lang w:val="es-AR"/>
        </w:rPr>
        <w:t xml:space="preserve"> […] La internación no es una indicación de un iluminado sino que es el resultado de la observación y la experiencia puestos de manifiesto</w:t>
      </w:r>
      <w:r w:rsidR="00ED74FF" w:rsidRPr="00B91121">
        <w:rPr>
          <w:rFonts w:asciiTheme="majorHAnsi" w:hAnsiTheme="majorHAnsi"/>
          <w:sz w:val="20"/>
          <w:szCs w:val="20"/>
          <w:lang w:val="es-AR"/>
        </w:rPr>
        <w:t>”</w:t>
      </w:r>
      <w:r w:rsidR="0082740E" w:rsidRPr="00B91121">
        <w:rPr>
          <w:rFonts w:asciiTheme="majorHAnsi" w:hAnsiTheme="majorHAnsi"/>
          <w:sz w:val="20"/>
          <w:szCs w:val="20"/>
          <w:lang w:val="es-AR"/>
        </w:rPr>
        <w:t>. El perito también señaló como falta de prevención el hecho de que no se le hubiera indicado ninguna clase de régimen dietético, sobre todo teniendo antecedentes de preeclamsia</w:t>
      </w:r>
      <w:r w:rsidR="0042284D" w:rsidRPr="00B91121">
        <w:rPr>
          <w:rStyle w:val="FootnoteReference"/>
          <w:rFonts w:asciiTheme="majorHAnsi" w:hAnsiTheme="majorHAnsi"/>
          <w:sz w:val="20"/>
          <w:szCs w:val="20"/>
          <w:lang w:val="es-AR"/>
        </w:rPr>
        <w:footnoteReference w:id="60"/>
      </w:r>
      <w:r w:rsidR="0082740E" w:rsidRPr="00B91121">
        <w:rPr>
          <w:rFonts w:asciiTheme="majorHAnsi" w:hAnsiTheme="majorHAnsi"/>
          <w:sz w:val="20"/>
          <w:szCs w:val="20"/>
          <w:lang w:val="es-AR"/>
        </w:rPr>
        <w:t xml:space="preserve">. </w:t>
      </w:r>
    </w:p>
    <w:p w14:paraId="6284FB09" w14:textId="77777777" w:rsidR="00CE4C5D" w:rsidRPr="00B91121" w:rsidRDefault="00CE4C5D" w:rsidP="00B474B7">
      <w:pPr>
        <w:pStyle w:val="ListParagraph"/>
      </w:pPr>
    </w:p>
    <w:p w14:paraId="229F8541" w14:textId="77777777" w:rsidR="00230981" w:rsidRPr="00B91121" w:rsidRDefault="003432A7" w:rsidP="00000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AR"/>
        </w:rPr>
      </w:pPr>
      <w:r w:rsidRPr="00B91121">
        <w:rPr>
          <w:rFonts w:asciiTheme="majorHAnsi" w:hAnsiTheme="majorHAnsi"/>
          <w:sz w:val="20"/>
          <w:szCs w:val="20"/>
          <w:lang w:val="es-AR"/>
        </w:rPr>
        <w:t>El 25 de noviembre de 2009 se emitió sentencia de primera instancia</w:t>
      </w:r>
      <w:r w:rsidR="00230981" w:rsidRPr="00B91121">
        <w:rPr>
          <w:rFonts w:asciiTheme="majorHAnsi" w:hAnsiTheme="majorHAnsi"/>
          <w:sz w:val="20"/>
          <w:szCs w:val="20"/>
          <w:lang w:val="es-AR"/>
        </w:rPr>
        <w:t xml:space="preserve">, </w:t>
      </w:r>
      <w:r w:rsidR="00B97391" w:rsidRPr="00B91121">
        <w:rPr>
          <w:rFonts w:asciiTheme="majorHAnsi" w:hAnsiTheme="majorHAnsi"/>
          <w:sz w:val="20"/>
          <w:szCs w:val="20"/>
          <w:lang w:val="es-AR"/>
        </w:rPr>
        <w:t>rechazan</w:t>
      </w:r>
      <w:r w:rsidR="009D5AD9" w:rsidRPr="00B91121">
        <w:rPr>
          <w:rFonts w:asciiTheme="majorHAnsi" w:hAnsiTheme="majorHAnsi"/>
          <w:sz w:val="20"/>
          <w:szCs w:val="20"/>
          <w:lang w:val="es-AR"/>
        </w:rPr>
        <w:t>d</w:t>
      </w:r>
      <w:r w:rsidR="00B97391" w:rsidRPr="00B91121">
        <w:rPr>
          <w:rFonts w:asciiTheme="majorHAnsi" w:hAnsiTheme="majorHAnsi"/>
          <w:sz w:val="20"/>
          <w:szCs w:val="20"/>
          <w:lang w:val="es-AR"/>
        </w:rPr>
        <w:t>o la demanda por considerar</w:t>
      </w:r>
      <w:r w:rsidR="00230981" w:rsidRPr="00B91121">
        <w:rPr>
          <w:rFonts w:asciiTheme="majorHAnsi" w:hAnsiTheme="majorHAnsi"/>
          <w:sz w:val="20"/>
          <w:szCs w:val="20"/>
          <w:lang w:val="es-AR"/>
        </w:rPr>
        <w:t>:</w:t>
      </w:r>
    </w:p>
    <w:p w14:paraId="5CC7C130" w14:textId="77777777" w:rsidR="00230981" w:rsidRPr="00B91121" w:rsidRDefault="00230981" w:rsidP="00FE7213">
      <w:pPr>
        <w:ind w:left="360" w:right="360"/>
        <w:jc w:val="both"/>
        <w:rPr>
          <w:rFonts w:asciiTheme="majorHAnsi" w:hAnsiTheme="majorHAnsi"/>
          <w:sz w:val="18"/>
          <w:szCs w:val="18"/>
          <w:lang w:val="es-AR"/>
        </w:rPr>
      </w:pPr>
    </w:p>
    <w:p w14:paraId="764B3F94" w14:textId="77777777" w:rsidR="00086B93" w:rsidRPr="00B91121" w:rsidRDefault="00086B93" w:rsidP="00FE7213">
      <w:pPr>
        <w:ind w:left="360" w:right="360"/>
        <w:jc w:val="both"/>
        <w:rPr>
          <w:rFonts w:asciiTheme="majorHAnsi" w:hAnsiTheme="majorHAnsi"/>
          <w:sz w:val="18"/>
          <w:szCs w:val="18"/>
          <w:lang w:val="es-AR"/>
        </w:rPr>
      </w:pPr>
      <w:r w:rsidRPr="00B91121">
        <w:rPr>
          <w:rFonts w:asciiTheme="majorHAnsi" w:hAnsiTheme="majorHAnsi"/>
          <w:sz w:val="18"/>
          <w:szCs w:val="18"/>
          <w:lang w:val="es-AR"/>
        </w:rPr>
        <w:t>[…] el perito médico legista designado en autos (el Dr. Daniel F. Adaro) reconoció que no es posible determinar con certeza cuál fue la causa del fallecimiento de la Sra. Arce, por cuanto no se hizo una autopsia inmediatamente después de su ocurrencia (ver fs 533 vta. y 1208 vta.) – imposibilidad no objetada por ninguna de las partes-, y puso en crisis el nexo de causalidad (sostenido en la demanda) entre el deceso de la Sra. Arce y la atención que recibió, durante su embarazo, en la maternidad Sardá al afirmar que “la causa de la muerte del feto no tiene vinculación con la causa de la muerte de la madre” (ver fs. 1028 vta.). Adviértase que si bien para el Dr. Adaro “hubo un mal manejo de la mujer que derivó en la muerte del feto”, al hacer esa manifestación reconoce que “ello no implica que haya tenido relevancia con la causa de muerte de la madre” (ver fs. 1028 vta.)</w:t>
      </w:r>
    </w:p>
    <w:p w14:paraId="3FD2F53F" w14:textId="77777777" w:rsidR="00086B93" w:rsidRPr="00B91121" w:rsidRDefault="00086B93" w:rsidP="00FE7213">
      <w:pPr>
        <w:ind w:left="360" w:right="360"/>
        <w:jc w:val="both"/>
        <w:rPr>
          <w:rFonts w:asciiTheme="majorHAnsi" w:hAnsiTheme="majorHAnsi"/>
          <w:sz w:val="18"/>
          <w:szCs w:val="18"/>
          <w:lang w:val="es-AR"/>
        </w:rPr>
      </w:pPr>
      <w:r w:rsidRPr="00B91121">
        <w:rPr>
          <w:rFonts w:asciiTheme="majorHAnsi" w:hAnsiTheme="majorHAnsi"/>
          <w:sz w:val="18"/>
          <w:szCs w:val="18"/>
          <w:lang w:val="es-AR"/>
        </w:rPr>
        <w:t xml:space="preserve">[…] </w:t>
      </w:r>
    </w:p>
    <w:p w14:paraId="1B173BB2" w14:textId="77777777" w:rsidR="00FD5EF3" w:rsidRPr="00B91121" w:rsidRDefault="00FD5EF3" w:rsidP="00FE7213">
      <w:pPr>
        <w:ind w:left="360" w:right="360"/>
        <w:jc w:val="both"/>
        <w:rPr>
          <w:rFonts w:asciiTheme="majorHAnsi" w:hAnsiTheme="majorHAnsi"/>
          <w:sz w:val="18"/>
          <w:szCs w:val="18"/>
          <w:lang w:val="es-AR"/>
        </w:rPr>
      </w:pPr>
      <w:r w:rsidRPr="00B91121">
        <w:rPr>
          <w:rFonts w:asciiTheme="majorHAnsi" w:hAnsiTheme="majorHAnsi"/>
          <w:sz w:val="18"/>
          <w:szCs w:val="18"/>
          <w:lang w:val="es-AR"/>
        </w:rPr>
        <w:t>A la complejidad propia del caso, debe sumársele las dos causas penales que preceden el dictado de esta sentencia. […]</w:t>
      </w:r>
    </w:p>
    <w:p w14:paraId="6559CBEA" w14:textId="77777777" w:rsidR="00086B93" w:rsidRPr="00B91121" w:rsidRDefault="00086B93" w:rsidP="00FE7213">
      <w:pPr>
        <w:ind w:left="360" w:right="360"/>
        <w:jc w:val="both"/>
        <w:rPr>
          <w:rFonts w:asciiTheme="majorHAnsi" w:hAnsiTheme="majorHAnsi"/>
          <w:sz w:val="18"/>
          <w:szCs w:val="18"/>
          <w:lang w:val="es-AR"/>
        </w:rPr>
      </w:pPr>
      <w:r w:rsidRPr="00B91121">
        <w:rPr>
          <w:rFonts w:asciiTheme="majorHAnsi" w:hAnsiTheme="majorHAnsi"/>
          <w:sz w:val="18"/>
          <w:szCs w:val="18"/>
          <w:lang w:val="es-AR"/>
        </w:rPr>
        <w:t xml:space="preserve">Se produjeron seis (6) periciales. Repito seis informes. El primero producido por los Dres. Carlos Poggi y Florencia Casavilla del Cuerpo Médico Forense; el segundo suscripto por los Dres. Héctor Papagni y Horacio Schiavo también del Cuerpo Médico Forense de la Justicia Nacional; un plenario con </w:t>
      </w:r>
      <w:r w:rsidR="000E4161" w:rsidRPr="00B91121">
        <w:rPr>
          <w:rFonts w:asciiTheme="majorHAnsi" w:hAnsiTheme="majorHAnsi"/>
          <w:sz w:val="18"/>
          <w:szCs w:val="18"/>
          <w:lang w:val="es-AR"/>
        </w:rPr>
        <w:t>todos los médicos de dicha institución – con excepción de los ya nombrados- del cual surgieron otros tres informes: uno firmado por 31 médicos, otro por 5 y el último por 4. Finalmente, el peritaje a cargo de los Dres. Jorge A. Caccavillani y Rene Llabot, profesores de la Universidad de Córdoba. A partir de éste (sic) último informe, la querella sostuvo la configuración del delito de falsa pericia y encubrimiento de los Médicos Forenses que intervinieron en el informe suscripto por 31 de ellos.</w:t>
      </w:r>
    </w:p>
    <w:p w14:paraId="40F0CF50" w14:textId="77777777" w:rsidR="000E4161" w:rsidRPr="00B91121" w:rsidRDefault="000E4161" w:rsidP="00FE7213">
      <w:pPr>
        <w:ind w:left="360" w:right="360"/>
        <w:jc w:val="both"/>
        <w:rPr>
          <w:rFonts w:asciiTheme="majorHAnsi" w:hAnsiTheme="majorHAnsi"/>
          <w:sz w:val="18"/>
          <w:szCs w:val="18"/>
          <w:lang w:val="es-AR"/>
        </w:rPr>
      </w:pPr>
      <w:r w:rsidRPr="00B91121">
        <w:rPr>
          <w:rFonts w:asciiTheme="majorHAnsi" w:hAnsiTheme="majorHAnsi"/>
          <w:sz w:val="18"/>
          <w:szCs w:val="18"/>
          <w:lang w:val="es-AR"/>
        </w:rPr>
        <w:t xml:space="preserve">[…] </w:t>
      </w:r>
    </w:p>
    <w:p w14:paraId="714DFAD7" w14:textId="77777777" w:rsidR="00FD5EF3" w:rsidRPr="00B91121" w:rsidRDefault="00FD5EF3" w:rsidP="00FE7213">
      <w:pPr>
        <w:ind w:left="360" w:right="360"/>
        <w:jc w:val="both"/>
        <w:rPr>
          <w:rFonts w:asciiTheme="majorHAnsi" w:hAnsiTheme="majorHAnsi"/>
          <w:sz w:val="18"/>
          <w:szCs w:val="18"/>
          <w:lang w:val="es-AR"/>
        </w:rPr>
      </w:pPr>
      <w:r w:rsidRPr="00B91121">
        <w:rPr>
          <w:rFonts w:asciiTheme="majorHAnsi" w:hAnsiTheme="majorHAnsi"/>
          <w:sz w:val="18"/>
          <w:szCs w:val="18"/>
          <w:lang w:val="es-AR"/>
        </w:rPr>
        <w:t>lo que a mi juicio se imponía, más que volver sobre todos los actos procesales de las causas tramita</w:t>
      </w:r>
      <w:r w:rsidR="006833DF" w:rsidRPr="00B91121">
        <w:rPr>
          <w:rFonts w:asciiTheme="majorHAnsi" w:hAnsiTheme="majorHAnsi"/>
          <w:sz w:val="18"/>
          <w:szCs w:val="18"/>
          <w:lang w:val="es-AR"/>
        </w:rPr>
        <w:t>das</w:t>
      </w:r>
      <w:r w:rsidRPr="00B91121">
        <w:rPr>
          <w:rFonts w:asciiTheme="majorHAnsi" w:hAnsiTheme="majorHAnsi"/>
          <w:sz w:val="18"/>
          <w:szCs w:val="18"/>
          <w:lang w:val="es-AR"/>
        </w:rPr>
        <w:t xml:space="preserve"> en sede penal (aunque lógicamente habrá remisiones y análisis de piezas allí obrantes), era avanzar en un análisis riguroso del tratamiento dado </w:t>
      </w:r>
      <w:r w:rsidR="008D4B74" w:rsidRPr="00B91121">
        <w:rPr>
          <w:rFonts w:asciiTheme="majorHAnsi" w:hAnsiTheme="majorHAnsi"/>
          <w:sz w:val="18"/>
          <w:szCs w:val="18"/>
          <w:lang w:val="es-AR"/>
        </w:rPr>
        <w:t xml:space="preserve">a la víctima durante su embarazo a los efectos de hallar, en la medida de lo posible, una </w:t>
      </w:r>
      <w:r w:rsidR="008D4B74" w:rsidRPr="00B91121">
        <w:rPr>
          <w:rFonts w:asciiTheme="majorHAnsi" w:hAnsiTheme="majorHAnsi"/>
          <w:sz w:val="18"/>
          <w:szCs w:val="18"/>
          <w:lang w:val="es-AR"/>
        </w:rPr>
        <w:lastRenderedPageBreak/>
        <w:t>respuesta a su fallecimiento. […] En ese orden de ideas se designó a un nuevo perito con especialidad en obstetricia (Dr. Barrón).</w:t>
      </w:r>
    </w:p>
    <w:p w14:paraId="579CEE95" w14:textId="77777777" w:rsidR="008D4B74" w:rsidRPr="00B91121" w:rsidRDefault="008D4B74" w:rsidP="00FE7213">
      <w:pPr>
        <w:ind w:left="360" w:right="360"/>
        <w:jc w:val="both"/>
        <w:rPr>
          <w:rFonts w:asciiTheme="majorHAnsi" w:hAnsiTheme="majorHAnsi"/>
          <w:sz w:val="18"/>
          <w:szCs w:val="18"/>
          <w:lang w:val="es-AR"/>
        </w:rPr>
      </w:pPr>
      <w:r w:rsidRPr="00B91121">
        <w:rPr>
          <w:rFonts w:asciiTheme="majorHAnsi" w:hAnsiTheme="majorHAnsi"/>
          <w:sz w:val="18"/>
          <w:szCs w:val="18"/>
          <w:lang w:val="es-AR"/>
        </w:rPr>
        <w:t>[…]</w:t>
      </w:r>
    </w:p>
    <w:p w14:paraId="3A79BA4C" w14:textId="77777777" w:rsidR="000E4161" w:rsidRPr="00B91121" w:rsidRDefault="000E4161" w:rsidP="00FE7213">
      <w:pPr>
        <w:ind w:left="360" w:right="360"/>
        <w:jc w:val="both"/>
        <w:rPr>
          <w:rFonts w:asciiTheme="majorHAnsi" w:hAnsiTheme="majorHAnsi"/>
          <w:sz w:val="18"/>
          <w:szCs w:val="18"/>
          <w:lang w:val="es-AR"/>
        </w:rPr>
      </w:pPr>
      <w:r w:rsidRPr="00B91121">
        <w:rPr>
          <w:rFonts w:asciiTheme="majorHAnsi" w:hAnsiTheme="majorHAnsi"/>
          <w:sz w:val="18"/>
          <w:szCs w:val="18"/>
          <w:lang w:val="es-AR"/>
        </w:rPr>
        <w:t xml:space="preserve">d) Las causas penales, </w:t>
      </w:r>
    </w:p>
    <w:p w14:paraId="6AECCC39" w14:textId="77777777" w:rsidR="00B97391" w:rsidRPr="00B91121" w:rsidRDefault="008D4B74" w:rsidP="00B97391">
      <w:pPr>
        <w:ind w:left="360" w:right="360"/>
        <w:jc w:val="both"/>
        <w:rPr>
          <w:rFonts w:asciiTheme="majorHAnsi" w:hAnsiTheme="majorHAnsi"/>
          <w:sz w:val="18"/>
          <w:szCs w:val="18"/>
          <w:lang w:val="es-AR"/>
        </w:rPr>
      </w:pPr>
      <w:r w:rsidRPr="00B91121">
        <w:rPr>
          <w:rFonts w:asciiTheme="majorHAnsi" w:hAnsiTheme="majorHAnsi"/>
          <w:sz w:val="18"/>
          <w:szCs w:val="18"/>
          <w:lang w:val="es-AR"/>
        </w:rPr>
        <w:t xml:space="preserve">lo hasta aquí analizado no me permite concluir, con el grado de certeza propio de un pronunciamiento de esta naturaleza, que hubo culpa </w:t>
      </w:r>
      <w:r w:rsidR="000E4161" w:rsidRPr="00B91121">
        <w:rPr>
          <w:rFonts w:asciiTheme="majorHAnsi" w:hAnsiTheme="majorHAnsi"/>
          <w:sz w:val="18"/>
          <w:szCs w:val="18"/>
          <w:lang w:val="es-AR"/>
        </w:rPr>
        <w:t>[…]</w:t>
      </w:r>
      <w:r w:rsidR="00424F59" w:rsidRPr="00B91121">
        <w:rPr>
          <w:rFonts w:asciiTheme="majorHAnsi" w:hAnsiTheme="majorHAnsi"/>
          <w:sz w:val="18"/>
          <w:szCs w:val="18"/>
          <w:lang w:val="es-AR"/>
        </w:rPr>
        <w:t>.</w:t>
      </w:r>
      <w:r w:rsidR="000E4161" w:rsidRPr="00B91121">
        <w:rPr>
          <w:rFonts w:asciiTheme="majorHAnsi" w:hAnsiTheme="majorHAnsi"/>
          <w:sz w:val="18"/>
          <w:szCs w:val="18"/>
          <w:lang w:val="es-AR"/>
        </w:rPr>
        <w:t xml:space="preserve"> El caso no es claro (no sabemos por qué murió la víctima) pero sí lo es la falta de elementos para construir el encadenamiento causal que exige el progreso de la pretensión indemnizatoria incoada por la actora</w:t>
      </w:r>
      <w:r w:rsidR="005879B2" w:rsidRPr="00B91121">
        <w:rPr>
          <w:rFonts w:asciiTheme="majorHAnsi" w:hAnsiTheme="majorHAnsi"/>
          <w:sz w:val="18"/>
          <w:szCs w:val="18"/>
          <w:lang w:val="es-AR"/>
        </w:rPr>
        <w:t xml:space="preserve">. Esta apreciación, no es sólo mía. </w:t>
      </w:r>
    </w:p>
    <w:p w14:paraId="1963A603" w14:textId="77777777" w:rsidR="005879B2" w:rsidRPr="00B91121" w:rsidRDefault="005879B2" w:rsidP="00B97391">
      <w:pPr>
        <w:ind w:left="360" w:right="360"/>
        <w:jc w:val="both"/>
        <w:rPr>
          <w:rFonts w:asciiTheme="majorHAnsi" w:hAnsiTheme="majorHAnsi"/>
          <w:sz w:val="18"/>
          <w:szCs w:val="18"/>
          <w:lang w:val="es-AR"/>
        </w:rPr>
      </w:pPr>
      <w:r w:rsidRPr="00B91121">
        <w:rPr>
          <w:rFonts w:asciiTheme="majorHAnsi" w:hAnsiTheme="majorHAnsi"/>
          <w:sz w:val="18"/>
          <w:szCs w:val="18"/>
          <w:lang w:val="es-AR"/>
        </w:rPr>
        <w:t xml:space="preserve">La Sra. Juez penal, al dictar sentencia absolutoria de los médicos aquí, entre otras </w:t>
      </w:r>
      <w:r w:rsidR="00A00BEA" w:rsidRPr="00B91121">
        <w:rPr>
          <w:rFonts w:asciiTheme="majorHAnsi" w:hAnsiTheme="majorHAnsi"/>
          <w:sz w:val="18"/>
          <w:szCs w:val="18"/>
          <w:lang w:val="es-AR"/>
        </w:rPr>
        <w:t>consideraciones señaló lo siguiente: “</w:t>
      </w:r>
      <w:r w:rsidRPr="00B91121">
        <w:rPr>
          <w:rFonts w:asciiTheme="majorHAnsi" w:hAnsiTheme="majorHAnsi"/>
          <w:sz w:val="18"/>
          <w:szCs w:val="18"/>
          <w:lang w:val="es-AR"/>
        </w:rPr>
        <w:t>el embarazo transcurrió dentro de los parámetros normales, es decir sin señales de hipertensión, con monitoreos fetales reactivos, sin evidencia de proteinuria, con valores de creatinina normales, sin que se verificara el súbito y excesivo aumento de peso alegado, todo ello en una paciente no nefrectomizada, no existía de parte de los  médicos tratantes la obligación de internar a la gestante, en fecha anterior a la del parto” (ver fs. 2089 de la causa penal). Para la Sra. Juez tampoco es “posible imputar a los Dres. Anido y Negri haber transformado el foco del peligro lícito en ilícito, por cuanto de la documentación colectada y en ausencia de autopsia que permitiera establecer las causas de muerte, no surgían evidencias de la existencia de ese foco de peligro entendido éste como una situación distinta y patológica a la del embarazo” (ver fs. 289 vta.  de la causa penal)</w:t>
      </w:r>
      <w:r w:rsidR="00022A1C" w:rsidRPr="00B91121">
        <w:rPr>
          <w:rFonts w:asciiTheme="majorHAnsi" w:hAnsiTheme="majorHAnsi"/>
          <w:sz w:val="18"/>
          <w:szCs w:val="18"/>
          <w:lang w:val="es-AR"/>
        </w:rPr>
        <w:t xml:space="preserve">. </w:t>
      </w:r>
    </w:p>
    <w:p w14:paraId="1EE48BF2" w14:textId="77777777" w:rsidR="00022A1C" w:rsidRPr="00B91121" w:rsidRDefault="00022A1C" w:rsidP="00FE7213">
      <w:pPr>
        <w:ind w:left="360" w:right="360"/>
        <w:jc w:val="both"/>
        <w:rPr>
          <w:rFonts w:asciiTheme="majorHAnsi" w:hAnsiTheme="majorHAnsi"/>
          <w:sz w:val="18"/>
          <w:szCs w:val="18"/>
          <w:lang w:val="es-AR"/>
        </w:rPr>
      </w:pPr>
      <w:r w:rsidRPr="00B91121">
        <w:rPr>
          <w:rFonts w:asciiTheme="majorHAnsi" w:hAnsiTheme="majorHAnsi"/>
          <w:sz w:val="18"/>
          <w:szCs w:val="18"/>
          <w:lang w:val="es-AR"/>
        </w:rPr>
        <w:t>[…] es evidente que la Sra. Juez penal no ha podido conectar el hecho dañoso (la muerte de la Sra. Arce) con el obrar de los médicos imputados.</w:t>
      </w:r>
    </w:p>
    <w:p w14:paraId="40D98800" w14:textId="77777777" w:rsidR="00A00BEA" w:rsidRPr="00B91121" w:rsidRDefault="00022A1C" w:rsidP="00FE7213">
      <w:pPr>
        <w:ind w:left="360" w:right="360"/>
        <w:jc w:val="both"/>
        <w:rPr>
          <w:rFonts w:asciiTheme="majorHAnsi" w:hAnsiTheme="majorHAnsi"/>
          <w:sz w:val="18"/>
          <w:szCs w:val="18"/>
          <w:lang w:val="es-AR"/>
        </w:rPr>
      </w:pPr>
      <w:r w:rsidRPr="00B91121">
        <w:rPr>
          <w:rFonts w:asciiTheme="majorHAnsi" w:hAnsiTheme="majorHAnsi"/>
          <w:sz w:val="18"/>
          <w:szCs w:val="18"/>
          <w:lang w:val="es-AR"/>
        </w:rPr>
        <w:t>[…] Por esa razón, solo teniendo por probada la culpa de los médicos demandados (lo que en el caso no acontece), podría analizarse su relevancia e</w:t>
      </w:r>
      <w:r w:rsidR="00B97391" w:rsidRPr="00B91121">
        <w:rPr>
          <w:rFonts w:asciiTheme="majorHAnsi" w:hAnsiTheme="majorHAnsi"/>
          <w:sz w:val="18"/>
          <w:szCs w:val="18"/>
          <w:lang w:val="es-AR"/>
        </w:rPr>
        <w:t>n el hecho dañoso que nos ocupa</w:t>
      </w:r>
      <w:r w:rsidR="00B97391" w:rsidRPr="00B91121">
        <w:rPr>
          <w:rStyle w:val="FootnoteReference"/>
          <w:rFonts w:asciiTheme="majorHAnsi" w:hAnsiTheme="majorHAnsi"/>
          <w:sz w:val="18"/>
          <w:szCs w:val="18"/>
          <w:lang w:val="es-AR"/>
        </w:rPr>
        <w:footnoteReference w:id="61"/>
      </w:r>
      <w:r w:rsidRPr="00B91121">
        <w:rPr>
          <w:rFonts w:asciiTheme="majorHAnsi" w:hAnsiTheme="majorHAnsi"/>
          <w:sz w:val="18"/>
          <w:szCs w:val="18"/>
          <w:lang w:val="es-AR"/>
        </w:rPr>
        <w:t xml:space="preserve">. </w:t>
      </w:r>
    </w:p>
    <w:p w14:paraId="74432D9B" w14:textId="77777777" w:rsidR="00230981" w:rsidRPr="00B91121" w:rsidRDefault="00230981" w:rsidP="002309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503989B2" w14:textId="77777777" w:rsidR="007F3748" w:rsidRPr="00B91121" w:rsidRDefault="00C25594" w:rsidP="00000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 xml:space="preserve"> </w:t>
      </w:r>
      <w:r w:rsidR="007F3748" w:rsidRPr="00B91121">
        <w:rPr>
          <w:rFonts w:ascii="Cambria" w:hAnsi="Cambria"/>
          <w:sz w:val="20"/>
          <w:szCs w:val="20"/>
          <w:lang w:val="es-AR"/>
        </w:rPr>
        <w:t xml:space="preserve">El 21 de junio de 2011, la parte actora </w:t>
      </w:r>
      <w:r w:rsidR="00113D74" w:rsidRPr="00B91121">
        <w:rPr>
          <w:rFonts w:ascii="Cambria" w:hAnsi="Cambria"/>
          <w:sz w:val="20"/>
          <w:szCs w:val="20"/>
          <w:lang w:val="es-AR"/>
        </w:rPr>
        <w:t>solicitó revocatoria de la devolución de</w:t>
      </w:r>
      <w:r w:rsidR="00C46D13" w:rsidRPr="00B91121">
        <w:rPr>
          <w:rFonts w:ascii="Cambria" w:hAnsi="Cambria"/>
          <w:sz w:val="20"/>
          <w:szCs w:val="20"/>
          <w:lang w:val="es-AR"/>
        </w:rPr>
        <w:t xml:space="preserve">l escrito donde se denunció al doctor </w:t>
      </w:r>
      <w:r w:rsidR="00113D74" w:rsidRPr="00B91121">
        <w:rPr>
          <w:rFonts w:ascii="Cambria" w:hAnsi="Cambria"/>
          <w:sz w:val="20"/>
          <w:szCs w:val="20"/>
          <w:lang w:val="es-AR"/>
        </w:rPr>
        <w:t>Barrón “que tenía comprometida opinión expresa y concreta en relación al tema objeto aquí de controversia y pendiente entonces de decisión y sobre el cual debía versar su peritación, por lo que ella no ofrece la suficiente garantía de certeza de imparcialidad exigible […]”</w:t>
      </w:r>
      <w:r w:rsidR="00D448D4" w:rsidRPr="00B91121">
        <w:rPr>
          <w:rStyle w:val="FootnoteReference"/>
          <w:rFonts w:ascii="Cambria" w:hAnsi="Cambria"/>
          <w:sz w:val="20"/>
          <w:szCs w:val="20"/>
          <w:lang w:val="es-AR"/>
        </w:rPr>
        <w:footnoteReference w:id="62"/>
      </w:r>
      <w:r w:rsidR="00113D74" w:rsidRPr="00B91121">
        <w:rPr>
          <w:rFonts w:ascii="Cambria" w:hAnsi="Cambria"/>
          <w:sz w:val="20"/>
          <w:szCs w:val="20"/>
          <w:lang w:val="es-AR"/>
        </w:rPr>
        <w:t>. El 5 de julio del mismo año, la Cámara de Apelaciones desestimó el recurso de revocatoria</w:t>
      </w:r>
      <w:r w:rsidR="002235A4" w:rsidRPr="00B91121">
        <w:rPr>
          <w:rStyle w:val="FootnoteReference"/>
          <w:rFonts w:ascii="Cambria" w:hAnsi="Cambria"/>
          <w:sz w:val="20"/>
          <w:szCs w:val="20"/>
          <w:lang w:val="es-AR"/>
        </w:rPr>
        <w:footnoteReference w:id="63"/>
      </w:r>
      <w:r w:rsidR="00113D74" w:rsidRPr="00B91121">
        <w:rPr>
          <w:rFonts w:ascii="Cambria" w:hAnsi="Cambria"/>
          <w:sz w:val="20"/>
          <w:szCs w:val="20"/>
          <w:lang w:val="es-AR"/>
        </w:rPr>
        <w:t xml:space="preserve">. </w:t>
      </w:r>
    </w:p>
    <w:p w14:paraId="4A644B34" w14:textId="77777777" w:rsidR="00113D74" w:rsidRPr="00B91121" w:rsidRDefault="00113D74" w:rsidP="00113D7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04A5E60E" w14:textId="77777777" w:rsidR="00B90073" w:rsidRPr="00B91121" w:rsidRDefault="00113D74" w:rsidP="00000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 xml:space="preserve">El </w:t>
      </w:r>
      <w:r w:rsidR="00052315" w:rsidRPr="00B91121">
        <w:rPr>
          <w:rFonts w:ascii="Cambria" w:hAnsi="Cambria"/>
          <w:sz w:val="20"/>
          <w:szCs w:val="20"/>
          <w:lang w:val="es-AR"/>
        </w:rPr>
        <w:t xml:space="preserve">7 de febrero de 2012 </w:t>
      </w:r>
      <w:r w:rsidRPr="00B91121">
        <w:rPr>
          <w:rFonts w:ascii="Cambria" w:hAnsi="Cambria"/>
          <w:sz w:val="20"/>
          <w:szCs w:val="20"/>
          <w:lang w:val="es-AR"/>
        </w:rPr>
        <w:t xml:space="preserve">la Cámara de Apelaciones en lo Civil </w:t>
      </w:r>
      <w:r w:rsidR="00052315" w:rsidRPr="00B91121">
        <w:rPr>
          <w:rFonts w:ascii="Cambria" w:hAnsi="Cambria"/>
          <w:sz w:val="20"/>
          <w:szCs w:val="20"/>
          <w:lang w:val="es-AR"/>
        </w:rPr>
        <w:t>dictó sentencia de segunda instancia</w:t>
      </w:r>
      <w:r w:rsidRPr="00B91121">
        <w:rPr>
          <w:rFonts w:ascii="Cambria" w:hAnsi="Cambria"/>
          <w:sz w:val="20"/>
          <w:szCs w:val="20"/>
          <w:lang w:val="es-AR"/>
        </w:rPr>
        <w:t xml:space="preserve"> confirmando la desestimación de la demanda</w:t>
      </w:r>
      <w:r w:rsidR="002225C4" w:rsidRPr="00B91121">
        <w:rPr>
          <w:rStyle w:val="FootnoteReference"/>
          <w:rFonts w:ascii="Cambria" w:hAnsi="Cambria"/>
          <w:sz w:val="20"/>
          <w:szCs w:val="20"/>
          <w:lang w:val="es-AR"/>
        </w:rPr>
        <w:footnoteReference w:id="64"/>
      </w:r>
      <w:r w:rsidRPr="00B91121">
        <w:rPr>
          <w:rFonts w:ascii="Cambria" w:hAnsi="Cambria"/>
          <w:sz w:val="20"/>
          <w:szCs w:val="20"/>
          <w:lang w:val="es-AR"/>
        </w:rPr>
        <w:t xml:space="preserve">. </w:t>
      </w:r>
      <w:r w:rsidR="008E7C1E" w:rsidRPr="00B91121">
        <w:rPr>
          <w:rFonts w:ascii="Cambria" w:hAnsi="Cambria"/>
          <w:sz w:val="20"/>
          <w:szCs w:val="20"/>
          <w:lang w:val="es-AR"/>
        </w:rPr>
        <w:t>El 8 de</w:t>
      </w:r>
      <w:r w:rsidR="0015428A" w:rsidRPr="00B91121">
        <w:rPr>
          <w:rFonts w:ascii="Cambria" w:hAnsi="Cambria"/>
          <w:sz w:val="20"/>
          <w:szCs w:val="20"/>
          <w:lang w:val="es-AR"/>
        </w:rPr>
        <w:t xml:space="preserve"> </w:t>
      </w:r>
      <w:r w:rsidR="00052315" w:rsidRPr="00B91121">
        <w:rPr>
          <w:rFonts w:ascii="Cambria" w:hAnsi="Cambria"/>
          <w:sz w:val="20"/>
          <w:szCs w:val="20"/>
          <w:lang w:val="es-AR"/>
        </w:rPr>
        <w:t>mayo de 2012 se rechaz</w:t>
      </w:r>
      <w:r w:rsidR="008E7C1E" w:rsidRPr="00B91121">
        <w:rPr>
          <w:rFonts w:ascii="Cambria" w:hAnsi="Cambria"/>
          <w:sz w:val="20"/>
          <w:szCs w:val="20"/>
          <w:lang w:val="es-AR"/>
        </w:rPr>
        <w:t>ó el recurso extraordinario, señalando que “la cuestión resuelta es de hecho y prueba y de derecho común y procesal, propia de los jueces de la causa y ajena a la vía extraordinaria</w:t>
      </w:r>
      <w:r w:rsidR="00117C3D" w:rsidRPr="00B91121">
        <w:rPr>
          <w:rFonts w:ascii="Cambria" w:hAnsi="Cambria"/>
          <w:sz w:val="20"/>
          <w:szCs w:val="20"/>
          <w:lang w:val="es-AR"/>
        </w:rPr>
        <w:t>, y la sentencia […], cuenta con fundamentos de ese carácter que bastan para sostenerla como acto jurisdiccional, lo que obsta a la tacha de arbitrariedad</w:t>
      </w:r>
      <w:r w:rsidR="002225C4" w:rsidRPr="00B91121">
        <w:rPr>
          <w:rFonts w:ascii="Cambria" w:hAnsi="Cambria"/>
          <w:sz w:val="20"/>
          <w:szCs w:val="20"/>
          <w:lang w:val="es-AR"/>
        </w:rPr>
        <w:t xml:space="preserve"> […]</w:t>
      </w:r>
      <w:r w:rsidR="00BD21FE" w:rsidRPr="00B91121">
        <w:rPr>
          <w:rFonts w:ascii="Cambria" w:hAnsi="Cambria"/>
          <w:sz w:val="20"/>
          <w:szCs w:val="20"/>
          <w:lang w:val="es-AR"/>
        </w:rPr>
        <w:t>. Las garantias constitucionales cuyo desconocimiento se alega carecen, as</w:t>
      </w:r>
      <w:r w:rsidR="00BD21FE" w:rsidRPr="00B91121">
        <w:rPr>
          <w:rFonts w:ascii="Cambria" w:hAnsi="Cambria"/>
          <w:sz w:val="20"/>
          <w:szCs w:val="20"/>
          <w:lang w:val="es-ES"/>
        </w:rPr>
        <w:t>í, de relación directa e inmediata con lo decidido”</w:t>
      </w:r>
      <w:r w:rsidR="00BD21FE" w:rsidRPr="00B91121">
        <w:rPr>
          <w:rStyle w:val="FootnoteReference"/>
          <w:rFonts w:ascii="Cambria" w:hAnsi="Cambria"/>
          <w:sz w:val="20"/>
          <w:szCs w:val="20"/>
          <w:lang w:val="es-ES"/>
        </w:rPr>
        <w:footnoteReference w:id="65"/>
      </w:r>
      <w:r w:rsidR="00BD21FE" w:rsidRPr="00B91121">
        <w:rPr>
          <w:rFonts w:ascii="Cambria" w:hAnsi="Cambria"/>
          <w:sz w:val="20"/>
          <w:szCs w:val="20"/>
          <w:lang w:val="es-ES"/>
        </w:rPr>
        <w:t xml:space="preserve">. </w:t>
      </w:r>
      <w:r w:rsidR="002225C4" w:rsidRPr="00B91121">
        <w:rPr>
          <w:rFonts w:ascii="Cambria" w:hAnsi="Cambria"/>
          <w:sz w:val="20"/>
          <w:szCs w:val="20"/>
          <w:lang w:val="es-ES"/>
        </w:rPr>
        <w:t xml:space="preserve"> </w:t>
      </w:r>
    </w:p>
    <w:p w14:paraId="6B776A98" w14:textId="77777777" w:rsidR="0015428A" w:rsidRPr="00B91121" w:rsidRDefault="0015428A" w:rsidP="00CF728B">
      <w:pPr>
        <w:ind w:left="720"/>
        <w:jc w:val="both"/>
        <w:rPr>
          <w:lang w:val="es-ES"/>
        </w:rPr>
      </w:pPr>
    </w:p>
    <w:p w14:paraId="5F413C4F" w14:textId="7B107244" w:rsidR="0015428A" w:rsidRPr="00B91121" w:rsidRDefault="001D1BB7" w:rsidP="002A4B39">
      <w:pPr>
        <w:pStyle w:val="Heading3"/>
        <w:ind w:left="360"/>
        <w:jc w:val="both"/>
        <w:rPr>
          <w:lang w:val="es-MX"/>
        </w:rPr>
      </w:pPr>
      <w:bookmarkStart w:id="24" w:name="_Toc22199932"/>
      <w:bookmarkStart w:id="25" w:name="_Toc33525298"/>
      <w:r w:rsidRPr="00B91121">
        <w:rPr>
          <w:lang w:val="es-MX"/>
        </w:rPr>
        <w:t>Causa No. 27</w:t>
      </w:r>
      <w:r w:rsidR="006644C8" w:rsidRPr="00B91121">
        <w:rPr>
          <w:lang w:val="es-MX"/>
        </w:rPr>
        <w:t>.</w:t>
      </w:r>
      <w:r w:rsidRPr="00B91121">
        <w:rPr>
          <w:lang w:val="es-MX"/>
        </w:rPr>
        <w:t>080/2011 ante el Juzgado en lo Criminal de Instrucción No. 13</w:t>
      </w:r>
      <w:r w:rsidR="00D448D4" w:rsidRPr="00B91121">
        <w:rPr>
          <w:lang w:val="es-MX"/>
        </w:rPr>
        <w:t xml:space="preserve"> por presunto falso testimonio</w:t>
      </w:r>
      <w:bookmarkEnd w:id="24"/>
      <w:bookmarkEnd w:id="25"/>
    </w:p>
    <w:p w14:paraId="64B37C89" w14:textId="77777777" w:rsidR="0015428A" w:rsidRPr="00B91121" w:rsidRDefault="0015428A" w:rsidP="00422A8B">
      <w:pPr>
        <w:rPr>
          <w:lang w:val="es-ES"/>
        </w:rPr>
      </w:pPr>
    </w:p>
    <w:p w14:paraId="54BD8BCE" w14:textId="77777777" w:rsidR="00E27215" w:rsidRPr="00B91121" w:rsidRDefault="0015428A" w:rsidP="00422A8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91121">
        <w:rPr>
          <w:rFonts w:ascii="Cambria" w:hAnsi="Cambria"/>
          <w:sz w:val="20"/>
          <w:szCs w:val="20"/>
          <w:lang w:val="es-AR"/>
        </w:rPr>
        <w:t xml:space="preserve">El </w:t>
      </w:r>
      <w:r w:rsidR="00933F6B" w:rsidRPr="00B91121">
        <w:rPr>
          <w:rFonts w:ascii="Cambria" w:hAnsi="Cambria"/>
          <w:sz w:val="20"/>
          <w:szCs w:val="20"/>
          <w:lang w:val="es-AR"/>
        </w:rPr>
        <w:t>7 de junio de 2011</w:t>
      </w:r>
      <w:r w:rsidRPr="00B91121">
        <w:rPr>
          <w:rFonts w:ascii="Cambria" w:hAnsi="Cambria"/>
          <w:sz w:val="20"/>
          <w:szCs w:val="20"/>
          <w:lang w:val="es-AR"/>
        </w:rPr>
        <w:t xml:space="preserve"> se interpuso denuncia penal contra el perito Eduardo Roberto Barrón</w:t>
      </w:r>
      <w:r w:rsidR="00E977BE" w:rsidRPr="00B91121">
        <w:rPr>
          <w:rStyle w:val="FootnoteReference"/>
          <w:rFonts w:ascii="Cambria" w:hAnsi="Cambria"/>
          <w:sz w:val="20"/>
          <w:szCs w:val="20"/>
          <w:lang w:val="es-AR"/>
        </w:rPr>
        <w:footnoteReference w:id="66"/>
      </w:r>
      <w:r w:rsidRPr="00B91121">
        <w:rPr>
          <w:rFonts w:ascii="Cambria" w:hAnsi="Cambria"/>
          <w:sz w:val="20"/>
          <w:szCs w:val="20"/>
          <w:lang w:val="es-AR"/>
        </w:rPr>
        <w:t>.</w:t>
      </w:r>
      <w:r w:rsidR="001D1BB7" w:rsidRPr="00B91121">
        <w:rPr>
          <w:rFonts w:ascii="Cambria" w:hAnsi="Cambria"/>
          <w:sz w:val="20"/>
          <w:szCs w:val="20"/>
          <w:lang w:val="es-AR"/>
        </w:rPr>
        <w:t xml:space="preserve"> La resolución de primera instancia señala que correspondería una sanción disciplinaria por no excusarse, en el ámbito administrativo, sin alcanzar a configurar el delito de falso testimonio, por lo que el 20 de octubre de 2011 se le sobreseyó</w:t>
      </w:r>
      <w:r w:rsidR="00E977BE" w:rsidRPr="00B91121">
        <w:rPr>
          <w:rStyle w:val="FootnoteReference"/>
          <w:rFonts w:ascii="Cambria" w:hAnsi="Cambria"/>
          <w:sz w:val="20"/>
          <w:szCs w:val="20"/>
          <w:lang w:val="es-AR"/>
        </w:rPr>
        <w:footnoteReference w:id="67"/>
      </w:r>
      <w:r w:rsidR="001D1BB7" w:rsidRPr="00B91121">
        <w:rPr>
          <w:rFonts w:ascii="Cambria" w:hAnsi="Cambria"/>
          <w:sz w:val="20"/>
          <w:szCs w:val="20"/>
          <w:lang w:val="es-AR"/>
        </w:rPr>
        <w:t>. La parte querellante presentó recurso de apelación, que fue confirmada por la Sala I  de la Cámara del Crimen, el 13 de diciembre de 2011</w:t>
      </w:r>
      <w:r w:rsidR="006300A0" w:rsidRPr="00B91121">
        <w:rPr>
          <w:rStyle w:val="FootnoteReference"/>
          <w:rFonts w:ascii="Cambria" w:hAnsi="Cambria"/>
          <w:sz w:val="20"/>
          <w:szCs w:val="20"/>
          <w:lang w:val="es-AR"/>
        </w:rPr>
        <w:footnoteReference w:id="68"/>
      </w:r>
      <w:r w:rsidR="001D1BB7" w:rsidRPr="00B91121">
        <w:rPr>
          <w:rFonts w:ascii="Cambria" w:hAnsi="Cambria"/>
          <w:sz w:val="20"/>
          <w:szCs w:val="20"/>
          <w:lang w:val="es-AR"/>
        </w:rPr>
        <w:t>. Se interpusieron también recurso de casación y queja por denegación de casación</w:t>
      </w:r>
      <w:r w:rsidR="001B15D8" w:rsidRPr="00B91121">
        <w:rPr>
          <w:rFonts w:ascii="Cambria" w:hAnsi="Cambria"/>
          <w:sz w:val="20"/>
          <w:szCs w:val="20"/>
          <w:lang w:val="es-AR"/>
        </w:rPr>
        <w:t xml:space="preserve">; </w:t>
      </w:r>
      <w:r w:rsidR="00E27215" w:rsidRPr="00B91121">
        <w:rPr>
          <w:rFonts w:ascii="Cambria" w:hAnsi="Cambria"/>
          <w:sz w:val="20"/>
          <w:szCs w:val="20"/>
          <w:lang w:val="es-AR"/>
        </w:rPr>
        <w:t>ambos fueron denegados</w:t>
      </w:r>
      <w:r w:rsidR="00A21686" w:rsidRPr="00B91121">
        <w:rPr>
          <w:rStyle w:val="FootnoteReference"/>
          <w:rFonts w:ascii="Cambria" w:hAnsi="Cambria"/>
          <w:sz w:val="20"/>
          <w:szCs w:val="20"/>
          <w:lang w:val="es-AR"/>
        </w:rPr>
        <w:footnoteReference w:id="69"/>
      </w:r>
      <w:r w:rsidR="00E27215" w:rsidRPr="00B91121">
        <w:rPr>
          <w:rFonts w:ascii="Cambria" w:hAnsi="Cambria"/>
          <w:sz w:val="20"/>
          <w:szCs w:val="20"/>
          <w:lang w:val="es-AR"/>
        </w:rPr>
        <w:t>.</w:t>
      </w:r>
    </w:p>
    <w:p w14:paraId="06A9373B" w14:textId="77777777" w:rsidR="006C34D3" w:rsidRPr="00B91121" w:rsidRDefault="006C34D3" w:rsidP="00BD424E">
      <w:pPr>
        <w:ind w:left="720"/>
        <w:rPr>
          <w:lang w:val="es-ES"/>
        </w:rPr>
      </w:pPr>
    </w:p>
    <w:p w14:paraId="24B87A4C" w14:textId="77777777" w:rsidR="002B76DD" w:rsidRPr="00BD424E" w:rsidRDefault="003F5D61" w:rsidP="00BD424E">
      <w:pPr>
        <w:pStyle w:val="Heading1"/>
      </w:pPr>
      <w:bookmarkStart w:id="26" w:name="_Toc22199933"/>
      <w:bookmarkStart w:id="27" w:name="_Toc33525299"/>
      <w:r w:rsidRPr="00BD424E">
        <w:lastRenderedPageBreak/>
        <w:t>ANÁLISIS DE DERECHO</w:t>
      </w:r>
      <w:bookmarkEnd w:id="26"/>
      <w:bookmarkEnd w:id="27"/>
    </w:p>
    <w:p w14:paraId="5438815C" w14:textId="77777777" w:rsidR="002B76DD" w:rsidRPr="00BD424E" w:rsidRDefault="002B76DD" w:rsidP="00BD424E">
      <w:pPr>
        <w:pStyle w:val="Heading2"/>
        <w:numPr>
          <w:ilvl w:val="0"/>
          <w:numId w:val="0"/>
        </w:numPr>
        <w:ind w:left="360"/>
        <w:rPr>
          <w:lang w:eastAsia="es-ES"/>
        </w:rPr>
      </w:pPr>
    </w:p>
    <w:p w14:paraId="28C797EA" w14:textId="7FB9ECE2" w:rsidR="008A192B" w:rsidRPr="00BD424E" w:rsidRDefault="004A054C" w:rsidP="00AF2FE4">
      <w:pPr>
        <w:pStyle w:val="Heading2"/>
        <w:numPr>
          <w:ilvl w:val="0"/>
          <w:numId w:val="63"/>
        </w:numPr>
        <w:ind w:left="360"/>
      </w:pPr>
      <w:bookmarkStart w:id="28" w:name="_Toc33525300"/>
      <w:bookmarkStart w:id="29" w:name="_Toc485650798"/>
      <w:bookmarkStart w:id="30" w:name="_Toc22199934"/>
      <w:r w:rsidRPr="00BD424E">
        <w:t>Derecho a la vida</w:t>
      </w:r>
      <w:r w:rsidR="00A52FEB">
        <w:rPr>
          <w:rStyle w:val="FootnoteReference"/>
        </w:rPr>
        <w:footnoteReference w:id="70"/>
      </w:r>
      <w:r w:rsidRPr="00BD424E">
        <w:t>, a la integridad personal</w:t>
      </w:r>
      <w:r w:rsidR="00A52FEB">
        <w:rPr>
          <w:rStyle w:val="FootnoteReference"/>
        </w:rPr>
        <w:footnoteReference w:id="71"/>
      </w:r>
      <w:r w:rsidRPr="00BD424E">
        <w:t xml:space="preserve"> y</w:t>
      </w:r>
      <w:r w:rsidR="00872EB3" w:rsidRPr="00BD424E">
        <w:t xml:space="preserve"> el</w:t>
      </w:r>
      <w:r w:rsidRPr="00BD424E">
        <w:t xml:space="preserve"> derecho a la salud</w:t>
      </w:r>
      <w:r w:rsidR="00A52FEB">
        <w:rPr>
          <w:rStyle w:val="FootnoteReference"/>
        </w:rPr>
        <w:footnoteReference w:id="72"/>
      </w:r>
      <w:r w:rsidRPr="00BD424E">
        <w:t xml:space="preserve">, en relación con </w:t>
      </w:r>
      <w:r w:rsidR="00872EB3" w:rsidRPr="00BD424E">
        <w:t>al artículo 1.1</w:t>
      </w:r>
      <w:r w:rsidR="00A52FEB">
        <w:rPr>
          <w:rStyle w:val="FootnoteReference"/>
        </w:rPr>
        <w:footnoteReference w:id="73"/>
      </w:r>
      <w:r w:rsidR="008A192B" w:rsidRPr="00BD424E">
        <w:t xml:space="preserve">  de la Convención Americana y  artículo 7 de la Convención de Belém do Pará</w:t>
      </w:r>
      <w:r w:rsidR="00A52FEB">
        <w:rPr>
          <w:rStyle w:val="FootnoteReference"/>
        </w:rPr>
        <w:footnoteReference w:id="74"/>
      </w:r>
      <w:bookmarkEnd w:id="28"/>
    </w:p>
    <w:p w14:paraId="023C51BA" w14:textId="77777777" w:rsidR="00817D74" w:rsidRPr="00BD424E" w:rsidRDefault="00817D74" w:rsidP="00BD424E">
      <w:pPr>
        <w:rPr>
          <w:lang w:val="es-ES_tradnl"/>
        </w:rPr>
      </w:pPr>
    </w:p>
    <w:p w14:paraId="5F17FAB9" w14:textId="77777777" w:rsidR="00DB0194" w:rsidRPr="00BD424E" w:rsidRDefault="004A054C"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ES_tradnl"/>
        </w:rPr>
      </w:pPr>
      <w:r w:rsidRPr="00BD424E">
        <w:rPr>
          <w:rFonts w:asciiTheme="majorHAnsi" w:hAnsiTheme="majorHAnsi"/>
          <w:sz w:val="20"/>
          <w:szCs w:val="20"/>
          <w:lang w:val="es-ES_tradnl"/>
        </w:rPr>
        <w:t>Preliminarmente, la Comisión nota que en su informe de admisibilidad no incluyó expresamente los art</w:t>
      </w:r>
      <w:r w:rsidR="00DB0194" w:rsidRPr="00BD424E">
        <w:rPr>
          <w:rFonts w:asciiTheme="majorHAnsi" w:hAnsiTheme="majorHAnsi"/>
          <w:sz w:val="20"/>
          <w:szCs w:val="20"/>
          <w:lang w:val="es-ES_tradnl"/>
        </w:rPr>
        <w:t>ículos 5 y 26</w:t>
      </w:r>
      <w:r w:rsidRPr="00BD424E">
        <w:rPr>
          <w:rFonts w:asciiTheme="majorHAnsi" w:hAnsiTheme="majorHAnsi"/>
          <w:sz w:val="20"/>
          <w:szCs w:val="20"/>
          <w:lang w:val="es-ES_tradnl"/>
        </w:rPr>
        <w:t xml:space="preserve"> de la Convención Americana, dentro de los derechos que podrían considerarse en la etapa de fondo. Sin embargo, </w:t>
      </w:r>
      <w:r w:rsidR="00DB0194" w:rsidRPr="00BD424E">
        <w:rPr>
          <w:rFonts w:asciiTheme="majorHAnsi" w:hAnsiTheme="majorHAnsi"/>
          <w:sz w:val="20"/>
          <w:szCs w:val="20"/>
          <w:lang w:val="es-ES_tradnl"/>
        </w:rPr>
        <w:t xml:space="preserve">de la totalidad de alegatos y prueba disponible en la etapa de fondo, considera pertinente analizar tanto el derecho a la integridad personal como el derecho a la salud, </w:t>
      </w:r>
      <w:r w:rsidR="006D1C77" w:rsidRPr="00BD424E">
        <w:rPr>
          <w:rFonts w:asciiTheme="majorHAnsi" w:hAnsiTheme="majorHAnsi"/>
          <w:sz w:val="20"/>
          <w:szCs w:val="20"/>
          <w:lang w:val="es-ES_tradnl"/>
        </w:rPr>
        <w:t xml:space="preserve">toda vez que el presente caso se relaciona con la alegada </w:t>
      </w:r>
      <w:r w:rsidR="00872EB3" w:rsidRPr="00BD424E">
        <w:rPr>
          <w:rFonts w:asciiTheme="majorHAnsi" w:hAnsiTheme="majorHAnsi"/>
          <w:sz w:val="20"/>
          <w:szCs w:val="20"/>
          <w:lang w:val="es-ES_tradnl"/>
        </w:rPr>
        <w:t xml:space="preserve">negligencia en la atención médica proporcionada a la </w:t>
      </w:r>
      <w:r w:rsidR="006D1C77" w:rsidRPr="00BD424E">
        <w:rPr>
          <w:rFonts w:asciiTheme="majorHAnsi" w:hAnsiTheme="majorHAnsi"/>
          <w:sz w:val="20"/>
          <w:szCs w:val="20"/>
          <w:lang w:val="es-ES_tradnl"/>
        </w:rPr>
        <w:t>señora Cristina Britez Arce, por parte del personal médico del Hospital Público Sardá y que habría causado su muerte</w:t>
      </w:r>
      <w:r w:rsidR="00872EB3" w:rsidRPr="00BD424E">
        <w:rPr>
          <w:rFonts w:asciiTheme="majorHAnsi" w:hAnsiTheme="majorHAnsi"/>
          <w:sz w:val="20"/>
          <w:szCs w:val="20"/>
          <w:lang w:val="es-ES_tradnl"/>
        </w:rPr>
        <w:t>.</w:t>
      </w:r>
    </w:p>
    <w:p w14:paraId="35FA8737" w14:textId="77777777" w:rsidR="007062D1" w:rsidRPr="00BD424E" w:rsidRDefault="007062D1" w:rsidP="00BD424E">
      <w:pPr>
        <w:pStyle w:val="parrafos"/>
        <w:numPr>
          <w:ilvl w:val="0"/>
          <w:numId w:val="0"/>
        </w:numPr>
        <w:ind w:left="900"/>
        <w:rPr>
          <w:lang w:val="es-ES_tradnl"/>
        </w:rPr>
      </w:pPr>
    </w:p>
    <w:p w14:paraId="67222B0F" w14:textId="77777777" w:rsidR="007062D1" w:rsidRPr="00BD424E" w:rsidRDefault="007062D1" w:rsidP="00BD424E">
      <w:pPr>
        <w:pStyle w:val="parrafos"/>
        <w:ind w:left="0" w:firstLine="0"/>
        <w:rPr>
          <w:lang w:val="es-ES_tradnl"/>
        </w:rPr>
      </w:pPr>
      <w:r w:rsidRPr="00BD424E">
        <w:t>La Comisión destaca que tanto a lo largo del procedimiento de admisibilidad como el de fondo, el Estado conoció los hechos en los cuales se basó la alegada atención negligente</w:t>
      </w:r>
      <w:r w:rsidR="00093C3F" w:rsidRPr="00BD424E">
        <w:t xml:space="preserve"> y</w:t>
      </w:r>
      <w:r w:rsidR="004C52C3" w:rsidRPr="00BD424E">
        <w:t>, por tanto, e</w:t>
      </w:r>
      <w:r w:rsidRPr="00BD424E">
        <w:t xml:space="preserve">n aplicación del principio </w:t>
      </w:r>
      <w:r w:rsidRPr="00BD424E">
        <w:rPr>
          <w:i/>
        </w:rPr>
        <w:t>iura novit curia</w:t>
      </w:r>
      <w:r w:rsidRPr="00BD424E">
        <w:t>, la Comisión analizará si en el presente caso el Estado incurrió en violación de los artículos 5 y 26 de la Convención Americana</w:t>
      </w:r>
      <w:r w:rsidRPr="00BD424E">
        <w:rPr>
          <w:rStyle w:val="FootnoteReference"/>
          <w:rFonts w:ascii="Cambria" w:hAnsi="Cambria"/>
          <w:lang w:val="es-ES"/>
        </w:rPr>
        <w:footnoteReference w:id="75"/>
      </w:r>
      <w:r w:rsidRPr="00BD424E">
        <w:t xml:space="preserve">. </w:t>
      </w:r>
    </w:p>
    <w:p w14:paraId="24DAD5BD" w14:textId="77777777" w:rsidR="006D4712" w:rsidRPr="00BD424E" w:rsidRDefault="006D4712" w:rsidP="00BD424E">
      <w:pPr>
        <w:pStyle w:val="parrafos"/>
        <w:numPr>
          <w:ilvl w:val="0"/>
          <w:numId w:val="0"/>
        </w:numPr>
        <w:rPr>
          <w:lang w:val="es-ES_tradnl"/>
        </w:rPr>
      </w:pPr>
    </w:p>
    <w:p w14:paraId="7A466DBA" w14:textId="77777777" w:rsidR="006D4712" w:rsidRPr="00BD424E" w:rsidRDefault="006D4712" w:rsidP="00AF2FE4">
      <w:pPr>
        <w:pStyle w:val="Heading3"/>
        <w:numPr>
          <w:ilvl w:val="0"/>
          <w:numId w:val="64"/>
        </w:numPr>
        <w:ind w:left="360"/>
        <w:rPr>
          <w:lang w:val="es-US"/>
        </w:rPr>
      </w:pPr>
      <w:bookmarkStart w:id="31" w:name="_Toc33525301"/>
      <w:r w:rsidRPr="00BD424E">
        <w:rPr>
          <w:lang w:val="es-US"/>
        </w:rPr>
        <w:t>Consideraciones generales sobre atribución de responsabilidad</w:t>
      </w:r>
      <w:bookmarkEnd w:id="31"/>
    </w:p>
    <w:p w14:paraId="7AEC7001" w14:textId="77777777" w:rsidR="006D4712" w:rsidRPr="00BD424E" w:rsidRDefault="006D4712" w:rsidP="00BD424E">
      <w:pPr>
        <w:pStyle w:val="ListParagraph"/>
      </w:pPr>
    </w:p>
    <w:p w14:paraId="29075366" w14:textId="5CA93B45" w:rsidR="00D63CE7" w:rsidRPr="00BD424E" w:rsidRDefault="006D4712" w:rsidP="00BD424E">
      <w:pPr>
        <w:pStyle w:val="parrafos"/>
        <w:ind w:left="0" w:firstLine="0"/>
        <w:rPr>
          <w:lang w:val="es-ES_tradnl"/>
        </w:rPr>
      </w:pPr>
      <w:r w:rsidRPr="00BD424E">
        <w:rPr>
          <w:rFonts w:eastAsia="Cambria"/>
          <w:bCs/>
          <w:color w:val="auto"/>
          <w:lang w:val="es-US"/>
        </w:rPr>
        <w:t xml:space="preserve">A lo largo del trabajo de la Comisión y la Corte, se han definido los contenidos de las obligaciones de </w:t>
      </w:r>
      <w:r w:rsidRPr="00BD424E">
        <w:rPr>
          <w:rFonts w:cs="Arial"/>
          <w:color w:val="auto"/>
          <w:lang w:val="es-ES"/>
        </w:rPr>
        <w:t>respeto</w:t>
      </w:r>
      <w:r w:rsidRPr="00BD424E">
        <w:rPr>
          <w:rFonts w:eastAsia="Cambria"/>
          <w:bCs/>
          <w:color w:val="auto"/>
          <w:lang w:val="es-US"/>
        </w:rPr>
        <w:t xml:space="preserve"> y de garantía conforme al artículo 1.1 de la Convención. Sobre la obligación de respeto, la Corte indicó que “c</w:t>
      </w:r>
      <w:r w:rsidRPr="00BD424E">
        <w:rPr>
          <w:rFonts w:cs="Verdana"/>
          <w:color w:val="auto"/>
          <w:lang w:val="es-US"/>
        </w:rPr>
        <w:t xml:space="preserve">onforme al artículo 1.1 es ilícita toda forma de ejercicio del poder público </w:t>
      </w:r>
      <w:r w:rsidRPr="00BD424E">
        <w:rPr>
          <w:rFonts w:eastAsia="Cambria"/>
          <w:bCs/>
          <w:color w:val="auto"/>
          <w:lang w:val="es-US"/>
        </w:rPr>
        <w:t>que</w:t>
      </w:r>
      <w:r w:rsidRPr="00BD424E">
        <w:rPr>
          <w:rFonts w:cs="Verdana"/>
          <w:color w:val="auto"/>
          <w:lang w:val="es-US"/>
        </w:rPr>
        <w:t xml:space="preserve"> viole los derechos reconocidos por la Convención. En tal sentido, en toda circunstancia en la cual un órgano o funcionario del Estado o de una institución de carácter público lesione indebidamente uno de tales derechos, se está ante un supuesto de inobservancia del deber de respeto consagrado en ese artículo”</w:t>
      </w:r>
      <w:r w:rsidRPr="00BD424E">
        <w:rPr>
          <w:color w:val="auto"/>
          <w:vertAlign w:val="superscript"/>
          <w:lang w:val="es-US"/>
        </w:rPr>
        <w:footnoteReference w:id="76"/>
      </w:r>
      <w:r w:rsidRPr="00BD424E">
        <w:rPr>
          <w:rFonts w:cs="Verdana"/>
          <w:color w:val="auto"/>
          <w:lang w:val="es-US"/>
        </w:rPr>
        <w:t>.</w:t>
      </w:r>
      <w:r w:rsidRPr="00BD424E">
        <w:rPr>
          <w:color w:val="auto"/>
          <w:bdr w:val="none" w:sz="0" w:space="0" w:color="auto"/>
          <w:lang w:val="es-US"/>
        </w:rPr>
        <w:t xml:space="preserve"> </w:t>
      </w:r>
      <w:r w:rsidRPr="00BD424E">
        <w:rPr>
          <w:rFonts w:cs="Verdana"/>
          <w:color w:val="auto"/>
          <w:lang w:val="es-US"/>
        </w:rPr>
        <w:t xml:space="preserve">En cuanto a la obligación de garantía, los Estados deben prevenir, investigar y sancionar toda violación de los derechos reconocidos por la Convención </w:t>
      </w:r>
      <w:r w:rsidRPr="00BD424E">
        <w:rPr>
          <w:rFonts w:cs="Verdana"/>
          <w:color w:val="auto"/>
          <w:lang w:val="es-US"/>
        </w:rPr>
        <w:lastRenderedPageBreak/>
        <w:t>y procurar, además, el restablecimiento, si es posible, del derecho conculcado y, en su caso, la reparación de los daños producidos por la violación de los derechos humanos</w:t>
      </w:r>
      <w:r w:rsidRPr="00BD424E">
        <w:rPr>
          <w:color w:val="auto"/>
          <w:vertAlign w:val="superscript"/>
          <w:lang w:val="es-US"/>
        </w:rPr>
        <w:footnoteReference w:id="77"/>
      </w:r>
      <w:r w:rsidRPr="00BD424E">
        <w:rPr>
          <w:rFonts w:cs="Verdana"/>
          <w:color w:val="auto"/>
          <w:lang w:val="es-US"/>
        </w:rPr>
        <w:t>.</w:t>
      </w:r>
      <w:r w:rsidR="00D63CE7" w:rsidRPr="00BD424E">
        <w:rPr>
          <w:snapToGrid w:val="0"/>
          <w:lang w:val="es-ES_tradnl" w:eastAsia="es-ES"/>
        </w:rPr>
        <w:t>L</w:t>
      </w:r>
      <w:r w:rsidR="00D63CE7" w:rsidRPr="00BD424E">
        <w:rPr>
          <w:snapToGrid w:val="0"/>
          <w:lang w:eastAsia="es-ES"/>
        </w:rPr>
        <w:t>a jurisprudencia internacional ha sostenido la potestad de los tribunales internacionales para evaluar libremente las pruebas, sin adoptar una rígida determinación del quantum necesario para fundar un fallo</w:t>
      </w:r>
      <w:r w:rsidR="00D63CE7" w:rsidRPr="00BD424E">
        <w:rPr>
          <w:snapToGrid w:val="0"/>
          <w:vertAlign w:val="superscript"/>
          <w:lang w:val="es-ES_tradnl" w:eastAsia="es-ES"/>
        </w:rPr>
        <w:footnoteReference w:id="78"/>
      </w:r>
      <w:r w:rsidR="00D63CE7" w:rsidRPr="00BD424E">
        <w:rPr>
          <w:snapToGrid w:val="0"/>
          <w:lang w:eastAsia="es-ES"/>
        </w:rPr>
        <w:t>, siendo esencial que el órgano jurisdiccional preste atención a las circunstancias del caso concreto y tenga en cuenta los límites que impone el respeto a la seguridad jurídica y al equilibrio procesal</w:t>
      </w:r>
      <w:r w:rsidR="00F7554D" w:rsidRPr="00BD424E">
        <w:rPr>
          <w:snapToGrid w:val="0"/>
          <w:lang w:eastAsia="es-ES"/>
        </w:rPr>
        <w:t xml:space="preserve"> de las partes</w:t>
      </w:r>
      <w:r w:rsidR="00F7554D" w:rsidRPr="00BD424E">
        <w:rPr>
          <w:rStyle w:val="FootnoteReference"/>
          <w:snapToGrid w:val="0"/>
          <w:lang w:eastAsia="es-ES"/>
        </w:rPr>
        <w:footnoteReference w:id="79"/>
      </w:r>
      <w:r w:rsidR="00D63CE7" w:rsidRPr="00BD424E">
        <w:rPr>
          <w:snapToGrid w:val="0"/>
          <w:lang w:eastAsia="es-ES"/>
        </w:rPr>
        <w:t xml:space="preserve">. </w:t>
      </w:r>
    </w:p>
    <w:p w14:paraId="19172E7A" w14:textId="77777777" w:rsidR="008A721F" w:rsidRPr="00BD424E" w:rsidRDefault="008A721F" w:rsidP="00BD424E">
      <w:pPr>
        <w:ind w:left="900" w:hanging="360"/>
        <w:rPr>
          <w:snapToGrid w:val="0"/>
          <w:lang w:val="es-MX"/>
        </w:rPr>
      </w:pPr>
    </w:p>
    <w:p w14:paraId="295EAE34" w14:textId="77777777" w:rsidR="00D63CE7" w:rsidRPr="00BD424E" w:rsidRDefault="008A721F" w:rsidP="00BD424E">
      <w:pPr>
        <w:pStyle w:val="parrafos"/>
        <w:ind w:left="0" w:firstLine="0"/>
        <w:rPr>
          <w:lang w:val="es-ES_tradnl"/>
        </w:rPr>
      </w:pPr>
      <w:r w:rsidRPr="00BD424E">
        <w:rPr>
          <w:rFonts w:eastAsia="Times New Roman" w:cs="Arial"/>
          <w:snapToGrid w:val="0"/>
          <w:color w:val="auto"/>
          <w:szCs w:val="24"/>
          <w:bdr w:val="none" w:sz="0" w:space="0" w:color="auto"/>
          <w:lang w:val="es-UY" w:eastAsia="es-ES"/>
        </w:rPr>
        <w:t xml:space="preserve">Asimismo, la Corte </w:t>
      </w:r>
      <w:r w:rsidRPr="00BD424E">
        <w:rPr>
          <w:rFonts w:eastAsia="Times New Roman"/>
          <w:snapToGrid w:val="0"/>
          <w:color w:val="auto"/>
          <w:bdr w:val="none" w:sz="0" w:space="0" w:color="auto"/>
          <w:lang w:val="es-ES_tradnl" w:eastAsia="es-ES"/>
        </w:rPr>
        <w:t>ha establecido que es legítimo el uso de l</w:t>
      </w:r>
      <w:r w:rsidRPr="00BD424E">
        <w:rPr>
          <w:rFonts w:eastAsia="Times New Roman" w:cs="Verdana"/>
          <w:snapToGrid w:val="0"/>
          <w:color w:val="auto"/>
          <w:bdr w:val="none" w:sz="0" w:space="0" w:color="auto"/>
          <w:lang w:val="es-ES_tradnl" w:eastAsia="es-ES"/>
        </w:rPr>
        <w:t>a prueba circunstancial, los indicios y las presunciones para fundar una sentencia, “siempre que de ellos puedan inferirse conclusiones consistentes sobre los hechos”</w:t>
      </w:r>
      <w:r w:rsidRPr="00BD424E">
        <w:rPr>
          <w:rFonts w:eastAsia="Times New Roman"/>
          <w:snapToGrid w:val="0"/>
          <w:color w:val="auto"/>
          <w:bdr w:val="none" w:sz="0" w:space="0" w:color="auto"/>
          <w:vertAlign w:val="superscript"/>
          <w:lang w:val="es-ES_tradnl" w:eastAsia="es-ES"/>
        </w:rPr>
        <w:footnoteReference w:id="80"/>
      </w:r>
      <w:r w:rsidRPr="00BD424E">
        <w:rPr>
          <w:rFonts w:eastAsia="Times New Roman" w:cs="Verdana"/>
          <w:snapToGrid w:val="0"/>
          <w:color w:val="auto"/>
          <w:bdr w:val="none" w:sz="0" w:space="0" w:color="auto"/>
          <w:lang w:val="es-ES_tradnl" w:eastAsia="es-ES"/>
        </w:rPr>
        <w:t xml:space="preserve">.  </w:t>
      </w:r>
      <w:r w:rsidRPr="00BD424E">
        <w:rPr>
          <w:rFonts w:eastAsia="Times New Roman"/>
          <w:snapToGrid w:val="0"/>
          <w:color w:val="auto"/>
          <w:bdr w:val="none" w:sz="0" w:space="0" w:color="auto"/>
          <w:lang w:val="es-ES_tradnl" w:eastAsia="es-ES"/>
        </w:rPr>
        <w:t>Al respecto, la Corte ha señalado que corresponde a la parte demandante, en principio, la carga de la prueba de los hechos en que se funda su alegato; no obstante, ha destacado que, a diferencia del Derecho penal interno, en los procesos sobre violaciones de derechos humanos la defensa del Estado no puede descansar sobre la imposibilidad del demandante de allegar pruebas, cuando es el Estado quien tiene el control de los medios para aclarar hechos ocurridos dentro de su territorio</w:t>
      </w:r>
      <w:r w:rsidRPr="00BD424E">
        <w:rPr>
          <w:rFonts w:eastAsia="Times New Roman"/>
          <w:snapToGrid w:val="0"/>
          <w:color w:val="auto"/>
          <w:bdr w:val="none" w:sz="0" w:space="0" w:color="auto"/>
          <w:vertAlign w:val="superscript"/>
          <w:lang w:val="es-ES_tradnl" w:eastAsia="es-ES"/>
        </w:rPr>
        <w:footnoteReference w:id="81"/>
      </w:r>
      <w:r w:rsidRPr="00BD424E">
        <w:rPr>
          <w:rFonts w:eastAsia="Times New Roman"/>
          <w:snapToGrid w:val="0"/>
          <w:color w:val="auto"/>
          <w:bdr w:val="none" w:sz="0" w:space="0" w:color="auto"/>
          <w:lang w:val="es-ES_tradnl" w:eastAsia="es-ES"/>
        </w:rPr>
        <w:t>.</w:t>
      </w:r>
    </w:p>
    <w:p w14:paraId="304DB6FD" w14:textId="77777777" w:rsidR="00EA09DB" w:rsidRPr="00BD424E" w:rsidRDefault="00EA09DB" w:rsidP="00BD424E">
      <w:pPr>
        <w:pStyle w:val="parrafos"/>
        <w:numPr>
          <w:ilvl w:val="0"/>
          <w:numId w:val="0"/>
        </w:numPr>
        <w:rPr>
          <w:lang w:val="es-ES_tradnl"/>
        </w:rPr>
      </w:pPr>
    </w:p>
    <w:p w14:paraId="3071E74C" w14:textId="77777777" w:rsidR="00EA09DB" w:rsidRPr="00BD424E" w:rsidRDefault="00EA09DB" w:rsidP="00BD424E">
      <w:pPr>
        <w:pStyle w:val="Heading3"/>
        <w:ind w:left="360"/>
        <w:rPr>
          <w:lang w:val="es-US"/>
        </w:rPr>
      </w:pPr>
      <w:bookmarkStart w:id="32" w:name="_Toc33525302"/>
      <w:r w:rsidRPr="00BD424E">
        <w:rPr>
          <w:lang w:val="es-US"/>
        </w:rPr>
        <w:t xml:space="preserve">Consideraciones generales sobre </w:t>
      </w:r>
      <w:r w:rsidR="00817D74" w:rsidRPr="00BD424E">
        <w:rPr>
          <w:lang w:val="es-US"/>
        </w:rPr>
        <w:t xml:space="preserve">el artículo 26 y el </w:t>
      </w:r>
      <w:r w:rsidRPr="00BD424E">
        <w:rPr>
          <w:rFonts w:ascii="Cambria" w:hAnsi="Cambria"/>
          <w:lang w:val="es-CO"/>
        </w:rPr>
        <w:t>derecho a la salud</w:t>
      </w:r>
      <w:bookmarkEnd w:id="32"/>
    </w:p>
    <w:p w14:paraId="1CC30ADB" w14:textId="77777777" w:rsidR="00EA09DB" w:rsidRPr="00BD424E" w:rsidRDefault="00EA09DB" w:rsidP="00BD424E">
      <w:pPr>
        <w:pStyle w:val="ListParagraph"/>
      </w:pPr>
    </w:p>
    <w:p w14:paraId="01842889" w14:textId="77777777" w:rsidR="00A755F3" w:rsidRPr="00BD424E" w:rsidRDefault="00A755F3"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bdr w:val="none" w:sz="0" w:space="0" w:color="auto"/>
          <w:lang w:val="es-US"/>
        </w:rPr>
      </w:pPr>
      <w:r w:rsidRPr="00BD424E">
        <w:rPr>
          <w:rFonts w:ascii="Cambria" w:hAnsi="Cambria"/>
          <w:sz w:val="20"/>
          <w:szCs w:val="20"/>
          <w:lang w:val="es-MX"/>
        </w:rPr>
        <w:t xml:space="preserve">El </w:t>
      </w:r>
      <w:r w:rsidRPr="00BD424E">
        <w:rPr>
          <w:rFonts w:ascii="Cambria" w:hAnsi="Cambria"/>
          <w:sz w:val="20"/>
          <w:szCs w:val="20"/>
          <w:lang w:val="es-US"/>
        </w:rPr>
        <w:t>artículo</w:t>
      </w:r>
      <w:r w:rsidRPr="00BD424E">
        <w:rPr>
          <w:rFonts w:ascii="Cambria" w:hAnsi="Cambria"/>
          <w:sz w:val="20"/>
          <w:szCs w:val="20"/>
          <w:lang w:val="es-MX"/>
        </w:rPr>
        <w:t xml:space="preserve"> 26 de la Convención Americana establece una obligación en cabeza de los Estados partes, de </w:t>
      </w:r>
      <w:r w:rsidRPr="00BD424E">
        <w:rPr>
          <w:rFonts w:ascii="Cambria" w:hAnsi="Cambria"/>
          <w:sz w:val="20"/>
          <w:szCs w:val="20"/>
          <w:lang w:val="es-AR"/>
        </w:rPr>
        <w:t>procurar</w:t>
      </w:r>
      <w:r w:rsidRPr="00BD424E">
        <w:rPr>
          <w:rFonts w:ascii="Cambria" w:hAnsi="Cambria"/>
          <w:sz w:val="20"/>
          <w:szCs w:val="20"/>
          <w:lang w:val="es-MX"/>
        </w:rPr>
        <w:t xml:space="preserve"> el desarrollo progresivo de los derechos que dicha norma contiene.  Aunque </w:t>
      </w:r>
      <w:r w:rsidRPr="00BD424E">
        <w:rPr>
          <w:rFonts w:ascii="Cambria" w:hAnsi="Cambria" w:cs="Arial"/>
          <w:snapToGrid w:val="0"/>
          <w:sz w:val="20"/>
          <w:szCs w:val="20"/>
          <w:lang w:val="es-CO"/>
        </w:rPr>
        <w:t>ambos órganos del sistema interamericano</w:t>
      </w:r>
      <w:r w:rsidRPr="00BD424E">
        <w:rPr>
          <w:rStyle w:val="FootnoteReference"/>
          <w:rFonts w:ascii="Cambria" w:hAnsi="Cambria" w:cs="Arial"/>
          <w:snapToGrid w:val="0"/>
          <w:sz w:val="20"/>
          <w:szCs w:val="20"/>
          <w:lang w:val="es-CO"/>
        </w:rPr>
        <w:footnoteReference w:id="82"/>
      </w:r>
      <w:r w:rsidRPr="00BD424E">
        <w:rPr>
          <w:rFonts w:ascii="Cambria" w:hAnsi="Cambria" w:cs="Arial"/>
          <w:snapToGrid w:val="0"/>
          <w:sz w:val="20"/>
          <w:szCs w:val="20"/>
          <w:lang w:val="es-CO"/>
        </w:rPr>
        <w:t xml:space="preserve"> han reafirmado su competencia para pronunciarse sobre posibles violaciones del artículo 26 </w:t>
      </w:r>
      <w:r w:rsidRPr="00BD424E">
        <w:rPr>
          <w:rFonts w:ascii="Cambria" w:eastAsia="Batang" w:hAnsi="Cambria"/>
          <w:sz w:val="20"/>
          <w:szCs w:val="20"/>
          <w:bdr w:val="none" w:sz="0" w:space="0" w:color="auto"/>
          <w:lang w:val="es-UY"/>
        </w:rPr>
        <w:t>de</w:t>
      </w:r>
      <w:r w:rsidRPr="00BD424E">
        <w:rPr>
          <w:rFonts w:ascii="Cambria" w:hAnsi="Cambria" w:cs="Arial"/>
          <w:snapToGrid w:val="0"/>
          <w:sz w:val="20"/>
          <w:szCs w:val="20"/>
          <w:lang w:val="es-CO"/>
        </w:rPr>
        <w:t xml:space="preserve"> la Convención Americana en el marco del sistema de peticiones y casos individuales, </w:t>
      </w:r>
      <w:r w:rsidRPr="00BD424E">
        <w:rPr>
          <w:rFonts w:ascii="Cambria" w:hAnsi="Cambria"/>
          <w:sz w:val="20"/>
          <w:szCs w:val="20"/>
          <w:lang w:val="es-MX"/>
        </w:rPr>
        <w:t xml:space="preserve">esta disposición había sido materia de poco desarrollo en la jurisprudencia del sistema interamericano relativa a casos contenciosos. En sus pronunciamientos sobre la materia, la Corte ha enfatizado la </w:t>
      </w:r>
      <w:r w:rsidRPr="00BD424E">
        <w:rPr>
          <w:rFonts w:ascii="Cambria" w:hAnsi="Cambria" w:cs="Arial"/>
          <w:snapToGrid w:val="0"/>
          <w:sz w:val="20"/>
          <w:szCs w:val="20"/>
          <w:lang w:val="es-CO"/>
        </w:rPr>
        <w:t>interdependencia e indivisibilidad de los derechos económicos, sociales y culturales respecto de los derechos civiles y políticos</w:t>
      </w:r>
      <w:r w:rsidRPr="00BD424E">
        <w:rPr>
          <w:rStyle w:val="FootnoteReference"/>
          <w:rFonts w:ascii="Cambria" w:hAnsi="Cambria" w:cs="Arial"/>
          <w:snapToGrid w:val="0"/>
          <w:sz w:val="20"/>
          <w:szCs w:val="20"/>
          <w:lang w:val="es-CO"/>
        </w:rPr>
        <w:footnoteReference w:id="83"/>
      </w:r>
      <w:r w:rsidRPr="00BD424E">
        <w:rPr>
          <w:rFonts w:ascii="Cambria" w:hAnsi="Cambria" w:cs="Arial"/>
          <w:snapToGrid w:val="0"/>
          <w:sz w:val="20"/>
          <w:szCs w:val="20"/>
          <w:lang w:val="es-CO"/>
        </w:rPr>
        <w:t>.</w:t>
      </w:r>
    </w:p>
    <w:p w14:paraId="4613D35B" w14:textId="77777777" w:rsidR="00A755F3" w:rsidRPr="00BD424E" w:rsidRDefault="00A755F3" w:rsidP="00BD424E">
      <w:pPr>
        <w:pStyle w:val="ListParagraph"/>
        <w:rPr>
          <w:snapToGrid w:val="0"/>
        </w:rPr>
      </w:pPr>
    </w:p>
    <w:p w14:paraId="01A01DC2" w14:textId="77777777" w:rsidR="00A755F3" w:rsidRPr="00BD424E" w:rsidRDefault="00A755F3"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bdr w:val="none" w:sz="0" w:space="0" w:color="auto"/>
          <w:lang w:val="es-US"/>
        </w:rPr>
      </w:pPr>
      <w:r w:rsidRPr="00BD424E">
        <w:rPr>
          <w:rFonts w:ascii="Cambria" w:hAnsi="Cambria"/>
          <w:sz w:val="20"/>
          <w:szCs w:val="20"/>
          <w:lang w:val="es-MX"/>
        </w:rPr>
        <w:t xml:space="preserve">Así, la Comisión considera que el análisis de un caso concreto a la luz del artículo 26 de la Convención Americana debe ser efectuado en dos niveles. En un primer momento, es necesario establecer si el derecho del que se trata el caso se deriva “de las normas económicas, sociales y sobre educación, ciencia y cultura, contenidas en la Carta de la Organización de Estados Americanos”, tal como remite el texto del artículo 26. Es decir, el artículo 26 de la CADH es el que atribuye a la Carta de la OEA como fuente directa de derechos, asignando carácter de derechos humanos a las disposiciones que sobre la materia pueden desprenderse de dicho tratado. Dado que el objeto de la Carta de la OEA no fue individualizar derechos sino constituir un </w:t>
      </w:r>
      <w:r w:rsidRPr="00BD424E">
        <w:rPr>
          <w:rFonts w:ascii="Cambria" w:hAnsi="Cambria"/>
          <w:sz w:val="20"/>
          <w:szCs w:val="20"/>
          <w:lang w:val="es-MX"/>
        </w:rPr>
        <w:lastRenderedPageBreak/>
        <w:t>organismo internacional, es necesario recurrir a textos auxiliares para identificar los derechos que se desprenden de las disposiciones de dicho instrumento.</w:t>
      </w:r>
    </w:p>
    <w:p w14:paraId="76A2564B" w14:textId="77777777" w:rsidR="00A755F3" w:rsidRPr="00BD424E" w:rsidRDefault="00A755F3" w:rsidP="00BD424E">
      <w:pPr>
        <w:pStyle w:val="ListParagraph"/>
      </w:pPr>
    </w:p>
    <w:p w14:paraId="3D14C652" w14:textId="17F5DF56" w:rsidR="00A755F3" w:rsidRPr="00BD424E" w:rsidRDefault="00A755F3"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bdr w:val="none" w:sz="0" w:space="0" w:color="auto"/>
          <w:lang w:val="es-US"/>
        </w:rPr>
      </w:pPr>
      <w:r w:rsidRPr="00BD424E">
        <w:rPr>
          <w:rFonts w:ascii="Cambria" w:hAnsi="Cambria"/>
          <w:sz w:val="20"/>
          <w:szCs w:val="20"/>
          <w:lang w:val="es-MX"/>
        </w:rPr>
        <w:t>En</w:t>
      </w:r>
      <w:r w:rsidR="003D1DC0" w:rsidRPr="00BD424E">
        <w:rPr>
          <w:rFonts w:ascii="Cambria" w:hAnsi="Cambria"/>
          <w:sz w:val="20"/>
          <w:szCs w:val="20"/>
          <w:lang w:val="es-MX"/>
        </w:rPr>
        <w:t xml:space="preserve"> un </w:t>
      </w:r>
      <w:r w:rsidRPr="00BD424E">
        <w:rPr>
          <w:rFonts w:ascii="Cambria" w:hAnsi="Cambria"/>
          <w:sz w:val="20"/>
          <w:szCs w:val="20"/>
          <w:lang w:val="es-MX"/>
        </w:rPr>
        <w:t>segundo nivel de análisis, es preciso tomar en consideración la naturaleza y alcance de las obligaciones exigibles al Estado bajo los artículos 1.1, 2 y 26 de la Convención, así como los contenidos del derecho de que se trate, como se efectuará más adelante.</w:t>
      </w:r>
      <w:r w:rsidR="008164F6" w:rsidRPr="00BD424E">
        <w:rPr>
          <w:rFonts w:ascii="Cambria" w:hAnsi="Cambria"/>
          <w:sz w:val="20"/>
          <w:szCs w:val="20"/>
          <w:bdr w:val="none" w:sz="0" w:space="0" w:color="auto"/>
          <w:lang w:val="es-US"/>
        </w:rPr>
        <w:t xml:space="preserve"> </w:t>
      </w:r>
      <w:r w:rsidRPr="00BD424E">
        <w:rPr>
          <w:rFonts w:ascii="Cambria" w:hAnsi="Cambria"/>
          <w:sz w:val="20"/>
          <w:szCs w:val="20"/>
          <w:lang w:val="es-MX"/>
        </w:rPr>
        <w:t xml:space="preserve"> Para establecer los criterios que permitan derivar derechos específicos de la Carta de la OEA, determinar su contenido y las obligaciones de los Estados en relación con ellos, es que el artículo 29 de la CADH adquiere relevancia en tanto que establece los parámetros de las reglas generales de interpretación de dicho tratado. En ese sentido, de acuerdo con dicho artículo la interpretación de las disposiciones de la CADH no podrán limitar ni suprimir derechos reconocidos por la normativa interna de los Estados o por cualquier otro tratado del que este sea parte, ni excluir los efectos de la Declaración Americana sobre Derechos y Deberes del Hombre u </w:t>
      </w:r>
      <w:r w:rsidRPr="00BD424E">
        <w:rPr>
          <w:rFonts w:ascii="Cambria" w:eastAsia="Batang" w:hAnsi="Cambria"/>
          <w:sz w:val="20"/>
          <w:szCs w:val="20"/>
          <w:lang w:val="es-UY"/>
        </w:rPr>
        <w:t>otros</w:t>
      </w:r>
      <w:r w:rsidRPr="00BD424E">
        <w:rPr>
          <w:rFonts w:ascii="Cambria" w:hAnsi="Cambria"/>
          <w:sz w:val="20"/>
          <w:szCs w:val="20"/>
          <w:lang w:val="es-MX"/>
        </w:rPr>
        <w:t xml:space="preserve"> actos internacionales de la misma naturaleza. La disposición recepta así el principio “pro persona” en el sistema interamericano y ofrece una herramienta clave para la efectiva protección de todos los derechos humanos reconocidos en las Constituciones de los Estados Parte, como en los instrumentos interamericanos o universales de derechos humanos ratificados por los mismos.</w:t>
      </w:r>
    </w:p>
    <w:p w14:paraId="61091539" w14:textId="77777777" w:rsidR="00A755F3" w:rsidRPr="00BD424E" w:rsidRDefault="00A755F3" w:rsidP="00BD424E">
      <w:pPr>
        <w:pStyle w:val="ListParagraph"/>
      </w:pPr>
    </w:p>
    <w:p w14:paraId="348018F4" w14:textId="77777777" w:rsidR="00E56A6F" w:rsidRPr="00BD424E" w:rsidRDefault="00A755F3"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bdr w:val="none" w:sz="0" w:space="0" w:color="auto"/>
          <w:lang w:val="es-US"/>
        </w:rPr>
      </w:pPr>
      <w:r w:rsidRPr="00BD424E">
        <w:rPr>
          <w:rFonts w:ascii="Cambria" w:hAnsi="Cambria"/>
          <w:sz w:val="20"/>
          <w:szCs w:val="20"/>
          <w:lang w:val="es-MX"/>
        </w:rPr>
        <w:t xml:space="preserve">A partir de la interpretación integral que el artículo 26 requiere a la luz de las disposiciones del artículo 29, la Comisión considera pertinente referirse a las obligaciones que se desprenden del artículo 26 de la Convención Americana y que pueden ser materia de pronunciamiento por parte de los órganos del sistema interamericano en el marco de casos contenciosos. </w:t>
      </w:r>
      <w:r w:rsidRPr="00BD424E">
        <w:rPr>
          <w:rFonts w:ascii="Cambria" w:hAnsi="Cambria"/>
          <w:sz w:val="20"/>
          <w:szCs w:val="20"/>
          <w:lang w:val="es-AR"/>
        </w:rPr>
        <w:t>La Comisión ya ha acudido a los pronunciamientos del Comité de Derechos Económicos, Sociales y Culturales, en cuanto a la noción de progresividad y al alcance de las obligaciones que se desprenden de la misma</w:t>
      </w:r>
      <w:r w:rsidRPr="00BD424E">
        <w:rPr>
          <w:rStyle w:val="FootnoteReference"/>
          <w:rFonts w:ascii="Cambria" w:hAnsi="Cambria"/>
          <w:sz w:val="20"/>
          <w:szCs w:val="20"/>
          <w:lang w:val="es-AR"/>
        </w:rPr>
        <w:footnoteReference w:id="84"/>
      </w:r>
      <w:r w:rsidRPr="00BD424E">
        <w:rPr>
          <w:rFonts w:ascii="Cambria" w:hAnsi="Cambria"/>
          <w:sz w:val="20"/>
          <w:szCs w:val="20"/>
          <w:lang w:val="es-AR"/>
        </w:rPr>
        <w:t>, así subraya que dicho concepto no priva de todo contenido significativo a las obligaciones del Estado; por el contrario, se le debe interpretar a la luz del objetivo general del tratado con miras a la plena efectividad de los derechos involucrados</w:t>
      </w:r>
      <w:r w:rsidRPr="00BD424E">
        <w:rPr>
          <w:rStyle w:val="FootnoteReference"/>
          <w:rFonts w:ascii="Cambria" w:hAnsi="Cambria"/>
          <w:sz w:val="20"/>
          <w:szCs w:val="20"/>
          <w:lang w:val="es-ES_tradnl"/>
        </w:rPr>
        <w:footnoteReference w:id="85"/>
      </w:r>
      <w:r w:rsidRPr="00BD424E">
        <w:rPr>
          <w:rFonts w:ascii="Cambria" w:hAnsi="Cambria"/>
          <w:sz w:val="20"/>
          <w:szCs w:val="20"/>
          <w:lang w:val="es-ES_tradnl"/>
        </w:rPr>
        <w:t>.</w:t>
      </w:r>
    </w:p>
    <w:p w14:paraId="314A1C09" w14:textId="77777777" w:rsidR="00E56A6F" w:rsidRPr="00BD424E" w:rsidRDefault="00E56A6F"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bdr w:val="none" w:sz="0" w:space="0" w:color="auto"/>
          <w:lang w:val="es-US"/>
        </w:rPr>
      </w:pPr>
    </w:p>
    <w:p w14:paraId="0322657B" w14:textId="77777777" w:rsidR="00E56A6F" w:rsidRPr="00BD424E" w:rsidRDefault="00E56A6F"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bdr w:val="none" w:sz="0" w:space="0" w:color="auto"/>
          <w:lang w:val="es-US"/>
        </w:rPr>
      </w:pPr>
      <w:r w:rsidRPr="00BD424E">
        <w:rPr>
          <w:rFonts w:ascii="Cambria" w:hAnsi="Cambria" w:cs="Arial"/>
          <w:snapToGrid w:val="0"/>
          <w:sz w:val="20"/>
          <w:szCs w:val="20"/>
          <w:lang w:val="es-CO"/>
        </w:rPr>
        <w:t xml:space="preserve">A la luz de lo anteriormente descrito puede </w:t>
      </w:r>
      <w:r w:rsidRPr="00BD424E">
        <w:rPr>
          <w:rFonts w:ascii="Cambria" w:hAnsi="Cambria"/>
          <w:sz w:val="20"/>
          <w:szCs w:val="20"/>
          <w:lang w:val="es-AR"/>
        </w:rPr>
        <w:t>afirmarse</w:t>
      </w:r>
      <w:r w:rsidRPr="00BD424E">
        <w:rPr>
          <w:rFonts w:ascii="Cambria" w:hAnsi="Cambria" w:cs="Arial"/>
          <w:snapToGrid w:val="0"/>
          <w:sz w:val="20"/>
          <w:szCs w:val="20"/>
          <w:lang w:val="es-CO"/>
        </w:rPr>
        <w:t xml:space="preserve"> que la Comisión entiende que el artículo 26 de la Convención Americana impone diversas obligaciones a los Estados que no se limitan a una prohibición de regresividad, el cual es un correlato de la obligación de progresividad, pero no puede entenderse como la única obligación justiciable en el sistema interamericano bajo esta norma. Así, la Comisión afirma que teniendo en cuenta el marco interpretativo del artículo 29 de la Convención Americana, el artículo 26 visto a la luz de los artículos 1.1 y 2 del mismo instrumento, se desprenden, al menos las siguientes obligaciones inmediatas y exigibles: i) obligaciones generales de respeto y garantía, ii) aplicación del principio de no discriminación a los derechos económicos, sociales y culturales, iii) obligaciones de dar pasos o adoptar medidas para </w:t>
      </w:r>
      <w:r w:rsidRPr="00BD424E">
        <w:rPr>
          <w:rFonts w:ascii="Cambria" w:hAnsi="Cambria" w:cs="Helvetica"/>
          <w:sz w:val="20"/>
          <w:szCs w:val="20"/>
          <w:lang w:val="es-CO" w:bidi="en-US"/>
        </w:rPr>
        <w:t>lograr</w:t>
      </w:r>
      <w:r w:rsidRPr="00BD424E">
        <w:rPr>
          <w:rFonts w:ascii="Cambria" w:hAnsi="Cambria" w:cs="Arial"/>
          <w:snapToGrid w:val="0"/>
          <w:sz w:val="20"/>
          <w:szCs w:val="20"/>
          <w:lang w:val="es-CO"/>
        </w:rPr>
        <w:t xml:space="preserve"> el goce de los derechos incorporados en dicho artículo y iv) ofrecer recursos idóneos y efectivos para su protección. Las metodologías o fuentes de análisis que resulten pertinentes para cada una de estas obligaciones, deberán ser establecidas según las circunstancias propias de cada caso.</w:t>
      </w:r>
    </w:p>
    <w:p w14:paraId="599BDBDA" w14:textId="77777777" w:rsidR="00E56A6F" w:rsidRPr="00BD424E" w:rsidRDefault="00E56A6F"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bdr w:val="none" w:sz="0" w:space="0" w:color="auto"/>
          <w:lang w:val="es-US"/>
        </w:rPr>
      </w:pPr>
    </w:p>
    <w:p w14:paraId="4B4E0E91" w14:textId="77777777" w:rsidR="00E56A6F" w:rsidRPr="00BD424E" w:rsidRDefault="00E56A6F"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bdr w:val="none" w:sz="0" w:space="0" w:color="auto"/>
          <w:lang w:val="es-US"/>
        </w:rPr>
      </w:pPr>
      <w:r w:rsidRPr="00BD424E">
        <w:rPr>
          <w:rFonts w:ascii="Cambria" w:hAnsi="Cambria" w:cs="Arial"/>
          <w:snapToGrid w:val="0"/>
          <w:sz w:val="20"/>
          <w:szCs w:val="20"/>
          <w:lang w:val="es-CO"/>
        </w:rPr>
        <w:t>En relación con los componentes exigibles e inmediatos de la obligación de dar pasos o adoptar medidas, el Comité DESC ha indicado, por ejemplo, que la</w:t>
      </w:r>
      <w:r w:rsidRPr="00BD424E">
        <w:rPr>
          <w:rFonts w:ascii="Cambria" w:hAnsi="Cambria"/>
          <w:sz w:val="20"/>
          <w:szCs w:val="20"/>
          <w:lang w:val="es-AR"/>
        </w:rPr>
        <w:t xml:space="preserve"> adopción de medidas por sí misma no se encuentra limitada o condicionada a otras consideraciones; por ello, si bien el logro de la realización efectiva de los derechos podrá ser paulatino, la adopción de medidas o providencias para tales efectos deben ser </w:t>
      </w:r>
      <w:r w:rsidRPr="00BD424E">
        <w:rPr>
          <w:rFonts w:ascii="Cambria" w:hAnsi="Cambria" w:cs="Arial"/>
          <w:sz w:val="20"/>
          <w:szCs w:val="20"/>
          <w:shd w:val="clear" w:color="auto" w:fill="FFFFFF"/>
          <w:lang w:val="es-PE"/>
        </w:rPr>
        <w:t xml:space="preserve">deliberadas, concretas y orientadas lo más claramente posible a su cumplimiento. El Estado además tiene obligaciones básicas que deben satisfacer niveles esenciales de tales derechos, las cuales no están sujetas al desarrollo </w:t>
      </w:r>
      <w:r w:rsidRPr="00BD424E">
        <w:rPr>
          <w:rFonts w:ascii="Cambria" w:hAnsi="Cambria"/>
          <w:sz w:val="20"/>
          <w:szCs w:val="20"/>
          <w:lang w:val="es-ES"/>
        </w:rPr>
        <w:t>progresivo</w:t>
      </w:r>
      <w:r w:rsidRPr="00BD424E">
        <w:rPr>
          <w:rFonts w:ascii="Cambria" w:hAnsi="Cambria" w:cs="Arial"/>
          <w:sz w:val="20"/>
          <w:szCs w:val="20"/>
          <w:shd w:val="clear" w:color="auto" w:fill="FFFFFF"/>
          <w:lang w:val="es-PE"/>
        </w:rPr>
        <w:t xml:space="preserve"> sino que son de carácter inmediato</w:t>
      </w:r>
      <w:r w:rsidRPr="00BD424E">
        <w:rPr>
          <w:rStyle w:val="FootnoteReference"/>
          <w:rFonts w:ascii="Cambria" w:hAnsi="Cambria" w:cs="Arial"/>
          <w:snapToGrid w:val="0"/>
          <w:sz w:val="20"/>
          <w:szCs w:val="20"/>
          <w:lang w:val="es-CO"/>
        </w:rPr>
        <w:footnoteReference w:id="86"/>
      </w:r>
      <w:r w:rsidRPr="00BD424E">
        <w:rPr>
          <w:rFonts w:ascii="Cambria" w:hAnsi="Cambria" w:cs="Arial"/>
          <w:sz w:val="20"/>
          <w:szCs w:val="20"/>
          <w:shd w:val="clear" w:color="auto" w:fill="FFFFFF"/>
          <w:lang w:val="es-PE"/>
        </w:rPr>
        <w:t xml:space="preserve">. </w:t>
      </w:r>
    </w:p>
    <w:p w14:paraId="0C91AF63" w14:textId="77777777" w:rsidR="00E56A6F" w:rsidRPr="00BD424E" w:rsidRDefault="00E56A6F" w:rsidP="00BD424E">
      <w:pPr>
        <w:pStyle w:val="ListParagraph"/>
      </w:pPr>
    </w:p>
    <w:p w14:paraId="4C023338" w14:textId="77777777" w:rsidR="00E56A6F" w:rsidRPr="00BD424E" w:rsidRDefault="00E56A6F"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bdr w:val="none" w:sz="0" w:space="0" w:color="auto"/>
          <w:lang w:val="es-US"/>
        </w:rPr>
      </w:pPr>
      <w:r w:rsidRPr="00BD424E">
        <w:rPr>
          <w:rFonts w:ascii="Cambria" w:eastAsia="Batang" w:hAnsi="Cambria"/>
          <w:sz w:val="20"/>
          <w:szCs w:val="20"/>
          <w:lang w:val="es-UY"/>
        </w:rPr>
        <w:t xml:space="preserve">De lo anterior, la Comisión considera claro que </w:t>
      </w:r>
      <w:r w:rsidR="006A0A2C" w:rsidRPr="00BD424E">
        <w:rPr>
          <w:rFonts w:ascii="Cambria" w:eastAsia="Batang" w:hAnsi="Cambria"/>
          <w:sz w:val="20"/>
          <w:szCs w:val="20"/>
          <w:lang w:val="es-UY"/>
        </w:rPr>
        <w:t>el</w:t>
      </w:r>
      <w:r w:rsidRPr="00BD424E">
        <w:rPr>
          <w:rFonts w:ascii="Cambria" w:eastAsia="Batang" w:hAnsi="Cambria"/>
          <w:sz w:val="20"/>
          <w:szCs w:val="20"/>
          <w:lang w:val="es-UY"/>
        </w:rPr>
        <w:t xml:space="preserve"> derecho a la salud constituye una de las normas económicas y sociales mencionadas en el artículo 26 de la Convención y, en ese sentido, los Estados partes se </w:t>
      </w:r>
      <w:r w:rsidRPr="00BD424E">
        <w:rPr>
          <w:rFonts w:ascii="Cambria" w:eastAsia="Batang" w:hAnsi="Cambria"/>
          <w:sz w:val="20"/>
          <w:szCs w:val="20"/>
          <w:lang w:val="es-UY"/>
        </w:rPr>
        <w:lastRenderedPageBreak/>
        <w:t>encuentran en la obligación de procurar el desarrollo progresivo del mismo, así como de respetar, garantizar y adoptar las medidas necesarias para hacer efectivo tal derecho.</w:t>
      </w:r>
    </w:p>
    <w:p w14:paraId="0B73C569" w14:textId="77777777" w:rsidR="0025041F" w:rsidRPr="00BD424E" w:rsidRDefault="0025041F" w:rsidP="00BD424E">
      <w:pPr>
        <w:pStyle w:val="parrafos"/>
        <w:numPr>
          <w:ilvl w:val="0"/>
          <w:numId w:val="0"/>
        </w:numPr>
        <w:rPr>
          <w:lang w:val="es-ES"/>
        </w:rPr>
      </w:pPr>
    </w:p>
    <w:p w14:paraId="73690D5B" w14:textId="5075C82D" w:rsidR="0025041F" w:rsidRPr="00BD424E" w:rsidRDefault="00AB61B8" w:rsidP="00BD424E">
      <w:pPr>
        <w:pStyle w:val="Heading3"/>
        <w:ind w:left="360"/>
        <w:rPr>
          <w:lang w:val="es-US"/>
        </w:rPr>
      </w:pPr>
      <w:bookmarkStart w:id="33" w:name="_Toc33525303"/>
      <w:r w:rsidRPr="00BD424E">
        <w:rPr>
          <w:lang w:val="es-US"/>
        </w:rPr>
        <w:t>S</w:t>
      </w:r>
      <w:r w:rsidR="0025041F" w:rsidRPr="00BD424E">
        <w:rPr>
          <w:lang w:val="es-US"/>
        </w:rPr>
        <w:t xml:space="preserve">obre el derecho a la </w:t>
      </w:r>
      <w:r w:rsidR="005D3016" w:rsidRPr="00BD424E">
        <w:rPr>
          <w:lang w:val="es-US"/>
        </w:rPr>
        <w:t>vida, a</w:t>
      </w:r>
      <w:r w:rsidRPr="00BD424E">
        <w:rPr>
          <w:lang w:val="es-US"/>
        </w:rPr>
        <w:t xml:space="preserve"> la integridad personal</w:t>
      </w:r>
      <w:r w:rsidR="00C35707" w:rsidRPr="00BD424E">
        <w:rPr>
          <w:lang w:val="es-US"/>
        </w:rPr>
        <w:t xml:space="preserve"> y a la salud de</w:t>
      </w:r>
      <w:r w:rsidRPr="00BD424E">
        <w:rPr>
          <w:lang w:val="es-US"/>
        </w:rPr>
        <w:t xml:space="preserve"> mujeres gestantes</w:t>
      </w:r>
      <w:bookmarkEnd w:id="33"/>
    </w:p>
    <w:p w14:paraId="20324F73" w14:textId="77777777" w:rsidR="0025041F" w:rsidRPr="00BD424E" w:rsidRDefault="0025041F" w:rsidP="00BD424E">
      <w:pPr>
        <w:pStyle w:val="parrafos"/>
        <w:numPr>
          <w:ilvl w:val="0"/>
          <w:numId w:val="0"/>
        </w:numPr>
        <w:ind w:left="900"/>
        <w:rPr>
          <w:lang w:val="es-ES"/>
        </w:rPr>
      </w:pPr>
    </w:p>
    <w:p w14:paraId="451EBE20" w14:textId="77777777" w:rsidR="00F52324" w:rsidRPr="00BD424E" w:rsidRDefault="00F52324" w:rsidP="00BD424E">
      <w:pPr>
        <w:pStyle w:val="parrafos"/>
        <w:ind w:left="0" w:firstLine="0"/>
        <w:rPr>
          <w:rFonts w:ascii="Cambria" w:hAnsi="Cambria"/>
          <w:lang w:val="es-AR"/>
        </w:rPr>
      </w:pPr>
      <w:r w:rsidRPr="00BD424E">
        <w:t>La Comisión recuerda que el derecho a la vida es prerrequisito del disfrute de todos los demás derechos humanos y sin cuyo respeto todos los demás carecen de sentido</w:t>
      </w:r>
      <w:r w:rsidRPr="00BD424E">
        <w:rPr>
          <w:vertAlign w:val="superscript"/>
        </w:rPr>
        <w:footnoteReference w:id="87"/>
      </w:r>
      <w:r w:rsidRPr="00BD424E">
        <w:t>. El cumplimiento del artículo 4 en relación con el artículo 1.1 de la Convención Americana no sólo presupone que ninguna persona sea privada de su vida arbitrariamente, sino que además requiere que los Estados tomen todas las medidas apropiadas para proteger y preservar el derecho a la vida, bajo su deber de garantizar el pleno y libre ejercicio de los derechos de todas las personas bajo su jurisdicción</w:t>
      </w:r>
      <w:r w:rsidRPr="00BD424E">
        <w:rPr>
          <w:vertAlign w:val="superscript"/>
        </w:rPr>
        <w:footnoteReference w:id="88"/>
      </w:r>
      <w:r w:rsidRPr="00BD424E">
        <w:t>.</w:t>
      </w:r>
    </w:p>
    <w:p w14:paraId="4770B92D" w14:textId="77777777" w:rsidR="004C52C3" w:rsidRPr="00BD424E" w:rsidRDefault="004C52C3" w:rsidP="00BD424E">
      <w:pPr>
        <w:pStyle w:val="parrafos"/>
        <w:numPr>
          <w:ilvl w:val="0"/>
          <w:numId w:val="0"/>
        </w:numPr>
        <w:rPr>
          <w:rFonts w:ascii="Cambria" w:hAnsi="Cambria"/>
          <w:lang w:val="es-AR"/>
        </w:rPr>
      </w:pPr>
    </w:p>
    <w:p w14:paraId="4A7CCE3C" w14:textId="77777777" w:rsidR="00E56A6F" w:rsidRPr="00BD424E" w:rsidRDefault="00F52324"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bdr w:val="none" w:sz="0" w:space="0" w:color="auto"/>
          <w:lang w:val="es-US"/>
        </w:rPr>
      </w:pPr>
      <w:r w:rsidRPr="00BD424E">
        <w:rPr>
          <w:rFonts w:ascii="Cambria" w:hAnsi="Cambria" w:cs="Verdana"/>
          <w:sz w:val="20"/>
          <w:szCs w:val="20"/>
          <w:lang w:val="es-ES" w:eastAsia="es-ES_tradnl"/>
        </w:rPr>
        <w:t xml:space="preserve">Tanto </w:t>
      </w:r>
      <w:r w:rsidR="00E83DF1" w:rsidRPr="00BD424E">
        <w:rPr>
          <w:rFonts w:ascii="Cambria" w:hAnsi="Cambria" w:cs="Verdana"/>
          <w:sz w:val="20"/>
          <w:szCs w:val="20"/>
          <w:lang w:val="es-ES" w:eastAsia="es-ES_tradnl"/>
        </w:rPr>
        <w:t>la CIDH como la Corte se han pronunciado sobre la relación existente entre los derechos a la vida e integridad personal y el derecho a la salud</w:t>
      </w:r>
      <w:r w:rsidR="00E83DF1" w:rsidRPr="00BD424E">
        <w:rPr>
          <w:rFonts w:ascii="Cambria" w:hAnsi="Cambria" w:cs="Verdana"/>
          <w:sz w:val="20"/>
          <w:szCs w:val="20"/>
          <w:vertAlign w:val="superscript"/>
          <w:lang w:val="es-ES" w:eastAsia="es-ES_tradnl"/>
        </w:rPr>
        <w:footnoteReference w:id="89"/>
      </w:r>
      <w:r w:rsidR="002572A8" w:rsidRPr="00BD424E">
        <w:rPr>
          <w:rFonts w:ascii="Cambria" w:hAnsi="Cambria" w:cs="Verdana"/>
          <w:sz w:val="20"/>
          <w:szCs w:val="20"/>
          <w:lang w:val="es-ES" w:eastAsia="es-ES_tradnl"/>
        </w:rPr>
        <w:t xml:space="preserve">. </w:t>
      </w:r>
      <w:r w:rsidR="002033EC" w:rsidRPr="00BD424E">
        <w:rPr>
          <w:rFonts w:ascii="Cambria" w:hAnsi="Cambria" w:cs="Verdana"/>
          <w:sz w:val="20"/>
          <w:szCs w:val="20"/>
          <w:lang w:val="es-ES" w:eastAsia="es-ES_tradnl"/>
        </w:rPr>
        <w:t>L</w:t>
      </w:r>
      <w:r w:rsidR="00E83DF1" w:rsidRPr="00BD424E">
        <w:rPr>
          <w:rFonts w:ascii="Cambria" w:hAnsi="Cambria"/>
          <w:sz w:val="20"/>
          <w:szCs w:val="20"/>
          <w:lang w:val="es-ES"/>
        </w:rPr>
        <w:t>a Corte Interamericana ha interpretado en reiteradas oportunidades que los derechos a la vida e integridad personal se hallan directa e inmediatamente vinculados con la atención a la salud humana</w:t>
      </w:r>
      <w:r w:rsidR="00E83DF1" w:rsidRPr="00BD424E">
        <w:rPr>
          <w:rFonts w:ascii="Cambria" w:hAnsi="Cambria"/>
          <w:sz w:val="20"/>
          <w:szCs w:val="20"/>
          <w:vertAlign w:val="superscript"/>
          <w:lang w:val="es-ES"/>
        </w:rPr>
        <w:footnoteReference w:id="90"/>
      </w:r>
      <w:r w:rsidR="00E83DF1" w:rsidRPr="00BD424E">
        <w:rPr>
          <w:rFonts w:ascii="Cambria" w:hAnsi="Cambria"/>
          <w:sz w:val="20"/>
          <w:szCs w:val="20"/>
          <w:vertAlign w:val="superscript"/>
          <w:lang w:val="es-ES"/>
        </w:rPr>
        <w:t xml:space="preserve"> </w:t>
      </w:r>
      <w:r w:rsidR="00E83DF1" w:rsidRPr="00BD424E">
        <w:rPr>
          <w:rFonts w:ascii="Cambria" w:hAnsi="Cambria"/>
          <w:sz w:val="20"/>
          <w:szCs w:val="20"/>
          <w:lang w:val="es-ES"/>
        </w:rPr>
        <w:t>y que “la falta de atención médica adecuada” puede conllevar a su vulneración</w:t>
      </w:r>
      <w:r w:rsidR="00E83DF1" w:rsidRPr="00BD424E">
        <w:rPr>
          <w:rFonts w:ascii="Cambria" w:hAnsi="Cambria" w:cs="Verdana"/>
          <w:sz w:val="20"/>
          <w:szCs w:val="20"/>
          <w:vertAlign w:val="superscript"/>
          <w:lang w:val="es-ES"/>
        </w:rPr>
        <w:footnoteReference w:id="91"/>
      </w:r>
      <w:r w:rsidR="00E83DF1" w:rsidRPr="00BD424E">
        <w:rPr>
          <w:rFonts w:ascii="Cambria" w:hAnsi="Cambria"/>
          <w:sz w:val="20"/>
          <w:szCs w:val="20"/>
          <w:lang w:val="es-ES"/>
        </w:rPr>
        <w:t xml:space="preserve">. </w:t>
      </w:r>
      <w:r w:rsidR="00E83DF1" w:rsidRPr="00BD424E">
        <w:rPr>
          <w:rFonts w:ascii="Cambria" w:hAnsi="Cambria" w:cs="Verdana"/>
          <w:sz w:val="20"/>
          <w:szCs w:val="20"/>
          <w:lang w:val="es-ES" w:eastAsia="es-ES_tradnl"/>
        </w:rPr>
        <w:t>Asimismo, ambos órganos han señalado que los Estados son responsables de regular con carácter permanente la prestación de los servicios y la ejecución de los programas nacionales relativos al logro de una prestación de servicios de salud públicos de calidad, de tal manera que disuada cualquier amenaza al derecho a la vida y a la integridad física de las personas sometidas a tratamiento de salud</w:t>
      </w:r>
      <w:r w:rsidR="00E83DF1" w:rsidRPr="00BD424E">
        <w:rPr>
          <w:rFonts w:ascii="Cambria" w:hAnsi="Cambria" w:cs="Verdana"/>
          <w:sz w:val="20"/>
          <w:szCs w:val="20"/>
          <w:vertAlign w:val="superscript"/>
          <w:lang w:val="es-ES" w:eastAsia="es-ES_tradnl"/>
        </w:rPr>
        <w:footnoteReference w:id="92"/>
      </w:r>
      <w:r w:rsidR="00E83DF1" w:rsidRPr="00BD424E">
        <w:rPr>
          <w:rFonts w:ascii="Cambria" w:hAnsi="Cambria" w:cs="Verdana"/>
          <w:sz w:val="20"/>
          <w:szCs w:val="20"/>
          <w:lang w:val="es-ES" w:eastAsia="es-ES_tradnl"/>
        </w:rPr>
        <w:t>.</w:t>
      </w:r>
    </w:p>
    <w:p w14:paraId="3100BA4D" w14:textId="77777777" w:rsidR="007C22A1" w:rsidRPr="00BD424E" w:rsidRDefault="007C22A1"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bdr w:val="none" w:sz="0" w:space="0" w:color="auto"/>
          <w:lang w:val="es-US"/>
        </w:rPr>
      </w:pPr>
    </w:p>
    <w:p w14:paraId="03F7E209" w14:textId="77777777" w:rsidR="00840F29" w:rsidRPr="00BD424E" w:rsidRDefault="007C22A1"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bdr w:val="none" w:sz="0" w:space="0" w:color="auto"/>
          <w:lang w:val="es-US"/>
        </w:rPr>
      </w:pPr>
      <w:r w:rsidRPr="00BD424E">
        <w:rPr>
          <w:rFonts w:ascii="Cambria" w:hAnsi="Cambria"/>
          <w:sz w:val="20"/>
          <w:szCs w:val="20"/>
          <w:bdr w:val="none" w:sz="0" w:space="0" w:color="auto"/>
          <w:lang w:val="es-US"/>
        </w:rPr>
        <w:t>La Corte ha señalado que “el derecho fundamental a la vida comprende […] también el derecho a que no se le impida el acceso a las condiciones que le garanticen una existencia digna”</w:t>
      </w:r>
      <w:r w:rsidR="003106C4" w:rsidRPr="00BD424E">
        <w:rPr>
          <w:rStyle w:val="FootnoteReference"/>
          <w:rFonts w:ascii="Cambria" w:hAnsi="Cambria"/>
          <w:sz w:val="20"/>
          <w:szCs w:val="20"/>
          <w:bdr w:val="none" w:sz="0" w:space="0" w:color="auto"/>
          <w:lang w:val="es-US"/>
        </w:rPr>
        <w:footnoteReference w:id="93"/>
      </w:r>
      <w:r w:rsidRPr="00BD424E">
        <w:rPr>
          <w:rFonts w:ascii="Cambria" w:hAnsi="Cambria"/>
          <w:sz w:val="20"/>
          <w:szCs w:val="20"/>
          <w:bdr w:val="none" w:sz="0" w:space="0" w:color="auto"/>
          <w:lang w:val="es-US"/>
        </w:rPr>
        <w:t>, lo que jurisprudencialmente ha incluido también la provisión de, entre otros aspectos, de servicios de salud</w:t>
      </w:r>
      <w:r w:rsidR="003106C4" w:rsidRPr="00BD424E">
        <w:rPr>
          <w:rStyle w:val="FootnoteReference"/>
          <w:rFonts w:ascii="Cambria" w:hAnsi="Cambria"/>
          <w:sz w:val="20"/>
          <w:szCs w:val="20"/>
          <w:bdr w:val="none" w:sz="0" w:space="0" w:color="auto"/>
          <w:lang w:val="es-US"/>
        </w:rPr>
        <w:footnoteReference w:id="94"/>
      </w:r>
      <w:r w:rsidRPr="00BD424E">
        <w:rPr>
          <w:rFonts w:ascii="Cambria" w:hAnsi="Cambria"/>
          <w:sz w:val="20"/>
          <w:szCs w:val="20"/>
          <w:bdr w:val="none" w:sz="0" w:space="0" w:color="auto"/>
          <w:lang w:val="es-US"/>
        </w:rPr>
        <w:t>.</w:t>
      </w:r>
      <w:r w:rsidR="00F63F48" w:rsidRPr="00BD424E">
        <w:rPr>
          <w:rFonts w:ascii="Cambria" w:hAnsi="Cambria"/>
          <w:sz w:val="20"/>
          <w:szCs w:val="20"/>
          <w:bdr w:val="none" w:sz="0" w:space="0" w:color="auto"/>
          <w:lang w:val="es-US"/>
        </w:rPr>
        <w:t xml:space="preserve"> </w:t>
      </w:r>
      <w:r w:rsidR="00840F29" w:rsidRPr="00BD424E">
        <w:rPr>
          <w:rFonts w:ascii="Cambria" w:eastAsia="Batang" w:hAnsi="Cambria"/>
          <w:sz w:val="20"/>
          <w:szCs w:val="20"/>
          <w:lang w:val="es-UY"/>
        </w:rPr>
        <w:t xml:space="preserve">Por su parte, </w:t>
      </w:r>
      <w:r w:rsidR="00840F29" w:rsidRPr="00BD424E">
        <w:rPr>
          <w:rFonts w:ascii="Cambria" w:hAnsi="Cambria"/>
          <w:sz w:val="20"/>
          <w:szCs w:val="20"/>
          <w:lang w:val="es-MX"/>
        </w:rPr>
        <w:t xml:space="preserve">el Comité de Derechos Económicos, Sociales y Culturales ha señalado que </w:t>
      </w:r>
      <w:r w:rsidR="00840F29" w:rsidRPr="00BD424E">
        <w:rPr>
          <w:rFonts w:ascii="Cambria" w:hAnsi="Cambria"/>
          <w:sz w:val="20"/>
          <w:szCs w:val="20"/>
          <w:bdr w:val="none" w:sz="0" w:space="0" w:color="auto"/>
          <w:lang w:val="es-MX"/>
        </w:rPr>
        <w:t>todos</w:t>
      </w:r>
      <w:r w:rsidR="00840F29" w:rsidRPr="00BD424E">
        <w:rPr>
          <w:rFonts w:ascii="Cambria" w:hAnsi="Cambria"/>
          <w:sz w:val="20"/>
          <w:szCs w:val="20"/>
          <w:lang w:val="es-MX"/>
        </w:rPr>
        <w:t xml:space="preserve"> los servicios, bienes e instalaciones de salud deben cumplir con requisitos de disponibilidad, </w:t>
      </w:r>
      <w:r w:rsidR="00840F29" w:rsidRPr="00BD424E">
        <w:rPr>
          <w:rFonts w:ascii="Cambria" w:eastAsia="Batang" w:hAnsi="Cambria"/>
          <w:sz w:val="20"/>
          <w:szCs w:val="20"/>
          <w:lang w:val="es-UY"/>
        </w:rPr>
        <w:t>accesibilidad</w:t>
      </w:r>
      <w:r w:rsidR="00840F29" w:rsidRPr="00BD424E">
        <w:rPr>
          <w:rFonts w:ascii="Cambria" w:hAnsi="Cambria"/>
          <w:sz w:val="20"/>
          <w:szCs w:val="20"/>
          <w:lang w:val="es-MX"/>
        </w:rPr>
        <w:t>, aceptabilidad y calidad</w:t>
      </w:r>
      <w:r w:rsidR="00840F29" w:rsidRPr="00BD424E">
        <w:rPr>
          <w:rStyle w:val="FootnoteReference"/>
          <w:rFonts w:ascii="Cambria" w:hAnsi="Cambria"/>
          <w:sz w:val="20"/>
          <w:szCs w:val="20"/>
          <w:lang w:val="es-ES"/>
        </w:rPr>
        <w:footnoteReference w:id="95"/>
      </w:r>
      <w:r w:rsidR="00840F29" w:rsidRPr="00BD424E">
        <w:rPr>
          <w:rFonts w:ascii="Cambria" w:hAnsi="Cambria"/>
          <w:sz w:val="20"/>
          <w:szCs w:val="20"/>
          <w:lang w:val="es-MX"/>
        </w:rPr>
        <w:t>. Tanto la Comisión como la Corte han tomado en cuenta estos conceptos y los han incorporado al análisis de diversos casos</w:t>
      </w:r>
      <w:r w:rsidR="00840F29" w:rsidRPr="00BD424E">
        <w:rPr>
          <w:rStyle w:val="FootnoteReference"/>
          <w:rFonts w:ascii="Cambria" w:hAnsi="Cambria"/>
          <w:sz w:val="20"/>
          <w:szCs w:val="20"/>
          <w:lang w:val="es-ES"/>
        </w:rPr>
        <w:footnoteReference w:id="96"/>
      </w:r>
      <w:r w:rsidR="00840F29" w:rsidRPr="00BD424E">
        <w:rPr>
          <w:rFonts w:ascii="Cambria" w:hAnsi="Cambria"/>
          <w:sz w:val="20"/>
          <w:szCs w:val="20"/>
          <w:lang w:val="es-MX"/>
        </w:rPr>
        <w:t>.</w:t>
      </w:r>
    </w:p>
    <w:p w14:paraId="57A72060" w14:textId="77777777" w:rsidR="002C3968" w:rsidRPr="00BD424E" w:rsidRDefault="002C3968" w:rsidP="00BD424E">
      <w:pPr>
        <w:pStyle w:val="ListParagraph"/>
      </w:pPr>
    </w:p>
    <w:p w14:paraId="1CA20D63" w14:textId="5AF2C60D" w:rsidR="001E29C5" w:rsidRPr="00BD424E" w:rsidRDefault="00C35707"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lang w:val="es-US"/>
        </w:rPr>
      </w:pPr>
      <w:r w:rsidRPr="00BD424E">
        <w:rPr>
          <w:rFonts w:asciiTheme="majorHAnsi" w:hAnsiTheme="majorHAnsi"/>
          <w:sz w:val="20"/>
          <w:szCs w:val="20"/>
          <w:lang w:val="es-MX"/>
        </w:rPr>
        <w:t>En cuanto a la salud reproductiva de las mujeres, cabe resaltar que desde 1998, la Comisión refirió que ésta</w:t>
      </w:r>
      <w:r w:rsidR="002C3968" w:rsidRPr="00BD424E">
        <w:rPr>
          <w:rFonts w:asciiTheme="majorHAnsi" w:hAnsiTheme="majorHAnsi"/>
          <w:sz w:val="20"/>
          <w:szCs w:val="20"/>
          <w:lang w:val="es-MX"/>
        </w:rPr>
        <w:t xml:space="preserve"> debe ocupar un lugar de importancia en las iniciativas legislativas y los programas de salud a nivel nacional y local y manifestó su preocupación sobre serias dificultades que enfrentan las mujeres en el sector público de salud, en general debido a la falta de recursos, la ausencia de normativa sobre salud reproductiva, la precariedad de las condiciones de prestación de los servicios y la carencia de profesionales y materiales indispensables</w:t>
      </w:r>
      <w:r w:rsidRPr="00BD424E">
        <w:rPr>
          <w:rFonts w:asciiTheme="majorHAnsi" w:hAnsiTheme="majorHAnsi"/>
          <w:sz w:val="20"/>
          <w:szCs w:val="20"/>
          <w:lang w:val="es-MX"/>
        </w:rPr>
        <w:t xml:space="preserve">. Asimismo, </w:t>
      </w:r>
      <w:r w:rsidR="002C3968" w:rsidRPr="00BD424E">
        <w:rPr>
          <w:rFonts w:asciiTheme="majorHAnsi" w:hAnsiTheme="majorHAnsi"/>
          <w:sz w:val="20"/>
          <w:szCs w:val="20"/>
          <w:lang w:val="es-MX"/>
        </w:rPr>
        <w:t xml:space="preserve">mostró su preocupación por los altos índices de mortalidad materna en la región y </w:t>
      </w:r>
      <w:r w:rsidR="002C3968" w:rsidRPr="00BD424E">
        <w:rPr>
          <w:rFonts w:asciiTheme="majorHAnsi" w:hAnsiTheme="majorHAnsi"/>
          <w:sz w:val="20"/>
          <w:szCs w:val="20"/>
          <w:lang w:val="es-MX"/>
        </w:rPr>
        <w:lastRenderedPageBreak/>
        <w:t>los obstáculos que enfrentan las mujeres para recibir los servicios de salud adecuados durante el embarazo y después del parto</w:t>
      </w:r>
      <w:r w:rsidR="002C3968" w:rsidRPr="00BD424E">
        <w:rPr>
          <w:rStyle w:val="FootnoteReference"/>
          <w:rFonts w:asciiTheme="majorHAnsi" w:hAnsiTheme="majorHAnsi"/>
          <w:sz w:val="20"/>
          <w:szCs w:val="20"/>
        </w:rPr>
        <w:footnoteReference w:id="97"/>
      </w:r>
      <w:r w:rsidR="002C3968" w:rsidRPr="00BD424E">
        <w:rPr>
          <w:rFonts w:asciiTheme="majorHAnsi" w:hAnsiTheme="majorHAnsi"/>
          <w:sz w:val="20"/>
          <w:szCs w:val="20"/>
          <w:lang w:val="es-MX"/>
        </w:rPr>
        <w:t xml:space="preserve">. </w:t>
      </w:r>
      <w:r w:rsidR="002C3968" w:rsidRPr="00BD424E">
        <w:rPr>
          <w:rFonts w:asciiTheme="majorHAnsi" w:hAnsiTheme="majorHAnsi"/>
          <w:sz w:val="20"/>
          <w:szCs w:val="20"/>
          <w:lang w:val="es-PE"/>
        </w:rPr>
        <w:t>La Comisión Interamericana también consideró que hay ciertas obligaciones fundamentales que requieren medidas prioritarias inmediatas, como la aplicación de medidas para reducir la muerte prevenible por causa de embarazo o parto, en especial que las mujeres tengan un acceso eficaz a servicios obstétricos de emergencia, y a la atención previa y durante el parto</w:t>
      </w:r>
      <w:r w:rsidR="002C3968" w:rsidRPr="00BD424E">
        <w:rPr>
          <w:rStyle w:val="FootnoteReference"/>
          <w:rFonts w:asciiTheme="majorHAnsi" w:hAnsiTheme="majorHAnsi"/>
          <w:sz w:val="20"/>
          <w:szCs w:val="20"/>
          <w:lang w:val="es-PE"/>
        </w:rPr>
        <w:footnoteReference w:id="98"/>
      </w:r>
      <w:r w:rsidRPr="00BD424E">
        <w:rPr>
          <w:rFonts w:asciiTheme="majorHAnsi" w:hAnsiTheme="majorHAnsi"/>
          <w:sz w:val="20"/>
          <w:szCs w:val="20"/>
          <w:lang w:val="es-PE"/>
        </w:rPr>
        <w:t>.</w:t>
      </w:r>
      <w:r w:rsidR="00322094" w:rsidRPr="00BD424E">
        <w:rPr>
          <w:rFonts w:asciiTheme="majorHAnsi" w:hAnsiTheme="majorHAnsi"/>
          <w:sz w:val="20"/>
          <w:szCs w:val="20"/>
          <w:lang w:val="es-PE"/>
        </w:rPr>
        <w:t xml:space="preserve"> </w:t>
      </w:r>
    </w:p>
    <w:p w14:paraId="532FB1A8" w14:textId="77777777" w:rsidR="00A95C9E" w:rsidRPr="00BD424E" w:rsidRDefault="00A95C9E"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PE"/>
        </w:rPr>
      </w:pPr>
    </w:p>
    <w:p w14:paraId="0C15DEFC" w14:textId="77777777" w:rsidR="00DC5DF1" w:rsidRPr="00BD424E" w:rsidRDefault="00A95C9E"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PE"/>
        </w:rPr>
      </w:pPr>
      <w:r w:rsidRPr="00BD424E">
        <w:rPr>
          <w:rFonts w:asciiTheme="majorHAnsi" w:hAnsiTheme="majorHAnsi"/>
          <w:sz w:val="20"/>
          <w:szCs w:val="20"/>
          <w:lang w:val="es-PE"/>
        </w:rPr>
        <w:t xml:space="preserve">Las obligaciones del Estado de proveer </w:t>
      </w:r>
      <w:r w:rsidRPr="00BD424E">
        <w:rPr>
          <w:rFonts w:ascii="Cambria" w:hAnsi="Cambria"/>
          <w:sz w:val="20"/>
          <w:szCs w:val="20"/>
          <w:lang w:val="es-PE"/>
        </w:rPr>
        <w:t>servicios adecuados en relación con el embarazo, el parto y con posterioridad a éste, ha sido reconocida en el artículo 12 de la Convención  sobre la Eliminación de todas las Formas de Discriminación contra la Mujer</w:t>
      </w:r>
      <w:r w:rsidRPr="00BD424E">
        <w:rPr>
          <w:rStyle w:val="FootnoteReference"/>
          <w:rFonts w:ascii="Cambria" w:hAnsi="Cambria"/>
          <w:sz w:val="20"/>
          <w:szCs w:val="20"/>
          <w:lang w:val="es-PE"/>
        </w:rPr>
        <w:footnoteReference w:id="99"/>
      </w:r>
      <w:r w:rsidRPr="00BD424E">
        <w:rPr>
          <w:rFonts w:ascii="Cambria" w:hAnsi="Cambria"/>
          <w:sz w:val="20"/>
          <w:szCs w:val="20"/>
          <w:lang w:val="es-PE"/>
        </w:rPr>
        <w:t xml:space="preserve">.  Por su parte, en el ámbito interamericano, la Convención Belém Do Pará, establece el derecho de las mujeres a una vida libre de toda violencia. El artículo 7 de la Convención de Belém do Pará, exige de los Estados una actuación orientada a prevenir, sancionar y erradicar la violencia contra la mujer, a través de la adopción de una serie de medidas y políticas públicas que incluyen prevenir dicha violencia. Estas obligaciones, vienen a reforzar y complementar las obligaciones que tienen los Estados bajo la Convención Americana. </w:t>
      </w:r>
    </w:p>
    <w:p w14:paraId="4088450C" w14:textId="77777777" w:rsidR="00DC5DF1" w:rsidRPr="00BD424E" w:rsidRDefault="00DC5DF1"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eastAsia="Times New Roman" w:hAnsi="Cambria"/>
          <w:sz w:val="20"/>
          <w:szCs w:val="20"/>
          <w:bdr w:val="none" w:sz="0" w:space="0" w:color="auto"/>
          <w:lang w:val="es-MX"/>
        </w:rPr>
      </w:pPr>
    </w:p>
    <w:p w14:paraId="2D3AB646" w14:textId="7FE7F65A" w:rsidR="00A95C9E" w:rsidRPr="00BD424E" w:rsidRDefault="00A95C9E"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rPr>
      </w:pPr>
      <w:r w:rsidRPr="00BD424E">
        <w:rPr>
          <w:rFonts w:ascii="Cambria" w:eastAsia="Times New Roman" w:hAnsi="Cambria"/>
          <w:sz w:val="20"/>
          <w:szCs w:val="20"/>
          <w:bdr w:val="none" w:sz="0" w:space="0" w:color="auto"/>
          <w:lang w:val="es-MX"/>
        </w:rPr>
        <w:t xml:space="preserve">La Convención de Belém do Pará ha establecido parámetros para identificar cuándo un acto constituye violencia y define en su artículo 1° que “debe entenderse por violencia contra la mujer, cualquier acción o conducta, basada en su género, que cause muerte, daño o sufrimiento físico, sexual o psicológico a la mujer, tanto en el ámbito público como en el privado”.   </w:t>
      </w:r>
      <w:r w:rsidR="00DC5DF1" w:rsidRPr="00BD424E">
        <w:rPr>
          <w:rFonts w:ascii="Cambria" w:eastAsia="Times New Roman" w:hAnsi="Cambria"/>
          <w:sz w:val="20"/>
          <w:szCs w:val="20"/>
          <w:bdr w:val="none" w:sz="0" w:space="0" w:color="auto"/>
          <w:lang w:val="es-MX"/>
        </w:rPr>
        <w:t xml:space="preserve">De la obligación señalada deriva una obligación a los Estados de </w:t>
      </w:r>
      <w:r w:rsidRPr="00BD424E">
        <w:rPr>
          <w:rFonts w:ascii="Cambria" w:eastAsia="Times New Roman" w:hAnsi="Cambria"/>
          <w:sz w:val="20"/>
          <w:szCs w:val="20"/>
          <w:bdr w:val="none" w:sz="0" w:space="0" w:color="auto"/>
          <w:lang w:val="es-MX"/>
        </w:rPr>
        <w:t>“abstenerse de cualquier acción o práctica de violencia contra la mujer y velar porque las autoridades, sus funcionarios, personal y agentes e instituciones se comporten de conformidad con esta obligación”</w:t>
      </w:r>
      <w:r w:rsidR="00DC5DF1" w:rsidRPr="00BD424E">
        <w:rPr>
          <w:rStyle w:val="FootnoteReference"/>
          <w:rFonts w:ascii="Cambria" w:eastAsia="Times New Roman" w:hAnsi="Cambria"/>
          <w:sz w:val="20"/>
          <w:szCs w:val="20"/>
          <w:bdr w:val="none" w:sz="0" w:space="0" w:color="auto"/>
          <w:lang w:val="es-MX"/>
        </w:rPr>
        <w:footnoteReference w:id="100"/>
      </w:r>
      <w:r w:rsidRPr="00BD424E">
        <w:rPr>
          <w:rFonts w:ascii="Cambria" w:eastAsia="Times New Roman" w:hAnsi="Cambria"/>
          <w:sz w:val="20"/>
          <w:szCs w:val="20"/>
          <w:bdr w:val="none" w:sz="0" w:space="0" w:color="auto"/>
          <w:lang w:val="es-MX"/>
        </w:rPr>
        <w:t xml:space="preserve">. Para hacer efectiva esta protección, la Corte ha considerado que no basta con que los Estados se abstengan de violar los derechos, sino que es imperativa la adopción de medidas positivas, determinables en función de las particulares necesidades de protección del sujeto de derecho, </w:t>
      </w:r>
      <w:r w:rsidR="00DC5DF1" w:rsidRPr="00BD424E">
        <w:rPr>
          <w:rFonts w:ascii="Cambria" w:eastAsia="Times New Roman" w:hAnsi="Cambria"/>
          <w:sz w:val="20"/>
          <w:szCs w:val="20"/>
          <w:bdr w:val="none" w:sz="0" w:space="0" w:color="auto"/>
          <w:lang w:val="es-MX"/>
        </w:rPr>
        <w:t>y</w:t>
      </w:r>
      <w:r w:rsidRPr="00BD424E">
        <w:rPr>
          <w:rFonts w:ascii="Cambria" w:eastAsia="Times New Roman" w:hAnsi="Cambria"/>
          <w:sz w:val="20"/>
          <w:szCs w:val="20"/>
          <w:bdr w:val="none" w:sz="0" w:space="0" w:color="auto"/>
          <w:lang w:val="es-MX"/>
        </w:rPr>
        <w:t xml:space="preserve"> que este deber estatal adquiere especial relevancia cuando se encuentran implicadas violaciones a los derechos sexuales</w:t>
      </w:r>
      <w:r w:rsidR="00DC5DF1" w:rsidRPr="00BD424E">
        <w:rPr>
          <w:rFonts w:ascii="Cambria" w:eastAsia="Times New Roman" w:hAnsi="Cambria"/>
          <w:sz w:val="20"/>
          <w:szCs w:val="20"/>
          <w:bdr w:val="none" w:sz="0" w:space="0" w:color="auto"/>
          <w:lang w:val="es-MX"/>
        </w:rPr>
        <w:t xml:space="preserve"> y reproductivos de las mujeres</w:t>
      </w:r>
      <w:r w:rsidR="005968CE" w:rsidRPr="00BD424E">
        <w:rPr>
          <w:rStyle w:val="FootnoteReference"/>
          <w:rFonts w:ascii="Cambria" w:eastAsia="Times New Roman" w:hAnsi="Cambria"/>
          <w:sz w:val="20"/>
          <w:szCs w:val="20"/>
          <w:bdr w:val="none" w:sz="0" w:space="0" w:color="auto"/>
          <w:lang w:val="es-MX"/>
        </w:rPr>
        <w:footnoteReference w:id="101"/>
      </w:r>
      <w:r w:rsidRPr="00BD424E">
        <w:rPr>
          <w:rFonts w:ascii="Cambria" w:eastAsia="Times New Roman" w:hAnsi="Cambria"/>
          <w:sz w:val="20"/>
          <w:szCs w:val="20"/>
          <w:bdr w:val="none" w:sz="0" w:space="0" w:color="auto"/>
          <w:lang w:val="es-MX"/>
        </w:rPr>
        <w:t>.</w:t>
      </w:r>
    </w:p>
    <w:p w14:paraId="01C4C540" w14:textId="2058DE6D" w:rsidR="00A95C9E" w:rsidRPr="00BD424E" w:rsidRDefault="00A95C9E"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PE"/>
        </w:rPr>
      </w:pPr>
      <w:r w:rsidRPr="00BD424E">
        <w:rPr>
          <w:rFonts w:ascii="Cambria" w:eastAsia="Times New Roman" w:hAnsi="Cambria"/>
          <w:sz w:val="20"/>
          <w:szCs w:val="20"/>
          <w:bdr w:val="none" w:sz="0" w:space="0" w:color="auto"/>
          <w:lang w:val="es-MX"/>
        </w:rPr>
        <w:t xml:space="preserve"> </w:t>
      </w:r>
    </w:p>
    <w:p w14:paraId="00A6D927" w14:textId="3EE98622" w:rsidR="00AA203B" w:rsidRPr="00BD424E" w:rsidRDefault="00913D98"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PE"/>
        </w:rPr>
      </w:pPr>
      <w:r w:rsidRPr="00BD424E">
        <w:rPr>
          <w:rFonts w:asciiTheme="majorHAnsi" w:hAnsiTheme="majorHAnsi"/>
          <w:sz w:val="20"/>
          <w:szCs w:val="20"/>
          <w:lang w:val="es-PE"/>
        </w:rPr>
        <w:t>E</w:t>
      </w:r>
      <w:r w:rsidR="005968CE" w:rsidRPr="00BD424E">
        <w:rPr>
          <w:rFonts w:asciiTheme="majorHAnsi" w:hAnsiTheme="majorHAnsi"/>
          <w:sz w:val="20"/>
          <w:szCs w:val="20"/>
          <w:lang w:val="es-PE"/>
        </w:rPr>
        <w:t>n relación con tales obligaciones, la Comisión observa que e</w:t>
      </w:r>
      <w:r w:rsidR="00AA203B" w:rsidRPr="00BD424E">
        <w:rPr>
          <w:rFonts w:asciiTheme="majorHAnsi" w:hAnsiTheme="majorHAnsi"/>
          <w:sz w:val="20"/>
          <w:szCs w:val="20"/>
          <w:lang w:val="es-PE"/>
        </w:rPr>
        <w:t>l</w:t>
      </w:r>
      <w:r w:rsidRPr="00BD424E">
        <w:rPr>
          <w:rFonts w:asciiTheme="majorHAnsi" w:hAnsiTheme="majorHAnsi"/>
          <w:sz w:val="20"/>
          <w:szCs w:val="20"/>
          <w:lang w:val="es-PE"/>
        </w:rPr>
        <w:t xml:space="preserve"> </w:t>
      </w:r>
      <w:r w:rsidR="00F63F48" w:rsidRPr="00BD424E">
        <w:rPr>
          <w:rFonts w:asciiTheme="majorHAnsi" w:hAnsiTheme="majorHAnsi"/>
          <w:sz w:val="20"/>
          <w:szCs w:val="20"/>
          <w:lang w:val="es-PE"/>
        </w:rPr>
        <w:t>Comité para la Eliminación de la Discriminación contra la mujer</w:t>
      </w:r>
      <w:r w:rsidR="00C35707" w:rsidRPr="00BD424E">
        <w:rPr>
          <w:rFonts w:asciiTheme="majorHAnsi" w:hAnsiTheme="majorHAnsi"/>
          <w:sz w:val="20"/>
          <w:szCs w:val="20"/>
          <w:lang w:val="es-PE"/>
        </w:rPr>
        <w:t>,</w:t>
      </w:r>
      <w:r w:rsidR="00F63F48" w:rsidRPr="00BD424E">
        <w:rPr>
          <w:rFonts w:asciiTheme="majorHAnsi" w:hAnsiTheme="majorHAnsi"/>
          <w:sz w:val="20"/>
          <w:szCs w:val="20"/>
          <w:lang w:val="es-PE"/>
        </w:rPr>
        <w:t xml:space="preserve"> aseguró que es obligación de los Estados Partes garantizar el derecho de la mujer a servicios de maternidad sin riesgos y a servicios obstétricos de emergencia</w:t>
      </w:r>
      <w:r w:rsidR="00F63F48" w:rsidRPr="00BD424E">
        <w:rPr>
          <w:rFonts w:asciiTheme="majorHAnsi" w:hAnsiTheme="majorHAnsi"/>
          <w:sz w:val="20"/>
          <w:szCs w:val="20"/>
          <w:vertAlign w:val="superscript"/>
        </w:rPr>
        <w:footnoteReference w:id="102"/>
      </w:r>
      <w:r w:rsidR="00F63F48" w:rsidRPr="00BD424E">
        <w:rPr>
          <w:rFonts w:asciiTheme="majorHAnsi" w:hAnsiTheme="majorHAnsi"/>
          <w:sz w:val="20"/>
          <w:szCs w:val="20"/>
          <w:lang w:val="es-PE"/>
        </w:rPr>
        <w:t>.</w:t>
      </w:r>
      <w:r w:rsidR="002C3968" w:rsidRPr="00BD424E">
        <w:rPr>
          <w:rFonts w:asciiTheme="majorHAnsi" w:hAnsiTheme="majorHAnsi"/>
          <w:sz w:val="20"/>
          <w:szCs w:val="20"/>
          <w:lang w:val="es-PE"/>
        </w:rPr>
        <w:t xml:space="preserve"> </w:t>
      </w:r>
      <w:r w:rsidR="00AA203B" w:rsidRPr="00BD424E">
        <w:rPr>
          <w:rFonts w:asciiTheme="majorHAnsi" w:hAnsiTheme="majorHAnsi"/>
          <w:sz w:val="20"/>
          <w:szCs w:val="20"/>
          <w:lang w:val="es-PE"/>
        </w:rPr>
        <w:t>Dicho Comité ha resaltado que las “las mujeres tienen el derecho a estar plenamente informadas por personal debidamente capacitado de sus opciones al aceptar tratamiento o investigación, incluidos los posibles beneficios y los posibles efectos desfavorables de los procedimientos propuestos y las opciones disponibles”</w:t>
      </w:r>
      <w:r w:rsidR="00AA203B" w:rsidRPr="00BD424E">
        <w:rPr>
          <w:rFonts w:asciiTheme="majorHAnsi" w:hAnsiTheme="majorHAnsi"/>
          <w:sz w:val="20"/>
          <w:szCs w:val="20"/>
          <w:vertAlign w:val="superscript"/>
          <w:lang w:val="es-US"/>
        </w:rPr>
        <w:t xml:space="preserve"> </w:t>
      </w:r>
      <w:r w:rsidR="00AA203B" w:rsidRPr="00BD424E">
        <w:rPr>
          <w:rFonts w:asciiTheme="majorHAnsi" w:hAnsiTheme="majorHAnsi"/>
          <w:sz w:val="20"/>
          <w:szCs w:val="20"/>
          <w:vertAlign w:val="superscript"/>
        </w:rPr>
        <w:footnoteReference w:id="103"/>
      </w:r>
      <w:r w:rsidR="00AA203B" w:rsidRPr="00BD424E">
        <w:rPr>
          <w:rFonts w:asciiTheme="majorHAnsi" w:hAnsiTheme="majorHAnsi"/>
          <w:sz w:val="20"/>
          <w:szCs w:val="20"/>
          <w:lang w:val="es-PE"/>
        </w:rPr>
        <w:t>.</w:t>
      </w:r>
      <w:r w:rsidR="005968CE" w:rsidRPr="00BD424E">
        <w:rPr>
          <w:rFonts w:asciiTheme="majorHAnsi" w:hAnsiTheme="majorHAnsi"/>
          <w:sz w:val="20"/>
          <w:szCs w:val="20"/>
          <w:lang w:val="es-PE"/>
        </w:rPr>
        <w:t xml:space="preserve"> Además, al momento de determinar si un Estado ha cumplido con las obligaciones que derivan de la Convención</w:t>
      </w:r>
      <w:r w:rsidR="00832657" w:rsidRPr="00BD424E">
        <w:rPr>
          <w:rFonts w:asciiTheme="majorHAnsi" w:hAnsiTheme="majorHAnsi"/>
          <w:sz w:val="20"/>
          <w:szCs w:val="20"/>
          <w:lang w:val="es-PE"/>
        </w:rPr>
        <w:t xml:space="preserve"> sobre la Eliminación de todas las Formas de</w:t>
      </w:r>
      <w:r w:rsidR="001B6AE4" w:rsidRPr="00BD424E">
        <w:rPr>
          <w:rFonts w:asciiTheme="majorHAnsi" w:hAnsiTheme="majorHAnsi"/>
          <w:sz w:val="20"/>
          <w:szCs w:val="20"/>
          <w:lang w:val="es-PE"/>
        </w:rPr>
        <w:t xml:space="preserve"> Violencia contr la Mujer, el</w:t>
      </w:r>
      <w:r w:rsidR="00832657" w:rsidRPr="00BD424E">
        <w:rPr>
          <w:rFonts w:asciiTheme="majorHAnsi" w:hAnsiTheme="majorHAnsi"/>
          <w:sz w:val="20"/>
          <w:szCs w:val="20"/>
          <w:lang w:val="es-PE"/>
        </w:rPr>
        <w:t xml:space="preserve"> Comité ha evaluado si los malestares informados por la paciente fueron debidamente tomados en cuenta por el personal médico, si se realizaron los exámenes correspondientes y de forma oportuna, </w:t>
      </w:r>
      <w:r w:rsidR="001B6AE4" w:rsidRPr="00BD424E">
        <w:rPr>
          <w:rFonts w:asciiTheme="majorHAnsi" w:hAnsiTheme="majorHAnsi"/>
          <w:sz w:val="20"/>
          <w:szCs w:val="20"/>
          <w:lang w:val="es-PE"/>
        </w:rPr>
        <w:t xml:space="preserve">y </w:t>
      </w:r>
      <w:r w:rsidR="00832657" w:rsidRPr="00BD424E">
        <w:rPr>
          <w:rFonts w:asciiTheme="majorHAnsi" w:hAnsiTheme="majorHAnsi"/>
          <w:sz w:val="20"/>
          <w:szCs w:val="20"/>
          <w:lang w:val="es-PE"/>
        </w:rPr>
        <w:t xml:space="preserve"> si la calidad de los servicios fue adecuada de acuerdo co</w:t>
      </w:r>
      <w:r w:rsidR="004D3183" w:rsidRPr="00BD424E">
        <w:rPr>
          <w:rFonts w:asciiTheme="majorHAnsi" w:hAnsiTheme="majorHAnsi"/>
          <w:sz w:val="20"/>
          <w:szCs w:val="20"/>
          <w:lang w:val="es-PE"/>
        </w:rPr>
        <w:t>n las circunstancias o desarrollo del embaraz</w:t>
      </w:r>
      <w:r w:rsidR="00832657" w:rsidRPr="00BD424E">
        <w:rPr>
          <w:rFonts w:asciiTheme="majorHAnsi" w:hAnsiTheme="majorHAnsi"/>
          <w:sz w:val="20"/>
          <w:szCs w:val="20"/>
          <w:lang w:val="es-PE"/>
        </w:rPr>
        <w:t>o y posibles complicaciones que pudieran derivar del mismo</w:t>
      </w:r>
      <w:r w:rsidR="00832657" w:rsidRPr="00BD424E">
        <w:rPr>
          <w:rStyle w:val="FootnoteReference"/>
          <w:rFonts w:asciiTheme="majorHAnsi" w:hAnsiTheme="majorHAnsi"/>
          <w:sz w:val="20"/>
          <w:szCs w:val="20"/>
          <w:lang w:val="es-PE"/>
        </w:rPr>
        <w:footnoteReference w:id="104"/>
      </w:r>
      <w:r w:rsidR="00832657" w:rsidRPr="00BD424E">
        <w:rPr>
          <w:rFonts w:asciiTheme="majorHAnsi" w:hAnsiTheme="majorHAnsi"/>
          <w:sz w:val="20"/>
          <w:szCs w:val="20"/>
          <w:lang w:val="es-PE"/>
        </w:rPr>
        <w:t>.</w:t>
      </w:r>
    </w:p>
    <w:p w14:paraId="08DC5962" w14:textId="77777777" w:rsidR="00AA203B" w:rsidRPr="00BD424E" w:rsidRDefault="00AA203B"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lang w:val="es-US"/>
        </w:rPr>
      </w:pPr>
    </w:p>
    <w:p w14:paraId="2EE917D8" w14:textId="055A0902" w:rsidR="00AC10BB" w:rsidRPr="00BD424E" w:rsidRDefault="002C3968"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lang w:val="es-US"/>
        </w:rPr>
      </w:pPr>
      <w:r w:rsidRPr="00BD424E">
        <w:rPr>
          <w:rFonts w:asciiTheme="majorHAnsi" w:hAnsiTheme="majorHAnsi"/>
          <w:sz w:val="20"/>
          <w:szCs w:val="20"/>
          <w:lang w:val="es-PE"/>
        </w:rPr>
        <w:t xml:space="preserve">La Comisión también nota que el Comité DESC ha entendido </w:t>
      </w:r>
      <w:r w:rsidR="00832657" w:rsidRPr="00BD424E">
        <w:rPr>
          <w:rFonts w:asciiTheme="majorHAnsi" w:hAnsiTheme="majorHAnsi"/>
          <w:sz w:val="20"/>
          <w:szCs w:val="20"/>
          <w:lang w:val="es-PE"/>
        </w:rPr>
        <w:t xml:space="preserve">asimismo </w:t>
      </w:r>
      <w:r w:rsidRPr="00BD424E">
        <w:rPr>
          <w:rFonts w:asciiTheme="majorHAnsi" w:hAnsiTheme="majorHAnsi"/>
          <w:sz w:val="20"/>
          <w:szCs w:val="20"/>
          <w:lang w:val="es-PE"/>
        </w:rPr>
        <w:t>como una obligación básica de los Estados velar por la adecuada atención de la salud materna prenatal y postnatal</w:t>
      </w:r>
      <w:r w:rsidR="00871011" w:rsidRPr="00BD424E">
        <w:rPr>
          <w:rFonts w:asciiTheme="majorHAnsi" w:hAnsiTheme="majorHAnsi"/>
          <w:sz w:val="20"/>
          <w:szCs w:val="20"/>
          <w:vertAlign w:val="superscript"/>
        </w:rPr>
        <w:footnoteReference w:id="105"/>
      </w:r>
      <w:r w:rsidRPr="00BD424E">
        <w:rPr>
          <w:rFonts w:asciiTheme="majorHAnsi" w:hAnsiTheme="majorHAnsi"/>
          <w:sz w:val="20"/>
          <w:szCs w:val="20"/>
          <w:lang w:val="es-PE"/>
        </w:rPr>
        <w:t>.</w:t>
      </w:r>
      <w:r w:rsidR="00C35707" w:rsidRPr="00BD424E">
        <w:rPr>
          <w:rFonts w:asciiTheme="majorHAnsi" w:hAnsiTheme="majorHAnsi"/>
          <w:sz w:val="20"/>
          <w:szCs w:val="20"/>
          <w:lang w:val="es-PE"/>
        </w:rPr>
        <w:t xml:space="preserve"> El Grupo de Trabajo </w:t>
      </w:r>
      <w:r w:rsidR="00C35707" w:rsidRPr="00BD424E">
        <w:rPr>
          <w:rFonts w:asciiTheme="majorHAnsi" w:hAnsiTheme="majorHAnsi"/>
          <w:sz w:val="20"/>
          <w:szCs w:val="20"/>
          <w:lang w:val="es-PE"/>
        </w:rPr>
        <w:lastRenderedPageBreak/>
        <w:t>Regional para la Reducción de la Mortalidad Materna indicó que la salud materna es parte del derecho a la salud, y que la muerte materna se considera una expresión del débil funcionamiento de los sistemas de salud</w:t>
      </w:r>
      <w:r w:rsidR="00C35707" w:rsidRPr="00BD424E">
        <w:rPr>
          <w:rStyle w:val="FootnoteReference"/>
          <w:rFonts w:ascii="Cambria" w:hAnsi="Cambria"/>
          <w:sz w:val="20"/>
          <w:szCs w:val="20"/>
        </w:rPr>
        <w:footnoteReference w:id="106"/>
      </w:r>
      <w:r w:rsidR="00C35707" w:rsidRPr="00BD424E">
        <w:rPr>
          <w:rFonts w:ascii="Cambria" w:hAnsi="Cambria"/>
          <w:sz w:val="20"/>
          <w:szCs w:val="20"/>
          <w:lang w:val="es-US"/>
        </w:rPr>
        <w:t>.</w:t>
      </w:r>
      <w:r w:rsidR="008164F6" w:rsidRPr="00BD424E">
        <w:rPr>
          <w:rFonts w:ascii="Cambria" w:hAnsi="Cambria"/>
          <w:sz w:val="20"/>
          <w:szCs w:val="20"/>
          <w:lang w:val="es-US"/>
        </w:rPr>
        <w:t xml:space="preserve"> </w:t>
      </w:r>
      <w:r w:rsidR="004D3183" w:rsidRPr="00BD424E">
        <w:rPr>
          <w:sz w:val="20"/>
          <w:szCs w:val="20"/>
          <w:lang w:val="es-US"/>
        </w:rPr>
        <w:t>Por su parte</w:t>
      </w:r>
      <w:r w:rsidR="00C35707" w:rsidRPr="00BD424E">
        <w:rPr>
          <w:sz w:val="20"/>
          <w:szCs w:val="20"/>
          <w:lang w:val="es-US"/>
        </w:rPr>
        <w:t xml:space="preserve">, </w:t>
      </w:r>
      <w:r w:rsidRPr="00BD424E">
        <w:rPr>
          <w:sz w:val="20"/>
          <w:szCs w:val="20"/>
          <w:lang w:val="es-US"/>
        </w:rPr>
        <w:t>la Oficina del Alto Comisionado de las Naciones Unidas para los Derechos Humanos indicó que los Estado deben identificar los obstáculos que se oponen a la aplicación efectiva de los derechos de las mujeres en el ámbito de la salud materna, por ejemplo, a través de informaciones sobre lo que está ocurriendo, quienes son los afectados, y principalmente cuáles factores impiden a las mujeres, o a ciertas mujeres, tener un embarazo y un parto sin riesgos y disfrutar más ampliamente de sus derechos a la salud sexual y reproductiva. En ese marco indica que la atención obstétrica de urgencia es una obligación fundamental con arreglo al derecho internacional, y es la intervención básica de salud materna que más depende del buen funcionamiento y la coordinación del sistema de salud</w:t>
      </w:r>
      <w:r w:rsidRPr="00BD424E">
        <w:rPr>
          <w:rStyle w:val="FootnoteReference"/>
          <w:rFonts w:ascii="Cambria" w:hAnsi="Cambria"/>
          <w:sz w:val="20"/>
          <w:szCs w:val="20"/>
        </w:rPr>
        <w:footnoteReference w:id="107"/>
      </w:r>
      <w:r w:rsidRPr="00BD424E">
        <w:rPr>
          <w:lang w:val="es-US"/>
        </w:rPr>
        <w:t xml:space="preserve">. </w:t>
      </w:r>
    </w:p>
    <w:p w14:paraId="01FDF384" w14:textId="77777777" w:rsidR="00490D01" w:rsidRPr="00BD424E" w:rsidRDefault="00490D01" w:rsidP="00BD424E">
      <w:pPr>
        <w:pStyle w:val="ListParagraph"/>
      </w:pPr>
    </w:p>
    <w:p w14:paraId="0673B565" w14:textId="77777777" w:rsidR="00761B40" w:rsidRPr="00BD424E" w:rsidRDefault="00EA6340" w:rsidP="00BD424E">
      <w:pPr>
        <w:pStyle w:val="parrafos"/>
        <w:ind w:left="0" w:firstLine="0"/>
      </w:pPr>
      <w:r w:rsidRPr="00BD424E">
        <w:rPr>
          <w:rFonts w:ascii="Cambria" w:hAnsi="Cambria"/>
          <w:lang w:val="es-PE"/>
        </w:rPr>
        <w:t>En cuanto a la pr</w:t>
      </w:r>
      <w:r w:rsidR="00A07E66" w:rsidRPr="00BD424E">
        <w:rPr>
          <w:rFonts w:ascii="Cambria" w:hAnsi="Cambria"/>
          <w:lang w:val="es-PE"/>
        </w:rPr>
        <w:t>e</w:t>
      </w:r>
      <w:r w:rsidRPr="00BD424E">
        <w:rPr>
          <w:rFonts w:ascii="Cambria" w:hAnsi="Cambria"/>
          <w:lang w:val="es-PE"/>
        </w:rPr>
        <w:t>eclamsia</w:t>
      </w:r>
      <w:r w:rsidR="00A07E66" w:rsidRPr="00BD424E">
        <w:rPr>
          <w:rFonts w:ascii="Cambria" w:hAnsi="Cambria"/>
          <w:lang w:val="es-PE"/>
        </w:rPr>
        <w:t xml:space="preserve"> y eclampsia, la Comisi</w:t>
      </w:r>
      <w:r w:rsidR="00490D01" w:rsidRPr="00BD424E">
        <w:rPr>
          <w:rFonts w:ascii="Cambria" w:hAnsi="Cambria"/>
          <w:lang w:val="es-PE"/>
        </w:rPr>
        <w:t xml:space="preserve">ón resalta algunos datos relevados </w:t>
      </w:r>
      <w:r w:rsidR="00A07E66" w:rsidRPr="00BD424E">
        <w:rPr>
          <w:rFonts w:ascii="Cambria" w:hAnsi="Cambria"/>
          <w:lang w:val="es-PE"/>
        </w:rPr>
        <w:t xml:space="preserve">por la Organización Mundial de la Salud. Así, la OMS ha referido que </w:t>
      </w:r>
      <w:r w:rsidR="00761B40" w:rsidRPr="00BD424E">
        <w:rPr>
          <w:rFonts w:ascii="Cambria" w:hAnsi="Cambria"/>
          <w:lang w:val="es-PE"/>
        </w:rPr>
        <w:t xml:space="preserve">los trastornos hipertensivos del embarazo afectan </w:t>
      </w:r>
      <w:r w:rsidR="00A07E66" w:rsidRPr="00BD424E">
        <w:rPr>
          <w:rFonts w:ascii="Cambria" w:hAnsi="Cambria"/>
          <w:lang w:val="es-PE"/>
        </w:rPr>
        <w:t xml:space="preserve">a </w:t>
      </w:r>
      <w:r w:rsidR="00761B40" w:rsidRPr="00BD424E">
        <w:rPr>
          <w:rFonts w:ascii="Cambria" w:hAnsi="Cambria"/>
          <w:lang w:val="es-PE"/>
        </w:rPr>
        <w:t>alrededor del 10% de las embarazadas de todo el mundo y</w:t>
      </w:r>
      <w:r w:rsidR="00A07E66" w:rsidRPr="00BD424E">
        <w:rPr>
          <w:rFonts w:ascii="Cambria" w:hAnsi="Cambria"/>
          <w:lang w:val="es-PE"/>
        </w:rPr>
        <w:t xml:space="preserve">, entre ellos, </w:t>
      </w:r>
      <w:r w:rsidR="00761B40" w:rsidRPr="00BD424E">
        <w:rPr>
          <w:rFonts w:ascii="Cambria" w:hAnsi="Cambria"/>
          <w:lang w:val="es-PE"/>
        </w:rPr>
        <w:t>la preeclampsia sobresale por su impacto en la salud materna y neonatal</w:t>
      </w:r>
      <w:r w:rsidR="00A07E66" w:rsidRPr="00BD424E">
        <w:rPr>
          <w:rFonts w:ascii="Cambria" w:hAnsi="Cambria"/>
          <w:lang w:val="es-PE"/>
        </w:rPr>
        <w:t xml:space="preserve"> y que </w:t>
      </w:r>
      <w:r w:rsidR="00761B40" w:rsidRPr="00BD424E">
        <w:rPr>
          <w:rFonts w:ascii="Cambria" w:hAnsi="Cambria"/>
          <w:lang w:val="es-PE"/>
        </w:rPr>
        <w:t>en América Latina, una cuarta parte de las defunciones maternas se relacionan con esa</w:t>
      </w:r>
      <w:r w:rsidR="00A07E66" w:rsidRPr="00BD424E">
        <w:rPr>
          <w:rFonts w:ascii="Cambria" w:hAnsi="Cambria"/>
          <w:lang w:val="es-PE"/>
        </w:rPr>
        <w:t>s complicaciones</w:t>
      </w:r>
      <w:r w:rsidR="00A07E66" w:rsidRPr="00BD424E">
        <w:rPr>
          <w:rStyle w:val="FootnoteReference"/>
          <w:rFonts w:ascii="Cambria" w:hAnsi="Cambria"/>
          <w:lang w:val="es-PE"/>
        </w:rPr>
        <w:footnoteReference w:id="108"/>
      </w:r>
      <w:r w:rsidR="00A07E66" w:rsidRPr="00BD424E">
        <w:rPr>
          <w:rFonts w:ascii="Cambria" w:hAnsi="Cambria"/>
          <w:lang w:val="es-PE"/>
        </w:rPr>
        <w:t>. Para la OMS “l</w:t>
      </w:r>
      <w:r w:rsidR="00761B40" w:rsidRPr="00BD424E">
        <w:rPr>
          <w:rFonts w:ascii="Cambria" w:hAnsi="Cambria"/>
          <w:lang w:val="es-PE"/>
        </w:rPr>
        <w:t xml:space="preserve">a mayoría de las muertes relacionadas con trastornos hipertensivos se pueden evitar prestando atención oportuna y eficaz a las mujeres que tienen estas complicaciones”. </w:t>
      </w:r>
      <w:r w:rsidR="005B1008" w:rsidRPr="00BD424E">
        <w:rPr>
          <w:rFonts w:ascii="Cambria" w:hAnsi="Cambria"/>
          <w:lang w:val="es-PE"/>
        </w:rPr>
        <w:t>Aunque la OMS refiere que “el diagnóstico, las pruebas de detección y, el control y el tratamiento de la preeclampsia continúan siendo polémicos, al igual que la clasificación de su gravedad</w:t>
      </w:r>
      <w:r w:rsidR="00490D01" w:rsidRPr="00BD424E">
        <w:rPr>
          <w:rFonts w:ascii="Cambria" w:hAnsi="Cambria"/>
          <w:lang w:val="es-PE"/>
        </w:rPr>
        <w:t>”, agrega que “</w:t>
      </w:r>
      <w:r w:rsidR="00761B40" w:rsidRPr="00BD424E">
        <w:rPr>
          <w:rFonts w:ascii="Cambria" w:hAnsi="Cambria"/>
          <w:lang w:val="es-PE"/>
        </w:rPr>
        <w:t>habitualmente se acepta que el comienzo de un nuevo episodio de hipertensión durante el embarazo (con presión diastólica persistente de &gt;90 mm Hg) acompañado por proteinuria considerable (&gt;0,3 g/24 h) puede utilizarse como criterio para identificar la preeclampsia”</w:t>
      </w:r>
      <w:r w:rsidR="00761B40" w:rsidRPr="00BD424E">
        <w:rPr>
          <w:rStyle w:val="FootnoteReference"/>
          <w:rFonts w:ascii="Cambria" w:hAnsi="Cambria"/>
          <w:lang w:val="es-PE"/>
        </w:rPr>
        <w:footnoteReference w:id="109"/>
      </w:r>
      <w:r w:rsidR="00761B40" w:rsidRPr="00BD424E">
        <w:rPr>
          <w:rFonts w:ascii="Cambria" w:hAnsi="Cambria"/>
          <w:lang w:val="es-PE"/>
        </w:rPr>
        <w:t>.</w:t>
      </w:r>
      <w:r w:rsidR="00490D01" w:rsidRPr="00BD424E">
        <w:rPr>
          <w:rFonts w:ascii="Cambria" w:hAnsi="Cambria"/>
          <w:lang w:val="es-PE"/>
        </w:rPr>
        <w:t xml:space="preserve"> </w:t>
      </w:r>
      <w:r w:rsidR="005B1008" w:rsidRPr="00BD424E">
        <w:rPr>
          <w:rFonts w:ascii="Cambria" w:hAnsi="Cambria"/>
          <w:lang w:val="es-PE"/>
        </w:rPr>
        <w:t>Asimismo, refiere a la obesidad como uno de los factores de riesgo para preeclampsia.</w:t>
      </w:r>
    </w:p>
    <w:p w14:paraId="20029E24" w14:textId="77777777" w:rsidR="00144D48" w:rsidRPr="00BD424E" w:rsidRDefault="00144D48" w:rsidP="00BD424E">
      <w:pPr>
        <w:pStyle w:val="parrafos"/>
        <w:numPr>
          <w:ilvl w:val="0"/>
          <w:numId w:val="0"/>
        </w:numPr>
        <w:rPr>
          <w:rFonts w:ascii="Cambria" w:hAnsi="Cambria"/>
          <w:lang w:val="es-AR"/>
        </w:rPr>
      </w:pPr>
    </w:p>
    <w:p w14:paraId="1F798943" w14:textId="77777777" w:rsidR="00AB61B8" w:rsidRPr="00BD424E" w:rsidRDefault="00AB61B8" w:rsidP="00BD424E">
      <w:pPr>
        <w:pStyle w:val="Heading3"/>
        <w:ind w:left="360"/>
      </w:pPr>
      <w:bookmarkStart w:id="34" w:name="_Toc33525304"/>
      <w:r w:rsidRPr="00BD424E">
        <w:t>Análisis del caso</w:t>
      </w:r>
      <w:bookmarkEnd w:id="34"/>
      <w:r w:rsidRPr="00BD424E">
        <w:t xml:space="preserve"> </w:t>
      </w:r>
    </w:p>
    <w:p w14:paraId="149390CB" w14:textId="77777777" w:rsidR="00AB61B8" w:rsidRPr="00BD424E" w:rsidRDefault="00AB61B8" w:rsidP="00BD424E">
      <w:pPr>
        <w:pStyle w:val="ListParagraph"/>
      </w:pPr>
    </w:p>
    <w:p w14:paraId="7C26757A" w14:textId="77777777" w:rsidR="00327403" w:rsidRPr="00BD424E" w:rsidRDefault="00F52324" w:rsidP="00BD424E">
      <w:pPr>
        <w:pStyle w:val="parrafos"/>
        <w:ind w:left="0" w:firstLine="0"/>
        <w:rPr>
          <w:rFonts w:ascii="Cambria" w:hAnsi="Cambria"/>
          <w:lang w:val="es-AR"/>
        </w:rPr>
      </w:pPr>
      <w:r w:rsidRPr="00BD424E">
        <w:rPr>
          <w:rFonts w:ascii="Cambria" w:hAnsi="Cambria"/>
          <w:lang w:val="es-AR"/>
        </w:rPr>
        <w:t xml:space="preserve">A la Comisión no le compete determinar cuál fue la causa de la muerte de la señora Britez </w:t>
      </w:r>
      <w:r w:rsidR="00327403" w:rsidRPr="00BD424E">
        <w:rPr>
          <w:rFonts w:ascii="Cambria" w:hAnsi="Cambria"/>
          <w:lang w:val="es-AR"/>
        </w:rPr>
        <w:t xml:space="preserve">y, como ya ha establecido, </w:t>
      </w:r>
      <w:r w:rsidR="00327403" w:rsidRPr="00BD424E">
        <w:rPr>
          <w:rFonts w:ascii="Cambria" w:hAnsi="Cambria"/>
          <w:color w:val="auto"/>
          <w:lang w:val="es-PE"/>
        </w:rPr>
        <w:t>“para efectos de la responsabilidad internacional del Estado por incumplimiento de alguno de los principios asociados al derecho a la salud y vinculados por conexidad con el derecho a la vida e integridad personal, no resulta necesario establecer fehacientemente cuál fue la causa de la muerte”</w:t>
      </w:r>
      <w:r w:rsidR="00327403" w:rsidRPr="00BD424E">
        <w:rPr>
          <w:rFonts w:ascii="Cambria" w:hAnsi="Cambria"/>
          <w:color w:val="auto"/>
          <w:vertAlign w:val="superscript"/>
          <w:lang w:val="es-PE"/>
        </w:rPr>
        <w:footnoteReference w:id="110"/>
      </w:r>
      <w:r w:rsidR="00327403" w:rsidRPr="00BD424E">
        <w:rPr>
          <w:rFonts w:ascii="Cambria" w:hAnsi="Cambria"/>
          <w:color w:val="auto"/>
          <w:lang w:val="es-PE"/>
        </w:rPr>
        <w:t>.</w:t>
      </w:r>
    </w:p>
    <w:p w14:paraId="6A75B494" w14:textId="77777777" w:rsidR="00327403" w:rsidRPr="00BD424E" w:rsidRDefault="00327403" w:rsidP="00BD424E">
      <w:pPr>
        <w:pStyle w:val="parrafos"/>
        <w:numPr>
          <w:ilvl w:val="0"/>
          <w:numId w:val="0"/>
        </w:numPr>
        <w:rPr>
          <w:rFonts w:ascii="Cambria" w:hAnsi="Cambria"/>
          <w:lang w:val="es-AR"/>
        </w:rPr>
      </w:pPr>
    </w:p>
    <w:p w14:paraId="409D7F89" w14:textId="34BB95F5" w:rsidR="00C411B8" w:rsidRPr="00BD424E" w:rsidRDefault="00327403" w:rsidP="00BD424E">
      <w:pPr>
        <w:pStyle w:val="parrafos"/>
        <w:ind w:left="0" w:firstLine="0"/>
        <w:rPr>
          <w:rFonts w:ascii="Cambria" w:hAnsi="Cambria"/>
          <w:lang w:val="es-AR"/>
        </w:rPr>
      </w:pPr>
      <w:r w:rsidRPr="00BD424E">
        <w:rPr>
          <w:rFonts w:ascii="Cambria" w:hAnsi="Cambria"/>
          <w:lang w:val="es-AR"/>
        </w:rPr>
        <w:t xml:space="preserve"> Tampoco corresponde a la Comisión determinar</w:t>
      </w:r>
      <w:r w:rsidR="00F52324" w:rsidRPr="00BD424E">
        <w:rPr>
          <w:rFonts w:ascii="Cambria" w:hAnsi="Cambria"/>
          <w:lang w:val="es-AR"/>
        </w:rPr>
        <w:t xml:space="preserve"> el valor de los peritajes realizados</w:t>
      </w:r>
      <w:r w:rsidR="00C411B8" w:rsidRPr="00BD424E">
        <w:rPr>
          <w:rFonts w:ascii="Cambria" w:hAnsi="Cambria"/>
          <w:lang w:val="es-AR"/>
        </w:rPr>
        <w:t xml:space="preserve"> a nivel interno pero sí le corresponde </w:t>
      </w:r>
      <w:r w:rsidR="00F52324" w:rsidRPr="00BD424E">
        <w:rPr>
          <w:rFonts w:ascii="Cambria" w:hAnsi="Cambria"/>
          <w:lang w:val="es-AR"/>
        </w:rPr>
        <w:t>establec</w:t>
      </w:r>
      <w:r w:rsidR="00C411B8" w:rsidRPr="00BD424E">
        <w:rPr>
          <w:rFonts w:ascii="Cambria" w:hAnsi="Cambria"/>
          <w:lang w:val="es-AR"/>
        </w:rPr>
        <w:t xml:space="preserve">er si el Estado hizo todo lo que </w:t>
      </w:r>
      <w:r w:rsidR="000465B7" w:rsidRPr="00BD424E">
        <w:rPr>
          <w:rFonts w:ascii="Cambria" w:hAnsi="Cambria"/>
          <w:lang w:val="es-AR"/>
        </w:rPr>
        <w:t xml:space="preserve">razonablemente </w:t>
      </w:r>
      <w:r w:rsidR="00C411B8" w:rsidRPr="00BD424E">
        <w:rPr>
          <w:rFonts w:ascii="Cambria" w:hAnsi="Cambria"/>
          <w:lang w:val="es-AR"/>
        </w:rPr>
        <w:t>estuvo a su alcance</w:t>
      </w:r>
      <w:r w:rsidR="000465B7" w:rsidRPr="00BD424E">
        <w:rPr>
          <w:rFonts w:ascii="Cambria" w:hAnsi="Cambria"/>
          <w:lang w:val="es-AR"/>
        </w:rPr>
        <w:t>,</w:t>
      </w:r>
      <w:r w:rsidR="00C411B8" w:rsidRPr="00BD424E">
        <w:rPr>
          <w:rFonts w:ascii="Cambria" w:hAnsi="Cambria"/>
          <w:lang w:val="es-AR"/>
        </w:rPr>
        <w:t xml:space="preserve"> para prevenir la muerte de la señora Britez</w:t>
      </w:r>
      <w:r w:rsidR="003755E7" w:rsidRPr="00BD424E">
        <w:rPr>
          <w:rFonts w:ascii="Cambria" w:hAnsi="Cambria"/>
          <w:lang w:val="es-AR"/>
        </w:rPr>
        <w:t>, de conformidad con sus obligaciones internacionales</w:t>
      </w:r>
      <w:r w:rsidR="00C411B8" w:rsidRPr="00BD424E">
        <w:rPr>
          <w:rFonts w:ascii="Cambria" w:hAnsi="Cambria"/>
          <w:lang w:val="es-AR"/>
        </w:rPr>
        <w:t xml:space="preserve">. En ese sentido, en un caso similar al que nos ocupa, la Corte Europea </w:t>
      </w:r>
      <w:r w:rsidR="00C411B8" w:rsidRPr="00BD424E">
        <w:rPr>
          <w:lang w:val="es-US"/>
        </w:rPr>
        <w:t xml:space="preserve">refirió que lo </w:t>
      </w:r>
      <w:r w:rsidR="00C67359" w:rsidRPr="00BD424E">
        <w:rPr>
          <w:lang w:val="es-US"/>
        </w:rPr>
        <w:t xml:space="preserve">que </w:t>
      </w:r>
      <w:r w:rsidR="003755E7" w:rsidRPr="00BD424E">
        <w:rPr>
          <w:lang w:val="es-US"/>
        </w:rPr>
        <w:t>le correspondía</w:t>
      </w:r>
      <w:r w:rsidR="00C411B8" w:rsidRPr="00BD424E">
        <w:rPr>
          <w:lang w:val="es-US"/>
        </w:rPr>
        <w:t xml:space="preserve">, como tribunal internacional, es </w:t>
      </w:r>
      <w:r w:rsidR="00C411B8" w:rsidRPr="00BD424E">
        <w:rPr>
          <w:rStyle w:val="sb8d990e2"/>
          <w:lang w:val="es-MX"/>
        </w:rPr>
        <w:t>investigar si las autoridades nacionales hicieron todo lo que razonablemente se podía esperar de ellas y en concreto, si cumplieron, como cuestión de principio, con su obligación de proteger la integridad física de la paciente, particularmente mediante la administración de un tratamiento médico adecuado</w:t>
      </w:r>
      <w:r w:rsidR="00C411B8" w:rsidRPr="00BD424E">
        <w:rPr>
          <w:rStyle w:val="FootnoteReference"/>
          <w:lang w:val="es-MX"/>
        </w:rPr>
        <w:footnoteReference w:id="111"/>
      </w:r>
      <w:r w:rsidR="00C411B8" w:rsidRPr="00BD424E">
        <w:rPr>
          <w:rStyle w:val="sb8d990e2"/>
          <w:lang w:val="es-MX"/>
        </w:rPr>
        <w:t>.</w:t>
      </w:r>
    </w:p>
    <w:p w14:paraId="775DC3A3" w14:textId="77777777" w:rsidR="004219FB" w:rsidRPr="00BD424E" w:rsidRDefault="004219FB" w:rsidP="00BD424E">
      <w:pPr>
        <w:rPr>
          <w:lang w:val="es-US"/>
        </w:rPr>
      </w:pPr>
    </w:p>
    <w:p w14:paraId="063E2396" w14:textId="3D721FD3" w:rsidR="00B42104" w:rsidRPr="00BD424E" w:rsidRDefault="00833E18" w:rsidP="00BD424E">
      <w:pPr>
        <w:pStyle w:val="parrafos"/>
        <w:ind w:left="0" w:firstLine="0"/>
        <w:rPr>
          <w:lang w:val="es-AR"/>
        </w:rPr>
      </w:pPr>
      <w:r w:rsidRPr="00BD424E">
        <w:rPr>
          <w:rFonts w:ascii="Cambria" w:hAnsi="Cambria"/>
          <w:lang w:val="es-AR"/>
        </w:rPr>
        <w:t>Ambos órganos del sistema interamericano han indicado que las medidas de prevención exigibles a un Estado deben ser determinadas a la luz de las características y las circunstancias de cada caso concreto</w:t>
      </w:r>
      <w:r w:rsidR="00B42104" w:rsidRPr="00BD424E">
        <w:rPr>
          <w:rFonts w:ascii="Cambria" w:hAnsi="Cambria"/>
          <w:lang w:val="es-AR"/>
        </w:rPr>
        <w:t xml:space="preserve">. Específicamente, en el presente caso, la Comisión observa que debe tenerse en cuenta </w:t>
      </w:r>
      <w:r w:rsidR="008775F4" w:rsidRPr="00BD424E">
        <w:rPr>
          <w:rFonts w:ascii="Cambria" w:hAnsi="Cambria"/>
          <w:lang w:val="es-AR"/>
        </w:rPr>
        <w:t>la condición de embarazo de la señora Cristina Britez</w:t>
      </w:r>
      <w:r w:rsidR="00044CEC" w:rsidRPr="00BD424E">
        <w:rPr>
          <w:rFonts w:ascii="Cambria" w:hAnsi="Cambria"/>
          <w:lang w:val="es-AR"/>
        </w:rPr>
        <w:t xml:space="preserve">, su tratamiento </w:t>
      </w:r>
      <w:r w:rsidR="004D3183" w:rsidRPr="00BD424E">
        <w:rPr>
          <w:rFonts w:ascii="Cambria" w:hAnsi="Cambria"/>
          <w:lang w:val="es-AR"/>
        </w:rPr>
        <w:t xml:space="preserve">y muerte </w:t>
      </w:r>
      <w:r w:rsidR="00044CEC" w:rsidRPr="00BD424E">
        <w:rPr>
          <w:rFonts w:ascii="Cambria" w:hAnsi="Cambria"/>
          <w:lang w:val="es-AR"/>
        </w:rPr>
        <w:t>en un hospital público,</w:t>
      </w:r>
      <w:r w:rsidR="008775F4" w:rsidRPr="00BD424E">
        <w:rPr>
          <w:rFonts w:ascii="Cambria" w:hAnsi="Cambria"/>
          <w:lang w:val="es-AR"/>
        </w:rPr>
        <w:t xml:space="preserve"> y los deberes especiales en cabeza del Estado que derivan de tal condición.</w:t>
      </w:r>
      <w:r w:rsidR="00B42104" w:rsidRPr="00BD424E">
        <w:rPr>
          <w:lang w:val="es-AR"/>
        </w:rPr>
        <w:t xml:space="preserve"> En este sentido, </w:t>
      </w:r>
      <w:r w:rsidR="00B42104" w:rsidRPr="00BD424E">
        <w:rPr>
          <w:rFonts w:ascii="Cambria" w:hAnsi="Cambria"/>
          <w:lang w:val="es-AR"/>
        </w:rPr>
        <w:t xml:space="preserve"> corresponde analizar si el Estado acreditó haber brindado una atención de salud adecuada a la señora Cristina Britez Arce durante su embarazo y en la mañana del </w:t>
      </w:r>
      <w:r w:rsidR="00B42104" w:rsidRPr="00BD424E">
        <w:rPr>
          <w:lang w:val="es-AR"/>
        </w:rPr>
        <w:t xml:space="preserve">1 de junio de 1992, teniendo en cuenta que </w:t>
      </w:r>
      <w:r w:rsidR="00B42104" w:rsidRPr="00BD424E">
        <w:rPr>
          <w:rFonts w:ascii="Cambria" w:hAnsi="Cambria"/>
          <w:lang w:val="es-PE"/>
        </w:rPr>
        <w:t>esta atención médica no puede reducirse a una conducta particular o un momento determinado, sino que debe ser analizada de manera integral.</w:t>
      </w:r>
    </w:p>
    <w:p w14:paraId="5E036BCA" w14:textId="77777777" w:rsidR="009F41FC" w:rsidRPr="00BD424E" w:rsidRDefault="009F41FC" w:rsidP="00BD424E">
      <w:pPr>
        <w:pStyle w:val="parrafos"/>
        <w:numPr>
          <w:ilvl w:val="0"/>
          <w:numId w:val="0"/>
        </w:numPr>
        <w:rPr>
          <w:lang w:val="es-AR"/>
        </w:rPr>
      </w:pPr>
    </w:p>
    <w:p w14:paraId="3509336A" w14:textId="5E3BA550" w:rsidR="003B10B5" w:rsidRPr="00BD424E" w:rsidRDefault="008775F4" w:rsidP="00BD424E">
      <w:pPr>
        <w:pStyle w:val="parrafos"/>
        <w:ind w:left="0" w:firstLine="0"/>
        <w:rPr>
          <w:rFonts w:ascii="Cambria" w:hAnsi="Cambria"/>
          <w:lang w:val="es-AR"/>
        </w:rPr>
      </w:pPr>
      <w:r w:rsidRPr="00BD424E">
        <w:rPr>
          <w:rFonts w:ascii="Cambria" w:hAnsi="Cambria"/>
          <w:lang w:val="es-AR"/>
        </w:rPr>
        <w:t xml:space="preserve">Al respecto, la Comisión nota en primer lugar que si bien </w:t>
      </w:r>
      <w:r w:rsidR="003B10B5" w:rsidRPr="00BD424E">
        <w:rPr>
          <w:rFonts w:ascii="Cambria" w:hAnsi="Cambria"/>
          <w:lang w:val="es-AR"/>
        </w:rPr>
        <w:t>el Estado argumenta que la señora Britez no acudió a control de su embarazo sino hasta la semana 29 de gestación, no ha presentado información que demuestre q</w:t>
      </w:r>
      <w:r w:rsidR="00B42104" w:rsidRPr="00BD424E">
        <w:rPr>
          <w:rFonts w:ascii="Cambria" w:hAnsi="Cambria"/>
          <w:lang w:val="es-AR"/>
        </w:rPr>
        <w:t>ue en ese momento se le hubiera</w:t>
      </w:r>
      <w:r w:rsidR="00034E44" w:rsidRPr="00BD424E">
        <w:rPr>
          <w:rFonts w:ascii="Cambria" w:hAnsi="Cambria"/>
          <w:lang w:val="es-AR"/>
        </w:rPr>
        <w:t xml:space="preserve"> </w:t>
      </w:r>
      <w:r w:rsidR="00B42104" w:rsidRPr="00BD424E">
        <w:rPr>
          <w:rFonts w:ascii="Cambria" w:hAnsi="Cambria"/>
          <w:lang w:val="es-AR"/>
        </w:rPr>
        <w:t xml:space="preserve">proporcionado </w:t>
      </w:r>
      <w:r w:rsidR="003B10B5" w:rsidRPr="00BD424E">
        <w:rPr>
          <w:rFonts w:ascii="Cambria" w:hAnsi="Cambria"/>
          <w:lang w:val="es-AR"/>
        </w:rPr>
        <w:t>información o recomendaciones específicas de cuidado para prevenir un cuadro de hipertensión, no obstante tener conocimiento de su historial de preeclampsia en un embarazo anterior.</w:t>
      </w:r>
    </w:p>
    <w:p w14:paraId="3D062EF8" w14:textId="77777777" w:rsidR="003B10B5" w:rsidRPr="00BD424E" w:rsidRDefault="003B10B5" w:rsidP="00BD424E">
      <w:pPr>
        <w:pStyle w:val="ListParagraph"/>
      </w:pPr>
    </w:p>
    <w:p w14:paraId="3144A22F" w14:textId="031C4DF8" w:rsidR="001944DC" w:rsidRPr="00BD424E" w:rsidRDefault="00833E18" w:rsidP="00BD424E">
      <w:pPr>
        <w:pStyle w:val="parrafos"/>
        <w:ind w:left="0" w:firstLine="0"/>
        <w:rPr>
          <w:rStyle w:val="sb8d990e2"/>
          <w:rFonts w:ascii="Cambria" w:hAnsi="Cambria"/>
          <w:lang w:val="es-AR"/>
        </w:rPr>
      </w:pPr>
      <w:r w:rsidRPr="00BD424E">
        <w:rPr>
          <w:rFonts w:ascii="Cambria" w:hAnsi="Cambria"/>
          <w:lang w:val="es-AR"/>
        </w:rPr>
        <w:t xml:space="preserve"> </w:t>
      </w:r>
      <w:r w:rsidR="008775F4" w:rsidRPr="00BD424E">
        <w:rPr>
          <w:rFonts w:ascii="Cambria" w:hAnsi="Cambria"/>
          <w:lang w:val="es-AR"/>
        </w:rPr>
        <w:t>En segundo término</w:t>
      </w:r>
      <w:r w:rsidR="003B10B5" w:rsidRPr="00BD424E">
        <w:rPr>
          <w:rFonts w:ascii="Cambria" w:hAnsi="Cambria"/>
          <w:lang w:val="es-AR"/>
        </w:rPr>
        <w:t xml:space="preserve">, </w:t>
      </w:r>
      <w:r w:rsidR="005967BB" w:rsidRPr="00BD424E">
        <w:rPr>
          <w:rFonts w:ascii="Cambria" w:hAnsi="Cambria"/>
          <w:lang w:val="es-AR"/>
        </w:rPr>
        <w:t xml:space="preserve">la Comisión advierte </w:t>
      </w:r>
      <w:r w:rsidRPr="00BD424E">
        <w:rPr>
          <w:rFonts w:ascii="Cambria" w:hAnsi="Cambria"/>
          <w:lang w:val="es-AR"/>
        </w:rPr>
        <w:t xml:space="preserve">–por lo menos- </w:t>
      </w:r>
      <w:r w:rsidR="005967BB" w:rsidRPr="00BD424E">
        <w:rPr>
          <w:rFonts w:ascii="Cambria" w:hAnsi="Cambria"/>
          <w:lang w:val="es-AR"/>
        </w:rPr>
        <w:t>dos</w:t>
      </w:r>
      <w:r w:rsidRPr="00BD424E">
        <w:rPr>
          <w:rFonts w:ascii="Cambria" w:hAnsi="Cambria"/>
          <w:lang w:val="es-AR"/>
        </w:rPr>
        <w:t xml:space="preserve"> factores</w:t>
      </w:r>
      <w:r w:rsidR="005967BB" w:rsidRPr="00BD424E">
        <w:rPr>
          <w:rFonts w:ascii="Cambria" w:hAnsi="Cambria"/>
          <w:lang w:val="es-AR"/>
        </w:rPr>
        <w:t xml:space="preserve"> de riesgo</w:t>
      </w:r>
      <w:r w:rsidRPr="00BD424E">
        <w:rPr>
          <w:rFonts w:ascii="Cambria" w:hAnsi="Cambria"/>
          <w:lang w:val="es-AR"/>
        </w:rPr>
        <w:t xml:space="preserve"> importantes</w:t>
      </w:r>
      <w:r w:rsidR="005967BB" w:rsidRPr="00BD424E">
        <w:rPr>
          <w:rFonts w:ascii="Cambria" w:hAnsi="Cambria"/>
          <w:lang w:val="es-AR"/>
        </w:rPr>
        <w:t xml:space="preserve">, que no han sido </w:t>
      </w:r>
      <w:r w:rsidR="008775F4" w:rsidRPr="00BD424E">
        <w:rPr>
          <w:rFonts w:ascii="Cambria" w:hAnsi="Cambria"/>
          <w:lang w:val="es-AR"/>
        </w:rPr>
        <w:t>desvirtuado</w:t>
      </w:r>
      <w:r w:rsidR="005967BB" w:rsidRPr="00BD424E">
        <w:rPr>
          <w:rFonts w:ascii="Cambria" w:hAnsi="Cambria"/>
          <w:lang w:val="es-AR"/>
        </w:rPr>
        <w:t>s y</w:t>
      </w:r>
      <w:r w:rsidRPr="00BD424E">
        <w:rPr>
          <w:rFonts w:ascii="Cambria" w:hAnsi="Cambria"/>
          <w:lang w:val="es-AR"/>
        </w:rPr>
        <w:t xml:space="preserve"> que los médicos que atendieron a la señora Britez durante sus controles debieron tener en cuenta, como lo son: </w:t>
      </w:r>
      <w:r w:rsidR="005967BB" w:rsidRPr="00BD424E">
        <w:rPr>
          <w:rFonts w:ascii="Cambria" w:hAnsi="Cambria"/>
          <w:lang w:val="es-AR"/>
        </w:rPr>
        <w:t xml:space="preserve">1) un aumento importante de peso, y 2) antecedente de preeclampsia en un embarazo anterior.   A ello se le </w:t>
      </w:r>
      <w:r w:rsidR="00AA2A52" w:rsidRPr="00BD424E">
        <w:rPr>
          <w:rFonts w:ascii="Cambria" w:hAnsi="Cambria"/>
          <w:lang w:val="es-AR"/>
        </w:rPr>
        <w:t>debe</w:t>
      </w:r>
      <w:r w:rsidR="005967BB" w:rsidRPr="00BD424E">
        <w:rPr>
          <w:rFonts w:ascii="Cambria" w:hAnsi="Cambria"/>
          <w:lang w:val="es-AR"/>
        </w:rPr>
        <w:t xml:space="preserve"> sumar que la señora Britez presentó en uno de sus controles una presión </w:t>
      </w:r>
      <w:r w:rsidR="00AA2A52" w:rsidRPr="00BD424E">
        <w:rPr>
          <w:rFonts w:ascii="Cambria" w:hAnsi="Cambria"/>
          <w:lang w:val="es-AR"/>
        </w:rPr>
        <w:t xml:space="preserve">arterial </w:t>
      </w:r>
      <w:r w:rsidR="005967BB" w:rsidRPr="00BD424E">
        <w:rPr>
          <w:rFonts w:ascii="Cambria" w:hAnsi="Cambria"/>
          <w:lang w:val="es-AR"/>
        </w:rPr>
        <w:t>de 130/90, medida que según los p</w:t>
      </w:r>
      <w:r w:rsidR="005967BB" w:rsidRPr="00BD424E">
        <w:rPr>
          <w:rStyle w:val="sb8d990e2"/>
          <w:lang w:val="es-MX"/>
        </w:rPr>
        <w:t>arámetros de la OMS señalados anteriormente, puede ser indicación de preeclampsi</w:t>
      </w:r>
      <w:r w:rsidR="004950F0" w:rsidRPr="00BD424E">
        <w:rPr>
          <w:rStyle w:val="sb8d990e2"/>
          <w:lang w:val="es-MX"/>
        </w:rPr>
        <w:t xml:space="preserve">a. </w:t>
      </w:r>
    </w:p>
    <w:p w14:paraId="310EA07E" w14:textId="77777777" w:rsidR="001944DC" w:rsidRPr="00BD424E" w:rsidRDefault="001944DC" w:rsidP="00BD424E">
      <w:pPr>
        <w:pStyle w:val="ListParagraph"/>
        <w:rPr>
          <w:rStyle w:val="sb8d990e2"/>
          <w:lang w:val="es-MX"/>
        </w:rPr>
      </w:pPr>
    </w:p>
    <w:p w14:paraId="6E655DF7" w14:textId="37EE59F2" w:rsidR="00584C05" w:rsidRPr="00BD424E" w:rsidRDefault="008C0701" w:rsidP="00BD424E">
      <w:pPr>
        <w:pStyle w:val="parrafos"/>
        <w:ind w:left="0" w:firstLine="0"/>
        <w:rPr>
          <w:rFonts w:ascii="Cambria" w:hAnsi="Cambria"/>
          <w:lang w:val="es-AR"/>
        </w:rPr>
      </w:pPr>
      <w:r w:rsidRPr="00BD424E">
        <w:rPr>
          <w:rFonts w:ascii="Cambria" w:hAnsi="Cambria" w:cs="Arial"/>
          <w:lang w:val="es-PE"/>
        </w:rPr>
        <w:t xml:space="preserve">Así, </w:t>
      </w:r>
      <w:r w:rsidR="009F41FC" w:rsidRPr="00BD424E">
        <w:rPr>
          <w:rFonts w:ascii="Cambria" w:hAnsi="Cambria" w:cs="Arial"/>
          <w:lang w:val="es-PE"/>
        </w:rPr>
        <w:t xml:space="preserve">aunque </w:t>
      </w:r>
      <w:r w:rsidRPr="00BD424E">
        <w:rPr>
          <w:rFonts w:ascii="Cambria" w:hAnsi="Cambria" w:cs="Arial"/>
          <w:lang w:val="es-PE"/>
        </w:rPr>
        <w:t>la Comisión no puede afirmar que la señora Britez</w:t>
      </w:r>
      <w:r w:rsidR="001944DC" w:rsidRPr="00BD424E">
        <w:rPr>
          <w:rFonts w:ascii="Cambria" w:hAnsi="Cambria" w:cs="Arial"/>
          <w:lang w:val="es-PE"/>
        </w:rPr>
        <w:t xml:space="preserve"> </w:t>
      </w:r>
      <w:r w:rsidRPr="00BD424E">
        <w:rPr>
          <w:rFonts w:ascii="Cambria" w:hAnsi="Cambria" w:cs="Arial"/>
          <w:lang w:val="es-PE"/>
        </w:rPr>
        <w:t xml:space="preserve">padecía de </w:t>
      </w:r>
      <w:r w:rsidR="001944DC" w:rsidRPr="00BD424E">
        <w:rPr>
          <w:rFonts w:ascii="Cambria" w:hAnsi="Cambria" w:cs="Arial"/>
          <w:lang w:val="es-PE"/>
        </w:rPr>
        <w:t>preeclampsia</w:t>
      </w:r>
      <w:r w:rsidRPr="00BD424E">
        <w:rPr>
          <w:rFonts w:ascii="Cambria" w:hAnsi="Cambria" w:cs="Arial"/>
          <w:lang w:val="es-PE"/>
        </w:rPr>
        <w:t xml:space="preserve"> y que esa fue la patología que llevó a su muerte</w:t>
      </w:r>
      <w:r w:rsidR="009F41FC" w:rsidRPr="00BD424E">
        <w:rPr>
          <w:rFonts w:ascii="Cambria" w:hAnsi="Cambria" w:cs="Arial"/>
          <w:lang w:val="es-PE"/>
        </w:rPr>
        <w:t xml:space="preserve">, </w:t>
      </w:r>
      <w:r w:rsidR="001944DC" w:rsidRPr="00BD424E">
        <w:rPr>
          <w:rFonts w:ascii="Cambria" w:hAnsi="Cambria" w:cs="Arial"/>
          <w:lang w:val="es-PE"/>
        </w:rPr>
        <w:t xml:space="preserve"> s</w:t>
      </w:r>
      <w:r w:rsidR="009F41FC" w:rsidRPr="00BD424E">
        <w:rPr>
          <w:rFonts w:ascii="Cambria" w:hAnsi="Cambria" w:cs="Arial"/>
          <w:lang w:val="es-PE"/>
        </w:rPr>
        <w:t>í puede notar</w:t>
      </w:r>
      <w:r w:rsidRPr="00BD424E">
        <w:rPr>
          <w:rFonts w:ascii="Cambria" w:hAnsi="Cambria" w:cs="Arial"/>
          <w:lang w:val="es-PE"/>
        </w:rPr>
        <w:t xml:space="preserve"> </w:t>
      </w:r>
      <w:r w:rsidR="009F41FC" w:rsidRPr="00BD424E">
        <w:rPr>
          <w:rFonts w:ascii="Cambria" w:hAnsi="Cambria"/>
          <w:lang w:val="es-AR"/>
        </w:rPr>
        <w:t>que</w:t>
      </w:r>
      <w:r w:rsidR="00034E44" w:rsidRPr="00BD424E">
        <w:rPr>
          <w:rFonts w:ascii="Cambria" w:hAnsi="Cambria"/>
          <w:lang w:val="es-AR"/>
        </w:rPr>
        <w:t>,</w:t>
      </w:r>
      <w:r w:rsidR="009F41FC" w:rsidRPr="00BD424E">
        <w:rPr>
          <w:rFonts w:ascii="Cambria" w:hAnsi="Cambria"/>
          <w:lang w:val="es-AR"/>
        </w:rPr>
        <w:t xml:space="preserve"> </w:t>
      </w:r>
      <w:r w:rsidR="003B10B5" w:rsidRPr="00BD424E">
        <w:rPr>
          <w:rStyle w:val="sb8d990e2"/>
          <w:lang w:val="es-MX"/>
        </w:rPr>
        <w:t xml:space="preserve">teniendo en cuenta que </w:t>
      </w:r>
      <w:r w:rsidR="00FB76FA" w:rsidRPr="00BD424E">
        <w:rPr>
          <w:rFonts w:ascii="Cambria" w:hAnsi="Cambria"/>
          <w:lang w:val="es-AR"/>
        </w:rPr>
        <w:t>la preeclampsia y eclampsia</w:t>
      </w:r>
      <w:r w:rsidR="00AA2A52" w:rsidRPr="00BD424E">
        <w:rPr>
          <w:rFonts w:ascii="Cambria" w:hAnsi="Cambria"/>
          <w:lang w:val="es-AR"/>
        </w:rPr>
        <w:t xml:space="preserve"> provoca altos índices de mortalidad materna, los médicos tratantes </w:t>
      </w:r>
      <w:r w:rsidR="00183B2E" w:rsidRPr="00BD424E">
        <w:rPr>
          <w:rFonts w:ascii="Cambria" w:hAnsi="Cambria"/>
          <w:lang w:val="es-AR"/>
        </w:rPr>
        <w:t>tenían un deber especi</w:t>
      </w:r>
      <w:r w:rsidR="009F41FC" w:rsidRPr="00BD424E">
        <w:rPr>
          <w:rFonts w:ascii="Cambria" w:hAnsi="Cambria"/>
          <w:lang w:val="es-AR"/>
        </w:rPr>
        <w:t xml:space="preserve">al de protección y </w:t>
      </w:r>
      <w:r w:rsidR="00746635" w:rsidRPr="00BD424E">
        <w:rPr>
          <w:rFonts w:ascii="Cambria" w:hAnsi="Cambria"/>
          <w:lang w:val="es-AR"/>
        </w:rPr>
        <w:t xml:space="preserve">debieron </w:t>
      </w:r>
      <w:r w:rsidR="009F41FC" w:rsidRPr="00BD424E">
        <w:rPr>
          <w:rFonts w:ascii="Cambria" w:hAnsi="Cambria"/>
          <w:lang w:val="es-AR"/>
        </w:rPr>
        <w:t>p</w:t>
      </w:r>
      <w:r w:rsidR="00AA2A52" w:rsidRPr="00BD424E">
        <w:rPr>
          <w:rFonts w:ascii="Cambria" w:hAnsi="Cambria"/>
          <w:lang w:val="es-AR"/>
        </w:rPr>
        <w:t xml:space="preserve">roporcionar </w:t>
      </w:r>
      <w:r w:rsidR="003B10B5" w:rsidRPr="00BD424E">
        <w:rPr>
          <w:rFonts w:ascii="Cambria" w:hAnsi="Cambria"/>
          <w:lang w:val="es-AR"/>
        </w:rPr>
        <w:t xml:space="preserve">a la señora Cristina Britez </w:t>
      </w:r>
      <w:r w:rsidR="00AA2A52" w:rsidRPr="00BD424E">
        <w:rPr>
          <w:rFonts w:ascii="Cambria" w:hAnsi="Cambria"/>
          <w:lang w:val="es-AR"/>
        </w:rPr>
        <w:t xml:space="preserve">una atención médica </w:t>
      </w:r>
      <w:r w:rsidR="001012EC" w:rsidRPr="00BD424E">
        <w:rPr>
          <w:rFonts w:ascii="Cambria" w:hAnsi="Cambria"/>
          <w:lang w:val="es-AR"/>
        </w:rPr>
        <w:t xml:space="preserve">diligente y </w:t>
      </w:r>
      <w:r w:rsidR="00AA2A52" w:rsidRPr="00BD424E">
        <w:rPr>
          <w:rFonts w:ascii="Cambria" w:hAnsi="Cambria"/>
          <w:lang w:val="es-AR"/>
        </w:rPr>
        <w:t>reforzada</w:t>
      </w:r>
      <w:r w:rsidR="001944DC" w:rsidRPr="00BD424E">
        <w:rPr>
          <w:rFonts w:ascii="Cambria" w:hAnsi="Cambria"/>
          <w:lang w:val="es-AR"/>
        </w:rPr>
        <w:t xml:space="preserve">, </w:t>
      </w:r>
      <w:r w:rsidR="001012EC" w:rsidRPr="00BD424E">
        <w:rPr>
          <w:rFonts w:ascii="Cambria" w:hAnsi="Cambria" w:cs="Arial"/>
          <w:lang w:val="es-PE"/>
        </w:rPr>
        <w:t xml:space="preserve">sobre todo considerando que en </w:t>
      </w:r>
      <w:r w:rsidR="001944DC" w:rsidRPr="00BD424E">
        <w:rPr>
          <w:rFonts w:ascii="Cambria" w:hAnsi="Cambria" w:cs="Arial"/>
          <w:lang w:val="es-PE"/>
        </w:rPr>
        <w:t>estos casos “</w:t>
      </w:r>
      <w:r w:rsidR="001012EC" w:rsidRPr="00BD424E">
        <w:rPr>
          <w:rFonts w:ascii="Cambria" w:hAnsi="Cambria" w:cs="Arial"/>
          <w:lang w:val="es-PE"/>
        </w:rPr>
        <w:t>l</w:t>
      </w:r>
      <w:r w:rsidR="001012EC" w:rsidRPr="00BD424E">
        <w:rPr>
          <w:rFonts w:ascii="Cambria" w:hAnsi="Cambria"/>
          <w:lang w:val="es-ES"/>
        </w:rPr>
        <w:t>as defunciones maternas pueden producirse en casos graves, aunque la progresión de leve a grave puede ser rápida, i</w:t>
      </w:r>
      <w:r w:rsidR="001944DC" w:rsidRPr="00BD424E">
        <w:rPr>
          <w:rFonts w:ascii="Cambria" w:hAnsi="Cambria"/>
          <w:lang w:val="es-ES"/>
        </w:rPr>
        <w:t>nesperada y, a veces fulminante”</w:t>
      </w:r>
      <w:r w:rsidR="001012EC" w:rsidRPr="00BD424E">
        <w:rPr>
          <w:rStyle w:val="FootnoteReference"/>
          <w:rFonts w:ascii="Cambria" w:hAnsi="Cambria"/>
          <w:lang w:val="es-ES"/>
        </w:rPr>
        <w:footnoteReference w:id="112"/>
      </w:r>
      <w:r w:rsidR="001012EC" w:rsidRPr="00BD424E">
        <w:rPr>
          <w:rFonts w:ascii="Cambria" w:hAnsi="Cambria" w:cs="Arial"/>
          <w:lang w:val="es-PE"/>
        </w:rPr>
        <w:t>.</w:t>
      </w:r>
      <w:r w:rsidR="001944DC" w:rsidRPr="00BD424E">
        <w:rPr>
          <w:rFonts w:ascii="Cambria" w:hAnsi="Cambria" w:cs="Arial"/>
          <w:lang w:val="es-PE"/>
        </w:rPr>
        <w:t xml:space="preserve"> </w:t>
      </w:r>
    </w:p>
    <w:p w14:paraId="4DD92C55" w14:textId="77777777" w:rsidR="00584C05" w:rsidRPr="00BD424E" w:rsidRDefault="00584C05" w:rsidP="00BD424E">
      <w:pPr>
        <w:pStyle w:val="parrafos"/>
        <w:numPr>
          <w:ilvl w:val="0"/>
          <w:numId w:val="0"/>
        </w:numPr>
        <w:rPr>
          <w:rFonts w:ascii="Cambria" w:hAnsi="Cambria"/>
          <w:lang w:val="es-AR"/>
        </w:rPr>
      </w:pPr>
    </w:p>
    <w:p w14:paraId="53F08E15" w14:textId="6BC6A37D" w:rsidR="00584C05" w:rsidRPr="00BD424E" w:rsidRDefault="00584C05" w:rsidP="00BD424E">
      <w:pPr>
        <w:pStyle w:val="parrafos"/>
        <w:ind w:left="0" w:firstLine="0"/>
        <w:rPr>
          <w:rFonts w:ascii="Cambria" w:hAnsi="Cambria"/>
          <w:lang w:val="es-AR"/>
        </w:rPr>
      </w:pPr>
      <w:r w:rsidRPr="00BD424E">
        <w:rPr>
          <w:rFonts w:ascii="Cambria" w:hAnsi="Cambria"/>
          <w:lang w:val="es-AR"/>
        </w:rPr>
        <w:t xml:space="preserve"> </w:t>
      </w:r>
      <w:r w:rsidR="00044CEC" w:rsidRPr="00BD424E">
        <w:rPr>
          <w:rFonts w:ascii="Cambria" w:hAnsi="Cambria"/>
          <w:lang w:val="es-AR"/>
        </w:rPr>
        <w:t>E</w:t>
      </w:r>
      <w:r w:rsidR="009F41FC" w:rsidRPr="00BD424E">
        <w:rPr>
          <w:rFonts w:ascii="Cambria" w:hAnsi="Cambria" w:cs="Arial"/>
          <w:lang w:val="es-PE"/>
        </w:rPr>
        <w:t xml:space="preserve">l Estado </w:t>
      </w:r>
      <w:r w:rsidR="00044CEC" w:rsidRPr="00BD424E">
        <w:rPr>
          <w:rFonts w:ascii="Cambria" w:hAnsi="Cambria" w:cs="Arial"/>
          <w:lang w:val="es-PE"/>
        </w:rPr>
        <w:t xml:space="preserve">argentino </w:t>
      </w:r>
      <w:r w:rsidR="009F41FC" w:rsidRPr="00BD424E">
        <w:rPr>
          <w:rFonts w:ascii="Cambria" w:hAnsi="Cambria" w:cs="Arial"/>
          <w:lang w:val="es-PE"/>
        </w:rPr>
        <w:t xml:space="preserve">no aportó en el expediente del caso toda la documentación necesaria para suficientemente </w:t>
      </w:r>
      <w:r w:rsidR="00C22F55" w:rsidRPr="00BD424E">
        <w:rPr>
          <w:rFonts w:ascii="Cambria" w:hAnsi="Cambria" w:cs="Arial"/>
          <w:lang w:val="es-PE"/>
        </w:rPr>
        <w:t>acreditar</w:t>
      </w:r>
      <w:r w:rsidR="009F41FC" w:rsidRPr="00BD424E">
        <w:rPr>
          <w:rFonts w:ascii="Cambria" w:hAnsi="Cambria" w:cs="Arial"/>
          <w:lang w:val="es-PE"/>
        </w:rPr>
        <w:t xml:space="preserve"> la diligencia con que tendría que haber actuado a través de la prestación sanitaria de salud materna; por ejemplo, no aportó la historia clínica de la señora Britez que permita conocer que se le realizaron exámenes esenciales para la detección de posibles riesgos a su salud y vida, aunado a que la validez de dicha historia clínica, que fue la base de los peritajes que se realizaron a nivel interno, fue reiteradamente cuestionada por sus familiares en el ámbito interno.</w:t>
      </w:r>
      <w:r w:rsidR="00183B2E" w:rsidRPr="00BD424E">
        <w:rPr>
          <w:rFonts w:ascii="Cambria" w:hAnsi="Cambria" w:cs="Arial"/>
          <w:lang w:val="es-PE"/>
        </w:rPr>
        <w:t xml:space="preserve"> Asimismo, </w:t>
      </w:r>
      <w:r w:rsidRPr="00BD424E">
        <w:rPr>
          <w:rFonts w:ascii="Cambria" w:hAnsi="Cambria"/>
          <w:lang w:val="es-AR"/>
        </w:rPr>
        <w:t xml:space="preserve">la Comisión observa que no cuenta con información que indique que se realizó </w:t>
      </w:r>
      <w:r w:rsidRPr="00BD424E">
        <w:t>un diagnóstico integral y a tiempo a la señora Britez, de manera que se le brindara el tratamiento especializado para prevenir una afectación a su vida, salud e integridad, teniendo en cuenta los antecedentes de riesgo antes señalados.</w:t>
      </w:r>
    </w:p>
    <w:p w14:paraId="6FB11DA4" w14:textId="77777777" w:rsidR="001B6AE4" w:rsidRPr="00BD424E" w:rsidRDefault="001B6AE4" w:rsidP="00BD424E">
      <w:pPr>
        <w:pStyle w:val="parrafos"/>
        <w:numPr>
          <w:ilvl w:val="0"/>
          <w:numId w:val="0"/>
        </w:numPr>
        <w:rPr>
          <w:rFonts w:ascii="Cambria" w:hAnsi="Cambria"/>
          <w:lang w:val="es-AR"/>
        </w:rPr>
      </w:pPr>
    </w:p>
    <w:p w14:paraId="0B636E45" w14:textId="14DBC944" w:rsidR="001B7F4E" w:rsidRPr="00BD424E" w:rsidRDefault="001B6AE4" w:rsidP="00BD424E">
      <w:pPr>
        <w:pStyle w:val="parrafos"/>
        <w:ind w:left="0" w:firstLine="0"/>
        <w:rPr>
          <w:rFonts w:ascii="Cambria" w:hAnsi="Cambria"/>
          <w:lang w:val="es-AR"/>
        </w:rPr>
      </w:pPr>
      <w:r w:rsidRPr="00BD424E">
        <w:rPr>
          <w:rFonts w:ascii="Cambria" w:hAnsi="Cambria"/>
          <w:lang w:val="es-AR"/>
        </w:rPr>
        <w:t xml:space="preserve">Finalmente, </w:t>
      </w:r>
      <w:r w:rsidR="001B7F4E" w:rsidRPr="00BD424E">
        <w:rPr>
          <w:rFonts w:ascii="Cambria" w:hAnsi="Cambria"/>
          <w:lang w:val="es-AR"/>
        </w:rPr>
        <w:t xml:space="preserve">en tercer término, </w:t>
      </w:r>
      <w:r w:rsidRPr="00BD424E">
        <w:rPr>
          <w:rFonts w:ascii="Cambria" w:hAnsi="Cambria"/>
          <w:lang w:val="es-AR"/>
        </w:rPr>
        <w:t>la Comisión observa que con base en las pericias señaladas, la señora Britez habría tenido como causa de muerte preeclampsia no diagnosticada o tratada y, según</w:t>
      </w:r>
      <w:r w:rsidR="00690D02" w:rsidRPr="00BD424E">
        <w:rPr>
          <w:rFonts w:ascii="Cambria" w:hAnsi="Cambria"/>
          <w:lang w:val="es-AR"/>
        </w:rPr>
        <w:t xml:space="preserve"> </w:t>
      </w:r>
      <w:r w:rsidRPr="00BD424E">
        <w:rPr>
          <w:rFonts w:ascii="Cambria" w:hAnsi="Cambria"/>
          <w:lang w:val="es-AR"/>
        </w:rPr>
        <w:t>se mencionó</w:t>
      </w:r>
      <w:r w:rsidR="00690D02" w:rsidRPr="00BD424E">
        <w:rPr>
          <w:rFonts w:ascii="Cambria" w:hAnsi="Cambria"/>
          <w:lang w:val="es-AR"/>
        </w:rPr>
        <w:t>,</w:t>
      </w:r>
      <w:r w:rsidRPr="00BD424E">
        <w:rPr>
          <w:rFonts w:ascii="Cambria" w:hAnsi="Cambria"/>
          <w:lang w:val="es-AR"/>
        </w:rPr>
        <w:t xml:space="preserve"> no existió un control exahustivo con base en las técnicas que eran requeridas  y no revestían un carácter complejo</w:t>
      </w:r>
      <w:r w:rsidR="00690D02" w:rsidRPr="00BD424E">
        <w:rPr>
          <w:rFonts w:ascii="Cambria" w:hAnsi="Cambria"/>
          <w:lang w:val="es-AR"/>
        </w:rPr>
        <w:t xml:space="preserve">. Lo anterior, </w:t>
      </w:r>
      <w:r w:rsidR="004D3183" w:rsidRPr="00BD424E">
        <w:rPr>
          <w:rFonts w:ascii="Cambria" w:hAnsi="Cambria"/>
          <w:lang w:val="es-AR"/>
        </w:rPr>
        <w:t>a pesar de que se tra</w:t>
      </w:r>
      <w:r w:rsidR="00540B97" w:rsidRPr="00BD424E">
        <w:rPr>
          <w:rFonts w:ascii="Cambria" w:hAnsi="Cambria"/>
          <w:lang w:val="es-AR"/>
        </w:rPr>
        <w:t xml:space="preserve">taba de un embarazo donde había factores que llevarían a caracterizarlo como de alto riesgo. La Comisión observa que lo anterior, </w:t>
      </w:r>
      <w:r w:rsidR="00690D02" w:rsidRPr="00BD424E">
        <w:rPr>
          <w:rFonts w:ascii="Cambria" w:hAnsi="Cambria"/>
          <w:lang w:val="es-AR"/>
        </w:rPr>
        <w:t xml:space="preserve">fue determinado </w:t>
      </w:r>
      <w:r w:rsidR="00540B97" w:rsidRPr="00BD424E">
        <w:rPr>
          <w:rFonts w:ascii="Cambria" w:hAnsi="Cambria"/>
          <w:lang w:val="es-AR"/>
        </w:rPr>
        <w:t xml:space="preserve">por algunos peritos </w:t>
      </w:r>
      <w:r w:rsidR="00690D02" w:rsidRPr="00BD424E">
        <w:rPr>
          <w:rFonts w:ascii="Cambria" w:hAnsi="Cambria"/>
          <w:lang w:val="es-AR"/>
        </w:rPr>
        <w:t xml:space="preserve">como una “pésima </w:t>
      </w:r>
      <w:r w:rsidR="00540B97" w:rsidRPr="00BD424E">
        <w:rPr>
          <w:rFonts w:ascii="Cambria" w:hAnsi="Cambria"/>
          <w:lang w:val="es-AR"/>
        </w:rPr>
        <w:t xml:space="preserve">atención”, señalando a su vez que “hubo un mal manejo de la mujer que derivó en la muerte del feto” </w:t>
      </w:r>
      <w:r w:rsidR="00690D02" w:rsidRPr="00BD424E">
        <w:rPr>
          <w:rFonts w:ascii="Cambria" w:hAnsi="Cambria"/>
          <w:lang w:val="es-AR"/>
        </w:rPr>
        <w:t>(ver supra párr</w:t>
      </w:r>
      <w:r w:rsidR="00540B97" w:rsidRPr="00BD424E">
        <w:rPr>
          <w:rFonts w:ascii="Cambria" w:hAnsi="Cambria"/>
          <w:lang w:val="es-AR"/>
        </w:rPr>
        <w:t>s.</w:t>
      </w:r>
      <w:r w:rsidR="00690D02" w:rsidRPr="00BD424E">
        <w:rPr>
          <w:rFonts w:ascii="Cambria" w:hAnsi="Cambria"/>
          <w:lang w:val="es-AR"/>
        </w:rPr>
        <w:t xml:space="preserve"> 34</w:t>
      </w:r>
      <w:r w:rsidR="00540B97" w:rsidRPr="00BD424E">
        <w:rPr>
          <w:rFonts w:ascii="Cambria" w:hAnsi="Cambria"/>
          <w:lang w:val="es-AR"/>
        </w:rPr>
        <w:t xml:space="preserve"> y 50</w:t>
      </w:r>
      <w:r w:rsidR="00690D02" w:rsidRPr="00BD424E">
        <w:rPr>
          <w:rFonts w:ascii="Cambria" w:hAnsi="Cambria"/>
          <w:lang w:val="es-AR"/>
        </w:rPr>
        <w:t xml:space="preserve">). </w:t>
      </w:r>
      <w:r w:rsidR="00540B97" w:rsidRPr="00BD424E">
        <w:rPr>
          <w:rFonts w:ascii="Cambria" w:hAnsi="Cambria"/>
          <w:lang w:val="es-AR"/>
        </w:rPr>
        <w:t>L</w:t>
      </w:r>
      <w:r w:rsidR="00690D02" w:rsidRPr="00BD424E">
        <w:rPr>
          <w:rFonts w:ascii="Cambria" w:hAnsi="Cambria"/>
          <w:lang w:val="es-AR"/>
        </w:rPr>
        <w:t xml:space="preserve">a Comisión nota </w:t>
      </w:r>
      <w:r w:rsidR="004D3183" w:rsidRPr="00BD424E">
        <w:rPr>
          <w:rFonts w:ascii="Cambria" w:hAnsi="Cambria"/>
          <w:lang w:val="es-AR"/>
        </w:rPr>
        <w:t xml:space="preserve">a su vez </w:t>
      </w:r>
      <w:r w:rsidR="00690D02" w:rsidRPr="00BD424E">
        <w:rPr>
          <w:rFonts w:ascii="Cambria" w:hAnsi="Cambria"/>
          <w:lang w:val="es-AR"/>
        </w:rPr>
        <w:t>que de acuerdo con la acusación del fiscal, la hipoglusemia que ten</w:t>
      </w:r>
      <w:r w:rsidR="00540B97" w:rsidRPr="00BD424E">
        <w:rPr>
          <w:rFonts w:ascii="Cambria" w:hAnsi="Cambria"/>
          <w:lang w:val="es-AR"/>
        </w:rPr>
        <w:t>dr</w:t>
      </w:r>
      <w:r w:rsidR="00690D02" w:rsidRPr="00BD424E">
        <w:rPr>
          <w:rFonts w:ascii="Cambria" w:hAnsi="Cambria"/>
          <w:lang w:val="es-AR"/>
        </w:rPr>
        <w:t>ía la señora Britez podría haber estado relacionada con el sufrimiento de  un estrés importante debido a la noticia de la muerte de su hijo; a lo cual el fiscal se preguntó “Porqué (sic) no se esperó el resultado antes de someterla a otro estrés como el trabajo de parto o parto?”.  Según lo señaló el fiscal e</w:t>
      </w:r>
      <w:r w:rsidR="00540B97" w:rsidRPr="00BD424E">
        <w:rPr>
          <w:rFonts w:ascii="Cambria" w:hAnsi="Cambria"/>
          <w:lang w:val="es-AR"/>
        </w:rPr>
        <w:t>n su oportunidad, lo anterior</w:t>
      </w:r>
      <w:r w:rsidR="00690D02" w:rsidRPr="00BD424E">
        <w:rPr>
          <w:rFonts w:ascii="Cambria" w:hAnsi="Cambria"/>
          <w:lang w:val="es-AR"/>
        </w:rPr>
        <w:t xml:space="preserve"> habría llevado a </w:t>
      </w:r>
      <w:r w:rsidR="00540B97" w:rsidRPr="00BD424E">
        <w:rPr>
          <w:rFonts w:ascii="Cambria" w:hAnsi="Cambria"/>
          <w:lang w:val="es-AR"/>
        </w:rPr>
        <w:t xml:space="preserve">señora Britez a </w:t>
      </w:r>
      <w:r w:rsidR="004E2FBF" w:rsidRPr="00BD424E">
        <w:rPr>
          <w:rFonts w:ascii="Cambria" w:hAnsi="Cambria"/>
          <w:lang w:val="es-AR"/>
        </w:rPr>
        <w:t xml:space="preserve">la eclampsia y finalmente </w:t>
      </w:r>
      <w:r w:rsidR="00690D02" w:rsidRPr="00BD424E">
        <w:rPr>
          <w:rFonts w:ascii="Cambria" w:hAnsi="Cambria"/>
          <w:lang w:val="es-AR"/>
        </w:rPr>
        <w:t xml:space="preserve">a un paro cardio respiratorio irreversible. Como se ha indicado, la Comisión no puede establecer la causa de la muerte de la señora Britez, </w:t>
      </w:r>
      <w:r w:rsidR="007332C3" w:rsidRPr="00BD424E">
        <w:rPr>
          <w:rFonts w:ascii="Cambria" w:hAnsi="Cambria"/>
          <w:lang w:val="es-AR"/>
        </w:rPr>
        <w:t xml:space="preserve">sin embargo, </w:t>
      </w:r>
      <w:r w:rsidR="00690D02" w:rsidRPr="00BD424E">
        <w:rPr>
          <w:rFonts w:ascii="Cambria" w:hAnsi="Cambria"/>
          <w:lang w:val="es-AR"/>
        </w:rPr>
        <w:t xml:space="preserve">la información aportada indica que razonablemente fue sometida </w:t>
      </w:r>
      <w:r w:rsidR="00540B97" w:rsidRPr="00BD424E">
        <w:rPr>
          <w:rFonts w:ascii="Cambria" w:hAnsi="Cambria"/>
          <w:lang w:val="es-AR"/>
        </w:rPr>
        <w:t xml:space="preserve"> la  señora Britez </w:t>
      </w:r>
      <w:r w:rsidR="00690D02" w:rsidRPr="00BD424E">
        <w:rPr>
          <w:rFonts w:ascii="Cambria" w:hAnsi="Cambria"/>
          <w:lang w:val="es-AR"/>
        </w:rPr>
        <w:t xml:space="preserve">a una situación de angustia y estrés. </w:t>
      </w:r>
    </w:p>
    <w:p w14:paraId="49C7E038" w14:textId="77777777" w:rsidR="001B7F4E" w:rsidRPr="00BD424E" w:rsidRDefault="001B7F4E" w:rsidP="00BD424E">
      <w:pPr>
        <w:pStyle w:val="parrafos"/>
        <w:numPr>
          <w:ilvl w:val="0"/>
          <w:numId w:val="0"/>
        </w:numPr>
        <w:rPr>
          <w:rFonts w:ascii="Cambria" w:hAnsi="Cambria"/>
          <w:lang w:val="es-AR"/>
        </w:rPr>
      </w:pPr>
    </w:p>
    <w:p w14:paraId="28B52C5E" w14:textId="33A54E74" w:rsidR="001B7F4E" w:rsidRPr="00BD424E" w:rsidRDefault="004E2FBF" w:rsidP="00BD424E">
      <w:pPr>
        <w:pStyle w:val="parrafos"/>
        <w:ind w:left="0" w:firstLine="0"/>
        <w:rPr>
          <w:rFonts w:ascii="Cambria" w:hAnsi="Cambria"/>
          <w:lang w:val="es-AR"/>
        </w:rPr>
      </w:pPr>
      <w:r w:rsidRPr="00BD424E">
        <w:rPr>
          <w:rFonts w:ascii="Cambria" w:hAnsi="Cambria"/>
          <w:lang w:val="es-AR"/>
        </w:rPr>
        <w:t>En relación con lo anterior, l</w:t>
      </w:r>
      <w:r w:rsidR="001B7F4E" w:rsidRPr="00BD424E">
        <w:rPr>
          <w:rFonts w:ascii="Cambria" w:hAnsi="Cambria"/>
          <w:lang w:val="es-AR"/>
        </w:rPr>
        <w:t xml:space="preserve">a Comisión nota </w:t>
      </w:r>
      <w:r w:rsidR="001B7F4E" w:rsidRPr="00BD424E">
        <w:rPr>
          <w:rFonts w:ascii="Cambria" w:hAnsi="Cambria" w:cs="Arial"/>
          <w:lang w:val="es-PE"/>
        </w:rPr>
        <w:t xml:space="preserve">que la investigación emprendida no determinó finalmente responsabilidades de los médicos involucrados  fundalmentalmente debido a que no se logró esclarecer de forma fehaciente las causas de la muerte de la señora Britez (ver </w:t>
      </w:r>
      <w:r w:rsidR="001B7F4E" w:rsidRPr="00BD424E">
        <w:rPr>
          <w:rFonts w:ascii="Cambria" w:hAnsi="Cambria" w:cs="Arial"/>
          <w:i/>
          <w:lang w:val="es-PE"/>
        </w:rPr>
        <w:t xml:space="preserve">supra </w:t>
      </w:r>
      <w:r w:rsidR="001B7F4E" w:rsidRPr="00BD424E">
        <w:rPr>
          <w:rFonts w:ascii="Cambria" w:hAnsi="Cambria" w:cs="Arial"/>
          <w:lang w:val="es-PE"/>
        </w:rPr>
        <w:t>párrs. 29 y 50). En este sentido, dicha investigación, tampoco permite considerar o justificar que existió una actuación aceduada de los médicos, de acuerdo con las circuntanci</w:t>
      </w:r>
      <w:r w:rsidRPr="00BD424E">
        <w:rPr>
          <w:rFonts w:ascii="Cambria" w:hAnsi="Cambria" w:cs="Arial"/>
          <w:lang w:val="es-PE"/>
        </w:rPr>
        <w:t xml:space="preserve">as específicas que ameritaba la </w:t>
      </w:r>
      <w:r w:rsidR="001B7F4E" w:rsidRPr="00BD424E">
        <w:rPr>
          <w:rFonts w:ascii="Cambria" w:hAnsi="Cambria" w:cs="Arial"/>
          <w:lang w:val="es-PE"/>
        </w:rPr>
        <w:t xml:space="preserve">condición </w:t>
      </w:r>
      <w:r w:rsidRPr="00BD424E">
        <w:rPr>
          <w:rFonts w:ascii="Cambria" w:hAnsi="Cambria" w:cs="Arial"/>
          <w:lang w:val="es-PE"/>
        </w:rPr>
        <w:t xml:space="preserve">y desarrollo </w:t>
      </w:r>
      <w:r w:rsidR="001B7F4E" w:rsidRPr="00BD424E">
        <w:rPr>
          <w:rFonts w:ascii="Cambria" w:hAnsi="Cambria" w:cs="Arial"/>
          <w:lang w:val="es-PE"/>
        </w:rPr>
        <w:t>de</w:t>
      </w:r>
      <w:r w:rsidRPr="00BD424E">
        <w:rPr>
          <w:rFonts w:ascii="Cambria" w:hAnsi="Cambria" w:cs="Arial"/>
          <w:lang w:val="es-PE"/>
        </w:rPr>
        <w:t xml:space="preserve">l embarazo. </w:t>
      </w:r>
      <w:r w:rsidR="001B7F4E" w:rsidRPr="00BD424E">
        <w:rPr>
          <w:rFonts w:ascii="Cambria" w:hAnsi="Cambria" w:cs="Arial"/>
          <w:lang w:val="es-PE"/>
        </w:rPr>
        <w:t xml:space="preserve">En este sentido, no resultan desvirtuadas las </w:t>
      </w:r>
      <w:r w:rsidR="001B7F4E" w:rsidRPr="00BD424E">
        <w:t xml:space="preserve">pericias que fueron practicadas en el presente asunto y que contienen referencias explícitas a que la atención que fue brindada no fue adecuada (ver </w:t>
      </w:r>
      <w:r w:rsidR="001B7F4E" w:rsidRPr="00BD424E">
        <w:rPr>
          <w:i/>
        </w:rPr>
        <w:t xml:space="preserve">supra </w:t>
      </w:r>
      <w:r w:rsidR="001B7F4E" w:rsidRPr="00BD424E">
        <w:t>párr. 34 y 35).</w:t>
      </w:r>
    </w:p>
    <w:p w14:paraId="27B25CD9" w14:textId="77777777" w:rsidR="00584C05" w:rsidRPr="00BD424E" w:rsidRDefault="00584C05" w:rsidP="00BD424E">
      <w:pPr>
        <w:pStyle w:val="parrafos"/>
        <w:numPr>
          <w:ilvl w:val="0"/>
          <w:numId w:val="0"/>
        </w:numPr>
        <w:rPr>
          <w:rFonts w:ascii="Cambria" w:hAnsi="Cambria"/>
          <w:lang w:val="es-AR"/>
        </w:rPr>
      </w:pPr>
    </w:p>
    <w:p w14:paraId="77146F9F" w14:textId="37E6432C" w:rsidR="00E1690B" w:rsidRPr="00BD424E" w:rsidRDefault="00E1690B" w:rsidP="00BD424E">
      <w:pPr>
        <w:pStyle w:val="parrafos"/>
        <w:ind w:left="0" w:firstLine="0"/>
        <w:rPr>
          <w:rFonts w:ascii="Cambria" w:hAnsi="Cambria"/>
          <w:lang w:val="es-AR"/>
        </w:rPr>
      </w:pPr>
      <w:r w:rsidRPr="00BD424E">
        <w:rPr>
          <w:rFonts w:ascii="Cambria" w:hAnsi="Cambria"/>
          <w:lang w:val="es-AR"/>
        </w:rPr>
        <w:lastRenderedPageBreak/>
        <w:t xml:space="preserve">En </w:t>
      </w:r>
      <w:r w:rsidR="001B7F4E" w:rsidRPr="00BD424E">
        <w:rPr>
          <w:rFonts w:ascii="Cambria" w:hAnsi="Cambria"/>
          <w:lang w:val="es-AR"/>
        </w:rPr>
        <w:t xml:space="preserve">vista de todo lo anterior, </w:t>
      </w:r>
      <w:r w:rsidR="009F41FC" w:rsidRPr="00BD424E">
        <w:rPr>
          <w:rFonts w:ascii="Cambria" w:hAnsi="Cambria"/>
          <w:lang w:val="es-AR"/>
        </w:rPr>
        <w:t>la Comisión estima</w:t>
      </w:r>
      <w:r w:rsidR="00746635" w:rsidRPr="00BD424E">
        <w:rPr>
          <w:rFonts w:ascii="Cambria" w:hAnsi="Cambria"/>
          <w:lang w:val="es-AR"/>
        </w:rPr>
        <w:t xml:space="preserve"> </w:t>
      </w:r>
      <w:r w:rsidR="00044CEC" w:rsidRPr="00BD424E">
        <w:rPr>
          <w:rFonts w:ascii="Cambria" w:hAnsi="Cambria"/>
          <w:lang w:val="es-AR"/>
        </w:rPr>
        <w:t>que frente a</w:t>
      </w:r>
      <w:r w:rsidR="002100E5" w:rsidRPr="00BD424E">
        <w:rPr>
          <w:rFonts w:ascii="Cambria" w:hAnsi="Cambria"/>
          <w:lang w:val="es-AR"/>
        </w:rPr>
        <w:t xml:space="preserve"> las omisiones indicadas y</w:t>
      </w:r>
      <w:r w:rsidR="00044CEC" w:rsidRPr="00BD424E">
        <w:rPr>
          <w:rFonts w:ascii="Cambria" w:hAnsi="Cambria"/>
          <w:lang w:val="es-AR"/>
        </w:rPr>
        <w:t xml:space="preserve"> la información que indica que los médicos no actuaron de manera diligente para salvaguardar los derechos de la señora Britez, </w:t>
      </w:r>
      <w:r w:rsidR="00746635" w:rsidRPr="00BD424E">
        <w:t xml:space="preserve">el Estado argentino </w:t>
      </w:r>
      <w:r w:rsidR="009F41FC" w:rsidRPr="00BD424E">
        <w:t xml:space="preserve">no </w:t>
      </w:r>
      <w:r w:rsidR="00044CEC" w:rsidRPr="00BD424E">
        <w:t>ha acreditado que adoptó</w:t>
      </w:r>
      <w:r w:rsidR="009F41FC" w:rsidRPr="00BD424E">
        <w:t xml:space="preserve"> </w:t>
      </w:r>
      <w:r w:rsidR="00044CEC" w:rsidRPr="00BD424E">
        <w:t xml:space="preserve">las medidas </w:t>
      </w:r>
      <w:r w:rsidR="001B7F4E" w:rsidRPr="00BD424E">
        <w:t xml:space="preserve">que eran razonablemente </w:t>
      </w:r>
      <w:r w:rsidR="00044CEC" w:rsidRPr="00BD424E">
        <w:t>requeridas para salvaguardar sus derechos</w:t>
      </w:r>
      <w:r w:rsidR="00746635" w:rsidRPr="00BD424E">
        <w:rPr>
          <w:rFonts w:ascii="Cambria" w:hAnsi="Cambria"/>
          <w:lang w:val="es-AR"/>
        </w:rPr>
        <w:t>.</w:t>
      </w:r>
      <w:r w:rsidR="00D807E7" w:rsidRPr="00BD424E">
        <w:rPr>
          <w:rFonts w:ascii="Cambria" w:hAnsi="Cambria"/>
          <w:lang w:val="es-AR"/>
        </w:rPr>
        <w:t xml:space="preserve"> </w:t>
      </w:r>
      <w:r w:rsidR="00CC0CE6" w:rsidRPr="00BD424E">
        <w:rPr>
          <w:rFonts w:ascii="Cambria" w:hAnsi="Cambria"/>
          <w:lang w:val="es-AR"/>
        </w:rPr>
        <w:t>T</w:t>
      </w:r>
      <w:r w:rsidR="001B7F4E" w:rsidRPr="00BD424E">
        <w:rPr>
          <w:rFonts w:ascii="Cambria" w:hAnsi="Cambria"/>
          <w:lang w:val="es-AR"/>
        </w:rPr>
        <w:t xml:space="preserve">ales omisiones se verificaron </w:t>
      </w:r>
      <w:r w:rsidR="00CC0CE6" w:rsidRPr="00BD424E">
        <w:rPr>
          <w:rFonts w:ascii="Cambria" w:hAnsi="Cambria"/>
          <w:lang w:val="es-AR"/>
        </w:rPr>
        <w:t xml:space="preserve">asimismo, </w:t>
      </w:r>
      <w:r w:rsidR="001B7F4E" w:rsidRPr="00BD424E">
        <w:rPr>
          <w:rFonts w:ascii="Cambria" w:hAnsi="Cambria"/>
          <w:lang w:val="es-AR"/>
        </w:rPr>
        <w:t>a pesar del debe</w:t>
      </w:r>
      <w:r w:rsidR="00CC0CE6" w:rsidRPr="00BD424E">
        <w:rPr>
          <w:rFonts w:ascii="Cambria" w:hAnsi="Cambria"/>
          <w:lang w:val="es-AR"/>
        </w:rPr>
        <w:t xml:space="preserve">r especial que tenía el Estado </w:t>
      </w:r>
      <w:r w:rsidR="001B7F4E" w:rsidRPr="00BD424E">
        <w:rPr>
          <w:rFonts w:ascii="Cambria" w:hAnsi="Cambria"/>
          <w:lang w:val="es-AR"/>
        </w:rPr>
        <w:t>para proteger los derechos de la señora Britez en su condición de mujer gestante, que como se ha indicado</w:t>
      </w:r>
      <w:r w:rsidR="00CC0CE6" w:rsidRPr="00BD424E">
        <w:rPr>
          <w:rFonts w:ascii="Cambria" w:hAnsi="Cambria"/>
          <w:lang w:val="es-AR"/>
        </w:rPr>
        <w:t>,</w:t>
      </w:r>
      <w:r w:rsidR="001B7F4E" w:rsidRPr="00BD424E">
        <w:rPr>
          <w:rFonts w:ascii="Cambria" w:hAnsi="Cambria"/>
          <w:lang w:val="es-AR"/>
        </w:rPr>
        <w:t xml:space="preserve"> requiere la adopción de medidas específicas en razón de su condición de mujer y situación </w:t>
      </w:r>
      <w:r w:rsidR="00CC0CE6" w:rsidRPr="00BD424E">
        <w:rPr>
          <w:rFonts w:ascii="Cambria" w:hAnsi="Cambria"/>
          <w:lang w:val="es-AR"/>
        </w:rPr>
        <w:t xml:space="preserve">durante el embarazo. </w:t>
      </w:r>
      <w:r w:rsidR="009F41FC" w:rsidRPr="00BD424E">
        <w:rPr>
          <w:rFonts w:ascii="Cambria" w:hAnsi="Cambria"/>
          <w:lang w:val="es-AR"/>
        </w:rPr>
        <w:t>P</w:t>
      </w:r>
      <w:r w:rsidR="00746635" w:rsidRPr="00BD424E">
        <w:rPr>
          <w:rFonts w:ascii="Cambria" w:hAnsi="Cambria"/>
          <w:lang w:val="es-AR"/>
        </w:rPr>
        <w:t>or lo tanto,</w:t>
      </w:r>
      <w:r w:rsidR="00D807E7" w:rsidRPr="00BD424E">
        <w:rPr>
          <w:rFonts w:ascii="Cambria" w:hAnsi="Cambria"/>
          <w:lang w:val="es-AR"/>
        </w:rPr>
        <w:t xml:space="preserve"> </w:t>
      </w:r>
      <w:r w:rsidR="009F41FC" w:rsidRPr="00BD424E">
        <w:rPr>
          <w:rFonts w:ascii="Cambria" w:hAnsi="Cambria"/>
          <w:lang w:val="es-AR"/>
        </w:rPr>
        <w:t xml:space="preserve">la Comisión concluye </w:t>
      </w:r>
      <w:r w:rsidR="00D807E7" w:rsidRPr="00BD424E">
        <w:rPr>
          <w:rFonts w:ascii="Cambria" w:hAnsi="Cambria"/>
          <w:lang w:val="es-AR"/>
        </w:rPr>
        <w:t xml:space="preserve">que el Estado de Argentina es responsable por la violación de los derechos a la salud, vida e integridad, establecidos en los artículos 26, 4.1 y 5.1 de la Convención Americana, en relación con las obligaciones establecidas en el artículo 1.1 del mismo instrumento, </w:t>
      </w:r>
      <w:r w:rsidR="00CC0CE6" w:rsidRPr="00BD424E">
        <w:rPr>
          <w:rFonts w:ascii="Cambria" w:hAnsi="Cambria"/>
          <w:lang w:val="es-AR"/>
        </w:rPr>
        <w:t>así por</w:t>
      </w:r>
      <w:r w:rsidR="008A192B" w:rsidRPr="00BD424E">
        <w:rPr>
          <w:rFonts w:ascii="Cambria" w:hAnsi="Cambria"/>
          <w:lang w:val="es-AR"/>
        </w:rPr>
        <w:t xml:space="preserve"> la violación del artículo 7</w:t>
      </w:r>
      <w:r w:rsidR="004E2FBF" w:rsidRPr="00BD424E">
        <w:rPr>
          <w:rFonts w:ascii="Cambria" w:hAnsi="Cambria"/>
          <w:lang w:val="es-AR"/>
        </w:rPr>
        <w:t xml:space="preserve">de la Convención Belém Do Pará, </w:t>
      </w:r>
      <w:r w:rsidR="00D807E7" w:rsidRPr="00BD424E">
        <w:rPr>
          <w:rFonts w:ascii="Cambria" w:hAnsi="Cambria"/>
          <w:lang w:val="es-AR"/>
        </w:rPr>
        <w:t>en perjuicio de</w:t>
      </w:r>
      <w:r w:rsidR="00CC0CE6" w:rsidRPr="00BD424E">
        <w:rPr>
          <w:rFonts w:ascii="Cambria" w:hAnsi="Cambria"/>
          <w:lang w:val="es-AR"/>
        </w:rPr>
        <w:t xml:space="preserve"> la señora Cristina Britez Arce.</w:t>
      </w:r>
    </w:p>
    <w:p w14:paraId="17010CC7" w14:textId="77777777" w:rsidR="005E49DD" w:rsidRPr="00BD424E" w:rsidRDefault="005E49DD" w:rsidP="00BD424E">
      <w:pPr>
        <w:pStyle w:val="Heading2"/>
        <w:numPr>
          <w:ilvl w:val="0"/>
          <w:numId w:val="0"/>
        </w:numPr>
      </w:pPr>
    </w:p>
    <w:p w14:paraId="3D0C63EF" w14:textId="2BE47512" w:rsidR="005E49DD" w:rsidRPr="00BD424E" w:rsidRDefault="005E49DD" w:rsidP="00BD424E">
      <w:pPr>
        <w:pStyle w:val="Heading2"/>
      </w:pPr>
      <w:bookmarkStart w:id="35" w:name="_Toc25059705"/>
      <w:bookmarkStart w:id="36" w:name="_Toc33525305"/>
      <w:r w:rsidRPr="00BD424E">
        <w:t>Derechos a las garantías judiciales y protección judicial (artículos 8.1</w:t>
      </w:r>
      <w:r w:rsidRPr="00BD424E">
        <w:footnoteReference w:id="113"/>
      </w:r>
      <w:r w:rsidRPr="00BD424E">
        <w:t xml:space="preserve"> y 25.1</w:t>
      </w:r>
      <w:r w:rsidRPr="00BD424E">
        <w:footnoteReference w:id="114"/>
      </w:r>
      <w:r w:rsidRPr="00BD424E">
        <w:t xml:space="preserve"> de la Convención Americana, en relación con el artículo 1.1 del mismo instrumento), y artículo 7 de la Convención de Belém do Pará</w:t>
      </w:r>
      <w:r w:rsidRPr="00BD424E">
        <w:rPr>
          <w:rStyle w:val="FootnoteReference"/>
        </w:rPr>
        <w:footnoteReference w:id="115"/>
      </w:r>
      <w:bookmarkEnd w:id="35"/>
      <w:bookmarkEnd w:id="36"/>
    </w:p>
    <w:bookmarkEnd w:id="29"/>
    <w:bookmarkEnd w:id="30"/>
    <w:p w14:paraId="4B6EB38A" w14:textId="77777777" w:rsidR="009F77FF" w:rsidRPr="00BD424E" w:rsidRDefault="009F77FF" w:rsidP="00BD424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outlineLvl w:val="2"/>
        <w:rPr>
          <w:lang w:val="es-ES_tradnl"/>
        </w:rPr>
      </w:pPr>
    </w:p>
    <w:p w14:paraId="70EA9DCE" w14:textId="77777777" w:rsidR="003F5D61" w:rsidRPr="00BD424E" w:rsidRDefault="009F77FF" w:rsidP="00AF2FE4">
      <w:pPr>
        <w:pStyle w:val="Heading3"/>
        <w:numPr>
          <w:ilvl w:val="0"/>
          <w:numId w:val="59"/>
        </w:numPr>
        <w:ind w:left="360"/>
      </w:pPr>
      <w:bookmarkStart w:id="37" w:name="_Toc22199935"/>
      <w:bookmarkStart w:id="38" w:name="_Toc33525306"/>
      <w:r w:rsidRPr="00BD424E">
        <w:t>C</w:t>
      </w:r>
      <w:r w:rsidR="003F5D61" w:rsidRPr="00BD424E">
        <w:t xml:space="preserve">onsideraciones </w:t>
      </w:r>
      <w:r w:rsidR="00C82C9F" w:rsidRPr="00BD424E">
        <w:t>generales</w:t>
      </w:r>
      <w:bookmarkEnd w:id="37"/>
      <w:bookmarkEnd w:id="38"/>
      <w:r w:rsidR="003F5D61" w:rsidRPr="00BD424E">
        <w:t xml:space="preserve"> </w:t>
      </w:r>
    </w:p>
    <w:p w14:paraId="73B4DE85" w14:textId="77777777" w:rsidR="00422A8B" w:rsidRPr="00BD424E" w:rsidRDefault="00422A8B"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7CC989BA" w14:textId="77777777" w:rsidR="00422A8B" w:rsidRPr="00BD424E" w:rsidRDefault="00477AA4"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D424E">
        <w:rPr>
          <w:rFonts w:asciiTheme="majorHAnsi" w:hAnsiTheme="majorHAnsi" w:cs="Verdana"/>
          <w:sz w:val="20"/>
          <w:szCs w:val="20"/>
          <w:lang w:val="es-AR"/>
        </w:rPr>
        <w:t>L</w:t>
      </w:r>
      <w:r w:rsidR="00422A8B" w:rsidRPr="00BD424E">
        <w:rPr>
          <w:rFonts w:asciiTheme="majorHAnsi" w:hAnsiTheme="majorHAnsi" w:cs="Verdana"/>
          <w:sz w:val="20"/>
          <w:szCs w:val="20"/>
          <w:lang w:val="es-US"/>
        </w:rPr>
        <w:t>a obligación de garantía de los Estados incluye el deber de investigar y sancionar toda violación de los derechos reconocidos por la Convención y procurar, además, el restablecimiento, si es posible, del derecho conculcado y, en su caso, la reparación de los daños producidos por la violación de los derechos humanos</w:t>
      </w:r>
      <w:r w:rsidR="00422A8B" w:rsidRPr="00BD424E">
        <w:rPr>
          <w:rStyle w:val="FootnoteReference"/>
          <w:rFonts w:asciiTheme="majorHAnsi" w:hAnsiTheme="majorHAnsi"/>
          <w:sz w:val="20"/>
          <w:szCs w:val="20"/>
          <w:lang w:val="es-US"/>
        </w:rPr>
        <w:footnoteReference w:id="116"/>
      </w:r>
      <w:r w:rsidR="00422A8B" w:rsidRPr="00BD424E">
        <w:rPr>
          <w:rFonts w:asciiTheme="majorHAnsi" w:hAnsiTheme="majorHAnsi" w:cs="Verdana"/>
          <w:sz w:val="20"/>
          <w:szCs w:val="20"/>
          <w:lang w:val="es-US"/>
        </w:rPr>
        <w:t xml:space="preserve">. </w:t>
      </w:r>
    </w:p>
    <w:p w14:paraId="5AB596AF" w14:textId="77777777" w:rsidR="00422A8B" w:rsidRPr="00BD424E" w:rsidRDefault="00422A8B" w:rsidP="00BD424E">
      <w:pPr>
        <w:rPr>
          <w:bdr w:val="none" w:sz="0" w:space="0" w:color="auto"/>
          <w:lang w:val="es-MX"/>
        </w:rPr>
      </w:pPr>
    </w:p>
    <w:p w14:paraId="0362A9FE" w14:textId="77777777" w:rsidR="000A07B9" w:rsidRPr="00BD424E" w:rsidRDefault="00422A8B"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AR"/>
        </w:rPr>
      </w:pPr>
      <w:r w:rsidRPr="00BD424E">
        <w:rPr>
          <w:rFonts w:asciiTheme="majorHAnsi" w:eastAsia="Batang" w:hAnsiTheme="majorHAnsi"/>
          <w:sz w:val="20"/>
          <w:szCs w:val="20"/>
          <w:bdr w:val="none" w:sz="0" w:space="0" w:color="auto"/>
          <w:lang w:val="es-ES"/>
        </w:rPr>
        <w:t>La Comisión ha subrayado que la obligación de los Estados de actuar con la debida diligencia comprende el facilitar el acceso a recursos judiciales idóneos y efectivos frente a una violación de los derechos humanos</w:t>
      </w:r>
      <w:r w:rsidRPr="00BD424E">
        <w:rPr>
          <w:rFonts w:asciiTheme="majorHAnsi" w:eastAsia="Batang" w:hAnsiTheme="majorHAnsi"/>
          <w:sz w:val="20"/>
          <w:szCs w:val="20"/>
          <w:bdr w:val="none" w:sz="0" w:space="0" w:color="auto"/>
          <w:vertAlign w:val="superscript"/>
          <w:lang w:val="es-ES"/>
        </w:rPr>
        <w:footnoteReference w:id="117"/>
      </w:r>
      <w:r w:rsidRPr="00BD424E">
        <w:rPr>
          <w:rFonts w:asciiTheme="majorHAnsi" w:eastAsia="Batang" w:hAnsiTheme="majorHAnsi"/>
          <w:sz w:val="20"/>
          <w:szCs w:val="20"/>
          <w:bdr w:val="none" w:sz="0" w:space="0" w:color="auto"/>
          <w:lang w:val="es-ES"/>
        </w:rPr>
        <w:t>. Como lo ha señalado la Comisión, la efectividad de un recurso debe ser entendida en relación con su posibilidad para determinar la existencia de violaciones a derechos fundamentales; de remediarlas; y de reparar el daño causado y permitir el castigo a los responsables</w:t>
      </w:r>
      <w:r w:rsidRPr="00BD424E">
        <w:rPr>
          <w:rFonts w:asciiTheme="majorHAnsi" w:eastAsia="Batang" w:hAnsiTheme="majorHAnsi"/>
          <w:sz w:val="20"/>
          <w:szCs w:val="20"/>
          <w:bdr w:val="none" w:sz="0" w:space="0" w:color="auto"/>
          <w:vertAlign w:val="superscript"/>
          <w:lang w:val="es-ES"/>
        </w:rPr>
        <w:footnoteReference w:id="118"/>
      </w:r>
      <w:r w:rsidRPr="00BD424E">
        <w:rPr>
          <w:rFonts w:asciiTheme="majorHAnsi" w:eastAsia="Batang" w:hAnsiTheme="majorHAnsi"/>
          <w:sz w:val="20"/>
          <w:szCs w:val="20"/>
          <w:bdr w:val="none" w:sz="0" w:space="0" w:color="auto"/>
          <w:lang w:val="es-ES"/>
        </w:rPr>
        <w:t>.</w:t>
      </w:r>
    </w:p>
    <w:p w14:paraId="7B2036C2" w14:textId="77777777" w:rsidR="000A07B9" w:rsidRPr="00BD424E" w:rsidRDefault="000A07B9" w:rsidP="00BD424E">
      <w:pPr>
        <w:rPr>
          <w:bdr w:val="none" w:sz="0" w:space="0" w:color="auto"/>
          <w:lang w:val="es-MX"/>
        </w:rPr>
      </w:pPr>
    </w:p>
    <w:p w14:paraId="1DE1A73E" w14:textId="77777777" w:rsidR="001D00BB" w:rsidRPr="00BD424E" w:rsidRDefault="00C85B61"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AR"/>
        </w:rPr>
      </w:pPr>
      <w:r w:rsidRPr="00BD424E">
        <w:rPr>
          <w:rFonts w:asciiTheme="majorHAnsi" w:eastAsia="Batang" w:hAnsiTheme="majorHAnsi"/>
          <w:sz w:val="20"/>
          <w:szCs w:val="20"/>
          <w:bdr w:val="none" w:sz="0" w:space="0" w:color="auto"/>
          <w:lang w:val="es-ES"/>
        </w:rPr>
        <w:t>La Comisión, citando a la Corte Interamericana ha referido que no pueden considerarse efectivos aquellos recursos que resulten ilusorios, como resultado de una situación de denegación de justicia, tal como sucede cuando se incurre en retardo injustificado en la decisión. Asimismo, la Comisión ha establecido que un elemento esencial de la efectividad de los recursos es la oportunidad; en este sentido, el derecho a la protección judicial exige que los tribunales dictaminen y decidan los casos con celeridad, particularmente en casos urgentes</w:t>
      </w:r>
      <w:r w:rsidRPr="00BD424E">
        <w:rPr>
          <w:rStyle w:val="FootnoteReference"/>
          <w:rFonts w:asciiTheme="majorHAnsi" w:eastAsia="Batang" w:hAnsiTheme="majorHAnsi"/>
          <w:sz w:val="20"/>
          <w:szCs w:val="20"/>
          <w:bdr w:val="none" w:sz="0" w:space="0" w:color="auto"/>
          <w:lang w:val="es-ES"/>
        </w:rPr>
        <w:footnoteReference w:id="119"/>
      </w:r>
      <w:r w:rsidRPr="00BD424E">
        <w:rPr>
          <w:rFonts w:asciiTheme="majorHAnsi" w:eastAsia="Batang" w:hAnsiTheme="majorHAnsi"/>
          <w:sz w:val="20"/>
          <w:szCs w:val="20"/>
          <w:bdr w:val="none" w:sz="0" w:space="0" w:color="auto"/>
          <w:lang w:val="es-ES"/>
        </w:rPr>
        <w:t xml:space="preserve">. </w:t>
      </w:r>
    </w:p>
    <w:p w14:paraId="13B06EB9" w14:textId="77777777" w:rsidR="00CC0CE6" w:rsidRPr="00BD424E" w:rsidRDefault="00CC0CE6"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AR"/>
        </w:rPr>
      </w:pPr>
    </w:p>
    <w:p w14:paraId="7C491F08" w14:textId="083CE976" w:rsidR="00CC0CE6" w:rsidRPr="00BD424E" w:rsidRDefault="00CC0CE6"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AR"/>
        </w:rPr>
      </w:pPr>
      <w:r w:rsidRPr="00BD424E">
        <w:rPr>
          <w:rFonts w:ascii="Cambria" w:eastAsia="Times New Roman" w:hAnsi="Cambria"/>
          <w:sz w:val="20"/>
          <w:szCs w:val="20"/>
          <w:bdr w:val="none" w:sz="0" w:space="0" w:color="auto"/>
          <w:lang w:val="es-MX"/>
        </w:rPr>
        <w:t>En casos de violencia contra la mujer, las obligaciones genéricas establecidas en los artículos 8 y 25 de la Convención Americana se complementan y refuerzan, para aquellos Estados que son Parte, con las obligaciones derivadas del tratado interamericano específico, la Convención de Belém do Pará . El artículo 7 de la Convención de Belém do Pará, exige de los Estados una actuación orientada además de a prevenir, a sancionar y erradicar la violencia contra la mujer.</w:t>
      </w:r>
      <w:r w:rsidRPr="00BD424E">
        <w:rPr>
          <w:rFonts w:asciiTheme="majorHAnsi" w:hAnsiTheme="majorHAnsi"/>
          <w:sz w:val="20"/>
          <w:szCs w:val="20"/>
          <w:lang w:val="es-AR"/>
        </w:rPr>
        <w:t xml:space="preserve"> L</w:t>
      </w:r>
      <w:r w:rsidRPr="00BD424E">
        <w:rPr>
          <w:rFonts w:ascii="Cambria" w:eastAsia="Times New Roman" w:hAnsi="Cambria"/>
          <w:sz w:val="20"/>
          <w:szCs w:val="20"/>
          <w:bdr w:val="none" w:sz="0" w:space="0" w:color="auto"/>
          <w:lang w:val="es-MX"/>
        </w:rPr>
        <w:t>a Corte Interamericana ha afirmado también que, ante un acto de violencia contra una mujer, resulta particularmente importante que las autoridades a cargo de la investigación la lleven adelante con determinación y eficacia, teniendo en cuenta el deber de la sociedad de rechazar la violencia contra las mujeres y las obligaciones del Estado de erradicarla y de brindar confianza a las víctimas en las instituciones estatales para su protección”</w:t>
      </w:r>
      <w:r w:rsidRPr="00BD424E">
        <w:rPr>
          <w:rStyle w:val="FootnoteReference"/>
          <w:rFonts w:ascii="Cambria" w:eastAsia="Times New Roman" w:hAnsi="Cambria"/>
          <w:sz w:val="20"/>
          <w:szCs w:val="20"/>
          <w:bdr w:val="none" w:sz="0" w:space="0" w:color="auto"/>
          <w:lang w:val="es-MX"/>
        </w:rPr>
        <w:footnoteReference w:id="120"/>
      </w:r>
      <w:r w:rsidRPr="00BD424E">
        <w:rPr>
          <w:rFonts w:ascii="Cambria" w:eastAsia="Times New Roman" w:hAnsi="Cambria"/>
          <w:sz w:val="20"/>
          <w:szCs w:val="20"/>
          <w:bdr w:val="none" w:sz="0" w:space="0" w:color="auto"/>
          <w:lang w:val="es-MX"/>
        </w:rPr>
        <w:t>.</w:t>
      </w:r>
    </w:p>
    <w:p w14:paraId="0A299282" w14:textId="77777777" w:rsidR="00CC0CE6" w:rsidRPr="00BD424E" w:rsidRDefault="00CC0CE6" w:rsidP="00BD424E">
      <w:pPr>
        <w:rPr>
          <w:lang w:val="es-US"/>
        </w:rPr>
      </w:pPr>
    </w:p>
    <w:p w14:paraId="5CA57D23" w14:textId="77777777" w:rsidR="001D00BB" w:rsidRPr="00BD424E" w:rsidRDefault="001D00BB"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AR"/>
        </w:rPr>
      </w:pPr>
      <w:r w:rsidRPr="00BD424E">
        <w:rPr>
          <w:rFonts w:asciiTheme="majorHAnsi" w:hAnsiTheme="majorHAnsi"/>
          <w:sz w:val="20"/>
          <w:szCs w:val="20"/>
          <w:lang w:val="es-MX"/>
        </w:rPr>
        <w:t>Finalmente, con respecto a la garantía de plazo razonable contemplada en el artículo 8.1 de la Convención Americana, la Corte Interamericana ha establecido que es preciso tomar en cuenta tres elementos para determinar la razonabilidad del plazo en el que se desarrolla un proceso: a) la complejidad del asunto, b) la actividad procesal del interesado,  c) la conducta de las autoridades judiciales</w:t>
      </w:r>
      <w:r w:rsidRPr="00BD424E">
        <w:rPr>
          <w:rStyle w:val="FootnoteReference"/>
          <w:rFonts w:asciiTheme="majorHAnsi" w:hAnsiTheme="majorHAnsi" w:cs="Verdana"/>
          <w:sz w:val="20"/>
          <w:szCs w:val="20"/>
        </w:rPr>
        <w:footnoteReference w:id="121"/>
      </w:r>
      <w:r w:rsidRPr="00BD424E">
        <w:rPr>
          <w:rFonts w:asciiTheme="majorHAnsi" w:hAnsiTheme="majorHAnsi"/>
          <w:sz w:val="20"/>
          <w:szCs w:val="20"/>
          <w:lang w:val="es-MX"/>
        </w:rPr>
        <w:t xml:space="preserve"> </w:t>
      </w:r>
      <w:r w:rsidR="002D6FE5" w:rsidRPr="00BD424E">
        <w:rPr>
          <w:rFonts w:asciiTheme="majorHAnsi" w:hAnsiTheme="majorHAnsi"/>
          <w:sz w:val="20"/>
          <w:szCs w:val="20"/>
          <w:lang w:val="es-CR"/>
        </w:rPr>
        <w:t>y d) afectación generada en la situación jurídica de la persona involucrada en el proceso</w:t>
      </w:r>
      <w:r w:rsidR="002D6FE5" w:rsidRPr="00BD424E">
        <w:rPr>
          <w:rStyle w:val="FootnoteReference"/>
          <w:rFonts w:asciiTheme="majorHAnsi" w:hAnsiTheme="majorHAnsi" w:cs="Verdana"/>
          <w:sz w:val="20"/>
          <w:szCs w:val="20"/>
          <w:lang w:val="es-CR"/>
        </w:rPr>
        <w:footnoteReference w:id="122"/>
      </w:r>
      <w:r w:rsidR="002D6FE5" w:rsidRPr="00BD424E">
        <w:rPr>
          <w:rFonts w:asciiTheme="majorHAnsi" w:hAnsiTheme="majorHAnsi"/>
          <w:sz w:val="20"/>
          <w:szCs w:val="20"/>
          <w:lang w:val="es-CR"/>
        </w:rPr>
        <w:t>.</w:t>
      </w:r>
    </w:p>
    <w:p w14:paraId="53BE8F57" w14:textId="77777777" w:rsidR="00F82FE4" w:rsidRPr="00BD424E" w:rsidRDefault="00F82FE4"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AR"/>
        </w:rPr>
      </w:pPr>
    </w:p>
    <w:p w14:paraId="508DDE76" w14:textId="77777777" w:rsidR="00F82FE4" w:rsidRPr="00BD424E" w:rsidRDefault="00F82FE4" w:rsidP="00BD424E">
      <w:pPr>
        <w:pStyle w:val="Heading3"/>
        <w:ind w:left="360"/>
      </w:pPr>
      <w:bookmarkStart w:id="39" w:name="_Toc22199936"/>
      <w:bookmarkStart w:id="40" w:name="_Toc33525307"/>
      <w:r w:rsidRPr="00BD424E">
        <w:t>Análisis del caso</w:t>
      </w:r>
      <w:bookmarkEnd w:id="39"/>
      <w:bookmarkEnd w:id="40"/>
    </w:p>
    <w:p w14:paraId="6D9C373F" w14:textId="77777777" w:rsidR="00F82FE4" w:rsidRPr="00BD424E" w:rsidRDefault="00F82FE4" w:rsidP="00BD424E">
      <w:pPr>
        <w:pStyle w:val="Heading4"/>
        <w:numPr>
          <w:ilvl w:val="1"/>
          <w:numId w:val="56"/>
        </w:numPr>
        <w:ind w:left="360"/>
        <w:rPr>
          <w:i w:val="0"/>
          <w:color w:val="auto"/>
          <w:sz w:val="20"/>
          <w:szCs w:val="20"/>
          <w:bdr w:val="none" w:sz="0" w:space="0" w:color="auto"/>
          <w:lang w:val="es-MX"/>
        </w:rPr>
      </w:pPr>
      <w:bookmarkStart w:id="41" w:name="_Toc22199937"/>
      <w:bookmarkStart w:id="42" w:name="_Toc33525308"/>
      <w:r w:rsidRPr="00BD424E">
        <w:rPr>
          <w:i w:val="0"/>
          <w:color w:val="auto"/>
          <w:sz w:val="20"/>
          <w:szCs w:val="20"/>
          <w:bdr w:val="none" w:sz="0" w:space="0" w:color="auto"/>
          <w:lang w:val="es-MX"/>
        </w:rPr>
        <w:t>Debida diligencia</w:t>
      </w:r>
      <w:bookmarkEnd w:id="41"/>
      <w:bookmarkEnd w:id="42"/>
    </w:p>
    <w:p w14:paraId="1D0058AF" w14:textId="77777777" w:rsidR="00F82FE4" w:rsidRPr="00BD424E" w:rsidRDefault="00F82FE4" w:rsidP="00BD424E">
      <w:pPr>
        <w:ind w:left="360" w:hanging="360"/>
        <w:rPr>
          <w:bdr w:val="none" w:sz="0" w:space="0" w:color="auto"/>
          <w:lang w:val="es-MX"/>
        </w:rPr>
      </w:pPr>
    </w:p>
    <w:p w14:paraId="31570186" w14:textId="77777777" w:rsidR="00131C5B" w:rsidRPr="00BD424E" w:rsidRDefault="00F82FE4"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AR"/>
        </w:rPr>
      </w:pPr>
      <w:r w:rsidRPr="00BD424E">
        <w:rPr>
          <w:rFonts w:asciiTheme="majorHAnsi" w:eastAsia="Batang" w:hAnsiTheme="majorHAnsi"/>
          <w:sz w:val="20"/>
          <w:szCs w:val="20"/>
          <w:bdr w:val="none" w:sz="0" w:space="0" w:color="auto"/>
          <w:lang w:val="es-VE"/>
        </w:rPr>
        <w:t>La Comisión observa que en el presente caso se activó un proceso penal</w:t>
      </w:r>
      <w:r w:rsidR="006F5E83" w:rsidRPr="00BD424E">
        <w:rPr>
          <w:rFonts w:asciiTheme="majorHAnsi" w:eastAsia="Batang" w:hAnsiTheme="majorHAnsi"/>
          <w:sz w:val="20"/>
          <w:szCs w:val="20"/>
          <w:bdr w:val="none" w:sz="0" w:space="0" w:color="auto"/>
          <w:lang w:val="es-VE"/>
        </w:rPr>
        <w:t>, por homicidio culposo</w:t>
      </w:r>
      <w:r w:rsidR="007449D4" w:rsidRPr="00BD424E">
        <w:rPr>
          <w:rFonts w:asciiTheme="majorHAnsi" w:eastAsia="Batang" w:hAnsiTheme="majorHAnsi"/>
          <w:sz w:val="20"/>
          <w:szCs w:val="20"/>
          <w:bdr w:val="none" w:sz="0" w:space="0" w:color="auto"/>
          <w:lang w:val="es-VE"/>
        </w:rPr>
        <w:t>,</w:t>
      </w:r>
      <w:r w:rsidR="005125CF" w:rsidRPr="00BD424E">
        <w:rPr>
          <w:rFonts w:asciiTheme="majorHAnsi" w:eastAsia="Batang" w:hAnsiTheme="majorHAnsi"/>
          <w:sz w:val="20"/>
          <w:szCs w:val="20"/>
          <w:bdr w:val="none" w:sz="0" w:space="0" w:color="auto"/>
          <w:lang w:val="es-VE"/>
        </w:rPr>
        <w:t xml:space="preserve"> el 15 de junio de 1992</w:t>
      </w:r>
      <w:r w:rsidR="006F5E83" w:rsidRPr="00BD424E">
        <w:rPr>
          <w:rFonts w:asciiTheme="majorHAnsi" w:eastAsia="Batang" w:hAnsiTheme="majorHAnsi"/>
          <w:sz w:val="20"/>
          <w:szCs w:val="20"/>
          <w:bdr w:val="none" w:sz="0" w:space="0" w:color="auto"/>
          <w:lang w:val="es-VE"/>
        </w:rPr>
        <w:t>,</w:t>
      </w:r>
      <w:r w:rsidRPr="00BD424E">
        <w:rPr>
          <w:rFonts w:asciiTheme="majorHAnsi" w:eastAsia="Batang" w:hAnsiTheme="majorHAnsi"/>
          <w:sz w:val="20"/>
          <w:szCs w:val="20"/>
          <w:bdr w:val="none" w:sz="0" w:space="0" w:color="auto"/>
          <w:lang w:val="es-VE"/>
        </w:rPr>
        <w:t xml:space="preserve"> en contra de</w:t>
      </w:r>
      <w:r w:rsidR="006F5E83" w:rsidRPr="00BD424E">
        <w:rPr>
          <w:rFonts w:asciiTheme="majorHAnsi" w:eastAsia="Batang" w:hAnsiTheme="majorHAnsi"/>
          <w:sz w:val="20"/>
          <w:szCs w:val="20"/>
          <w:bdr w:val="none" w:sz="0" w:space="0" w:color="auto"/>
          <w:lang w:val="es-VE"/>
        </w:rPr>
        <w:t>l</w:t>
      </w:r>
      <w:r w:rsidRPr="00BD424E">
        <w:rPr>
          <w:rFonts w:asciiTheme="majorHAnsi" w:eastAsia="Batang" w:hAnsiTheme="majorHAnsi"/>
          <w:sz w:val="20"/>
          <w:szCs w:val="20"/>
          <w:bdr w:val="none" w:sz="0" w:space="0" w:color="auto"/>
          <w:lang w:val="es-VE"/>
        </w:rPr>
        <w:t xml:space="preserve"> personal</w:t>
      </w:r>
      <w:r w:rsidR="006F5E83" w:rsidRPr="00BD424E">
        <w:rPr>
          <w:rFonts w:asciiTheme="majorHAnsi" w:eastAsia="Batang" w:hAnsiTheme="majorHAnsi"/>
          <w:sz w:val="20"/>
          <w:szCs w:val="20"/>
          <w:bdr w:val="none" w:sz="0" w:space="0" w:color="auto"/>
          <w:lang w:val="es-VE"/>
        </w:rPr>
        <w:t xml:space="preserve"> médico del Hospital Público Sardá</w:t>
      </w:r>
      <w:r w:rsidR="005125CF" w:rsidRPr="00BD424E">
        <w:rPr>
          <w:rFonts w:asciiTheme="majorHAnsi" w:eastAsia="Batang" w:hAnsiTheme="majorHAnsi"/>
          <w:sz w:val="20"/>
          <w:szCs w:val="20"/>
          <w:bdr w:val="none" w:sz="0" w:space="0" w:color="auto"/>
          <w:lang w:val="es-VE"/>
        </w:rPr>
        <w:t xml:space="preserve"> que atendió a la señora Britez Arce</w:t>
      </w:r>
      <w:r w:rsidRPr="00BD424E">
        <w:rPr>
          <w:rFonts w:asciiTheme="majorHAnsi" w:eastAsia="Batang" w:hAnsiTheme="majorHAnsi"/>
          <w:sz w:val="20"/>
          <w:szCs w:val="20"/>
          <w:bdr w:val="none" w:sz="0" w:space="0" w:color="auto"/>
          <w:lang w:val="es-VE"/>
        </w:rPr>
        <w:t xml:space="preserve"> y un proceso civil por d</w:t>
      </w:r>
      <w:r w:rsidR="006F5E83" w:rsidRPr="00BD424E">
        <w:rPr>
          <w:rFonts w:asciiTheme="majorHAnsi" w:eastAsia="Batang" w:hAnsiTheme="majorHAnsi"/>
          <w:sz w:val="20"/>
          <w:szCs w:val="20"/>
          <w:bdr w:val="none" w:sz="0" w:space="0" w:color="auto"/>
          <w:lang w:val="es-VE"/>
        </w:rPr>
        <w:t>años y perjuicios en contra de</w:t>
      </w:r>
      <w:r w:rsidR="005125CF" w:rsidRPr="00BD424E">
        <w:rPr>
          <w:rFonts w:asciiTheme="majorHAnsi" w:eastAsia="Batang" w:hAnsiTheme="majorHAnsi"/>
          <w:sz w:val="20"/>
          <w:szCs w:val="20"/>
          <w:bdr w:val="none" w:sz="0" w:space="0" w:color="auto"/>
          <w:lang w:val="es-VE"/>
        </w:rPr>
        <w:t xml:space="preserve">l </w:t>
      </w:r>
      <w:r w:rsidR="006F5E83" w:rsidRPr="00BD424E">
        <w:rPr>
          <w:rFonts w:asciiTheme="majorHAnsi" w:eastAsia="Batang" w:hAnsiTheme="majorHAnsi"/>
          <w:sz w:val="20"/>
          <w:szCs w:val="20"/>
          <w:bdr w:val="none" w:sz="0" w:space="0" w:color="auto"/>
          <w:lang w:val="es-VE"/>
        </w:rPr>
        <w:t>hospital</w:t>
      </w:r>
      <w:r w:rsidR="00185F87" w:rsidRPr="00BD424E">
        <w:rPr>
          <w:rFonts w:asciiTheme="majorHAnsi" w:eastAsia="Batang" w:hAnsiTheme="majorHAnsi"/>
          <w:sz w:val="20"/>
          <w:szCs w:val="20"/>
          <w:bdr w:val="none" w:sz="0" w:space="0" w:color="auto"/>
          <w:lang w:val="es-VE"/>
        </w:rPr>
        <w:t xml:space="preserve"> y del gobierno de Buenos Aires</w:t>
      </w:r>
      <w:r w:rsidR="003B3CAD" w:rsidRPr="00BD424E">
        <w:rPr>
          <w:rFonts w:asciiTheme="majorHAnsi" w:eastAsia="Batang" w:hAnsiTheme="majorHAnsi"/>
          <w:sz w:val="20"/>
          <w:szCs w:val="20"/>
          <w:bdr w:val="none" w:sz="0" w:space="0" w:color="auto"/>
          <w:lang w:val="es-VE"/>
        </w:rPr>
        <w:t xml:space="preserve"> el 31 de mayo de 1994</w:t>
      </w:r>
      <w:r w:rsidR="006F5E83" w:rsidRPr="00BD424E">
        <w:rPr>
          <w:rFonts w:asciiTheme="majorHAnsi" w:eastAsia="Batang" w:hAnsiTheme="majorHAnsi"/>
          <w:sz w:val="20"/>
          <w:szCs w:val="20"/>
          <w:bdr w:val="none" w:sz="0" w:space="0" w:color="auto"/>
          <w:lang w:val="es-VE"/>
        </w:rPr>
        <w:t xml:space="preserve">.  </w:t>
      </w:r>
    </w:p>
    <w:p w14:paraId="71E2443F" w14:textId="77777777" w:rsidR="00131C5B" w:rsidRPr="00BD424E" w:rsidRDefault="00131C5B"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AR"/>
        </w:rPr>
      </w:pPr>
    </w:p>
    <w:p w14:paraId="10612B89" w14:textId="77777777" w:rsidR="00F82FE4" w:rsidRPr="00BD424E" w:rsidRDefault="003B3CAD"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AR"/>
        </w:rPr>
      </w:pPr>
      <w:r w:rsidRPr="00BD424E">
        <w:rPr>
          <w:rFonts w:asciiTheme="majorHAnsi" w:eastAsia="Batang" w:hAnsiTheme="majorHAnsi"/>
          <w:sz w:val="20"/>
          <w:szCs w:val="20"/>
          <w:bdr w:val="none" w:sz="0" w:space="0" w:color="auto"/>
          <w:lang w:val="es-VE"/>
        </w:rPr>
        <w:t>Como ha quedado detallado, o</w:t>
      </w:r>
      <w:r w:rsidR="006F5E83" w:rsidRPr="00BD424E">
        <w:rPr>
          <w:rFonts w:asciiTheme="majorHAnsi" w:eastAsia="Batang" w:hAnsiTheme="majorHAnsi"/>
          <w:sz w:val="20"/>
          <w:szCs w:val="20"/>
          <w:bdr w:val="none" w:sz="0" w:space="0" w:color="auto"/>
          <w:lang w:val="es-VE"/>
        </w:rPr>
        <w:t>tros procesos penales tuvieron lugar a partir de la investigación principal por homicidio culposo</w:t>
      </w:r>
      <w:r w:rsidR="00EC044D" w:rsidRPr="00BD424E">
        <w:rPr>
          <w:rFonts w:asciiTheme="majorHAnsi" w:eastAsia="Batang" w:hAnsiTheme="majorHAnsi"/>
          <w:sz w:val="20"/>
          <w:szCs w:val="20"/>
          <w:bdr w:val="none" w:sz="0" w:space="0" w:color="auto"/>
          <w:lang w:val="es-VE"/>
        </w:rPr>
        <w:t xml:space="preserve"> (causa 2391); la causa 21.375 por presunta falsificación de documento público y la causa 27.985 contra el Cuerpo Médico Forense por presunto falso testimonio. </w:t>
      </w:r>
    </w:p>
    <w:p w14:paraId="7ACFE9FA" w14:textId="77777777" w:rsidR="006F5E83" w:rsidRPr="00BD424E" w:rsidRDefault="006F5E83"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AR"/>
        </w:rPr>
      </w:pPr>
    </w:p>
    <w:p w14:paraId="15501967" w14:textId="77777777" w:rsidR="00AF4528" w:rsidRPr="00BD424E" w:rsidRDefault="00350DA0"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firstLine="0"/>
        <w:jc w:val="both"/>
        <w:rPr>
          <w:rFonts w:asciiTheme="majorHAnsi" w:hAnsiTheme="majorHAnsi"/>
          <w:sz w:val="20"/>
          <w:szCs w:val="20"/>
          <w:lang w:val="es-ES"/>
        </w:rPr>
      </w:pPr>
      <w:r w:rsidRPr="00BD424E">
        <w:rPr>
          <w:rFonts w:asciiTheme="majorHAnsi" w:hAnsiTheme="majorHAnsi"/>
          <w:sz w:val="20"/>
          <w:szCs w:val="20"/>
          <w:lang w:val="es-ES"/>
        </w:rPr>
        <w:t>L</w:t>
      </w:r>
      <w:r w:rsidR="00F34052" w:rsidRPr="00BD424E">
        <w:rPr>
          <w:rFonts w:asciiTheme="majorHAnsi" w:hAnsiTheme="majorHAnsi"/>
          <w:sz w:val="20"/>
          <w:szCs w:val="20"/>
          <w:lang w:val="es-ES"/>
        </w:rPr>
        <w:t xml:space="preserve">a </w:t>
      </w:r>
      <w:r w:rsidRPr="00BD424E">
        <w:rPr>
          <w:rFonts w:asciiTheme="majorHAnsi" w:hAnsiTheme="majorHAnsi"/>
          <w:sz w:val="20"/>
          <w:szCs w:val="20"/>
          <w:lang w:val="es-ES"/>
        </w:rPr>
        <w:t xml:space="preserve">Comisión advierte que la </w:t>
      </w:r>
      <w:r w:rsidR="00F34052" w:rsidRPr="00BD424E">
        <w:rPr>
          <w:rFonts w:asciiTheme="majorHAnsi" w:hAnsiTheme="majorHAnsi"/>
          <w:sz w:val="20"/>
          <w:szCs w:val="20"/>
          <w:lang w:val="es-ES"/>
        </w:rPr>
        <w:t>Cámara de Apelaciones en lo Criminal y Correccional</w:t>
      </w:r>
      <w:r w:rsidRPr="00BD424E">
        <w:rPr>
          <w:rFonts w:asciiTheme="majorHAnsi" w:hAnsiTheme="majorHAnsi"/>
          <w:sz w:val="20"/>
          <w:szCs w:val="20"/>
          <w:lang w:val="es-ES"/>
        </w:rPr>
        <w:t>, respecto de la causa por homicidio culposo,</w:t>
      </w:r>
      <w:r w:rsidR="00F34052" w:rsidRPr="00BD424E">
        <w:rPr>
          <w:rFonts w:asciiTheme="majorHAnsi" w:hAnsiTheme="majorHAnsi"/>
          <w:sz w:val="20"/>
          <w:szCs w:val="20"/>
          <w:lang w:val="es-ES"/>
        </w:rPr>
        <w:t xml:space="preserve"> refirió que era probable la hipótesis de mala praxis </w:t>
      </w:r>
      <w:r w:rsidR="001128DD" w:rsidRPr="00BD424E">
        <w:rPr>
          <w:rFonts w:asciiTheme="majorHAnsi" w:hAnsiTheme="majorHAnsi"/>
          <w:sz w:val="20"/>
          <w:szCs w:val="20"/>
          <w:lang w:val="es-ES"/>
        </w:rPr>
        <w:t>presentada; sin embargo, por no contar con elementos suficientes para acreditarla, confirmó la sentencia de primera instancia</w:t>
      </w:r>
      <w:r w:rsidR="00982EDB" w:rsidRPr="00BD424E">
        <w:rPr>
          <w:rFonts w:asciiTheme="majorHAnsi" w:hAnsiTheme="majorHAnsi"/>
          <w:sz w:val="20"/>
          <w:szCs w:val="20"/>
          <w:lang w:val="es-ES"/>
        </w:rPr>
        <w:t xml:space="preserve"> que sobreseyó a los médicos imputados</w:t>
      </w:r>
      <w:r w:rsidR="001128DD" w:rsidRPr="00BD424E">
        <w:rPr>
          <w:rFonts w:asciiTheme="majorHAnsi" w:hAnsiTheme="majorHAnsi"/>
          <w:sz w:val="20"/>
          <w:szCs w:val="20"/>
          <w:lang w:val="es-ES"/>
        </w:rPr>
        <w:t xml:space="preserve">. </w:t>
      </w:r>
    </w:p>
    <w:p w14:paraId="3CEB4861" w14:textId="77777777" w:rsidR="00AF4528" w:rsidRPr="00BD424E" w:rsidRDefault="00AF4528" w:rsidP="00BD424E">
      <w:pPr>
        <w:pStyle w:val="ListParagraph"/>
      </w:pPr>
    </w:p>
    <w:p w14:paraId="2944816A" w14:textId="77777777" w:rsidR="00975FAF" w:rsidRPr="00BD424E" w:rsidRDefault="00902930"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firstLine="0"/>
        <w:jc w:val="both"/>
        <w:rPr>
          <w:rFonts w:asciiTheme="majorHAnsi" w:hAnsiTheme="majorHAnsi"/>
          <w:sz w:val="20"/>
          <w:szCs w:val="20"/>
          <w:lang w:val="es-ES"/>
        </w:rPr>
      </w:pPr>
      <w:r w:rsidRPr="00BD424E">
        <w:rPr>
          <w:rFonts w:asciiTheme="majorHAnsi" w:hAnsiTheme="majorHAnsi"/>
          <w:sz w:val="20"/>
          <w:szCs w:val="20"/>
          <w:lang w:val="es-ES"/>
        </w:rPr>
        <w:t xml:space="preserve">La Comisión </w:t>
      </w:r>
      <w:r w:rsidR="00AF4528" w:rsidRPr="00BD424E">
        <w:rPr>
          <w:rFonts w:asciiTheme="majorHAnsi" w:hAnsiTheme="majorHAnsi"/>
          <w:sz w:val="20"/>
          <w:szCs w:val="20"/>
          <w:lang w:val="es-ES"/>
        </w:rPr>
        <w:t xml:space="preserve">subraya </w:t>
      </w:r>
      <w:r w:rsidRPr="00BD424E">
        <w:rPr>
          <w:rFonts w:asciiTheme="majorHAnsi" w:hAnsiTheme="majorHAnsi"/>
          <w:sz w:val="20"/>
          <w:szCs w:val="20"/>
          <w:lang w:val="es-ES"/>
        </w:rPr>
        <w:t xml:space="preserve">que en las diversas instancias </w:t>
      </w:r>
      <w:r w:rsidR="00131C5B" w:rsidRPr="00BD424E">
        <w:rPr>
          <w:rFonts w:asciiTheme="majorHAnsi" w:hAnsiTheme="majorHAnsi"/>
          <w:sz w:val="20"/>
          <w:szCs w:val="20"/>
          <w:lang w:val="es-ES"/>
        </w:rPr>
        <w:t xml:space="preserve">judiciales, así como en las periciales realizadas, se </w:t>
      </w:r>
      <w:r w:rsidRPr="00BD424E">
        <w:rPr>
          <w:rFonts w:asciiTheme="majorHAnsi" w:hAnsiTheme="majorHAnsi"/>
          <w:sz w:val="20"/>
          <w:szCs w:val="20"/>
          <w:lang w:val="es-ES"/>
        </w:rPr>
        <w:t xml:space="preserve"> </w:t>
      </w:r>
      <w:r w:rsidR="00131C5B" w:rsidRPr="00BD424E">
        <w:rPr>
          <w:rFonts w:asciiTheme="majorHAnsi" w:hAnsiTheme="majorHAnsi"/>
          <w:sz w:val="20"/>
          <w:szCs w:val="20"/>
          <w:lang w:val="es-ES"/>
        </w:rPr>
        <w:t xml:space="preserve">recalcó la imposibilidad de </w:t>
      </w:r>
      <w:r w:rsidRPr="00BD424E">
        <w:rPr>
          <w:rFonts w:asciiTheme="majorHAnsi" w:hAnsiTheme="majorHAnsi"/>
          <w:sz w:val="20"/>
          <w:szCs w:val="20"/>
          <w:lang w:val="es-ES"/>
        </w:rPr>
        <w:t xml:space="preserve">conocer con certeza la causa de la muerte </w:t>
      </w:r>
      <w:r w:rsidR="00131C5B" w:rsidRPr="00BD424E">
        <w:rPr>
          <w:rFonts w:asciiTheme="majorHAnsi" w:hAnsiTheme="majorHAnsi"/>
          <w:sz w:val="20"/>
          <w:szCs w:val="20"/>
          <w:lang w:val="es-ES"/>
        </w:rPr>
        <w:t xml:space="preserve">de la señora Britez Arce, </w:t>
      </w:r>
      <w:r w:rsidRPr="00BD424E">
        <w:rPr>
          <w:rFonts w:asciiTheme="majorHAnsi" w:hAnsiTheme="majorHAnsi"/>
          <w:sz w:val="20"/>
          <w:szCs w:val="20"/>
          <w:lang w:val="es-ES"/>
        </w:rPr>
        <w:t>debido a que la autopsia</w:t>
      </w:r>
      <w:r w:rsidR="00131C5B" w:rsidRPr="00BD424E">
        <w:rPr>
          <w:rFonts w:asciiTheme="majorHAnsi" w:hAnsiTheme="majorHAnsi"/>
          <w:sz w:val="20"/>
          <w:szCs w:val="20"/>
          <w:lang w:val="es-ES"/>
        </w:rPr>
        <w:t xml:space="preserve"> no</w:t>
      </w:r>
      <w:r w:rsidRPr="00BD424E">
        <w:rPr>
          <w:rFonts w:asciiTheme="majorHAnsi" w:hAnsiTheme="majorHAnsi"/>
          <w:sz w:val="20"/>
          <w:szCs w:val="20"/>
          <w:lang w:val="es-ES"/>
        </w:rPr>
        <w:t xml:space="preserve"> se realizó</w:t>
      </w:r>
      <w:r w:rsidR="00131C5B" w:rsidRPr="00BD424E">
        <w:rPr>
          <w:rFonts w:asciiTheme="majorHAnsi" w:hAnsiTheme="majorHAnsi"/>
          <w:sz w:val="20"/>
          <w:szCs w:val="20"/>
          <w:lang w:val="es-ES"/>
        </w:rPr>
        <w:t xml:space="preserve"> inmediatamente después de sucedida la muerte.</w:t>
      </w:r>
      <w:r w:rsidR="00AF4528" w:rsidRPr="00BD424E">
        <w:rPr>
          <w:rFonts w:asciiTheme="majorHAnsi" w:hAnsiTheme="majorHAnsi"/>
          <w:sz w:val="20"/>
          <w:szCs w:val="20"/>
          <w:lang w:val="es-ES"/>
        </w:rPr>
        <w:t xml:space="preserve"> </w:t>
      </w:r>
    </w:p>
    <w:p w14:paraId="4425809F" w14:textId="77777777" w:rsidR="00975FAF" w:rsidRPr="00BD424E" w:rsidRDefault="00975FAF" w:rsidP="00BD424E">
      <w:pPr>
        <w:pStyle w:val="ListParagraph"/>
      </w:pPr>
    </w:p>
    <w:p w14:paraId="6DC427AE" w14:textId="77777777" w:rsidR="001F62DB" w:rsidRPr="00BD424E" w:rsidRDefault="001F62DB"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firstLine="0"/>
        <w:jc w:val="both"/>
        <w:rPr>
          <w:rFonts w:asciiTheme="majorHAnsi" w:hAnsiTheme="majorHAnsi"/>
          <w:sz w:val="20"/>
          <w:szCs w:val="20"/>
          <w:lang w:val="es-ES"/>
        </w:rPr>
      </w:pPr>
      <w:r w:rsidRPr="00BD424E">
        <w:rPr>
          <w:rFonts w:asciiTheme="majorHAnsi" w:hAnsiTheme="majorHAnsi"/>
          <w:sz w:val="20"/>
          <w:szCs w:val="20"/>
          <w:lang w:val="es-ES"/>
        </w:rPr>
        <w:t xml:space="preserve">Por otra parte, </w:t>
      </w:r>
      <w:r w:rsidR="00AF4528" w:rsidRPr="00BD424E">
        <w:rPr>
          <w:rFonts w:asciiTheme="majorHAnsi" w:hAnsiTheme="majorHAnsi"/>
          <w:sz w:val="20"/>
          <w:szCs w:val="20"/>
          <w:lang w:val="es-ES"/>
        </w:rPr>
        <w:t xml:space="preserve">cabe resaltar las múltiples discrepancias sobre determinaciones relevantes, en las </w:t>
      </w:r>
      <w:r w:rsidR="001D4344" w:rsidRPr="00BD424E">
        <w:rPr>
          <w:rFonts w:asciiTheme="majorHAnsi" w:hAnsiTheme="majorHAnsi"/>
          <w:sz w:val="20"/>
          <w:szCs w:val="20"/>
          <w:lang w:val="es-ES"/>
        </w:rPr>
        <w:t xml:space="preserve">numerosas </w:t>
      </w:r>
      <w:r w:rsidRPr="00BD424E">
        <w:rPr>
          <w:rFonts w:asciiTheme="majorHAnsi" w:hAnsiTheme="majorHAnsi"/>
          <w:sz w:val="20"/>
          <w:szCs w:val="20"/>
          <w:lang w:val="es-ES"/>
        </w:rPr>
        <w:t xml:space="preserve">pericias realizadas en los diferentes procesos. </w:t>
      </w:r>
      <w:r w:rsidR="00975FAF" w:rsidRPr="00BD424E">
        <w:rPr>
          <w:rFonts w:asciiTheme="majorHAnsi" w:hAnsiTheme="majorHAnsi"/>
          <w:sz w:val="20"/>
          <w:szCs w:val="20"/>
          <w:lang w:val="es-ES"/>
        </w:rPr>
        <w:t>Si bien se siguió un proceso penal por presunta falsificación de documento público a los médicos Florencio Casavilla y Carlos Fernando Leoncio Poggi, respecto de la pericia que realizaron, y un proceso penal a miembros del Cuerpo Médico Forense por presunta falsa pericia</w:t>
      </w:r>
      <w:r w:rsidR="001D4344" w:rsidRPr="00BD424E">
        <w:rPr>
          <w:rFonts w:asciiTheme="majorHAnsi" w:hAnsiTheme="majorHAnsi"/>
          <w:sz w:val="20"/>
          <w:szCs w:val="20"/>
          <w:lang w:val="es-ES"/>
        </w:rPr>
        <w:t xml:space="preserve">, el Estado no logró  establecer la verdad de lo sucedido a la señora Britez Arce. </w:t>
      </w:r>
    </w:p>
    <w:p w14:paraId="193328D6" w14:textId="77777777" w:rsidR="00902930" w:rsidRPr="00BD424E" w:rsidRDefault="00902930" w:rsidP="00BD424E">
      <w:pPr>
        <w:pStyle w:val="ListParagraph"/>
      </w:pPr>
    </w:p>
    <w:p w14:paraId="5AB25F80" w14:textId="77777777" w:rsidR="004D6B50" w:rsidRPr="00BD424E" w:rsidRDefault="00902930"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firstLine="0"/>
        <w:jc w:val="both"/>
        <w:rPr>
          <w:rFonts w:asciiTheme="majorHAnsi" w:hAnsiTheme="majorHAnsi"/>
          <w:sz w:val="20"/>
          <w:szCs w:val="20"/>
          <w:lang w:val="es-ES"/>
        </w:rPr>
      </w:pPr>
      <w:r w:rsidRPr="00BD424E">
        <w:rPr>
          <w:rFonts w:asciiTheme="majorHAnsi" w:hAnsiTheme="majorHAnsi"/>
          <w:sz w:val="20"/>
          <w:szCs w:val="20"/>
          <w:lang w:val="es-ES"/>
        </w:rPr>
        <w:t xml:space="preserve">Es importante </w:t>
      </w:r>
      <w:r w:rsidR="00D83DE0" w:rsidRPr="00BD424E">
        <w:rPr>
          <w:rFonts w:asciiTheme="majorHAnsi" w:hAnsiTheme="majorHAnsi"/>
          <w:sz w:val="20"/>
          <w:szCs w:val="20"/>
          <w:lang w:val="es-ES"/>
        </w:rPr>
        <w:t xml:space="preserve">destacar </w:t>
      </w:r>
      <w:r w:rsidRPr="00BD424E">
        <w:rPr>
          <w:rFonts w:asciiTheme="majorHAnsi" w:hAnsiTheme="majorHAnsi"/>
          <w:sz w:val="20"/>
          <w:szCs w:val="20"/>
          <w:lang w:val="es-ES"/>
        </w:rPr>
        <w:t>que</w:t>
      </w:r>
      <w:r w:rsidR="00350DA0" w:rsidRPr="00BD424E">
        <w:rPr>
          <w:rFonts w:asciiTheme="majorHAnsi" w:hAnsiTheme="majorHAnsi"/>
          <w:sz w:val="20"/>
          <w:szCs w:val="20"/>
          <w:lang w:val="es-ES"/>
        </w:rPr>
        <w:t xml:space="preserve"> las decisiones a nivel interno, tanto en el ámbito penal como en el civil se basaron principalmente </w:t>
      </w:r>
      <w:r w:rsidR="006C25AD" w:rsidRPr="00BD424E">
        <w:rPr>
          <w:rFonts w:asciiTheme="majorHAnsi" w:hAnsiTheme="majorHAnsi"/>
          <w:sz w:val="20"/>
          <w:szCs w:val="20"/>
          <w:lang w:val="es-ES"/>
        </w:rPr>
        <w:t xml:space="preserve">en el resultado de </w:t>
      </w:r>
      <w:r w:rsidR="00B462AD" w:rsidRPr="00BD424E">
        <w:rPr>
          <w:rFonts w:asciiTheme="majorHAnsi" w:hAnsiTheme="majorHAnsi"/>
          <w:sz w:val="20"/>
          <w:szCs w:val="20"/>
          <w:lang w:val="es-ES"/>
        </w:rPr>
        <w:t xml:space="preserve">las </w:t>
      </w:r>
      <w:r w:rsidR="006C25AD" w:rsidRPr="00BD424E">
        <w:rPr>
          <w:rFonts w:asciiTheme="majorHAnsi" w:hAnsiTheme="majorHAnsi"/>
          <w:sz w:val="20"/>
          <w:szCs w:val="20"/>
          <w:lang w:val="es-ES"/>
        </w:rPr>
        <w:t xml:space="preserve">pericias que fueron realizadas con </w:t>
      </w:r>
      <w:r w:rsidR="00350DA0" w:rsidRPr="00BD424E">
        <w:rPr>
          <w:rFonts w:asciiTheme="majorHAnsi" w:hAnsiTheme="majorHAnsi"/>
          <w:sz w:val="20"/>
          <w:szCs w:val="20"/>
          <w:lang w:val="es-ES"/>
        </w:rPr>
        <w:t xml:space="preserve">la información contenida en </w:t>
      </w:r>
      <w:r w:rsidR="00350DA0" w:rsidRPr="00BD424E">
        <w:rPr>
          <w:rFonts w:asciiTheme="majorHAnsi" w:hAnsiTheme="majorHAnsi"/>
          <w:sz w:val="20"/>
          <w:szCs w:val="20"/>
          <w:lang w:val="es-ES"/>
        </w:rPr>
        <w:lastRenderedPageBreak/>
        <w:t xml:space="preserve">la historia clínica de la señora Cristina Britez, toda vez que </w:t>
      </w:r>
      <w:r w:rsidR="00B462AD" w:rsidRPr="00BD424E">
        <w:rPr>
          <w:rFonts w:asciiTheme="majorHAnsi" w:hAnsiTheme="majorHAnsi"/>
          <w:sz w:val="20"/>
          <w:szCs w:val="20"/>
          <w:lang w:val="es-ES"/>
        </w:rPr>
        <w:t xml:space="preserve">al realizarse </w:t>
      </w:r>
      <w:r w:rsidR="00350DA0" w:rsidRPr="00BD424E">
        <w:rPr>
          <w:rFonts w:asciiTheme="majorHAnsi" w:hAnsiTheme="majorHAnsi"/>
          <w:sz w:val="20"/>
          <w:szCs w:val="20"/>
          <w:lang w:val="es-ES"/>
        </w:rPr>
        <w:t>la autopsia</w:t>
      </w:r>
      <w:r w:rsidR="00B462AD" w:rsidRPr="00BD424E">
        <w:rPr>
          <w:rFonts w:asciiTheme="majorHAnsi" w:hAnsiTheme="majorHAnsi"/>
          <w:sz w:val="20"/>
          <w:szCs w:val="20"/>
          <w:lang w:val="es-ES"/>
        </w:rPr>
        <w:t xml:space="preserve">, </w:t>
      </w:r>
      <w:r w:rsidR="00480472" w:rsidRPr="00BD424E">
        <w:rPr>
          <w:rFonts w:asciiTheme="majorHAnsi" w:hAnsiTheme="majorHAnsi"/>
          <w:sz w:val="20"/>
          <w:szCs w:val="20"/>
          <w:lang w:val="es-ES"/>
        </w:rPr>
        <w:t>más de un mes de</w:t>
      </w:r>
      <w:r w:rsidR="00350DA0" w:rsidRPr="00BD424E">
        <w:rPr>
          <w:rFonts w:asciiTheme="majorHAnsi" w:hAnsiTheme="majorHAnsi"/>
          <w:sz w:val="20"/>
          <w:szCs w:val="20"/>
          <w:lang w:val="es-ES"/>
        </w:rPr>
        <w:t>spués de su fallecimiento</w:t>
      </w:r>
      <w:r w:rsidR="00AE5D93" w:rsidRPr="00BD424E">
        <w:rPr>
          <w:rFonts w:asciiTheme="majorHAnsi" w:hAnsiTheme="majorHAnsi"/>
          <w:sz w:val="20"/>
          <w:szCs w:val="20"/>
          <w:lang w:val="es-ES"/>
        </w:rPr>
        <w:t>,</w:t>
      </w:r>
      <w:r w:rsidR="00350DA0" w:rsidRPr="00BD424E">
        <w:rPr>
          <w:rFonts w:asciiTheme="majorHAnsi" w:hAnsiTheme="majorHAnsi"/>
          <w:sz w:val="20"/>
          <w:szCs w:val="20"/>
          <w:lang w:val="es-ES"/>
        </w:rPr>
        <w:t xml:space="preserve"> </w:t>
      </w:r>
      <w:r w:rsidR="001128DD" w:rsidRPr="00BD424E">
        <w:rPr>
          <w:rFonts w:asciiTheme="majorHAnsi" w:hAnsiTheme="majorHAnsi"/>
          <w:sz w:val="20"/>
          <w:szCs w:val="20"/>
          <w:lang w:val="es-ES"/>
        </w:rPr>
        <w:t xml:space="preserve">no se pudo concluir con certeza la causa de </w:t>
      </w:r>
      <w:r w:rsidR="00350DA0" w:rsidRPr="00BD424E">
        <w:rPr>
          <w:rFonts w:asciiTheme="majorHAnsi" w:hAnsiTheme="majorHAnsi"/>
          <w:sz w:val="20"/>
          <w:szCs w:val="20"/>
          <w:lang w:val="es-ES"/>
        </w:rPr>
        <w:t xml:space="preserve">su </w:t>
      </w:r>
      <w:r w:rsidR="001128DD" w:rsidRPr="00BD424E">
        <w:rPr>
          <w:rFonts w:asciiTheme="majorHAnsi" w:hAnsiTheme="majorHAnsi"/>
          <w:sz w:val="20"/>
          <w:szCs w:val="20"/>
          <w:lang w:val="es-ES"/>
        </w:rPr>
        <w:t>muerte</w:t>
      </w:r>
      <w:r w:rsidR="00350DA0" w:rsidRPr="00BD424E">
        <w:rPr>
          <w:rFonts w:asciiTheme="majorHAnsi" w:hAnsiTheme="majorHAnsi"/>
          <w:sz w:val="20"/>
          <w:szCs w:val="20"/>
          <w:lang w:val="es-ES"/>
        </w:rPr>
        <w:t xml:space="preserve">. </w:t>
      </w:r>
    </w:p>
    <w:p w14:paraId="08068F77" w14:textId="77777777" w:rsidR="004D6B50" w:rsidRPr="00BD424E" w:rsidRDefault="004D6B50" w:rsidP="00BD424E">
      <w:pPr>
        <w:pStyle w:val="ListParagraph"/>
      </w:pPr>
    </w:p>
    <w:p w14:paraId="7EBA7329" w14:textId="77777777" w:rsidR="00FF380F" w:rsidRPr="00BD424E" w:rsidRDefault="004D6B50"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firstLine="0"/>
        <w:jc w:val="both"/>
        <w:rPr>
          <w:rFonts w:asciiTheme="majorHAnsi" w:hAnsiTheme="majorHAnsi"/>
          <w:sz w:val="20"/>
          <w:szCs w:val="20"/>
          <w:lang w:val="es-ES"/>
        </w:rPr>
      </w:pPr>
      <w:r w:rsidRPr="00BD424E">
        <w:rPr>
          <w:rFonts w:asciiTheme="majorHAnsi" w:hAnsiTheme="majorHAnsi"/>
          <w:sz w:val="20"/>
          <w:szCs w:val="20"/>
          <w:lang w:val="es-ES"/>
        </w:rPr>
        <w:t xml:space="preserve">Ahora bien, </w:t>
      </w:r>
      <w:r w:rsidR="006C25AD" w:rsidRPr="00BD424E">
        <w:rPr>
          <w:rFonts w:asciiTheme="majorHAnsi" w:hAnsiTheme="majorHAnsi"/>
          <w:sz w:val="20"/>
          <w:szCs w:val="20"/>
          <w:lang w:val="es-ES"/>
        </w:rPr>
        <w:t>tanto en el ámbito penal como en el civil</w:t>
      </w:r>
      <w:r w:rsidR="00FC01D1" w:rsidRPr="00BD424E">
        <w:rPr>
          <w:rFonts w:asciiTheme="majorHAnsi" w:hAnsiTheme="majorHAnsi"/>
          <w:sz w:val="20"/>
          <w:szCs w:val="20"/>
          <w:lang w:val="es-ES"/>
        </w:rPr>
        <w:t>,</w:t>
      </w:r>
      <w:r w:rsidR="006C25AD" w:rsidRPr="00BD424E">
        <w:rPr>
          <w:rFonts w:asciiTheme="majorHAnsi" w:hAnsiTheme="majorHAnsi"/>
          <w:sz w:val="20"/>
          <w:szCs w:val="20"/>
          <w:lang w:val="es-ES"/>
        </w:rPr>
        <w:t xml:space="preserve"> los familiares de </w:t>
      </w:r>
      <w:r w:rsidR="001128DD" w:rsidRPr="00BD424E">
        <w:rPr>
          <w:rFonts w:asciiTheme="majorHAnsi" w:hAnsiTheme="majorHAnsi"/>
          <w:sz w:val="20"/>
          <w:szCs w:val="20"/>
          <w:lang w:val="es-ES"/>
        </w:rPr>
        <w:t>la señora Britez</w:t>
      </w:r>
      <w:r w:rsidR="006C25AD" w:rsidRPr="00BD424E">
        <w:rPr>
          <w:rFonts w:asciiTheme="majorHAnsi" w:hAnsiTheme="majorHAnsi"/>
          <w:sz w:val="20"/>
          <w:szCs w:val="20"/>
          <w:lang w:val="es-ES"/>
        </w:rPr>
        <w:t xml:space="preserve"> cuestionaron </w:t>
      </w:r>
      <w:r w:rsidR="00AE5D93" w:rsidRPr="00BD424E">
        <w:rPr>
          <w:rFonts w:asciiTheme="majorHAnsi" w:hAnsiTheme="majorHAnsi"/>
          <w:sz w:val="20"/>
          <w:szCs w:val="20"/>
          <w:lang w:val="es-ES"/>
        </w:rPr>
        <w:t xml:space="preserve">en varias oportunidades </w:t>
      </w:r>
      <w:r w:rsidR="00CA52F8" w:rsidRPr="00BD424E">
        <w:rPr>
          <w:rFonts w:asciiTheme="majorHAnsi" w:hAnsiTheme="majorHAnsi"/>
          <w:sz w:val="20"/>
          <w:szCs w:val="20"/>
          <w:lang w:val="es-ES"/>
        </w:rPr>
        <w:t>la validez de esa historia clínica</w:t>
      </w:r>
      <w:r w:rsidR="006C25AD" w:rsidRPr="00BD424E">
        <w:rPr>
          <w:rFonts w:asciiTheme="majorHAnsi" w:hAnsiTheme="majorHAnsi"/>
          <w:sz w:val="20"/>
          <w:szCs w:val="20"/>
          <w:lang w:val="es-ES"/>
        </w:rPr>
        <w:t xml:space="preserve"> afirmando</w:t>
      </w:r>
      <w:r w:rsidR="00C72077" w:rsidRPr="00BD424E">
        <w:rPr>
          <w:rFonts w:asciiTheme="majorHAnsi" w:hAnsiTheme="majorHAnsi"/>
          <w:sz w:val="20"/>
          <w:szCs w:val="20"/>
          <w:lang w:val="es-ES"/>
        </w:rPr>
        <w:t>,</w:t>
      </w:r>
      <w:r w:rsidR="006C25AD" w:rsidRPr="00BD424E">
        <w:rPr>
          <w:rFonts w:asciiTheme="majorHAnsi" w:hAnsiTheme="majorHAnsi"/>
          <w:sz w:val="20"/>
          <w:szCs w:val="20"/>
          <w:lang w:val="es-ES"/>
        </w:rPr>
        <w:t xml:space="preserve"> </w:t>
      </w:r>
      <w:r w:rsidR="00C72077" w:rsidRPr="00BD424E">
        <w:rPr>
          <w:rFonts w:asciiTheme="majorHAnsi" w:hAnsiTheme="majorHAnsi"/>
          <w:sz w:val="20"/>
          <w:szCs w:val="20"/>
          <w:lang w:val="es-ES"/>
        </w:rPr>
        <w:t>detalladamente</w:t>
      </w:r>
      <w:r w:rsidR="006C25AD" w:rsidRPr="00BD424E">
        <w:rPr>
          <w:rFonts w:asciiTheme="majorHAnsi" w:hAnsiTheme="majorHAnsi"/>
          <w:sz w:val="20"/>
          <w:szCs w:val="20"/>
          <w:lang w:val="es-ES"/>
        </w:rPr>
        <w:t>,</w:t>
      </w:r>
      <w:r w:rsidR="00C72077" w:rsidRPr="00BD424E">
        <w:rPr>
          <w:rFonts w:asciiTheme="majorHAnsi" w:hAnsiTheme="majorHAnsi"/>
          <w:sz w:val="20"/>
          <w:szCs w:val="20"/>
          <w:lang w:val="es-ES"/>
        </w:rPr>
        <w:t xml:space="preserve"> </w:t>
      </w:r>
      <w:r w:rsidR="006C25AD" w:rsidRPr="00BD424E">
        <w:rPr>
          <w:rFonts w:asciiTheme="majorHAnsi" w:hAnsiTheme="majorHAnsi"/>
          <w:sz w:val="20"/>
          <w:szCs w:val="20"/>
          <w:lang w:val="es-ES"/>
        </w:rPr>
        <w:t xml:space="preserve">que </w:t>
      </w:r>
      <w:r w:rsidR="000922DC" w:rsidRPr="00BD424E">
        <w:rPr>
          <w:rFonts w:asciiTheme="majorHAnsi" w:hAnsiTheme="majorHAnsi"/>
          <w:sz w:val="20"/>
          <w:szCs w:val="20"/>
          <w:lang w:val="es-ES"/>
        </w:rPr>
        <w:t xml:space="preserve">presentaba evidencias de </w:t>
      </w:r>
      <w:r w:rsidR="00AE5D93" w:rsidRPr="00BD424E">
        <w:rPr>
          <w:rFonts w:asciiTheme="majorHAnsi" w:hAnsiTheme="majorHAnsi"/>
          <w:sz w:val="20"/>
          <w:szCs w:val="20"/>
          <w:lang w:val="es-ES"/>
        </w:rPr>
        <w:t xml:space="preserve">haber sido </w:t>
      </w:r>
      <w:r w:rsidR="000922DC" w:rsidRPr="00BD424E">
        <w:rPr>
          <w:rFonts w:asciiTheme="majorHAnsi" w:hAnsiTheme="majorHAnsi"/>
          <w:sz w:val="20"/>
          <w:szCs w:val="20"/>
          <w:lang w:val="es-ES"/>
        </w:rPr>
        <w:t>adultera</w:t>
      </w:r>
      <w:r w:rsidR="00AE5D93" w:rsidRPr="00BD424E">
        <w:rPr>
          <w:rFonts w:asciiTheme="majorHAnsi" w:hAnsiTheme="majorHAnsi"/>
          <w:sz w:val="20"/>
          <w:szCs w:val="20"/>
          <w:lang w:val="es-ES"/>
        </w:rPr>
        <w:t>da</w:t>
      </w:r>
      <w:r w:rsidR="006636C5" w:rsidRPr="00BD424E">
        <w:rPr>
          <w:rFonts w:asciiTheme="majorHAnsi" w:hAnsiTheme="majorHAnsi"/>
          <w:sz w:val="20"/>
          <w:szCs w:val="20"/>
          <w:lang w:val="es-ES"/>
        </w:rPr>
        <w:t>.</w:t>
      </w:r>
      <w:r w:rsidR="00694E36" w:rsidRPr="00BD424E">
        <w:rPr>
          <w:rFonts w:asciiTheme="majorHAnsi" w:hAnsiTheme="majorHAnsi"/>
          <w:sz w:val="20"/>
          <w:szCs w:val="20"/>
          <w:lang w:val="es-ES"/>
        </w:rPr>
        <w:t xml:space="preserve"> </w:t>
      </w:r>
      <w:r w:rsidR="008D0534" w:rsidRPr="00BD424E">
        <w:rPr>
          <w:rFonts w:asciiTheme="majorHAnsi" w:hAnsiTheme="majorHAnsi"/>
          <w:sz w:val="20"/>
          <w:szCs w:val="20"/>
          <w:lang w:val="es-ES"/>
        </w:rPr>
        <w:t>Asimismo, en e</w:t>
      </w:r>
      <w:r w:rsidR="00F932BE" w:rsidRPr="00BD424E">
        <w:rPr>
          <w:rFonts w:asciiTheme="majorHAnsi" w:hAnsiTheme="majorHAnsi"/>
          <w:sz w:val="20"/>
          <w:szCs w:val="20"/>
          <w:lang w:val="es-ES"/>
        </w:rPr>
        <w:t xml:space="preserve">l peritaje realizado por la Universidad de Córdoba </w:t>
      </w:r>
      <w:r w:rsidR="008D0534" w:rsidRPr="00BD424E">
        <w:rPr>
          <w:rFonts w:asciiTheme="majorHAnsi" w:hAnsiTheme="majorHAnsi"/>
          <w:sz w:val="20"/>
          <w:szCs w:val="20"/>
          <w:lang w:val="es-ES"/>
        </w:rPr>
        <w:t xml:space="preserve">se </w:t>
      </w:r>
      <w:r w:rsidR="00F932BE" w:rsidRPr="00BD424E">
        <w:rPr>
          <w:rFonts w:asciiTheme="majorHAnsi" w:hAnsiTheme="majorHAnsi"/>
          <w:sz w:val="20"/>
          <w:szCs w:val="20"/>
          <w:lang w:val="es-ES"/>
        </w:rPr>
        <w:t>señal</w:t>
      </w:r>
      <w:r w:rsidR="008D0534" w:rsidRPr="00BD424E">
        <w:rPr>
          <w:rFonts w:asciiTheme="majorHAnsi" w:hAnsiTheme="majorHAnsi"/>
          <w:sz w:val="20"/>
          <w:szCs w:val="20"/>
          <w:lang w:val="es-ES"/>
        </w:rPr>
        <w:t>aron diversas omisiones y errores en la historia clínica</w:t>
      </w:r>
      <w:r w:rsidR="00B91121" w:rsidRPr="00BD424E">
        <w:rPr>
          <w:rFonts w:asciiTheme="majorHAnsi" w:hAnsiTheme="majorHAnsi"/>
          <w:sz w:val="20"/>
          <w:szCs w:val="20"/>
          <w:lang w:val="es-ES"/>
        </w:rPr>
        <w:t xml:space="preserve"> y, </w:t>
      </w:r>
      <w:r w:rsidR="008600B2" w:rsidRPr="00BD424E">
        <w:rPr>
          <w:rFonts w:asciiTheme="majorHAnsi" w:hAnsiTheme="majorHAnsi"/>
          <w:sz w:val="20"/>
          <w:szCs w:val="20"/>
          <w:lang w:val="es-ES"/>
        </w:rPr>
        <w:t>lo que es más, en la sentencia de apelación y nulidad de</w:t>
      </w:r>
      <w:r w:rsidR="008766C8" w:rsidRPr="00BD424E">
        <w:rPr>
          <w:rFonts w:asciiTheme="majorHAnsi" w:hAnsiTheme="majorHAnsi"/>
          <w:sz w:val="20"/>
          <w:szCs w:val="20"/>
          <w:lang w:val="es-ES"/>
        </w:rPr>
        <w:t xml:space="preserve"> la causa 27.985,</w:t>
      </w:r>
      <w:r w:rsidR="008600B2" w:rsidRPr="00BD424E">
        <w:rPr>
          <w:rFonts w:asciiTheme="majorHAnsi" w:hAnsiTheme="majorHAnsi"/>
          <w:sz w:val="20"/>
          <w:szCs w:val="20"/>
          <w:lang w:val="es-ES"/>
        </w:rPr>
        <w:t xml:space="preserve"> </w:t>
      </w:r>
      <w:r w:rsidR="00FF380F" w:rsidRPr="00BD424E">
        <w:rPr>
          <w:rFonts w:ascii="Cambria" w:hAnsi="Cambria"/>
          <w:sz w:val="20"/>
          <w:szCs w:val="20"/>
          <w:lang w:val="es-AR"/>
        </w:rPr>
        <w:t>del</w:t>
      </w:r>
      <w:r w:rsidR="00FF380F" w:rsidRPr="00BD424E">
        <w:rPr>
          <w:rFonts w:asciiTheme="majorHAnsi" w:hAnsiTheme="majorHAnsi"/>
          <w:sz w:val="20"/>
          <w:szCs w:val="20"/>
          <w:lang w:val="es-ES"/>
        </w:rPr>
        <w:t xml:space="preserve"> 6 de agosto de 1999, </w:t>
      </w:r>
      <w:r w:rsidR="004F65DA" w:rsidRPr="00BD424E">
        <w:rPr>
          <w:rFonts w:asciiTheme="majorHAnsi" w:hAnsiTheme="majorHAnsi"/>
          <w:sz w:val="20"/>
          <w:szCs w:val="20"/>
          <w:lang w:val="es-ES"/>
        </w:rPr>
        <w:t xml:space="preserve">con relación </w:t>
      </w:r>
      <w:r w:rsidR="008600B2" w:rsidRPr="00BD424E">
        <w:rPr>
          <w:rFonts w:asciiTheme="majorHAnsi" w:hAnsiTheme="majorHAnsi"/>
          <w:sz w:val="20"/>
          <w:szCs w:val="20"/>
          <w:lang w:val="es-ES"/>
        </w:rPr>
        <w:t xml:space="preserve">a la acusación de omisiones y errores en la historia clínica, se </w:t>
      </w:r>
      <w:r w:rsidR="004F65DA" w:rsidRPr="00BD424E">
        <w:rPr>
          <w:rFonts w:asciiTheme="majorHAnsi" w:hAnsiTheme="majorHAnsi"/>
          <w:sz w:val="20"/>
          <w:szCs w:val="20"/>
          <w:lang w:val="es-ES"/>
        </w:rPr>
        <w:t xml:space="preserve">hizo referencia a </w:t>
      </w:r>
      <w:r w:rsidR="008600B2" w:rsidRPr="00BD424E">
        <w:rPr>
          <w:rFonts w:asciiTheme="majorHAnsi" w:hAnsiTheme="majorHAnsi"/>
          <w:sz w:val="20"/>
          <w:szCs w:val="20"/>
          <w:lang w:val="es-ES"/>
        </w:rPr>
        <w:t>que</w:t>
      </w:r>
      <w:r w:rsidR="002D1369" w:rsidRPr="00BD424E">
        <w:rPr>
          <w:rFonts w:asciiTheme="majorHAnsi" w:hAnsiTheme="majorHAnsi"/>
          <w:sz w:val="20"/>
          <w:szCs w:val="20"/>
          <w:lang w:val="es-ES"/>
        </w:rPr>
        <w:t xml:space="preserve"> </w:t>
      </w:r>
      <w:r w:rsidR="008600B2" w:rsidRPr="00BD424E">
        <w:rPr>
          <w:rFonts w:asciiTheme="majorHAnsi" w:hAnsiTheme="majorHAnsi"/>
          <w:sz w:val="20"/>
          <w:szCs w:val="20"/>
          <w:lang w:val="es-ES"/>
        </w:rPr>
        <w:t>“</w:t>
      </w:r>
      <w:r w:rsidR="002D1369" w:rsidRPr="00BD424E">
        <w:rPr>
          <w:rFonts w:ascii="Cambria" w:hAnsi="Cambria"/>
          <w:sz w:val="20"/>
          <w:szCs w:val="20"/>
          <w:lang w:val="es-AR"/>
        </w:rPr>
        <w:t>las presuntas falsedades y omisiones sólo fueron descubiertas luego</w:t>
      </w:r>
      <w:r w:rsidR="008600B2" w:rsidRPr="00BD424E">
        <w:rPr>
          <w:rFonts w:ascii="Cambria" w:hAnsi="Cambria"/>
          <w:sz w:val="20"/>
          <w:szCs w:val="20"/>
          <w:lang w:val="es-AR"/>
        </w:rPr>
        <w:t>”</w:t>
      </w:r>
      <w:r w:rsidR="00FF380F" w:rsidRPr="00BD424E">
        <w:rPr>
          <w:rFonts w:ascii="Cambria" w:hAnsi="Cambria"/>
          <w:sz w:val="20"/>
          <w:szCs w:val="20"/>
          <w:lang w:val="es-AR"/>
        </w:rPr>
        <w:t>,</w:t>
      </w:r>
      <w:r w:rsidR="004F65DA" w:rsidRPr="00BD424E">
        <w:rPr>
          <w:rFonts w:ascii="Cambria" w:hAnsi="Cambria"/>
          <w:sz w:val="20"/>
          <w:szCs w:val="20"/>
          <w:lang w:val="es-AR"/>
        </w:rPr>
        <w:t xml:space="preserve"> de que los médicos  forenses hubieran trabajado con la misma.</w:t>
      </w:r>
      <w:r w:rsidR="00FF380F" w:rsidRPr="00BD424E">
        <w:rPr>
          <w:rFonts w:ascii="Cambria" w:hAnsi="Cambria"/>
          <w:sz w:val="20"/>
          <w:szCs w:val="20"/>
          <w:lang w:val="es-AR"/>
        </w:rPr>
        <w:t xml:space="preserve"> </w:t>
      </w:r>
    </w:p>
    <w:p w14:paraId="51E0EF2B" w14:textId="77777777" w:rsidR="00FF380F" w:rsidRPr="00BD424E" w:rsidRDefault="00FF380F" w:rsidP="00BD424E">
      <w:pPr>
        <w:pStyle w:val="ListParagraph"/>
      </w:pPr>
    </w:p>
    <w:p w14:paraId="3D442774" w14:textId="77777777" w:rsidR="00477AA4" w:rsidRPr="00BD424E" w:rsidRDefault="00FF380F"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firstLine="0"/>
        <w:jc w:val="both"/>
        <w:rPr>
          <w:rFonts w:asciiTheme="majorHAnsi" w:hAnsiTheme="majorHAnsi"/>
          <w:sz w:val="20"/>
          <w:szCs w:val="20"/>
          <w:lang w:val="es-ES"/>
        </w:rPr>
      </w:pPr>
      <w:r w:rsidRPr="00BD424E">
        <w:rPr>
          <w:rFonts w:ascii="Cambria" w:hAnsi="Cambria"/>
          <w:sz w:val="20"/>
          <w:szCs w:val="20"/>
          <w:lang w:val="es-AR"/>
        </w:rPr>
        <w:t xml:space="preserve">No obstante todo lo anterior, </w:t>
      </w:r>
      <w:r w:rsidR="00982EDB" w:rsidRPr="00BD424E">
        <w:rPr>
          <w:rFonts w:asciiTheme="majorHAnsi" w:hAnsiTheme="majorHAnsi"/>
          <w:sz w:val="20"/>
          <w:szCs w:val="20"/>
          <w:lang w:val="es-ES"/>
        </w:rPr>
        <w:t>d</w:t>
      </w:r>
      <w:r w:rsidR="00694E36" w:rsidRPr="00BD424E">
        <w:rPr>
          <w:rFonts w:asciiTheme="majorHAnsi" w:hAnsiTheme="majorHAnsi"/>
          <w:sz w:val="20"/>
          <w:szCs w:val="20"/>
          <w:lang w:val="es-ES"/>
        </w:rPr>
        <w:t xml:space="preserve">el análisis realizado a </w:t>
      </w:r>
      <w:r w:rsidR="00B91121" w:rsidRPr="00BD424E">
        <w:rPr>
          <w:rFonts w:asciiTheme="majorHAnsi" w:hAnsiTheme="majorHAnsi"/>
          <w:sz w:val="20"/>
          <w:szCs w:val="20"/>
          <w:lang w:val="es-ES"/>
        </w:rPr>
        <w:t>las pruebas</w:t>
      </w:r>
      <w:r w:rsidR="00694E36" w:rsidRPr="00BD424E">
        <w:rPr>
          <w:rFonts w:asciiTheme="majorHAnsi" w:hAnsiTheme="majorHAnsi"/>
          <w:sz w:val="20"/>
          <w:szCs w:val="20"/>
          <w:lang w:val="es-ES"/>
        </w:rPr>
        <w:t xml:space="preserve"> que constan en el expediente seguido ante la Comisión, no se advierte la existencia de </w:t>
      </w:r>
      <w:r w:rsidR="00D4661A" w:rsidRPr="00BD424E">
        <w:rPr>
          <w:rFonts w:asciiTheme="majorHAnsi" w:hAnsiTheme="majorHAnsi"/>
          <w:sz w:val="20"/>
          <w:szCs w:val="20"/>
          <w:lang w:val="es-ES"/>
        </w:rPr>
        <w:t>alg</w:t>
      </w:r>
      <w:r w:rsidR="00694E36" w:rsidRPr="00BD424E">
        <w:rPr>
          <w:rFonts w:asciiTheme="majorHAnsi" w:hAnsiTheme="majorHAnsi"/>
          <w:sz w:val="20"/>
          <w:szCs w:val="20"/>
          <w:lang w:val="es-ES"/>
        </w:rPr>
        <w:t>una línea de investigación que se hubiera seguido</w:t>
      </w:r>
      <w:r w:rsidRPr="00BD424E">
        <w:rPr>
          <w:rFonts w:asciiTheme="majorHAnsi" w:hAnsiTheme="majorHAnsi"/>
          <w:sz w:val="20"/>
          <w:szCs w:val="20"/>
          <w:lang w:val="es-ES"/>
        </w:rPr>
        <w:t xml:space="preserve"> </w:t>
      </w:r>
      <w:r w:rsidR="00D4661A" w:rsidRPr="00BD424E">
        <w:rPr>
          <w:rFonts w:asciiTheme="majorHAnsi" w:hAnsiTheme="majorHAnsi"/>
          <w:sz w:val="20"/>
          <w:szCs w:val="20"/>
          <w:lang w:val="es-ES"/>
        </w:rPr>
        <w:t xml:space="preserve">dirigida específicamente a </w:t>
      </w:r>
      <w:r w:rsidR="00B91121" w:rsidRPr="00BD424E">
        <w:rPr>
          <w:rFonts w:asciiTheme="majorHAnsi" w:hAnsiTheme="majorHAnsi"/>
          <w:sz w:val="20"/>
          <w:szCs w:val="20"/>
          <w:lang w:val="es-ES"/>
        </w:rPr>
        <w:t xml:space="preserve">esclarecer efectivamente </w:t>
      </w:r>
      <w:r w:rsidR="00D4661A" w:rsidRPr="00BD424E">
        <w:rPr>
          <w:rFonts w:asciiTheme="majorHAnsi" w:hAnsiTheme="majorHAnsi"/>
          <w:sz w:val="20"/>
          <w:szCs w:val="20"/>
          <w:lang w:val="es-ES"/>
        </w:rPr>
        <w:t>si la historia clínica se encontraba o no adulterada</w:t>
      </w:r>
      <w:r w:rsidR="00F20D43" w:rsidRPr="00BD424E">
        <w:rPr>
          <w:rFonts w:asciiTheme="majorHAnsi" w:hAnsiTheme="majorHAnsi"/>
          <w:sz w:val="20"/>
          <w:szCs w:val="20"/>
          <w:lang w:val="es-ES"/>
        </w:rPr>
        <w:t xml:space="preserve">. </w:t>
      </w:r>
    </w:p>
    <w:p w14:paraId="7AAA5704" w14:textId="77777777" w:rsidR="00477AA4" w:rsidRPr="00BD424E" w:rsidRDefault="00477AA4" w:rsidP="00BD424E">
      <w:pPr>
        <w:pStyle w:val="ListParagraph"/>
      </w:pPr>
    </w:p>
    <w:p w14:paraId="73D93866" w14:textId="77777777" w:rsidR="00680A9C" w:rsidRPr="00BD424E" w:rsidRDefault="00843E62"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autoSpaceDE w:val="0"/>
        <w:autoSpaceDN w:val="0"/>
        <w:adjustRightInd w:val="0"/>
        <w:ind w:left="0" w:firstLine="0"/>
        <w:jc w:val="both"/>
        <w:rPr>
          <w:rFonts w:asciiTheme="majorHAnsi" w:hAnsiTheme="majorHAnsi"/>
          <w:sz w:val="20"/>
          <w:szCs w:val="20"/>
          <w:lang w:val="es-ES"/>
        </w:rPr>
      </w:pPr>
      <w:r w:rsidRPr="00BD424E">
        <w:rPr>
          <w:rFonts w:ascii="Cambria" w:hAnsi="Cambria"/>
          <w:sz w:val="20"/>
          <w:szCs w:val="20"/>
          <w:lang w:val="es-AR"/>
        </w:rPr>
        <w:t>E</w:t>
      </w:r>
      <w:r w:rsidR="000922DC" w:rsidRPr="00BD424E">
        <w:rPr>
          <w:rFonts w:ascii="Cambria" w:hAnsi="Cambria"/>
          <w:sz w:val="20"/>
          <w:szCs w:val="20"/>
          <w:lang w:val="es-AR"/>
        </w:rPr>
        <w:t xml:space="preserve">n sus observaciones </w:t>
      </w:r>
      <w:r w:rsidR="00694E36" w:rsidRPr="00BD424E">
        <w:rPr>
          <w:rFonts w:ascii="Cambria" w:hAnsi="Cambria"/>
          <w:sz w:val="20"/>
          <w:szCs w:val="20"/>
          <w:lang w:val="es-AR"/>
        </w:rPr>
        <w:t>sobre el f</w:t>
      </w:r>
      <w:r w:rsidR="000922DC" w:rsidRPr="00BD424E">
        <w:rPr>
          <w:rFonts w:ascii="Cambria" w:hAnsi="Cambria"/>
          <w:sz w:val="20"/>
          <w:szCs w:val="20"/>
          <w:lang w:val="es-AR"/>
        </w:rPr>
        <w:t>ondo, e</w:t>
      </w:r>
      <w:r w:rsidRPr="00BD424E">
        <w:rPr>
          <w:rFonts w:ascii="Cambria" w:hAnsi="Cambria"/>
          <w:sz w:val="20"/>
          <w:szCs w:val="20"/>
          <w:lang w:val="es-AR"/>
        </w:rPr>
        <w:t xml:space="preserve">l Estado afirmó que </w:t>
      </w:r>
      <w:r w:rsidR="00D4661A" w:rsidRPr="00BD424E">
        <w:rPr>
          <w:rFonts w:ascii="Cambria" w:hAnsi="Cambria"/>
          <w:sz w:val="20"/>
          <w:szCs w:val="20"/>
          <w:lang w:val="es-AR"/>
        </w:rPr>
        <w:t>“</w:t>
      </w:r>
      <w:r w:rsidR="000922DC" w:rsidRPr="00BD424E">
        <w:rPr>
          <w:rFonts w:ascii="Cambria" w:hAnsi="Cambria"/>
          <w:sz w:val="20"/>
          <w:szCs w:val="20"/>
          <w:lang w:val="es-AR"/>
        </w:rPr>
        <w:t xml:space="preserve">las </w:t>
      </w:r>
      <w:r w:rsidRPr="00BD424E">
        <w:rPr>
          <w:rFonts w:ascii="Cambria" w:hAnsi="Cambria"/>
          <w:sz w:val="20"/>
          <w:szCs w:val="20"/>
          <w:lang w:val="es-AR"/>
        </w:rPr>
        <w:t>irregularidades de la historia clínica no fueron acreditadas en sede interna, donde se consideró que obedecían a desprolijidades y no reflejaban la voluntad de adulterar un documento</w:t>
      </w:r>
      <w:r w:rsidR="000922DC" w:rsidRPr="00BD424E">
        <w:rPr>
          <w:rFonts w:ascii="Cambria" w:hAnsi="Cambria"/>
          <w:sz w:val="20"/>
          <w:szCs w:val="20"/>
          <w:lang w:val="es-AR"/>
        </w:rPr>
        <w:t>”</w:t>
      </w:r>
      <w:r w:rsidRPr="00BD424E">
        <w:rPr>
          <w:rFonts w:ascii="Cambria" w:hAnsi="Cambria"/>
          <w:sz w:val="20"/>
          <w:szCs w:val="20"/>
          <w:lang w:val="es-AR"/>
        </w:rPr>
        <w:t xml:space="preserve">; sin embargo, </w:t>
      </w:r>
      <w:r w:rsidR="000922DC" w:rsidRPr="00BD424E">
        <w:rPr>
          <w:rFonts w:ascii="Cambria" w:hAnsi="Cambria"/>
          <w:sz w:val="20"/>
          <w:szCs w:val="20"/>
          <w:lang w:val="es-AR"/>
        </w:rPr>
        <w:t>el Estado no proporcionó información s</w:t>
      </w:r>
      <w:r w:rsidRPr="00BD424E">
        <w:rPr>
          <w:rFonts w:ascii="Cambria" w:hAnsi="Cambria"/>
          <w:sz w:val="20"/>
          <w:szCs w:val="20"/>
          <w:lang w:val="es-AR"/>
        </w:rPr>
        <w:t xml:space="preserve">obre las diligencias </w:t>
      </w:r>
      <w:r w:rsidR="000922DC" w:rsidRPr="00BD424E">
        <w:rPr>
          <w:rFonts w:ascii="Cambria" w:hAnsi="Cambria"/>
          <w:sz w:val="20"/>
          <w:szCs w:val="20"/>
          <w:lang w:val="es-AR"/>
        </w:rPr>
        <w:t xml:space="preserve">de investigación y probatorias </w:t>
      </w:r>
      <w:r w:rsidR="00B91121" w:rsidRPr="00BD424E">
        <w:rPr>
          <w:rFonts w:ascii="Cambria" w:hAnsi="Cambria"/>
          <w:sz w:val="20"/>
          <w:szCs w:val="20"/>
          <w:lang w:val="es-AR"/>
        </w:rPr>
        <w:t xml:space="preserve">que en el ámbito interno </w:t>
      </w:r>
      <w:r w:rsidRPr="00BD424E">
        <w:rPr>
          <w:rFonts w:ascii="Cambria" w:hAnsi="Cambria"/>
          <w:sz w:val="20"/>
          <w:szCs w:val="20"/>
          <w:lang w:val="es-AR"/>
        </w:rPr>
        <w:t>que se hubieran llevado a cabo</w:t>
      </w:r>
      <w:r w:rsidR="000922DC" w:rsidRPr="00BD424E">
        <w:rPr>
          <w:rFonts w:ascii="Cambria" w:hAnsi="Cambria"/>
          <w:sz w:val="20"/>
          <w:szCs w:val="20"/>
          <w:lang w:val="es-AR"/>
        </w:rPr>
        <w:t xml:space="preserve"> para llegar a esa conclusión. </w:t>
      </w:r>
      <w:r w:rsidR="008C5533" w:rsidRPr="00BD424E">
        <w:rPr>
          <w:rFonts w:ascii="Cambria" w:hAnsi="Cambria"/>
          <w:sz w:val="20"/>
          <w:szCs w:val="20"/>
          <w:lang w:val="es-AR"/>
        </w:rPr>
        <w:t xml:space="preserve"> Es más, de los actuados con que cuenta la Comisión, se advierte que </w:t>
      </w:r>
      <w:r w:rsidR="00FC01D1" w:rsidRPr="00BD424E">
        <w:rPr>
          <w:rFonts w:ascii="Cambria" w:hAnsi="Cambria"/>
          <w:sz w:val="20"/>
          <w:szCs w:val="20"/>
          <w:lang w:val="es-AR"/>
        </w:rPr>
        <w:t xml:space="preserve">tal </w:t>
      </w:r>
      <w:r w:rsidR="00694E36" w:rsidRPr="00BD424E">
        <w:rPr>
          <w:rFonts w:ascii="Cambria" w:hAnsi="Cambria"/>
          <w:sz w:val="20"/>
          <w:szCs w:val="20"/>
          <w:lang w:val="es-AR"/>
        </w:rPr>
        <w:t>afirmación sobre las “desprolijidades” a que se refiere el Estado</w:t>
      </w:r>
      <w:r w:rsidR="00FC01D1" w:rsidRPr="00BD424E">
        <w:rPr>
          <w:rFonts w:ascii="Cambria" w:hAnsi="Cambria"/>
          <w:sz w:val="20"/>
          <w:szCs w:val="20"/>
          <w:lang w:val="es-AR"/>
        </w:rPr>
        <w:t>,</w:t>
      </w:r>
      <w:r w:rsidR="00694E36" w:rsidRPr="00BD424E">
        <w:rPr>
          <w:rFonts w:ascii="Cambria" w:hAnsi="Cambria"/>
          <w:sz w:val="20"/>
          <w:szCs w:val="20"/>
          <w:lang w:val="es-AR"/>
        </w:rPr>
        <w:t xml:space="preserve"> </w:t>
      </w:r>
      <w:r w:rsidR="008C5533" w:rsidRPr="00BD424E">
        <w:rPr>
          <w:rFonts w:ascii="Cambria" w:hAnsi="Cambria"/>
          <w:sz w:val="20"/>
          <w:szCs w:val="20"/>
          <w:lang w:val="es-AR"/>
        </w:rPr>
        <w:t xml:space="preserve">fue </w:t>
      </w:r>
      <w:r w:rsidR="00694E36" w:rsidRPr="00BD424E">
        <w:rPr>
          <w:rFonts w:ascii="Cambria" w:hAnsi="Cambria"/>
          <w:sz w:val="20"/>
          <w:szCs w:val="20"/>
          <w:lang w:val="es-AR"/>
        </w:rPr>
        <w:t xml:space="preserve">hecha por </w:t>
      </w:r>
      <w:r w:rsidR="008C5533" w:rsidRPr="00BD424E">
        <w:rPr>
          <w:rFonts w:ascii="Cambria" w:hAnsi="Cambria"/>
          <w:sz w:val="20"/>
          <w:szCs w:val="20"/>
          <w:lang w:val="es-AR"/>
        </w:rPr>
        <w:t xml:space="preserve">el Gobierno de la Ciudad de Buenos </w:t>
      </w:r>
      <w:r w:rsidR="00694E36" w:rsidRPr="00BD424E">
        <w:rPr>
          <w:rFonts w:ascii="Cambria" w:hAnsi="Cambria"/>
          <w:sz w:val="20"/>
          <w:szCs w:val="20"/>
          <w:lang w:val="es-AR"/>
        </w:rPr>
        <w:t>A</w:t>
      </w:r>
      <w:r w:rsidR="008C5533" w:rsidRPr="00BD424E">
        <w:rPr>
          <w:rFonts w:ascii="Cambria" w:hAnsi="Cambria"/>
          <w:sz w:val="20"/>
          <w:szCs w:val="20"/>
          <w:lang w:val="es-AR"/>
        </w:rPr>
        <w:t xml:space="preserve">ires en </w:t>
      </w:r>
      <w:r w:rsidR="00694E36" w:rsidRPr="00BD424E">
        <w:rPr>
          <w:rFonts w:ascii="Cambria" w:hAnsi="Cambria"/>
          <w:sz w:val="20"/>
          <w:szCs w:val="20"/>
          <w:lang w:val="es-AR"/>
        </w:rPr>
        <w:t xml:space="preserve">su </w:t>
      </w:r>
      <w:r w:rsidR="008C5533" w:rsidRPr="00BD424E">
        <w:rPr>
          <w:rFonts w:ascii="Cambria" w:hAnsi="Cambria"/>
          <w:sz w:val="20"/>
          <w:szCs w:val="20"/>
          <w:lang w:val="es-AR"/>
        </w:rPr>
        <w:t xml:space="preserve">contestación </w:t>
      </w:r>
      <w:r w:rsidR="00694E36" w:rsidRPr="00BD424E">
        <w:rPr>
          <w:rFonts w:ascii="Cambria" w:hAnsi="Cambria"/>
          <w:sz w:val="20"/>
          <w:szCs w:val="20"/>
          <w:lang w:val="es-AR"/>
        </w:rPr>
        <w:t>a</w:t>
      </w:r>
      <w:r w:rsidR="008C5533" w:rsidRPr="00BD424E">
        <w:rPr>
          <w:rFonts w:ascii="Cambria" w:hAnsi="Cambria"/>
          <w:sz w:val="20"/>
          <w:szCs w:val="20"/>
          <w:lang w:val="es-AR"/>
        </w:rPr>
        <w:t xml:space="preserve"> la demanda civil</w:t>
      </w:r>
      <w:r w:rsidR="00694E36" w:rsidRPr="00BD424E">
        <w:rPr>
          <w:rFonts w:ascii="Cambria" w:hAnsi="Cambria"/>
          <w:sz w:val="20"/>
          <w:szCs w:val="20"/>
          <w:lang w:val="es-AR"/>
        </w:rPr>
        <w:t xml:space="preserve"> por daños y perjuicios, </w:t>
      </w:r>
      <w:r w:rsidR="008C5533" w:rsidRPr="00BD424E">
        <w:rPr>
          <w:rFonts w:ascii="Cambria" w:hAnsi="Cambria"/>
          <w:sz w:val="20"/>
          <w:szCs w:val="20"/>
          <w:lang w:val="es-AR"/>
        </w:rPr>
        <w:t xml:space="preserve">según lo establecido en la sentencia de primera instancia.  </w:t>
      </w:r>
      <w:r w:rsidR="00806D69" w:rsidRPr="00BD424E">
        <w:rPr>
          <w:rFonts w:ascii="Cambria" w:hAnsi="Cambria"/>
          <w:sz w:val="20"/>
          <w:szCs w:val="20"/>
          <w:lang w:val="es-AR"/>
        </w:rPr>
        <w:t xml:space="preserve"> </w:t>
      </w:r>
    </w:p>
    <w:p w14:paraId="6F559C4F" w14:textId="77777777" w:rsidR="004D3D94" w:rsidRPr="00BD424E" w:rsidRDefault="004D3D94"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jc w:val="both"/>
        <w:rPr>
          <w:rFonts w:asciiTheme="majorHAnsi" w:hAnsiTheme="majorHAnsi"/>
          <w:sz w:val="20"/>
          <w:szCs w:val="20"/>
          <w:lang w:val="es-ES"/>
        </w:rPr>
      </w:pPr>
    </w:p>
    <w:p w14:paraId="764A0F39" w14:textId="77777777" w:rsidR="00845548" w:rsidRPr="00BD424E" w:rsidRDefault="004D3D94"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autoSpaceDE w:val="0"/>
        <w:autoSpaceDN w:val="0"/>
        <w:adjustRightInd w:val="0"/>
        <w:ind w:left="0" w:firstLine="0"/>
        <w:jc w:val="both"/>
        <w:rPr>
          <w:rFonts w:asciiTheme="majorHAnsi" w:hAnsiTheme="majorHAnsi"/>
          <w:sz w:val="20"/>
          <w:szCs w:val="20"/>
          <w:lang w:val="es-ES"/>
        </w:rPr>
      </w:pPr>
      <w:r w:rsidRPr="00BD424E">
        <w:rPr>
          <w:rFonts w:asciiTheme="majorHAnsi" w:hAnsiTheme="majorHAnsi"/>
          <w:sz w:val="20"/>
          <w:szCs w:val="20"/>
          <w:lang w:val="es-ES"/>
        </w:rPr>
        <w:t>La Comisión considera que siendo la historia clínica una prueba tan relevante en el presente caso, que fue la base de las pericias y, ulteriormente, de las decisiones judiciales en las que se consideró no contar con elementos suficientes para determinar responsabilidad</w:t>
      </w:r>
      <w:r w:rsidR="00892ACD" w:rsidRPr="00BD424E">
        <w:rPr>
          <w:rFonts w:asciiTheme="majorHAnsi" w:hAnsiTheme="majorHAnsi"/>
          <w:sz w:val="20"/>
          <w:szCs w:val="20"/>
          <w:lang w:val="es-ES"/>
        </w:rPr>
        <w:t>es</w:t>
      </w:r>
      <w:r w:rsidRPr="00BD424E">
        <w:rPr>
          <w:rFonts w:asciiTheme="majorHAnsi" w:hAnsiTheme="majorHAnsi"/>
          <w:sz w:val="20"/>
          <w:szCs w:val="20"/>
          <w:lang w:val="es-ES"/>
        </w:rPr>
        <w:t xml:space="preserve"> por la muerte de la señora Cristina Britez Arce, no es suficiente afirmar que no hubo voluntad de adulterar el documento, sino que e</w:t>
      </w:r>
      <w:r w:rsidR="00892ACD" w:rsidRPr="00BD424E">
        <w:rPr>
          <w:rFonts w:asciiTheme="majorHAnsi" w:hAnsiTheme="majorHAnsi"/>
          <w:sz w:val="20"/>
          <w:szCs w:val="20"/>
          <w:lang w:val="es-ES"/>
        </w:rPr>
        <w:t>ra</w:t>
      </w:r>
      <w:r w:rsidRPr="00BD424E">
        <w:rPr>
          <w:rFonts w:asciiTheme="majorHAnsi" w:hAnsiTheme="majorHAnsi"/>
          <w:sz w:val="20"/>
          <w:szCs w:val="20"/>
          <w:lang w:val="es-ES"/>
        </w:rPr>
        <w:t xml:space="preserve"> obligación del Estado demostrar que se siguieron todas las líneas de investigación necesarias para determinar su validez.</w:t>
      </w:r>
      <w:r w:rsidR="00892ACD" w:rsidRPr="00BD424E">
        <w:rPr>
          <w:rFonts w:ascii="Cambria" w:hAnsi="Cambria" w:cs="Verdana"/>
          <w:sz w:val="20"/>
          <w:szCs w:val="20"/>
          <w:lang w:val="es-CO" w:eastAsia="es-ES_tradnl"/>
        </w:rPr>
        <w:t xml:space="preserve"> Esclarecer si hubo adulteración de la historia clínica era relevante para establecer posibles responsabilidades penales o civiles y las reparaciones respectivas.</w:t>
      </w:r>
      <w:r w:rsidR="005E49DD" w:rsidRPr="00BD424E">
        <w:rPr>
          <w:rFonts w:ascii="Cambria" w:hAnsi="Cambria" w:cs="Verdana"/>
          <w:sz w:val="20"/>
          <w:szCs w:val="20"/>
          <w:lang w:val="es-CO" w:eastAsia="es-ES_tradnl"/>
        </w:rPr>
        <w:t xml:space="preserve"> </w:t>
      </w:r>
      <w:r w:rsidR="00845548" w:rsidRPr="00BD424E">
        <w:rPr>
          <w:rFonts w:ascii="Cambria" w:hAnsi="Cambria" w:cs="Verdana"/>
          <w:sz w:val="20"/>
          <w:szCs w:val="20"/>
          <w:lang w:val="es-CO" w:eastAsia="es-ES_tradnl"/>
        </w:rPr>
        <w:t xml:space="preserve"> </w:t>
      </w:r>
    </w:p>
    <w:p w14:paraId="63641DA1" w14:textId="77777777" w:rsidR="00845548" w:rsidRPr="00BD424E" w:rsidRDefault="00845548"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autoSpaceDE w:val="0"/>
        <w:autoSpaceDN w:val="0"/>
        <w:adjustRightInd w:val="0"/>
        <w:jc w:val="both"/>
        <w:rPr>
          <w:rFonts w:ascii="Cambria" w:hAnsi="Cambria" w:cs="Verdana"/>
          <w:sz w:val="20"/>
          <w:szCs w:val="20"/>
          <w:lang w:val="es-CO" w:eastAsia="es-ES_tradnl"/>
        </w:rPr>
      </w:pPr>
    </w:p>
    <w:p w14:paraId="425A7B42" w14:textId="35AF38E2" w:rsidR="004D3D94" w:rsidRPr="00BD424E" w:rsidRDefault="00845548"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autoSpaceDE w:val="0"/>
        <w:autoSpaceDN w:val="0"/>
        <w:adjustRightInd w:val="0"/>
        <w:ind w:left="0" w:firstLine="0"/>
        <w:jc w:val="both"/>
        <w:rPr>
          <w:rFonts w:asciiTheme="majorHAnsi" w:hAnsiTheme="majorHAnsi"/>
          <w:sz w:val="20"/>
          <w:szCs w:val="20"/>
          <w:lang w:val="es-ES"/>
        </w:rPr>
      </w:pPr>
      <w:r w:rsidRPr="00BD424E">
        <w:rPr>
          <w:rFonts w:ascii="Cambria" w:hAnsi="Cambria" w:cs="Verdana"/>
          <w:sz w:val="20"/>
          <w:szCs w:val="20"/>
          <w:lang w:val="es-CO" w:eastAsia="es-ES_tradnl"/>
        </w:rPr>
        <w:t xml:space="preserve">Pese a la multiplicidad de pericias que se fueron practicadas, la Comisión observa asimismo que las omisiones han ocasionado que a la fecha que no haya sido posible asimismo determinar fehacientemente cuáles fueron las causas de la muerte de la señor Cristina Britez. Lo anterior, según ha sido reconocido por las propias autoridades ha constituido un obstáculo en las posibilidades de determinar la responsabilidad de los médicos involucrados (ver supra párrs. 29 y 50). </w:t>
      </w:r>
    </w:p>
    <w:p w14:paraId="243776DC" w14:textId="77777777" w:rsidR="009638AE" w:rsidRPr="00BD424E" w:rsidRDefault="009638AE"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jc w:val="both"/>
        <w:rPr>
          <w:rFonts w:asciiTheme="majorHAnsi" w:hAnsiTheme="majorHAnsi"/>
          <w:sz w:val="20"/>
          <w:szCs w:val="20"/>
          <w:lang w:val="es-ES"/>
        </w:rPr>
      </w:pPr>
    </w:p>
    <w:p w14:paraId="7ED78E44" w14:textId="77777777" w:rsidR="00D9002F" w:rsidRPr="00BD424E" w:rsidRDefault="00902930"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autoSpaceDE w:val="0"/>
        <w:autoSpaceDN w:val="0"/>
        <w:adjustRightInd w:val="0"/>
        <w:ind w:left="0" w:firstLine="0"/>
        <w:jc w:val="both"/>
        <w:rPr>
          <w:rFonts w:asciiTheme="majorHAnsi" w:hAnsiTheme="majorHAnsi"/>
          <w:sz w:val="20"/>
          <w:szCs w:val="20"/>
          <w:lang w:val="es-ES"/>
        </w:rPr>
      </w:pPr>
      <w:r w:rsidRPr="00BD424E">
        <w:rPr>
          <w:rFonts w:asciiTheme="majorHAnsi" w:hAnsiTheme="majorHAnsi" w:cs="Verdana"/>
          <w:sz w:val="20"/>
          <w:szCs w:val="20"/>
          <w:lang w:val="es-ES" w:eastAsia="es-ES_tradnl"/>
        </w:rPr>
        <w:t>Finalmente</w:t>
      </w:r>
      <w:r w:rsidR="00721D4A" w:rsidRPr="00BD424E">
        <w:rPr>
          <w:rFonts w:asciiTheme="majorHAnsi" w:hAnsiTheme="majorHAnsi" w:cs="Verdana"/>
          <w:sz w:val="20"/>
          <w:szCs w:val="20"/>
          <w:lang w:val="es-ES" w:eastAsia="es-ES_tradnl"/>
        </w:rPr>
        <w:t xml:space="preserve">, </w:t>
      </w:r>
      <w:r w:rsidR="00FB30A8" w:rsidRPr="00BD424E">
        <w:rPr>
          <w:rFonts w:asciiTheme="majorHAnsi" w:hAnsiTheme="majorHAnsi" w:cs="Verdana"/>
          <w:sz w:val="20"/>
          <w:szCs w:val="20"/>
          <w:lang w:val="es-ES" w:eastAsia="es-ES_tradnl"/>
        </w:rPr>
        <w:t xml:space="preserve">la Comisión </w:t>
      </w:r>
      <w:r w:rsidR="00D9002F" w:rsidRPr="00BD424E">
        <w:rPr>
          <w:rFonts w:asciiTheme="majorHAnsi" w:hAnsiTheme="majorHAnsi" w:cs="Verdana"/>
          <w:sz w:val="20"/>
          <w:szCs w:val="20"/>
          <w:lang w:val="es-CO" w:eastAsia="es-ES_tradnl"/>
        </w:rPr>
        <w:t>advierte</w:t>
      </w:r>
      <w:r w:rsidR="00721D4A" w:rsidRPr="00BD424E">
        <w:rPr>
          <w:rFonts w:asciiTheme="majorHAnsi" w:hAnsiTheme="majorHAnsi" w:cs="Verdana"/>
          <w:sz w:val="20"/>
          <w:szCs w:val="20"/>
          <w:lang w:val="es-CO" w:eastAsia="es-ES_tradnl"/>
        </w:rPr>
        <w:t xml:space="preserve"> </w:t>
      </w:r>
      <w:r w:rsidR="00D9002F" w:rsidRPr="00BD424E">
        <w:rPr>
          <w:rFonts w:asciiTheme="majorHAnsi" w:hAnsiTheme="majorHAnsi" w:cs="Verdana"/>
          <w:sz w:val="20"/>
          <w:szCs w:val="20"/>
          <w:lang w:val="es-CO" w:eastAsia="es-ES_tradnl"/>
        </w:rPr>
        <w:t>extensos periodos de tiempo</w:t>
      </w:r>
      <w:r w:rsidR="00721D4A" w:rsidRPr="00BD424E">
        <w:rPr>
          <w:rFonts w:asciiTheme="majorHAnsi" w:hAnsiTheme="majorHAnsi" w:cs="Verdana"/>
          <w:sz w:val="20"/>
          <w:szCs w:val="20"/>
          <w:lang w:val="es-CO" w:eastAsia="es-ES_tradnl"/>
        </w:rPr>
        <w:t>, dentro del proceso civil,</w:t>
      </w:r>
      <w:r w:rsidR="00D9002F" w:rsidRPr="00BD424E">
        <w:rPr>
          <w:rFonts w:asciiTheme="majorHAnsi" w:hAnsiTheme="majorHAnsi" w:cs="Verdana"/>
          <w:sz w:val="20"/>
          <w:szCs w:val="20"/>
          <w:lang w:val="es-CO" w:eastAsia="es-ES_tradnl"/>
        </w:rPr>
        <w:t xml:space="preserve"> en los que no constan diligencias de parte de las autoridades judiciales para lograr el avance y la terminación del proceso. Esto será analizado en la siguiente sección.</w:t>
      </w:r>
    </w:p>
    <w:p w14:paraId="2E79B752" w14:textId="77777777" w:rsidR="00C11A32" w:rsidRPr="00BD424E" w:rsidRDefault="00C11A32" w:rsidP="00BD424E">
      <w:pPr>
        <w:pStyle w:val="Heading4"/>
        <w:numPr>
          <w:ilvl w:val="1"/>
          <w:numId w:val="56"/>
        </w:numPr>
        <w:ind w:left="360"/>
        <w:rPr>
          <w:i w:val="0"/>
          <w:color w:val="auto"/>
          <w:sz w:val="20"/>
          <w:szCs w:val="20"/>
          <w:bdr w:val="none" w:sz="0" w:space="0" w:color="auto"/>
        </w:rPr>
      </w:pPr>
      <w:bookmarkStart w:id="43" w:name="_Toc535405958"/>
      <w:bookmarkStart w:id="44" w:name="_Toc22199938"/>
      <w:bookmarkStart w:id="45" w:name="_Toc33525309"/>
      <w:r w:rsidRPr="00BD424E">
        <w:rPr>
          <w:i w:val="0"/>
          <w:color w:val="auto"/>
          <w:sz w:val="20"/>
          <w:szCs w:val="20"/>
          <w:bdr w:val="none" w:sz="0" w:space="0" w:color="auto"/>
        </w:rPr>
        <w:t>Plazo razonable</w:t>
      </w:r>
      <w:bookmarkEnd w:id="43"/>
      <w:bookmarkEnd w:id="44"/>
      <w:bookmarkEnd w:id="45"/>
      <w:r w:rsidRPr="00BD424E">
        <w:rPr>
          <w:i w:val="0"/>
          <w:color w:val="auto"/>
          <w:sz w:val="20"/>
          <w:szCs w:val="20"/>
          <w:bdr w:val="none" w:sz="0" w:space="0" w:color="auto"/>
        </w:rPr>
        <w:t xml:space="preserve"> </w:t>
      </w:r>
    </w:p>
    <w:p w14:paraId="0E7A9EEE" w14:textId="77777777" w:rsidR="000A07B9" w:rsidRPr="00BD424E" w:rsidRDefault="000A07B9"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jc w:val="both"/>
        <w:rPr>
          <w:rFonts w:asciiTheme="majorHAnsi" w:hAnsiTheme="majorHAnsi"/>
          <w:sz w:val="20"/>
          <w:szCs w:val="20"/>
          <w:lang w:val="es-ES"/>
        </w:rPr>
      </w:pPr>
    </w:p>
    <w:p w14:paraId="112FD7A5" w14:textId="77777777" w:rsidR="00EB33B8" w:rsidRPr="00BD424E" w:rsidRDefault="00995686"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autoSpaceDE w:val="0"/>
        <w:autoSpaceDN w:val="0"/>
        <w:adjustRightInd w:val="0"/>
        <w:ind w:left="0" w:firstLine="0"/>
        <w:jc w:val="both"/>
        <w:rPr>
          <w:rFonts w:ascii="Cambria" w:hAnsi="Cambria"/>
          <w:sz w:val="20"/>
          <w:szCs w:val="20"/>
          <w:lang w:val="es-ES"/>
        </w:rPr>
      </w:pPr>
      <w:r w:rsidRPr="00BD424E">
        <w:rPr>
          <w:rFonts w:asciiTheme="majorHAnsi" w:hAnsiTheme="majorHAnsi" w:cs="Verdana"/>
          <w:sz w:val="20"/>
          <w:szCs w:val="20"/>
          <w:lang w:val="es-ES" w:eastAsia="es-ES_tradnl"/>
        </w:rPr>
        <w:t xml:space="preserve">La </w:t>
      </w:r>
      <w:r w:rsidR="002D6FE5" w:rsidRPr="00BD424E">
        <w:rPr>
          <w:rFonts w:asciiTheme="majorHAnsi" w:hAnsiTheme="majorHAnsi" w:cs="Verdana"/>
          <w:sz w:val="20"/>
          <w:szCs w:val="20"/>
          <w:lang w:val="es-ES" w:eastAsia="es-ES_tradnl"/>
        </w:rPr>
        <w:t xml:space="preserve">Comisión observa que en junio de 1992 se </w:t>
      </w:r>
      <w:r w:rsidR="007D6270" w:rsidRPr="00BD424E">
        <w:rPr>
          <w:rFonts w:asciiTheme="majorHAnsi" w:hAnsiTheme="majorHAnsi" w:cs="Verdana"/>
          <w:sz w:val="20"/>
          <w:szCs w:val="20"/>
          <w:lang w:val="es-ES" w:eastAsia="es-ES_tradnl"/>
        </w:rPr>
        <w:t xml:space="preserve">presentó denuncia penal </w:t>
      </w:r>
      <w:r w:rsidR="002D6FE5" w:rsidRPr="00BD424E">
        <w:rPr>
          <w:rFonts w:asciiTheme="majorHAnsi" w:hAnsiTheme="majorHAnsi" w:cs="Verdana"/>
          <w:sz w:val="20"/>
          <w:szCs w:val="20"/>
          <w:lang w:val="es-ES" w:eastAsia="es-ES_tradnl"/>
        </w:rPr>
        <w:t>por</w:t>
      </w:r>
      <w:r w:rsidR="007D6270" w:rsidRPr="00BD424E">
        <w:rPr>
          <w:rFonts w:asciiTheme="majorHAnsi" w:hAnsiTheme="majorHAnsi" w:cs="Verdana"/>
          <w:sz w:val="20"/>
          <w:szCs w:val="20"/>
          <w:lang w:val="es-ES" w:eastAsia="es-ES_tradnl"/>
        </w:rPr>
        <w:t xml:space="preserve"> </w:t>
      </w:r>
      <w:r w:rsidR="00FD277E" w:rsidRPr="00BD424E">
        <w:rPr>
          <w:rFonts w:asciiTheme="majorHAnsi" w:hAnsiTheme="majorHAnsi" w:cs="Verdana"/>
          <w:sz w:val="20"/>
          <w:szCs w:val="20"/>
          <w:lang w:val="es-ES" w:eastAsia="es-ES_tradnl"/>
        </w:rPr>
        <w:t xml:space="preserve">la muerte </w:t>
      </w:r>
      <w:r w:rsidR="007D6270" w:rsidRPr="00BD424E">
        <w:rPr>
          <w:rFonts w:asciiTheme="majorHAnsi" w:hAnsiTheme="majorHAnsi" w:cs="Verdana"/>
          <w:sz w:val="20"/>
          <w:szCs w:val="20"/>
          <w:lang w:val="es-ES" w:eastAsia="es-ES_tradnl"/>
        </w:rPr>
        <w:t>de la señora Cristina Britez Arce y en diciembre de 1998 el fiscal formuló acusación formal contra la</w:t>
      </w:r>
      <w:r w:rsidR="007D6270" w:rsidRPr="00BD424E">
        <w:rPr>
          <w:rFonts w:asciiTheme="majorHAnsi" w:hAnsiTheme="majorHAnsi"/>
          <w:sz w:val="20"/>
          <w:szCs w:val="20"/>
          <w:lang w:val="es-ES"/>
        </w:rPr>
        <w:t xml:space="preserve"> médica Patricia Carmen Anido y el médico Eduardo Mario Negri, profesionales del Hospital Público Sardá. </w:t>
      </w:r>
      <w:r w:rsidR="007449D4" w:rsidRPr="00BD424E">
        <w:rPr>
          <w:rFonts w:asciiTheme="majorHAnsi" w:hAnsiTheme="majorHAnsi"/>
          <w:sz w:val="20"/>
          <w:szCs w:val="20"/>
          <w:lang w:val="es-ES"/>
        </w:rPr>
        <w:t>Asimismo, l</w:t>
      </w:r>
      <w:r w:rsidR="007D6270" w:rsidRPr="00BD424E">
        <w:rPr>
          <w:rFonts w:asciiTheme="majorHAnsi" w:hAnsiTheme="majorHAnsi"/>
          <w:sz w:val="20"/>
          <w:szCs w:val="20"/>
          <w:lang w:val="es-ES"/>
        </w:rPr>
        <w:t>a Comisión</w:t>
      </w:r>
      <w:r w:rsidRPr="00BD424E">
        <w:rPr>
          <w:rFonts w:asciiTheme="majorHAnsi" w:hAnsiTheme="majorHAnsi"/>
          <w:sz w:val="20"/>
          <w:szCs w:val="20"/>
          <w:lang w:val="es-ES"/>
        </w:rPr>
        <w:t xml:space="preserve"> observa </w:t>
      </w:r>
      <w:r w:rsidR="007D6270" w:rsidRPr="00BD424E">
        <w:rPr>
          <w:rFonts w:asciiTheme="majorHAnsi" w:hAnsiTheme="majorHAnsi"/>
          <w:sz w:val="20"/>
          <w:szCs w:val="20"/>
          <w:lang w:val="es-ES"/>
        </w:rPr>
        <w:t>que entre</w:t>
      </w:r>
      <w:r w:rsidR="00FD277E" w:rsidRPr="00BD424E">
        <w:rPr>
          <w:rFonts w:asciiTheme="majorHAnsi" w:hAnsiTheme="majorHAnsi"/>
          <w:sz w:val="20"/>
          <w:szCs w:val="20"/>
          <w:lang w:val="es-ES"/>
        </w:rPr>
        <w:t xml:space="preserve"> la presentación de la denuncia y la acusaci</w:t>
      </w:r>
      <w:r w:rsidRPr="00BD424E">
        <w:rPr>
          <w:rFonts w:asciiTheme="majorHAnsi" w:hAnsiTheme="majorHAnsi"/>
          <w:sz w:val="20"/>
          <w:szCs w:val="20"/>
          <w:lang w:val="es-ES"/>
        </w:rPr>
        <w:t>ón fiscal, podría advertirse cierta complejidad en cuanto a los cuestionamientos de las pericias y los procesos penales conexos que se abrieron</w:t>
      </w:r>
      <w:r w:rsidR="007449D4" w:rsidRPr="00BD424E">
        <w:rPr>
          <w:rFonts w:asciiTheme="majorHAnsi" w:hAnsiTheme="majorHAnsi"/>
          <w:sz w:val="20"/>
          <w:szCs w:val="20"/>
          <w:lang w:val="es-ES"/>
        </w:rPr>
        <w:t>,</w:t>
      </w:r>
      <w:r w:rsidRPr="00BD424E">
        <w:rPr>
          <w:rFonts w:asciiTheme="majorHAnsi" w:hAnsiTheme="majorHAnsi"/>
          <w:sz w:val="20"/>
          <w:szCs w:val="20"/>
          <w:lang w:val="es-ES"/>
        </w:rPr>
        <w:t xml:space="preserve"> en los que se ventilaron las denuncias contra los peritos Casavilla y Poggi y contra el Cuerpo Médico Forense. Sin embargo, desde la acusación fiscal de diciembre de 1998 y la </w:t>
      </w:r>
      <w:r w:rsidR="00FD277E" w:rsidRPr="00BD424E">
        <w:rPr>
          <w:rFonts w:asciiTheme="majorHAnsi" w:hAnsiTheme="majorHAnsi"/>
          <w:sz w:val="20"/>
          <w:szCs w:val="20"/>
          <w:lang w:val="es-ES"/>
        </w:rPr>
        <w:t xml:space="preserve">sentencia de primera instancia, </w:t>
      </w:r>
      <w:r w:rsidRPr="00BD424E">
        <w:rPr>
          <w:rFonts w:asciiTheme="majorHAnsi" w:hAnsiTheme="majorHAnsi"/>
          <w:sz w:val="20"/>
          <w:szCs w:val="20"/>
          <w:lang w:val="es-ES"/>
        </w:rPr>
        <w:t xml:space="preserve">emitida en </w:t>
      </w:r>
      <w:r w:rsidR="007D6270" w:rsidRPr="00BD424E">
        <w:rPr>
          <w:rFonts w:asciiTheme="majorHAnsi" w:hAnsiTheme="majorHAnsi"/>
          <w:sz w:val="20"/>
          <w:szCs w:val="20"/>
          <w:lang w:val="es-ES"/>
        </w:rPr>
        <w:t xml:space="preserve">julio de 2003, </w:t>
      </w:r>
      <w:r w:rsidR="00EB33B8" w:rsidRPr="00BD424E">
        <w:rPr>
          <w:rFonts w:asciiTheme="majorHAnsi" w:hAnsiTheme="majorHAnsi"/>
          <w:sz w:val="20"/>
          <w:szCs w:val="20"/>
          <w:lang w:val="es-ES"/>
        </w:rPr>
        <w:t xml:space="preserve">la Comisión </w:t>
      </w:r>
      <w:r w:rsidR="00D51564" w:rsidRPr="00BD424E">
        <w:rPr>
          <w:rFonts w:asciiTheme="majorHAnsi" w:hAnsiTheme="majorHAnsi"/>
          <w:sz w:val="20"/>
          <w:szCs w:val="20"/>
          <w:lang w:val="es-ES"/>
        </w:rPr>
        <w:t xml:space="preserve">no </w:t>
      </w:r>
      <w:r w:rsidR="00EB33B8" w:rsidRPr="00BD424E">
        <w:rPr>
          <w:rFonts w:asciiTheme="majorHAnsi" w:hAnsiTheme="majorHAnsi"/>
          <w:sz w:val="20"/>
          <w:szCs w:val="20"/>
          <w:lang w:val="es-ES"/>
        </w:rPr>
        <w:t>observa</w:t>
      </w:r>
      <w:r w:rsidR="00D51564" w:rsidRPr="00BD424E">
        <w:rPr>
          <w:rFonts w:asciiTheme="majorHAnsi" w:hAnsiTheme="majorHAnsi"/>
          <w:sz w:val="20"/>
          <w:szCs w:val="20"/>
          <w:lang w:val="es-ES"/>
        </w:rPr>
        <w:t xml:space="preserve"> que se hubiera presentado ningún elemento que pudiera haber añadido complejidad al asunto y que </w:t>
      </w:r>
      <w:r w:rsidR="00EB33B8" w:rsidRPr="00BD424E">
        <w:rPr>
          <w:rFonts w:asciiTheme="majorHAnsi" w:hAnsiTheme="majorHAnsi"/>
          <w:sz w:val="20"/>
          <w:szCs w:val="20"/>
          <w:lang w:val="es-ES"/>
        </w:rPr>
        <w:t>justificar</w:t>
      </w:r>
      <w:r w:rsidR="00D51564" w:rsidRPr="00BD424E">
        <w:rPr>
          <w:rFonts w:asciiTheme="majorHAnsi" w:hAnsiTheme="majorHAnsi"/>
          <w:sz w:val="20"/>
          <w:szCs w:val="20"/>
          <w:lang w:val="es-ES"/>
        </w:rPr>
        <w:t>a</w:t>
      </w:r>
      <w:r w:rsidR="00EB33B8" w:rsidRPr="00BD424E">
        <w:rPr>
          <w:rFonts w:asciiTheme="majorHAnsi" w:hAnsiTheme="majorHAnsi"/>
          <w:sz w:val="20"/>
          <w:szCs w:val="20"/>
          <w:lang w:val="es-ES"/>
        </w:rPr>
        <w:t xml:space="preserve"> la dilación</w:t>
      </w:r>
      <w:r w:rsidR="006C0143" w:rsidRPr="00BD424E">
        <w:rPr>
          <w:rFonts w:asciiTheme="majorHAnsi" w:hAnsiTheme="majorHAnsi"/>
          <w:sz w:val="20"/>
          <w:szCs w:val="20"/>
          <w:lang w:val="es-ES"/>
        </w:rPr>
        <w:t xml:space="preserve"> </w:t>
      </w:r>
      <w:r w:rsidR="00EB33B8" w:rsidRPr="00BD424E">
        <w:rPr>
          <w:rFonts w:asciiTheme="majorHAnsi" w:hAnsiTheme="majorHAnsi"/>
          <w:sz w:val="20"/>
          <w:szCs w:val="20"/>
          <w:lang w:val="es-ES"/>
        </w:rPr>
        <w:t xml:space="preserve">en emitir el pronunciamiento judicial. </w:t>
      </w:r>
      <w:r w:rsidR="00B91121" w:rsidRPr="00BD424E">
        <w:rPr>
          <w:rFonts w:asciiTheme="majorHAnsi" w:hAnsiTheme="majorHAnsi"/>
          <w:sz w:val="20"/>
          <w:szCs w:val="20"/>
          <w:lang w:val="es-ES"/>
        </w:rPr>
        <w:t>La</w:t>
      </w:r>
      <w:r w:rsidR="00D51564" w:rsidRPr="00BD424E">
        <w:rPr>
          <w:rFonts w:asciiTheme="majorHAnsi" w:hAnsiTheme="majorHAnsi"/>
          <w:sz w:val="20"/>
          <w:szCs w:val="20"/>
          <w:lang w:val="es-ES"/>
        </w:rPr>
        <w:t xml:space="preserve"> Comisión no cuenta con información sobre diligencia alguna que se hubiese llevado a cabo en esos casi cinco años. </w:t>
      </w:r>
    </w:p>
    <w:p w14:paraId="73709DD8" w14:textId="77777777" w:rsidR="00386470" w:rsidRPr="00BD424E" w:rsidRDefault="00386470" w:rsidP="00BD424E">
      <w:pPr>
        <w:ind w:left="720"/>
        <w:rPr>
          <w:lang w:val="es-MX"/>
        </w:rPr>
      </w:pPr>
    </w:p>
    <w:p w14:paraId="42645D8E" w14:textId="77777777" w:rsidR="00D51564" w:rsidRPr="00BD424E" w:rsidRDefault="00EB33B8"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autoSpaceDE w:val="0"/>
        <w:autoSpaceDN w:val="0"/>
        <w:adjustRightInd w:val="0"/>
        <w:ind w:left="0" w:firstLine="0"/>
        <w:jc w:val="both"/>
        <w:rPr>
          <w:rFonts w:ascii="Cambria" w:hAnsi="Cambria"/>
          <w:sz w:val="20"/>
          <w:szCs w:val="20"/>
          <w:lang w:val="es-ES"/>
        </w:rPr>
      </w:pPr>
      <w:r w:rsidRPr="00BD424E">
        <w:rPr>
          <w:rFonts w:asciiTheme="majorHAnsi" w:hAnsiTheme="majorHAnsi"/>
          <w:sz w:val="20"/>
          <w:szCs w:val="20"/>
          <w:lang w:val="es-ES"/>
        </w:rPr>
        <w:lastRenderedPageBreak/>
        <w:t xml:space="preserve">Con relación al proceso civil, la Comisión </w:t>
      </w:r>
      <w:r w:rsidR="00E32283" w:rsidRPr="00BD424E">
        <w:rPr>
          <w:rFonts w:asciiTheme="majorHAnsi" w:hAnsiTheme="majorHAnsi"/>
          <w:sz w:val="20"/>
          <w:szCs w:val="20"/>
          <w:lang w:val="es-ES"/>
        </w:rPr>
        <w:t>encuentra dos periodos prolongados de inactividad procesal</w:t>
      </w:r>
      <w:r w:rsidR="006C0143" w:rsidRPr="00BD424E">
        <w:rPr>
          <w:rFonts w:asciiTheme="majorHAnsi" w:hAnsiTheme="majorHAnsi"/>
          <w:sz w:val="20"/>
          <w:szCs w:val="20"/>
          <w:lang w:val="es-ES"/>
        </w:rPr>
        <w:t>:</w:t>
      </w:r>
      <w:r w:rsidR="00D65B30" w:rsidRPr="00BD424E">
        <w:rPr>
          <w:rFonts w:asciiTheme="majorHAnsi" w:hAnsiTheme="majorHAnsi"/>
          <w:sz w:val="20"/>
          <w:szCs w:val="20"/>
          <w:lang w:val="es-ES"/>
        </w:rPr>
        <w:t xml:space="preserve"> </w:t>
      </w:r>
      <w:r w:rsidR="006C0143" w:rsidRPr="00BD424E">
        <w:rPr>
          <w:rFonts w:asciiTheme="majorHAnsi" w:hAnsiTheme="majorHAnsi"/>
          <w:sz w:val="20"/>
          <w:szCs w:val="20"/>
          <w:lang w:val="es-ES"/>
        </w:rPr>
        <w:t xml:space="preserve">i) </w:t>
      </w:r>
      <w:r w:rsidR="00D51564" w:rsidRPr="00BD424E">
        <w:rPr>
          <w:rFonts w:asciiTheme="majorHAnsi" w:hAnsiTheme="majorHAnsi"/>
          <w:sz w:val="20"/>
          <w:szCs w:val="20"/>
          <w:lang w:val="es-ES"/>
        </w:rPr>
        <w:t xml:space="preserve">seis años desde </w:t>
      </w:r>
      <w:r w:rsidR="00D65B30" w:rsidRPr="00BD424E">
        <w:rPr>
          <w:rFonts w:asciiTheme="majorHAnsi" w:hAnsiTheme="majorHAnsi"/>
          <w:sz w:val="20"/>
          <w:szCs w:val="20"/>
          <w:lang w:val="es-ES"/>
        </w:rPr>
        <w:t>que el señor Miguel Ángel Avaro presentó la demanda por daños y perjuicios</w:t>
      </w:r>
      <w:r w:rsidR="00D51564" w:rsidRPr="00BD424E">
        <w:rPr>
          <w:rFonts w:asciiTheme="majorHAnsi" w:hAnsiTheme="majorHAnsi"/>
          <w:sz w:val="20"/>
          <w:szCs w:val="20"/>
          <w:lang w:val="es-ES"/>
        </w:rPr>
        <w:t xml:space="preserve"> hasta que el doctor Barrón realizó la p</w:t>
      </w:r>
      <w:r w:rsidR="002C23AD" w:rsidRPr="00BD424E">
        <w:rPr>
          <w:rFonts w:asciiTheme="majorHAnsi" w:hAnsiTheme="majorHAnsi"/>
          <w:sz w:val="20"/>
          <w:szCs w:val="20"/>
          <w:lang w:val="es-ES"/>
        </w:rPr>
        <w:t xml:space="preserve">ericia ordenada por el juzgado y </w:t>
      </w:r>
      <w:r w:rsidR="006C0143" w:rsidRPr="00BD424E">
        <w:rPr>
          <w:rFonts w:asciiTheme="majorHAnsi" w:hAnsiTheme="majorHAnsi"/>
          <w:sz w:val="20"/>
          <w:szCs w:val="20"/>
          <w:lang w:val="es-ES"/>
        </w:rPr>
        <w:t xml:space="preserve">ii) </w:t>
      </w:r>
      <w:r w:rsidR="002C23AD" w:rsidRPr="00BD424E">
        <w:rPr>
          <w:rFonts w:asciiTheme="majorHAnsi" w:hAnsiTheme="majorHAnsi"/>
          <w:sz w:val="20"/>
          <w:szCs w:val="20"/>
          <w:lang w:val="es-ES"/>
        </w:rPr>
        <w:t xml:space="preserve">más de nueve años desde esa pericia hasta la emisión de la sentencia de primera instancia que rechazó la demanda. </w:t>
      </w:r>
      <w:r w:rsidR="006C0143" w:rsidRPr="00BD424E">
        <w:rPr>
          <w:rFonts w:asciiTheme="majorHAnsi" w:hAnsiTheme="majorHAnsi"/>
          <w:sz w:val="20"/>
          <w:szCs w:val="20"/>
          <w:lang w:val="es-ES"/>
        </w:rPr>
        <w:t xml:space="preserve"> Es así que en total transcurrieron más de 15 años para que los familiares de la señora Cristina Britez Arce obtuvieran una resolución a su demanda.</w:t>
      </w:r>
    </w:p>
    <w:p w14:paraId="1F65F49E" w14:textId="77777777" w:rsidR="002C23AD" w:rsidRPr="00BD424E" w:rsidRDefault="002C23AD" w:rsidP="00BD424E">
      <w:pPr>
        <w:pStyle w:val="ListParagraph"/>
      </w:pPr>
    </w:p>
    <w:p w14:paraId="256617AF" w14:textId="77777777" w:rsidR="00EB505C" w:rsidRPr="00BD424E" w:rsidRDefault="00EB505C"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autoSpaceDE w:val="0"/>
        <w:autoSpaceDN w:val="0"/>
        <w:adjustRightInd w:val="0"/>
        <w:ind w:left="0" w:firstLine="0"/>
        <w:jc w:val="both"/>
        <w:rPr>
          <w:rFonts w:ascii="Cambria" w:hAnsi="Cambria"/>
          <w:sz w:val="20"/>
          <w:szCs w:val="20"/>
          <w:lang w:val="es-ES"/>
        </w:rPr>
      </w:pPr>
      <w:r w:rsidRPr="00BD424E">
        <w:rPr>
          <w:rFonts w:asciiTheme="majorHAnsi" w:hAnsiTheme="majorHAnsi" w:cs="Helvetica"/>
          <w:sz w:val="20"/>
          <w:szCs w:val="20"/>
          <w:lang w:val="es-ES"/>
        </w:rPr>
        <w:t xml:space="preserve">Cabe destacar la declaración del </w:t>
      </w:r>
      <w:r w:rsidRPr="00BD424E">
        <w:rPr>
          <w:rFonts w:asciiTheme="majorHAnsi" w:hAnsiTheme="majorHAnsi"/>
          <w:sz w:val="20"/>
          <w:szCs w:val="20"/>
          <w:lang w:val="es-ES"/>
        </w:rPr>
        <w:t xml:space="preserve">perito Moreno, ante la Corte Interamericana, en el caso </w:t>
      </w:r>
      <w:r w:rsidRPr="00BD424E">
        <w:rPr>
          <w:rFonts w:asciiTheme="majorHAnsi" w:hAnsiTheme="majorHAnsi"/>
          <w:i/>
          <w:sz w:val="20"/>
          <w:szCs w:val="20"/>
          <w:lang w:val="es-ES"/>
        </w:rPr>
        <w:t>Furlán y familiares Vs. Argentina</w:t>
      </w:r>
      <w:r w:rsidRPr="00BD424E">
        <w:rPr>
          <w:rFonts w:asciiTheme="majorHAnsi" w:hAnsiTheme="majorHAnsi"/>
          <w:sz w:val="20"/>
          <w:szCs w:val="20"/>
          <w:lang w:val="es-ES"/>
        </w:rPr>
        <w:t>, en la que refirió que un proceso  de daños y perjuicios no debía durar más de dos años, indicando que muchos de los plazos quedan “dentro de un marco dispositivo de Jueces espectadores”</w:t>
      </w:r>
      <w:r w:rsidRPr="00BD424E">
        <w:rPr>
          <w:rStyle w:val="FootnoteReference"/>
          <w:rFonts w:asciiTheme="majorHAnsi" w:hAnsiTheme="majorHAnsi"/>
          <w:sz w:val="20"/>
          <w:szCs w:val="20"/>
        </w:rPr>
        <w:footnoteReference w:id="123"/>
      </w:r>
      <w:r w:rsidRPr="00BD424E">
        <w:rPr>
          <w:rFonts w:asciiTheme="majorHAnsi" w:hAnsiTheme="majorHAnsi"/>
          <w:sz w:val="20"/>
          <w:szCs w:val="20"/>
          <w:lang w:val="es-ES"/>
        </w:rPr>
        <w:t>.</w:t>
      </w:r>
    </w:p>
    <w:p w14:paraId="58A75696" w14:textId="77777777" w:rsidR="002C23AD" w:rsidRPr="00BD424E" w:rsidRDefault="002C23AD"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jc w:val="both"/>
        <w:rPr>
          <w:rFonts w:ascii="Cambria" w:hAnsi="Cambria"/>
          <w:sz w:val="20"/>
          <w:szCs w:val="20"/>
          <w:lang w:val="es-ES"/>
        </w:rPr>
      </w:pPr>
    </w:p>
    <w:p w14:paraId="26B1934F" w14:textId="77777777" w:rsidR="002C23AD" w:rsidRPr="00BD424E" w:rsidRDefault="002C23AD"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autoSpaceDE w:val="0"/>
        <w:autoSpaceDN w:val="0"/>
        <w:adjustRightInd w:val="0"/>
        <w:ind w:left="0" w:firstLine="0"/>
        <w:jc w:val="both"/>
        <w:rPr>
          <w:rFonts w:ascii="Cambria" w:hAnsi="Cambria"/>
          <w:sz w:val="20"/>
          <w:szCs w:val="20"/>
          <w:lang w:val="es-ES"/>
        </w:rPr>
      </w:pPr>
      <w:r w:rsidRPr="00BD424E">
        <w:rPr>
          <w:rFonts w:ascii="Cambria" w:hAnsi="Cambria"/>
          <w:sz w:val="20"/>
          <w:szCs w:val="20"/>
          <w:lang w:val="es-ES"/>
        </w:rPr>
        <w:t>En relación con la actividad procesal de la parte interesada, la Comisión no observa obstaculización por parte de los familiares y el Estado n</w:t>
      </w:r>
      <w:r w:rsidR="002E75B0" w:rsidRPr="00BD424E">
        <w:rPr>
          <w:rFonts w:ascii="Cambria" w:hAnsi="Cambria"/>
          <w:sz w:val="20"/>
          <w:szCs w:val="20"/>
          <w:lang w:val="es-ES"/>
        </w:rPr>
        <w:t>o</w:t>
      </w:r>
      <w:r w:rsidRPr="00BD424E">
        <w:rPr>
          <w:rFonts w:ascii="Cambria" w:hAnsi="Cambria"/>
          <w:sz w:val="20"/>
          <w:szCs w:val="20"/>
          <w:lang w:val="es-ES"/>
        </w:rPr>
        <w:t xml:space="preserve"> ha presentado argumentos que así lo indicaran. De cualquier manera, </w:t>
      </w:r>
      <w:r w:rsidRPr="00BD424E">
        <w:rPr>
          <w:rFonts w:asciiTheme="majorHAnsi" w:hAnsiTheme="majorHAnsi" w:cs="Helvetica"/>
          <w:sz w:val="20"/>
          <w:szCs w:val="20"/>
          <w:lang w:val="es-ES"/>
        </w:rPr>
        <w:t>la Corte ha señalado que el Estado, en ejercicio de su función judicial, ostenta un deber jurídico propio, por lo que la conducta de las autoridades judiciales no debe depender exclusivamente de la iniciativa procesal de la parte actora de los procesos</w:t>
      </w:r>
      <w:r w:rsidRPr="00BD424E">
        <w:rPr>
          <w:rStyle w:val="FootnoteReference"/>
          <w:rFonts w:asciiTheme="majorHAnsi" w:hAnsiTheme="majorHAnsi"/>
          <w:sz w:val="20"/>
          <w:szCs w:val="20"/>
        </w:rPr>
        <w:footnoteReference w:id="124"/>
      </w:r>
      <w:r w:rsidRPr="00BD424E">
        <w:rPr>
          <w:rFonts w:asciiTheme="majorHAnsi" w:hAnsiTheme="majorHAnsi" w:cs="Helvetica"/>
          <w:sz w:val="20"/>
          <w:szCs w:val="20"/>
          <w:lang w:val="es-ES"/>
        </w:rPr>
        <w:t xml:space="preserve">, lo que resulta especialmente relevante cuando se trata de procesos en los que se ventilan posibles violaciones de derechos humanos. </w:t>
      </w:r>
    </w:p>
    <w:p w14:paraId="056CF6E0" w14:textId="77777777" w:rsidR="00822A31" w:rsidRPr="00BD424E" w:rsidRDefault="00822A31" w:rsidP="00BD424E">
      <w:pPr>
        <w:ind w:left="720"/>
        <w:rPr>
          <w:lang w:val="es-MX"/>
        </w:rPr>
      </w:pPr>
    </w:p>
    <w:p w14:paraId="40479331" w14:textId="557FAB43" w:rsidR="009E3309" w:rsidRPr="00BD424E" w:rsidRDefault="00822A31"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 w:val="left" w:pos="450"/>
        </w:tabs>
        <w:autoSpaceDE w:val="0"/>
        <w:autoSpaceDN w:val="0"/>
        <w:adjustRightInd w:val="0"/>
        <w:ind w:left="0" w:firstLine="0"/>
        <w:jc w:val="both"/>
        <w:rPr>
          <w:rFonts w:asciiTheme="majorHAnsi" w:hAnsiTheme="majorHAnsi"/>
          <w:sz w:val="20"/>
          <w:szCs w:val="20"/>
          <w:lang w:val="es-ES"/>
        </w:rPr>
      </w:pPr>
      <w:r w:rsidRPr="00BD424E">
        <w:rPr>
          <w:rFonts w:asciiTheme="majorHAnsi" w:hAnsiTheme="majorHAnsi"/>
          <w:sz w:val="20"/>
          <w:szCs w:val="20"/>
          <w:lang w:val="es-CL"/>
        </w:rPr>
        <w:t xml:space="preserve">Por todo lo expuesto, la Comisión concluye que el Estado de Argentina es responsable por la violación del derecho a la protección judicial y </w:t>
      </w:r>
      <w:r w:rsidR="00B117AE" w:rsidRPr="00BD424E">
        <w:rPr>
          <w:rFonts w:asciiTheme="majorHAnsi" w:hAnsiTheme="majorHAnsi"/>
          <w:sz w:val="20"/>
          <w:szCs w:val="20"/>
          <w:lang w:val="es-CL"/>
        </w:rPr>
        <w:t xml:space="preserve">a las </w:t>
      </w:r>
      <w:r w:rsidRPr="00BD424E">
        <w:rPr>
          <w:rFonts w:asciiTheme="majorHAnsi" w:hAnsiTheme="majorHAnsi"/>
          <w:sz w:val="20"/>
          <w:szCs w:val="20"/>
          <w:lang w:val="es-CL"/>
        </w:rPr>
        <w:t xml:space="preserve">garantías judiciales, establecidos en los artículos 8.1 y 25.1 de la Convención Americana, en relación con las obligaciones establecidas en el artículo 1.1 del mismo instrumento, en perjuicio de </w:t>
      </w:r>
      <w:r w:rsidR="00B117AE" w:rsidRPr="00BD424E">
        <w:rPr>
          <w:rFonts w:asciiTheme="majorHAnsi" w:hAnsiTheme="majorHAnsi"/>
          <w:sz w:val="20"/>
          <w:szCs w:val="20"/>
          <w:lang w:val="es-CL"/>
        </w:rPr>
        <w:t>los familiares de Cristina Britez Arce</w:t>
      </w:r>
      <w:r w:rsidR="007D796D" w:rsidRPr="00BD424E">
        <w:rPr>
          <w:rFonts w:asciiTheme="majorHAnsi" w:hAnsiTheme="majorHAnsi"/>
          <w:sz w:val="20"/>
          <w:szCs w:val="20"/>
          <w:lang w:val="es-CL"/>
        </w:rPr>
        <w:t>.</w:t>
      </w:r>
      <w:r w:rsidR="00B117AE" w:rsidRPr="00BD424E">
        <w:rPr>
          <w:rFonts w:asciiTheme="majorHAnsi" w:hAnsiTheme="majorHAnsi"/>
          <w:sz w:val="20"/>
          <w:szCs w:val="20"/>
          <w:lang w:val="es-CL"/>
        </w:rPr>
        <w:t xml:space="preserve"> </w:t>
      </w:r>
      <w:r w:rsidR="00845548" w:rsidRPr="00BD424E">
        <w:rPr>
          <w:rFonts w:asciiTheme="majorHAnsi" w:hAnsiTheme="majorHAnsi"/>
          <w:sz w:val="20"/>
          <w:szCs w:val="20"/>
          <w:lang w:val="es-CL"/>
        </w:rPr>
        <w:t xml:space="preserve"> Asimismo, teniendo en cuenta </w:t>
      </w:r>
      <w:r w:rsidR="008A192B" w:rsidRPr="00BD424E">
        <w:rPr>
          <w:rFonts w:asciiTheme="majorHAnsi" w:hAnsiTheme="majorHAnsi"/>
          <w:sz w:val="20"/>
          <w:szCs w:val="20"/>
          <w:lang w:val="es-CL"/>
        </w:rPr>
        <w:t xml:space="preserve">que no se han investigado diligentemente </w:t>
      </w:r>
      <w:r w:rsidR="00845548" w:rsidRPr="00BD424E">
        <w:rPr>
          <w:rFonts w:asciiTheme="majorHAnsi" w:hAnsiTheme="majorHAnsi"/>
          <w:sz w:val="20"/>
          <w:szCs w:val="20"/>
          <w:lang w:val="es-CL"/>
        </w:rPr>
        <w:t xml:space="preserve">las circunstancias específicas </w:t>
      </w:r>
      <w:r w:rsidR="008A192B" w:rsidRPr="00BD424E">
        <w:rPr>
          <w:rFonts w:asciiTheme="majorHAnsi" w:hAnsiTheme="majorHAnsi"/>
          <w:sz w:val="20"/>
          <w:szCs w:val="20"/>
          <w:lang w:val="es-CL"/>
        </w:rPr>
        <w:t xml:space="preserve">en que se produjo </w:t>
      </w:r>
      <w:r w:rsidR="00845548" w:rsidRPr="00BD424E">
        <w:rPr>
          <w:rFonts w:asciiTheme="majorHAnsi" w:hAnsiTheme="majorHAnsi"/>
          <w:sz w:val="20"/>
          <w:szCs w:val="20"/>
          <w:lang w:val="es-CL"/>
        </w:rPr>
        <w:t>la muerte de la señora Britez</w:t>
      </w:r>
      <w:r w:rsidR="008A192B" w:rsidRPr="00BD424E">
        <w:rPr>
          <w:rFonts w:asciiTheme="majorHAnsi" w:hAnsiTheme="majorHAnsi"/>
          <w:sz w:val="20"/>
          <w:szCs w:val="20"/>
          <w:lang w:val="es-CL"/>
        </w:rPr>
        <w:t xml:space="preserve"> quien, como se ha indicado</w:t>
      </w:r>
      <w:r w:rsidR="004E2FBF" w:rsidRPr="00BD424E">
        <w:rPr>
          <w:rFonts w:asciiTheme="majorHAnsi" w:hAnsiTheme="majorHAnsi"/>
          <w:sz w:val="20"/>
          <w:szCs w:val="20"/>
          <w:lang w:val="es-CL"/>
        </w:rPr>
        <w:t>,</w:t>
      </w:r>
      <w:r w:rsidR="008A192B" w:rsidRPr="00BD424E">
        <w:rPr>
          <w:rFonts w:asciiTheme="majorHAnsi" w:hAnsiTheme="majorHAnsi"/>
          <w:sz w:val="20"/>
          <w:szCs w:val="20"/>
          <w:lang w:val="es-CL"/>
        </w:rPr>
        <w:t xml:space="preserve"> falleció</w:t>
      </w:r>
      <w:r w:rsidR="00845548" w:rsidRPr="00BD424E">
        <w:rPr>
          <w:rFonts w:asciiTheme="majorHAnsi" w:hAnsiTheme="majorHAnsi"/>
          <w:sz w:val="20"/>
          <w:szCs w:val="20"/>
          <w:lang w:val="es-CL"/>
        </w:rPr>
        <w:t xml:space="preserve"> </w:t>
      </w:r>
      <w:r w:rsidR="004E2FBF" w:rsidRPr="00BD424E">
        <w:rPr>
          <w:rFonts w:asciiTheme="majorHAnsi" w:hAnsiTheme="majorHAnsi"/>
          <w:sz w:val="20"/>
          <w:szCs w:val="20"/>
          <w:lang w:val="es-CL"/>
        </w:rPr>
        <w:t>en ausencia de la atención médica propia</w:t>
      </w:r>
      <w:r w:rsidR="008A192B" w:rsidRPr="00BD424E">
        <w:rPr>
          <w:rFonts w:asciiTheme="majorHAnsi" w:hAnsiTheme="majorHAnsi"/>
          <w:sz w:val="20"/>
          <w:szCs w:val="20"/>
          <w:lang w:val="es-CL"/>
        </w:rPr>
        <w:t xml:space="preserve"> de su condición de mujer gestante, la Comisión considera que el Estado es asimismo responsable por la violación al artículo 7 de la Convención Belém Do Pará.</w:t>
      </w:r>
    </w:p>
    <w:p w14:paraId="14E691E6" w14:textId="77777777" w:rsidR="009E3309" w:rsidRPr="00BD424E" w:rsidRDefault="009E3309" w:rsidP="00BD424E">
      <w:pPr>
        <w:pStyle w:val="ListParagraph"/>
      </w:pPr>
    </w:p>
    <w:p w14:paraId="6C77E8E3" w14:textId="75C43FFF" w:rsidR="009E3309" w:rsidRPr="00BD424E" w:rsidRDefault="009E3309" w:rsidP="00BD424E">
      <w:pPr>
        <w:pStyle w:val="Heading2"/>
      </w:pPr>
      <w:bookmarkStart w:id="46" w:name="_Toc535405959"/>
      <w:bookmarkStart w:id="47" w:name="_Toc22199939"/>
      <w:bookmarkStart w:id="48" w:name="_Toc33525310"/>
      <w:r w:rsidRPr="00BD424E">
        <w:t>El derecho a la integridad personal de</w:t>
      </w:r>
      <w:r w:rsidR="006E4DDF" w:rsidRPr="00BD424E">
        <w:t>l hijo y la hija de Cristina Britez Arce e</w:t>
      </w:r>
      <w:r w:rsidRPr="00BD424E">
        <w:t>n relación con el artículo 1.1 de la Convención Americana.</w:t>
      </w:r>
      <w:bookmarkEnd w:id="46"/>
      <w:bookmarkEnd w:id="47"/>
      <w:bookmarkEnd w:id="48"/>
    </w:p>
    <w:p w14:paraId="4F2E3F7B" w14:textId="77777777" w:rsidR="009E3309" w:rsidRPr="00BD424E" w:rsidRDefault="009E3309" w:rsidP="00BD424E">
      <w:pPr>
        <w:pStyle w:val="ListParagraph"/>
      </w:pPr>
    </w:p>
    <w:p w14:paraId="3C4624A1" w14:textId="77777777" w:rsidR="00304B72" w:rsidRPr="00BD424E" w:rsidRDefault="001265A5"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firstLine="0"/>
        <w:jc w:val="both"/>
        <w:rPr>
          <w:rFonts w:asciiTheme="majorHAnsi" w:hAnsiTheme="majorHAnsi"/>
          <w:sz w:val="20"/>
          <w:szCs w:val="20"/>
          <w:lang w:val="es-ES"/>
        </w:rPr>
      </w:pPr>
      <w:r w:rsidRPr="00BD424E">
        <w:rPr>
          <w:rFonts w:asciiTheme="majorHAnsi" w:hAnsiTheme="majorHAnsi"/>
          <w:color w:val="000000" w:themeColor="text1"/>
          <w:sz w:val="20"/>
          <w:szCs w:val="20"/>
          <w:lang w:val="es-VE"/>
        </w:rPr>
        <w:t>Con respecto a los familiares de víctimas de ciertas violaciones de derechos humanos, la Comisión y la Corte Interamericana han indicado que éstos pueden ser considerados, a su vez, como víctimas</w:t>
      </w:r>
      <w:r w:rsidR="00900C77" w:rsidRPr="00BD424E">
        <w:rPr>
          <w:rStyle w:val="FootnoteReference"/>
          <w:rFonts w:asciiTheme="majorHAnsi" w:hAnsiTheme="majorHAnsi"/>
          <w:color w:val="000000" w:themeColor="text1"/>
          <w:sz w:val="20"/>
          <w:szCs w:val="20"/>
          <w:lang w:val="es-VE"/>
        </w:rPr>
        <w:footnoteReference w:id="125"/>
      </w:r>
      <w:r w:rsidRPr="00BD424E">
        <w:rPr>
          <w:rFonts w:asciiTheme="majorHAnsi" w:hAnsiTheme="majorHAnsi"/>
          <w:color w:val="000000" w:themeColor="text1"/>
          <w:sz w:val="20"/>
          <w:szCs w:val="20"/>
          <w:lang w:val="es-VE"/>
        </w:rPr>
        <w:t>. Al respecto, la Corte ha dispuesto que pueden verse afectados en su integridad psíquica y moral como consecuencia de las situaciones particulares que padecieron las víctimas, así como de las posteriores actuaciones u omisiones de las autoridades internas frente a estos hechos. La Corte Interamericana ha indicado que el derecho a la integridad de los familiares puede verse afectado por el estrecho vínculo familiar y las gestiones llevadas para obtener justicia</w:t>
      </w:r>
      <w:r w:rsidR="00900C77" w:rsidRPr="00BD424E">
        <w:rPr>
          <w:rStyle w:val="FootnoteReference"/>
          <w:rFonts w:asciiTheme="majorHAnsi" w:hAnsiTheme="majorHAnsi"/>
          <w:color w:val="000000" w:themeColor="text1"/>
          <w:sz w:val="20"/>
          <w:szCs w:val="20"/>
          <w:lang w:val="es-VE"/>
        </w:rPr>
        <w:footnoteReference w:id="126"/>
      </w:r>
      <w:r w:rsidRPr="00BD424E">
        <w:rPr>
          <w:rFonts w:asciiTheme="majorHAnsi" w:hAnsiTheme="majorHAnsi"/>
          <w:color w:val="000000" w:themeColor="text1"/>
          <w:sz w:val="20"/>
          <w:szCs w:val="20"/>
          <w:lang w:val="es-VE"/>
        </w:rPr>
        <w:t xml:space="preserve">. </w:t>
      </w:r>
    </w:p>
    <w:p w14:paraId="69F8113F" w14:textId="77777777" w:rsidR="00304B72" w:rsidRPr="00BD424E" w:rsidRDefault="00304B72"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jc w:val="both"/>
        <w:rPr>
          <w:rFonts w:asciiTheme="majorHAnsi" w:hAnsiTheme="majorHAnsi"/>
          <w:sz w:val="20"/>
          <w:szCs w:val="20"/>
          <w:lang w:val="es-ES"/>
        </w:rPr>
      </w:pPr>
    </w:p>
    <w:p w14:paraId="6CBA9924" w14:textId="77777777" w:rsidR="009E3309" w:rsidRPr="00BD424E" w:rsidRDefault="001265A5"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firstLine="0"/>
        <w:jc w:val="both"/>
        <w:rPr>
          <w:rFonts w:asciiTheme="majorHAnsi" w:hAnsiTheme="majorHAnsi"/>
          <w:sz w:val="20"/>
          <w:szCs w:val="20"/>
          <w:lang w:val="es-ES"/>
        </w:rPr>
      </w:pPr>
      <w:r w:rsidRPr="00BD424E">
        <w:rPr>
          <w:rFonts w:asciiTheme="majorHAnsi" w:hAnsiTheme="majorHAnsi"/>
          <w:color w:val="000000" w:themeColor="text1"/>
          <w:sz w:val="20"/>
          <w:szCs w:val="20"/>
          <w:lang w:val="es-VE"/>
        </w:rPr>
        <w:t>En el presente caso,</w:t>
      </w:r>
      <w:r w:rsidR="006E4DDF" w:rsidRPr="00BD424E">
        <w:rPr>
          <w:rFonts w:asciiTheme="majorHAnsi" w:hAnsiTheme="majorHAnsi"/>
          <w:color w:val="000000" w:themeColor="text1"/>
          <w:sz w:val="20"/>
          <w:szCs w:val="20"/>
          <w:lang w:val="es-VE"/>
        </w:rPr>
        <w:t xml:space="preserve"> </w:t>
      </w:r>
      <w:r w:rsidR="00304B72" w:rsidRPr="00BD424E">
        <w:rPr>
          <w:rFonts w:asciiTheme="majorHAnsi" w:hAnsiTheme="majorHAnsi"/>
          <w:color w:val="000000" w:themeColor="text1"/>
          <w:sz w:val="20"/>
          <w:szCs w:val="20"/>
          <w:lang w:val="es-VE"/>
        </w:rPr>
        <w:t>la Comisión dio por establecida la violación de las garantías judiciales y la protección judicial, en relación con el derecho a la vida, de los familiares de la señora Cristina Britez Arce. Estas circunstancias constituyen de modo autónomo una fuente de sufrimiento e impotencia para ellos, quienes a la fecha no tienen certeza de la causa de su muerte.  La</w:t>
      </w:r>
      <w:r w:rsidR="006E4DDF" w:rsidRPr="00BD424E">
        <w:rPr>
          <w:rFonts w:asciiTheme="majorHAnsi" w:hAnsiTheme="majorHAnsi"/>
          <w:color w:val="000000" w:themeColor="text1"/>
          <w:sz w:val="20"/>
          <w:szCs w:val="20"/>
          <w:lang w:val="es-VE"/>
        </w:rPr>
        <w:t xml:space="preserve"> muerte de su madre</w:t>
      </w:r>
      <w:r w:rsidR="009D7065" w:rsidRPr="00BD424E">
        <w:rPr>
          <w:rFonts w:asciiTheme="majorHAnsi" w:hAnsiTheme="majorHAnsi"/>
          <w:color w:val="000000" w:themeColor="text1"/>
          <w:sz w:val="20"/>
          <w:szCs w:val="20"/>
          <w:lang w:val="es-VE"/>
        </w:rPr>
        <w:t>, con quien vivían,</w:t>
      </w:r>
      <w:r w:rsidR="006E4DDF" w:rsidRPr="00BD424E">
        <w:rPr>
          <w:rFonts w:asciiTheme="majorHAnsi" w:hAnsiTheme="majorHAnsi"/>
          <w:color w:val="000000" w:themeColor="text1"/>
          <w:sz w:val="20"/>
          <w:szCs w:val="20"/>
          <w:lang w:val="es-VE"/>
        </w:rPr>
        <w:t xml:space="preserve"> contando Ezequiel Martín con 15 años y Vanina con 12, en plena adolescencia</w:t>
      </w:r>
      <w:r w:rsidR="00F42797" w:rsidRPr="00BD424E">
        <w:rPr>
          <w:rFonts w:asciiTheme="majorHAnsi" w:hAnsiTheme="majorHAnsi"/>
          <w:color w:val="000000" w:themeColor="text1"/>
          <w:sz w:val="20"/>
          <w:szCs w:val="20"/>
          <w:lang w:val="es-VE"/>
        </w:rPr>
        <w:t>,</w:t>
      </w:r>
      <w:r w:rsidR="006E4DDF" w:rsidRPr="00BD424E">
        <w:rPr>
          <w:rFonts w:asciiTheme="majorHAnsi" w:hAnsiTheme="majorHAnsi"/>
          <w:color w:val="000000" w:themeColor="text1"/>
          <w:sz w:val="20"/>
          <w:szCs w:val="20"/>
          <w:lang w:val="es-VE"/>
        </w:rPr>
        <w:t xml:space="preserve"> así como la</w:t>
      </w:r>
      <w:r w:rsidRPr="00BD424E">
        <w:rPr>
          <w:rFonts w:asciiTheme="majorHAnsi" w:hAnsiTheme="majorHAnsi"/>
          <w:color w:val="000000" w:themeColor="text1"/>
          <w:sz w:val="20"/>
          <w:szCs w:val="20"/>
          <w:lang w:val="es-VE"/>
        </w:rPr>
        <w:t xml:space="preserve"> búsqueda de justicia y verdad, a través</w:t>
      </w:r>
      <w:r w:rsidR="006E4DDF" w:rsidRPr="00BD424E">
        <w:rPr>
          <w:rFonts w:asciiTheme="majorHAnsi" w:hAnsiTheme="majorHAnsi"/>
          <w:color w:val="000000" w:themeColor="text1"/>
          <w:sz w:val="20"/>
          <w:szCs w:val="20"/>
          <w:lang w:val="es-VE"/>
        </w:rPr>
        <w:t xml:space="preserve"> </w:t>
      </w:r>
      <w:r w:rsidR="006E4DDF" w:rsidRPr="00BD424E">
        <w:rPr>
          <w:rFonts w:asciiTheme="majorHAnsi" w:hAnsiTheme="majorHAnsi"/>
          <w:color w:val="000000" w:themeColor="text1"/>
          <w:sz w:val="20"/>
          <w:szCs w:val="20"/>
          <w:lang w:val="es-VE"/>
        </w:rPr>
        <w:lastRenderedPageBreak/>
        <w:t>de</w:t>
      </w:r>
      <w:r w:rsidRPr="00BD424E">
        <w:rPr>
          <w:rFonts w:asciiTheme="majorHAnsi" w:hAnsiTheme="majorHAnsi"/>
          <w:color w:val="000000" w:themeColor="text1"/>
          <w:sz w:val="20"/>
          <w:szCs w:val="20"/>
          <w:lang w:val="es-VE"/>
        </w:rPr>
        <w:t xml:space="preserve"> los </w:t>
      </w:r>
      <w:r w:rsidR="006E4DDF" w:rsidRPr="00BD424E">
        <w:rPr>
          <w:rFonts w:asciiTheme="majorHAnsi" w:hAnsiTheme="majorHAnsi"/>
          <w:color w:val="000000" w:themeColor="text1"/>
          <w:sz w:val="20"/>
          <w:szCs w:val="20"/>
          <w:lang w:val="es-VE"/>
        </w:rPr>
        <w:t xml:space="preserve">muchos </w:t>
      </w:r>
      <w:r w:rsidRPr="00BD424E">
        <w:rPr>
          <w:rFonts w:asciiTheme="majorHAnsi" w:hAnsiTheme="majorHAnsi"/>
          <w:color w:val="000000" w:themeColor="text1"/>
          <w:sz w:val="20"/>
          <w:szCs w:val="20"/>
          <w:lang w:val="es-VE"/>
        </w:rPr>
        <w:t>litigios</w:t>
      </w:r>
      <w:r w:rsidR="006E4DDF" w:rsidRPr="00BD424E">
        <w:rPr>
          <w:rFonts w:asciiTheme="majorHAnsi" w:hAnsiTheme="majorHAnsi"/>
          <w:color w:val="000000" w:themeColor="text1"/>
          <w:sz w:val="20"/>
          <w:szCs w:val="20"/>
          <w:lang w:val="es-VE"/>
        </w:rPr>
        <w:t xml:space="preserve"> impulsados</w:t>
      </w:r>
      <w:r w:rsidRPr="00BD424E">
        <w:rPr>
          <w:rFonts w:asciiTheme="majorHAnsi" w:hAnsiTheme="majorHAnsi"/>
          <w:color w:val="000000" w:themeColor="text1"/>
          <w:sz w:val="20"/>
          <w:szCs w:val="20"/>
          <w:lang w:val="es-VE"/>
        </w:rPr>
        <w:t xml:space="preserve">, </w:t>
      </w:r>
      <w:r w:rsidR="00304B72" w:rsidRPr="00BD424E">
        <w:rPr>
          <w:rFonts w:asciiTheme="majorHAnsi" w:hAnsiTheme="majorHAnsi"/>
          <w:color w:val="000000" w:themeColor="text1"/>
          <w:sz w:val="20"/>
          <w:szCs w:val="20"/>
          <w:lang w:val="es-VE"/>
        </w:rPr>
        <w:t xml:space="preserve">así como el retardo en las investigaciones, </w:t>
      </w:r>
      <w:r w:rsidRPr="00BD424E">
        <w:rPr>
          <w:rFonts w:asciiTheme="majorHAnsi" w:hAnsiTheme="majorHAnsi"/>
          <w:color w:val="000000" w:themeColor="text1"/>
          <w:sz w:val="20"/>
          <w:szCs w:val="20"/>
          <w:lang w:val="es-VE"/>
        </w:rPr>
        <w:t>permite inferir como lógicos los sufrimientos alegados.</w:t>
      </w:r>
    </w:p>
    <w:p w14:paraId="4D91F290" w14:textId="77777777" w:rsidR="009E3309" w:rsidRPr="00BD424E" w:rsidRDefault="009E3309" w:rsidP="00BD424E">
      <w:pPr>
        <w:pStyle w:val="ListParagraph"/>
      </w:pPr>
    </w:p>
    <w:p w14:paraId="73135B25" w14:textId="77777777" w:rsidR="001265A5" w:rsidRPr="00BD424E" w:rsidRDefault="001265A5"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firstLine="0"/>
        <w:jc w:val="both"/>
        <w:rPr>
          <w:rFonts w:asciiTheme="majorHAnsi" w:hAnsiTheme="majorHAnsi"/>
          <w:sz w:val="20"/>
          <w:szCs w:val="20"/>
          <w:lang w:val="es-ES"/>
        </w:rPr>
      </w:pPr>
      <w:r w:rsidRPr="00BD424E">
        <w:rPr>
          <w:rFonts w:asciiTheme="majorHAnsi" w:hAnsiTheme="majorHAnsi"/>
          <w:color w:val="000000" w:themeColor="text1"/>
          <w:sz w:val="20"/>
          <w:szCs w:val="20"/>
          <w:lang w:val="es-VE"/>
        </w:rPr>
        <w:t>En virtud de lo expuesto, la Comisión considera que el Estado vulneró el derecho a la integridad psíquica y moral de</w:t>
      </w:r>
      <w:r w:rsidR="00214ED8" w:rsidRPr="00BD424E">
        <w:rPr>
          <w:rFonts w:asciiTheme="majorHAnsi" w:hAnsiTheme="majorHAnsi"/>
          <w:color w:val="000000" w:themeColor="text1"/>
          <w:sz w:val="20"/>
          <w:szCs w:val="20"/>
          <w:lang w:val="es-VE"/>
        </w:rPr>
        <w:t xml:space="preserve"> Ezequiel Martín y Vanina</w:t>
      </w:r>
      <w:r w:rsidR="00214ED8" w:rsidRPr="00BD424E">
        <w:rPr>
          <w:rFonts w:ascii="Cambria" w:hAnsi="Cambria"/>
          <w:sz w:val="20"/>
          <w:szCs w:val="20"/>
          <w:lang w:val="es-AR"/>
        </w:rPr>
        <w:t xml:space="preserve"> Verónica Avaro</w:t>
      </w:r>
      <w:r w:rsidRPr="00BD424E">
        <w:rPr>
          <w:rFonts w:asciiTheme="majorHAnsi" w:hAnsiTheme="majorHAnsi"/>
          <w:sz w:val="20"/>
          <w:szCs w:val="20"/>
          <w:lang w:val="es-VE"/>
        </w:rPr>
        <w:t>,</w:t>
      </w:r>
      <w:r w:rsidRPr="00BD424E">
        <w:rPr>
          <w:rFonts w:asciiTheme="majorHAnsi" w:hAnsiTheme="majorHAnsi"/>
          <w:color w:val="000000" w:themeColor="text1"/>
          <w:sz w:val="20"/>
          <w:szCs w:val="20"/>
          <w:lang w:val="es-VE"/>
        </w:rPr>
        <w:t xml:space="preserve"> establecido en el artículo 5.1. de la Convención Americana, en relación con las obligaciones contenidas en el artículo 1.1. del mismo instrumento.</w:t>
      </w:r>
    </w:p>
    <w:p w14:paraId="489C9CAB" w14:textId="77777777" w:rsidR="003F5D61" w:rsidRPr="00BD424E" w:rsidRDefault="003F5D61"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CL"/>
        </w:rPr>
      </w:pPr>
    </w:p>
    <w:p w14:paraId="3B331A46" w14:textId="77777777" w:rsidR="003F5D61" w:rsidRPr="00BD424E" w:rsidRDefault="003F5D61" w:rsidP="00BD424E">
      <w:pPr>
        <w:pStyle w:val="Heading1"/>
      </w:pPr>
      <w:bookmarkStart w:id="49" w:name="_Toc22199940"/>
      <w:bookmarkStart w:id="50" w:name="_Toc33525311"/>
      <w:r w:rsidRPr="00BD424E">
        <w:t>CONCLUSIONES Y RECOMENDACIONES</w:t>
      </w:r>
      <w:bookmarkEnd w:id="49"/>
      <w:bookmarkEnd w:id="50"/>
      <w:r w:rsidRPr="00BD424E">
        <w:t xml:space="preserve"> </w:t>
      </w:r>
    </w:p>
    <w:p w14:paraId="3283B437" w14:textId="77777777" w:rsidR="003F5D61" w:rsidRPr="00BD424E" w:rsidRDefault="003F5D61" w:rsidP="00BD424E">
      <w:pPr>
        <w:tabs>
          <w:tab w:val="left" w:pos="360"/>
        </w:tabs>
        <w:suppressAutoHyphens/>
        <w:rPr>
          <w:rFonts w:asciiTheme="majorHAnsi" w:hAnsiTheme="majorHAnsi"/>
          <w:b/>
          <w:sz w:val="20"/>
          <w:szCs w:val="20"/>
          <w:lang w:val="es-ES_tradnl"/>
        </w:rPr>
      </w:pPr>
    </w:p>
    <w:p w14:paraId="01A57215" w14:textId="7DD3D8EE" w:rsidR="003F5D61" w:rsidRPr="00BD424E" w:rsidRDefault="004900DD"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VE"/>
        </w:rPr>
      </w:pPr>
      <w:r w:rsidRPr="00BD424E">
        <w:rPr>
          <w:rFonts w:asciiTheme="majorHAnsi" w:hAnsiTheme="majorHAnsi"/>
          <w:color w:val="000000" w:themeColor="text1"/>
          <w:sz w:val="20"/>
          <w:szCs w:val="20"/>
          <w:lang w:val="es-VE"/>
        </w:rPr>
        <w:t xml:space="preserve">Con base en las determinaciones de hecho y de derecho, la Comisión Interamericana concluye que el Estado de Argentina es responsable por la violación </w:t>
      </w:r>
      <w:r w:rsidR="00CF56B1" w:rsidRPr="00BD424E">
        <w:rPr>
          <w:rFonts w:asciiTheme="majorHAnsi" w:hAnsiTheme="majorHAnsi"/>
          <w:color w:val="000000" w:themeColor="text1"/>
          <w:sz w:val="20"/>
          <w:szCs w:val="20"/>
          <w:lang w:val="es-VE"/>
        </w:rPr>
        <w:t xml:space="preserve">de los </w:t>
      </w:r>
      <w:r w:rsidR="00F61967" w:rsidRPr="00BD424E">
        <w:rPr>
          <w:rFonts w:asciiTheme="majorHAnsi" w:hAnsiTheme="majorHAnsi"/>
          <w:color w:val="000000" w:themeColor="text1"/>
          <w:sz w:val="20"/>
          <w:szCs w:val="20"/>
          <w:lang w:val="es-VE"/>
        </w:rPr>
        <w:t xml:space="preserve">derechos consagrados en los </w:t>
      </w:r>
      <w:r w:rsidR="00CF56B1" w:rsidRPr="00BD424E">
        <w:rPr>
          <w:rFonts w:asciiTheme="majorHAnsi" w:hAnsiTheme="majorHAnsi"/>
          <w:color w:val="000000" w:themeColor="text1"/>
          <w:sz w:val="20"/>
          <w:szCs w:val="20"/>
          <w:lang w:val="es-VE"/>
        </w:rPr>
        <w:t xml:space="preserve">artículos </w:t>
      </w:r>
      <w:r w:rsidR="00F61967" w:rsidRPr="00BD424E">
        <w:rPr>
          <w:rFonts w:asciiTheme="majorHAnsi" w:hAnsiTheme="majorHAnsi"/>
          <w:color w:val="000000" w:themeColor="text1"/>
          <w:sz w:val="20"/>
          <w:szCs w:val="20"/>
          <w:lang w:val="es-VE"/>
        </w:rPr>
        <w:t xml:space="preserve">4.1 (vida), 5.1 (integridad personal), </w:t>
      </w:r>
      <w:r w:rsidRPr="00BD424E">
        <w:rPr>
          <w:rFonts w:asciiTheme="majorHAnsi" w:hAnsiTheme="majorHAnsi"/>
          <w:color w:val="000000" w:themeColor="text1"/>
          <w:sz w:val="20"/>
          <w:szCs w:val="20"/>
          <w:lang w:val="es-VE"/>
        </w:rPr>
        <w:t>8.1</w:t>
      </w:r>
      <w:r w:rsidR="00F61967" w:rsidRPr="00BD424E">
        <w:rPr>
          <w:rFonts w:asciiTheme="majorHAnsi" w:hAnsiTheme="majorHAnsi"/>
          <w:color w:val="000000" w:themeColor="text1"/>
          <w:sz w:val="20"/>
          <w:szCs w:val="20"/>
          <w:lang w:val="es-VE"/>
        </w:rPr>
        <w:t xml:space="preserve"> (garantías judiciales),</w:t>
      </w:r>
      <w:r w:rsidRPr="00BD424E">
        <w:rPr>
          <w:rFonts w:asciiTheme="majorHAnsi" w:hAnsiTheme="majorHAnsi"/>
          <w:color w:val="000000" w:themeColor="text1"/>
          <w:sz w:val="20"/>
          <w:szCs w:val="20"/>
          <w:lang w:val="es-VE"/>
        </w:rPr>
        <w:t xml:space="preserve"> 25.1</w:t>
      </w:r>
      <w:r w:rsidR="00F61967" w:rsidRPr="00BD424E">
        <w:rPr>
          <w:rFonts w:asciiTheme="majorHAnsi" w:hAnsiTheme="majorHAnsi"/>
          <w:color w:val="000000" w:themeColor="text1"/>
          <w:sz w:val="20"/>
          <w:szCs w:val="20"/>
          <w:lang w:val="es-VE"/>
        </w:rPr>
        <w:t xml:space="preserve"> (protección judicial) y 26</w:t>
      </w:r>
      <w:r w:rsidRPr="00BD424E">
        <w:rPr>
          <w:rFonts w:asciiTheme="majorHAnsi" w:hAnsiTheme="majorHAnsi"/>
          <w:color w:val="000000" w:themeColor="text1"/>
          <w:sz w:val="20"/>
          <w:szCs w:val="20"/>
          <w:lang w:val="es-VE"/>
        </w:rPr>
        <w:t xml:space="preserve"> (</w:t>
      </w:r>
      <w:r w:rsidR="00F61967" w:rsidRPr="00BD424E">
        <w:rPr>
          <w:rFonts w:asciiTheme="majorHAnsi" w:hAnsiTheme="majorHAnsi"/>
          <w:color w:val="000000" w:themeColor="text1"/>
          <w:sz w:val="20"/>
          <w:szCs w:val="20"/>
          <w:lang w:val="es-VE"/>
        </w:rPr>
        <w:t>salud</w:t>
      </w:r>
      <w:r w:rsidRPr="00BD424E">
        <w:rPr>
          <w:rFonts w:asciiTheme="majorHAnsi" w:hAnsiTheme="majorHAnsi"/>
          <w:color w:val="000000" w:themeColor="text1"/>
          <w:sz w:val="20"/>
          <w:szCs w:val="20"/>
          <w:lang w:val="es-VE"/>
        </w:rPr>
        <w:t xml:space="preserve">), de la Convención Americana, en relación con las obligaciones establecidas en el artículo 1.1 del mismo instrumento, </w:t>
      </w:r>
      <w:r w:rsidR="004E2FBF" w:rsidRPr="00BD424E">
        <w:rPr>
          <w:rFonts w:asciiTheme="majorHAnsi" w:hAnsiTheme="majorHAnsi"/>
          <w:color w:val="000000" w:themeColor="text1"/>
          <w:sz w:val="20"/>
          <w:szCs w:val="20"/>
          <w:lang w:val="es-VE"/>
        </w:rPr>
        <w:t xml:space="preserve">así como por la violació del artículo 7 (deberes de los Estados) de la Convención Belém Do Pará, </w:t>
      </w:r>
      <w:r w:rsidRPr="00BD424E">
        <w:rPr>
          <w:rFonts w:asciiTheme="majorHAnsi" w:hAnsiTheme="majorHAnsi"/>
          <w:color w:val="000000" w:themeColor="text1"/>
          <w:sz w:val="20"/>
          <w:szCs w:val="20"/>
          <w:lang w:val="es-VE"/>
        </w:rPr>
        <w:t xml:space="preserve">en los </w:t>
      </w:r>
      <w:r w:rsidRPr="00BD424E">
        <w:rPr>
          <w:rFonts w:asciiTheme="majorHAnsi" w:hAnsiTheme="majorHAnsi"/>
          <w:sz w:val="20"/>
          <w:szCs w:val="20"/>
          <w:lang w:val="es-VE"/>
        </w:rPr>
        <w:t>términos detallados a lo largo del informe. Asimismo, la CIDH concluye la responsabilidad del Estado de Argentina por una violación autónoma a la integridad personal del</w:t>
      </w:r>
      <w:r w:rsidR="00CF56B1" w:rsidRPr="00BD424E">
        <w:rPr>
          <w:rFonts w:asciiTheme="majorHAnsi" w:hAnsiTheme="majorHAnsi"/>
          <w:sz w:val="20"/>
          <w:szCs w:val="20"/>
          <w:lang w:val="es-VE"/>
        </w:rPr>
        <w:t xml:space="preserve"> hijo y la hija de Cristina Britez Arce</w:t>
      </w:r>
      <w:r w:rsidRPr="00BD424E">
        <w:rPr>
          <w:rFonts w:asciiTheme="majorHAnsi" w:hAnsiTheme="majorHAnsi"/>
          <w:sz w:val="20"/>
          <w:szCs w:val="20"/>
          <w:lang w:val="es-VE"/>
        </w:rPr>
        <w:t>.</w:t>
      </w:r>
    </w:p>
    <w:p w14:paraId="431649C6" w14:textId="77777777" w:rsidR="003F5D61" w:rsidRPr="00BD424E" w:rsidRDefault="003F5D61"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630"/>
        <w:jc w:val="both"/>
        <w:rPr>
          <w:rFonts w:ascii="Cambria" w:hAnsi="Cambria"/>
          <w:sz w:val="20"/>
          <w:szCs w:val="20"/>
          <w:lang w:val="es-VE"/>
        </w:rPr>
      </w:pPr>
    </w:p>
    <w:p w14:paraId="491908F9" w14:textId="77777777" w:rsidR="003F5D61" w:rsidRPr="00BD424E" w:rsidRDefault="003F5D61" w:rsidP="00BD42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ES_tradnl"/>
        </w:rPr>
      </w:pPr>
      <w:r w:rsidRPr="00BD424E">
        <w:rPr>
          <w:rFonts w:ascii="Cambria" w:hAnsi="Cambria"/>
          <w:sz w:val="20"/>
          <w:szCs w:val="20"/>
          <w:lang w:val="es-VE"/>
        </w:rPr>
        <w:t>En</w:t>
      </w:r>
      <w:r w:rsidRPr="00BD424E">
        <w:rPr>
          <w:rFonts w:ascii="Cambria" w:hAnsi="Cambria"/>
          <w:sz w:val="20"/>
          <w:szCs w:val="20"/>
          <w:lang w:val="es-ES_tradnl"/>
        </w:rPr>
        <w:t xml:space="preserve"> </w:t>
      </w:r>
      <w:r w:rsidRPr="00BD424E">
        <w:rPr>
          <w:rFonts w:ascii="Cambria" w:hAnsi="Cambria"/>
          <w:sz w:val="20"/>
          <w:szCs w:val="20"/>
          <w:lang w:val="es-ES"/>
        </w:rPr>
        <w:t>virtud</w:t>
      </w:r>
      <w:r w:rsidRPr="00BD424E">
        <w:rPr>
          <w:rFonts w:ascii="Cambria" w:hAnsi="Cambria"/>
          <w:sz w:val="20"/>
          <w:szCs w:val="20"/>
          <w:lang w:val="es-ES_tradnl"/>
        </w:rPr>
        <w:t xml:space="preserve"> de las anteriores conclusiones</w:t>
      </w:r>
      <w:r w:rsidR="00CF56B1" w:rsidRPr="00BD424E">
        <w:rPr>
          <w:rFonts w:ascii="Cambria" w:hAnsi="Cambria"/>
          <w:sz w:val="20"/>
          <w:szCs w:val="20"/>
          <w:lang w:val="es-ES_tradnl"/>
        </w:rPr>
        <w:t>,</w:t>
      </w:r>
      <w:r w:rsidRPr="00BD424E">
        <w:rPr>
          <w:rFonts w:asciiTheme="majorHAnsi" w:hAnsiTheme="majorHAnsi"/>
          <w:sz w:val="20"/>
          <w:szCs w:val="20"/>
          <w:lang w:val="es-ES_tradnl"/>
        </w:rPr>
        <w:t xml:space="preserve"> </w:t>
      </w:r>
    </w:p>
    <w:p w14:paraId="607A07CE" w14:textId="77777777" w:rsidR="003F5D61" w:rsidRPr="00BD424E" w:rsidRDefault="003F5D61" w:rsidP="00BD424E">
      <w:pPr>
        <w:tabs>
          <w:tab w:val="left" w:pos="360"/>
        </w:tabs>
        <w:suppressAutoHyphens/>
        <w:jc w:val="both"/>
        <w:rPr>
          <w:rFonts w:asciiTheme="majorHAnsi" w:hAnsiTheme="majorHAnsi"/>
          <w:sz w:val="20"/>
          <w:szCs w:val="20"/>
          <w:lang w:val="es-ES_tradnl"/>
        </w:rPr>
      </w:pPr>
    </w:p>
    <w:p w14:paraId="448A5163" w14:textId="77777777" w:rsidR="003F5D61" w:rsidRPr="00BD424E" w:rsidRDefault="003F5D61" w:rsidP="00BD424E">
      <w:pPr>
        <w:tabs>
          <w:tab w:val="left" w:pos="360"/>
        </w:tabs>
        <w:jc w:val="both"/>
        <w:rPr>
          <w:rFonts w:ascii="Cambria" w:hAnsi="Cambria"/>
          <w:b/>
          <w:sz w:val="20"/>
          <w:szCs w:val="20"/>
          <w:lang w:val="es-ES_tradnl"/>
        </w:rPr>
      </w:pPr>
      <w:r w:rsidRPr="00BD424E">
        <w:rPr>
          <w:rFonts w:ascii="Cambria" w:hAnsi="Cambria"/>
          <w:b/>
          <w:sz w:val="20"/>
          <w:szCs w:val="20"/>
          <w:lang w:val="es-ES_tradnl"/>
        </w:rPr>
        <w:t>LA COMISIÓN INTERAMERICANA DE DERECHOS HUMANOS, RECOMIENDA AL ESTADO DE</w:t>
      </w:r>
      <w:r w:rsidR="00CF56B1" w:rsidRPr="00BD424E">
        <w:rPr>
          <w:rFonts w:ascii="Cambria" w:hAnsi="Cambria"/>
          <w:b/>
          <w:sz w:val="20"/>
          <w:szCs w:val="20"/>
          <w:lang w:val="es-ES_tradnl"/>
        </w:rPr>
        <w:t xml:space="preserve"> ARGENTINA</w:t>
      </w:r>
      <w:r w:rsidRPr="00BD424E">
        <w:rPr>
          <w:rFonts w:ascii="Cambria" w:hAnsi="Cambria"/>
          <w:b/>
          <w:sz w:val="20"/>
          <w:szCs w:val="20"/>
          <w:lang w:val="es-ES_tradnl"/>
        </w:rPr>
        <w:t>,</w:t>
      </w:r>
    </w:p>
    <w:p w14:paraId="09611DDB" w14:textId="77777777" w:rsidR="003F5D61" w:rsidRPr="00BD424E" w:rsidRDefault="003F5D61" w:rsidP="00BD424E">
      <w:pPr>
        <w:tabs>
          <w:tab w:val="left" w:pos="360"/>
        </w:tabs>
        <w:ind w:firstLine="720"/>
        <w:jc w:val="both"/>
        <w:rPr>
          <w:rFonts w:ascii="Cambria" w:hAnsi="Cambria"/>
          <w:b/>
          <w:sz w:val="20"/>
          <w:szCs w:val="20"/>
          <w:lang w:val="es-ES_tradnl"/>
        </w:rPr>
      </w:pPr>
    </w:p>
    <w:p w14:paraId="6DC31AB2" w14:textId="77777777" w:rsidR="003F5D61" w:rsidRPr="00BD424E" w:rsidRDefault="003F5D61" w:rsidP="00BD42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bdr w:val="none" w:sz="0" w:space="0" w:color="auto"/>
          <w:lang w:val="es-VE"/>
        </w:rPr>
      </w:pPr>
      <w:r w:rsidRPr="00BD424E">
        <w:rPr>
          <w:rFonts w:ascii="Helvetica" w:eastAsia="Times New Roman" w:hAnsi="Helvetica"/>
          <w:color w:val="666666"/>
          <w:sz w:val="15"/>
          <w:szCs w:val="15"/>
          <w:bdr w:val="none" w:sz="0" w:space="0" w:color="auto"/>
          <w:lang w:val="es-US"/>
        </w:rPr>
        <w:t> </w:t>
      </w:r>
    </w:p>
    <w:p w14:paraId="70E40B15" w14:textId="78F5CD18" w:rsidR="00791C4F" w:rsidRPr="00BD424E" w:rsidRDefault="003F5D61" w:rsidP="00BD424E">
      <w:pPr>
        <w:numPr>
          <w:ilvl w:val="0"/>
          <w:numId w:val="57"/>
        </w:numPr>
        <w:tabs>
          <w:tab w:val="left" w:pos="360"/>
        </w:tabs>
        <w:ind w:left="0" w:firstLine="0"/>
        <w:jc w:val="both"/>
        <w:rPr>
          <w:rFonts w:ascii="Cambria" w:eastAsia="Cambria" w:hAnsi="Cambria" w:cs="Cambria"/>
          <w:b/>
          <w:color w:val="000000"/>
          <w:sz w:val="20"/>
          <w:szCs w:val="20"/>
          <w:u w:color="000000"/>
          <w:bdr w:val="none" w:sz="0" w:space="0" w:color="auto"/>
          <w:lang w:val="es-ES" w:eastAsia="es-ES"/>
        </w:rPr>
      </w:pPr>
      <w:r w:rsidRPr="00BD424E">
        <w:rPr>
          <w:rFonts w:ascii="Cambria" w:eastAsia="Cambria" w:hAnsi="Cambria" w:cs="Cambria"/>
          <w:color w:val="000000"/>
          <w:sz w:val="20"/>
          <w:szCs w:val="20"/>
          <w:u w:color="000000"/>
          <w:bdr w:val="none" w:sz="0" w:space="0" w:color="auto"/>
          <w:lang w:val="es-ES" w:eastAsia="es-ES"/>
        </w:rPr>
        <w:t>Reparar integralmente las violaciones de derechos humanos declaradas en el presente informe tanto en el aspecto material como inmaterial. El Estado deberá adoptar las medidas de compensación económica y satisfacción</w:t>
      </w:r>
      <w:r w:rsidR="00B91121" w:rsidRPr="00BD424E">
        <w:rPr>
          <w:rFonts w:ascii="Cambria" w:eastAsia="Cambria" w:hAnsi="Cambria" w:cs="Cambria"/>
          <w:color w:val="000000"/>
          <w:sz w:val="20"/>
          <w:szCs w:val="20"/>
          <w:u w:color="000000"/>
          <w:bdr w:val="none" w:sz="0" w:space="0" w:color="auto"/>
          <w:lang w:val="es-ES" w:eastAsia="es-ES"/>
        </w:rPr>
        <w:t xml:space="preserve"> a favor de los familiares de la víctima</w:t>
      </w:r>
      <w:r w:rsidR="00D055A0">
        <w:rPr>
          <w:rFonts w:ascii="Cambria" w:eastAsia="Cambria" w:hAnsi="Cambria" w:cs="Cambria"/>
          <w:color w:val="000000"/>
          <w:sz w:val="20"/>
          <w:szCs w:val="20"/>
          <w:u w:color="000000"/>
          <w:bdr w:val="none" w:sz="0" w:space="0" w:color="auto"/>
          <w:lang w:val="es-ES" w:eastAsia="es-ES"/>
        </w:rPr>
        <w:t xml:space="preserve">, identificados en el presente informe. </w:t>
      </w:r>
    </w:p>
    <w:p w14:paraId="778A1E89" w14:textId="77777777" w:rsidR="00791C4F" w:rsidRPr="00BD424E" w:rsidRDefault="00791C4F" w:rsidP="00BD424E">
      <w:pPr>
        <w:tabs>
          <w:tab w:val="left" w:pos="360"/>
        </w:tabs>
        <w:jc w:val="both"/>
        <w:rPr>
          <w:rFonts w:ascii="Cambria" w:eastAsia="Cambria" w:hAnsi="Cambria" w:cs="Cambria"/>
          <w:b/>
          <w:color w:val="000000"/>
          <w:sz w:val="20"/>
          <w:szCs w:val="20"/>
          <w:u w:color="000000"/>
          <w:bdr w:val="none" w:sz="0" w:space="0" w:color="auto"/>
          <w:lang w:val="es-ES" w:eastAsia="es-ES"/>
        </w:rPr>
      </w:pPr>
    </w:p>
    <w:p w14:paraId="08C25BFE" w14:textId="040F4BAF" w:rsidR="00CE4427" w:rsidRPr="00D055A0" w:rsidRDefault="003F5D61" w:rsidP="00BD424E">
      <w:pPr>
        <w:numPr>
          <w:ilvl w:val="0"/>
          <w:numId w:val="57"/>
        </w:numPr>
        <w:tabs>
          <w:tab w:val="left" w:pos="360"/>
        </w:tabs>
        <w:ind w:left="0" w:firstLine="0"/>
        <w:jc w:val="both"/>
        <w:rPr>
          <w:rFonts w:asciiTheme="majorHAnsi" w:hAnsiTheme="majorHAnsi"/>
          <w:sz w:val="20"/>
          <w:szCs w:val="20"/>
          <w:lang w:val="es-MX"/>
        </w:rPr>
      </w:pPr>
      <w:r w:rsidRPr="00BD424E">
        <w:rPr>
          <w:rFonts w:ascii="Cambria" w:eastAsia="Cambria" w:hAnsi="Cambria" w:cs="Cambria"/>
          <w:color w:val="000000"/>
          <w:sz w:val="20"/>
          <w:szCs w:val="20"/>
          <w:u w:color="000000"/>
          <w:bdr w:val="none" w:sz="0" w:space="0" w:color="auto"/>
          <w:lang w:val="es-ES" w:eastAsia="es-ES"/>
        </w:rPr>
        <w:t xml:space="preserve">Disponer las medidas de </w:t>
      </w:r>
      <w:r w:rsidRPr="00BD424E">
        <w:rPr>
          <w:rFonts w:asciiTheme="majorHAnsi" w:eastAsia="Cambria" w:hAnsiTheme="majorHAnsi" w:cs="Cambria"/>
          <w:color w:val="000000"/>
          <w:sz w:val="20"/>
          <w:szCs w:val="20"/>
          <w:u w:color="000000"/>
          <w:bdr w:val="none" w:sz="0" w:space="0" w:color="auto"/>
          <w:lang w:val="es-ES" w:eastAsia="es-ES"/>
        </w:rPr>
        <w:t xml:space="preserve">atención en salud </w:t>
      </w:r>
      <w:r w:rsidR="008C3E3E" w:rsidRPr="00BD424E">
        <w:rPr>
          <w:rFonts w:asciiTheme="majorHAnsi" w:eastAsia="Cambria" w:hAnsiTheme="majorHAnsi" w:cs="Cambria"/>
          <w:color w:val="000000"/>
          <w:sz w:val="20"/>
          <w:szCs w:val="20"/>
          <w:u w:color="000000"/>
          <w:bdr w:val="none" w:sz="0" w:space="0" w:color="auto"/>
          <w:lang w:val="es-ES" w:eastAsia="es-ES"/>
        </w:rPr>
        <w:t xml:space="preserve">mental </w:t>
      </w:r>
      <w:r w:rsidR="00DC4B25" w:rsidRPr="00BD424E">
        <w:rPr>
          <w:rFonts w:asciiTheme="majorHAnsi" w:eastAsia="Cambria" w:hAnsiTheme="majorHAnsi" w:cs="Cambria"/>
          <w:color w:val="000000"/>
          <w:sz w:val="20"/>
          <w:szCs w:val="20"/>
          <w:u w:color="000000"/>
          <w:bdr w:val="none" w:sz="0" w:space="0" w:color="auto"/>
          <w:lang w:val="es-ES" w:eastAsia="es-ES"/>
        </w:rPr>
        <w:t xml:space="preserve">que </w:t>
      </w:r>
      <w:r w:rsidR="00D055A0" w:rsidRPr="00BD424E">
        <w:rPr>
          <w:rFonts w:asciiTheme="majorHAnsi" w:hAnsiTheme="majorHAnsi"/>
          <w:color w:val="000000" w:themeColor="text1"/>
          <w:sz w:val="20"/>
          <w:szCs w:val="20"/>
          <w:lang w:val="es-VE"/>
        </w:rPr>
        <w:t>Ezequiel Martín y Vanina</w:t>
      </w:r>
      <w:r w:rsidR="00D055A0" w:rsidRPr="00BD424E">
        <w:rPr>
          <w:rFonts w:ascii="Cambria" w:hAnsi="Cambria"/>
          <w:sz w:val="20"/>
          <w:szCs w:val="20"/>
          <w:lang w:val="es-AR"/>
        </w:rPr>
        <w:t xml:space="preserve"> Verónica Avaro</w:t>
      </w:r>
      <w:r w:rsidR="00D055A0" w:rsidRPr="00BD424E">
        <w:rPr>
          <w:rFonts w:asciiTheme="majorHAnsi" w:eastAsia="Cambria" w:hAnsiTheme="majorHAnsi" w:cs="Cambria"/>
          <w:color w:val="000000"/>
          <w:sz w:val="20"/>
          <w:szCs w:val="20"/>
          <w:u w:color="000000"/>
          <w:bdr w:val="none" w:sz="0" w:space="0" w:color="auto"/>
          <w:lang w:val="es-ES" w:eastAsia="es-ES"/>
        </w:rPr>
        <w:t xml:space="preserve"> </w:t>
      </w:r>
      <w:r w:rsidR="00DC4B25" w:rsidRPr="00BD424E">
        <w:rPr>
          <w:rFonts w:asciiTheme="majorHAnsi" w:eastAsia="Cambria" w:hAnsiTheme="majorHAnsi" w:cs="Cambria"/>
          <w:color w:val="000000"/>
          <w:sz w:val="20"/>
          <w:szCs w:val="20"/>
          <w:u w:color="000000"/>
          <w:bdr w:val="none" w:sz="0" w:space="0" w:color="auto"/>
          <w:lang w:val="es-ES" w:eastAsia="es-ES"/>
        </w:rPr>
        <w:t>requieran</w:t>
      </w:r>
      <w:r w:rsidRPr="00BD424E">
        <w:rPr>
          <w:rFonts w:asciiTheme="majorHAnsi" w:eastAsia="Cambria" w:hAnsiTheme="majorHAnsi" w:cs="Cambria"/>
          <w:color w:val="000000"/>
          <w:sz w:val="20"/>
          <w:szCs w:val="20"/>
          <w:u w:color="000000"/>
          <w:bdr w:val="none" w:sz="0" w:space="0" w:color="auto"/>
          <w:lang w:val="es-ES" w:eastAsia="es-ES"/>
        </w:rPr>
        <w:t>, de ser su voluntad y de manera concertada.</w:t>
      </w:r>
    </w:p>
    <w:p w14:paraId="042B9E9F" w14:textId="77777777" w:rsidR="00D055A0" w:rsidRDefault="00D055A0" w:rsidP="00D055A0">
      <w:pPr>
        <w:pStyle w:val="ListParagraph"/>
        <w:rPr>
          <w:lang w:val="es-MX"/>
        </w:rPr>
      </w:pPr>
    </w:p>
    <w:p w14:paraId="4974547D" w14:textId="454EE88F" w:rsidR="00006896" w:rsidRPr="00F6687F" w:rsidRDefault="00D055A0" w:rsidP="009F5DE0">
      <w:pPr>
        <w:numPr>
          <w:ilvl w:val="0"/>
          <w:numId w:val="57"/>
        </w:numPr>
        <w:tabs>
          <w:tab w:val="left" w:pos="360"/>
        </w:tabs>
        <w:ind w:left="0" w:firstLine="0"/>
        <w:jc w:val="both"/>
        <w:rPr>
          <w:lang w:val="es-MX"/>
        </w:rPr>
      </w:pPr>
      <w:r w:rsidRPr="00AF2FE4">
        <w:rPr>
          <w:rFonts w:asciiTheme="majorHAnsi" w:hAnsiTheme="majorHAnsi"/>
          <w:sz w:val="20"/>
          <w:szCs w:val="20"/>
          <w:lang w:val="es-MX"/>
        </w:rPr>
        <w:t xml:space="preserve">Disponer las medidas de capacitación necesarias, a fin de que el personal de salud que atienda a mujeres embarazadas y/o en parto, tanto en hospitales públicos como privados, conozcan los estándares establecidos en el presente informe. </w:t>
      </w:r>
    </w:p>
    <w:p w14:paraId="1C7F26DB" w14:textId="77777777" w:rsidR="00F6687F" w:rsidRDefault="00F6687F" w:rsidP="00F6687F">
      <w:pPr>
        <w:pStyle w:val="ListParagraph"/>
        <w:rPr>
          <w:lang w:val="es-MX"/>
        </w:rPr>
      </w:pPr>
    </w:p>
    <w:p w14:paraId="19E349BF" w14:textId="77777777" w:rsidR="00F6687F" w:rsidRPr="00F6687F" w:rsidRDefault="00F6687F" w:rsidP="00F6687F">
      <w:pPr>
        <w:pStyle w:val="ListParagraph"/>
        <w:ind w:left="0"/>
        <w:rPr>
          <w:rFonts w:ascii="Cambria" w:hAnsi="Cambria"/>
        </w:rPr>
      </w:pPr>
    </w:p>
    <w:p w14:paraId="3F90D504" w14:textId="3DF4B283" w:rsidR="00F6687F" w:rsidRPr="00F6687F" w:rsidRDefault="00F6687F" w:rsidP="00F6687F">
      <w:pPr>
        <w:ind w:firstLine="720"/>
        <w:jc w:val="both"/>
        <w:rPr>
          <w:rFonts w:ascii="Cambria" w:hAnsi="Cambria" w:cs="Arial"/>
          <w:noProof/>
          <w:spacing w:val="-2"/>
          <w:sz w:val="20"/>
          <w:szCs w:val="20"/>
          <w:lang w:val="es-CL"/>
        </w:rPr>
      </w:pPr>
      <w:r w:rsidRPr="00F6687F">
        <w:rPr>
          <w:rFonts w:ascii="Cambria" w:hAnsi="Cambria" w:cs="Arial"/>
          <w:noProof/>
          <w:spacing w:val="-2"/>
          <w:sz w:val="20"/>
          <w:szCs w:val="20"/>
          <w:lang w:val="es-CL"/>
        </w:rPr>
        <w:t>Aprobado por la Comisión Interamericana de Derechos Humanos en San Salvador, el Salvador a los 6 días del mes de diciembre de 2019.  (Firmado): Esmeralda E. Arosemena Bernal de Troitiño, Presidenta; Joel Hernández, Primer Vicepresidente; Antonia Urrejola, Segunda Vicepresidenta; Margarette May Macaulay, Francisco José Eguiguren</w:t>
      </w:r>
      <w:r>
        <w:rPr>
          <w:rFonts w:ascii="Cambria" w:hAnsi="Cambria" w:cs="Arial"/>
          <w:noProof/>
          <w:spacing w:val="-2"/>
          <w:sz w:val="20"/>
          <w:szCs w:val="20"/>
          <w:lang w:val="es-CL"/>
        </w:rPr>
        <w:t xml:space="preserve"> Praeli, Luis Ernesto Vargas Silva</w:t>
      </w:r>
      <w:r w:rsidRPr="00F6687F">
        <w:rPr>
          <w:rFonts w:ascii="Cambria" w:hAnsi="Cambria" w:cs="Arial"/>
          <w:noProof/>
          <w:spacing w:val="-2"/>
          <w:sz w:val="20"/>
          <w:szCs w:val="20"/>
          <w:lang w:val="es-CL"/>
        </w:rPr>
        <w:t xml:space="preserve"> y Flávia Piovesan, Miembros de la Comisión.</w:t>
      </w:r>
      <w:r w:rsidRPr="00F6687F">
        <w:rPr>
          <w:rFonts w:ascii="Cambria" w:hAnsi="Cambria" w:cs="Arial"/>
          <w:noProof/>
          <w:sz w:val="20"/>
          <w:szCs w:val="20"/>
          <w:lang w:val="es-CL"/>
        </w:rPr>
        <w:t xml:space="preserve"> </w:t>
      </w:r>
    </w:p>
    <w:p w14:paraId="3248DB60" w14:textId="77777777" w:rsidR="00F6687F" w:rsidRPr="00F6687F" w:rsidRDefault="00F6687F" w:rsidP="00F6687F">
      <w:pPr>
        <w:suppressAutoHyphens/>
        <w:ind w:firstLine="720"/>
        <w:jc w:val="both"/>
        <w:rPr>
          <w:rFonts w:ascii="Cambria" w:hAnsi="Cambria" w:cs="Arial"/>
          <w:noProof/>
          <w:spacing w:val="-2"/>
          <w:sz w:val="20"/>
          <w:szCs w:val="20"/>
          <w:lang w:val="es-CL"/>
        </w:rPr>
      </w:pPr>
    </w:p>
    <w:p w14:paraId="3014B6A9" w14:textId="77777777" w:rsidR="00F6687F" w:rsidRPr="00F6687F" w:rsidRDefault="00F6687F" w:rsidP="00F6687F">
      <w:pPr>
        <w:ind w:firstLine="720"/>
        <w:jc w:val="both"/>
        <w:rPr>
          <w:rFonts w:ascii="Cambria" w:hAnsi="Cambria"/>
          <w:sz w:val="20"/>
          <w:szCs w:val="20"/>
          <w:lang w:val="es-CL"/>
        </w:rPr>
      </w:pPr>
      <w:r w:rsidRPr="00F6687F">
        <w:rPr>
          <w:rFonts w:ascii="Cambria" w:hAnsi="Cambria"/>
          <w:sz w:val="20"/>
          <w:szCs w:val="20"/>
          <w:lang w:val="es-CL"/>
        </w:rPr>
        <w:t xml:space="preserve">El que suscribe, </w:t>
      </w:r>
      <w:r w:rsidRPr="00F6687F">
        <w:rPr>
          <w:rFonts w:ascii="Cambria" w:hAnsi="Cambria" w:cs="Arial"/>
          <w:sz w:val="20"/>
          <w:szCs w:val="20"/>
          <w:lang w:val="es-US"/>
        </w:rPr>
        <w:t>Paulo Abrão</w:t>
      </w:r>
      <w:r w:rsidRPr="00F6687F">
        <w:rPr>
          <w:rFonts w:ascii="Cambria" w:hAnsi="Cambria"/>
          <w:sz w:val="20"/>
          <w:szCs w:val="20"/>
          <w:lang w:val="es-CL"/>
        </w:rPr>
        <w:t>, Secretario Ejecutivo, de conformidad con el artículo 49 del Reglamento de la Comisión, certifica que es copia fiel del original depositado en los archivos de la Secretaría de la CIDH.</w:t>
      </w:r>
    </w:p>
    <w:p w14:paraId="25B0417F" w14:textId="77777777" w:rsidR="00F6687F" w:rsidRPr="00F6687F" w:rsidRDefault="00F6687F" w:rsidP="00F6687F">
      <w:pPr>
        <w:rPr>
          <w:rFonts w:ascii="Cambria" w:hAnsi="Cambria"/>
          <w:sz w:val="20"/>
          <w:szCs w:val="20"/>
          <w:lang w:val="es-US"/>
        </w:rPr>
      </w:pPr>
    </w:p>
    <w:p w14:paraId="75CD5F47" w14:textId="45D0A5C4" w:rsidR="00F6687F" w:rsidRPr="00F6687F" w:rsidRDefault="00F6687F" w:rsidP="00F6687F">
      <w:pPr>
        <w:ind w:left="4320" w:firstLine="720"/>
        <w:rPr>
          <w:rFonts w:ascii="Cambria" w:hAnsi="Cambria"/>
          <w:sz w:val="20"/>
          <w:szCs w:val="20"/>
          <w:lang w:val="es-US"/>
        </w:rPr>
      </w:pPr>
    </w:p>
    <w:p w14:paraId="62CD2532" w14:textId="77777777" w:rsidR="00F6687F" w:rsidRPr="00F6687F" w:rsidRDefault="00F6687F" w:rsidP="00F6687F">
      <w:pPr>
        <w:ind w:left="2160" w:firstLine="720"/>
        <w:jc w:val="center"/>
        <w:rPr>
          <w:rFonts w:ascii="Cambria" w:hAnsi="Cambria"/>
          <w:sz w:val="20"/>
          <w:szCs w:val="20"/>
        </w:rPr>
      </w:pPr>
      <w:r w:rsidRPr="00F6687F">
        <w:rPr>
          <w:rFonts w:ascii="Cambria" w:hAnsi="Cambria" w:cs="Arial"/>
          <w:sz w:val="20"/>
          <w:szCs w:val="20"/>
        </w:rPr>
        <w:t>Paulo Abrão</w:t>
      </w:r>
    </w:p>
    <w:p w14:paraId="7318D97C" w14:textId="77777777" w:rsidR="00F6687F" w:rsidRPr="00F6687F" w:rsidRDefault="00F6687F" w:rsidP="00F6687F">
      <w:pPr>
        <w:ind w:left="2160" w:firstLine="720"/>
        <w:jc w:val="center"/>
        <w:rPr>
          <w:rFonts w:ascii="Cambria" w:hAnsi="Cambria"/>
          <w:sz w:val="20"/>
          <w:szCs w:val="20"/>
        </w:rPr>
      </w:pPr>
      <w:r w:rsidRPr="00F6687F">
        <w:rPr>
          <w:rFonts w:ascii="Cambria" w:hAnsi="Cambria"/>
          <w:sz w:val="20"/>
          <w:szCs w:val="20"/>
        </w:rPr>
        <w:t>Secretario Ejecutivo</w:t>
      </w:r>
    </w:p>
    <w:p w14:paraId="7F3CA0CB" w14:textId="77777777" w:rsidR="00F6687F" w:rsidRPr="009F5DE0" w:rsidRDefault="00F6687F" w:rsidP="00F6687F">
      <w:pPr>
        <w:tabs>
          <w:tab w:val="left" w:pos="360"/>
        </w:tabs>
        <w:jc w:val="both"/>
        <w:rPr>
          <w:lang w:val="es-MX"/>
        </w:rPr>
      </w:pPr>
    </w:p>
    <w:sectPr w:rsidR="00F6687F" w:rsidRPr="009F5DE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6C11" w14:textId="77777777" w:rsidR="00A52FEB" w:rsidRDefault="00A52FEB">
      <w:r>
        <w:separator/>
      </w:r>
    </w:p>
  </w:endnote>
  <w:endnote w:type="continuationSeparator" w:id="0">
    <w:p w14:paraId="271A230B" w14:textId="77777777" w:rsidR="00A52FEB" w:rsidRDefault="00A5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Verdana-Italic">
    <w:altName w:val="Verdana"/>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3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2EACF96C" w14:textId="2AC35BED" w:rsidR="00A52FEB" w:rsidRPr="00934A2C" w:rsidRDefault="00A52FE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6687F">
          <w:rPr>
            <w:noProof/>
            <w:sz w:val="16"/>
            <w:szCs w:val="22"/>
          </w:rPr>
          <w:t>26</w:t>
        </w:r>
        <w:r w:rsidRPr="00934A2C">
          <w:rPr>
            <w:noProof/>
            <w:sz w:val="16"/>
            <w:szCs w:val="22"/>
          </w:rPr>
          <w:fldChar w:fldCharType="end"/>
        </w:r>
      </w:p>
    </w:sdtContent>
  </w:sdt>
  <w:p w14:paraId="3CE97B27" w14:textId="77777777" w:rsidR="00A52FEB" w:rsidRDefault="00A52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6F0F" w14:textId="77777777" w:rsidR="00A52FEB" w:rsidRPr="00934A2C" w:rsidRDefault="00A52FEB">
    <w:pPr>
      <w:pStyle w:val="Footer"/>
      <w:jc w:val="center"/>
      <w:rPr>
        <w:sz w:val="16"/>
        <w:szCs w:val="22"/>
      </w:rPr>
    </w:pPr>
  </w:p>
  <w:p w14:paraId="3E445210" w14:textId="77777777" w:rsidR="00A52FEB" w:rsidRDefault="00A52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E424" w14:textId="77777777" w:rsidR="00A52FEB" w:rsidRPr="000F35ED" w:rsidRDefault="00A52FE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9B4BC8A" w14:textId="77777777" w:rsidR="00A52FEB" w:rsidRPr="000F35ED" w:rsidRDefault="00A52FEB" w:rsidP="000F35ED">
      <w:pPr>
        <w:rPr>
          <w:rFonts w:asciiTheme="majorHAnsi" w:hAnsiTheme="majorHAnsi"/>
          <w:sz w:val="16"/>
          <w:szCs w:val="16"/>
        </w:rPr>
      </w:pPr>
      <w:r w:rsidRPr="000F35ED">
        <w:rPr>
          <w:rFonts w:asciiTheme="majorHAnsi" w:hAnsiTheme="majorHAnsi"/>
          <w:sz w:val="16"/>
          <w:szCs w:val="16"/>
        </w:rPr>
        <w:separator/>
      </w:r>
    </w:p>
    <w:p w14:paraId="55B1DF5C" w14:textId="77777777" w:rsidR="00A52FEB" w:rsidRPr="000F35ED" w:rsidRDefault="00A52FE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88AFC2" w14:textId="77777777" w:rsidR="00A52FEB" w:rsidRPr="000F35ED" w:rsidRDefault="00A52FE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C910569" w14:textId="77777777" w:rsidR="00A52FEB" w:rsidRPr="00DC5DF1" w:rsidRDefault="00A52FEB">
      <w:pPr>
        <w:pStyle w:val="FootnoteText"/>
        <w:rPr>
          <w:rFonts w:ascii="Cambria" w:hAnsi="Cambria"/>
          <w:color w:val="FF0000"/>
          <w:lang w:val="es-ES"/>
        </w:rPr>
      </w:pPr>
      <w:r w:rsidRPr="00DC5DF1">
        <w:rPr>
          <w:rStyle w:val="FootnoteReference"/>
          <w:rFonts w:ascii="Cambria" w:hAnsi="Cambria"/>
          <w:color w:val="auto"/>
        </w:rPr>
        <w:footnoteRef/>
      </w:r>
      <w:r w:rsidRPr="00DC5DF1">
        <w:rPr>
          <w:rFonts w:ascii="Cambria" w:hAnsi="Cambria"/>
          <w:color w:val="auto"/>
          <w:lang w:val="es-MX"/>
        </w:rPr>
        <w:t xml:space="preserve"> CIDH. Informe No. 46/15. </w:t>
      </w:r>
      <w:r w:rsidRPr="00DC5DF1">
        <w:rPr>
          <w:rFonts w:ascii="Cambria" w:hAnsi="Cambria"/>
          <w:color w:val="auto"/>
          <w:lang w:val="es-US"/>
        </w:rPr>
        <w:t>Petición 315-01. Admisibilidad. Cristina Britez Arce. Argentina</w:t>
      </w:r>
      <w:r w:rsidRPr="00DC5DF1">
        <w:rPr>
          <w:rFonts w:ascii="Cambria" w:hAnsi="Cambria"/>
          <w:color w:val="auto"/>
          <w:lang w:val="es-ES"/>
        </w:rPr>
        <w:t xml:space="preserve">. 28 de julio de 2015. La Comisión declaró admisible la petición en relación con los artículos 4, 8 y 25 de la Convención Americana en concordancia con el artículo 1 del mismo instrumento. </w:t>
      </w:r>
    </w:p>
  </w:footnote>
  <w:footnote w:id="3">
    <w:p w14:paraId="72897A63" w14:textId="06D712E9"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4">
    <w:p w14:paraId="1F2921BA" w14:textId="39107FA7"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2. </w:t>
      </w:r>
      <w:r w:rsidRPr="00DC5DF1">
        <w:rPr>
          <w:rFonts w:ascii="Cambria" w:hAnsi="Cambria"/>
          <w:lang w:val="es-MX"/>
        </w:rPr>
        <w:t>Sentencia de apelación dentro de la causa 27.985, refiriendo a la historia clínica. Anexo a petición inicial.</w:t>
      </w:r>
    </w:p>
  </w:footnote>
  <w:footnote w:id="5">
    <w:p w14:paraId="07FF967E" w14:textId="014AB76F"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2. </w:t>
      </w:r>
      <w:r w:rsidRPr="00DC5DF1">
        <w:rPr>
          <w:rFonts w:ascii="Cambria" w:hAnsi="Cambria"/>
          <w:lang w:val="es-ES"/>
        </w:rPr>
        <w:t>Sentencia de apelación dentro de la causa 27.985, refiriendo a la historia clínica. Anexo a petición inicial.</w:t>
      </w:r>
    </w:p>
  </w:footnote>
  <w:footnote w:id="6">
    <w:p w14:paraId="733D22E8" w14:textId="6D6536EB" w:rsidR="00A52FEB" w:rsidRPr="00DC5DF1" w:rsidRDefault="00A52FEB" w:rsidP="00CA0F65">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7">
    <w:p w14:paraId="0B7114E5" w14:textId="77777777"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Bajo conocimiento de la Jueza Angela Mónica Braidot y el Secretario Sanzone.</w:t>
      </w:r>
    </w:p>
  </w:footnote>
  <w:footnote w:id="8">
    <w:p w14:paraId="0C3B5D5A" w14:textId="7997A451"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9">
    <w:p w14:paraId="5C78F619" w14:textId="1F52C1D0"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10">
    <w:p w14:paraId="278603F6" w14:textId="359819E1" w:rsidR="00A52FEB" w:rsidRPr="00DC5DF1" w:rsidRDefault="00A52FEB" w:rsidP="00696A61">
      <w:pPr>
        <w:pStyle w:val="FootnoteText"/>
        <w:rPr>
          <w:rFonts w:ascii="Cambria" w:hAnsi="Cambria"/>
          <w:lang w:val="es-MX"/>
        </w:rPr>
      </w:pPr>
      <w:r w:rsidRPr="00DC5DF1">
        <w:rPr>
          <w:rStyle w:val="FootnoteReference"/>
          <w:rFonts w:ascii="Cambria" w:hAnsi="Cambria"/>
        </w:rPr>
        <w:footnoteRef/>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11">
    <w:p w14:paraId="5B52B6E7" w14:textId="0AECE846" w:rsidR="00A52FEB" w:rsidRPr="00DC5DF1" w:rsidRDefault="00A52FEB" w:rsidP="00FA31A2">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12">
    <w:p w14:paraId="0F3FA126" w14:textId="554EB908" w:rsidR="00A52FEB" w:rsidRPr="00DC5DF1" w:rsidRDefault="00A52FEB" w:rsidP="00FA31A2">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13">
    <w:p w14:paraId="1715F17E" w14:textId="414F6550" w:rsidR="00A52FEB" w:rsidRPr="00DC5DF1" w:rsidRDefault="00A52FEB" w:rsidP="00FA31A2">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14">
    <w:p w14:paraId="3FDE3B93" w14:textId="77777777" w:rsidR="00A52FEB" w:rsidRPr="00DC5DF1" w:rsidRDefault="00A52FEB" w:rsidP="00F71979">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Petición inicial.</w:t>
      </w:r>
    </w:p>
  </w:footnote>
  <w:footnote w:id="15">
    <w:p w14:paraId="4BA05736" w14:textId="7ACF270C"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3. </w:t>
      </w:r>
      <w:r w:rsidRPr="00DC5DF1">
        <w:rPr>
          <w:rFonts w:ascii="Cambria" w:hAnsi="Cambria"/>
          <w:lang w:val="es-ES"/>
        </w:rPr>
        <w:t>Según lo indicado por la querella en el recurso extraordinario de 23 de diciembre de 2003. Anexo a escrito de la parte peticionaria de 30 de marzo de 2009.</w:t>
      </w:r>
    </w:p>
  </w:footnote>
  <w:footnote w:id="16">
    <w:p w14:paraId="613E802B" w14:textId="72EEB79B"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4. </w:t>
      </w:r>
      <w:r w:rsidRPr="00DC5DF1">
        <w:rPr>
          <w:rFonts w:ascii="Cambria" w:hAnsi="Cambria"/>
          <w:lang w:val="es-ES"/>
        </w:rPr>
        <w:t>Acusación fiscal del 16 de diciembre de 1998. Anexo a petición inicial.</w:t>
      </w:r>
    </w:p>
  </w:footnote>
  <w:footnote w:id="17">
    <w:p w14:paraId="35C7CB63" w14:textId="73520216"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4. </w:t>
      </w:r>
      <w:r w:rsidRPr="00DC5DF1">
        <w:rPr>
          <w:rFonts w:ascii="Cambria" w:hAnsi="Cambria"/>
          <w:lang w:val="es-ES"/>
        </w:rPr>
        <w:t>Acusación fiscal del 16 de diciembre de 1998. Anexo a petición inicial.</w:t>
      </w:r>
    </w:p>
  </w:footnote>
  <w:footnote w:id="18">
    <w:p w14:paraId="4CD25FAB" w14:textId="77777777"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Según lo indicado por la querella en el recurso extraordinario de 23 de diciembre de 2003. Anexo a escrito de la parte peticionaria de 30 de marzo de 2009.</w:t>
      </w:r>
    </w:p>
  </w:footnote>
  <w:footnote w:id="19">
    <w:p w14:paraId="3DAD00A2" w14:textId="32CB918B"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3. </w:t>
      </w:r>
      <w:r w:rsidRPr="00DC5DF1">
        <w:rPr>
          <w:rFonts w:ascii="Cambria" w:hAnsi="Cambria"/>
          <w:lang w:val="es-ES"/>
        </w:rPr>
        <w:t>Según lo indicado por la querella en el recurso extraordinario de 23 de diciembre de 2003. Anexo a escrito de la parte peticionaria de 30 de marzo de 2009.</w:t>
      </w:r>
    </w:p>
  </w:footnote>
  <w:footnote w:id="20">
    <w:p w14:paraId="30FE14B4" w14:textId="35DDBA82"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3. </w:t>
      </w:r>
      <w:r w:rsidRPr="00DC5DF1">
        <w:rPr>
          <w:rFonts w:ascii="Cambria" w:hAnsi="Cambria"/>
          <w:lang w:val="es-ES"/>
        </w:rPr>
        <w:t>Según lo indicado por la querella en el recurso extraordinario de 23 de diciembre de 2003. Anexo a escrito de la parte peticionaria de 30 de marzo de 2009.</w:t>
      </w:r>
    </w:p>
  </w:footnote>
  <w:footnote w:id="21">
    <w:p w14:paraId="1E6D0CAB" w14:textId="7FDB43EC"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3. </w:t>
      </w:r>
      <w:r w:rsidRPr="00DC5DF1">
        <w:rPr>
          <w:rFonts w:ascii="Cambria" w:hAnsi="Cambria"/>
          <w:lang w:val="es-ES"/>
        </w:rPr>
        <w:t>Recurso extraordinario de 23 de diciembre de 2003. Anexo a escrito de la parte peticionaria de 30 de marzo de 2009.</w:t>
      </w:r>
    </w:p>
  </w:footnote>
  <w:footnote w:id="22">
    <w:p w14:paraId="588BB657" w14:textId="77777777"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Bajo conocimiento del juez Guillermo Carvajal. Presentación de dos de junio de 1998 ante el doctor Granillo Ocampo, Ministro de Justicia de la Nación. Anexo a petición inicial.</w:t>
      </w:r>
    </w:p>
  </w:footnote>
  <w:footnote w:id="23">
    <w:p w14:paraId="02DF069E" w14:textId="3337E282"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24">
    <w:p w14:paraId="410D9B2A" w14:textId="1CFCC45E"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25">
    <w:p w14:paraId="420663D7" w14:textId="1789F241" w:rsidR="00A52FEB" w:rsidRPr="00DC5DF1" w:rsidRDefault="00A52FEB" w:rsidP="00AE6969">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26">
    <w:p w14:paraId="0A3107D3" w14:textId="40CE2048"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27">
    <w:p w14:paraId="1605DF87" w14:textId="57337BC8"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28">
    <w:p w14:paraId="7A5D0885" w14:textId="28534EAE" w:rsidR="00A52FEB" w:rsidRPr="00DC5DF1" w:rsidRDefault="00A52FEB">
      <w:pPr>
        <w:pStyle w:val="FootnoteText"/>
        <w:rPr>
          <w:rFonts w:ascii="Cambria" w:hAnsi="Cambria"/>
          <w:lang w:val="es-MX"/>
        </w:rPr>
      </w:pPr>
      <w:r w:rsidRPr="00DC5DF1">
        <w:rPr>
          <w:rStyle w:val="FootnoteReference"/>
          <w:rFonts w:ascii="Cambria" w:hAnsi="Cambria"/>
        </w:rPr>
        <w:footnoteRef/>
      </w:r>
      <w:r>
        <w:rPr>
          <w:rFonts w:ascii="Cambria" w:hAnsi="Cambria"/>
          <w:lang w:val="es-MX"/>
        </w:rPr>
        <w:t xml:space="preserve"> Anexo 1. </w:t>
      </w:r>
      <w:r w:rsidRPr="00DC5DF1">
        <w:rPr>
          <w:rFonts w:ascii="Cambria" w:hAnsi="Cambria"/>
          <w:lang w:val="es-MX"/>
        </w:rPr>
        <w:t xml:space="preserve"> Según lo referido en pericia de 7 de mayo de 1997, firmada por los médicos Pérez de Pliego, Rodríguez Girault, Aldo Ludueña y Jarazo Veira. Anexo a petición inicial</w:t>
      </w:r>
    </w:p>
  </w:footnote>
  <w:footnote w:id="29">
    <w:p w14:paraId="5E1CC549" w14:textId="1361F6EC"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 </w:t>
      </w:r>
      <w:r w:rsidRPr="00DC5DF1">
        <w:rPr>
          <w:rFonts w:ascii="Cambria" w:hAnsi="Cambria"/>
          <w:lang w:val="es-MX"/>
        </w:rPr>
        <w:t>Según lo referido en pericia de 7 de mayo de 1997, firmada por los médicos Pérez de Pliego, Rodríguez Girault, Aldo Ludueña y Jarazo Veira. Anexo a petición inicial.</w:t>
      </w:r>
    </w:p>
  </w:footnote>
  <w:footnote w:id="30">
    <w:p w14:paraId="10C95BD0" w14:textId="77777777" w:rsidR="00A52FEB" w:rsidRPr="00DC5DF1" w:rsidRDefault="00A52FEB" w:rsidP="00AE6969">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Escritos del Estado de 19 de julio de 2005 y 27 de septiembre de 2018.</w:t>
      </w:r>
    </w:p>
  </w:footnote>
  <w:footnote w:id="31">
    <w:p w14:paraId="17D3E952" w14:textId="548C9A4E" w:rsidR="00A52FEB" w:rsidRPr="00DC5DF1" w:rsidRDefault="00A52FEB" w:rsidP="006439A2">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5. </w:t>
      </w:r>
      <w:r w:rsidRPr="00DC5DF1">
        <w:rPr>
          <w:rFonts w:ascii="Cambria" w:hAnsi="Cambria"/>
          <w:lang w:val="es-MX"/>
        </w:rPr>
        <w:t>Peritaje Universidad de Córdoba de 13 de marzo de 1998. Anexo a petición inicial. El peritaje se rinde dentro del a causa 21.735 y anexa 2.391.</w:t>
      </w:r>
    </w:p>
  </w:footnote>
  <w:footnote w:id="32">
    <w:p w14:paraId="37AAAF74" w14:textId="76D3F279"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5. </w:t>
      </w:r>
      <w:r w:rsidRPr="00DC5DF1">
        <w:rPr>
          <w:rFonts w:ascii="Cambria" w:hAnsi="Cambria"/>
          <w:lang w:val="es-MX"/>
        </w:rPr>
        <w:t>Peritaje Universidad de Córdoba de 13 de marzo de 1998. Anexo a petición inicial. El peritaje se rinde dentro del a causa 21.735 y anexa 2.391.</w:t>
      </w:r>
    </w:p>
  </w:footnote>
  <w:footnote w:id="33">
    <w:p w14:paraId="2A19C59E" w14:textId="15C7E121" w:rsidR="00A52FEB" w:rsidRPr="00DC5DF1" w:rsidRDefault="00A52FEB" w:rsidP="00FA31A2">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5. </w:t>
      </w:r>
      <w:r w:rsidRPr="00DC5DF1">
        <w:rPr>
          <w:rFonts w:ascii="Cambria" w:hAnsi="Cambria"/>
          <w:lang w:val="es-MX"/>
        </w:rPr>
        <w:t>Peritaje Universidad de Córdoba de 13 de marzo de 1998.</w:t>
      </w:r>
      <w:r w:rsidRPr="00DC5DF1">
        <w:rPr>
          <w:rFonts w:ascii="Cambria" w:hAnsi="Cambria"/>
          <w:lang w:val="es-ES"/>
        </w:rPr>
        <w:t xml:space="preserve"> </w:t>
      </w:r>
      <w:r w:rsidRPr="00DC5DF1">
        <w:rPr>
          <w:rFonts w:ascii="Cambria" w:hAnsi="Cambria"/>
          <w:lang w:val="es-MX"/>
        </w:rPr>
        <w:t>Anexo a petición inicial. El peritaje se rinde dentro del a causa 21.735 y anexa 2.391.</w:t>
      </w:r>
    </w:p>
  </w:footnote>
  <w:footnote w:id="34">
    <w:p w14:paraId="39BEF506" w14:textId="32BB7262" w:rsidR="00A52FEB" w:rsidRPr="00DC5DF1" w:rsidRDefault="00A52FEB" w:rsidP="00FA31A2">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5. </w:t>
      </w:r>
      <w:r w:rsidRPr="00DC5DF1">
        <w:rPr>
          <w:rFonts w:ascii="Cambria" w:hAnsi="Cambria"/>
          <w:lang w:val="es-MX"/>
        </w:rPr>
        <w:t>Peritaje Universidad de Córdoba.</w:t>
      </w:r>
      <w:r w:rsidRPr="00DC5DF1">
        <w:rPr>
          <w:rFonts w:ascii="Cambria" w:hAnsi="Cambria"/>
          <w:lang w:val="es-ES"/>
        </w:rPr>
        <w:t xml:space="preserve"> </w:t>
      </w:r>
      <w:r w:rsidRPr="00DC5DF1">
        <w:rPr>
          <w:rFonts w:ascii="Cambria" w:hAnsi="Cambria"/>
          <w:lang w:val="es-MX"/>
        </w:rPr>
        <w:t>Anexo a petición inicial.</w:t>
      </w:r>
    </w:p>
  </w:footnote>
  <w:footnote w:id="35">
    <w:p w14:paraId="6DCAAA9D" w14:textId="7C12682C" w:rsidR="00A52FEB" w:rsidRPr="00DC5DF1" w:rsidRDefault="00A52FEB" w:rsidP="00596102">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6. </w:t>
      </w:r>
      <w:r w:rsidRPr="00DC5DF1">
        <w:rPr>
          <w:rFonts w:ascii="Cambria" w:hAnsi="Cambria"/>
          <w:lang w:val="es-MX"/>
        </w:rPr>
        <w:t>Presentación de 2 de junio de 1998 ante el doctor Granillo Ocampo, Ministro de Justicia de la Nación. Anexo a petición inicial. De igual manera recurso de recusación de 5 de mayo de 1998. Anexo a escrito de la parte peticionaria de 30 de marzo de 2009.</w:t>
      </w:r>
    </w:p>
  </w:footnote>
  <w:footnote w:id="36">
    <w:p w14:paraId="13003529" w14:textId="1F80ECCB" w:rsidR="00A52FEB" w:rsidRPr="00DC5DF1" w:rsidRDefault="00A52FEB" w:rsidP="00596102">
      <w:pPr>
        <w:pStyle w:val="FootnoteText"/>
        <w:rPr>
          <w:rFonts w:ascii="Cambria" w:hAnsi="Cambria"/>
          <w:lang w:val="es-ES"/>
        </w:rPr>
      </w:pPr>
      <w:r w:rsidRPr="00DC5DF1">
        <w:rPr>
          <w:rStyle w:val="FootnoteReference"/>
          <w:rFonts w:ascii="Cambria" w:hAnsi="Cambria"/>
        </w:rPr>
        <w:footnoteRef/>
      </w:r>
      <w:r>
        <w:rPr>
          <w:rFonts w:ascii="Cambria" w:hAnsi="Cambria"/>
          <w:lang w:val="es-ES"/>
        </w:rPr>
        <w:t xml:space="preserve"> Anexo 7. Resolució</w:t>
      </w:r>
      <w:r w:rsidRPr="00DC5DF1">
        <w:rPr>
          <w:rFonts w:ascii="Cambria" w:hAnsi="Cambria"/>
          <w:lang w:val="es-ES"/>
        </w:rPr>
        <w:t>n a recurso de recusación, de 18 de junio de 1998. Anexo a escrito de la parte peticionaria de 30 de marzo de 2009.</w:t>
      </w:r>
    </w:p>
  </w:footnote>
  <w:footnote w:id="37">
    <w:p w14:paraId="0A041D92" w14:textId="48D59FB7"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8. </w:t>
      </w:r>
      <w:r w:rsidRPr="00DC5DF1">
        <w:rPr>
          <w:rFonts w:ascii="Cambria" w:hAnsi="Cambria"/>
          <w:lang w:val="es-ES"/>
        </w:rPr>
        <w:t>Resolución de apelación. Anexo a escritos de la parte peticionaria de 4 de septiembre de 2003.  Asimismo, ver afirmaciones de escritos del Estado de 19 de julio de 2005 y 27 de septiembre de 2018.</w:t>
      </w:r>
    </w:p>
  </w:footnote>
  <w:footnote w:id="38">
    <w:p w14:paraId="5AEF1BF1" w14:textId="6BEA2659"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8. </w:t>
      </w:r>
      <w:r w:rsidRPr="00DC5DF1">
        <w:rPr>
          <w:rFonts w:ascii="Cambria" w:hAnsi="Cambria"/>
          <w:lang w:val="es-ES"/>
        </w:rPr>
        <w:t xml:space="preserve">Resolución de apelación. Anexo a escritos de la parte peticionaria de 4 de septiembre de 2003.  </w:t>
      </w:r>
    </w:p>
  </w:footnote>
  <w:footnote w:id="39">
    <w:p w14:paraId="220FC558" w14:textId="77777777"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A cargo del juez de instrucción Mariano Osvaldo Berges. </w:t>
      </w:r>
    </w:p>
  </w:footnote>
  <w:footnote w:id="40">
    <w:p w14:paraId="52127DCF" w14:textId="1115CE61"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9. </w:t>
      </w:r>
      <w:r w:rsidRPr="00DC5DF1">
        <w:rPr>
          <w:rFonts w:ascii="Cambria" w:hAnsi="Cambria"/>
          <w:lang w:val="es-ES"/>
        </w:rPr>
        <w:t xml:space="preserve">Denuncia presentada por el señor Miguel Ángel Avaro ante el Juzgado de Instrucción. Anexo a escrito de la parte peticionaria de 4 de septiembre de 2003. </w:t>
      </w:r>
    </w:p>
  </w:footnote>
  <w:footnote w:id="41">
    <w:p w14:paraId="2A715AEC" w14:textId="699DB668"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9. </w:t>
      </w:r>
      <w:r w:rsidRPr="00DC5DF1">
        <w:rPr>
          <w:rFonts w:ascii="Cambria" w:hAnsi="Cambria"/>
          <w:lang w:val="es-MX"/>
        </w:rPr>
        <w:t>Denuncia presentada por el señor Miguel Ángel Avaro ante el Juzgado de Instrucción. Anexo a escrito de la parte peticionaria de 4 de septiembre de 2003.</w:t>
      </w:r>
    </w:p>
  </w:footnote>
  <w:footnote w:id="42">
    <w:p w14:paraId="59B9D8B7" w14:textId="58B18180"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10. </w:t>
      </w:r>
      <w:r w:rsidRPr="00DC5DF1">
        <w:rPr>
          <w:rFonts w:ascii="Cambria" w:hAnsi="Cambria"/>
          <w:lang w:val="es-ES"/>
        </w:rPr>
        <w:t xml:space="preserve">Nota de prensa de La Nación. Anexo a petición inicial. </w:t>
      </w:r>
    </w:p>
  </w:footnote>
  <w:footnote w:id="43">
    <w:p w14:paraId="49BBBB2C" w14:textId="25C50879"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11. </w:t>
      </w:r>
      <w:r w:rsidRPr="00DC5DF1">
        <w:rPr>
          <w:rFonts w:ascii="Cambria" w:hAnsi="Cambria"/>
          <w:lang w:val="es-ES"/>
        </w:rPr>
        <w:t xml:space="preserve">Resolución de recurso de hecho, de 24 de junio de 2008. Anexo a escrito de la parte peticionaria de 30 de marzo de 2009. </w:t>
      </w:r>
    </w:p>
  </w:footnote>
  <w:footnote w:id="44">
    <w:p w14:paraId="420866E5" w14:textId="54A31DDD" w:rsidR="00A52FEB" w:rsidRPr="00DC5DF1" w:rsidRDefault="00A52FEB" w:rsidP="004A0463">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12. </w:t>
      </w:r>
      <w:r w:rsidRPr="00DC5DF1">
        <w:rPr>
          <w:rFonts w:ascii="Cambria" w:hAnsi="Cambria"/>
          <w:lang w:val="es-MX"/>
        </w:rPr>
        <w:t>Declaración testimonial del doctor Julio A. Ravioli. Anexo a petición inicial.</w:t>
      </w:r>
    </w:p>
  </w:footnote>
  <w:footnote w:id="45">
    <w:p w14:paraId="576025D9" w14:textId="73F5C391"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13. </w:t>
      </w:r>
      <w:r w:rsidRPr="00DC5DF1">
        <w:rPr>
          <w:rFonts w:ascii="Cambria" w:hAnsi="Cambria"/>
          <w:lang w:val="es-ES"/>
        </w:rPr>
        <w:t xml:space="preserve">Recurso de queja presentado por la querella el 2 de noviembre de 1999. Anexo a petición inicial. </w:t>
      </w:r>
    </w:p>
  </w:footnote>
  <w:footnote w:id="46">
    <w:p w14:paraId="1E98DAB0" w14:textId="23DAC20D"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6. </w:t>
      </w:r>
      <w:r w:rsidRPr="00DC5DF1">
        <w:rPr>
          <w:rFonts w:ascii="Cambria" w:hAnsi="Cambria"/>
          <w:lang w:val="es-MX"/>
        </w:rPr>
        <w:t>Presentación del 2 de junio de 1998 ante el doctor Granillo Ocampo, Ministro de Justicia de la Nación. Anexo a petición inicial.</w:t>
      </w:r>
    </w:p>
  </w:footnote>
  <w:footnote w:id="47">
    <w:p w14:paraId="690A5825" w14:textId="77777777"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Escritos del Estado de 19 de julio de 2005 y 27 de septiembre de 2018.</w:t>
      </w:r>
    </w:p>
  </w:footnote>
  <w:footnote w:id="48">
    <w:p w14:paraId="4CE464D9" w14:textId="30CE0701"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14. </w:t>
      </w:r>
      <w:r w:rsidRPr="00DC5DF1">
        <w:rPr>
          <w:rFonts w:ascii="Cambria" w:hAnsi="Cambria"/>
          <w:lang w:val="es-ES"/>
        </w:rPr>
        <w:t>Recurso de apelación de 16 de abril de 1999. Anexo a petición inicial.</w:t>
      </w:r>
    </w:p>
  </w:footnote>
  <w:footnote w:id="49">
    <w:p w14:paraId="70FDB7C3" w14:textId="1B79BB85"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15. </w:t>
      </w:r>
      <w:r w:rsidRPr="00DC5DF1">
        <w:rPr>
          <w:rFonts w:ascii="Cambria" w:hAnsi="Cambria"/>
          <w:lang w:val="es-ES"/>
        </w:rPr>
        <w:t xml:space="preserve">Se caratula 11.267 – cuerpo médico forense. </w:t>
      </w:r>
      <w:r w:rsidRPr="00DC5DF1">
        <w:rPr>
          <w:rFonts w:ascii="Cambria" w:hAnsi="Cambria"/>
          <w:lang w:val="es-MX"/>
        </w:rPr>
        <w:t xml:space="preserve">Sentencia de apelación de 6 de agosto de 1999. </w:t>
      </w:r>
      <w:r w:rsidRPr="00DC5DF1">
        <w:rPr>
          <w:rFonts w:ascii="Cambria" w:hAnsi="Cambria"/>
          <w:lang w:val="es-ES"/>
        </w:rPr>
        <w:t xml:space="preserve">Anexo a petición inicial. </w:t>
      </w:r>
    </w:p>
  </w:footnote>
  <w:footnote w:id="50">
    <w:p w14:paraId="507FB95D" w14:textId="364C3867" w:rsidR="00A52FEB" w:rsidRPr="00DC5DF1" w:rsidRDefault="00A52FEB">
      <w:pPr>
        <w:pStyle w:val="FootnoteText"/>
        <w:rPr>
          <w:rFonts w:ascii="Cambria" w:hAnsi="Cambria"/>
          <w:lang w:val="es-MX"/>
        </w:rPr>
      </w:pPr>
      <w:r w:rsidRPr="00DC5DF1">
        <w:rPr>
          <w:rStyle w:val="FootnoteReference"/>
          <w:rFonts w:ascii="Cambria" w:hAnsi="Cambria"/>
        </w:rPr>
        <w:footnoteRef/>
      </w:r>
      <w:r>
        <w:rPr>
          <w:rFonts w:ascii="Cambria" w:hAnsi="Cambria"/>
          <w:lang w:val="es-MX"/>
        </w:rPr>
        <w:t xml:space="preserve"> Anexo 15. </w:t>
      </w:r>
      <w:r w:rsidRPr="00DC5DF1">
        <w:rPr>
          <w:rFonts w:ascii="Cambria" w:hAnsi="Cambria"/>
          <w:lang w:val="es-MX"/>
        </w:rPr>
        <w:t>Sentencia de apelación de 6 de agosto de 1999. Anexo a petición inicial.</w:t>
      </w:r>
    </w:p>
  </w:footnote>
  <w:footnote w:id="51">
    <w:p w14:paraId="4EF6F2A3" w14:textId="6D56952C"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15. </w:t>
      </w:r>
      <w:r w:rsidRPr="00DC5DF1">
        <w:rPr>
          <w:rFonts w:ascii="Cambria" w:hAnsi="Cambria"/>
          <w:lang w:val="es-ES"/>
        </w:rPr>
        <w:t>Sentencia de apelación de 6 de agosto de 1999. Anexo a petición inicial.</w:t>
      </w:r>
    </w:p>
  </w:footnote>
  <w:footnote w:id="52">
    <w:p w14:paraId="72C7267C" w14:textId="5F2F228B"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16. </w:t>
      </w:r>
      <w:r w:rsidRPr="00DC5DF1">
        <w:rPr>
          <w:rFonts w:ascii="Cambria" w:hAnsi="Cambria"/>
          <w:lang w:val="es-ES"/>
        </w:rPr>
        <w:t xml:space="preserve">Sentencia de casación de 20 de octubre de 1999. Anexo a petición inicial. </w:t>
      </w:r>
    </w:p>
  </w:footnote>
  <w:footnote w:id="53">
    <w:p w14:paraId="5D1C69FE" w14:textId="688BC662"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13. </w:t>
      </w:r>
      <w:r w:rsidRPr="00DC5DF1">
        <w:rPr>
          <w:rFonts w:ascii="Cambria" w:hAnsi="Cambria"/>
          <w:lang w:val="es-ES"/>
        </w:rPr>
        <w:t>Recurso de queja presentado por la querella el 2 de noviembre de 1999. Anexo a petición inicial.</w:t>
      </w:r>
    </w:p>
  </w:footnote>
  <w:footnote w:id="54">
    <w:p w14:paraId="261B145C" w14:textId="0C2DE053"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17. </w:t>
      </w:r>
      <w:r w:rsidRPr="00DC5DF1">
        <w:rPr>
          <w:rFonts w:ascii="Cambria" w:hAnsi="Cambria"/>
          <w:lang w:val="es-ES"/>
        </w:rPr>
        <w:t xml:space="preserve">Resolución de recurso de queja, de 30 de marzo de 2000. Anexo a petición inicial. </w:t>
      </w:r>
    </w:p>
  </w:footnote>
  <w:footnote w:id="55">
    <w:p w14:paraId="77E8D427" w14:textId="02A81166"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18. </w:t>
      </w:r>
      <w:r w:rsidRPr="00DC5DF1">
        <w:rPr>
          <w:rFonts w:ascii="Cambria" w:hAnsi="Cambria"/>
          <w:lang w:val="es-ES"/>
        </w:rPr>
        <w:t xml:space="preserve">Recurso extraordinario federal de 8 de mayo de 2000. Anexo a petición inicial. </w:t>
      </w:r>
    </w:p>
  </w:footnote>
  <w:footnote w:id="56">
    <w:p w14:paraId="3A1FC7FE" w14:textId="77777777"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Escrito del Estado de 19 de julio de 2005.</w:t>
      </w:r>
    </w:p>
  </w:footnote>
  <w:footnote w:id="57">
    <w:p w14:paraId="70481D6F" w14:textId="645B19B6"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19. </w:t>
      </w:r>
      <w:r w:rsidRPr="00DC5DF1">
        <w:rPr>
          <w:rFonts w:ascii="Cambria" w:hAnsi="Cambria"/>
          <w:lang w:val="es-ES"/>
        </w:rPr>
        <w:t>Demanda por danos y perjuicios. Anexo a escrito de la parte peticionaria de 10 de enero de 2016.</w:t>
      </w:r>
    </w:p>
  </w:footnote>
  <w:footnote w:id="58">
    <w:p w14:paraId="199E1414" w14:textId="398C4A14"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20. </w:t>
      </w:r>
      <w:r w:rsidRPr="00DC5DF1">
        <w:rPr>
          <w:rFonts w:ascii="Cambria" w:hAnsi="Cambria"/>
          <w:lang w:val="es-ES"/>
        </w:rPr>
        <w:t>Pericial del doctor Eduardo R. Barrón, de 24 de julio de 2000. Anexo a escrito de la parte peticionaria de 10 de enero de 2016.</w:t>
      </w:r>
    </w:p>
  </w:footnote>
  <w:footnote w:id="59">
    <w:p w14:paraId="6074F458" w14:textId="446AA1EA"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21. </w:t>
      </w:r>
      <w:r w:rsidRPr="00DC5DF1">
        <w:rPr>
          <w:rFonts w:ascii="Cambria" w:hAnsi="Cambria"/>
          <w:lang w:val="es-ES"/>
        </w:rPr>
        <w:t>Pericial del doctor Ángel M. Cabarcas, de 27 de noviembre de 2008. Anexo a escrito de la parte peticionaria de 10 de enero de 2016.</w:t>
      </w:r>
    </w:p>
  </w:footnote>
  <w:footnote w:id="60">
    <w:p w14:paraId="01CEACD6" w14:textId="68666D30"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21. </w:t>
      </w:r>
      <w:r w:rsidRPr="00DC5DF1">
        <w:rPr>
          <w:rFonts w:ascii="Cambria" w:hAnsi="Cambria"/>
          <w:lang w:val="es-MX"/>
        </w:rPr>
        <w:t>Pericial del doctor Ángel M. Cabarcas, de 27 de noviembre de 2008. Anexo a escrito de la parte peticionaria de 10 de enero de 2016.</w:t>
      </w:r>
    </w:p>
  </w:footnote>
  <w:footnote w:id="61">
    <w:p w14:paraId="70C9518D" w14:textId="79AE450B"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22. </w:t>
      </w:r>
      <w:r w:rsidRPr="00DC5DF1">
        <w:rPr>
          <w:rFonts w:ascii="Cambria" w:hAnsi="Cambria"/>
          <w:lang w:val="es-ES"/>
        </w:rPr>
        <w:t xml:space="preserve">Sentencia de primera instancia, de </w:t>
      </w:r>
      <w:r w:rsidRPr="00DC5DF1">
        <w:rPr>
          <w:rFonts w:ascii="Cambria" w:hAnsi="Cambria"/>
          <w:lang w:val="es-AR"/>
        </w:rPr>
        <w:t>25 de noviembre de 2009</w:t>
      </w:r>
      <w:r w:rsidRPr="00DC5DF1">
        <w:rPr>
          <w:rFonts w:ascii="Cambria" w:hAnsi="Cambria"/>
          <w:lang w:val="es-ES"/>
        </w:rPr>
        <w:t>. Anexo a escrito de la parte peticionaria de 10 de enero de 2016.</w:t>
      </w:r>
    </w:p>
  </w:footnote>
  <w:footnote w:id="62">
    <w:p w14:paraId="764A76D2" w14:textId="74804E97"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23. </w:t>
      </w:r>
      <w:r w:rsidRPr="00DC5DF1">
        <w:rPr>
          <w:rFonts w:ascii="Cambria" w:hAnsi="Cambria"/>
          <w:lang w:val="es-MX"/>
        </w:rPr>
        <w:t>Pedido de revocatoria, de 21 de junio de 2011.</w:t>
      </w:r>
      <w:r w:rsidRPr="00DC5DF1">
        <w:rPr>
          <w:rFonts w:ascii="Cambria" w:hAnsi="Cambria"/>
          <w:lang w:val="es-ES"/>
        </w:rPr>
        <w:t xml:space="preserve"> </w:t>
      </w:r>
      <w:r w:rsidRPr="00DC5DF1">
        <w:rPr>
          <w:rFonts w:ascii="Cambria" w:hAnsi="Cambria"/>
          <w:lang w:val="es-MX"/>
        </w:rPr>
        <w:t>Anexo a escrito de la parte peticionaria de 10 de enero de 2016.</w:t>
      </w:r>
    </w:p>
  </w:footnote>
  <w:footnote w:id="63">
    <w:p w14:paraId="21BD5D16" w14:textId="68CD168B"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24. </w:t>
      </w:r>
      <w:r w:rsidRPr="00DC5DF1">
        <w:rPr>
          <w:rFonts w:ascii="Cambria" w:hAnsi="Cambria"/>
          <w:lang w:val="es-ES"/>
        </w:rPr>
        <w:t>Resolución de 5 de julio de 2011. Anexo a escrito de la parte peticionaria de 10 de enero de 2016.</w:t>
      </w:r>
    </w:p>
  </w:footnote>
  <w:footnote w:id="64">
    <w:p w14:paraId="78A8E623" w14:textId="12C5405C"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25. </w:t>
      </w:r>
      <w:r w:rsidRPr="00DC5DF1">
        <w:rPr>
          <w:rFonts w:ascii="Cambria" w:hAnsi="Cambria"/>
          <w:lang w:val="es-MX"/>
        </w:rPr>
        <w:t>Sentencia de 7 de febrero de 2012. Anexo a escrito de la parte peticionaria de 10 de enero de 2016.</w:t>
      </w:r>
    </w:p>
  </w:footnote>
  <w:footnote w:id="65">
    <w:p w14:paraId="0291C20E" w14:textId="0FB5B56A"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26. </w:t>
      </w:r>
      <w:r w:rsidRPr="00DC5DF1">
        <w:rPr>
          <w:rFonts w:ascii="Cambria" w:hAnsi="Cambria"/>
          <w:lang w:val="es-ES"/>
        </w:rPr>
        <w:t>Resolución de recurso extraordinario, de 8 de mayo de 2012. Anexo a escrito de la parte peticionaria de 10 de enero de 2016.</w:t>
      </w:r>
    </w:p>
  </w:footnote>
  <w:footnote w:id="66">
    <w:p w14:paraId="2CCE57F2" w14:textId="66FA12E2" w:rsidR="00A52FEB" w:rsidRPr="00DC5DF1" w:rsidRDefault="00A52FEB">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27. </w:t>
      </w:r>
      <w:r w:rsidRPr="00DC5DF1">
        <w:rPr>
          <w:rFonts w:ascii="Cambria" w:hAnsi="Cambria"/>
          <w:lang w:val="es-ES"/>
        </w:rPr>
        <w:t>Denuncia de 7 de junio de 2011. Anexo a escrito de la parte peticionaria de 10 de enero de 2016.</w:t>
      </w:r>
    </w:p>
  </w:footnote>
  <w:footnote w:id="67">
    <w:p w14:paraId="0310B5FD" w14:textId="1F6D66EC" w:rsidR="00A52FEB" w:rsidRPr="00DC5DF1" w:rsidRDefault="00A52FEB" w:rsidP="008A721F">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28. </w:t>
      </w:r>
      <w:r w:rsidRPr="00DC5DF1">
        <w:rPr>
          <w:rFonts w:ascii="Cambria" w:hAnsi="Cambria"/>
          <w:lang w:val="es-ES"/>
        </w:rPr>
        <w:t>Sentencia de 20 de octubre de 2011. Anexo a escrito de la parte peticionaria de 10 de enero de 2016.</w:t>
      </w:r>
    </w:p>
  </w:footnote>
  <w:footnote w:id="68">
    <w:p w14:paraId="33225193" w14:textId="1FF141E4" w:rsidR="00A52FEB" w:rsidRPr="00DC5DF1" w:rsidRDefault="00A52FEB" w:rsidP="008A721F">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w:t>
      </w:r>
      <w:r>
        <w:rPr>
          <w:rFonts w:ascii="Cambria" w:hAnsi="Cambria"/>
          <w:lang w:val="es-ES"/>
        </w:rPr>
        <w:t xml:space="preserve">Anexo 29. </w:t>
      </w:r>
      <w:r w:rsidRPr="00DC5DF1">
        <w:rPr>
          <w:rFonts w:ascii="Cambria" w:hAnsi="Cambria"/>
          <w:lang w:val="es-ES"/>
        </w:rPr>
        <w:t>Sentencia de apelación de 13 de diciembre de 2011. Anexo a escrito de la parte peticionaria de 10 de enero de 2016.</w:t>
      </w:r>
    </w:p>
  </w:footnote>
  <w:footnote w:id="69">
    <w:p w14:paraId="46A043C1" w14:textId="01306408" w:rsidR="00A52FEB" w:rsidRPr="00DC5DF1" w:rsidRDefault="00A52FEB" w:rsidP="008A721F">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Pr>
          <w:rFonts w:ascii="Cambria" w:hAnsi="Cambria"/>
          <w:lang w:val="es-MX"/>
        </w:rPr>
        <w:t xml:space="preserve">Anexo 30. </w:t>
      </w:r>
      <w:r w:rsidRPr="00DC5DF1">
        <w:rPr>
          <w:rFonts w:ascii="Cambria" w:hAnsi="Cambria"/>
          <w:lang w:val="es-MX"/>
        </w:rPr>
        <w:t xml:space="preserve">Sentencia de casación de 6 de febrero de 2012 y denegación de recurso de queja de21 de mayo de 2012. </w:t>
      </w:r>
      <w:r w:rsidRPr="00DC5DF1">
        <w:rPr>
          <w:rFonts w:ascii="Cambria" w:hAnsi="Cambria"/>
          <w:lang w:val="es-ES"/>
        </w:rPr>
        <w:t>Anexo a escrito de la parte peticionaria de 10 de enero de 2016.</w:t>
      </w:r>
    </w:p>
  </w:footnote>
  <w:footnote w:id="70">
    <w:p w14:paraId="5FB27F4C" w14:textId="06759E75" w:rsidR="00A52FEB" w:rsidRPr="00A52FEB" w:rsidRDefault="00A52FEB">
      <w:pPr>
        <w:pStyle w:val="FootnoteText"/>
        <w:rPr>
          <w:lang w:val="es-US"/>
        </w:rPr>
      </w:pPr>
      <w:r>
        <w:rPr>
          <w:rStyle w:val="FootnoteReference"/>
        </w:rPr>
        <w:footnoteRef/>
      </w:r>
      <w:r w:rsidRPr="00A52FEB">
        <w:rPr>
          <w:lang w:val="es-US"/>
        </w:rPr>
        <w:t xml:space="preserve"> </w:t>
      </w:r>
      <w:r w:rsidRPr="00DC5DF1">
        <w:rPr>
          <w:rFonts w:ascii="Cambria" w:hAnsi="Cambria"/>
          <w:lang w:val="es-MX"/>
        </w:rPr>
        <w:t>El artículo 4.1 de la Convención Americana establece en lo pertinente que: 1. Toda persona tiene derecho a que se respete su vida. Este derecho estará protegido por la ley y, en general, a partir del momento de la concepción. Nadie puede ser privado de la vida arbitrariamente.</w:t>
      </w:r>
    </w:p>
  </w:footnote>
  <w:footnote w:id="71">
    <w:p w14:paraId="0052B027" w14:textId="6D6CD299" w:rsidR="00A52FEB" w:rsidRPr="00A52FEB" w:rsidRDefault="00A52FEB" w:rsidP="00A52FEB">
      <w:pPr>
        <w:pStyle w:val="FootnoteText"/>
        <w:rPr>
          <w:lang w:val="es-US"/>
        </w:rPr>
      </w:pPr>
      <w:r>
        <w:rPr>
          <w:rStyle w:val="FootnoteReference"/>
        </w:rPr>
        <w:footnoteRef/>
      </w:r>
      <w:r w:rsidRPr="00A52FEB">
        <w:rPr>
          <w:lang w:val="es-US"/>
        </w:rPr>
        <w:t xml:space="preserve"> </w:t>
      </w:r>
      <w:r w:rsidRPr="00DC5DF1">
        <w:rPr>
          <w:rFonts w:ascii="Cambria" w:hAnsi="Cambria"/>
          <w:lang w:val="es-MX"/>
        </w:rPr>
        <w:t>El artículo 5.1 de La Convención Americana establece en lo pertinente que: 1. Toda persona tiene derecho a que se respete su integridad física, psíquica y moral.</w:t>
      </w:r>
    </w:p>
  </w:footnote>
  <w:footnote w:id="72">
    <w:p w14:paraId="1AC1A3E6" w14:textId="5ECBE35E" w:rsidR="00A52FEB" w:rsidRPr="00AF2FE4" w:rsidRDefault="00A52FEB" w:rsidP="00AF2FE4">
      <w:pPr>
        <w:pStyle w:val="FootnoteText"/>
        <w:rPr>
          <w:lang w:val="es-US"/>
        </w:rPr>
      </w:pPr>
      <w:r>
        <w:rPr>
          <w:rStyle w:val="FootnoteReference"/>
        </w:rPr>
        <w:footnoteRef/>
      </w:r>
      <w:r w:rsidRPr="00A52FEB">
        <w:rPr>
          <w:lang w:val="es-US"/>
        </w:rPr>
        <w:t xml:space="preserve"> </w:t>
      </w:r>
      <w:r>
        <w:rPr>
          <w:lang w:val="es-US"/>
        </w:rPr>
        <w:t>El artículo 26 de la Convención Americana establece</w:t>
      </w:r>
      <w:r w:rsidR="00AF2FE4">
        <w:rPr>
          <w:lang w:val="es-US"/>
        </w:rPr>
        <w:t>:</w:t>
      </w:r>
      <w:r>
        <w:rPr>
          <w:lang w:val="es-US"/>
        </w:rPr>
        <w:t xml:space="preserve"> </w:t>
      </w:r>
      <w:r w:rsidR="00AF2FE4" w:rsidRPr="00AF2FE4">
        <w:rPr>
          <w:lang w:val="es-US"/>
        </w:rPr>
        <w:t>Los Estados Partes se comprometen a</w:t>
      </w:r>
      <w:r w:rsidR="00AF2FE4">
        <w:rPr>
          <w:lang w:val="es-US"/>
        </w:rPr>
        <w:t xml:space="preserve"> </w:t>
      </w:r>
      <w:r w:rsidR="00AF2FE4" w:rsidRPr="00AF2FE4">
        <w:rPr>
          <w:lang w:val="es-US"/>
        </w:rPr>
        <w:t>adoptar providencias, tanto a nivel interno como mediante la cooperación internacional,</w:t>
      </w:r>
      <w:r w:rsidR="00AF2FE4">
        <w:rPr>
          <w:lang w:val="es-US"/>
        </w:rPr>
        <w:t xml:space="preserve"> </w:t>
      </w:r>
      <w:r w:rsidR="00AF2FE4" w:rsidRPr="00AF2FE4">
        <w:rPr>
          <w:lang w:val="es-US"/>
        </w:rPr>
        <w:t>especialmente económica y técnica, para lograr progresivamente la plena efectividad delos derechos que se derivan de las normas económicas, sociales y sobre educación,</w:t>
      </w:r>
      <w:r w:rsidR="00AF2FE4">
        <w:rPr>
          <w:lang w:val="es-US"/>
        </w:rPr>
        <w:t xml:space="preserve"> </w:t>
      </w:r>
      <w:r w:rsidR="00AF2FE4" w:rsidRPr="00AF2FE4">
        <w:rPr>
          <w:lang w:val="es-US"/>
        </w:rPr>
        <w:t>ciencia y cultura, contenidas en la Carta de la Organización de los Estados Americanos,</w:t>
      </w:r>
      <w:r w:rsidR="00AF2FE4">
        <w:rPr>
          <w:lang w:val="es-US"/>
        </w:rPr>
        <w:t xml:space="preserve"> </w:t>
      </w:r>
      <w:r w:rsidR="00AF2FE4" w:rsidRPr="00AF2FE4">
        <w:rPr>
          <w:lang w:val="es-US"/>
        </w:rPr>
        <w:t>reformada por el Protocolo de Buenos Aires, en la medida de los recursos disponibles, por</w:t>
      </w:r>
      <w:r w:rsidR="00AF2FE4">
        <w:rPr>
          <w:lang w:val="es-US"/>
        </w:rPr>
        <w:t xml:space="preserve"> </w:t>
      </w:r>
      <w:r w:rsidR="00AF2FE4" w:rsidRPr="00AF2FE4">
        <w:rPr>
          <w:lang w:val="es-US"/>
        </w:rPr>
        <w:t>vía legislativa u otros medios apropiados.</w:t>
      </w:r>
    </w:p>
  </w:footnote>
  <w:footnote w:id="73">
    <w:p w14:paraId="5B24DE00" w14:textId="1D4F946B" w:rsidR="00A52FEB" w:rsidRPr="00AF2FE4" w:rsidRDefault="00A52FEB">
      <w:pPr>
        <w:pStyle w:val="FootnoteText"/>
        <w:rPr>
          <w:lang w:val="es-US"/>
        </w:rPr>
      </w:pPr>
      <w:r>
        <w:rPr>
          <w:rStyle w:val="FootnoteReference"/>
        </w:rPr>
        <w:footnoteRef/>
      </w:r>
      <w:r w:rsidRPr="00A52FEB">
        <w:rPr>
          <w:lang w:val="es-US"/>
        </w:rPr>
        <w:t xml:space="preserve"> </w:t>
      </w:r>
      <w:r w:rsidRPr="00DC5DF1">
        <w:rPr>
          <w:rFonts w:ascii="Cambria" w:hAnsi="Cambria"/>
          <w:lang w:val="es-MX"/>
        </w:rPr>
        <w:t xml:space="preserve">El artículo 1.1 de la Convención Americana establece lo siguiente: 1. Los Estados Partes en esta Convención se comprometen a respetar los derechos y libertades reconocidos en ella y a garantizar su libre y pleno ejercicio a toda persona que esté sujeta a su jurisdicción, sin </w:t>
      </w:r>
      <w:r w:rsidRPr="00AF2FE4">
        <w:rPr>
          <w:lang w:val="es-MX"/>
        </w:rPr>
        <w:t>discriminación alguna por motivos de raza, color, sexo, idioma, religión, opiniones políticas o de cualquier otra índole, origen nacional o social, posición económica, nacimiento o cualquier otra condición social.</w:t>
      </w:r>
    </w:p>
  </w:footnote>
  <w:footnote w:id="74">
    <w:p w14:paraId="7EED01DD" w14:textId="77777777" w:rsidR="00A52FEB" w:rsidRPr="00AF2FE4" w:rsidRDefault="00A52FEB" w:rsidP="00A52FEB">
      <w:pPr>
        <w:pStyle w:val="NormalWeb"/>
        <w:shd w:val="clear" w:color="auto" w:fill="FFFFFF"/>
        <w:ind w:right="75"/>
        <w:jc w:val="both"/>
        <w:rPr>
          <w:rFonts w:asciiTheme="majorHAnsi" w:hAnsiTheme="majorHAnsi"/>
          <w:color w:val="000000"/>
          <w:sz w:val="16"/>
          <w:szCs w:val="16"/>
          <w:lang w:val="es-ES"/>
        </w:rPr>
      </w:pPr>
      <w:r w:rsidRPr="00AF2FE4">
        <w:rPr>
          <w:rStyle w:val="FootnoteReference"/>
          <w:rFonts w:asciiTheme="majorHAnsi" w:hAnsiTheme="majorHAnsi"/>
          <w:sz w:val="16"/>
          <w:szCs w:val="16"/>
        </w:rPr>
        <w:footnoteRef/>
      </w:r>
      <w:r w:rsidRPr="00AF2FE4">
        <w:rPr>
          <w:rFonts w:asciiTheme="majorHAnsi" w:hAnsiTheme="majorHAnsi"/>
          <w:sz w:val="16"/>
          <w:szCs w:val="16"/>
          <w:lang w:val="es-US"/>
        </w:rPr>
        <w:t xml:space="preserve"> </w:t>
      </w:r>
      <w:r w:rsidRPr="00AF2FE4">
        <w:rPr>
          <w:rFonts w:asciiTheme="majorHAnsi" w:hAnsiTheme="majorHAnsi"/>
          <w:sz w:val="16"/>
          <w:szCs w:val="16"/>
          <w:lang w:val="es-ES"/>
        </w:rPr>
        <w:t xml:space="preserve">Artículo 7. </w:t>
      </w:r>
      <w:r w:rsidRPr="00AF2FE4">
        <w:rPr>
          <w:rFonts w:asciiTheme="majorHAnsi" w:hAnsiTheme="majorHAnsi" w:cs="Tahoma"/>
          <w:color w:val="000000"/>
          <w:sz w:val="16"/>
          <w:szCs w:val="16"/>
          <w:lang w:val="es-ES"/>
        </w:rPr>
        <w:t>Los Estados Partes condenan todas las formas de violencia contra la mujer y convienen en adoptar, por todos los medios apropiados y sin dilaciones, políticas orientadas a prevenir, sancionar y erradicar dicha violencia y en llevar a cabo lo siguiente:</w:t>
      </w:r>
    </w:p>
    <w:p w14:paraId="656D80BB" w14:textId="77777777" w:rsidR="00A52FEB" w:rsidRPr="00AF2FE4" w:rsidRDefault="00A52FEB" w:rsidP="00A52FEB">
      <w:pPr>
        <w:pStyle w:val="NormalWeb"/>
        <w:shd w:val="clear" w:color="auto" w:fill="FFFFFF"/>
        <w:ind w:right="75"/>
        <w:jc w:val="both"/>
        <w:rPr>
          <w:rFonts w:asciiTheme="majorHAnsi" w:hAnsiTheme="majorHAnsi"/>
          <w:color w:val="000000"/>
          <w:sz w:val="16"/>
          <w:szCs w:val="16"/>
          <w:lang w:val="es-ES"/>
        </w:rPr>
      </w:pPr>
      <w:r w:rsidRPr="00AF2FE4">
        <w:rPr>
          <w:rFonts w:asciiTheme="majorHAnsi" w:hAnsiTheme="majorHAnsi" w:cs="Tahoma"/>
          <w:color w:val="000000"/>
          <w:sz w:val="16"/>
          <w:szCs w:val="16"/>
          <w:lang w:val="es-ES"/>
        </w:rPr>
        <w:t> a. abstenerse de cualquier acción o práctica de violencia contra la mujer y velar por que las autoridades, sus funcionarios, personal y agentes e instituciones se comporten de conformidad con esta obligación;</w:t>
      </w:r>
    </w:p>
    <w:p w14:paraId="34F0731B" w14:textId="77777777" w:rsidR="00A52FEB" w:rsidRPr="00AF2FE4" w:rsidRDefault="00A52FEB" w:rsidP="00A52FEB">
      <w:pPr>
        <w:pStyle w:val="NormalWeb"/>
        <w:shd w:val="clear" w:color="auto" w:fill="FFFFFF"/>
        <w:ind w:right="75"/>
        <w:jc w:val="both"/>
        <w:rPr>
          <w:rFonts w:asciiTheme="majorHAnsi" w:hAnsiTheme="majorHAnsi"/>
          <w:color w:val="000000"/>
          <w:sz w:val="16"/>
          <w:szCs w:val="16"/>
          <w:lang w:val="es-ES"/>
        </w:rPr>
      </w:pPr>
      <w:r w:rsidRPr="00AF2FE4">
        <w:rPr>
          <w:rFonts w:asciiTheme="majorHAnsi" w:hAnsiTheme="majorHAnsi" w:cs="Tahoma"/>
          <w:color w:val="000000"/>
          <w:sz w:val="16"/>
          <w:szCs w:val="16"/>
          <w:lang w:val="es-ES"/>
        </w:rPr>
        <w:t> b. actuar con la debida diligencia para prevenir, investigar y sancionar la violencia contra la mujer;</w:t>
      </w:r>
    </w:p>
    <w:p w14:paraId="077C9F3D" w14:textId="77777777" w:rsidR="00A52FEB" w:rsidRPr="00DE20C7" w:rsidRDefault="00A52FEB" w:rsidP="00A52FEB">
      <w:pPr>
        <w:pStyle w:val="NormalWeb"/>
        <w:shd w:val="clear" w:color="auto" w:fill="FFFFFF"/>
        <w:ind w:right="75"/>
        <w:jc w:val="both"/>
        <w:rPr>
          <w:rFonts w:ascii="Cambria" w:hAnsi="Cambria"/>
          <w:color w:val="000000"/>
          <w:sz w:val="16"/>
          <w:szCs w:val="16"/>
          <w:lang w:val="es-ES"/>
        </w:rPr>
      </w:pPr>
      <w:r w:rsidRPr="00AF2FE4">
        <w:rPr>
          <w:rFonts w:asciiTheme="majorHAnsi" w:hAnsiTheme="majorHAnsi" w:cs="Tahoma"/>
          <w:color w:val="000000"/>
          <w:sz w:val="16"/>
          <w:szCs w:val="16"/>
          <w:lang w:val="es-ES"/>
        </w:rPr>
        <w:t> c. incluir en su legislación interna normas penales, civiles y administrativas, así como las de otra naturaleza que sean necesarias para prevenir, sancionar y erradicar la violencia contra la</w:t>
      </w:r>
      <w:r w:rsidRPr="00DE20C7">
        <w:rPr>
          <w:rFonts w:ascii="Cambria" w:hAnsi="Cambria" w:cs="Tahoma"/>
          <w:color w:val="000000"/>
          <w:sz w:val="16"/>
          <w:szCs w:val="16"/>
          <w:lang w:val="es-ES"/>
        </w:rPr>
        <w:t xml:space="preserve"> mujer y adoptar las medidas administrativas apropiadas que sean del caso;</w:t>
      </w:r>
    </w:p>
    <w:p w14:paraId="52F5A520" w14:textId="77777777" w:rsidR="00A52FEB" w:rsidRPr="00DE20C7" w:rsidRDefault="00A52FEB" w:rsidP="00A52FEB">
      <w:pPr>
        <w:pStyle w:val="NormalWeb"/>
        <w:shd w:val="clear" w:color="auto" w:fill="FFFFFF"/>
        <w:ind w:right="75"/>
        <w:jc w:val="both"/>
        <w:rPr>
          <w:rFonts w:ascii="Cambria" w:hAnsi="Cambria"/>
          <w:color w:val="000000"/>
          <w:sz w:val="16"/>
          <w:szCs w:val="16"/>
          <w:lang w:val="es-ES"/>
        </w:rPr>
      </w:pPr>
      <w:r w:rsidRPr="00DE20C7">
        <w:rPr>
          <w:rFonts w:ascii="Cambria" w:hAnsi="Cambria" w:cs="Tahoma"/>
          <w:color w:val="000000"/>
          <w:sz w:val="16"/>
          <w:szCs w:val="16"/>
          <w:lang w:val="es-ES"/>
        </w:rPr>
        <w:t> d. adoptar medidas jurídicas para conminar al agresor a abstenerse de hostigar, intimidar, amenazar, dañar o poner en peligro la vida de la mujer de cualquier forma que atente contra su integridad o perjudique su propiedad;</w:t>
      </w:r>
    </w:p>
    <w:p w14:paraId="34CC9EC8" w14:textId="77777777" w:rsidR="00A52FEB" w:rsidRPr="00DE20C7" w:rsidRDefault="00A52FEB" w:rsidP="00A52FEB">
      <w:pPr>
        <w:pStyle w:val="NormalWeb"/>
        <w:shd w:val="clear" w:color="auto" w:fill="FFFFFF"/>
        <w:ind w:right="75"/>
        <w:jc w:val="both"/>
        <w:rPr>
          <w:rFonts w:ascii="Cambria" w:hAnsi="Cambria"/>
          <w:color w:val="000000"/>
          <w:sz w:val="16"/>
          <w:szCs w:val="16"/>
          <w:lang w:val="es-ES"/>
        </w:rPr>
      </w:pPr>
      <w:r w:rsidRPr="00DE20C7">
        <w:rPr>
          <w:rFonts w:ascii="Cambria" w:hAnsi="Cambria" w:cs="Tahoma"/>
          <w:color w:val="000000"/>
          <w:sz w:val="16"/>
          <w:szCs w:val="16"/>
          <w:lang w:val="es-ES"/>
        </w:rPr>
        <w:t> e. tomar todas las medidas apropiadas, incluyendo medidas de tipo legislativo, para modificar o abolir leyes y reglamentos vigentes, o para modificar prácticas jurídicas o consuetudinarias que respalden la persistencia o la tolerancia de la violencia contra la mujer;</w:t>
      </w:r>
    </w:p>
    <w:p w14:paraId="28F4368D" w14:textId="77777777" w:rsidR="00A52FEB" w:rsidRPr="00DE20C7" w:rsidRDefault="00A52FEB" w:rsidP="00A52FEB">
      <w:pPr>
        <w:pStyle w:val="NormalWeb"/>
        <w:shd w:val="clear" w:color="auto" w:fill="FFFFFF"/>
        <w:ind w:right="75"/>
        <w:jc w:val="both"/>
        <w:rPr>
          <w:rFonts w:ascii="Cambria" w:hAnsi="Cambria"/>
          <w:color w:val="000000"/>
          <w:sz w:val="16"/>
          <w:szCs w:val="16"/>
          <w:lang w:val="es-ES"/>
        </w:rPr>
      </w:pPr>
      <w:r w:rsidRPr="00DE20C7">
        <w:rPr>
          <w:rFonts w:ascii="Cambria" w:hAnsi="Cambria" w:cs="Tahoma"/>
          <w:color w:val="000000"/>
          <w:sz w:val="16"/>
          <w:szCs w:val="16"/>
          <w:lang w:val="es-ES"/>
        </w:rPr>
        <w:t> f. establecer procedimientos legales justos y eficaces para la mujer que haya sido sometida a violencia, que incluyan, entre otros, medidas de protección, un juicio oportuno y el acceso efectivo a tales procedimientos;</w:t>
      </w:r>
    </w:p>
    <w:p w14:paraId="3BDD752C" w14:textId="77777777" w:rsidR="00A52FEB" w:rsidRPr="00DE20C7" w:rsidRDefault="00A52FEB" w:rsidP="00A52FEB">
      <w:pPr>
        <w:pStyle w:val="NormalWeb"/>
        <w:shd w:val="clear" w:color="auto" w:fill="FFFFFF"/>
        <w:ind w:right="75"/>
        <w:jc w:val="both"/>
        <w:rPr>
          <w:rFonts w:ascii="Cambria" w:hAnsi="Cambria"/>
          <w:color w:val="000000"/>
          <w:sz w:val="16"/>
          <w:szCs w:val="16"/>
          <w:lang w:val="es-ES"/>
        </w:rPr>
      </w:pPr>
      <w:r w:rsidRPr="00DE20C7">
        <w:rPr>
          <w:rFonts w:ascii="Cambria" w:hAnsi="Cambria" w:cs="Tahoma"/>
          <w:color w:val="000000"/>
          <w:sz w:val="16"/>
          <w:szCs w:val="16"/>
          <w:lang w:val="es-ES"/>
        </w:rPr>
        <w:t> g. establecer los mecanismos judiciales y administrativos necesarios para asegurar que la mujer objeto de violencia tenga acceso efectivo a resarcimiento, reparación del daño u otros medios de compensación justos y eficaces, y</w:t>
      </w:r>
    </w:p>
    <w:p w14:paraId="0A3A1540" w14:textId="3335981A" w:rsidR="00A52FEB" w:rsidRPr="00A52FEB" w:rsidRDefault="00A52FEB" w:rsidP="00AF2FE4">
      <w:pPr>
        <w:pStyle w:val="NormalWeb"/>
        <w:shd w:val="clear" w:color="auto" w:fill="FFFFFF"/>
        <w:ind w:right="75"/>
        <w:jc w:val="both"/>
        <w:rPr>
          <w:lang w:val="es-ES"/>
        </w:rPr>
      </w:pPr>
      <w:r w:rsidRPr="00DE20C7">
        <w:rPr>
          <w:rFonts w:ascii="Cambria" w:hAnsi="Cambria" w:cs="Tahoma"/>
          <w:color w:val="000000"/>
          <w:sz w:val="16"/>
          <w:szCs w:val="16"/>
          <w:lang w:val="es-ES"/>
        </w:rPr>
        <w:t> h. adoptar las disposiciones legislativas o de otra índole que sean necesarias para hacer efectiva esta Convención.</w:t>
      </w:r>
    </w:p>
  </w:footnote>
  <w:footnote w:id="75">
    <w:p w14:paraId="53FD87FB" w14:textId="77777777" w:rsidR="00A52FEB" w:rsidRPr="00DC5DF1" w:rsidRDefault="00A52FEB" w:rsidP="008A721F">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sidRPr="00DC5DF1">
        <w:rPr>
          <w:rFonts w:ascii="Cambria" w:hAnsi="Cambria"/>
          <w:lang w:val="es-ES"/>
        </w:rPr>
        <w:t xml:space="preserve">La Corte Interamericana ha establecido que la inclusión de artículos de la Convención Americana por parte de la CIDH en la etapa de fondo “no implica una vulneración al derecho de defensa [del Estado]” en casos donde el Estado ha </w:t>
      </w:r>
      <w:r w:rsidRPr="00DC5DF1">
        <w:rPr>
          <w:rFonts w:ascii="Cambria" w:eastAsia="Times New Roman" w:hAnsi="Cambria" w:cs="Cambria"/>
          <w:lang w:val="es-ES"/>
        </w:rPr>
        <w:t>tenido</w:t>
      </w:r>
      <w:r w:rsidRPr="00DC5DF1">
        <w:rPr>
          <w:rFonts w:ascii="Cambria" w:hAnsi="Cambria"/>
          <w:lang w:val="es-ES"/>
        </w:rPr>
        <w:t xml:space="preserve"> conocimiento de los hechos que sustentan su presunta violación.</w:t>
      </w:r>
      <w:r w:rsidRPr="00DC5DF1">
        <w:rPr>
          <w:rFonts w:ascii="Cambria" w:hAnsi="Cambria"/>
          <w:lang w:val="es-ES_tradnl"/>
        </w:rPr>
        <w:t xml:space="preserve"> </w:t>
      </w:r>
      <w:r w:rsidRPr="00DC5DF1">
        <w:rPr>
          <w:rFonts w:ascii="Cambria" w:hAnsi="Cambria"/>
          <w:lang w:val="es-ES"/>
        </w:rPr>
        <w:t xml:space="preserve">Véase: Corte IDH, </w:t>
      </w:r>
      <w:r w:rsidRPr="00DC5DF1">
        <w:rPr>
          <w:rFonts w:ascii="Cambria" w:hAnsi="Cambria"/>
          <w:i/>
          <w:iCs/>
          <w:lang w:val="es-ES"/>
        </w:rPr>
        <w:t>Caso Furlan y Familiares Vs. Argentina</w:t>
      </w:r>
      <w:r w:rsidRPr="00DC5DF1">
        <w:rPr>
          <w:rFonts w:ascii="Cambria" w:hAnsi="Cambria"/>
          <w:lang w:val="es-ES"/>
        </w:rPr>
        <w:t>. Excepciones Preliminares, Fondo, Reparaciones y Costas. Sentencia de 31 de agosto de 2012. Serie C No. 246, párr. 50.</w:t>
      </w:r>
    </w:p>
  </w:footnote>
  <w:footnote w:id="76">
    <w:p w14:paraId="40567BA7" w14:textId="77777777" w:rsidR="00A52FEB" w:rsidRPr="00DC5DF1" w:rsidRDefault="00A52FEB" w:rsidP="008A721F">
      <w:pPr>
        <w:jc w:val="both"/>
        <w:rPr>
          <w:rFonts w:ascii="Cambria" w:hAnsi="Cambria"/>
          <w:sz w:val="16"/>
          <w:szCs w:val="16"/>
          <w:lang w:val="es-US"/>
        </w:rPr>
      </w:pPr>
      <w:r w:rsidRPr="00DC5DF1">
        <w:rPr>
          <w:rStyle w:val="FootnoteReference"/>
          <w:rFonts w:ascii="Cambria" w:hAnsi="Cambria"/>
          <w:sz w:val="16"/>
          <w:szCs w:val="16"/>
        </w:rPr>
        <w:footnoteRef/>
      </w:r>
      <w:r w:rsidRPr="00DC5DF1">
        <w:rPr>
          <w:rFonts w:ascii="Cambria" w:hAnsi="Cambria"/>
          <w:sz w:val="16"/>
          <w:szCs w:val="16"/>
          <w:lang w:val="es-US"/>
        </w:rPr>
        <w:t xml:space="preserve"> </w:t>
      </w:r>
      <w:r w:rsidRPr="00DC5DF1">
        <w:rPr>
          <w:rStyle w:val="Hyperlink"/>
          <w:rFonts w:ascii="Cambria" w:hAnsi="Cambria" w:cs="Arial"/>
          <w:sz w:val="16"/>
          <w:szCs w:val="16"/>
          <w:u w:val="none"/>
          <w:shd w:val="clear" w:color="auto" w:fill="FFFFFF"/>
          <w:lang w:val="es-US"/>
        </w:rPr>
        <w:t xml:space="preserve">CIDH, Informe No. 11/10, Caso 12.488, Fondo, Miembros de la Familia Barrios, Venezuela, 16 de marzo de 2010, párr.91. Asimismo: </w:t>
      </w:r>
      <w:r w:rsidRPr="00DC5DF1">
        <w:rPr>
          <w:rFonts w:ascii="Cambria" w:hAnsi="Cambria"/>
          <w:sz w:val="16"/>
          <w:szCs w:val="16"/>
          <w:lang w:val="es-ES_tradnl"/>
        </w:rPr>
        <w:t>Corte IDH.</w:t>
      </w:r>
      <w:r w:rsidRPr="00DC5DF1">
        <w:rPr>
          <w:rFonts w:ascii="Cambria" w:hAnsi="Cambria"/>
          <w:i/>
          <w:sz w:val="16"/>
          <w:szCs w:val="16"/>
          <w:lang w:val="es-ES_tradnl"/>
        </w:rPr>
        <w:t xml:space="preserve"> Caso Velásquez Rodríguez Vs. Honduras</w:t>
      </w:r>
      <w:r w:rsidRPr="00DC5DF1">
        <w:rPr>
          <w:rFonts w:ascii="Cambria" w:hAnsi="Cambria"/>
          <w:sz w:val="16"/>
          <w:szCs w:val="16"/>
          <w:lang w:val="es-ES_tradnl"/>
        </w:rPr>
        <w:t xml:space="preserve">. </w:t>
      </w:r>
      <w:hyperlink r:id="rId1" w:history="1">
        <w:r w:rsidRPr="00DC5DF1">
          <w:rPr>
            <w:rStyle w:val="Hyperlink"/>
            <w:rFonts w:ascii="Cambria" w:hAnsi="Cambria" w:cs="Arial"/>
            <w:sz w:val="16"/>
            <w:szCs w:val="16"/>
            <w:u w:val="none"/>
            <w:shd w:val="clear" w:color="auto" w:fill="FFFFFF"/>
            <w:lang w:val="es-ES_tradnl"/>
          </w:rPr>
          <w:t xml:space="preserve">Fondo. Sentencia de 29 de julio de 1988. </w:t>
        </w:r>
        <w:r w:rsidRPr="00DC5DF1">
          <w:rPr>
            <w:rStyle w:val="Hyperlink"/>
            <w:rFonts w:ascii="Cambria" w:hAnsi="Cambria" w:cs="Arial"/>
            <w:sz w:val="16"/>
            <w:szCs w:val="16"/>
            <w:u w:val="none"/>
            <w:shd w:val="clear" w:color="auto" w:fill="FFFFFF"/>
            <w:lang w:val="es-US"/>
          </w:rPr>
          <w:t>Serie C No. 4</w:t>
        </w:r>
      </w:hyperlink>
      <w:r w:rsidRPr="00DC5DF1">
        <w:rPr>
          <w:rStyle w:val="Hyperlink"/>
          <w:rFonts w:ascii="Cambria" w:hAnsi="Cambria" w:cs="Arial"/>
          <w:sz w:val="16"/>
          <w:szCs w:val="16"/>
          <w:shd w:val="clear" w:color="auto" w:fill="FFFFFF"/>
          <w:lang w:val="es-US"/>
        </w:rPr>
        <w:t>, p</w:t>
      </w:r>
      <w:r w:rsidRPr="00DC5DF1">
        <w:rPr>
          <w:rStyle w:val="Hyperlink"/>
          <w:rFonts w:ascii="Cambria" w:hAnsi="Cambria" w:cs="Arial"/>
          <w:sz w:val="16"/>
          <w:szCs w:val="16"/>
          <w:u w:val="none"/>
          <w:shd w:val="clear" w:color="auto" w:fill="FFFFFF"/>
          <w:lang w:val="es-US"/>
        </w:rPr>
        <w:t xml:space="preserve">árr. 169.  </w:t>
      </w:r>
    </w:p>
  </w:footnote>
  <w:footnote w:id="77">
    <w:p w14:paraId="50D29CD8" w14:textId="77777777" w:rsidR="00A52FEB" w:rsidRPr="00DC5DF1" w:rsidRDefault="00A52FEB" w:rsidP="008A721F">
      <w:pPr>
        <w:jc w:val="both"/>
        <w:rPr>
          <w:rFonts w:ascii="Cambria" w:hAnsi="Cambria"/>
          <w:sz w:val="16"/>
          <w:szCs w:val="16"/>
          <w:lang w:val="es-US"/>
        </w:rPr>
      </w:pPr>
      <w:r w:rsidRPr="00DC5DF1">
        <w:rPr>
          <w:rStyle w:val="FootnoteReference"/>
          <w:rFonts w:ascii="Cambria" w:hAnsi="Cambria"/>
          <w:sz w:val="16"/>
          <w:szCs w:val="16"/>
        </w:rPr>
        <w:footnoteRef/>
      </w:r>
      <w:r w:rsidRPr="00DC5DF1">
        <w:rPr>
          <w:rFonts w:ascii="Cambria" w:hAnsi="Cambria"/>
          <w:sz w:val="16"/>
          <w:szCs w:val="16"/>
          <w:lang w:val="es-US"/>
        </w:rPr>
        <w:t xml:space="preserve"> </w:t>
      </w:r>
      <w:r w:rsidRPr="00DC5DF1">
        <w:rPr>
          <w:rFonts w:ascii="Cambria" w:hAnsi="Cambria"/>
          <w:sz w:val="16"/>
          <w:szCs w:val="16"/>
          <w:lang w:val="es-ES_tradnl"/>
        </w:rPr>
        <w:t xml:space="preserve">Corte IDH. </w:t>
      </w:r>
      <w:r w:rsidRPr="00DC5DF1">
        <w:rPr>
          <w:rFonts w:ascii="Cambria" w:hAnsi="Cambria"/>
          <w:i/>
          <w:sz w:val="16"/>
          <w:szCs w:val="16"/>
          <w:lang w:val="es-ES_tradnl"/>
        </w:rPr>
        <w:t>Caso Velásquez Rodríguez Vs. Honduras</w:t>
      </w:r>
      <w:r w:rsidRPr="00DC5DF1">
        <w:rPr>
          <w:rFonts w:ascii="Cambria" w:hAnsi="Cambria"/>
          <w:sz w:val="16"/>
          <w:szCs w:val="16"/>
          <w:lang w:val="es-ES_tradnl"/>
        </w:rPr>
        <w:t xml:space="preserve">. </w:t>
      </w:r>
      <w:hyperlink r:id="rId2" w:history="1">
        <w:r w:rsidRPr="00DC5DF1">
          <w:rPr>
            <w:rStyle w:val="Hyperlink"/>
            <w:rFonts w:ascii="Cambria" w:hAnsi="Cambria" w:cs="Arial"/>
            <w:sz w:val="16"/>
            <w:szCs w:val="16"/>
            <w:u w:val="none"/>
            <w:shd w:val="clear" w:color="auto" w:fill="FFFFFF"/>
            <w:lang w:val="es-ES_tradnl"/>
          </w:rPr>
          <w:t xml:space="preserve">Fondo. Sentencia de 29 de julio de 1988. </w:t>
        </w:r>
        <w:r w:rsidRPr="00DC5DF1">
          <w:rPr>
            <w:rStyle w:val="Hyperlink"/>
            <w:rFonts w:ascii="Cambria" w:hAnsi="Cambria" w:cs="Arial"/>
            <w:sz w:val="16"/>
            <w:szCs w:val="16"/>
            <w:u w:val="none"/>
            <w:shd w:val="clear" w:color="auto" w:fill="FFFFFF"/>
            <w:lang w:val="es-US"/>
          </w:rPr>
          <w:t>Serie C No. 4</w:t>
        </w:r>
      </w:hyperlink>
      <w:r w:rsidRPr="00DC5DF1">
        <w:rPr>
          <w:rStyle w:val="Hyperlink"/>
          <w:rFonts w:ascii="Cambria" w:hAnsi="Cambria" w:cs="Arial"/>
          <w:sz w:val="16"/>
          <w:szCs w:val="16"/>
          <w:shd w:val="clear" w:color="auto" w:fill="FFFFFF"/>
          <w:lang w:val="es-US"/>
        </w:rPr>
        <w:t>, p</w:t>
      </w:r>
      <w:r w:rsidRPr="00DC5DF1">
        <w:rPr>
          <w:rStyle w:val="Hyperlink"/>
          <w:rFonts w:ascii="Cambria" w:hAnsi="Cambria" w:cs="Arial"/>
          <w:sz w:val="16"/>
          <w:szCs w:val="16"/>
          <w:u w:val="none"/>
          <w:shd w:val="clear" w:color="auto" w:fill="FFFFFF"/>
          <w:lang w:val="es-US"/>
        </w:rPr>
        <w:t>árr. 166.</w:t>
      </w:r>
      <w:r w:rsidRPr="00DC5DF1">
        <w:rPr>
          <w:rStyle w:val="Hyperlink"/>
          <w:rFonts w:ascii="Cambria" w:hAnsi="Cambria" w:cs="Arial"/>
          <w:sz w:val="16"/>
          <w:szCs w:val="16"/>
          <w:shd w:val="clear" w:color="auto" w:fill="FFFFFF"/>
          <w:lang w:val="es-US"/>
        </w:rPr>
        <w:t xml:space="preserve"> </w:t>
      </w:r>
    </w:p>
  </w:footnote>
  <w:footnote w:id="78">
    <w:p w14:paraId="3AD7E8E1" w14:textId="77777777" w:rsidR="00A52FEB" w:rsidRPr="00DC5DF1" w:rsidRDefault="00A52FEB" w:rsidP="00BF20B7">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Corte IDH. </w:t>
      </w:r>
      <w:r w:rsidRPr="00DC5DF1">
        <w:rPr>
          <w:rFonts w:ascii="Cambria" w:hAnsi="Cambria"/>
          <w:i/>
          <w:lang w:val="es-MX"/>
        </w:rPr>
        <w:t>Caso Velásquez Rodríguez Vs Honduras</w:t>
      </w:r>
      <w:r w:rsidRPr="00DC5DF1">
        <w:rPr>
          <w:rFonts w:ascii="Cambria" w:hAnsi="Cambria"/>
          <w:lang w:val="es-MX"/>
        </w:rPr>
        <w:t xml:space="preserve">. </w:t>
      </w:r>
      <w:hyperlink r:id="rId3" w:history="1">
        <w:r w:rsidRPr="00DC5DF1">
          <w:rPr>
            <w:rStyle w:val="Hyperlink"/>
            <w:rFonts w:ascii="Cambria" w:hAnsi="Cambria" w:cs="Arial"/>
            <w:u w:val="none"/>
            <w:shd w:val="clear" w:color="auto" w:fill="FFFFFF"/>
            <w:lang w:val="es-ES_tradnl"/>
          </w:rPr>
          <w:t xml:space="preserve">Fondo. Sentencia de 29 de julio de 1988. </w:t>
        </w:r>
        <w:r w:rsidRPr="00DC5DF1">
          <w:rPr>
            <w:rStyle w:val="Hyperlink"/>
            <w:rFonts w:ascii="Cambria" w:hAnsi="Cambria" w:cs="Arial"/>
            <w:u w:val="none"/>
            <w:shd w:val="clear" w:color="auto" w:fill="FFFFFF"/>
            <w:lang w:val="es-US"/>
          </w:rPr>
          <w:t>Serie C No. 4</w:t>
        </w:r>
      </w:hyperlink>
      <w:r w:rsidRPr="00DC5DF1">
        <w:rPr>
          <w:rStyle w:val="Hyperlink"/>
          <w:rFonts w:ascii="Cambria" w:hAnsi="Cambria" w:cs="Arial"/>
          <w:shd w:val="clear" w:color="auto" w:fill="FFFFFF"/>
          <w:lang w:val="es-US"/>
        </w:rPr>
        <w:t>, p</w:t>
      </w:r>
      <w:r w:rsidRPr="00DC5DF1">
        <w:rPr>
          <w:rStyle w:val="Hyperlink"/>
          <w:rFonts w:ascii="Cambria" w:hAnsi="Cambria" w:cs="Arial"/>
          <w:u w:val="none"/>
          <w:shd w:val="clear" w:color="auto" w:fill="FFFFFF"/>
          <w:lang w:val="es-US"/>
        </w:rPr>
        <w:t xml:space="preserve">árr. </w:t>
      </w:r>
      <w:r w:rsidRPr="00DC5DF1">
        <w:rPr>
          <w:rFonts w:ascii="Cambria" w:hAnsi="Cambria"/>
          <w:lang w:val="es-MX"/>
        </w:rPr>
        <w:t xml:space="preserve">127; </w:t>
      </w:r>
      <w:r w:rsidRPr="00DC5DF1">
        <w:rPr>
          <w:rFonts w:ascii="Cambria" w:hAnsi="Cambria"/>
          <w:i/>
          <w:lang w:val="es-MX"/>
        </w:rPr>
        <w:t>Caso del Penal Miguel Castro Castro Vs. Perú</w:t>
      </w:r>
      <w:r w:rsidRPr="00DC5DF1">
        <w:rPr>
          <w:rFonts w:ascii="Cambria" w:hAnsi="Cambria"/>
          <w:lang w:val="es-MX"/>
        </w:rPr>
        <w:t xml:space="preserve">, </w:t>
      </w:r>
      <w:r w:rsidRPr="00DC5DF1">
        <w:rPr>
          <w:rFonts w:ascii="Cambria" w:hAnsi="Cambria" w:cs="Verdana"/>
          <w:lang w:val="es-MX" w:bidi="en-US"/>
        </w:rPr>
        <w:t xml:space="preserve">Fondo, Reparaciones y Costas. Sentencia de 25 de noviembre de 2006. Serie C No. 160, </w:t>
      </w:r>
      <w:r w:rsidRPr="00DC5DF1">
        <w:rPr>
          <w:rFonts w:ascii="Cambria" w:hAnsi="Cambria"/>
          <w:lang w:val="es-MX"/>
        </w:rPr>
        <w:t xml:space="preserve">párr. 184; </w:t>
      </w:r>
      <w:r w:rsidRPr="00DC5DF1">
        <w:rPr>
          <w:rFonts w:ascii="Cambria" w:hAnsi="Cambria"/>
          <w:i/>
          <w:lang w:val="es-MX"/>
        </w:rPr>
        <w:t>Caso Cantoral Huamaní y García Santa Cruz Vs Perú</w:t>
      </w:r>
      <w:r w:rsidRPr="00DC5DF1">
        <w:rPr>
          <w:rFonts w:ascii="Cambria" w:hAnsi="Cambria"/>
          <w:lang w:val="es-MX"/>
        </w:rPr>
        <w:t xml:space="preserve">. Excepción Preliminar, Fondo, Reparaciones y Costas. Sentencia de 10 de julio de 2007. Serie C. No. 167, párr. 86; </w:t>
      </w:r>
      <w:r w:rsidRPr="00DC5DF1">
        <w:rPr>
          <w:rFonts w:ascii="Cambria" w:hAnsi="Cambria"/>
          <w:i/>
          <w:lang w:val="es-MX"/>
        </w:rPr>
        <w:t>Caso Kawas Fernández Vs. Honduras</w:t>
      </w:r>
      <w:r w:rsidRPr="00DC5DF1">
        <w:rPr>
          <w:rFonts w:ascii="Cambria" w:hAnsi="Cambria"/>
          <w:lang w:val="es-MX"/>
        </w:rPr>
        <w:t xml:space="preserve">. Fondo, Reparaciones y Costas. Sentencia de 3 de abril de 2009. Serie C No. 196, párr.82. </w:t>
      </w:r>
    </w:p>
  </w:footnote>
  <w:footnote w:id="79">
    <w:p w14:paraId="080DD47C" w14:textId="77777777"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Corte IDH. </w:t>
      </w:r>
      <w:r w:rsidRPr="00DC5DF1">
        <w:rPr>
          <w:rFonts w:ascii="Cambria" w:hAnsi="Cambria" w:cs="Verdana-Italic"/>
          <w:i/>
          <w:iCs/>
          <w:lang w:val="es-ES"/>
        </w:rPr>
        <w:t>Caso Baena Ricardo y otros Vs. Panamá</w:t>
      </w:r>
      <w:r w:rsidRPr="00DC5DF1">
        <w:rPr>
          <w:rFonts w:ascii="Cambria" w:hAnsi="Cambria" w:cs="Verdana-Italic"/>
          <w:iCs/>
          <w:lang w:val="es-ES"/>
        </w:rPr>
        <w:t xml:space="preserve">. Fondo, Reparaciones y Costas. </w:t>
      </w:r>
      <w:r w:rsidRPr="00DC5DF1">
        <w:rPr>
          <w:rFonts w:ascii="Cambria" w:hAnsi="Cambria" w:cs="Verdana"/>
          <w:lang w:val="es-ES"/>
        </w:rPr>
        <w:t xml:space="preserve">Sentencia de 2 de febrero de </w:t>
      </w:r>
      <w:r w:rsidRPr="00DC5DF1">
        <w:rPr>
          <w:rFonts w:ascii="Cambria" w:hAnsi="Cambria"/>
          <w:lang w:val="es-ES"/>
        </w:rPr>
        <w:t xml:space="preserve">2001. Serie C No. 72, párr. 71; </w:t>
      </w:r>
      <w:r w:rsidRPr="00DC5DF1">
        <w:rPr>
          <w:rFonts w:ascii="Cambria" w:hAnsi="Cambria"/>
          <w:bCs/>
          <w:i/>
          <w:lang w:val="es-MX"/>
        </w:rPr>
        <w:t>Caso Tiu Tojín Vs. Guatemala</w:t>
      </w:r>
      <w:r w:rsidRPr="00DC5DF1">
        <w:rPr>
          <w:rFonts w:ascii="Cambria" w:hAnsi="Cambria"/>
          <w:bCs/>
          <w:lang w:val="es-MX"/>
        </w:rPr>
        <w:t xml:space="preserve">. </w:t>
      </w:r>
      <w:r w:rsidRPr="00DC5DF1">
        <w:rPr>
          <w:rFonts w:ascii="Cambria" w:hAnsi="Cambria"/>
          <w:lang w:val="es-MX"/>
        </w:rPr>
        <w:t>Fondo, Reparaciones y Costas. Sentencia de 26 de noviembre de 2008. Serie C No. 190</w:t>
      </w:r>
      <w:r w:rsidRPr="00DC5DF1">
        <w:rPr>
          <w:rFonts w:ascii="Cambria" w:hAnsi="Cambria"/>
          <w:lang w:val="es-ES"/>
        </w:rPr>
        <w:t>, párr. 38;</w:t>
      </w:r>
      <w:r w:rsidRPr="00DC5DF1">
        <w:rPr>
          <w:rFonts w:ascii="Cambria" w:hAnsi="Cambria"/>
          <w:lang w:val="es-MX"/>
        </w:rPr>
        <w:t xml:space="preserve"> </w:t>
      </w:r>
      <w:r w:rsidRPr="00DC5DF1">
        <w:rPr>
          <w:rFonts w:ascii="Cambria" w:hAnsi="Cambria" w:cs="Verdana-Bold"/>
          <w:bCs/>
          <w:i/>
          <w:lang w:val="es-MX" w:bidi="en-US"/>
        </w:rPr>
        <w:t>Caso Perozo y otros Vs. Venezuela</w:t>
      </w:r>
      <w:r w:rsidRPr="00DC5DF1">
        <w:rPr>
          <w:rFonts w:ascii="Cambria" w:hAnsi="Cambria" w:cs="Verdana-Bold"/>
          <w:bCs/>
          <w:lang w:val="es-MX" w:bidi="en-US"/>
        </w:rPr>
        <w:t xml:space="preserve">. </w:t>
      </w:r>
      <w:r w:rsidRPr="00DC5DF1">
        <w:rPr>
          <w:rFonts w:ascii="Cambria" w:hAnsi="Cambria" w:cs="Verdana"/>
          <w:lang w:val="es-MX" w:bidi="en-US"/>
        </w:rPr>
        <w:t xml:space="preserve">Excepciones Preliminares, Fondo, Reparaciones y Costas. Sentencia de 28 de enero de 2009. Serie C No. 195, </w:t>
      </w:r>
      <w:r w:rsidRPr="00DC5DF1">
        <w:rPr>
          <w:rFonts w:ascii="Cambria" w:hAnsi="Cambria"/>
          <w:lang w:val="es-MX"/>
        </w:rPr>
        <w:t xml:space="preserve">párr. 95. </w:t>
      </w:r>
      <w:r w:rsidRPr="00DC5DF1">
        <w:rPr>
          <w:rFonts w:ascii="Cambria" w:hAnsi="Cambria"/>
          <w:i/>
          <w:lang w:val="es-MX"/>
        </w:rPr>
        <w:t>Caso Kawas Fernández Vs. Honduras</w:t>
      </w:r>
      <w:r w:rsidRPr="00DC5DF1">
        <w:rPr>
          <w:rFonts w:ascii="Cambria" w:hAnsi="Cambria"/>
          <w:lang w:val="es-MX"/>
        </w:rPr>
        <w:t xml:space="preserve">. Fondo, Reparaciones y Costas. Sentencia de 3 de abril de 2009. Serie C No. 196, párr.82. </w:t>
      </w:r>
    </w:p>
  </w:footnote>
  <w:footnote w:id="80">
    <w:p w14:paraId="159D5D3C" w14:textId="77777777" w:rsidR="00A52FEB" w:rsidRPr="00DC5DF1" w:rsidRDefault="00A52FEB" w:rsidP="00BF20B7">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Corte IDH. </w:t>
      </w:r>
      <w:r w:rsidRPr="00DC5DF1">
        <w:rPr>
          <w:rFonts w:ascii="Cambria" w:hAnsi="Cambria"/>
          <w:i/>
          <w:lang w:val="es-MX"/>
        </w:rPr>
        <w:t xml:space="preserve">Caso Velásquez Rodríguez </w:t>
      </w:r>
      <w:r w:rsidRPr="00DC5DF1">
        <w:rPr>
          <w:rFonts w:ascii="Cambria" w:hAnsi="Cambria"/>
          <w:i/>
          <w:lang w:val="es-ES_tradnl"/>
        </w:rPr>
        <w:t>Vs. Honduras</w:t>
      </w:r>
      <w:r w:rsidRPr="00DC5DF1">
        <w:rPr>
          <w:rFonts w:ascii="Cambria" w:hAnsi="Cambria"/>
          <w:lang w:val="es-ES_tradnl"/>
        </w:rPr>
        <w:t xml:space="preserve">. </w:t>
      </w:r>
      <w:hyperlink r:id="rId4" w:history="1">
        <w:r w:rsidRPr="00DC5DF1">
          <w:rPr>
            <w:rStyle w:val="Hyperlink"/>
            <w:rFonts w:ascii="Cambria" w:hAnsi="Cambria" w:cs="Arial"/>
            <w:u w:val="none"/>
            <w:shd w:val="clear" w:color="auto" w:fill="FFFFFF"/>
            <w:lang w:val="es-ES_tradnl"/>
          </w:rPr>
          <w:t xml:space="preserve">Fondo. Sentencia de 29 de julio de 1988. </w:t>
        </w:r>
        <w:r w:rsidRPr="00DC5DF1">
          <w:rPr>
            <w:rStyle w:val="Hyperlink"/>
            <w:rFonts w:ascii="Cambria" w:hAnsi="Cambria" w:cs="Arial"/>
            <w:u w:val="none"/>
            <w:shd w:val="clear" w:color="auto" w:fill="FFFFFF"/>
            <w:lang w:val="es-US"/>
          </w:rPr>
          <w:t>Serie C No. 4</w:t>
        </w:r>
      </w:hyperlink>
      <w:r w:rsidRPr="00DC5DF1">
        <w:rPr>
          <w:rStyle w:val="Hyperlink"/>
          <w:rFonts w:ascii="Cambria" w:hAnsi="Cambria" w:cs="Arial"/>
          <w:shd w:val="clear" w:color="auto" w:fill="FFFFFF"/>
          <w:lang w:val="es-US"/>
        </w:rPr>
        <w:t>, p</w:t>
      </w:r>
      <w:r w:rsidRPr="00DC5DF1">
        <w:rPr>
          <w:rStyle w:val="Hyperlink"/>
          <w:rFonts w:ascii="Cambria" w:hAnsi="Cambria" w:cs="Arial"/>
          <w:u w:val="none"/>
          <w:shd w:val="clear" w:color="auto" w:fill="FFFFFF"/>
          <w:lang w:val="es-US"/>
        </w:rPr>
        <w:t>árr.</w:t>
      </w:r>
      <w:r w:rsidRPr="00DC5DF1">
        <w:rPr>
          <w:rFonts w:ascii="Cambria" w:hAnsi="Cambria"/>
          <w:lang w:val="es-MX"/>
        </w:rPr>
        <w:t xml:space="preserve"> 130; </w:t>
      </w:r>
      <w:r w:rsidRPr="00DC5DF1">
        <w:rPr>
          <w:rFonts w:ascii="Cambria" w:hAnsi="Cambria" w:cs="Verdana-Bold"/>
          <w:bCs/>
          <w:lang w:val="es-MX" w:bidi="en-US"/>
        </w:rPr>
        <w:t xml:space="preserve">Caso Ríos y otros Vs Venezuela. </w:t>
      </w:r>
      <w:r w:rsidRPr="00DC5DF1">
        <w:rPr>
          <w:rFonts w:ascii="Cambria" w:hAnsi="Cambria" w:cs="Verdana"/>
          <w:lang w:val="es-MX" w:bidi="en-US"/>
        </w:rPr>
        <w:t>Excepciones Preliminares, Fondo, Reparaciones y Costas. Sentencia de 28 de enero de 2009. Serie C No. 194,</w:t>
      </w:r>
      <w:r w:rsidRPr="00DC5DF1">
        <w:rPr>
          <w:rFonts w:ascii="Cambria" w:hAnsi="Cambria"/>
          <w:lang w:val="es-MX" w:bidi="en-US"/>
        </w:rPr>
        <w:t xml:space="preserve"> párr. 101; </w:t>
      </w:r>
      <w:r w:rsidRPr="00DC5DF1">
        <w:rPr>
          <w:rFonts w:ascii="Cambria" w:hAnsi="Cambria" w:cs="Verdana-Bold"/>
          <w:bCs/>
          <w:lang w:val="es-MX" w:bidi="en-US"/>
        </w:rPr>
        <w:t xml:space="preserve">Caso Perozo y otros Vs Venezuela. </w:t>
      </w:r>
      <w:r w:rsidRPr="00DC5DF1">
        <w:rPr>
          <w:rFonts w:ascii="Cambria" w:hAnsi="Cambria" w:cs="Verdana"/>
          <w:lang w:val="es-MX" w:bidi="en-US"/>
        </w:rPr>
        <w:t xml:space="preserve">Excepciones Preliminares, Fondo, Reparaciones y Costas. Sentencia de 28 de enero de 2009. Serie C No. 195, </w:t>
      </w:r>
      <w:r w:rsidRPr="00DC5DF1">
        <w:rPr>
          <w:rFonts w:ascii="Cambria" w:hAnsi="Cambria"/>
          <w:lang w:val="es-MX"/>
        </w:rPr>
        <w:t xml:space="preserve">párr. 112. Caso Kawas Fernández Vs. Honduras. Fondo, Reparaciones y Costas. Sentencia de 3 de abril de 2009. Serie C No. 196, párr.95. </w:t>
      </w:r>
    </w:p>
  </w:footnote>
  <w:footnote w:id="81">
    <w:p w14:paraId="510E8583" w14:textId="77777777" w:rsidR="00A52FEB" w:rsidRPr="00DC5DF1" w:rsidRDefault="00A52FEB" w:rsidP="00BF20B7">
      <w:pPr>
        <w:autoSpaceDE w:val="0"/>
        <w:autoSpaceDN w:val="0"/>
        <w:adjustRightInd w:val="0"/>
        <w:jc w:val="both"/>
        <w:rPr>
          <w:rFonts w:ascii="Cambria" w:hAnsi="Cambria"/>
          <w:sz w:val="16"/>
          <w:szCs w:val="16"/>
          <w:lang w:val="es-MX"/>
        </w:rPr>
      </w:pPr>
      <w:r w:rsidRPr="00DC5DF1">
        <w:rPr>
          <w:rStyle w:val="FootnoteReference"/>
          <w:rFonts w:ascii="Cambria" w:hAnsi="Cambria"/>
          <w:sz w:val="16"/>
          <w:szCs w:val="16"/>
        </w:rPr>
        <w:footnoteRef/>
      </w:r>
      <w:r w:rsidRPr="00DC5DF1">
        <w:rPr>
          <w:rFonts w:ascii="Cambria" w:hAnsi="Cambria"/>
          <w:sz w:val="16"/>
          <w:szCs w:val="16"/>
          <w:lang w:val="es-MX"/>
        </w:rPr>
        <w:t xml:space="preserve"> Corte IDH. Caso Velásquez Rodríguez. Fondo, supra nota 17, párr. 135; </w:t>
      </w:r>
      <w:r w:rsidRPr="00DC5DF1">
        <w:rPr>
          <w:rFonts w:ascii="Cambria" w:hAnsi="Cambria"/>
          <w:iCs/>
          <w:sz w:val="16"/>
          <w:szCs w:val="16"/>
          <w:lang w:val="es-ES"/>
        </w:rPr>
        <w:t xml:space="preserve">Caso Yatama Vs. Nicaragua. Excepciones Preliminares, Fondo, Reparaciones y Costas. </w:t>
      </w:r>
      <w:r w:rsidRPr="00DC5DF1">
        <w:rPr>
          <w:rFonts w:ascii="Cambria" w:hAnsi="Cambria" w:cs="Verdana"/>
          <w:sz w:val="16"/>
          <w:szCs w:val="16"/>
          <w:lang w:val="es-ES"/>
        </w:rPr>
        <w:t xml:space="preserve">Sentencia de 23 de junio de 2005. Serie C No. 127, párr. 134, y </w:t>
      </w:r>
      <w:r w:rsidRPr="00DC5DF1">
        <w:rPr>
          <w:rFonts w:ascii="Cambria" w:hAnsi="Cambria" w:cs="Verdana-Bold"/>
          <w:bCs/>
          <w:sz w:val="16"/>
          <w:szCs w:val="16"/>
          <w:lang w:val="es-MX" w:bidi="en-US"/>
        </w:rPr>
        <w:t xml:space="preserve">Caso Ríos y otros. </w:t>
      </w:r>
      <w:r w:rsidRPr="00DC5DF1">
        <w:rPr>
          <w:rFonts w:ascii="Cambria" w:hAnsi="Cambria" w:cs="Verdana"/>
          <w:sz w:val="16"/>
          <w:szCs w:val="16"/>
          <w:lang w:val="es-MX" w:bidi="en-US"/>
        </w:rPr>
        <w:t xml:space="preserve">Excepciones Preliminares, Fondo, Reparaciones y Costas, </w:t>
      </w:r>
      <w:r w:rsidRPr="00DC5DF1">
        <w:rPr>
          <w:rFonts w:ascii="Cambria" w:hAnsi="Cambria"/>
          <w:sz w:val="16"/>
          <w:szCs w:val="16"/>
          <w:lang w:val="es-MX" w:bidi="en-US"/>
        </w:rPr>
        <w:t>supra nota 10</w:t>
      </w:r>
      <w:r w:rsidRPr="00DC5DF1">
        <w:rPr>
          <w:rFonts w:ascii="Cambria" w:hAnsi="Cambria" w:cs="Verdana"/>
          <w:sz w:val="16"/>
          <w:szCs w:val="16"/>
          <w:lang w:val="es-MX" w:bidi="en-US"/>
        </w:rPr>
        <w:t>,</w:t>
      </w:r>
      <w:r w:rsidRPr="00DC5DF1">
        <w:rPr>
          <w:rFonts w:ascii="Cambria" w:hAnsi="Cambria"/>
          <w:sz w:val="16"/>
          <w:szCs w:val="16"/>
          <w:lang w:val="es-MX" w:bidi="en-US"/>
        </w:rPr>
        <w:t xml:space="preserve"> párr. 198.</w:t>
      </w:r>
    </w:p>
  </w:footnote>
  <w:footnote w:id="82">
    <w:p w14:paraId="3524CDB4" w14:textId="67622DCD" w:rsidR="00A52FEB" w:rsidRPr="00DC5DF1" w:rsidRDefault="00A52FEB" w:rsidP="00BF20B7">
      <w:pPr>
        <w:pStyle w:val="FootnoteText"/>
        <w:rPr>
          <w:rFonts w:ascii="Cambria" w:hAnsi="Cambria"/>
          <w:lang w:val="es-CO"/>
        </w:rPr>
      </w:pPr>
      <w:r w:rsidRPr="00DC5DF1">
        <w:rPr>
          <w:rStyle w:val="FootnoteReference"/>
          <w:rFonts w:ascii="Cambria" w:hAnsi="Cambria"/>
        </w:rPr>
        <w:footnoteRef/>
      </w:r>
      <w:r w:rsidRPr="00DC5DF1">
        <w:rPr>
          <w:rFonts w:ascii="Cambria" w:hAnsi="Cambria"/>
          <w:lang w:val="es-CO"/>
        </w:rPr>
        <w:t xml:space="preserve"> Ver por ejemplo algunos informes de admisibilidad en los cuales se ha admitido la posible violación del artículo 26 de la Convención: </w:t>
      </w:r>
      <w:r w:rsidRPr="00DC5DF1">
        <w:rPr>
          <w:rFonts w:ascii="Cambria" w:hAnsi="Cambria" w:cs="Helvetica"/>
          <w:color w:val="141413"/>
          <w:lang w:val="es-CO" w:bidi="en-US"/>
        </w:rPr>
        <w:t xml:space="preserve">Informe 29/01. Caso 12.249. Jorge Odir Miranda Cortez y otros. El Salvador, 7 de marzo de 2001; e Informe 70/04. Petición 667/01. Admisibilidad. Jesús Manuel Naranjo Cárdenas y otros (Jubilados de la Empresa Venezolana de Aviación viasa). Venezuela, 13 de octubre de 2004. </w:t>
      </w:r>
      <w:r w:rsidR="00AF2FE4" w:rsidRPr="00DC5DF1">
        <w:rPr>
          <w:rFonts w:ascii="Cambria" w:hAnsi="Cambria" w:cs="Helvetica"/>
          <w:color w:val="141413"/>
          <w:lang w:val="es-CO" w:bidi="en-US"/>
        </w:rPr>
        <w:t>Asimismo,</w:t>
      </w:r>
      <w:r w:rsidRPr="00DC5DF1">
        <w:rPr>
          <w:rFonts w:ascii="Cambria" w:hAnsi="Cambria" w:cs="Helvetica"/>
          <w:color w:val="141413"/>
          <w:lang w:val="es-CO" w:bidi="en-US"/>
        </w:rPr>
        <w:t xml:space="preserve"> ver el pronunciamiento de fondo sobre el artículo 26 en Informe 38/09. Caso 12.670. Asociación Nacional de Ex Servidores del Instituto de Seguridad Social y otros vs. Perú. 27 de marzo de 2009. En similar sentido, la Corte reafirmó dicha competencia en Caso Acevedo Buendía y otros (“Cesantes y Jubilados de la Contraloría”) vs. Perú (Excepción Preliminar, Fondo, Reparaciones y Costas), Sentencia del 1 de julio de 2009.</w:t>
      </w:r>
    </w:p>
  </w:footnote>
  <w:footnote w:id="83">
    <w:p w14:paraId="5FF4476F" w14:textId="77777777" w:rsidR="00A52FEB" w:rsidRPr="00DC5DF1" w:rsidRDefault="00A52FEB" w:rsidP="00BF20B7">
      <w:pPr>
        <w:pStyle w:val="FootnoteText"/>
        <w:rPr>
          <w:rFonts w:ascii="Cambria" w:hAnsi="Cambria"/>
          <w:lang w:val="es-CO"/>
        </w:rPr>
      </w:pPr>
      <w:r w:rsidRPr="00DC5DF1">
        <w:rPr>
          <w:rStyle w:val="FootnoteReference"/>
          <w:rFonts w:ascii="Cambria" w:hAnsi="Cambria"/>
        </w:rPr>
        <w:footnoteRef/>
      </w:r>
      <w:r w:rsidRPr="00DC5DF1">
        <w:rPr>
          <w:rFonts w:ascii="Cambria" w:hAnsi="Cambria"/>
          <w:lang w:val="es-CO"/>
        </w:rPr>
        <w:t xml:space="preserve"> </w:t>
      </w:r>
      <w:r w:rsidRPr="00DC5DF1">
        <w:rPr>
          <w:rStyle w:val="Strong"/>
          <w:rFonts w:ascii="Cambria" w:eastAsia="Times New Roman" w:hAnsi="Cambria"/>
          <w:b w:val="0"/>
          <w:lang w:val="es-PE"/>
        </w:rPr>
        <w:t>Ver, por ejemplo. Corte IDH. Caso Lagos del Campo Vs. Perú. Excepciones Preliminares, Fondo, Reparaciones y Costas. Sentencia de 31 de agosto de 2017. Serie C No. 340. Párr. 141; y</w:t>
      </w:r>
      <w:r w:rsidRPr="00DC5DF1">
        <w:rPr>
          <w:rStyle w:val="Strong"/>
          <w:rFonts w:ascii="Cambria" w:eastAsia="Times New Roman" w:hAnsi="Cambria"/>
          <w:lang w:val="es-PE"/>
        </w:rPr>
        <w:t xml:space="preserve"> </w:t>
      </w:r>
      <w:r w:rsidRPr="00DC5DF1">
        <w:rPr>
          <w:rFonts w:ascii="Cambria" w:hAnsi="Cambria" w:cs="Helvetica"/>
          <w:color w:val="141413"/>
          <w:lang w:val="es-CO" w:bidi="en-US"/>
        </w:rPr>
        <w:t>Caso Acevedo Buendía y otros (“Cesantes y Jubilados de la Contraloría”) vs. Perú (Excepción Preliminar, Fondo, Reparaciones y Costas), Sentencia del 1 de julio de 2009. Párr. 101.</w:t>
      </w:r>
    </w:p>
  </w:footnote>
  <w:footnote w:id="84">
    <w:p w14:paraId="39654D62" w14:textId="77777777" w:rsidR="00A52FEB" w:rsidRPr="00DC5DF1" w:rsidRDefault="00A52FEB" w:rsidP="00A755F3">
      <w:pPr>
        <w:jc w:val="both"/>
        <w:rPr>
          <w:rFonts w:ascii="Cambria" w:hAnsi="Cambria"/>
          <w:color w:val="000000"/>
          <w:sz w:val="16"/>
          <w:szCs w:val="16"/>
          <w:lang w:val="es-AR"/>
        </w:rPr>
      </w:pPr>
      <w:r w:rsidRPr="00DC5DF1">
        <w:rPr>
          <w:rStyle w:val="FootnoteReference"/>
          <w:rFonts w:ascii="Cambria" w:hAnsi="Cambria"/>
          <w:sz w:val="16"/>
          <w:szCs w:val="16"/>
        </w:rPr>
        <w:footnoteRef/>
      </w:r>
      <w:r w:rsidRPr="00DC5DF1">
        <w:rPr>
          <w:rFonts w:ascii="Cambria" w:hAnsi="Cambria"/>
          <w:sz w:val="16"/>
          <w:szCs w:val="16"/>
          <w:lang w:val="es-PE"/>
        </w:rPr>
        <w:t xml:space="preserve"> </w:t>
      </w:r>
      <w:r w:rsidRPr="00DC5DF1">
        <w:rPr>
          <w:rFonts w:ascii="Cambria" w:hAnsi="Cambria"/>
          <w:color w:val="000000"/>
          <w:sz w:val="16"/>
          <w:szCs w:val="16"/>
          <w:lang w:val="es-AR"/>
        </w:rPr>
        <w:t xml:space="preserve">CIDH. Informe No. 38/09. Caso 12.670. Admisibilidad y fondo. Asociación Nacional de Ex Servidores del Instituto Peruano de Seguridad Social y otras. Perú. 27 de marzo de 2009. Párr. 136. </w:t>
      </w:r>
    </w:p>
  </w:footnote>
  <w:footnote w:id="85">
    <w:p w14:paraId="7E567D31" w14:textId="77777777" w:rsidR="00A52FEB" w:rsidRPr="00DC5DF1" w:rsidRDefault="00A52FEB" w:rsidP="00A755F3">
      <w:pPr>
        <w:jc w:val="both"/>
        <w:rPr>
          <w:rFonts w:ascii="Cambria" w:eastAsia="Times New Roman" w:hAnsi="Cambria"/>
          <w:sz w:val="16"/>
          <w:szCs w:val="16"/>
          <w:lang w:val="es-PE"/>
        </w:rPr>
      </w:pPr>
      <w:r w:rsidRPr="00DC5DF1">
        <w:rPr>
          <w:rStyle w:val="FootnoteReference"/>
          <w:rFonts w:ascii="Cambria" w:hAnsi="Cambria"/>
          <w:sz w:val="16"/>
          <w:szCs w:val="16"/>
        </w:rPr>
        <w:footnoteRef/>
      </w:r>
      <w:r w:rsidRPr="00DC5DF1">
        <w:rPr>
          <w:rFonts w:ascii="Cambria" w:hAnsi="Cambria"/>
          <w:sz w:val="16"/>
          <w:szCs w:val="16"/>
          <w:lang w:val="es-PE"/>
        </w:rPr>
        <w:t xml:space="preserve"> </w:t>
      </w:r>
      <w:r w:rsidRPr="00DC5DF1">
        <w:rPr>
          <w:rFonts w:ascii="Cambria" w:eastAsia="Times New Roman" w:hAnsi="Cambria"/>
          <w:color w:val="000000"/>
          <w:sz w:val="16"/>
          <w:szCs w:val="16"/>
          <w:lang w:val="es-PE"/>
        </w:rPr>
        <w:t>Comité de Derechos Económicos, Sociales y Culturales de Naciones Unidas,</w:t>
      </w:r>
      <w:r w:rsidRPr="00DC5DF1">
        <w:rPr>
          <w:rStyle w:val="apple-converted-space"/>
          <w:rFonts w:ascii="Cambria" w:eastAsia="Times New Roman" w:hAnsi="Cambria"/>
          <w:color w:val="000000"/>
          <w:sz w:val="16"/>
          <w:szCs w:val="16"/>
          <w:lang w:val="es-PE"/>
        </w:rPr>
        <w:t> </w:t>
      </w:r>
      <w:r w:rsidRPr="00DC5DF1">
        <w:rPr>
          <w:rFonts w:ascii="Cambria" w:eastAsia="Times New Roman" w:hAnsi="Cambria"/>
          <w:iCs/>
          <w:color w:val="000000"/>
          <w:sz w:val="16"/>
          <w:szCs w:val="16"/>
          <w:lang w:val="es-PE"/>
        </w:rPr>
        <w:t>Observación general 3: La índole de las obligaciones de los Estados Partes (párrafo 1 del artículo 2 del Pacto)</w:t>
      </w:r>
      <w:r w:rsidRPr="00DC5DF1">
        <w:rPr>
          <w:rFonts w:ascii="Cambria" w:eastAsia="Times New Roman" w:hAnsi="Cambria"/>
          <w:color w:val="000000"/>
          <w:sz w:val="16"/>
          <w:szCs w:val="16"/>
          <w:lang w:val="es-PE"/>
        </w:rPr>
        <w:t>, adoptada en el Quinto Período de Sesiones, 1990, E/1991/23.</w:t>
      </w:r>
    </w:p>
  </w:footnote>
  <w:footnote w:id="86">
    <w:p w14:paraId="570DC3C6" w14:textId="77777777" w:rsidR="00A52FEB" w:rsidRPr="00DC5DF1" w:rsidRDefault="00A52FEB" w:rsidP="00E56A6F">
      <w:pPr>
        <w:jc w:val="both"/>
        <w:rPr>
          <w:rFonts w:ascii="Cambria" w:eastAsia="Times New Roman" w:hAnsi="Cambria"/>
          <w:sz w:val="16"/>
          <w:szCs w:val="16"/>
          <w:lang w:val="es-PE"/>
        </w:rPr>
      </w:pPr>
      <w:r w:rsidRPr="00DC5DF1">
        <w:rPr>
          <w:rStyle w:val="FootnoteReference"/>
          <w:rFonts w:ascii="Cambria" w:hAnsi="Cambria"/>
          <w:sz w:val="16"/>
          <w:szCs w:val="16"/>
        </w:rPr>
        <w:footnoteRef/>
      </w:r>
      <w:r w:rsidRPr="00DC5DF1">
        <w:rPr>
          <w:rFonts w:ascii="Cambria" w:hAnsi="Cambria"/>
          <w:sz w:val="16"/>
          <w:szCs w:val="16"/>
          <w:lang w:val="es-PE"/>
        </w:rPr>
        <w:t xml:space="preserve"> </w:t>
      </w:r>
      <w:r w:rsidRPr="00DC5DF1">
        <w:rPr>
          <w:rFonts w:ascii="Cambria" w:eastAsia="Times New Roman" w:hAnsi="Cambria"/>
          <w:color w:val="000000"/>
          <w:sz w:val="16"/>
          <w:szCs w:val="16"/>
          <w:lang w:val="es-PE"/>
        </w:rPr>
        <w:t>Comité de Derechos Económicos, Sociales y Culturales de Naciones Unidas,</w:t>
      </w:r>
      <w:r w:rsidRPr="00DC5DF1">
        <w:rPr>
          <w:rStyle w:val="apple-converted-space"/>
          <w:rFonts w:ascii="Cambria" w:eastAsia="Times New Roman" w:hAnsi="Cambria"/>
          <w:color w:val="000000"/>
          <w:sz w:val="16"/>
          <w:szCs w:val="16"/>
          <w:lang w:val="es-PE"/>
        </w:rPr>
        <w:t> </w:t>
      </w:r>
      <w:r w:rsidRPr="00DC5DF1">
        <w:rPr>
          <w:rFonts w:ascii="Cambria" w:eastAsia="Times New Roman" w:hAnsi="Cambria"/>
          <w:iCs/>
          <w:color w:val="000000"/>
          <w:sz w:val="16"/>
          <w:szCs w:val="16"/>
          <w:lang w:val="es-PE"/>
        </w:rPr>
        <w:t>Observación general 3: La índole de las obligaciones de los Estados Partes (párrafo 1 del artículo 2 del Pacto)</w:t>
      </w:r>
      <w:r w:rsidRPr="00DC5DF1">
        <w:rPr>
          <w:rFonts w:ascii="Cambria" w:eastAsia="Times New Roman" w:hAnsi="Cambria"/>
          <w:color w:val="000000"/>
          <w:sz w:val="16"/>
          <w:szCs w:val="16"/>
          <w:lang w:val="es-PE"/>
        </w:rPr>
        <w:t xml:space="preserve">,  1990. En ese sentido ver: </w:t>
      </w:r>
      <w:r w:rsidRPr="00DC5DF1">
        <w:rPr>
          <w:rFonts w:ascii="Cambria" w:hAnsi="Cambria"/>
          <w:sz w:val="16"/>
          <w:szCs w:val="16"/>
          <w:lang w:val="es-PE"/>
        </w:rPr>
        <w:t>CIDH. Informe sobre pobreza y derechos humanos en las Américas OEA/Ser.L/V/II.164 Doc. 147 (7 de septiembre de 2017) párrs. 236 y 237.</w:t>
      </w:r>
    </w:p>
  </w:footnote>
  <w:footnote w:id="87">
    <w:p w14:paraId="461C7040" w14:textId="77777777" w:rsidR="00A52FEB" w:rsidRPr="00DC5DF1" w:rsidRDefault="00A52FEB" w:rsidP="00F52324">
      <w:pPr>
        <w:pStyle w:val="FootnoteText"/>
        <w:tabs>
          <w:tab w:val="left" w:pos="720"/>
          <w:tab w:val="left" w:pos="900"/>
          <w:tab w:val="left" w:pos="1080"/>
        </w:tabs>
        <w:rPr>
          <w:rFonts w:ascii="Cambria" w:hAnsi="Cambria"/>
          <w:color w:val="auto"/>
          <w:lang w:val="es-ES"/>
        </w:rPr>
      </w:pPr>
      <w:r w:rsidRPr="00DC5DF1">
        <w:rPr>
          <w:rStyle w:val="FootnoteReference"/>
          <w:rFonts w:ascii="Cambria" w:hAnsi="Cambria"/>
          <w:color w:val="auto"/>
          <w:lang w:val="es-ES"/>
        </w:rPr>
        <w:footnoteRef/>
      </w:r>
      <w:r w:rsidRPr="00DC5DF1">
        <w:rPr>
          <w:rFonts w:ascii="Cambria" w:hAnsi="Cambria"/>
          <w:color w:val="auto"/>
          <w:lang w:val="es-ES"/>
        </w:rPr>
        <w:t xml:space="preserve"> CIDH. Caso 12.270. Informe No. 2/15, Fondo, Johan Alexis Ortiz Hernández, Venezuela, 29 de enero de 2015, párr. 185.</w:t>
      </w:r>
    </w:p>
  </w:footnote>
  <w:footnote w:id="88">
    <w:p w14:paraId="4C0B219D" w14:textId="77777777" w:rsidR="00A52FEB" w:rsidRPr="00DC5DF1" w:rsidRDefault="00A52FEB" w:rsidP="00F52324">
      <w:pPr>
        <w:pStyle w:val="FootnoteText"/>
        <w:tabs>
          <w:tab w:val="left" w:pos="720"/>
          <w:tab w:val="left" w:pos="900"/>
          <w:tab w:val="left" w:pos="1080"/>
        </w:tabs>
        <w:rPr>
          <w:rFonts w:ascii="Cambria" w:hAnsi="Cambria"/>
          <w:color w:val="auto"/>
          <w:lang w:val="es-CO"/>
        </w:rPr>
      </w:pPr>
      <w:r w:rsidRPr="00DC5DF1">
        <w:rPr>
          <w:rStyle w:val="FootnoteReference"/>
          <w:rFonts w:ascii="Cambria" w:hAnsi="Cambria"/>
          <w:color w:val="auto"/>
        </w:rPr>
        <w:footnoteRef/>
      </w:r>
      <w:r w:rsidRPr="00DC5DF1">
        <w:rPr>
          <w:rFonts w:ascii="Cambria" w:hAnsi="Cambria"/>
          <w:color w:val="auto"/>
          <w:lang w:val="es-ES_tradnl"/>
        </w:rPr>
        <w:t xml:space="preserve"> Corte IDH. </w:t>
      </w:r>
      <w:r w:rsidRPr="00DC5DF1">
        <w:rPr>
          <w:rFonts w:ascii="Cambria" w:hAnsi="Cambria"/>
          <w:bCs/>
          <w:color w:val="auto"/>
          <w:lang w:val="es-ES_tradnl"/>
        </w:rPr>
        <w:t xml:space="preserve">Caso Zambrano Vélez y otros Vs. Ecuador. </w:t>
      </w:r>
      <w:r w:rsidRPr="00DC5DF1">
        <w:rPr>
          <w:rFonts w:ascii="Cambria" w:hAnsi="Cambria"/>
          <w:color w:val="auto"/>
          <w:lang w:val="es-ES_tradnl"/>
        </w:rPr>
        <w:t xml:space="preserve">Fondo, Reparaciones y Costas. Sentencia de 4 de julio de 2007. Serie C No. 166, párr. 80. Asimismo, véase: </w:t>
      </w:r>
      <w:r w:rsidRPr="00DC5DF1">
        <w:rPr>
          <w:rFonts w:ascii="Cambria" w:hAnsi="Cambria"/>
          <w:color w:val="auto"/>
          <w:lang w:val="es-ES"/>
        </w:rPr>
        <w:t xml:space="preserve">CIDH, Caso 12.270, Informe No. 2/15, Fondo, Johan Alexis Ortiz Hernández, Venezuela, 29 de enero de 2015, párr. </w:t>
      </w:r>
      <w:r w:rsidRPr="00DC5DF1">
        <w:rPr>
          <w:rFonts w:ascii="Cambria" w:hAnsi="Cambria"/>
          <w:color w:val="auto"/>
          <w:lang w:val="es-CO"/>
        </w:rPr>
        <w:t>186.</w:t>
      </w:r>
    </w:p>
  </w:footnote>
  <w:footnote w:id="89">
    <w:p w14:paraId="6215601F" w14:textId="77777777" w:rsidR="00A52FEB" w:rsidRPr="00DC5DF1" w:rsidRDefault="00A52FEB" w:rsidP="00E83DF1">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CIDH, Informe No. 102/13, Caso 12.723, Fondo, TGGL, Ecuador, 5 de noviembre de 2013. CIDH. Informe: Acceso a servicios de salud materna desde una perspectiva de derechos humanos. 7 de junio de 2010. Sección II.</w:t>
      </w:r>
    </w:p>
  </w:footnote>
  <w:footnote w:id="90">
    <w:p w14:paraId="6915682A" w14:textId="77777777" w:rsidR="00A52FEB" w:rsidRPr="00DC5DF1" w:rsidRDefault="00A52FEB" w:rsidP="00E83DF1">
      <w:pPr>
        <w:pStyle w:val="FootnoteText"/>
        <w:rPr>
          <w:rFonts w:ascii="Cambria" w:hAnsi="Cambria"/>
          <w:lang w:val="es-CR" w:eastAsia="x-none"/>
        </w:rPr>
      </w:pPr>
      <w:r w:rsidRPr="00DC5DF1">
        <w:rPr>
          <w:rStyle w:val="FootnoteReference"/>
          <w:rFonts w:ascii="Cambria" w:hAnsi="Cambria"/>
        </w:rPr>
        <w:footnoteRef/>
      </w:r>
      <w:r w:rsidRPr="00DC5DF1">
        <w:rPr>
          <w:rFonts w:ascii="Cambria" w:hAnsi="Cambria"/>
          <w:lang w:val="es-MX" w:eastAsia="x-none"/>
        </w:rPr>
        <w:t xml:space="preserve"> </w:t>
      </w:r>
      <w:hyperlink r:id="rId5" w:history="1">
        <w:r w:rsidRPr="00DC5DF1">
          <w:rPr>
            <w:rFonts w:ascii="Cambria" w:hAnsi="Cambria"/>
            <w:lang w:val="es-MX"/>
          </w:rPr>
          <w:t xml:space="preserve">Corte IDH. </w:t>
        </w:r>
        <w:r w:rsidRPr="00DC5DF1">
          <w:rPr>
            <w:rFonts w:ascii="Cambria" w:hAnsi="Cambria"/>
            <w:i/>
            <w:lang w:val="es-MX"/>
          </w:rPr>
          <w:t xml:space="preserve">Caso Suárez Peralta Vs. </w:t>
        </w:r>
        <w:r w:rsidRPr="00DC5DF1">
          <w:rPr>
            <w:rFonts w:ascii="Cambria" w:hAnsi="Cambria"/>
            <w:i/>
            <w:lang w:val="es-ES"/>
          </w:rPr>
          <w:t>Ecuador.</w:t>
        </w:r>
        <w:r w:rsidRPr="00DC5DF1">
          <w:rPr>
            <w:rFonts w:ascii="Cambria" w:hAnsi="Cambria"/>
            <w:lang w:val="es-ES"/>
          </w:rPr>
          <w:t xml:space="preserve"> Excepciones Preliminares, Fondo, Reparaciones y Costas. Sentencia de 21 de mayo de 2013. Serie C No. 261</w:t>
        </w:r>
      </w:hyperlink>
      <w:r w:rsidRPr="00DC5DF1">
        <w:rPr>
          <w:rFonts w:ascii="Cambria" w:hAnsi="Cambria"/>
          <w:lang w:val="es-ES"/>
        </w:rPr>
        <w:t xml:space="preserve">, párr. 130; </w:t>
      </w:r>
      <w:r w:rsidRPr="00DC5DF1">
        <w:rPr>
          <w:rFonts w:ascii="Cambria" w:hAnsi="Cambria"/>
          <w:lang w:val="es-ES" w:eastAsia="x-none"/>
        </w:rPr>
        <w:t>y</w:t>
      </w:r>
      <w:r w:rsidRPr="00DC5DF1">
        <w:rPr>
          <w:rFonts w:ascii="Cambria" w:hAnsi="Cambria"/>
          <w:i/>
          <w:lang w:val="es-ES" w:eastAsia="x-none"/>
        </w:rPr>
        <w:t xml:space="preserve"> Caso Vera Vera y otra Vs. Ecuador</w:t>
      </w:r>
      <w:r w:rsidRPr="00DC5DF1">
        <w:rPr>
          <w:rFonts w:ascii="Cambria" w:hAnsi="Cambria"/>
          <w:lang w:val="es-ES" w:eastAsia="x-none"/>
        </w:rPr>
        <w:t xml:space="preserve">. </w:t>
      </w:r>
      <w:r w:rsidRPr="00DC5DF1">
        <w:rPr>
          <w:rFonts w:ascii="Cambria" w:hAnsi="Cambria"/>
          <w:i/>
          <w:lang w:val="es-ES" w:eastAsia="x-none"/>
        </w:rPr>
        <w:t xml:space="preserve">Excepción Preliminar, Fondo, Reparaciones y Costas. </w:t>
      </w:r>
      <w:r w:rsidRPr="00DC5DF1">
        <w:rPr>
          <w:rFonts w:ascii="Cambria" w:hAnsi="Cambria"/>
          <w:lang w:val="es-ES" w:eastAsia="x-none"/>
        </w:rPr>
        <w:t xml:space="preserve">Sentencia de 19 de mayo de 2011. Serie C No. 226, párr. </w:t>
      </w:r>
      <w:r w:rsidRPr="00DC5DF1">
        <w:rPr>
          <w:rFonts w:ascii="Cambria" w:hAnsi="Cambria"/>
          <w:lang w:val="es-CR" w:eastAsia="x-none"/>
        </w:rPr>
        <w:t xml:space="preserve">43. </w:t>
      </w:r>
    </w:p>
  </w:footnote>
  <w:footnote w:id="91">
    <w:p w14:paraId="754A0A77" w14:textId="77777777" w:rsidR="00A52FEB" w:rsidRPr="00DC5DF1" w:rsidRDefault="00A52FEB" w:rsidP="00E83DF1">
      <w:pPr>
        <w:pStyle w:val="FootnoteText"/>
        <w:rPr>
          <w:rFonts w:ascii="Cambria" w:hAnsi="Cambria"/>
          <w:lang w:val="pt-BR"/>
        </w:rPr>
      </w:pPr>
      <w:r w:rsidRPr="00DC5DF1">
        <w:rPr>
          <w:rStyle w:val="FootnoteReference"/>
          <w:rFonts w:ascii="Cambria" w:hAnsi="Cambria"/>
        </w:rPr>
        <w:footnoteRef/>
      </w:r>
      <w:r w:rsidRPr="00DC5DF1">
        <w:rPr>
          <w:rFonts w:ascii="Cambria" w:hAnsi="Cambria"/>
          <w:lang w:val="es-MX"/>
        </w:rPr>
        <w:t xml:space="preserve"> </w:t>
      </w:r>
      <w:hyperlink r:id="rId6" w:history="1">
        <w:r w:rsidRPr="00DC5DF1">
          <w:rPr>
            <w:rFonts w:ascii="Cambria" w:hAnsi="Cambria"/>
            <w:lang w:val="es-MX"/>
          </w:rPr>
          <w:t xml:space="preserve">Corte IDH. </w:t>
        </w:r>
        <w:r w:rsidRPr="00DC5DF1">
          <w:rPr>
            <w:rFonts w:ascii="Cambria" w:hAnsi="Cambria"/>
            <w:i/>
            <w:lang w:val="es-MX"/>
          </w:rPr>
          <w:t xml:space="preserve">Caso Suárez Peralta Vs. </w:t>
        </w:r>
        <w:r w:rsidRPr="00DC5DF1">
          <w:rPr>
            <w:rFonts w:ascii="Cambria" w:hAnsi="Cambria"/>
            <w:i/>
            <w:lang w:val="es-ES"/>
          </w:rPr>
          <w:t>Ecuador.</w:t>
        </w:r>
        <w:r w:rsidRPr="00DC5DF1">
          <w:rPr>
            <w:rFonts w:ascii="Cambria" w:hAnsi="Cambria"/>
            <w:lang w:val="es-ES"/>
          </w:rPr>
          <w:t xml:space="preserve"> Excepciones Preliminares, Fondo, Reparaciones y Costas. Sentencia de 21 de mayo de 2013. Serie C No. 261</w:t>
        </w:r>
      </w:hyperlink>
      <w:r w:rsidRPr="00DC5DF1">
        <w:rPr>
          <w:rFonts w:ascii="Cambria" w:hAnsi="Cambria"/>
          <w:lang w:val="es-ES"/>
        </w:rPr>
        <w:t>, párr. 130</w:t>
      </w:r>
      <w:r w:rsidRPr="00DC5DF1">
        <w:rPr>
          <w:rFonts w:ascii="Cambria" w:hAnsi="Cambria"/>
          <w:lang w:val="es-CR"/>
        </w:rPr>
        <w:t xml:space="preserve">; </w:t>
      </w:r>
      <w:r w:rsidRPr="00DC5DF1">
        <w:rPr>
          <w:rFonts w:ascii="Cambria" w:hAnsi="Cambria"/>
          <w:i/>
          <w:lang w:val="es-CR"/>
        </w:rPr>
        <w:t xml:space="preserve">Caso Tibi Vs. Ecuador. </w:t>
      </w:r>
      <w:r w:rsidRPr="00DC5DF1">
        <w:rPr>
          <w:rFonts w:ascii="Cambria" w:hAnsi="Cambria"/>
          <w:lang w:val="es-CR"/>
        </w:rPr>
        <w:t>Excepciones Preliminares, Fondos, Reparaciones y Costas.</w:t>
      </w:r>
      <w:r w:rsidRPr="00DC5DF1">
        <w:rPr>
          <w:rFonts w:ascii="Cambria" w:hAnsi="Cambria"/>
          <w:i/>
          <w:lang w:val="es-CR"/>
        </w:rPr>
        <w:t xml:space="preserve"> </w:t>
      </w:r>
      <w:r w:rsidRPr="00DC5DF1">
        <w:rPr>
          <w:rFonts w:ascii="Cambria" w:hAnsi="Cambria"/>
          <w:lang w:val="es-CR"/>
        </w:rPr>
        <w:t xml:space="preserve">Sentencia de 7 de septiembre de 2004. Serie C No. 114, párr. 157, y </w:t>
      </w:r>
      <w:r w:rsidRPr="00DC5DF1">
        <w:rPr>
          <w:rFonts w:ascii="Cambria" w:hAnsi="Cambria"/>
          <w:i/>
          <w:lang w:val="es-ES"/>
        </w:rPr>
        <w:t>Caso Vera Vera y otra Vs. Ecuador</w:t>
      </w:r>
      <w:r w:rsidRPr="00DC5DF1">
        <w:rPr>
          <w:rFonts w:ascii="Cambria" w:hAnsi="Cambria"/>
          <w:lang w:val="es-ES"/>
        </w:rPr>
        <w:t xml:space="preserve">. </w:t>
      </w:r>
      <w:r w:rsidRPr="00DC5DF1">
        <w:rPr>
          <w:rFonts w:ascii="Cambria" w:hAnsi="Cambria"/>
          <w:i/>
          <w:lang w:val="es-ES"/>
        </w:rPr>
        <w:t>E</w:t>
      </w:r>
      <w:r w:rsidRPr="00DC5DF1">
        <w:rPr>
          <w:rFonts w:ascii="Cambria" w:hAnsi="Cambria"/>
          <w:lang w:val="es-ES"/>
        </w:rPr>
        <w:t xml:space="preserve">xcepción Preliminar, Fondo, Reparaciones y Costas. Sentencia de 19 de mayo de 2011. </w:t>
      </w:r>
      <w:r w:rsidRPr="00DC5DF1">
        <w:rPr>
          <w:rFonts w:ascii="Cambria" w:hAnsi="Cambria"/>
          <w:lang w:val="pt-BR"/>
        </w:rPr>
        <w:t>Serie C No. 226, párr. 44.</w:t>
      </w:r>
    </w:p>
  </w:footnote>
  <w:footnote w:id="92">
    <w:p w14:paraId="3480770F" w14:textId="77777777" w:rsidR="00A52FEB" w:rsidRPr="00DC5DF1" w:rsidRDefault="00A52FEB" w:rsidP="00E83DF1">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pt-BR"/>
        </w:rPr>
        <w:t xml:space="preserve"> Corte IDH. </w:t>
      </w:r>
      <w:r w:rsidRPr="00DC5DF1">
        <w:rPr>
          <w:rFonts w:ascii="Cambria" w:hAnsi="Cambria"/>
          <w:i/>
          <w:lang w:val="pt-BR"/>
        </w:rPr>
        <w:t>Caso Ximenes Lopes Vs. Brasil</w:t>
      </w:r>
      <w:r w:rsidRPr="00DC5DF1">
        <w:rPr>
          <w:rFonts w:ascii="Cambria" w:hAnsi="Cambria"/>
          <w:lang w:val="pt-BR"/>
        </w:rPr>
        <w:t xml:space="preserve">. </w:t>
      </w:r>
      <w:r w:rsidRPr="00DC5DF1">
        <w:rPr>
          <w:rFonts w:ascii="Cambria" w:hAnsi="Cambria"/>
          <w:i/>
          <w:lang w:val="es-ES"/>
        </w:rPr>
        <w:t>Excepción Preliminar</w:t>
      </w:r>
      <w:r w:rsidRPr="00DC5DF1">
        <w:rPr>
          <w:rFonts w:ascii="Cambria" w:hAnsi="Cambria"/>
          <w:lang w:val="es-ES"/>
        </w:rPr>
        <w:t>. Sentencia de 30 de noviembre de 2005. Serie C No. 139, párr. 99</w:t>
      </w:r>
      <w:r w:rsidRPr="00DC5DF1">
        <w:rPr>
          <w:rFonts w:ascii="Cambria" w:hAnsi="Cambria"/>
          <w:iCs/>
          <w:lang w:val="es-ES"/>
        </w:rPr>
        <w:t xml:space="preserve">. Asimismo, véase: </w:t>
      </w:r>
      <w:r w:rsidRPr="00DC5DF1">
        <w:rPr>
          <w:rFonts w:ascii="Cambria" w:hAnsi="Cambria"/>
          <w:lang w:val="es-ES"/>
        </w:rPr>
        <w:t>CIDH, Informe No. 102/13, Caso 12.723, Fondo, TGGL, Ecuador, 5 de noviembre de 2013.</w:t>
      </w:r>
    </w:p>
  </w:footnote>
  <w:footnote w:id="93">
    <w:p w14:paraId="3F644FCB" w14:textId="77777777"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sidRPr="00DC5DF1">
        <w:rPr>
          <w:rStyle w:val="FootnoteReference"/>
          <w:rFonts w:ascii="Cambria" w:hAnsi="Cambria"/>
        </w:rPr>
        <w:footnoteRef/>
      </w:r>
      <w:r w:rsidRPr="00DC5DF1">
        <w:rPr>
          <w:rFonts w:ascii="Cambria" w:hAnsi="Cambria"/>
          <w:lang w:val="es-ES"/>
        </w:rPr>
        <w:t xml:space="preserve"> Corte IDH. </w:t>
      </w:r>
      <w:r w:rsidRPr="00DC5DF1">
        <w:rPr>
          <w:rFonts w:ascii="Cambria" w:hAnsi="Cambria"/>
          <w:i/>
          <w:lang w:val="es-ES"/>
        </w:rPr>
        <w:t>Caso de los “Niños de la Calle” (Villagrán Morales y otros) Vs. Guatemala</w:t>
      </w:r>
      <w:r w:rsidRPr="00DC5DF1">
        <w:rPr>
          <w:rFonts w:ascii="Cambria" w:hAnsi="Cambria"/>
          <w:lang w:val="es-ES"/>
        </w:rPr>
        <w:t>. Fondo. Sentencia de 19 de noviembre de 1999. Serie C No. 63, párr. 144 y 191.</w:t>
      </w:r>
    </w:p>
  </w:footnote>
  <w:footnote w:id="94">
    <w:p w14:paraId="0655F451" w14:textId="77777777"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sidRPr="00DC5DF1">
        <w:rPr>
          <w:rFonts w:ascii="Cambria" w:hAnsi="Cambria"/>
          <w:lang w:val="es-ES"/>
        </w:rPr>
        <w:t xml:space="preserve">Corte IDH. </w:t>
      </w:r>
      <w:r w:rsidRPr="00DC5DF1">
        <w:rPr>
          <w:rFonts w:ascii="Cambria" w:hAnsi="Cambria"/>
          <w:i/>
          <w:lang w:val="es-ES"/>
        </w:rPr>
        <w:t>Caso Comunidad Indígena Yakye Axa Vs. Paraguay</w:t>
      </w:r>
      <w:r w:rsidRPr="00DC5DF1">
        <w:rPr>
          <w:rFonts w:ascii="Cambria" w:hAnsi="Cambria"/>
          <w:lang w:val="es-ES"/>
        </w:rPr>
        <w:t xml:space="preserve">. Interpretación de la Sentencia de Fondo, Reparaciones y Costas. Sentencia de 6 de febrero de 2006. Serie C No. 142, </w:t>
      </w:r>
      <w:r w:rsidRPr="00DC5DF1">
        <w:rPr>
          <w:rFonts w:ascii="Cambria" w:hAnsi="Cambria"/>
          <w:lang w:val="es-ES" w:eastAsia="es-ES_tradnl"/>
        </w:rPr>
        <w:t xml:space="preserve">párr. 161; </w:t>
      </w:r>
      <w:r w:rsidRPr="00DC5DF1">
        <w:rPr>
          <w:rFonts w:ascii="Cambria" w:hAnsi="Cambria"/>
          <w:i/>
          <w:lang w:val="es-ES"/>
        </w:rPr>
        <w:t>Caso Comunidad Indígena Sawhoyamaxa Vs. Paraguay</w:t>
      </w:r>
      <w:r w:rsidRPr="00DC5DF1">
        <w:rPr>
          <w:rFonts w:ascii="Cambria" w:hAnsi="Cambria"/>
          <w:lang w:val="es-ES"/>
        </w:rPr>
        <w:t xml:space="preserve">. Fondo, Reparaciones y Costas. Sentencia de 29 de marzo de 2006. Serie C No. 146; y </w:t>
      </w:r>
      <w:r w:rsidRPr="00DC5DF1">
        <w:rPr>
          <w:rFonts w:ascii="Cambria" w:hAnsi="Cambria"/>
          <w:i/>
          <w:lang w:val="es-ES"/>
        </w:rPr>
        <w:t>Caso Comunidad Indígena Xákmok Kásek. Vs. Paraguay</w:t>
      </w:r>
      <w:r w:rsidRPr="00DC5DF1">
        <w:rPr>
          <w:rFonts w:ascii="Cambria" w:hAnsi="Cambria"/>
          <w:lang w:val="es-ES"/>
        </w:rPr>
        <w:t>. Fondo, Reparaciones y Costas. Sentencia de 24 de agosto de 2010 Serie C No. 214, párrs. 194 a 217.</w:t>
      </w:r>
    </w:p>
  </w:footnote>
  <w:footnote w:id="95">
    <w:p w14:paraId="2A8A8B8A" w14:textId="77777777" w:rsidR="00A52FEB" w:rsidRPr="00DC5DF1" w:rsidRDefault="00A52FEB" w:rsidP="00840F29">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ONU, Comité de Derechos Económicos, Sociales y Culturales. Observación General Número 14, E/C.12/2000/4, 11 de agosto de 2000, párr. 12.</w:t>
      </w:r>
    </w:p>
  </w:footnote>
  <w:footnote w:id="96">
    <w:p w14:paraId="2017E4E2" w14:textId="77777777" w:rsidR="00A52FEB" w:rsidRPr="00DC5DF1" w:rsidRDefault="00A52FEB" w:rsidP="00840F29">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CIDH. Informe No 2/16. Caso 12.484. Fondo. Cuscul Pivaral y otros. Guatemala, 13 de abril de 2016, párr. 106; Corte IDH. Caso Poblete Vilches y otros Vs. Chile. Fondo, Reparaciones y Costas. Sentencia de 8 de marzo de 2018. Serie C No. 349. párr. 120.</w:t>
      </w:r>
    </w:p>
  </w:footnote>
  <w:footnote w:id="97">
    <w:p w14:paraId="4FB46AF9" w14:textId="77777777" w:rsidR="00A52FEB" w:rsidRPr="00DC5DF1" w:rsidRDefault="00A52FEB" w:rsidP="00A07E66">
      <w:pPr>
        <w:pStyle w:val="FootnoteText"/>
        <w:rPr>
          <w:rFonts w:ascii="Cambria" w:hAnsi="Cambria"/>
          <w:lang w:val="es-US"/>
        </w:rPr>
      </w:pPr>
      <w:r w:rsidRPr="00DC5DF1">
        <w:rPr>
          <w:rStyle w:val="FootnoteReference"/>
          <w:rFonts w:ascii="Cambria" w:hAnsi="Cambria"/>
        </w:rPr>
        <w:footnoteRef/>
      </w:r>
      <w:r w:rsidRPr="00DC5DF1">
        <w:rPr>
          <w:rFonts w:ascii="Cambria" w:hAnsi="Cambria"/>
          <w:lang w:val="es-ES"/>
        </w:rPr>
        <w:t xml:space="preserve"> </w:t>
      </w:r>
      <w:r w:rsidRPr="00DC5DF1">
        <w:rPr>
          <w:rFonts w:ascii="Cambria" w:hAnsi="Cambria"/>
          <w:lang w:val="es-PE"/>
        </w:rPr>
        <w:t xml:space="preserve">CIDH, </w:t>
      </w:r>
      <w:r w:rsidRPr="00DC5DF1">
        <w:rPr>
          <w:rFonts w:ascii="Cambria" w:hAnsi="Cambria"/>
          <w:i/>
          <w:iCs/>
          <w:lang w:val="es-PE"/>
        </w:rPr>
        <w:t>Informe de la Comisión Interamericana de Derechos Humanos sobre la Condición de la Mujer en las Américas</w:t>
      </w:r>
      <w:r w:rsidRPr="00DC5DF1">
        <w:rPr>
          <w:rFonts w:ascii="Cambria" w:hAnsi="Cambria"/>
          <w:lang w:val="es-PE"/>
        </w:rPr>
        <w:t>, OEA/Ser.L/V/II.100,Doc.17, 13 octubre 1998; C</w:t>
      </w:r>
      <w:r w:rsidRPr="00DC5DF1">
        <w:rPr>
          <w:rFonts w:ascii="Cambria" w:hAnsi="Cambria"/>
          <w:lang w:val="es-US"/>
        </w:rPr>
        <w:t xml:space="preserve">IDH, </w:t>
      </w:r>
      <w:hyperlink r:id="rId7" w:history="1">
        <w:r w:rsidRPr="00DC5DF1">
          <w:rPr>
            <w:rStyle w:val="Hyperlink"/>
            <w:rFonts w:ascii="Cambria" w:hAnsi="Cambria"/>
            <w:lang w:val="es-US"/>
          </w:rPr>
          <w:t>Acceso a servicios de salud materna desde una perspectiva de derechos humanos</w:t>
        </w:r>
      </w:hyperlink>
      <w:r w:rsidRPr="00DC5DF1">
        <w:rPr>
          <w:rFonts w:ascii="Cambria" w:hAnsi="Cambria"/>
          <w:lang w:val="es-US"/>
        </w:rPr>
        <w:t xml:space="preserve">, 7 de junio de 2010, párr. 41. </w:t>
      </w:r>
    </w:p>
  </w:footnote>
  <w:footnote w:id="98">
    <w:p w14:paraId="5778A720" w14:textId="77777777" w:rsidR="00A52FEB" w:rsidRPr="00DC5DF1" w:rsidRDefault="00A52FEB" w:rsidP="00A07E66">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sidRPr="00DC5DF1">
        <w:rPr>
          <w:rFonts w:ascii="Cambria" w:hAnsi="Cambria"/>
          <w:lang w:val="es-PE"/>
        </w:rPr>
        <w:t>C</w:t>
      </w:r>
      <w:r w:rsidRPr="00DC5DF1">
        <w:rPr>
          <w:rFonts w:ascii="Cambria" w:hAnsi="Cambria"/>
          <w:lang w:val="es-US"/>
        </w:rPr>
        <w:t xml:space="preserve">IDH, </w:t>
      </w:r>
      <w:hyperlink r:id="rId8" w:history="1">
        <w:r w:rsidRPr="00DC5DF1">
          <w:rPr>
            <w:rStyle w:val="Hyperlink"/>
            <w:rFonts w:ascii="Cambria" w:hAnsi="Cambria"/>
            <w:lang w:val="es-US"/>
          </w:rPr>
          <w:t>Acceso a servicios de salud materna desde una perspectiva de derechos humanos</w:t>
        </w:r>
      </w:hyperlink>
      <w:r w:rsidRPr="00DC5DF1">
        <w:rPr>
          <w:rFonts w:ascii="Cambria" w:hAnsi="Cambria"/>
          <w:lang w:val="es-US"/>
        </w:rPr>
        <w:t>, 7 de junio de 2010.</w:t>
      </w:r>
    </w:p>
  </w:footnote>
  <w:footnote w:id="99">
    <w:p w14:paraId="62F9D997" w14:textId="77777777" w:rsidR="00A52FEB" w:rsidRPr="00DC5DF1" w:rsidRDefault="00A52FEB" w:rsidP="00A95C9E">
      <w:pPr>
        <w:rPr>
          <w:rFonts w:ascii="Cambria" w:eastAsia="Times New Roman" w:hAnsi="Cambria"/>
          <w:color w:val="000000"/>
          <w:sz w:val="16"/>
          <w:szCs w:val="16"/>
          <w:bdr w:val="none" w:sz="0" w:space="0" w:color="auto"/>
          <w:shd w:val="clear" w:color="auto" w:fill="FFFFFF"/>
          <w:lang w:val="es-MX"/>
        </w:rPr>
      </w:pPr>
      <w:r w:rsidRPr="00DC5DF1">
        <w:rPr>
          <w:rStyle w:val="FootnoteReference"/>
          <w:rFonts w:ascii="Cambria" w:hAnsi="Cambria"/>
          <w:sz w:val="16"/>
          <w:szCs w:val="16"/>
        </w:rPr>
        <w:footnoteRef/>
      </w:r>
      <w:r w:rsidRPr="00BD424E">
        <w:rPr>
          <w:rFonts w:ascii="Cambria" w:hAnsi="Cambria"/>
          <w:sz w:val="16"/>
          <w:szCs w:val="16"/>
          <w:lang w:val="es-US"/>
        </w:rPr>
        <w:t xml:space="preserve"> </w:t>
      </w:r>
      <w:r w:rsidRPr="00DC5DF1">
        <w:rPr>
          <w:rFonts w:ascii="Cambria" w:hAnsi="Cambria"/>
          <w:sz w:val="16"/>
          <w:szCs w:val="16"/>
          <w:lang w:val="es-ES_tradnl"/>
        </w:rPr>
        <w:t xml:space="preserve">Dicha Convención establece que: </w:t>
      </w:r>
      <w:r w:rsidRPr="00DC5DF1">
        <w:rPr>
          <w:rFonts w:ascii="Cambria" w:eastAsia="Times New Roman" w:hAnsi="Cambria"/>
          <w:color w:val="000000"/>
          <w:sz w:val="16"/>
          <w:szCs w:val="16"/>
          <w:bdr w:val="none" w:sz="0" w:space="0" w:color="auto"/>
          <w:shd w:val="clear" w:color="auto" w:fill="FFFFFF"/>
          <w:lang w:val="es-MX"/>
        </w:rPr>
        <w:t> “los Estados Partes garantizarán a la mujer servicios apropiados en relación con el embarazo, el parto y el período posterior al parto, proporcionando servicios gratuitos cuando fuere necesario, y le asegurarán una nutrición adecuada durante el embarazo y la lactancia”. Artículo 12, Convención sobre la Eliminación de todas la Formas de Discriminación contra la Mujer, adoptada por la Asamblea General de la ONU en su resolución 34/180 de 18 de diciembre de 1979.</w:t>
      </w:r>
    </w:p>
  </w:footnote>
  <w:footnote w:id="100">
    <w:p w14:paraId="0E4E1F0B" w14:textId="0492B9CC" w:rsidR="00A52FEB" w:rsidRPr="00DC5DF1" w:rsidRDefault="00A52FEB" w:rsidP="00DC5DF1">
      <w:pPr>
        <w:rPr>
          <w:rFonts w:ascii="Cambria" w:eastAsia="Times New Roman" w:hAnsi="Cambria"/>
          <w:sz w:val="16"/>
          <w:szCs w:val="16"/>
          <w:bdr w:val="none" w:sz="0" w:space="0" w:color="auto"/>
          <w:lang w:val="es-MX"/>
        </w:rPr>
      </w:pPr>
      <w:r w:rsidRPr="00DC5DF1">
        <w:rPr>
          <w:rStyle w:val="FootnoteReference"/>
          <w:rFonts w:ascii="Cambria" w:hAnsi="Cambria"/>
          <w:sz w:val="16"/>
          <w:szCs w:val="16"/>
        </w:rPr>
        <w:footnoteRef/>
      </w:r>
      <w:r w:rsidRPr="00BD424E">
        <w:rPr>
          <w:rFonts w:ascii="Cambria" w:hAnsi="Cambria"/>
          <w:sz w:val="16"/>
          <w:szCs w:val="16"/>
          <w:lang w:val="es-US"/>
        </w:rPr>
        <w:t xml:space="preserve"> </w:t>
      </w:r>
      <w:r w:rsidRPr="00DC5DF1">
        <w:rPr>
          <w:rFonts w:ascii="Cambria" w:eastAsia="Times New Roman" w:hAnsi="Cambria"/>
          <w:sz w:val="16"/>
          <w:szCs w:val="16"/>
          <w:bdr w:val="none" w:sz="0" w:space="0" w:color="auto"/>
          <w:lang w:val="es-MX"/>
        </w:rPr>
        <w:t>Convención de Belém do Pará, artículo 7.a).</w:t>
      </w:r>
    </w:p>
  </w:footnote>
  <w:footnote w:id="101">
    <w:p w14:paraId="7536B1AD" w14:textId="7F2E8F4E" w:rsidR="00A52FEB" w:rsidRPr="005968CE" w:rsidRDefault="00A52FEB" w:rsidP="005968CE">
      <w:pPr>
        <w:rPr>
          <w:rFonts w:ascii="Times" w:eastAsia="Times New Roman" w:hAnsi="Times"/>
          <w:sz w:val="20"/>
          <w:szCs w:val="20"/>
          <w:bdr w:val="none" w:sz="0" w:space="0" w:color="auto"/>
          <w:lang w:val="es-MX"/>
        </w:rPr>
      </w:pPr>
      <w:r>
        <w:rPr>
          <w:rStyle w:val="FootnoteReference"/>
        </w:rPr>
        <w:footnoteRef/>
      </w:r>
      <w:r w:rsidRPr="00BD424E">
        <w:rPr>
          <w:lang w:val="es-US"/>
        </w:rPr>
        <w:t xml:space="preserve"> </w:t>
      </w:r>
      <w:r w:rsidRPr="005968CE">
        <w:rPr>
          <w:rFonts w:ascii="Cambria" w:eastAsia="Times New Roman" w:hAnsi="Cambria"/>
          <w:color w:val="000000"/>
          <w:sz w:val="16"/>
          <w:szCs w:val="16"/>
          <w:bdr w:val="none" w:sz="0" w:space="0" w:color="auto"/>
          <w:shd w:val="clear" w:color="auto" w:fill="FFFFFF"/>
          <w:lang w:val="es-MX"/>
        </w:rPr>
        <w:t>Corte IDH. Caso I.V. Vs. Bolivia. Excepciones Preliminares, Fondo, Reparaciones y Costas. Sentencia de 30 de noviembre de 2016. Serie C No. 329</w:t>
      </w:r>
      <w:r>
        <w:rPr>
          <w:rFonts w:ascii="Cambria" w:eastAsia="Times New Roman" w:hAnsi="Cambria"/>
          <w:color w:val="000000"/>
          <w:sz w:val="16"/>
          <w:szCs w:val="16"/>
          <w:bdr w:val="none" w:sz="0" w:space="0" w:color="auto"/>
          <w:shd w:val="clear" w:color="auto" w:fill="FFFFFF"/>
          <w:lang w:val="es-MX"/>
        </w:rPr>
        <w:t>, párr. 250.</w:t>
      </w:r>
    </w:p>
  </w:footnote>
  <w:footnote w:id="102">
    <w:p w14:paraId="4AB05A34" w14:textId="77777777" w:rsidR="00A52FEB" w:rsidRPr="00DC5DF1" w:rsidRDefault="00A52FEB" w:rsidP="00A07E66">
      <w:pPr>
        <w:pStyle w:val="Default"/>
        <w:jc w:val="both"/>
        <w:rPr>
          <w:rFonts w:ascii="Cambria" w:hAnsi="Cambria"/>
          <w:sz w:val="16"/>
          <w:szCs w:val="16"/>
          <w:lang w:val="es-PE"/>
        </w:rPr>
      </w:pPr>
      <w:r w:rsidRPr="00DC5DF1">
        <w:rPr>
          <w:rStyle w:val="FootnoteReference"/>
          <w:rFonts w:ascii="Cambria" w:eastAsia="Trebuchet MS" w:hAnsi="Cambria"/>
          <w:sz w:val="16"/>
          <w:szCs w:val="16"/>
        </w:rPr>
        <w:footnoteRef/>
      </w:r>
      <w:r w:rsidRPr="00DC5DF1">
        <w:rPr>
          <w:rFonts w:ascii="Cambria" w:hAnsi="Cambria"/>
          <w:sz w:val="16"/>
          <w:szCs w:val="16"/>
          <w:lang w:val="es-PE"/>
        </w:rPr>
        <w:t xml:space="preserve"> </w:t>
      </w:r>
      <w:r w:rsidRPr="00DC5DF1">
        <w:rPr>
          <w:rFonts w:ascii="Cambria" w:hAnsi="Cambria"/>
          <w:sz w:val="16"/>
          <w:szCs w:val="16"/>
          <w:lang w:val="es-ES"/>
        </w:rPr>
        <w:t xml:space="preserve">CEDAW, Recomendación general n. 24, UN Doc. </w:t>
      </w:r>
      <w:r w:rsidRPr="00DC5DF1">
        <w:rPr>
          <w:rFonts w:ascii="Cambria" w:hAnsi="Cambria"/>
          <w:sz w:val="16"/>
          <w:szCs w:val="16"/>
          <w:lang w:val="es-PE"/>
        </w:rPr>
        <w:t xml:space="preserve">A/54/38/Rev.1, cap. I </w:t>
      </w:r>
      <w:r w:rsidRPr="00DC5DF1">
        <w:rPr>
          <w:rFonts w:ascii="Cambria" w:hAnsi="Cambria"/>
          <w:sz w:val="16"/>
          <w:szCs w:val="16"/>
          <w:lang w:val="es-ES"/>
        </w:rPr>
        <w:t>, 20 periodo de sesiones (1999).</w:t>
      </w:r>
    </w:p>
  </w:footnote>
  <w:footnote w:id="103">
    <w:p w14:paraId="371B9E62" w14:textId="61AFF07F" w:rsidR="00A52FEB" w:rsidRPr="00DC5DF1" w:rsidRDefault="00A52FEB" w:rsidP="00AA203B">
      <w:pPr>
        <w:pStyle w:val="Default"/>
        <w:jc w:val="both"/>
        <w:rPr>
          <w:rFonts w:ascii="Cambria" w:hAnsi="Cambria"/>
          <w:sz w:val="16"/>
          <w:szCs w:val="16"/>
          <w:lang w:val="es-PE"/>
        </w:rPr>
      </w:pPr>
      <w:r w:rsidRPr="00DC5DF1">
        <w:rPr>
          <w:rStyle w:val="FootnoteReference"/>
          <w:rFonts w:ascii="Cambria" w:eastAsia="Trebuchet MS" w:hAnsi="Cambria"/>
          <w:sz w:val="16"/>
          <w:szCs w:val="16"/>
        </w:rPr>
        <w:footnoteRef/>
      </w:r>
      <w:r w:rsidRPr="00DC5DF1">
        <w:rPr>
          <w:rFonts w:ascii="Cambria" w:hAnsi="Cambria"/>
          <w:sz w:val="16"/>
          <w:szCs w:val="16"/>
          <w:lang w:val="es-PE"/>
        </w:rPr>
        <w:t xml:space="preserve"> </w:t>
      </w:r>
      <w:r w:rsidRPr="00DC5DF1">
        <w:rPr>
          <w:rFonts w:ascii="Cambria" w:hAnsi="Cambria"/>
          <w:sz w:val="16"/>
          <w:szCs w:val="16"/>
          <w:lang w:val="es-ES"/>
        </w:rPr>
        <w:t xml:space="preserve">CEDAW, Recomendación general n. 24, UN Doc. </w:t>
      </w:r>
      <w:r w:rsidRPr="00DC5DF1">
        <w:rPr>
          <w:rFonts w:ascii="Cambria" w:hAnsi="Cambria"/>
          <w:sz w:val="16"/>
          <w:szCs w:val="16"/>
          <w:lang w:val="es-PE"/>
        </w:rPr>
        <w:t xml:space="preserve">A/54/38/Rev.1, cap. I </w:t>
      </w:r>
      <w:r w:rsidRPr="00DC5DF1">
        <w:rPr>
          <w:rFonts w:ascii="Cambria" w:hAnsi="Cambria"/>
          <w:sz w:val="16"/>
          <w:szCs w:val="16"/>
          <w:lang w:val="es-ES"/>
        </w:rPr>
        <w:t>, 20 periodo de sesiones (1999), párr.20</w:t>
      </w:r>
    </w:p>
  </w:footnote>
  <w:footnote w:id="104">
    <w:p w14:paraId="338417B5" w14:textId="4501E207" w:rsidR="00A52FEB" w:rsidRPr="00832657" w:rsidRDefault="00A52FEB">
      <w:pPr>
        <w:pStyle w:val="FootnoteText"/>
        <w:rPr>
          <w:lang w:val="es-ES_tradnl"/>
        </w:rPr>
      </w:pPr>
      <w:r>
        <w:rPr>
          <w:rStyle w:val="FootnoteReference"/>
        </w:rPr>
        <w:footnoteRef/>
      </w:r>
      <w:r w:rsidRPr="00BD424E">
        <w:rPr>
          <w:lang w:val="es-US"/>
        </w:rPr>
        <w:t xml:space="preserve"> Ver a ese respecto,  CEDAW, Dictamen, Comunicación 17/2008, 49 Periodo de Sesiones, 27 de septiembre de 2011, párr. </w:t>
      </w:r>
      <w:r>
        <w:rPr>
          <w:lang w:val="es-ES_tradnl"/>
        </w:rPr>
        <w:t>7.3 y 7.4</w:t>
      </w:r>
    </w:p>
  </w:footnote>
  <w:footnote w:id="105">
    <w:p w14:paraId="6A816616" w14:textId="77777777" w:rsidR="00A52FEB" w:rsidRPr="00DC5DF1" w:rsidRDefault="00A52FEB" w:rsidP="00A07E66">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sidRPr="00DC5DF1">
        <w:rPr>
          <w:rFonts w:ascii="Cambria" w:hAnsi="Cambria"/>
          <w:lang w:val="es-PE"/>
        </w:rPr>
        <w:t>Comité DESC. Observación General no. 14. UN Doc. E/C.12/2000/4, 11 de agosto de 2000.</w:t>
      </w:r>
    </w:p>
  </w:footnote>
  <w:footnote w:id="106">
    <w:p w14:paraId="01365B19" w14:textId="77777777" w:rsidR="00A52FEB" w:rsidRPr="00DC5DF1" w:rsidRDefault="00A52FEB" w:rsidP="00A07E66">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Grupo de Trabajo Regional para la Reducción de la Mortalidad Materna</w:t>
      </w:r>
      <w:hyperlink r:id="rId9" w:history="1">
        <w:r w:rsidRPr="00DC5DF1">
          <w:rPr>
            <w:rStyle w:val="Hyperlink"/>
            <w:rFonts w:ascii="Cambria" w:hAnsi="Cambria"/>
            <w:lang w:val="es-ES"/>
          </w:rPr>
          <w:t>, Panorama de la situación de la Morbilidad y Mortalidad Maternas: América Latina y el Caribe</w:t>
        </w:r>
      </w:hyperlink>
      <w:r w:rsidRPr="00DC5DF1">
        <w:rPr>
          <w:rFonts w:ascii="Cambria" w:hAnsi="Cambria"/>
          <w:lang w:val="es-ES"/>
        </w:rPr>
        <w:t xml:space="preserve">, diciembre 2017. </w:t>
      </w:r>
    </w:p>
  </w:footnote>
  <w:footnote w:id="107">
    <w:p w14:paraId="1D518049" w14:textId="77777777" w:rsidR="00A52FEB" w:rsidRPr="00DC5DF1" w:rsidRDefault="00A52FEB" w:rsidP="00A07E66">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Naciones Unidas, </w:t>
      </w:r>
      <w:hyperlink r:id="rId10" w:history="1">
        <w:r w:rsidRPr="00DC5DF1">
          <w:rPr>
            <w:rStyle w:val="Hyperlink"/>
            <w:rFonts w:ascii="Cambria" w:hAnsi="Cambria"/>
            <w:lang w:val="es-ES"/>
          </w:rPr>
          <w:t>Orientaciones Técnicas sobre la aplicación de un enfoque basado en los derechos humanos a la ejecución de las políticas públicas y los programas destinados a reducir la mortalidad y morbilidad prevenibles asociadas a la maternidad</w:t>
        </w:r>
      </w:hyperlink>
      <w:r w:rsidRPr="00DC5DF1">
        <w:rPr>
          <w:rFonts w:ascii="Cambria" w:hAnsi="Cambria"/>
          <w:lang w:val="es-ES"/>
        </w:rPr>
        <w:t>, 2 de jul.io de 2012.</w:t>
      </w:r>
    </w:p>
  </w:footnote>
  <w:footnote w:id="108">
    <w:p w14:paraId="5AB33ED2" w14:textId="77777777" w:rsidR="00A52FEB" w:rsidRPr="00DC5DF1" w:rsidRDefault="00A52FEB" w:rsidP="00A07E66">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sidRPr="00DC5DF1">
        <w:rPr>
          <w:rFonts w:ascii="Cambria" w:hAnsi="Cambria"/>
          <w:lang w:val="es-ES"/>
        </w:rPr>
        <w:t xml:space="preserve">OMS, </w:t>
      </w:r>
      <w:hyperlink r:id="rId11" w:history="1">
        <w:r w:rsidRPr="00DC5DF1">
          <w:rPr>
            <w:rStyle w:val="Hyperlink"/>
            <w:rFonts w:ascii="Cambria" w:hAnsi="Cambria"/>
            <w:lang w:val="es-ES"/>
          </w:rPr>
          <w:t>Recomendaciones de la OMS para la prevención y el tratamiento de la preeclampsia y la eclampsia</w:t>
        </w:r>
      </w:hyperlink>
      <w:r w:rsidRPr="00DC5DF1">
        <w:rPr>
          <w:rFonts w:ascii="Cambria" w:hAnsi="Cambria"/>
          <w:lang w:val="es-ES"/>
        </w:rPr>
        <w:t>, 2014.</w:t>
      </w:r>
    </w:p>
  </w:footnote>
  <w:footnote w:id="109">
    <w:p w14:paraId="297DDC83" w14:textId="77777777" w:rsidR="00A52FEB" w:rsidRPr="00DC5DF1" w:rsidRDefault="00A52FEB" w:rsidP="00A07E66">
      <w:pPr>
        <w:pStyle w:val="FootnoteText"/>
        <w:rPr>
          <w:rFonts w:ascii="Cambria" w:hAnsi="Cambria"/>
          <w:lang w:val="es-PE"/>
        </w:rPr>
      </w:pPr>
      <w:r w:rsidRPr="00DC5DF1">
        <w:rPr>
          <w:rStyle w:val="FootnoteReference"/>
          <w:rFonts w:ascii="Cambria" w:hAnsi="Cambria"/>
        </w:rPr>
        <w:footnoteRef/>
      </w:r>
      <w:r w:rsidRPr="00DC5DF1">
        <w:rPr>
          <w:rFonts w:ascii="Cambria" w:hAnsi="Cambria"/>
          <w:lang w:val="es-PE"/>
        </w:rPr>
        <w:t xml:space="preserve"> </w:t>
      </w:r>
      <w:r w:rsidRPr="00DC5DF1">
        <w:rPr>
          <w:rFonts w:ascii="Cambria" w:hAnsi="Cambria"/>
          <w:lang w:val="es-ES"/>
        </w:rPr>
        <w:t xml:space="preserve">OMS, </w:t>
      </w:r>
      <w:hyperlink r:id="rId12" w:history="1">
        <w:r w:rsidRPr="00DC5DF1">
          <w:rPr>
            <w:rStyle w:val="Hyperlink"/>
            <w:rFonts w:ascii="Cambria" w:hAnsi="Cambria"/>
            <w:lang w:val="es-ES"/>
          </w:rPr>
          <w:t>Recomendaciones de la OMS para la prevención y el tratamiento de la preeclampsia y la eclampsia</w:t>
        </w:r>
      </w:hyperlink>
      <w:r w:rsidRPr="00DC5DF1">
        <w:rPr>
          <w:rFonts w:ascii="Cambria" w:hAnsi="Cambria"/>
          <w:lang w:val="es-ES"/>
        </w:rPr>
        <w:t>, 2014.</w:t>
      </w:r>
    </w:p>
  </w:footnote>
  <w:footnote w:id="110">
    <w:p w14:paraId="5C81640E" w14:textId="77777777" w:rsidR="00A52FEB" w:rsidRPr="00DC5DF1" w:rsidRDefault="00A52FEB" w:rsidP="00327403">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CIDH, Informe No. 1, Caso 12.695. Fondo. Vinicio Antonio Poblete Vilches y familiares. Chile. 13 de abril de 2016, párr. 135.</w:t>
      </w:r>
    </w:p>
  </w:footnote>
  <w:footnote w:id="111">
    <w:p w14:paraId="6AE85E73" w14:textId="77777777"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Corte Europea de Derechos Humanos. Caso de Mehmet Sentürk y Bekir Sentürk vs Turquía. Sentencia de 9 de abril de 2013, párr. 89.</w:t>
      </w:r>
    </w:p>
  </w:footnote>
  <w:footnote w:id="112">
    <w:p w14:paraId="6F7C5B29" w14:textId="77777777" w:rsidR="00A52FEB" w:rsidRPr="00DC5DF1" w:rsidRDefault="00A52FEB" w:rsidP="001012EC">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OMS, </w:t>
      </w:r>
      <w:hyperlink r:id="rId13" w:history="1">
        <w:r w:rsidRPr="00DC5DF1">
          <w:rPr>
            <w:rStyle w:val="Hyperlink"/>
            <w:rFonts w:ascii="Cambria" w:hAnsi="Cambria"/>
            <w:lang w:val="es-ES"/>
          </w:rPr>
          <w:t>Recomendaciones de la OMS para la prevención y el tratamiento de la preeclampsia y la eclampsia</w:t>
        </w:r>
      </w:hyperlink>
      <w:r w:rsidRPr="00DC5DF1">
        <w:rPr>
          <w:rFonts w:ascii="Cambria" w:hAnsi="Cambria"/>
          <w:lang w:val="es-ES"/>
        </w:rPr>
        <w:t>, 2014.</w:t>
      </w:r>
    </w:p>
  </w:footnote>
  <w:footnote w:id="113">
    <w:p w14:paraId="22EFAA51" w14:textId="77777777" w:rsidR="00A52FEB" w:rsidRPr="00DE20C7" w:rsidRDefault="00A52FEB" w:rsidP="005E49DD">
      <w:pPr>
        <w:pStyle w:val="FootnoteText"/>
        <w:rPr>
          <w:rFonts w:ascii="Cambria" w:hAnsi="Cambria"/>
          <w:lang w:val="es-ES"/>
        </w:rPr>
      </w:pPr>
      <w:r w:rsidRPr="00DE20C7">
        <w:rPr>
          <w:rStyle w:val="FootnoteReference"/>
          <w:rFonts w:ascii="Cambria" w:hAnsi="Cambria"/>
        </w:rPr>
        <w:footnoteRef/>
      </w:r>
      <w:r w:rsidRPr="00DE20C7">
        <w:rPr>
          <w:rFonts w:ascii="Cambria" w:hAnsi="Cambria"/>
          <w:lang w:val="es-ES"/>
        </w:rPr>
        <w:t xml:space="preserve"> Artículo 8.1.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14">
    <w:p w14:paraId="5F659DFF" w14:textId="77777777" w:rsidR="00A52FEB" w:rsidRPr="00DE20C7" w:rsidRDefault="00A52FEB" w:rsidP="005E49DD">
      <w:pPr>
        <w:pStyle w:val="FootnoteText"/>
        <w:rPr>
          <w:rFonts w:ascii="Cambria" w:hAnsi="Cambria"/>
          <w:lang w:val="es-ES"/>
        </w:rPr>
      </w:pPr>
      <w:r w:rsidRPr="00DE20C7">
        <w:rPr>
          <w:rStyle w:val="FootnoteReference"/>
          <w:rFonts w:ascii="Cambria" w:hAnsi="Cambria"/>
        </w:rPr>
        <w:footnoteRef/>
      </w:r>
      <w:r w:rsidRPr="00DE20C7">
        <w:rPr>
          <w:rFonts w:ascii="Cambria" w:hAnsi="Cambria"/>
          <w:lang w:val="es-ES"/>
        </w:rPr>
        <w:t xml:space="preserve"> Artículo 25.1.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15">
    <w:p w14:paraId="586B1ECB" w14:textId="77777777" w:rsidR="00A52FEB" w:rsidRPr="00DE20C7" w:rsidRDefault="00A52FEB" w:rsidP="005E49DD">
      <w:pPr>
        <w:pStyle w:val="NormalWeb"/>
        <w:shd w:val="clear" w:color="auto" w:fill="FFFFFF"/>
        <w:ind w:right="75"/>
        <w:jc w:val="both"/>
        <w:rPr>
          <w:rFonts w:ascii="Cambria" w:hAnsi="Cambria"/>
          <w:color w:val="000000"/>
          <w:sz w:val="16"/>
          <w:szCs w:val="16"/>
          <w:lang w:val="es-ES"/>
        </w:rPr>
      </w:pPr>
      <w:r w:rsidRPr="00DE20C7">
        <w:rPr>
          <w:rStyle w:val="FootnoteReference"/>
          <w:rFonts w:ascii="Cambria" w:eastAsia="Trebuchet MS" w:hAnsi="Cambria"/>
          <w:sz w:val="16"/>
          <w:szCs w:val="16"/>
        </w:rPr>
        <w:footnoteRef/>
      </w:r>
      <w:r w:rsidRPr="00DE20C7">
        <w:rPr>
          <w:rFonts w:ascii="Cambria" w:hAnsi="Cambria"/>
          <w:sz w:val="16"/>
          <w:szCs w:val="16"/>
          <w:lang w:val="es-ES"/>
        </w:rPr>
        <w:t xml:space="preserve"> Artículo 7. </w:t>
      </w:r>
      <w:r w:rsidRPr="00DE20C7">
        <w:rPr>
          <w:rFonts w:ascii="Cambria" w:hAnsi="Cambria" w:cs="Tahoma"/>
          <w:color w:val="000000"/>
          <w:sz w:val="16"/>
          <w:szCs w:val="16"/>
          <w:lang w:val="es-ES"/>
        </w:rPr>
        <w:t>Los Estados Partes condenan todas las formas de violencia contra la mujer y convienen en adoptar, por todos los medios apropiados y sin dilaciones, políticas orientadas a prevenir, sancionar y erradicar dicha violencia y en llevar a cabo lo siguiente:</w:t>
      </w:r>
    </w:p>
    <w:p w14:paraId="208945D0" w14:textId="77777777" w:rsidR="00A52FEB" w:rsidRPr="00DE20C7" w:rsidRDefault="00A52FEB" w:rsidP="005E49DD">
      <w:pPr>
        <w:pStyle w:val="NormalWeb"/>
        <w:shd w:val="clear" w:color="auto" w:fill="FFFFFF"/>
        <w:ind w:right="75"/>
        <w:jc w:val="both"/>
        <w:rPr>
          <w:rFonts w:ascii="Cambria" w:hAnsi="Cambria"/>
          <w:color w:val="000000"/>
          <w:sz w:val="16"/>
          <w:szCs w:val="16"/>
          <w:lang w:val="es-ES"/>
        </w:rPr>
      </w:pPr>
      <w:r w:rsidRPr="00DE20C7">
        <w:rPr>
          <w:rFonts w:ascii="Cambria" w:hAnsi="Cambria" w:cs="Tahoma"/>
          <w:color w:val="000000"/>
          <w:sz w:val="16"/>
          <w:szCs w:val="16"/>
          <w:lang w:val="es-ES"/>
        </w:rPr>
        <w:t> a. abstenerse de cualquier acción o práctica de violencia contra la mujer y velar por que las autoridades, sus funcionarios, personal y agentes e instituciones se comporten de conformidad con esta obligación;</w:t>
      </w:r>
    </w:p>
    <w:p w14:paraId="4D47FDE6" w14:textId="77777777" w:rsidR="00A52FEB" w:rsidRPr="00DE20C7" w:rsidRDefault="00A52FEB" w:rsidP="005E49DD">
      <w:pPr>
        <w:pStyle w:val="NormalWeb"/>
        <w:shd w:val="clear" w:color="auto" w:fill="FFFFFF"/>
        <w:ind w:right="75"/>
        <w:jc w:val="both"/>
        <w:rPr>
          <w:rFonts w:ascii="Cambria" w:hAnsi="Cambria"/>
          <w:color w:val="000000"/>
          <w:sz w:val="16"/>
          <w:szCs w:val="16"/>
          <w:lang w:val="es-ES"/>
        </w:rPr>
      </w:pPr>
      <w:r w:rsidRPr="00DE20C7">
        <w:rPr>
          <w:rFonts w:ascii="Cambria" w:hAnsi="Cambria" w:cs="Tahoma"/>
          <w:color w:val="000000"/>
          <w:sz w:val="16"/>
          <w:szCs w:val="16"/>
          <w:lang w:val="es-ES"/>
        </w:rPr>
        <w:t> b. actuar con la debida diligencia para prevenir, investigar y sancionar la violencia contra la mujer;</w:t>
      </w:r>
    </w:p>
    <w:p w14:paraId="5DE44961" w14:textId="77777777" w:rsidR="00A52FEB" w:rsidRPr="00DE20C7" w:rsidRDefault="00A52FEB" w:rsidP="005E49DD">
      <w:pPr>
        <w:pStyle w:val="NormalWeb"/>
        <w:shd w:val="clear" w:color="auto" w:fill="FFFFFF"/>
        <w:ind w:right="75"/>
        <w:jc w:val="both"/>
        <w:rPr>
          <w:rFonts w:ascii="Cambria" w:hAnsi="Cambria"/>
          <w:color w:val="000000"/>
          <w:sz w:val="16"/>
          <w:szCs w:val="16"/>
          <w:lang w:val="es-ES"/>
        </w:rPr>
      </w:pPr>
      <w:r w:rsidRPr="00DE20C7">
        <w:rPr>
          <w:rFonts w:ascii="Cambria" w:hAnsi="Cambria" w:cs="Tahoma"/>
          <w:color w:val="000000"/>
          <w:sz w:val="16"/>
          <w:szCs w:val="16"/>
          <w:lang w:val="es-ES"/>
        </w:rPr>
        <w:t> 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19DFEC80" w14:textId="77777777" w:rsidR="00A52FEB" w:rsidRPr="00DE20C7" w:rsidRDefault="00A52FEB" w:rsidP="005E49DD">
      <w:pPr>
        <w:pStyle w:val="NormalWeb"/>
        <w:shd w:val="clear" w:color="auto" w:fill="FFFFFF"/>
        <w:ind w:right="75"/>
        <w:jc w:val="both"/>
        <w:rPr>
          <w:rFonts w:ascii="Cambria" w:hAnsi="Cambria"/>
          <w:color w:val="000000"/>
          <w:sz w:val="16"/>
          <w:szCs w:val="16"/>
          <w:lang w:val="es-ES"/>
        </w:rPr>
      </w:pPr>
      <w:r w:rsidRPr="00DE20C7">
        <w:rPr>
          <w:rFonts w:ascii="Cambria" w:hAnsi="Cambria" w:cs="Tahoma"/>
          <w:color w:val="000000"/>
          <w:sz w:val="16"/>
          <w:szCs w:val="16"/>
          <w:lang w:val="es-ES"/>
        </w:rPr>
        <w:t> d. adoptar medidas jurídicas para conminar al agresor a abstenerse de hostigar, intimidar, amenazar, dañar o poner en peligro la vida de la mujer de cualquier forma que atente contra su integridad o perjudique su propiedad;</w:t>
      </w:r>
    </w:p>
    <w:p w14:paraId="3E80B14F" w14:textId="77777777" w:rsidR="00A52FEB" w:rsidRPr="00DE20C7" w:rsidRDefault="00A52FEB" w:rsidP="005E49DD">
      <w:pPr>
        <w:pStyle w:val="NormalWeb"/>
        <w:shd w:val="clear" w:color="auto" w:fill="FFFFFF"/>
        <w:ind w:right="75"/>
        <w:jc w:val="both"/>
        <w:rPr>
          <w:rFonts w:ascii="Cambria" w:hAnsi="Cambria"/>
          <w:color w:val="000000"/>
          <w:sz w:val="16"/>
          <w:szCs w:val="16"/>
          <w:lang w:val="es-ES"/>
        </w:rPr>
      </w:pPr>
      <w:r w:rsidRPr="00DE20C7">
        <w:rPr>
          <w:rFonts w:ascii="Cambria" w:hAnsi="Cambria" w:cs="Tahoma"/>
          <w:color w:val="000000"/>
          <w:sz w:val="16"/>
          <w:szCs w:val="16"/>
          <w:lang w:val="es-ES"/>
        </w:rPr>
        <w:t> e. tomar todas las medidas apropiadas, incluyendo medidas de tipo legislativo, para modificar o abolir leyes y reglamentos vigentes, o para modificar prácticas jurídicas o consuetudinarias que respalden la persistencia o la tolerancia de la violencia contra la mujer;</w:t>
      </w:r>
    </w:p>
    <w:p w14:paraId="6A1EF020" w14:textId="77777777" w:rsidR="00A52FEB" w:rsidRPr="00DE20C7" w:rsidRDefault="00A52FEB" w:rsidP="005E49DD">
      <w:pPr>
        <w:pStyle w:val="NormalWeb"/>
        <w:shd w:val="clear" w:color="auto" w:fill="FFFFFF"/>
        <w:ind w:right="75"/>
        <w:jc w:val="both"/>
        <w:rPr>
          <w:rFonts w:ascii="Cambria" w:hAnsi="Cambria"/>
          <w:color w:val="000000"/>
          <w:sz w:val="16"/>
          <w:szCs w:val="16"/>
          <w:lang w:val="es-ES"/>
        </w:rPr>
      </w:pPr>
      <w:r w:rsidRPr="00DE20C7">
        <w:rPr>
          <w:rFonts w:ascii="Cambria" w:hAnsi="Cambria" w:cs="Tahoma"/>
          <w:color w:val="000000"/>
          <w:sz w:val="16"/>
          <w:szCs w:val="16"/>
          <w:lang w:val="es-ES"/>
        </w:rPr>
        <w:t> f. establecer procedimientos legales justos y eficaces para la mujer que haya sido sometida a violencia, que incluyan, entre otros, medidas de protección, un juicio oportuno y el acceso efectivo a tales procedimientos;</w:t>
      </w:r>
    </w:p>
    <w:p w14:paraId="3FEEDFF4" w14:textId="77777777" w:rsidR="00A52FEB" w:rsidRPr="00DE20C7" w:rsidRDefault="00A52FEB" w:rsidP="005E49DD">
      <w:pPr>
        <w:pStyle w:val="NormalWeb"/>
        <w:shd w:val="clear" w:color="auto" w:fill="FFFFFF"/>
        <w:ind w:right="75"/>
        <w:jc w:val="both"/>
        <w:rPr>
          <w:rFonts w:ascii="Cambria" w:hAnsi="Cambria"/>
          <w:color w:val="000000"/>
          <w:sz w:val="16"/>
          <w:szCs w:val="16"/>
          <w:lang w:val="es-ES"/>
        </w:rPr>
      </w:pPr>
      <w:r w:rsidRPr="00DE20C7">
        <w:rPr>
          <w:rFonts w:ascii="Cambria" w:hAnsi="Cambria" w:cs="Tahoma"/>
          <w:color w:val="000000"/>
          <w:sz w:val="16"/>
          <w:szCs w:val="16"/>
          <w:lang w:val="es-ES"/>
        </w:rPr>
        <w:t> g. establecer los mecanismos judiciales y administrativos necesarios para asegurar que la mujer objeto de violencia tenga acceso efectivo a resarcimiento, reparación del daño u otros medios de compensación justos y eficaces, y</w:t>
      </w:r>
    </w:p>
    <w:p w14:paraId="4A1275CC" w14:textId="77777777" w:rsidR="00A52FEB" w:rsidRPr="00DE20C7" w:rsidRDefault="00A52FEB" w:rsidP="005E49DD">
      <w:pPr>
        <w:pStyle w:val="NormalWeb"/>
        <w:shd w:val="clear" w:color="auto" w:fill="FFFFFF"/>
        <w:ind w:right="75"/>
        <w:jc w:val="both"/>
        <w:rPr>
          <w:rFonts w:ascii="Cambria" w:hAnsi="Cambria"/>
          <w:color w:val="000000"/>
          <w:sz w:val="16"/>
          <w:szCs w:val="16"/>
          <w:lang w:val="es-ES"/>
        </w:rPr>
      </w:pPr>
      <w:r w:rsidRPr="00DE20C7">
        <w:rPr>
          <w:rFonts w:ascii="Cambria" w:hAnsi="Cambria" w:cs="Tahoma"/>
          <w:color w:val="000000"/>
          <w:sz w:val="16"/>
          <w:szCs w:val="16"/>
          <w:lang w:val="es-ES"/>
        </w:rPr>
        <w:t> h. adoptar las disposiciones legislativas o de otra índole que sean necesarias para hacer efectiva esta Convención.</w:t>
      </w:r>
    </w:p>
  </w:footnote>
  <w:footnote w:id="116">
    <w:p w14:paraId="09EA9AED" w14:textId="77777777" w:rsidR="00A52FEB" w:rsidRPr="00DC5DF1" w:rsidRDefault="00A52FEB" w:rsidP="00422A8B">
      <w:pPr>
        <w:ind w:right="11"/>
        <w:jc w:val="both"/>
        <w:rPr>
          <w:rFonts w:ascii="Cambria" w:hAnsi="Cambria"/>
          <w:sz w:val="16"/>
          <w:szCs w:val="16"/>
          <w:lang w:val="es-US"/>
        </w:rPr>
      </w:pPr>
      <w:r w:rsidRPr="00DC5DF1">
        <w:rPr>
          <w:rStyle w:val="FootnoteReference"/>
          <w:rFonts w:ascii="Cambria" w:hAnsi="Cambria"/>
          <w:sz w:val="16"/>
          <w:szCs w:val="16"/>
        </w:rPr>
        <w:footnoteRef/>
      </w:r>
      <w:r w:rsidRPr="00DC5DF1">
        <w:rPr>
          <w:rFonts w:ascii="Cambria" w:hAnsi="Cambria"/>
          <w:sz w:val="16"/>
          <w:szCs w:val="16"/>
          <w:lang w:val="es-US"/>
        </w:rPr>
        <w:t xml:space="preserve"> </w:t>
      </w:r>
      <w:r w:rsidRPr="00DC5DF1">
        <w:rPr>
          <w:rFonts w:ascii="Cambria" w:hAnsi="Cambria"/>
          <w:sz w:val="16"/>
          <w:szCs w:val="16"/>
          <w:lang w:val="es-ES_tradnl"/>
        </w:rPr>
        <w:t xml:space="preserve">Corte IDH. </w:t>
      </w:r>
      <w:r w:rsidRPr="00DC5DF1">
        <w:rPr>
          <w:rFonts w:ascii="Cambria" w:hAnsi="Cambria"/>
          <w:i/>
          <w:sz w:val="16"/>
          <w:szCs w:val="16"/>
          <w:lang w:val="es-ES_tradnl"/>
        </w:rPr>
        <w:t>Caso Velásquez Rodríguez Vs. Honduras</w:t>
      </w:r>
      <w:r w:rsidRPr="00DC5DF1">
        <w:rPr>
          <w:rFonts w:ascii="Cambria" w:hAnsi="Cambria"/>
          <w:sz w:val="16"/>
          <w:szCs w:val="16"/>
          <w:lang w:val="es-ES_tradnl"/>
        </w:rPr>
        <w:t xml:space="preserve">. </w:t>
      </w:r>
      <w:hyperlink r:id="rId14" w:history="1">
        <w:r w:rsidRPr="00DC5DF1">
          <w:rPr>
            <w:rStyle w:val="Hyperlink"/>
            <w:rFonts w:ascii="Cambria" w:hAnsi="Cambria" w:cs="Arial"/>
            <w:sz w:val="16"/>
            <w:szCs w:val="16"/>
            <w:u w:val="none"/>
            <w:shd w:val="clear" w:color="auto" w:fill="FFFFFF"/>
            <w:lang w:val="es-ES_tradnl"/>
          </w:rPr>
          <w:t xml:space="preserve">Fondo. Sentencia de 29 de julio de 1988. </w:t>
        </w:r>
        <w:r w:rsidRPr="00DC5DF1">
          <w:rPr>
            <w:rStyle w:val="Hyperlink"/>
            <w:rFonts w:ascii="Cambria" w:hAnsi="Cambria" w:cs="Arial"/>
            <w:sz w:val="16"/>
            <w:szCs w:val="16"/>
            <w:u w:val="none"/>
            <w:shd w:val="clear" w:color="auto" w:fill="FFFFFF"/>
            <w:lang w:val="es-US"/>
          </w:rPr>
          <w:t>Serie C No. 4</w:t>
        </w:r>
      </w:hyperlink>
      <w:r w:rsidRPr="00DC5DF1">
        <w:rPr>
          <w:rStyle w:val="Hyperlink"/>
          <w:rFonts w:ascii="Cambria" w:hAnsi="Cambria" w:cs="Arial"/>
          <w:sz w:val="16"/>
          <w:szCs w:val="16"/>
          <w:u w:val="none"/>
          <w:shd w:val="clear" w:color="auto" w:fill="FFFFFF"/>
          <w:lang w:val="es-US"/>
        </w:rPr>
        <w:t xml:space="preserve">, párr. 166. </w:t>
      </w:r>
    </w:p>
  </w:footnote>
  <w:footnote w:id="117">
    <w:p w14:paraId="084624EF" w14:textId="77777777" w:rsidR="00A52FEB" w:rsidRPr="00DC5DF1" w:rsidRDefault="00A52FEB" w:rsidP="00422A8B">
      <w:pPr>
        <w:pBdr>
          <w:top w:val="none" w:sz="0" w:space="0" w:color="auto"/>
          <w:left w:val="none" w:sz="0" w:space="0" w:color="auto"/>
          <w:bottom w:val="none" w:sz="0" w:space="0" w:color="auto"/>
          <w:right w:val="none" w:sz="0" w:space="0" w:color="auto"/>
        </w:pBdr>
        <w:jc w:val="both"/>
        <w:rPr>
          <w:rFonts w:ascii="Cambria" w:hAnsi="Cambria"/>
          <w:sz w:val="16"/>
          <w:szCs w:val="16"/>
          <w:lang w:val="es-ES"/>
        </w:rPr>
      </w:pPr>
      <w:r w:rsidRPr="00DC5DF1">
        <w:rPr>
          <w:rStyle w:val="FootnoteReference"/>
          <w:rFonts w:ascii="Cambria" w:hAnsi="Cambria"/>
          <w:sz w:val="16"/>
          <w:szCs w:val="16"/>
          <w:lang w:val="es-ES"/>
        </w:rPr>
        <w:footnoteRef/>
      </w:r>
      <w:r w:rsidRPr="00DC5DF1">
        <w:rPr>
          <w:rFonts w:ascii="Cambria" w:hAnsi="Cambria"/>
          <w:sz w:val="16"/>
          <w:szCs w:val="16"/>
          <w:lang w:val="es-ES"/>
        </w:rPr>
        <w:t xml:space="preserve"> CIDH, Acceso a la Justicia para las Mujeres Víctimas de Violencia en las Américas, OEA/Ser. L/V/II. doc.68, 20 de enero de 2007.</w:t>
      </w:r>
    </w:p>
  </w:footnote>
  <w:footnote w:id="118">
    <w:p w14:paraId="06039199" w14:textId="77777777" w:rsidR="00A52FEB" w:rsidRPr="00DC5DF1" w:rsidRDefault="00A52FEB" w:rsidP="00422A8B">
      <w:pPr>
        <w:pStyle w:val="FootnoteText"/>
        <w:rPr>
          <w:rFonts w:ascii="Cambria" w:hAnsi="Cambria"/>
          <w:lang w:val="es-ES_tradnl"/>
        </w:rPr>
      </w:pPr>
      <w:r w:rsidRPr="00DC5DF1">
        <w:rPr>
          <w:rStyle w:val="FootnoteReference"/>
          <w:rFonts w:ascii="Cambria" w:hAnsi="Cambria"/>
        </w:rPr>
        <w:footnoteRef/>
      </w:r>
      <w:r w:rsidRPr="00DC5DF1">
        <w:rPr>
          <w:rFonts w:ascii="Cambria" w:hAnsi="Cambria"/>
          <w:lang w:val="es-ES"/>
        </w:rPr>
        <w:t xml:space="preserve"> CIDH. El acceso a la justicia como garantía de los derechos económicos, sociales y culturales. Estudio de los estándares fijados por el sistema interamericano de derechos humanos. </w:t>
      </w:r>
      <w:r w:rsidRPr="00DC5DF1">
        <w:rPr>
          <w:rFonts w:ascii="Cambria" w:hAnsi="Cambria"/>
          <w:lang w:val="es-ES_tradnl"/>
        </w:rPr>
        <w:t>OEA/Ser.L/V/II.129</w:t>
      </w:r>
      <w:r w:rsidRPr="00DC5DF1">
        <w:rPr>
          <w:rFonts w:ascii="Cambria" w:hAnsi="Cambria"/>
          <w:lang w:val="es-ES"/>
        </w:rPr>
        <w:t xml:space="preserve">. </w:t>
      </w:r>
      <w:r w:rsidRPr="00DC5DF1">
        <w:rPr>
          <w:rFonts w:ascii="Cambria" w:hAnsi="Cambria"/>
          <w:lang w:val="es-ES_tradnl"/>
        </w:rPr>
        <w:t>Doc. 4</w:t>
      </w:r>
      <w:r w:rsidRPr="00DC5DF1">
        <w:rPr>
          <w:rFonts w:ascii="Cambria" w:hAnsi="Cambria"/>
          <w:lang w:val="es-ES"/>
        </w:rPr>
        <w:t xml:space="preserve">. </w:t>
      </w:r>
      <w:r w:rsidRPr="00DC5DF1">
        <w:rPr>
          <w:rFonts w:ascii="Cambria" w:hAnsi="Cambria"/>
          <w:lang w:val="es-ES_tradnl"/>
        </w:rPr>
        <w:t>7 de septiembre de 2007, párr. 248.</w:t>
      </w:r>
    </w:p>
  </w:footnote>
  <w:footnote w:id="119">
    <w:p w14:paraId="51F54F38" w14:textId="77777777" w:rsidR="00A52FEB" w:rsidRPr="00DC5DF1" w:rsidRDefault="00A52FEB" w:rsidP="00C85B61">
      <w:pPr>
        <w:pStyle w:val="FootnoteText"/>
        <w:rPr>
          <w:rFonts w:ascii="Cambria" w:hAnsi="Cambria"/>
          <w:lang w:val="es-ES"/>
        </w:rPr>
      </w:pPr>
      <w:r w:rsidRPr="00DC5DF1">
        <w:rPr>
          <w:rStyle w:val="FootnoteReference"/>
          <w:rFonts w:ascii="Cambria" w:hAnsi="Cambria"/>
        </w:rPr>
        <w:footnoteRef/>
      </w:r>
      <w:r w:rsidRPr="00DC5DF1">
        <w:rPr>
          <w:rFonts w:ascii="Cambria" w:hAnsi="Cambria"/>
          <w:lang w:val="es-ES"/>
        </w:rPr>
        <w:t xml:space="preserve"> CIDH. </w:t>
      </w:r>
      <w:r w:rsidRPr="00DC5DF1">
        <w:rPr>
          <w:rFonts w:ascii="Cambria" w:hAnsi="Cambria"/>
          <w:lang w:val="es-MX"/>
        </w:rPr>
        <w:t>Informe No. 111/10. Caso 12.539. Fondo. Sebastián Claus Furlan y familia. Argentina. 21 de octubre de 2010, párr. 94.</w:t>
      </w:r>
    </w:p>
  </w:footnote>
  <w:footnote w:id="120">
    <w:p w14:paraId="23D4F849" w14:textId="787DD947" w:rsidR="00A52FEB" w:rsidRPr="00CC0CE6" w:rsidRDefault="00A52FEB">
      <w:pPr>
        <w:pStyle w:val="FootnoteText"/>
        <w:rPr>
          <w:lang w:val="es-ES_tradnl"/>
        </w:rPr>
      </w:pPr>
      <w:r>
        <w:rPr>
          <w:rStyle w:val="FootnoteReference"/>
        </w:rPr>
        <w:footnoteRef/>
      </w:r>
      <w:r w:rsidRPr="00BD424E">
        <w:rPr>
          <w:lang w:val="es-US"/>
        </w:rPr>
        <w:t xml:space="preserve"> </w:t>
      </w:r>
      <w:r w:rsidRPr="005968CE">
        <w:rPr>
          <w:rFonts w:ascii="Cambria" w:eastAsia="Times New Roman" w:hAnsi="Cambria"/>
          <w:bdr w:val="none" w:sz="0" w:space="0" w:color="auto"/>
          <w:shd w:val="clear" w:color="auto" w:fill="FFFFFF"/>
          <w:lang w:val="es-MX"/>
        </w:rPr>
        <w:t>Corte IDH. Caso I.V. Vs. Bolivia. Excepciones Preliminares, Fondo, Reparaciones y Costas. Sentencia de 30 de noviembre de 2016. Serie C No. 329</w:t>
      </w:r>
      <w:r>
        <w:rPr>
          <w:rFonts w:ascii="Cambria" w:eastAsia="Times New Roman" w:hAnsi="Cambria"/>
          <w:bdr w:val="none" w:sz="0" w:space="0" w:color="auto"/>
          <w:shd w:val="clear" w:color="auto" w:fill="FFFFFF"/>
          <w:lang w:val="es-MX"/>
        </w:rPr>
        <w:t>, párr. 296.</w:t>
      </w:r>
    </w:p>
  </w:footnote>
  <w:footnote w:id="121">
    <w:p w14:paraId="4AECF51E" w14:textId="77777777" w:rsidR="00A52FEB" w:rsidRPr="00DC5DF1" w:rsidRDefault="00A52FEB" w:rsidP="001D00BB">
      <w:pPr>
        <w:pStyle w:val="FootnoteText"/>
        <w:rPr>
          <w:rFonts w:ascii="Cambria" w:hAnsi="Cambria"/>
          <w:lang w:val="es-ES"/>
        </w:rPr>
      </w:pPr>
      <w:r w:rsidRPr="00DC5DF1">
        <w:rPr>
          <w:rStyle w:val="FootnoteReference"/>
          <w:rFonts w:ascii="Cambria" w:hAnsi="Cambria"/>
        </w:rPr>
        <w:footnoteRef/>
      </w:r>
      <w:r w:rsidRPr="00DC5DF1">
        <w:rPr>
          <w:rFonts w:ascii="Cambria" w:hAnsi="Cambria"/>
          <w:b/>
          <w:bCs/>
          <w:lang w:val="es-MX"/>
        </w:rPr>
        <w:t xml:space="preserve"> </w:t>
      </w:r>
      <w:r w:rsidRPr="00DC5DF1">
        <w:rPr>
          <w:rFonts w:ascii="Cambria" w:hAnsi="Cambria"/>
          <w:bCs/>
          <w:lang w:val="es-MX"/>
        </w:rPr>
        <w:t xml:space="preserve">Corte IDH. Caso Vargas Areco Vs. </w:t>
      </w:r>
      <w:r w:rsidRPr="00DC5DF1">
        <w:rPr>
          <w:rFonts w:ascii="Cambria" w:hAnsi="Cambria"/>
          <w:bCs/>
          <w:lang w:val="es-ES"/>
        </w:rPr>
        <w:t xml:space="preserve">Paraguay. Sentencia de 26 de septiembre de 2006. </w:t>
      </w:r>
      <w:r w:rsidRPr="00DC5DF1">
        <w:rPr>
          <w:rFonts w:ascii="Cambria" w:hAnsi="Cambria"/>
          <w:bCs/>
          <w:lang w:val="es-US"/>
        </w:rPr>
        <w:t>Serie C No. 155</w:t>
      </w:r>
      <w:r w:rsidRPr="00DC5DF1">
        <w:rPr>
          <w:rStyle w:val="FootnoteTextChar"/>
          <w:rFonts w:ascii="Cambria" w:hAnsi="Cambria"/>
          <w:lang w:val="es-ES"/>
        </w:rPr>
        <w:t xml:space="preserve">, párr. 196; </w:t>
      </w:r>
      <w:hyperlink r:id="rId15" w:history="1">
        <w:r w:rsidRPr="00DC5DF1">
          <w:rPr>
            <w:rStyle w:val="FootnoteTextChar"/>
            <w:rFonts w:ascii="Cambria" w:hAnsi="Cambria"/>
            <w:lang w:val="es-ES"/>
          </w:rPr>
          <w:t>Caso de las Masacres de Ituango Vs. Colombia. Sentencia de 1 de julio de 2006 Serie C No. 148</w:t>
        </w:r>
      </w:hyperlink>
      <w:r w:rsidRPr="00DC5DF1">
        <w:rPr>
          <w:rStyle w:val="FootnoteTextChar"/>
          <w:rFonts w:ascii="Cambria" w:hAnsi="Cambria"/>
          <w:lang w:val="es-ES"/>
        </w:rPr>
        <w:t xml:space="preserve">, párr. 289; y </w:t>
      </w:r>
      <w:hyperlink r:id="rId16" w:history="1">
        <w:r w:rsidRPr="00DC5DF1">
          <w:rPr>
            <w:rStyle w:val="FootnoteTextChar"/>
            <w:rFonts w:ascii="Cambria" w:hAnsi="Cambria"/>
            <w:lang w:val="es-ES"/>
          </w:rPr>
          <w:t>Corte IDH. Caso Baldeón García Vs. Perú. Fondo, Reparaciones y Costas. Sentencia de 6 de abril de 2006. Serie C No. 147</w:t>
        </w:r>
      </w:hyperlink>
      <w:r w:rsidRPr="00DC5DF1">
        <w:rPr>
          <w:rStyle w:val="FootnoteTextChar"/>
          <w:rFonts w:ascii="Cambria" w:hAnsi="Cambria"/>
          <w:lang w:val="es-ES"/>
        </w:rPr>
        <w:t>, párr. 151.</w:t>
      </w:r>
    </w:p>
  </w:footnote>
  <w:footnote w:id="122">
    <w:p w14:paraId="7F8452EA" w14:textId="6A1709AD" w:rsidR="00A52FEB" w:rsidRPr="00DC5DF1" w:rsidRDefault="00A52FEB" w:rsidP="002D6FE5">
      <w:pPr>
        <w:ind w:right="-86"/>
        <w:jc w:val="both"/>
        <w:rPr>
          <w:rFonts w:ascii="Cambria" w:hAnsi="Cambria"/>
          <w:sz w:val="16"/>
          <w:szCs w:val="16"/>
          <w:lang w:val="es-ES" w:eastAsia="x-none"/>
        </w:rPr>
      </w:pPr>
      <w:r w:rsidRPr="00DC5DF1">
        <w:rPr>
          <w:rStyle w:val="FootnoteReference"/>
          <w:rFonts w:ascii="Cambria" w:hAnsi="Cambria"/>
          <w:sz w:val="16"/>
          <w:szCs w:val="16"/>
        </w:rPr>
        <w:footnoteRef/>
      </w:r>
      <w:r w:rsidRPr="00DC5DF1">
        <w:rPr>
          <w:rStyle w:val="FootnoteReference"/>
          <w:rFonts w:ascii="Cambria" w:hAnsi="Cambria"/>
          <w:sz w:val="16"/>
          <w:szCs w:val="16"/>
          <w:lang w:val="es-CR"/>
        </w:rPr>
        <w:t xml:space="preserve"> </w:t>
      </w:r>
      <w:r w:rsidRPr="00DC5DF1">
        <w:rPr>
          <w:rFonts w:ascii="Cambria" w:hAnsi="Cambria"/>
          <w:sz w:val="16"/>
          <w:szCs w:val="16"/>
          <w:lang w:val="es-CR"/>
        </w:rPr>
        <w:t>Corte IDH.</w:t>
      </w:r>
      <w:r w:rsidRPr="00DC5DF1">
        <w:rPr>
          <w:rFonts w:ascii="Cambria" w:hAnsi="Cambria"/>
          <w:i/>
          <w:spacing w:val="-2"/>
          <w:sz w:val="16"/>
          <w:szCs w:val="16"/>
          <w:vertAlign w:val="superscript"/>
          <w:lang w:val="es-CR"/>
        </w:rPr>
        <w:t xml:space="preserve"> </w:t>
      </w:r>
      <w:r w:rsidRPr="00DC5DF1">
        <w:rPr>
          <w:rFonts w:ascii="Cambria" w:hAnsi="Cambria"/>
          <w:bCs/>
          <w:i/>
          <w:iCs/>
          <w:spacing w:val="-2"/>
          <w:sz w:val="16"/>
          <w:szCs w:val="16"/>
          <w:lang w:val="es-ES"/>
        </w:rPr>
        <w:t>Caso Valle Jaramillo y otros Vs. Colombia</w:t>
      </w:r>
      <w:r w:rsidRPr="00DC5DF1">
        <w:rPr>
          <w:rFonts w:ascii="Cambria" w:hAnsi="Cambria"/>
          <w:bCs/>
          <w:iCs/>
          <w:spacing w:val="-2"/>
          <w:sz w:val="16"/>
          <w:szCs w:val="16"/>
          <w:lang w:val="es-ES"/>
        </w:rPr>
        <w:t xml:space="preserve">. </w:t>
      </w:r>
      <w:r w:rsidRPr="00DC5DF1">
        <w:rPr>
          <w:rFonts w:ascii="Cambria" w:hAnsi="Cambria" w:cs="Verdana"/>
          <w:sz w:val="16"/>
          <w:szCs w:val="16"/>
          <w:lang w:val="es-ES"/>
        </w:rPr>
        <w:t>Fondo, Reparaciones y Costas</w:t>
      </w:r>
      <w:r w:rsidRPr="00DC5DF1">
        <w:rPr>
          <w:rFonts w:ascii="Cambria" w:hAnsi="Cambria" w:cs="Verdana"/>
          <w:i/>
          <w:sz w:val="16"/>
          <w:szCs w:val="16"/>
          <w:lang w:val="es-ES"/>
        </w:rPr>
        <w:t>.</w:t>
      </w:r>
      <w:r w:rsidRPr="00DC5DF1">
        <w:rPr>
          <w:rFonts w:ascii="Cambria" w:hAnsi="Cambria" w:cs="Verdana"/>
          <w:sz w:val="16"/>
          <w:szCs w:val="16"/>
          <w:lang w:val="es-ES"/>
        </w:rPr>
        <w:t xml:space="preserve"> Sentencia de 27 de noviembre de 2008. Serie C No. 192</w:t>
      </w:r>
      <w:r w:rsidRPr="00DC5DF1">
        <w:rPr>
          <w:rFonts w:ascii="Cambria" w:hAnsi="Cambria"/>
          <w:spacing w:val="-2"/>
          <w:sz w:val="16"/>
          <w:szCs w:val="16"/>
          <w:lang w:val="es-CR"/>
        </w:rPr>
        <w:t>, párr. 155, y</w:t>
      </w:r>
      <w:r w:rsidRPr="00DC5DF1">
        <w:rPr>
          <w:rFonts w:ascii="Cambria" w:hAnsi="Cambria"/>
          <w:bCs/>
          <w:i/>
          <w:spacing w:val="-2"/>
          <w:sz w:val="16"/>
          <w:szCs w:val="16"/>
          <w:lang w:val="es-CR"/>
        </w:rPr>
        <w:t xml:space="preserve"> </w:t>
      </w:r>
      <w:r w:rsidRPr="00DC5DF1">
        <w:rPr>
          <w:rFonts w:ascii="Cambria" w:hAnsi="Cambria" w:cs="Verdana"/>
          <w:bCs/>
          <w:i/>
          <w:sz w:val="16"/>
          <w:szCs w:val="16"/>
          <w:lang w:val="es-ES"/>
        </w:rPr>
        <w:t>Caso Díaz Peña Vs. Venezuela.</w:t>
      </w:r>
      <w:r w:rsidRPr="00DC5DF1">
        <w:rPr>
          <w:rFonts w:ascii="Cambria" w:hAnsi="Cambria" w:cs="Verdana"/>
          <w:bCs/>
          <w:sz w:val="16"/>
          <w:szCs w:val="16"/>
          <w:lang w:val="es-ES" w:eastAsia="x-none"/>
        </w:rPr>
        <w:t xml:space="preserve"> Excepción Preliminar, Fondo, Reparaciones y Costas</w:t>
      </w:r>
      <w:r w:rsidRPr="00DC5DF1">
        <w:rPr>
          <w:rFonts w:ascii="Cambria" w:hAnsi="Cambria" w:cs="Verdana"/>
          <w:bCs/>
          <w:i/>
          <w:sz w:val="16"/>
          <w:szCs w:val="16"/>
          <w:lang w:val="es-ES" w:eastAsia="x-none"/>
        </w:rPr>
        <w:t xml:space="preserve">. </w:t>
      </w:r>
      <w:r w:rsidRPr="00DC5DF1">
        <w:rPr>
          <w:rFonts w:ascii="Cambria" w:hAnsi="Cambria" w:cs="Verdana"/>
          <w:bCs/>
          <w:sz w:val="16"/>
          <w:szCs w:val="16"/>
          <w:lang w:val="es-ES" w:eastAsia="x-none"/>
        </w:rPr>
        <w:t xml:space="preserve">Sentencia de 26 de junio de 2012. Serie C No. 244, </w:t>
      </w:r>
      <w:r w:rsidRPr="00DC5DF1">
        <w:rPr>
          <w:rFonts w:ascii="Cambria" w:hAnsi="Cambria" w:cs="Verdana"/>
          <w:bCs/>
          <w:sz w:val="16"/>
          <w:szCs w:val="16"/>
          <w:lang w:val="es-ES"/>
        </w:rPr>
        <w:t>párr. 49.</w:t>
      </w:r>
    </w:p>
  </w:footnote>
  <w:footnote w:id="123">
    <w:p w14:paraId="126DE51B" w14:textId="2C246474" w:rsidR="00A52FEB" w:rsidRPr="00DC5DF1" w:rsidRDefault="00A52FEB" w:rsidP="00EB505C">
      <w:pPr>
        <w:widowControl w:val="0"/>
        <w:autoSpaceDE w:val="0"/>
        <w:autoSpaceDN w:val="0"/>
        <w:adjustRightInd w:val="0"/>
        <w:jc w:val="both"/>
        <w:rPr>
          <w:rFonts w:ascii="Cambria" w:hAnsi="Cambria"/>
          <w:sz w:val="16"/>
          <w:szCs w:val="16"/>
          <w:lang w:val="es-ES"/>
        </w:rPr>
      </w:pPr>
      <w:r w:rsidRPr="00DC5DF1">
        <w:rPr>
          <w:rStyle w:val="FootnoteReference"/>
          <w:rFonts w:ascii="Cambria" w:hAnsi="Cambria"/>
          <w:sz w:val="16"/>
          <w:szCs w:val="16"/>
        </w:rPr>
        <w:footnoteRef/>
      </w:r>
      <w:r w:rsidRPr="00DC5DF1">
        <w:rPr>
          <w:rFonts w:ascii="Cambria" w:hAnsi="Cambria"/>
          <w:sz w:val="16"/>
          <w:szCs w:val="16"/>
          <w:lang w:val="es-ES"/>
        </w:rPr>
        <w:t xml:space="preserve"> Corte IDH. Caso Furlan y Familiares Vs. Argentina. Excepciones Preliminares, Fondo, Reparaciones y Costas. Sentencia de 31 de agosto de 2012. Serie C No. 246.  Declaración del perito Gustavo Daniel Moreno en la audiencia pública celebrada el 27 de febrero de 2012 ante la Corte Interamericana, “los procesos de daños y perjuicios duran aproximadamente un promedio de 4 años, sin embargo no deberían de durar esto, estos procesos deberían de ser más rápidos, no solamente por las normas procesales que fijan los plazos de prueba, los plazos que tiene que dictar el Juez en la sentencia, sino porque muchas veces estos plazos quedan dentro de un marco dispositivo de Jueces espectadores, la verdad es que un proceso debería durar no más de 2 años”. </w:t>
      </w:r>
    </w:p>
  </w:footnote>
  <w:footnote w:id="124">
    <w:p w14:paraId="1CFAE74C" w14:textId="77777777" w:rsidR="00A52FEB" w:rsidRPr="00DC5DF1" w:rsidRDefault="00A52FEB" w:rsidP="002C23AD">
      <w:pPr>
        <w:jc w:val="both"/>
        <w:rPr>
          <w:rFonts w:ascii="Cambria" w:hAnsi="Cambria"/>
          <w:sz w:val="16"/>
          <w:szCs w:val="16"/>
          <w:lang w:val="es-ES" w:eastAsia="x-none"/>
        </w:rPr>
      </w:pPr>
      <w:r w:rsidRPr="00DC5DF1">
        <w:rPr>
          <w:rStyle w:val="FootnoteReference"/>
          <w:rFonts w:ascii="Cambria" w:hAnsi="Cambria"/>
          <w:sz w:val="16"/>
          <w:szCs w:val="16"/>
        </w:rPr>
        <w:footnoteRef/>
      </w:r>
      <w:r w:rsidRPr="00DC5DF1">
        <w:rPr>
          <w:rFonts w:ascii="Cambria" w:hAnsi="Cambria"/>
          <w:sz w:val="16"/>
          <w:szCs w:val="16"/>
          <w:lang w:val="es-ES"/>
        </w:rPr>
        <w:t xml:space="preserve"> Corte IDH. Caso Furlan y Familiares Vs. Argentina. Excepciones Preliminares, Fondo, Reparaciones y Costas. Sentencia de 31 de agosto de 2012. Serie C No. 246, párr.. 69; y Corte IDH.</w:t>
      </w:r>
      <w:r w:rsidRPr="00DC5DF1">
        <w:rPr>
          <w:rFonts w:ascii="Cambria" w:hAnsi="Cambria"/>
          <w:i/>
          <w:sz w:val="16"/>
          <w:szCs w:val="16"/>
          <w:lang w:val="es-ES" w:eastAsia="x-none"/>
        </w:rPr>
        <w:t xml:space="preserve"> Caso Salvador Chiriboga Vs. Ecuador</w:t>
      </w:r>
      <w:r w:rsidRPr="00DC5DF1">
        <w:rPr>
          <w:rFonts w:ascii="Cambria" w:hAnsi="Cambria"/>
          <w:sz w:val="16"/>
          <w:szCs w:val="16"/>
          <w:lang w:val="es-ES" w:eastAsia="x-none"/>
        </w:rPr>
        <w:t xml:space="preserve">, párr. 83, y </w:t>
      </w:r>
      <w:r w:rsidRPr="00DC5DF1">
        <w:rPr>
          <w:rFonts w:ascii="Cambria" w:hAnsi="Cambria" w:cs="Verdana"/>
          <w:bCs/>
          <w:i/>
          <w:sz w:val="16"/>
          <w:szCs w:val="16"/>
          <w:lang w:val="es-ES" w:eastAsia="x-none"/>
        </w:rPr>
        <w:t>Caso Acevedo Buendía y otros (“Cesantes y Jubilados de la Contraloría”) Vs. Perú</w:t>
      </w:r>
      <w:r w:rsidRPr="00DC5DF1">
        <w:rPr>
          <w:rFonts w:ascii="Cambria" w:hAnsi="Cambria" w:cs="Verdana"/>
          <w:sz w:val="16"/>
          <w:szCs w:val="16"/>
          <w:lang w:val="es-ES" w:eastAsia="x-none"/>
        </w:rPr>
        <w:t>,</w:t>
      </w:r>
      <w:r w:rsidRPr="00DC5DF1">
        <w:rPr>
          <w:rFonts w:ascii="Cambria" w:hAnsi="Cambria" w:cs="Verdana"/>
          <w:i/>
          <w:sz w:val="16"/>
          <w:szCs w:val="16"/>
          <w:lang w:val="es-ES" w:eastAsia="x-none"/>
        </w:rPr>
        <w:t xml:space="preserve"> </w:t>
      </w:r>
      <w:r w:rsidRPr="00DC5DF1">
        <w:rPr>
          <w:rFonts w:ascii="Cambria" w:hAnsi="Cambria"/>
          <w:sz w:val="16"/>
          <w:szCs w:val="16"/>
          <w:lang w:val="es-ES" w:eastAsia="x-none"/>
        </w:rPr>
        <w:t>párr. 76.</w:t>
      </w:r>
    </w:p>
  </w:footnote>
  <w:footnote w:id="125">
    <w:p w14:paraId="608801B5" w14:textId="77777777"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sidRPr="00DC5DF1">
        <w:rPr>
          <w:rFonts w:ascii="Cambria" w:hAnsi="Cambria"/>
          <w:lang w:val="es-CO"/>
        </w:rPr>
        <w:t xml:space="preserve">CIDH. Informe No. 11/10. Caso 12.488. Fondo. Miembros de la Familia Barrios. Venezuela. 16 de marzo de 2010. 91. </w:t>
      </w:r>
      <w:r w:rsidRPr="00DC5DF1">
        <w:rPr>
          <w:rFonts w:ascii="Cambria" w:hAnsi="Cambria"/>
          <w:lang w:val="es-MX"/>
        </w:rPr>
        <w:t xml:space="preserve">CIDH. Informe sobre Terrorismo y Derechos Humanos. Párr. 227; </w:t>
      </w:r>
      <w:r w:rsidRPr="00DC5DF1">
        <w:rPr>
          <w:rFonts w:ascii="Cambria" w:hAnsi="Cambria" w:cs="Arial"/>
          <w:lang w:val="es-MX"/>
        </w:rPr>
        <w:t xml:space="preserve">Corte IDH. </w:t>
      </w:r>
      <w:r w:rsidRPr="00DC5DF1">
        <w:rPr>
          <w:rFonts w:ascii="Cambria" w:hAnsi="Cambria" w:cs="Arial"/>
          <w:bCs/>
          <w:lang w:val="es-MX"/>
        </w:rPr>
        <w:t xml:space="preserve">Caso Cantoral Huamaní y García Santa Cruz Vs. Perú. </w:t>
      </w:r>
      <w:r w:rsidRPr="00DC5DF1">
        <w:rPr>
          <w:rFonts w:ascii="Cambria" w:hAnsi="Cambria" w:cs="Arial"/>
          <w:lang w:val="es-MX"/>
        </w:rPr>
        <w:t xml:space="preserve">Excepción Preliminar, Fondo, Reparaciones y Costas. Sentencia de 10 de julio de 2007. Serie C No. 167. </w:t>
      </w:r>
      <w:r w:rsidRPr="00DC5DF1">
        <w:rPr>
          <w:rFonts w:ascii="Cambria" w:hAnsi="Cambria" w:cs="Arial"/>
          <w:lang w:val="es-CL"/>
        </w:rPr>
        <w:t xml:space="preserve">párr. 112; </w:t>
      </w:r>
      <w:r w:rsidRPr="00DC5DF1">
        <w:rPr>
          <w:rFonts w:ascii="Cambria" w:hAnsi="Cambria" w:cs="Arial"/>
          <w:lang w:val="es-MX"/>
        </w:rPr>
        <w:t xml:space="preserve">y Caso Bueno Alves Vs. Argentina. Fondo, Reparaciones y Costas. </w:t>
      </w:r>
      <w:r w:rsidRPr="00DC5DF1">
        <w:rPr>
          <w:rFonts w:ascii="Cambria" w:hAnsi="Cambria" w:cs="Arial"/>
          <w:lang w:val="es-ES"/>
        </w:rPr>
        <w:t xml:space="preserve">Sentencia de 11 de mayo de 2007. Serie C. No. 164. </w:t>
      </w:r>
      <w:r w:rsidRPr="00DC5DF1">
        <w:rPr>
          <w:rFonts w:ascii="Cambria" w:hAnsi="Cambria" w:cs="Arial"/>
          <w:lang w:val="es-MX"/>
        </w:rPr>
        <w:t>párr. 102.</w:t>
      </w:r>
    </w:p>
  </w:footnote>
  <w:footnote w:id="126">
    <w:p w14:paraId="5CB6784F" w14:textId="77777777" w:rsidR="00A52FEB" w:rsidRPr="00DC5DF1" w:rsidRDefault="00A52FEB">
      <w:pPr>
        <w:pStyle w:val="FootnoteText"/>
        <w:rPr>
          <w:rFonts w:ascii="Cambria" w:hAnsi="Cambria"/>
          <w:lang w:val="es-MX"/>
        </w:rPr>
      </w:pPr>
      <w:r w:rsidRPr="00DC5DF1">
        <w:rPr>
          <w:rStyle w:val="FootnoteReference"/>
          <w:rFonts w:ascii="Cambria" w:hAnsi="Cambria"/>
        </w:rPr>
        <w:footnoteRef/>
      </w:r>
      <w:r w:rsidRPr="00DC5DF1">
        <w:rPr>
          <w:rFonts w:ascii="Cambria" w:hAnsi="Cambria"/>
          <w:lang w:val="es-MX"/>
        </w:rPr>
        <w:t xml:space="preserve"> </w:t>
      </w:r>
      <w:r w:rsidRPr="00DC5DF1">
        <w:rPr>
          <w:rFonts w:ascii="Cambria" w:hAnsi="Cambria" w:cs="Arial"/>
          <w:lang w:val="es-MX"/>
        </w:rPr>
        <w:t xml:space="preserve">Corte IDH. </w:t>
      </w:r>
      <w:r w:rsidRPr="00DC5DF1">
        <w:rPr>
          <w:rFonts w:ascii="Cambria" w:hAnsi="Cambria" w:cs="Arial"/>
          <w:bCs/>
          <w:lang w:val="es-MX"/>
        </w:rPr>
        <w:t xml:space="preserve">Caso Cantoral Huamaní y García Santa Cruz Vs. Perú. </w:t>
      </w:r>
      <w:r w:rsidRPr="00DC5DF1">
        <w:rPr>
          <w:rFonts w:ascii="Cambria" w:hAnsi="Cambria" w:cs="Arial"/>
          <w:lang w:val="es-MX"/>
        </w:rPr>
        <w:t xml:space="preserve">Excepción Preliminar, Fondo, Reparaciones y Costas. Sentencia de 10 de julio de 2007. Serie C No. 167. </w:t>
      </w:r>
      <w:r w:rsidRPr="00DC5DF1">
        <w:rPr>
          <w:rFonts w:ascii="Cambria" w:hAnsi="Cambria" w:cs="Arial"/>
          <w:lang w:val="es-CL"/>
        </w:rPr>
        <w:t>párr.</w:t>
      </w:r>
      <w:r w:rsidRPr="00DC5DF1">
        <w:rPr>
          <w:rFonts w:ascii="Cambria" w:hAnsi="Cambria" w:cs="Arial"/>
          <w:lang w:val="es-ES"/>
        </w:rPr>
        <w:t xml:space="preserve"> 112; </w:t>
      </w:r>
      <w:r w:rsidRPr="00DC5DF1">
        <w:rPr>
          <w:rFonts w:ascii="Cambria" w:hAnsi="Cambria" w:cs="Arial"/>
          <w:lang w:val="es-MX"/>
        </w:rPr>
        <w:t xml:space="preserve">y Caso Vargas Areco Vs. Paraguay. Sentencia de 26 de septiembre de 2006. Serie C No. 155. párr. </w:t>
      </w:r>
      <w:r w:rsidRPr="00DC5DF1">
        <w:rPr>
          <w:rFonts w:ascii="Cambria" w:hAnsi="Cambria" w:cs="Arial"/>
          <w:lang w:val="es-ES"/>
        </w:rPr>
        <w:t>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84F7" w14:textId="77777777" w:rsidR="00A52FEB" w:rsidRDefault="00A52FEB" w:rsidP="000E416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137DEFB" w14:textId="77777777" w:rsidR="00A52FEB" w:rsidRDefault="00A52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ECF0" w14:textId="77777777" w:rsidR="00A52FEB" w:rsidRDefault="00A52FEB" w:rsidP="00A50FCF">
    <w:pPr>
      <w:pStyle w:val="Header"/>
      <w:tabs>
        <w:tab w:val="clear" w:pos="4320"/>
        <w:tab w:val="clear" w:pos="8640"/>
      </w:tabs>
      <w:jc w:val="center"/>
      <w:rPr>
        <w:sz w:val="22"/>
        <w:szCs w:val="22"/>
      </w:rPr>
    </w:pPr>
    <w:r>
      <w:rPr>
        <w:noProof/>
        <w:sz w:val="22"/>
        <w:szCs w:val="22"/>
      </w:rPr>
      <w:drawing>
        <wp:inline distT="0" distB="0" distL="0" distR="0" wp14:anchorId="38C58214" wp14:editId="0C1C09F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9B077BF" w14:textId="77777777" w:rsidR="00A52FEB" w:rsidRPr="00EC7D62" w:rsidRDefault="00A84548" w:rsidP="00A50FCF">
    <w:pPr>
      <w:pStyle w:val="Header"/>
      <w:tabs>
        <w:tab w:val="clear" w:pos="4320"/>
        <w:tab w:val="clear" w:pos="8640"/>
      </w:tabs>
      <w:jc w:val="center"/>
      <w:rPr>
        <w:sz w:val="22"/>
        <w:szCs w:val="22"/>
      </w:rPr>
    </w:pPr>
    <w:r>
      <w:rPr>
        <w:sz w:val="22"/>
        <w:szCs w:val="22"/>
      </w:rPr>
      <w:pict w14:anchorId="2AB71443">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3B3FD0"/>
    <w:multiLevelType w:val="hybridMultilevel"/>
    <w:tmpl w:val="35FAFF90"/>
    <w:lvl w:ilvl="0" w:tplc="C5D8AC78">
      <w:start w:val="1"/>
      <w:numFmt w:val="decimal"/>
      <w:lvlText w:val="%1."/>
      <w:lvlJc w:val="left"/>
      <w:pPr>
        <w:ind w:left="3330" w:hanging="360"/>
      </w:pPr>
      <w:rPr>
        <w:rFonts w:ascii="Cambria" w:hAnsi="Cambria" w:hint="default"/>
        <w:b w:val="0"/>
        <w:i w:val="0"/>
        <w:sz w:val="20"/>
      </w:rPr>
    </w:lvl>
    <w:lvl w:ilvl="1" w:tplc="F5C4EC74">
      <w:start w:val="1"/>
      <w:numFmt w:val="lowerLetter"/>
      <w:lvlText w:val="%2)"/>
      <w:lvlJc w:val="left"/>
      <w:pPr>
        <w:ind w:left="2074" w:hanging="360"/>
      </w:pPr>
      <w:rPr>
        <w:rFonts w:hint="default"/>
      </w:r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532E6E"/>
    <w:multiLevelType w:val="multilevel"/>
    <w:tmpl w:val="0409001F"/>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8146F6"/>
    <w:multiLevelType w:val="hybridMultilevel"/>
    <w:tmpl w:val="FB382F22"/>
    <w:lvl w:ilvl="0" w:tplc="7FEE633C">
      <w:start w:val="1"/>
      <w:numFmt w:val="decimal"/>
      <w:pStyle w:val="Normal1"/>
      <w:lvlText w:val="%1."/>
      <w:lvlJc w:val="left"/>
      <w:pPr>
        <w:ind w:left="2061" w:hanging="360"/>
      </w:pPr>
      <w:rPr>
        <w:rFonts w:cs="Arial" w:hint="default"/>
        <w:b w:val="0"/>
        <w:color w:val="808080" w:themeColor="background1" w:themeShade="80"/>
        <w:sz w:val="16"/>
        <w:szCs w:val="16"/>
        <w:lang w:val="es-MX"/>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2A0BA1"/>
    <w:multiLevelType w:val="hybridMultilevel"/>
    <w:tmpl w:val="A87E65DA"/>
    <w:lvl w:ilvl="0" w:tplc="F064B932">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74334E"/>
    <w:multiLevelType w:val="hybridMultilevel"/>
    <w:tmpl w:val="36526C66"/>
    <w:lvl w:ilvl="0" w:tplc="EB665ADE">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D7D4B9D"/>
    <w:multiLevelType w:val="hybridMultilevel"/>
    <w:tmpl w:val="86E4659C"/>
    <w:lvl w:ilvl="0" w:tplc="7CA2DE6E">
      <w:start w:val="1"/>
      <w:numFmt w:val="decimal"/>
      <w:pStyle w:val="parrafos"/>
      <w:lvlText w:val="%1."/>
      <w:lvlJc w:val="left"/>
      <w:pPr>
        <w:ind w:left="900" w:hanging="360"/>
      </w:pPr>
      <w:rPr>
        <w:rFonts w:ascii="Cambria" w:hAnsi="Cambria" w:hint="default"/>
        <w:b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1" w15:restartNumberingAfterBreak="0">
    <w:nsid w:val="7F813D94"/>
    <w:multiLevelType w:val="hybridMultilevel"/>
    <w:tmpl w:val="6240AC06"/>
    <w:lvl w:ilvl="0" w:tplc="026670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55"/>
  </w:num>
  <w:num w:numId="4">
    <w:abstractNumId w:val="22"/>
  </w:num>
  <w:num w:numId="5">
    <w:abstractNumId w:val="50"/>
  </w:num>
  <w:num w:numId="6">
    <w:abstractNumId w:val="28"/>
  </w:num>
  <w:num w:numId="7">
    <w:abstractNumId w:val="6"/>
  </w:num>
  <w:num w:numId="8">
    <w:abstractNumId w:val="17"/>
  </w:num>
  <w:num w:numId="9">
    <w:abstractNumId w:val="44"/>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9"/>
  </w:num>
  <w:num w:numId="42">
    <w:abstractNumId w:val="51"/>
  </w:num>
  <w:num w:numId="43">
    <w:abstractNumId w:val="52"/>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43"/>
  </w:num>
  <w:num w:numId="53">
    <w:abstractNumId w:val="46"/>
  </w:num>
  <w:num w:numId="54">
    <w:abstractNumId w:val="26"/>
  </w:num>
  <w:num w:numId="55">
    <w:abstractNumId w:val="48"/>
  </w:num>
  <w:num w:numId="56">
    <w:abstractNumId w:val="47"/>
  </w:num>
  <w:num w:numId="57">
    <w:abstractNumId w:val="8"/>
  </w:num>
  <w:num w:numId="58">
    <w:abstractNumId w:val="30"/>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num>
  <w:num w:numId="61">
    <w:abstractNumId w:val="21"/>
  </w:num>
  <w:num w:numId="62">
    <w:abstractNumId w:val="61"/>
    <w:lvlOverride w:ilvl="0">
      <w:startOverride w:val="1"/>
    </w:lvlOverride>
  </w:num>
  <w:num w:numId="63">
    <w:abstractNumId w:val="42"/>
    <w:lvlOverride w:ilvl="0">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1433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6F9"/>
    <w:rsid w:val="00000CDA"/>
    <w:rsid w:val="00001D27"/>
    <w:rsid w:val="00006896"/>
    <w:rsid w:val="00006E1F"/>
    <w:rsid w:val="000070D7"/>
    <w:rsid w:val="00007B4E"/>
    <w:rsid w:val="0001400C"/>
    <w:rsid w:val="000158FD"/>
    <w:rsid w:val="00015EDD"/>
    <w:rsid w:val="0001788C"/>
    <w:rsid w:val="000179A6"/>
    <w:rsid w:val="00022A1C"/>
    <w:rsid w:val="0002319A"/>
    <w:rsid w:val="00027A6B"/>
    <w:rsid w:val="00032214"/>
    <w:rsid w:val="00032A5E"/>
    <w:rsid w:val="00034E44"/>
    <w:rsid w:val="00040C3A"/>
    <w:rsid w:val="00044112"/>
    <w:rsid w:val="00044CEC"/>
    <w:rsid w:val="000465B7"/>
    <w:rsid w:val="00052315"/>
    <w:rsid w:val="00054627"/>
    <w:rsid w:val="00054BE4"/>
    <w:rsid w:val="00062201"/>
    <w:rsid w:val="0006565A"/>
    <w:rsid w:val="000666DF"/>
    <w:rsid w:val="000674C1"/>
    <w:rsid w:val="00067A5D"/>
    <w:rsid w:val="000716C5"/>
    <w:rsid w:val="00072150"/>
    <w:rsid w:val="000744FD"/>
    <w:rsid w:val="00075E23"/>
    <w:rsid w:val="000760E2"/>
    <w:rsid w:val="00077503"/>
    <w:rsid w:val="00086B93"/>
    <w:rsid w:val="0008768F"/>
    <w:rsid w:val="000922DC"/>
    <w:rsid w:val="0009344A"/>
    <w:rsid w:val="00093C3F"/>
    <w:rsid w:val="00096279"/>
    <w:rsid w:val="000A01D4"/>
    <w:rsid w:val="000A07B9"/>
    <w:rsid w:val="000A392E"/>
    <w:rsid w:val="000A39E4"/>
    <w:rsid w:val="000A473A"/>
    <w:rsid w:val="000A575F"/>
    <w:rsid w:val="000A576A"/>
    <w:rsid w:val="000A6C32"/>
    <w:rsid w:val="000B7F13"/>
    <w:rsid w:val="000C15FE"/>
    <w:rsid w:val="000C3D72"/>
    <w:rsid w:val="000D10DB"/>
    <w:rsid w:val="000D4C4B"/>
    <w:rsid w:val="000D5AE4"/>
    <w:rsid w:val="000E0C8F"/>
    <w:rsid w:val="000E2875"/>
    <w:rsid w:val="000E4161"/>
    <w:rsid w:val="000E5EB5"/>
    <w:rsid w:val="000E6542"/>
    <w:rsid w:val="000F35ED"/>
    <w:rsid w:val="001012EC"/>
    <w:rsid w:val="001047E3"/>
    <w:rsid w:val="00106B19"/>
    <w:rsid w:val="00107131"/>
    <w:rsid w:val="0010736F"/>
    <w:rsid w:val="00111A81"/>
    <w:rsid w:val="001128DD"/>
    <w:rsid w:val="00113D74"/>
    <w:rsid w:val="00113F73"/>
    <w:rsid w:val="00117C3D"/>
    <w:rsid w:val="00121CC2"/>
    <w:rsid w:val="0012540A"/>
    <w:rsid w:val="001265A5"/>
    <w:rsid w:val="00130E73"/>
    <w:rsid w:val="00131C5B"/>
    <w:rsid w:val="00132569"/>
    <w:rsid w:val="00132F5C"/>
    <w:rsid w:val="00133EE5"/>
    <w:rsid w:val="00140D5A"/>
    <w:rsid w:val="00141CA1"/>
    <w:rsid w:val="00142130"/>
    <w:rsid w:val="00144D48"/>
    <w:rsid w:val="0015314E"/>
    <w:rsid w:val="0015428A"/>
    <w:rsid w:val="00161D34"/>
    <w:rsid w:val="0016224B"/>
    <w:rsid w:val="00162ADF"/>
    <w:rsid w:val="00166189"/>
    <w:rsid w:val="00167A34"/>
    <w:rsid w:val="00170017"/>
    <w:rsid w:val="00172591"/>
    <w:rsid w:val="0017277D"/>
    <w:rsid w:val="00172E89"/>
    <w:rsid w:val="00174D04"/>
    <w:rsid w:val="001770C6"/>
    <w:rsid w:val="001779F0"/>
    <w:rsid w:val="00181F34"/>
    <w:rsid w:val="001835CA"/>
    <w:rsid w:val="00183B2E"/>
    <w:rsid w:val="00185DDE"/>
    <w:rsid w:val="00185F87"/>
    <w:rsid w:val="00187B3E"/>
    <w:rsid w:val="00192EAE"/>
    <w:rsid w:val="001938A5"/>
    <w:rsid w:val="001944DC"/>
    <w:rsid w:val="0019455F"/>
    <w:rsid w:val="00195060"/>
    <w:rsid w:val="0019683D"/>
    <w:rsid w:val="001A19F4"/>
    <w:rsid w:val="001A31FD"/>
    <w:rsid w:val="001A4A0F"/>
    <w:rsid w:val="001A4D23"/>
    <w:rsid w:val="001A7870"/>
    <w:rsid w:val="001B0DB7"/>
    <w:rsid w:val="001B15D8"/>
    <w:rsid w:val="001B1D33"/>
    <w:rsid w:val="001B33A4"/>
    <w:rsid w:val="001B6AE4"/>
    <w:rsid w:val="001B7F4E"/>
    <w:rsid w:val="001C103F"/>
    <w:rsid w:val="001C1B41"/>
    <w:rsid w:val="001C4460"/>
    <w:rsid w:val="001C5F25"/>
    <w:rsid w:val="001C6D10"/>
    <w:rsid w:val="001D00BB"/>
    <w:rsid w:val="001D18C7"/>
    <w:rsid w:val="001D18E5"/>
    <w:rsid w:val="001D1BB7"/>
    <w:rsid w:val="001D4344"/>
    <w:rsid w:val="001D4CDD"/>
    <w:rsid w:val="001D586D"/>
    <w:rsid w:val="001D65EF"/>
    <w:rsid w:val="001E15B6"/>
    <w:rsid w:val="001E29C5"/>
    <w:rsid w:val="001E3642"/>
    <w:rsid w:val="001E6839"/>
    <w:rsid w:val="001E6C7E"/>
    <w:rsid w:val="001E6D28"/>
    <w:rsid w:val="001E721A"/>
    <w:rsid w:val="001F555A"/>
    <w:rsid w:val="001F5D6B"/>
    <w:rsid w:val="001F62DB"/>
    <w:rsid w:val="00202589"/>
    <w:rsid w:val="002033EC"/>
    <w:rsid w:val="00204B61"/>
    <w:rsid w:val="002071FD"/>
    <w:rsid w:val="002100E5"/>
    <w:rsid w:val="002111F1"/>
    <w:rsid w:val="0021369F"/>
    <w:rsid w:val="00214ED8"/>
    <w:rsid w:val="0022196B"/>
    <w:rsid w:val="002225C4"/>
    <w:rsid w:val="0022273F"/>
    <w:rsid w:val="002235A4"/>
    <w:rsid w:val="002250A3"/>
    <w:rsid w:val="00225266"/>
    <w:rsid w:val="002259C2"/>
    <w:rsid w:val="00230981"/>
    <w:rsid w:val="00235217"/>
    <w:rsid w:val="0023562E"/>
    <w:rsid w:val="002423BF"/>
    <w:rsid w:val="002464A6"/>
    <w:rsid w:val="00246D1F"/>
    <w:rsid w:val="00247403"/>
    <w:rsid w:val="00247542"/>
    <w:rsid w:val="0025041F"/>
    <w:rsid w:val="00251FC0"/>
    <w:rsid w:val="002572A8"/>
    <w:rsid w:val="00260CAD"/>
    <w:rsid w:val="00261A07"/>
    <w:rsid w:val="00261A50"/>
    <w:rsid w:val="00266B61"/>
    <w:rsid w:val="0026712A"/>
    <w:rsid w:val="002704DB"/>
    <w:rsid w:val="00273574"/>
    <w:rsid w:val="00276DF8"/>
    <w:rsid w:val="00277EF9"/>
    <w:rsid w:val="002827DD"/>
    <w:rsid w:val="00284511"/>
    <w:rsid w:val="00295EFD"/>
    <w:rsid w:val="00296CFC"/>
    <w:rsid w:val="00297F03"/>
    <w:rsid w:val="002A0AAE"/>
    <w:rsid w:val="002A2E99"/>
    <w:rsid w:val="002A4B39"/>
    <w:rsid w:val="002A5820"/>
    <w:rsid w:val="002A5D87"/>
    <w:rsid w:val="002B10B4"/>
    <w:rsid w:val="002B3F33"/>
    <w:rsid w:val="002B76DD"/>
    <w:rsid w:val="002C23AD"/>
    <w:rsid w:val="002C3968"/>
    <w:rsid w:val="002C557A"/>
    <w:rsid w:val="002C74B3"/>
    <w:rsid w:val="002D1369"/>
    <w:rsid w:val="002D27B3"/>
    <w:rsid w:val="002D2B26"/>
    <w:rsid w:val="002D6FE5"/>
    <w:rsid w:val="002D7EA2"/>
    <w:rsid w:val="002E16D5"/>
    <w:rsid w:val="002E187C"/>
    <w:rsid w:val="002E4AEA"/>
    <w:rsid w:val="002E63AB"/>
    <w:rsid w:val="002E63C6"/>
    <w:rsid w:val="002E75B0"/>
    <w:rsid w:val="002E7A7F"/>
    <w:rsid w:val="002F139F"/>
    <w:rsid w:val="002F14CF"/>
    <w:rsid w:val="002F5022"/>
    <w:rsid w:val="00300E48"/>
    <w:rsid w:val="00302733"/>
    <w:rsid w:val="003027AB"/>
    <w:rsid w:val="00303D52"/>
    <w:rsid w:val="00304B72"/>
    <w:rsid w:val="00307ABC"/>
    <w:rsid w:val="003106C4"/>
    <w:rsid w:val="00310A18"/>
    <w:rsid w:val="0031160D"/>
    <w:rsid w:val="00312E3F"/>
    <w:rsid w:val="00314078"/>
    <w:rsid w:val="00314C8A"/>
    <w:rsid w:val="0031535D"/>
    <w:rsid w:val="00322094"/>
    <w:rsid w:val="00322B86"/>
    <w:rsid w:val="00326C2F"/>
    <w:rsid w:val="00327403"/>
    <w:rsid w:val="0032742E"/>
    <w:rsid w:val="0033028D"/>
    <w:rsid w:val="0033169F"/>
    <w:rsid w:val="003432A7"/>
    <w:rsid w:val="00346C95"/>
    <w:rsid w:val="00347DA3"/>
    <w:rsid w:val="00350DA0"/>
    <w:rsid w:val="00352868"/>
    <w:rsid w:val="00356185"/>
    <w:rsid w:val="00360380"/>
    <w:rsid w:val="00360AE5"/>
    <w:rsid w:val="00361415"/>
    <w:rsid w:val="00363676"/>
    <w:rsid w:val="00364F36"/>
    <w:rsid w:val="00365872"/>
    <w:rsid w:val="003676B6"/>
    <w:rsid w:val="003708A9"/>
    <w:rsid w:val="003715F8"/>
    <w:rsid w:val="003740EA"/>
    <w:rsid w:val="0037519E"/>
    <w:rsid w:val="003755E7"/>
    <w:rsid w:val="0037761F"/>
    <w:rsid w:val="00386470"/>
    <w:rsid w:val="00386CF0"/>
    <w:rsid w:val="00391A80"/>
    <w:rsid w:val="003952CE"/>
    <w:rsid w:val="003A40F8"/>
    <w:rsid w:val="003A6251"/>
    <w:rsid w:val="003B10B5"/>
    <w:rsid w:val="003B1D16"/>
    <w:rsid w:val="003B3C53"/>
    <w:rsid w:val="003B3CAD"/>
    <w:rsid w:val="003C053F"/>
    <w:rsid w:val="003C676B"/>
    <w:rsid w:val="003D1DC0"/>
    <w:rsid w:val="003D3BC2"/>
    <w:rsid w:val="003D67C7"/>
    <w:rsid w:val="003D7C03"/>
    <w:rsid w:val="003E0BCF"/>
    <w:rsid w:val="003E2F58"/>
    <w:rsid w:val="003E35A2"/>
    <w:rsid w:val="003E432F"/>
    <w:rsid w:val="003E453B"/>
    <w:rsid w:val="003E6CA1"/>
    <w:rsid w:val="003F3927"/>
    <w:rsid w:val="003F446B"/>
    <w:rsid w:val="003F505A"/>
    <w:rsid w:val="003F5D61"/>
    <w:rsid w:val="003F7F64"/>
    <w:rsid w:val="00403C18"/>
    <w:rsid w:val="00405214"/>
    <w:rsid w:val="00406B4A"/>
    <w:rsid w:val="004123B2"/>
    <w:rsid w:val="00413428"/>
    <w:rsid w:val="004147DC"/>
    <w:rsid w:val="004150F8"/>
    <w:rsid w:val="004165C2"/>
    <w:rsid w:val="004219FB"/>
    <w:rsid w:val="00421D90"/>
    <w:rsid w:val="0042284D"/>
    <w:rsid w:val="00422A8B"/>
    <w:rsid w:val="00424551"/>
    <w:rsid w:val="00424F59"/>
    <w:rsid w:val="00426114"/>
    <w:rsid w:val="00432D69"/>
    <w:rsid w:val="00434DA4"/>
    <w:rsid w:val="00437655"/>
    <w:rsid w:val="00437D9E"/>
    <w:rsid w:val="00440583"/>
    <w:rsid w:val="00441ECB"/>
    <w:rsid w:val="00443E33"/>
    <w:rsid w:val="00445962"/>
    <w:rsid w:val="004513C3"/>
    <w:rsid w:val="004521CA"/>
    <w:rsid w:val="00461FCA"/>
    <w:rsid w:val="00462B43"/>
    <w:rsid w:val="0046395B"/>
    <w:rsid w:val="004639D4"/>
    <w:rsid w:val="0046624B"/>
    <w:rsid w:val="00467B7E"/>
    <w:rsid w:val="004735D4"/>
    <w:rsid w:val="0047485F"/>
    <w:rsid w:val="00477592"/>
    <w:rsid w:val="00477AA4"/>
    <w:rsid w:val="00480472"/>
    <w:rsid w:val="00482B14"/>
    <w:rsid w:val="00482EC8"/>
    <w:rsid w:val="00485865"/>
    <w:rsid w:val="00486694"/>
    <w:rsid w:val="00486F1C"/>
    <w:rsid w:val="004900DD"/>
    <w:rsid w:val="00490412"/>
    <w:rsid w:val="00490D01"/>
    <w:rsid w:val="004934E7"/>
    <w:rsid w:val="0049419D"/>
    <w:rsid w:val="004950F0"/>
    <w:rsid w:val="00497317"/>
    <w:rsid w:val="004A0463"/>
    <w:rsid w:val="004A054C"/>
    <w:rsid w:val="004A0C3C"/>
    <w:rsid w:val="004A57E3"/>
    <w:rsid w:val="004B1D59"/>
    <w:rsid w:val="004C01D8"/>
    <w:rsid w:val="004C20D2"/>
    <w:rsid w:val="004C2CE1"/>
    <w:rsid w:val="004C4B62"/>
    <w:rsid w:val="004C52C3"/>
    <w:rsid w:val="004C54C9"/>
    <w:rsid w:val="004C64FD"/>
    <w:rsid w:val="004C790D"/>
    <w:rsid w:val="004D195F"/>
    <w:rsid w:val="004D2720"/>
    <w:rsid w:val="004D3183"/>
    <w:rsid w:val="004D3557"/>
    <w:rsid w:val="004D3D94"/>
    <w:rsid w:val="004D5B38"/>
    <w:rsid w:val="004D5D3D"/>
    <w:rsid w:val="004D6025"/>
    <w:rsid w:val="004D6618"/>
    <w:rsid w:val="004D6B50"/>
    <w:rsid w:val="004E0F0A"/>
    <w:rsid w:val="004E2055"/>
    <w:rsid w:val="004E2649"/>
    <w:rsid w:val="004E2FBF"/>
    <w:rsid w:val="004E350D"/>
    <w:rsid w:val="004E39E4"/>
    <w:rsid w:val="004E3EE9"/>
    <w:rsid w:val="004E62D9"/>
    <w:rsid w:val="004F14E2"/>
    <w:rsid w:val="004F47A6"/>
    <w:rsid w:val="004F610E"/>
    <w:rsid w:val="004F627D"/>
    <w:rsid w:val="004F65DA"/>
    <w:rsid w:val="004F6FB2"/>
    <w:rsid w:val="004F7200"/>
    <w:rsid w:val="00501399"/>
    <w:rsid w:val="005043FC"/>
    <w:rsid w:val="0050633D"/>
    <w:rsid w:val="00506ABA"/>
    <w:rsid w:val="00507BC4"/>
    <w:rsid w:val="005120C3"/>
    <w:rsid w:val="005125CF"/>
    <w:rsid w:val="005128E4"/>
    <w:rsid w:val="005133DB"/>
    <w:rsid w:val="005177C8"/>
    <w:rsid w:val="00523149"/>
    <w:rsid w:val="00525560"/>
    <w:rsid w:val="00526998"/>
    <w:rsid w:val="00532490"/>
    <w:rsid w:val="005335FF"/>
    <w:rsid w:val="005354F3"/>
    <w:rsid w:val="00536923"/>
    <w:rsid w:val="00537108"/>
    <w:rsid w:val="00540B97"/>
    <w:rsid w:val="00542031"/>
    <w:rsid w:val="005430CE"/>
    <w:rsid w:val="00543128"/>
    <w:rsid w:val="00544C49"/>
    <w:rsid w:val="00545E88"/>
    <w:rsid w:val="005464F1"/>
    <w:rsid w:val="005516A1"/>
    <w:rsid w:val="00552B86"/>
    <w:rsid w:val="005572EF"/>
    <w:rsid w:val="00565744"/>
    <w:rsid w:val="00565859"/>
    <w:rsid w:val="0057402A"/>
    <w:rsid w:val="005771D0"/>
    <w:rsid w:val="00584C05"/>
    <w:rsid w:val="005879B2"/>
    <w:rsid w:val="0059191A"/>
    <w:rsid w:val="005921FF"/>
    <w:rsid w:val="005937F1"/>
    <w:rsid w:val="00595C1D"/>
    <w:rsid w:val="00596102"/>
    <w:rsid w:val="005967BB"/>
    <w:rsid w:val="005968CE"/>
    <w:rsid w:val="005A6D0E"/>
    <w:rsid w:val="005A6D9D"/>
    <w:rsid w:val="005B0415"/>
    <w:rsid w:val="005B1008"/>
    <w:rsid w:val="005B2258"/>
    <w:rsid w:val="005B52B0"/>
    <w:rsid w:val="005B594A"/>
    <w:rsid w:val="005B6806"/>
    <w:rsid w:val="005B74D2"/>
    <w:rsid w:val="005C379A"/>
    <w:rsid w:val="005C3B2E"/>
    <w:rsid w:val="005C4225"/>
    <w:rsid w:val="005C4CA5"/>
    <w:rsid w:val="005D0DB1"/>
    <w:rsid w:val="005D2651"/>
    <w:rsid w:val="005D3016"/>
    <w:rsid w:val="005E49DD"/>
    <w:rsid w:val="005F0DAD"/>
    <w:rsid w:val="005F0F33"/>
    <w:rsid w:val="005F309E"/>
    <w:rsid w:val="005F6D2F"/>
    <w:rsid w:val="005F7B0A"/>
    <w:rsid w:val="00600D21"/>
    <w:rsid w:val="00600DEB"/>
    <w:rsid w:val="00604C10"/>
    <w:rsid w:val="006064BB"/>
    <w:rsid w:val="006104C3"/>
    <w:rsid w:val="006125C3"/>
    <w:rsid w:val="0061701F"/>
    <w:rsid w:val="006258E0"/>
    <w:rsid w:val="00627B5C"/>
    <w:rsid w:val="00627C9F"/>
    <w:rsid w:val="006300A0"/>
    <w:rsid w:val="006311E9"/>
    <w:rsid w:val="00632354"/>
    <w:rsid w:val="00632E9D"/>
    <w:rsid w:val="00634451"/>
    <w:rsid w:val="00640C3C"/>
    <w:rsid w:val="00640C93"/>
    <w:rsid w:val="00642810"/>
    <w:rsid w:val="00642A36"/>
    <w:rsid w:val="006439A2"/>
    <w:rsid w:val="00645038"/>
    <w:rsid w:val="00645348"/>
    <w:rsid w:val="00647FCE"/>
    <w:rsid w:val="0065018D"/>
    <w:rsid w:val="00652333"/>
    <w:rsid w:val="00653D59"/>
    <w:rsid w:val="00655356"/>
    <w:rsid w:val="00655B8E"/>
    <w:rsid w:val="0066332E"/>
    <w:rsid w:val="006636C5"/>
    <w:rsid w:val="006644C8"/>
    <w:rsid w:val="00666169"/>
    <w:rsid w:val="00672777"/>
    <w:rsid w:val="00676554"/>
    <w:rsid w:val="0068009E"/>
    <w:rsid w:val="00680A9C"/>
    <w:rsid w:val="006820A8"/>
    <w:rsid w:val="006833DF"/>
    <w:rsid w:val="00690CEC"/>
    <w:rsid w:val="00690D02"/>
    <w:rsid w:val="00692219"/>
    <w:rsid w:val="00694E36"/>
    <w:rsid w:val="00696A61"/>
    <w:rsid w:val="006A0A2C"/>
    <w:rsid w:val="006A17D2"/>
    <w:rsid w:val="006A1B7B"/>
    <w:rsid w:val="006A40EE"/>
    <w:rsid w:val="006A4B39"/>
    <w:rsid w:val="006A4C26"/>
    <w:rsid w:val="006A6E14"/>
    <w:rsid w:val="006A73E6"/>
    <w:rsid w:val="006A7BDA"/>
    <w:rsid w:val="006B1F9F"/>
    <w:rsid w:val="006B2D5C"/>
    <w:rsid w:val="006B4B5D"/>
    <w:rsid w:val="006B4D40"/>
    <w:rsid w:val="006B7E7A"/>
    <w:rsid w:val="006C0143"/>
    <w:rsid w:val="006C072B"/>
    <w:rsid w:val="006C0FDD"/>
    <w:rsid w:val="006C1A20"/>
    <w:rsid w:val="006C25AD"/>
    <w:rsid w:val="006C34D3"/>
    <w:rsid w:val="006C4EB1"/>
    <w:rsid w:val="006C5DEC"/>
    <w:rsid w:val="006D1C77"/>
    <w:rsid w:val="006D4712"/>
    <w:rsid w:val="006E0166"/>
    <w:rsid w:val="006E4DDF"/>
    <w:rsid w:val="006E60C3"/>
    <w:rsid w:val="006E7B34"/>
    <w:rsid w:val="006F3ECD"/>
    <w:rsid w:val="006F5B4B"/>
    <w:rsid w:val="006F5E83"/>
    <w:rsid w:val="006F6C72"/>
    <w:rsid w:val="007028A2"/>
    <w:rsid w:val="00704FCE"/>
    <w:rsid w:val="007062D1"/>
    <w:rsid w:val="0070697F"/>
    <w:rsid w:val="00712434"/>
    <w:rsid w:val="00715C8A"/>
    <w:rsid w:val="007215B1"/>
    <w:rsid w:val="0072199C"/>
    <w:rsid w:val="00721D4A"/>
    <w:rsid w:val="00722C9F"/>
    <w:rsid w:val="00723836"/>
    <w:rsid w:val="007246CD"/>
    <w:rsid w:val="007253B8"/>
    <w:rsid w:val="00726335"/>
    <w:rsid w:val="00727475"/>
    <w:rsid w:val="00730835"/>
    <w:rsid w:val="007331F3"/>
    <w:rsid w:val="007332C3"/>
    <w:rsid w:val="0073631B"/>
    <w:rsid w:val="0073741F"/>
    <w:rsid w:val="00743446"/>
    <w:rsid w:val="007449D4"/>
    <w:rsid w:val="00746635"/>
    <w:rsid w:val="0075055B"/>
    <w:rsid w:val="00757E10"/>
    <w:rsid w:val="00761B40"/>
    <w:rsid w:val="007637DB"/>
    <w:rsid w:val="007652C4"/>
    <w:rsid w:val="0076643F"/>
    <w:rsid w:val="00777F63"/>
    <w:rsid w:val="007824DD"/>
    <w:rsid w:val="00782626"/>
    <w:rsid w:val="00782955"/>
    <w:rsid w:val="00783BB9"/>
    <w:rsid w:val="0078468E"/>
    <w:rsid w:val="00784980"/>
    <w:rsid w:val="0079028F"/>
    <w:rsid w:val="00791C4F"/>
    <w:rsid w:val="007932F4"/>
    <w:rsid w:val="007941F6"/>
    <w:rsid w:val="00794951"/>
    <w:rsid w:val="00797302"/>
    <w:rsid w:val="007978DB"/>
    <w:rsid w:val="007A2B48"/>
    <w:rsid w:val="007A5817"/>
    <w:rsid w:val="007A7BAE"/>
    <w:rsid w:val="007B1E84"/>
    <w:rsid w:val="007B40BA"/>
    <w:rsid w:val="007B60E9"/>
    <w:rsid w:val="007B6CC3"/>
    <w:rsid w:val="007B7E50"/>
    <w:rsid w:val="007C16AE"/>
    <w:rsid w:val="007C22A1"/>
    <w:rsid w:val="007C26A3"/>
    <w:rsid w:val="007C3334"/>
    <w:rsid w:val="007C756A"/>
    <w:rsid w:val="007D2B98"/>
    <w:rsid w:val="007D30CA"/>
    <w:rsid w:val="007D6270"/>
    <w:rsid w:val="007D796D"/>
    <w:rsid w:val="007E21BC"/>
    <w:rsid w:val="007E72EB"/>
    <w:rsid w:val="007F0BE7"/>
    <w:rsid w:val="007F16DE"/>
    <w:rsid w:val="007F3748"/>
    <w:rsid w:val="007F7E9A"/>
    <w:rsid w:val="00803F1C"/>
    <w:rsid w:val="00805BA5"/>
    <w:rsid w:val="0080600E"/>
    <w:rsid w:val="00806D69"/>
    <w:rsid w:val="00811D41"/>
    <w:rsid w:val="00813005"/>
    <w:rsid w:val="00815021"/>
    <w:rsid w:val="008164F6"/>
    <w:rsid w:val="0081757C"/>
    <w:rsid w:val="00817612"/>
    <w:rsid w:val="00817D74"/>
    <w:rsid w:val="008217E6"/>
    <w:rsid w:val="00822A31"/>
    <w:rsid w:val="008266A7"/>
    <w:rsid w:val="0082740E"/>
    <w:rsid w:val="008304C4"/>
    <w:rsid w:val="008305D0"/>
    <w:rsid w:val="00830961"/>
    <w:rsid w:val="00832657"/>
    <w:rsid w:val="008338A4"/>
    <w:rsid w:val="00833E18"/>
    <w:rsid w:val="00835116"/>
    <w:rsid w:val="00837C45"/>
    <w:rsid w:val="00840F29"/>
    <w:rsid w:val="008425BE"/>
    <w:rsid w:val="00843E62"/>
    <w:rsid w:val="00844730"/>
    <w:rsid w:val="00845548"/>
    <w:rsid w:val="008457C2"/>
    <w:rsid w:val="00857A82"/>
    <w:rsid w:val="008600B2"/>
    <w:rsid w:val="0086464B"/>
    <w:rsid w:val="00865597"/>
    <w:rsid w:val="00871011"/>
    <w:rsid w:val="008711EB"/>
    <w:rsid w:val="00871B53"/>
    <w:rsid w:val="00872EB3"/>
    <w:rsid w:val="00873836"/>
    <w:rsid w:val="0087535C"/>
    <w:rsid w:val="008766C8"/>
    <w:rsid w:val="008775F4"/>
    <w:rsid w:val="00881477"/>
    <w:rsid w:val="00885737"/>
    <w:rsid w:val="008868A4"/>
    <w:rsid w:val="008876A2"/>
    <w:rsid w:val="00890642"/>
    <w:rsid w:val="00890650"/>
    <w:rsid w:val="00892ACD"/>
    <w:rsid w:val="00897E12"/>
    <w:rsid w:val="008A078F"/>
    <w:rsid w:val="008A192B"/>
    <w:rsid w:val="008A2A50"/>
    <w:rsid w:val="008A5ADB"/>
    <w:rsid w:val="008A5B22"/>
    <w:rsid w:val="008A721F"/>
    <w:rsid w:val="008A7E0F"/>
    <w:rsid w:val="008B12F5"/>
    <w:rsid w:val="008B44A3"/>
    <w:rsid w:val="008B7A75"/>
    <w:rsid w:val="008C0701"/>
    <w:rsid w:val="008C3098"/>
    <w:rsid w:val="008C3E3E"/>
    <w:rsid w:val="008C5533"/>
    <w:rsid w:val="008C563C"/>
    <w:rsid w:val="008C6219"/>
    <w:rsid w:val="008C7015"/>
    <w:rsid w:val="008C7C0F"/>
    <w:rsid w:val="008D0534"/>
    <w:rsid w:val="008D1313"/>
    <w:rsid w:val="008D4B74"/>
    <w:rsid w:val="008D4CD8"/>
    <w:rsid w:val="008D768D"/>
    <w:rsid w:val="008E2E59"/>
    <w:rsid w:val="008E3759"/>
    <w:rsid w:val="008E38DF"/>
    <w:rsid w:val="008E597C"/>
    <w:rsid w:val="008E7C1E"/>
    <w:rsid w:val="008F0B3F"/>
    <w:rsid w:val="008F1912"/>
    <w:rsid w:val="008F1B28"/>
    <w:rsid w:val="008F4876"/>
    <w:rsid w:val="008F546A"/>
    <w:rsid w:val="008F5CC9"/>
    <w:rsid w:val="008F604B"/>
    <w:rsid w:val="00900C77"/>
    <w:rsid w:val="009014A4"/>
    <w:rsid w:val="0090270B"/>
    <w:rsid w:val="00902930"/>
    <w:rsid w:val="00903E04"/>
    <w:rsid w:val="009041DC"/>
    <w:rsid w:val="00907320"/>
    <w:rsid w:val="00910791"/>
    <w:rsid w:val="009113FE"/>
    <w:rsid w:val="00911FF2"/>
    <w:rsid w:val="00913D98"/>
    <w:rsid w:val="00914627"/>
    <w:rsid w:val="00914740"/>
    <w:rsid w:val="00917B5A"/>
    <w:rsid w:val="00920A58"/>
    <w:rsid w:val="00920A8C"/>
    <w:rsid w:val="0092111F"/>
    <w:rsid w:val="00922C7D"/>
    <w:rsid w:val="009231B3"/>
    <w:rsid w:val="00924138"/>
    <w:rsid w:val="00925071"/>
    <w:rsid w:val="009271D1"/>
    <w:rsid w:val="00927C05"/>
    <w:rsid w:val="00930EC6"/>
    <w:rsid w:val="00932FB0"/>
    <w:rsid w:val="00933F6B"/>
    <w:rsid w:val="00934A2C"/>
    <w:rsid w:val="00935BC0"/>
    <w:rsid w:val="00941C6B"/>
    <w:rsid w:val="0094408B"/>
    <w:rsid w:val="009444E1"/>
    <w:rsid w:val="0094623F"/>
    <w:rsid w:val="00946D04"/>
    <w:rsid w:val="00947353"/>
    <w:rsid w:val="00951CBC"/>
    <w:rsid w:val="00952C09"/>
    <w:rsid w:val="00953A6A"/>
    <w:rsid w:val="00954C1B"/>
    <w:rsid w:val="009552C7"/>
    <w:rsid w:val="00957C85"/>
    <w:rsid w:val="009609E8"/>
    <w:rsid w:val="009628E3"/>
    <w:rsid w:val="009638AE"/>
    <w:rsid w:val="0096706E"/>
    <w:rsid w:val="00967968"/>
    <w:rsid w:val="00971602"/>
    <w:rsid w:val="00975C4E"/>
    <w:rsid w:val="00975FAF"/>
    <w:rsid w:val="00981FBA"/>
    <w:rsid w:val="00982442"/>
    <w:rsid w:val="00982EDB"/>
    <w:rsid w:val="00990FA8"/>
    <w:rsid w:val="00991866"/>
    <w:rsid w:val="00995686"/>
    <w:rsid w:val="00995C48"/>
    <w:rsid w:val="00997BC5"/>
    <w:rsid w:val="009A01AE"/>
    <w:rsid w:val="009A0BE3"/>
    <w:rsid w:val="009A4F41"/>
    <w:rsid w:val="009B226A"/>
    <w:rsid w:val="009B381B"/>
    <w:rsid w:val="009C2A4B"/>
    <w:rsid w:val="009C4EAA"/>
    <w:rsid w:val="009C7E97"/>
    <w:rsid w:val="009D1753"/>
    <w:rsid w:val="009D3BA1"/>
    <w:rsid w:val="009D5AD9"/>
    <w:rsid w:val="009D7065"/>
    <w:rsid w:val="009D7611"/>
    <w:rsid w:val="009E0B61"/>
    <w:rsid w:val="009E3309"/>
    <w:rsid w:val="009E53DE"/>
    <w:rsid w:val="009E75BF"/>
    <w:rsid w:val="009E7AC2"/>
    <w:rsid w:val="009F41FC"/>
    <w:rsid w:val="009F5DE0"/>
    <w:rsid w:val="009F77FF"/>
    <w:rsid w:val="00A00BEA"/>
    <w:rsid w:val="00A01F8C"/>
    <w:rsid w:val="00A03A30"/>
    <w:rsid w:val="00A044CC"/>
    <w:rsid w:val="00A07E66"/>
    <w:rsid w:val="00A20760"/>
    <w:rsid w:val="00A21686"/>
    <w:rsid w:val="00A2472F"/>
    <w:rsid w:val="00A2598E"/>
    <w:rsid w:val="00A25B1C"/>
    <w:rsid w:val="00A2634B"/>
    <w:rsid w:val="00A2640C"/>
    <w:rsid w:val="00A328B3"/>
    <w:rsid w:val="00A32EA9"/>
    <w:rsid w:val="00A33B1E"/>
    <w:rsid w:val="00A45188"/>
    <w:rsid w:val="00A46A7A"/>
    <w:rsid w:val="00A47F90"/>
    <w:rsid w:val="00A50FCF"/>
    <w:rsid w:val="00A528D1"/>
    <w:rsid w:val="00A52FEB"/>
    <w:rsid w:val="00A56023"/>
    <w:rsid w:val="00A564DA"/>
    <w:rsid w:val="00A60444"/>
    <w:rsid w:val="00A610CD"/>
    <w:rsid w:val="00A66E7F"/>
    <w:rsid w:val="00A755F3"/>
    <w:rsid w:val="00A75E63"/>
    <w:rsid w:val="00A814FA"/>
    <w:rsid w:val="00A84548"/>
    <w:rsid w:val="00A872F6"/>
    <w:rsid w:val="00A95C9E"/>
    <w:rsid w:val="00AA09A2"/>
    <w:rsid w:val="00AA203B"/>
    <w:rsid w:val="00AA2A52"/>
    <w:rsid w:val="00AA53A2"/>
    <w:rsid w:val="00AA7996"/>
    <w:rsid w:val="00AB04B7"/>
    <w:rsid w:val="00AB3F7E"/>
    <w:rsid w:val="00AB439D"/>
    <w:rsid w:val="00AB61B8"/>
    <w:rsid w:val="00AB6B95"/>
    <w:rsid w:val="00AC10BB"/>
    <w:rsid w:val="00AC19CB"/>
    <w:rsid w:val="00AC395F"/>
    <w:rsid w:val="00AC3B14"/>
    <w:rsid w:val="00AC4CE4"/>
    <w:rsid w:val="00AC4ED0"/>
    <w:rsid w:val="00AC55D4"/>
    <w:rsid w:val="00AC56D9"/>
    <w:rsid w:val="00AD26B5"/>
    <w:rsid w:val="00AD334A"/>
    <w:rsid w:val="00AD3F71"/>
    <w:rsid w:val="00AE07D7"/>
    <w:rsid w:val="00AE253C"/>
    <w:rsid w:val="00AE4D3E"/>
    <w:rsid w:val="00AE528D"/>
    <w:rsid w:val="00AE5488"/>
    <w:rsid w:val="00AE5D93"/>
    <w:rsid w:val="00AE6969"/>
    <w:rsid w:val="00AE6F91"/>
    <w:rsid w:val="00AE75B3"/>
    <w:rsid w:val="00AF2FE4"/>
    <w:rsid w:val="00AF3884"/>
    <w:rsid w:val="00AF4528"/>
    <w:rsid w:val="00AF5571"/>
    <w:rsid w:val="00AF5A99"/>
    <w:rsid w:val="00AF74E6"/>
    <w:rsid w:val="00AF7988"/>
    <w:rsid w:val="00B00F50"/>
    <w:rsid w:val="00B035C2"/>
    <w:rsid w:val="00B04BE6"/>
    <w:rsid w:val="00B05CAE"/>
    <w:rsid w:val="00B07184"/>
    <w:rsid w:val="00B07341"/>
    <w:rsid w:val="00B11434"/>
    <w:rsid w:val="00B117AE"/>
    <w:rsid w:val="00B17563"/>
    <w:rsid w:val="00B176CA"/>
    <w:rsid w:val="00B216B1"/>
    <w:rsid w:val="00B24FD5"/>
    <w:rsid w:val="00B30539"/>
    <w:rsid w:val="00B314DB"/>
    <w:rsid w:val="00B32D58"/>
    <w:rsid w:val="00B348AB"/>
    <w:rsid w:val="00B34CE7"/>
    <w:rsid w:val="00B35613"/>
    <w:rsid w:val="00B361F2"/>
    <w:rsid w:val="00B36ABF"/>
    <w:rsid w:val="00B3718B"/>
    <w:rsid w:val="00B405AB"/>
    <w:rsid w:val="00B42104"/>
    <w:rsid w:val="00B426C0"/>
    <w:rsid w:val="00B4451A"/>
    <w:rsid w:val="00B45F91"/>
    <w:rsid w:val="00B462AD"/>
    <w:rsid w:val="00B4632A"/>
    <w:rsid w:val="00B474B7"/>
    <w:rsid w:val="00B5107C"/>
    <w:rsid w:val="00B513B1"/>
    <w:rsid w:val="00B530F1"/>
    <w:rsid w:val="00B54A0C"/>
    <w:rsid w:val="00B6132D"/>
    <w:rsid w:val="00B632D6"/>
    <w:rsid w:val="00B67999"/>
    <w:rsid w:val="00B72F47"/>
    <w:rsid w:val="00B73E37"/>
    <w:rsid w:val="00B74A7E"/>
    <w:rsid w:val="00B757C7"/>
    <w:rsid w:val="00B83108"/>
    <w:rsid w:val="00B90073"/>
    <w:rsid w:val="00B91121"/>
    <w:rsid w:val="00B97391"/>
    <w:rsid w:val="00BA276C"/>
    <w:rsid w:val="00BA461E"/>
    <w:rsid w:val="00BB306F"/>
    <w:rsid w:val="00BB5D01"/>
    <w:rsid w:val="00BC05FA"/>
    <w:rsid w:val="00BC1180"/>
    <w:rsid w:val="00BC63AB"/>
    <w:rsid w:val="00BD21FE"/>
    <w:rsid w:val="00BD2808"/>
    <w:rsid w:val="00BD2E38"/>
    <w:rsid w:val="00BD2FF8"/>
    <w:rsid w:val="00BD424E"/>
    <w:rsid w:val="00BD4B89"/>
    <w:rsid w:val="00BD7FE9"/>
    <w:rsid w:val="00BE6AC0"/>
    <w:rsid w:val="00BE6D51"/>
    <w:rsid w:val="00BF02CB"/>
    <w:rsid w:val="00BF11D3"/>
    <w:rsid w:val="00BF1664"/>
    <w:rsid w:val="00BF20B7"/>
    <w:rsid w:val="00BF544C"/>
    <w:rsid w:val="00BF57AE"/>
    <w:rsid w:val="00BF5AA0"/>
    <w:rsid w:val="00BF6FD8"/>
    <w:rsid w:val="00C03680"/>
    <w:rsid w:val="00C054DF"/>
    <w:rsid w:val="00C0626A"/>
    <w:rsid w:val="00C066CD"/>
    <w:rsid w:val="00C06CFC"/>
    <w:rsid w:val="00C10423"/>
    <w:rsid w:val="00C114B3"/>
    <w:rsid w:val="00C11A32"/>
    <w:rsid w:val="00C120B7"/>
    <w:rsid w:val="00C14A21"/>
    <w:rsid w:val="00C151B1"/>
    <w:rsid w:val="00C15901"/>
    <w:rsid w:val="00C21762"/>
    <w:rsid w:val="00C22F55"/>
    <w:rsid w:val="00C24543"/>
    <w:rsid w:val="00C24C88"/>
    <w:rsid w:val="00C25594"/>
    <w:rsid w:val="00C256A2"/>
    <w:rsid w:val="00C2759E"/>
    <w:rsid w:val="00C2773E"/>
    <w:rsid w:val="00C27DA1"/>
    <w:rsid w:val="00C30988"/>
    <w:rsid w:val="00C35707"/>
    <w:rsid w:val="00C40789"/>
    <w:rsid w:val="00C411B8"/>
    <w:rsid w:val="00C4421C"/>
    <w:rsid w:val="00C45493"/>
    <w:rsid w:val="00C46D13"/>
    <w:rsid w:val="00C46EE5"/>
    <w:rsid w:val="00C51515"/>
    <w:rsid w:val="00C52BC5"/>
    <w:rsid w:val="00C5660B"/>
    <w:rsid w:val="00C62A75"/>
    <w:rsid w:val="00C65DE7"/>
    <w:rsid w:val="00C66B72"/>
    <w:rsid w:val="00C67359"/>
    <w:rsid w:val="00C67B7D"/>
    <w:rsid w:val="00C72077"/>
    <w:rsid w:val="00C72217"/>
    <w:rsid w:val="00C75282"/>
    <w:rsid w:val="00C80925"/>
    <w:rsid w:val="00C810D8"/>
    <w:rsid w:val="00C82B37"/>
    <w:rsid w:val="00C82C9F"/>
    <w:rsid w:val="00C85B61"/>
    <w:rsid w:val="00C8685D"/>
    <w:rsid w:val="00C9567A"/>
    <w:rsid w:val="00C963EE"/>
    <w:rsid w:val="00C96FEF"/>
    <w:rsid w:val="00C97011"/>
    <w:rsid w:val="00C97129"/>
    <w:rsid w:val="00CA0F65"/>
    <w:rsid w:val="00CA52F8"/>
    <w:rsid w:val="00CB212D"/>
    <w:rsid w:val="00CB2583"/>
    <w:rsid w:val="00CB2660"/>
    <w:rsid w:val="00CC0CE6"/>
    <w:rsid w:val="00CC5E90"/>
    <w:rsid w:val="00CC63CF"/>
    <w:rsid w:val="00CC7705"/>
    <w:rsid w:val="00CD046C"/>
    <w:rsid w:val="00CD1722"/>
    <w:rsid w:val="00CE076C"/>
    <w:rsid w:val="00CE175A"/>
    <w:rsid w:val="00CE4427"/>
    <w:rsid w:val="00CE4C5D"/>
    <w:rsid w:val="00CE5199"/>
    <w:rsid w:val="00CE66D5"/>
    <w:rsid w:val="00CF3B5D"/>
    <w:rsid w:val="00CF4362"/>
    <w:rsid w:val="00CF509B"/>
    <w:rsid w:val="00CF56B1"/>
    <w:rsid w:val="00CF637A"/>
    <w:rsid w:val="00CF728B"/>
    <w:rsid w:val="00D02FBE"/>
    <w:rsid w:val="00D03C79"/>
    <w:rsid w:val="00D04322"/>
    <w:rsid w:val="00D055A0"/>
    <w:rsid w:val="00D059DE"/>
    <w:rsid w:val="00D07284"/>
    <w:rsid w:val="00D12193"/>
    <w:rsid w:val="00D13910"/>
    <w:rsid w:val="00D13FCE"/>
    <w:rsid w:val="00D156EA"/>
    <w:rsid w:val="00D2210B"/>
    <w:rsid w:val="00D306D1"/>
    <w:rsid w:val="00D34786"/>
    <w:rsid w:val="00D37BFC"/>
    <w:rsid w:val="00D400AB"/>
    <w:rsid w:val="00D448D4"/>
    <w:rsid w:val="00D4661A"/>
    <w:rsid w:val="00D47A8E"/>
    <w:rsid w:val="00D50517"/>
    <w:rsid w:val="00D51564"/>
    <w:rsid w:val="00D52D14"/>
    <w:rsid w:val="00D57FD5"/>
    <w:rsid w:val="00D6353A"/>
    <w:rsid w:val="00D63CE7"/>
    <w:rsid w:val="00D65B30"/>
    <w:rsid w:val="00D6632A"/>
    <w:rsid w:val="00D67D2D"/>
    <w:rsid w:val="00D712D3"/>
    <w:rsid w:val="00D71422"/>
    <w:rsid w:val="00D72837"/>
    <w:rsid w:val="00D72DC6"/>
    <w:rsid w:val="00D7535C"/>
    <w:rsid w:val="00D7558D"/>
    <w:rsid w:val="00D807E7"/>
    <w:rsid w:val="00D80EE6"/>
    <w:rsid w:val="00D8159F"/>
    <w:rsid w:val="00D81D92"/>
    <w:rsid w:val="00D83D73"/>
    <w:rsid w:val="00D83DE0"/>
    <w:rsid w:val="00D8545E"/>
    <w:rsid w:val="00D86055"/>
    <w:rsid w:val="00D8653D"/>
    <w:rsid w:val="00D9002F"/>
    <w:rsid w:val="00D90153"/>
    <w:rsid w:val="00D91EB5"/>
    <w:rsid w:val="00D95057"/>
    <w:rsid w:val="00D96E66"/>
    <w:rsid w:val="00DA7B5F"/>
    <w:rsid w:val="00DB0194"/>
    <w:rsid w:val="00DB41CB"/>
    <w:rsid w:val="00DC11E7"/>
    <w:rsid w:val="00DC4B25"/>
    <w:rsid w:val="00DC5DF1"/>
    <w:rsid w:val="00DC7023"/>
    <w:rsid w:val="00DC769A"/>
    <w:rsid w:val="00DD0601"/>
    <w:rsid w:val="00DD12E7"/>
    <w:rsid w:val="00DD371D"/>
    <w:rsid w:val="00DD3D86"/>
    <w:rsid w:val="00DD5135"/>
    <w:rsid w:val="00DE0BE2"/>
    <w:rsid w:val="00DE13EF"/>
    <w:rsid w:val="00DE5EF9"/>
    <w:rsid w:val="00DE6DA9"/>
    <w:rsid w:val="00DE6DF0"/>
    <w:rsid w:val="00DF02EC"/>
    <w:rsid w:val="00DF17E6"/>
    <w:rsid w:val="00DF1EC4"/>
    <w:rsid w:val="00E0340B"/>
    <w:rsid w:val="00E03A1D"/>
    <w:rsid w:val="00E04A90"/>
    <w:rsid w:val="00E155AE"/>
    <w:rsid w:val="00E16406"/>
    <w:rsid w:val="00E1690B"/>
    <w:rsid w:val="00E21500"/>
    <w:rsid w:val="00E219C7"/>
    <w:rsid w:val="00E27215"/>
    <w:rsid w:val="00E27BE7"/>
    <w:rsid w:val="00E32283"/>
    <w:rsid w:val="00E40B89"/>
    <w:rsid w:val="00E41912"/>
    <w:rsid w:val="00E42548"/>
    <w:rsid w:val="00E43157"/>
    <w:rsid w:val="00E442FE"/>
    <w:rsid w:val="00E461CE"/>
    <w:rsid w:val="00E51F6D"/>
    <w:rsid w:val="00E56A6F"/>
    <w:rsid w:val="00E63199"/>
    <w:rsid w:val="00E720CA"/>
    <w:rsid w:val="00E766BE"/>
    <w:rsid w:val="00E77274"/>
    <w:rsid w:val="00E810C3"/>
    <w:rsid w:val="00E83DF1"/>
    <w:rsid w:val="00E84EB5"/>
    <w:rsid w:val="00E85662"/>
    <w:rsid w:val="00E8789F"/>
    <w:rsid w:val="00E909AA"/>
    <w:rsid w:val="00E932E6"/>
    <w:rsid w:val="00E94F44"/>
    <w:rsid w:val="00E9560A"/>
    <w:rsid w:val="00E96B25"/>
    <w:rsid w:val="00E977BE"/>
    <w:rsid w:val="00E97B71"/>
    <w:rsid w:val="00EA09DB"/>
    <w:rsid w:val="00EA3D34"/>
    <w:rsid w:val="00EA3DAE"/>
    <w:rsid w:val="00EA6340"/>
    <w:rsid w:val="00EA7CD2"/>
    <w:rsid w:val="00EB33B8"/>
    <w:rsid w:val="00EB454D"/>
    <w:rsid w:val="00EB505C"/>
    <w:rsid w:val="00EC044D"/>
    <w:rsid w:val="00EC6AA0"/>
    <w:rsid w:val="00EC75DD"/>
    <w:rsid w:val="00ED2491"/>
    <w:rsid w:val="00ED4C15"/>
    <w:rsid w:val="00ED74FF"/>
    <w:rsid w:val="00ED76BE"/>
    <w:rsid w:val="00EE06D8"/>
    <w:rsid w:val="00EE6946"/>
    <w:rsid w:val="00EE6A1F"/>
    <w:rsid w:val="00EF224D"/>
    <w:rsid w:val="00EF2BC3"/>
    <w:rsid w:val="00EF59F7"/>
    <w:rsid w:val="00EF5F3C"/>
    <w:rsid w:val="00EF619B"/>
    <w:rsid w:val="00EF6EFC"/>
    <w:rsid w:val="00F000A0"/>
    <w:rsid w:val="00F00B55"/>
    <w:rsid w:val="00F00D48"/>
    <w:rsid w:val="00F02340"/>
    <w:rsid w:val="00F02AD1"/>
    <w:rsid w:val="00F2037D"/>
    <w:rsid w:val="00F206BE"/>
    <w:rsid w:val="00F20D43"/>
    <w:rsid w:val="00F253CC"/>
    <w:rsid w:val="00F2727B"/>
    <w:rsid w:val="00F34052"/>
    <w:rsid w:val="00F36654"/>
    <w:rsid w:val="00F37106"/>
    <w:rsid w:val="00F40320"/>
    <w:rsid w:val="00F42797"/>
    <w:rsid w:val="00F4469C"/>
    <w:rsid w:val="00F476DE"/>
    <w:rsid w:val="00F47EFA"/>
    <w:rsid w:val="00F51692"/>
    <w:rsid w:val="00F519CF"/>
    <w:rsid w:val="00F51EE8"/>
    <w:rsid w:val="00F52324"/>
    <w:rsid w:val="00F548BD"/>
    <w:rsid w:val="00F551E4"/>
    <w:rsid w:val="00F56BA5"/>
    <w:rsid w:val="00F57DF5"/>
    <w:rsid w:val="00F6018E"/>
    <w:rsid w:val="00F60E22"/>
    <w:rsid w:val="00F61967"/>
    <w:rsid w:val="00F63F48"/>
    <w:rsid w:val="00F6687F"/>
    <w:rsid w:val="00F71979"/>
    <w:rsid w:val="00F72928"/>
    <w:rsid w:val="00F73104"/>
    <w:rsid w:val="00F73A3D"/>
    <w:rsid w:val="00F7458D"/>
    <w:rsid w:val="00F7502D"/>
    <w:rsid w:val="00F7554D"/>
    <w:rsid w:val="00F77D2E"/>
    <w:rsid w:val="00F805FB"/>
    <w:rsid w:val="00F80A7D"/>
    <w:rsid w:val="00F81395"/>
    <w:rsid w:val="00F824D4"/>
    <w:rsid w:val="00F82FE4"/>
    <w:rsid w:val="00F834B3"/>
    <w:rsid w:val="00F83A3D"/>
    <w:rsid w:val="00F83D88"/>
    <w:rsid w:val="00F8476A"/>
    <w:rsid w:val="00F855E9"/>
    <w:rsid w:val="00F85839"/>
    <w:rsid w:val="00F85AD5"/>
    <w:rsid w:val="00F87144"/>
    <w:rsid w:val="00F902EB"/>
    <w:rsid w:val="00F917D1"/>
    <w:rsid w:val="00F932BE"/>
    <w:rsid w:val="00F93836"/>
    <w:rsid w:val="00F9653B"/>
    <w:rsid w:val="00FA0525"/>
    <w:rsid w:val="00FA24C5"/>
    <w:rsid w:val="00FA31A2"/>
    <w:rsid w:val="00FA7FB8"/>
    <w:rsid w:val="00FB1110"/>
    <w:rsid w:val="00FB23A2"/>
    <w:rsid w:val="00FB30A8"/>
    <w:rsid w:val="00FB62CF"/>
    <w:rsid w:val="00FB76FA"/>
    <w:rsid w:val="00FC01D1"/>
    <w:rsid w:val="00FC42ED"/>
    <w:rsid w:val="00FC52E1"/>
    <w:rsid w:val="00FC6D5C"/>
    <w:rsid w:val="00FC6DC6"/>
    <w:rsid w:val="00FD277E"/>
    <w:rsid w:val="00FD3C3B"/>
    <w:rsid w:val="00FD3CA7"/>
    <w:rsid w:val="00FD5A99"/>
    <w:rsid w:val="00FD5EF3"/>
    <w:rsid w:val="00FE07DD"/>
    <w:rsid w:val="00FE24D9"/>
    <w:rsid w:val="00FE6B45"/>
    <w:rsid w:val="00FE7213"/>
    <w:rsid w:val="00FF02ED"/>
    <w:rsid w:val="00FF380F"/>
    <w:rsid w:val="00FF38E4"/>
    <w:rsid w:val="00FF46A5"/>
    <w:rsid w:val="00FF55F3"/>
    <w:rsid w:val="00FF5851"/>
    <w:rsid w:val="00FF6D26"/>
    <w:rsid w:val="00FF717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41B7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054C"/>
    <w:rPr>
      <w:sz w:val="24"/>
      <w:szCs w:val="24"/>
      <w:lang w:val="en-US" w:eastAsia="en-US"/>
    </w:rPr>
  </w:style>
  <w:style w:type="paragraph" w:styleId="Heading1">
    <w:name w:val="heading 1"/>
    <w:basedOn w:val="ListParagraph"/>
    <w:next w:val="Normal"/>
    <w:link w:val="Heading1Char"/>
    <w:autoRedefine/>
    <w:uiPriority w:val="9"/>
    <w:qFormat/>
    <w:rsid w:val="00F87144"/>
    <w:pPr>
      <w:numPr>
        <w:numId w:val="54"/>
      </w:numPr>
      <w:suppressAutoHyphens/>
      <w:ind w:left="0" w:firstLine="0"/>
      <w:outlineLvl w:val="0"/>
    </w:pPr>
    <w:rPr>
      <w:iCs w:val="0"/>
      <w:lang w:val="es-ES_tradnl"/>
    </w:rPr>
  </w:style>
  <w:style w:type="paragraph" w:styleId="Heading2">
    <w:name w:val="heading 2"/>
    <w:basedOn w:val="Normal"/>
    <w:next w:val="Normal"/>
    <w:link w:val="Heading2Char"/>
    <w:autoRedefine/>
    <w:qFormat/>
    <w:rsid w:val="002A4B39"/>
    <w:pPr>
      <w:keepNext/>
      <w:numPr>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outlineLvl w:val="1"/>
    </w:pPr>
    <w:rPr>
      <w:rFonts w:ascii="Cambria" w:eastAsia="Times New Roman" w:hAnsi="Cambria" w:cs="Arial"/>
      <w:b/>
      <w:bCs/>
      <w:iCs/>
      <w:sz w:val="20"/>
      <w:szCs w:val="28"/>
      <w:bdr w:val="none" w:sz="0" w:space="0" w:color="auto"/>
      <w:lang w:val="es-ES_tradnl"/>
    </w:rPr>
  </w:style>
  <w:style w:type="paragraph" w:styleId="Heading3">
    <w:name w:val="heading 3"/>
    <w:basedOn w:val="Normal"/>
    <w:next w:val="Normal"/>
    <w:link w:val="Heading3Char"/>
    <w:qFormat/>
    <w:rsid w:val="00161D34"/>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heme="majorHAnsi" w:eastAsia="Times New Roman" w:hAnsiTheme="majorHAnsi" w:cs="Arial"/>
      <w:b/>
      <w:bCs/>
      <w:sz w:val="20"/>
      <w:szCs w:val="26"/>
      <w:bdr w:val="none" w:sz="0" w:space="0" w:color="auto"/>
    </w:rPr>
  </w:style>
  <w:style w:type="paragraph" w:styleId="Heading4">
    <w:name w:val="heading 4"/>
    <w:basedOn w:val="Normal"/>
    <w:next w:val="Normal"/>
    <w:link w:val="Heading4Char"/>
    <w:uiPriority w:val="9"/>
    <w:unhideWhenUsed/>
    <w:qFormat/>
    <w:rsid w:val="00B426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Colorful List - Accent 12,Medium Grid 1 - Accent 21"/>
    <w:link w:val="ListParagraphChar"/>
    <w:autoRedefine/>
    <w:qFormat/>
    <w:rsid w:val="00B474B7"/>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900"/>
      <w:jc w:val="both"/>
      <w:outlineLvl w:val="2"/>
    </w:pPr>
    <w:rPr>
      <w:rFonts w:asciiTheme="majorHAnsi" w:eastAsia="Cambria" w:hAnsiTheme="majorHAnsi" w:cs="Cambria"/>
      <w:b/>
      <w:iCs/>
      <w:color w:val="000000"/>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F87144"/>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2A4B39"/>
    <w:rPr>
      <w:rFonts w:ascii="Cambria" w:eastAsia="Times New Roman" w:hAnsi="Cambria" w:cs="Arial"/>
      <w:b/>
      <w:bCs/>
      <w:iCs/>
      <w:szCs w:val="28"/>
      <w:bdr w:val="none" w:sz="0" w:space="0" w:color="auto"/>
      <w:lang w:val="es-ES_tradnl" w:eastAsia="en-US"/>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Colorful List - Accent 12 Char,Medium Grid 1 - Accent 21 Char"/>
    <w:link w:val="ListParagraph"/>
    <w:locked/>
    <w:rsid w:val="00B474B7"/>
    <w:rPr>
      <w:rFonts w:asciiTheme="majorHAnsi" w:eastAsia="Cambria" w:hAnsiTheme="majorHAnsi" w:cs="Cambria"/>
      <w:b/>
      <w:iCs/>
      <w:color w:val="000000"/>
      <w:u w:color="000000"/>
    </w:rPr>
  </w:style>
  <w:style w:type="paragraph" w:styleId="NoSpacing">
    <w:name w:val="No Spacing"/>
    <w:uiPriority w:val="1"/>
    <w:qFormat/>
    <w:rsid w:val="00161D34"/>
    <w:rPr>
      <w:sz w:val="24"/>
      <w:szCs w:val="24"/>
      <w:lang w:val="en-US" w:eastAsia="en-US"/>
    </w:rPr>
  </w:style>
  <w:style w:type="paragraph" w:customStyle="1" w:styleId="parrafos">
    <w:name w:val="parrafos"/>
    <w:basedOn w:val="Normal"/>
    <w:link w:val="parrafosChar"/>
    <w:qFormat/>
    <w:rsid w:val="00914740"/>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914740"/>
    <w:rPr>
      <w:rFonts w:asciiTheme="majorHAnsi" w:hAnsiTheme="majorHAnsi"/>
      <w:color w:val="000000" w:themeColor="text1"/>
      <w:lang w:val="es-VE" w:eastAsia="en-US"/>
    </w:rPr>
  </w:style>
  <w:style w:type="character" w:customStyle="1" w:styleId="citasChar">
    <w:name w:val="citas Char"/>
    <w:basedOn w:val="ListParagraphChar"/>
    <w:link w:val="citas"/>
    <w:rsid w:val="00914740"/>
    <w:rPr>
      <w:rFonts w:asciiTheme="majorHAnsi" w:eastAsia="Cambria" w:hAnsiTheme="majorHAnsi" w:cs="Cambria"/>
      <w:b/>
      <w:iCs/>
      <w:color w:val="000000"/>
      <w:u w:color="000000"/>
    </w:rPr>
  </w:style>
  <w:style w:type="character" w:styleId="CommentReference">
    <w:name w:val="annotation reference"/>
    <w:basedOn w:val="DefaultParagraphFont"/>
    <w:uiPriority w:val="99"/>
    <w:semiHidden/>
    <w:unhideWhenUsed/>
    <w:rsid w:val="001047E3"/>
    <w:rPr>
      <w:sz w:val="16"/>
      <w:szCs w:val="16"/>
    </w:rPr>
  </w:style>
  <w:style w:type="paragraph" w:styleId="CommentText">
    <w:name w:val="annotation text"/>
    <w:basedOn w:val="Normal"/>
    <w:link w:val="CommentTextChar"/>
    <w:uiPriority w:val="99"/>
    <w:semiHidden/>
    <w:unhideWhenUsed/>
    <w:rsid w:val="001047E3"/>
    <w:rPr>
      <w:sz w:val="20"/>
      <w:szCs w:val="20"/>
    </w:rPr>
  </w:style>
  <w:style w:type="character" w:customStyle="1" w:styleId="CommentTextChar">
    <w:name w:val="Comment Text Char"/>
    <w:basedOn w:val="DefaultParagraphFont"/>
    <w:link w:val="CommentText"/>
    <w:uiPriority w:val="99"/>
    <w:semiHidden/>
    <w:rsid w:val="001047E3"/>
    <w:rPr>
      <w:lang w:val="en-US" w:eastAsia="en-US"/>
    </w:rPr>
  </w:style>
  <w:style w:type="paragraph" w:styleId="CommentSubject">
    <w:name w:val="annotation subject"/>
    <w:basedOn w:val="CommentText"/>
    <w:next w:val="CommentText"/>
    <w:link w:val="CommentSubjectChar"/>
    <w:uiPriority w:val="99"/>
    <w:semiHidden/>
    <w:unhideWhenUsed/>
    <w:rsid w:val="001047E3"/>
    <w:rPr>
      <w:b/>
      <w:bCs/>
    </w:rPr>
  </w:style>
  <w:style w:type="character" w:customStyle="1" w:styleId="CommentSubjectChar">
    <w:name w:val="Comment Subject Char"/>
    <w:basedOn w:val="CommentTextChar"/>
    <w:link w:val="CommentSubject"/>
    <w:uiPriority w:val="99"/>
    <w:semiHidden/>
    <w:rsid w:val="001047E3"/>
    <w:rPr>
      <w:b/>
      <w:bCs/>
      <w:lang w:val="en-US" w:eastAsia="en-US"/>
    </w:rPr>
  </w:style>
  <w:style w:type="character" w:customStyle="1" w:styleId="BodyTextIndentChar">
    <w:name w:val="Body Text Indent Char"/>
    <w:basedOn w:val="DefaultParagraphFont"/>
    <w:link w:val="BodyTextIndent"/>
    <w:rsid w:val="007978DB"/>
    <w:rPr>
      <w:rFonts w:eastAsia="Times New Roman"/>
      <w:color w:val="000000"/>
      <w:sz w:val="24"/>
      <w:szCs w:val="24"/>
      <w:u w:color="000000"/>
      <w:lang w:val="es-ES_tradnl"/>
    </w:rPr>
  </w:style>
  <w:style w:type="paragraph" w:customStyle="1" w:styleId="Char2">
    <w:name w:val="Char2"/>
    <w:basedOn w:val="Normal"/>
    <w:rsid w:val="007978D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lang w:val="es-US" w:eastAsia="es-ES"/>
    </w:rPr>
  </w:style>
  <w:style w:type="paragraph" w:customStyle="1" w:styleId="NormalNumbered">
    <w:name w:val="Normal Numbered"/>
    <w:basedOn w:val="Normal"/>
    <w:qFormat/>
    <w:rsid w:val="001265A5"/>
    <w:pPr>
      <w:numPr>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pPr>
    <w:rPr>
      <w:rFonts w:ascii="Verdana" w:eastAsia="Times New Roman" w:hAnsi="Verdana"/>
      <w:sz w:val="20"/>
      <w:szCs w:val="20"/>
      <w:bdr w:val="none" w:sz="0" w:space="0" w:color="auto"/>
      <w:lang w:val="x-none" w:eastAsia="x-none"/>
    </w:rPr>
  </w:style>
  <w:style w:type="paragraph" w:styleId="BodyText3">
    <w:name w:val="Body Text 3"/>
    <w:basedOn w:val="Normal"/>
    <w:link w:val="BodyText3Char"/>
    <w:uiPriority w:val="99"/>
    <w:semiHidden/>
    <w:unhideWhenUsed/>
    <w:rsid w:val="00F2727B"/>
    <w:pPr>
      <w:spacing w:after="120"/>
    </w:pPr>
    <w:rPr>
      <w:sz w:val="16"/>
      <w:szCs w:val="16"/>
    </w:rPr>
  </w:style>
  <w:style w:type="character" w:customStyle="1" w:styleId="BodyText3Char">
    <w:name w:val="Body Text 3 Char"/>
    <w:basedOn w:val="DefaultParagraphFont"/>
    <w:link w:val="BodyText3"/>
    <w:uiPriority w:val="99"/>
    <w:semiHidden/>
    <w:rsid w:val="00F2727B"/>
    <w:rPr>
      <w:sz w:val="16"/>
      <w:szCs w:val="16"/>
      <w:lang w:val="en-US" w:eastAsia="en-US"/>
    </w:rPr>
  </w:style>
  <w:style w:type="character" w:customStyle="1" w:styleId="Heading4Char">
    <w:name w:val="Heading 4 Char"/>
    <w:basedOn w:val="DefaultParagraphFont"/>
    <w:link w:val="Heading4"/>
    <w:uiPriority w:val="9"/>
    <w:rsid w:val="00B426C0"/>
    <w:rPr>
      <w:rFonts w:asciiTheme="majorHAnsi" w:eastAsiaTheme="majorEastAsia" w:hAnsiTheme="majorHAnsi" w:cstheme="majorBidi"/>
      <w:b/>
      <w:bCs/>
      <w:i/>
      <w:iCs/>
      <w:color w:val="4F81BD" w:themeColor="accent1"/>
      <w:sz w:val="24"/>
      <w:szCs w:val="24"/>
      <w:lang w:val="en-US" w:eastAsia="en-US"/>
    </w:rPr>
  </w:style>
  <w:style w:type="character" w:styleId="Strong">
    <w:name w:val="Strong"/>
    <w:uiPriority w:val="22"/>
    <w:qFormat/>
    <w:rsid w:val="00A755F3"/>
    <w:rPr>
      <w:rFonts w:cs="Times New Roman"/>
      <w:b/>
      <w:bCs/>
    </w:rPr>
  </w:style>
  <w:style w:type="character" w:customStyle="1" w:styleId="apple-converted-space">
    <w:name w:val="apple-converted-space"/>
    <w:rsid w:val="00A755F3"/>
    <w:rPr>
      <w:rFonts w:cs="Times New Roman"/>
    </w:rPr>
  </w:style>
  <w:style w:type="paragraph" w:customStyle="1" w:styleId="1">
    <w:name w:val="1"/>
    <w:basedOn w:val="Normal"/>
    <w:rsid w:val="00F63F4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 w:type="paragraph" w:customStyle="1" w:styleId="Normal1">
    <w:name w:val="Normal 1"/>
    <w:basedOn w:val="ListParagraph"/>
    <w:link w:val="Normal1Char"/>
    <w:qFormat/>
    <w:rsid w:val="002C3968"/>
    <w:pPr>
      <w:keepNext w:val="0"/>
      <w:numPr>
        <w:numId w:val="61"/>
      </w:numPr>
      <w:tabs>
        <w:tab w:val="clear" w:pos="0"/>
        <w:tab w:val="clear" w:pos="360"/>
      </w:tabs>
      <w:ind w:left="0" w:firstLine="284"/>
      <w:outlineLvl w:val="9"/>
    </w:pPr>
    <w:rPr>
      <w:rFonts w:ascii="Cambria" w:eastAsiaTheme="minorHAnsi" w:hAnsi="Cambria" w:cstheme="minorBidi"/>
      <w:b w:val="0"/>
      <w:iCs w:val="0"/>
      <w:color w:val="auto"/>
      <w:szCs w:val="22"/>
      <w:bdr w:val="none" w:sz="0" w:space="0" w:color="auto"/>
      <w:lang w:val="es-MX" w:eastAsia="en-US"/>
    </w:rPr>
  </w:style>
  <w:style w:type="character" w:customStyle="1" w:styleId="Normal1Char">
    <w:name w:val="Normal 1 Char"/>
    <w:basedOn w:val="DefaultParagraphFont"/>
    <w:link w:val="Normal1"/>
    <w:rsid w:val="002C3968"/>
    <w:rPr>
      <w:rFonts w:ascii="Cambria" w:eastAsiaTheme="minorHAnsi" w:hAnsi="Cambria" w:cstheme="minorBidi"/>
      <w:szCs w:val="22"/>
      <w:u w:color="000000"/>
      <w:bdr w:val="none" w:sz="0" w:space="0" w:color="auto"/>
      <w:lang w:val="es-MX" w:eastAsia="en-US"/>
    </w:rPr>
  </w:style>
  <w:style w:type="paragraph" w:styleId="NormalWeb">
    <w:name w:val="Normal (Web)"/>
    <w:basedOn w:val="Normal"/>
    <w:uiPriority w:val="99"/>
    <w:unhideWhenUsed/>
    <w:rsid w:val="002033EC"/>
  </w:style>
  <w:style w:type="character" w:customStyle="1" w:styleId="sb8d990e2">
    <w:name w:val="sb8d990e2"/>
    <w:rsid w:val="00C411B8"/>
  </w:style>
  <w:style w:type="character" w:styleId="FollowedHyperlink">
    <w:name w:val="FollowedHyperlink"/>
    <w:basedOn w:val="DefaultParagraphFont"/>
    <w:uiPriority w:val="99"/>
    <w:semiHidden/>
    <w:unhideWhenUsed/>
    <w:rsid w:val="00913D98"/>
    <w:rPr>
      <w:color w:val="800080" w:themeColor="followedHyperlink"/>
      <w:u w:val="single"/>
    </w:rPr>
  </w:style>
  <w:style w:type="paragraph" w:styleId="TOCHeading">
    <w:name w:val="TOC Heading"/>
    <w:basedOn w:val="Heading1"/>
    <w:next w:val="Normal"/>
    <w:uiPriority w:val="39"/>
    <w:unhideWhenUsed/>
    <w:qFormat/>
    <w:rsid w:val="00A52FEB"/>
    <w:pPr>
      <w:keepLines/>
      <w:numPr>
        <w:numId w:val="0"/>
      </w:numPr>
      <w:tabs>
        <w:tab w:val="clear" w:pos="0"/>
        <w:tab w:val="clear" w:pos="360"/>
      </w:tabs>
      <w:suppressAutoHyphens w:val="0"/>
      <w:spacing w:before="240" w:line="259" w:lineRule="auto"/>
      <w:jc w:val="left"/>
      <w:outlineLvl w:val="9"/>
    </w:pPr>
    <w:rPr>
      <w:rFonts w:eastAsiaTheme="majorEastAsia" w:cstheme="majorBidi"/>
      <w:b w:val="0"/>
      <w:color w:val="365F91" w:themeColor="accent1" w:themeShade="BF"/>
      <w:sz w:val="32"/>
      <w:szCs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133">
      <w:bodyDiv w:val="1"/>
      <w:marLeft w:val="0"/>
      <w:marRight w:val="0"/>
      <w:marTop w:val="0"/>
      <w:marBottom w:val="0"/>
      <w:divBdr>
        <w:top w:val="none" w:sz="0" w:space="0" w:color="auto"/>
        <w:left w:val="none" w:sz="0" w:space="0" w:color="auto"/>
        <w:bottom w:val="none" w:sz="0" w:space="0" w:color="auto"/>
        <w:right w:val="none" w:sz="0" w:space="0" w:color="auto"/>
      </w:divBdr>
    </w:div>
    <w:div w:id="143662199">
      <w:bodyDiv w:val="1"/>
      <w:marLeft w:val="0"/>
      <w:marRight w:val="0"/>
      <w:marTop w:val="0"/>
      <w:marBottom w:val="0"/>
      <w:divBdr>
        <w:top w:val="none" w:sz="0" w:space="0" w:color="auto"/>
        <w:left w:val="none" w:sz="0" w:space="0" w:color="auto"/>
        <w:bottom w:val="none" w:sz="0" w:space="0" w:color="auto"/>
        <w:right w:val="none" w:sz="0" w:space="0" w:color="auto"/>
      </w:divBdr>
    </w:div>
    <w:div w:id="231818783">
      <w:bodyDiv w:val="1"/>
      <w:marLeft w:val="0"/>
      <w:marRight w:val="0"/>
      <w:marTop w:val="0"/>
      <w:marBottom w:val="0"/>
      <w:divBdr>
        <w:top w:val="none" w:sz="0" w:space="0" w:color="auto"/>
        <w:left w:val="none" w:sz="0" w:space="0" w:color="auto"/>
        <w:bottom w:val="none" w:sz="0" w:space="0" w:color="auto"/>
        <w:right w:val="none" w:sz="0" w:space="0" w:color="auto"/>
      </w:divBdr>
    </w:div>
    <w:div w:id="272327609">
      <w:bodyDiv w:val="1"/>
      <w:marLeft w:val="0"/>
      <w:marRight w:val="0"/>
      <w:marTop w:val="0"/>
      <w:marBottom w:val="0"/>
      <w:divBdr>
        <w:top w:val="none" w:sz="0" w:space="0" w:color="auto"/>
        <w:left w:val="none" w:sz="0" w:space="0" w:color="auto"/>
        <w:bottom w:val="none" w:sz="0" w:space="0" w:color="auto"/>
        <w:right w:val="none" w:sz="0" w:space="0" w:color="auto"/>
      </w:divBdr>
    </w:div>
    <w:div w:id="333995481">
      <w:bodyDiv w:val="1"/>
      <w:marLeft w:val="0"/>
      <w:marRight w:val="0"/>
      <w:marTop w:val="0"/>
      <w:marBottom w:val="0"/>
      <w:divBdr>
        <w:top w:val="none" w:sz="0" w:space="0" w:color="auto"/>
        <w:left w:val="none" w:sz="0" w:space="0" w:color="auto"/>
        <w:bottom w:val="none" w:sz="0" w:space="0" w:color="auto"/>
        <w:right w:val="none" w:sz="0" w:space="0" w:color="auto"/>
      </w:divBdr>
    </w:div>
    <w:div w:id="423844423">
      <w:bodyDiv w:val="1"/>
      <w:marLeft w:val="0"/>
      <w:marRight w:val="0"/>
      <w:marTop w:val="0"/>
      <w:marBottom w:val="0"/>
      <w:divBdr>
        <w:top w:val="none" w:sz="0" w:space="0" w:color="auto"/>
        <w:left w:val="none" w:sz="0" w:space="0" w:color="auto"/>
        <w:bottom w:val="none" w:sz="0" w:space="0" w:color="auto"/>
        <w:right w:val="none" w:sz="0" w:space="0" w:color="auto"/>
      </w:divBdr>
    </w:div>
    <w:div w:id="487787240">
      <w:bodyDiv w:val="1"/>
      <w:marLeft w:val="0"/>
      <w:marRight w:val="0"/>
      <w:marTop w:val="0"/>
      <w:marBottom w:val="0"/>
      <w:divBdr>
        <w:top w:val="none" w:sz="0" w:space="0" w:color="auto"/>
        <w:left w:val="none" w:sz="0" w:space="0" w:color="auto"/>
        <w:bottom w:val="none" w:sz="0" w:space="0" w:color="auto"/>
        <w:right w:val="none" w:sz="0" w:space="0" w:color="auto"/>
      </w:divBdr>
    </w:div>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892809880">
      <w:bodyDiv w:val="1"/>
      <w:marLeft w:val="0"/>
      <w:marRight w:val="0"/>
      <w:marTop w:val="0"/>
      <w:marBottom w:val="0"/>
      <w:divBdr>
        <w:top w:val="none" w:sz="0" w:space="0" w:color="auto"/>
        <w:left w:val="none" w:sz="0" w:space="0" w:color="auto"/>
        <w:bottom w:val="none" w:sz="0" w:space="0" w:color="auto"/>
        <w:right w:val="none" w:sz="0" w:space="0" w:color="auto"/>
      </w:divBdr>
    </w:div>
    <w:div w:id="952245232">
      <w:bodyDiv w:val="1"/>
      <w:marLeft w:val="0"/>
      <w:marRight w:val="0"/>
      <w:marTop w:val="0"/>
      <w:marBottom w:val="0"/>
      <w:divBdr>
        <w:top w:val="none" w:sz="0" w:space="0" w:color="auto"/>
        <w:left w:val="none" w:sz="0" w:space="0" w:color="auto"/>
        <w:bottom w:val="none" w:sz="0" w:space="0" w:color="auto"/>
        <w:right w:val="none" w:sz="0" w:space="0" w:color="auto"/>
      </w:divBdr>
    </w:div>
    <w:div w:id="1078942559">
      <w:bodyDiv w:val="1"/>
      <w:marLeft w:val="0"/>
      <w:marRight w:val="0"/>
      <w:marTop w:val="0"/>
      <w:marBottom w:val="0"/>
      <w:divBdr>
        <w:top w:val="none" w:sz="0" w:space="0" w:color="auto"/>
        <w:left w:val="none" w:sz="0" w:space="0" w:color="auto"/>
        <w:bottom w:val="none" w:sz="0" w:space="0" w:color="auto"/>
        <w:right w:val="none" w:sz="0" w:space="0" w:color="auto"/>
      </w:divBdr>
    </w:div>
    <w:div w:id="1118838952">
      <w:bodyDiv w:val="1"/>
      <w:marLeft w:val="0"/>
      <w:marRight w:val="0"/>
      <w:marTop w:val="0"/>
      <w:marBottom w:val="0"/>
      <w:divBdr>
        <w:top w:val="none" w:sz="0" w:space="0" w:color="auto"/>
        <w:left w:val="none" w:sz="0" w:space="0" w:color="auto"/>
        <w:bottom w:val="none" w:sz="0" w:space="0" w:color="auto"/>
        <w:right w:val="none" w:sz="0" w:space="0" w:color="auto"/>
      </w:divBdr>
    </w:div>
    <w:div w:id="1368292136">
      <w:bodyDiv w:val="1"/>
      <w:marLeft w:val="0"/>
      <w:marRight w:val="0"/>
      <w:marTop w:val="0"/>
      <w:marBottom w:val="0"/>
      <w:divBdr>
        <w:top w:val="none" w:sz="0" w:space="0" w:color="auto"/>
        <w:left w:val="none" w:sz="0" w:space="0" w:color="auto"/>
        <w:bottom w:val="none" w:sz="0" w:space="0" w:color="auto"/>
        <w:right w:val="none" w:sz="0" w:space="0" w:color="auto"/>
      </w:divBdr>
    </w:div>
    <w:div w:id="1521357858">
      <w:bodyDiv w:val="1"/>
      <w:marLeft w:val="0"/>
      <w:marRight w:val="0"/>
      <w:marTop w:val="0"/>
      <w:marBottom w:val="0"/>
      <w:divBdr>
        <w:top w:val="none" w:sz="0" w:space="0" w:color="auto"/>
        <w:left w:val="none" w:sz="0" w:space="0" w:color="auto"/>
        <w:bottom w:val="none" w:sz="0" w:space="0" w:color="auto"/>
        <w:right w:val="none" w:sz="0" w:space="0" w:color="auto"/>
      </w:divBdr>
    </w:div>
    <w:div w:id="1558973691">
      <w:bodyDiv w:val="1"/>
      <w:marLeft w:val="0"/>
      <w:marRight w:val="0"/>
      <w:marTop w:val="0"/>
      <w:marBottom w:val="0"/>
      <w:divBdr>
        <w:top w:val="none" w:sz="0" w:space="0" w:color="auto"/>
        <w:left w:val="none" w:sz="0" w:space="0" w:color="auto"/>
        <w:bottom w:val="none" w:sz="0" w:space="0" w:color="auto"/>
        <w:right w:val="none" w:sz="0" w:space="0" w:color="auto"/>
      </w:divBdr>
    </w:div>
    <w:div w:id="1591887579">
      <w:bodyDiv w:val="1"/>
      <w:marLeft w:val="0"/>
      <w:marRight w:val="0"/>
      <w:marTop w:val="0"/>
      <w:marBottom w:val="0"/>
      <w:divBdr>
        <w:top w:val="none" w:sz="0" w:space="0" w:color="auto"/>
        <w:left w:val="none" w:sz="0" w:space="0" w:color="auto"/>
        <w:bottom w:val="none" w:sz="0" w:space="0" w:color="auto"/>
        <w:right w:val="none" w:sz="0" w:space="0" w:color="auto"/>
      </w:divBdr>
    </w:div>
    <w:div w:id="172937830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75344258">
      <w:bodyDiv w:val="1"/>
      <w:marLeft w:val="0"/>
      <w:marRight w:val="0"/>
      <w:marTop w:val="0"/>
      <w:marBottom w:val="0"/>
      <w:divBdr>
        <w:top w:val="none" w:sz="0" w:space="0" w:color="auto"/>
        <w:left w:val="none" w:sz="0" w:space="0" w:color="auto"/>
        <w:bottom w:val="none" w:sz="0" w:space="0" w:color="auto"/>
        <w:right w:val="none" w:sz="0" w:space="0" w:color="auto"/>
      </w:divBdr>
    </w:div>
    <w:div w:id="1902864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cnur.org/fileadmin/Documentos/BDL/2011/7512.pdf" TargetMode="External"/><Relationship Id="rId13" Type="http://schemas.openxmlformats.org/officeDocument/2006/relationships/hyperlink" Target="https://apps.who.int/iris/bitstream/handle/10665/138405/9789243548333_spa.pdf" TargetMode="External"/><Relationship Id="rId3" Type="http://schemas.openxmlformats.org/officeDocument/2006/relationships/hyperlink" Target="http://joomla.corteidh.or.cr:8080/joomla/es/casos-contenciosos/38-jurisprudencia/192-corte-idh-caso-velasquez-rodriguez-vs-honduras-fondo-sentencia-de-29-de-julio-de-1988-serie-c-no-4" TargetMode="External"/><Relationship Id="rId7" Type="http://schemas.openxmlformats.org/officeDocument/2006/relationships/hyperlink" Target="https://www.acnur.org/fileadmin/Documentos/BDL/2011/7512.pdf" TargetMode="External"/><Relationship Id="rId12" Type="http://schemas.openxmlformats.org/officeDocument/2006/relationships/hyperlink" Target="https://apps.who.int/iris/bitstream/handle/10665/138405/9789243548333_spa.pdf" TargetMode="External"/><Relationship Id="rId2" Type="http://schemas.openxmlformats.org/officeDocument/2006/relationships/hyperlink" Target="http://joomla.corteidh.or.cr:8080/joomla/es/casos-contenciosos/38-jurisprudencia/192-corte-idh-caso-velasquez-rodriguez-vs-honduras-fondo-sentencia-de-29-de-julio-de-1988-serie-c-no-4" TargetMode="External"/><Relationship Id="rId16" Type="http://schemas.openxmlformats.org/officeDocument/2006/relationships/hyperlink" Target="http://joomla.corteidh.or.cr:8080/joomla/es/jurisprudencia-oc-2/38-jurisprudencia/728-corte-idh-caso-baldeon-garcia-vs-peru-fondo-reparaciones-y-costas-sentencia-de-6-de-abril-de-2006-serie-c-no-147" TargetMode="External"/><Relationship Id="rId1" Type="http://schemas.openxmlformats.org/officeDocument/2006/relationships/hyperlink" Target="http://joomla.corteidh.or.cr:8080/joomla/es/casos-contenciosos/38-jurisprudencia/192-corte-idh-caso-velasquez-rodriguez-vs-honduras-fondo-sentencia-de-29-de-julio-de-1988-serie-c-no-4" TargetMode="External"/><Relationship Id="rId6"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11" Type="http://schemas.openxmlformats.org/officeDocument/2006/relationships/hyperlink" Target="https://apps.who.int/iris/bitstream/handle/10665/138405/9789243548333_spa.pdf" TargetMode="External"/><Relationship Id="rId5"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15" Type="http://schemas.openxmlformats.org/officeDocument/2006/relationships/hyperlink" Target="http://joomla.corteidh.or.cr:8080/joomla/es/jurisprudencia-oc-2/38-jurisprudencia/731-corte-idh-caso-de-las-masacres-de-ituango-vs-colombia-sentencia-de-1-de-julio-de-2006-serie-c-no-148" TargetMode="External"/><Relationship Id="rId10" Type="http://schemas.openxmlformats.org/officeDocument/2006/relationships/hyperlink" Target="file:///G:\REDESCA%20-%20Pasantes\RENATA\A_HRC_21_22_S.pdf" TargetMode="External"/><Relationship Id="rId4" Type="http://schemas.openxmlformats.org/officeDocument/2006/relationships/hyperlink" Target="http://joomla.corteidh.or.cr:8080/joomla/es/casos-contenciosos/38-jurisprudencia/192-corte-idh-caso-velasquez-rodriguez-vs-honduras-fondo-sentencia-de-29-de-julio-de-1988-serie-c-no-4" TargetMode="External"/><Relationship Id="rId9" Type="http://schemas.openxmlformats.org/officeDocument/2006/relationships/hyperlink" Target="https://lac.unfpa.org/sites/default/files/pub-pdf/MSH-GTR-Report-Esp.pdf" TargetMode="External"/><Relationship Id="rId14" Type="http://schemas.openxmlformats.org/officeDocument/2006/relationships/hyperlink" Target="http://joomla.corteidh.or.cr:8080/joomla/es/casos-contenciosos/38-jurisprudencia/192-corte-idh-caso-velasquez-rodriguez-vs-honduras-fondo-sentencia-de-29-de-julio-de-1988-serie-c-no-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9A05A-06E7-4C52-A7DC-7ED07E00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14020</Words>
  <Characters>79914</Characters>
  <Application>Microsoft Office Word</Application>
  <DocSecurity>0</DocSecurity>
  <Lines>665</Lines>
  <Paragraphs>187</Paragraphs>
  <ScaleCrop>false</ScaleCrop>
  <Company/>
  <LinksUpToDate>false</LinksUpToDate>
  <CharactersWithSpaces>93747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2021-04-18T23:07:00Z</dcterms:created>
  <dcterms:modified xsi:type="dcterms:W3CDTF">2021-04-18T23:07:00Z</dcterms:modified>
</cp:coreProperties>
</file>