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16470" w14:textId="77777777" w:rsidR="00040C3A" w:rsidRPr="00BF20FA" w:rsidRDefault="00D306D1" w:rsidP="00627C9F">
      <w:pPr>
        <w:jc w:val="both"/>
        <w:rPr>
          <w:rFonts w:asciiTheme="majorHAnsi" w:hAnsiTheme="majorHAnsi" w:cs="Univers"/>
          <w:b/>
          <w:bCs/>
          <w:sz w:val="20"/>
          <w:szCs w:val="20"/>
          <w:lang w:val="es-ES_tradnl"/>
        </w:rPr>
      </w:pPr>
      <w:r w:rsidRPr="00BF20FA">
        <w:rPr>
          <w:rFonts w:asciiTheme="majorHAnsi" w:hAnsiTheme="majorHAnsi"/>
          <w:noProof/>
          <w:sz w:val="20"/>
          <w:szCs w:val="20"/>
        </w:rPr>
        <mc:AlternateContent>
          <mc:Choice Requires="wps">
            <w:drawing>
              <wp:anchor distT="0" distB="0" distL="114300" distR="114300" simplePos="0" relativeHeight="251651072" behindDoc="0" locked="0" layoutInCell="1" allowOverlap="1" wp14:anchorId="56EEBAA8" wp14:editId="046F147F">
                <wp:simplePos x="0" y="0"/>
                <wp:positionH relativeFrom="column">
                  <wp:posOffset>-490855</wp:posOffset>
                </wp:positionH>
                <wp:positionV relativeFrom="paragraph">
                  <wp:posOffset>-373380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25598" id="Rectangle 1" o:spid="_x0000_s1026" style="position:absolute;margin-left:-38.65pt;margin-top:-29.4pt;width:121.5pt;height:716.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" fillcolor="#4a7194" stroked="f" strokeweight="2pt"/>
            </w:pict>
          </mc:Fallback>
        </mc:AlternateContent>
      </w:r>
      <w:r w:rsidR="003E6CA1" w:rsidRPr="00BF20FA">
        <w:rPr>
          <w:rFonts w:asciiTheme="majorHAnsi" w:hAnsiTheme="majorHAnsi"/>
          <w:noProof/>
          <w:sz w:val="20"/>
          <w:szCs w:val="20"/>
        </w:rPr>
        <mc:AlternateContent>
          <mc:Choice Requires="wps">
            <w:drawing>
              <wp:anchor distT="0" distB="0" distL="114300" distR="114300" simplePos="0" relativeHeight="251659264" behindDoc="0" locked="0" layoutInCell="1" allowOverlap="1" wp14:anchorId="64622C25" wp14:editId="0255F3A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A538F" w14:textId="77777777" w:rsidR="00824850" w:rsidRDefault="00824850" w:rsidP="00AE5488">
                            <w:r>
                              <w:rPr>
                                <w:noProof/>
                              </w:rPr>
                              <w:drawing>
                                <wp:inline distT="0" distB="0" distL="0" distR="0" wp14:anchorId="21052AA8" wp14:editId="5E42455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22C25"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5AA538F" w14:textId="77777777" w:rsidR="00824850" w:rsidRDefault="00824850" w:rsidP="00AE5488">
                      <w:r>
                        <w:rPr>
                          <w:noProof/>
                        </w:rPr>
                        <w:drawing>
                          <wp:inline distT="0" distB="0" distL="0" distR="0" wp14:anchorId="21052AA8" wp14:editId="5E424559">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6F570FED" w14:textId="77777777" w:rsidR="00040C3A" w:rsidRPr="00BF20FA" w:rsidRDefault="00040C3A" w:rsidP="00040C3A">
      <w:pPr>
        <w:tabs>
          <w:tab w:val="center" w:pos="5400"/>
        </w:tabs>
        <w:suppressAutoHyphens/>
        <w:jc w:val="both"/>
        <w:rPr>
          <w:rFonts w:asciiTheme="majorHAnsi" w:hAnsiTheme="majorHAnsi"/>
          <w:sz w:val="20"/>
          <w:szCs w:val="20"/>
          <w:lang w:val="es-ES"/>
        </w:rPr>
      </w:pPr>
    </w:p>
    <w:p w14:paraId="7A0ADF05" w14:textId="77777777" w:rsidR="00040C3A" w:rsidRPr="00BF20FA" w:rsidRDefault="00040C3A" w:rsidP="00040C3A">
      <w:pPr>
        <w:tabs>
          <w:tab w:val="center" w:pos="5400"/>
        </w:tabs>
        <w:suppressAutoHyphens/>
        <w:jc w:val="both"/>
        <w:rPr>
          <w:rFonts w:asciiTheme="majorHAnsi" w:hAnsiTheme="majorHAnsi"/>
          <w:sz w:val="20"/>
          <w:szCs w:val="20"/>
          <w:lang w:val="es-ES"/>
        </w:rPr>
      </w:pPr>
    </w:p>
    <w:p w14:paraId="0E1AC0A0" w14:textId="77777777" w:rsidR="005128E4" w:rsidRPr="00BF20FA" w:rsidRDefault="005128E4" w:rsidP="00040C3A">
      <w:pPr>
        <w:tabs>
          <w:tab w:val="center" w:pos="5400"/>
        </w:tabs>
        <w:suppressAutoHyphens/>
        <w:rPr>
          <w:rFonts w:asciiTheme="majorHAnsi" w:hAnsiTheme="majorHAnsi"/>
          <w:sz w:val="20"/>
          <w:szCs w:val="20"/>
          <w:lang w:val="es-ES_tradnl"/>
        </w:rPr>
      </w:pPr>
    </w:p>
    <w:p w14:paraId="335C6CB4" w14:textId="77777777" w:rsidR="005128E4" w:rsidRPr="00BF20FA" w:rsidRDefault="005128E4" w:rsidP="00040C3A">
      <w:pPr>
        <w:tabs>
          <w:tab w:val="center" w:pos="5400"/>
        </w:tabs>
        <w:suppressAutoHyphens/>
        <w:rPr>
          <w:rFonts w:asciiTheme="majorHAnsi" w:hAnsiTheme="majorHAnsi"/>
          <w:sz w:val="20"/>
          <w:szCs w:val="20"/>
          <w:lang w:val="es-ES_tradnl"/>
        </w:rPr>
      </w:pPr>
    </w:p>
    <w:p w14:paraId="7BC3002A" w14:textId="77777777" w:rsidR="005128E4" w:rsidRPr="00BF20FA" w:rsidRDefault="005128E4" w:rsidP="00040C3A">
      <w:pPr>
        <w:tabs>
          <w:tab w:val="center" w:pos="5400"/>
        </w:tabs>
        <w:suppressAutoHyphens/>
        <w:rPr>
          <w:rFonts w:asciiTheme="majorHAnsi" w:hAnsiTheme="majorHAnsi"/>
          <w:sz w:val="20"/>
          <w:szCs w:val="20"/>
          <w:lang w:val="es-ES_tradnl"/>
        </w:rPr>
      </w:pPr>
    </w:p>
    <w:p w14:paraId="02EA561B" w14:textId="77777777" w:rsidR="00040C3A" w:rsidRPr="00BF20FA" w:rsidRDefault="00040C3A" w:rsidP="005128E4">
      <w:pPr>
        <w:tabs>
          <w:tab w:val="center" w:pos="5400"/>
        </w:tabs>
        <w:suppressAutoHyphens/>
        <w:jc w:val="center"/>
        <w:rPr>
          <w:rFonts w:asciiTheme="majorHAnsi" w:hAnsiTheme="majorHAnsi"/>
          <w:sz w:val="20"/>
          <w:szCs w:val="20"/>
          <w:lang w:val="es-ES_tradnl"/>
        </w:rPr>
      </w:pPr>
    </w:p>
    <w:p w14:paraId="72F5ED3F" w14:textId="77777777" w:rsidR="00040C3A" w:rsidRPr="00BF20FA" w:rsidRDefault="00040C3A" w:rsidP="005128E4">
      <w:pPr>
        <w:tabs>
          <w:tab w:val="center" w:pos="5400"/>
        </w:tabs>
        <w:suppressAutoHyphens/>
        <w:jc w:val="center"/>
        <w:rPr>
          <w:rFonts w:asciiTheme="majorHAnsi" w:hAnsiTheme="majorHAnsi"/>
          <w:sz w:val="20"/>
          <w:szCs w:val="20"/>
          <w:lang w:val="es-ES_tradnl"/>
        </w:rPr>
      </w:pPr>
    </w:p>
    <w:p w14:paraId="5F9B86DE" w14:textId="77777777" w:rsidR="005B52B0" w:rsidRPr="00BF20FA" w:rsidRDefault="005B52B0" w:rsidP="005128E4">
      <w:pPr>
        <w:tabs>
          <w:tab w:val="center" w:pos="5400"/>
        </w:tabs>
        <w:suppressAutoHyphens/>
        <w:jc w:val="center"/>
        <w:rPr>
          <w:rFonts w:asciiTheme="majorHAnsi" w:hAnsiTheme="majorHAnsi"/>
          <w:sz w:val="20"/>
          <w:szCs w:val="20"/>
          <w:lang w:val="es-ES_tradnl"/>
        </w:rPr>
      </w:pPr>
    </w:p>
    <w:p w14:paraId="6C91E2AA" w14:textId="77777777" w:rsidR="005B52B0" w:rsidRPr="00BF20FA" w:rsidRDefault="005B52B0" w:rsidP="005128E4">
      <w:pPr>
        <w:tabs>
          <w:tab w:val="center" w:pos="5400"/>
        </w:tabs>
        <w:suppressAutoHyphens/>
        <w:jc w:val="center"/>
        <w:rPr>
          <w:rFonts w:asciiTheme="majorHAnsi" w:hAnsiTheme="majorHAnsi"/>
          <w:sz w:val="20"/>
          <w:szCs w:val="20"/>
          <w:lang w:val="es-ES_tradnl"/>
        </w:rPr>
      </w:pPr>
    </w:p>
    <w:p w14:paraId="33B182CD" w14:textId="77777777" w:rsidR="005B52B0" w:rsidRPr="00BF20FA" w:rsidRDefault="005B52B0" w:rsidP="005128E4">
      <w:pPr>
        <w:tabs>
          <w:tab w:val="center" w:pos="5400"/>
        </w:tabs>
        <w:suppressAutoHyphens/>
        <w:jc w:val="center"/>
        <w:rPr>
          <w:rFonts w:asciiTheme="majorHAnsi" w:hAnsiTheme="majorHAnsi"/>
          <w:sz w:val="20"/>
          <w:szCs w:val="20"/>
          <w:lang w:val="es-ES_tradnl"/>
        </w:rPr>
      </w:pPr>
    </w:p>
    <w:p w14:paraId="3BF3D3CE"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14115DCE"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794864C0" w14:textId="77777777" w:rsidR="00040C3A" w:rsidRPr="00BF20FA" w:rsidRDefault="00EE0C07" w:rsidP="00040C3A">
      <w:pPr>
        <w:tabs>
          <w:tab w:val="center" w:pos="5400"/>
        </w:tabs>
        <w:suppressAutoHyphens/>
        <w:jc w:val="center"/>
        <w:rPr>
          <w:rFonts w:asciiTheme="majorHAnsi" w:hAnsiTheme="majorHAnsi"/>
          <w:sz w:val="20"/>
          <w:szCs w:val="20"/>
          <w:lang w:val="es-ES_tradnl"/>
        </w:rPr>
      </w:pPr>
      <w:r w:rsidRPr="00BF20FA">
        <w:rPr>
          <w:rFonts w:asciiTheme="majorHAnsi" w:hAnsiTheme="majorHAnsi"/>
          <w:noProof/>
          <w:sz w:val="20"/>
          <w:szCs w:val="20"/>
        </w:rPr>
        <mc:AlternateContent>
          <mc:Choice Requires="wps">
            <w:drawing>
              <wp:anchor distT="0" distB="0" distL="114300" distR="114300" simplePos="0" relativeHeight="251653120" behindDoc="0" locked="0" layoutInCell="1" allowOverlap="1" wp14:anchorId="507F1D56" wp14:editId="2913CD2C">
                <wp:simplePos x="0" y="0"/>
                <wp:positionH relativeFrom="column">
                  <wp:posOffset>1311910</wp:posOffset>
                </wp:positionH>
                <wp:positionV relativeFrom="paragraph">
                  <wp:posOffset>121285</wp:posOffset>
                </wp:positionV>
                <wp:extent cx="4441190" cy="2181225"/>
                <wp:effectExtent l="0" t="0" r="0" b="3175"/>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A72A06" w14:textId="47FAC356" w:rsidR="00824850" w:rsidRPr="007D360A" w:rsidRDefault="00824850" w:rsidP="00997BC5">
                            <w:pPr>
                              <w:spacing w:line="276" w:lineRule="auto"/>
                              <w:rPr>
                                <w:rFonts w:asciiTheme="majorHAnsi" w:hAnsiTheme="majorHAnsi" w:cs="Arial"/>
                                <w:b/>
                                <w:bCs/>
                                <w:color w:val="0D0D0D" w:themeColor="text1" w:themeTint="F2"/>
                                <w:sz w:val="36"/>
                                <w:szCs w:val="22"/>
                                <w:lang w:val="es-MX"/>
                              </w:rPr>
                            </w:pPr>
                            <w:r w:rsidRPr="007D360A">
                              <w:rPr>
                                <w:rFonts w:asciiTheme="majorHAnsi" w:hAnsiTheme="majorHAnsi" w:cs="Arial"/>
                                <w:b/>
                                <w:bCs/>
                                <w:color w:val="0D0D0D" w:themeColor="text1" w:themeTint="F2"/>
                                <w:sz w:val="36"/>
                                <w:szCs w:val="22"/>
                                <w:lang w:val="es-MX"/>
                              </w:rPr>
                              <w:t xml:space="preserve">INFORME </w:t>
                            </w:r>
                            <w:r w:rsidRPr="007D360A">
                              <w:rPr>
                                <w:rFonts w:asciiTheme="majorHAnsi" w:hAnsiTheme="majorHAnsi" w:cs="Arial"/>
                                <w:b/>
                                <w:bCs/>
                                <w:color w:val="0D0D0D" w:themeColor="text1" w:themeTint="F2"/>
                                <w:sz w:val="36"/>
                                <w:szCs w:val="40"/>
                                <w:lang w:val="es-MX"/>
                              </w:rPr>
                              <w:t>No.</w:t>
                            </w:r>
                            <w:r>
                              <w:rPr>
                                <w:rFonts w:asciiTheme="majorHAnsi" w:hAnsiTheme="majorHAnsi" w:cs="Arial"/>
                                <w:b/>
                                <w:bCs/>
                                <w:color w:val="0D0D0D" w:themeColor="text1" w:themeTint="F2"/>
                                <w:sz w:val="36"/>
                                <w:szCs w:val="22"/>
                                <w:lang w:val="es-MX"/>
                              </w:rPr>
                              <w:t xml:space="preserve"> 146</w:t>
                            </w:r>
                            <w:r w:rsidRPr="007D360A">
                              <w:rPr>
                                <w:rFonts w:asciiTheme="majorHAnsi" w:hAnsiTheme="majorHAnsi" w:cs="Arial"/>
                                <w:b/>
                                <w:bCs/>
                                <w:color w:val="0D0D0D" w:themeColor="text1" w:themeTint="F2"/>
                                <w:sz w:val="36"/>
                                <w:szCs w:val="22"/>
                                <w:lang w:val="es-MX"/>
                              </w:rPr>
                              <w:t>/19</w:t>
                            </w:r>
                          </w:p>
                          <w:p w14:paraId="7D0403F7" w14:textId="77777777" w:rsidR="00824850" w:rsidRPr="00384EBB" w:rsidRDefault="00824850" w:rsidP="00997BC5">
                            <w:pPr>
                              <w:spacing w:line="276" w:lineRule="auto"/>
                              <w:rPr>
                                <w:rFonts w:asciiTheme="majorHAnsi" w:hAnsiTheme="majorHAnsi" w:cs="Arial"/>
                                <w:b/>
                                <w:color w:val="0D0D0D" w:themeColor="text1" w:themeTint="F2"/>
                                <w:sz w:val="36"/>
                                <w:szCs w:val="22"/>
                                <w:lang w:val="es-MX"/>
                              </w:rPr>
                            </w:pPr>
                            <w:r w:rsidRPr="00384EBB">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11</w:t>
                            </w:r>
                            <w:r w:rsidRPr="00384EBB">
                              <w:rPr>
                                <w:rFonts w:asciiTheme="majorHAnsi" w:hAnsiTheme="majorHAnsi" w:cs="Arial"/>
                                <w:b/>
                                <w:color w:val="0D0D0D" w:themeColor="text1" w:themeTint="F2"/>
                                <w:sz w:val="36"/>
                                <w:szCs w:val="22"/>
                                <w:lang w:val="es-MX"/>
                              </w:rPr>
                              <w:t>.</w:t>
                            </w:r>
                            <w:r>
                              <w:rPr>
                                <w:rFonts w:asciiTheme="majorHAnsi" w:hAnsiTheme="majorHAnsi" w:cs="Arial"/>
                                <w:b/>
                                <w:color w:val="0D0D0D" w:themeColor="text1" w:themeTint="F2"/>
                                <w:sz w:val="36"/>
                                <w:szCs w:val="22"/>
                                <w:lang w:val="es-MX"/>
                              </w:rPr>
                              <w:t>754</w:t>
                            </w:r>
                          </w:p>
                          <w:p w14:paraId="1E190821" w14:textId="77777777" w:rsidR="00824850" w:rsidRPr="0010736F" w:rsidRDefault="0082485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415994F5" w14:textId="77777777" w:rsidR="00824850" w:rsidRPr="0010736F" w:rsidRDefault="00824850" w:rsidP="00997BC5">
                            <w:pPr>
                              <w:spacing w:line="276" w:lineRule="auto"/>
                              <w:rPr>
                                <w:rFonts w:asciiTheme="majorHAnsi" w:hAnsiTheme="majorHAnsi" w:cs="Arial"/>
                                <w:color w:val="0D0D0D" w:themeColor="text1" w:themeTint="F2"/>
                                <w:szCs w:val="22"/>
                                <w:lang w:val="es-ES_tradnl"/>
                              </w:rPr>
                            </w:pPr>
                            <w:bookmarkStart w:id="0" w:name="_ftnref1"/>
                          </w:p>
                          <w:p w14:paraId="24B452F9" w14:textId="527AC5A4" w:rsidR="00824850" w:rsidRPr="0010736F" w:rsidRDefault="00824850" w:rsidP="00997BC5">
                            <w:pPr>
                              <w:spacing w:line="276" w:lineRule="auto"/>
                              <w:rPr>
                                <w:rFonts w:asciiTheme="majorHAnsi" w:hAnsiTheme="majorHAnsi" w:cs="Arial"/>
                                <w:color w:val="0D0D0D" w:themeColor="text1" w:themeTint="F2"/>
                                <w:szCs w:val="22"/>
                                <w:lang w:val="es-ES_tradnl"/>
                              </w:rPr>
                            </w:pPr>
                            <w:r w:rsidRPr="00275AD5">
                              <w:rPr>
                                <w:rFonts w:asciiTheme="majorHAnsi" w:hAnsiTheme="majorHAnsi" w:cs="Arial"/>
                                <w:color w:val="0D0D0D" w:themeColor="text1" w:themeTint="F2"/>
                                <w:szCs w:val="22"/>
                                <w:lang w:val="es-ES_tradnl"/>
                              </w:rPr>
                              <w:t>PUEBLO INDÍGENA U´WA Y SUS MIEMBROS</w:t>
                            </w:r>
                          </w:p>
                          <w:bookmarkEnd w:id="0"/>
                          <w:p w14:paraId="34DFD760" w14:textId="77777777" w:rsidR="00824850" w:rsidRPr="0010736F" w:rsidRDefault="0082485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A564B34" w14:textId="77777777" w:rsidR="00824850" w:rsidRPr="00AE5488" w:rsidRDefault="0082485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F1D56" id="Text Box 5" o:spid="_x0000_s1027" type="#_x0000_t202" style="position:absolute;left:0;text-align:left;margin-left:103.3pt;margin-top:9.55pt;width:349.7pt;height:17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" filled="f" stroked="f" strokeweight=".5pt">
                <v:textbox>
                  <w:txbxContent>
                    <w:p w14:paraId="59A72A06" w14:textId="47FAC356" w:rsidR="00824850" w:rsidRPr="007D360A" w:rsidRDefault="00824850" w:rsidP="00997BC5">
                      <w:pPr>
                        <w:spacing w:line="276" w:lineRule="auto"/>
                        <w:rPr>
                          <w:rFonts w:asciiTheme="majorHAnsi" w:hAnsiTheme="majorHAnsi" w:cs="Arial"/>
                          <w:b/>
                          <w:bCs/>
                          <w:color w:val="0D0D0D" w:themeColor="text1" w:themeTint="F2"/>
                          <w:sz w:val="36"/>
                          <w:szCs w:val="22"/>
                          <w:lang w:val="es-MX"/>
                        </w:rPr>
                      </w:pPr>
                      <w:r w:rsidRPr="007D360A">
                        <w:rPr>
                          <w:rFonts w:asciiTheme="majorHAnsi" w:hAnsiTheme="majorHAnsi" w:cs="Arial"/>
                          <w:b/>
                          <w:bCs/>
                          <w:color w:val="0D0D0D" w:themeColor="text1" w:themeTint="F2"/>
                          <w:sz w:val="36"/>
                          <w:szCs w:val="22"/>
                          <w:lang w:val="es-MX"/>
                        </w:rPr>
                        <w:t xml:space="preserve">INFORME </w:t>
                      </w:r>
                      <w:r w:rsidRPr="007D360A">
                        <w:rPr>
                          <w:rFonts w:asciiTheme="majorHAnsi" w:hAnsiTheme="majorHAnsi" w:cs="Arial"/>
                          <w:b/>
                          <w:bCs/>
                          <w:color w:val="0D0D0D" w:themeColor="text1" w:themeTint="F2"/>
                          <w:sz w:val="36"/>
                          <w:szCs w:val="40"/>
                          <w:lang w:val="es-MX"/>
                        </w:rPr>
                        <w:t>No.</w:t>
                      </w:r>
                      <w:r>
                        <w:rPr>
                          <w:rFonts w:asciiTheme="majorHAnsi" w:hAnsiTheme="majorHAnsi" w:cs="Arial"/>
                          <w:b/>
                          <w:bCs/>
                          <w:color w:val="0D0D0D" w:themeColor="text1" w:themeTint="F2"/>
                          <w:sz w:val="36"/>
                          <w:szCs w:val="22"/>
                          <w:lang w:val="es-MX"/>
                        </w:rPr>
                        <w:t xml:space="preserve"> 146</w:t>
                      </w:r>
                      <w:r w:rsidRPr="007D360A">
                        <w:rPr>
                          <w:rFonts w:asciiTheme="majorHAnsi" w:hAnsiTheme="majorHAnsi" w:cs="Arial"/>
                          <w:b/>
                          <w:bCs/>
                          <w:color w:val="0D0D0D" w:themeColor="text1" w:themeTint="F2"/>
                          <w:sz w:val="36"/>
                          <w:szCs w:val="22"/>
                          <w:lang w:val="es-MX"/>
                        </w:rPr>
                        <w:t>/19</w:t>
                      </w:r>
                    </w:p>
                    <w:p w14:paraId="7D0403F7" w14:textId="77777777" w:rsidR="00824850" w:rsidRPr="00384EBB" w:rsidRDefault="00824850" w:rsidP="00997BC5">
                      <w:pPr>
                        <w:spacing w:line="276" w:lineRule="auto"/>
                        <w:rPr>
                          <w:rFonts w:asciiTheme="majorHAnsi" w:hAnsiTheme="majorHAnsi" w:cs="Arial"/>
                          <w:b/>
                          <w:color w:val="0D0D0D" w:themeColor="text1" w:themeTint="F2"/>
                          <w:sz w:val="36"/>
                          <w:szCs w:val="22"/>
                          <w:lang w:val="es-MX"/>
                        </w:rPr>
                      </w:pPr>
                      <w:r w:rsidRPr="00384EBB">
                        <w:rPr>
                          <w:rFonts w:asciiTheme="majorHAnsi" w:hAnsiTheme="majorHAnsi" w:cs="Arial"/>
                          <w:b/>
                          <w:color w:val="0D0D0D" w:themeColor="text1" w:themeTint="F2"/>
                          <w:sz w:val="36"/>
                          <w:szCs w:val="22"/>
                          <w:lang w:val="es-MX"/>
                        </w:rPr>
                        <w:t xml:space="preserve">CASO </w:t>
                      </w:r>
                      <w:r>
                        <w:rPr>
                          <w:rFonts w:asciiTheme="majorHAnsi" w:hAnsiTheme="majorHAnsi" w:cs="Arial"/>
                          <w:b/>
                          <w:color w:val="0D0D0D" w:themeColor="text1" w:themeTint="F2"/>
                          <w:sz w:val="36"/>
                          <w:szCs w:val="22"/>
                          <w:lang w:val="es-MX"/>
                        </w:rPr>
                        <w:t>11</w:t>
                      </w:r>
                      <w:r w:rsidRPr="00384EBB">
                        <w:rPr>
                          <w:rFonts w:asciiTheme="majorHAnsi" w:hAnsiTheme="majorHAnsi" w:cs="Arial"/>
                          <w:b/>
                          <w:color w:val="0D0D0D" w:themeColor="text1" w:themeTint="F2"/>
                          <w:sz w:val="36"/>
                          <w:szCs w:val="22"/>
                          <w:lang w:val="es-MX"/>
                        </w:rPr>
                        <w:t>.</w:t>
                      </w:r>
                      <w:r>
                        <w:rPr>
                          <w:rFonts w:asciiTheme="majorHAnsi" w:hAnsiTheme="majorHAnsi" w:cs="Arial"/>
                          <w:b/>
                          <w:color w:val="0D0D0D" w:themeColor="text1" w:themeTint="F2"/>
                          <w:sz w:val="36"/>
                          <w:szCs w:val="22"/>
                          <w:lang w:val="es-MX"/>
                        </w:rPr>
                        <w:t>754</w:t>
                      </w:r>
                    </w:p>
                    <w:p w14:paraId="1E190821" w14:textId="77777777" w:rsidR="00824850" w:rsidRPr="0010736F" w:rsidRDefault="00824850" w:rsidP="000158F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INFORME DE FONDO</w:t>
                      </w:r>
                      <w:r w:rsidRPr="0010736F">
                        <w:rPr>
                          <w:rFonts w:asciiTheme="majorHAnsi" w:hAnsiTheme="majorHAnsi" w:cs="Arial"/>
                          <w:color w:val="0D0D0D" w:themeColor="text1" w:themeTint="F2"/>
                          <w:szCs w:val="22"/>
                          <w:lang w:val="es-ES_tradnl"/>
                        </w:rPr>
                        <w:t xml:space="preserve"> </w:t>
                      </w:r>
                    </w:p>
                    <w:p w14:paraId="415994F5" w14:textId="77777777" w:rsidR="00824850" w:rsidRPr="0010736F" w:rsidRDefault="00824850" w:rsidP="00997BC5">
                      <w:pPr>
                        <w:spacing w:line="276" w:lineRule="auto"/>
                        <w:rPr>
                          <w:rFonts w:asciiTheme="majorHAnsi" w:hAnsiTheme="majorHAnsi" w:cs="Arial"/>
                          <w:color w:val="0D0D0D" w:themeColor="text1" w:themeTint="F2"/>
                          <w:szCs w:val="22"/>
                          <w:lang w:val="es-ES_tradnl"/>
                        </w:rPr>
                      </w:pPr>
                      <w:bookmarkStart w:id="1" w:name="_ftnref1"/>
                    </w:p>
                    <w:p w14:paraId="24B452F9" w14:textId="527AC5A4" w:rsidR="00824850" w:rsidRPr="0010736F" w:rsidRDefault="00824850" w:rsidP="00997BC5">
                      <w:pPr>
                        <w:spacing w:line="276" w:lineRule="auto"/>
                        <w:rPr>
                          <w:rFonts w:asciiTheme="majorHAnsi" w:hAnsiTheme="majorHAnsi" w:cs="Arial"/>
                          <w:color w:val="0D0D0D" w:themeColor="text1" w:themeTint="F2"/>
                          <w:szCs w:val="22"/>
                          <w:lang w:val="es-ES_tradnl"/>
                        </w:rPr>
                      </w:pPr>
                      <w:r w:rsidRPr="00275AD5">
                        <w:rPr>
                          <w:rFonts w:asciiTheme="majorHAnsi" w:hAnsiTheme="majorHAnsi" w:cs="Arial"/>
                          <w:color w:val="0D0D0D" w:themeColor="text1" w:themeTint="F2"/>
                          <w:szCs w:val="22"/>
                          <w:lang w:val="es-ES_tradnl"/>
                        </w:rPr>
                        <w:t>PUEBLO INDÍGENA U´WA Y SUS MIEMBROS</w:t>
                      </w:r>
                    </w:p>
                    <w:bookmarkEnd w:id="1"/>
                    <w:p w14:paraId="34DFD760" w14:textId="77777777" w:rsidR="00824850" w:rsidRPr="0010736F" w:rsidRDefault="00824850"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A564B34" w14:textId="77777777" w:rsidR="00824850" w:rsidRPr="00AE5488" w:rsidRDefault="00824850" w:rsidP="007A5817">
                      <w:pPr>
                        <w:rPr>
                          <w:color w:val="0D0D0D" w:themeColor="text1" w:themeTint="F2"/>
                          <w:lang w:val="es-ES_tradnl"/>
                        </w:rPr>
                      </w:pPr>
                    </w:p>
                  </w:txbxContent>
                </v:textbox>
              </v:shape>
            </w:pict>
          </mc:Fallback>
        </mc:AlternateContent>
      </w:r>
      <w:r w:rsidR="004E2649" w:rsidRPr="00BF20FA">
        <w:rPr>
          <w:rFonts w:asciiTheme="majorHAnsi" w:hAnsiTheme="majorHAnsi"/>
          <w:noProof/>
          <w:sz w:val="20"/>
          <w:szCs w:val="20"/>
        </w:rPr>
        <mc:AlternateContent>
          <mc:Choice Requires="wps">
            <w:drawing>
              <wp:anchor distT="0" distB="0" distL="114300" distR="114300" simplePos="0" relativeHeight="251657216" behindDoc="0" locked="0" layoutInCell="1" allowOverlap="1" wp14:anchorId="77FB7F47" wp14:editId="55BE5668">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FB72D1" w14:textId="75C98AE5" w:rsidR="00824850" w:rsidRPr="004E2649" w:rsidRDefault="0082485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37709850" w14:textId="1F8E8299" w:rsidR="00824850" w:rsidRPr="004E2649" w:rsidRDefault="0082485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161</w:t>
                            </w:r>
                          </w:p>
                          <w:p w14:paraId="75900D7A" w14:textId="363DD9AB" w:rsidR="00824850" w:rsidRPr="007C756A" w:rsidRDefault="0082485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 septiembre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3261E80C" w14:textId="77777777" w:rsidR="00824850" w:rsidRPr="007C756A" w:rsidRDefault="00824850"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B7F47" id="Text Box 8" o:spid="_x0000_s1028" type="#_x0000_t202" style="position:absolute;left:0;text-align:left;margin-left:-27pt;margin-top:12.95pt;width:109.5pt;height:10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46FB72D1" w14:textId="75C98AE5" w:rsidR="00824850" w:rsidRPr="004E2649" w:rsidRDefault="00824850"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OEA/Ser.L/V/II.173</w:t>
                      </w:r>
                    </w:p>
                    <w:p w14:paraId="37709850" w14:textId="1F8E8299" w:rsidR="00824850" w:rsidRPr="004E2649" w:rsidRDefault="00824850"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161</w:t>
                      </w:r>
                    </w:p>
                    <w:p w14:paraId="75900D7A" w14:textId="363DD9AB" w:rsidR="00824850" w:rsidRPr="007C756A" w:rsidRDefault="00824850"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28 septiembre</w:t>
                      </w:r>
                      <w:r w:rsidRPr="007C756A">
                        <w:rPr>
                          <w:rFonts w:asciiTheme="minorHAnsi" w:hAnsiTheme="minorHAnsi"/>
                          <w:color w:val="FFFFFF" w:themeColor="background1"/>
                          <w:sz w:val="22"/>
                          <w:lang w:val="es-US"/>
                        </w:rPr>
                        <w:t xml:space="preserve"> 20</w:t>
                      </w:r>
                      <w:r>
                        <w:rPr>
                          <w:rFonts w:asciiTheme="minorHAnsi" w:hAnsiTheme="minorHAnsi"/>
                          <w:color w:val="FFFFFF" w:themeColor="background1"/>
                          <w:sz w:val="22"/>
                          <w:lang w:val="es-US"/>
                        </w:rPr>
                        <w:t>19</w:t>
                      </w:r>
                    </w:p>
                    <w:p w14:paraId="3261E80C" w14:textId="77777777" w:rsidR="00824850" w:rsidRPr="007C756A" w:rsidRDefault="00824850" w:rsidP="007A5817">
                      <w:pPr>
                        <w:spacing w:line="276" w:lineRule="auto"/>
                        <w:jc w:val="right"/>
                        <w:rPr>
                          <w:rFonts w:asciiTheme="minorHAnsi" w:hAnsiTheme="minorHAnsi"/>
                          <w:color w:val="FFFFFF" w:themeColor="background1"/>
                          <w:sz w:val="22"/>
                          <w:lang w:val="es-US"/>
                        </w:rPr>
                      </w:pPr>
                      <w:r w:rsidRPr="007C756A">
                        <w:rPr>
                          <w:rFonts w:asciiTheme="minorHAnsi" w:hAnsiTheme="minorHAnsi"/>
                          <w:color w:val="FFFFFF" w:themeColor="background1"/>
                          <w:sz w:val="22"/>
                          <w:lang w:val="es-US"/>
                        </w:rPr>
                        <w:t>Original: español</w:t>
                      </w:r>
                    </w:p>
                  </w:txbxContent>
                </v:textbox>
              </v:shape>
            </w:pict>
          </mc:Fallback>
        </mc:AlternateContent>
      </w:r>
    </w:p>
    <w:p w14:paraId="694E0D70"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72666CE8"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5E6CFDB6" w14:textId="77777777" w:rsidR="00040C3A" w:rsidRPr="00BF20FA" w:rsidRDefault="00040C3A" w:rsidP="00040C3A">
      <w:pPr>
        <w:tabs>
          <w:tab w:val="center" w:pos="5400"/>
        </w:tabs>
        <w:suppressAutoHyphens/>
        <w:jc w:val="center"/>
        <w:rPr>
          <w:rFonts w:asciiTheme="majorHAnsi" w:hAnsiTheme="majorHAnsi" w:cs="Arial"/>
          <w:sz w:val="20"/>
          <w:szCs w:val="20"/>
          <w:lang w:val="es-ES_tradnl"/>
        </w:rPr>
      </w:pPr>
    </w:p>
    <w:p w14:paraId="164E0BA8"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4B21EC05"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6F685A4C"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115D17B0"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3B627B00" w14:textId="77777777" w:rsidR="005128E4" w:rsidRPr="00BF20FA" w:rsidRDefault="005128E4" w:rsidP="00040C3A">
      <w:pPr>
        <w:tabs>
          <w:tab w:val="center" w:pos="5400"/>
        </w:tabs>
        <w:suppressAutoHyphens/>
        <w:jc w:val="center"/>
        <w:rPr>
          <w:rFonts w:asciiTheme="majorHAnsi" w:hAnsiTheme="majorHAnsi"/>
          <w:sz w:val="20"/>
          <w:szCs w:val="20"/>
          <w:lang w:val="es-ES_tradnl"/>
        </w:rPr>
      </w:pPr>
    </w:p>
    <w:p w14:paraId="4C159474"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72ECFDBB" w14:textId="77777777" w:rsidR="005128E4" w:rsidRPr="00BF20FA" w:rsidRDefault="005128E4" w:rsidP="00040C3A">
      <w:pPr>
        <w:tabs>
          <w:tab w:val="center" w:pos="5400"/>
        </w:tabs>
        <w:suppressAutoHyphens/>
        <w:jc w:val="center"/>
        <w:rPr>
          <w:rFonts w:asciiTheme="majorHAnsi" w:hAnsiTheme="majorHAnsi"/>
          <w:sz w:val="20"/>
          <w:szCs w:val="20"/>
          <w:lang w:val="es-ES_tradnl"/>
        </w:rPr>
      </w:pPr>
    </w:p>
    <w:p w14:paraId="08CED5BD" w14:textId="77777777" w:rsidR="005128E4" w:rsidRPr="00BF20FA" w:rsidRDefault="005128E4" w:rsidP="00040C3A">
      <w:pPr>
        <w:tabs>
          <w:tab w:val="center" w:pos="5400"/>
        </w:tabs>
        <w:suppressAutoHyphens/>
        <w:jc w:val="center"/>
        <w:rPr>
          <w:rFonts w:asciiTheme="majorHAnsi" w:hAnsiTheme="majorHAnsi"/>
          <w:sz w:val="20"/>
          <w:szCs w:val="20"/>
          <w:lang w:val="es-ES_tradnl"/>
        </w:rPr>
      </w:pPr>
    </w:p>
    <w:p w14:paraId="01EA6F3B" w14:textId="77777777" w:rsidR="005128E4" w:rsidRPr="00BF20FA" w:rsidRDefault="005128E4" w:rsidP="00040C3A">
      <w:pPr>
        <w:tabs>
          <w:tab w:val="center" w:pos="5400"/>
        </w:tabs>
        <w:suppressAutoHyphens/>
        <w:jc w:val="center"/>
        <w:rPr>
          <w:rFonts w:asciiTheme="majorHAnsi" w:hAnsiTheme="majorHAnsi"/>
          <w:sz w:val="20"/>
          <w:szCs w:val="20"/>
          <w:lang w:val="es-ES_tradnl"/>
        </w:rPr>
      </w:pPr>
    </w:p>
    <w:p w14:paraId="19B9ED6C"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0CD60A8D" w14:textId="77777777" w:rsidR="00040C3A" w:rsidRPr="00BF20FA" w:rsidRDefault="00040C3A" w:rsidP="00040C3A">
      <w:pPr>
        <w:tabs>
          <w:tab w:val="center" w:pos="5400"/>
        </w:tabs>
        <w:suppressAutoHyphens/>
        <w:jc w:val="center"/>
        <w:rPr>
          <w:rFonts w:asciiTheme="majorHAnsi" w:hAnsiTheme="majorHAnsi"/>
          <w:sz w:val="20"/>
          <w:szCs w:val="20"/>
          <w:lang w:val="es-ES_tradnl"/>
        </w:rPr>
      </w:pPr>
    </w:p>
    <w:p w14:paraId="0A5F8430"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0D5EEB6D"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0D7A5ABD"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29F7C999"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21FDAA42" w14:textId="77777777" w:rsidR="000F72F0" w:rsidRPr="00BF20FA" w:rsidRDefault="000F72F0" w:rsidP="00040C3A">
      <w:pPr>
        <w:tabs>
          <w:tab w:val="center" w:pos="5400"/>
        </w:tabs>
        <w:suppressAutoHyphens/>
        <w:jc w:val="center"/>
        <w:rPr>
          <w:rFonts w:asciiTheme="majorHAnsi" w:hAnsiTheme="majorHAnsi"/>
          <w:sz w:val="20"/>
          <w:szCs w:val="20"/>
          <w:lang w:val="es-ES_tradnl"/>
        </w:rPr>
      </w:pPr>
    </w:p>
    <w:p w14:paraId="1B7957E2" w14:textId="77777777" w:rsidR="000F72F0" w:rsidRPr="00BF20FA" w:rsidRDefault="000F72F0" w:rsidP="000F72F0">
      <w:pPr>
        <w:tabs>
          <w:tab w:val="center" w:pos="5400"/>
        </w:tabs>
        <w:suppressAutoHyphens/>
        <w:ind w:right="-360"/>
        <w:jc w:val="center"/>
        <w:rPr>
          <w:rFonts w:asciiTheme="majorHAnsi" w:hAnsiTheme="majorHAnsi"/>
          <w:sz w:val="20"/>
          <w:szCs w:val="20"/>
          <w:lang w:val="es-ES_tradnl"/>
        </w:rPr>
      </w:pPr>
    </w:p>
    <w:p w14:paraId="192D2B88"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74EBBD3F"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12C8069C" w14:textId="2006129D" w:rsidR="00A50FCF" w:rsidRPr="00BF20FA" w:rsidRDefault="00A50FCF" w:rsidP="00040C3A">
      <w:pPr>
        <w:tabs>
          <w:tab w:val="center" w:pos="5400"/>
        </w:tabs>
        <w:suppressAutoHyphens/>
        <w:jc w:val="center"/>
        <w:rPr>
          <w:rFonts w:asciiTheme="majorHAnsi" w:hAnsiTheme="majorHAnsi"/>
          <w:sz w:val="20"/>
          <w:szCs w:val="20"/>
          <w:lang w:val="es-ES_tradnl"/>
        </w:rPr>
      </w:pPr>
    </w:p>
    <w:p w14:paraId="1EB257BB" w14:textId="357E0EBC" w:rsidR="00A50FCF" w:rsidRPr="00BF20FA" w:rsidRDefault="00A50FCF" w:rsidP="00040C3A">
      <w:pPr>
        <w:tabs>
          <w:tab w:val="center" w:pos="5400"/>
        </w:tabs>
        <w:suppressAutoHyphens/>
        <w:jc w:val="center"/>
        <w:rPr>
          <w:rFonts w:asciiTheme="majorHAnsi" w:hAnsiTheme="majorHAnsi"/>
          <w:sz w:val="20"/>
          <w:szCs w:val="20"/>
          <w:lang w:val="es-ES_tradnl"/>
        </w:rPr>
      </w:pPr>
    </w:p>
    <w:p w14:paraId="3ADC583B" w14:textId="400800DD" w:rsidR="00A50FCF" w:rsidRPr="00BF20FA" w:rsidRDefault="00B56197" w:rsidP="00040C3A">
      <w:pPr>
        <w:tabs>
          <w:tab w:val="center" w:pos="5400"/>
        </w:tabs>
        <w:suppressAutoHyphens/>
        <w:jc w:val="center"/>
        <w:rPr>
          <w:rFonts w:asciiTheme="majorHAnsi" w:hAnsiTheme="majorHAnsi"/>
          <w:sz w:val="20"/>
          <w:szCs w:val="20"/>
          <w:lang w:val="es-ES_tradnl"/>
        </w:rPr>
      </w:pPr>
      <w:r w:rsidRPr="00BF20FA">
        <w:rPr>
          <w:rFonts w:asciiTheme="majorHAnsi" w:hAnsiTheme="majorHAnsi"/>
          <w:noProof/>
          <w:sz w:val="20"/>
          <w:szCs w:val="20"/>
        </w:rPr>
        <mc:AlternateContent>
          <mc:Choice Requires="wps">
            <w:drawing>
              <wp:anchor distT="0" distB="0" distL="114300" distR="114300" simplePos="0" relativeHeight="251655168" behindDoc="0" locked="0" layoutInCell="1" allowOverlap="1" wp14:anchorId="13CB1DB4" wp14:editId="0D108FE1">
                <wp:simplePos x="0" y="0"/>
                <wp:positionH relativeFrom="column">
                  <wp:posOffset>1284605</wp:posOffset>
                </wp:positionH>
                <wp:positionV relativeFrom="paragraph">
                  <wp:posOffset>153670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5FEA22" w14:textId="259B7A3D" w:rsidR="00824850" w:rsidRPr="00890650" w:rsidRDefault="00824850"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 xml:space="preserve">o. 2154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173</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Pr="00B468B8">
                              <w:rPr>
                                <w:rFonts w:asciiTheme="majorHAnsi" w:hAnsiTheme="majorHAnsi" w:cs="Univers"/>
                                <w:color w:val="0D0D0D" w:themeColor="text1" w:themeTint="F2"/>
                                <w:sz w:val="18"/>
                                <w:szCs w:val="20"/>
                                <w:lang w:val="es-ES_tradnl"/>
                              </w:rPr>
                              <w:t>rdinario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14:paraId="45A6952B" w14:textId="77777777" w:rsidR="00824850" w:rsidRPr="00167A34" w:rsidRDefault="0082485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CB1DB4" id="Text Box 7" o:spid="_x0000_s1029" type="#_x0000_t202" style="position:absolute;left:0;text-align:left;margin-left:101.15pt;margin-top:12.1pt;width:388.5pt;height:52.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" filled="f" stroked="f" strokeweight=".5pt">
                <v:textbox>
                  <w:txbxContent>
                    <w:p w14:paraId="0B5FEA22" w14:textId="259B7A3D" w:rsidR="00824850" w:rsidRPr="00890650" w:rsidRDefault="00824850" w:rsidP="00247403">
                      <w:pPr>
                        <w:tabs>
                          <w:tab w:val="center" w:pos="5400"/>
                        </w:tabs>
                        <w:suppressAutoHyphens/>
                        <w:spacing w:before="60"/>
                        <w:rPr>
                          <w:rFonts w:asciiTheme="majorHAnsi" w:hAnsiTheme="majorHAnsi" w:cs="Univers"/>
                          <w:color w:val="0D0D0D" w:themeColor="text1" w:themeTint="F2"/>
                          <w:sz w:val="18"/>
                          <w:szCs w:val="20"/>
                          <w:lang w:val="es-ES_tradnl"/>
                        </w:rPr>
                      </w:pPr>
                      <w:r>
                        <w:rPr>
                          <w:rFonts w:asciiTheme="majorHAnsi" w:hAnsiTheme="majorHAnsi"/>
                          <w:color w:val="0D0D0D" w:themeColor="text1" w:themeTint="F2"/>
                          <w:sz w:val="18"/>
                          <w:szCs w:val="20"/>
                          <w:lang w:val="es-ES"/>
                        </w:rPr>
                        <w:t>Aprobado por la Comisión en su S</w:t>
                      </w:r>
                      <w:r w:rsidRPr="00890650">
                        <w:rPr>
                          <w:rFonts w:asciiTheme="majorHAnsi" w:hAnsiTheme="majorHAnsi"/>
                          <w:color w:val="0D0D0D" w:themeColor="text1" w:themeTint="F2"/>
                          <w:sz w:val="18"/>
                          <w:szCs w:val="20"/>
                          <w:lang w:val="es-ES"/>
                        </w:rPr>
                        <w:t>esión N</w:t>
                      </w:r>
                      <w:r>
                        <w:rPr>
                          <w:rFonts w:asciiTheme="majorHAnsi" w:hAnsiTheme="majorHAnsi"/>
                          <w:color w:val="0D0D0D" w:themeColor="text1" w:themeTint="F2"/>
                          <w:sz w:val="18"/>
                          <w:szCs w:val="20"/>
                          <w:lang w:val="es-ES"/>
                        </w:rPr>
                        <w:t xml:space="preserve">o. 2154 </w:t>
                      </w:r>
                      <w:r w:rsidRPr="00890650">
                        <w:rPr>
                          <w:rFonts w:asciiTheme="majorHAnsi" w:hAnsiTheme="majorHAnsi"/>
                          <w:color w:val="0D0D0D" w:themeColor="text1" w:themeTint="F2"/>
                          <w:sz w:val="18"/>
                          <w:szCs w:val="20"/>
                          <w:lang w:val="es-ES"/>
                        </w:rPr>
                        <w:t>c</w:t>
                      </w:r>
                      <w:r>
                        <w:rPr>
                          <w:rFonts w:asciiTheme="majorHAnsi" w:hAnsiTheme="majorHAnsi"/>
                          <w:color w:val="0D0D0D" w:themeColor="text1" w:themeTint="F2"/>
                          <w:sz w:val="18"/>
                          <w:szCs w:val="20"/>
                          <w:lang w:val="es-ES"/>
                        </w:rPr>
                        <w:t>elebrada el 28 de Septiembre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9</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
                        </w:rPr>
                        <w:t>173</w:t>
                      </w:r>
                      <w:r w:rsidRPr="00890650">
                        <w:rPr>
                          <w:rFonts w:asciiTheme="majorHAnsi" w:hAnsiTheme="majorHAnsi" w:cs="Univers"/>
                          <w:color w:val="0D0D0D" w:themeColor="text1" w:themeTint="F2"/>
                          <w:sz w:val="18"/>
                          <w:szCs w:val="20"/>
                          <w:lang w:val="es-ES_tradnl"/>
                        </w:rPr>
                        <w:t xml:space="preserve"> </w:t>
                      </w:r>
                      <w:r>
                        <w:rPr>
                          <w:rFonts w:asciiTheme="majorHAnsi" w:hAnsiTheme="majorHAnsi" w:cs="Univers"/>
                          <w:color w:val="0D0D0D" w:themeColor="text1" w:themeTint="F2"/>
                          <w:sz w:val="18"/>
                          <w:szCs w:val="20"/>
                          <w:lang w:val="es-ES_tradnl"/>
                        </w:rPr>
                        <w:t>P</w:t>
                      </w:r>
                      <w:r w:rsidRPr="00890650">
                        <w:rPr>
                          <w:rFonts w:asciiTheme="majorHAnsi" w:hAnsiTheme="majorHAnsi" w:cs="Univers"/>
                          <w:color w:val="0D0D0D" w:themeColor="text1" w:themeTint="F2"/>
                          <w:sz w:val="18"/>
                          <w:szCs w:val="20"/>
                          <w:lang w:val="es-ES_tradnl"/>
                        </w:rPr>
                        <w:t xml:space="preserve">eríodo </w:t>
                      </w:r>
                      <w:r>
                        <w:rPr>
                          <w:rFonts w:asciiTheme="majorHAnsi" w:hAnsiTheme="majorHAnsi" w:cs="Univers"/>
                          <w:color w:val="0D0D0D" w:themeColor="text1" w:themeTint="F2"/>
                          <w:sz w:val="18"/>
                          <w:szCs w:val="20"/>
                          <w:lang w:val="es-ES_tradnl"/>
                        </w:rPr>
                        <w:t>O</w:t>
                      </w:r>
                      <w:r w:rsidRPr="00B468B8">
                        <w:rPr>
                          <w:rFonts w:asciiTheme="majorHAnsi" w:hAnsiTheme="majorHAnsi" w:cs="Univers"/>
                          <w:color w:val="0D0D0D" w:themeColor="text1" w:themeTint="F2"/>
                          <w:sz w:val="18"/>
                          <w:szCs w:val="20"/>
                          <w:lang w:val="es-ES_tradnl"/>
                        </w:rPr>
                        <w:t>rdinario</w:t>
                      </w:r>
                      <w:r>
                        <w:rPr>
                          <w:rFonts w:asciiTheme="majorHAnsi" w:hAnsiTheme="majorHAnsi" w:cs="Univers"/>
                          <w:color w:val="0D0D0D" w:themeColor="text1" w:themeTint="F2"/>
                          <w:sz w:val="18"/>
                          <w:szCs w:val="20"/>
                          <w:lang w:val="es-ES_tradnl"/>
                        </w:rPr>
                        <w:t xml:space="preserve"> de S</w:t>
                      </w:r>
                      <w:r w:rsidRPr="00890650">
                        <w:rPr>
                          <w:rFonts w:asciiTheme="majorHAnsi" w:hAnsiTheme="majorHAnsi" w:cs="Univers"/>
                          <w:color w:val="0D0D0D" w:themeColor="text1" w:themeTint="F2"/>
                          <w:sz w:val="18"/>
                          <w:szCs w:val="20"/>
                          <w:lang w:val="es-ES_tradnl"/>
                        </w:rPr>
                        <w:t>esiones</w:t>
                      </w:r>
                    </w:p>
                    <w:p w14:paraId="45A6952B" w14:textId="77777777" w:rsidR="00824850" w:rsidRPr="00167A34" w:rsidRDefault="0082485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231AB39"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368270BD" w14:textId="77777777" w:rsidR="00A50FCF" w:rsidRPr="00BF20FA" w:rsidRDefault="00A50FCF" w:rsidP="00040C3A">
      <w:pPr>
        <w:tabs>
          <w:tab w:val="center" w:pos="5400"/>
        </w:tabs>
        <w:suppressAutoHyphens/>
        <w:jc w:val="center"/>
        <w:rPr>
          <w:rFonts w:asciiTheme="majorHAnsi" w:hAnsiTheme="majorHAnsi"/>
          <w:sz w:val="20"/>
          <w:szCs w:val="20"/>
          <w:lang w:val="es-ES_tradnl"/>
        </w:rPr>
      </w:pPr>
    </w:p>
    <w:p w14:paraId="452BE3FE" w14:textId="4043613E" w:rsidR="00A50FCF" w:rsidRPr="00BF20FA" w:rsidRDefault="00A50FCF" w:rsidP="00040C3A">
      <w:pPr>
        <w:tabs>
          <w:tab w:val="center" w:pos="5400"/>
        </w:tabs>
        <w:suppressAutoHyphens/>
        <w:jc w:val="center"/>
        <w:rPr>
          <w:rFonts w:asciiTheme="majorHAnsi" w:hAnsiTheme="majorHAnsi"/>
          <w:sz w:val="20"/>
          <w:szCs w:val="20"/>
          <w:lang w:val="es-ES_tradnl"/>
        </w:rPr>
      </w:pPr>
    </w:p>
    <w:p w14:paraId="3FD65F3D" w14:textId="3F046172" w:rsidR="00A50FCF" w:rsidRPr="00BF20FA" w:rsidRDefault="00A50FCF" w:rsidP="00040C3A">
      <w:pPr>
        <w:tabs>
          <w:tab w:val="center" w:pos="5400"/>
        </w:tabs>
        <w:suppressAutoHyphens/>
        <w:jc w:val="center"/>
        <w:rPr>
          <w:rFonts w:asciiTheme="majorHAnsi" w:hAnsiTheme="majorHAnsi"/>
          <w:sz w:val="20"/>
          <w:szCs w:val="20"/>
          <w:lang w:val="es-ES_tradnl"/>
        </w:rPr>
      </w:pPr>
    </w:p>
    <w:p w14:paraId="1E108A71" w14:textId="2A5137F4" w:rsidR="0090270B" w:rsidRPr="00BF20FA" w:rsidRDefault="00D20D35" w:rsidP="005516A1">
      <w:pPr>
        <w:tabs>
          <w:tab w:val="center" w:pos="5400"/>
        </w:tabs>
        <w:suppressAutoHyphens/>
        <w:jc w:val="center"/>
        <w:rPr>
          <w:rFonts w:asciiTheme="majorHAnsi" w:hAnsiTheme="majorHAnsi"/>
          <w:b/>
          <w:sz w:val="20"/>
          <w:szCs w:val="20"/>
          <w:lang w:val="es-ES_tradnl"/>
        </w:rPr>
      </w:pPr>
      <w:r w:rsidRPr="00BF20FA">
        <w:rPr>
          <w:rFonts w:asciiTheme="majorHAnsi" w:hAnsiTheme="majorHAnsi"/>
          <w:noProof/>
          <w:sz w:val="20"/>
          <w:szCs w:val="20"/>
        </w:rPr>
        <mc:AlternateContent>
          <mc:Choice Requires="wps">
            <w:drawing>
              <wp:anchor distT="0" distB="0" distL="114300" distR="114300" simplePos="0" relativeHeight="251665408" behindDoc="0" locked="0" layoutInCell="1" allowOverlap="1" wp14:anchorId="4E5952F3" wp14:editId="7F3F3C0D">
                <wp:simplePos x="0" y="0"/>
                <wp:positionH relativeFrom="column">
                  <wp:posOffset>-300355</wp:posOffset>
                </wp:positionH>
                <wp:positionV relativeFrom="paragraph">
                  <wp:posOffset>1486535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A742E8" w14:textId="77777777" w:rsidR="00824850" w:rsidRPr="004B7EB6" w:rsidRDefault="0082485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952F3" id="Text Box 4" o:spid="_x0000_s1030" type="#_x0000_t202" style="position:absolute;left:0;text-align:left;margin-left:-23.65pt;margin-top:117.05pt;width:93pt;height:2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qtgA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" filled="f" stroked="f" strokeweight=".5pt">
                <v:textbox>
                  <w:txbxContent>
                    <w:p w14:paraId="58A742E8" w14:textId="77777777" w:rsidR="00824850" w:rsidRPr="004B7EB6" w:rsidRDefault="00824850"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00B56197" w:rsidRPr="00BF20FA">
        <w:rPr>
          <w:rFonts w:asciiTheme="majorHAnsi" w:hAnsiTheme="majorHAnsi"/>
          <w:noProof/>
          <w:sz w:val="20"/>
          <w:szCs w:val="20"/>
        </w:rPr>
        <mc:AlternateContent>
          <mc:Choice Requires="wps">
            <w:drawing>
              <wp:anchor distT="0" distB="0" distL="114300" distR="114300" simplePos="0" relativeHeight="251661312" behindDoc="0" locked="0" layoutInCell="1" allowOverlap="1" wp14:anchorId="7D0282D4" wp14:editId="30851201">
                <wp:simplePos x="0" y="0"/>
                <wp:positionH relativeFrom="column">
                  <wp:posOffset>1314450</wp:posOffset>
                </wp:positionH>
                <wp:positionV relativeFrom="paragraph">
                  <wp:posOffset>260350</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844038" w14:textId="2D0242BC" w:rsidR="00824850" w:rsidRPr="00824850" w:rsidRDefault="00824850" w:rsidP="00113F73">
                            <w:pPr>
                              <w:spacing w:line="276" w:lineRule="auto"/>
                              <w:rPr>
                                <w:rFonts w:asciiTheme="majorHAnsi" w:hAnsiTheme="majorHAnsi"/>
                                <w:color w:val="595959" w:themeColor="text1" w:themeTint="A6"/>
                                <w:sz w:val="18"/>
                                <w:szCs w:val="18"/>
                                <w:lang w:val="es-ES_tradnl"/>
                              </w:rPr>
                            </w:pPr>
                            <w:r w:rsidRPr="007C756A">
                              <w:rPr>
                                <w:rFonts w:asciiTheme="majorHAnsi" w:hAnsiTheme="majorHAnsi"/>
                                <w:b/>
                                <w:color w:val="595959" w:themeColor="text1" w:themeTint="A6"/>
                                <w:sz w:val="18"/>
                                <w:szCs w:val="18"/>
                                <w:lang w:val="es-US"/>
                              </w:rPr>
                              <w:t>Citar como:</w:t>
                            </w:r>
                            <w:r w:rsidRPr="007C756A">
                              <w:rPr>
                                <w:rFonts w:asciiTheme="majorHAnsi" w:hAnsiTheme="majorHAnsi"/>
                                <w:color w:val="595959" w:themeColor="text1" w:themeTint="A6"/>
                                <w:sz w:val="18"/>
                                <w:szCs w:val="18"/>
                                <w:lang w:val="es-US"/>
                              </w:rPr>
                              <w:t xml:space="preserve"> CIDH, Informe No. </w:t>
                            </w:r>
                            <w:r>
                              <w:rPr>
                                <w:rFonts w:asciiTheme="majorHAnsi" w:hAnsiTheme="majorHAnsi"/>
                                <w:color w:val="595959" w:themeColor="text1" w:themeTint="A6"/>
                                <w:sz w:val="18"/>
                                <w:szCs w:val="18"/>
                                <w:lang w:val="es-US"/>
                              </w:rPr>
                              <w:t>146/19</w:t>
                            </w:r>
                            <w:r>
                              <w:rPr>
                                <w:rFonts w:asciiTheme="majorHAnsi" w:hAnsiTheme="majorHAnsi"/>
                                <w:color w:val="595959" w:themeColor="text1" w:themeTint="A6"/>
                                <w:sz w:val="18"/>
                                <w:szCs w:val="18"/>
                                <w:lang w:val="es-ES_tradnl"/>
                              </w:rPr>
                              <w:t>, Caso 11.754.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Pueblo Indígena U’Wa y sus Miembros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28 de Septiembre de 2019</w:t>
                            </w:r>
                            <w:r w:rsidRPr="007C756A">
                              <w:rPr>
                                <w:rFonts w:asciiTheme="majorHAnsi" w:hAnsiTheme="majorHAnsi"/>
                                <w:color w:val="595959" w:themeColor="text1" w:themeTint="A6"/>
                                <w:sz w:val="18"/>
                                <w:szCs w:val="18"/>
                                <w:lang w:val="es-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282D4" id="Text Box 10" o:spid="_x0000_s1031" type="#_x0000_t202" style="position:absolute;left:0;text-align:left;margin-left:103.5pt;margin-top:20.5pt;width:389.2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" filled="f" stroked="f" strokeweight=".5pt">
                <v:textbox>
                  <w:txbxContent>
                    <w:p w14:paraId="27844038" w14:textId="2D0242BC" w:rsidR="00824850" w:rsidRPr="00824850" w:rsidRDefault="00824850" w:rsidP="00113F73">
                      <w:pPr>
                        <w:spacing w:line="276" w:lineRule="auto"/>
                        <w:rPr>
                          <w:rFonts w:asciiTheme="majorHAnsi" w:hAnsiTheme="majorHAnsi"/>
                          <w:color w:val="595959" w:themeColor="text1" w:themeTint="A6"/>
                          <w:sz w:val="18"/>
                          <w:szCs w:val="18"/>
                          <w:lang w:val="es-ES_tradnl"/>
                        </w:rPr>
                      </w:pPr>
                      <w:r w:rsidRPr="007C756A">
                        <w:rPr>
                          <w:rFonts w:asciiTheme="majorHAnsi" w:hAnsiTheme="majorHAnsi"/>
                          <w:b/>
                          <w:color w:val="595959" w:themeColor="text1" w:themeTint="A6"/>
                          <w:sz w:val="18"/>
                          <w:szCs w:val="18"/>
                          <w:lang w:val="es-US"/>
                        </w:rPr>
                        <w:t>Citar como:</w:t>
                      </w:r>
                      <w:r w:rsidRPr="007C756A">
                        <w:rPr>
                          <w:rFonts w:asciiTheme="majorHAnsi" w:hAnsiTheme="majorHAnsi"/>
                          <w:color w:val="595959" w:themeColor="text1" w:themeTint="A6"/>
                          <w:sz w:val="18"/>
                          <w:szCs w:val="18"/>
                          <w:lang w:val="es-US"/>
                        </w:rPr>
                        <w:t xml:space="preserve"> CIDH, Informe No. </w:t>
                      </w:r>
                      <w:r>
                        <w:rPr>
                          <w:rFonts w:asciiTheme="majorHAnsi" w:hAnsiTheme="majorHAnsi"/>
                          <w:color w:val="595959" w:themeColor="text1" w:themeTint="A6"/>
                          <w:sz w:val="18"/>
                          <w:szCs w:val="18"/>
                          <w:lang w:val="es-US"/>
                        </w:rPr>
                        <w:t>146/19</w:t>
                      </w:r>
                      <w:r>
                        <w:rPr>
                          <w:rFonts w:asciiTheme="majorHAnsi" w:hAnsiTheme="majorHAnsi"/>
                          <w:color w:val="595959" w:themeColor="text1" w:themeTint="A6"/>
                          <w:sz w:val="18"/>
                          <w:szCs w:val="18"/>
                          <w:lang w:val="es-ES_tradnl"/>
                        </w:rPr>
                        <w:t>, Caso 11.754. Fondo</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Pueblo Indígena U’Wa y sus Miembros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US"/>
                        </w:rPr>
                        <w:t>28 de Septiembre de 2019</w:t>
                      </w:r>
                      <w:r w:rsidRPr="007C756A">
                        <w:rPr>
                          <w:rFonts w:asciiTheme="majorHAnsi" w:hAnsiTheme="majorHAnsi"/>
                          <w:color w:val="595959" w:themeColor="text1" w:themeTint="A6"/>
                          <w:sz w:val="18"/>
                          <w:szCs w:val="18"/>
                          <w:lang w:val="es-US"/>
                        </w:rPr>
                        <w:t>.</w:t>
                      </w:r>
                    </w:p>
                  </w:txbxContent>
                </v:textbox>
              </v:shape>
            </w:pict>
          </mc:Fallback>
        </mc:AlternateContent>
      </w:r>
      <w:r w:rsidR="00D306D1" w:rsidRPr="00BF20FA">
        <w:rPr>
          <w:rFonts w:asciiTheme="majorHAnsi" w:hAnsiTheme="majorHAnsi"/>
          <w:noProof/>
          <w:sz w:val="20"/>
          <w:szCs w:val="20"/>
        </w:rPr>
        <mc:AlternateContent>
          <mc:Choice Requires="wps">
            <w:drawing>
              <wp:anchor distT="0" distB="0" distL="114300" distR="114300" simplePos="0" relativeHeight="251663360" behindDoc="0" locked="0" layoutInCell="1" allowOverlap="1" wp14:anchorId="1BF3B6D7" wp14:editId="7C7F8B17">
                <wp:simplePos x="0" y="0"/>
                <wp:positionH relativeFrom="column">
                  <wp:posOffset>1139190</wp:posOffset>
                </wp:positionH>
                <wp:positionV relativeFrom="paragraph">
                  <wp:posOffset>1352550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F264F" w14:textId="7460C2B5" w:rsidR="00824850" w:rsidRPr="00D72DC6" w:rsidRDefault="00824850" w:rsidP="00F02AD1">
                            <w:pPr>
                              <w:rPr>
                                <w:color w:val="FFFFFF" w:themeColor="background1"/>
                                <w14:textFill>
                                  <w14:noFill/>
                                </w14:textFill>
                              </w:rPr>
                            </w:pPr>
                            <w:r>
                              <w:rPr>
                                <w:noProof/>
                                <w:color w:val="FFFFFF" w:themeColor="background1"/>
                              </w:rPr>
                              <w:drawing>
                                <wp:inline distT="0" distB="0" distL="0" distR="0" wp14:anchorId="3F1A7F22" wp14:editId="73348F8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3B6D7" id="Text Box 9" o:spid="_x0000_s1032" type="#_x0000_t202" style="position:absolute;left:0;text-align:left;margin-left:89.7pt;margin-top:106.5pt;width:322.55pt;height:44.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" fillcolor="white [3201]" stroked="f" strokeweight=".5pt">
                <v:textbox>
                  <w:txbxContent>
                    <w:p w14:paraId="7FFF264F" w14:textId="7460C2B5" w:rsidR="00824850" w:rsidRPr="00D72DC6" w:rsidRDefault="00824850" w:rsidP="00F02AD1">
                      <w:pPr>
                        <w:rPr>
                          <w:color w:val="FFFFFF" w:themeColor="background1"/>
                          <w14:textFill>
                            <w14:noFill/>
                          </w14:textFill>
                        </w:rPr>
                      </w:pPr>
                      <w:r>
                        <w:rPr>
                          <w:noProof/>
                          <w:color w:val="FFFFFF" w:themeColor="background1"/>
                        </w:rPr>
                        <w:drawing>
                          <wp:inline distT="0" distB="0" distL="0" distR="0" wp14:anchorId="3F1A7F22" wp14:editId="73348F8D">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p>
    <w:p w14:paraId="7B9BDE60" w14:textId="77777777" w:rsidR="0070697F" w:rsidRPr="00BF20FA" w:rsidRDefault="0070697F" w:rsidP="00220D37">
      <w:pPr>
        <w:tabs>
          <w:tab w:val="center" w:pos="5400"/>
        </w:tabs>
        <w:suppressAutoHyphens/>
        <w:rPr>
          <w:rFonts w:asciiTheme="majorHAnsi" w:hAnsiTheme="majorHAnsi"/>
          <w:b/>
          <w:sz w:val="20"/>
          <w:szCs w:val="20"/>
          <w:lang w:val="es-ES_tradnl"/>
        </w:rPr>
        <w:sectPr w:rsidR="0070697F" w:rsidRPr="00BF20FA" w:rsidSect="00B56197">
          <w:headerReference w:type="even" r:id="rId10"/>
          <w:headerReference w:type="default" r:id="rId11"/>
          <w:footerReference w:type="default" r:id="rId12"/>
          <w:footerReference w:type="first" r:id="rId13"/>
          <w:type w:val="oddPage"/>
          <w:pgSz w:w="12240" w:h="15840" w:code="1"/>
          <w:pgMar w:top="1440" w:right="1440" w:bottom="1440" w:left="1440" w:header="720" w:footer="720" w:gutter="0"/>
          <w:pgNumType w:start="0"/>
          <w:cols w:space="720"/>
          <w:titlePg/>
          <w:docGrid w:linePitch="326"/>
        </w:sectPr>
      </w:pPr>
    </w:p>
    <w:p w14:paraId="5C533DAF" w14:textId="77777777" w:rsidR="00E040BA" w:rsidRPr="00BF20FA" w:rsidRDefault="00E040BA">
      <w:pPr>
        <w:rPr>
          <w:rFonts w:asciiTheme="majorHAnsi" w:hAnsiTheme="majorHAnsi"/>
          <w:b/>
          <w:sz w:val="20"/>
          <w:szCs w:val="20"/>
          <w:lang w:val="es-ES_tradnl"/>
        </w:rPr>
      </w:pPr>
      <w:r w:rsidRPr="00BF20FA">
        <w:rPr>
          <w:rFonts w:asciiTheme="majorHAnsi" w:hAnsiTheme="majorHAnsi"/>
          <w:b/>
          <w:sz w:val="20"/>
          <w:szCs w:val="20"/>
          <w:lang w:val="es-ES_tradnl"/>
        </w:rPr>
        <w:lastRenderedPageBreak/>
        <w:tab/>
      </w:r>
      <w:r w:rsidRPr="00BF20FA">
        <w:rPr>
          <w:rFonts w:asciiTheme="majorHAnsi" w:hAnsiTheme="majorHAnsi"/>
          <w:b/>
          <w:sz w:val="20"/>
          <w:szCs w:val="20"/>
          <w:lang w:val="es-ES_tradnl"/>
        </w:rPr>
        <w:tab/>
      </w:r>
      <w:r w:rsidRPr="00BF20FA">
        <w:rPr>
          <w:rFonts w:asciiTheme="majorHAnsi" w:hAnsiTheme="majorHAnsi"/>
          <w:b/>
          <w:sz w:val="20"/>
          <w:szCs w:val="20"/>
          <w:lang w:val="es-ES_tradnl"/>
        </w:rPr>
        <w:tab/>
      </w:r>
      <w:r w:rsidRPr="00F533E0">
        <w:rPr>
          <w:rFonts w:asciiTheme="majorHAnsi" w:hAnsiTheme="majorHAnsi"/>
          <w:b/>
          <w:szCs w:val="20"/>
          <w:lang w:val="es-ES_tradnl"/>
        </w:rPr>
        <w:t xml:space="preserve">ÍNDICE </w:t>
      </w:r>
    </w:p>
    <w:p w14:paraId="10C9A4F8" w14:textId="007257B1" w:rsidR="00E040BA" w:rsidRPr="00BF20FA" w:rsidRDefault="00E040BA" w:rsidP="00F533E0">
      <w:pPr>
        <w:tabs>
          <w:tab w:val="left" w:pos="720"/>
        </w:tabs>
        <w:rPr>
          <w:noProof/>
          <w:sz w:val="20"/>
          <w:szCs w:val="20"/>
        </w:rPr>
      </w:pPr>
      <w:r w:rsidRPr="00BF20FA">
        <w:rPr>
          <w:rFonts w:asciiTheme="majorHAnsi" w:hAnsiTheme="majorHAnsi"/>
          <w:b/>
          <w:sz w:val="20"/>
          <w:szCs w:val="20"/>
          <w:lang w:val="es-ES_tradnl"/>
        </w:rPr>
        <w:fldChar w:fldCharType="begin"/>
      </w:r>
      <w:r w:rsidRPr="00BF20FA">
        <w:rPr>
          <w:rFonts w:asciiTheme="majorHAnsi" w:hAnsiTheme="majorHAnsi"/>
          <w:b/>
          <w:sz w:val="20"/>
          <w:szCs w:val="20"/>
          <w:lang w:val="es-ES_tradnl"/>
        </w:rPr>
        <w:instrText xml:space="preserve"> TOC \o "1-3" \h \z \u </w:instrText>
      </w:r>
      <w:r w:rsidRPr="00BF20FA">
        <w:rPr>
          <w:rFonts w:asciiTheme="majorHAnsi" w:hAnsiTheme="majorHAnsi"/>
          <w:b/>
          <w:sz w:val="20"/>
          <w:szCs w:val="20"/>
          <w:lang w:val="es-ES_tradnl"/>
        </w:rPr>
        <w:fldChar w:fldCharType="separate"/>
      </w:r>
    </w:p>
    <w:p w14:paraId="22CA7D90" w14:textId="472834C8" w:rsidR="00E040BA" w:rsidRPr="00BF20FA" w:rsidRDefault="00C8225E" w:rsidP="00F533E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7221552" w:history="1">
        <w:r w:rsidR="00E040BA" w:rsidRPr="00BF20FA">
          <w:rPr>
            <w:rStyle w:val="Hyperlink"/>
            <w:rFonts w:asciiTheme="majorHAnsi" w:hAnsiTheme="majorHAnsi"/>
            <w:noProof/>
            <w:sz w:val="20"/>
            <w:szCs w:val="20"/>
            <w:lang w:val="es-ES_tradnl"/>
          </w:rPr>
          <w:t>I.</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INTRODUCCI</w:t>
        </w:r>
        <w:r w:rsidR="00E040BA" w:rsidRPr="00BF20FA">
          <w:rPr>
            <w:rStyle w:val="Hyperlink"/>
            <w:rFonts w:asciiTheme="majorHAnsi" w:hAnsiTheme="majorHAnsi"/>
            <w:noProof/>
            <w:sz w:val="20"/>
            <w:szCs w:val="20"/>
            <w:lang w:val="es-CO"/>
          </w:rPr>
          <w:t>ÓN</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_Toc17221552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w:t>
        </w:r>
        <w:r w:rsidR="00E040BA" w:rsidRPr="00BF20FA">
          <w:rPr>
            <w:rFonts w:asciiTheme="majorHAnsi" w:hAnsiTheme="majorHAnsi"/>
            <w:noProof/>
            <w:webHidden/>
            <w:sz w:val="20"/>
            <w:szCs w:val="20"/>
          </w:rPr>
          <w:fldChar w:fldCharType="end"/>
        </w:r>
      </w:hyperlink>
    </w:p>
    <w:p w14:paraId="4D3FC205" w14:textId="23FB39E1" w:rsidR="00E040BA" w:rsidRPr="00BF20FA" w:rsidRDefault="00C8225E" w:rsidP="00F533E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7221553" w:history="1">
        <w:r w:rsidR="00E040BA" w:rsidRPr="00BF20FA">
          <w:rPr>
            <w:rStyle w:val="Hyperlink"/>
            <w:rFonts w:asciiTheme="majorHAnsi" w:hAnsiTheme="majorHAnsi"/>
            <w:noProof/>
            <w:sz w:val="20"/>
            <w:szCs w:val="20"/>
            <w:lang w:val="es-ES_tradnl"/>
          </w:rPr>
          <w:t>II.</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ALEGATOS DE LAS PARTES</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_Toc17221553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w:t>
        </w:r>
        <w:r w:rsidR="00E040BA" w:rsidRPr="00BF20FA">
          <w:rPr>
            <w:rFonts w:asciiTheme="majorHAnsi" w:hAnsiTheme="majorHAnsi"/>
            <w:noProof/>
            <w:webHidden/>
            <w:sz w:val="20"/>
            <w:szCs w:val="20"/>
          </w:rPr>
          <w:fldChar w:fldCharType="end"/>
        </w:r>
      </w:hyperlink>
    </w:p>
    <w:p w14:paraId="22032950" w14:textId="1F67ECCF"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54" w:history="1">
        <w:r w:rsidR="00E040BA" w:rsidRPr="00BF20FA">
          <w:rPr>
            <w:rStyle w:val="Hyperlink"/>
            <w:rFonts w:asciiTheme="majorHAnsi" w:hAnsiTheme="majorHAnsi"/>
            <w:noProof/>
            <w:sz w:val="20"/>
            <w:szCs w:val="20"/>
            <w:lang w:val="es-ES_tradnl"/>
          </w:rPr>
          <w:t>A.</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Parte peticionaria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_Toc17221554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w:t>
        </w:r>
        <w:r w:rsidR="00E040BA" w:rsidRPr="00BF20FA">
          <w:rPr>
            <w:rFonts w:asciiTheme="majorHAnsi" w:hAnsiTheme="majorHAnsi"/>
            <w:noProof/>
            <w:webHidden/>
            <w:sz w:val="20"/>
            <w:szCs w:val="20"/>
          </w:rPr>
          <w:fldChar w:fldCharType="end"/>
        </w:r>
      </w:hyperlink>
    </w:p>
    <w:p w14:paraId="6E54A053" w14:textId="70C4B922"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55" w:history="1">
        <w:r w:rsidR="00E040BA" w:rsidRPr="00BF20FA">
          <w:rPr>
            <w:rStyle w:val="Hyperlink"/>
            <w:rFonts w:asciiTheme="majorHAnsi" w:hAnsiTheme="majorHAnsi"/>
            <w:noProof/>
            <w:sz w:val="20"/>
            <w:szCs w:val="20"/>
            <w:lang w:val="es-ES_tradnl"/>
          </w:rPr>
          <w:t>B.</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Estado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_Toc17221555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4</w:t>
        </w:r>
        <w:r w:rsidR="00E040BA" w:rsidRPr="00BF20FA">
          <w:rPr>
            <w:rFonts w:asciiTheme="majorHAnsi" w:hAnsiTheme="majorHAnsi"/>
            <w:noProof/>
            <w:webHidden/>
            <w:sz w:val="20"/>
            <w:szCs w:val="20"/>
          </w:rPr>
          <w:fldChar w:fldCharType="end"/>
        </w:r>
      </w:hyperlink>
    </w:p>
    <w:p w14:paraId="3F978E2F" w14:textId="6C1BABAE" w:rsidR="00E040BA" w:rsidRPr="00BF20FA" w:rsidRDefault="00C8225E" w:rsidP="00F533E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7221556" w:history="1">
        <w:r w:rsidR="00E040BA" w:rsidRPr="00BF20FA">
          <w:rPr>
            <w:rStyle w:val="Hyperlink"/>
            <w:rFonts w:asciiTheme="majorHAnsi" w:hAnsiTheme="majorHAnsi"/>
            <w:noProof/>
            <w:sz w:val="20"/>
            <w:szCs w:val="20"/>
            <w:lang w:val="es-ES_tradnl"/>
          </w:rPr>
          <w:t>III.</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DETERMINACIONES DE HECHO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_Toc17221556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5</w:t>
        </w:r>
        <w:r w:rsidR="00E040BA" w:rsidRPr="00BF20FA">
          <w:rPr>
            <w:rFonts w:asciiTheme="majorHAnsi" w:hAnsiTheme="majorHAnsi"/>
            <w:noProof/>
            <w:webHidden/>
            <w:sz w:val="20"/>
            <w:szCs w:val="20"/>
          </w:rPr>
          <w:fldChar w:fldCharType="end"/>
        </w:r>
      </w:hyperlink>
    </w:p>
    <w:p w14:paraId="3436687B" w14:textId="24A3B1AD"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57" w:history="1">
        <w:r w:rsidR="00E040BA" w:rsidRPr="00BF20FA">
          <w:rPr>
            <w:rStyle w:val="Hyperlink"/>
            <w:rFonts w:asciiTheme="majorHAnsi" w:hAnsiTheme="majorHAnsi"/>
            <w:noProof/>
            <w:sz w:val="20"/>
            <w:szCs w:val="20"/>
            <w:lang w:val="es-ES_tradnl"/>
          </w:rPr>
          <w:t>A.</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Contexto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_Toc17221557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5</w:t>
        </w:r>
        <w:r w:rsidR="00E040BA" w:rsidRPr="00BF20FA">
          <w:rPr>
            <w:rFonts w:asciiTheme="majorHAnsi" w:hAnsiTheme="majorHAnsi"/>
            <w:noProof/>
            <w:webHidden/>
            <w:sz w:val="20"/>
            <w:szCs w:val="20"/>
          </w:rPr>
          <w:fldChar w:fldCharType="end"/>
        </w:r>
      </w:hyperlink>
    </w:p>
    <w:p w14:paraId="2653147F" w14:textId="61145AD3"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58" w:history="1">
        <w:r w:rsidR="00E040BA" w:rsidRPr="00BF20FA">
          <w:rPr>
            <w:rStyle w:val="Hyperlink"/>
            <w:rFonts w:asciiTheme="majorHAnsi" w:hAnsiTheme="majorHAnsi"/>
            <w:noProof/>
            <w:sz w:val="20"/>
            <w:szCs w:val="20"/>
            <w:lang w:val="es-ES_tradnl"/>
          </w:rPr>
          <w:t>B.</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Generalidades del Pueblo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_Toc17221558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6</w:t>
        </w:r>
        <w:r w:rsidR="00E040BA" w:rsidRPr="00BF20FA">
          <w:rPr>
            <w:rFonts w:asciiTheme="majorHAnsi" w:hAnsiTheme="majorHAnsi"/>
            <w:noProof/>
            <w:webHidden/>
            <w:sz w:val="20"/>
            <w:szCs w:val="20"/>
          </w:rPr>
          <w:fldChar w:fldCharType="end"/>
        </w:r>
      </w:hyperlink>
    </w:p>
    <w:p w14:paraId="5C460F7F" w14:textId="7972B638"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59" w:history="1">
        <w:r w:rsidR="00E040BA" w:rsidRPr="00BF20FA">
          <w:rPr>
            <w:rStyle w:val="Hyperlink"/>
            <w:rFonts w:asciiTheme="majorHAnsi" w:hAnsiTheme="majorHAnsi"/>
            <w:noProof/>
            <w:sz w:val="20"/>
            <w:szCs w:val="20"/>
            <w:lang w:val="es-ES_tradnl"/>
          </w:rPr>
          <w:t>C.</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Hechos del caso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_Toc17221559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7</w:t>
        </w:r>
        <w:r w:rsidR="00E040BA" w:rsidRPr="00BF20FA">
          <w:rPr>
            <w:rFonts w:asciiTheme="majorHAnsi" w:hAnsiTheme="majorHAnsi"/>
            <w:noProof/>
            <w:webHidden/>
            <w:sz w:val="20"/>
            <w:szCs w:val="20"/>
          </w:rPr>
          <w:fldChar w:fldCharType="end"/>
        </w:r>
      </w:hyperlink>
    </w:p>
    <w:p w14:paraId="06CD604B" w14:textId="72119EEB"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0" w:history="1">
        <w:r w:rsidR="00E040BA" w:rsidRPr="00BF20FA">
          <w:rPr>
            <w:rStyle w:val="Hyperlink"/>
            <w:rFonts w:asciiTheme="majorHAnsi" w:hAnsiTheme="majorHAnsi"/>
            <w:noProof/>
            <w:sz w:val="20"/>
            <w:szCs w:val="20"/>
            <w:lang w:val="es-ES_tradnl"/>
          </w:rPr>
          <w:t>1.</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Ampliación, saneamiento y titulación del territorio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_Toc17221560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7</w:t>
        </w:r>
        <w:r w:rsidR="00E040BA" w:rsidRPr="00BF20FA">
          <w:rPr>
            <w:rFonts w:asciiTheme="majorHAnsi" w:hAnsiTheme="majorHAnsi"/>
            <w:noProof/>
            <w:webHidden/>
            <w:sz w:val="20"/>
            <w:szCs w:val="20"/>
          </w:rPr>
          <w:fldChar w:fldCharType="end"/>
        </w:r>
      </w:hyperlink>
    </w:p>
    <w:p w14:paraId="0FF3D8F8" w14:textId="13A5AC42"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1" w:history="1">
        <w:r w:rsidR="00E040BA" w:rsidRPr="00BF20FA">
          <w:rPr>
            <w:rStyle w:val="Hyperlink"/>
            <w:rFonts w:asciiTheme="majorHAnsi" w:hAnsiTheme="majorHAnsi"/>
            <w:noProof/>
            <w:sz w:val="20"/>
            <w:szCs w:val="20"/>
            <w:lang w:val="es-ES_tradnl"/>
          </w:rPr>
          <w:t>2.</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Bloque exploratorio Samoré</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_Toc17221561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9</w:t>
        </w:r>
        <w:r w:rsidR="00E040BA" w:rsidRPr="00BF20FA">
          <w:rPr>
            <w:rFonts w:asciiTheme="majorHAnsi" w:hAnsiTheme="majorHAnsi"/>
            <w:noProof/>
            <w:webHidden/>
            <w:sz w:val="20"/>
            <w:szCs w:val="20"/>
          </w:rPr>
          <w:fldChar w:fldCharType="end"/>
        </w:r>
      </w:hyperlink>
    </w:p>
    <w:p w14:paraId="18D74CA8" w14:textId="5F51295A"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2" w:history="1">
        <w:r w:rsidR="00E040BA" w:rsidRPr="00BF20FA">
          <w:rPr>
            <w:rStyle w:val="Hyperlink"/>
            <w:rFonts w:asciiTheme="majorHAnsi" w:hAnsiTheme="majorHAnsi"/>
            <w:noProof/>
            <w:sz w:val="20"/>
            <w:szCs w:val="20"/>
            <w:lang w:val="es-ES_tradnl"/>
          </w:rPr>
          <w:t>3.</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Bloques Sirirí y Catleya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_Toc17221562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12</w:t>
        </w:r>
        <w:r w:rsidR="00E040BA" w:rsidRPr="00BF20FA">
          <w:rPr>
            <w:rFonts w:asciiTheme="majorHAnsi" w:hAnsiTheme="majorHAnsi"/>
            <w:noProof/>
            <w:webHidden/>
            <w:sz w:val="20"/>
            <w:szCs w:val="20"/>
          </w:rPr>
          <w:fldChar w:fldCharType="end"/>
        </w:r>
      </w:hyperlink>
    </w:p>
    <w:p w14:paraId="16A4831B" w14:textId="3840883D"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3" w:history="1">
        <w:r w:rsidR="00E040BA" w:rsidRPr="00BF20FA">
          <w:rPr>
            <w:rStyle w:val="Hyperlink"/>
            <w:rFonts w:asciiTheme="majorHAnsi" w:hAnsiTheme="majorHAnsi"/>
            <w:noProof/>
            <w:sz w:val="20"/>
            <w:szCs w:val="20"/>
            <w:lang w:val="es-ES_tradnl"/>
          </w:rPr>
          <w:t>4.</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Campo de gas Gibraltar</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_Toc17221563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13</w:t>
        </w:r>
        <w:r w:rsidR="00E040BA" w:rsidRPr="00BF20FA">
          <w:rPr>
            <w:rFonts w:asciiTheme="majorHAnsi" w:hAnsiTheme="majorHAnsi"/>
            <w:noProof/>
            <w:webHidden/>
            <w:sz w:val="20"/>
            <w:szCs w:val="20"/>
          </w:rPr>
          <w:fldChar w:fldCharType="end"/>
        </w:r>
      </w:hyperlink>
    </w:p>
    <w:p w14:paraId="40464D85" w14:textId="7E326FC3"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4" w:history="1">
        <w:r w:rsidR="00E040BA" w:rsidRPr="00BF20FA">
          <w:rPr>
            <w:rStyle w:val="Hyperlink"/>
            <w:rFonts w:asciiTheme="majorHAnsi" w:hAnsiTheme="majorHAnsi"/>
            <w:noProof/>
            <w:sz w:val="20"/>
            <w:szCs w:val="20"/>
            <w:lang w:val="es-ES_tradnl"/>
          </w:rPr>
          <w:t>5.</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Oleoducto Caño Limón – Coveñas</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_Toc17221564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14</w:t>
        </w:r>
        <w:r w:rsidR="00E040BA" w:rsidRPr="00BF20FA">
          <w:rPr>
            <w:rFonts w:asciiTheme="majorHAnsi" w:hAnsiTheme="majorHAnsi"/>
            <w:noProof/>
            <w:webHidden/>
            <w:sz w:val="20"/>
            <w:szCs w:val="20"/>
          </w:rPr>
          <w:fldChar w:fldCharType="end"/>
        </w:r>
      </w:hyperlink>
    </w:p>
    <w:p w14:paraId="6418AF52" w14:textId="5F1CC28A"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5" w:history="1">
        <w:r w:rsidR="00E040BA" w:rsidRPr="00BF20FA">
          <w:rPr>
            <w:rStyle w:val="Hyperlink"/>
            <w:rFonts w:asciiTheme="majorHAnsi" w:hAnsiTheme="majorHAnsi"/>
            <w:noProof/>
            <w:sz w:val="20"/>
            <w:szCs w:val="20"/>
            <w:lang w:val="es-ES_tradnl"/>
          </w:rPr>
          <w:t>6.</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Área de perforación exploratoria Magallanes</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_Toc17221565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15</w:t>
        </w:r>
        <w:r w:rsidR="00E040BA" w:rsidRPr="00BF20FA">
          <w:rPr>
            <w:rFonts w:asciiTheme="majorHAnsi" w:hAnsiTheme="majorHAnsi"/>
            <w:noProof/>
            <w:webHidden/>
            <w:sz w:val="20"/>
            <w:szCs w:val="20"/>
          </w:rPr>
          <w:fldChar w:fldCharType="end"/>
        </w:r>
      </w:hyperlink>
    </w:p>
    <w:p w14:paraId="220ACBFC" w14:textId="1932685F"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6" w:history="1">
        <w:r w:rsidR="00E040BA" w:rsidRPr="00BF20FA">
          <w:rPr>
            <w:rStyle w:val="Hyperlink"/>
            <w:rFonts w:asciiTheme="majorHAnsi" w:hAnsiTheme="majorHAnsi"/>
            <w:noProof/>
            <w:sz w:val="20"/>
            <w:szCs w:val="20"/>
            <w:lang w:val="es-ES_tradnl"/>
          </w:rPr>
          <w:t>7.</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Zona de traslape con el Parque Nacional Natural “El Cocuy”</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_Toc17221566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16</w:t>
        </w:r>
        <w:r w:rsidR="00E040BA" w:rsidRPr="00BF20FA">
          <w:rPr>
            <w:rFonts w:asciiTheme="majorHAnsi" w:hAnsiTheme="majorHAnsi"/>
            <w:noProof/>
            <w:webHidden/>
            <w:sz w:val="20"/>
            <w:szCs w:val="20"/>
          </w:rPr>
          <w:fldChar w:fldCharType="end"/>
        </w:r>
      </w:hyperlink>
    </w:p>
    <w:p w14:paraId="13404B4E" w14:textId="0B4FB0E5"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7" w:history="1">
        <w:r w:rsidR="00E040BA" w:rsidRPr="00BF20FA">
          <w:rPr>
            <w:rStyle w:val="Hyperlink"/>
            <w:rFonts w:asciiTheme="majorHAnsi" w:hAnsiTheme="majorHAnsi"/>
            <w:noProof/>
            <w:sz w:val="20"/>
            <w:szCs w:val="20"/>
            <w:lang w:val="es-ES_tradnl"/>
          </w:rPr>
          <w:t>8.</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Títulos mineros en territorio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_Toc17221567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16</w:t>
        </w:r>
        <w:r w:rsidR="00E040BA" w:rsidRPr="00BF20FA">
          <w:rPr>
            <w:rFonts w:asciiTheme="majorHAnsi" w:hAnsiTheme="majorHAnsi"/>
            <w:noProof/>
            <w:webHidden/>
            <w:sz w:val="20"/>
            <w:szCs w:val="20"/>
          </w:rPr>
          <w:fldChar w:fldCharType="end"/>
        </w:r>
      </w:hyperlink>
    </w:p>
    <w:p w14:paraId="2495B120" w14:textId="7DD54476"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8" w:history="1">
        <w:r w:rsidR="00E040BA" w:rsidRPr="00BF20FA">
          <w:rPr>
            <w:rStyle w:val="Hyperlink"/>
            <w:rFonts w:asciiTheme="majorHAnsi" w:hAnsiTheme="majorHAnsi"/>
            <w:noProof/>
            <w:sz w:val="20"/>
            <w:szCs w:val="20"/>
            <w:lang w:val="es-ES_tradnl"/>
          </w:rPr>
          <w:t>9.</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Militarización y uso de la fuerza en territorio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_Toc17221568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17</w:t>
        </w:r>
        <w:r w:rsidR="00E040BA" w:rsidRPr="00BF20FA">
          <w:rPr>
            <w:rFonts w:asciiTheme="majorHAnsi" w:hAnsiTheme="majorHAnsi"/>
            <w:noProof/>
            <w:webHidden/>
            <w:sz w:val="20"/>
            <w:szCs w:val="20"/>
          </w:rPr>
          <w:fldChar w:fldCharType="end"/>
        </w:r>
      </w:hyperlink>
    </w:p>
    <w:p w14:paraId="1DB8DE89" w14:textId="7C7F962F"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69" w:history="1">
        <w:r w:rsidR="00E040BA" w:rsidRPr="00BF20FA">
          <w:rPr>
            <w:rStyle w:val="Hyperlink"/>
            <w:rFonts w:asciiTheme="majorHAnsi" w:hAnsiTheme="majorHAnsi"/>
            <w:noProof/>
            <w:sz w:val="20"/>
            <w:szCs w:val="20"/>
            <w:lang w:val="es-ES_tradnl"/>
          </w:rPr>
          <w:t>10.</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Secuestro, agresiones y asesinato de indigenistas estadounidenses</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_Toc17221569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19</w:t>
        </w:r>
        <w:r w:rsidR="00E040BA" w:rsidRPr="00BF20FA">
          <w:rPr>
            <w:rFonts w:asciiTheme="majorHAnsi" w:hAnsiTheme="majorHAnsi"/>
            <w:noProof/>
            <w:webHidden/>
            <w:sz w:val="20"/>
            <w:szCs w:val="20"/>
          </w:rPr>
          <w:fldChar w:fldCharType="end"/>
        </w:r>
      </w:hyperlink>
    </w:p>
    <w:p w14:paraId="583DF34D" w14:textId="44235A9D" w:rsidR="00E040BA" w:rsidRPr="00BF20FA" w:rsidRDefault="00C8225E" w:rsidP="00F533E0">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17221570" w:history="1">
        <w:r w:rsidR="00E040BA" w:rsidRPr="00BF20FA">
          <w:rPr>
            <w:rStyle w:val="Hyperlink"/>
            <w:rFonts w:asciiTheme="majorHAnsi" w:hAnsiTheme="majorHAnsi"/>
            <w:noProof/>
            <w:sz w:val="20"/>
            <w:szCs w:val="20"/>
            <w:lang w:val="es-ES_tradnl"/>
          </w:rPr>
          <w:t>IV.</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ANÁLISIS DE DERECHO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_Toc17221570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20</w:t>
        </w:r>
        <w:r w:rsidR="00E040BA" w:rsidRPr="00BF20FA">
          <w:rPr>
            <w:rFonts w:asciiTheme="majorHAnsi" w:hAnsiTheme="majorHAnsi"/>
            <w:noProof/>
            <w:webHidden/>
            <w:sz w:val="20"/>
            <w:szCs w:val="20"/>
          </w:rPr>
          <w:fldChar w:fldCharType="end"/>
        </w:r>
      </w:hyperlink>
    </w:p>
    <w:p w14:paraId="5BABC064" w14:textId="1BC21998"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71" w:history="1">
        <w:r w:rsidR="00E040BA" w:rsidRPr="00BF20FA">
          <w:rPr>
            <w:rStyle w:val="Hyperlink"/>
            <w:rFonts w:asciiTheme="majorHAnsi" w:hAnsiTheme="majorHAnsi"/>
            <w:noProof/>
            <w:sz w:val="20"/>
            <w:szCs w:val="20"/>
            <w:lang w:val="es-MX"/>
          </w:rPr>
          <w:t>A</w:t>
        </w:r>
        <w:r w:rsidR="00E040BA" w:rsidRPr="00BF20FA">
          <w:rPr>
            <w:rStyle w:val="Hyperlink"/>
            <w:rFonts w:asciiTheme="majorHAnsi" w:hAnsiTheme="majorHAnsi"/>
            <w:noProof/>
            <w:sz w:val="20"/>
            <w:szCs w:val="20"/>
            <w:lang w:val="es-ES_tradnl"/>
          </w:rPr>
          <w:t>.    Cuestión previa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_Toc17221571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20</w:t>
        </w:r>
        <w:r w:rsidR="00E040BA" w:rsidRPr="00BF20FA">
          <w:rPr>
            <w:rFonts w:asciiTheme="majorHAnsi" w:hAnsiTheme="majorHAnsi"/>
            <w:noProof/>
            <w:webHidden/>
            <w:sz w:val="20"/>
            <w:szCs w:val="20"/>
          </w:rPr>
          <w:fldChar w:fldCharType="end"/>
        </w:r>
      </w:hyperlink>
    </w:p>
    <w:p w14:paraId="670099FD" w14:textId="7C5A364E"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72" w:history="1">
        <w:r w:rsidR="00E040BA" w:rsidRPr="00BF20FA">
          <w:rPr>
            <w:rStyle w:val="Hyperlink"/>
            <w:rFonts w:asciiTheme="majorHAnsi" w:hAnsiTheme="majorHAnsi"/>
            <w:noProof/>
            <w:sz w:val="20"/>
            <w:szCs w:val="20"/>
            <w:lang w:val="es-ES_tradnl"/>
          </w:rPr>
          <w:t>B.  Derechos a la propiedad colectiva (artículo 21), al derecho de acceso a la información (artículo 13), derechos políticos (artículo 23) y derechos culturales (artículo 26) de la Convención Americana, en relación con los artículos 1.1 y 2 del mismo instrumento.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_Toc17221572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21</w:t>
        </w:r>
        <w:r w:rsidR="00E040BA" w:rsidRPr="00BF20FA">
          <w:rPr>
            <w:rFonts w:asciiTheme="majorHAnsi" w:hAnsiTheme="majorHAnsi"/>
            <w:noProof/>
            <w:webHidden/>
            <w:sz w:val="20"/>
            <w:szCs w:val="20"/>
          </w:rPr>
          <w:fldChar w:fldCharType="end"/>
        </w:r>
      </w:hyperlink>
    </w:p>
    <w:p w14:paraId="1D205AB3" w14:textId="2142A2D8"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73" w:history="1">
        <w:r w:rsidR="00E040BA" w:rsidRPr="00BF20FA">
          <w:rPr>
            <w:rStyle w:val="Hyperlink"/>
            <w:rFonts w:asciiTheme="majorHAnsi" w:hAnsiTheme="majorHAnsi"/>
            <w:noProof/>
            <w:sz w:val="20"/>
            <w:szCs w:val="20"/>
            <w:lang w:val="es-ES_tradnl"/>
          </w:rPr>
          <w:t>1.</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Los derechos territoriales de los pueblos indígenas en el Sistema Interamericano de Derechos Humanos</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_Toc17221573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21</w:t>
        </w:r>
        <w:r w:rsidR="00E040BA" w:rsidRPr="00BF20FA">
          <w:rPr>
            <w:rFonts w:asciiTheme="majorHAnsi" w:hAnsiTheme="majorHAnsi"/>
            <w:noProof/>
            <w:webHidden/>
            <w:sz w:val="20"/>
            <w:szCs w:val="20"/>
          </w:rPr>
          <w:fldChar w:fldCharType="end"/>
        </w:r>
      </w:hyperlink>
    </w:p>
    <w:p w14:paraId="7D444C0E" w14:textId="59DBBF3F"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74" w:history="1">
        <w:r w:rsidR="00E040BA" w:rsidRPr="00BF20FA">
          <w:rPr>
            <w:rStyle w:val="Hyperlink"/>
            <w:rFonts w:asciiTheme="majorHAnsi" w:hAnsiTheme="majorHAnsi"/>
            <w:noProof/>
            <w:sz w:val="20"/>
            <w:szCs w:val="20"/>
            <w:lang w:val="es-ES_tradnl"/>
          </w:rPr>
          <w:t>2.</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Análisis del derecho a la propiedad del Pueblo U´wa respecto de las obligaciones de titulación y saneamiento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_Toc17221574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23</w:t>
        </w:r>
        <w:r w:rsidR="00E040BA" w:rsidRPr="00BF20FA">
          <w:rPr>
            <w:rFonts w:asciiTheme="majorHAnsi" w:hAnsiTheme="majorHAnsi"/>
            <w:noProof/>
            <w:webHidden/>
            <w:sz w:val="20"/>
            <w:szCs w:val="20"/>
          </w:rPr>
          <w:fldChar w:fldCharType="end"/>
        </w:r>
      </w:hyperlink>
    </w:p>
    <w:p w14:paraId="4026BCC8" w14:textId="0D4D98C9"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75" w:history="1">
        <w:r w:rsidR="00E040BA" w:rsidRPr="00BF20FA">
          <w:rPr>
            <w:rStyle w:val="Hyperlink"/>
            <w:rFonts w:asciiTheme="majorHAnsi" w:hAnsiTheme="majorHAnsi"/>
            <w:noProof/>
            <w:sz w:val="20"/>
            <w:szCs w:val="20"/>
            <w:lang w:val="es-ES_tradnl"/>
          </w:rPr>
          <w:t>3.</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Derecho a la consulta previa, libre e informada, así como a la obtención del consentimiento del Pueblo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_Toc17221575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25</w:t>
        </w:r>
        <w:r w:rsidR="00E040BA" w:rsidRPr="00BF20FA">
          <w:rPr>
            <w:rFonts w:asciiTheme="majorHAnsi" w:hAnsiTheme="majorHAnsi"/>
            <w:noProof/>
            <w:webHidden/>
            <w:sz w:val="20"/>
            <w:szCs w:val="20"/>
          </w:rPr>
          <w:fldChar w:fldCharType="end"/>
        </w:r>
      </w:hyperlink>
    </w:p>
    <w:p w14:paraId="29251CB3" w14:textId="7ACA3B9A"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76" w:history="1">
        <w:r w:rsidR="00E040BA" w:rsidRPr="00BF20FA">
          <w:rPr>
            <w:rStyle w:val="Hyperlink"/>
            <w:rFonts w:asciiTheme="majorHAnsi" w:hAnsiTheme="majorHAnsi"/>
            <w:noProof/>
            <w:sz w:val="20"/>
            <w:szCs w:val="20"/>
            <w:lang w:val="es-ES_tradnl"/>
          </w:rPr>
          <w:t>4.</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Derechos culturales del Pueblo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_Toc17221576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28</w:t>
        </w:r>
        <w:r w:rsidR="00E040BA" w:rsidRPr="00BF20FA">
          <w:rPr>
            <w:rFonts w:asciiTheme="majorHAnsi" w:hAnsiTheme="majorHAnsi"/>
            <w:noProof/>
            <w:webHidden/>
            <w:sz w:val="20"/>
            <w:szCs w:val="20"/>
          </w:rPr>
          <w:fldChar w:fldCharType="end"/>
        </w:r>
      </w:hyperlink>
    </w:p>
    <w:p w14:paraId="0FCAC2EA" w14:textId="0EE18A85"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77" w:history="1">
        <w:r w:rsidR="00E040BA" w:rsidRPr="00BF20FA">
          <w:rPr>
            <w:rStyle w:val="Hyperlink"/>
            <w:rFonts w:asciiTheme="majorHAnsi" w:hAnsiTheme="majorHAnsi"/>
            <w:noProof/>
            <w:sz w:val="20"/>
            <w:szCs w:val="20"/>
            <w:lang w:val="es-ES_tradnl"/>
          </w:rPr>
          <w:t>5.</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Derechos culturales del Pueblo U´wa</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_Toc17221577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29</w:t>
        </w:r>
        <w:r w:rsidR="00E040BA" w:rsidRPr="00BF20FA">
          <w:rPr>
            <w:rFonts w:asciiTheme="majorHAnsi" w:hAnsiTheme="majorHAnsi"/>
            <w:noProof/>
            <w:webHidden/>
            <w:sz w:val="20"/>
            <w:szCs w:val="20"/>
          </w:rPr>
          <w:fldChar w:fldCharType="end"/>
        </w:r>
      </w:hyperlink>
    </w:p>
    <w:p w14:paraId="70A45436" w14:textId="7505BE60" w:rsidR="00E040BA" w:rsidRPr="00BF20FA" w:rsidRDefault="00C8225E" w:rsidP="00F533E0">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17221578" w:history="1">
        <w:r w:rsidR="00E040BA" w:rsidRPr="00BF20FA">
          <w:rPr>
            <w:rStyle w:val="Hyperlink"/>
            <w:rFonts w:asciiTheme="majorHAnsi" w:hAnsiTheme="majorHAnsi"/>
            <w:noProof/>
            <w:sz w:val="20"/>
            <w:szCs w:val="20"/>
            <w:lang w:val="es-ES_tradnl"/>
          </w:rPr>
          <w:t>6.</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Conclusión</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_Toc17221578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32</w:t>
        </w:r>
        <w:r w:rsidR="00E040BA" w:rsidRPr="00BF20FA">
          <w:rPr>
            <w:rFonts w:asciiTheme="majorHAnsi" w:hAnsiTheme="majorHAnsi"/>
            <w:noProof/>
            <w:webHidden/>
            <w:sz w:val="20"/>
            <w:szCs w:val="20"/>
          </w:rPr>
          <w:fldChar w:fldCharType="end"/>
        </w:r>
      </w:hyperlink>
    </w:p>
    <w:p w14:paraId="6B3F8736" w14:textId="613E66E5" w:rsidR="00E040BA" w:rsidRPr="00BF20FA" w:rsidRDefault="00C8225E" w:rsidP="00F533E0">
      <w:pPr>
        <w:pStyle w:val="TOC2"/>
        <w:tabs>
          <w:tab w:val="left" w:pos="720"/>
        </w:tabs>
        <w:rPr>
          <w:rFonts w:asciiTheme="majorHAnsi" w:eastAsiaTheme="minorEastAsia" w:hAnsiTheme="majorHAnsi" w:cstheme="minorBidi"/>
          <w:noProof/>
          <w:sz w:val="20"/>
          <w:szCs w:val="20"/>
          <w:bdr w:val="none" w:sz="0" w:space="0" w:color="auto"/>
        </w:rPr>
      </w:pPr>
      <w:hyperlink w:anchor="_Toc17221579" w:history="1">
        <w:r w:rsidR="00E040BA" w:rsidRPr="00BF20FA">
          <w:rPr>
            <w:rStyle w:val="Hyperlink"/>
            <w:rFonts w:asciiTheme="majorHAnsi" w:hAnsiTheme="majorHAnsi"/>
            <w:noProof/>
            <w:sz w:val="20"/>
            <w:szCs w:val="20"/>
            <w:lang w:val="es-ES_tradnl"/>
          </w:rPr>
          <w:t>C.   Artículo 8.1 y 25.1 de la Convención Americana, en relación con el artículo 1.1 del mismo instrumento</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_Toc17221579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32</w:t>
        </w:r>
        <w:r w:rsidR="00E040BA" w:rsidRPr="00BF20FA">
          <w:rPr>
            <w:rFonts w:asciiTheme="majorHAnsi" w:hAnsiTheme="majorHAnsi"/>
            <w:noProof/>
            <w:webHidden/>
            <w:sz w:val="20"/>
            <w:szCs w:val="20"/>
          </w:rPr>
          <w:fldChar w:fldCharType="end"/>
        </w:r>
      </w:hyperlink>
    </w:p>
    <w:p w14:paraId="7F331C86" w14:textId="0556C61C" w:rsidR="00E040BA" w:rsidRPr="00BF20FA" w:rsidRDefault="00C8225E" w:rsidP="00F533E0">
      <w:pPr>
        <w:pStyle w:val="TOC1"/>
        <w:tabs>
          <w:tab w:val="left" w:pos="720"/>
          <w:tab w:val="left" w:pos="1440"/>
          <w:tab w:val="right" w:leader="dot" w:pos="9350"/>
        </w:tabs>
        <w:rPr>
          <w:rFonts w:asciiTheme="majorHAnsi" w:eastAsiaTheme="minorEastAsia" w:hAnsiTheme="majorHAnsi" w:cstheme="minorBidi"/>
          <w:noProof/>
          <w:szCs w:val="22"/>
          <w:bdr w:val="none" w:sz="0" w:space="0" w:color="auto"/>
        </w:rPr>
      </w:pPr>
      <w:hyperlink w:anchor="_Toc17221580" w:history="1">
        <w:r w:rsidR="00E040BA" w:rsidRPr="00BF20FA">
          <w:rPr>
            <w:rStyle w:val="Hyperlink"/>
            <w:rFonts w:asciiTheme="majorHAnsi" w:hAnsiTheme="majorHAnsi"/>
            <w:noProof/>
            <w:sz w:val="20"/>
            <w:szCs w:val="20"/>
            <w:lang w:val="es-ES_tradnl"/>
          </w:rPr>
          <w:t>V.</w:t>
        </w:r>
        <w:r w:rsidR="00E040BA" w:rsidRPr="00BF20FA">
          <w:rPr>
            <w:rFonts w:asciiTheme="majorHAnsi" w:eastAsiaTheme="minorEastAsia" w:hAnsiTheme="majorHAnsi" w:cstheme="minorBidi"/>
            <w:noProof/>
            <w:sz w:val="20"/>
            <w:szCs w:val="20"/>
            <w:bdr w:val="none" w:sz="0" w:space="0" w:color="auto"/>
          </w:rPr>
          <w:tab/>
        </w:r>
        <w:r w:rsidR="00E040BA" w:rsidRPr="00BF20FA">
          <w:rPr>
            <w:rStyle w:val="Hyperlink"/>
            <w:rFonts w:asciiTheme="majorHAnsi" w:hAnsiTheme="majorHAnsi"/>
            <w:noProof/>
            <w:sz w:val="20"/>
            <w:szCs w:val="20"/>
            <w:lang w:val="es-ES_tradnl"/>
          </w:rPr>
          <w:t>CONCLUSIONES Y RECOMENDACIONES</w:t>
        </w:r>
        <w:r w:rsidR="00E040BA" w:rsidRPr="00BF20FA">
          <w:rPr>
            <w:rFonts w:asciiTheme="majorHAnsi" w:hAnsiTheme="majorHAnsi"/>
            <w:noProof/>
            <w:webHidden/>
            <w:sz w:val="20"/>
            <w:szCs w:val="20"/>
          </w:rPr>
          <w:tab/>
        </w:r>
        <w:r w:rsidR="00E040BA" w:rsidRPr="00BF20FA">
          <w:rPr>
            <w:rFonts w:asciiTheme="majorHAnsi" w:hAnsiTheme="majorHAnsi"/>
            <w:noProof/>
            <w:webHidden/>
            <w:sz w:val="20"/>
            <w:szCs w:val="20"/>
          </w:rPr>
          <w:fldChar w:fldCharType="begin"/>
        </w:r>
        <w:r w:rsidR="00E040BA" w:rsidRPr="00BF20FA">
          <w:rPr>
            <w:rFonts w:asciiTheme="majorHAnsi" w:hAnsiTheme="majorHAnsi"/>
            <w:noProof/>
            <w:webHidden/>
            <w:sz w:val="20"/>
            <w:szCs w:val="20"/>
          </w:rPr>
          <w:instrText xml:space="preserve"> PAGEREF _Toc17221580 \h </w:instrText>
        </w:r>
        <w:r w:rsidR="00E040BA" w:rsidRPr="00BF20FA">
          <w:rPr>
            <w:rFonts w:asciiTheme="majorHAnsi" w:hAnsiTheme="majorHAnsi"/>
            <w:noProof/>
            <w:webHidden/>
            <w:sz w:val="20"/>
            <w:szCs w:val="20"/>
          </w:rPr>
        </w:r>
        <w:r w:rsidR="00E040BA" w:rsidRPr="00BF20FA">
          <w:rPr>
            <w:rFonts w:asciiTheme="majorHAnsi" w:hAnsiTheme="majorHAnsi"/>
            <w:noProof/>
            <w:webHidden/>
            <w:sz w:val="20"/>
            <w:szCs w:val="20"/>
          </w:rPr>
          <w:fldChar w:fldCharType="separate"/>
        </w:r>
        <w:r>
          <w:rPr>
            <w:rFonts w:asciiTheme="majorHAnsi" w:hAnsiTheme="majorHAnsi"/>
            <w:noProof/>
            <w:webHidden/>
            <w:sz w:val="20"/>
            <w:szCs w:val="20"/>
          </w:rPr>
          <w:t>33</w:t>
        </w:r>
        <w:r w:rsidR="00E040BA" w:rsidRPr="00BF20FA">
          <w:rPr>
            <w:rFonts w:asciiTheme="majorHAnsi" w:hAnsiTheme="majorHAnsi"/>
            <w:noProof/>
            <w:webHidden/>
            <w:sz w:val="20"/>
            <w:szCs w:val="20"/>
          </w:rPr>
          <w:fldChar w:fldCharType="end"/>
        </w:r>
      </w:hyperlink>
    </w:p>
    <w:p w14:paraId="32E18010" w14:textId="7E6D05E9" w:rsidR="00E040BA" w:rsidRPr="00BF20FA" w:rsidRDefault="00E040BA" w:rsidP="00F533E0">
      <w:pPr>
        <w:tabs>
          <w:tab w:val="left" w:pos="720"/>
        </w:tabs>
        <w:rPr>
          <w:rFonts w:asciiTheme="majorHAnsi" w:hAnsiTheme="majorHAnsi"/>
          <w:b/>
          <w:sz w:val="20"/>
          <w:szCs w:val="20"/>
          <w:lang w:val="es-ES_tradnl"/>
        </w:rPr>
      </w:pPr>
      <w:r w:rsidRPr="00BF20FA">
        <w:rPr>
          <w:rFonts w:asciiTheme="majorHAnsi" w:hAnsiTheme="majorHAnsi"/>
          <w:b/>
          <w:sz w:val="20"/>
          <w:szCs w:val="20"/>
          <w:lang w:val="es-ES_tradnl"/>
        </w:rPr>
        <w:fldChar w:fldCharType="end"/>
      </w:r>
    </w:p>
    <w:p w14:paraId="3788A824" w14:textId="77777777" w:rsidR="00E040BA" w:rsidRPr="00BF20FA" w:rsidRDefault="00E040BA">
      <w:pPr>
        <w:rPr>
          <w:rFonts w:asciiTheme="majorHAnsi" w:hAnsiTheme="majorHAnsi"/>
          <w:b/>
          <w:sz w:val="20"/>
          <w:szCs w:val="20"/>
          <w:lang w:val="es-ES_tradnl"/>
        </w:rPr>
      </w:pPr>
      <w:r w:rsidRPr="00BF20FA">
        <w:rPr>
          <w:rFonts w:asciiTheme="majorHAnsi" w:hAnsiTheme="majorHAnsi"/>
          <w:b/>
          <w:sz w:val="20"/>
          <w:szCs w:val="20"/>
          <w:lang w:val="es-ES_tradnl"/>
        </w:rPr>
        <w:br w:type="page"/>
      </w:r>
    </w:p>
    <w:p w14:paraId="5F8EA56C" w14:textId="77777777" w:rsidR="007C6746" w:rsidRPr="00BF20FA" w:rsidRDefault="007C6746">
      <w:pPr>
        <w:rPr>
          <w:rFonts w:asciiTheme="majorHAnsi" w:eastAsia="Cambria" w:hAnsiTheme="majorHAnsi" w:cs="Cambria"/>
          <w:b/>
          <w:color w:val="000000"/>
          <w:sz w:val="20"/>
          <w:szCs w:val="20"/>
          <w:u w:color="000000"/>
          <w:lang w:val="es-ES_tradnl" w:eastAsia="es-ES"/>
        </w:rPr>
      </w:pPr>
    </w:p>
    <w:p w14:paraId="20C284EA" w14:textId="77777777" w:rsidR="007302B0" w:rsidRPr="00BF20FA" w:rsidRDefault="00794790" w:rsidP="008B00DC">
      <w:pPr>
        <w:pStyle w:val="Heading1"/>
        <w:spacing w:before="0"/>
        <w:ind w:left="360"/>
        <w:rPr>
          <w:color w:val="auto"/>
          <w:sz w:val="20"/>
          <w:szCs w:val="20"/>
          <w:lang w:val="es-ES_tradnl"/>
        </w:rPr>
      </w:pPr>
      <w:bookmarkStart w:id="2" w:name="_Toc17221552"/>
      <w:r w:rsidRPr="00BF20FA">
        <w:rPr>
          <w:color w:val="auto"/>
          <w:sz w:val="20"/>
          <w:szCs w:val="20"/>
          <w:lang w:val="es-ES_tradnl"/>
        </w:rPr>
        <w:t>INTRODUCCI</w:t>
      </w:r>
      <w:r w:rsidRPr="00BF20FA">
        <w:rPr>
          <w:color w:val="auto"/>
          <w:sz w:val="20"/>
          <w:szCs w:val="20"/>
          <w:lang w:val="es-CO"/>
        </w:rPr>
        <w:t>ÓN</w:t>
      </w:r>
      <w:bookmarkEnd w:id="2"/>
    </w:p>
    <w:p w14:paraId="6171B616" w14:textId="77777777" w:rsidR="007302B0" w:rsidRPr="00BF20FA" w:rsidRDefault="007302B0" w:rsidP="008B00DC">
      <w:pPr>
        <w:pStyle w:val="ListParagraph"/>
        <w:suppressAutoHyphens/>
        <w:ind w:left="1080"/>
        <w:rPr>
          <w:rFonts w:asciiTheme="majorHAnsi" w:hAnsiTheme="majorHAnsi"/>
          <w:b/>
          <w:sz w:val="20"/>
          <w:szCs w:val="20"/>
          <w:lang w:val="es-ES_tradnl"/>
        </w:rPr>
      </w:pPr>
    </w:p>
    <w:p w14:paraId="626342DB" w14:textId="77777777" w:rsidR="00285EC6" w:rsidRPr="00BF20FA" w:rsidRDefault="00285EC6"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 xml:space="preserve">El </w:t>
      </w:r>
      <w:r w:rsidR="00E020A9" w:rsidRPr="00BF20FA">
        <w:rPr>
          <w:rFonts w:asciiTheme="majorHAnsi" w:hAnsiTheme="majorHAnsi"/>
          <w:color w:val="000000" w:themeColor="text1"/>
          <w:sz w:val="20"/>
          <w:szCs w:val="20"/>
          <w:lang w:val="es-VE"/>
        </w:rPr>
        <w:t>28</w:t>
      </w:r>
      <w:r w:rsidRPr="00BF20FA">
        <w:rPr>
          <w:rFonts w:asciiTheme="majorHAnsi" w:hAnsiTheme="majorHAnsi"/>
          <w:color w:val="000000" w:themeColor="text1"/>
          <w:sz w:val="20"/>
          <w:szCs w:val="20"/>
          <w:lang w:val="es-VE"/>
        </w:rPr>
        <w:t xml:space="preserve"> de </w:t>
      </w:r>
      <w:r w:rsidR="00E020A9" w:rsidRPr="00BF20FA">
        <w:rPr>
          <w:rFonts w:asciiTheme="majorHAnsi" w:hAnsiTheme="majorHAnsi"/>
          <w:color w:val="000000" w:themeColor="text1"/>
          <w:sz w:val="20"/>
          <w:szCs w:val="20"/>
          <w:lang w:val="es-VE"/>
        </w:rPr>
        <w:t>abril</w:t>
      </w:r>
      <w:r w:rsidRPr="00BF20FA">
        <w:rPr>
          <w:rFonts w:asciiTheme="majorHAnsi" w:hAnsiTheme="majorHAnsi"/>
          <w:color w:val="000000" w:themeColor="text1"/>
          <w:sz w:val="20"/>
          <w:szCs w:val="20"/>
          <w:lang w:val="es-VE"/>
        </w:rPr>
        <w:t xml:space="preserve"> de </w:t>
      </w:r>
      <w:r w:rsidR="00E020A9" w:rsidRPr="00BF20FA">
        <w:rPr>
          <w:rFonts w:asciiTheme="majorHAnsi" w:hAnsiTheme="majorHAnsi"/>
          <w:color w:val="000000" w:themeColor="text1"/>
          <w:sz w:val="20"/>
          <w:szCs w:val="20"/>
          <w:lang w:val="es-VE"/>
        </w:rPr>
        <w:t>1998</w:t>
      </w:r>
      <w:r w:rsidRPr="00BF20FA">
        <w:rPr>
          <w:rFonts w:asciiTheme="majorHAnsi" w:hAnsiTheme="majorHAnsi"/>
          <w:color w:val="000000" w:themeColor="text1"/>
          <w:sz w:val="20"/>
          <w:szCs w:val="20"/>
          <w:lang w:val="es-VE"/>
        </w:rPr>
        <w:t xml:space="preserve"> la Comisión Interamericana de Derechos Humanos (en adelante “la Comisión Interamericana”, “la Comisión” o “la CIDH”) recibió una petición presentada por </w:t>
      </w:r>
      <w:r w:rsidR="00E020A9" w:rsidRPr="00BF20FA">
        <w:rPr>
          <w:rFonts w:asciiTheme="majorHAnsi" w:hAnsiTheme="majorHAnsi"/>
          <w:color w:val="000000" w:themeColor="text1"/>
          <w:sz w:val="20"/>
          <w:szCs w:val="20"/>
          <w:lang w:val="es-VE"/>
        </w:rPr>
        <w:t>la Asociación de Cabildos Mayores del Pueblo U’wa, la Organización Nacional Indígena de Colombia</w:t>
      </w:r>
      <w:r w:rsidR="002145ED" w:rsidRPr="00BF20FA">
        <w:rPr>
          <w:rFonts w:asciiTheme="majorHAnsi" w:hAnsiTheme="majorHAnsi"/>
          <w:color w:val="000000" w:themeColor="text1"/>
          <w:sz w:val="20"/>
          <w:szCs w:val="20"/>
          <w:lang w:val="es-VE"/>
        </w:rPr>
        <w:t xml:space="preserve"> (ONIC)</w:t>
      </w:r>
      <w:r w:rsidR="00E020A9" w:rsidRPr="00BF20FA">
        <w:rPr>
          <w:rFonts w:asciiTheme="majorHAnsi" w:hAnsiTheme="majorHAnsi"/>
          <w:color w:val="000000" w:themeColor="text1"/>
          <w:sz w:val="20"/>
          <w:szCs w:val="20"/>
          <w:lang w:val="es-VE"/>
        </w:rPr>
        <w:t xml:space="preserve"> y la Coalition for Amazonian People and</w:t>
      </w:r>
      <w:r w:rsidR="002145ED" w:rsidRPr="00BF20FA">
        <w:rPr>
          <w:rFonts w:asciiTheme="majorHAnsi" w:hAnsiTheme="majorHAnsi"/>
          <w:color w:val="000000" w:themeColor="text1"/>
          <w:sz w:val="20"/>
          <w:szCs w:val="20"/>
          <w:lang w:val="es-VE"/>
        </w:rPr>
        <w:t xml:space="preserve"> </w:t>
      </w:r>
      <w:r w:rsidR="00E020A9" w:rsidRPr="00BF20FA">
        <w:rPr>
          <w:rFonts w:asciiTheme="majorHAnsi" w:hAnsiTheme="majorHAnsi"/>
          <w:color w:val="000000" w:themeColor="text1"/>
          <w:sz w:val="20"/>
          <w:szCs w:val="20"/>
          <w:lang w:val="es-VE"/>
        </w:rPr>
        <w:t>The Environment</w:t>
      </w:r>
      <w:r w:rsidRPr="00BF20FA">
        <w:rPr>
          <w:rFonts w:asciiTheme="majorHAnsi" w:hAnsiTheme="majorHAnsi"/>
          <w:color w:val="000000" w:themeColor="text1"/>
          <w:sz w:val="20"/>
          <w:szCs w:val="20"/>
          <w:lang w:val="es-VE"/>
        </w:rPr>
        <w:t xml:space="preserve"> (en adelante “la parte peticionaria”)</w:t>
      </w:r>
      <w:r w:rsidRPr="00BF20FA">
        <w:rPr>
          <w:rStyle w:val="FootnoteReference"/>
          <w:rFonts w:asciiTheme="majorHAnsi" w:hAnsiTheme="majorHAnsi"/>
          <w:color w:val="000000" w:themeColor="text1"/>
          <w:sz w:val="20"/>
          <w:szCs w:val="20"/>
          <w:lang w:val="es-VE"/>
        </w:rPr>
        <w:footnoteReference w:id="2"/>
      </w:r>
      <w:r w:rsidRPr="00BF20FA">
        <w:rPr>
          <w:rFonts w:asciiTheme="majorHAnsi" w:hAnsiTheme="majorHAnsi"/>
          <w:color w:val="000000" w:themeColor="text1"/>
          <w:sz w:val="20"/>
          <w:szCs w:val="20"/>
          <w:lang w:val="es-VE"/>
        </w:rPr>
        <w:t xml:space="preserve"> en la cual se alega la responsabilidad internacional de </w:t>
      </w:r>
      <w:r w:rsidR="00E020A9" w:rsidRPr="00BF20FA">
        <w:rPr>
          <w:rFonts w:asciiTheme="majorHAnsi" w:hAnsiTheme="majorHAnsi"/>
          <w:color w:val="000000" w:themeColor="text1"/>
          <w:sz w:val="20"/>
          <w:szCs w:val="20"/>
          <w:lang w:val="es-VE"/>
        </w:rPr>
        <w:t>Colombia</w:t>
      </w:r>
      <w:r w:rsidRPr="00BF20FA">
        <w:rPr>
          <w:rFonts w:asciiTheme="majorHAnsi" w:hAnsiTheme="majorHAnsi"/>
          <w:color w:val="000000" w:themeColor="text1"/>
          <w:sz w:val="20"/>
          <w:szCs w:val="20"/>
          <w:lang w:val="es-VE"/>
        </w:rPr>
        <w:t xml:space="preserve"> (en adelante “el Estado </w:t>
      </w:r>
      <w:r w:rsidR="00B84DA0" w:rsidRPr="00BF20FA">
        <w:rPr>
          <w:rFonts w:asciiTheme="majorHAnsi" w:hAnsiTheme="majorHAnsi"/>
          <w:color w:val="000000" w:themeColor="text1"/>
          <w:sz w:val="20"/>
          <w:szCs w:val="20"/>
          <w:lang w:val="es-VE"/>
        </w:rPr>
        <w:t>colombiano</w:t>
      </w:r>
      <w:r w:rsidRPr="00BF20FA">
        <w:rPr>
          <w:rFonts w:asciiTheme="majorHAnsi" w:hAnsiTheme="majorHAnsi"/>
          <w:color w:val="000000" w:themeColor="text1"/>
          <w:sz w:val="20"/>
          <w:szCs w:val="20"/>
          <w:lang w:val="es-VE"/>
        </w:rPr>
        <w:t>”, “el Estado” o “</w:t>
      </w:r>
      <w:r w:rsidR="00B84DA0" w:rsidRPr="00BF20FA">
        <w:rPr>
          <w:rFonts w:asciiTheme="majorHAnsi" w:hAnsiTheme="majorHAnsi"/>
          <w:color w:val="000000" w:themeColor="text1"/>
          <w:sz w:val="20"/>
          <w:szCs w:val="20"/>
          <w:lang w:val="es-VE"/>
        </w:rPr>
        <w:t>Colombia</w:t>
      </w:r>
      <w:r w:rsidR="00444B2A" w:rsidRPr="00BF20FA">
        <w:rPr>
          <w:rFonts w:asciiTheme="majorHAnsi" w:hAnsiTheme="majorHAnsi"/>
          <w:color w:val="000000" w:themeColor="text1"/>
          <w:sz w:val="20"/>
          <w:szCs w:val="20"/>
          <w:lang w:val="es-VE"/>
        </w:rPr>
        <w:t xml:space="preserve">”), por la ejecución de una serie de actividades petroleras, mineras, turísticas y de infraestructura, en </w:t>
      </w:r>
      <w:r w:rsidR="00830442" w:rsidRPr="00BF20FA">
        <w:rPr>
          <w:rFonts w:asciiTheme="majorHAnsi" w:hAnsiTheme="majorHAnsi"/>
          <w:color w:val="000000" w:themeColor="text1"/>
          <w:sz w:val="20"/>
          <w:szCs w:val="20"/>
          <w:lang w:val="es-VE"/>
        </w:rPr>
        <w:t xml:space="preserve">perjuicio de los derechos </w:t>
      </w:r>
      <w:r w:rsidR="00444B2A" w:rsidRPr="00BF20FA">
        <w:rPr>
          <w:rFonts w:asciiTheme="majorHAnsi" w:hAnsiTheme="majorHAnsi"/>
          <w:color w:val="000000" w:themeColor="text1"/>
          <w:sz w:val="20"/>
          <w:szCs w:val="20"/>
          <w:lang w:val="es-VE"/>
        </w:rPr>
        <w:t>del Pueblo U’wa.</w:t>
      </w:r>
    </w:p>
    <w:p w14:paraId="1508B5BC" w14:textId="77777777" w:rsidR="00285EC6" w:rsidRPr="00BF20FA" w:rsidRDefault="00285EC6" w:rsidP="002E1E8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VE"/>
        </w:rPr>
      </w:pPr>
    </w:p>
    <w:p w14:paraId="0A30AF89" w14:textId="55DB0FBE" w:rsidR="00285EC6" w:rsidRPr="00BF20FA" w:rsidRDefault="00285EC6"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L</w:t>
      </w:r>
      <w:r w:rsidRPr="00BF20FA">
        <w:rPr>
          <w:rFonts w:asciiTheme="majorHAnsi" w:hAnsiTheme="majorHAnsi"/>
          <w:color w:val="000000" w:themeColor="text1"/>
          <w:sz w:val="20"/>
          <w:szCs w:val="20"/>
          <w:lang w:val="es-ES_tradnl"/>
        </w:rPr>
        <w:t xml:space="preserve">a Comisión aprobó el informe de admisibilidad No. </w:t>
      </w:r>
      <w:r w:rsidR="00B84DA0" w:rsidRPr="00BF20FA">
        <w:rPr>
          <w:rFonts w:asciiTheme="majorHAnsi" w:hAnsiTheme="majorHAnsi"/>
          <w:color w:val="000000" w:themeColor="text1"/>
          <w:sz w:val="20"/>
          <w:szCs w:val="20"/>
          <w:lang w:val="es-ES_tradnl"/>
        </w:rPr>
        <w:t>33</w:t>
      </w:r>
      <w:r w:rsidRPr="00BF20FA">
        <w:rPr>
          <w:rFonts w:asciiTheme="majorHAnsi" w:hAnsiTheme="majorHAnsi"/>
          <w:color w:val="000000" w:themeColor="text1"/>
          <w:sz w:val="20"/>
          <w:szCs w:val="20"/>
          <w:lang w:val="es-ES_tradnl"/>
        </w:rPr>
        <w:t>/</w:t>
      </w:r>
      <w:r w:rsidR="00B84DA0" w:rsidRPr="00BF20FA">
        <w:rPr>
          <w:rFonts w:asciiTheme="majorHAnsi" w:hAnsiTheme="majorHAnsi"/>
          <w:color w:val="000000" w:themeColor="text1"/>
          <w:sz w:val="20"/>
          <w:szCs w:val="20"/>
          <w:lang w:val="es-ES_tradnl"/>
        </w:rPr>
        <w:t>15</w:t>
      </w:r>
      <w:r w:rsidRPr="00BF20FA">
        <w:rPr>
          <w:rFonts w:asciiTheme="majorHAnsi" w:hAnsiTheme="majorHAnsi"/>
          <w:color w:val="000000" w:themeColor="text1"/>
          <w:sz w:val="20"/>
          <w:szCs w:val="20"/>
          <w:lang w:val="es-ES_tradnl"/>
        </w:rPr>
        <w:t xml:space="preserve"> el </w:t>
      </w:r>
      <w:r w:rsidR="00B84DA0" w:rsidRPr="00BF20FA">
        <w:rPr>
          <w:rFonts w:asciiTheme="majorHAnsi" w:hAnsiTheme="majorHAnsi"/>
          <w:color w:val="000000" w:themeColor="text1"/>
          <w:sz w:val="20"/>
          <w:szCs w:val="20"/>
          <w:lang w:val="es-ES_tradnl"/>
        </w:rPr>
        <w:t>22</w:t>
      </w:r>
      <w:r w:rsidRPr="00BF20FA">
        <w:rPr>
          <w:rFonts w:asciiTheme="majorHAnsi" w:hAnsiTheme="majorHAnsi"/>
          <w:color w:val="000000" w:themeColor="text1"/>
          <w:sz w:val="20"/>
          <w:szCs w:val="20"/>
          <w:lang w:val="es-ES_tradnl"/>
        </w:rPr>
        <w:t xml:space="preserve"> de </w:t>
      </w:r>
      <w:r w:rsidR="00B84DA0" w:rsidRPr="00BF20FA">
        <w:rPr>
          <w:rFonts w:asciiTheme="majorHAnsi" w:hAnsiTheme="majorHAnsi"/>
          <w:color w:val="000000" w:themeColor="text1"/>
          <w:sz w:val="20"/>
          <w:szCs w:val="20"/>
          <w:lang w:val="es-ES_tradnl"/>
        </w:rPr>
        <w:t>julio</w:t>
      </w:r>
      <w:r w:rsidRPr="00BF20FA">
        <w:rPr>
          <w:rFonts w:asciiTheme="majorHAnsi" w:hAnsiTheme="majorHAnsi"/>
          <w:color w:val="000000" w:themeColor="text1"/>
          <w:sz w:val="20"/>
          <w:szCs w:val="20"/>
          <w:lang w:val="es-ES_tradnl"/>
        </w:rPr>
        <w:t xml:space="preserve"> de </w:t>
      </w:r>
      <w:r w:rsidR="00B84DA0" w:rsidRPr="00BF20FA">
        <w:rPr>
          <w:rFonts w:asciiTheme="majorHAnsi" w:hAnsiTheme="majorHAnsi"/>
          <w:color w:val="000000" w:themeColor="text1"/>
          <w:sz w:val="20"/>
          <w:szCs w:val="20"/>
          <w:lang w:val="es-ES_tradnl"/>
        </w:rPr>
        <w:t>2015</w:t>
      </w:r>
      <w:r w:rsidRPr="00BF20FA">
        <w:rPr>
          <w:rStyle w:val="FootnoteReference"/>
          <w:rFonts w:asciiTheme="majorHAnsi" w:hAnsiTheme="majorHAnsi"/>
          <w:color w:val="000000" w:themeColor="text1"/>
          <w:sz w:val="20"/>
          <w:szCs w:val="20"/>
          <w:lang w:val="es-ES_tradnl"/>
        </w:rPr>
        <w:footnoteReference w:id="3"/>
      </w:r>
      <w:r w:rsidRPr="00BF20FA">
        <w:rPr>
          <w:rFonts w:asciiTheme="majorHAnsi" w:hAnsiTheme="majorHAnsi"/>
          <w:color w:val="000000" w:themeColor="text1"/>
          <w:sz w:val="20"/>
          <w:szCs w:val="20"/>
          <w:lang w:val="es-ES_tradnl"/>
        </w:rPr>
        <w:t xml:space="preserve">. El </w:t>
      </w:r>
      <w:r w:rsidR="00B84DA0" w:rsidRPr="00BF20FA">
        <w:rPr>
          <w:rFonts w:asciiTheme="majorHAnsi" w:hAnsiTheme="majorHAnsi"/>
          <w:color w:val="000000" w:themeColor="text1"/>
          <w:sz w:val="20"/>
          <w:szCs w:val="20"/>
          <w:lang w:val="es-ES_tradnl"/>
        </w:rPr>
        <w:t>13</w:t>
      </w:r>
      <w:r w:rsidRPr="00BF20FA">
        <w:rPr>
          <w:rFonts w:asciiTheme="majorHAnsi" w:hAnsiTheme="majorHAnsi"/>
          <w:color w:val="000000" w:themeColor="text1"/>
          <w:sz w:val="20"/>
          <w:szCs w:val="20"/>
          <w:lang w:val="es-ES_tradnl"/>
        </w:rPr>
        <w:t xml:space="preserve"> de </w:t>
      </w:r>
      <w:r w:rsidR="00B84DA0" w:rsidRPr="00BF20FA">
        <w:rPr>
          <w:rFonts w:asciiTheme="majorHAnsi" w:hAnsiTheme="majorHAnsi"/>
          <w:color w:val="000000" w:themeColor="text1"/>
          <w:sz w:val="20"/>
          <w:szCs w:val="20"/>
          <w:lang w:val="es-ES_tradnl"/>
        </w:rPr>
        <w:t>octubre</w:t>
      </w:r>
      <w:r w:rsidRPr="00BF20FA">
        <w:rPr>
          <w:rFonts w:asciiTheme="majorHAnsi" w:hAnsiTheme="majorHAnsi"/>
          <w:color w:val="000000" w:themeColor="text1"/>
          <w:sz w:val="20"/>
          <w:szCs w:val="20"/>
          <w:lang w:val="es-ES_tradnl"/>
        </w:rPr>
        <w:t xml:space="preserve"> de </w:t>
      </w:r>
      <w:r w:rsidR="00B84DA0" w:rsidRPr="00BF20FA">
        <w:rPr>
          <w:rFonts w:asciiTheme="majorHAnsi" w:hAnsiTheme="majorHAnsi"/>
          <w:color w:val="000000" w:themeColor="text1"/>
          <w:sz w:val="20"/>
          <w:szCs w:val="20"/>
          <w:lang w:val="es-ES_tradnl"/>
        </w:rPr>
        <w:t>2015</w:t>
      </w:r>
      <w:r w:rsidRPr="00BF20FA">
        <w:rPr>
          <w:rFonts w:asciiTheme="majorHAnsi" w:hAnsiTheme="majorHAnsi"/>
          <w:color w:val="000000" w:themeColor="text1"/>
          <w:sz w:val="20"/>
          <w:szCs w:val="20"/>
          <w:lang w:val="es-ES_tradnl"/>
        </w:rPr>
        <w:t xml:space="preserve"> la Comisión notificó dicho informe a las partes y se puso a su disposición a fin de llegar a una solución amistosa</w:t>
      </w:r>
      <w:r w:rsidR="00936404" w:rsidRPr="00BF20FA">
        <w:rPr>
          <w:rFonts w:asciiTheme="majorHAnsi" w:hAnsiTheme="majorHAnsi"/>
          <w:color w:val="000000" w:themeColor="text1"/>
          <w:sz w:val="20"/>
          <w:szCs w:val="20"/>
          <w:lang w:val="es-ES_tradnl"/>
        </w:rPr>
        <w:t>, sin que se dieran las condiciones para iniciar dicho procedimiento.</w:t>
      </w:r>
      <w:r w:rsidRPr="00BF20FA">
        <w:rPr>
          <w:rFonts w:asciiTheme="majorHAnsi" w:hAnsiTheme="majorHAnsi"/>
          <w:color w:val="000000" w:themeColor="text1"/>
          <w:sz w:val="20"/>
          <w:szCs w:val="20"/>
          <w:lang w:val="es-ES_tradnl"/>
        </w:rPr>
        <w:t xml:space="preserve"> El </w:t>
      </w:r>
      <w:r w:rsidR="00282FF0" w:rsidRPr="00BF20FA">
        <w:rPr>
          <w:rFonts w:asciiTheme="majorHAnsi" w:hAnsiTheme="majorHAnsi"/>
          <w:color w:val="000000" w:themeColor="text1"/>
          <w:sz w:val="20"/>
          <w:szCs w:val="20"/>
          <w:lang w:val="es-ES_tradnl"/>
        </w:rPr>
        <w:t>22</w:t>
      </w:r>
      <w:r w:rsidRPr="00BF20FA">
        <w:rPr>
          <w:rFonts w:asciiTheme="majorHAnsi" w:hAnsiTheme="majorHAnsi"/>
          <w:color w:val="000000" w:themeColor="text1"/>
          <w:sz w:val="20"/>
          <w:szCs w:val="20"/>
          <w:lang w:val="es-ES_tradnl"/>
        </w:rPr>
        <w:t xml:space="preserve"> de </w:t>
      </w:r>
      <w:r w:rsidR="00282FF0" w:rsidRPr="00BF20FA">
        <w:rPr>
          <w:rFonts w:asciiTheme="majorHAnsi" w:hAnsiTheme="majorHAnsi"/>
          <w:color w:val="000000" w:themeColor="text1"/>
          <w:sz w:val="20"/>
          <w:szCs w:val="20"/>
          <w:lang w:val="es-ES_tradnl"/>
        </w:rPr>
        <w:t>diciembre</w:t>
      </w:r>
      <w:r w:rsidRPr="00BF20FA">
        <w:rPr>
          <w:rFonts w:asciiTheme="majorHAnsi" w:hAnsiTheme="majorHAnsi"/>
          <w:color w:val="000000" w:themeColor="text1"/>
          <w:sz w:val="20"/>
          <w:szCs w:val="20"/>
          <w:lang w:val="es-ES_tradnl"/>
        </w:rPr>
        <w:t xml:space="preserve"> de </w:t>
      </w:r>
      <w:r w:rsidR="00282FF0" w:rsidRPr="00BF20FA">
        <w:rPr>
          <w:rFonts w:asciiTheme="majorHAnsi" w:hAnsiTheme="majorHAnsi"/>
          <w:color w:val="000000" w:themeColor="text1"/>
          <w:sz w:val="20"/>
          <w:szCs w:val="20"/>
          <w:lang w:val="es-ES_tradnl"/>
        </w:rPr>
        <w:t>2016</w:t>
      </w:r>
      <w:r w:rsidRPr="00BF20FA">
        <w:rPr>
          <w:rFonts w:asciiTheme="majorHAnsi" w:hAnsiTheme="majorHAnsi"/>
          <w:color w:val="000000" w:themeColor="text1"/>
          <w:sz w:val="20"/>
          <w:szCs w:val="20"/>
          <w:lang w:val="es-ES_tradnl"/>
        </w:rPr>
        <w:t xml:space="preserve"> la CIDH </w:t>
      </w:r>
      <w:r w:rsidR="00282FF0" w:rsidRPr="00BF20FA">
        <w:rPr>
          <w:rFonts w:asciiTheme="majorHAnsi" w:hAnsiTheme="majorHAnsi"/>
          <w:color w:val="000000" w:themeColor="text1"/>
          <w:sz w:val="20"/>
          <w:szCs w:val="20"/>
          <w:lang w:val="es-ES_tradnl"/>
        </w:rPr>
        <w:t xml:space="preserve">recibió las observaciones de fondo de la parte peticionaria y el 28 de marzo de 2018 </w:t>
      </w:r>
      <w:r w:rsidR="00E9665E" w:rsidRPr="00BF20FA">
        <w:rPr>
          <w:rFonts w:asciiTheme="majorHAnsi" w:hAnsiTheme="majorHAnsi"/>
          <w:color w:val="000000" w:themeColor="text1"/>
          <w:sz w:val="20"/>
          <w:szCs w:val="20"/>
          <w:lang w:val="es-ES_tradnl"/>
        </w:rPr>
        <w:t xml:space="preserve">del </w:t>
      </w:r>
      <w:r w:rsidR="00282FF0" w:rsidRPr="00BF20FA">
        <w:rPr>
          <w:rFonts w:asciiTheme="majorHAnsi" w:hAnsiTheme="majorHAnsi"/>
          <w:color w:val="000000" w:themeColor="text1"/>
          <w:sz w:val="20"/>
          <w:szCs w:val="20"/>
          <w:lang w:val="es-ES_tradnl"/>
        </w:rPr>
        <w:t>Estado</w:t>
      </w:r>
      <w:r w:rsidRPr="00BF20FA">
        <w:rPr>
          <w:rFonts w:asciiTheme="majorHAnsi" w:hAnsiTheme="majorHAnsi"/>
          <w:color w:val="000000" w:themeColor="text1"/>
          <w:sz w:val="20"/>
          <w:szCs w:val="20"/>
          <w:lang w:val="es-ES_tradnl"/>
        </w:rPr>
        <w:t>. Toda la información recibida</w:t>
      </w:r>
      <w:r w:rsidR="00CA7D4B" w:rsidRPr="00BF20FA">
        <w:rPr>
          <w:rFonts w:asciiTheme="majorHAnsi" w:hAnsiTheme="majorHAnsi"/>
          <w:color w:val="000000" w:themeColor="text1"/>
          <w:sz w:val="20"/>
          <w:szCs w:val="20"/>
          <w:lang w:val="es-ES_tradnl"/>
        </w:rPr>
        <w:t xml:space="preserve"> durante el proceso,</w:t>
      </w:r>
      <w:r w:rsidRPr="00BF20FA">
        <w:rPr>
          <w:rFonts w:asciiTheme="majorHAnsi" w:hAnsiTheme="majorHAnsi"/>
          <w:color w:val="000000" w:themeColor="text1"/>
          <w:sz w:val="20"/>
          <w:szCs w:val="20"/>
          <w:lang w:val="es-ES_tradnl"/>
        </w:rPr>
        <w:t xml:space="preserve"> fue debidamente trasladada entre las partes. </w:t>
      </w:r>
    </w:p>
    <w:p w14:paraId="08CAE421" w14:textId="77777777" w:rsidR="00285EC6" w:rsidRPr="00BF20FA" w:rsidRDefault="00285EC6" w:rsidP="002E1E83">
      <w:pPr>
        <w:pStyle w:val="ListParagraph"/>
        <w:ind w:left="0"/>
        <w:jc w:val="both"/>
        <w:rPr>
          <w:rFonts w:asciiTheme="majorHAnsi" w:hAnsiTheme="majorHAnsi"/>
          <w:color w:val="000000" w:themeColor="text1"/>
          <w:sz w:val="20"/>
          <w:szCs w:val="20"/>
          <w:lang w:val="es-VE"/>
        </w:rPr>
      </w:pPr>
    </w:p>
    <w:p w14:paraId="6A9E72CB" w14:textId="77777777" w:rsidR="00D83D73" w:rsidRPr="00BF20FA" w:rsidRDefault="007302B0" w:rsidP="008B00DC">
      <w:pPr>
        <w:pStyle w:val="Heading1"/>
        <w:spacing w:before="0"/>
        <w:ind w:left="360"/>
        <w:rPr>
          <w:color w:val="auto"/>
          <w:sz w:val="20"/>
          <w:szCs w:val="20"/>
          <w:lang w:val="es-ES_tradnl"/>
        </w:rPr>
      </w:pPr>
      <w:bookmarkStart w:id="3" w:name="_Toc17221553"/>
      <w:r w:rsidRPr="00BF20FA">
        <w:rPr>
          <w:color w:val="auto"/>
          <w:sz w:val="20"/>
          <w:szCs w:val="20"/>
          <w:lang w:val="es-ES_tradnl"/>
        </w:rPr>
        <w:t>ALEGATOS DE LAS PARTES</w:t>
      </w:r>
      <w:bookmarkEnd w:id="3"/>
    </w:p>
    <w:p w14:paraId="5BA6C769" w14:textId="77777777" w:rsidR="00271054" w:rsidRPr="00BF20FA" w:rsidRDefault="00D12193" w:rsidP="008F7F9A">
      <w:pPr>
        <w:pStyle w:val="Heading2"/>
        <w:numPr>
          <w:ilvl w:val="0"/>
          <w:numId w:val="56"/>
        </w:numPr>
        <w:ind w:left="360"/>
        <w:rPr>
          <w:rFonts w:asciiTheme="majorHAnsi" w:hAnsiTheme="majorHAnsi"/>
          <w:i w:val="0"/>
          <w:sz w:val="20"/>
          <w:szCs w:val="20"/>
          <w:lang w:val="es-ES_tradnl"/>
        </w:rPr>
      </w:pPr>
      <w:bookmarkStart w:id="4" w:name="_Toc15671754"/>
      <w:bookmarkStart w:id="5" w:name="_Toc17221554"/>
      <w:r w:rsidRPr="00BF20FA">
        <w:rPr>
          <w:rFonts w:asciiTheme="majorHAnsi" w:hAnsiTheme="majorHAnsi"/>
          <w:i w:val="0"/>
          <w:sz w:val="20"/>
          <w:szCs w:val="20"/>
          <w:lang w:val="es-ES_tradnl"/>
        </w:rPr>
        <w:t>P</w:t>
      </w:r>
      <w:r w:rsidR="00384EBB" w:rsidRPr="00BF20FA">
        <w:rPr>
          <w:rFonts w:asciiTheme="majorHAnsi" w:hAnsiTheme="majorHAnsi"/>
          <w:i w:val="0"/>
          <w:sz w:val="20"/>
          <w:szCs w:val="20"/>
          <w:lang w:val="es-ES_tradnl"/>
        </w:rPr>
        <w:t>arte peticionaria</w:t>
      </w:r>
      <w:bookmarkEnd w:id="4"/>
      <w:bookmarkEnd w:id="5"/>
      <w:r w:rsidR="00384EBB" w:rsidRPr="00BF20FA">
        <w:rPr>
          <w:rFonts w:asciiTheme="majorHAnsi" w:hAnsiTheme="majorHAnsi"/>
          <w:i w:val="0"/>
          <w:sz w:val="20"/>
          <w:szCs w:val="20"/>
          <w:lang w:val="es-ES_tradnl"/>
        </w:rPr>
        <w:t xml:space="preserve"> </w:t>
      </w:r>
    </w:p>
    <w:p w14:paraId="283CF60A" w14:textId="77777777" w:rsidR="008E0C6E" w:rsidRPr="00BF20FA" w:rsidRDefault="008E0C6E" w:rsidP="002E1E83">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45B7B0E1" w14:textId="3FE35250" w:rsidR="00134CB5" w:rsidRPr="00BF20FA" w:rsidRDefault="00CA7D4B"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 xml:space="preserve">La parte peticionaria </w:t>
      </w:r>
      <w:r w:rsidR="00134CB5" w:rsidRPr="00BF20FA">
        <w:rPr>
          <w:rFonts w:asciiTheme="majorHAnsi" w:hAnsiTheme="majorHAnsi"/>
          <w:color w:val="000000" w:themeColor="text1"/>
          <w:sz w:val="20"/>
          <w:szCs w:val="20"/>
          <w:lang w:val="es-CO"/>
        </w:rPr>
        <w:t>señal</w:t>
      </w:r>
      <w:r w:rsidR="0085509F" w:rsidRPr="00BF20FA">
        <w:rPr>
          <w:rFonts w:asciiTheme="majorHAnsi" w:hAnsiTheme="majorHAnsi"/>
          <w:color w:val="000000" w:themeColor="text1"/>
          <w:sz w:val="20"/>
          <w:szCs w:val="20"/>
          <w:lang w:val="es-MX"/>
        </w:rPr>
        <w:t>ó</w:t>
      </w:r>
      <w:r w:rsidR="00134CB5" w:rsidRPr="00BF20FA">
        <w:rPr>
          <w:rFonts w:asciiTheme="majorHAnsi" w:hAnsiTheme="majorHAnsi"/>
          <w:color w:val="000000" w:themeColor="text1"/>
          <w:sz w:val="20"/>
          <w:szCs w:val="20"/>
          <w:lang w:val="es-CO"/>
        </w:rPr>
        <w:t xml:space="preserve"> que desde 1992, el Estado ha otorgado una serie</w:t>
      </w:r>
      <w:r w:rsidR="001F4D3B">
        <w:rPr>
          <w:rFonts w:asciiTheme="majorHAnsi" w:hAnsiTheme="majorHAnsi"/>
          <w:color w:val="000000" w:themeColor="text1"/>
          <w:sz w:val="20"/>
          <w:szCs w:val="20"/>
          <w:lang w:val="es-CO"/>
        </w:rPr>
        <w:t xml:space="preserve"> de</w:t>
      </w:r>
      <w:r w:rsidR="00134CB5" w:rsidRPr="00BF20FA">
        <w:rPr>
          <w:rFonts w:asciiTheme="majorHAnsi" w:hAnsiTheme="majorHAnsi"/>
          <w:color w:val="000000" w:themeColor="text1"/>
          <w:sz w:val="20"/>
          <w:szCs w:val="20"/>
          <w:lang w:val="es-CO"/>
        </w:rPr>
        <w:t xml:space="preserve"> </w:t>
      </w:r>
      <w:r w:rsidR="001C1400" w:rsidRPr="00BF20FA">
        <w:rPr>
          <w:rFonts w:asciiTheme="majorHAnsi" w:hAnsiTheme="majorHAnsi"/>
          <w:color w:val="000000" w:themeColor="text1"/>
          <w:sz w:val="20"/>
          <w:szCs w:val="20"/>
          <w:lang w:val="es-CO"/>
        </w:rPr>
        <w:t xml:space="preserve">licencias para </w:t>
      </w:r>
      <w:r w:rsidR="00134CB5" w:rsidRPr="00BF20FA">
        <w:rPr>
          <w:rFonts w:asciiTheme="majorHAnsi" w:hAnsiTheme="majorHAnsi"/>
          <w:color w:val="000000" w:themeColor="text1"/>
          <w:sz w:val="20"/>
          <w:szCs w:val="20"/>
          <w:lang w:val="es-CO"/>
        </w:rPr>
        <w:t xml:space="preserve">proyectos y concesiones a diferentes </w:t>
      </w:r>
      <w:r w:rsidR="001C1400" w:rsidRPr="00BF20FA">
        <w:rPr>
          <w:rFonts w:asciiTheme="majorHAnsi" w:hAnsiTheme="majorHAnsi"/>
          <w:color w:val="000000" w:themeColor="text1"/>
          <w:sz w:val="20"/>
          <w:szCs w:val="20"/>
          <w:lang w:val="es-CO"/>
        </w:rPr>
        <w:t xml:space="preserve">empresas para el desarrollo de actividades petroleras, mineras, turísticas y de infraestructura, </w:t>
      </w:r>
      <w:r w:rsidR="00134CB5" w:rsidRPr="00BF20FA">
        <w:rPr>
          <w:rFonts w:asciiTheme="majorHAnsi" w:hAnsiTheme="majorHAnsi"/>
          <w:color w:val="000000" w:themeColor="text1"/>
          <w:sz w:val="20"/>
          <w:szCs w:val="20"/>
          <w:lang w:val="es-CO"/>
        </w:rPr>
        <w:t>sin respetar y garantizar el derecho a la consulta y sin obtener el consentimiento libre, previo e informado de la Nación U’wa. Aleg</w:t>
      </w:r>
      <w:r w:rsidR="00876D57" w:rsidRPr="00BF20FA">
        <w:rPr>
          <w:rFonts w:asciiTheme="majorHAnsi" w:hAnsiTheme="majorHAnsi"/>
          <w:color w:val="000000" w:themeColor="text1"/>
          <w:sz w:val="20"/>
          <w:szCs w:val="20"/>
          <w:lang w:val="es-CO"/>
        </w:rPr>
        <w:t>ó</w:t>
      </w:r>
      <w:r w:rsidR="00134CB5" w:rsidRPr="00BF20FA">
        <w:rPr>
          <w:rFonts w:asciiTheme="majorHAnsi" w:hAnsiTheme="majorHAnsi"/>
          <w:color w:val="000000" w:themeColor="text1"/>
          <w:sz w:val="20"/>
          <w:szCs w:val="20"/>
          <w:lang w:val="es-CO"/>
        </w:rPr>
        <w:t xml:space="preserve"> también el desconocimiento del Estado de los títulos coloniales previos a la conformación de la República, por medio de los cuales la corona española otorgó la titularidad de la tierra a la Nación U’wa, con el agravante de que los títulos de propiedad de los predios y mejoras se </w:t>
      </w:r>
      <w:r w:rsidR="00133E26" w:rsidRPr="00BF20FA">
        <w:rPr>
          <w:rFonts w:asciiTheme="majorHAnsi" w:hAnsiTheme="majorHAnsi"/>
          <w:color w:val="000000" w:themeColor="text1"/>
          <w:sz w:val="20"/>
          <w:szCs w:val="20"/>
          <w:lang w:val="es-CO"/>
        </w:rPr>
        <w:t>han</w:t>
      </w:r>
      <w:r w:rsidR="00134CB5" w:rsidRPr="00BF20FA">
        <w:rPr>
          <w:rFonts w:asciiTheme="majorHAnsi" w:hAnsiTheme="majorHAnsi"/>
          <w:color w:val="000000" w:themeColor="text1"/>
          <w:sz w:val="20"/>
          <w:szCs w:val="20"/>
          <w:lang w:val="es-CO"/>
        </w:rPr>
        <w:t xml:space="preserve"> </w:t>
      </w:r>
      <w:r w:rsidR="00133E26" w:rsidRPr="00BF20FA">
        <w:rPr>
          <w:rFonts w:asciiTheme="majorHAnsi" w:hAnsiTheme="majorHAnsi"/>
          <w:color w:val="000000" w:themeColor="text1"/>
          <w:sz w:val="20"/>
          <w:szCs w:val="20"/>
          <w:lang w:val="es-CO"/>
        </w:rPr>
        <w:t>titula</w:t>
      </w:r>
      <w:r w:rsidR="00134CB5" w:rsidRPr="00BF20FA">
        <w:rPr>
          <w:rFonts w:asciiTheme="majorHAnsi" w:hAnsiTheme="majorHAnsi"/>
          <w:color w:val="000000" w:themeColor="text1"/>
          <w:sz w:val="20"/>
          <w:szCs w:val="20"/>
          <w:lang w:val="es-CO"/>
        </w:rPr>
        <w:t xml:space="preserve">do a nombre del Estado a través del Instituto </w:t>
      </w:r>
      <w:r w:rsidR="00133E26" w:rsidRPr="00BF20FA">
        <w:rPr>
          <w:rFonts w:asciiTheme="majorHAnsi" w:hAnsiTheme="majorHAnsi"/>
          <w:color w:val="000000" w:themeColor="text1"/>
          <w:sz w:val="20"/>
          <w:szCs w:val="20"/>
          <w:lang w:val="es-CO"/>
        </w:rPr>
        <w:t>Colombiano de Desarrollo Rural (</w:t>
      </w:r>
      <w:r w:rsidR="00134CB5" w:rsidRPr="00BF20FA">
        <w:rPr>
          <w:rFonts w:asciiTheme="majorHAnsi" w:hAnsiTheme="majorHAnsi"/>
          <w:color w:val="000000" w:themeColor="text1"/>
          <w:sz w:val="20"/>
          <w:szCs w:val="20"/>
          <w:lang w:val="es-CO"/>
        </w:rPr>
        <w:t>en adelante INCODER</w:t>
      </w:r>
      <w:r w:rsidR="00133E26" w:rsidRPr="00BF20FA">
        <w:rPr>
          <w:rFonts w:asciiTheme="majorHAnsi" w:hAnsiTheme="majorHAnsi"/>
          <w:color w:val="000000" w:themeColor="text1"/>
          <w:sz w:val="20"/>
          <w:szCs w:val="20"/>
          <w:lang w:val="es-CO"/>
        </w:rPr>
        <w:t>)</w:t>
      </w:r>
      <w:r w:rsidR="00876D57" w:rsidRPr="00BF20FA">
        <w:rPr>
          <w:rFonts w:asciiTheme="majorHAnsi" w:hAnsiTheme="majorHAnsi"/>
          <w:color w:val="000000" w:themeColor="text1"/>
          <w:sz w:val="20"/>
          <w:szCs w:val="20"/>
          <w:lang w:val="es-CO"/>
        </w:rPr>
        <w:t xml:space="preserve"> y no del P</w:t>
      </w:r>
      <w:r w:rsidR="00134CB5" w:rsidRPr="00BF20FA">
        <w:rPr>
          <w:rFonts w:asciiTheme="majorHAnsi" w:hAnsiTheme="majorHAnsi"/>
          <w:color w:val="000000" w:themeColor="text1"/>
          <w:sz w:val="20"/>
          <w:szCs w:val="20"/>
          <w:lang w:val="es-CO"/>
        </w:rPr>
        <w:t xml:space="preserve">ueblo como lo ordena la institución jurídica del Resguardo. </w:t>
      </w:r>
      <w:r w:rsidR="00935968" w:rsidRPr="00BF20FA">
        <w:rPr>
          <w:rFonts w:asciiTheme="majorHAnsi" w:hAnsiTheme="majorHAnsi"/>
          <w:color w:val="000000" w:themeColor="text1"/>
          <w:sz w:val="20"/>
          <w:szCs w:val="20"/>
          <w:lang w:val="es-CO"/>
        </w:rPr>
        <w:t xml:space="preserve">Afirmó que si bien en 1999 se amplió el Resguardo Unido U´wa, la ampliación no se hizo de acuerdo a </w:t>
      </w:r>
      <w:r w:rsidR="002B76D4" w:rsidRPr="00BF20FA">
        <w:rPr>
          <w:rFonts w:asciiTheme="majorHAnsi" w:hAnsiTheme="majorHAnsi"/>
          <w:color w:val="000000" w:themeColor="text1"/>
          <w:sz w:val="20"/>
          <w:szCs w:val="20"/>
          <w:lang w:val="es-CO"/>
        </w:rPr>
        <w:t>las solicitudes del Pueblo U´wa, las cuales se fundamentaban en su territorio an</w:t>
      </w:r>
      <w:r w:rsidR="00F72D76" w:rsidRPr="00BF20FA">
        <w:rPr>
          <w:rFonts w:asciiTheme="majorHAnsi" w:hAnsiTheme="majorHAnsi"/>
          <w:color w:val="000000" w:themeColor="text1"/>
          <w:sz w:val="20"/>
          <w:szCs w:val="20"/>
          <w:lang w:val="es-CO"/>
        </w:rPr>
        <w:t>cestral, sino que la delimitació</w:t>
      </w:r>
      <w:r w:rsidR="002B76D4" w:rsidRPr="00BF20FA">
        <w:rPr>
          <w:rFonts w:asciiTheme="majorHAnsi" w:hAnsiTheme="majorHAnsi"/>
          <w:color w:val="000000" w:themeColor="text1"/>
          <w:sz w:val="20"/>
          <w:szCs w:val="20"/>
          <w:lang w:val="es-CO"/>
        </w:rPr>
        <w:t>n se realizó convenientemente para los intere</w:t>
      </w:r>
      <w:r w:rsidR="00083109" w:rsidRPr="00BF20FA">
        <w:rPr>
          <w:rFonts w:asciiTheme="majorHAnsi" w:hAnsiTheme="majorHAnsi"/>
          <w:color w:val="000000" w:themeColor="text1"/>
          <w:sz w:val="20"/>
          <w:szCs w:val="20"/>
          <w:lang w:val="es-CO"/>
        </w:rPr>
        <w:t xml:space="preserve">ses </w:t>
      </w:r>
      <w:r w:rsidR="002B76D4" w:rsidRPr="00BF20FA">
        <w:rPr>
          <w:rFonts w:asciiTheme="majorHAnsi" w:hAnsiTheme="majorHAnsi"/>
          <w:color w:val="000000" w:themeColor="text1"/>
          <w:sz w:val="20"/>
          <w:szCs w:val="20"/>
          <w:lang w:val="es-CO"/>
        </w:rPr>
        <w:t xml:space="preserve">de las petroleras, permitiendo que éstas se establecieran a escasos metros de las comunidades indígenas. </w:t>
      </w:r>
      <w:r w:rsidR="00B7588B" w:rsidRPr="00BF20FA">
        <w:rPr>
          <w:rFonts w:asciiTheme="majorHAnsi" w:hAnsiTheme="majorHAnsi"/>
          <w:color w:val="000000" w:themeColor="text1"/>
          <w:sz w:val="20"/>
          <w:szCs w:val="20"/>
          <w:lang w:val="es-CO"/>
        </w:rPr>
        <w:t xml:space="preserve">Indicó que aún después de la ampliación del territorio, no se le ha otorgado el título de propiedad colectiva al Pueblo U´wa. </w:t>
      </w:r>
    </w:p>
    <w:p w14:paraId="33097A03" w14:textId="77777777" w:rsidR="009A7CC5" w:rsidRPr="00BF20FA" w:rsidRDefault="009A7CC5" w:rsidP="009A7CC5">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0D9A8981" w14:textId="77777777" w:rsidR="00F853F4" w:rsidRPr="00BF20FA" w:rsidRDefault="009A7CC5"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CO"/>
        </w:rPr>
        <w:t xml:space="preserve">Agregó que </w:t>
      </w:r>
      <w:r w:rsidR="00F853F4" w:rsidRPr="00BF20FA">
        <w:rPr>
          <w:rFonts w:asciiTheme="majorHAnsi" w:hAnsiTheme="majorHAnsi"/>
          <w:color w:val="000000" w:themeColor="text1"/>
          <w:sz w:val="20"/>
          <w:szCs w:val="20"/>
          <w:lang w:val="es-CO"/>
        </w:rPr>
        <w:t xml:space="preserve">la realización de proyectos en territorio U´wa ha implicado la entrada de colonos; el uso de maquinaria; la explotación del territorio; la militarización; la contaminación de los ríos, del aire, el daño y la destrucción de fauna y flora; y la contaminación y daño de lugares sagrados. </w:t>
      </w:r>
    </w:p>
    <w:p w14:paraId="7C99C71E" w14:textId="77777777" w:rsidR="00F853F4" w:rsidRPr="00BF20FA" w:rsidRDefault="00F853F4" w:rsidP="00F853F4">
      <w:pPr>
        <w:pStyle w:val="ListParagraph"/>
        <w:rPr>
          <w:rFonts w:asciiTheme="majorHAnsi" w:hAnsiTheme="majorHAnsi"/>
          <w:color w:val="000000" w:themeColor="text1"/>
          <w:sz w:val="20"/>
          <w:szCs w:val="20"/>
          <w:lang w:val="es-CO"/>
        </w:rPr>
      </w:pPr>
    </w:p>
    <w:p w14:paraId="3278BF03" w14:textId="77777777" w:rsidR="009A7CC5" w:rsidRPr="00BF20FA" w:rsidRDefault="00F853F4"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CO"/>
        </w:rPr>
        <w:t xml:space="preserve">Indicó que </w:t>
      </w:r>
      <w:r w:rsidR="009A7CC5" w:rsidRPr="00BF20FA">
        <w:rPr>
          <w:rFonts w:asciiTheme="majorHAnsi" w:hAnsiTheme="majorHAnsi"/>
          <w:color w:val="000000" w:themeColor="text1"/>
          <w:sz w:val="20"/>
          <w:szCs w:val="20"/>
          <w:lang w:val="es-CO"/>
        </w:rPr>
        <w:t>desde 1992 se ha dado una fuerte militarización en tierra indígena, con la finalidad de brindar seguridad a las empresas y a los proyectos. Indicó que ello ha dado pie a hechos de violencia que han quedado en la impunidad, como</w:t>
      </w:r>
      <w:r w:rsidR="009A7CC5" w:rsidRPr="00BF20FA">
        <w:rPr>
          <w:rFonts w:asciiTheme="majorHAnsi" w:hAnsiTheme="majorHAnsi"/>
          <w:color w:val="000000" w:themeColor="text1"/>
          <w:sz w:val="20"/>
          <w:szCs w:val="20"/>
          <w:lang w:val="es-ES"/>
        </w:rPr>
        <w:t xml:space="preserve"> homicidios, bombardeos, instalación de minas antipersonales, entre otros. Indic</w:t>
      </w:r>
      <w:r w:rsidR="008A60C8" w:rsidRPr="00BF20FA">
        <w:rPr>
          <w:rFonts w:asciiTheme="majorHAnsi" w:hAnsiTheme="majorHAnsi"/>
          <w:color w:val="000000" w:themeColor="text1"/>
          <w:sz w:val="20"/>
          <w:szCs w:val="20"/>
          <w:lang w:val="es-ES"/>
        </w:rPr>
        <w:t>ó</w:t>
      </w:r>
      <w:r w:rsidR="009A7CC5" w:rsidRPr="00BF20FA">
        <w:rPr>
          <w:rFonts w:asciiTheme="majorHAnsi" w:hAnsiTheme="majorHAnsi"/>
          <w:color w:val="000000" w:themeColor="text1"/>
          <w:sz w:val="20"/>
          <w:szCs w:val="20"/>
          <w:lang w:val="es-ES"/>
        </w:rPr>
        <w:t xml:space="preserve"> que la presencia militar limita el tránsito dentro del Resguardo Unido U´wa, </w:t>
      </w:r>
      <w:r w:rsidR="009F0060" w:rsidRPr="00BF20FA">
        <w:rPr>
          <w:rFonts w:asciiTheme="majorHAnsi" w:hAnsiTheme="majorHAnsi"/>
          <w:color w:val="000000" w:themeColor="text1"/>
          <w:sz w:val="20"/>
          <w:szCs w:val="20"/>
          <w:lang w:val="es-ES"/>
        </w:rPr>
        <w:t xml:space="preserve">genera </w:t>
      </w:r>
      <w:r w:rsidR="009A7CC5" w:rsidRPr="00BF20FA">
        <w:rPr>
          <w:rFonts w:asciiTheme="majorHAnsi" w:hAnsiTheme="majorHAnsi"/>
          <w:color w:val="000000" w:themeColor="text1"/>
          <w:sz w:val="20"/>
          <w:szCs w:val="20"/>
          <w:lang w:val="es-ES"/>
        </w:rPr>
        <w:t xml:space="preserve">intimidaciones, desplazamiento forzado y confinamiento, además de que hace inviable el proyecto de vida del colectivo indígena.  </w:t>
      </w:r>
    </w:p>
    <w:p w14:paraId="5D44AC55" w14:textId="77777777" w:rsidR="001A0DAA" w:rsidRPr="00BF20FA" w:rsidRDefault="001A0DAA" w:rsidP="001A0DAA">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2E941558" w14:textId="77777777" w:rsidR="000A12F5" w:rsidRPr="00BF20FA" w:rsidRDefault="00876D57"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 xml:space="preserve">Afirmó </w:t>
      </w:r>
      <w:r w:rsidR="00CA7D4B" w:rsidRPr="00BF20FA">
        <w:rPr>
          <w:rFonts w:asciiTheme="majorHAnsi" w:hAnsiTheme="majorHAnsi"/>
          <w:color w:val="000000" w:themeColor="text1"/>
          <w:sz w:val="20"/>
          <w:szCs w:val="20"/>
          <w:lang w:val="es-VE"/>
        </w:rPr>
        <w:t xml:space="preserve">que se </w:t>
      </w:r>
      <w:r w:rsidR="00C62F64" w:rsidRPr="00BF20FA">
        <w:rPr>
          <w:rFonts w:asciiTheme="majorHAnsi" w:hAnsiTheme="majorHAnsi"/>
          <w:color w:val="000000" w:themeColor="text1"/>
          <w:sz w:val="20"/>
          <w:szCs w:val="20"/>
          <w:lang w:val="es-VE"/>
        </w:rPr>
        <w:t>viol</w:t>
      </w:r>
      <w:r w:rsidR="00CA7D4B" w:rsidRPr="00BF20FA">
        <w:rPr>
          <w:rFonts w:asciiTheme="majorHAnsi" w:hAnsiTheme="majorHAnsi"/>
          <w:color w:val="000000" w:themeColor="text1"/>
          <w:sz w:val="20"/>
          <w:szCs w:val="20"/>
          <w:lang w:val="es-VE"/>
        </w:rPr>
        <w:t>ó</w:t>
      </w:r>
      <w:r w:rsidR="00C62F64" w:rsidRPr="00BF20FA">
        <w:rPr>
          <w:rFonts w:asciiTheme="majorHAnsi" w:hAnsiTheme="majorHAnsi"/>
          <w:color w:val="000000" w:themeColor="text1"/>
          <w:sz w:val="20"/>
          <w:szCs w:val="20"/>
          <w:lang w:val="es-VE"/>
        </w:rPr>
        <w:t xml:space="preserve"> </w:t>
      </w:r>
      <w:r w:rsidR="00CA7D4B" w:rsidRPr="00BF20FA">
        <w:rPr>
          <w:rFonts w:asciiTheme="majorHAnsi" w:hAnsiTheme="majorHAnsi"/>
          <w:color w:val="000000" w:themeColor="text1"/>
          <w:sz w:val="20"/>
          <w:szCs w:val="20"/>
          <w:lang w:val="es-VE"/>
        </w:rPr>
        <w:t>e</w:t>
      </w:r>
      <w:r w:rsidR="00C62F64" w:rsidRPr="00BF20FA">
        <w:rPr>
          <w:rFonts w:asciiTheme="majorHAnsi" w:hAnsiTheme="majorHAnsi"/>
          <w:color w:val="000000" w:themeColor="text1"/>
          <w:sz w:val="20"/>
          <w:szCs w:val="20"/>
          <w:lang w:val="es-VE"/>
        </w:rPr>
        <w:t>l derecho a la per</w:t>
      </w:r>
      <w:r w:rsidR="00FB23FE" w:rsidRPr="00BF20FA">
        <w:rPr>
          <w:rFonts w:asciiTheme="majorHAnsi" w:hAnsiTheme="majorHAnsi"/>
          <w:color w:val="000000" w:themeColor="text1"/>
          <w:sz w:val="20"/>
          <w:szCs w:val="20"/>
          <w:lang w:val="es-VE"/>
        </w:rPr>
        <w:t>sonalidad jurí</w:t>
      </w:r>
      <w:r w:rsidR="00CA7D4B" w:rsidRPr="00BF20FA">
        <w:rPr>
          <w:rFonts w:asciiTheme="majorHAnsi" w:hAnsiTheme="majorHAnsi"/>
          <w:color w:val="000000" w:themeColor="text1"/>
          <w:sz w:val="20"/>
          <w:szCs w:val="20"/>
          <w:lang w:val="es-VE"/>
        </w:rPr>
        <w:t xml:space="preserve">dica, toda vez que el Pueblo U´wa </w:t>
      </w:r>
      <w:r w:rsidR="00C62F64" w:rsidRPr="00BF20FA">
        <w:rPr>
          <w:rFonts w:asciiTheme="majorHAnsi" w:hAnsiTheme="majorHAnsi"/>
          <w:color w:val="000000" w:themeColor="text1"/>
          <w:sz w:val="20"/>
          <w:szCs w:val="20"/>
          <w:lang w:val="es-VE"/>
        </w:rPr>
        <w:t xml:space="preserve">no </w:t>
      </w:r>
      <w:r w:rsidR="00CA7D4B" w:rsidRPr="00BF20FA">
        <w:rPr>
          <w:rFonts w:asciiTheme="majorHAnsi" w:hAnsiTheme="majorHAnsi"/>
          <w:color w:val="000000" w:themeColor="text1"/>
          <w:sz w:val="20"/>
          <w:szCs w:val="20"/>
          <w:lang w:val="es-VE"/>
        </w:rPr>
        <w:t>fue</w:t>
      </w:r>
      <w:r w:rsidR="00C62F64" w:rsidRPr="00BF20FA">
        <w:rPr>
          <w:rFonts w:asciiTheme="majorHAnsi" w:hAnsiTheme="majorHAnsi"/>
          <w:color w:val="000000" w:themeColor="text1"/>
          <w:sz w:val="20"/>
          <w:szCs w:val="20"/>
          <w:lang w:val="es-VE"/>
        </w:rPr>
        <w:t xml:space="preserve"> formalmente notificado de la realización de proyectos mineros en territorio ancestral ni de resguardo.</w:t>
      </w:r>
      <w:r w:rsidR="00CA7D4B" w:rsidRPr="00BF20FA">
        <w:rPr>
          <w:rFonts w:asciiTheme="majorHAnsi" w:hAnsiTheme="majorHAnsi"/>
          <w:color w:val="000000" w:themeColor="text1"/>
          <w:sz w:val="20"/>
          <w:szCs w:val="20"/>
          <w:lang w:val="es-VE"/>
        </w:rPr>
        <w:t xml:space="preserve"> </w:t>
      </w:r>
      <w:r w:rsidR="00C62F64" w:rsidRPr="00BF20FA">
        <w:rPr>
          <w:rFonts w:asciiTheme="majorHAnsi" w:hAnsiTheme="majorHAnsi"/>
          <w:color w:val="000000" w:themeColor="text1"/>
          <w:sz w:val="20"/>
          <w:szCs w:val="20"/>
          <w:lang w:val="es-VE"/>
        </w:rPr>
        <w:t>Con respecto a</w:t>
      </w:r>
      <w:r w:rsidR="00C24361" w:rsidRPr="00BF20FA">
        <w:rPr>
          <w:rFonts w:asciiTheme="majorHAnsi" w:hAnsiTheme="majorHAnsi"/>
          <w:color w:val="000000" w:themeColor="text1"/>
          <w:sz w:val="20"/>
          <w:szCs w:val="20"/>
          <w:lang w:val="es-VE"/>
        </w:rPr>
        <w:t xml:space="preserve">l </w:t>
      </w:r>
      <w:r w:rsidR="00C62F64" w:rsidRPr="00BF20FA">
        <w:rPr>
          <w:rFonts w:asciiTheme="majorHAnsi" w:hAnsiTheme="majorHAnsi"/>
          <w:color w:val="000000" w:themeColor="text1"/>
          <w:sz w:val="20"/>
          <w:szCs w:val="20"/>
          <w:lang w:val="es-VE"/>
        </w:rPr>
        <w:t xml:space="preserve">derecho a la vida digna </w:t>
      </w:r>
      <w:r w:rsidR="00C24361" w:rsidRPr="00BF20FA">
        <w:rPr>
          <w:rFonts w:asciiTheme="majorHAnsi" w:hAnsiTheme="majorHAnsi"/>
          <w:color w:val="000000" w:themeColor="text1"/>
          <w:sz w:val="20"/>
          <w:szCs w:val="20"/>
          <w:lang w:val="es-VE"/>
        </w:rPr>
        <w:t>y el derecho a la</w:t>
      </w:r>
      <w:r w:rsidR="00C62F64" w:rsidRPr="00BF20FA">
        <w:rPr>
          <w:rFonts w:asciiTheme="majorHAnsi" w:hAnsiTheme="majorHAnsi"/>
          <w:color w:val="000000" w:themeColor="text1"/>
          <w:sz w:val="20"/>
          <w:szCs w:val="20"/>
          <w:lang w:val="es-VE"/>
        </w:rPr>
        <w:t xml:space="preserve"> integridad personal, aleg</w:t>
      </w:r>
      <w:r w:rsidRPr="00BF20FA">
        <w:rPr>
          <w:rFonts w:asciiTheme="majorHAnsi" w:hAnsiTheme="majorHAnsi"/>
          <w:color w:val="000000" w:themeColor="text1"/>
          <w:sz w:val="20"/>
          <w:szCs w:val="20"/>
          <w:lang w:val="es-VE"/>
        </w:rPr>
        <w:t>ó</w:t>
      </w:r>
      <w:r w:rsidR="00C62F64" w:rsidRPr="00BF20FA">
        <w:rPr>
          <w:rFonts w:asciiTheme="majorHAnsi" w:hAnsiTheme="majorHAnsi"/>
          <w:color w:val="000000" w:themeColor="text1"/>
          <w:sz w:val="20"/>
          <w:szCs w:val="20"/>
          <w:lang w:val="es-VE"/>
        </w:rPr>
        <w:t xml:space="preserve"> que fueron violados en concordancia con los derechos a los beneficios de la cultura, debido a que </w:t>
      </w:r>
      <w:r w:rsidR="00C24361" w:rsidRPr="00BF20FA">
        <w:rPr>
          <w:rFonts w:asciiTheme="majorHAnsi" w:hAnsiTheme="majorHAnsi"/>
          <w:color w:val="000000" w:themeColor="text1"/>
          <w:sz w:val="20"/>
          <w:szCs w:val="20"/>
          <w:lang w:val="es-VE"/>
        </w:rPr>
        <w:t xml:space="preserve">según su cosmovisión y forma de vida, la garantía de estos </w:t>
      </w:r>
      <w:r w:rsidR="00C24361" w:rsidRPr="00BF20FA">
        <w:rPr>
          <w:rFonts w:asciiTheme="majorHAnsi" w:hAnsiTheme="majorHAnsi"/>
          <w:color w:val="000000" w:themeColor="text1"/>
          <w:sz w:val="20"/>
          <w:szCs w:val="20"/>
          <w:lang w:val="es-VE"/>
        </w:rPr>
        <w:lastRenderedPageBreak/>
        <w:t>derechos depende mayormente de la conexión espiritual y cultural con el territorio sagrado y ancestral, considerado el núc</w:t>
      </w:r>
      <w:r w:rsidR="000F0E8B" w:rsidRPr="00BF20FA">
        <w:rPr>
          <w:rFonts w:asciiTheme="majorHAnsi" w:hAnsiTheme="majorHAnsi"/>
          <w:color w:val="000000" w:themeColor="text1"/>
          <w:sz w:val="20"/>
          <w:szCs w:val="20"/>
          <w:lang w:val="es-VE"/>
        </w:rPr>
        <w:t>leo vital de la Nación U’wa</w:t>
      </w:r>
      <w:r w:rsidR="00C24361" w:rsidRPr="00BF20FA">
        <w:rPr>
          <w:rFonts w:asciiTheme="majorHAnsi" w:hAnsiTheme="majorHAnsi"/>
          <w:color w:val="000000" w:themeColor="text1"/>
          <w:sz w:val="20"/>
          <w:szCs w:val="20"/>
          <w:lang w:val="es-VE"/>
        </w:rPr>
        <w:t>.</w:t>
      </w:r>
    </w:p>
    <w:p w14:paraId="020389FE" w14:textId="77777777" w:rsidR="008E0C6E" w:rsidRPr="00BF20FA" w:rsidRDefault="008E0C6E" w:rsidP="002E1E83">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5CD19184" w14:textId="77777777" w:rsidR="00C24361" w:rsidRPr="00BF20FA" w:rsidRDefault="000A12F5"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Igualmente aleg</w:t>
      </w:r>
      <w:r w:rsidR="00876D57" w:rsidRPr="00BF20FA">
        <w:rPr>
          <w:rFonts w:asciiTheme="majorHAnsi" w:hAnsiTheme="majorHAnsi"/>
          <w:color w:val="000000" w:themeColor="text1"/>
          <w:sz w:val="20"/>
          <w:szCs w:val="20"/>
          <w:lang w:val="es-VE"/>
        </w:rPr>
        <w:t>ó</w:t>
      </w:r>
      <w:r w:rsidRPr="00BF20FA">
        <w:rPr>
          <w:rFonts w:asciiTheme="majorHAnsi" w:hAnsiTheme="majorHAnsi"/>
          <w:color w:val="000000" w:themeColor="text1"/>
          <w:sz w:val="20"/>
          <w:szCs w:val="20"/>
          <w:lang w:val="es-VE"/>
        </w:rPr>
        <w:t xml:space="preserve"> que el Estado es responsable de violar los derechos a la vida, integridad personal, derechos del niño, propiedad privada y a la circulación y residencia, debido a que el paso de</w:t>
      </w:r>
      <w:r w:rsidR="00E851E9" w:rsidRPr="00BF20FA">
        <w:rPr>
          <w:rFonts w:asciiTheme="majorHAnsi" w:hAnsiTheme="majorHAnsi"/>
          <w:color w:val="000000" w:themeColor="text1"/>
          <w:sz w:val="20"/>
          <w:szCs w:val="20"/>
          <w:lang w:val="es-VE"/>
        </w:rPr>
        <w:t xml:space="preserve"> un oleoducto </w:t>
      </w:r>
      <w:r w:rsidRPr="00BF20FA">
        <w:rPr>
          <w:rFonts w:asciiTheme="majorHAnsi" w:hAnsiTheme="majorHAnsi"/>
          <w:color w:val="000000" w:themeColor="text1"/>
          <w:sz w:val="20"/>
          <w:szCs w:val="20"/>
          <w:lang w:val="es-VE"/>
        </w:rPr>
        <w:t xml:space="preserve">por su territorio ha causado que </w:t>
      </w:r>
      <w:r w:rsidR="00CA5820" w:rsidRPr="00BF20FA">
        <w:rPr>
          <w:rFonts w:asciiTheme="majorHAnsi" w:hAnsiTheme="majorHAnsi"/>
          <w:color w:val="000000" w:themeColor="text1"/>
          <w:sz w:val="20"/>
          <w:szCs w:val="20"/>
          <w:lang w:val="es-VE"/>
        </w:rPr>
        <w:t>éste</w:t>
      </w:r>
      <w:r w:rsidRPr="00BF20FA">
        <w:rPr>
          <w:rFonts w:asciiTheme="majorHAnsi" w:hAnsiTheme="majorHAnsi"/>
          <w:color w:val="000000" w:themeColor="text1"/>
          <w:sz w:val="20"/>
          <w:szCs w:val="20"/>
          <w:lang w:val="es-VE"/>
        </w:rPr>
        <w:t xml:space="preserve"> sea objeto de múltiples atentados</w:t>
      </w:r>
      <w:r w:rsidR="00E851E9" w:rsidRPr="00BF20FA">
        <w:rPr>
          <w:rFonts w:asciiTheme="majorHAnsi" w:hAnsiTheme="majorHAnsi"/>
          <w:color w:val="000000" w:themeColor="text1"/>
          <w:sz w:val="20"/>
          <w:szCs w:val="20"/>
          <w:lang w:val="es-VE"/>
        </w:rPr>
        <w:t xml:space="preserve"> por grupos al margen de la ley. Asimismo, indicó que</w:t>
      </w:r>
      <w:r w:rsidRPr="00BF20FA">
        <w:rPr>
          <w:rFonts w:asciiTheme="majorHAnsi" w:hAnsiTheme="majorHAnsi"/>
          <w:color w:val="000000" w:themeColor="text1"/>
          <w:sz w:val="20"/>
          <w:szCs w:val="20"/>
          <w:lang w:val="es-VE"/>
        </w:rPr>
        <w:t xml:space="preserve"> el 25 de marzo de </w:t>
      </w:r>
      <w:r w:rsidR="002A0CE0" w:rsidRPr="00BF20FA">
        <w:rPr>
          <w:rFonts w:asciiTheme="majorHAnsi" w:hAnsiTheme="majorHAnsi"/>
          <w:color w:val="000000" w:themeColor="text1"/>
          <w:sz w:val="20"/>
          <w:szCs w:val="20"/>
          <w:lang w:val="es-VE"/>
        </w:rPr>
        <w:t>2014 fue dinamitado un tramo del oleoducto</w:t>
      </w:r>
      <w:r w:rsidR="00CA5820" w:rsidRPr="00BF20FA">
        <w:rPr>
          <w:rFonts w:asciiTheme="majorHAnsi" w:hAnsiTheme="majorHAnsi"/>
          <w:color w:val="000000" w:themeColor="text1"/>
          <w:sz w:val="20"/>
          <w:szCs w:val="20"/>
          <w:lang w:val="es-VE"/>
        </w:rPr>
        <w:t xml:space="preserve">, </w:t>
      </w:r>
      <w:r w:rsidRPr="00BF20FA">
        <w:rPr>
          <w:rFonts w:asciiTheme="majorHAnsi" w:hAnsiTheme="majorHAnsi"/>
          <w:color w:val="000000" w:themeColor="text1"/>
          <w:sz w:val="20"/>
          <w:szCs w:val="20"/>
          <w:lang w:val="es-VE"/>
        </w:rPr>
        <w:t>dejando heridos a un hombre, una mujer y un niño</w:t>
      </w:r>
      <w:r w:rsidR="002A0CE0" w:rsidRPr="00BF20FA">
        <w:rPr>
          <w:rFonts w:asciiTheme="majorHAnsi" w:hAnsiTheme="majorHAnsi"/>
          <w:color w:val="000000" w:themeColor="text1"/>
          <w:sz w:val="20"/>
          <w:szCs w:val="20"/>
          <w:lang w:val="es-VE"/>
        </w:rPr>
        <w:t xml:space="preserve"> de</w:t>
      </w:r>
      <w:r w:rsidR="00876D57" w:rsidRPr="00BF20FA">
        <w:rPr>
          <w:rFonts w:asciiTheme="majorHAnsi" w:hAnsiTheme="majorHAnsi"/>
          <w:color w:val="000000" w:themeColor="text1"/>
          <w:sz w:val="20"/>
          <w:szCs w:val="20"/>
          <w:lang w:val="es-VE"/>
        </w:rPr>
        <w:t>l P</w:t>
      </w:r>
      <w:r w:rsidRPr="00BF20FA">
        <w:rPr>
          <w:rFonts w:asciiTheme="majorHAnsi" w:hAnsiTheme="majorHAnsi"/>
          <w:color w:val="000000" w:themeColor="text1"/>
          <w:sz w:val="20"/>
          <w:szCs w:val="20"/>
          <w:lang w:val="es-VE"/>
        </w:rPr>
        <w:t>ueblo U’</w:t>
      </w:r>
      <w:r w:rsidR="00CA5820" w:rsidRPr="00BF20FA">
        <w:rPr>
          <w:rFonts w:asciiTheme="majorHAnsi" w:hAnsiTheme="majorHAnsi"/>
          <w:color w:val="000000" w:themeColor="text1"/>
          <w:sz w:val="20"/>
          <w:szCs w:val="20"/>
          <w:lang w:val="es-VE"/>
        </w:rPr>
        <w:t>wa</w:t>
      </w:r>
      <w:r w:rsidR="00584B0F" w:rsidRPr="00BF20FA">
        <w:rPr>
          <w:rFonts w:asciiTheme="majorHAnsi" w:hAnsiTheme="majorHAnsi"/>
          <w:color w:val="000000" w:themeColor="text1"/>
          <w:sz w:val="20"/>
          <w:szCs w:val="20"/>
          <w:lang w:val="es-VE"/>
        </w:rPr>
        <w:t xml:space="preserve"> </w:t>
      </w:r>
      <w:r w:rsidR="00CA5820" w:rsidRPr="00BF20FA">
        <w:rPr>
          <w:rFonts w:asciiTheme="majorHAnsi" w:hAnsiTheme="majorHAnsi"/>
          <w:color w:val="000000" w:themeColor="text1"/>
          <w:sz w:val="20"/>
          <w:szCs w:val="20"/>
          <w:lang w:val="es-VE"/>
        </w:rPr>
        <w:t>y ocasionando desplazamiento de familias U’was, zozobra en la población, contamin</w:t>
      </w:r>
      <w:r w:rsidR="002A0CE0" w:rsidRPr="00BF20FA">
        <w:rPr>
          <w:rFonts w:asciiTheme="majorHAnsi" w:hAnsiTheme="majorHAnsi"/>
          <w:color w:val="000000" w:themeColor="text1"/>
          <w:sz w:val="20"/>
          <w:szCs w:val="20"/>
          <w:lang w:val="es-VE"/>
        </w:rPr>
        <w:t xml:space="preserve">ación de sus fuentes de agua y </w:t>
      </w:r>
      <w:r w:rsidR="00CA5820" w:rsidRPr="00BF20FA">
        <w:rPr>
          <w:rFonts w:asciiTheme="majorHAnsi" w:hAnsiTheme="majorHAnsi"/>
          <w:color w:val="000000" w:themeColor="text1"/>
          <w:sz w:val="20"/>
          <w:szCs w:val="20"/>
          <w:lang w:val="es-VE"/>
        </w:rPr>
        <w:t>afectaciones al Derecho Internacional Humanitario.</w:t>
      </w:r>
    </w:p>
    <w:p w14:paraId="6EC8504A" w14:textId="77777777" w:rsidR="008E0C6E" w:rsidRPr="00BF20FA" w:rsidRDefault="008E0C6E" w:rsidP="002E1E83">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15BD27D6" w14:textId="20CDA364" w:rsidR="00C24361" w:rsidRPr="00BF20FA" w:rsidRDefault="00C24361"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En cuanto a la violación a las garantías y protección judiciales,</w:t>
      </w:r>
      <w:r w:rsidR="00CA7D4B" w:rsidRPr="00BF20FA">
        <w:rPr>
          <w:rFonts w:asciiTheme="majorHAnsi" w:hAnsiTheme="majorHAnsi"/>
          <w:color w:val="000000" w:themeColor="text1"/>
          <w:sz w:val="20"/>
          <w:szCs w:val="20"/>
          <w:lang w:val="es-VE"/>
        </w:rPr>
        <w:t xml:space="preserve"> </w:t>
      </w:r>
      <w:r w:rsidRPr="00BF20FA">
        <w:rPr>
          <w:rFonts w:asciiTheme="majorHAnsi" w:hAnsiTheme="majorHAnsi"/>
          <w:color w:val="000000" w:themeColor="text1"/>
          <w:sz w:val="20"/>
          <w:szCs w:val="20"/>
          <w:lang w:val="es-VE"/>
        </w:rPr>
        <w:t>señal</w:t>
      </w:r>
      <w:r w:rsidR="00CA7D4B" w:rsidRPr="00BF20FA">
        <w:rPr>
          <w:rFonts w:asciiTheme="majorHAnsi" w:hAnsiTheme="majorHAnsi"/>
          <w:color w:val="000000" w:themeColor="text1"/>
          <w:sz w:val="20"/>
          <w:szCs w:val="20"/>
          <w:lang w:val="es-VE"/>
        </w:rPr>
        <w:t>ó</w:t>
      </w:r>
      <w:r w:rsidRPr="00BF20FA">
        <w:rPr>
          <w:rFonts w:asciiTheme="majorHAnsi" w:hAnsiTheme="majorHAnsi"/>
          <w:color w:val="000000" w:themeColor="text1"/>
          <w:sz w:val="20"/>
          <w:szCs w:val="20"/>
          <w:lang w:val="es-VE"/>
        </w:rPr>
        <w:t xml:space="preserve"> que </w:t>
      </w:r>
      <w:r w:rsidR="002A0CE0" w:rsidRPr="00BF20FA">
        <w:rPr>
          <w:rFonts w:asciiTheme="majorHAnsi" w:hAnsiTheme="majorHAnsi"/>
          <w:color w:val="000000" w:themeColor="text1"/>
          <w:sz w:val="20"/>
          <w:szCs w:val="20"/>
          <w:lang w:val="es-VE"/>
        </w:rPr>
        <w:t xml:space="preserve">se </w:t>
      </w:r>
      <w:r w:rsidRPr="00BF20FA">
        <w:rPr>
          <w:rFonts w:asciiTheme="majorHAnsi" w:hAnsiTheme="majorHAnsi"/>
          <w:color w:val="000000" w:themeColor="text1"/>
          <w:sz w:val="20"/>
          <w:szCs w:val="20"/>
          <w:lang w:val="es-VE"/>
        </w:rPr>
        <w:t>interpu</w:t>
      </w:r>
      <w:r w:rsidR="00CA7D4B" w:rsidRPr="00BF20FA">
        <w:rPr>
          <w:rFonts w:asciiTheme="majorHAnsi" w:hAnsiTheme="majorHAnsi"/>
          <w:color w:val="000000" w:themeColor="text1"/>
          <w:sz w:val="20"/>
          <w:szCs w:val="20"/>
          <w:lang w:val="es-VE"/>
        </w:rPr>
        <w:t>sieron</w:t>
      </w:r>
      <w:r w:rsidR="00295678" w:rsidRPr="00BF20FA">
        <w:rPr>
          <w:rFonts w:asciiTheme="majorHAnsi" w:hAnsiTheme="majorHAnsi"/>
          <w:color w:val="000000" w:themeColor="text1"/>
          <w:sz w:val="20"/>
          <w:szCs w:val="20"/>
          <w:lang w:val="es-VE"/>
        </w:rPr>
        <w:t xml:space="preserve"> </w:t>
      </w:r>
      <w:r w:rsidRPr="00BF20FA">
        <w:rPr>
          <w:rFonts w:asciiTheme="majorHAnsi" w:hAnsiTheme="majorHAnsi"/>
          <w:color w:val="000000" w:themeColor="text1"/>
          <w:sz w:val="20"/>
          <w:szCs w:val="20"/>
          <w:lang w:val="es-VE"/>
        </w:rPr>
        <w:t xml:space="preserve">demandas </w:t>
      </w:r>
      <w:r w:rsidR="00295678" w:rsidRPr="00BF20FA">
        <w:rPr>
          <w:rFonts w:asciiTheme="majorHAnsi" w:hAnsiTheme="majorHAnsi"/>
          <w:color w:val="000000" w:themeColor="text1"/>
          <w:sz w:val="20"/>
          <w:szCs w:val="20"/>
          <w:lang w:val="es-VE"/>
        </w:rPr>
        <w:t>contra</w:t>
      </w:r>
      <w:r w:rsidRPr="00BF20FA">
        <w:rPr>
          <w:rFonts w:asciiTheme="majorHAnsi" w:hAnsiTheme="majorHAnsi"/>
          <w:color w:val="000000" w:themeColor="text1"/>
          <w:sz w:val="20"/>
          <w:szCs w:val="20"/>
          <w:lang w:val="es-VE"/>
        </w:rPr>
        <w:t xml:space="preserve"> decisiones y proyectos extractivos realizad</w:t>
      </w:r>
      <w:r w:rsidR="00581CBF" w:rsidRPr="00BF20FA">
        <w:rPr>
          <w:rFonts w:asciiTheme="majorHAnsi" w:hAnsiTheme="majorHAnsi"/>
          <w:color w:val="000000" w:themeColor="text1"/>
          <w:sz w:val="20"/>
          <w:szCs w:val="20"/>
          <w:lang w:val="es-VE"/>
        </w:rPr>
        <w:t>o</w:t>
      </w:r>
      <w:r w:rsidRPr="00BF20FA">
        <w:rPr>
          <w:rFonts w:asciiTheme="majorHAnsi" w:hAnsiTheme="majorHAnsi"/>
          <w:color w:val="000000" w:themeColor="text1"/>
          <w:sz w:val="20"/>
          <w:szCs w:val="20"/>
          <w:lang w:val="es-VE"/>
        </w:rPr>
        <w:t>s en su territorio, en las cuales se constatan demoras</w:t>
      </w:r>
      <w:r w:rsidR="008A0FC3" w:rsidRPr="00BF20FA">
        <w:rPr>
          <w:rFonts w:asciiTheme="majorHAnsi" w:hAnsiTheme="majorHAnsi"/>
          <w:color w:val="000000" w:themeColor="text1"/>
          <w:sz w:val="20"/>
          <w:szCs w:val="20"/>
          <w:lang w:val="es-VE"/>
        </w:rPr>
        <w:t xml:space="preserve"> en </w:t>
      </w:r>
      <w:r w:rsidR="001C1400" w:rsidRPr="00BF20FA">
        <w:rPr>
          <w:rFonts w:asciiTheme="majorHAnsi" w:hAnsiTheme="majorHAnsi"/>
          <w:color w:val="000000" w:themeColor="text1"/>
          <w:sz w:val="20"/>
          <w:szCs w:val="20"/>
          <w:lang w:val="es-VE"/>
        </w:rPr>
        <w:t xml:space="preserve">su </w:t>
      </w:r>
      <w:r w:rsidR="008A0FC3" w:rsidRPr="00BF20FA">
        <w:rPr>
          <w:rFonts w:asciiTheme="majorHAnsi" w:hAnsiTheme="majorHAnsi"/>
          <w:color w:val="000000" w:themeColor="text1"/>
          <w:sz w:val="20"/>
          <w:szCs w:val="20"/>
          <w:lang w:val="es-VE"/>
        </w:rPr>
        <w:t xml:space="preserve">resolución y </w:t>
      </w:r>
      <w:r w:rsidR="001C1400" w:rsidRPr="00BF20FA">
        <w:rPr>
          <w:rFonts w:asciiTheme="majorHAnsi" w:hAnsiTheme="majorHAnsi"/>
          <w:color w:val="000000" w:themeColor="text1"/>
          <w:sz w:val="20"/>
          <w:szCs w:val="20"/>
          <w:lang w:val="es-VE"/>
        </w:rPr>
        <w:t>falta de</w:t>
      </w:r>
      <w:r w:rsidR="008A0FC3" w:rsidRPr="00BF20FA">
        <w:rPr>
          <w:rFonts w:asciiTheme="majorHAnsi" w:hAnsiTheme="majorHAnsi"/>
          <w:color w:val="000000" w:themeColor="text1"/>
          <w:sz w:val="20"/>
          <w:szCs w:val="20"/>
          <w:lang w:val="es-VE"/>
        </w:rPr>
        <w:t xml:space="preserve"> concesión de medidas cautelares</w:t>
      </w:r>
      <w:r w:rsidR="001C1400" w:rsidRPr="00BF20FA">
        <w:rPr>
          <w:rFonts w:asciiTheme="majorHAnsi" w:hAnsiTheme="majorHAnsi"/>
          <w:color w:val="000000" w:themeColor="text1"/>
          <w:sz w:val="20"/>
          <w:szCs w:val="20"/>
          <w:lang w:val="es-VE"/>
        </w:rPr>
        <w:t xml:space="preserve"> solicitadas</w:t>
      </w:r>
      <w:r w:rsidR="008A0FC3" w:rsidRPr="00BF20FA">
        <w:rPr>
          <w:rFonts w:asciiTheme="majorHAnsi" w:hAnsiTheme="majorHAnsi"/>
          <w:color w:val="000000" w:themeColor="text1"/>
          <w:sz w:val="20"/>
          <w:szCs w:val="20"/>
          <w:lang w:val="es-VE"/>
        </w:rPr>
        <w:t xml:space="preserve">, así como la prolongación de los litigios por décadas. Adicionalmente, </w:t>
      </w:r>
      <w:r w:rsidR="00876D57" w:rsidRPr="00BF20FA">
        <w:rPr>
          <w:rFonts w:asciiTheme="majorHAnsi" w:hAnsiTheme="majorHAnsi"/>
          <w:color w:val="000000" w:themeColor="text1"/>
          <w:sz w:val="20"/>
          <w:szCs w:val="20"/>
          <w:lang w:val="es-VE"/>
        </w:rPr>
        <w:t xml:space="preserve">refirió </w:t>
      </w:r>
      <w:r w:rsidR="008A0FC3" w:rsidRPr="00BF20FA">
        <w:rPr>
          <w:rFonts w:asciiTheme="majorHAnsi" w:hAnsiTheme="majorHAnsi"/>
          <w:color w:val="000000" w:themeColor="text1"/>
          <w:sz w:val="20"/>
          <w:szCs w:val="20"/>
          <w:lang w:val="es-VE"/>
        </w:rPr>
        <w:t>que</w:t>
      </w:r>
      <w:r w:rsidR="000D02B5" w:rsidRPr="00BF20FA">
        <w:rPr>
          <w:rFonts w:asciiTheme="majorHAnsi" w:hAnsiTheme="majorHAnsi"/>
          <w:color w:val="000000" w:themeColor="text1"/>
          <w:sz w:val="20"/>
          <w:szCs w:val="20"/>
          <w:lang w:val="es-VE"/>
        </w:rPr>
        <w:t xml:space="preserve"> las presuntas víctimas han</w:t>
      </w:r>
      <w:r w:rsidR="008A0FC3" w:rsidRPr="00BF20FA">
        <w:rPr>
          <w:rFonts w:asciiTheme="majorHAnsi" w:hAnsiTheme="majorHAnsi"/>
          <w:color w:val="000000" w:themeColor="text1"/>
          <w:sz w:val="20"/>
          <w:szCs w:val="20"/>
          <w:lang w:val="es-VE"/>
        </w:rPr>
        <w:t xml:space="preserve"> sufrido dificultades de acceso a la justicia</w:t>
      </w:r>
      <w:r w:rsidR="00541C89" w:rsidRPr="00BF20FA">
        <w:rPr>
          <w:rFonts w:asciiTheme="majorHAnsi" w:hAnsiTheme="majorHAnsi"/>
          <w:color w:val="000000" w:themeColor="text1"/>
          <w:sz w:val="20"/>
          <w:szCs w:val="20"/>
          <w:lang w:val="es-VE"/>
        </w:rPr>
        <w:t xml:space="preserve"> </w:t>
      </w:r>
      <w:r w:rsidR="008A0FC3" w:rsidRPr="00BF20FA">
        <w:rPr>
          <w:rFonts w:asciiTheme="majorHAnsi" w:hAnsiTheme="majorHAnsi"/>
          <w:color w:val="000000" w:themeColor="text1"/>
          <w:sz w:val="20"/>
          <w:szCs w:val="20"/>
          <w:lang w:val="es-VE"/>
        </w:rPr>
        <w:t>por la desventaja procesal en relación con las entidades y empresas demandadas</w:t>
      </w:r>
      <w:r w:rsidR="000D02B5" w:rsidRPr="00BF20FA">
        <w:rPr>
          <w:rFonts w:asciiTheme="majorHAnsi" w:hAnsiTheme="majorHAnsi"/>
          <w:color w:val="000000" w:themeColor="text1"/>
          <w:sz w:val="20"/>
          <w:szCs w:val="20"/>
          <w:lang w:val="es-VE"/>
        </w:rPr>
        <w:t>;</w:t>
      </w:r>
      <w:r w:rsidR="00311AF8" w:rsidRPr="00BF20FA">
        <w:rPr>
          <w:rFonts w:asciiTheme="majorHAnsi" w:hAnsiTheme="majorHAnsi"/>
          <w:color w:val="000000" w:themeColor="text1"/>
          <w:sz w:val="20"/>
          <w:szCs w:val="20"/>
          <w:lang w:val="es-VE"/>
        </w:rPr>
        <w:t xml:space="preserve"> las cargas procesales onerosas</w:t>
      </w:r>
      <w:r w:rsidR="000D02B5" w:rsidRPr="00BF20FA">
        <w:rPr>
          <w:rFonts w:asciiTheme="majorHAnsi" w:hAnsiTheme="majorHAnsi"/>
          <w:color w:val="000000" w:themeColor="text1"/>
          <w:sz w:val="20"/>
          <w:szCs w:val="20"/>
          <w:lang w:val="es-VE"/>
        </w:rPr>
        <w:t>;</w:t>
      </w:r>
      <w:r w:rsidR="008A0FC3" w:rsidRPr="00BF20FA">
        <w:rPr>
          <w:rFonts w:asciiTheme="majorHAnsi" w:hAnsiTheme="majorHAnsi"/>
          <w:color w:val="000000" w:themeColor="text1"/>
          <w:sz w:val="20"/>
          <w:szCs w:val="20"/>
          <w:lang w:val="es-VE"/>
        </w:rPr>
        <w:t xml:space="preserve"> la falta de medidas diferenciales y protección reforzada de sujetos procesales de carácter étnico</w:t>
      </w:r>
      <w:r w:rsidR="000D02B5" w:rsidRPr="00BF20FA">
        <w:rPr>
          <w:rFonts w:asciiTheme="majorHAnsi" w:hAnsiTheme="majorHAnsi"/>
          <w:color w:val="000000" w:themeColor="text1"/>
          <w:sz w:val="20"/>
          <w:szCs w:val="20"/>
          <w:lang w:val="es-VE"/>
        </w:rPr>
        <w:t>;</w:t>
      </w:r>
      <w:r w:rsidR="00311AF8" w:rsidRPr="00BF20FA">
        <w:rPr>
          <w:rFonts w:asciiTheme="majorHAnsi" w:hAnsiTheme="majorHAnsi"/>
          <w:color w:val="000000" w:themeColor="text1"/>
          <w:sz w:val="20"/>
          <w:szCs w:val="20"/>
          <w:lang w:val="es-VE"/>
        </w:rPr>
        <w:t xml:space="preserve"> y las prácticas ocultistas de las empresas y agencias extractivas del Estado.</w:t>
      </w:r>
    </w:p>
    <w:p w14:paraId="14AE0773" w14:textId="77777777" w:rsidR="008E0C6E" w:rsidRPr="00BF20FA" w:rsidRDefault="008E0C6E" w:rsidP="002E1E83">
      <w:pPr>
        <w:pStyle w:val="ListParagraph"/>
        <w:ind w:left="0"/>
        <w:jc w:val="both"/>
        <w:rPr>
          <w:rFonts w:asciiTheme="majorHAnsi" w:hAnsiTheme="majorHAnsi"/>
          <w:color w:val="000000" w:themeColor="text1"/>
          <w:sz w:val="20"/>
          <w:szCs w:val="20"/>
          <w:lang w:val="es-VE"/>
        </w:rPr>
      </w:pPr>
    </w:p>
    <w:p w14:paraId="73607DEC" w14:textId="77777777" w:rsidR="00D66DD8" w:rsidRPr="00BF20FA" w:rsidRDefault="00311AF8"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Además, adu</w:t>
      </w:r>
      <w:r w:rsidR="00876D57" w:rsidRPr="00BF20FA">
        <w:rPr>
          <w:rFonts w:asciiTheme="majorHAnsi" w:hAnsiTheme="majorHAnsi"/>
          <w:color w:val="000000" w:themeColor="text1"/>
          <w:sz w:val="20"/>
          <w:szCs w:val="20"/>
          <w:lang w:val="es-VE"/>
        </w:rPr>
        <w:t>jo</w:t>
      </w:r>
      <w:r w:rsidRPr="00BF20FA">
        <w:rPr>
          <w:rFonts w:asciiTheme="majorHAnsi" w:hAnsiTheme="majorHAnsi"/>
          <w:color w:val="000000" w:themeColor="text1"/>
          <w:sz w:val="20"/>
          <w:szCs w:val="20"/>
          <w:lang w:val="es-VE"/>
        </w:rPr>
        <w:t xml:space="preserve"> que el Estad</w:t>
      </w:r>
      <w:r w:rsidR="000D2007" w:rsidRPr="00BF20FA">
        <w:rPr>
          <w:rFonts w:asciiTheme="majorHAnsi" w:hAnsiTheme="majorHAnsi"/>
          <w:color w:val="000000" w:themeColor="text1"/>
          <w:sz w:val="20"/>
          <w:szCs w:val="20"/>
          <w:lang w:val="es-VE"/>
        </w:rPr>
        <w:t>o</w:t>
      </w:r>
      <w:r w:rsidRPr="00BF20FA">
        <w:rPr>
          <w:rFonts w:asciiTheme="majorHAnsi" w:hAnsiTheme="majorHAnsi"/>
          <w:color w:val="000000" w:themeColor="text1"/>
          <w:sz w:val="20"/>
          <w:szCs w:val="20"/>
          <w:lang w:val="es-VE"/>
        </w:rPr>
        <w:t xml:space="preserve"> es responsable por la violación al derecho a la libertad de expresión, a los derechos políticos y a la igualdad ante </w:t>
      </w:r>
      <w:r w:rsidR="00876D57" w:rsidRPr="00BF20FA">
        <w:rPr>
          <w:rFonts w:asciiTheme="majorHAnsi" w:hAnsiTheme="majorHAnsi"/>
          <w:color w:val="000000" w:themeColor="text1"/>
          <w:sz w:val="20"/>
          <w:szCs w:val="20"/>
          <w:lang w:val="es-VE"/>
        </w:rPr>
        <w:t>la ley y no discriminación del P</w:t>
      </w:r>
      <w:r w:rsidRPr="00BF20FA">
        <w:rPr>
          <w:rFonts w:asciiTheme="majorHAnsi" w:hAnsiTheme="majorHAnsi"/>
          <w:color w:val="000000" w:themeColor="text1"/>
          <w:sz w:val="20"/>
          <w:szCs w:val="20"/>
          <w:lang w:val="es-VE"/>
        </w:rPr>
        <w:t>ueblo U’wa</w:t>
      </w:r>
      <w:r w:rsidR="000D02B5" w:rsidRPr="00BF20FA">
        <w:rPr>
          <w:rFonts w:asciiTheme="majorHAnsi" w:hAnsiTheme="majorHAnsi"/>
          <w:color w:val="000000" w:themeColor="text1"/>
          <w:sz w:val="20"/>
          <w:szCs w:val="20"/>
          <w:lang w:val="es-VE"/>
        </w:rPr>
        <w:t>,</w:t>
      </w:r>
      <w:r w:rsidR="00BF3E71" w:rsidRPr="00BF20FA">
        <w:rPr>
          <w:rFonts w:asciiTheme="majorHAnsi" w:hAnsiTheme="majorHAnsi"/>
          <w:color w:val="000000" w:themeColor="text1"/>
          <w:sz w:val="20"/>
          <w:szCs w:val="20"/>
          <w:lang w:val="es-VE"/>
        </w:rPr>
        <w:t xml:space="preserve"> </w:t>
      </w:r>
      <w:r w:rsidRPr="00BF20FA">
        <w:rPr>
          <w:rFonts w:asciiTheme="majorHAnsi" w:hAnsiTheme="majorHAnsi"/>
          <w:color w:val="000000" w:themeColor="text1"/>
          <w:sz w:val="20"/>
          <w:szCs w:val="20"/>
          <w:lang w:val="es-VE"/>
        </w:rPr>
        <w:t xml:space="preserve"> debido a que </w:t>
      </w:r>
      <w:r w:rsidR="00FB23FE" w:rsidRPr="00BF20FA">
        <w:rPr>
          <w:rFonts w:asciiTheme="majorHAnsi" w:hAnsiTheme="majorHAnsi"/>
          <w:color w:val="000000" w:themeColor="text1"/>
          <w:sz w:val="20"/>
          <w:szCs w:val="20"/>
          <w:lang w:val="es-VE"/>
        </w:rPr>
        <w:t xml:space="preserve">al ser </w:t>
      </w:r>
      <w:r w:rsidRPr="00BF20FA">
        <w:rPr>
          <w:rFonts w:asciiTheme="majorHAnsi" w:hAnsiTheme="majorHAnsi"/>
          <w:color w:val="000000" w:themeColor="text1"/>
          <w:sz w:val="20"/>
          <w:szCs w:val="20"/>
          <w:lang w:val="es-VE"/>
        </w:rPr>
        <w:t xml:space="preserve"> propietari</w:t>
      </w:r>
      <w:r w:rsidR="00876D57" w:rsidRPr="00BF20FA">
        <w:rPr>
          <w:rFonts w:asciiTheme="majorHAnsi" w:hAnsiTheme="majorHAnsi"/>
          <w:color w:val="000000" w:themeColor="text1"/>
          <w:sz w:val="20"/>
          <w:szCs w:val="20"/>
          <w:lang w:val="es-VE"/>
        </w:rPr>
        <w:t>o</w:t>
      </w:r>
      <w:r w:rsidRPr="00BF20FA">
        <w:rPr>
          <w:rFonts w:asciiTheme="majorHAnsi" w:hAnsiTheme="majorHAnsi"/>
          <w:color w:val="000000" w:themeColor="text1"/>
          <w:sz w:val="20"/>
          <w:szCs w:val="20"/>
          <w:lang w:val="es-VE"/>
        </w:rPr>
        <w:t xml:space="preserve"> legítim</w:t>
      </w:r>
      <w:r w:rsidR="00876D57" w:rsidRPr="00BF20FA">
        <w:rPr>
          <w:rFonts w:asciiTheme="majorHAnsi" w:hAnsiTheme="majorHAnsi"/>
          <w:color w:val="000000" w:themeColor="text1"/>
          <w:sz w:val="20"/>
          <w:szCs w:val="20"/>
          <w:lang w:val="es-VE"/>
        </w:rPr>
        <w:t>o</w:t>
      </w:r>
      <w:r w:rsidRPr="00BF20FA">
        <w:rPr>
          <w:rFonts w:asciiTheme="majorHAnsi" w:hAnsiTheme="majorHAnsi"/>
          <w:color w:val="000000" w:themeColor="text1"/>
          <w:sz w:val="20"/>
          <w:szCs w:val="20"/>
          <w:lang w:val="es-VE"/>
        </w:rPr>
        <w:t xml:space="preserve"> del territorio ancestral y sagrado, incluyendo las minas y el subsuelo petrolífero, tiene un derecho al veto de todas las decisiones extractivas que alteran su mundo espiritual y material</w:t>
      </w:r>
      <w:r w:rsidR="000D02B5" w:rsidRPr="00BF20FA">
        <w:rPr>
          <w:rFonts w:asciiTheme="majorHAnsi" w:hAnsiTheme="majorHAnsi"/>
          <w:color w:val="000000" w:themeColor="text1"/>
          <w:sz w:val="20"/>
          <w:szCs w:val="20"/>
          <w:lang w:val="es-VE"/>
        </w:rPr>
        <w:t>;</w:t>
      </w:r>
      <w:r w:rsidRPr="00BF20FA">
        <w:rPr>
          <w:rFonts w:asciiTheme="majorHAnsi" w:hAnsiTheme="majorHAnsi"/>
          <w:color w:val="000000" w:themeColor="text1"/>
          <w:sz w:val="20"/>
          <w:szCs w:val="20"/>
          <w:lang w:val="es-VE"/>
        </w:rPr>
        <w:t xml:space="preserve"> sin embargo</w:t>
      </w:r>
      <w:r w:rsidR="000D02B5" w:rsidRPr="00BF20FA">
        <w:rPr>
          <w:rFonts w:asciiTheme="majorHAnsi" w:hAnsiTheme="majorHAnsi"/>
          <w:color w:val="000000" w:themeColor="text1"/>
          <w:sz w:val="20"/>
          <w:szCs w:val="20"/>
          <w:lang w:val="es-VE"/>
        </w:rPr>
        <w:t>,</w:t>
      </w:r>
      <w:r w:rsidRPr="00BF20FA">
        <w:rPr>
          <w:rFonts w:asciiTheme="majorHAnsi" w:hAnsiTheme="majorHAnsi"/>
          <w:color w:val="000000" w:themeColor="text1"/>
          <w:sz w:val="20"/>
          <w:szCs w:val="20"/>
          <w:lang w:val="es-VE"/>
        </w:rPr>
        <w:t xml:space="preserve"> el Estado ha considerado la consulta previa como un trámite administrativo que sólo busca informar sobre la ejecución definitiva del proyecto</w:t>
      </w:r>
      <w:r w:rsidR="000D02B5" w:rsidRPr="00BF20FA">
        <w:rPr>
          <w:rFonts w:asciiTheme="majorHAnsi" w:hAnsiTheme="majorHAnsi"/>
          <w:color w:val="000000" w:themeColor="text1"/>
          <w:sz w:val="20"/>
          <w:szCs w:val="20"/>
          <w:lang w:val="es-VE"/>
        </w:rPr>
        <w:t>,</w:t>
      </w:r>
      <w:r w:rsidRPr="00BF20FA">
        <w:rPr>
          <w:rFonts w:asciiTheme="majorHAnsi" w:hAnsiTheme="majorHAnsi"/>
          <w:color w:val="000000" w:themeColor="text1"/>
          <w:sz w:val="20"/>
          <w:szCs w:val="20"/>
          <w:lang w:val="es-VE"/>
        </w:rPr>
        <w:t xml:space="preserve"> sin estar dirigido a obtener </w:t>
      </w:r>
      <w:r w:rsidR="00876D57" w:rsidRPr="00BF20FA">
        <w:rPr>
          <w:rFonts w:asciiTheme="majorHAnsi" w:hAnsiTheme="majorHAnsi"/>
          <w:color w:val="000000" w:themeColor="text1"/>
          <w:sz w:val="20"/>
          <w:szCs w:val="20"/>
          <w:lang w:val="es-VE"/>
        </w:rPr>
        <w:t>su</w:t>
      </w:r>
      <w:r w:rsidRPr="00BF20FA">
        <w:rPr>
          <w:rFonts w:asciiTheme="majorHAnsi" w:hAnsiTheme="majorHAnsi"/>
          <w:color w:val="000000" w:themeColor="text1"/>
          <w:sz w:val="20"/>
          <w:szCs w:val="20"/>
          <w:lang w:val="es-VE"/>
        </w:rPr>
        <w:t xml:space="preserve"> consentimiento libre, previo e informado. Añad</w:t>
      </w:r>
      <w:r w:rsidR="00876D57" w:rsidRPr="00BF20FA">
        <w:rPr>
          <w:rFonts w:asciiTheme="majorHAnsi" w:hAnsiTheme="majorHAnsi"/>
          <w:color w:val="000000" w:themeColor="text1"/>
          <w:sz w:val="20"/>
          <w:szCs w:val="20"/>
          <w:lang w:val="es-VE"/>
        </w:rPr>
        <w:t xml:space="preserve">ió </w:t>
      </w:r>
      <w:r w:rsidR="009A7CC5" w:rsidRPr="00BF20FA">
        <w:rPr>
          <w:rFonts w:asciiTheme="majorHAnsi" w:hAnsiTheme="majorHAnsi"/>
          <w:color w:val="000000" w:themeColor="text1"/>
          <w:sz w:val="20"/>
          <w:szCs w:val="20"/>
          <w:lang w:val="es-VE"/>
        </w:rPr>
        <w:t xml:space="preserve">que el </w:t>
      </w:r>
      <w:r w:rsidRPr="00BF20FA">
        <w:rPr>
          <w:rFonts w:asciiTheme="majorHAnsi" w:hAnsiTheme="majorHAnsi"/>
          <w:color w:val="000000" w:themeColor="text1"/>
          <w:sz w:val="20"/>
          <w:szCs w:val="20"/>
          <w:lang w:val="es-VE"/>
        </w:rPr>
        <w:t xml:space="preserve">señalamiento </w:t>
      </w:r>
      <w:r w:rsidR="00BF3E71" w:rsidRPr="00BF20FA">
        <w:rPr>
          <w:rFonts w:asciiTheme="majorHAnsi" w:hAnsiTheme="majorHAnsi"/>
          <w:color w:val="000000" w:themeColor="text1"/>
          <w:sz w:val="20"/>
          <w:szCs w:val="20"/>
          <w:lang w:val="es-VE"/>
        </w:rPr>
        <w:t>de la movilización pacífica de la Nación U’wa,</w:t>
      </w:r>
      <w:r w:rsidR="009A7CC5" w:rsidRPr="00BF20FA">
        <w:rPr>
          <w:rFonts w:asciiTheme="majorHAnsi" w:hAnsiTheme="majorHAnsi"/>
          <w:color w:val="000000" w:themeColor="text1"/>
          <w:sz w:val="20"/>
          <w:szCs w:val="20"/>
          <w:lang w:val="es-VE"/>
        </w:rPr>
        <w:t xml:space="preserve"> como hechos de violencia y el uso de la fuerza pública en dichas manife</w:t>
      </w:r>
      <w:r w:rsidR="00814EBA" w:rsidRPr="00BF20FA">
        <w:rPr>
          <w:rFonts w:asciiTheme="majorHAnsi" w:hAnsiTheme="majorHAnsi"/>
          <w:color w:val="000000" w:themeColor="text1"/>
          <w:sz w:val="20"/>
          <w:szCs w:val="20"/>
          <w:lang w:val="es-VE"/>
        </w:rPr>
        <w:t>s</w:t>
      </w:r>
      <w:r w:rsidR="009A7CC5" w:rsidRPr="00BF20FA">
        <w:rPr>
          <w:rFonts w:asciiTheme="majorHAnsi" w:hAnsiTheme="majorHAnsi"/>
          <w:color w:val="000000" w:themeColor="text1"/>
          <w:sz w:val="20"/>
          <w:szCs w:val="20"/>
          <w:lang w:val="es-VE"/>
        </w:rPr>
        <w:t>taciones,</w:t>
      </w:r>
      <w:r w:rsidR="00BF3E71" w:rsidRPr="00BF20FA">
        <w:rPr>
          <w:rFonts w:asciiTheme="majorHAnsi" w:hAnsiTheme="majorHAnsi"/>
          <w:color w:val="000000" w:themeColor="text1"/>
          <w:sz w:val="20"/>
          <w:szCs w:val="20"/>
          <w:lang w:val="es-VE"/>
        </w:rPr>
        <w:t xml:space="preserve"> también viola su derecho a expres</w:t>
      </w:r>
      <w:r w:rsidR="00FB23FE" w:rsidRPr="00BF20FA">
        <w:rPr>
          <w:rFonts w:asciiTheme="majorHAnsi" w:hAnsiTheme="majorHAnsi"/>
          <w:color w:val="000000" w:themeColor="text1"/>
          <w:sz w:val="20"/>
          <w:szCs w:val="20"/>
          <w:lang w:val="es-VE"/>
        </w:rPr>
        <w:t>arse libremente. Con respecto a</w:t>
      </w:r>
      <w:r w:rsidR="00BF3E71" w:rsidRPr="00BF20FA">
        <w:rPr>
          <w:rFonts w:asciiTheme="majorHAnsi" w:hAnsiTheme="majorHAnsi"/>
          <w:color w:val="000000" w:themeColor="text1"/>
          <w:sz w:val="20"/>
          <w:szCs w:val="20"/>
          <w:lang w:val="es-VE"/>
        </w:rPr>
        <w:t xml:space="preserve"> los derechos políticos</w:t>
      </w:r>
      <w:r w:rsidR="00CA5831" w:rsidRPr="00BF20FA">
        <w:rPr>
          <w:rFonts w:asciiTheme="majorHAnsi" w:hAnsiTheme="majorHAnsi"/>
          <w:color w:val="000000" w:themeColor="text1"/>
          <w:sz w:val="20"/>
          <w:szCs w:val="20"/>
          <w:lang w:val="es-VE"/>
        </w:rPr>
        <w:t>,</w:t>
      </w:r>
      <w:r w:rsidR="00BF3E71" w:rsidRPr="00BF20FA">
        <w:rPr>
          <w:rFonts w:asciiTheme="majorHAnsi" w:hAnsiTheme="majorHAnsi"/>
          <w:color w:val="000000" w:themeColor="text1"/>
          <w:sz w:val="20"/>
          <w:szCs w:val="20"/>
          <w:lang w:val="es-VE"/>
        </w:rPr>
        <w:t xml:space="preserve"> afirm</w:t>
      </w:r>
      <w:r w:rsidR="003D31EC" w:rsidRPr="00BF20FA">
        <w:rPr>
          <w:rFonts w:asciiTheme="majorHAnsi" w:hAnsiTheme="majorHAnsi"/>
          <w:color w:val="000000" w:themeColor="text1"/>
          <w:sz w:val="20"/>
          <w:szCs w:val="20"/>
          <w:lang w:val="es-VE"/>
        </w:rPr>
        <w:t>ó</w:t>
      </w:r>
      <w:r w:rsidR="00BF3E71" w:rsidRPr="00BF20FA">
        <w:rPr>
          <w:rFonts w:asciiTheme="majorHAnsi" w:hAnsiTheme="majorHAnsi"/>
          <w:color w:val="000000" w:themeColor="text1"/>
          <w:sz w:val="20"/>
          <w:szCs w:val="20"/>
          <w:lang w:val="es-VE"/>
        </w:rPr>
        <w:t xml:space="preserve"> que la consulta es una manifestación y concreción del derecho constitucional a la participación política e individual de los pueblos indígenas</w:t>
      </w:r>
      <w:r w:rsidR="00D66DD8" w:rsidRPr="00BF20FA">
        <w:rPr>
          <w:rFonts w:asciiTheme="majorHAnsi" w:hAnsiTheme="majorHAnsi"/>
          <w:color w:val="000000" w:themeColor="text1"/>
          <w:sz w:val="20"/>
          <w:szCs w:val="20"/>
          <w:lang w:val="es-VE"/>
        </w:rPr>
        <w:t>.</w:t>
      </w:r>
    </w:p>
    <w:p w14:paraId="57CBBAF2" w14:textId="77777777" w:rsidR="00D66DD8" w:rsidRPr="00BF20FA" w:rsidRDefault="00D66DD8" w:rsidP="00D1685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3DCFCBA0" w14:textId="77777777" w:rsidR="00AB2328" w:rsidRPr="00BF20FA" w:rsidRDefault="00BF3E71"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Adicionalmente</w:t>
      </w:r>
      <w:r w:rsidR="00CA5831" w:rsidRPr="00BF20FA">
        <w:rPr>
          <w:rFonts w:asciiTheme="majorHAnsi" w:hAnsiTheme="majorHAnsi"/>
          <w:color w:val="000000" w:themeColor="text1"/>
          <w:sz w:val="20"/>
          <w:szCs w:val="20"/>
          <w:lang w:val="es-VE"/>
        </w:rPr>
        <w:t>,</w:t>
      </w:r>
      <w:r w:rsidR="003D31EC" w:rsidRPr="00BF20FA">
        <w:rPr>
          <w:rFonts w:asciiTheme="majorHAnsi" w:hAnsiTheme="majorHAnsi"/>
          <w:color w:val="000000" w:themeColor="text1"/>
          <w:sz w:val="20"/>
          <w:szCs w:val="20"/>
          <w:lang w:val="es-VE"/>
        </w:rPr>
        <w:t xml:space="preserve"> refirió</w:t>
      </w:r>
      <w:r w:rsidRPr="00BF20FA">
        <w:rPr>
          <w:rFonts w:asciiTheme="majorHAnsi" w:hAnsiTheme="majorHAnsi"/>
          <w:color w:val="000000" w:themeColor="text1"/>
          <w:sz w:val="20"/>
          <w:szCs w:val="20"/>
          <w:lang w:val="es-VE"/>
        </w:rPr>
        <w:t xml:space="preserve"> que el Estado violó el derecho a la familia, debido a </w:t>
      </w:r>
      <w:r w:rsidR="00D66DD8" w:rsidRPr="00BF20FA">
        <w:rPr>
          <w:rFonts w:asciiTheme="majorHAnsi" w:hAnsiTheme="majorHAnsi"/>
          <w:color w:val="000000" w:themeColor="text1"/>
          <w:sz w:val="20"/>
          <w:szCs w:val="20"/>
          <w:lang w:val="es-VE"/>
        </w:rPr>
        <w:t>que ésta</w:t>
      </w:r>
      <w:r w:rsidRPr="00BF20FA">
        <w:rPr>
          <w:rFonts w:asciiTheme="majorHAnsi" w:hAnsiTheme="majorHAnsi"/>
          <w:color w:val="000000" w:themeColor="text1"/>
          <w:sz w:val="20"/>
          <w:szCs w:val="20"/>
          <w:lang w:val="es-VE"/>
        </w:rPr>
        <w:t xml:space="preserve"> </w:t>
      </w:r>
      <w:r w:rsidRPr="00BF20FA">
        <w:rPr>
          <w:rFonts w:asciiTheme="majorHAnsi" w:hAnsiTheme="majorHAnsi"/>
          <w:color w:val="000000" w:themeColor="text1"/>
          <w:sz w:val="20"/>
          <w:szCs w:val="20"/>
          <w:lang w:val="es-CO"/>
        </w:rPr>
        <w:t>tiene un rol fundamental que es preservar y mantener el equilibrio natural a través de los espíritus del territori</w:t>
      </w:r>
      <w:r w:rsidR="003D31EC" w:rsidRPr="00BF20FA">
        <w:rPr>
          <w:rFonts w:asciiTheme="majorHAnsi" w:hAnsiTheme="majorHAnsi"/>
          <w:color w:val="000000" w:themeColor="text1"/>
          <w:sz w:val="20"/>
          <w:szCs w:val="20"/>
          <w:lang w:val="es-CO"/>
        </w:rPr>
        <w:t>o y e</w:t>
      </w:r>
      <w:r w:rsidR="00D66DD8" w:rsidRPr="00BF20FA">
        <w:rPr>
          <w:rFonts w:asciiTheme="majorHAnsi" w:hAnsiTheme="majorHAnsi"/>
          <w:color w:val="000000" w:themeColor="text1"/>
          <w:sz w:val="20"/>
          <w:szCs w:val="20"/>
          <w:lang w:val="es-CO"/>
        </w:rPr>
        <w:t xml:space="preserve">ste </w:t>
      </w:r>
      <w:r w:rsidRPr="00BF20FA">
        <w:rPr>
          <w:rFonts w:asciiTheme="majorHAnsi" w:hAnsiTheme="majorHAnsi"/>
          <w:color w:val="000000" w:themeColor="text1"/>
          <w:sz w:val="20"/>
          <w:szCs w:val="20"/>
          <w:lang w:val="es-CO"/>
        </w:rPr>
        <w:t xml:space="preserve"> equilibrio es interrumpido con la extracción de recursos del subsuelo </w:t>
      </w:r>
      <w:r w:rsidR="00FB23FE" w:rsidRPr="00BF20FA">
        <w:rPr>
          <w:rFonts w:asciiTheme="majorHAnsi" w:hAnsiTheme="majorHAnsi"/>
          <w:color w:val="000000" w:themeColor="text1"/>
          <w:sz w:val="20"/>
          <w:szCs w:val="20"/>
          <w:lang w:val="es-CO"/>
        </w:rPr>
        <w:t>pues</w:t>
      </w:r>
      <w:r w:rsidRPr="00BF20FA">
        <w:rPr>
          <w:rFonts w:asciiTheme="majorHAnsi" w:hAnsiTheme="majorHAnsi"/>
          <w:color w:val="000000" w:themeColor="text1"/>
          <w:sz w:val="20"/>
          <w:szCs w:val="20"/>
          <w:lang w:val="es-CO"/>
        </w:rPr>
        <w:t xml:space="preserve"> significa la ‘‘destrucción de los elementos vitales en la sostenibilidad del mundo’’, generando la ausencia de </w:t>
      </w:r>
      <w:r w:rsidR="003D31EC" w:rsidRPr="00BF20FA">
        <w:rPr>
          <w:rFonts w:asciiTheme="majorHAnsi" w:hAnsiTheme="majorHAnsi"/>
          <w:color w:val="000000" w:themeColor="text1"/>
          <w:sz w:val="20"/>
          <w:szCs w:val="20"/>
          <w:lang w:val="es-CO"/>
        </w:rPr>
        <w:t xml:space="preserve">los </w:t>
      </w:r>
      <w:r w:rsidRPr="00BF20FA">
        <w:rPr>
          <w:rFonts w:asciiTheme="majorHAnsi" w:hAnsiTheme="majorHAnsi"/>
          <w:color w:val="000000" w:themeColor="text1"/>
          <w:sz w:val="20"/>
          <w:szCs w:val="20"/>
          <w:lang w:val="es-CO"/>
        </w:rPr>
        <w:t xml:space="preserve">espíritus que necesita la familia para sostener y garantizar que las generaciones futuras U’wa sobrevivan. </w:t>
      </w:r>
      <w:r w:rsidR="00134CB5" w:rsidRPr="00BF20FA">
        <w:rPr>
          <w:rFonts w:asciiTheme="majorHAnsi" w:hAnsiTheme="majorHAnsi"/>
          <w:color w:val="000000" w:themeColor="text1"/>
          <w:sz w:val="20"/>
          <w:szCs w:val="20"/>
          <w:lang w:val="es-CO"/>
        </w:rPr>
        <w:t>A</w:t>
      </w:r>
      <w:r w:rsidRPr="00BF20FA">
        <w:rPr>
          <w:rFonts w:asciiTheme="majorHAnsi" w:hAnsiTheme="majorHAnsi"/>
          <w:color w:val="000000" w:themeColor="text1"/>
          <w:sz w:val="20"/>
          <w:szCs w:val="20"/>
          <w:lang w:val="es-CO"/>
        </w:rPr>
        <w:t>leg</w:t>
      </w:r>
      <w:r w:rsidR="003D31EC" w:rsidRPr="00BF20FA">
        <w:rPr>
          <w:rFonts w:asciiTheme="majorHAnsi" w:hAnsiTheme="majorHAnsi"/>
          <w:color w:val="000000" w:themeColor="text1"/>
          <w:sz w:val="20"/>
          <w:szCs w:val="20"/>
          <w:lang w:val="es-CO"/>
        </w:rPr>
        <w:t>ó</w:t>
      </w:r>
      <w:r w:rsidRPr="00BF20FA">
        <w:rPr>
          <w:rFonts w:asciiTheme="majorHAnsi" w:hAnsiTheme="majorHAnsi"/>
          <w:color w:val="000000" w:themeColor="text1"/>
          <w:sz w:val="20"/>
          <w:szCs w:val="20"/>
          <w:lang w:val="es-CO"/>
        </w:rPr>
        <w:t xml:space="preserve"> que el Estado es responsable de violar el derecho a la propiedad comunal del Pueblo U’wa y sus miembros sobre el territorio y</w:t>
      </w:r>
      <w:r w:rsidR="00FB23FE" w:rsidRPr="00BF20FA">
        <w:rPr>
          <w:rFonts w:asciiTheme="majorHAnsi" w:hAnsiTheme="majorHAnsi"/>
          <w:color w:val="000000" w:themeColor="text1"/>
          <w:sz w:val="20"/>
          <w:szCs w:val="20"/>
          <w:lang w:val="es-CO"/>
        </w:rPr>
        <w:t xml:space="preserve"> sus</w:t>
      </w:r>
      <w:r w:rsidRPr="00BF20FA">
        <w:rPr>
          <w:rFonts w:asciiTheme="majorHAnsi" w:hAnsiTheme="majorHAnsi"/>
          <w:color w:val="000000" w:themeColor="text1"/>
          <w:sz w:val="20"/>
          <w:szCs w:val="20"/>
          <w:lang w:val="es-CO"/>
        </w:rPr>
        <w:t xml:space="preserve"> recursos naturales, así como de los elementos incorporales que se deprenden de ellos, violando la relación</w:t>
      </w:r>
      <w:r w:rsidR="003D31EC" w:rsidRPr="00BF20FA">
        <w:rPr>
          <w:rFonts w:asciiTheme="majorHAnsi" w:hAnsiTheme="majorHAnsi"/>
          <w:color w:val="000000" w:themeColor="text1"/>
          <w:sz w:val="20"/>
          <w:szCs w:val="20"/>
          <w:lang w:val="es-CO"/>
        </w:rPr>
        <w:t xml:space="preserve"> fundamental del pueblo con la Madre T</w:t>
      </w:r>
      <w:r w:rsidRPr="00BF20FA">
        <w:rPr>
          <w:rFonts w:asciiTheme="majorHAnsi" w:hAnsiTheme="majorHAnsi"/>
          <w:color w:val="000000" w:themeColor="text1"/>
          <w:sz w:val="20"/>
          <w:szCs w:val="20"/>
          <w:lang w:val="es-CO"/>
        </w:rPr>
        <w:t xml:space="preserve">ierra. </w:t>
      </w:r>
    </w:p>
    <w:p w14:paraId="67C3A0AC" w14:textId="77777777" w:rsidR="000D2007" w:rsidRPr="00BF20FA" w:rsidRDefault="000D2007" w:rsidP="00D1685F">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56F7E7BC" w14:textId="77777777" w:rsidR="00CF6AC6" w:rsidRPr="00BF20FA" w:rsidRDefault="003D31EC"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 xml:space="preserve">Agregó </w:t>
      </w:r>
      <w:r w:rsidR="00FB23FE" w:rsidRPr="00BF20FA">
        <w:rPr>
          <w:rFonts w:asciiTheme="majorHAnsi" w:hAnsiTheme="majorHAnsi"/>
          <w:color w:val="000000" w:themeColor="text1"/>
          <w:sz w:val="20"/>
          <w:szCs w:val="20"/>
          <w:lang w:val="es-VE"/>
        </w:rPr>
        <w:t xml:space="preserve">que hubo una violación </w:t>
      </w:r>
      <w:r w:rsidR="00810BEC" w:rsidRPr="00BF20FA">
        <w:rPr>
          <w:rFonts w:asciiTheme="majorHAnsi" w:hAnsiTheme="majorHAnsi"/>
          <w:color w:val="000000" w:themeColor="text1"/>
          <w:sz w:val="20"/>
          <w:szCs w:val="20"/>
          <w:lang w:val="es-VE"/>
        </w:rPr>
        <w:t xml:space="preserve">a la </w:t>
      </w:r>
      <w:r w:rsidR="001D6B5C" w:rsidRPr="00BF20FA">
        <w:rPr>
          <w:rFonts w:asciiTheme="majorHAnsi" w:hAnsiTheme="majorHAnsi"/>
          <w:color w:val="000000" w:themeColor="text1"/>
          <w:sz w:val="20"/>
          <w:szCs w:val="20"/>
          <w:lang w:val="es-VE"/>
        </w:rPr>
        <w:t>integralidad</w:t>
      </w:r>
      <w:r w:rsidR="00810BEC" w:rsidRPr="00BF20FA">
        <w:rPr>
          <w:rFonts w:asciiTheme="majorHAnsi" w:hAnsiTheme="majorHAnsi"/>
          <w:color w:val="000000" w:themeColor="text1"/>
          <w:sz w:val="20"/>
          <w:szCs w:val="20"/>
          <w:lang w:val="es-VE"/>
        </w:rPr>
        <w:t xml:space="preserve"> del territorio y la identidad cultural </w:t>
      </w:r>
      <w:r w:rsidR="001D6B5C" w:rsidRPr="00BF20FA">
        <w:rPr>
          <w:rFonts w:asciiTheme="majorHAnsi" w:hAnsiTheme="majorHAnsi"/>
          <w:color w:val="000000" w:themeColor="text1"/>
          <w:sz w:val="20"/>
          <w:szCs w:val="20"/>
          <w:lang w:val="es-VE"/>
        </w:rPr>
        <w:t>debido</w:t>
      </w:r>
      <w:r w:rsidR="00810BEC" w:rsidRPr="00BF20FA">
        <w:rPr>
          <w:rFonts w:asciiTheme="majorHAnsi" w:hAnsiTheme="majorHAnsi"/>
          <w:color w:val="000000" w:themeColor="text1"/>
          <w:sz w:val="20"/>
          <w:szCs w:val="20"/>
          <w:lang w:val="es-VE"/>
        </w:rPr>
        <w:t xml:space="preserve"> a que al crear </w:t>
      </w:r>
      <w:r w:rsidR="009A7CC5" w:rsidRPr="00BF20FA">
        <w:rPr>
          <w:rFonts w:asciiTheme="majorHAnsi" w:hAnsiTheme="majorHAnsi"/>
          <w:color w:val="000000" w:themeColor="text1"/>
          <w:sz w:val="20"/>
          <w:szCs w:val="20"/>
          <w:lang w:val="es-VE"/>
        </w:rPr>
        <w:t xml:space="preserve">el </w:t>
      </w:r>
      <w:r w:rsidR="00810BEC" w:rsidRPr="00BF20FA">
        <w:rPr>
          <w:rFonts w:asciiTheme="majorHAnsi" w:hAnsiTheme="majorHAnsi"/>
          <w:color w:val="000000" w:themeColor="text1"/>
          <w:sz w:val="20"/>
          <w:szCs w:val="20"/>
          <w:lang w:val="es-VE"/>
        </w:rPr>
        <w:t xml:space="preserve">Parque Natural </w:t>
      </w:r>
      <w:r w:rsidR="000B7D9A" w:rsidRPr="00BF20FA">
        <w:rPr>
          <w:rFonts w:asciiTheme="majorHAnsi" w:hAnsiTheme="majorHAnsi"/>
          <w:color w:val="000000" w:themeColor="text1"/>
          <w:sz w:val="20"/>
          <w:szCs w:val="20"/>
          <w:lang w:val="es-VE"/>
        </w:rPr>
        <w:t>“</w:t>
      </w:r>
      <w:r w:rsidR="00810BEC" w:rsidRPr="00BF20FA">
        <w:rPr>
          <w:rFonts w:asciiTheme="majorHAnsi" w:hAnsiTheme="majorHAnsi"/>
          <w:color w:val="000000" w:themeColor="text1"/>
          <w:sz w:val="20"/>
          <w:szCs w:val="20"/>
          <w:lang w:val="es-VE"/>
        </w:rPr>
        <w:t>El C</w:t>
      </w:r>
      <w:r w:rsidR="0078279A" w:rsidRPr="00BF20FA">
        <w:rPr>
          <w:rFonts w:asciiTheme="majorHAnsi" w:hAnsiTheme="majorHAnsi"/>
          <w:color w:val="000000" w:themeColor="text1"/>
          <w:sz w:val="20"/>
          <w:szCs w:val="20"/>
          <w:lang w:val="es-VE"/>
        </w:rPr>
        <w:t>ocu</w:t>
      </w:r>
      <w:r w:rsidR="00810BEC" w:rsidRPr="00BF20FA">
        <w:rPr>
          <w:rFonts w:asciiTheme="majorHAnsi" w:hAnsiTheme="majorHAnsi"/>
          <w:color w:val="000000" w:themeColor="text1"/>
          <w:sz w:val="20"/>
          <w:szCs w:val="20"/>
          <w:lang w:val="es-VE"/>
        </w:rPr>
        <w:t>y</w:t>
      </w:r>
      <w:r w:rsidR="000B7D9A" w:rsidRPr="00BF20FA">
        <w:rPr>
          <w:rFonts w:asciiTheme="majorHAnsi" w:hAnsiTheme="majorHAnsi"/>
          <w:color w:val="000000" w:themeColor="text1"/>
          <w:sz w:val="20"/>
          <w:szCs w:val="20"/>
          <w:lang w:val="es-VE"/>
        </w:rPr>
        <w:t>”</w:t>
      </w:r>
      <w:r w:rsidR="00FB23FE" w:rsidRPr="00BF20FA">
        <w:rPr>
          <w:rFonts w:asciiTheme="majorHAnsi" w:hAnsiTheme="majorHAnsi"/>
          <w:color w:val="000000" w:themeColor="text1"/>
          <w:sz w:val="20"/>
          <w:szCs w:val="20"/>
          <w:lang w:val="es-VE"/>
        </w:rPr>
        <w:t>,</w:t>
      </w:r>
      <w:r w:rsidR="00810BEC" w:rsidRPr="00BF20FA">
        <w:rPr>
          <w:rFonts w:asciiTheme="majorHAnsi" w:hAnsiTheme="majorHAnsi"/>
          <w:color w:val="000000" w:themeColor="text1"/>
          <w:sz w:val="20"/>
          <w:szCs w:val="20"/>
          <w:lang w:val="es-VE"/>
        </w:rPr>
        <w:t xml:space="preserve"> el Ministerio de Agricultura</w:t>
      </w:r>
      <w:r w:rsidR="001D6B5C" w:rsidRPr="00BF20FA">
        <w:rPr>
          <w:rFonts w:asciiTheme="majorHAnsi" w:hAnsiTheme="majorHAnsi"/>
          <w:color w:val="000000" w:themeColor="text1"/>
          <w:sz w:val="20"/>
          <w:szCs w:val="20"/>
          <w:lang w:val="es-VE"/>
        </w:rPr>
        <w:t xml:space="preserve"> otorgó su administración y manejo a la Dirección</w:t>
      </w:r>
      <w:r w:rsidR="00FB23FE" w:rsidRPr="00BF20FA">
        <w:rPr>
          <w:rFonts w:asciiTheme="majorHAnsi" w:hAnsiTheme="majorHAnsi"/>
          <w:color w:val="000000" w:themeColor="text1"/>
          <w:sz w:val="20"/>
          <w:szCs w:val="20"/>
          <w:lang w:val="es-VE"/>
        </w:rPr>
        <w:t xml:space="preserve"> Nacional</w:t>
      </w:r>
      <w:r w:rsidR="001D6B5C" w:rsidRPr="00BF20FA">
        <w:rPr>
          <w:rFonts w:asciiTheme="majorHAnsi" w:hAnsiTheme="majorHAnsi"/>
          <w:color w:val="000000" w:themeColor="text1"/>
          <w:sz w:val="20"/>
          <w:szCs w:val="20"/>
          <w:lang w:val="es-VE"/>
        </w:rPr>
        <w:t xml:space="preserve"> de Parques Naturales y no a las</w:t>
      </w:r>
      <w:r w:rsidR="00FB23FE" w:rsidRPr="00BF20FA">
        <w:rPr>
          <w:rFonts w:asciiTheme="majorHAnsi" w:hAnsiTheme="majorHAnsi"/>
          <w:color w:val="000000" w:themeColor="text1"/>
          <w:sz w:val="20"/>
          <w:szCs w:val="20"/>
          <w:lang w:val="es-VE"/>
        </w:rPr>
        <w:t xml:space="preserve"> autoridades tradicionales del P</w:t>
      </w:r>
      <w:r w:rsidR="001D6B5C" w:rsidRPr="00BF20FA">
        <w:rPr>
          <w:rFonts w:asciiTheme="majorHAnsi" w:hAnsiTheme="majorHAnsi"/>
          <w:color w:val="000000" w:themeColor="text1"/>
          <w:sz w:val="20"/>
          <w:szCs w:val="20"/>
          <w:lang w:val="es-VE"/>
        </w:rPr>
        <w:t>ueblo U’wa, a pesar de que la totali</w:t>
      </w:r>
      <w:r w:rsidR="009A2959" w:rsidRPr="00BF20FA">
        <w:rPr>
          <w:rFonts w:asciiTheme="majorHAnsi" w:hAnsiTheme="majorHAnsi"/>
          <w:color w:val="000000" w:themeColor="text1"/>
          <w:sz w:val="20"/>
          <w:szCs w:val="20"/>
          <w:lang w:val="es-VE"/>
        </w:rPr>
        <w:t xml:space="preserve">dad del parque se encuentra en su territorio ancestral </w:t>
      </w:r>
      <w:r w:rsidR="001D6B5C" w:rsidRPr="00BF20FA">
        <w:rPr>
          <w:rFonts w:asciiTheme="majorHAnsi" w:hAnsiTheme="majorHAnsi"/>
          <w:color w:val="000000" w:themeColor="text1"/>
          <w:sz w:val="20"/>
          <w:szCs w:val="20"/>
          <w:lang w:val="es-VE"/>
        </w:rPr>
        <w:t>y a que su extensión corresponde a cas</w:t>
      </w:r>
      <w:r w:rsidR="000D2007" w:rsidRPr="00BF20FA">
        <w:rPr>
          <w:rFonts w:asciiTheme="majorHAnsi" w:hAnsiTheme="majorHAnsi"/>
          <w:color w:val="000000" w:themeColor="text1"/>
          <w:sz w:val="20"/>
          <w:szCs w:val="20"/>
          <w:lang w:val="es-VE"/>
        </w:rPr>
        <w:t xml:space="preserve">i la mitad del Resguardo. </w:t>
      </w:r>
    </w:p>
    <w:p w14:paraId="7F81FDCC" w14:textId="77777777" w:rsidR="000B7D9A" w:rsidRPr="00BF20FA" w:rsidRDefault="000B7D9A" w:rsidP="00220D30">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ind w:left="709"/>
        <w:jc w:val="both"/>
        <w:rPr>
          <w:rFonts w:asciiTheme="majorHAnsi" w:hAnsiTheme="majorHAnsi"/>
          <w:color w:val="000000" w:themeColor="text1"/>
          <w:sz w:val="20"/>
          <w:szCs w:val="20"/>
          <w:lang w:val="es-VE"/>
        </w:rPr>
      </w:pPr>
    </w:p>
    <w:p w14:paraId="38F26788" w14:textId="3AA02864" w:rsidR="00BD5E98" w:rsidRPr="00AA4FD8" w:rsidRDefault="000D2007"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CO"/>
        </w:rPr>
        <w:t>Por último, afirm</w:t>
      </w:r>
      <w:r w:rsidR="003D31EC" w:rsidRPr="00BF20FA">
        <w:rPr>
          <w:rFonts w:asciiTheme="majorHAnsi" w:hAnsiTheme="majorHAnsi"/>
          <w:color w:val="000000" w:themeColor="text1"/>
          <w:sz w:val="20"/>
          <w:szCs w:val="20"/>
          <w:lang w:val="es-CO"/>
        </w:rPr>
        <w:t>ó</w:t>
      </w:r>
      <w:r w:rsidR="009A2959" w:rsidRPr="00BF20FA">
        <w:rPr>
          <w:rFonts w:asciiTheme="majorHAnsi" w:hAnsiTheme="majorHAnsi"/>
          <w:color w:val="000000" w:themeColor="text1"/>
          <w:sz w:val="20"/>
          <w:szCs w:val="20"/>
          <w:lang w:val="es-CO"/>
        </w:rPr>
        <w:t xml:space="preserve"> que el Estado</w:t>
      </w:r>
      <w:r w:rsidR="00CF6AC6" w:rsidRPr="00BF20FA">
        <w:rPr>
          <w:rFonts w:asciiTheme="majorHAnsi" w:hAnsiTheme="majorHAnsi"/>
          <w:color w:val="000000" w:themeColor="text1"/>
          <w:sz w:val="20"/>
          <w:szCs w:val="20"/>
          <w:lang w:val="es-CO"/>
        </w:rPr>
        <w:t xml:space="preserve"> es responsable por la vulneración al desarrollo progresivo de los derechos territoriales y culturales del </w:t>
      </w:r>
      <w:r w:rsidR="00220D30" w:rsidRPr="00BF20FA">
        <w:rPr>
          <w:rFonts w:asciiTheme="majorHAnsi" w:hAnsiTheme="majorHAnsi"/>
          <w:color w:val="000000" w:themeColor="text1"/>
          <w:sz w:val="20"/>
          <w:szCs w:val="20"/>
          <w:lang w:val="es-CO"/>
        </w:rPr>
        <w:t>P</w:t>
      </w:r>
      <w:r w:rsidR="00CF6AC6" w:rsidRPr="00BF20FA">
        <w:rPr>
          <w:rFonts w:asciiTheme="majorHAnsi" w:hAnsiTheme="majorHAnsi"/>
          <w:color w:val="000000" w:themeColor="text1"/>
          <w:sz w:val="20"/>
          <w:szCs w:val="20"/>
          <w:lang w:val="es-CO"/>
        </w:rPr>
        <w:t>ueblo U</w:t>
      </w:r>
      <w:r w:rsidRPr="00BF20FA">
        <w:rPr>
          <w:rFonts w:asciiTheme="majorHAnsi" w:hAnsiTheme="majorHAnsi"/>
          <w:color w:val="000000" w:themeColor="text1"/>
          <w:sz w:val="20"/>
          <w:szCs w:val="20"/>
          <w:lang w:val="es-CO"/>
        </w:rPr>
        <w:t>´</w:t>
      </w:r>
      <w:r w:rsidR="009A2959" w:rsidRPr="00BF20FA">
        <w:rPr>
          <w:rFonts w:asciiTheme="majorHAnsi" w:hAnsiTheme="majorHAnsi"/>
          <w:color w:val="000000" w:themeColor="text1"/>
          <w:sz w:val="20"/>
          <w:szCs w:val="20"/>
          <w:lang w:val="es-CO"/>
        </w:rPr>
        <w:t xml:space="preserve">wa, debido a que </w:t>
      </w:r>
      <w:r w:rsidR="00CF6AC6" w:rsidRPr="00BF20FA">
        <w:rPr>
          <w:rFonts w:asciiTheme="majorHAnsi" w:hAnsiTheme="majorHAnsi"/>
          <w:color w:val="000000" w:themeColor="text1"/>
          <w:sz w:val="20"/>
          <w:szCs w:val="20"/>
          <w:lang w:val="es-CO"/>
        </w:rPr>
        <w:t>no ha adoptado las medidas necesarias p</w:t>
      </w:r>
      <w:r w:rsidRPr="00BF20FA">
        <w:rPr>
          <w:rFonts w:asciiTheme="majorHAnsi" w:hAnsiTheme="majorHAnsi"/>
          <w:color w:val="000000" w:themeColor="text1"/>
          <w:sz w:val="20"/>
          <w:szCs w:val="20"/>
          <w:lang w:val="es-CO"/>
        </w:rPr>
        <w:t xml:space="preserve">ara garantizar progresivamente su </w:t>
      </w:r>
      <w:r w:rsidR="00320FE7" w:rsidRPr="00BF20FA">
        <w:rPr>
          <w:rFonts w:asciiTheme="majorHAnsi" w:hAnsiTheme="majorHAnsi"/>
          <w:color w:val="000000" w:themeColor="text1"/>
          <w:sz w:val="20"/>
          <w:szCs w:val="20"/>
          <w:lang w:val="es-CO"/>
        </w:rPr>
        <w:t>su</w:t>
      </w:r>
      <w:r w:rsidRPr="00BF20FA">
        <w:rPr>
          <w:rFonts w:asciiTheme="majorHAnsi" w:hAnsiTheme="majorHAnsi"/>
          <w:color w:val="000000" w:themeColor="text1"/>
          <w:sz w:val="20"/>
          <w:szCs w:val="20"/>
          <w:lang w:val="es-CO"/>
        </w:rPr>
        <w:t>pervivencia</w:t>
      </w:r>
      <w:r w:rsidR="000B7D9A" w:rsidRPr="00BF20FA">
        <w:rPr>
          <w:rFonts w:asciiTheme="majorHAnsi" w:hAnsiTheme="majorHAnsi"/>
          <w:color w:val="000000" w:themeColor="text1"/>
          <w:sz w:val="20"/>
          <w:szCs w:val="20"/>
          <w:lang w:val="es-CO"/>
        </w:rPr>
        <w:t>.</w:t>
      </w:r>
      <w:r w:rsidR="006B0B08" w:rsidRPr="00BF20FA">
        <w:rPr>
          <w:rFonts w:asciiTheme="majorHAnsi" w:hAnsiTheme="majorHAnsi"/>
          <w:color w:val="000000" w:themeColor="text1"/>
          <w:sz w:val="20"/>
          <w:szCs w:val="20"/>
          <w:lang w:val="es-CO"/>
        </w:rPr>
        <w:t xml:space="preserve"> </w:t>
      </w:r>
      <w:r w:rsidR="00CF6AC6" w:rsidRPr="00BF20FA">
        <w:rPr>
          <w:rFonts w:asciiTheme="majorHAnsi" w:eastAsia="Calibri" w:hAnsiTheme="majorHAnsi"/>
          <w:sz w:val="20"/>
          <w:szCs w:val="20"/>
          <w:lang w:val="es-VE"/>
        </w:rPr>
        <w:t>Sobre la violación al deber de adoptar disposic</w:t>
      </w:r>
      <w:r w:rsidRPr="00BF20FA">
        <w:rPr>
          <w:rFonts w:asciiTheme="majorHAnsi" w:eastAsia="Calibri" w:hAnsiTheme="majorHAnsi"/>
          <w:sz w:val="20"/>
          <w:szCs w:val="20"/>
          <w:lang w:val="es-VE"/>
        </w:rPr>
        <w:t>iones de derecho interno, aleg</w:t>
      </w:r>
      <w:r w:rsidR="003D31EC" w:rsidRPr="00BF20FA">
        <w:rPr>
          <w:rFonts w:asciiTheme="majorHAnsi" w:eastAsia="Calibri" w:hAnsiTheme="majorHAnsi"/>
          <w:sz w:val="20"/>
          <w:szCs w:val="20"/>
          <w:lang w:val="es-VE"/>
        </w:rPr>
        <w:t>ó</w:t>
      </w:r>
      <w:r w:rsidR="00CF6AC6" w:rsidRPr="00BF20FA">
        <w:rPr>
          <w:rFonts w:asciiTheme="majorHAnsi" w:eastAsia="Calibri" w:hAnsiTheme="majorHAnsi"/>
          <w:sz w:val="20"/>
          <w:szCs w:val="20"/>
          <w:lang w:val="es-VE"/>
        </w:rPr>
        <w:t xml:space="preserve"> que </w:t>
      </w:r>
      <w:r w:rsidR="009170F9" w:rsidRPr="00BF20FA">
        <w:rPr>
          <w:rFonts w:asciiTheme="majorHAnsi" w:eastAsia="Calibri" w:hAnsiTheme="majorHAnsi"/>
          <w:sz w:val="20"/>
          <w:szCs w:val="20"/>
          <w:lang w:val="es-CO"/>
        </w:rPr>
        <w:t xml:space="preserve">el Gobierno Nacional ha regulado los procedimientos de consulta étnica a través de </w:t>
      </w:r>
      <w:r w:rsidR="00023C9D" w:rsidRPr="00BF20FA">
        <w:rPr>
          <w:rFonts w:asciiTheme="majorHAnsi" w:eastAsia="Calibri" w:hAnsiTheme="majorHAnsi"/>
          <w:sz w:val="20"/>
          <w:szCs w:val="20"/>
          <w:lang w:val="es-CO"/>
        </w:rPr>
        <w:t>diversos decretos y d</w:t>
      </w:r>
      <w:r w:rsidR="009170F9" w:rsidRPr="00BF20FA">
        <w:rPr>
          <w:rFonts w:asciiTheme="majorHAnsi" w:eastAsia="Calibri" w:hAnsiTheme="majorHAnsi"/>
          <w:sz w:val="20"/>
          <w:szCs w:val="20"/>
          <w:lang w:val="es-CO"/>
        </w:rPr>
        <w:t>irectivas, los cuales no reúnen los principios desarrollados en jurisprudencia del orden nacional e internacional.</w:t>
      </w:r>
      <w:r w:rsidR="00023C9D" w:rsidRPr="00BF20FA">
        <w:rPr>
          <w:rFonts w:asciiTheme="majorHAnsi" w:eastAsia="Calibri" w:hAnsiTheme="majorHAnsi"/>
          <w:sz w:val="20"/>
          <w:szCs w:val="20"/>
          <w:lang w:val="es-CO"/>
        </w:rPr>
        <w:t xml:space="preserve"> Agreg</w:t>
      </w:r>
      <w:r w:rsidR="003D31EC" w:rsidRPr="00BF20FA">
        <w:rPr>
          <w:rFonts w:asciiTheme="majorHAnsi" w:eastAsia="Calibri" w:hAnsiTheme="majorHAnsi"/>
          <w:sz w:val="20"/>
          <w:szCs w:val="20"/>
          <w:lang w:val="es-CO"/>
        </w:rPr>
        <w:t>ó</w:t>
      </w:r>
      <w:r w:rsidR="00023C9D" w:rsidRPr="00BF20FA">
        <w:rPr>
          <w:rFonts w:asciiTheme="majorHAnsi" w:eastAsia="Calibri" w:hAnsiTheme="majorHAnsi"/>
          <w:sz w:val="20"/>
          <w:szCs w:val="20"/>
          <w:lang w:val="es-CO"/>
        </w:rPr>
        <w:t xml:space="preserve"> que</w:t>
      </w:r>
      <w:r w:rsidR="006B0B08" w:rsidRPr="00BF20FA">
        <w:rPr>
          <w:rFonts w:asciiTheme="majorHAnsi" w:eastAsia="Calibri" w:hAnsiTheme="majorHAnsi"/>
          <w:sz w:val="20"/>
          <w:szCs w:val="20"/>
          <w:lang w:val="es-CO"/>
        </w:rPr>
        <w:t>, de hecho,</w:t>
      </w:r>
      <w:r w:rsidR="00023C9D" w:rsidRPr="00BF20FA">
        <w:rPr>
          <w:rFonts w:asciiTheme="majorHAnsi" w:eastAsia="Calibri" w:hAnsiTheme="majorHAnsi"/>
          <w:sz w:val="20"/>
          <w:szCs w:val="20"/>
          <w:lang w:val="es-CO"/>
        </w:rPr>
        <w:t xml:space="preserve"> uno de los decretos</w:t>
      </w:r>
      <w:r w:rsidR="009170F9" w:rsidRPr="00BF20FA">
        <w:rPr>
          <w:rFonts w:asciiTheme="majorHAnsi" w:eastAsia="Calibri" w:hAnsiTheme="majorHAnsi"/>
          <w:sz w:val="20"/>
          <w:szCs w:val="20"/>
          <w:lang w:val="es-CO"/>
        </w:rPr>
        <w:t xml:space="preserve"> ha sido inaplicado por la Corte Constitucional en distintas ocasiones porque su expedición no fue consultada con los pueblos indígenas. </w:t>
      </w:r>
    </w:p>
    <w:p w14:paraId="2D3A5361" w14:textId="7DF535F3" w:rsidR="00AA4FD8" w:rsidRPr="00BF20FA" w:rsidRDefault="00AA4FD8" w:rsidP="00AA4FD8">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hAnsiTheme="majorHAnsi"/>
          <w:color w:val="000000" w:themeColor="text1"/>
          <w:sz w:val="20"/>
          <w:szCs w:val="20"/>
          <w:lang w:val="es-VE"/>
        </w:rPr>
      </w:pPr>
    </w:p>
    <w:p w14:paraId="69571B6B" w14:textId="33F2C13D" w:rsidR="00EB7B6B" w:rsidRPr="00BF20FA" w:rsidRDefault="00EB7B6B"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lang w:val="es-VE"/>
        </w:rPr>
      </w:pPr>
      <w:r w:rsidRPr="00BF20FA">
        <w:rPr>
          <w:rFonts w:asciiTheme="majorHAnsi" w:hAnsiTheme="majorHAnsi"/>
          <w:color w:val="000000" w:themeColor="text1"/>
          <w:sz w:val="20"/>
          <w:szCs w:val="20"/>
          <w:lang w:val="es-VE"/>
        </w:rPr>
        <w:t>En síntesis, la parte peticionaria alega violaciones a los derechos establecidos en los artículos 1.1, 2, 4, 5, 8, 13, 17, 21, 23, 24, 25 y 2</w:t>
      </w:r>
      <w:r w:rsidR="00EA3FCD" w:rsidRPr="00BF20FA">
        <w:rPr>
          <w:rFonts w:asciiTheme="majorHAnsi" w:hAnsiTheme="majorHAnsi"/>
          <w:color w:val="000000" w:themeColor="text1"/>
          <w:sz w:val="20"/>
          <w:szCs w:val="20"/>
          <w:lang w:val="es-VE"/>
        </w:rPr>
        <w:t>6</w:t>
      </w:r>
      <w:r w:rsidRPr="00BF20FA">
        <w:rPr>
          <w:rFonts w:asciiTheme="majorHAnsi" w:hAnsiTheme="majorHAnsi"/>
          <w:color w:val="000000" w:themeColor="text1"/>
          <w:sz w:val="20"/>
          <w:szCs w:val="20"/>
          <w:lang w:val="es-VE"/>
        </w:rPr>
        <w:t xml:space="preserve"> de la Convención Americana</w:t>
      </w:r>
      <w:r w:rsidR="00966DD0" w:rsidRPr="00BF20FA">
        <w:rPr>
          <w:rFonts w:asciiTheme="majorHAnsi" w:hAnsiTheme="majorHAnsi"/>
          <w:color w:val="000000" w:themeColor="text1"/>
          <w:sz w:val="20"/>
          <w:szCs w:val="20"/>
          <w:lang w:val="es-VE"/>
        </w:rPr>
        <w:t xml:space="preserve"> sobre Derechos Humanos (en adelante “La Convención </w:t>
      </w:r>
      <w:r w:rsidR="00966DD0" w:rsidRPr="00BF20FA">
        <w:rPr>
          <w:rFonts w:asciiTheme="majorHAnsi" w:hAnsiTheme="majorHAnsi"/>
          <w:color w:val="000000" w:themeColor="text1"/>
          <w:sz w:val="20"/>
          <w:szCs w:val="20"/>
          <w:lang w:val="es-VE"/>
        </w:rPr>
        <w:lastRenderedPageBreak/>
        <w:t>Americana” o “la Convención”</w:t>
      </w:r>
      <w:r w:rsidR="0031169D">
        <w:rPr>
          <w:rFonts w:asciiTheme="majorHAnsi" w:hAnsiTheme="majorHAnsi"/>
          <w:color w:val="000000" w:themeColor="text1"/>
          <w:sz w:val="20"/>
          <w:szCs w:val="20"/>
          <w:lang w:val="es-VE"/>
        </w:rPr>
        <w:t>)</w:t>
      </w:r>
      <w:r w:rsidR="00966DD0" w:rsidRPr="00BF20FA">
        <w:rPr>
          <w:rFonts w:asciiTheme="majorHAnsi" w:hAnsiTheme="majorHAnsi"/>
          <w:color w:val="000000" w:themeColor="text1"/>
          <w:sz w:val="20"/>
          <w:szCs w:val="20"/>
          <w:lang w:val="es-VE"/>
        </w:rPr>
        <w:t xml:space="preserve">, así como </w:t>
      </w:r>
      <w:r w:rsidR="0031169D">
        <w:rPr>
          <w:rFonts w:asciiTheme="majorHAnsi" w:hAnsiTheme="majorHAnsi"/>
          <w:color w:val="000000" w:themeColor="text1"/>
          <w:sz w:val="20"/>
          <w:szCs w:val="20"/>
          <w:lang w:val="es-VE"/>
        </w:rPr>
        <w:t xml:space="preserve">al artículo </w:t>
      </w:r>
      <w:r w:rsidR="00966DD0" w:rsidRPr="00BF20FA">
        <w:rPr>
          <w:rFonts w:asciiTheme="majorHAnsi" w:hAnsiTheme="majorHAnsi"/>
          <w:color w:val="000000" w:themeColor="text1"/>
          <w:sz w:val="20"/>
          <w:szCs w:val="20"/>
          <w:lang w:val="es-VE"/>
        </w:rPr>
        <w:t>XIII de la Declaración Americana de los Derechos y Deberes del Hombre (en adelante “la Declaración Americana” o “la Declaración”</w:t>
      </w:r>
      <w:r w:rsidR="0031169D">
        <w:rPr>
          <w:rFonts w:asciiTheme="majorHAnsi" w:hAnsiTheme="majorHAnsi"/>
          <w:color w:val="000000" w:themeColor="text1"/>
          <w:sz w:val="20"/>
          <w:szCs w:val="20"/>
          <w:lang w:val="es-VE"/>
        </w:rPr>
        <w:t>)</w:t>
      </w:r>
      <w:r w:rsidRPr="00BF20FA">
        <w:rPr>
          <w:rFonts w:asciiTheme="majorHAnsi" w:hAnsiTheme="majorHAnsi"/>
          <w:color w:val="000000" w:themeColor="text1"/>
          <w:sz w:val="20"/>
          <w:szCs w:val="20"/>
          <w:lang w:val="es-VE"/>
        </w:rPr>
        <w:t>.</w:t>
      </w:r>
    </w:p>
    <w:p w14:paraId="4DC3D886" w14:textId="77777777" w:rsidR="00BD5E98" w:rsidRPr="00BF20FA" w:rsidRDefault="00BD5E98" w:rsidP="008F7F9A">
      <w:pPr>
        <w:pStyle w:val="Heading2"/>
        <w:numPr>
          <w:ilvl w:val="0"/>
          <w:numId w:val="56"/>
        </w:numPr>
        <w:ind w:left="360"/>
        <w:rPr>
          <w:rFonts w:asciiTheme="majorHAnsi" w:hAnsiTheme="majorHAnsi"/>
          <w:i w:val="0"/>
          <w:sz w:val="20"/>
          <w:szCs w:val="20"/>
          <w:lang w:val="es-ES_tradnl"/>
        </w:rPr>
      </w:pPr>
      <w:bookmarkStart w:id="6" w:name="_Toc15671755"/>
      <w:bookmarkStart w:id="7" w:name="_Toc17221555"/>
      <w:r w:rsidRPr="00BF20FA">
        <w:rPr>
          <w:rFonts w:asciiTheme="majorHAnsi" w:hAnsiTheme="majorHAnsi"/>
          <w:i w:val="0"/>
          <w:sz w:val="20"/>
          <w:szCs w:val="20"/>
          <w:lang w:val="es-ES_tradnl"/>
        </w:rPr>
        <w:t>E</w:t>
      </w:r>
      <w:r w:rsidR="0085509F" w:rsidRPr="00BF20FA">
        <w:rPr>
          <w:rFonts w:asciiTheme="majorHAnsi" w:hAnsiTheme="majorHAnsi"/>
          <w:i w:val="0"/>
          <w:sz w:val="20"/>
          <w:szCs w:val="20"/>
          <w:lang w:val="es-ES_tradnl"/>
        </w:rPr>
        <w:t>stado</w:t>
      </w:r>
      <w:bookmarkEnd w:id="6"/>
      <w:bookmarkEnd w:id="7"/>
    </w:p>
    <w:p w14:paraId="6D5661CC" w14:textId="77777777" w:rsidR="00023C9D" w:rsidRPr="00BF20FA" w:rsidRDefault="00023C9D" w:rsidP="008647C6">
      <w:pPr>
        <w:pStyle w:val="ListParagraph"/>
        <w:suppressAutoHyphens/>
        <w:ind w:left="1170"/>
        <w:rPr>
          <w:rFonts w:asciiTheme="majorHAnsi" w:hAnsiTheme="majorHAnsi"/>
          <w:b/>
          <w:sz w:val="20"/>
          <w:szCs w:val="20"/>
          <w:lang w:val="es-ES_tradnl"/>
        </w:rPr>
      </w:pPr>
    </w:p>
    <w:p w14:paraId="25F2B623" w14:textId="77777777" w:rsidR="00C5131C" w:rsidRPr="00BF20FA" w:rsidRDefault="007D360A"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Estado </w:t>
      </w:r>
      <w:r w:rsidR="0041284C" w:rsidRPr="00BF20FA">
        <w:rPr>
          <w:rFonts w:asciiTheme="majorHAnsi" w:hAnsiTheme="majorHAnsi"/>
          <w:color w:val="000000" w:themeColor="text1"/>
          <w:sz w:val="20"/>
          <w:szCs w:val="20"/>
          <w:lang w:val="es-CO"/>
        </w:rPr>
        <w:t xml:space="preserve">refirió </w:t>
      </w:r>
      <w:r w:rsidR="00C5131C" w:rsidRPr="00BF20FA">
        <w:rPr>
          <w:rFonts w:asciiTheme="majorHAnsi" w:hAnsiTheme="majorHAnsi"/>
          <w:color w:val="000000" w:themeColor="text1"/>
          <w:sz w:val="20"/>
          <w:szCs w:val="20"/>
          <w:lang w:val="es-CO"/>
        </w:rPr>
        <w:t xml:space="preserve">que ha implementado todas las medidas </w:t>
      </w:r>
      <w:r w:rsidR="0078279A" w:rsidRPr="00BF20FA">
        <w:rPr>
          <w:rFonts w:asciiTheme="majorHAnsi" w:hAnsiTheme="majorHAnsi"/>
          <w:color w:val="000000" w:themeColor="text1"/>
          <w:sz w:val="20"/>
          <w:szCs w:val="20"/>
          <w:lang w:val="es-CO"/>
        </w:rPr>
        <w:t xml:space="preserve">que han estado a su alcance, </w:t>
      </w:r>
      <w:r w:rsidR="00C5131C" w:rsidRPr="00BF20FA">
        <w:rPr>
          <w:rFonts w:asciiTheme="majorHAnsi" w:hAnsiTheme="majorHAnsi"/>
          <w:color w:val="000000" w:themeColor="text1"/>
          <w:sz w:val="20"/>
          <w:szCs w:val="20"/>
          <w:lang w:val="es-CO"/>
        </w:rPr>
        <w:t xml:space="preserve">contando con la articulación de las entidades implicadas y la constante participación de las más altas autoridades nacionales e internacionales, con la finalidad de proteger los derechos de la comunidad U’wa, atender sus demandas y garantizar espacios de diálogo intercultural que permitan la solución pacífica de los conflictos que </w:t>
      </w:r>
      <w:r w:rsidR="006B0B08" w:rsidRPr="00BF20FA">
        <w:rPr>
          <w:rFonts w:asciiTheme="majorHAnsi" w:hAnsiTheme="majorHAnsi"/>
          <w:color w:val="000000" w:themeColor="text1"/>
          <w:sz w:val="20"/>
          <w:szCs w:val="20"/>
          <w:lang w:val="es-CO"/>
        </w:rPr>
        <w:t xml:space="preserve">se </w:t>
      </w:r>
      <w:r w:rsidR="00C5131C" w:rsidRPr="00BF20FA">
        <w:rPr>
          <w:rFonts w:asciiTheme="majorHAnsi" w:hAnsiTheme="majorHAnsi"/>
          <w:color w:val="000000" w:themeColor="text1"/>
          <w:sz w:val="20"/>
          <w:szCs w:val="20"/>
          <w:lang w:val="es-CO"/>
        </w:rPr>
        <w:t>presentan.</w:t>
      </w:r>
    </w:p>
    <w:p w14:paraId="6B422D43" w14:textId="77777777" w:rsidR="00023C9D" w:rsidRPr="00BF20FA" w:rsidRDefault="00023C9D" w:rsidP="002E1E83">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CO"/>
        </w:rPr>
      </w:pPr>
    </w:p>
    <w:p w14:paraId="64CF474B" w14:textId="77777777" w:rsidR="004877D8" w:rsidRPr="00BF20FA" w:rsidRDefault="00562422"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sz w:val="20"/>
          <w:szCs w:val="20"/>
          <w:lang w:val="es-VE"/>
        </w:rPr>
        <w:t>Con respecto al derecho al uso y goce de la prop</w:t>
      </w:r>
      <w:r w:rsidR="00D7585F" w:rsidRPr="00BF20FA">
        <w:rPr>
          <w:rFonts w:asciiTheme="majorHAnsi" w:hAnsiTheme="majorHAnsi"/>
          <w:sz w:val="20"/>
          <w:szCs w:val="20"/>
          <w:lang w:val="es-VE"/>
        </w:rPr>
        <w:t>iedad colectiva, el Estado adujo</w:t>
      </w:r>
      <w:r w:rsidRPr="00BF20FA">
        <w:rPr>
          <w:rFonts w:asciiTheme="majorHAnsi" w:hAnsiTheme="majorHAnsi"/>
          <w:sz w:val="20"/>
          <w:szCs w:val="20"/>
          <w:lang w:val="es-VE"/>
        </w:rPr>
        <w:t xml:space="preserve"> que no es un derecho absoluto  y puede ser limitado, en tanto el Estado sigue siendo propietario legítimo de los recursos del subsuelo.</w:t>
      </w:r>
      <w:r w:rsidR="00D65B39" w:rsidRPr="00BF20FA">
        <w:rPr>
          <w:rFonts w:asciiTheme="majorHAnsi" w:hAnsiTheme="majorHAnsi"/>
          <w:b/>
          <w:sz w:val="20"/>
          <w:szCs w:val="20"/>
          <w:lang w:val="es-VE"/>
        </w:rPr>
        <w:t xml:space="preserve"> </w:t>
      </w:r>
      <w:r w:rsidR="00C5131C" w:rsidRPr="00BF20FA">
        <w:rPr>
          <w:rFonts w:asciiTheme="majorHAnsi" w:hAnsiTheme="majorHAnsi"/>
          <w:color w:val="000000" w:themeColor="text1"/>
          <w:sz w:val="20"/>
          <w:szCs w:val="20"/>
          <w:lang w:val="es-CO"/>
        </w:rPr>
        <w:t xml:space="preserve">Sobre el derecho a </w:t>
      </w:r>
      <w:r w:rsidR="00472383" w:rsidRPr="00BF20FA">
        <w:rPr>
          <w:rFonts w:asciiTheme="majorHAnsi" w:hAnsiTheme="majorHAnsi"/>
          <w:color w:val="000000" w:themeColor="text1"/>
          <w:sz w:val="20"/>
          <w:szCs w:val="20"/>
          <w:lang w:val="es-CO"/>
        </w:rPr>
        <w:t xml:space="preserve">la </w:t>
      </w:r>
      <w:r w:rsidR="00C5131C" w:rsidRPr="00BF20FA">
        <w:rPr>
          <w:rFonts w:asciiTheme="majorHAnsi" w:hAnsiTheme="majorHAnsi"/>
          <w:color w:val="000000" w:themeColor="text1"/>
          <w:sz w:val="20"/>
          <w:szCs w:val="20"/>
          <w:lang w:val="es-CO"/>
        </w:rPr>
        <w:t>con</w:t>
      </w:r>
      <w:r w:rsidR="00D7585F" w:rsidRPr="00BF20FA">
        <w:rPr>
          <w:rFonts w:asciiTheme="majorHAnsi" w:hAnsiTheme="majorHAnsi"/>
          <w:color w:val="000000" w:themeColor="text1"/>
          <w:sz w:val="20"/>
          <w:szCs w:val="20"/>
          <w:lang w:val="es-CO"/>
        </w:rPr>
        <w:t>sulta previa, el Estado sostuvo</w:t>
      </w:r>
      <w:r w:rsidR="00C5131C" w:rsidRPr="00BF20FA">
        <w:rPr>
          <w:rFonts w:asciiTheme="majorHAnsi" w:hAnsiTheme="majorHAnsi"/>
          <w:color w:val="000000" w:themeColor="text1"/>
          <w:sz w:val="20"/>
          <w:szCs w:val="20"/>
          <w:lang w:val="es-CO"/>
        </w:rPr>
        <w:t xml:space="preserve"> </w:t>
      </w:r>
      <w:r w:rsidR="003875C2" w:rsidRPr="00BF20FA">
        <w:rPr>
          <w:rFonts w:asciiTheme="majorHAnsi" w:hAnsiTheme="majorHAnsi"/>
          <w:color w:val="000000" w:themeColor="text1"/>
          <w:sz w:val="20"/>
          <w:szCs w:val="20"/>
          <w:lang w:val="es-CO"/>
        </w:rPr>
        <w:t xml:space="preserve">que </w:t>
      </w:r>
      <w:r w:rsidR="00C5131C" w:rsidRPr="00BF20FA">
        <w:rPr>
          <w:rFonts w:asciiTheme="majorHAnsi" w:hAnsiTheme="majorHAnsi"/>
          <w:color w:val="000000" w:themeColor="text1"/>
          <w:sz w:val="20"/>
          <w:szCs w:val="20"/>
          <w:lang w:val="es-CO"/>
        </w:rPr>
        <w:t xml:space="preserve">se encuentra reconocido en el ordenamiento jurídico colombiano </w:t>
      </w:r>
      <w:r w:rsidR="008B64E4" w:rsidRPr="00BF20FA">
        <w:rPr>
          <w:rFonts w:asciiTheme="majorHAnsi" w:hAnsiTheme="majorHAnsi"/>
          <w:color w:val="000000" w:themeColor="text1"/>
          <w:sz w:val="20"/>
          <w:szCs w:val="20"/>
          <w:lang w:val="es-CO"/>
        </w:rPr>
        <w:t xml:space="preserve">y que </w:t>
      </w:r>
      <w:r w:rsidR="005937D2" w:rsidRPr="00BF20FA">
        <w:rPr>
          <w:rFonts w:asciiTheme="majorHAnsi" w:hAnsiTheme="majorHAnsi"/>
          <w:color w:val="000000" w:themeColor="text1"/>
          <w:sz w:val="20"/>
          <w:szCs w:val="20"/>
          <w:lang w:val="es-CO"/>
        </w:rPr>
        <w:t xml:space="preserve">no conlleva el derecho de pueblos indígenas y tribales a vetar las medidas legislativas y administrativas que los afecten, sino que es una oportunidad para que los Estados </w:t>
      </w:r>
      <w:r w:rsidR="008B64E4" w:rsidRPr="00BF20FA">
        <w:rPr>
          <w:rFonts w:asciiTheme="majorHAnsi" w:hAnsiTheme="majorHAnsi"/>
          <w:color w:val="000000" w:themeColor="text1"/>
          <w:sz w:val="20"/>
          <w:szCs w:val="20"/>
          <w:lang w:val="es-CO"/>
        </w:rPr>
        <w:t>consideren y valoren</w:t>
      </w:r>
      <w:r w:rsidR="005937D2" w:rsidRPr="00BF20FA">
        <w:rPr>
          <w:rFonts w:asciiTheme="majorHAnsi" w:hAnsiTheme="majorHAnsi"/>
          <w:color w:val="000000" w:themeColor="text1"/>
          <w:sz w:val="20"/>
          <w:szCs w:val="20"/>
          <w:lang w:val="es-CO"/>
        </w:rPr>
        <w:t xml:space="preserve"> </w:t>
      </w:r>
      <w:r w:rsidR="008B64E4" w:rsidRPr="00BF20FA">
        <w:rPr>
          <w:rFonts w:asciiTheme="majorHAnsi" w:hAnsiTheme="majorHAnsi"/>
          <w:color w:val="000000" w:themeColor="text1"/>
          <w:sz w:val="20"/>
          <w:szCs w:val="20"/>
          <w:lang w:val="es-CO"/>
        </w:rPr>
        <w:t>sus</w:t>
      </w:r>
      <w:r w:rsidR="005937D2" w:rsidRPr="00BF20FA">
        <w:rPr>
          <w:rFonts w:asciiTheme="majorHAnsi" w:hAnsiTheme="majorHAnsi"/>
          <w:color w:val="000000" w:themeColor="text1"/>
          <w:sz w:val="20"/>
          <w:szCs w:val="20"/>
          <w:lang w:val="es-CO"/>
        </w:rPr>
        <w:t xml:space="preserve"> posiciones </w:t>
      </w:r>
      <w:r w:rsidR="008B64E4" w:rsidRPr="00BF20FA">
        <w:rPr>
          <w:rFonts w:asciiTheme="majorHAnsi" w:hAnsiTheme="majorHAnsi"/>
          <w:color w:val="000000" w:themeColor="text1"/>
          <w:sz w:val="20"/>
          <w:szCs w:val="20"/>
          <w:lang w:val="es-CO"/>
        </w:rPr>
        <w:t>sobre los proyectos, por lo que</w:t>
      </w:r>
      <w:r w:rsidR="005937D2" w:rsidRPr="00BF20FA">
        <w:rPr>
          <w:rFonts w:asciiTheme="majorHAnsi" w:hAnsiTheme="majorHAnsi"/>
          <w:color w:val="000000" w:themeColor="text1"/>
          <w:sz w:val="20"/>
          <w:szCs w:val="20"/>
          <w:lang w:val="es-CO"/>
        </w:rPr>
        <w:t xml:space="preserve"> </w:t>
      </w:r>
      <w:r w:rsidR="0078279A" w:rsidRPr="00BF20FA">
        <w:rPr>
          <w:rFonts w:asciiTheme="majorHAnsi" w:hAnsiTheme="majorHAnsi"/>
          <w:color w:val="000000" w:themeColor="text1"/>
          <w:sz w:val="20"/>
          <w:szCs w:val="20"/>
          <w:lang w:val="es-CO"/>
        </w:rPr>
        <w:t>las autoridades</w:t>
      </w:r>
      <w:r w:rsidR="008B64E4" w:rsidRPr="00BF20FA">
        <w:rPr>
          <w:rFonts w:asciiTheme="majorHAnsi" w:hAnsiTheme="majorHAnsi"/>
          <w:color w:val="000000" w:themeColor="text1"/>
          <w:sz w:val="20"/>
          <w:szCs w:val="20"/>
          <w:lang w:val="es-CO"/>
        </w:rPr>
        <w:t xml:space="preserve"> siempre</w:t>
      </w:r>
      <w:r w:rsidR="0078279A" w:rsidRPr="00BF20FA">
        <w:rPr>
          <w:rFonts w:asciiTheme="majorHAnsi" w:hAnsiTheme="majorHAnsi"/>
          <w:color w:val="000000" w:themeColor="text1"/>
          <w:sz w:val="20"/>
          <w:szCs w:val="20"/>
          <w:lang w:val="es-CO"/>
        </w:rPr>
        <w:t xml:space="preserve"> preservan</w:t>
      </w:r>
      <w:r w:rsidR="00524FEA" w:rsidRPr="00BF20FA">
        <w:rPr>
          <w:rFonts w:asciiTheme="majorHAnsi" w:hAnsiTheme="majorHAnsi"/>
          <w:color w:val="000000" w:themeColor="text1"/>
          <w:sz w:val="20"/>
          <w:szCs w:val="20"/>
          <w:lang w:val="es-CO"/>
        </w:rPr>
        <w:t xml:space="preserve"> la competencia para adoptar una decisión final sobre la realización del </w:t>
      </w:r>
      <w:r w:rsidR="005937D2" w:rsidRPr="00BF20FA">
        <w:rPr>
          <w:rFonts w:asciiTheme="majorHAnsi" w:hAnsiTheme="majorHAnsi"/>
          <w:color w:val="000000" w:themeColor="text1"/>
          <w:sz w:val="20"/>
          <w:szCs w:val="20"/>
          <w:lang w:val="es-CO"/>
        </w:rPr>
        <w:t>proyecto.</w:t>
      </w:r>
    </w:p>
    <w:p w14:paraId="7EEEEE12" w14:textId="77777777" w:rsidR="004877D8" w:rsidRPr="00BF20FA" w:rsidRDefault="004877D8" w:rsidP="004877D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b/>
          <w:sz w:val="20"/>
          <w:szCs w:val="20"/>
          <w:lang w:val="es-VE"/>
        </w:rPr>
      </w:pPr>
    </w:p>
    <w:p w14:paraId="2F3022F9" w14:textId="77777777" w:rsidR="001C12E5" w:rsidRPr="00BF20FA" w:rsidRDefault="008B64E4"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b/>
          <w:sz w:val="20"/>
          <w:szCs w:val="20"/>
          <w:lang w:val="es-VE"/>
        </w:rPr>
        <w:t xml:space="preserve"> </w:t>
      </w:r>
      <w:r w:rsidR="00023C9D" w:rsidRPr="00BF20FA">
        <w:rPr>
          <w:rFonts w:asciiTheme="majorHAnsi" w:hAnsiTheme="majorHAnsi"/>
          <w:sz w:val="20"/>
          <w:szCs w:val="20"/>
          <w:lang w:val="es-VE"/>
        </w:rPr>
        <w:t>E</w:t>
      </w:r>
      <w:r w:rsidR="00501075" w:rsidRPr="00BF20FA">
        <w:rPr>
          <w:rFonts w:asciiTheme="majorHAnsi" w:hAnsiTheme="majorHAnsi"/>
          <w:sz w:val="20"/>
          <w:szCs w:val="20"/>
          <w:lang w:val="es-VE"/>
        </w:rPr>
        <w:t xml:space="preserve">l Estado señaló </w:t>
      </w:r>
      <w:r w:rsidRPr="00BF20FA">
        <w:rPr>
          <w:rFonts w:asciiTheme="majorHAnsi" w:hAnsiTheme="majorHAnsi"/>
          <w:sz w:val="20"/>
          <w:szCs w:val="20"/>
          <w:lang w:val="es-VE"/>
        </w:rPr>
        <w:t xml:space="preserve">que </w:t>
      </w:r>
      <w:r w:rsidR="00076666" w:rsidRPr="00BF20FA">
        <w:rPr>
          <w:rFonts w:asciiTheme="majorHAnsi" w:hAnsiTheme="majorHAnsi"/>
          <w:sz w:val="20"/>
          <w:szCs w:val="20"/>
          <w:lang w:val="es-VE"/>
        </w:rPr>
        <w:t xml:space="preserve">cumplió con sus obligaciones </w:t>
      </w:r>
      <w:r w:rsidR="00F44E24" w:rsidRPr="00BF20FA">
        <w:rPr>
          <w:rFonts w:asciiTheme="majorHAnsi" w:hAnsiTheme="majorHAnsi"/>
          <w:sz w:val="20"/>
          <w:szCs w:val="20"/>
          <w:lang w:val="es-VE"/>
        </w:rPr>
        <w:t>a través de la realización</w:t>
      </w:r>
      <w:r w:rsidR="00076666" w:rsidRPr="00BF20FA">
        <w:rPr>
          <w:rFonts w:asciiTheme="majorHAnsi" w:hAnsiTheme="majorHAnsi"/>
          <w:sz w:val="20"/>
          <w:szCs w:val="20"/>
          <w:lang w:val="es-VE"/>
        </w:rPr>
        <w:t xml:space="preserve"> </w:t>
      </w:r>
      <w:r w:rsidR="00B574CA" w:rsidRPr="00BF20FA">
        <w:rPr>
          <w:rFonts w:asciiTheme="majorHAnsi" w:hAnsiTheme="majorHAnsi"/>
          <w:sz w:val="20"/>
          <w:szCs w:val="20"/>
          <w:lang w:val="es-VE"/>
        </w:rPr>
        <w:t xml:space="preserve">de </w:t>
      </w:r>
      <w:r w:rsidR="006B0B08" w:rsidRPr="00BF20FA">
        <w:rPr>
          <w:rFonts w:asciiTheme="majorHAnsi" w:hAnsiTheme="majorHAnsi"/>
          <w:sz w:val="20"/>
          <w:szCs w:val="20"/>
          <w:lang w:val="es-VE"/>
        </w:rPr>
        <w:t xml:space="preserve">varios </w:t>
      </w:r>
      <w:r w:rsidR="00076666" w:rsidRPr="00BF20FA">
        <w:rPr>
          <w:rFonts w:asciiTheme="majorHAnsi" w:hAnsiTheme="majorHAnsi"/>
          <w:sz w:val="20"/>
          <w:szCs w:val="20"/>
          <w:lang w:val="es-VE"/>
        </w:rPr>
        <w:t>proceso</w:t>
      </w:r>
      <w:r w:rsidR="006B0B08" w:rsidRPr="00BF20FA">
        <w:rPr>
          <w:rFonts w:asciiTheme="majorHAnsi" w:hAnsiTheme="majorHAnsi"/>
          <w:sz w:val="20"/>
          <w:szCs w:val="20"/>
          <w:lang w:val="es-VE"/>
        </w:rPr>
        <w:t>s</w:t>
      </w:r>
      <w:r w:rsidR="00076666" w:rsidRPr="00BF20FA">
        <w:rPr>
          <w:rFonts w:asciiTheme="majorHAnsi" w:hAnsiTheme="majorHAnsi"/>
          <w:sz w:val="20"/>
          <w:szCs w:val="20"/>
          <w:lang w:val="es-VE"/>
        </w:rPr>
        <w:t xml:space="preserve"> de consulta previa</w:t>
      </w:r>
      <w:r w:rsidR="00094BC1" w:rsidRPr="00BF20FA">
        <w:rPr>
          <w:rFonts w:asciiTheme="majorHAnsi" w:hAnsiTheme="majorHAnsi"/>
          <w:sz w:val="20"/>
          <w:szCs w:val="20"/>
          <w:lang w:val="es-VE"/>
        </w:rPr>
        <w:t xml:space="preserve"> respecto de las licencias otorgadas a las diferentes empresas; en específico, respecto al proceso de consulta llevado a cabo</w:t>
      </w:r>
      <w:r w:rsidR="0041284C" w:rsidRPr="00BF20FA">
        <w:rPr>
          <w:rFonts w:asciiTheme="majorHAnsi" w:hAnsiTheme="majorHAnsi"/>
          <w:sz w:val="20"/>
          <w:szCs w:val="20"/>
          <w:lang w:val="es-VE"/>
        </w:rPr>
        <w:t xml:space="preserve"> </w:t>
      </w:r>
      <w:r w:rsidR="004877D8" w:rsidRPr="00BF20FA">
        <w:rPr>
          <w:rFonts w:asciiTheme="majorHAnsi" w:hAnsiTheme="majorHAnsi"/>
          <w:color w:val="000000" w:themeColor="text1"/>
          <w:sz w:val="20"/>
          <w:szCs w:val="20"/>
          <w:lang w:val="es-CO"/>
        </w:rPr>
        <w:t>en</w:t>
      </w:r>
      <w:r w:rsidR="00501075" w:rsidRPr="00BF20FA">
        <w:rPr>
          <w:rFonts w:asciiTheme="majorHAnsi" w:hAnsiTheme="majorHAnsi"/>
          <w:color w:val="000000" w:themeColor="text1"/>
          <w:sz w:val="20"/>
          <w:szCs w:val="20"/>
          <w:lang w:val="es-CO"/>
        </w:rPr>
        <w:t xml:space="preserve"> enero de 1995</w:t>
      </w:r>
      <w:r w:rsidR="00094BC1" w:rsidRPr="00BF20FA">
        <w:rPr>
          <w:rFonts w:asciiTheme="majorHAnsi" w:hAnsiTheme="majorHAnsi"/>
          <w:color w:val="000000" w:themeColor="text1"/>
          <w:sz w:val="20"/>
          <w:szCs w:val="20"/>
          <w:lang w:val="es-CO"/>
        </w:rPr>
        <w:t>,</w:t>
      </w:r>
      <w:r w:rsidR="00E81EFF" w:rsidRPr="00BF20FA">
        <w:rPr>
          <w:rFonts w:asciiTheme="majorHAnsi" w:hAnsiTheme="majorHAnsi"/>
          <w:color w:val="000000" w:themeColor="text1"/>
          <w:sz w:val="20"/>
          <w:szCs w:val="20"/>
          <w:lang w:val="es-CO"/>
        </w:rPr>
        <w:t xml:space="preserve"> sobre el Bloque Samoré,</w:t>
      </w:r>
      <w:r w:rsidR="00094BC1" w:rsidRPr="00BF20FA">
        <w:rPr>
          <w:rFonts w:asciiTheme="majorHAnsi" w:hAnsiTheme="majorHAnsi"/>
          <w:color w:val="000000" w:themeColor="text1"/>
          <w:sz w:val="20"/>
          <w:szCs w:val="20"/>
          <w:lang w:val="es-CO"/>
        </w:rPr>
        <w:t xml:space="preserve"> </w:t>
      </w:r>
      <w:r w:rsidR="00B86210" w:rsidRPr="00BF20FA">
        <w:rPr>
          <w:rFonts w:asciiTheme="majorHAnsi" w:hAnsiTheme="majorHAnsi"/>
          <w:color w:val="000000" w:themeColor="text1"/>
          <w:sz w:val="20"/>
          <w:szCs w:val="20"/>
          <w:lang w:val="es-CO"/>
        </w:rPr>
        <w:t>refirió</w:t>
      </w:r>
      <w:r w:rsidR="004877D8" w:rsidRPr="00BF20FA">
        <w:rPr>
          <w:rFonts w:asciiTheme="majorHAnsi" w:hAnsiTheme="majorHAnsi"/>
          <w:color w:val="000000" w:themeColor="text1"/>
          <w:sz w:val="20"/>
          <w:szCs w:val="20"/>
          <w:lang w:val="es-CO"/>
        </w:rPr>
        <w:t xml:space="preserve"> que en </w:t>
      </w:r>
      <w:r w:rsidR="00501075" w:rsidRPr="00BF20FA">
        <w:rPr>
          <w:rFonts w:asciiTheme="majorHAnsi" w:hAnsiTheme="majorHAnsi"/>
          <w:color w:val="000000" w:themeColor="text1"/>
          <w:sz w:val="20"/>
          <w:szCs w:val="20"/>
          <w:lang w:val="es-CO"/>
        </w:rPr>
        <w:t>aquel entonces no se habían desarrollado los estándares de consulta previa que existe</w:t>
      </w:r>
      <w:r w:rsidR="00B86210" w:rsidRPr="00BF20FA">
        <w:rPr>
          <w:rFonts w:asciiTheme="majorHAnsi" w:hAnsiTheme="majorHAnsi"/>
          <w:color w:val="000000" w:themeColor="text1"/>
          <w:sz w:val="20"/>
          <w:szCs w:val="20"/>
          <w:lang w:val="es-CO"/>
        </w:rPr>
        <w:t>n hoy en día y</w:t>
      </w:r>
      <w:r w:rsidR="00C8206A" w:rsidRPr="00BF20FA">
        <w:rPr>
          <w:rFonts w:asciiTheme="majorHAnsi" w:hAnsiTheme="majorHAnsi"/>
          <w:color w:val="000000" w:themeColor="text1"/>
          <w:sz w:val="20"/>
          <w:szCs w:val="20"/>
          <w:lang w:val="es-CO"/>
        </w:rPr>
        <w:t>,</w:t>
      </w:r>
      <w:r w:rsidR="00B86210" w:rsidRPr="00BF20FA">
        <w:rPr>
          <w:rFonts w:asciiTheme="majorHAnsi" w:hAnsiTheme="majorHAnsi"/>
          <w:color w:val="000000" w:themeColor="text1"/>
          <w:sz w:val="20"/>
          <w:szCs w:val="20"/>
          <w:lang w:val="es-CO"/>
        </w:rPr>
        <w:t xml:space="preserve"> por tanto</w:t>
      </w:r>
      <w:r w:rsidR="00C8206A" w:rsidRPr="00BF20FA">
        <w:rPr>
          <w:rFonts w:asciiTheme="majorHAnsi" w:hAnsiTheme="majorHAnsi"/>
          <w:color w:val="000000" w:themeColor="text1"/>
          <w:sz w:val="20"/>
          <w:szCs w:val="20"/>
          <w:lang w:val="es-CO"/>
        </w:rPr>
        <w:t>,</w:t>
      </w:r>
      <w:r w:rsidR="00B86210" w:rsidRPr="00BF20FA">
        <w:rPr>
          <w:rFonts w:asciiTheme="majorHAnsi" w:hAnsiTheme="majorHAnsi"/>
          <w:color w:val="000000" w:themeColor="text1"/>
          <w:sz w:val="20"/>
          <w:szCs w:val="20"/>
          <w:lang w:val="es-CO"/>
        </w:rPr>
        <w:t xml:space="preserve"> solicitó</w:t>
      </w:r>
      <w:r w:rsidR="00501075" w:rsidRPr="00BF20FA">
        <w:rPr>
          <w:rFonts w:asciiTheme="majorHAnsi" w:hAnsiTheme="majorHAnsi"/>
          <w:color w:val="000000" w:themeColor="text1"/>
          <w:sz w:val="20"/>
          <w:szCs w:val="20"/>
          <w:lang w:val="es-CO"/>
        </w:rPr>
        <w:t xml:space="preserve"> a la Comisión que ‘‘reconozca los esfuerzo</w:t>
      </w:r>
      <w:r w:rsidR="00B86210" w:rsidRPr="00BF20FA">
        <w:rPr>
          <w:rFonts w:asciiTheme="majorHAnsi" w:hAnsiTheme="majorHAnsi"/>
          <w:color w:val="000000" w:themeColor="text1"/>
          <w:sz w:val="20"/>
          <w:szCs w:val="20"/>
          <w:lang w:val="es-CO"/>
        </w:rPr>
        <w:t xml:space="preserve">s del Estado, y se abstenga de </w:t>
      </w:r>
      <w:r w:rsidR="00501075" w:rsidRPr="00BF20FA">
        <w:rPr>
          <w:rFonts w:asciiTheme="majorHAnsi" w:hAnsiTheme="majorHAnsi"/>
          <w:color w:val="000000" w:themeColor="text1"/>
          <w:sz w:val="20"/>
          <w:szCs w:val="20"/>
          <w:lang w:val="es-CO"/>
        </w:rPr>
        <w:t>aplicar los estándares de consulta previa de forma retroactiva’’</w:t>
      </w:r>
      <w:r w:rsidR="00F424BB" w:rsidRPr="00BF20FA">
        <w:rPr>
          <w:rFonts w:asciiTheme="majorHAnsi" w:hAnsiTheme="majorHAnsi"/>
          <w:color w:val="000000" w:themeColor="text1"/>
          <w:sz w:val="20"/>
          <w:szCs w:val="20"/>
          <w:lang w:val="es-CO"/>
        </w:rPr>
        <w:t>.</w:t>
      </w:r>
      <w:r w:rsidR="00B86210" w:rsidRPr="00BF20FA">
        <w:rPr>
          <w:rFonts w:asciiTheme="majorHAnsi" w:hAnsiTheme="majorHAnsi"/>
          <w:b/>
          <w:sz w:val="20"/>
          <w:szCs w:val="20"/>
          <w:lang w:val="es-VE"/>
        </w:rPr>
        <w:t xml:space="preserve"> </w:t>
      </w:r>
      <w:r w:rsidR="00C8206A" w:rsidRPr="00BF20FA">
        <w:rPr>
          <w:rFonts w:asciiTheme="majorHAnsi" w:hAnsiTheme="majorHAnsi"/>
          <w:sz w:val="20"/>
          <w:szCs w:val="20"/>
          <w:lang w:val="es-VE"/>
        </w:rPr>
        <w:t xml:space="preserve">Asimismo, </w:t>
      </w:r>
      <w:r w:rsidR="00E81EFF" w:rsidRPr="00BF20FA">
        <w:rPr>
          <w:rFonts w:asciiTheme="majorHAnsi" w:hAnsiTheme="majorHAnsi"/>
          <w:sz w:val="20"/>
          <w:szCs w:val="20"/>
          <w:lang w:val="es-VE"/>
        </w:rPr>
        <w:t>s</w:t>
      </w:r>
      <w:r w:rsidR="001C12E5" w:rsidRPr="00BF20FA">
        <w:rPr>
          <w:rFonts w:asciiTheme="majorHAnsi" w:hAnsiTheme="majorHAnsi"/>
          <w:color w:val="000000" w:themeColor="text1"/>
          <w:sz w:val="20"/>
          <w:szCs w:val="20"/>
          <w:lang w:val="es-VE"/>
        </w:rPr>
        <w:t>obre</w:t>
      </w:r>
      <w:r w:rsidR="001C12E5" w:rsidRPr="00BF20FA">
        <w:rPr>
          <w:rFonts w:asciiTheme="majorHAnsi" w:hAnsiTheme="majorHAnsi"/>
          <w:color w:val="000000" w:themeColor="text1"/>
          <w:sz w:val="20"/>
          <w:szCs w:val="20"/>
          <w:lang w:val="es-CO"/>
        </w:rPr>
        <w:t xml:space="preserve"> el Bloque Catleya, el Estado afirmó que</w:t>
      </w:r>
      <w:r w:rsidR="00E435A6" w:rsidRPr="00BF20FA">
        <w:rPr>
          <w:rFonts w:asciiTheme="majorHAnsi" w:hAnsiTheme="majorHAnsi"/>
          <w:color w:val="000000" w:themeColor="text1"/>
          <w:sz w:val="20"/>
          <w:szCs w:val="20"/>
          <w:lang w:val="es-CO"/>
        </w:rPr>
        <w:t xml:space="preserve">, </w:t>
      </w:r>
      <w:r w:rsidR="001C12E5" w:rsidRPr="00BF20FA">
        <w:rPr>
          <w:rFonts w:asciiTheme="majorHAnsi" w:hAnsiTheme="majorHAnsi"/>
          <w:color w:val="000000" w:themeColor="text1"/>
          <w:sz w:val="20"/>
          <w:szCs w:val="20"/>
          <w:lang w:val="es-CO"/>
        </w:rPr>
        <w:t>luego de dos años de reu</w:t>
      </w:r>
      <w:r w:rsidR="00814382" w:rsidRPr="00BF20FA">
        <w:rPr>
          <w:rFonts w:asciiTheme="majorHAnsi" w:hAnsiTheme="majorHAnsi"/>
          <w:color w:val="000000" w:themeColor="text1"/>
          <w:sz w:val="20"/>
          <w:szCs w:val="20"/>
          <w:lang w:val="es-CO"/>
        </w:rPr>
        <w:t xml:space="preserve">niones, </w:t>
      </w:r>
      <w:r w:rsidR="009A5D9E" w:rsidRPr="00BF20FA">
        <w:rPr>
          <w:rFonts w:asciiTheme="majorHAnsi" w:hAnsiTheme="majorHAnsi"/>
          <w:color w:val="000000" w:themeColor="text1"/>
          <w:sz w:val="20"/>
          <w:szCs w:val="20"/>
          <w:lang w:val="es-CO"/>
        </w:rPr>
        <w:t xml:space="preserve">la Asociación de Comunidades y Autoridades Indígenas de Arauca (en adelante ASCATIDAR) </w:t>
      </w:r>
      <w:r w:rsidR="00814382" w:rsidRPr="00BF20FA">
        <w:rPr>
          <w:rFonts w:asciiTheme="majorHAnsi" w:hAnsiTheme="majorHAnsi"/>
          <w:color w:val="000000" w:themeColor="text1"/>
          <w:sz w:val="20"/>
          <w:szCs w:val="20"/>
          <w:lang w:val="es-CO"/>
        </w:rPr>
        <w:t>rechazó</w:t>
      </w:r>
      <w:r w:rsidR="001C12E5" w:rsidRPr="00BF20FA">
        <w:rPr>
          <w:rFonts w:asciiTheme="majorHAnsi" w:hAnsiTheme="majorHAnsi"/>
          <w:color w:val="000000" w:themeColor="text1"/>
          <w:sz w:val="20"/>
          <w:szCs w:val="20"/>
          <w:lang w:val="es-CO"/>
        </w:rPr>
        <w:t xml:space="preserve"> el proceso de consulta previa.</w:t>
      </w:r>
    </w:p>
    <w:p w14:paraId="64BA7CCD" w14:textId="77777777" w:rsidR="00F1460D" w:rsidRPr="00BF20FA" w:rsidRDefault="00F1460D" w:rsidP="002E1E83">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b/>
          <w:sz w:val="20"/>
          <w:szCs w:val="20"/>
          <w:lang w:val="es-VE"/>
        </w:rPr>
      </w:pPr>
    </w:p>
    <w:p w14:paraId="6152B636" w14:textId="77777777" w:rsidR="004A1A57" w:rsidRPr="00BF20FA" w:rsidRDefault="001C12E5"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 xml:space="preserve">Con respecto al Bloque Sirirí, </w:t>
      </w:r>
      <w:r w:rsidR="00814382" w:rsidRPr="00BF20FA">
        <w:rPr>
          <w:rFonts w:asciiTheme="majorHAnsi" w:hAnsiTheme="majorHAnsi"/>
          <w:color w:val="000000" w:themeColor="text1"/>
          <w:sz w:val="20"/>
          <w:szCs w:val="20"/>
          <w:lang w:val="es-VE"/>
        </w:rPr>
        <w:t>el Estado afirmó</w:t>
      </w:r>
      <w:r w:rsidR="00BC155D" w:rsidRPr="00BF20FA">
        <w:rPr>
          <w:rFonts w:asciiTheme="majorHAnsi" w:hAnsiTheme="majorHAnsi"/>
          <w:color w:val="000000" w:themeColor="text1"/>
          <w:sz w:val="20"/>
          <w:szCs w:val="20"/>
          <w:lang w:val="es-VE"/>
        </w:rPr>
        <w:t xml:space="preserve"> </w:t>
      </w:r>
      <w:r w:rsidR="00F96906" w:rsidRPr="00BF20FA">
        <w:rPr>
          <w:rFonts w:asciiTheme="majorHAnsi" w:hAnsiTheme="majorHAnsi"/>
          <w:color w:val="000000" w:themeColor="text1"/>
          <w:sz w:val="20"/>
          <w:szCs w:val="20"/>
          <w:lang w:val="es-VE"/>
        </w:rPr>
        <w:t xml:space="preserve">que </w:t>
      </w:r>
      <w:r w:rsidR="00BC155D" w:rsidRPr="00BF20FA">
        <w:rPr>
          <w:rFonts w:asciiTheme="majorHAnsi" w:hAnsiTheme="majorHAnsi"/>
          <w:color w:val="000000" w:themeColor="text1"/>
          <w:sz w:val="20"/>
          <w:szCs w:val="20"/>
          <w:lang w:val="es-VE"/>
        </w:rPr>
        <w:t xml:space="preserve">desde el mes de mayo de 2004 inició el proceso de acercamiento y socialización de la propuesta de Consulta Previa con la </w:t>
      </w:r>
      <w:r w:rsidR="00BC155D" w:rsidRPr="00BF20FA">
        <w:rPr>
          <w:rFonts w:asciiTheme="majorHAnsi" w:hAnsiTheme="majorHAnsi"/>
          <w:sz w:val="20"/>
          <w:szCs w:val="20"/>
          <w:lang w:val="es-VE"/>
        </w:rPr>
        <w:t xml:space="preserve">Asociación de Autoridades Tradicionales y Cabildos U’wa </w:t>
      </w:r>
      <w:r w:rsidR="00814382" w:rsidRPr="00BF20FA">
        <w:rPr>
          <w:rFonts w:asciiTheme="majorHAnsi" w:hAnsiTheme="majorHAnsi"/>
          <w:sz w:val="20"/>
          <w:szCs w:val="20"/>
          <w:lang w:val="es-VE"/>
        </w:rPr>
        <w:t>–</w:t>
      </w:r>
      <w:r w:rsidR="00BC155D" w:rsidRPr="00BF20FA">
        <w:rPr>
          <w:rFonts w:asciiTheme="majorHAnsi" w:hAnsiTheme="majorHAnsi"/>
          <w:sz w:val="20"/>
          <w:szCs w:val="20"/>
          <w:lang w:val="es-VE"/>
        </w:rPr>
        <w:t xml:space="preserve"> </w:t>
      </w:r>
      <w:r w:rsidR="00814382" w:rsidRPr="00BF20FA">
        <w:rPr>
          <w:rFonts w:asciiTheme="majorHAnsi" w:hAnsiTheme="majorHAnsi"/>
          <w:sz w:val="20"/>
          <w:szCs w:val="20"/>
          <w:lang w:val="es-VE"/>
        </w:rPr>
        <w:t xml:space="preserve">(en adelante </w:t>
      </w:r>
      <w:r w:rsidR="00BC155D" w:rsidRPr="00BF20FA">
        <w:rPr>
          <w:rFonts w:asciiTheme="majorHAnsi" w:hAnsiTheme="majorHAnsi"/>
          <w:sz w:val="20"/>
          <w:szCs w:val="20"/>
          <w:lang w:val="es-VE"/>
        </w:rPr>
        <w:t>ASOU’WA</w:t>
      </w:r>
      <w:r w:rsidR="00814382" w:rsidRPr="00BF20FA">
        <w:rPr>
          <w:rFonts w:asciiTheme="majorHAnsi" w:hAnsiTheme="majorHAnsi"/>
          <w:sz w:val="20"/>
          <w:szCs w:val="20"/>
          <w:lang w:val="es-VE"/>
        </w:rPr>
        <w:t>)</w:t>
      </w:r>
      <w:r w:rsidR="00C95CF3" w:rsidRPr="00BF20FA">
        <w:rPr>
          <w:rFonts w:asciiTheme="majorHAnsi" w:hAnsiTheme="majorHAnsi"/>
          <w:color w:val="000000" w:themeColor="text1"/>
          <w:sz w:val="20"/>
          <w:szCs w:val="20"/>
          <w:lang w:val="es-VE"/>
        </w:rPr>
        <w:t>,</w:t>
      </w:r>
      <w:r w:rsidR="00BC155D" w:rsidRPr="00BF20FA">
        <w:rPr>
          <w:rFonts w:asciiTheme="majorHAnsi" w:hAnsiTheme="majorHAnsi"/>
          <w:color w:val="000000" w:themeColor="text1"/>
          <w:sz w:val="20"/>
          <w:szCs w:val="20"/>
          <w:lang w:val="es-VE"/>
        </w:rPr>
        <w:t xml:space="preserve"> pero que </w:t>
      </w:r>
      <w:r w:rsidRPr="00BF20FA">
        <w:rPr>
          <w:rFonts w:asciiTheme="majorHAnsi" w:hAnsiTheme="majorHAnsi"/>
          <w:color w:val="000000" w:themeColor="text1"/>
          <w:sz w:val="20"/>
          <w:szCs w:val="20"/>
          <w:lang w:val="es-VE"/>
        </w:rPr>
        <w:t>luego de constantes aplazami</w:t>
      </w:r>
      <w:r w:rsidR="00814382" w:rsidRPr="00BF20FA">
        <w:rPr>
          <w:rFonts w:asciiTheme="majorHAnsi" w:hAnsiTheme="majorHAnsi"/>
          <w:color w:val="000000" w:themeColor="text1"/>
          <w:sz w:val="20"/>
          <w:szCs w:val="20"/>
          <w:lang w:val="es-VE"/>
        </w:rPr>
        <w:t xml:space="preserve">entos </w:t>
      </w:r>
      <w:r w:rsidRPr="00BF20FA">
        <w:rPr>
          <w:rFonts w:asciiTheme="majorHAnsi" w:hAnsiTheme="majorHAnsi"/>
          <w:color w:val="000000" w:themeColor="text1"/>
          <w:sz w:val="20"/>
          <w:szCs w:val="20"/>
          <w:lang w:val="es-VE"/>
        </w:rPr>
        <w:t xml:space="preserve">de manera unilateral por parte de ASOU’WA, los representantes </w:t>
      </w:r>
      <w:r w:rsidR="00E435A6" w:rsidRPr="00BF20FA">
        <w:rPr>
          <w:rFonts w:asciiTheme="majorHAnsi" w:hAnsiTheme="majorHAnsi"/>
          <w:color w:val="000000" w:themeColor="text1"/>
          <w:sz w:val="20"/>
          <w:szCs w:val="20"/>
          <w:lang w:val="es-VE"/>
        </w:rPr>
        <w:t>se negaron a</w:t>
      </w:r>
      <w:r w:rsidRPr="00BF20FA">
        <w:rPr>
          <w:rFonts w:asciiTheme="majorHAnsi" w:hAnsiTheme="majorHAnsi"/>
          <w:color w:val="000000" w:themeColor="text1"/>
          <w:sz w:val="20"/>
          <w:szCs w:val="20"/>
          <w:lang w:val="es-VE"/>
        </w:rPr>
        <w:t xml:space="preserve"> </w:t>
      </w:r>
      <w:r w:rsidR="00E435A6" w:rsidRPr="00BF20FA">
        <w:rPr>
          <w:rFonts w:asciiTheme="majorHAnsi" w:hAnsiTheme="majorHAnsi"/>
          <w:color w:val="000000" w:themeColor="text1"/>
          <w:sz w:val="20"/>
          <w:szCs w:val="20"/>
          <w:lang w:val="es-VE"/>
        </w:rPr>
        <w:t>participar en la consulta</w:t>
      </w:r>
      <w:r w:rsidRPr="00BF20FA">
        <w:rPr>
          <w:rFonts w:asciiTheme="majorHAnsi" w:hAnsiTheme="majorHAnsi"/>
          <w:color w:val="000000" w:themeColor="text1"/>
          <w:sz w:val="20"/>
          <w:szCs w:val="20"/>
          <w:lang w:val="es-VE"/>
        </w:rPr>
        <w:t xml:space="preserve">. </w:t>
      </w:r>
      <w:r w:rsidR="00555360" w:rsidRPr="00BF20FA">
        <w:rPr>
          <w:rFonts w:asciiTheme="majorHAnsi" w:hAnsiTheme="majorHAnsi"/>
          <w:color w:val="000000" w:themeColor="text1"/>
          <w:sz w:val="20"/>
          <w:szCs w:val="20"/>
          <w:lang w:val="es-VE"/>
        </w:rPr>
        <w:t>En lo ateniente al traslape entre el territorio ancestral U’wa y el Parque Nacional Cocuy, el Estado seña</w:t>
      </w:r>
      <w:r w:rsidR="001A0DAA" w:rsidRPr="00BF20FA">
        <w:rPr>
          <w:rFonts w:asciiTheme="majorHAnsi" w:hAnsiTheme="majorHAnsi"/>
          <w:color w:val="000000" w:themeColor="text1"/>
          <w:sz w:val="20"/>
          <w:szCs w:val="20"/>
          <w:lang w:val="es-VE"/>
        </w:rPr>
        <w:t>l</w:t>
      </w:r>
      <w:r w:rsidR="00E435A6" w:rsidRPr="00BF20FA">
        <w:rPr>
          <w:rFonts w:asciiTheme="majorHAnsi" w:hAnsiTheme="majorHAnsi"/>
          <w:color w:val="000000" w:themeColor="text1"/>
          <w:sz w:val="20"/>
          <w:szCs w:val="20"/>
          <w:lang w:val="es-VE"/>
        </w:rPr>
        <w:t>ó</w:t>
      </w:r>
      <w:r w:rsidR="00555360" w:rsidRPr="00BF20FA">
        <w:rPr>
          <w:rFonts w:asciiTheme="majorHAnsi" w:hAnsiTheme="majorHAnsi"/>
          <w:color w:val="000000" w:themeColor="text1"/>
          <w:sz w:val="20"/>
          <w:szCs w:val="20"/>
          <w:lang w:val="es-VE"/>
        </w:rPr>
        <w:t xml:space="preserve"> que </w:t>
      </w:r>
      <w:r w:rsidR="00982657" w:rsidRPr="00BF20FA">
        <w:rPr>
          <w:rFonts w:asciiTheme="majorHAnsi" w:hAnsiTheme="majorHAnsi"/>
          <w:color w:val="000000" w:themeColor="text1"/>
          <w:sz w:val="20"/>
          <w:szCs w:val="20"/>
          <w:lang w:val="es-VE"/>
        </w:rPr>
        <w:t>ha compatibilizado el área</w:t>
      </w:r>
      <w:r w:rsidR="00AF1E33" w:rsidRPr="00BF20FA">
        <w:rPr>
          <w:rFonts w:asciiTheme="majorHAnsi" w:hAnsiTheme="majorHAnsi"/>
          <w:color w:val="000000" w:themeColor="text1"/>
          <w:sz w:val="20"/>
          <w:szCs w:val="20"/>
          <w:lang w:val="es-VE"/>
        </w:rPr>
        <w:t xml:space="preserve"> protegida de dicho Parque Nacional con la propiedad colectiva del Pueblo U´wa. Asimismo, </w:t>
      </w:r>
      <w:r w:rsidR="00814382" w:rsidRPr="00BF20FA">
        <w:rPr>
          <w:rFonts w:asciiTheme="majorHAnsi" w:hAnsiTheme="majorHAnsi"/>
          <w:color w:val="000000" w:themeColor="text1"/>
          <w:sz w:val="20"/>
          <w:szCs w:val="20"/>
          <w:lang w:val="es-VE"/>
        </w:rPr>
        <w:t>el Estado indicó</w:t>
      </w:r>
      <w:r w:rsidR="00DF124B" w:rsidRPr="00BF20FA">
        <w:rPr>
          <w:rFonts w:asciiTheme="majorHAnsi" w:hAnsiTheme="majorHAnsi"/>
          <w:color w:val="000000" w:themeColor="text1"/>
          <w:sz w:val="20"/>
          <w:szCs w:val="20"/>
          <w:lang w:val="es-VE"/>
        </w:rPr>
        <w:t xml:space="preserve"> que</w:t>
      </w:r>
      <w:r w:rsidR="00555360" w:rsidRPr="00BF20FA">
        <w:rPr>
          <w:rFonts w:asciiTheme="majorHAnsi" w:hAnsiTheme="majorHAnsi"/>
          <w:color w:val="000000" w:themeColor="text1"/>
          <w:sz w:val="20"/>
          <w:szCs w:val="20"/>
          <w:lang w:val="es-VE"/>
        </w:rPr>
        <w:t xml:space="preserve"> </w:t>
      </w:r>
      <w:r w:rsidR="00AF1E33" w:rsidRPr="00BF20FA">
        <w:rPr>
          <w:rFonts w:asciiTheme="majorHAnsi" w:hAnsiTheme="majorHAnsi"/>
          <w:color w:val="000000" w:themeColor="text1"/>
          <w:sz w:val="20"/>
          <w:szCs w:val="20"/>
          <w:lang w:val="es-VE"/>
        </w:rPr>
        <w:t xml:space="preserve">el Parque ha permanecido cerrado por varios periodos de tiempo y sólo ha abierto de forma parcial o temporal </w:t>
      </w:r>
      <w:r w:rsidR="00555360" w:rsidRPr="00BF20FA">
        <w:rPr>
          <w:rFonts w:asciiTheme="majorHAnsi" w:hAnsiTheme="majorHAnsi"/>
          <w:color w:val="000000" w:themeColor="text1"/>
          <w:sz w:val="20"/>
          <w:szCs w:val="20"/>
          <w:lang w:val="es-VE"/>
        </w:rPr>
        <w:t>limita</w:t>
      </w:r>
      <w:r w:rsidR="00AF1E33" w:rsidRPr="00BF20FA">
        <w:rPr>
          <w:rFonts w:asciiTheme="majorHAnsi" w:hAnsiTheme="majorHAnsi"/>
          <w:color w:val="000000" w:themeColor="text1"/>
          <w:sz w:val="20"/>
          <w:szCs w:val="20"/>
          <w:lang w:val="es-VE"/>
        </w:rPr>
        <w:t xml:space="preserve">ndo </w:t>
      </w:r>
      <w:r w:rsidR="00555360" w:rsidRPr="00BF20FA">
        <w:rPr>
          <w:rFonts w:asciiTheme="majorHAnsi" w:hAnsiTheme="majorHAnsi"/>
          <w:color w:val="000000" w:themeColor="text1"/>
          <w:sz w:val="20"/>
          <w:szCs w:val="20"/>
          <w:lang w:val="es-VE"/>
        </w:rPr>
        <w:t>las actividades de los turistas en la zona.</w:t>
      </w:r>
    </w:p>
    <w:p w14:paraId="3D252B7B" w14:textId="77777777" w:rsidR="004A1A57" w:rsidRPr="00BF20FA" w:rsidRDefault="004A1A57" w:rsidP="004A1A57">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5601DCCF" w14:textId="77777777" w:rsidR="00D047EC" w:rsidRPr="00BF20FA" w:rsidRDefault="00AF1E33"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Por otra parte, e</w:t>
      </w:r>
      <w:r w:rsidR="006A0AB3" w:rsidRPr="00BF20FA">
        <w:rPr>
          <w:rFonts w:asciiTheme="majorHAnsi" w:hAnsiTheme="majorHAnsi"/>
          <w:color w:val="000000" w:themeColor="text1"/>
          <w:sz w:val="20"/>
          <w:szCs w:val="20"/>
          <w:lang w:val="es-VE"/>
        </w:rPr>
        <w:t>l Estado afirm</w:t>
      </w:r>
      <w:r w:rsidR="001A0DAA" w:rsidRPr="00BF20FA">
        <w:rPr>
          <w:rFonts w:asciiTheme="majorHAnsi" w:hAnsiTheme="majorHAnsi"/>
          <w:color w:val="000000" w:themeColor="text1"/>
          <w:sz w:val="20"/>
          <w:szCs w:val="20"/>
          <w:lang w:val="es-VE"/>
        </w:rPr>
        <w:t>ó</w:t>
      </w:r>
      <w:r w:rsidR="006A0AB3" w:rsidRPr="00BF20FA">
        <w:rPr>
          <w:rFonts w:asciiTheme="majorHAnsi" w:hAnsiTheme="majorHAnsi"/>
          <w:color w:val="000000" w:themeColor="text1"/>
          <w:sz w:val="20"/>
          <w:szCs w:val="20"/>
          <w:lang w:val="es-VE"/>
        </w:rPr>
        <w:t xml:space="preserve"> que</w:t>
      </w:r>
      <w:r w:rsidR="004038E6" w:rsidRPr="00BF20FA">
        <w:rPr>
          <w:rFonts w:asciiTheme="majorHAnsi" w:hAnsiTheme="majorHAnsi"/>
          <w:color w:val="000000" w:themeColor="text1"/>
          <w:sz w:val="20"/>
          <w:szCs w:val="20"/>
          <w:lang w:val="es-VE"/>
        </w:rPr>
        <w:t xml:space="preserve"> el hecho de otorgar un título minero no necesariamente conlleva a que la comunidad sufra una afectación, toda vez </w:t>
      </w:r>
      <w:r w:rsidR="003D4E6F" w:rsidRPr="00BF20FA">
        <w:rPr>
          <w:rFonts w:asciiTheme="majorHAnsi" w:hAnsiTheme="majorHAnsi"/>
          <w:color w:val="000000" w:themeColor="text1"/>
          <w:sz w:val="20"/>
          <w:szCs w:val="20"/>
          <w:lang w:val="es-VE"/>
        </w:rPr>
        <w:t xml:space="preserve">que </w:t>
      </w:r>
      <w:r w:rsidR="004038E6" w:rsidRPr="00BF20FA">
        <w:rPr>
          <w:rFonts w:asciiTheme="majorHAnsi" w:hAnsiTheme="majorHAnsi"/>
          <w:color w:val="000000" w:themeColor="text1"/>
          <w:sz w:val="20"/>
          <w:szCs w:val="20"/>
          <w:lang w:val="es-VE"/>
        </w:rPr>
        <w:t xml:space="preserve">con el otorgamiento se entra a la etapa de exploración, para lo que no se hace necesario realizar consulta previa, máxime cuando en dicha etapa no se tiene certeza de si efectivamente se desarrollará o no </w:t>
      </w:r>
      <w:r w:rsidR="001A0DAA" w:rsidRPr="00BF20FA">
        <w:rPr>
          <w:rFonts w:asciiTheme="majorHAnsi" w:hAnsiTheme="majorHAnsi"/>
          <w:color w:val="000000" w:themeColor="text1"/>
          <w:sz w:val="20"/>
          <w:szCs w:val="20"/>
          <w:lang w:val="es-VE"/>
        </w:rPr>
        <w:t>el</w:t>
      </w:r>
      <w:r w:rsidR="004038E6" w:rsidRPr="00BF20FA">
        <w:rPr>
          <w:rFonts w:asciiTheme="majorHAnsi" w:hAnsiTheme="majorHAnsi"/>
          <w:color w:val="000000" w:themeColor="text1"/>
          <w:sz w:val="20"/>
          <w:szCs w:val="20"/>
          <w:lang w:val="es-VE"/>
        </w:rPr>
        <w:t xml:space="preserve"> proyecto.</w:t>
      </w:r>
      <w:r w:rsidRPr="00BF20FA">
        <w:rPr>
          <w:rFonts w:asciiTheme="majorHAnsi" w:hAnsiTheme="majorHAnsi"/>
          <w:color w:val="000000" w:themeColor="text1"/>
          <w:sz w:val="20"/>
          <w:szCs w:val="20"/>
          <w:lang w:val="es-VE"/>
        </w:rPr>
        <w:t xml:space="preserve"> Además, se refirió a lo establecido por </w:t>
      </w:r>
      <w:r w:rsidR="00255ECB" w:rsidRPr="00BF20FA">
        <w:rPr>
          <w:rFonts w:asciiTheme="majorHAnsi" w:hAnsiTheme="majorHAnsi"/>
          <w:sz w:val="20"/>
          <w:szCs w:val="20"/>
          <w:lang w:val="es-VE"/>
        </w:rPr>
        <w:t xml:space="preserve">la Corte Constitucional </w:t>
      </w:r>
      <w:r w:rsidRPr="00BF20FA">
        <w:rPr>
          <w:rFonts w:asciiTheme="majorHAnsi" w:hAnsiTheme="majorHAnsi"/>
          <w:sz w:val="20"/>
          <w:szCs w:val="20"/>
          <w:lang w:val="es-VE"/>
        </w:rPr>
        <w:t xml:space="preserve">en tanto </w:t>
      </w:r>
      <w:r w:rsidR="001A0DAA" w:rsidRPr="00BF20FA">
        <w:rPr>
          <w:rFonts w:asciiTheme="majorHAnsi" w:hAnsiTheme="majorHAnsi"/>
          <w:sz w:val="20"/>
          <w:szCs w:val="20"/>
          <w:lang w:val="es-VE"/>
        </w:rPr>
        <w:t>que no obliga a obtener consentimiento a menos que exista posibilidad de generar un exterminio físico y cultural</w:t>
      </w:r>
      <w:r w:rsidR="009F10C3" w:rsidRPr="00BF20FA">
        <w:rPr>
          <w:rFonts w:asciiTheme="majorHAnsi" w:hAnsiTheme="majorHAnsi"/>
          <w:sz w:val="20"/>
          <w:szCs w:val="20"/>
          <w:lang w:val="es-VE"/>
        </w:rPr>
        <w:t xml:space="preserve">. Asimismo, indicó que el Estado se ve atado de manos cuando el Pueblo U´wa es absolutamente renuente a participar de procesos de consulta. </w:t>
      </w:r>
    </w:p>
    <w:p w14:paraId="2080C3D9" w14:textId="77777777" w:rsidR="00D047EC" w:rsidRPr="00BF20FA" w:rsidRDefault="00D047EC" w:rsidP="00D047EC">
      <w:pPr>
        <w:pStyle w:val="ListParagraph"/>
        <w:rPr>
          <w:rFonts w:asciiTheme="majorHAnsi" w:hAnsiTheme="majorHAnsi"/>
          <w:color w:val="000000" w:themeColor="text1"/>
          <w:sz w:val="20"/>
          <w:szCs w:val="20"/>
          <w:lang w:val="es-VE"/>
        </w:rPr>
      </w:pPr>
    </w:p>
    <w:p w14:paraId="06E61CB9" w14:textId="77777777" w:rsidR="004A1A57" w:rsidRPr="00BF20FA" w:rsidRDefault="002C29A3"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En relación a la instalación del gasoducto Gibraltar –</w:t>
      </w:r>
      <w:r w:rsidR="00D83B74" w:rsidRPr="00BF20FA">
        <w:rPr>
          <w:rFonts w:asciiTheme="majorHAnsi" w:hAnsiTheme="majorHAnsi"/>
          <w:color w:val="000000" w:themeColor="text1"/>
          <w:sz w:val="20"/>
          <w:szCs w:val="20"/>
          <w:lang w:val="es-VE"/>
        </w:rPr>
        <w:t xml:space="preserve"> Bucaramanga, el Estado señaló que se llevó a cabo respetando la integridad del </w:t>
      </w:r>
      <w:r w:rsidR="009C0101" w:rsidRPr="00BF20FA">
        <w:rPr>
          <w:rFonts w:asciiTheme="majorHAnsi" w:hAnsiTheme="majorHAnsi"/>
          <w:color w:val="000000" w:themeColor="text1"/>
          <w:sz w:val="20"/>
          <w:szCs w:val="20"/>
          <w:lang w:val="es-VE"/>
        </w:rPr>
        <w:t>Pueblo U’wa y que</w:t>
      </w:r>
      <w:r w:rsidR="00D83B74" w:rsidRPr="00BF20FA">
        <w:rPr>
          <w:rFonts w:asciiTheme="majorHAnsi" w:hAnsiTheme="majorHAnsi"/>
          <w:color w:val="000000" w:themeColor="text1"/>
          <w:sz w:val="20"/>
          <w:szCs w:val="20"/>
          <w:lang w:val="es-VE"/>
        </w:rPr>
        <w:t xml:space="preserve"> no atraviesa </w:t>
      </w:r>
      <w:r w:rsidR="00D65B39" w:rsidRPr="00BF20FA">
        <w:rPr>
          <w:rFonts w:asciiTheme="majorHAnsi" w:hAnsiTheme="majorHAnsi"/>
          <w:color w:val="000000" w:themeColor="text1"/>
          <w:sz w:val="20"/>
          <w:szCs w:val="20"/>
          <w:lang w:val="es-VE"/>
        </w:rPr>
        <w:t xml:space="preserve">su </w:t>
      </w:r>
      <w:r w:rsidR="00D83B74" w:rsidRPr="00BF20FA">
        <w:rPr>
          <w:rFonts w:asciiTheme="majorHAnsi" w:hAnsiTheme="majorHAnsi"/>
          <w:color w:val="000000" w:themeColor="text1"/>
          <w:sz w:val="20"/>
          <w:szCs w:val="20"/>
          <w:lang w:val="es-VE"/>
        </w:rPr>
        <w:t xml:space="preserve">territorio ancestral ni el área de influencia del mismo, ni se ha probado que su funcionamiento genere efectos negativos. </w:t>
      </w:r>
      <w:r w:rsidR="004F0940" w:rsidRPr="00BF20FA">
        <w:rPr>
          <w:rFonts w:asciiTheme="majorHAnsi" w:hAnsiTheme="majorHAnsi"/>
          <w:color w:val="000000" w:themeColor="text1"/>
          <w:sz w:val="20"/>
          <w:szCs w:val="20"/>
          <w:lang w:val="es-VE"/>
        </w:rPr>
        <w:t xml:space="preserve">Además, indicó que </w:t>
      </w:r>
      <w:r w:rsidR="00775208" w:rsidRPr="00BF20FA">
        <w:rPr>
          <w:rFonts w:asciiTheme="majorHAnsi" w:hAnsiTheme="majorHAnsi"/>
          <w:color w:val="000000" w:themeColor="text1"/>
          <w:sz w:val="20"/>
          <w:szCs w:val="20"/>
          <w:lang w:val="es-VE"/>
        </w:rPr>
        <w:t xml:space="preserve">en mayo de 2016, varios integrantes del Pueblo U´wa bloquearon la vía de acceso a la Planta de Gas Gibraltar, lo que supuso varias afectaciones al suministro de gas de varias municipalidades. </w:t>
      </w:r>
    </w:p>
    <w:p w14:paraId="44E8A439" w14:textId="77777777" w:rsidR="004A1A57" w:rsidRPr="00BF20FA" w:rsidRDefault="004A1A57" w:rsidP="004A1A57">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2BF0EF55" w14:textId="77777777" w:rsidR="004A1A57" w:rsidRPr="00BF20FA" w:rsidRDefault="00F26CE1"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E</w:t>
      </w:r>
      <w:r w:rsidR="009C0101" w:rsidRPr="00BF20FA">
        <w:rPr>
          <w:rFonts w:asciiTheme="majorHAnsi" w:hAnsiTheme="majorHAnsi"/>
          <w:color w:val="000000" w:themeColor="text1"/>
          <w:sz w:val="20"/>
          <w:szCs w:val="20"/>
          <w:lang w:val="es-VE"/>
        </w:rPr>
        <w:t>l Estado afirmó</w:t>
      </w:r>
      <w:r w:rsidR="00173AF9" w:rsidRPr="00BF20FA">
        <w:rPr>
          <w:rFonts w:asciiTheme="majorHAnsi" w:hAnsiTheme="majorHAnsi"/>
          <w:color w:val="000000" w:themeColor="text1"/>
          <w:sz w:val="20"/>
          <w:szCs w:val="20"/>
          <w:lang w:val="es-VE"/>
        </w:rPr>
        <w:t xml:space="preserve"> que</w:t>
      </w:r>
      <w:r w:rsidRPr="00BF20FA">
        <w:rPr>
          <w:rFonts w:asciiTheme="majorHAnsi" w:hAnsiTheme="majorHAnsi"/>
          <w:color w:val="000000" w:themeColor="text1"/>
          <w:sz w:val="20"/>
          <w:szCs w:val="20"/>
          <w:lang w:val="es-VE"/>
        </w:rPr>
        <w:t xml:space="preserve"> el derecho a la libertad de expresión</w:t>
      </w:r>
      <w:r w:rsidR="00173AF9" w:rsidRPr="00BF20FA">
        <w:rPr>
          <w:rFonts w:asciiTheme="majorHAnsi" w:hAnsiTheme="majorHAnsi"/>
          <w:color w:val="000000" w:themeColor="text1"/>
          <w:sz w:val="20"/>
          <w:szCs w:val="20"/>
          <w:lang w:val="es-VE"/>
        </w:rPr>
        <w:t xml:space="preserve"> no implica, automáticamente, la obligación de las entidades estatales de aceptar y</w:t>
      </w:r>
      <w:r w:rsidR="009C0101" w:rsidRPr="00BF20FA">
        <w:rPr>
          <w:rFonts w:asciiTheme="majorHAnsi" w:hAnsiTheme="majorHAnsi"/>
          <w:color w:val="000000" w:themeColor="text1"/>
          <w:sz w:val="20"/>
          <w:szCs w:val="20"/>
          <w:lang w:val="es-VE"/>
        </w:rPr>
        <w:t xml:space="preserve"> actuar de forma acorde </w:t>
      </w:r>
      <w:r w:rsidR="00B71C3F" w:rsidRPr="00BF20FA">
        <w:rPr>
          <w:rFonts w:asciiTheme="majorHAnsi" w:hAnsiTheme="majorHAnsi"/>
          <w:color w:val="000000" w:themeColor="text1"/>
          <w:sz w:val="20"/>
          <w:szCs w:val="20"/>
          <w:lang w:val="es-VE"/>
        </w:rPr>
        <w:t xml:space="preserve">a </w:t>
      </w:r>
      <w:r w:rsidRPr="00BF20FA">
        <w:rPr>
          <w:rFonts w:asciiTheme="majorHAnsi" w:hAnsiTheme="majorHAnsi"/>
          <w:color w:val="000000" w:themeColor="text1"/>
          <w:sz w:val="20"/>
          <w:szCs w:val="20"/>
          <w:lang w:val="es-VE"/>
        </w:rPr>
        <w:t xml:space="preserve">las </w:t>
      </w:r>
      <w:r w:rsidR="00173AF9" w:rsidRPr="00BF20FA">
        <w:rPr>
          <w:rFonts w:asciiTheme="majorHAnsi" w:hAnsiTheme="majorHAnsi"/>
          <w:color w:val="000000" w:themeColor="text1"/>
          <w:sz w:val="20"/>
          <w:szCs w:val="20"/>
          <w:lang w:val="es-VE"/>
        </w:rPr>
        <w:t>manifestaciones</w:t>
      </w:r>
      <w:r w:rsidRPr="00BF20FA">
        <w:rPr>
          <w:rFonts w:asciiTheme="majorHAnsi" w:hAnsiTheme="majorHAnsi"/>
          <w:color w:val="000000" w:themeColor="text1"/>
          <w:sz w:val="20"/>
          <w:szCs w:val="20"/>
          <w:lang w:val="es-VE"/>
        </w:rPr>
        <w:t xml:space="preserve"> de la comunidad</w:t>
      </w:r>
      <w:r w:rsidR="00173AF9" w:rsidRPr="00BF20FA">
        <w:rPr>
          <w:rFonts w:asciiTheme="majorHAnsi" w:hAnsiTheme="majorHAnsi"/>
          <w:color w:val="000000" w:themeColor="text1"/>
          <w:sz w:val="20"/>
          <w:szCs w:val="20"/>
          <w:lang w:val="es-VE"/>
        </w:rPr>
        <w:t xml:space="preserve">. </w:t>
      </w:r>
      <w:r w:rsidR="009C0101" w:rsidRPr="00BF20FA">
        <w:rPr>
          <w:rFonts w:asciiTheme="majorHAnsi" w:hAnsiTheme="majorHAnsi"/>
          <w:color w:val="000000" w:themeColor="text1"/>
          <w:sz w:val="20"/>
          <w:szCs w:val="20"/>
          <w:lang w:val="es-VE"/>
        </w:rPr>
        <w:t xml:space="preserve">Asimismo, afirmó que </w:t>
      </w:r>
      <w:r w:rsidR="00173AF9" w:rsidRPr="00BF20FA">
        <w:rPr>
          <w:rFonts w:asciiTheme="majorHAnsi" w:hAnsiTheme="majorHAnsi"/>
          <w:color w:val="000000" w:themeColor="text1"/>
          <w:sz w:val="20"/>
          <w:szCs w:val="20"/>
          <w:lang w:val="es-VE"/>
        </w:rPr>
        <w:t>durante los procesos de consulta</w:t>
      </w:r>
      <w:r w:rsidR="009C0101" w:rsidRPr="00BF20FA">
        <w:rPr>
          <w:rFonts w:asciiTheme="majorHAnsi" w:hAnsiTheme="majorHAnsi"/>
          <w:color w:val="000000" w:themeColor="text1"/>
          <w:sz w:val="20"/>
          <w:szCs w:val="20"/>
          <w:lang w:val="es-VE"/>
        </w:rPr>
        <w:t xml:space="preserve">, </w:t>
      </w:r>
      <w:r w:rsidR="00173AF9" w:rsidRPr="00BF20FA">
        <w:rPr>
          <w:rFonts w:asciiTheme="majorHAnsi" w:hAnsiTheme="majorHAnsi"/>
          <w:color w:val="000000" w:themeColor="text1"/>
          <w:sz w:val="20"/>
          <w:szCs w:val="20"/>
          <w:lang w:val="es-VE"/>
        </w:rPr>
        <w:t>tanto el Estado como las empresas</w:t>
      </w:r>
      <w:r w:rsidR="009C0101" w:rsidRPr="00BF20FA">
        <w:rPr>
          <w:rFonts w:asciiTheme="majorHAnsi" w:hAnsiTheme="majorHAnsi"/>
          <w:color w:val="000000" w:themeColor="text1"/>
          <w:sz w:val="20"/>
          <w:szCs w:val="20"/>
          <w:lang w:val="es-VE"/>
        </w:rPr>
        <w:t>,</w:t>
      </w:r>
      <w:r w:rsidR="00173AF9" w:rsidRPr="00BF20FA">
        <w:rPr>
          <w:rFonts w:asciiTheme="majorHAnsi" w:hAnsiTheme="majorHAnsi"/>
          <w:color w:val="000000" w:themeColor="text1"/>
          <w:sz w:val="20"/>
          <w:szCs w:val="20"/>
          <w:lang w:val="es-VE"/>
        </w:rPr>
        <w:t xml:space="preserve"> proporcionaron al Pueblo </w:t>
      </w:r>
      <w:r w:rsidR="00173AF9" w:rsidRPr="00BF20FA">
        <w:rPr>
          <w:rFonts w:asciiTheme="majorHAnsi" w:hAnsiTheme="majorHAnsi"/>
          <w:color w:val="000000" w:themeColor="text1"/>
          <w:sz w:val="20"/>
          <w:szCs w:val="20"/>
          <w:lang w:val="es-VE"/>
        </w:rPr>
        <w:lastRenderedPageBreak/>
        <w:t>U’wa la información pertinente</w:t>
      </w:r>
      <w:r w:rsidRPr="00BF20FA">
        <w:rPr>
          <w:rFonts w:asciiTheme="majorHAnsi" w:hAnsiTheme="majorHAnsi"/>
          <w:color w:val="000000" w:themeColor="text1"/>
          <w:sz w:val="20"/>
          <w:szCs w:val="20"/>
          <w:lang w:val="es-VE"/>
        </w:rPr>
        <w:t xml:space="preserve"> y que el Pueblo U´wa</w:t>
      </w:r>
      <w:r w:rsidR="00D65B39" w:rsidRPr="00BF20FA">
        <w:rPr>
          <w:rFonts w:asciiTheme="majorHAnsi" w:hAnsiTheme="majorHAnsi"/>
          <w:color w:val="000000" w:themeColor="text1"/>
          <w:sz w:val="20"/>
          <w:szCs w:val="20"/>
          <w:lang w:val="es-VE"/>
        </w:rPr>
        <w:t xml:space="preserve"> </w:t>
      </w:r>
      <w:r w:rsidRPr="00BF20FA">
        <w:rPr>
          <w:rFonts w:asciiTheme="majorHAnsi" w:hAnsiTheme="majorHAnsi"/>
          <w:color w:val="000000" w:themeColor="text1"/>
          <w:sz w:val="20"/>
          <w:szCs w:val="20"/>
          <w:lang w:val="es-VE"/>
        </w:rPr>
        <w:t>rechaza los</w:t>
      </w:r>
      <w:r w:rsidR="00D65B39" w:rsidRPr="00BF20FA">
        <w:rPr>
          <w:rFonts w:asciiTheme="majorHAnsi" w:hAnsiTheme="majorHAnsi"/>
          <w:color w:val="000000" w:themeColor="text1"/>
          <w:sz w:val="20"/>
          <w:szCs w:val="20"/>
          <w:lang w:val="es-VE"/>
        </w:rPr>
        <w:t xml:space="preserve"> espacios de </w:t>
      </w:r>
      <w:r w:rsidR="00173AF9" w:rsidRPr="00BF20FA">
        <w:rPr>
          <w:rFonts w:asciiTheme="majorHAnsi" w:hAnsiTheme="majorHAnsi"/>
          <w:color w:val="000000" w:themeColor="text1"/>
          <w:sz w:val="20"/>
          <w:szCs w:val="20"/>
          <w:lang w:val="es-VE"/>
        </w:rPr>
        <w:t>participació</w:t>
      </w:r>
      <w:r w:rsidR="00856A12" w:rsidRPr="00BF20FA">
        <w:rPr>
          <w:rFonts w:asciiTheme="majorHAnsi" w:hAnsiTheme="majorHAnsi"/>
          <w:color w:val="000000" w:themeColor="text1"/>
          <w:sz w:val="20"/>
          <w:szCs w:val="20"/>
          <w:lang w:val="es-VE"/>
        </w:rPr>
        <w:t>n</w:t>
      </w:r>
      <w:r w:rsidR="00D65B39" w:rsidRPr="00BF20FA">
        <w:rPr>
          <w:rFonts w:asciiTheme="majorHAnsi" w:hAnsiTheme="majorHAnsi"/>
          <w:color w:val="000000" w:themeColor="text1"/>
          <w:sz w:val="20"/>
          <w:szCs w:val="20"/>
          <w:lang w:val="es-VE"/>
        </w:rPr>
        <w:t xml:space="preserve"> “</w:t>
      </w:r>
      <w:r w:rsidR="00173AF9" w:rsidRPr="00BF20FA">
        <w:rPr>
          <w:rFonts w:asciiTheme="majorHAnsi" w:hAnsiTheme="majorHAnsi"/>
          <w:color w:val="000000" w:themeColor="text1"/>
          <w:sz w:val="20"/>
          <w:szCs w:val="20"/>
          <w:lang w:val="es-VE"/>
        </w:rPr>
        <w:t>porque no se acomodan a sus intereses y posturas</w:t>
      </w:r>
      <w:r w:rsidR="00856A12" w:rsidRPr="00BF20FA">
        <w:rPr>
          <w:rFonts w:asciiTheme="majorHAnsi" w:hAnsiTheme="majorHAnsi"/>
          <w:color w:val="000000" w:themeColor="text1"/>
          <w:sz w:val="20"/>
          <w:szCs w:val="20"/>
          <w:lang w:val="es-VE"/>
        </w:rPr>
        <w:t>’’</w:t>
      </w:r>
      <w:r w:rsidR="00F91E0F" w:rsidRPr="00BF20FA">
        <w:rPr>
          <w:rFonts w:asciiTheme="majorHAnsi" w:hAnsiTheme="majorHAnsi"/>
          <w:color w:val="000000" w:themeColor="text1"/>
          <w:sz w:val="20"/>
          <w:szCs w:val="20"/>
          <w:lang w:val="es-VE"/>
        </w:rPr>
        <w:t>.</w:t>
      </w:r>
    </w:p>
    <w:p w14:paraId="551A5470" w14:textId="77777777" w:rsidR="004A1A57" w:rsidRPr="00BF20FA" w:rsidRDefault="004A1A57" w:rsidP="004A1A57">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6E262E3E" w14:textId="77777777" w:rsidR="004A1A57" w:rsidRPr="00BF20FA" w:rsidRDefault="008F7001"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 xml:space="preserve">Sobre la falta de saneamiento del territorio del Resguardo U’wa, </w:t>
      </w:r>
      <w:r w:rsidR="009C0101" w:rsidRPr="00BF20FA">
        <w:rPr>
          <w:rFonts w:asciiTheme="majorHAnsi" w:hAnsiTheme="majorHAnsi"/>
          <w:color w:val="000000" w:themeColor="text1"/>
          <w:sz w:val="20"/>
          <w:szCs w:val="20"/>
          <w:lang w:val="es-VE"/>
        </w:rPr>
        <w:t>el Estado refirió</w:t>
      </w:r>
      <w:r w:rsidR="00CE4BA0" w:rsidRPr="00BF20FA">
        <w:rPr>
          <w:rFonts w:asciiTheme="majorHAnsi" w:hAnsiTheme="majorHAnsi"/>
          <w:color w:val="000000" w:themeColor="text1"/>
          <w:sz w:val="20"/>
          <w:szCs w:val="20"/>
          <w:lang w:val="es-VE"/>
        </w:rPr>
        <w:t xml:space="preserve"> que desde el 2003 el INCODER ha venido</w:t>
      </w:r>
      <w:r w:rsidR="00DF124B" w:rsidRPr="00BF20FA">
        <w:rPr>
          <w:rFonts w:asciiTheme="majorHAnsi" w:hAnsiTheme="majorHAnsi"/>
          <w:color w:val="000000" w:themeColor="text1"/>
          <w:sz w:val="20"/>
          <w:szCs w:val="20"/>
          <w:lang w:val="es-VE"/>
        </w:rPr>
        <w:t xml:space="preserve"> </w:t>
      </w:r>
      <w:r w:rsidR="00CE4BA0" w:rsidRPr="00BF20FA">
        <w:rPr>
          <w:rFonts w:asciiTheme="majorHAnsi" w:hAnsiTheme="majorHAnsi"/>
          <w:color w:val="000000" w:themeColor="text1"/>
          <w:sz w:val="20"/>
          <w:szCs w:val="20"/>
          <w:lang w:val="es-VE"/>
        </w:rPr>
        <w:t>desarrollando una serie de actividades</w:t>
      </w:r>
      <w:r w:rsidR="004D698B" w:rsidRPr="00BF20FA">
        <w:rPr>
          <w:rFonts w:asciiTheme="majorHAnsi" w:hAnsiTheme="majorHAnsi"/>
          <w:color w:val="000000" w:themeColor="text1"/>
          <w:sz w:val="20"/>
          <w:szCs w:val="20"/>
          <w:lang w:val="es-VE"/>
        </w:rPr>
        <w:t xml:space="preserve"> y que </w:t>
      </w:r>
      <w:r w:rsidR="00CE4BA0" w:rsidRPr="00BF20FA">
        <w:rPr>
          <w:rFonts w:asciiTheme="majorHAnsi" w:hAnsiTheme="majorHAnsi"/>
          <w:color w:val="000000" w:themeColor="text1"/>
          <w:sz w:val="20"/>
          <w:szCs w:val="20"/>
          <w:lang w:val="es-VE"/>
        </w:rPr>
        <w:t>‘‘</w:t>
      </w:r>
      <w:r w:rsidR="00CE4BA0" w:rsidRPr="00BF20FA">
        <w:rPr>
          <w:rFonts w:asciiTheme="majorHAnsi" w:hAnsiTheme="majorHAnsi"/>
          <w:color w:val="000000" w:themeColor="text1"/>
          <w:sz w:val="20"/>
          <w:szCs w:val="20"/>
          <w:lang w:val="es-MX"/>
        </w:rPr>
        <w:t xml:space="preserve">únicamente quedan pendientes la adquisición de 94 predios y 10 mejoras’’ y que </w:t>
      </w:r>
      <w:r w:rsidR="00847AE0" w:rsidRPr="00BF20FA">
        <w:rPr>
          <w:rFonts w:asciiTheme="majorHAnsi" w:hAnsiTheme="majorHAnsi"/>
          <w:color w:val="000000" w:themeColor="text1"/>
          <w:sz w:val="20"/>
          <w:szCs w:val="20"/>
          <w:lang w:val="es-VE"/>
        </w:rPr>
        <w:t>todos los predios</w:t>
      </w:r>
      <w:r w:rsidR="00CE4BA0" w:rsidRPr="00BF20FA">
        <w:rPr>
          <w:rFonts w:asciiTheme="majorHAnsi" w:hAnsiTheme="majorHAnsi"/>
          <w:color w:val="000000" w:themeColor="text1"/>
          <w:sz w:val="20"/>
          <w:szCs w:val="20"/>
          <w:lang w:val="es-VE"/>
        </w:rPr>
        <w:t xml:space="preserve"> adquiridos</w:t>
      </w:r>
      <w:r w:rsidR="00847AE0" w:rsidRPr="00BF20FA">
        <w:rPr>
          <w:rFonts w:asciiTheme="majorHAnsi" w:hAnsiTheme="majorHAnsi"/>
          <w:color w:val="000000" w:themeColor="text1"/>
          <w:sz w:val="20"/>
          <w:szCs w:val="20"/>
          <w:lang w:val="es-VE"/>
        </w:rPr>
        <w:t xml:space="preserve"> han sido entregados provisionalmente a la comunidad</w:t>
      </w:r>
      <w:r w:rsidR="00CE4BA0" w:rsidRPr="00BF20FA">
        <w:rPr>
          <w:rFonts w:asciiTheme="majorHAnsi" w:hAnsiTheme="majorHAnsi"/>
          <w:color w:val="000000" w:themeColor="text1"/>
          <w:sz w:val="20"/>
          <w:szCs w:val="20"/>
          <w:lang w:val="es-VE"/>
        </w:rPr>
        <w:t>.</w:t>
      </w:r>
    </w:p>
    <w:p w14:paraId="49C8ED65" w14:textId="77777777" w:rsidR="004A1A57" w:rsidRPr="00BF20FA" w:rsidRDefault="004A1A57" w:rsidP="004A1A57">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lang w:val="es-VE"/>
        </w:rPr>
      </w:pPr>
    </w:p>
    <w:p w14:paraId="3C4812AF" w14:textId="77777777" w:rsidR="00CE0310" w:rsidRPr="00BF20FA" w:rsidRDefault="003F2B80"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 xml:space="preserve">Agregó que </w:t>
      </w:r>
      <w:r w:rsidR="00173AF9" w:rsidRPr="00BF20FA">
        <w:rPr>
          <w:rFonts w:asciiTheme="majorHAnsi" w:hAnsiTheme="majorHAnsi"/>
          <w:color w:val="000000" w:themeColor="text1"/>
          <w:sz w:val="20"/>
          <w:szCs w:val="20"/>
          <w:lang w:val="es-VE"/>
        </w:rPr>
        <w:t>debido</w:t>
      </w:r>
      <w:r w:rsidR="00BF64A9" w:rsidRPr="00BF20FA">
        <w:rPr>
          <w:rFonts w:asciiTheme="majorHAnsi" w:hAnsiTheme="majorHAnsi"/>
          <w:color w:val="000000" w:themeColor="text1"/>
          <w:sz w:val="20"/>
          <w:szCs w:val="20"/>
          <w:lang w:val="es-VE"/>
        </w:rPr>
        <w:t xml:space="preserve"> a que el </w:t>
      </w:r>
      <w:r w:rsidR="00173AF9" w:rsidRPr="00BF20FA">
        <w:rPr>
          <w:rFonts w:asciiTheme="majorHAnsi" w:hAnsiTheme="majorHAnsi"/>
          <w:color w:val="000000" w:themeColor="text1"/>
          <w:sz w:val="20"/>
          <w:szCs w:val="20"/>
          <w:lang w:val="es-VE"/>
        </w:rPr>
        <w:t>Pueblo U’wa</w:t>
      </w:r>
      <w:r w:rsidR="00BF64A9" w:rsidRPr="00BF20FA">
        <w:rPr>
          <w:rFonts w:asciiTheme="majorHAnsi" w:hAnsiTheme="majorHAnsi"/>
          <w:color w:val="000000" w:themeColor="text1"/>
          <w:sz w:val="20"/>
          <w:szCs w:val="20"/>
          <w:lang w:val="es-VE"/>
        </w:rPr>
        <w:t xml:space="preserve"> no ha entregado información requerida por el Estado</w:t>
      </w:r>
      <w:r w:rsidR="00173AF9" w:rsidRPr="00BF20FA">
        <w:rPr>
          <w:rFonts w:asciiTheme="majorHAnsi" w:hAnsiTheme="majorHAnsi"/>
          <w:color w:val="000000" w:themeColor="text1"/>
          <w:sz w:val="20"/>
          <w:szCs w:val="20"/>
          <w:lang w:val="es-VE"/>
        </w:rPr>
        <w:t>, no ha sido posible para las autoridades verificar los presuntos títulos de origen colonial que manifiestan les confieren la propiedad de un territ</w:t>
      </w:r>
      <w:r w:rsidRPr="00BF20FA">
        <w:rPr>
          <w:rFonts w:asciiTheme="majorHAnsi" w:hAnsiTheme="majorHAnsi"/>
          <w:color w:val="000000" w:themeColor="text1"/>
          <w:sz w:val="20"/>
          <w:szCs w:val="20"/>
          <w:lang w:val="es-VE"/>
        </w:rPr>
        <w:t>orio superior al del Resguardo</w:t>
      </w:r>
      <w:r w:rsidR="00173AF9" w:rsidRPr="00BF20FA">
        <w:rPr>
          <w:rFonts w:asciiTheme="majorHAnsi" w:hAnsiTheme="majorHAnsi"/>
          <w:color w:val="000000" w:themeColor="text1"/>
          <w:sz w:val="20"/>
          <w:szCs w:val="20"/>
          <w:lang w:val="es-VE"/>
        </w:rPr>
        <w:t xml:space="preserve">. </w:t>
      </w:r>
      <w:r w:rsidRPr="00BF20FA">
        <w:rPr>
          <w:rFonts w:asciiTheme="majorHAnsi" w:hAnsiTheme="majorHAnsi"/>
          <w:b/>
          <w:sz w:val="20"/>
          <w:szCs w:val="20"/>
          <w:lang w:val="es-VE"/>
        </w:rPr>
        <w:t xml:space="preserve"> </w:t>
      </w:r>
      <w:r w:rsidR="00352755" w:rsidRPr="00BF20FA">
        <w:rPr>
          <w:rFonts w:asciiTheme="majorHAnsi" w:hAnsiTheme="majorHAnsi"/>
          <w:color w:val="000000" w:themeColor="text1"/>
          <w:sz w:val="20"/>
          <w:szCs w:val="20"/>
          <w:lang w:val="es-VE"/>
        </w:rPr>
        <w:t xml:space="preserve">Sobre la titulación de los predios </w:t>
      </w:r>
      <w:r w:rsidRPr="00BF20FA">
        <w:rPr>
          <w:rFonts w:asciiTheme="majorHAnsi" w:hAnsiTheme="majorHAnsi"/>
          <w:color w:val="000000" w:themeColor="text1"/>
          <w:sz w:val="20"/>
          <w:szCs w:val="20"/>
          <w:lang w:val="es-CO"/>
        </w:rPr>
        <w:t>señaló</w:t>
      </w:r>
      <w:r w:rsidR="0020548E" w:rsidRPr="00BF20FA">
        <w:rPr>
          <w:rFonts w:asciiTheme="majorHAnsi" w:hAnsiTheme="majorHAnsi"/>
          <w:color w:val="000000" w:themeColor="text1"/>
          <w:sz w:val="20"/>
          <w:szCs w:val="20"/>
          <w:lang w:val="es-CO"/>
        </w:rPr>
        <w:t xml:space="preserve"> que </w:t>
      </w:r>
      <w:r w:rsidR="00352755" w:rsidRPr="00BF20FA">
        <w:rPr>
          <w:rFonts w:asciiTheme="majorHAnsi" w:hAnsiTheme="majorHAnsi"/>
          <w:color w:val="000000" w:themeColor="text1"/>
          <w:sz w:val="20"/>
          <w:szCs w:val="20"/>
          <w:lang w:val="es-CO"/>
        </w:rPr>
        <w:t>en virtud del Decreto 2164 de 1995</w:t>
      </w:r>
      <w:r w:rsidR="00CE4BA0" w:rsidRPr="00BF20FA">
        <w:rPr>
          <w:rFonts w:asciiTheme="majorHAnsi" w:hAnsiTheme="majorHAnsi"/>
          <w:color w:val="000000" w:themeColor="text1"/>
          <w:sz w:val="20"/>
          <w:szCs w:val="20"/>
          <w:lang w:val="es-CO"/>
        </w:rPr>
        <w:t>,</w:t>
      </w:r>
      <w:r w:rsidR="00352755" w:rsidRPr="00BF20FA">
        <w:rPr>
          <w:rFonts w:asciiTheme="majorHAnsi" w:hAnsiTheme="majorHAnsi"/>
          <w:color w:val="000000" w:themeColor="text1"/>
          <w:sz w:val="20"/>
          <w:szCs w:val="20"/>
          <w:lang w:val="es-CO"/>
        </w:rPr>
        <w:t xml:space="preserve"> </w:t>
      </w:r>
      <w:r w:rsidR="0020548E" w:rsidRPr="00BF20FA">
        <w:rPr>
          <w:rFonts w:asciiTheme="majorHAnsi" w:hAnsiTheme="majorHAnsi"/>
          <w:color w:val="000000" w:themeColor="text1"/>
          <w:sz w:val="20"/>
          <w:szCs w:val="20"/>
          <w:lang w:val="es-CO"/>
        </w:rPr>
        <w:t xml:space="preserve">en </w:t>
      </w:r>
      <w:r w:rsidR="00352755" w:rsidRPr="00BF20FA">
        <w:rPr>
          <w:rFonts w:asciiTheme="majorHAnsi" w:hAnsiTheme="majorHAnsi"/>
          <w:color w:val="000000" w:themeColor="text1"/>
          <w:sz w:val="20"/>
          <w:szCs w:val="20"/>
          <w:lang w:val="es-CO"/>
        </w:rPr>
        <w:t>l</w:t>
      </w:r>
      <w:r w:rsidRPr="00BF20FA">
        <w:rPr>
          <w:rFonts w:asciiTheme="majorHAnsi" w:hAnsiTheme="majorHAnsi"/>
          <w:color w:val="000000" w:themeColor="text1"/>
          <w:sz w:val="20"/>
          <w:szCs w:val="20"/>
          <w:lang w:val="es-CO"/>
        </w:rPr>
        <w:t>a escritura pública se determinó</w:t>
      </w:r>
      <w:r w:rsidR="00352755" w:rsidRPr="00BF20FA">
        <w:rPr>
          <w:rFonts w:asciiTheme="majorHAnsi" w:hAnsiTheme="majorHAnsi"/>
          <w:color w:val="000000" w:themeColor="text1"/>
          <w:sz w:val="20"/>
          <w:szCs w:val="20"/>
          <w:lang w:val="es-CO"/>
        </w:rPr>
        <w:t xml:space="preserve"> que el titular del derecho de dominio es </w:t>
      </w:r>
      <w:r w:rsidR="0020548E" w:rsidRPr="00BF20FA">
        <w:rPr>
          <w:rFonts w:asciiTheme="majorHAnsi" w:hAnsiTheme="majorHAnsi"/>
          <w:color w:val="000000" w:themeColor="text1"/>
          <w:sz w:val="20"/>
          <w:szCs w:val="20"/>
          <w:lang w:val="es-CO"/>
        </w:rPr>
        <w:t xml:space="preserve">el INCODER, </w:t>
      </w:r>
      <w:r w:rsidR="00646637" w:rsidRPr="00BF20FA">
        <w:rPr>
          <w:rFonts w:asciiTheme="majorHAnsi" w:hAnsiTheme="majorHAnsi"/>
          <w:color w:val="000000" w:themeColor="text1"/>
          <w:sz w:val="20"/>
          <w:szCs w:val="20"/>
          <w:lang w:val="es-CO"/>
        </w:rPr>
        <w:t xml:space="preserve">y </w:t>
      </w:r>
      <w:r w:rsidR="00934123" w:rsidRPr="00BF20FA">
        <w:rPr>
          <w:rFonts w:asciiTheme="majorHAnsi" w:hAnsiTheme="majorHAnsi"/>
          <w:color w:val="000000" w:themeColor="text1"/>
          <w:sz w:val="20"/>
          <w:szCs w:val="20"/>
          <w:lang w:val="es-CO"/>
        </w:rPr>
        <w:t xml:space="preserve">que </w:t>
      </w:r>
      <w:r w:rsidR="00CE4BA0" w:rsidRPr="00BF20FA">
        <w:rPr>
          <w:rFonts w:asciiTheme="majorHAnsi" w:hAnsiTheme="majorHAnsi"/>
          <w:color w:val="000000" w:themeColor="text1"/>
          <w:sz w:val="20"/>
          <w:szCs w:val="20"/>
          <w:lang w:val="es-CO"/>
        </w:rPr>
        <w:t xml:space="preserve">habrá una </w:t>
      </w:r>
      <w:r w:rsidR="00352755" w:rsidRPr="00BF20FA">
        <w:rPr>
          <w:rFonts w:asciiTheme="majorHAnsi" w:hAnsiTheme="majorHAnsi"/>
          <w:color w:val="000000" w:themeColor="text1"/>
          <w:sz w:val="20"/>
          <w:szCs w:val="20"/>
          <w:lang w:val="es-CO"/>
        </w:rPr>
        <w:t>posterior transferencia del derecho de dominio a la Comunidad U’wa</w:t>
      </w:r>
      <w:r w:rsidR="00AE4EE1" w:rsidRPr="00BF20FA">
        <w:rPr>
          <w:rFonts w:asciiTheme="majorHAnsi" w:hAnsiTheme="majorHAnsi"/>
          <w:color w:val="000000" w:themeColor="text1"/>
          <w:sz w:val="20"/>
          <w:szCs w:val="20"/>
          <w:lang w:val="es-CO"/>
        </w:rPr>
        <w:t xml:space="preserve"> </w:t>
      </w:r>
      <w:r w:rsidR="00352755" w:rsidRPr="00BF20FA">
        <w:rPr>
          <w:rFonts w:asciiTheme="majorHAnsi" w:hAnsiTheme="majorHAnsi"/>
          <w:color w:val="000000" w:themeColor="text1"/>
          <w:sz w:val="20"/>
          <w:szCs w:val="20"/>
          <w:lang w:val="es-CO"/>
        </w:rPr>
        <w:t>en el marco del saneamie</w:t>
      </w:r>
      <w:r w:rsidR="0020548E" w:rsidRPr="00BF20FA">
        <w:rPr>
          <w:rFonts w:asciiTheme="majorHAnsi" w:hAnsiTheme="majorHAnsi"/>
          <w:color w:val="000000" w:themeColor="text1"/>
          <w:sz w:val="20"/>
          <w:szCs w:val="20"/>
          <w:lang w:val="es-CO"/>
        </w:rPr>
        <w:t>nto del resguardo indígena U’wa</w:t>
      </w:r>
      <w:r w:rsidR="004C5EF8" w:rsidRPr="00BF20FA">
        <w:rPr>
          <w:rFonts w:asciiTheme="majorHAnsi" w:hAnsiTheme="majorHAnsi"/>
          <w:color w:val="000000" w:themeColor="text1"/>
          <w:sz w:val="20"/>
          <w:szCs w:val="20"/>
          <w:lang w:val="es-CO"/>
        </w:rPr>
        <w:t>.</w:t>
      </w:r>
      <w:r w:rsidR="009B0448" w:rsidRPr="00BF20FA">
        <w:rPr>
          <w:rFonts w:asciiTheme="majorHAnsi" w:hAnsiTheme="majorHAnsi"/>
          <w:color w:val="000000" w:themeColor="text1"/>
          <w:sz w:val="20"/>
          <w:szCs w:val="20"/>
          <w:lang w:val="es-CO"/>
        </w:rPr>
        <w:t xml:space="preserve"> </w:t>
      </w:r>
      <w:r w:rsidR="004C5EF8" w:rsidRPr="00BF20FA">
        <w:rPr>
          <w:rFonts w:asciiTheme="majorHAnsi" w:hAnsiTheme="majorHAnsi"/>
          <w:color w:val="000000" w:themeColor="text1"/>
          <w:sz w:val="20"/>
          <w:szCs w:val="20"/>
          <w:lang w:val="es-VE"/>
        </w:rPr>
        <w:t xml:space="preserve">Sobre el acuerdo de constitución de dos Resguardos adicionales, </w:t>
      </w:r>
      <w:r w:rsidR="00934123" w:rsidRPr="00BF20FA">
        <w:rPr>
          <w:rFonts w:asciiTheme="majorHAnsi" w:hAnsiTheme="majorHAnsi"/>
          <w:color w:val="000000" w:themeColor="text1"/>
          <w:sz w:val="20"/>
          <w:szCs w:val="20"/>
          <w:lang w:val="es-VE"/>
        </w:rPr>
        <w:t>el Estado señaló</w:t>
      </w:r>
      <w:r w:rsidR="00646637" w:rsidRPr="00BF20FA">
        <w:rPr>
          <w:rFonts w:asciiTheme="majorHAnsi" w:hAnsiTheme="majorHAnsi"/>
          <w:color w:val="000000" w:themeColor="text1"/>
          <w:sz w:val="20"/>
          <w:szCs w:val="20"/>
          <w:lang w:val="es-VE"/>
        </w:rPr>
        <w:t xml:space="preserve"> que </w:t>
      </w:r>
      <w:r w:rsidR="004C5EF8" w:rsidRPr="00BF20FA">
        <w:rPr>
          <w:rFonts w:asciiTheme="majorHAnsi" w:hAnsiTheme="majorHAnsi"/>
          <w:color w:val="000000" w:themeColor="text1"/>
          <w:sz w:val="20"/>
          <w:szCs w:val="20"/>
          <w:lang w:val="es-VE"/>
        </w:rPr>
        <w:t>entre 201</w:t>
      </w:r>
      <w:r w:rsidR="007F4DE5" w:rsidRPr="00BF20FA">
        <w:rPr>
          <w:rFonts w:asciiTheme="majorHAnsi" w:hAnsiTheme="majorHAnsi"/>
          <w:color w:val="000000" w:themeColor="text1"/>
          <w:sz w:val="20"/>
          <w:szCs w:val="20"/>
          <w:lang w:val="es-VE"/>
        </w:rPr>
        <w:t>5</w:t>
      </w:r>
      <w:r w:rsidR="004C5EF8" w:rsidRPr="00BF20FA">
        <w:rPr>
          <w:rFonts w:asciiTheme="majorHAnsi" w:hAnsiTheme="majorHAnsi"/>
          <w:color w:val="000000" w:themeColor="text1"/>
          <w:sz w:val="20"/>
          <w:szCs w:val="20"/>
          <w:lang w:val="es-VE"/>
        </w:rPr>
        <w:t xml:space="preserve"> y 2016 se llevó a cabo la constitución del Resguardo Kuitua. Por otra parte, en cuanto al segundo Resguardo denominado ‘‘Los Pedrazas</w:t>
      </w:r>
      <w:r w:rsidR="007F4DE5" w:rsidRPr="00BF20FA">
        <w:rPr>
          <w:rFonts w:asciiTheme="majorHAnsi" w:hAnsiTheme="majorHAnsi"/>
          <w:color w:val="000000" w:themeColor="text1"/>
          <w:sz w:val="20"/>
          <w:szCs w:val="20"/>
          <w:lang w:val="es-VE"/>
        </w:rPr>
        <w:t>”</w:t>
      </w:r>
      <w:r w:rsidR="004C5EF8" w:rsidRPr="00BF20FA">
        <w:rPr>
          <w:rFonts w:asciiTheme="majorHAnsi" w:hAnsiTheme="majorHAnsi"/>
          <w:color w:val="000000" w:themeColor="text1"/>
          <w:sz w:val="20"/>
          <w:szCs w:val="20"/>
          <w:lang w:val="es-VE"/>
        </w:rPr>
        <w:t>,</w:t>
      </w:r>
      <w:r w:rsidR="00934123" w:rsidRPr="00BF20FA">
        <w:rPr>
          <w:rFonts w:asciiTheme="majorHAnsi" w:hAnsiTheme="majorHAnsi"/>
          <w:color w:val="000000" w:themeColor="text1"/>
          <w:sz w:val="20"/>
          <w:szCs w:val="20"/>
          <w:lang w:val="es-VE"/>
        </w:rPr>
        <w:t xml:space="preserve"> el Estado alegó</w:t>
      </w:r>
      <w:r w:rsidR="007F4DE5" w:rsidRPr="00BF20FA">
        <w:rPr>
          <w:rFonts w:asciiTheme="majorHAnsi" w:hAnsiTheme="majorHAnsi"/>
          <w:color w:val="000000" w:themeColor="text1"/>
          <w:sz w:val="20"/>
          <w:szCs w:val="20"/>
          <w:lang w:val="es-VE"/>
        </w:rPr>
        <w:t xml:space="preserve"> que </w:t>
      </w:r>
      <w:r w:rsidR="004C5EF8" w:rsidRPr="00BF20FA">
        <w:rPr>
          <w:rFonts w:asciiTheme="majorHAnsi" w:hAnsiTheme="majorHAnsi"/>
          <w:color w:val="000000" w:themeColor="text1"/>
          <w:sz w:val="20"/>
          <w:szCs w:val="20"/>
          <w:lang w:val="es-VE"/>
        </w:rPr>
        <w:t>la comunidad manifestó que no quería que su territorio fuera delimitado como Resguardo.</w:t>
      </w:r>
    </w:p>
    <w:p w14:paraId="340198FE" w14:textId="77777777" w:rsidR="00D46A5F" w:rsidRPr="00BF20FA" w:rsidRDefault="00D46A5F" w:rsidP="00D46A5F">
      <w:pPr>
        <w:jc w:val="both"/>
        <w:rPr>
          <w:rFonts w:asciiTheme="majorHAnsi" w:hAnsiTheme="majorHAnsi"/>
          <w:color w:val="000000" w:themeColor="text1"/>
          <w:sz w:val="20"/>
          <w:szCs w:val="20"/>
          <w:lang w:val="es-VE"/>
        </w:rPr>
      </w:pPr>
    </w:p>
    <w:p w14:paraId="3C5724CF" w14:textId="77777777" w:rsidR="00DB470E" w:rsidRPr="00BF20FA" w:rsidRDefault="009539CD" w:rsidP="008F7F9A">
      <w:pPr>
        <w:pStyle w:val="ListParagraph"/>
        <w:numPr>
          <w:ilvl w:val="0"/>
          <w:numId w:val="55"/>
        </w:numPr>
        <w:tabs>
          <w:tab w:val="left" w:pos="36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 xml:space="preserve">Por otra parte, </w:t>
      </w:r>
      <w:r w:rsidR="0096650C" w:rsidRPr="00BF20FA">
        <w:rPr>
          <w:rFonts w:asciiTheme="majorHAnsi" w:hAnsiTheme="majorHAnsi"/>
          <w:color w:val="000000" w:themeColor="text1"/>
          <w:sz w:val="20"/>
          <w:szCs w:val="20"/>
          <w:lang w:val="es-VE"/>
        </w:rPr>
        <w:t>el Estado solicitó</w:t>
      </w:r>
      <w:r w:rsidR="00DE0123" w:rsidRPr="00BF20FA">
        <w:rPr>
          <w:rFonts w:asciiTheme="majorHAnsi" w:hAnsiTheme="majorHAnsi"/>
          <w:color w:val="000000" w:themeColor="text1"/>
          <w:sz w:val="20"/>
          <w:szCs w:val="20"/>
          <w:lang w:val="es-VE"/>
        </w:rPr>
        <w:t xml:space="preserve"> a la Comisión no pronunciarse sobre los recursos internos interpuestos por los peticionarios de forma posterior al 14 de octubre de 2014, fecha en la que el Estado presentó sus observaciones de admisibilidad, esto es la acción de nulidad contra la Resolución 0803 de 24 de septiembre de 2012 y la acción de nulidad contra contratos de conces</w:t>
      </w:r>
      <w:r w:rsidR="0096650C" w:rsidRPr="00BF20FA">
        <w:rPr>
          <w:rFonts w:asciiTheme="majorHAnsi" w:hAnsiTheme="majorHAnsi"/>
          <w:color w:val="000000" w:themeColor="text1"/>
          <w:sz w:val="20"/>
          <w:szCs w:val="20"/>
          <w:lang w:val="es-VE"/>
        </w:rPr>
        <w:t xml:space="preserve">ión minera ambas instauradas </w:t>
      </w:r>
      <w:r w:rsidR="00DE0123" w:rsidRPr="00BF20FA">
        <w:rPr>
          <w:rFonts w:asciiTheme="majorHAnsi" w:hAnsiTheme="majorHAnsi"/>
          <w:color w:val="000000" w:themeColor="text1"/>
          <w:sz w:val="20"/>
          <w:szCs w:val="20"/>
          <w:lang w:val="es-VE"/>
        </w:rPr>
        <w:t xml:space="preserve">el 4 de febrero de 2015 ante el Consejo de Estado. </w:t>
      </w:r>
      <w:r w:rsidR="003C3D30" w:rsidRPr="00BF20FA">
        <w:rPr>
          <w:rFonts w:asciiTheme="majorHAnsi" w:hAnsiTheme="majorHAnsi"/>
          <w:color w:val="000000" w:themeColor="text1"/>
          <w:sz w:val="20"/>
          <w:szCs w:val="20"/>
          <w:lang w:val="es-VE"/>
        </w:rPr>
        <w:t>Afirmó que las resoluciones que recayeron a las diversas acciones presentadas, así como las diferentes tutelas, fueron proferidas en plazo razonable y</w:t>
      </w:r>
      <w:r w:rsidR="00DE0123" w:rsidRPr="00BF20FA">
        <w:rPr>
          <w:rFonts w:asciiTheme="majorHAnsi" w:hAnsiTheme="majorHAnsi"/>
          <w:color w:val="000000" w:themeColor="text1"/>
          <w:sz w:val="20"/>
          <w:szCs w:val="20"/>
          <w:lang w:val="es-VE"/>
        </w:rPr>
        <w:t xml:space="preserve"> acorde a la legislación y estándares internacionales</w:t>
      </w:r>
      <w:r w:rsidR="003C3D30" w:rsidRPr="00BF20FA">
        <w:rPr>
          <w:rFonts w:asciiTheme="majorHAnsi" w:hAnsiTheme="majorHAnsi"/>
          <w:color w:val="000000" w:themeColor="text1"/>
          <w:sz w:val="20"/>
          <w:szCs w:val="20"/>
          <w:lang w:val="es-VE"/>
        </w:rPr>
        <w:t>.</w:t>
      </w:r>
    </w:p>
    <w:p w14:paraId="762BFF8C" w14:textId="77777777" w:rsidR="00DB470E" w:rsidRPr="00BF20FA" w:rsidRDefault="00DB470E" w:rsidP="001E126B">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b/>
          <w:sz w:val="20"/>
          <w:szCs w:val="20"/>
          <w:lang w:val="es-VE"/>
        </w:rPr>
      </w:pPr>
    </w:p>
    <w:p w14:paraId="10F7A2B6" w14:textId="77777777" w:rsidR="00924FC1" w:rsidRPr="00BF20FA" w:rsidRDefault="006A2D9A" w:rsidP="008F7F9A">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 w:val="num" w:pos="2040"/>
        </w:tabs>
        <w:ind w:left="0" w:firstLine="0"/>
        <w:jc w:val="both"/>
        <w:rPr>
          <w:rFonts w:asciiTheme="majorHAnsi" w:hAnsiTheme="majorHAnsi"/>
          <w:b/>
          <w:sz w:val="20"/>
          <w:szCs w:val="20"/>
          <w:lang w:val="es-VE"/>
        </w:rPr>
      </w:pPr>
      <w:r w:rsidRPr="00BF20FA">
        <w:rPr>
          <w:rFonts w:asciiTheme="majorHAnsi" w:hAnsiTheme="majorHAnsi"/>
          <w:color w:val="000000" w:themeColor="text1"/>
          <w:sz w:val="20"/>
          <w:szCs w:val="20"/>
          <w:lang w:val="es-VE"/>
        </w:rPr>
        <w:t xml:space="preserve">Sobre el deber de adoptar disposiciones de </w:t>
      </w:r>
      <w:r w:rsidR="0096650C" w:rsidRPr="00BF20FA">
        <w:rPr>
          <w:rFonts w:asciiTheme="majorHAnsi" w:hAnsiTheme="majorHAnsi"/>
          <w:color w:val="000000" w:themeColor="text1"/>
          <w:sz w:val="20"/>
          <w:szCs w:val="20"/>
          <w:lang w:val="es-VE"/>
        </w:rPr>
        <w:t>derecho interno el Estado señaló</w:t>
      </w:r>
      <w:r w:rsidRPr="00BF20FA">
        <w:rPr>
          <w:rFonts w:asciiTheme="majorHAnsi" w:hAnsiTheme="majorHAnsi"/>
          <w:color w:val="000000" w:themeColor="text1"/>
          <w:sz w:val="20"/>
          <w:szCs w:val="20"/>
          <w:lang w:val="es-VE"/>
        </w:rPr>
        <w:t xml:space="preserve"> que el derecho a la consulta previa se encuentra reconocido en tres niveles: como parte del bloque de constitucionalidad</w:t>
      </w:r>
      <w:r w:rsidR="006A6C70" w:rsidRPr="00BF20FA">
        <w:rPr>
          <w:rFonts w:asciiTheme="majorHAnsi" w:hAnsiTheme="majorHAnsi"/>
          <w:color w:val="000000" w:themeColor="text1"/>
          <w:sz w:val="20"/>
          <w:szCs w:val="20"/>
          <w:lang w:val="es-VE"/>
        </w:rPr>
        <w:t xml:space="preserve"> con la ratificación del Convenio 169  del OIT mediante la Ley 31 de 1991</w:t>
      </w:r>
      <w:r w:rsidR="00A81F0F" w:rsidRPr="00BF20FA">
        <w:rPr>
          <w:rFonts w:asciiTheme="majorHAnsi" w:hAnsiTheme="majorHAnsi"/>
          <w:color w:val="000000" w:themeColor="text1"/>
          <w:sz w:val="20"/>
          <w:szCs w:val="20"/>
          <w:lang w:val="es-VE"/>
        </w:rPr>
        <w:t>;</w:t>
      </w:r>
      <w:r w:rsidRPr="00BF20FA">
        <w:rPr>
          <w:rFonts w:asciiTheme="majorHAnsi" w:hAnsiTheme="majorHAnsi"/>
          <w:color w:val="000000" w:themeColor="text1"/>
          <w:sz w:val="20"/>
          <w:szCs w:val="20"/>
          <w:lang w:val="es-VE"/>
        </w:rPr>
        <w:t xml:space="preserve"> a través de la jurisprudencia </w:t>
      </w:r>
      <w:r w:rsidR="006A6C70" w:rsidRPr="00BF20FA">
        <w:rPr>
          <w:rFonts w:asciiTheme="majorHAnsi" w:hAnsiTheme="majorHAnsi"/>
          <w:color w:val="000000" w:themeColor="text1"/>
          <w:sz w:val="20"/>
          <w:szCs w:val="20"/>
          <w:lang w:val="es-VE"/>
        </w:rPr>
        <w:t>de la Corte Constitucional</w:t>
      </w:r>
      <w:r w:rsidR="00A81F0F" w:rsidRPr="00BF20FA">
        <w:rPr>
          <w:rFonts w:asciiTheme="majorHAnsi" w:hAnsiTheme="majorHAnsi"/>
          <w:color w:val="000000" w:themeColor="text1"/>
          <w:sz w:val="20"/>
          <w:szCs w:val="20"/>
          <w:lang w:val="es-VE"/>
        </w:rPr>
        <w:t>;</w:t>
      </w:r>
      <w:r w:rsidRPr="00BF20FA">
        <w:rPr>
          <w:rFonts w:asciiTheme="majorHAnsi" w:hAnsiTheme="majorHAnsi"/>
          <w:color w:val="000000" w:themeColor="text1"/>
          <w:sz w:val="20"/>
          <w:szCs w:val="20"/>
          <w:lang w:val="es-VE"/>
        </w:rPr>
        <w:t xml:space="preserve"> y a través de la Directiva Presidencial 10 de 2013 y el Decreto 2613 de 2016. </w:t>
      </w:r>
    </w:p>
    <w:p w14:paraId="0729D58B" w14:textId="77777777" w:rsidR="001B52C5" w:rsidRPr="00BF20FA" w:rsidRDefault="001B52C5" w:rsidP="001B52C5">
      <w:pPr>
        <w:pStyle w:val="ListParagraph"/>
        <w:rPr>
          <w:rFonts w:asciiTheme="majorHAnsi" w:hAnsiTheme="majorHAnsi"/>
          <w:color w:val="auto"/>
          <w:sz w:val="20"/>
          <w:szCs w:val="20"/>
          <w:lang w:val="es-AR"/>
        </w:rPr>
      </w:pPr>
    </w:p>
    <w:p w14:paraId="6AF1FC87" w14:textId="77777777" w:rsidR="001B52C5" w:rsidRPr="00BF20FA" w:rsidRDefault="001B52C5" w:rsidP="008B00DC">
      <w:pPr>
        <w:pStyle w:val="Heading1"/>
        <w:spacing w:before="0"/>
        <w:ind w:left="360"/>
        <w:rPr>
          <w:color w:val="auto"/>
          <w:sz w:val="20"/>
          <w:szCs w:val="20"/>
          <w:lang w:val="es-ES_tradnl"/>
        </w:rPr>
      </w:pPr>
      <w:bookmarkStart w:id="8" w:name="_Toc17221556"/>
      <w:r w:rsidRPr="00BF20FA">
        <w:rPr>
          <w:color w:val="auto"/>
          <w:sz w:val="20"/>
          <w:szCs w:val="20"/>
          <w:lang w:val="es-ES_tradnl"/>
        </w:rPr>
        <w:t>DETERMINACIONES DE HECHO</w:t>
      </w:r>
      <w:bookmarkEnd w:id="8"/>
    </w:p>
    <w:p w14:paraId="6071A860" w14:textId="77777777" w:rsidR="001B52C5" w:rsidRPr="00BF20FA" w:rsidRDefault="001B52C5" w:rsidP="001B52C5">
      <w:pPr>
        <w:suppressAutoHyphens/>
        <w:rPr>
          <w:rFonts w:asciiTheme="majorHAnsi" w:hAnsiTheme="majorHAnsi"/>
          <w:b/>
          <w:sz w:val="20"/>
          <w:szCs w:val="20"/>
          <w:lang w:val="es-ES_tradnl"/>
        </w:rPr>
      </w:pPr>
    </w:p>
    <w:p w14:paraId="035542EB" w14:textId="0844882C" w:rsidR="001B52C5" w:rsidRPr="00BF20FA" w:rsidRDefault="001B52C5" w:rsidP="008F7F9A">
      <w:pPr>
        <w:pStyle w:val="Heading2"/>
        <w:numPr>
          <w:ilvl w:val="0"/>
          <w:numId w:val="66"/>
        </w:numPr>
        <w:spacing w:before="0" w:after="0"/>
        <w:ind w:left="360"/>
        <w:rPr>
          <w:rFonts w:asciiTheme="majorHAnsi" w:hAnsiTheme="majorHAnsi"/>
          <w:i w:val="0"/>
          <w:sz w:val="20"/>
          <w:szCs w:val="20"/>
          <w:lang w:val="es-ES_tradnl"/>
        </w:rPr>
      </w:pPr>
      <w:bookmarkStart w:id="9" w:name="_Toc17221557"/>
      <w:r w:rsidRPr="00BF20FA">
        <w:rPr>
          <w:rFonts w:asciiTheme="majorHAnsi" w:hAnsiTheme="majorHAnsi"/>
          <w:i w:val="0"/>
          <w:sz w:val="20"/>
          <w:szCs w:val="20"/>
          <w:lang w:val="es-ES_tradnl"/>
        </w:rPr>
        <w:t>C</w:t>
      </w:r>
      <w:r w:rsidR="003D2664" w:rsidRPr="00BF20FA">
        <w:rPr>
          <w:rFonts w:asciiTheme="majorHAnsi" w:hAnsiTheme="majorHAnsi"/>
          <w:i w:val="0"/>
          <w:sz w:val="20"/>
          <w:szCs w:val="20"/>
          <w:lang w:val="es-ES_tradnl"/>
        </w:rPr>
        <w:t>ontexto</w:t>
      </w:r>
      <w:bookmarkEnd w:id="9"/>
      <w:r w:rsidRPr="00BF20FA">
        <w:rPr>
          <w:rFonts w:asciiTheme="majorHAnsi" w:hAnsiTheme="majorHAnsi"/>
          <w:i w:val="0"/>
          <w:sz w:val="20"/>
          <w:szCs w:val="20"/>
          <w:lang w:val="es-ES_tradnl"/>
        </w:rPr>
        <w:t xml:space="preserve"> </w:t>
      </w:r>
    </w:p>
    <w:p w14:paraId="78F4F541" w14:textId="77777777" w:rsidR="001B52C5" w:rsidRPr="00BF20FA" w:rsidRDefault="001B52C5" w:rsidP="00732193">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color w:val="000000" w:themeColor="text1"/>
          <w:sz w:val="20"/>
          <w:szCs w:val="20"/>
          <w:u w:val="single"/>
          <w:lang w:val="es-VE"/>
        </w:rPr>
      </w:pPr>
    </w:p>
    <w:p w14:paraId="6871AE2F" w14:textId="211440F3" w:rsidR="002E1B4A" w:rsidRPr="00BF20FA" w:rsidRDefault="0074788E"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VE"/>
        </w:rPr>
        <w:t xml:space="preserve">Según cifras del 2011, la </w:t>
      </w:r>
      <w:r w:rsidR="001B52C5" w:rsidRPr="00BF20FA">
        <w:rPr>
          <w:rFonts w:asciiTheme="majorHAnsi" w:hAnsiTheme="majorHAnsi"/>
          <w:color w:val="auto"/>
          <w:sz w:val="20"/>
          <w:szCs w:val="20"/>
          <w:lang w:val="es-CO"/>
        </w:rPr>
        <w:t>población indígena en Colombia asc</w:t>
      </w:r>
      <w:r w:rsidR="00393942" w:rsidRPr="00BF20FA">
        <w:rPr>
          <w:rFonts w:asciiTheme="majorHAnsi" w:hAnsiTheme="majorHAnsi"/>
          <w:color w:val="auto"/>
          <w:sz w:val="20"/>
          <w:szCs w:val="20"/>
          <w:lang w:val="es-CO"/>
        </w:rPr>
        <w:t>endía</w:t>
      </w:r>
      <w:r w:rsidR="001B52C5" w:rsidRPr="00BF20FA">
        <w:rPr>
          <w:rFonts w:asciiTheme="majorHAnsi" w:hAnsiTheme="majorHAnsi"/>
          <w:color w:val="auto"/>
          <w:sz w:val="20"/>
          <w:szCs w:val="20"/>
          <w:lang w:val="es-CO"/>
        </w:rPr>
        <w:t xml:space="preserve"> a 1’392.623 personas repartidas en 87 pueblos indígenas que conforman 788 resguardos, </w:t>
      </w:r>
      <w:r w:rsidR="00702D62" w:rsidRPr="00BF20FA">
        <w:rPr>
          <w:rFonts w:asciiTheme="majorHAnsi" w:hAnsiTheme="majorHAnsi"/>
          <w:color w:val="auto"/>
          <w:sz w:val="20"/>
          <w:szCs w:val="20"/>
          <w:lang w:val="es-CO"/>
        </w:rPr>
        <w:t>sobre</w:t>
      </w:r>
      <w:r w:rsidR="001B52C5" w:rsidRPr="00BF20FA">
        <w:rPr>
          <w:rFonts w:asciiTheme="majorHAnsi" w:hAnsiTheme="majorHAnsi"/>
          <w:color w:val="auto"/>
          <w:sz w:val="20"/>
          <w:szCs w:val="20"/>
          <w:lang w:val="es-CO"/>
        </w:rPr>
        <w:t xml:space="preserve"> una extensión aproximada de 31 millones de hectáreas (29,84%</w:t>
      </w:r>
      <w:r w:rsidR="007A7A61" w:rsidRPr="00BF20FA">
        <w:rPr>
          <w:rFonts w:asciiTheme="majorHAnsi" w:hAnsiTheme="majorHAnsi"/>
          <w:color w:val="auto"/>
          <w:sz w:val="20"/>
          <w:szCs w:val="20"/>
          <w:lang w:val="es-CO"/>
        </w:rPr>
        <w:t>)</w:t>
      </w:r>
      <w:r w:rsidR="001B52C5" w:rsidRPr="00BF20FA">
        <w:rPr>
          <w:rFonts w:asciiTheme="majorHAnsi" w:hAnsiTheme="majorHAnsi"/>
          <w:color w:val="auto"/>
          <w:sz w:val="20"/>
          <w:szCs w:val="20"/>
          <w:lang w:val="es-CO"/>
        </w:rPr>
        <w:t xml:space="preserve"> del territorio nacional</w:t>
      </w:r>
      <w:r w:rsidR="001B52C5" w:rsidRPr="00BF20FA">
        <w:rPr>
          <w:rStyle w:val="FootnoteReference"/>
          <w:rFonts w:asciiTheme="majorHAnsi" w:hAnsiTheme="majorHAnsi"/>
          <w:color w:val="auto"/>
          <w:sz w:val="20"/>
          <w:szCs w:val="20"/>
          <w:lang w:val="es-CO"/>
        </w:rPr>
        <w:footnoteReference w:id="4"/>
      </w:r>
      <w:r w:rsidR="001B52C5" w:rsidRPr="00BF20FA">
        <w:rPr>
          <w:rFonts w:asciiTheme="majorHAnsi" w:hAnsiTheme="majorHAnsi"/>
          <w:color w:val="auto"/>
          <w:sz w:val="20"/>
          <w:szCs w:val="20"/>
          <w:lang w:val="es-CO"/>
        </w:rPr>
        <w:t xml:space="preserve">. </w:t>
      </w:r>
      <w:r w:rsidR="00775954" w:rsidRPr="00BF20FA">
        <w:rPr>
          <w:rFonts w:asciiTheme="majorHAnsi" w:hAnsiTheme="majorHAnsi"/>
          <w:color w:val="auto"/>
          <w:sz w:val="20"/>
          <w:szCs w:val="20"/>
          <w:lang w:val="es-CO"/>
        </w:rPr>
        <w:t xml:space="preserve">La naturaleza jurídica de los </w:t>
      </w:r>
      <w:r w:rsidR="001B52C5" w:rsidRPr="00BF20FA">
        <w:rPr>
          <w:rFonts w:asciiTheme="majorHAnsi" w:hAnsiTheme="majorHAnsi"/>
          <w:color w:val="auto"/>
          <w:sz w:val="20"/>
          <w:szCs w:val="20"/>
          <w:lang w:val="es-CO"/>
        </w:rPr>
        <w:t>re</w:t>
      </w:r>
      <w:r w:rsidR="00775954" w:rsidRPr="00BF20FA">
        <w:rPr>
          <w:rFonts w:asciiTheme="majorHAnsi" w:hAnsiTheme="majorHAnsi"/>
          <w:color w:val="auto"/>
          <w:sz w:val="20"/>
          <w:szCs w:val="20"/>
          <w:lang w:val="es-CO"/>
        </w:rPr>
        <w:t>sguardos</w:t>
      </w:r>
      <w:r w:rsidR="007A7A61" w:rsidRPr="00BF20FA">
        <w:rPr>
          <w:rFonts w:asciiTheme="majorHAnsi" w:hAnsiTheme="majorHAnsi"/>
          <w:color w:val="auto"/>
          <w:sz w:val="20"/>
          <w:szCs w:val="20"/>
          <w:lang w:val="es-CO"/>
        </w:rPr>
        <w:t xml:space="preserve"> en Colombia,</w:t>
      </w:r>
      <w:r w:rsidR="001B52C5" w:rsidRPr="00BF20FA">
        <w:rPr>
          <w:rFonts w:asciiTheme="majorHAnsi" w:hAnsiTheme="majorHAnsi"/>
          <w:color w:val="auto"/>
          <w:sz w:val="20"/>
          <w:szCs w:val="20"/>
          <w:lang w:val="es-CO"/>
        </w:rPr>
        <w:t xml:space="preserve"> está definida en el Decreto N° 2164 de 1995 donde se señala que ‘‘son una institución legal y sociopolítica de carácter especial, conformada por una o más comunidades indígenas’’, cuyas aéreas ‘‘serán manejadas y administradas por los respectivos cabildos o autoridades tradicionales de las comunidades, de acuerdo con sus usos y costumbres, la legislación especial referida  a la materia y a las normas que sobre este particular adopten sobre aquellas’’</w:t>
      </w:r>
      <w:r w:rsidR="001B52C5" w:rsidRPr="00BF20FA">
        <w:rPr>
          <w:rStyle w:val="FootnoteReference"/>
          <w:rFonts w:asciiTheme="majorHAnsi" w:hAnsiTheme="majorHAnsi"/>
          <w:color w:val="auto"/>
          <w:sz w:val="20"/>
          <w:szCs w:val="20"/>
          <w:lang w:val="es-CO"/>
        </w:rPr>
        <w:footnoteReference w:id="5"/>
      </w:r>
      <w:r w:rsidR="001B52C5" w:rsidRPr="00BF20FA">
        <w:rPr>
          <w:rFonts w:asciiTheme="majorHAnsi" w:hAnsiTheme="majorHAnsi"/>
          <w:color w:val="auto"/>
          <w:sz w:val="20"/>
          <w:szCs w:val="20"/>
          <w:lang w:val="es-CO"/>
        </w:rPr>
        <w:t>.  Por su parte, la Constitución Política de Colombia señala que las tierras de resguardo son ‘‘inalienables, imprescriptibles e inembargables’’</w:t>
      </w:r>
      <w:r w:rsidR="001B52C5" w:rsidRPr="00BF20FA">
        <w:rPr>
          <w:rStyle w:val="FootnoteReference"/>
          <w:rFonts w:asciiTheme="majorHAnsi" w:hAnsiTheme="majorHAnsi"/>
          <w:color w:val="auto"/>
          <w:sz w:val="20"/>
          <w:szCs w:val="20"/>
          <w:lang w:val="es-CO"/>
        </w:rPr>
        <w:footnoteReference w:id="6"/>
      </w:r>
      <w:r w:rsidR="001B52C5" w:rsidRPr="00BF20FA">
        <w:rPr>
          <w:rFonts w:asciiTheme="majorHAnsi" w:hAnsiTheme="majorHAnsi"/>
          <w:color w:val="auto"/>
          <w:sz w:val="20"/>
          <w:szCs w:val="20"/>
          <w:lang w:val="es-CO"/>
        </w:rPr>
        <w:t>.</w:t>
      </w:r>
    </w:p>
    <w:p w14:paraId="6C341D4F" w14:textId="77777777" w:rsidR="002E1B4A" w:rsidRPr="00BF20FA" w:rsidRDefault="002E1B4A" w:rsidP="002E1B4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ind w:left="0"/>
        <w:jc w:val="both"/>
        <w:rPr>
          <w:rFonts w:asciiTheme="majorHAnsi" w:hAnsiTheme="majorHAnsi"/>
          <w:color w:val="000000" w:themeColor="text1"/>
          <w:sz w:val="20"/>
          <w:szCs w:val="20"/>
          <w:u w:val="single"/>
          <w:lang w:val="es-VE"/>
        </w:rPr>
      </w:pPr>
    </w:p>
    <w:p w14:paraId="2655508B" w14:textId="77777777" w:rsidR="00760161" w:rsidRPr="00BF20FA" w:rsidRDefault="006135B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851"/>
          <w:tab w:val="left" w:pos="1440"/>
        </w:tabs>
        <w:ind w:left="0" w:firstLine="0"/>
        <w:jc w:val="both"/>
        <w:rPr>
          <w:rFonts w:asciiTheme="majorHAnsi" w:hAnsiTheme="majorHAnsi"/>
          <w:sz w:val="20"/>
          <w:szCs w:val="20"/>
          <w:lang w:val="es-CO"/>
        </w:rPr>
      </w:pPr>
      <w:r w:rsidRPr="00BF20FA">
        <w:rPr>
          <w:rFonts w:asciiTheme="majorHAnsi" w:hAnsiTheme="majorHAnsi"/>
          <w:color w:val="auto"/>
          <w:sz w:val="20"/>
          <w:szCs w:val="20"/>
          <w:lang w:val="es-CO"/>
        </w:rPr>
        <w:t>L</w:t>
      </w:r>
      <w:r w:rsidR="001B52C5" w:rsidRPr="00BF20FA">
        <w:rPr>
          <w:rFonts w:asciiTheme="majorHAnsi" w:hAnsiTheme="majorHAnsi"/>
          <w:color w:val="auto"/>
          <w:sz w:val="20"/>
          <w:szCs w:val="20"/>
          <w:lang w:val="es-CO"/>
        </w:rPr>
        <w:t>a Comisión ha afirmado que ‘‘a pesar de este marco jurí</w:t>
      </w:r>
      <w:r w:rsidRPr="00BF20FA">
        <w:rPr>
          <w:rFonts w:asciiTheme="majorHAnsi" w:hAnsiTheme="majorHAnsi"/>
          <w:color w:val="auto"/>
          <w:sz w:val="20"/>
          <w:szCs w:val="20"/>
          <w:lang w:val="es-CO"/>
        </w:rPr>
        <w:t>dico e institucional favorable […]</w:t>
      </w:r>
      <w:r w:rsidR="001B52C5" w:rsidRPr="00BF20FA">
        <w:rPr>
          <w:rFonts w:asciiTheme="majorHAnsi" w:hAnsiTheme="majorHAnsi"/>
          <w:color w:val="auto"/>
          <w:sz w:val="20"/>
          <w:szCs w:val="20"/>
          <w:lang w:val="es-CO"/>
        </w:rPr>
        <w:t xml:space="preserve"> ello no se ha traducido en una protección efectiva de los derechos de los pueblos indígenas’’</w:t>
      </w:r>
      <w:r w:rsidR="001B52C5" w:rsidRPr="00BF20FA">
        <w:rPr>
          <w:rStyle w:val="FootnoteReference"/>
          <w:rFonts w:asciiTheme="majorHAnsi" w:hAnsiTheme="majorHAnsi"/>
          <w:color w:val="auto"/>
          <w:sz w:val="20"/>
          <w:szCs w:val="20"/>
          <w:lang w:val="es-CO"/>
        </w:rPr>
        <w:footnoteReference w:id="7"/>
      </w:r>
      <w:r w:rsidR="001B52C5" w:rsidRPr="00BF20FA">
        <w:rPr>
          <w:rFonts w:asciiTheme="majorHAnsi" w:hAnsiTheme="majorHAnsi"/>
          <w:color w:val="auto"/>
          <w:sz w:val="20"/>
          <w:szCs w:val="20"/>
          <w:lang w:val="es-CO"/>
        </w:rPr>
        <w:t xml:space="preserve">. </w:t>
      </w:r>
      <w:r w:rsidR="00B8463C" w:rsidRPr="00BF20FA">
        <w:rPr>
          <w:rFonts w:asciiTheme="majorHAnsi" w:hAnsiTheme="majorHAnsi"/>
          <w:sz w:val="20"/>
          <w:szCs w:val="20"/>
          <w:lang w:val="es-CO"/>
        </w:rPr>
        <w:t xml:space="preserve"> E</w:t>
      </w:r>
      <w:r w:rsidR="001B52C5" w:rsidRPr="00BF20FA">
        <w:rPr>
          <w:rFonts w:asciiTheme="majorHAnsi" w:hAnsiTheme="majorHAnsi"/>
          <w:color w:val="auto"/>
          <w:sz w:val="20"/>
          <w:szCs w:val="20"/>
          <w:lang w:val="es-CO"/>
        </w:rPr>
        <w:t>n el cuarto informe sobre la situación de derechos humanos en Colombia  manifest</w:t>
      </w:r>
      <w:r w:rsidR="00157A53" w:rsidRPr="00BF20FA">
        <w:rPr>
          <w:rFonts w:asciiTheme="majorHAnsi" w:hAnsiTheme="majorHAnsi"/>
          <w:color w:val="auto"/>
          <w:sz w:val="20"/>
          <w:szCs w:val="20"/>
          <w:lang w:val="es-CO"/>
        </w:rPr>
        <w:t>ó</w:t>
      </w:r>
      <w:r w:rsidR="001B52C5" w:rsidRPr="00BF20FA">
        <w:rPr>
          <w:rFonts w:asciiTheme="majorHAnsi" w:hAnsiTheme="majorHAnsi"/>
          <w:color w:val="auto"/>
          <w:sz w:val="20"/>
          <w:szCs w:val="20"/>
          <w:lang w:val="es-CO"/>
        </w:rPr>
        <w:t xml:space="preserve"> su preocupación por ‘‘la situación territorial y el derecho a la consulta previa’’ de los </w:t>
      </w:r>
      <w:r w:rsidR="009F14CD" w:rsidRPr="00BF20FA">
        <w:rPr>
          <w:rFonts w:asciiTheme="majorHAnsi" w:hAnsiTheme="majorHAnsi"/>
          <w:color w:val="auto"/>
          <w:sz w:val="20"/>
          <w:szCs w:val="20"/>
          <w:lang w:val="es-CO"/>
        </w:rPr>
        <w:t xml:space="preserve">pueblos </w:t>
      </w:r>
      <w:r w:rsidR="001B52C5" w:rsidRPr="00BF20FA">
        <w:rPr>
          <w:rFonts w:asciiTheme="majorHAnsi" w:hAnsiTheme="majorHAnsi"/>
          <w:color w:val="auto"/>
          <w:sz w:val="20"/>
          <w:szCs w:val="20"/>
          <w:lang w:val="es-CO"/>
        </w:rPr>
        <w:t>indígenas en Colombia, al señalar que ‘‘existen más de 500 solicitudes de titulación, delimitación y demarcación territorial pendientes d</w:t>
      </w:r>
      <w:r w:rsidRPr="00BF20FA">
        <w:rPr>
          <w:rFonts w:asciiTheme="majorHAnsi" w:hAnsiTheme="majorHAnsi"/>
          <w:color w:val="auto"/>
          <w:sz w:val="20"/>
          <w:szCs w:val="20"/>
          <w:lang w:val="es-CO"/>
        </w:rPr>
        <w:t>e resolver por las autoridades […]</w:t>
      </w:r>
      <w:r w:rsidR="001B52C5" w:rsidRPr="00BF20FA">
        <w:rPr>
          <w:rFonts w:asciiTheme="majorHAnsi" w:hAnsiTheme="majorHAnsi"/>
          <w:color w:val="auto"/>
          <w:sz w:val="20"/>
          <w:szCs w:val="20"/>
          <w:lang w:val="es-CO"/>
        </w:rPr>
        <w:t xml:space="preserve"> </w:t>
      </w:r>
      <w:r w:rsidR="001B52C5" w:rsidRPr="00BF20FA">
        <w:rPr>
          <w:rFonts w:asciiTheme="majorHAnsi" w:hAnsiTheme="majorHAnsi"/>
          <w:color w:val="auto"/>
          <w:sz w:val="20"/>
          <w:szCs w:val="20"/>
          <w:lang w:val="es-CO"/>
        </w:rPr>
        <w:lastRenderedPageBreak/>
        <w:t>el retardo en el reconocimiento de derechos territoriales indígenas contrasta con el creciente impulso de las actividades extractivas, y se vincularía al interés económico en los territorios ancestrales y la voluntad de evitar consultar a los pueblos respectivos sobre los proyectos y planes de</w:t>
      </w:r>
      <w:r w:rsidR="00775954" w:rsidRPr="00BF20FA">
        <w:rPr>
          <w:rFonts w:asciiTheme="majorHAnsi" w:hAnsiTheme="majorHAnsi"/>
          <w:color w:val="auto"/>
          <w:sz w:val="20"/>
          <w:szCs w:val="20"/>
          <w:lang w:val="es-CO"/>
        </w:rPr>
        <w:t xml:space="preserve"> desarrollo o inversión’’. Asimismo, señaló</w:t>
      </w:r>
      <w:r w:rsidR="001B52C5" w:rsidRPr="00BF20FA">
        <w:rPr>
          <w:rFonts w:asciiTheme="majorHAnsi" w:hAnsiTheme="majorHAnsi"/>
          <w:color w:val="auto"/>
          <w:sz w:val="20"/>
          <w:szCs w:val="20"/>
          <w:lang w:val="es-CO"/>
        </w:rPr>
        <w:t xml:space="preserve"> que ‘‘</w:t>
      </w:r>
      <w:r w:rsidR="001B52C5" w:rsidRPr="00BF20FA">
        <w:rPr>
          <w:rFonts w:asciiTheme="majorHAnsi" w:hAnsiTheme="majorHAnsi"/>
          <w:bCs/>
          <w:color w:val="auto"/>
          <w:sz w:val="20"/>
          <w:szCs w:val="20"/>
          <w:lang w:val="es-CO"/>
        </w:rPr>
        <w:t>entre los efectos previsibles de estos proyectos se cuentan la degradación medioambiental profunda, la afectación o destrucción de lugares sagrados, la irrupción de actores no indígenas en los territorios, la afectación de las estructuras de organización social, y en última instancia, la extinción física y cultural de los pueblos respectivos</w:t>
      </w:r>
      <w:r w:rsidR="001B52C5" w:rsidRPr="00BF20FA">
        <w:rPr>
          <w:rFonts w:asciiTheme="majorHAnsi" w:hAnsiTheme="majorHAnsi"/>
          <w:color w:val="auto"/>
          <w:sz w:val="20"/>
          <w:szCs w:val="20"/>
          <w:lang w:val="es-CO"/>
        </w:rPr>
        <w:t>’’</w:t>
      </w:r>
      <w:r w:rsidR="001B52C5" w:rsidRPr="00BF20FA">
        <w:rPr>
          <w:rStyle w:val="FootnoteReference"/>
          <w:rFonts w:asciiTheme="majorHAnsi" w:hAnsiTheme="majorHAnsi"/>
          <w:color w:val="auto"/>
          <w:sz w:val="20"/>
          <w:szCs w:val="20"/>
          <w:lang w:val="es-CO"/>
        </w:rPr>
        <w:footnoteReference w:id="8"/>
      </w:r>
      <w:r w:rsidR="001B52C5" w:rsidRPr="00BF20FA">
        <w:rPr>
          <w:rFonts w:asciiTheme="majorHAnsi" w:hAnsiTheme="majorHAnsi"/>
          <w:color w:val="auto"/>
          <w:sz w:val="20"/>
          <w:szCs w:val="20"/>
          <w:lang w:val="es-CO"/>
        </w:rPr>
        <w:t xml:space="preserve">. </w:t>
      </w:r>
    </w:p>
    <w:p w14:paraId="31FFAD41" w14:textId="77777777" w:rsidR="00760161" w:rsidRPr="00BF20FA" w:rsidRDefault="00760161" w:rsidP="00760161">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jc w:val="both"/>
        <w:rPr>
          <w:rFonts w:asciiTheme="majorHAnsi" w:hAnsiTheme="majorHAnsi"/>
          <w:sz w:val="20"/>
          <w:szCs w:val="20"/>
          <w:lang w:val="es-CO"/>
        </w:rPr>
      </w:pPr>
    </w:p>
    <w:p w14:paraId="38A65867" w14:textId="77777777" w:rsidR="001B52C5" w:rsidRPr="00BF20FA" w:rsidRDefault="00FC25C2"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En 2004,</w:t>
      </w:r>
      <w:r w:rsidR="001B52C5" w:rsidRPr="00BF20FA">
        <w:rPr>
          <w:rFonts w:asciiTheme="majorHAnsi" w:hAnsiTheme="majorHAnsi"/>
          <w:color w:val="auto"/>
          <w:sz w:val="20"/>
          <w:szCs w:val="20"/>
          <w:lang w:val="es-CO"/>
        </w:rPr>
        <w:t xml:space="preserve"> el </w:t>
      </w:r>
      <w:r w:rsidR="006135B4" w:rsidRPr="00BF20FA">
        <w:rPr>
          <w:rFonts w:asciiTheme="majorHAnsi" w:hAnsiTheme="majorHAnsi"/>
          <w:color w:val="auto"/>
          <w:sz w:val="20"/>
          <w:szCs w:val="20"/>
          <w:lang w:val="es-CO"/>
        </w:rPr>
        <w:t xml:space="preserve">entonces </w:t>
      </w:r>
      <w:r w:rsidR="001B52C5" w:rsidRPr="00BF20FA">
        <w:rPr>
          <w:rFonts w:asciiTheme="majorHAnsi" w:hAnsiTheme="majorHAnsi"/>
          <w:color w:val="auto"/>
          <w:sz w:val="20"/>
          <w:szCs w:val="20"/>
          <w:lang w:val="es-CO"/>
        </w:rPr>
        <w:t>Relator Especial sobre la situación de los derechos humanos y las libertades fundamentales de los indígenas de Naciones Unidas, manifestó:</w:t>
      </w:r>
    </w:p>
    <w:p w14:paraId="609A2D53" w14:textId="77777777" w:rsidR="007A7A61" w:rsidRPr="00BF20FA" w:rsidRDefault="007A7A61" w:rsidP="002F0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ind w:left="810"/>
        <w:jc w:val="both"/>
        <w:rPr>
          <w:rFonts w:asciiTheme="majorHAnsi" w:hAnsiTheme="majorHAnsi"/>
          <w:color w:val="000000" w:themeColor="text1"/>
          <w:sz w:val="20"/>
          <w:szCs w:val="20"/>
          <w:u w:val="single"/>
          <w:lang w:val="es-VE"/>
        </w:rPr>
      </w:pPr>
    </w:p>
    <w:p w14:paraId="15C9B50D" w14:textId="77777777" w:rsidR="001B52C5" w:rsidRPr="00BF20FA" w:rsidRDefault="001B52C5" w:rsidP="001108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360" w:right="360"/>
        <w:jc w:val="both"/>
        <w:rPr>
          <w:rFonts w:asciiTheme="majorHAnsi" w:hAnsiTheme="majorHAnsi"/>
          <w:sz w:val="18"/>
          <w:szCs w:val="18"/>
          <w:lang w:val="es-CO"/>
        </w:rPr>
      </w:pPr>
      <w:r w:rsidRPr="00BF20FA">
        <w:rPr>
          <w:rFonts w:asciiTheme="majorHAnsi" w:hAnsiTheme="majorHAnsi"/>
          <w:sz w:val="18"/>
          <w:szCs w:val="18"/>
          <w:lang w:val="es-CO"/>
        </w:rPr>
        <w:t>A largo plazo es motivo de preocupación que las comunidades indígenas aun teniendo legalmente la posesión de los resguardos no están en posición de poder proteger adecuadamente sus territorios de invasiones o apropiaciones ilegales ni de ejercer efectivamente su derecho de determinar los usos que se den a las tierras, sobre todo cuando hay fuertes intereses económicos foráneos que dispu</w:t>
      </w:r>
      <w:r w:rsidR="00406D89" w:rsidRPr="00BF20FA">
        <w:rPr>
          <w:rFonts w:asciiTheme="majorHAnsi" w:hAnsiTheme="majorHAnsi"/>
          <w:sz w:val="18"/>
          <w:szCs w:val="18"/>
          <w:lang w:val="es-CO"/>
        </w:rPr>
        <w:t>tan el control de las mismas […]</w:t>
      </w:r>
      <w:r w:rsidRPr="00BF20FA">
        <w:rPr>
          <w:rStyle w:val="FootnoteReference"/>
          <w:rFonts w:asciiTheme="majorHAnsi" w:hAnsiTheme="majorHAnsi"/>
          <w:sz w:val="18"/>
          <w:szCs w:val="18"/>
          <w:lang w:val="es-CO"/>
        </w:rPr>
        <w:footnoteReference w:id="9"/>
      </w:r>
      <w:r w:rsidR="009E11CA" w:rsidRPr="00BF20FA">
        <w:rPr>
          <w:rFonts w:asciiTheme="majorHAnsi" w:hAnsiTheme="majorHAnsi"/>
          <w:sz w:val="18"/>
          <w:szCs w:val="18"/>
          <w:lang w:val="es-CO"/>
        </w:rPr>
        <w:t>.</w:t>
      </w:r>
    </w:p>
    <w:p w14:paraId="76337CC6" w14:textId="77777777" w:rsidR="007A7A61" w:rsidRPr="00BF20FA" w:rsidRDefault="007A7A61" w:rsidP="00A3761C">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1440"/>
        <w:jc w:val="both"/>
        <w:rPr>
          <w:rFonts w:asciiTheme="majorHAnsi" w:hAnsiTheme="majorHAnsi"/>
          <w:sz w:val="20"/>
          <w:szCs w:val="20"/>
          <w:lang w:val="es-CO"/>
        </w:rPr>
      </w:pPr>
    </w:p>
    <w:p w14:paraId="3046BBF4" w14:textId="77777777" w:rsidR="001B52C5"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45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 xml:space="preserve">En </w:t>
      </w:r>
      <w:r w:rsidR="00FC25C2" w:rsidRPr="00BF20FA">
        <w:rPr>
          <w:rFonts w:asciiTheme="majorHAnsi" w:hAnsiTheme="majorHAnsi"/>
          <w:color w:val="auto"/>
          <w:sz w:val="20"/>
          <w:szCs w:val="20"/>
          <w:lang w:val="es-CO"/>
        </w:rPr>
        <w:t xml:space="preserve">2010, el entonces </w:t>
      </w:r>
      <w:r w:rsidRPr="00BF20FA">
        <w:rPr>
          <w:rFonts w:asciiTheme="majorHAnsi" w:hAnsiTheme="majorHAnsi"/>
          <w:color w:val="auto"/>
          <w:sz w:val="20"/>
          <w:szCs w:val="20"/>
          <w:lang w:val="es-CO"/>
        </w:rPr>
        <w:t>Relator</w:t>
      </w:r>
      <w:r w:rsidR="00406D89" w:rsidRPr="00BF20FA">
        <w:rPr>
          <w:rFonts w:asciiTheme="majorHAnsi" w:hAnsiTheme="majorHAnsi"/>
          <w:color w:val="auto"/>
          <w:sz w:val="20"/>
          <w:szCs w:val="20"/>
          <w:lang w:val="es-CO"/>
        </w:rPr>
        <w:t xml:space="preserve"> Especial de Naciones Unidas</w:t>
      </w:r>
      <w:r w:rsidR="00FC25C2" w:rsidRPr="00BF20FA">
        <w:rPr>
          <w:rFonts w:asciiTheme="majorHAnsi" w:hAnsiTheme="majorHAnsi"/>
          <w:color w:val="auto"/>
          <w:sz w:val="20"/>
          <w:szCs w:val="20"/>
          <w:lang w:val="es-CO"/>
        </w:rPr>
        <w:t>,</w:t>
      </w:r>
      <w:r w:rsidRPr="00BF20FA">
        <w:rPr>
          <w:rFonts w:asciiTheme="majorHAnsi" w:hAnsiTheme="majorHAnsi"/>
          <w:color w:val="auto"/>
          <w:sz w:val="20"/>
          <w:szCs w:val="20"/>
          <w:lang w:val="es-CO"/>
        </w:rPr>
        <w:t xml:space="preserve"> James Anaya</w:t>
      </w:r>
      <w:r w:rsidR="00FC25C2" w:rsidRPr="00BF20FA">
        <w:rPr>
          <w:rFonts w:asciiTheme="majorHAnsi" w:hAnsiTheme="majorHAnsi"/>
          <w:color w:val="auto"/>
          <w:sz w:val="20"/>
          <w:szCs w:val="20"/>
          <w:lang w:val="es-CO"/>
        </w:rPr>
        <w:t>,</w:t>
      </w:r>
      <w:r w:rsidRPr="00BF20FA">
        <w:rPr>
          <w:rFonts w:asciiTheme="majorHAnsi" w:hAnsiTheme="majorHAnsi"/>
          <w:color w:val="auto"/>
          <w:sz w:val="20"/>
          <w:szCs w:val="20"/>
          <w:lang w:val="es-CO"/>
        </w:rPr>
        <w:t xml:space="preserve"> señaló que ‘‘aunque el Gobierno ha proporcionado información sobre consultas realizadas en relación con diversos proyectos, dicha información no establece que las consultas hayan sido llevadas a cabo de acuerdo con los estándares intern</w:t>
      </w:r>
      <w:r w:rsidR="00AE5F8D" w:rsidRPr="00BF20FA">
        <w:rPr>
          <w:rFonts w:asciiTheme="majorHAnsi" w:hAnsiTheme="majorHAnsi"/>
          <w:color w:val="auto"/>
          <w:sz w:val="20"/>
          <w:szCs w:val="20"/>
          <w:lang w:val="es-CO"/>
        </w:rPr>
        <w:t>acionales relevantes’’. Concluyó</w:t>
      </w:r>
      <w:r w:rsidRPr="00BF20FA">
        <w:rPr>
          <w:rFonts w:asciiTheme="majorHAnsi" w:hAnsiTheme="majorHAnsi"/>
          <w:color w:val="auto"/>
          <w:sz w:val="20"/>
          <w:szCs w:val="20"/>
          <w:lang w:val="es-CO"/>
        </w:rPr>
        <w:t xml:space="preserve"> que ‘‘todavía falta el cabal cumplimiento con la recomendación del anterior Relator Especial </w:t>
      </w:r>
      <w:r w:rsidRPr="00BF20FA">
        <w:rPr>
          <w:rFonts w:asciiTheme="majorHAnsi" w:hAnsiTheme="majorHAnsi"/>
          <w:sz w:val="20"/>
          <w:szCs w:val="20"/>
          <w:lang w:val="es-CO"/>
        </w:rPr>
        <w:t>de que</w:t>
      </w:r>
      <w:r w:rsidRPr="00BF20FA">
        <w:rPr>
          <w:rFonts w:asciiTheme="majorHAnsi" w:hAnsiTheme="majorHAnsi"/>
          <w:color w:val="auto"/>
          <w:sz w:val="20"/>
          <w:szCs w:val="20"/>
          <w:lang w:val="es-CO"/>
        </w:rPr>
        <w:t xml:space="preserve"> </w:t>
      </w:r>
      <w:r w:rsidRPr="00BF20FA">
        <w:rPr>
          <w:rFonts w:asciiTheme="majorHAnsi" w:hAnsiTheme="majorHAnsi"/>
          <w:sz w:val="20"/>
          <w:szCs w:val="20"/>
          <w:lang w:val="es-CO"/>
        </w:rPr>
        <w:t>n</w:t>
      </w:r>
      <w:r w:rsidRPr="00BF20FA">
        <w:rPr>
          <w:rFonts w:asciiTheme="majorHAnsi" w:hAnsiTheme="majorHAnsi"/>
          <w:color w:val="auto"/>
          <w:sz w:val="20"/>
          <w:szCs w:val="20"/>
          <w:lang w:val="es-CO"/>
        </w:rPr>
        <w:t>o deben alentarse los proyectos de inversión, infraestructura, extracción y explotación de recursos naturales, desarrollo productivo etc., sin previa, amplia y legítima consulta y participación de los pueblos indígenas’’</w:t>
      </w:r>
      <w:r w:rsidRPr="00BF20FA">
        <w:rPr>
          <w:rStyle w:val="FootnoteReference"/>
          <w:rFonts w:asciiTheme="majorHAnsi" w:hAnsiTheme="majorHAnsi"/>
          <w:color w:val="auto"/>
          <w:sz w:val="20"/>
          <w:szCs w:val="20"/>
          <w:lang w:val="es-CO"/>
        </w:rPr>
        <w:footnoteReference w:id="10"/>
      </w:r>
      <w:r w:rsidRPr="00BF20FA">
        <w:rPr>
          <w:rFonts w:asciiTheme="majorHAnsi" w:hAnsiTheme="majorHAnsi"/>
          <w:color w:val="auto"/>
          <w:sz w:val="20"/>
          <w:szCs w:val="20"/>
          <w:lang w:val="es-CO"/>
        </w:rPr>
        <w:t xml:space="preserve">. </w:t>
      </w:r>
    </w:p>
    <w:p w14:paraId="24A55B94" w14:textId="77777777" w:rsidR="007A7A61" w:rsidRPr="00BF20FA" w:rsidRDefault="007A7A61" w:rsidP="007601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ind w:left="0"/>
        <w:jc w:val="both"/>
        <w:rPr>
          <w:rFonts w:asciiTheme="majorHAnsi" w:hAnsiTheme="majorHAnsi"/>
          <w:color w:val="000000" w:themeColor="text1"/>
          <w:sz w:val="20"/>
          <w:szCs w:val="20"/>
          <w:u w:val="single"/>
          <w:lang w:val="es-VE"/>
        </w:rPr>
      </w:pPr>
    </w:p>
    <w:p w14:paraId="76B711BB" w14:textId="77777777" w:rsidR="001B52C5"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El Foro Permanente para las Cuestiones Indígenas de la Organización de las Naciones Unidas</w:t>
      </w:r>
      <w:r w:rsidR="00157A53" w:rsidRPr="00BF20FA">
        <w:rPr>
          <w:rFonts w:asciiTheme="majorHAnsi" w:hAnsiTheme="majorHAnsi"/>
          <w:color w:val="auto"/>
          <w:sz w:val="20"/>
          <w:szCs w:val="20"/>
          <w:lang w:val="es-CO"/>
        </w:rPr>
        <w:t>,</w:t>
      </w:r>
      <w:r w:rsidRPr="00BF20FA">
        <w:rPr>
          <w:rFonts w:asciiTheme="majorHAnsi" w:hAnsiTheme="majorHAnsi"/>
          <w:color w:val="auto"/>
          <w:sz w:val="20"/>
          <w:szCs w:val="20"/>
          <w:lang w:val="es-CO"/>
        </w:rPr>
        <w:t xml:space="preserve"> en el marco de su misión a Colombia en 2011</w:t>
      </w:r>
      <w:r w:rsidR="00157A53" w:rsidRPr="00BF20FA">
        <w:rPr>
          <w:rFonts w:asciiTheme="majorHAnsi" w:hAnsiTheme="majorHAnsi"/>
          <w:color w:val="auto"/>
          <w:sz w:val="20"/>
          <w:szCs w:val="20"/>
          <w:lang w:val="es-CO"/>
        </w:rPr>
        <w:t>,</w:t>
      </w:r>
      <w:r w:rsidRPr="00BF20FA">
        <w:rPr>
          <w:rFonts w:asciiTheme="majorHAnsi" w:hAnsiTheme="majorHAnsi"/>
          <w:color w:val="auto"/>
          <w:sz w:val="20"/>
          <w:szCs w:val="20"/>
          <w:lang w:val="es-CO"/>
        </w:rPr>
        <w:t xml:space="preserve"> manifestó que ‘‘la misión recibió informes de que se han otorgado concesiones en el 80% de los resguardos legalmente constituidos y que había retrasado el proceso de titulación de otros para promover diferentes tipos de proyectos, sin conducir procesos adecuados de consulta o sin el consentimiento libre, previo e infor</w:t>
      </w:r>
      <w:r w:rsidR="00B57F85" w:rsidRPr="00BF20FA">
        <w:rPr>
          <w:rFonts w:asciiTheme="majorHAnsi" w:hAnsiTheme="majorHAnsi"/>
          <w:color w:val="auto"/>
          <w:sz w:val="20"/>
          <w:szCs w:val="20"/>
          <w:lang w:val="es-CO"/>
        </w:rPr>
        <w:t>mado de los pueblos afectados’’</w:t>
      </w:r>
      <w:r w:rsidRPr="00BF20FA">
        <w:rPr>
          <w:rStyle w:val="FootnoteReference"/>
          <w:rFonts w:asciiTheme="majorHAnsi" w:hAnsiTheme="majorHAnsi"/>
          <w:color w:val="auto"/>
          <w:sz w:val="20"/>
          <w:szCs w:val="20"/>
          <w:lang w:val="es-CO"/>
        </w:rPr>
        <w:footnoteReference w:id="11"/>
      </w:r>
      <w:r w:rsidRPr="00BF20FA">
        <w:rPr>
          <w:rFonts w:asciiTheme="majorHAnsi" w:hAnsiTheme="majorHAnsi"/>
          <w:color w:val="auto"/>
          <w:sz w:val="20"/>
          <w:szCs w:val="20"/>
          <w:lang w:val="es-CO"/>
        </w:rPr>
        <w:t>.</w:t>
      </w:r>
    </w:p>
    <w:p w14:paraId="68303262" w14:textId="77777777" w:rsidR="007A7A61" w:rsidRPr="00BF20FA" w:rsidRDefault="007A7A61" w:rsidP="007601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440"/>
        </w:tabs>
        <w:ind w:left="0"/>
        <w:jc w:val="both"/>
        <w:rPr>
          <w:rFonts w:asciiTheme="majorHAnsi" w:hAnsiTheme="majorHAnsi"/>
          <w:color w:val="000000" w:themeColor="text1"/>
          <w:sz w:val="20"/>
          <w:szCs w:val="20"/>
          <w:u w:val="single"/>
          <w:lang w:val="es-VE"/>
        </w:rPr>
      </w:pPr>
    </w:p>
    <w:p w14:paraId="1C09D8C2" w14:textId="77777777" w:rsidR="00220EB0"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Ahora bien, en relación con el procedimiento interno de consulta previa para proyectos llevados a cabo en territorio ind</w:t>
      </w:r>
      <w:r w:rsidR="00775954" w:rsidRPr="00BF20FA">
        <w:rPr>
          <w:rFonts w:asciiTheme="majorHAnsi" w:hAnsiTheme="majorHAnsi"/>
          <w:color w:val="auto"/>
          <w:sz w:val="20"/>
          <w:szCs w:val="20"/>
          <w:lang w:val="es-CO"/>
        </w:rPr>
        <w:t xml:space="preserve">ígena, </w:t>
      </w:r>
      <w:r w:rsidRPr="00BF20FA">
        <w:rPr>
          <w:rFonts w:asciiTheme="majorHAnsi" w:hAnsiTheme="majorHAnsi"/>
          <w:color w:val="auto"/>
          <w:sz w:val="20"/>
          <w:szCs w:val="20"/>
          <w:lang w:val="es-CO"/>
        </w:rPr>
        <w:t xml:space="preserve">el Gobierno Nacional expidió </w:t>
      </w:r>
      <w:r w:rsidR="001A19EB" w:rsidRPr="00BF20FA">
        <w:rPr>
          <w:rFonts w:asciiTheme="majorHAnsi" w:hAnsiTheme="majorHAnsi"/>
          <w:color w:val="auto"/>
          <w:sz w:val="20"/>
          <w:szCs w:val="20"/>
          <w:lang w:val="es-CO"/>
        </w:rPr>
        <w:t xml:space="preserve">el Decreto No. </w:t>
      </w:r>
      <w:r w:rsidRPr="00BF20FA">
        <w:rPr>
          <w:rFonts w:asciiTheme="majorHAnsi" w:hAnsiTheme="majorHAnsi"/>
          <w:color w:val="auto"/>
          <w:sz w:val="20"/>
          <w:szCs w:val="20"/>
          <w:lang w:val="es-CO"/>
        </w:rPr>
        <w:t>1320 de 1998</w:t>
      </w:r>
      <w:r w:rsidR="001A19EB" w:rsidRPr="00BF20FA">
        <w:rPr>
          <w:rFonts w:asciiTheme="majorHAnsi" w:hAnsiTheme="majorHAnsi"/>
          <w:color w:val="auto"/>
          <w:sz w:val="20"/>
          <w:szCs w:val="20"/>
          <w:lang w:val="es-CO"/>
        </w:rPr>
        <w:t>;</w:t>
      </w:r>
      <w:r w:rsidRPr="00BF20FA">
        <w:rPr>
          <w:rFonts w:asciiTheme="majorHAnsi" w:hAnsiTheme="majorHAnsi"/>
          <w:color w:val="auto"/>
          <w:sz w:val="20"/>
          <w:szCs w:val="20"/>
          <w:lang w:val="es-CO"/>
        </w:rPr>
        <w:t xml:space="preserve"> sin embargo</w:t>
      </w:r>
      <w:r w:rsidR="001A19EB" w:rsidRPr="00BF20FA">
        <w:rPr>
          <w:rFonts w:asciiTheme="majorHAnsi" w:hAnsiTheme="majorHAnsi"/>
          <w:color w:val="auto"/>
          <w:sz w:val="20"/>
          <w:szCs w:val="20"/>
          <w:lang w:val="es-CO"/>
        </w:rPr>
        <w:t>,</w:t>
      </w:r>
      <w:r w:rsidRPr="00BF20FA">
        <w:rPr>
          <w:rFonts w:asciiTheme="majorHAnsi" w:hAnsiTheme="majorHAnsi"/>
          <w:color w:val="auto"/>
          <w:sz w:val="20"/>
          <w:szCs w:val="20"/>
          <w:lang w:val="es-CO"/>
        </w:rPr>
        <w:t xml:space="preserve"> la Corte Constitucional</w:t>
      </w:r>
      <w:r w:rsidR="00196F84" w:rsidRPr="00BF20FA">
        <w:rPr>
          <w:rFonts w:asciiTheme="majorHAnsi" w:hAnsiTheme="majorHAnsi"/>
          <w:color w:val="auto"/>
          <w:sz w:val="20"/>
          <w:szCs w:val="20"/>
          <w:lang w:val="es-CO"/>
        </w:rPr>
        <w:t xml:space="preserve"> ha manifestado que esta norma es inconstitucional pues</w:t>
      </w:r>
      <w:r w:rsidRPr="00BF20FA">
        <w:rPr>
          <w:rFonts w:asciiTheme="majorHAnsi" w:hAnsiTheme="majorHAnsi"/>
          <w:color w:val="auto"/>
          <w:sz w:val="20"/>
          <w:szCs w:val="20"/>
          <w:lang w:val="es-CO"/>
        </w:rPr>
        <w:t xml:space="preserve"> no fue consultada con los pueblos indígenas</w:t>
      </w:r>
      <w:r w:rsidR="00196F84" w:rsidRPr="00BF20FA">
        <w:rPr>
          <w:rStyle w:val="FootnoteReference"/>
          <w:rFonts w:asciiTheme="majorHAnsi" w:hAnsiTheme="majorHAnsi"/>
          <w:color w:val="auto"/>
          <w:sz w:val="20"/>
          <w:szCs w:val="20"/>
          <w:lang w:val="es-CO"/>
        </w:rPr>
        <w:t xml:space="preserve"> </w:t>
      </w:r>
      <w:r w:rsidR="00196F84" w:rsidRPr="00BF20FA">
        <w:rPr>
          <w:rStyle w:val="FootnoteReference"/>
          <w:rFonts w:asciiTheme="majorHAnsi" w:hAnsiTheme="majorHAnsi"/>
          <w:color w:val="auto"/>
          <w:sz w:val="20"/>
          <w:szCs w:val="20"/>
          <w:lang w:val="es-CO"/>
        </w:rPr>
        <w:footnoteReference w:id="12"/>
      </w:r>
      <w:r w:rsidRPr="00BF20FA">
        <w:rPr>
          <w:rFonts w:asciiTheme="majorHAnsi" w:hAnsiTheme="majorHAnsi"/>
          <w:color w:val="auto"/>
          <w:sz w:val="20"/>
          <w:szCs w:val="20"/>
          <w:lang w:val="es-CO"/>
        </w:rPr>
        <w:t xml:space="preserve">. </w:t>
      </w:r>
      <w:r w:rsidR="009C18EF" w:rsidRPr="00BF20FA">
        <w:rPr>
          <w:rFonts w:asciiTheme="majorHAnsi" w:hAnsiTheme="majorHAnsi"/>
          <w:color w:val="auto"/>
          <w:sz w:val="20"/>
          <w:szCs w:val="20"/>
          <w:lang w:val="es-CO"/>
        </w:rPr>
        <w:t>Por su parte</w:t>
      </w:r>
      <w:r w:rsidRPr="00BF20FA">
        <w:rPr>
          <w:rFonts w:asciiTheme="majorHAnsi" w:hAnsiTheme="majorHAnsi"/>
          <w:color w:val="auto"/>
          <w:sz w:val="20"/>
          <w:szCs w:val="20"/>
          <w:lang w:val="es-CO"/>
        </w:rPr>
        <w:t>, el Consejo de Administración de la Organización Internacional del Trabajo</w:t>
      </w:r>
      <w:r w:rsidR="009C18EF" w:rsidRPr="00BF20FA">
        <w:rPr>
          <w:rFonts w:asciiTheme="majorHAnsi" w:hAnsiTheme="majorHAnsi"/>
          <w:color w:val="auto"/>
          <w:sz w:val="20"/>
          <w:szCs w:val="20"/>
          <w:lang w:val="es-CO"/>
        </w:rPr>
        <w:t xml:space="preserve"> </w:t>
      </w:r>
      <w:r w:rsidRPr="00BF20FA">
        <w:rPr>
          <w:rFonts w:asciiTheme="majorHAnsi" w:hAnsiTheme="majorHAnsi"/>
          <w:color w:val="auto"/>
          <w:sz w:val="20"/>
          <w:szCs w:val="20"/>
          <w:lang w:val="es-CO"/>
        </w:rPr>
        <w:t>determinó</w:t>
      </w:r>
      <w:r w:rsidR="00196F84" w:rsidRPr="00BF20FA">
        <w:rPr>
          <w:rFonts w:asciiTheme="majorHAnsi" w:hAnsiTheme="majorHAnsi"/>
          <w:color w:val="auto"/>
          <w:sz w:val="20"/>
          <w:szCs w:val="20"/>
          <w:lang w:val="es-CO"/>
        </w:rPr>
        <w:t xml:space="preserve"> </w:t>
      </w:r>
      <w:r w:rsidRPr="00BF20FA">
        <w:rPr>
          <w:rFonts w:asciiTheme="majorHAnsi" w:hAnsiTheme="majorHAnsi"/>
          <w:color w:val="auto"/>
          <w:sz w:val="20"/>
          <w:szCs w:val="20"/>
          <w:lang w:val="es-CO"/>
        </w:rPr>
        <w:t>que ‘‘dado que el artículo 6 del Convenio</w:t>
      </w:r>
      <w:r w:rsidR="00B57F85" w:rsidRPr="00BF20FA">
        <w:rPr>
          <w:rFonts w:asciiTheme="majorHAnsi" w:hAnsiTheme="majorHAnsi"/>
          <w:color w:val="auto"/>
          <w:sz w:val="20"/>
          <w:szCs w:val="20"/>
          <w:lang w:val="es-CO"/>
        </w:rPr>
        <w:t xml:space="preserve"> [169 de la OIT]</w:t>
      </w:r>
      <w:r w:rsidRPr="00BF20FA">
        <w:rPr>
          <w:rFonts w:asciiTheme="majorHAnsi" w:hAnsiTheme="majorHAnsi"/>
          <w:color w:val="auto"/>
          <w:sz w:val="20"/>
          <w:szCs w:val="20"/>
          <w:lang w:val="es-CO"/>
        </w:rPr>
        <w:t xml:space="preserve"> implica la obligación de los Estados que hayan ratificado el Convenio de consultar a los pueblos indígenas con anterioridad a la adopción o promulgación de cualquier medida legislativa susceptible de afectarles directamente, el Comité estima que la expedición del Decreto núm. 1320 sin consulta previa no fue compatible con el Convenio’’</w:t>
      </w:r>
      <w:r w:rsidRPr="00BF20FA">
        <w:rPr>
          <w:rStyle w:val="FootnoteReference"/>
          <w:rFonts w:asciiTheme="majorHAnsi" w:hAnsiTheme="majorHAnsi"/>
          <w:color w:val="auto"/>
          <w:sz w:val="20"/>
          <w:szCs w:val="20"/>
          <w:lang w:val="es-CO"/>
        </w:rPr>
        <w:footnoteReference w:id="13"/>
      </w:r>
      <w:r w:rsidRPr="00BF20FA">
        <w:rPr>
          <w:rFonts w:asciiTheme="majorHAnsi" w:hAnsiTheme="majorHAnsi"/>
          <w:color w:val="auto"/>
          <w:sz w:val="20"/>
          <w:szCs w:val="20"/>
          <w:lang w:val="es-CO"/>
        </w:rPr>
        <w:t>.</w:t>
      </w:r>
    </w:p>
    <w:p w14:paraId="27C78D73" w14:textId="77777777" w:rsidR="008909AB" w:rsidRPr="00BF20FA" w:rsidRDefault="008909AB" w:rsidP="007601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VE"/>
        </w:rPr>
      </w:pPr>
    </w:p>
    <w:p w14:paraId="1E35DB26" w14:textId="77777777" w:rsidR="001B52C5" w:rsidRPr="00BF20FA" w:rsidRDefault="003D2664" w:rsidP="008F7F9A">
      <w:pPr>
        <w:pStyle w:val="Heading2"/>
        <w:numPr>
          <w:ilvl w:val="0"/>
          <w:numId w:val="66"/>
        </w:numPr>
        <w:spacing w:before="0" w:after="0"/>
        <w:ind w:left="360"/>
        <w:rPr>
          <w:rFonts w:asciiTheme="majorHAnsi" w:hAnsiTheme="majorHAnsi"/>
          <w:b w:val="0"/>
          <w:sz w:val="20"/>
          <w:szCs w:val="20"/>
          <w:lang w:val="es-ES_tradnl"/>
        </w:rPr>
      </w:pPr>
      <w:bookmarkStart w:id="10" w:name="_Toc17221558"/>
      <w:r w:rsidRPr="00BF20FA">
        <w:rPr>
          <w:rFonts w:asciiTheme="majorHAnsi" w:hAnsiTheme="majorHAnsi"/>
          <w:i w:val="0"/>
          <w:sz w:val="20"/>
          <w:szCs w:val="20"/>
          <w:lang w:val="es-ES_tradnl"/>
        </w:rPr>
        <w:t>Generalidades del Pueblo U’wa</w:t>
      </w:r>
      <w:bookmarkEnd w:id="10"/>
      <w:r w:rsidRPr="00BF20FA">
        <w:rPr>
          <w:rFonts w:asciiTheme="majorHAnsi" w:hAnsiTheme="majorHAnsi"/>
          <w:b w:val="0"/>
          <w:sz w:val="20"/>
          <w:szCs w:val="20"/>
          <w:lang w:val="es-ES_tradnl"/>
        </w:rPr>
        <w:t xml:space="preserve"> </w:t>
      </w:r>
    </w:p>
    <w:p w14:paraId="132509CA" w14:textId="77777777" w:rsidR="001B52C5" w:rsidRPr="00BF20FA" w:rsidRDefault="001B52C5" w:rsidP="0076016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lang w:val="es-CO"/>
        </w:rPr>
      </w:pPr>
    </w:p>
    <w:p w14:paraId="0EF53AB7" w14:textId="6DA8E33A" w:rsidR="001B52C5"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sz w:val="20"/>
          <w:szCs w:val="20"/>
          <w:lang w:val="es-CO"/>
        </w:rPr>
        <w:t>El Pueblo U’wa es un grupo perteneciente a la macrofamilia Chibcha, asentado en el Resguardo Unido U’wa en un área de 220.275 hectáreas en los departamentos de Arauca, Norte de Santander, Santander y Boyacá</w:t>
      </w:r>
      <w:r w:rsidRPr="00BF20FA">
        <w:rPr>
          <w:rStyle w:val="FootnoteReference"/>
          <w:rFonts w:asciiTheme="majorHAnsi" w:hAnsiTheme="majorHAnsi"/>
          <w:sz w:val="20"/>
          <w:szCs w:val="20"/>
          <w:lang w:val="es-CO"/>
        </w:rPr>
        <w:footnoteReference w:id="14"/>
      </w:r>
      <w:r w:rsidRPr="00BF20FA">
        <w:rPr>
          <w:rFonts w:asciiTheme="majorHAnsi" w:hAnsiTheme="majorHAnsi"/>
          <w:sz w:val="20"/>
          <w:szCs w:val="20"/>
          <w:lang w:val="es-CO"/>
        </w:rPr>
        <w:t xml:space="preserve">. En 2005, el censo del Departamento Administrativo Nacional de Estadística reportó 7.581 personas auto </w:t>
      </w:r>
      <w:r w:rsidR="00032D3D" w:rsidRPr="00BF20FA">
        <w:rPr>
          <w:rFonts w:asciiTheme="majorHAnsi" w:hAnsiTheme="majorHAnsi"/>
          <w:sz w:val="20"/>
          <w:szCs w:val="20"/>
          <w:lang w:val="es-CO"/>
        </w:rPr>
        <w:lastRenderedPageBreak/>
        <w:t xml:space="preserve">identificadas </w:t>
      </w:r>
      <w:r w:rsidRPr="00BF20FA">
        <w:rPr>
          <w:rFonts w:asciiTheme="majorHAnsi" w:hAnsiTheme="majorHAnsi"/>
          <w:sz w:val="20"/>
          <w:szCs w:val="20"/>
          <w:lang w:val="es-CO"/>
        </w:rPr>
        <w:t>como pertenecientes al pueblo U’wa, de las cuales el 50,3% son hombres (3.815 personas) y el 49,7% mujeres (3.766 personas)</w:t>
      </w:r>
      <w:r w:rsidRPr="00BF20FA">
        <w:rPr>
          <w:rStyle w:val="FootnoteReference"/>
          <w:rFonts w:asciiTheme="majorHAnsi" w:hAnsiTheme="majorHAnsi"/>
          <w:sz w:val="20"/>
          <w:szCs w:val="20"/>
          <w:lang w:val="es-CO"/>
        </w:rPr>
        <w:footnoteReference w:id="15"/>
      </w:r>
      <w:r w:rsidRPr="00BF20FA">
        <w:rPr>
          <w:rFonts w:asciiTheme="majorHAnsi" w:hAnsiTheme="majorHAnsi"/>
          <w:sz w:val="20"/>
          <w:szCs w:val="20"/>
          <w:lang w:val="es-CO"/>
        </w:rPr>
        <w:t xml:space="preserve">.  </w:t>
      </w:r>
    </w:p>
    <w:p w14:paraId="70DA3806" w14:textId="77777777" w:rsidR="001A19EB" w:rsidRPr="00BF20FA" w:rsidRDefault="001A19EB" w:rsidP="007601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u w:val="single"/>
          <w:lang w:val="es-VE"/>
        </w:rPr>
      </w:pPr>
    </w:p>
    <w:p w14:paraId="7EA42B32" w14:textId="77777777" w:rsidR="001B52C5"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sz w:val="20"/>
          <w:szCs w:val="20"/>
          <w:lang w:val="es-CO"/>
        </w:rPr>
        <w:t xml:space="preserve"> </w:t>
      </w:r>
      <w:r w:rsidR="00B16C76" w:rsidRPr="00BF20FA">
        <w:rPr>
          <w:rFonts w:asciiTheme="majorHAnsi" w:hAnsiTheme="majorHAnsi"/>
          <w:sz w:val="20"/>
          <w:szCs w:val="20"/>
          <w:lang w:val="es-CO"/>
        </w:rPr>
        <w:t xml:space="preserve">Según documento del Ministerio de Cultura, </w:t>
      </w:r>
      <w:r w:rsidRPr="00BF20FA">
        <w:rPr>
          <w:rFonts w:asciiTheme="majorHAnsi" w:hAnsiTheme="majorHAnsi"/>
          <w:sz w:val="20"/>
          <w:szCs w:val="20"/>
          <w:lang w:val="es-CO"/>
        </w:rPr>
        <w:t>‘‘</w:t>
      </w:r>
      <w:r w:rsidR="00E02A1C" w:rsidRPr="00BF20FA">
        <w:rPr>
          <w:rFonts w:asciiTheme="majorHAnsi" w:hAnsiTheme="majorHAnsi"/>
          <w:sz w:val="20"/>
          <w:szCs w:val="20"/>
          <w:lang w:val="es-CO"/>
        </w:rPr>
        <w:t>l</w:t>
      </w:r>
      <w:r w:rsidRPr="00BF20FA">
        <w:rPr>
          <w:rFonts w:asciiTheme="majorHAnsi" w:hAnsiTheme="majorHAnsi"/>
          <w:sz w:val="20"/>
          <w:szCs w:val="20"/>
          <w:lang w:val="es-CO"/>
        </w:rPr>
        <w:t>a cosmogonía U’wa se fundamenta en el permanente equilibrio entre el hombre, el medio ambiente y su universo cósmico. La defensa del planeta tierra y el territorio propio son bases para dicho equilibrio entre la gente y el medio natural, el cual asegura la permanencia de la cultura, de lo material y de lo espiritual. La espiritualidad U’wa se ve concretada en el politeísmo al interior de las familias y comunidades</w:t>
      </w:r>
      <w:r w:rsidR="00B57F85" w:rsidRPr="00BF20FA">
        <w:rPr>
          <w:rFonts w:asciiTheme="majorHAnsi" w:hAnsiTheme="majorHAnsi"/>
          <w:sz w:val="20"/>
          <w:szCs w:val="20"/>
          <w:lang w:val="es-CO"/>
        </w:rPr>
        <w:t xml:space="preserve"> […]</w:t>
      </w:r>
      <w:r w:rsidRPr="00BF20FA">
        <w:rPr>
          <w:rFonts w:asciiTheme="majorHAnsi" w:hAnsiTheme="majorHAnsi"/>
          <w:sz w:val="20"/>
          <w:szCs w:val="20"/>
          <w:lang w:val="es-CO"/>
        </w:rPr>
        <w:t>’’</w:t>
      </w:r>
      <w:r w:rsidRPr="00BF20FA">
        <w:rPr>
          <w:rStyle w:val="FootnoteReference"/>
          <w:rFonts w:asciiTheme="majorHAnsi" w:hAnsiTheme="majorHAnsi"/>
          <w:sz w:val="20"/>
          <w:szCs w:val="20"/>
          <w:lang w:val="es-CO"/>
        </w:rPr>
        <w:footnoteReference w:id="16"/>
      </w:r>
      <w:r w:rsidRPr="00BF20FA">
        <w:rPr>
          <w:rFonts w:asciiTheme="majorHAnsi" w:hAnsiTheme="majorHAnsi"/>
          <w:sz w:val="20"/>
          <w:szCs w:val="20"/>
          <w:lang w:val="es-CO"/>
        </w:rPr>
        <w:t>.</w:t>
      </w:r>
    </w:p>
    <w:p w14:paraId="7B1A2874" w14:textId="77777777" w:rsidR="001A19EB" w:rsidRPr="00BF20FA" w:rsidRDefault="001A19EB" w:rsidP="007601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u w:val="single"/>
          <w:lang w:val="es-VE"/>
        </w:rPr>
      </w:pPr>
    </w:p>
    <w:p w14:paraId="358EDDC2" w14:textId="77777777" w:rsidR="001B52C5" w:rsidRPr="00BF20FA" w:rsidRDefault="00B57F8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45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L</w:t>
      </w:r>
      <w:r w:rsidR="001B52C5" w:rsidRPr="00BF20FA">
        <w:rPr>
          <w:rFonts w:asciiTheme="majorHAnsi" w:hAnsiTheme="majorHAnsi"/>
          <w:color w:val="auto"/>
          <w:sz w:val="20"/>
          <w:szCs w:val="20"/>
          <w:lang w:val="es-CO"/>
        </w:rPr>
        <w:t>a toma de decisiones</w:t>
      </w:r>
      <w:r w:rsidR="00E02A1C" w:rsidRPr="00BF20FA">
        <w:rPr>
          <w:rFonts w:asciiTheme="majorHAnsi" w:hAnsiTheme="majorHAnsi"/>
          <w:color w:val="auto"/>
          <w:sz w:val="20"/>
          <w:szCs w:val="20"/>
          <w:lang w:val="es-CO"/>
        </w:rPr>
        <w:t xml:space="preserve"> del Pueblo U’wa</w:t>
      </w:r>
      <w:r w:rsidR="001B52C5" w:rsidRPr="00BF20FA">
        <w:rPr>
          <w:rFonts w:asciiTheme="majorHAnsi" w:hAnsiTheme="majorHAnsi"/>
          <w:color w:val="auto"/>
          <w:sz w:val="20"/>
          <w:szCs w:val="20"/>
          <w:lang w:val="es-CO"/>
        </w:rPr>
        <w:t xml:space="preserve"> se encuentra en cabeza de sus autoridades tradiciona</w:t>
      </w:r>
      <w:r w:rsidRPr="00BF20FA">
        <w:rPr>
          <w:rFonts w:asciiTheme="majorHAnsi" w:hAnsiTheme="majorHAnsi"/>
          <w:color w:val="auto"/>
          <w:sz w:val="20"/>
          <w:szCs w:val="20"/>
          <w:lang w:val="es-CO"/>
        </w:rPr>
        <w:t>les conocidas como los ‘‘Werjayá</w:t>
      </w:r>
      <w:r w:rsidR="001B52C5" w:rsidRPr="00BF20FA">
        <w:rPr>
          <w:rFonts w:asciiTheme="majorHAnsi" w:hAnsiTheme="majorHAnsi"/>
          <w:color w:val="auto"/>
          <w:sz w:val="20"/>
          <w:szCs w:val="20"/>
          <w:lang w:val="es-CO"/>
        </w:rPr>
        <w:t>s’’</w:t>
      </w:r>
      <w:r w:rsidRPr="00BF20FA">
        <w:rPr>
          <w:rFonts w:asciiTheme="majorHAnsi" w:hAnsiTheme="majorHAnsi"/>
          <w:color w:val="auto"/>
          <w:sz w:val="20"/>
          <w:szCs w:val="20"/>
          <w:lang w:val="es-CO"/>
        </w:rPr>
        <w:t>, quienes se comunican directamente con el Dios Sira, creador del mundo. S</w:t>
      </w:r>
      <w:r w:rsidR="00AF0272" w:rsidRPr="00BF20FA">
        <w:rPr>
          <w:rFonts w:asciiTheme="majorHAnsi" w:hAnsiTheme="majorHAnsi"/>
          <w:color w:val="auto"/>
          <w:sz w:val="20"/>
          <w:szCs w:val="20"/>
          <w:lang w:val="es-CO"/>
        </w:rPr>
        <w:t>u representación política está en</w:t>
      </w:r>
      <w:r w:rsidR="001B52C5" w:rsidRPr="00BF20FA">
        <w:rPr>
          <w:rFonts w:asciiTheme="majorHAnsi" w:hAnsiTheme="majorHAnsi"/>
          <w:color w:val="auto"/>
          <w:sz w:val="20"/>
          <w:szCs w:val="20"/>
          <w:lang w:val="es-CO"/>
        </w:rPr>
        <w:t xml:space="preserve"> los cabildos</w:t>
      </w:r>
      <w:r w:rsidR="001B52C5" w:rsidRPr="00BF20FA">
        <w:rPr>
          <w:rStyle w:val="FootnoteReference"/>
          <w:rFonts w:asciiTheme="majorHAnsi" w:hAnsiTheme="majorHAnsi"/>
          <w:color w:val="auto"/>
          <w:sz w:val="20"/>
          <w:szCs w:val="20"/>
          <w:lang w:val="es-CO"/>
        </w:rPr>
        <w:footnoteReference w:id="17"/>
      </w:r>
      <w:r w:rsidR="001B52C5" w:rsidRPr="00BF20FA">
        <w:rPr>
          <w:rFonts w:asciiTheme="majorHAnsi" w:hAnsiTheme="majorHAnsi"/>
          <w:color w:val="auto"/>
          <w:sz w:val="20"/>
          <w:szCs w:val="20"/>
          <w:lang w:val="es-CO"/>
        </w:rPr>
        <w:t>, los cuales se unen a las respectivas organizaciones y asociaciones que representan a este pueblo</w:t>
      </w:r>
      <w:r w:rsidR="00E02A1C" w:rsidRPr="00BF20FA">
        <w:rPr>
          <w:rFonts w:asciiTheme="majorHAnsi" w:hAnsiTheme="majorHAnsi"/>
          <w:color w:val="auto"/>
          <w:sz w:val="20"/>
          <w:szCs w:val="20"/>
          <w:lang w:val="es-CO"/>
        </w:rPr>
        <w:t>, llamadas ASOU’WA y ASCATIDAR</w:t>
      </w:r>
      <w:r w:rsidRPr="00BF20FA">
        <w:rPr>
          <w:rStyle w:val="FootnoteReference"/>
          <w:rFonts w:asciiTheme="majorHAnsi" w:hAnsiTheme="majorHAnsi"/>
          <w:color w:val="auto"/>
          <w:sz w:val="20"/>
          <w:szCs w:val="20"/>
          <w:lang w:val="es-CO"/>
        </w:rPr>
        <w:footnoteReference w:id="18"/>
      </w:r>
      <w:r w:rsidR="00E02A1C" w:rsidRPr="00BF20FA">
        <w:rPr>
          <w:rFonts w:asciiTheme="majorHAnsi" w:hAnsiTheme="majorHAnsi"/>
          <w:color w:val="auto"/>
          <w:sz w:val="20"/>
          <w:szCs w:val="20"/>
          <w:lang w:val="es-CO"/>
        </w:rPr>
        <w:t>.</w:t>
      </w:r>
    </w:p>
    <w:p w14:paraId="44DE1971" w14:textId="77777777" w:rsidR="00B16C76" w:rsidRPr="00BF20FA" w:rsidRDefault="00B16C76" w:rsidP="0076016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u w:val="single"/>
          <w:lang w:val="es-VE"/>
        </w:rPr>
      </w:pPr>
    </w:p>
    <w:p w14:paraId="1782E636" w14:textId="77777777" w:rsidR="001B52C5"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En el Informe de Misión a Colombia de</w:t>
      </w:r>
      <w:r w:rsidR="00E02A1C" w:rsidRPr="00BF20FA">
        <w:rPr>
          <w:rFonts w:asciiTheme="majorHAnsi" w:hAnsiTheme="majorHAnsi"/>
          <w:color w:val="auto"/>
          <w:sz w:val="20"/>
          <w:szCs w:val="20"/>
          <w:lang w:val="es-CO"/>
        </w:rPr>
        <w:t>l</w:t>
      </w:r>
      <w:r w:rsidRPr="00BF20FA">
        <w:rPr>
          <w:rFonts w:asciiTheme="majorHAnsi" w:hAnsiTheme="majorHAnsi"/>
          <w:color w:val="auto"/>
          <w:sz w:val="20"/>
          <w:szCs w:val="20"/>
          <w:lang w:val="es-CO"/>
        </w:rPr>
        <w:t xml:space="preserve"> 10 de noviembre de 2004, del ex Relator Especial sobre la situación de los derechos humanos y las libertades fundamentales de los indígenas,</w:t>
      </w:r>
      <w:r w:rsidR="00B16C76" w:rsidRPr="00BF20FA">
        <w:rPr>
          <w:rFonts w:asciiTheme="majorHAnsi" w:hAnsiTheme="majorHAnsi"/>
          <w:color w:val="auto"/>
          <w:sz w:val="20"/>
          <w:szCs w:val="20"/>
          <w:lang w:val="es-CO"/>
        </w:rPr>
        <w:t xml:space="preserve"> señaló que </w:t>
      </w:r>
      <w:r w:rsidRPr="00BF20FA">
        <w:rPr>
          <w:rFonts w:asciiTheme="majorHAnsi" w:hAnsiTheme="majorHAnsi"/>
          <w:color w:val="auto"/>
          <w:sz w:val="20"/>
          <w:szCs w:val="20"/>
          <w:lang w:val="es-CO"/>
        </w:rPr>
        <w:t>‘‘el pueblo indígena U’wa asentado en los departamentos de Casanare, Arauca, Boyacá, Santander y Norte de Santander denunció que se encuentra en proceso de extinción sociocultural atendiendo a las políticas de colonización, desterritorialización y amenaza por las actividades estatales de explotación de los recursos naturales en sus áreas, en especial las de exploración y explotación petrolera’’</w:t>
      </w:r>
      <w:r w:rsidRPr="00BF20FA">
        <w:rPr>
          <w:rStyle w:val="FootnoteReference"/>
          <w:rFonts w:asciiTheme="majorHAnsi" w:hAnsiTheme="majorHAnsi"/>
          <w:color w:val="auto"/>
          <w:sz w:val="20"/>
          <w:szCs w:val="20"/>
          <w:lang w:val="es-CO"/>
        </w:rPr>
        <w:footnoteReference w:id="19"/>
      </w:r>
      <w:r w:rsidRPr="00BF20FA">
        <w:rPr>
          <w:rFonts w:asciiTheme="majorHAnsi" w:hAnsiTheme="majorHAnsi"/>
          <w:color w:val="auto"/>
          <w:sz w:val="20"/>
          <w:szCs w:val="20"/>
          <w:lang w:val="es-CO"/>
        </w:rPr>
        <w:t>.</w:t>
      </w:r>
    </w:p>
    <w:p w14:paraId="13C65726" w14:textId="77777777" w:rsidR="009C18EF" w:rsidRPr="00BF20FA" w:rsidRDefault="009C18EF" w:rsidP="00E02A1C">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u w:val="single"/>
          <w:lang w:val="es-VE"/>
        </w:rPr>
      </w:pPr>
    </w:p>
    <w:p w14:paraId="3B0A02C1" w14:textId="77777777" w:rsidR="001B52C5" w:rsidRPr="00BF20FA" w:rsidRDefault="001B52C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u w:val="single"/>
          <w:lang w:val="es-VE"/>
        </w:rPr>
      </w:pPr>
      <w:r w:rsidRPr="00BF20FA">
        <w:rPr>
          <w:rFonts w:asciiTheme="majorHAnsi" w:hAnsiTheme="majorHAnsi"/>
          <w:color w:val="auto"/>
          <w:sz w:val="20"/>
          <w:szCs w:val="20"/>
          <w:lang w:val="es-CO"/>
        </w:rPr>
        <w:t xml:space="preserve">Por su parte, </w:t>
      </w:r>
      <w:r w:rsidR="002F56EF" w:rsidRPr="00BF20FA">
        <w:rPr>
          <w:rFonts w:asciiTheme="majorHAnsi" w:hAnsiTheme="majorHAnsi"/>
          <w:color w:val="auto"/>
          <w:sz w:val="20"/>
          <w:szCs w:val="20"/>
          <w:lang w:val="es-CO"/>
        </w:rPr>
        <w:t>l</w:t>
      </w:r>
      <w:r w:rsidRPr="00BF20FA">
        <w:rPr>
          <w:rFonts w:asciiTheme="majorHAnsi" w:hAnsiTheme="majorHAnsi"/>
          <w:color w:val="auto"/>
          <w:sz w:val="20"/>
          <w:szCs w:val="20"/>
          <w:lang w:val="es-CO"/>
        </w:rPr>
        <w:t>a Corte Constitucional colombiana en el Auto 00</w:t>
      </w:r>
      <w:r w:rsidR="002F08B8" w:rsidRPr="00BF20FA">
        <w:rPr>
          <w:rFonts w:asciiTheme="majorHAnsi" w:hAnsiTheme="majorHAnsi"/>
          <w:color w:val="auto"/>
          <w:sz w:val="20"/>
          <w:szCs w:val="20"/>
          <w:lang w:val="es-CO"/>
        </w:rPr>
        <w:t xml:space="preserve">4 </w:t>
      </w:r>
      <w:r w:rsidRPr="00BF20FA">
        <w:rPr>
          <w:rFonts w:asciiTheme="majorHAnsi" w:hAnsiTheme="majorHAnsi"/>
          <w:color w:val="auto"/>
          <w:sz w:val="20"/>
          <w:szCs w:val="20"/>
          <w:lang w:val="es-CO"/>
        </w:rPr>
        <w:t>de 2009 incluyó al Pueblo U’wa dentro de los pueblos indígenas de Colombia que ‘‘están en peligro de ser exterminados cultural o físicamente por el conflicto armado interno, y han sido víctimas de gravísimas violaciones de sus derechos fundamentales individuales y colectivos y del Derecho Internacional Humanitario, todo lo cual ha repercutido en el desplazamiento forzado individual o colectivo de indígenas’’</w:t>
      </w:r>
      <w:r w:rsidRPr="00BF20FA">
        <w:rPr>
          <w:rStyle w:val="FootnoteReference"/>
          <w:rFonts w:asciiTheme="majorHAnsi" w:hAnsiTheme="majorHAnsi"/>
          <w:color w:val="auto"/>
          <w:sz w:val="20"/>
          <w:szCs w:val="20"/>
          <w:lang w:val="es-CO"/>
        </w:rPr>
        <w:footnoteReference w:id="20"/>
      </w:r>
      <w:r w:rsidRPr="00BF20FA">
        <w:rPr>
          <w:rFonts w:asciiTheme="majorHAnsi" w:hAnsiTheme="majorHAnsi"/>
          <w:color w:val="auto"/>
          <w:sz w:val="20"/>
          <w:szCs w:val="20"/>
          <w:lang w:val="es-CO"/>
        </w:rPr>
        <w:t>.</w:t>
      </w:r>
    </w:p>
    <w:p w14:paraId="0A187790" w14:textId="77777777" w:rsidR="001B52C5" w:rsidRPr="00BF20FA" w:rsidRDefault="001B52C5" w:rsidP="00760161">
      <w:pPr>
        <w:suppressAutoHyphens/>
        <w:rPr>
          <w:rFonts w:asciiTheme="majorHAnsi" w:hAnsiTheme="majorHAnsi"/>
          <w:b/>
          <w:sz w:val="20"/>
          <w:szCs w:val="20"/>
          <w:lang w:val="es-ES_tradnl"/>
        </w:rPr>
      </w:pPr>
    </w:p>
    <w:p w14:paraId="67AF93CB" w14:textId="77777777" w:rsidR="001B52C5" w:rsidRPr="00BF20FA" w:rsidRDefault="009A7FEC" w:rsidP="008F7F9A">
      <w:pPr>
        <w:pStyle w:val="Heading2"/>
        <w:numPr>
          <w:ilvl w:val="0"/>
          <w:numId w:val="66"/>
        </w:numPr>
        <w:spacing w:before="0" w:after="0"/>
        <w:ind w:left="360"/>
        <w:rPr>
          <w:rFonts w:asciiTheme="majorHAnsi" w:hAnsiTheme="majorHAnsi"/>
          <w:i w:val="0"/>
          <w:sz w:val="20"/>
          <w:szCs w:val="20"/>
          <w:lang w:val="es-ES_tradnl"/>
        </w:rPr>
      </w:pPr>
      <w:bookmarkStart w:id="13" w:name="_Toc17221559"/>
      <w:r w:rsidRPr="00BF20FA">
        <w:rPr>
          <w:rFonts w:asciiTheme="majorHAnsi" w:hAnsiTheme="majorHAnsi"/>
          <w:i w:val="0"/>
          <w:sz w:val="20"/>
          <w:szCs w:val="20"/>
          <w:lang w:val="es-ES_tradnl"/>
        </w:rPr>
        <w:t>H</w:t>
      </w:r>
      <w:r w:rsidR="003D2664" w:rsidRPr="00BF20FA">
        <w:rPr>
          <w:rFonts w:asciiTheme="majorHAnsi" w:hAnsiTheme="majorHAnsi"/>
          <w:i w:val="0"/>
          <w:sz w:val="20"/>
          <w:szCs w:val="20"/>
          <w:lang w:val="es-ES_tradnl"/>
        </w:rPr>
        <w:t>echos del caso</w:t>
      </w:r>
      <w:bookmarkEnd w:id="13"/>
      <w:r w:rsidR="003D2664" w:rsidRPr="00BF20FA">
        <w:rPr>
          <w:rFonts w:asciiTheme="majorHAnsi" w:hAnsiTheme="majorHAnsi"/>
          <w:i w:val="0"/>
          <w:sz w:val="20"/>
          <w:szCs w:val="20"/>
          <w:lang w:val="es-ES_tradnl"/>
        </w:rPr>
        <w:t xml:space="preserve"> </w:t>
      </w:r>
    </w:p>
    <w:p w14:paraId="55C5D3B2" w14:textId="77777777" w:rsidR="001B52C5" w:rsidRPr="00BF20FA" w:rsidRDefault="003945EC" w:rsidP="008909AB">
      <w:pPr>
        <w:pStyle w:val="ListParagraph"/>
        <w:ind w:left="0"/>
        <w:rPr>
          <w:rFonts w:asciiTheme="majorHAnsi" w:hAnsiTheme="majorHAnsi"/>
          <w:b/>
          <w:color w:val="auto"/>
          <w:sz w:val="20"/>
          <w:szCs w:val="20"/>
          <w:lang w:val="es-ES_tradnl"/>
        </w:rPr>
      </w:pPr>
      <w:r w:rsidRPr="00BF20FA">
        <w:rPr>
          <w:rFonts w:asciiTheme="majorHAnsi" w:hAnsiTheme="majorHAnsi"/>
          <w:color w:val="auto"/>
          <w:sz w:val="20"/>
          <w:szCs w:val="20"/>
          <w:lang w:val="es-ES_tradnl"/>
        </w:rPr>
        <w:t xml:space="preserve"> </w:t>
      </w:r>
    </w:p>
    <w:p w14:paraId="215744A8" w14:textId="55B495D3" w:rsidR="001B52C5" w:rsidRPr="00BF20FA" w:rsidRDefault="003D2664"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14" w:name="_Toc17221560"/>
      <w:r w:rsidRPr="00BF20FA">
        <w:rPr>
          <w:rFonts w:asciiTheme="majorHAnsi" w:hAnsiTheme="majorHAnsi"/>
          <w:sz w:val="20"/>
          <w:szCs w:val="20"/>
          <w:lang w:val="es-ES_tradnl"/>
        </w:rPr>
        <w:t>Ampliación, saneamiento y titulación del territorio U’wa</w:t>
      </w:r>
      <w:bookmarkEnd w:id="14"/>
    </w:p>
    <w:p w14:paraId="2BF1B793" w14:textId="77777777" w:rsidR="006A3D46" w:rsidRPr="00BF20FA" w:rsidRDefault="006A3D46" w:rsidP="001B52C5">
      <w:pPr>
        <w:rPr>
          <w:rFonts w:asciiTheme="majorHAnsi" w:hAnsiTheme="majorHAnsi"/>
          <w:b/>
          <w:sz w:val="20"/>
          <w:szCs w:val="20"/>
          <w:lang w:val="es-ES_tradnl"/>
        </w:rPr>
      </w:pPr>
    </w:p>
    <w:p w14:paraId="731C545F" w14:textId="77777777" w:rsidR="006A3D46"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ES_tradnl"/>
        </w:rPr>
        <w:t>Mediante Resolución 059 del 5 de agosto de 1987, el Instituto Colombiano de la Reforma Agraria, (en adelante INCORA), creó el ‘‘Resguardo</w:t>
      </w:r>
      <w:r w:rsidRPr="00BF20FA">
        <w:rPr>
          <w:rFonts w:asciiTheme="majorHAnsi" w:hAnsiTheme="majorHAnsi"/>
          <w:color w:val="000000" w:themeColor="text1"/>
          <w:sz w:val="20"/>
          <w:szCs w:val="20"/>
          <w:lang w:val="es-CO"/>
        </w:rPr>
        <w:t xml:space="preserve"> de Cobaría, Tegría, Bókota y Rinconada’’,</w:t>
      </w:r>
      <w:r w:rsidRPr="00BF20FA">
        <w:rPr>
          <w:rFonts w:asciiTheme="majorHAnsi" w:eastAsia="Calibri" w:hAnsiTheme="majorHAnsi"/>
          <w:color w:val="000000" w:themeColor="text1"/>
          <w:sz w:val="20"/>
          <w:szCs w:val="20"/>
          <w:bdr w:val="none" w:sz="0" w:space="0" w:color="auto"/>
          <w:lang w:val="es-CO"/>
        </w:rPr>
        <w:t xml:space="preserve"> </w:t>
      </w:r>
      <w:r w:rsidRPr="00BF20FA">
        <w:rPr>
          <w:rFonts w:asciiTheme="majorHAnsi" w:hAnsiTheme="majorHAnsi"/>
          <w:color w:val="000000" w:themeColor="text1"/>
          <w:sz w:val="20"/>
          <w:szCs w:val="20"/>
          <w:lang w:val="es-CO"/>
        </w:rPr>
        <w:t>sobre un área aproximada de 61.156 hectáreas, en jurisdicción de los municipios de Cubará y Güicán, en el departamento de Boyacá; Chitagá y Toledo, en el departamento de Norte de Santander; Concepción, en el departamento de Santander; y Tame, en el departamento de Arauca’’</w:t>
      </w:r>
      <w:r w:rsidRPr="00BF20FA">
        <w:rPr>
          <w:rStyle w:val="FootnoteReference"/>
          <w:rFonts w:asciiTheme="majorHAnsi" w:eastAsia="Arial Unicode MS" w:hAnsiTheme="majorHAnsi" w:cs="Times New Roman"/>
          <w:color w:val="000000" w:themeColor="text1"/>
          <w:sz w:val="20"/>
          <w:szCs w:val="20"/>
          <w:lang w:eastAsia="en-US"/>
        </w:rPr>
        <w:footnoteReference w:id="21"/>
      </w:r>
      <w:r w:rsidRPr="00BF20FA">
        <w:rPr>
          <w:rFonts w:asciiTheme="majorHAnsi" w:hAnsiTheme="majorHAnsi"/>
          <w:color w:val="000000" w:themeColor="text1"/>
          <w:sz w:val="20"/>
          <w:szCs w:val="20"/>
          <w:lang w:val="es-CO"/>
        </w:rPr>
        <w:t>.</w:t>
      </w:r>
    </w:p>
    <w:p w14:paraId="20DDB5C7" w14:textId="77777777" w:rsidR="00083663" w:rsidRPr="00BF20FA" w:rsidRDefault="00083663" w:rsidP="00331F0B">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CO"/>
        </w:rPr>
      </w:pPr>
    </w:p>
    <w:p w14:paraId="7493511B" w14:textId="77777777" w:rsidR="00C52681"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31 de marzo de 1993 la Organización Regional Indígena U’wa del Oriente Colombiano (ORIWOC) solicitó al INCORA constituir el ‘‘Resguardo Único U’wa’’ con el fin de </w:t>
      </w:r>
      <w:r w:rsidR="009C7948"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‘cobijar en un solo globo territorial a todas las Comunidades Indígenas del Pueblo U’wa de los departamentos de Boyacá, Santander y  Norte de Santander</w:t>
      </w:r>
      <w:r w:rsidR="00E63B0E" w:rsidRPr="00BF20FA">
        <w:rPr>
          <w:rFonts w:asciiTheme="majorHAnsi" w:hAnsiTheme="majorHAnsi"/>
          <w:color w:val="000000" w:themeColor="text1"/>
          <w:sz w:val="20"/>
          <w:szCs w:val="20"/>
          <w:lang w:val="es-ES"/>
        </w:rPr>
        <w:t>”</w:t>
      </w:r>
      <w:r w:rsidRPr="00BF20FA">
        <w:rPr>
          <w:rFonts w:asciiTheme="majorHAnsi" w:hAnsiTheme="majorHAnsi"/>
          <w:color w:val="000000" w:themeColor="text1"/>
          <w:sz w:val="20"/>
          <w:szCs w:val="20"/>
          <w:lang w:val="es-CO"/>
        </w:rPr>
        <w:t>. Adicionalmente, solicitó la conversión de la reserva indígena de Tauretes – Agua Blanca a resguardo y su posterior anexión al Resguardo Único U’wa</w:t>
      </w:r>
      <w:r w:rsidR="009C7948" w:rsidRPr="00BF20FA">
        <w:rPr>
          <w:rStyle w:val="FootnoteReference"/>
          <w:rFonts w:asciiTheme="majorHAnsi" w:hAnsiTheme="majorHAnsi"/>
          <w:color w:val="000000" w:themeColor="text1"/>
          <w:sz w:val="20"/>
          <w:szCs w:val="20"/>
          <w:lang w:val="es-CO"/>
        </w:rPr>
        <w:footnoteReference w:id="22"/>
      </w:r>
      <w:r w:rsidRPr="00BF20FA">
        <w:rPr>
          <w:rFonts w:asciiTheme="majorHAnsi" w:hAnsiTheme="majorHAnsi"/>
          <w:color w:val="000000" w:themeColor="text1"/>
          <w:sz w:val="20"/>
          <w:szCs w:val="20"/>
          <w:lang w:val="es-CO"/>
        </w:rPr>
        <w:t>.</w:t>
      </w:r>
      <w:r w:rsidR="00835005" w:rsidRPr="00BF20FA">
        <w:rPr>
          <w:rFonts w:asciiTheme="majorHAnsi" w:hAnsiTheme="majorHAnsi"/>
          <w:color w:val="000000" w:themeColor="text1"/>
          <w:sz w:val="20"/>
          <w:szCs w:val="20"/>
          <w:lang w:val="es-CO"/>
        </w:rPr>
        <w:t xml:space="preserve"> </w:t>
      </w:r>
    </w:p>
    <w:p w14:paraId="529B7364" w14:textId="77777777" w:rsidR="00835005" w:rsidRPr="00BF20FA" w:rsidRDefault="00835005" w:rsidP="00331F0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30A6A376" w14:textId="2AC8B64F" w:rsidR="00BA4DB7"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lastRenderedPageBreak/>
        <w:t xml:space="preserve">El 6 de agosto de 1999 el INCORA </w:t>
      </w:r>
      <w:r w:rsidR="00BA4DB7" w:rsidRPr="00BF20FA">
        <w:rPr>
          <w:rFonts w:asciiTheme="majorHAnsi" w:hAnsiTheme="majorHAnsi"/>
          <w:color w:val="000000" w:themeColor="text1"/>
          <w:sz w:val="20"/>
          <w:szCs w:val="20"/>
          <w:lang w:val="es-CO"/>
        </w:rPr>
        <w:t xml:space="preserve">expidió </w:t>
      </w:r>
      <w:r w:rsidRPr="00BF20FA">
        <w:rPr>
          <w:rFonts w:asciiTheme="majorHAnsi" w:hAnsiTheme="majorHAnsi"/>
          <w:color w:val="000000" w:themeColor="text1"/>
          <w:sz w:val="20"/>
          <w:szCs w:val="20"/>
          <w:lang w:val="es-CO"/>
        </w:rPr>
        <w:t>la Resolución N°</w:t>
      </w:r>
      <w:r w:rsidR="00102AE0"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56</w:t>
      </w:r>
      <w:r w:rsidR="002B05F1"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a través de la cual se creó el </w:t>
      </w:r>
      <w:r w:rsidR="007C518C"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RESGUARDO INDÍGENA UNIDO U’WA</w:t>
      </w:r>
      <w:r w:rsidR="007C518C"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compuesto por ‘‘el Resguardo de Cobaría, Tegría, Bókota y Rinconada; la  reserva indígena Tauretes – Aguablanca; terrenos baldíos; 64 predios y 15 mejoras adquiridos por el INCORA,  que hacen parte del Fondo Nacional Agrario y que fueron entregados a las comunidades U’wa; algunas zonas del Parque Nacional Natural El Cocuy; predios de propiedad privada de los indígenas en proceso de donación al Cabildo;</w:t>
      </w:r>
      <w:r w:rsidR="00732193" w:rsidRPr="00BF20FA">
        <w:rPr>
          <w:rFonts w:asciiTheme="majorHAnsi" w:hAnsiTheme="majorHAnsi"/>
          <w:color w:val="000000" w:themeColor="text1"/>
          <w:sz w:val="20"/>
          <w:szCs w:val="20"/>
          <w:lang w:val="es-CO"/>
        </w:rPr>
        <w:t xml:space="preserve"> </w:t>
      </w:r>
      <w:r w:rsidR="002237C3" w:rsidRPr="00BF20FA">
        <w:rPr>
          <w:rFonts w:asciiTheme="majorHAnsi" w:hAnsiTheme="majorHAnsi"/>
          <w:color w:val="000000" w:themeColor="text1"/>
          <w:sz w:val="20"/>
          <w:szCs w:val="20"/>
          <w:lang w:val="es-CO"/>
        </w:rPr>
        <w:t xml:space="preserve">y </w:t>
      </w:r>
      <w:r w:rsidRPr="00BF20FA">
        <w:rPr>
          <w:rFonts w:asciiTheme="majorHAnsi" w:hAnsiTheme="majorHAnsi"/>
          <w:color w:val="000000" w:themeColor="text1"/>
          <w:sz w:val="20"/>
          <w:szCs w:val="20"/>
          <w:lang w:val="es-CO"/>
        </w:rPr>
        <w:t>los predios ‘‘El Palmar’’ y ‘‘La Esmeralda ’’ que fueron adquiridos por el Municipio de Cubará a favor de las comunidades U’wa de Cobaría</w:t>
      </w:r>
      <w:r w:rsidR="002237C3"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En la Resolución se señala que ‘‘la alinderación del resguardo ampliado tiene una extensión de 220.275 hectáreas aproximadamente</w:t>
      </w:r>
      <w:r w:rsidR="007F2D0F"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23"/>
      </w:r>
      <w:r w:rsidRPr="00BF20FA">
        <w:rPr>
          <w:rFonts w:asciiTheme="majorHAnsi" w:hAnsiTheme="majorHAnsi"/>
          <w:color w:val="000000" w:themeColor="text1"/>
          <w:sz w:val="20"/>
          <w:szCs w:val="20"/>
          <w:lang w:val="es-CO"/>
        </w:rPr>
        <w:t xml:space="preserve">. Dentro de </w:t>
      </w:r>
      <w:r w:rsidR="002237C3" w:rsidRPr="00BF20FA">
        <w:rPr>
          <w:rFonts w:asciiTheme="majorHAnsi" w:hAnsiTheme="majorHAnsi"/>
          <w:color w:val="000000" w:themeColor="text1"/>
          <w:sz w:val="20"/>
          <w:szCs w:val="20"/>
          <w:lang w:val="es-CO"/>
        </w:rPr>
        <w:t xml:space="preserve">dicha alinderación </w:t>
      </w:r>
      <w:r w:rsidRPr="00BF20FA">
        <w:rPr>
          <w:rFonts w:asciiTheme="majorHAnsi" w:hAnsiTheme="majorHAnsi"/>
          <w:color w:val="000000" w:themeColor="text1"/>
          <w:sz w:val="20"/>
          <w:szCs w:val="20"/>
          <w:lang w:val="es-CO"/>
        </w:rPr>
        <w:t xml:space="preserve">se incluyeron </w:t>
      </w:r>
      <w:r w:rsidR="009C6DDE"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mejoras de 150 colonos aproximadamente en una extensión estimada de 40.741 y 434 predios de propiedad privada con un área aproximada de 17.216</w:t>
      </w:r>
      <w:r w:rsidR="009C6DDE"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24"/>
      </w:r>
      <w:r w:rsidRPr="00BF20FA">
        <w:rPr>
          <w:rFonts w:asciiTheme="majorHAnsi" w:hAnsiTheme="majorHAnsi"/>
          <w:color w:val="000000" w:themeColor="text1"/>
          <w:sz w:val="20"/>
          <w:szCs w:val="20"/>
          <w:lang w:val="es-CO"/>
        </w:rPr>
        <w:t>.</w:t>
      </w:r>
    </w:p>
    <w:p w14:paraId="03D9C16F" w14:textId="77777777" w:rsidR="00BA4DB7" w:rsidRPr="00BF20FA" w:rsidRDefault="00BA4DB7" w:rsidP="00BA4DB7">
      <w:pPr>
        <w:pStyle w:val="ListParagraph"/>
        <w:rPr>
          <w:rFonts w:asciiTheme="majorHAnsi" w:hAnsiTheme="majorHAnsi"/>
          <w:color w:val="000000" w:themeColor="text1"/>
          <w:sz w:val="20"/>
          <w:szCs w:val="20"/>
          <w:lang w:val="es-CO"/>
        </w:rPr>
      </w:pPr>
    </w:p>
    <w:p w14:paraId="53DE7173" w14:textId="77777777" w:rsidR="00E9193B" w:rsidRPr="00BF20FA" w:rsidRDefault="001A5E2D"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w:t>
      </w:r>
      <w:r w:rsidR="006A3D46" w:rsidRPr="00BF20FA">
        <w:rPr>
          <w:rFonts w:asciiTheme="majorHAnsi" w:hAnsiTheme="majorHAnsi"/>
          <w:color w:val="000000" w:themeColor="text1"/>
          <w:sz w:val="20"/>
          <w:szCs w:val="20"/>
          <w:lang w:val="es-CO"/>
        </w:rPr>
        <w:t>n la</w:t>
      </w:r>
      <w:r w:rsidR="002237C3" w:rsidRPr="00BF20FA">
        <w:rPr>
          <w:rFonts w:asciiTheme="majorHAnsi" w:hAnsiTheme="majorHAnsi"/>
          <w:color w:val="000000" w:themeColor="text1"/>
          <w:sz w:val="20"/>
          <w:szCs w:val="20"/>
          <w:lang w:val="es-CO"/>
        </w:rPr>
        <w:t xml:space="preserve"> Resoluci</w:t>
      </w:r>
      <w:r w:rsidR="00E9193B" w:rsidRPr="00BF20FA">
        <w:rPr>
          <w:rFonts w:asciiTheme="majorHAnsi" w:hAnsiTheme="majorHAnsi"/>
          <w:color w:val="000000" w:themeColor="text1"/>
          <w:sz w:val="20"/>
          <w:szCs w:val="20"/>
          <w:lang w:val="es-CO"/>
        </w:rPr>
        <w:t>ón expresamente se</w:t>
      </w:r>
      <w:r w:rsidR="002237C3" w:rsidRPr="00BF20FA">
        <w:rPr>
          <w:rFonts w:asciiTheme="majorHAnsi" w:hAnsiTheme="majorHAnsi"/>
          <w:color w:val="000000" w:themeColor="text1"/>
          <w:sz w:val="20"/>
          <w:szCs w:val="20"/>
          <w:lang w:val="es-CO"/>
        </w:rPr>
        <w:t xml:space="preserve"> excluye</w:t>
      </w:r>
      <w:r w:rsidR="00E9193B" w:rsidRPr="00BF20FA">
        <w:rPr>
          <w:rFonts w:asciiTheme="majorHAnsi" w:hAnsiTheme="majorHAnsi"/>
          <w:color w:val="000000" w:themeColor="text1"/>
          <w:sz w:val="20"/>
          <w:szCs w:val="20"/>
          <w:lang w:val="es-CO"/>
        </w:rPr>
        <w:t>n</w:t>
      </w:r>
      <w:r w:rsidR="002237C3" w:rsidRPr="00BF20FA">
        <w:rPr>
          <w:rFonts w:asciiTheme="majorHAnsi" w:hAnsiTheme="majorHAnsi"/>
          <w:color w:val="000000" w:themeColor="text1"/>
          <w:sz w:val="20"/>
          <w:szCs w:val="20"/>
          <w:lang w:val="es-CO"/>
        </w:rPr>
        <w:t xml:space="preserve"> del Resguardo Unido U’wa</w:t>
      </w:r>
      <w:r w:rsidR="00E9193B"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el Centro Recreacional Tamarana</w:t>
      </w:r>
      <w:r w:rsidR="00E9193B"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 xml:space="preserve">la Estación de </w:t>
      </w:r>
      <w:r w:rsidR="00E9193B" w:rsidRPr="00BF20FA">
        <w:rPr>
          <w:rFonts w:asciiTheme="majorHAnsi" w:hAnsiTheme="majorHAnsi"/>
          <w:color w:val="000000" w:themeColor="text1"/>
          <w:sz w:val="20"/>
          <w:szCs w:val="20"/>
          <w:lang w:val="es-CO"/>
        </w:rPr>
        <w:t xml:space="preserve">Bombeo Samoré, la base Militar  y </w:t>
      </w:r>
      <w:r w:rsidR="006A3D46" w:rsidRPr="00BF20FA">
        <w:rPr>
          <w:rFonts w:asciiTheme="majorHAnsi" w:hAnsiTheme="majorHAnsi"/>
          <w:color w:val="000000" w:themeColor="text1"/>
          <w:sz w:val="20"/>
          <w:szCs w:val="20"/>
          <w:lang w:val="es-CO"/>
        </w:rPr>
        <w:t>el poblado Samoré</w:t>
      </w:r>
      <w:r w:rsidR="00E9193B"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También se añade que ‘‘los colonos que quedan incluidos dentro de la alinderación de este resguardo pueden continuar en posesión de las mejoras que tienen a la fecha, hasta tanto el INCORA u otra entidad las adquiera para el saneamiento del resguardo, pero no pueden ampliarlas a expensas del terreno del resguardo’’</w:t>
      </w:r>
      <w:r w:rsidR="00C55C69" w:rsidRPr="00BF20FA">
        <w:rPr>
          <w:rStyle w:val="FootnoteReference"/>
          <w:rFonts w:asciiTheme="majorHAnsi" w:hAnsiTheme="majorHAnsi"/>
          <w:color w:val="000000" w:themeColor="text1"/>
          <w:sz w:val="20"/>
          <w:szCs w:val="20"/>
          <w:lang w:val="es-CO"/>
        </w:rPr>
        <w:footnoteReference w:id="25"/>
      </w:r>
      <w:r w:rsidR="006A3D46" w:rsidRPr="00BF20FA">
        <w:rPr>
          <w:rFonts w:asciiTheme="majorHAnsi" w:hAnsiTheme="majorHAnsi"/>
          <w:color w:val="000000" w:themeColor="text1"/>
          <w:sz w:val="20"/>
          <w:szCs w:val="20"/>
          <w:lang w:val="es-CO"/>
        </w:rPr>
        <w:t>.</w:t>
      </w:r>
      <w:r w:rsidR="003822D9" w:rsidRPr="00BF20FA">
        <w:rPr>
          <w:rFonts w:asciiTheme="majorHAnsi" w:hAnsiTheme="majorHAnsi"/>
          <w:color w:val="000000" w:themeColor="text1"/>
          <w:sz w:val="20"/>
          <w:szCs w:val="20"/>
          <w:lang w:val="es-CO"/>
        </w:rPr>
        <w:t xml:space="preserve"> </w:t>
      </w:r>
      <w:r w:rsidR="00E9193B" w:rsidRPr="00BF20FA">
        <w:rPr>
          <w:rFonts w:asciiTheme="majorHAnsi" w:hAnsiTheme="majorHAnsi"/>
          <w:color w:val="000000" w:themeColor="text1"/>
          <w:sz w:val="20"/>
          <w:szCs w:val="20"/>
          <w:lang w:val="es-CO"/>
        </w:rPr>
        <w:t>El 23 de agosto de 1999</w:t>
      </w:r>
      <w:r w:rsidR="00CA0551" w:rsidRPr="00BF20FA">
        <w:rPr>
          <w:rFonts w:asciiTheme="majorHAnsi" w:hAnsiTheme="majorHAnsi"/>
          <w:color w:val="000000" w:themeColor="text1"/>
          <w:sz w:val="20"/>
          <w:szCs w:val="20"/>
          <w:lang w:val="es-CO"/>
        </w:rPr>
        <w:t xml:space="preserve"> </w:t>
      </w:r>
      <w:r w:rsidR="00E9193B" w:rsidRPr="00BF20FA">
        <w:rPr>
          <w:rFonts w:asciiTheme="majorHAnsi" w:hAnsiTheme="majorHAnsi"/>
          <w:color w:val="000000" w:themeColor="text1"/>
          <w:sz w:val="20"/>
          <w:szCs w:val="20"/>
          <w:lang w:val="es-CO"/>
        </w:rPr>
        <w:t>se llevó a cabo la entrega oficial del territorio del Resguardo Unido U’wa</w:t>
      </w:r>
      <w:r w:rsidR="00E9193B" w:rsidRPr="00BF20FA">
        <w:rPr>
          <w:rStyle w:val="FootnoteReference"/>
          <w:rFonts w:asciiTheme="majorHAnsi" w:hAnsiTheme="majorHAnsi"/>
          <w:color w:val="000000" w:themeColor="text1"/>
          <w:sz w:val="20"/>
          <w:szCs w:val="20"/>
          <w:lang w:val="es-CO"/>
        </w:rPr>
        <w:footnoteReference w:id="26"/>
      </w:r>
      <w:r w:rsidR="00E9193B" w:rsidRPr="00BF20FA">
        <w:rPr>
          <w:rFonts w:asciiTheme="majorHAnsi" w:hAnsiTheme="majorHAnsi"/>
          <w:color w:val="000000" w:themeColor="text1"/>
          <w:sz w:val="20"/>
          <w:szCs w:val="20"/>
          <w:lang w:val="es-CO"/>
        </w:rPr>
        <w:t>.</w:t>
      </w:r>
    </w:p>
    <w:p w14:paraId="17B3367A" w14:textId="77777777" w:rsidR="00D00CC2" w:rsidRPr="00BF20FA" w:rsidRDefault="00D00CC2" w:rsidP="00331F0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513D96CC" w14:textId="7106BAC1" w:rsidR="0041604E"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Mediante Oficio N° 3030 de 20 de abril de 2007, el </w:t>
      </w:r>
      <w:r w:rsidR="00493214" w:rsidRPr="00BF20FA">
        <w:rPr>
          <w:rFonts w:asciiTheme="majorHAnsi" w:hAnsiTheme="majorHAnsi"/>
          <w:color w:val="000000" w:themeColor="text1"/>
          <w:sz w:val="20"/>
          <w:szCs w:val="20"/>
          <w:lang w:val="es-CO"/>
        </w:rPr>
        <w:t>Instit</w:t>
      </w:r>
      <w:r w:rsidR="00CC28C7" w:rsidRPr="00BF20FA">
        <w:rPr>
          <w:rFonts w:asciiTheme="majorHAnsi" w:hAnsiTheme="majorHAnsi"/>
          <w:color w:val="000000" w:themeColor="text1"/>
          <w:sz w:val="20"/>
          <w:szCs w:val="20"/>
          <w:lang w:val="es-CO"/>
        </w:rPr>
        <w:t>uto Colombiano de Desarrollo Rur</w:t>
      </w:r>
      <w:r w:rsidR="00493214" w:rsidRPr="00BF20FA">
        <w:rPr>
          <w:rFonts w:asciiTheme="majorHAnsi" w:hAnsiTheme="majorHAnsi"/>
          <w:color w:val="000000" w:themeColor="text1"/>
          <w:sz w:val="20"/>
          <w:szCs w:val="20"/>
          <w:lang w:val="es-CO"/>
        </w:rPr>
        <w:t>al (</w:t>
      </w:r>
      <w:r w:rsidRPr="00BF20FA">
        <w:rPr>
          <w:rFonts w:asciiTheme="majorHAnsi" w:hAnsiTheme="majorHAnsi"/>
          <w:color w:val="000000" w:themeColor="text1"/>
          <w:sz w:val="20"/>
          <w:szCs w:val="20"/>
          <w:lang w:val="es-CO"/>
        </w:rPr>
        <w:t>INCODER</w:t>
      </w:r>
      <w:r w:rsidR="00493214" w:rsidRPr="00BF20FA">
        <w:rPr>
          <w:rFonts w:asciiTheme="majorHAnsi" w:hAnsiTheme="majorHAnsi"/>
          <w:color w:val="000000" w:themeColor="text1"/>
          <w:sz w:val="20"/>
          <w:szCs w:val="20"/>
          <w:lang w:val="es-CO"/>
        </w:rPr>
        <w:t>)</w:t>
      </w:r>
      <w:r w:rsidR="00E91E41" w:rsidRPr="00BF20FA">
        <w:rPr>
          <w:rStyle w:val="FootnoteReference"/>
          <w:rFonts w:asciiTheme="majorHAnsi" w:hAnsiTheme="majorHAnsi"/>
          <w:color w:val="000000" w:themeColor="text1"/>
          <w:sz w:val="20"/>
          <w:szCs w:val="20"/>
          <w:lang w:val="es-CO"/>
        </w:rPr>
        <w:footnoteReference w:id="27"/>
      </w:r>
      <w:r w:rsidRPr="00BF20FA">
        <w:rPr>
          <w:rFonts w:asciiTheme="majorHAnsi" w:hAnsiTheme="majorHAnsi"/>
          <w:color w:val="000000" w:themeColor="text1"/>
          <w:sz w:val="20"/>
          <w:szCs w:val="20"/>
          <w:lang w:val="es-CO"/>
        </w:rPr>
        <w:t xml:space="preserve"> presentó el documento ‘‘</w:t>
      </w:r>
      <w:r w:rsidR="008647C6" w:rsidRPr="00BF20FA">
        <w:rPr>
          <w:rFonts w:asciiTheme="majorHAnsi" w:hAnsiTheme="majorHAnsi"/>
          <w:color w:val="000000" w:themeColor="text1"/>
          <w:sz w:val="20"/>
          <w:szCs w:val="20"/>
          <w:lang w:val="es-CO"/>
        </w:rPr>
        <w:t>Saneamiento Resguardo Unido U’wa</w:t>
      </w:r>
      <w:r w:rsidRPr="00BF20FA">
        <w:rPr>
          <w:rFonts w:asciiTheme="majorHAnsi" w:hAnsiTheme="majorHAnsi"/>
          <w:color w:val="000000" w:themeColor="text1"/>
          <w:sz w:val="20"/>
          <w:szCs w:val="20"/>
          <w:lang w:val="es-CO"/>
        </w:rPr>
        <w:t>’</w:t>
      </w:r>
      <w:r w:rsidR="008647C6" w:rsidRPr="00BF20FA">
        <w:rPr>
          <w:rFonts w:asciiTheme="majorHAnsi" w:hAnsiTheme="majorHAnsi"/>
          <w:color w:val="000000" w:themeColor="text1"/>
          <w:sz w:val="20"/>
          <w:szCs w:val="20"/>
          <w:lang w:val="es-CO"/>
        </w:rPr>
        <w:t>’,</w:t>
      </w:r>
      <w:r w:rsidR="00CC28C7" w:rsidRPr="00BF20FA">
        <w:rPr>
          <w:rFonts w:asciiTheme="majorHAnsi" w:hAnsiTheme="majorHAnsi"/>
          <w:color w:val="000000" w:themeColor="text1"/>
          <w:sz w:val="20"/>
          <w:szCs w:val="20"/>
          <w:lang w:val="es-CO"/>
        </w:rPr>
        <w:t xml:space="preserve"> donde informó </w:t>
      </w:r>
      <w:r w:rsidR="008647C6" w:rsidRPr="00BF20FA">
        <w:rPr>
          <w:rFonts w:asciiTheme="majorHAnsi" w:hAnsiTheme="majorHAnsi"/>
          <w:color w:val="000000" w:themeColor="text1"/>
          <w:sz w:val="20"/>
          <w:szCs w:val="20"/>
          <w:lang w:val="es-CO"/>
        </w:rPr>
        <w:t>que ‘‘</w:t>
      </w:r>
      <w:r w:rsidRPr="00BF20FA">
        <w:rPr>
          <w:rFonts w:asciiTheme="majorHAnsi" w:hAnsiTheme="majorHAnsi"/>
          <w:color w:val="000000" w:themeColor="text1"/>
          <w:sz w:val="20"/>
          <w:szCs w:val="20"/>
          <w:lang w:val="es-CO"/>
        </w:rPr>
        <w:t xml:space="preserve">desde octubre de 2003 </w:t>
      </w:r>
      <w:r w:rsidR="002B05F1" w:rsidRPr="00BF20FA">
        <w:rPr>
          <w:rFonts w:asciiTheme="majorHAnsi" w:hAnsiTheme="majorHAnsi"/>
          <w:color w:val="000000" w:themeColor="text1"/>
          <w:sz w:val="20"/>
          <w:szCs w:val="20"/>
          <w:lang w:val="es-CO"/>
        </w:rPr>
        <w:t>[…]</w:t>
      </w:r>
      <w:r w:rsidR="008647C6"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se han adquirido 182 predios y 85 mejoras, en extensión total de 10.662,48 hectáreas, por valor de 5.716,7 millones de pesos. Igualmente, las oficinas de enlace adelantan procesos de expropiación judicial de 27 predios y 3 mejoras, frente a los cuales no hay decisiones conocidas’’</w:t>
      </w:r>
      <w:r w:rsidRPr="00BF20FA">
        <w:rPr>
          <w:rStyle w:val="FootnoteReference"/>
          <w:rFonts w:asciiTheme="majorHAnsi" w:hAnsiTheme="majorHAnsi"/>
          <w:color w:val="000000" w:themeColor="text1"/>
          <w:sz w:val="20"/>
          <w:szCs w:val="20"/>
          <w:lang w:val="es-CO"/>
        </w:rPr>
        <w:footnoteReference w:id="28"/>
      </w:r>
      <w:r w:rsidRPr="00BF20FA">
        <w:rPr>
          <w:rFonts w:asciiTheme="majorHAnsi" w:hAnsiTheme="majorHAnsi"/>
          <w:color w:val="000000" w:themeColor="text1"/>
          <w:sz w:val="20"/>
          <w:szCs w:val="20"/>
          <w:lang w:val="es-CO"/>
        </w:rPr>
        <w:t>. Fina</w:t>
      </w:r>
      <w:r w:rsidR="008647C6" w:rsidRPr="00BF20FA">
        <w:rPr>
          <w:rFonts w:asciiTheme="majorHAnsi" w:hAnsiTheme="majorHAnsi"/>
          <w:color w:val="000000" w:themeColor="text1"/>
          <w:sz w:val="20"/>
          <w:szCs w:val="20"/>
          <w:lang w:val="es-CO"/>
        </w:rPr>
        <w:t>l</w:t>
      </w:r>
      <w:r w:rsidRPr="00BF20FA">
        <w:rPr>
          <w:rFonts w:asciiTheme="majorHAnsi" w:hAnsiTheme="majorHAnsi"/>
          <w:color w:val="000000" w:themeColor="text1"/>
          <w:sz w:val="20"/>
          <w:szCs w:val="20"/>
          <w:lang w:val="es-CO"/>
        </w:rPr>
        <w:t>mente se señal</w:t>
      </w:r>
      <w:r w:rsidR="002B05F1" w:rsidRPr="00BF20FA">
        <w:rPr>
          <w:rFonts w:asciiTheme="majorHAnsi" w:hAnsiTheme="majorHAnsi"/>
          <w:color w:val="000000" w:themeColor="text1"/>
          <w:sz w:val="20"/>
          <w:szCs w:val="20"/>
          <w:lang w:val="es-CO"/>
        </w:rPr>
        <w:t>a</w:t>
      </w:r>
      <w:r w:rsidRPr="00BF20FA">
        <w:rPr>
          <w:rFonts w:asciiTheme="majorHAnsi" w:hAnsiTheme="majorHAnsi"/>
          <w:color w:val="000000" w:themeColor="text1"/>
          <w:sz w:val="20"/>
          <w:szCs w:val="20"/>
          <w:lang w:val="es-CO"/>
        </w:rPr>
        <w:t xml:space="preserve"> que ‘‘los predios adquiridos y por adquirir</w:t>
      </w:r>
      <w:r w:rsidR="003F242B"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se entregarán al resguardo mediante resoluciones de transferencia de dominio, previa entrega de las mejoras y los predios adquiridos y saneamiento tributario de las mismas’’</w:t>
      </w:r>
      <w:r w:rsidRPr="00BF20FA">
        <w:rPr>
          <w:rStyle w:val="FootnoteReference"/>
          <w:rFonts w:asciiTheme="majorHAnsi" w:hAnsiTheme="majorHAnsi"/>
          <w:color w:val="000000" w:themeColor="text1"/>
          <w:sz w:val="20"/>
          <w:szCs w:val="20"/>
          <w:lang w:val="es-CO"/>
        </w:rPr>
        <w:footnoteReference w:id="29"/>
      </w:r>
      <w:r w:rsidRPr="00BF20FA">
        <w:rPr>
          <w:rFonts w:asciiTheme="majorHAnsi" w:hAnsiTheme="majorHAnsi"/>
          <w:color w:val="000000" w:themeColor="text1"/>
          <w:sz w:val="20"/>
          <w:szCs w:val="20"/>
          <w:lang w:val="es-CO"/>
        </w:rPr>
        <w:t>.</w:t>
      </w:r>
      <w:r w:rsidR="00B734D5" w:rsidRPr="00BF20FA">
        <w:rPr>
          <w:rFonts w:asciiTheme="majorHAnsi" w:hAnsiTheme="majorHAnsi"/>
          <w:color w:val="000000" w:themeColor="text1"/>
          <w:sz w:val="20"/>
          <w:szCs w:val="20"/>
          <w:lang w:val="es-CO"/>
        </w:rPr>
        <w:t xml:space="preserve"> En nota de 30 de abril de 2007, el Estado informó que quedaban por negociar 542 predios de terceros y cuya negociación se daría por terminada en un tiempo estimado de 3 años y afirmó que </w:t>
      </w:r>
      <w:r w:rsidR="00B734D5" w:rsidRPr="00BF20FA">
        <w:rPr>
          <w:rFonts w:asciiTheme="majorHAnsi" w:hAnsiTheme="majorHAnsi"/>
          <w:color w:val="000000" w:themeColor="text1"/>
          <w:sz w:val="20"/>
          <w:szCs w:val="20"/>
          <w:lang w:val="es-ES"/>
        </w:rPr>
        <w:t>“el Reguardo Unido U´wa estará totalmente saneado para el año 2010”</w:t>
      </w:r>
      <w:r w:rsidR="00B734D5" w:rsidRPr="00BF20FA">
        <w:rPr>
          <w:rStyle w:val="FootnoteReference"/>
          <w:rFonts w:asciiTheme="majorHAnsi" w:hAnsiTheme="majorHAnsi"/>
          <w:color w:val="000000" w:themeColor="text1"/>
          <w:sz w:val="20"/>
          <w:szCs w:val="20"/>
          <w:lang w:val="es-CO"/>
        </w:rPr>
        <w:footnoteReference w:id="30"/>
      </w:r>
      <w:r w:rsidR="00B734D5" w:rsidRPr="00BF20FA">
        <w:rPr>
          <w:rFonts w:asciiTheme="majorHAnsi" w:hAnsiTheme="majorHAnsi"/>
          <w:color w:val="000000" w:themeColor="text1"/>
          <w:sz w:val="20"/>
          <w:szCs w:val="20"/>
          <w:lang w:val="es-CO"/>
        </w:rPr>
        <w:t xml:space="preserve">. </w:t>
      </w:r>
    </w:p>
    <w:p w14:paraId="42CEFDF4" w14:textId="77777777" w:rsidR="0041604E" w:rsidRPr="00BF20FA" w:rsidRDefault="0041604E" w:rsidP="0041604E">
      <w:pPr>
        <w:pStyle w:val="ListParagraph"/>
        <w:rPr>
          <w:rFonts w:asciiTheme="majorHAnsi" w:hAnsiTheme="majorHAnsi"/>
          <w:color w:val="000000" w:themeColor="text1"/>
          <w:sz w:val="20"/>
          <w:szCs w:val="20"/>
          <w:lang w:val="es-CO"/>
        </w:rPr>
      </w:pPr>
    </w:p>
    <w:p w14:paraId="19F15E6C" w14:textId="2A3777F3" w:rsidR="006A3D46" w:rsidRPr="00BF20FA" w:rsidRDefault="00A356ED"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1 de mayo de 2014 se firmaron unos </w:t>
      </w:r>
      <w:r w:rsidR="006A3D46" w:rsidRPr="00BF20FA">
        <w:rPr>
          <w:rFonts w:asciiTheme="majorHAnsi" w:hAnsiTheme="majorHAnsi"/>
          <w:color w:val="000000" w:themeColor="text1"/>
          <w:sz w:val="20"/>
          <w:szCs w:val="20"/>
          <w:lang w:val="es-CO"/>
        </w:rPr>
        <w:t>acuerdo</w:t>
      </w:r>
      <w:r w:rsidRPr="00BF20FA">
        <w:rPr>
          <w:rFonts w:asciiTheme="majorHAnsi" w:hAnsiTheme="majorHAnsi"/>
          <w:color w:val="000000" w:themeColor="text1"/>
          <w:sz w:val="20"/>
          <w:szCs w:val="20"/>
          <w:lang w:val="es-CO"/>
        </w:rPr>
        <w:t>s</w:t>
      </w:r>
      <w:r w:rsidR="006A3D46" w:rsidRPr="00BF20FA">
        <w:rPr>
          <w:rFonts w:asciiTheme="majorHAnsi" w:hAnsiTheme="majorHAnsi"/>
          <w:color w:val="000000" w:themeColor="text1"/>
          <w:sz w:val="20"/>
          <w:szCs w:val="20"/>
          <w:lang w:val="es-CO"/>
        </w:rPr>
        <w:t xml:space="preserve"> entre el Gobierno Nacional y la Nación U’wa</w:t>
      </w:r>
      <w:r w:rsidR="0099395D" w:rsidRPr="00BF20FA">
        <w:rPr>
          <w:rFonts w:asciiTheme="majorHAnsi" w:hAnsiTheme="majorHAnsi"/>
          <w:color w:val="000000" w:themeColor="text1"/>
          <w:sz w:val="20"/>
          <w:szCs w:val="20"/>
          <w:lang w:val="es-CO"/>
        </w:rPr>
        <w:t xml:space="preserve"> </w:t>
      </w:r>
      <w:r w:rsidR="00F412C9" w:rsidRPr="00BF20FA">
        <w:rPr>
          <w:rFonts w:asciiTheme="majorHAnsi" w:hAnsiTheme="majorHAnsi"/>
          <w:color w:val="000000" w:themeColor="text1"/>
          <w:sz w:val="20"/>
          <w:szCs w:val="20"/>
          <w:lang w:val="es-CO"/>
        </w:rPr>
        <w:t xml:space="preserve">(en adelante </w:t>
      </w:r>
      <w:r w:rsidR="00F412C9" w:rsidRPr="00BF20FA">
        <w:rPr>
          <w:rFonts w:asciiTheme="majorHAnsi" w:hAnsiTheme="majorHAnsi"/>
          <w:color w:val="000000" w:themeColor="text1"/>
          <w:sz w:val="20"/>
          <w:szCs w:val="20"/>
          <w:lang w:val="es-ES"/>
        </w:rPr>
        <w:t xml:space="preserve">“acuerdos de mayo de 2014”) </w:t>
      </w:r>
      <w:r w:rsidRPr="00BF20FA">
        <w:rPr>
          <w:rFonts w:asciiTheme="majorHAnsi" w:hAnsiTheme="majorHAnsi"/>
          <w:color w:val="000000" w:themeColor="text1"/>
          <w:sz w:val="20"/>
          <w:szCs w:val="20"/>
          <w:lang w:val="es-CO"/>
        </w:rPr>
        <w:t xml:space="preserve">en los </w:t>
      </w:r>
      <w:r w:rsidR="0099395D" w:rsidRPr="00BF20FA">
        <w:rPr>
          <w:rFonts w:asciiTheme="majorHAnsi" w:hAnsiTheme="majorHAnsi"/>
          <w:color w:val="000000" w:themeColor="text1"/>
          <w:sz w:val="20"/>
          <w:szCs w:val="20"/>
          <w:lang w:val="es-CO"/>
        </w:rPr>
        <w:t>que</w:t>
      </w:r>
      <w:r w:rsidR="00F412C9"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 xml:space="preserve">se </w:t>
      </w:r>
      <w:r w:rsidR="0099395D" w:rsidRPr="00BF20FA">
        <w:rPr>
          <w:rFonts w:asciiTheme="majorHAnsi" w:hAnsiTheme="majorHAnsi"/>
          <w:color w:val="000000" w:themeColor="text1"/>
          <w:sz w:val="20"/>
          <w:szCs w:val="20"/>
          <w:lang w:val="es-CO"/>
        </w:rPr>
        <w:t>pact</w:t>
      </w:r>
      <w:r w:rsidR="003F242B" w:rsidRPr="00BF20FA">
        <w:rPr>
          <w:rFonts w:asciiTheme="majorHAnsi" w:hAnsiTheme="majorHAnsi"/>
          <w:color w:val="000000" w:themeColor="text1"/>
          <w:sz w:val="20"/>
          <w:szCs w:val="20"/>
          <w:lang w:val="es-CO"/>
        </w:rPr>
        <w:t>ó</w:t>
      </w:r>
      <w:r w:rsidR="00732193" w:rsidRPr="00BF20FA">
        <w:rPr>
          <w:rFonts w:asciiTheme="majorHAnsi" w:hAnsiTheme="majorHAnsi"/>
          <w:color w:val="000000" w:themeColor="text1"/>
          <w:sz w:val="20"/>
          <w:szCs w:val="20"/>
          <w:lang w:val="es-CO"/>
        </w:rPr>
        <w:t>: la realización d</w:t>
      </w:r>
      <w:r w:rsidR="006A3D46" w:rsidRPr="00BF20FA">
        <w:rPr>
          <w:rFonts w:asciiTheme="majorHAnsi" w:hAnsiTheme="majorHAnsi"/>
          <w:color w:val="000000" w:themeColor="text1"/>
          <w:sz w:val="20"/>
          <w:szCs w:val="20"/>
          <w:lang w:val="es-CO"/>
        </w:rPr>
        <w:t xml:space="preserve">el proceso de clarificación </w:t>
      </w:r>
      <w:r w:rsidR="00732193" w:rsidRPr="00BF20FA">
        <w:rPr>
          <w:rFonts w:asciiTheme="majorHAnsi" w:hAnsiTheme="majorHAnsi"/>
          <w:color w:val="000000" w:themeColor="text1"/>
          <w:sz w:val="20"/>
          <w:szCs w:val="20"/>
          <w:lang w:val="es-CO"/>
        </w:rPr>
        <w:t>de títulos coloniales en</w:t>
      </w:r>
      <w:r w:rsidR="006A3D46" w:rsidRPr="00BF20FA">
        <w:rPr>
          <w:rFonts w:asciiTheme="majorHAnsi" w:hAnsiTheme="majorHAnsi"/>
          <w:color w:val="000000" w:themeColor="text1"/>
          <w:sz w:val="20"/>
          <w:szCs w:val="20"/>
          <w:lang w:val="es-CO"/>
        </w:rPr>
        <w:t xml:space="preserve"> </w:t>
      </w:r>
      <w:r w:rsidR="00732193" w:rsidRPr="00BF20FA">
        <w:rPr>
          <w:rFonts w:asciiTheme="majorHAnsi" w:hAnsiTheme="majorHAnsi"/>
          <w:color w:val="000000" w:themeColor="text1"/>
          <w:sz w:val="20"/>
          <w:szCs w:val="20"/>
          <w:lang w:val="es-CO"/>
        </w:rPr>
        <w:t>seis</w:t>
      </w:r>
      <w:r w:rsidR="006A3D46" w:rsidRPr="00BF20FA">
        <w:rPr>
          <w:rFonts w:asciiTheme="majorHAnsi" w:hAnsiTheme="majorHAnsi"/>
          <w:color w:val="000000" w:themeColor="text1"/>
          <w:sz w:val="20"/>
          <w:szCs w:val="20"/>
          <w:lang w:val="es-CO"/>
        </w:rPr>
        <w:t xml:space="preserve"> meses</w:t>
      </w:r>
      <w:r w:rsidR="00732193" w:rsidRPr="00BF20FA">
        <w:rPr>
          <w:rFonts w:asciiTheme="majorHAnsi" w:hAnsiTheme="majorHAnsi"/>
          <w:color w:val="000000" w:themeColor="text1"/>
          <w:sz w:val="20"/>
          <w:szCs w:val="20"/>
          <w:lang w:val="es-CO"/>
        </w:rPr>
        <w:t>;</w:t>
      </w:r>
      <w:r w:rsidR="006A3D46" w:rsidRPr="00BF20FA">
        <w:rPr>
          <w:rFonts w:asciiTheme="majorHAnsi" w:hAnsiTheme="majorHAnsi"/>
          <w:color w:val="000000" w:themeColor="text1"/>
          <w:sz w:val="20"/>
          <w:szCs w:val="20"/>
          <w:lang w:val="es-CO"/>
        </w:rPr>
        <w:t xml:space="preserve"> </w:t>
      </w:r>
      <w:r w:rsidR="00732193" w:rsidRPr="00BF20FA">
        <w:rPr>
          <w:rFonts w:asciiTheme="majorHAnsi" w:hAnsiTheme="majorHAnsi"/>
          <w:color w:val="000000" w:themeColor="text1"/>
          <w:sz w:val="20"/>
          <w:szCs w:val="20"/>
          <w:lang w:val="es-CO"/>
        </w:rPr>
        <w:t xml:space="preserve">el </w:t>
      </w:r>
      <w:r w:rsidR="006A3D46" w:rsidRPr="00BF20FA">
        <w:rPr>
          <w:rFonts w:asciiTheme="majorHAnsi" w:hAnsiTheme="majorHAnsi"/>
          <w:color w:val="000000" w:themeColor="text1"/>
          <w:sz w:val="20"/>
          <w:szCs w:val="20"/>
          <w:lang w:val="es-CO"/>
        </w:rPr>
        <w:t>saneamiento del resguardo unido U’wa con asignación presupuestal con un plazo de dos años</w:t>
      </w:r>
      <w:r w:rsidR="00732193" w:rsidRPr="00BF20FA">
        <w:rPr>
          <w:rFonts w:asciiTheme="majorHAnsi" w:hAnsiTheme="majorHAnsi"/>
          <w:color w:val="000000" w:themeColor="text1"/>
          <w:sz w:val="20"/>
          <w:szCs w:val="20"/>
          <w:lang w:val="es-CO"/>
        </w:rPr>
        <w:t xml:space="preserve">; la constitución </w:t>
      </w:r>
      <w:r w:rsidR="006A3D46" w:rsidRPr="00BF20FA">
        <w:rPr>
          <w:rFonts w:asciiTheme="majorHAnsi" w:hAnsiTheme="majorHAnsi"/>
          <w:color w:val="000000" w:themeColor="text1"/>
          <w:sz w:val="20"/>
          <w:szCs w:val="20"/>
          <w:lang w:val="es-CO"/>
        </w:rPr>
        <w:t xml:space="preserve"> </w:t>
      </w:r>
      <w:r w:rsidR="00732193" w:rsidRPr="00BF20FA">
        <w:rPr>
          <w:rFonts w:asciiTheme="majorHAnsi" w:hAnsiTheme="majorHAnsi"/>
          <w:color w:val="000000" w:themeColor="text1"/>
          <w:sz w:val="20"/>
          <w:szCs w:val="20"/>
          <w:lang w:val="es-CO"/>
        </w:rPr>
        <w:t>de los resguardos</w:t>
      </w:r>
      <w:r w:rsidR="006A3D46" w:rsidRPr="00BF20FA">
        <w:rPr>
          <w:rFonts w:asciiTheme="majorHAnsi" w:hAnsiTheme="majorHAnsi"/>
          <w:color w:val="000000" w:themeColor="text1"/>
          <w:sz w:val="20"/>
          <w:szCs w:val="20"/>
          <w:lang w:val="es-CO"/>
        </w:rPr>
        <w:t xml:space="preserve"> Santa Marta</w:t>
      </w:r>
      <w:r w:rsidR="00F66E97"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Kuitu</w:t>
      </w:r>
      <w:r w:rsidR="00F66E97" w:rsidRPr="00BF20FA">
        <w:rPr>
          <w:rFonts w:asciiTheme="majorHAnsi" w:hAnsiTheme="majorHAnsi"/>
          <w:color w:val="000000" w:themeColor="text1"/>
          <w:sz w:val="20"/>
          <w:szCs w:val="20"/>
          <w:lang w:val="es-CO"/>
        </w:rPr>
        <w:t>a)</w:t>
      </w:r>
      <w:r w:rsidR="006A3D46" w:rsidRPr="00BF20FA">
        <w:rPr>
          <w:rFonts w:asciiTheme="majorHAnsi" w:hAnsiTheme="majorHAnsi"/>
          <w:color w:val="000000" w:themeColor="text1"/>
          <w:sz w:val="20"/>
          <w:szCs w:val="20"/>
          <w:lang w:val="es-CO"/>
        </w:rPr>
        <w:t xml:space="preserve"> y </w:t>
      </w:r>
      <w:r w:rsidR="00F66E97" w:rsidRPr="00BF20FA">
        <w:rPr>
          <w:rFonts w:asciiTheme="majorHAnsi" w:hAnsiTheme="majorHAnsi"/>
          <w:color w:val="000000" w:themeColor="text1"/>
          <w:sz w:val="20"/>
          <w:szCs w:val="20"/>
          <w:lang w:val="es-CO"/>
        </w:rPr>
        <w:t>L</w:t>
      </w:r>
      <w:r w:rsidR="006A3D46" w:rsidRPr="00BF20FA">
        <w:rPr>
          <w:rFonts w:asciiTheme="majorHAnsi" w:hAnsiTheme="majorHAnsi"/>
          <w:color w:val="000000" w:themeColor="text1"/>
          <w:sz w:val="20"/>
          <w:szCs w:val="20"/>
          <w:lang w:val="es-CO"/>
        </w:rPr>
        <w:t>as Pedrazas</w:t>
      </w:r>
      <w:r w:rsidR="005C0D29" w:rsidRPr="00BF20FA">
        <w:rPr>
          <w:rFonts w:asciiTheme="majorHAnsi" w:hAnsiTheme="majorHAnsi"/>
          <w:color w:val="000000" w:themeColor="text1"/>
          <w:sz w:val="20"/>
          <w:szCs w:val="20"/>
          <w:lang w:val="es-CO"/>
        </w:rPr>
        <w:t xml:space="preserve"> </w:t>
      </w:r>
      <w:r w:rsidR="00F66E97" w:rsidRPr="00BF20FA">
        <w:rPr>
          <w:rFonts w:asciiTheme="majorHAnsi" w:hAnsiTheme="majorHAnsi"/>
          <w:color w:val="000000" w:themeColor="text1"/>
          <w:sz w:val="20"/>
          <w:szCs w:val="20"/>
          <w:lang w:val="es-CO"/>
        </w:rPr>
        <w:t>(</w:t>
      </w:r>
      <w:r w:rsidR="005C0D29" w:rsidRPr="00BF20FA">
        <w:rPr>
          <w:rFonts w:asciiTheme="majorHAnsi" w:hAnsiTheme="majorHAnsi"/>
          <w:color w:val="000000" w:themeColor="text1"/>
          <w:sz w:val="20"/>
          <w:szCs w:val="20"/>
          <w:lang w:val="es-CO"/>
        </w:rPr>
        <w:t>Besua</w:t>
      </w:r>
      <w:r w:rsidR="00F66E97" w:rsidRPr="00BF20FA">
        <w:rPr>
          <w:rFonts w:asciiTheme="majorHAnsi" w:hAnsiTheme="majorHAnsi"/>
          <w:color w:val="000000" w:themeColor="text1"/>
          <w:sz w:val="20"/>
          <w:szCs w:val="20"/>
          <w:lang w:val="es-CO"/>
        </w:rPr>
        <w:t>)</w:t>
      </w:r>
      <w:r w:rsidR="00DA76F4" w:rsidRPr="00BF20FA">
        <w:rPr>
          <w:rFonts w:asciiTheme="majorHAnsi" w:hAnsiTheme="majorHAnsi"/>
          <w:color w:val="000000" w:themeColor="text1"/>
          <w:sz w:val="20"/>
          <w:szCs w:val="20"/>
          <w:lang w:val="es-CO"/>
        </w:rPr>
        <w:t xml:space="preserve">; </w:t>
      </w:r>
      <w:r w:rsidR="001C0A94" w:rsidRPr="00BF20FA">
        <w:rPr>
          <w:rFonts w:asciiTheme="majorHAnsi" w:hAnsiTheme="majorHAnsi"/>
          <w:color w:val="000000" w:themeColor="text1"/>
          <w:sz w:val="20"/>
          <w:szCs w:val="20"/>
          <w:lang w:val="es-CO"/>
        </w:rPr>
        <w:t>la firma de un convenio de colaboración entre INCODER y Aso U´wa</w:t>
      </w:r>
      <w:r w:rsidR="001C0A94" w:rsidRPr="00BF20FA">
        <w:rPr>
          <w:rFonts w:asciiTheme="majorHAnsi" w:hAnsiTheme="majorHAnsi"/>
          <w:color w:val="000000" w:themeColor="text1"/>
          <w:sz w:val="20"/>
          <w:szCs w:val="20"/>
          <w:lang w:val="es-ES"/>
        </w:rPr>
        <w:t>;</w:t>
      </w:r>
      <w:r w:rsidR="005D772C" w:rsidRPr="00BF20FA">
        <w:rPr>
          <w:rFonts w:asciiTheme="majorHAnsi" w:hAnsiTheme="majorHAnsi"/>
          <w:color w:val="000000" w:themeColor="text1"/>
          <w:sz w:val="20"/>
          <w:szCs w:val="20"/>
          <w:lang w:val="es-ES"/>
        </w:rPr>
        <w:t xml:space="preserve"> entre otros compromisos</w:t>
      </w:r>
      <w:r w:rsidR="006A3D46" w:rsidRPr="00BF20FA">
        <w:rPr>
          <w:rStyle w:val="FootnoteReference"/>
          <w:rFonts w:asciiTheme="majorHAnsi" w:hAnsiTheme="majorHAnsi"/>
          <w:color w:val="000000" w:themeColor="text1"/>
          <w:sz w:val="20"/>
          <w:szCs w:val="20"/>
          <w:lang w:val="es-CO"/>
        </w:rPr>
        <w:footnoteReference w:id="31"/>
      </w:r>
      <w:r w:rsidR="006A3D46" w:rsidRPr="00BF20FA">
        <w:rPr>
          <w:rFonts w:asciiTheme="majorHAnsi" w:hAnsiTheme="majorHAnsi"/>
          <w:color w:val="000000" w:themeColor="text1"/>
          <w:sz w:val="20"/>
          <w:szCs w:val="20"/>
          <w:lang w:val="es-CO"/>
        </w:rPr>
        <w:t>.</w:t>
      </w:r>
      <w:r w:rsidR="00F412C9" w:rsidRPr="00BF20FA">
        <w:rPr>
          <w:rFonts w:asciiTheme="majorHAnsi" w:hAnsiTheme="majorHAnsi"/>
          <w:color w:val="000000" w:themeColor="text1"/>
          <w:sz w:val="20"/>
          <w:szCs w:val="20"/>
          <w:lang w:val="es-CO"/>
        </w:rPr>
        <w:t xml:space="preserve">  Toda vez que los</w:t>
      </w:r>
      <w:r w:rsidR="00F412C9" w:rsidRPr="00BF20FA">
        <w:rPr>
          <w:rFonts w:asciiTheme="majorHAnsi" w:hAnsiTheme="majorHAnsi"/>
          <w:color w:val="000000" w:themeColor="text1"/>
          <w:sz w:val="20"/>
          <w:szCs w:val="20"/>
          <w:lang w:val="es-ES"/>
        </w:rPr>
        <w:t xml:space="preserve"> acuerdos de mayo de 2014 abarcaron otros temas de conflicto, la Comisión se </w:t>
      </w:r>
      <w:r w:rsidRPr="00BF20FA">
        <w:rPr>
          <w:rFonts w:asciiTheme="majorHAnsi" w:hAnsiTheme="majorHAnsi"/>
          <w:color w:val="000000" w:themeColor="text1"/>
          <w:sz w:val="20"/>
          <w:szCs w:val="20"/>
          <w:lang w:val="es-ES"/>
        </w:rPr>
        <w:t xml:space="preserve">volverá a </w:t>
      </w:r>
      <w:r w:rsidR="00B468B8" w:rsidRPr="00BF20FA">
        <w:rPr>
          <w:rFonts w:asciiTheme="majorHAnsi" w:hAnsiTheme="majorHAnsi"/>
          <w:color w:val="000000" w:themeColor="text1"/>
          <w:sz w:val="20"/>
          <w:szCs w:val="20"/>
          <w:lang w:val="es-ES"/>
        </w:rPr>
        <w:t>referir</w:t>
      </w:r>
      <w:r w:rsidR="00F412C9" w:rsidRPr="00BF20FA">
        <w:rPr>
          <w:rFonts w:asciiTheme="majorHAnsi" w:hAnsiTheme="majorHAnsi"/>
          <w:color w:val="000000" w:themeColor="text1"/>
          <w:sz w:val="20"/>
          <w:szCs w:val="20"/>
          <w:lang w:val="es-ES"/>
        </w:rPr>
        <w:t xml:space="preserve"> a ellos más adelante</w:t>
      </w:r>
      <w:r w:rsidR="00D26706" w:rsidRPr="00BF20FA">
        <w:rPr>
          <w:rFonts w:asciiTheme="majorHAnsi" w:hAnsiTheme="majorHAnsi"/>
          <w:color w:val="000000" w:themeColor="text1"/>
          <w:sz w:val="20"/>
          <w:szCs w:val="20"/>
          <w:lang w:val="es-ES"/>
        </w:rPr>
        <w:t>, en diferentes apartados</w:t>
      </w:r>
      <w:r w:rsidR="00F412C9" w:rsidRPr="00BF20FA">
        <w:rPr>
          <w:rFonts w:asciiTheme="majorHAnsi" w:hAnsiTheme="majorHAnsi"/>
          <w:color w:val="000000" w:themeColor="text1"/>
          <w:sz w:val="20"/>
          <w:szCs w:val="20"/>
          <w:lang w:val="es-ES"/>
        </w:rPr>
        <w:t xml:space="preserve">. </w:t>
      </w:r>
    </w:p>
    <w:p w14:paraId="5BC01479" w14:textId="77777777" w:rsidR="00D26706" w:rsidRPr="00BF20FA" w:rsidRDefault="00D26706" w:rsidP="00D2670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72DE4B7B" w14:textId="77777777" w:rsidR="00D26706" w:rsidRPr="00BF20FA" w:rsidRDefault="00D2670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contenido de los acuerdos de mayo de 2014 es el siguiente:</w:t>
      </w:r>
    </w:p>
    <w:p w14:paraId="5502B29B" w14:textId="77777777" w:rsidR="00D26706" w:rsidRPr="00BF20FA" w:rsidRDefault="00D26706" w:rsidP="00D26706">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638AC723" w14:textId="38C8934F" w:rsidR="00D26706" w:rsidRPr="00BF20FA" w:rsidRDefault="00D26706"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Se inicia el proceso de clarificación para el reconocimiento de los títulos coloniales por parte del Gobierno y la Nación U´wa con el respectivo plano o mapa en un plazo de dos meses y con ello demuestran la buena fe en los </w:t>
      </w:r>
      <w:r w:rsidRPr="00BF20FA">
        <w:rPr>
          <w:rFonts w:asciiTheme="majorHAnsi" w:hAnsiTheme="majorHAnsi"/>
          <w:color w:val="000000" w:themeColor="text1"/>
          <w:sz w:val="18"/>
          <w:szCs w:val="18"/>
          <w:lang w:val="es-CO"/>
        </w:rPr>
        <w:lastRenderedPageBreak/>
        <w:t>procesos de diálogo. Seis meses para realizar el proceso de clarificación  de los títulos coloniales de acuer</w:t>
      </w:r>
      <w:r w:rsidR="002C0CB2" w:rsidRPr="00BF20FA">
        <w:rPr>
          <w:rFonts w:asciiTheme="majorHAnsi" w:hAnsiTheme="majorHAnsi"/>
          <w:color w:val="000000" w:themeColor="text1"/>
          <w:sz w:val="18"/>
          <w:szCs w:val="18"/>
          <w:lang w:val="es-CO"/>
        </w:rPr>
        <w:t>d</w:t>
      </w:r>
      <w:r w:rsidRPr="00BF20FA">
        <w:rPr>
          <w:rFonts w:asciiTheme="majorHAnsi" w:hAnsiTheme="majorHAnsi"/>
          <w:color w:val="000000" w:themeColor="text1"/>
          <w:sz w:val="18"/>
          <w:szCs w:val="18"/>
          <w:lang w:val="es-CO"/>
        </w:rPr>
        <w:t>o a las normas vigentes. Los U´was nos comprometemos a conformar el equipo técnico y el Gobierno debe garantizar el pago a los profe</w:t>
      </w:r>
      <w:r w:rsidR="002C0CB2" w:rsidRPr="00BF20FA">
        <w:rPr>
          <w:rFonts w:asciiTheme="majorHAnsi" w:hAnsiTheme="majorHAnsi"/>
          <w:color w:val="000000" w:themeColor="text1"/>
          <w:sz w:val="18"/>
          <w:szCs w:val="18"/>
          <w:lang w:val="es-CO"/>
        </w:rPr>
        <w:t>si</w:t>
      </w:r>
      <w:r w:rsidRPr="00BF20FA">
        <w:rPr>
          <w:rFonts w:asciiTheme="majorHAnsi" w:hAnsiTheme="majorHAnsi"/>
          <w:color w:val="000000" w:themeColor="text1"/>
          <w:sz w:val="18"/>
          <w:szCs w:val="18"/>
          <w:lang w:val="es-CO"/>
        </w:rPr>
        <w:t xml:space="preserve">onales indígenas. </w:t>
      </w:r>
    </w:p>
    <w:p w14:paraId="5E0679F5" w14:textId="77777777" w:rsidR="00D26706" w:rsidRPr="00BF20FA" w:rsidRDefault="00D26706"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39818997" w14:textId="7513711A" w:rsidR="00D26706" w:rsidRPr="00BF20FA" w:rsidRDefault="00D26706"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Saneamiento del resguardo unido U´wa con asignación </w:t>
      </w:r>
      <w:r w:rsidR="004F03BE" w:rsidRPr="00BF20FA">
        <w:rPr>
          <w:rFonts w:asciiTheme="majorHAnsi" w:hAnsiTheme="majorHAnsi"/>
          <w:color w:val="000000" w:themeColor="text1"/>
          <w:sz w:val="18"/>
          <w:szCs w:val="18"/>
          <w:lang w:val="es-CO"/>
        </w:rPr>
        <w:t>presupuestal</w:t>
      </w:r>
      <w:r w:rsidRPr="00BF20FA">
        <w:rPr>
          <w:rFonts w:asciiTheme="majorHAnsi" w:hAnsiTheme="majorHAnsi"/>
          <w:color w:val="000000" w:themeColor="text1"/>
          <w:sz w:val="18"/>
          <w:szCs w:val="18"/>
          <w:lang w:val="es-CO"/>
        </w:rPr>
        <w:t xml:space="preserve"> con un plazo de dos años a partir de hoy. De igual manera, constituir el </w:t>
      </w:r>
      <w:r w:rsidR="004F03BE" w:rsidRPr="00BF20FA">
        <w:rPr>
          <w:rFonts w:asciiTheme="majorHAnsi" w:hAnsiTheme="majorHAnsi"/>
          <w:color w:val="000000" w:themeColor="text1"/>
          <w:sz w:val="18"/>
          <w:szCs w:val="18"/>
          <w:lang w:val="es-CO"/>
        </w:rPr>
        <w:t>resguardo</w:t>
      </w:r>
      <w:r w:rsidRPr="00BF20FA">
        <w:rPr>
          <w:rFonts w:asciiTheme="majorHAnsi" w:hAnsiTheme="majorHAnsi"/>
          <w:color w:val="000000" w:themeColor="text1"/>
          <w:sz w:val="18"/>
          <w:szCs w:val="18"/>
          <w:lang w:val="es-CO"/>
        </w:rPr>
        <w:t xml:space="preserve"> de Santa Marta y los Pedrazas en el presente año para lo cual deberá crearse un equipo de trabajo entre el Incoder y la Nación U´wa y garantizarse los recursos. Para garantizar el proceso de saneamiento y la creación de los resguardos, se deberá crear una mesa de trabajo para realiar el diagnóstico del avance y asignar presupuesto para tal fin. </w:t>
      </w:r>
    </w:p>
    <w:p w14:paraId="39883AAD" w14:textId="77777777" w:rsidR="005D772C" w:rsidRPr="00BF20FA" w:rsidRDefault="005D772C"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3A3FCA00" w14:textId="05E6F008" w:rsidR="00D80040" w:rsidRPr="00BF20FA" w:rsidRDefault="005D772C"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Permitir la reparación del oleoducto Caño Limón Coveñas en el punto La China, a partir de la firma de esta acta con proyección de enterrarlo en ese punto a la profun</w:t>
      </w:r>
      <w:r w:rsidR="00E72921" w:rsidRPr="00BF20FA">
        <w:rPr>
          <w:rFonts w:asciiTheme="majorHAnsi" w:hAnsiTheme="majorHAnsi"/>
          <w:color w:val="000000" w:themeColor="text1"/>
          <w:sz w:val="18"/>
          <w:szCs w:val="18"/>
          <w:lang w:val="es-CO"/>
        </w:rPr>
        <w:t xml:space="preserve">didad segura requerida técnicamente. Se suspende por un mes la operación en el proyecto Magallanes, mientras opera una comisión de verificación conformada por los organismos de control y representantes de la </w:t>
      </w:r>
      <w:r w:rsidR="004F03BE" w:rsidRPr="00BF20FA">
        <w:rPr>
          <w:rFonts w:asciiTheme="majorHAnsi" w:hAnsiTheme="majorHAnsi"/>
          <w:color w:val="000000" w:themeColor="text1"/>
          <w:sz w:val="18"/>
          <w:szCs w:val="18"/>
          <w:lang w:val="es-CO"/>
        </w:rPr>
        <w:t>comunidad</w:t>
      </w:r>
      <w:r w:rsidR="00E72921" w:rsidRPr="00BF20FA">
        <w:rPr>
          <w:rFonts w:asciiTheme="majorHAnsi" w:hAnsiTheme="majorHAnsi"/>
          <w:color w:val="000000" w:themeColor="text1"/>
          <w:sz w:val="18"/>
          <w:szCs w:val="18"/>
          <w:lang w:val="es-CO"/>
        </w:rPr>
        <w:t xml:space="preserve"> indígena para realizar el estudio</w:t>
      </w:r>
      <w:r w:rsidR="00D80040" w:rsidRPr="00BF20FA">
        <w:rPr>
          <w:rFonts w:asciiTheme="majorHAnsi" w:hAnsiTheme="majorHAnsi"/>
          <w:color w:val="000000" w:themeColor="text1"/>
          <w:sz w:val="18"/>
          <w:szCs w:val="18"/>
          <w:lang w:val="es-CO"/>
        </w:rPr>
        <w:t xml:space="preserve"> de impacto ambiental. La próxima reunión para conocer los resultados de la comisión será el próximo 1 de junio de 2014. </w:t>
      </w:r>
    </w:p>
    <w:p w14:paraId="3C3542F5"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62568C7D"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Se realizará un estudio técnico de impacto ambiental y social a cargo de la entidad que la Nación U´wa determine en acompañamiento del Ministerio Público y de un organismo internacional. Los costos serán asumidos por el Gobierno Nacional. </w:t>
      </w:r>
    </w:p>
    <w:p w14:paraId="2D588F4C"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397E2210"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El resarcimiento social, cultural, ambiental y derechos humanos estarán enmarcados en el plan de salvaguardia de la Nación U´wa. </w:t>
      </w:r>
    </w:p>
    <w:p w14:paraId="36ED9648"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53AB1329" w14:textId="30F6BD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Para el caso Gibraltar, la Nación U´wa se </w:t>
      </w:r>
      <w:r w:rsidR="004F03BE" w:rsidRPr="00BF20FA">
        <w:rPr>
          <w:rFonts w:asciiTheme="majorHAnsi" w:hAnsiTheme="majorHAnsi"/>
          <w:color w:val="000000" w:themeColor="text1"/>
          <w:sz w:val="18"/>
          <w:szCs w:val="18"/>
          <w:lang w:val="es-CO"/>
        </w:rPr>
        <w:t>mantiene</w:t>
      </w:r>
      <w:r w:rsidRPr="00BF20FA">
        <w:rPr>
          <w:rFonts w:asciiTheme="majorHAnsi" w:hAnsiTheme="majorHAnsi"/>
          <w:color w:val="000000" w:themeColor="text1"/>
          <w:sz w:val="18"/>
          <w:szCs w:val="18"/>
          <w:lang w:val="es-CO"/>
        </w:rPr>
        <w:t xml:space="preserve"> en la </w:t>
      </w:r>
      <w:r w:rsidR="004F03BE" w:rsidRPr="00BF20FA">
        <w:rPr>
          <w:rFonts w:asciiTheme="majorHAnsi" w:hAnsiTheme="majorHAnsi"/>
          <w:color w:val="000000" w:themeColor="text1"/>
          <w:sz w:val="18"/>
          <w:szCs w:val="18"/>
          <w:lang w:val="es-CO"/>
        </w:rPr>
        <w:t>posición</w:t>
      </w:r>
      <w:r w:rsidRPr="00BF20FA">
        <w:rPr>
          <w:rFonts w:asciiTheme="majorHAnsi" w:hAnsiTheme="majorHAnsi"/>
          <w:color w:val="000000" w:themeColor="text1"/>
          <w:sz w:val="18"/>
          <w:szCs w:val="18"/>
          <w:lang w:val="es-CO"/>
        </w:rPr>
        <w:t xml:space="preserve"> de no renunciar al derecho al territorio, de acuerdo a los títulos coloniales.</w:t>
      </w:r>
    </w:p>
    <w:p w14:paraId="650ADEEA"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6D169ABC"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En relación con parques, se adelantarán las mesas de trabajo en las fechas propuestas y conforme el plan de trabajo presentado en el día de hoy. La Nación U´wa deja constancia que se ratifica la posición de no coadministración. </w:t>
      </w:r>
    </w:p>
    <w:p w14:paraId="173B1570" w14:textId="77777777" w:rsidR="00D80040"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50B215F8" w14:textId="77777777" w:rsidR="005D772C" w:rsidRPr="00BF20FA" w:rsidRDefault="00D8004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Los U´wa solicitan a los órganos de control </w:t>
      </w:r>
      <w:r w:rsidR="007737AB" w:rsidRPr="00BF20FA">
        <w:rPr>
          <w:rFonts w:asciiTheme="majorHAnsi" w:hAnsiTheme="majorHAnsi"/>
          <w:color w:val="000000" w:themeColor="text1"/>
          <w:sz w:val="18"/>
          <w:szCs w:val="18"/>
          <w:lang w:val="es-CO"/>
        </w:rPr>
        <w:t xml:space="preserve">nacional hacer seguimiento a los acuerdos suscritos en la presente acta. </w:t>
      </w:r>
      <w:r w:rsidRPr="00BF20FA">
        <w:rPr>
          <w:rFonts w:asciiTheme="majorHAnsi" w:hAnsiTheme="majorHAnsi"/>
          <w:color w:val="000000" w:themeColor="text1"/>
          <w:sz w:val="18"/>
          <w:szCs w:val="18"/>
          <w:lang w:val="es-CO"/>
        </w:rPr>
        <w:t xml:space="preserve"> </w:t>
      </w:r>
    </w:p>
    <w:p w14:paraId="5B01B258" w14:textId="77777777" w:rsidR="00E91260" w:rsidRPr="00BF20FA" w:rsidRDefault="00E9126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p>
    <w:p w14:paraId="6B23BF58" w14:textId="77777777" w:rsidR="00E91260" w:rsidRPr="00BF20FA" w:rsidRDefault="00E91260"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Declaramos que los documentos audiovisuales y las relatorías hechas el día de hoy forman parte integral de este acuerdo.</w:t>
      </w:r>
      <w:r w:rsidRPr="00BF20FA">
        <w:rPr>
          <w:rStyle w:val="FootnoteReference"/>
          <w:rFonts w:asciiTheme="majorHAnsi" w:hAnsiTheme="majorHAnsi"/>
          <w:color w:val="000000" w:themeColor="text1"/>
          <w:sz w:val="18"/>
          <w:szCs w:val="18"/>
          <w:lang w:val="es-CO"/>
        </w:rPr>
        <w:footnoteReference w:id="32"/>
      </w:r>
      <w:r w:rsidRPr="00BF20FA">
        <w:rPr>
          <w:rFonts w:asciiTheme="majorHAnsi" w:hAnsiTheme="majorHAnsi"/>
          <w:color w:val="000000" w:themeColor="text1"/>
          <w:sz w:val="18"/>
          <w:szCs w:val="18"/>
          <w:lang w:val="es-CO"/>
        </w:rPr>
        <w:t xml:space="preserve"> </w:t>
      </w:r>
    </w:p>
    <w:p w14:paraId="557089F4" w14:textId="77777777" w:rsidR="00D00CC2" w:rsidRPr="00BF20FA" w:rsidRDefault="00D00CC2" w:rsidP="00331F0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59694090" w14:textId="77777777" w:rsidR="003E0604" w:rsidRPr="00BF20FA" w:rsidRDefault="00DA76F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31 de septiembre de 2015 </w:t>
      </w:r>
      <w:r w:rsidR="00D0193E" w:rsidRPr="00BF20FA">
        <w:rPr>
          <w:rFonts w:asciiTheme="majorHAnsi" w:hAnsiTheme="majorHAnsi"/>
          <w:color w:val="000000" w:themeColor="text1"/>
          <w:sz w:val="20"/>
          <w:szCs w:val="20"/>
          <w:lang w:val="es-CO"/>
        </w:rPr>
        <w:t>el INCODER expidió</w:t>
      </w:r>
      <w:r w:rsidRPr="00BF20FA">
        <w:rPr>
          <w:rFonts w:asciiTheme="majorHAnsi" w:hAnsiTheme="majorHAnsi"/>
          <w:color w:val="000000" w:themeColor="text1"/>
          <w:sz w:val="20"/>
          <w:szCs w:val="20"/>
          <w:lang w:val="es-CO"/>
        </w:rPr>
        <w:t xml:space="preserve"> el Acuerdo No</w:t>
      </w:r>
      <w:r w:rsidR="007F2D0F" w:rsidRPr="00BF20FA">
        <w:rPr>
          <w:rFonts w:asciiTheme="majorHAnsi" w:hAnsiTheme="majorHAnsi"/>
          <w:color w:val="000000" w:themeColor="text1"/>
          <w:sz w:val="20"/>
          <w:szCs w:val="20"/>
          <w:lang w:val="es-CO"/>
        </w:rPr>
        <w:t>.</w:t>
      </w:r>
      <w:r w:rsidR="007F2C4B" w:rsidRPr="00BF20FA">
        <w:rPr>
          <w:rFonts w:asciiTheme="majorHAnsi" w:hAnsiTheme="majorHAnsi"/>
          <w:color w:val="000000" w:themeColor="text1"/>
          <w:sz w:val="20"/>
          <w:szCs w:val="20"/>
          <w:lang w:val="es-CO"/>
        </w:rPr>
        <w:t xml:space="preserve"> 337 </w:t>
      </w:r>
      <w:r w:rsidRPr="00BF20FA">
        <w:rPr>
          <w:rFonts w:asciiTheme="majorHAnsi" w:hAnsiTheme="majorHAnsi"/>
          <w:color w:val="000000" w:themeColor="text1"/>
          <w:sz w:val="20"/>
          <w:szCs w:val="20"/>
          <w:lang w:val="es-CO"/>
        </w:rPr>
        <w:t xml:space="preserve"> </w:t>
      </w:r>
      <w:r w:rsidR="005C0D29"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por el cual se constituyó el Resguardo Indígena Kuitua, de la etnia Uwa, con un globo de terreno baldío, localizado en jurisdicción del municipio de Toledo, departamento de Norte de Santander</w:t>
      </w:r>
      <w:r w:rsidR="007F2D0F" w:rsidRPr="00BF20FA">
        <w:rPr>
          <w:rFonts w:asciiTheme="majorHAnsi" w:hAnsiTheme="majorHAnsi"/>
          <w:color w:val="000000" w:themeColor="text1"/>
          <w:sz w:val="20"/>
          <w:szCs w:val="20"/>
          <w:lang w:val="es-CO"/>
        </w:rPr>
        <w:t xml:space="preserve"> (…) </w:t>
      </w:r>
      <w:r w:rsidR="00D0193E" w:rsidRPr="00BF20FA">
        <w:rPr>
          <w:rFonts w:asciiTheme="majorHAnsi" w:hAnsiTheme="majorHAnsi"/>
          <w:color w:val="000000" w:themeColor="text1"/>
          <w:sz w:val="20"/>
          <w:szCs w:val="20"/>
          <w:lang w:val="es-CO"/>
        </w:rPr>
        <w:t xml:space="preserve">con una </w:t>
      </w:r>
      <w:r w:rsidR="007F2D0F" w:rsidRPr="00BF20FA">
        <w:rPr>
          <w:rFonts w:asciiTheme="majorHAnsi" w:hAnsiTheme="majorHAnsi"/>
          <w:color w:val="000000" w:themeColor="text1"/>
          <w:sz w:val="20"/>
          <w:szCs w:val="20"/>
          <w:lang w:val="es-CO"/>
        </w:rPr>
        <w:t>área</w:t>
      </w:r>
      <w:r w:rsidR="00D0193E" w:rsidRPr="00BF20FA">
        <w:rPr>
          <w:rFonts w:asciiTheme="majorHAnsi" w:hAnsiTheme="majorHAnsi"/>
          <w:color w:val="000000" w:themeColor="text1"/>
          <w:sz w:val="20"/>
          <w:szCs w:val="20"/>
          <w:lang w:val="es-CO"/>
        </w:rPr>
        <w:t xml:space="preserve"> de</w:t>
      </w:r>
      <w:r w:rsidR="007F2D0F" w:rsidRPr="00BF20FA">
        <w:rPr>
          <w:rFonts w:asciiTheme="majorHAnsi" w:hAnsiTheme="majorHAnsi"/>
          <w:color w:val="000000" w:themeColor="text1"/>
          <w:sz w:val="20"/>
          <w:szCs w:val="20"/>
          <w:lang w:val="es-CO"/>
        </w:rPr>
        <w:t xml:space="preserve"> 556 ha 4093 m2’’</w:t>
      </w:r>
      <w:r w:rsidR="00D0193E" w:rsidRPr="00BF20FA">
        <w:rPr>
          <w:rStyle w:val="FootnoteReference"/>
          <w:rFonts w:asciiTheme="majorHAnsi" w:hAnsiTheme="majorHAnsi"/>
          <w:color w:val="000000" w:themeColor="text1"/>
          <w:sz w:val="20"/>
          <w:szCs w:val="20"/>
          <w:lang w:val="es-CO"/>
        </w:rPr>
        <w:footnoteReference w:id="33"/>
      </w:r>
      <w:r w:rsidR="009B5A2F" w:rsidRPr="00BF20FA">
        <w:rPr>
          <w:rFonts w:asciiTheme="majorHAnsi" w:hAnsiTheme="majorHAnsi"/>
          <w:color w:val="000000" w:themeColor="text1"/>
          <w:sz w:val="20"/>
          <w:szCs w:val="20"/>
          <w:lang w:val="es-CO"/>
        </w:rPr>
        <w:t>.</w:t>
      </w:r>
    </w:p>
    <w:p w14:paraId="35DEB5DF" w14:textId="77777777" w:rsidR="001C0A94" w:rsidRPr="00BF20FA" w:rsidRDefault="001C0A94" w:rsidP="001C0A9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3BF3F285" w14:textId="42583284" w:rsidR="001C0A94" w:rsidRDefault="001C0A9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Estado afirmó que la última reunión de diálogo </w:t>
      </w:r>
      <w:r w:rsidR="00A72A5B" w:rsidRPr="00BF20FA">
        <w:rPr>
          <w:rFonts w:asciiTheme="majorHAnsi" w:hAnsiTheme="majorHAnsi"/>
          <w:color w:val="000000" w:themeColor="text1"/>
          <w:sz w:val="20"/>
          <w:szCs w:val="20"/>
          <w:lang w:val="es-CO"/>
        </w:rPr>
        <w:t>de seguimiento a la firma de</w:t>
      </w:r>
      <w:r w:rsidR="00E91260" w:rsidRPr="00BF20FA">
        <w:rPr>
          <w:rFonts w:asciiTheme="majorHAnsi" w:hAnsiTheme="majorHAnsi"/>
          <w:color w:val="000000" w:themeColor="text1"/>
          <w:sz w:val="20"/>
          <w:szCs w:val="20"/>
          <w:lang w:val="es-CO"/>
        </w:rPr>
        <w:t xml:space="preserve"> </w:t>
      </w:r>
      <w:r w:rsidR="00A72A5B" w:rsidRPr="00BF20FA">
        <w:rPr>
          <w:rFonts w:asciiTheme="majorHAnsi" w:hAnsiTheme="majorHAnsi"/>
          <w:color w:val="000000" w:themeColor="text1"/>
          <w:sz w:val="20"/>
          <w:szCs w:val="20"/>
          <w:lang w:val="es-CO"/>
        </w:rPr>
        <w:t>l</w:t>
      </w:r>
      <w:r w:rsidR="00E91260" w:rsidRPr="00BF20FA">
        <w:rPr>
          <w:rFonts w:asciiTheme="majorHAnsi" w:hAnsiTheme="majorHAnsi"/>
          <w:color w:val="000000" w:themeColor="text1"/>
          <w:sz w:val="20"/>
          <w:szCs w:val="20"/>
          <w:lang w:val="es-CO"/>
        </w:rPr>
        <w:t>os</w:t>
      </w:r>
      <w:r w:rsidR="00A72A5B" w:rsidRPr="00BF20FA">
        <w:rPr>
          <w:rFonts w:asciiTheme="majorHAnsi" w:hAnsiTheme="majorHAnsi"/>
          <w:color w:val="000000" w:themeColor="text1"/>
          <w:sz w:val="20"/>
          <w:szCs w:val="20"/>
          <w:lang w:val="es-CO"/>
        </w:rPr>
        <w:t xml:space="preserve"> acuerdo</w:t>
      </w:r>
      <w:r w:rsidR="00E91260" w:rsidRPr="00BF20FA">
        <w:rPr>
          <w:rFonts w:asciiTheme="majorHAnsi" w:hAnsiTheme="majorHAnsi"/>
          <w:color w:val="000000" w:themeColor="text1"/>
          <w:sz w:val="20"/>
          <w:szCs w:val="20"/>
          <w:lang w:val="es-CO"/>
        </w:rPr>
        <w:t>s</w:t>
      </w:r>
      <w:r w:rsidR="00A72A5B"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se llevó a cabo el 5 de diciembre de 2017</w:t>
      </w:r>
      <w:r w:rsidRPr="00BF20FA">
        <w:rPr>
          <w:rStyle w:val="FootnoteReference"/>
          <w:rFonts w:asciiTheme="majorHAnsi" w:hAnsiTheme="majorHAnsi"/>
          <w:color w:val="000000" w:themeColor="text1"/>
          <w:sz w:val="20"/>
          <w:szCs w:val="20"/>
          <w:lang w:val="es-CO"/>
        </w:rPr>
        <w:footnoteReference w:id="34"/>
      </w:r>
      <w:r w:rsidRPr="00BF20FA">
        <w:rPr>
          <w:rFonts w:asciiTheme="majorHAnsi" w:hAnsiTheme="majorHAnsi"/>
          <w:color w:val="000000" w:themeColor="text1"/>
          <w:sz w:val="20"/>
          <w:szCs w:val="20"/>
          <w:lang w:val="es-CO"/>
        </w:rPr>
        <w:t>.</w:t>
      </w:r>
      <w:r w:rsidR="008524BF" w:rsidRPr="00BF20FA">
        <w:rPr>
          <w:rFonts w:asciiTheme="majorHAnsi" w:hAnsiTheme="majorHAnsi"/>
          <w:color w:val="000000" w:themeColor="text1"/>
          <w:sz w:val="20"/>
          <w:szCs w:val="20"/>
          <w:lang w:val="es-CO"/>
        </w:rPr>
        <w:t xml:space="preserve"> </w:t>
      </w:r>
      <w:r w:rsidR="002D72A7" w:rsidRPr="00BF20FA">
        <w:rPr>
          <w:rFonts w:asciiTheme="majorHAnsi" w:hAnsiTheme="majorHAnsi"/>
          <w:color w:val="000000" w:themeColor="text1"/>
          <w:sz w:val="20"/>
          <w:szCs w:val="20"/>
          <w:lang w:val="es-CO"/>
        </w:rPr>
        <w:t>Por su parte, l</w:t>
      </w:r>
      <w:r w:rsidR="008524BF" w:rsidRPr="00BF20FA">
        <w:rPr>
          <w:rFonts w:asciiTheme="majorHAnsi" w:hAnsiTheme="majorHAnsi"/>
          <w:color w:val="000000" w:themeColor="text1"/>
          <w:sz w:val="20"/>
          <w:szCs w:val="20"/>
          <w:lang w:val="es-CO"/>
        </w:rPr>
        <w:t>a</w:t>
      </w:r>
      <w:r w:rsidR="002D72A7" w:rsidRPr="00BF20FA">
        <w:rPr>
          <w:rFonts w:asciiTheme="majorHAnsi" w:hAnsiTheme="majorHAnsi"/>
          <w:color w:val="000000" w:themeColor="text1"/>
          <w:sz w:val="20"/>
          <w:szCs w:val="20"/>
          <w:lang w:val="es-CO"/>
        </w:rPr>
        <w:t xml:space="preserve"> parte peticionaria refirió</w:t>
      </w:r>
      <w:r w:rsidR="008524BF" w:rsidRPr="00BF20FA">
        <w:rPr>
          <w:rFonts w:asciiTheme="majorHAnsi" w:hAnsiTheme="majorHAnsi"/>
          <w:color w:val="000000" w:themeColor="text1"/>
          <w:sz w:val="20"/>
          <w:szCs w:val="20"/>
          <w:lang w:val="es-CO"/>
        </w:rPr>
        <w:t xml:space="preserve"> que, a la fecha, no se ha cumplido con ninguno de esos acuerdos</w:t>
      </w:r>
      <w:r w:rsidR="002D72A7" w:rsidRPr="00BF20FA">
        <w:rPr>
          <w:rStyle w:val="FootnoteReference"/>
          <w:rFonts w:asciiTheme="majorHAnsi" w:hAnsiTheme="majorHAnsi"/>
          <w:color w:val="000000" w:themeColor="text1"/>
          <w:sz w:val="20"/>
          <w:szCs w:val="20"/>
          <w:lang w:val="es-CO"/>
        </w:rPr>
        <w:footnoteReference w:id="35"/>
      </w:r>
      <w:r w:rsidR="008524BF" w:rsidRPr="00BF20FA">
        <w:rPr>
          <w:rFonts w:asciiTheme="majorHAnsi" w:hAnsiTheme="majorHAnsi"/>
          <w:color w:val="000000" w:themeColor="text1"/>
          <w:sz w:val="20"/>
          <w:szCs w:val="20"/>
          <w:lang w:val="es-CO"/>
        </w:rPr>
        <w:t xml:space="preserve">. </w:t>
      </w:r>
    </w:p>
    <w:p w14:paraId="263FEFB4" w14:textId="77777777" w:rsidR="005D664B" w:rsidRPr="005D664B" w:rsidRDefault="005D664B" w:rsidP="005D664B">
      <w:pPr>
        <w:pStyle w:val="ListParagraph"/>
        <w:rPr>
          <w:rFonts w:asciiTheme="majorHAnsi" w:hAnsiTheme="majorHAnsi"/>
          <w:color w:val="000000" w:themeColor="text1"/>
          <w:sz w:val="20"/>
          <w:szCs w:val="20"/>
          <w:lang w:val="es-CO"/>
        </w:rPr>
      </w:pPr>
    </w:p>
    <w:p w14:paraId="0D6E5F40" w14:textId="77777777" w:rsidR="006A3D46" w:rsidRPr="00BF20FA" w:rsidRDefault="003D2664"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17" w:name="_Toc17221561"/>
      <w:r w:rsidRPr="00BF20FA">
        <w:rPr>
          <w:rFonts w:asciiTheme="majorHAnsi" w:hAnsiTheme="majorHAnsi"/>
          <w:sz w:val="20"/>
          <w:szCs w:val="20"/>
          <w:lang w:val="es-ES_tradnl"/>
        </w:rPr>
        <w:t>Bloque exploratorio Samoré</w:t>
      </w:r>
      <w:bookmarkEnd w:id="17"/>
    </w:p>
    <w:p w14:paraId="5E48D48B" w14:textId="77777777" w:rsidR="006A3D46" w:rsidRPr="00BF20FA" w:rsidRDefault="006A3D46" w:rsidP="006A3D4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990"/>
        <w:jc w:val="both"/>
        <w:rPr>
          <w:rFonts w:asciiTheme="majorHAnsi" w:hAnsiTheme="majorHAnsi"/>
          <w:color w:val="000000" w:themeColor="text1"/>
          <w:sz w:val="20"/>
          <w:szCs w:val="20"/>
          <w:lang w:val="es-CO"/>
        </w:rPr>
      </w:pPr>
    </w:p>
    <w:p w14:paraId="2B0EBE7A" w14:textId="04CF444B" w:rsidR="00A150EE"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w:t>
      </w:r>
      <w:r w:rsidR="00493214" w:rsidRPr="00BF20FA">
        <w:rPr>
          <w:rFonts w:asciiTheme="majorHAnsi" w:hAnsiTheme="majorHAnsi"/>
          <w:color w:val="000000" w:themeColor="text1"/>
          <w:sz w:val="20"/>
          <w:szCs w:val="20"/>
          <w:lang w:val="es-CO"/>
        </w:rPr>
        <w:t>l 23 de mayo de 1994, e</w:t>
      </w:r>
      <w:r w:rsidRPr="00BF20FA">
        <w:rPr>
          <w:rFonts w:asciiTheme="majorHAnsi" w:hAnsiTheme="majorHAnsi"/>
          <w:color w:val="000000" w:themeColor="text1"/>
          <w:sz w:val="20"/>
          <w:szCs w:val="20"/>
          <w:lang w:val="es-CO"/>
        </w:rPr>
        <w:t xml:space="preserve">l </w:t>
      </w:r>
      <w:r w:rsidR="00493214" w:rsidRPr="00BF20FA">
        <w:rPr>
          <w:rFonts w:asciiTheme="majorHAnsi" w:hAnsiTheme="majorHAnsi"/>
          <w:color w:val="000000" w:themeColor="text1"/>
          <w:sz w:val="20"/>
          <w:szCs w:val="20"/>
          <w:lang w:val="es-CO"/>
        </w:rPr>
        <w:t>Instituto Nacional de los Recursos Naturales Renovables y del Ambiente (</w:t>
      </w:r>
      <w:r w:rsidRPr="00BF20FA">
        <w:rPr>
          <w:rFonts w:asciiTheme="majorHAnsi" w:hAnsiTheme="majorHAnsi"/>
          <w:color w:val="000000" w:themeColor="text1"/>
          <w:sz w:val="20"/>
          <w:szCs w:val="20"/>
          <w:lang w:val="es-CO"/>
        </w:rPr>
        <w:t>INDERENA</w:t>
      </w:r>
      <w:r w:rsidR="00493214"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emitió</w:t>
      </w:r>
      <w:r w:rsidR="003E0604"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el Concepto Técnico No. 008 </w:t>
      </w:r>
      <w:r w:rsidR="00493214" w:rsidRPr="00BF20FA">
        <w:rPr>
          <w:rFonts w:asciiTheme="majorHAnsi" w:hAnsiTheme="majorHAnsi"/>
          <w:color w:val="000000" w:themeColor="text1"/>
          <w:sz w:val="20"/>
          <w:szCs w:val="20"/>
          <w:lang w:val="es-CO"/>
        </w:rPr>
        <w:t xml:space="preserve">mediante el cual </w:t>
      </w:r>
      <w:r w:rsidR="003E0604" w:rsidRPr="00BF20FA">
        <w:rPr>
          <w:rFonts w:asciiTheme="majorHAnsi" w:hAnsiTheme="majorHAnsi"/>
          <w:color w:val="000000" w:themeColor="text1"/>
          <w:sz w:val="20"/>
          <w:szCs w:val="20"/>
          <w:lang w:val="es-CO"/>
        </w:rPr>
        <w:t>consideró</w:t>
      </w:r>
      <w:r w:rsidRPr="00BF20FA">
        <w:rPr>
          <w:rFonts w:asciiTheme="majorHAnsi" w:hAnsiTheme="majorHAnsi"/>
          <w:color w:val="000000" w:themeColor="text1"/>
          <w:sz w:val="20"/>
          <w:szCs w:val="20"/>
          <w:lang w:val="es-CO"/>
        </w:rPr>
        <w:t xml:space="preserve"> viable la ejecución del programa sísmico del Bloque Samoré</w:t>
      </w:r>
      <w:r w:rsidR="003E0604" w:rsidRPr="00BF20FA">
        <w:rPr>
          <w:rStyle w:val="FootnoteReference"/>
          <w:rFonts w:asciiTheme="majorHAnsi" w:hAnsiTheme="majorHAnsi"/>
          <w:color w:val="000000" w:themeColor="text1"/>
          <w:sz w:val="20"/>
          <w:szCs w:val="20"/>
          <w:lang w:val="es-CO"/>
        </w:rPr>
        <w:footnoteReference w:id="36"/>
      </w:r>
      <w:r w:rsidRPr="00BF20FA">
        <w:rPr>
          <w:rFonts w:asciiTheme="majorHAnsi" w:hAnsiTheme="majorHAnsi"/>
          <w:color w:val="000000" w:themeColor="text1"/>
          <w:sz w:val="20"/>
          <w:szCs w:val="20"/>
          <w:lang w:val="es-CO"/>
        </w:rPr>
        <w:t>.</w:t>
      </w:r>
      <w:r w:rsidR="00717A01" w:rsidRPr="00BF20FA">
        <w:rPr>
          <w:rFonts w:asciiTheme="majorHAnsi" w:hAnsiTheme="majorHAnsi"/>
          <w:color w:val="000000" w:themeColor="text1"/>
          <w:sz w:val="20"/>
          <w:szCs w:val="20"/>
          <w:lang w:val="es-CO"/>
        </w:rPr>
        <w:t xml:space="preserve"> </w:t>
      </w:r>
      <w:r w:rsidR="00493214" w:rsidRPr="00BF20FA">
        <w:rPr>
          <w:rFonts w:asciiTheme="majorHAnsi" w:hAnsiTheme="majorHAnsi"/>
          <w:color w:val="000000" w:themeColor="text1"/>
          <w:sz w:val="20"/>
          <w:szCs w:val="20"/>
          <w:lang w:val="es-CO"/>
        </w:rPr>
        <w:t>M</w:t>
      </w:r>
      <w:r w:rsidRPr="00BF20FA">
        <w:rPr>
          <w:rFonts w:asciiTheme="majorHAnsi" w:hAnsiTheme="majorHAnsi"/>
          <w:color w:val="000000" w:themeColor="text1"/>
          <w:sz w:val="20"/>
          <w:szCs w:val="20"/>
          <w:lang w:val="es-CO"/>
        </w:rPr>
        <w:t>ediante Auto No. 237 de 28 de septiembre de 1994 la Oficina Jurídica del Ministerio de Gobierno orden</w:t>
      </w:r>
      <w:r w:rsidR="00A52019" w:rsidRPr="00BF20FA">
        <w:rPr>
          <w:rFonts w:asciiTheme="majorHAnsi" w:hAnsiTheme="majorHAnsi"/>
          <w:color w:val="000000" w:themeColor="text1"/>
          <w:sz w:val="20"/>
          <w:szCs w:val="20"/>
          <w:lang w:val="es-CO"/>
        </w:rPr>
        <w:t>ó</w:t>
      </w:r>
      <w:r w:rsidRPr="00BF20FA">
        <w:rPr>
          <w:rFonts w:asciiTheme="majorHAnsi" w:hAnsiTheme="majorHAnsi"/>
          <w:color w:val="000000" w:themeColor="text1"/>
          <w:sz w:val="20"/>
          <w:szCs w:val="20"/>
          <w:lang w:val="es-CO"/>
        </w:rPr>
        <w:t xml:space="preserve"> la realización </w:t>
      </w:r>
      <w:r w:rsidR="00A52019" w:rsidRPr="00BF20FA">
        <w:rPr>
          <w:rFonts w:asciiTheme="majorHAnsi" w:hAnsiTheme="majorHAnsi"/>
          <w:color w:val="000000" w:themeColor="text1"/>
          <w:sz w:val="20"/>
          <w:szCs w:val="20"/>
          <w:lang w:val="es-CO"/>
        </w:rPr>
        <w:t xml:space="preserve">de </w:t>
      </w:r>
      <w:r w:rsidR="005C0AE5" w:rsidRPr="00BF20FA">
        <w:rPr>
          <w:rFonts w:asciiTheme="majorHAnsi" w:hAnsiTheme="majorHAnsi"/>
          <w:color w:val="000000" w:themeColor="text1"/>
          <w:sz w:val="20"/>
          <w:szCs w:val="20"/>
          <w:lang w:val="es-CO"/>
        </w:rPr>
        <w:t xml:space="preserve">un proceso que denominaron de </w:t>
      </w:r>
      <w:r w:rsidR="00EA7128" w:rsidRPr="00BF20FA">
        <w:rPr>
          <w:rFonts w:asciiTheme="majorHAnsi" w:hAnsiTheme="majorHAnsi"/>
          <w:color w:val="000000" w:themeColor="text1"/>
          <w:sz w:val="20"/>
          <w:szCs w:val="20"/>
          <w:lang w:val="es-CO"/>
        </w:rPr>
        <w:t>consulta previa</w:t>
      </w:r>
      <w:r w:rsidR="003E0604" w:rsidRPr="00BF20FA">
        <w:rPr>
          <w:rStyle w:val="FootnoteReference"/>
          <w:rFonts w:asciiTheme="majorHAnsi" w:hAnsiTheme="majorHAnsi"/>
          <w:color w:val="000000" w:themeColor="text1"/>
          <w:sz w:val="20"/>
          <w:szCs w:val="20"/>
          <w:lang w:val="es-CO"/>
        </w:rPr>
        <w:footnoteReference w:id="37"/>
      </w:r>
      <w:r w:rsidRPr="00BF20FA">
        <w:rPr>
          <w:rFonts w:asciiTheme="majorHAnsi" w:hAnsiTheme="majorHAnsi"/>
          <w:color w:val="000000" w:themeColor="text1"/>
          <w:sz w:val="20"/>
          <w:szCs w:val="20"/>
          <w:lang w:val="es-CO"/>
        </w:rPr>
        <w:t>.</w:t>
      </w:r>
    </w:p>
    <w:p w14:paraId="6FAE09F6" w14:textId="77777777" w:rsidR="00331F0B" w:rsidRPr="00BF20FA" w:rsidRDefault="00331F0B" w:rsidP="00614E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CO"/>
        </w:rPr>
      </w:pPr>
    </w:p>
    <w:p w14:paraId="02C112B0" w14:textId="77777777" w:rsidR="00A150EE"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Durante los días 10 y 11 de enero de 1995</w:t>
      </w:r>
      <w:r w:rsidR="00A150EE"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se llevó a cabo en la ciudad de Arauca la ‘‘Reunión de información y consulta con el pueblo U’wa para la realización del proyecto de adquisición sísmica en el Contrato de Asociación Samoré, celebrado entre la empresa colombiana de petróleos-ECOPETROL y Occidental de Colombia, INC.’’</w:t>
      </w:r>
      <w:r w:rsidR="00481ED0" w:rsidRPr="00BF20FA">
        <w:rPr>
          <w:rStyle w:val="FootnoteReference"/>
          <w:rFonts w:asciiTheme="majorHAnsi" w:hAnsiTheme="majorHAnsi"/>
          <w:color w:val="000000" w:themeColor="text1"/>
          <w:sz w:val="20"/>
          <w:szCs w:val="20"/>
          <w:lang w:val="es-CO"/>
        </w:rPr>
        <w:footnoteReference w:id="38"/>
      </w:r>
      <w:r w:rsidR="00A150EE"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w:t>
      </w:r>
    </w:p>
    <w:p w14:paraId="43F6A834" w14:textId="77777777" w:rsidR="006A3D46" w:rsidRPr="00BF20FA" w:rsidRDefault="006A3D46"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jc w:val="both"/>
        <w:rPr>
          <w:rFonts w:asciiTheme="majorHAnsi" w:hAnsiTheme="majorHAnsi"/>
          <w:color w:val="000000" w:themeColor="text1"/>
          <w:sz w:val="20"/>
          <w:szCs w:val="20"/>
          <w:lang w:val="es-CO"/>
        </w:rPr>
      </w:pPr>
    </w:p>
    <w:p w14:paraId="689FAA8F" w14:textId="77777777" w:rsidR="006A3D46" w:rsidRPr="00BF20FA" w:rsidRDefault="00C8411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Durante</w:t>
      </w:r>
      <w:r w:rsidR="006A3D46" w:rsidRPr="00BF20FA">
        <w:rPr>
          <w:rFonts w:asciiTheme="majorHAnsi" w:hAnsiTheme="majorHAnsi"/>
          <w:color w:val="000000" w:themeColor="text1"/>
          <w:sz w:val="20"/>
          <w:szCs w:val="20"/>
          <w:lang w:val="es-CO"/>
        </w:rPr>
        <w:t xml:space="preserve"> la exposición de las consideraciones del </w:t>
      </w:r>
      <w:r w:rsidRPr="00BF20FA">
        <w:rPr>
          <w:rFonts w:asciiTheme="majorHAnsi" w:hAnsiTheme="majorHAnsi"/>
          <w:color w:val="000000" w:themeColor="text1"/>
          <w:sz w:val="20"/>
          <w:szCs w:val="20"/>
          <w:lang w:val="es-CO"/>
        </w:rPr>
        <w:t>P</w:t>
      </w:r>
      <w:r w:rsidR="006A3D46" w:rsidRPr="00BF20FA">
        <w:rPr>
          <w:rFonts w:asciiTheme="majorHAnsi" w:hAnsiTheme="majorHAnsi"/>
          <w:color w:val="000000" w:themeColor="text1"/>
          <w:sz w:val="20"/>
          <w:szCs w:val="20"/>
          <w:lang w:val="es-CO"/>
        </w:rPr>
        <w:t>ueblo U’wa, un</w:t>
      </w:r>
      <w:r w:rsidR="00636DB4" w:rsidRPr="00BF20FA">
        <w:rPr>
          <w:rFonts w:asciiTheme="majorHAnsi" w:hAnsiTheme="majorHAnsi"/>
          <w:color w:val="000000" w:themeColor="text1"/>
          <w:sz w:val="20"/>
          <w:szCs w:val="20"/>
          <w:lang w:val="es-CO"/>
        </w:rPr>
        <w:t xml:space="preserve"> representante del mismo señaló ‘‘l</w:t>
      </w:r>
      <w:r w:rsidR="006A3D46" w:rsidRPr="00BF20FA">
        <w:rPr>
          <w:rFonts w:asciiTheme="majorHAnsi" w:hAnsiTheme="majorHAnsi"/>
          <w:color w:val="000000" w:themeColor="text1"/>
          <w:sz w:val="20"/>
          <w:szCs w:val="20"/>
          <w:lang w:val="es-CO"/>
        </w:rPr>
        <w:t>as comunidades indígenas de la etnia U’wa no teníamos conocimiento de que existía dicho proyecto. Siendo nosotros los primeros que seríamo</w:t>
      </w:r>
      <w:r w:rsidR="0046587E" w:rsidRPr="00BF20FA">
        <w:rPr>
          <w:rFonts w:asciiTheme="majorHAnsi" w:hAnsiTheme="majorHAnsi"/>
          <w:color w:val="000000" w:themeColor="text1"/>
          <w:sz w:val="20"/>
          <w:szCs w:val="20"/>
          <w:lang w:val="es-CO"/>
        </w:rPr>
        <w:t>s afectados debíamos conocerlo […].</w:t>
      </w:r>
      <w:r w:rsidR="006A3D46" w:rsidRPr="00BF20FA">
        <w:rPr>
          <w:rFonts w:asciiTheme="majorHAnsi" w:hAnsiTheme="majorHAnsi"/>
          <w:color w:val="000000" w:themeColor="text1"/>
          <w:sz w:val="20"/>
          <w:szCs w:val="20"/>
          <w:lang w:val="es-CO"/>
        </w:rPr>
        <w:t xml:space="preserve"> Hasta tanto no se discuta, consulte y apruebe las propuestas que se formulen el día 11 de enero, se pare lo proyectado por la Oxy para el futuro. El permitirle, sería destruir la naturaleza y en general la pérdida de nuestra cultura’’</w:t>
      </w:r>
      <w:r w:rsidR="006A3D46" w:rsidRPr="00BF20FA">
        <w:rPr>
          <w:rStyle w:val="FootnoteReference"/>
          <w:rFonts w:asciiTheme="majorHAnsi" w:hAnsiTheme="majorHAnsi"/>
          <w:color w:val="000000" w:themeColor="text1"/>
          <w:sz w:val="20"/>
          <w:szCs w:val="20"/>
          <w:lang w:val="es-CO"/>
        </w:rPr>
        <w:footnoteReference w:id="39"/>
      </w:r>
      <w:r w:rsidR="006A3D46" w:rsidRPr="00BF20FA">
        <w:rPr>
          <w:rFonts w:asciiTheme="majorHAnsi" w:hAnsiTheme="majorHAnsi"/>
          <w:color w:val="000000" w:themeColor="text1"/>
          <w:sz w:val="20"/>
          <w:szCs w:val="20"/>
          <w:lang w:val="es-CO"/>
        </w:rPr>
        <w:t>.</w:t>
      </w:r>
      <w:r w:rsidR="009226E8" w:rsidRPr="00BF20FA">
        <w:rPr>
          <w:rFonts w:asciiTheme="majorHAnsi" w:hAnsiTheme="majorHAnsi"/>
          <w:color w:val="000000" w:themeColor="text1"/>
          <w:sz w:val="20"/>
          <w:szCs w:val="20"/>
          <w:lang w:val="es-CO"/>
        </w:rPr>
        <w:t xml:space="preserve"> </w:t>
      </w:r>
      <w:r w:rsidR="009226E8" w:rsidRPr="00BF20FA">
        <w:rPr>
          <w:rFonts w:asciiTheme="majorHAnsi" w:hAnsiTheme="majorHAnsi"/>
          <w:color w:val="000000" w:themeColor="text1"/>
          <w:sz w:val="20"/>
          <w:szCs w:val="20"/>
          <w:lang w:val="es-ES_tradnl"/>
        </w:rPr>
        <w:t>S</w:t>
      </w:r>
      <w:r w:rsidR="006A3D46" w:rsidRPr="00BF20FA">
        <w:rPr>
          <w:rFonts w:asciiTheme="majorHAnsi" w:hAnsiTheme="majorHAnsi"/>
          <w:color w:val="000000" w:themeColor="text1"/>
          <w:sz w:val="20"/>
          <w:szCs w:val="20"/>
          <w:lang w:val="es-ES_tradnl"/>
        </w:rPr>
        <w:t>e llegaron a los siguientes ‘‘acuerdos y conclusiones’’:</w:t>
      </w:r>
    </w:p>
    <w:p w14:paraId="505F0E5C" w14:textId="77777777" w:rsidR="00A52019" w:rsidRPr="00BF20FA" w:rsidRDefault="00A52019" w:rsidP="00331F0B">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69B6B42A" w14:textId="77777777" w:rsidR="006A3D46" w:rsidRPr="00BF20FA" w:rsidRDefault="006A3D46" w:rsidP="00B468B8">
      <w:pPr>
        <w:pStyle w:val="ListParagraph"/>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1. Hay unanimidad para entrar a estudiar, con la participación de las Autoridades U'wa las modificaciones al proyecto sísmico de Samoré, si hubiere lugar a ellas, teniendo en</w:t>
      </w:r>
      <w:r w:rsidR="00602E55" w:rsidRPr="00BF20FA">
        <w:rPr>
          <w:rFonts w:asciiTheme="majorHAnsi" w:hAnsiTheme="majorHAnsi"/>
          <w:color w:val="000000" w:themeColor="text1"/>
          <w:sz w:val="18"/>
          <w:szCs w:val="18"/>
          <w:lang w:val="es-CO"/>
        </w:rPr>
        <w:t xml:space="preserve"> cuenta dos criterios centrales:</w:t>
      </w:r>
    </w:p>
    <w:p w14:paraId="212A99CF" w14:textId="77777777" w:rsidR="006A3D46" w:rsidRPr="00BF20FA" w:rsidRDefault="006A3D46" w:rsidP="00B468B8">
      <w:pPr>
        <w:pStyle w:val="ListParagraph"/>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1.1. La preservación de la integridad étnica, social, cultural y económica del pueblo U'wa.</w:t>
      </w:r>
    </w:p>
    <w:p w14:paraId="7A5B58E9" w14:textId="77777777" w:rsidR="006A3D46" w:rsidRPr="00BF20FA" w:rsidRDefault="006A3D46" w:rsidP="00B468B8">
      <w:pPr>
        <w:pStyle w:val="ListParagraph"/>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1.2. Los requerimientos técnicos y científicos indispensables para la realización de las actividades sísmicas.</w:t>
      </w:r>
    </w:p>
    <w:p w14:paraId="1D6EE420" w14:textId="77777777" w:rsidR="006A3D46" w:rsidRPr="00BF20FA" w:rsidRDefault="006A3D46" w:rsidP="00B468B8">
      <w:pPr>
        <w:pStyle w:val="ListParagraph"/>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2. Se verificará una segunda reunión de interlocución</w:t>
      </w:r>
      <w:r w:rsidR="00602E55" w:rsidRPr="00BF20FA">
        <w:rPr>
          <w:rFonts w:asciiTheme="majorHAnsi" w:hAnsiTheme="majorHAnsi"/>
          <w:color w:val="000000" w:themeColor="text1"/>
          <w:sz w:val="18"/>
          <w:szCs w:val="18"/>
          <w:lang w:val="es-CO"/>
        </w:rPr>
        <w:t xml:space="preserve"> […]</w:t>
      </w:r>
      <w:r w:rsidRPr="00BF20FA">
        <w:rPr>
          <w:rFonts w:asciiTheme="majorHAnsi" w:hAnsiTheme="majorHAnsi"/>
          <w:color w:val="000000" w:themeColor="text1"/>
          <w:sz w:val="18"/>
          <w:szCs w:val="18"/>
          <w:lang w:val="es-CO"/>
        </w:rPr>
        <w:t xml:space="preserve">. </w:t>
      </w:r>
    </w:p>
    <w:p w14:paraId="42324E4E" w14:textId="1E7B9E5B" w:rsidR="006A3D46" w:rsidRPr="00BF20FA" w:rsidRDefault="006A3D46" w:rsidP="00B468B8">
      <w:pPr>
        <w:pStyle w:val="ListParagraph"/>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3. Se constituirá una comisión intercultural conformada por el Cabildo Mayor del Pueblo U'wa, la Dirección General de Asuntos Indígenas del Ministerio de Gobierno y Occidental de Colombia, Inc., para hacer un trabajo de campo conjunto con el propósito de reconocer los terrenos en los cuales va a llevar a cabo el proyecto y en los que se comprometan res</w:t>
      </w:r>
      <w:r w:rsidR="00602E55" w:rsidRPr="00BF20FA">
        <w:rPr>
          <w:rFonts w:asciiTheme="majorHAnsi" w:hAnsiTheme="majorHAnsi"/>
          <w:color w:val="000000" w:themeColor="text1"/>
          <w:sz w:val="18"/>
          <w:szCs w:val="18"/>
          <w:lang w:val="es-CO"/>
        </w:rPr>
        <w:t>guardos o territorios indígenas</w:t>
      </w:r>
      <w:r w:rsidRPr="00BF20FA">
        <w:rPr>
          <w:rFonts w:asciiTheme="majorHAnsi" w:hAnsiTheme="majorHAnsi"/>
          <w:color w:val="000000" w:themeColor="text1"/>
          <w:sz w:val="18"/>
          <w:szCs w:val="18"/>
          <w:vertAlign w:val="superscript"/>
          <w:lang w:val="es-CO"/>
        </w:rPr>
        <w:footnoteReference w:id="40"/>
      </w:r>
      <w:r w:rsidRPr="00BF20FA">
        <w:rPr>
          <w:rFonts w:asciiTheme="majorHAnsi" w:hAnsiTheme="majorHAnsi"/>
          <w:color w:val="000000" w:themeColor="text1"/>
          <w:sz w:val="18"/>
          <w:szCs w:val="18"/>
          <w:lang w:val="es-CO"/>
        </w:rPr>
        <w:t>.</w:t>
      </w:r>
    </w:p>
    <w:p w14:paraId="1EF2E665" w14:textId="77777777" w:rsidR="00A52019" w:rsidRPr="00BF20FA" w:rsidRDefault="00A52019" w:rsidP="006A3D46">
      <w:pPr>
        <w:pStyle w:val="ListParagraph"/>
        <w:ind w:left="990"/>
        <w:jc w:val="both"/>
        <w:rPr>
          <w:rFonts w:asciiTheme="majorHAnsi" w:hAnsiTheme="majorHAnsi"/>
          <w:color w:val="000000" w:themeColor="text1"/>
          <w:sz w:val="20"/>
          <w:szCs w:val="20"/>
          <w:lang w:val="es-CO"/>
        </w:rPr>
      </w:pPr>
    </w:p>
    <w:p w14:paraId="677D8549" w14:textId="77777777" w:rsidR="006B47BA"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Mediante Resolución No. 110 de 3 de febrero de 1995</w:t>
      </w:r>
      <w:r w:rsidR="00A52019"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el Ministerio de Medio </w:t>
      </w:r>
      <w:r w:rsidR="003C5BE3" w:rsidRPr="00BF20FA">
        <w:rPr>
          <w:rFonts w:asciiTheme="majorHAnsi" w:hAnsiTheme="majorHAnsi"/>
          <w:color w:val="000000" w:themeColor="text1"/>
          <w:sz w:val="20"/>
          <w:szCs w:val="20"/>
          <w:lang w:val="es-CO"/>
        </w:rPr>
        <w:t>Ambiente decidió</w:t>
      </w:r>
      <w:r w:rsidRPr="00BF20FA">
        <w:rPr>
          <w:rFonts w:asciiTheme="majorHAnsi" w:hAnsiTheme="majorHAnsi"/>
          <w:color w:val="000000" w:themeColor="text1"/>
          <w:sz w:val="20"/>
          <w:szCs w:val="20"/>
          <w:lang w:val="es-CO"/>
        </w:rPr>
        <w:t xml:space="preserve"> ‘‘otorgar Licencia Ambiental a la Sociedad OCCIDENTAL DE COLOMBIA INC. para la realización de las actividades de prospección sísmica del Bloque Samoré</w:t>
      </w:r>
      <w:r w:rsidR="009226E8" w:rsidRPr="00BF20FA">
        <w:rPr>
          <w:rFonts w:asciiTheme="majorHAnsi" w:hAnsiTheme="majorHAnsi"/>
          <w:color w:val="000000" w:themeColor="text1"/>
          <w:sz w:val="20"/>
          <w:szCs w:val="20"/>
          <w:lang w:val="es-CO"/>
        </w:rPr>
        <w:t>[…]</w:t>
      </w:r>
      <w:r w:rsidR="00060B67"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quedan excluid</w:t>
      </w:r>
      <w:r w:rsidR="00060B67" w:rsidRPr="00BF20FA">
        <w:rPr>
          <w:rFonts w:asciiTheme="majorHAnsi" w:hAnsiTheme="majorHAnsi"/>
          <w:color w:val="000000" w:themeColor="text1"/>
          <w:sz w:val="20"/>
          <w:szCs w:val="20"/>
          <w:lang w:val="es-CO"/>
        </w:rPr>
        <w:t>a</w:t>
      </w:r>
      <w:r w:rsidRPr="00BF20FA">
        <w:rPr>
          <w:rFonts w:asciiTheme="majorHAnsi" w:hAnsiTheme="majorHAnsi"/>
          <w:color w:val="000000" w:themeColor="text1"/>
          <w:sz w:val="20"/>
          <w:szCs w:val="20"/>
          <w:lang w:val="es-CO"/>
        </w:rPr>
        <w:t>s de toda actividad de prospección sísmica las áreas de los Parques Nacionales Naturales de Tamá y El Cocuy, las cuales son defin</w:t>
      </w:r>
      <w:r w:rsidR="009E662A" w:rsidRPr="00BF20FA">
        <w:rPr>
          <w:rFonts w:asciiTheme="majorHAnsi" w:hAnsiTheme="majorHAnsi"/>
          <w:color w:val="000000" w:themeColor="text1"/>
          <w:sz w:val="20"/>
          <w:szCs w:val="20"/>
          <w:lang w:val="es-CO"/>
        </w:rPr>
        <w:t>idas como áreas de susceptibilidad</w:t>
      </w:r>
      <w:r w:rsidRPr="00BF20FA">
        <w:rPr>
          <w:rFonts w:asciiTheme="majorHAnsi" w:hAnsiTheme="majorHAnsi"/>
          <w:color w:val="000000" w:themeColor="text1"/>
          <w:sz w:val="20"/>
          <w:szCs w:val="20"/>
          <w:lang w:val="es-CO"/>
        </w:rPr>
        <w:t xml:space="preserve"> alta</w:t>
      </w:r>
      <w:r w:rsidR="004A2030" w:rsidRPr="00BF20FA">
        <w:rPr>
          <w:rFonts w:asciiTheme="majorHAnsi" w:hAnsiTheme="majorHAnsi"/>
          <w:color w:val="000000" w:themeColor="text1"/>
          <w:sz w:val="20"/>
          <w:szCs w:val="20"/>
          <w:lang w:val="es-CO"/>
        </w:rPr>
        <w:t xml:space="preserve"> </w:t>
      </w:r>
      <w:r w:rsidR="004A2030" w:rsidRPr="00BF20FA">
        <w:rPr>
          <w:rFonts w:asciiTheme="majorHAnsi" w:hAnsiTheme="majorHAnsi"/>
          <w:color w:val="000000" w:themeColor="text1"/>
          <w:sz w:val="20"/>
          <w:szCs w:val="20"/>
          <w:lang w:val="es-ES"/>
        </w:rPr>
        <w:t xml:space="preserve">[…] </w:t>
      </w:r>
      <w:r w:rsidRPr="00BF20FA">
        <w:rPr>
          <w:rFonts w:asciiTheme="majorHAnsi" w:hAnsiTheme="majorHAnsi"/>
          <w:color w:val="000000" w:themeColor="text1"/>
          <w:sz w:val="20"/>
          <w:szCs w:val="20"/>
          <w:lang w:val="es-CO"/>
        </w:rPr>
        <w:t>se deberá dar cumplimiento a los compromisos adquiridos con el pueblo U’wa en la consulta previa realizada con éste durante l</w:t>
      </w:r>
      <w:r w:rsidR="00635747" w:rsidRPr="00BF20FA">
        <w:rPr>
          <w:rFonts w:asciiTheme="majorHAnsi" w:hAnsiTheme="majorHAnsi"/>
          <w:color w:val="000000" w:themeColor="text1"/>
          <w:sz w:val="20"/>
          <w:szCs w:val="20"/>
          <w:lang w:val="es-CO"/>
        </w:rPr>
        <w:t>os días 10 y 11 de enero de 1995</w:t>
      </w:r>
      <w:r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41"/>
      </w:r>
      <w:r w:rsidRPr="00BF20FA">
        <w:rPr>
          <w:rFonts w:asciiTheme="majorHAnsi" w:hAnsiTheme="majorHAnsi"/>
          <w:color w:val="000000" w:themeColor="text1"/>
          <w:sz w:val="20"/>
          <w:szCs w:val="20"/>
          <w:lang w:val="es-CO"/>
        </w:rPr>
        <w:t>.</w:t>
      </w:r>
    </w:p>
    <w:p w14:paraId="556F1E21" w14:textId="77777777" w:rsidR="00A52019" w:rsidRPr="00BF20FA" w:rsidRDefault="00A52019" w:rsidP="00614E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CO"/>
        </w:rPr>
      </w:pPr>
    </w:p>
    <w:p w14:paraId="22E3C550" w14:textId="77777777" w:rsidR="009E662A"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21 de febrero de 1995 </w:t>
      </w:r>
      <w:r w:rsidR="006B47BA" w:rsidRPr="00BF20FA">
        <w:rPr>
          <w:rFonts w:asciiTheme="majorHAnsi" w:hAnsiTheme="majorHAnsi"/>
          <w:color w:val="000000" w:themeColor="text1"/>
          <w:sz w:val="20"/>
          <w:szCs w:val="20"/>
          <w:lang w:val="es-CO"/>
        </w:rPr>
        <w:t>se llevó a cabo reunión de seguimiento entre</w:t>
      </w:r>
      <w:r w:rsidRPr="00BF20FA">
        <w:rPr>
          <w:rFonts w:asciiTheme="majorHAnsi" w:hAnsiTheme="majorHAnsi"/>
          <w:color w:val="000000" w:themeColor="text1"/>
          <w:sz w:val="20"/>
          <w:szCs w:val="20"/>
          <w:lang w:val="es-CO"/>
        </w:rPr>
        <w:t xml:space="preserve"> representantes del Ministerio de Gobierno, Ministerio de Minas y Energía, Ministerio de Medio Ambiente, Ecop</w:t>
      </w:r>
      <w:r w:rsidR="00AF6F1D" w:rsidRPr="00BF20FA">
        <w:rPr>
          <w:rFonts w:asciiTheme="majorHAnsi" w:hAnsiTheme="majorHAnsi"/>
          <w:color w:val="000000" w:themeColor="text1"/>
          <w:sz w:val="20"/>
          <w:szCs w:val="20"/>
          <w:lang w:val="es-CO"/>
        </w:rPr>
        <w:t>etrol, Occidental de Colombia, I</w:t>
      </w:r>
      <w:r w:rsidRPr="00BF20FA">
        <w:rPr>
          <w:rFonts w:asciiTheme="majorHAnsi" w:hAnsiTheme="majorHAnsi"/>
          <w:color w:val="000000" w:themeColor="text1"/>
          <w:sz w:val="20"/>
          <w:szCs w:val="20"/>
          <w:lang w:val="es-CO"/>
        </w:rPr>
        <w:t>nc</w:t>
      </w:r>
      <w:r w:rsidR="00AF6F1D"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y</w:t>
      </w:r>
      <w:r w:rsidR="00AF6F1D" w:rsidRPr="00BF20FA">
        <w:rPr>
          <w:rFonts w:asciiTheme="majorHAnsi" w:hAnsiTheme="majorHAnsi"/>
          <w:color w:val="000000" w:themeColor="text1"/>
          <w:sz w:val="20"/>
          <w:szCs w:val="20"/>
          <w:lang w:val="es-CO"/>
        </w:rPr>
        <w:t xml:space="preserve"> del</w:t>
      </w:r>
      <w:r w:rsidRPr="00BF20FA">
        <w:rPr>
          <w:rFonts w:asciiTheme="majorHAnsi" w:hAnsiTheme="majorHAnsi"/>
          <w:color w:val="000000" w:themeColor="text1"/>
          <w:sz w:val="20"/>
          <w:szCs w:val="20"/>
          <w:lang w:val="es-CO"/>
        </w:rPr>
        <w:t xml:space="preserve"> Pueblo U’wa. En la reunión </w:t>
      </w:r>
      <w:r w:rsidR="00635747" w:rsidRPr="00BF20FA">
        <w:rPr>
          <w:rFonts w:asciiTheme="majorHAnsi" w:hAnsiTheme="majorHAnsi"/>
          <w:color w:val="000000" w:themeColor="text1"/>
          <w:sz w:val="20"/>
          <w:szCs w:val="20"/>
          <w:lang w:val="es-CO"/>
        </w:rPr>
        <w:t>se</w:t>
      </w:r>
      <w:r w:rsidRPr="00BF20FA">
        <w:rPr>
          <w:rFonts w:asciiTheme="majorHAnsi" w:hAnsiTheme="majorHAnsi"/>
          <w:color w:val="000000" w:themeColor="text1"/>
          <w:sz w:val="20"/>
          <w:szCs w:val="20"/>
          <w:lang w:val="es-CO"/>
        </w:rPr>
        <w:t xml:space="preserve"> solicit</w:t>
      </w:r>
      <w:r w:rsidR="00635747" w:rsidRPr="00BF20FA">
        <w:rPr>
          <w:rFonts w:asciiTheme="majorHAnsi" w:hAnsiTheme="majorHAnsi"/>
          <w:color w:val="000000" w:themeColor="text1"/>
          <w:sz w:val="20"/>
          <w:szCs w:val="20"/>
          <w:lang w:val="es-CO"/>
        </w:rPr>
        <w:t>ó</w:t>
      </w:r>
      <w:r w:rsidRPr="00BF20FA">
        <w:rPr>
          <w:rFonts w:asciiTheme="majorHAnsi" w:hAnsiTheme="majorHAnsi"/>
          <w:color w:val="000000" w:themeColor="text1"/>
          <w:sz w:val="20"/>
          <w:szCs w:val="20"/>
          <w:lang w:val="es-CO"/>
        </w:rPr>
        <w:t xml:space="preserve"> a la comunidad U’wa ‘‘identificar los sitios sagrados, indicando los sitios por donde pasarían las respectivas líneas sísmicas’’</w:t>
      </w:r>
      <w:r w:rsidR="009E662A" w:rsidRPr="00BF20FA">
        <w:rPr>
          <w:rFonts w:asciiTheme="majorHAnsi" w:hAnsiTheme="majorHAnsi"/>
          <w:color w:val="000000" w:themeColor="text1"/>
          <w:sz w:val="20"/>
          <w:szCs w:val="20"/>
          <w:lang w:val="es-CO"/>
        </w:rPr>
        <w:t>, a lo que su representante</w:t>
      </w:r>
      <w:r w:rsidRPr="00BF20FA">
        <w:rPr>
          <w:rFonts w:asciiTheme="majorHAnsi" w:hAnsiTheme="majorHAnsi"/>
          <w:color w:val="000000" w:themeColor="text1"/>
          <w:sz w:val="20"/>
          <w:szCs w:val="20"/>
          <w:lang w:val="es-CO"/>
        </w:rPr>
        <w:t xml:space="preserve"> </w:t>
      </w:r>
      <w:r w:rsidR="000B678A" w:rsidRPr="00BF20FA">
        <w:rPr>
          <w:rFonts w:asciiTheme="majorHAnsi" w:hAnsiTheme="majorHAnsi"/>
          <w:color w:val="000000" w:themeColor="text1"/>
          <w:sz w:val="20"/>
          <w:szCs w:val="20"/>
          <w:lang w:val="es-CO"/>
        </w:rPr>
        <w:t>señaló</w:t>
      </w:r>
      <w:r w:rsidRPr="00BF20FA">
        <w:rPr>
          <w:rFonts w:asciiTheme="majorHAnsi" w:hAnsiTheme="majorHAnsi"/>
          <w:color w:val="000000" w:themeColor="text1"/>
          <w:sz w:val="20"/>
          <w:szCs w:val="20"/>
          <w:lang w:val="es-CO"/>
        </w:rPr>
        <w:t xml:space="preserve"> que ‘‘para ellos toda el área del resguardo es sagrada y que no podían esta</w:t>
      </w:r>
      <w:r w:rsidR="00635747" w:rsidRPr="00BF20FA">
        <w:rPr>
          <w:rFonts w:asciiTheme="majorHAnsi" w:hAnsiTheme="majorHAnsi"/>
          <w:color w:val="000000" w:themeColor="text1"/>
          <w:sz w:val="20"/>
          <w:szCs w:val="20"/>
          <w:lang w:val="es-CO"/>
        </w:rPr>
        <w:t>blecer sitios específicos […]</w:t>
      </w:r>
      <w:r w:rsidRPr="00BF20FA">
        <w:rPr>
          <w:rFonts w:asciiTheme="majorHAnsi" w:hAnsiTheme="majorHAnsi"/>
          <w:color w:val="000000" w:themeColor="text1"/>
          <w:sz w:val="20"/>
          <w:szCs w:val="20"/>
          <w:lang w:val="es-CO"/>
        </w:rPr>
        <w:t xml:space="preserve">’’. </w:t>
      </w:r>
      <w:r w:rsidR="009E662A" w:rsidRPr="00BF20FA">
        <w:rPr>
          <w:rFonts w:asciiTheme="majorHAnsi" w:hAnsiTheme="majorHAnsi"/>
          <w:color w:val="000000" w:themeColor="text1"/>
          <w:sz w:val="20"/>
          <w:szCs w:val="20"/>
          <w:lang w:val="es-CO"/>
        </w:rPr>
        <w:t xml:space="preserve">Al finalizar la reunión se concluyó que </w:t>
      </w:r>
      <w:r w:rsidRPr="00BF20FA">
        <w:rPr>
          <w:rFonts w:asciiTheme="majorHAnsi" w:hAnsiTheme="majorHAnsi"/>
          <w:color w:val="000000" w:themeColor="text1"/>
          <w:sz w:val="20"/>
          <w:szCs w:val="20"/>
          <w:lang w:val="es-CO"/>
        </w:rPr>
        <w:t>‘‘la Compañía procederá a dar cumplimiento a esos acuerdos y, con la veeduría del Ministerio de Gobierno, realizará las actividades sísmicas respetando la integridad cultural, social y económica de las comunidades indígenas, tal como lo disponen la Constitución Nacional y las leyes aplicables a esta materia’’</w:t>
      </w:r>
      <w:r w:rsidRPr="00BF20FA">
        <w:rPr>
          <w:rStyle w:val="FootnoteReference"/>
          <w:rFonts w:asciiTheme="majorHAnsi" w:hAnsiTheme="majorHAnsi"/>
          <w:color w:val="000000" w:themeColor="text1"/>
          <w:sz w:val="20"/>
          <w:szCs w:val="20"/>
          <w:lang w:val="es-CO"/>
        </w:rPr>
        <w:footnoteReference w:id="42"/>
      </w:r>
      <w:r w:rsidRPr="00BF20FA">
        <w:rPr>
          <w:rFonts w:asciiTheme="majorHAnsi" w:hAnsiTheme="majorHAnsi"/>
          <w:color w:val="000000" w:themeColor="text1"/>
          <w:sz w:val="20"/>
          <w:szCs w:val="20"/>
          <w:lang w:val="es-CO"/>
        </w:rPr>
        <w:t>.</w:t>
      </w:r>
    </w:p>
    <w:p w14:paraId="17154211" w14:textId="2DCC5E76" w:rsidR="00833E3C" w:rsidRDefault="00833E3C"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851"/>
          <w:tab w:val="left" w:pos="1440"/>
        </w:tabs>
        <w:jc w:val="both"/>
        <w:rPr>
          <w:rFonts w:asciiTheme="majorHAnsi" w:hAnsiTheme="majorHAnsi"/>
          <w:color w:val="000000" w:themeColor="text1"/>
          <w:sz w:val="20"/>
          <w:szCs w:val="20"/>
          <w:lang w:val="es-CO"/>
        </w:rPr>
      </w:pPr>
    </w:p>
    <w:p w14:paraId="245D8EBF" w14:textId="77777777" w:rsidR="00CE144E"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851"/>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29 de agosto de 1995 el Defensor del Pueblo presentó</w:t>
      </w:r>
      <w:r w:rsidR="009E662A" w:rsidRPr="00BF20FA">
        <w:rPr>
          <w:rFonts w:asciiTheme="majorHAnsi" w:hAnsiTheme="majorHAnsi"/>
          <w:color w:val="000000" w:themeColor="text1"/>
          <w:sz w:val="20"/>
          <w:szCs w:val="20"/>
          <w:lang w:val="es-CO"/>
        </w:rPr>
        <w:t>: (i)</w:t>
      </w:r>
      <w:r w:rsidRPr="00BF20FA">
        <w:rPr>
          <w:rFonts w:asciiTheme="majorHAnsi" w:hAnsiTheme="majorHAnsi"/>
          <w:color w:val="000000" w:themeColor="text1"/>
          <w:sz w:val="20"/>
          <w:szCs w:val="20"/>
          <w:lang w:val="es-CO"/>
        </w:rPr>
        <w:t xml:space="preserve"> acción de tutela ante el Tribunal Superior del Distrito Judicial de Santa Fe de Bogotá contra el Ministerio del Medio Ambiente y la Sociedad Occidental de Colombia, Inc., en representación de 19 ciudadanos del grupo étnico indígena U’wa y </w:t>
      </w:r>
      <w:r w:rsidR="009E662A" w:rsidRPr="00BF20FA">
        <w:rPr>
          <w:rFonts w:asciiTheme="majorHAnsi" w:hAnsiTheme="majorHAnsi"/>
          <w:color w:val="000000" w:themeColor="text1"/>
          <w:sz w:val="20"/>
          <w:szCs w:val="20"/>
          <w:lang w:val="es-CO"/>
        </w:rPr>
        <w:t xml:space="preserve">(ii) </w:t>
      </w:r>
      <w:r w:rsidRPr="00BF20FA">
        <w:rPr>
          <w:rFonts w:asciiTheme="majorHAnsi" w:hAnsiTheme="majorHAnsi"/>
          <w:color w:val="000000" w:themeColor="text1"/>
          <w:sz w:val="20"/>
          <w:szCs w:val="20"/>
          <w:lang w:val="es-CO"/>
        </w:rPr>
        <w:t>demanda de nulidad total contra la Re</w:t>
      </w:r>
      <w:r w:rsidR="00060B67" w:rsidRPr="00BF20FA">
        <w:rPr>
          <w:rFonts w:asciiTheme="majorHAnsi" w:hAnsiTheme="majorHAnsi"/>
          <w:color w:val="000000" w:themeColor="text1"/>
          <w:sz w:val="20"/>
          <w:szCs w:val="20"/>
          <w:lang w:val="es-CO"/>
        </w:rPr>
        <w:t>solución 110 del 3 de febrero de 1995</w:t>
      </w:r>
      <w:r w:rsidR="00A93A27" w:rsidRPr="00BF20FA">
        <w:rPr>
          <w:rStyle w:val="FootnoteReference"/>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afirmando que ‘‘la consulta previa a la expedición de la licencia ambiental no se realizó, pues como consulta previa no pueden ser tenidas en cuenta las reuniones que se realizaron en el municipio de Arauca los días 10 y 11 de enero de 1995’’</w:t>
      </w:r>
      <w:r w:rsidR="008B7DEA" w:rsidRPr="00BF20FA">
        <w:rPr>
          <w:rStyle w:val="FootnoteReference"/>
          <w:rFonts w:asciiTheme="majorHAnsi" w:hAnsiTheme="majorHAnsi"/>
          <w:color w:val="000000" w:themeColor="text1"/>
          <w:sz w:val="20"/>
          <w:szCs w:val="20"/>
          <w:lang w:val="es-CO"/>
        </w:rPr>
        <w:footnoteReference w:id="43"/>
      </w:r>
      <w:r w:rsidRPr="00BF20FA">
        <w:rPr>
          <w:rFonts w:asciiTheme="majorHAnsi" w:hAnsiTheme="majorHAnsi"/>
          <w:color w:val="000000" w:themeColor="text1"/>
          <w:sz w:val="20"/>
          <w:szCs w:val="20"/>
          <w:lang w:val="es-CO"/>
        </w:rPr>
        <w:t>.</w:t>
      </w:r>
    </w:p>
    <w:p w14:paraId="2CA45816" w14:textId="77777777" w:rsidR="00CE144E" w:rsidRPr="00BF20FA" w:rsidRDefault="00CE144E" w:rsidP="00CE144E">
      <w:pPr>
        <w:pStyle w:val="ListParagraph"/>
        <w:rPr>
          <w:rFonts w:asciiTheme="majorHAnsi" w:hAnsiTheme="majorHAnsi"/>
          <w:color w:val="000000" w:themeColor="text1"/>
          <w:sz w:val="20"/>
          <w:szCs w:val="20"/>
          <w:lang w:val="es-CO"/>
        </w:rPr>
      </w:pPr>
    </w:p>
    <w:p w14:paraId="789F84B6" w14:textId="3439E8CA" w:rsidR="00E27C5D"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851"/>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En sentencia de 12 de septiembre de 1995, el Tribunal Superior de Santafé de Bogotá accedió a la tutela ‘‘en forma transitoria’’</w:t>
      </w:r>
      <w:r w:rsidR="002415D6"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w:t>
      </w:r>
      <w:r w:rsidR="005E2187" w:rsidRPr="00BF20FA">
        <w:rPr>
          <w:rFonts w:asciiTheme="majorHAnsi" w:hAnsiTheme="majorHAnsi"/>
          <w:color w:val="000000" w:themeColor="text1"/>
          <w:sz w:val="20"/>
          <w:szCs w:val="20"/>
          <w:lang w:val="es-CO"/>
        </w:rPr>
        <w:t xml:space="preserve">refiriendo </w:t>
      </w:r>
      <w:r w:rsidRPr="00BF20FA">
        <w:rPr>
          <w:rFonts w:asciiTheme="majorHAnsi" w:hAnsiTheme="majorHAnsi"/>
          <w:color w:val="000000" w:themeColor="text1"/>
          <w:sz w:val="20"/>
          <w:szCs w:val="20"/>
          <w:lang w:val="es-CO"/>
        </w:rPr>
        <w:t xml:space="preserve">que ‘‘la aludida Resolución No. 110 del 3 de febrero de 1995, ha atentado contra ese derecho a la vida del pueblo U’wa porque no toma en cuenta la voluntad del mismo que se ha </w:t>
      </w:r>
      <w:r w:rsidRPr="00BF20FA">
        <w:rPr>
          <w:rFonts w:asciiTheme="majorHAnsi" w:hAnsiTheme="majorHAnsi"/>
          <w:color w:val="000000" w:themeColor="text1"/>
          <w:sz w:val="20"/>
          <w:szCs w:val="20"/>
          <w:lang w:val="es-CO"/>
        </w:rPr>
        <w:lastRenderedPageBreak/>
        <w:t>mostrado hasta ahora contraria a cualquier intrusión del Estado</w:t>
      </w:r>
      <w:r w:rsidR="00635747"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44"/>
      </w:r>
      <w:r w:rsidRPr="00BF20FA">
        <w:rPr>
          <w:rFonts w:asciiTheme="majorHAnsi" w:hAnsiTheme="majorHAnsi"/>
          <w:color w:val="000000" w:themeColor="text1"/>
          <w:sz w:val="20"/>
          <w:szCs w:val="20"/>
          <w:lang w:val="es-CO"/>
        </w:rPr>
        <w:t>.</w:t>
      </w:r>
      <w:r w:rsidR="00A93A27"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En segunda instancia, la Sala de Casación Penal de la Corte Suprema de Justicia revocó la decisión del Tribunal</w:t>
      </w:r>
      <w:r w:rsidRPr="00BF20FA">
        <w:rPr>
          <w:rStyle w:val="FootnoteReference"/>
          <w:rFonts w:asciiTheme="majorHAnsi" w:hAnsiTheme="majorHAnsi"/>
          <w:color w:val="000000" w:themeColor="text1"/>
          <w:sz w:val="20"/>
          <w:szCs w:val="20"/>
          <w:lang w:val="es-CO"/>
        </w:rPr>
        <w:footnoteReference w:id="45"/>
      </w:r>
      <w:r w:rsidR="00060B67" w:rsidRPr="00BF20FA">
        <w:rPr>
          <w:rFonts w:asciiTheme="majorHAnsi" w:hAnsiTheme="majorHAnsi"/>
          <w:color w:val="000000" w:themeColor="text1"/>
          <w:sz w:val="20"/>
          <w:szCs w:val="20"/>
          <w:lang w:val="es-CO"/>
        </w:rPr>
        <w:t xml:space="preserve"> y, el 3 de febrero de 1997, l</w:t>
      </w:r>
      <w:r w:rsidR="00B55B72" w:rsidRPr="00BF20FA">
        <w:rPr>
          <w:rFonts w:asciiTheme="majorHAnsi" w:hAnsiTheme="majorHAnsi"/>
          <w:color w:val="000000" w:themeColor="text1"/>
          <w:sz w:val="20"/>
          <w:szCs w:val="20"/>
          <w:lang w:val="es-CO"/>
        </w:rPr>
        <w:t xml:space="preserve">a Corte Constitucional </w:t>
      </w:r>
      <w:r w:rsidRPr="00BF20FA">
        <w:rPr>
          <w:rFonts w:asciiTheme="majorHAnsi" w:hAnsiTheme="majorHAnsi"/>
          <w:color w:val="000000" w:themeColor="text1"/>
          <w:sz w:val="20"/>
          <w:szCs w:val="20"/>
          <w:lang w:val="es-CO"/>
        </w:rPr>
        <w:t>confirm</w:t>
      </w:r>
      <w:r w:rsidR="00912E7E" w:rsidRPr="00BF20FA">
        <w:rPr>
          <w:rFonts w:asciiTheme="majorHAnsi" w:hAnsiTheme="majorHAnsi"/>
          <w:color w:val="000000" w:themeColor="text1"/>
          <w:sz w:val="20"/>
          <w:szCs w:val="20"/>
          <w:lang w:val="es-CO"/>
        </w:rPr>
        <w:t xml:space="preserve">ó </w:t>
      </w:r>
      <w:r w:rsidRPr="00BF20FA">
        <w:rPr>
          <w:rFonts w:asciiTheme="majorHAnsi" w:hAnsiTheme="majorHAnsi"/>
          <w:color w:val="000000" w:themeColor="text1"/>
          <w:sz w:val="20"/>
          <w:szCs w:val="20"/>
          <w:lang w:val="es-CO"/>
        </w:rPr>
        <w:t xml:space="preserve">la sentencia del Tribunal Superior de Santafé de Bogotá </w:t>
      </w:r>
      <w:r w:rsidR="005E2187" w:rsidRPr="00BF20FA">
        <w:rPr>
          <w:rFonts w:asciiTheme="majorHAnsi" w:hAnsiTheme="majorHAnsi"/>
          <w:color w:val="000000" w:themeColor="text1"/>
          <w:sz w:val="20"/>
          <w:szCs w:val="20"/>
          <w:lang w:val="es-CO"/>
        </w:rPr>
        <w:t xml:space="preserve">y </w:t>
      </w:r>
      <w:r w:rsidR="00E27C5D" w:rsidRPr="00BF20FA">
        <w:rPr>
          <w:rFonts w:asciiTheme="majorHAnsi" w:hAnsiTheme="majorHAnsi"/>
          <w:color w:val="000000" w:themeColor="text1"/>
          <w:sz w:val="20"/>
          <w:szCs w:val="20"/>
          <w:lang w:val="es-CO"/>
        </w:rPr>
        <w:t>señaló</w:t>
      </w:r>
      <w:r w:rsidRPr="00BF20FA">
        <w:rPr>
          <w:rFonts w:asciiTheme="majorHAnsi" w:hAnsiTheme="majorHAnsi"/>
          <w:color w:val="000000" w:themeColor="text1"/>
          <w:sz w:val="20"/>
          <w:szCs w:val="20"/>
          <w:lang w:val="es-CO"/>
        </w:rPr>
        <w:t xml:space="preserve"> que ‘‘resulta cla</w:t>
      </w:r>
      <w:r w:rsidR="005B7AA5" w:rsidRPr="00BF20FA">
        <w:rPr>
          <w:rFonts w:asciiTheme="majorHAnsi" w:hAnsiTheme="majorHAnsi"/>
          <w:color w:val="000000" w:themeColor="text1"/>
          <w:sz w:val="20"/>
          <w:szCs w:val="20"/>
          <w:lang w:val="es-CO"/>
        </w:rPr>
        <w:t xml:space="preserve">ro que la reunión de enero 10 y </w:t>
      </w:r>
      <w:r w:rsidRPr="00BF20FA">
        <w:rPr>
          <w:rFonts w:asciiTheme="majorHAnsi" w:hAnsiTheme="majorHAnsi"/>
          <w:color w:val="000000" w:themeColor="text1"/>
          <w:sz w:val="20"/>
          <w:szCs w:val="20"/>
          <w:lang w:val="es-CO"/>
        </w:rPr>
        <w:t>11 de 1995 no se estructuró o configuró la consulta requerida para autorizar la mencionada licencia ambiental</w:t>
      </w:r>
      <w:r w:rsidR="00754FA5" w:rsidRPr="00BF20FA">
        <w:rPr>
          <w:rFonts w:asciiTheme="majorHAnsi" w:hAnsiTheme="majorHAnsi"/>
          <w:color w:val="000000" w:themeColor="text1"/>
          <w:sz w:val="20"/>
          <w:szCs w:val="20"/>
          <w:lang w:val="es-CO"/>
        </w:rPr>
        <w:t>”</w:t>
      </w:r>
      <w:r w:rsidR="008B7DEA" w:rsidRPr="00BF20FA">
        <w:rPr>
          <w:rStyle w:val="FootnoteReference"/>
          <w:rFonts w:asciiTheme="majorHAnsi" w:hAnsiTheme="majorHAnsi"/>
          <w:color w:val="000000" w:themeColor="text1"/>
          <w:sz w:val="20"/>
          <w:szCs w:val="20"/>
          <w:lang w:val="es-CO"/>
        </w:rPr>
        <w:footnoteReference w:id="46"/>
      </w:r>
      <w:r w:rsidR="00871D99" w:rsidRPr="00BF20FA">
        <w:rPr>
          <w:rFonts w:asciiTheme="majorHAnsi" w:hAnsiTheme="majorHAnsi"/>
          <w:color w:val="000000" w:themeColor="text1"/>
          <w:sz w:val="20"/>
          <w:szCs w:val="20"/>
          <w:lang w:val="es-CO"/>
        </w:rPr>
        <w:t>.</w:t>
      </w:r>
      <w:r w:rsidR="002C3CFB" w:rsidRPr="00BF20FA">
        <w:rPr>
          <w:rFonts w:asciiTheme="majorHAnsi" w:hAnsiTheme="majorHAnsi"/>
          <w:color w:val="000000" w:themeColor="text1"/>
          <w:sz w:val="20"/>
          <w:szCs w:val="20"/>
          <w:lang w:val="es-CO"/>
        </w:rPr>
        <w:t xml:space="preserve"> En tal resolución, la Corte Constitucional </w:t>
      </w:r>
      <w:r w:rsidR="00651CCB" w:rsidRPr="00BF20FA">
        <w:rPr>
          <w:rFonts w:asciiTheme="majorHAnsi" w:hAnsiTheme="majorHAnsi"/>
          <w:color w:val="000000" w:themeColor="text1"/>
          <w:sz w:val="20"/>
          <w:szCs w:val="20"/>
          <w:lang w:val="es-CO"/>
        </w:rPr>
        <w:t>ordenó que, con el fin de hacer efectivo el derecho de participación, se procediera a efectuar la consulta en el término de 30 días</w:t>
      </w:r>
      <w:r w:rsidR="004660D6" w:rsidRPr="00BF20FA">
        <w:rPr>
          <w:rFonts w:asciiTheme="majorHAnsi" w:hAnsiTheme="majorHAnsi"/>
          <w:color w:val="000000" w:themeColor="text1"/>
          <w:sz w:val="20"/>
          <w:szCs w:val="20"/>
          <w:lang w:val="es-CO"/>
        </w:rPr>
        <w:t xml:space="preserve"> hábiles</w:t>
      </w:r>
      <w:r w:rsidR="00651CCB" w:rsidRPr="00BF20FA">
        <w:rPr>
          <w:rFonts w:asciiTheme="majorHAnsi" w:hAnsiTheme="majorHAnsi"/>
          <w:color w:val="000000" w:themeColor="text1"/>
          <w:sz w:val="20"/>
          <w:szCs w:val="20"/>
          <w:lang w:val="es-CO"/>
        </w:rPr>
        <w:t xml:space="preserve"> de la notificación de la sentencia</w:t>
      </w:r>
      <w:r w:rsidR="00D220F3" w:rsidRPr="00BF20FA">
        <w:rPr>
          <w:rStyle w:val="FootnoteReference"/>
          <w:rFonts w:asciiTheme="majorHAnsi" w:hAnsiTheme="majorHAnsi"/>
          <w:color w:val="000000" w:themeColor="text1"/>
          <w:sz w:val="20"/>
          <w:szCs w:val="20"/>
          <w:lang w:val="es-CO"/>
        </w:rPr>
        <w:footnoteReference w:id="47"/>
      </w:r>
      <w:r w:rsidR="00651CCB" w:rsidRPr="00BF20FA">
        <w:rPr>
          <w:rFonts w:asciiTheme="majorHAnsi" w:hAnsiTheme="majorHAnsi"/>
          <w:color w:val="000000" w:themeColor="text1"/>
          <w:sz w:val="20"/>
          <w:szCs w:val="20"/>
          <w:lang w:val="es-CO"/>
        </w:rPr>
        <w:t>. Asimismo,</w:t>
      </w:r>
      <w:r w:rsidR="00484809" w:rsidRPr="00BF20FA">
        <w:rPr>
          <w:rFonts w:asciiTheme="majorHAnsi" w:hAnsiTheme="majorHAnsi"/>
          <w:color w:val="000000" w:themeColor="text1"/>
          <w:sz w:val="20"/>
          <w:szCs w:val="20"/>
          <w:lang w:val="es-CO"/>
        </w:rPr>
        <w:t xml:space="preserve"> decretó que</w:t>
      </w:r>
      <w:r w:rsidR="00484809" w:rsidRPr="00BF20FA">
        <w:rPr>
          <w:rFonts w:asciiTheme="majorHAnsi" w:hAnsiTheme="majorHAnsi"/>
          <w:color w:val="000000" w:themeColor="text1"/>
          <w:sz w:val="20"/>
          <w:szCs w:val="20"/>
          <w:lang w:val="es-ES"/>
        </w:rPr>
        <w:t xml:space="preserve"> “</w:t>
      </w:r>
      <w:r w:rsidR="00220A73" w:rsidRPr="00BF20FA">
        <w:rPr>
          <w:rFonts w:asciiTheme="majorHAnsi" w:hAnsiTheme="majorHAnsi"/>
          <w:color w:val="000000" w:themeColor="text1"/>
          <w:sz w:val="20"/>
          <w:szCs w:val="20"/>
          <w:lang w:val="es-ES"/>
        </w:rPr>
        <w:t>la tutela que se concede, sobre el derecho fundamental a la participación de la comunidad U´wa, estará vigente, mientras la jurisdicción de lo contencioso administrativo se pronuncia en relación con la nulidad de la resolución que otorgó la licencia ambiental, en razón de la vulneración de dicho derecho”</w:t>
      </w:r>
      <w:r w:rsidR="00220A73" w:rsidRPr="00BF20FA">
        <w:rPr>
          <w:rStyle w:val="FootnoteReference"/>
          <w:rFonts w:asciiTheme="majorHAnsi" w:hAnsiTheme="majorHAnsi"/>
          <w:color w:val="000000" w:themeColor="text1"/>
          <w:sz w:val="20"/>
          <w:szCs w:val="20"/>
          <w:lang w:val="es-ES"/>
        </w:rPr>
        <w:footnoteReference w:id="48"/>
      </w:r>
    </w:p>
    <w:p w14:paraId="1AB339F3" w14:textId="77777777" w:rsidR="00871D99" w:rsidRPr="00BF20FA" w:rsidRDefault="00871D99" w:rsidP="00871D9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CO"/>
        </w:rPr>
      </w:pPr>
    </w:p>
    <w:p w14:paraId="68C2CE41" w14:textId="77777777" w:rsidR="002415D6" w:rsidRPr="00BF20FA" w:rsidRDefault="00220A73"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w:t>
      </w:r>
      <w:r w:rsidR="00F807E9" w:rsidRPr="00BF20FA">
        <w:rPr>
          <w:rFonts w:asciiTheme="majorHAnsi" w:hAnsiTheme="majorHAnsi"/>
          <w:color w:val="000000" w:themeColor="text1"/>
          <w:sz w:val="20"/>
          <w:szCs w:val="20"/>
          <w:lang w:val="es-CO"/>
        </w:rPr>
        <w:t xml:space="preserve">4 de marzo de 1997, </w:t>
      </w:r>
      <w:r w:rsidR="006A3D46" w:rsidRPr="00BF20FA">
        <w:rPr>
          <w:rFonts w:asciiTheme="majorHAnsi" w:hAnsiTheme="majorHAnsi"/>
          <w:color w:val="000000" w:themeColor="text1"/>
          <w:sz w:val="20"/>
          <w:szCs w:val="20"/>
          <w:lang w:val="es-CO"/>
        </w:rPr>
        <w:t xml:space="preserve">la Sala Plena de lo Contencioso Administrativo </w:t>
      </w:r>
      <w:r w:rsidR="00F807E9" w:rsidRPr="00BF20FA">
        <w:rPr>
          <w:rFonts w:asciiTheme="majorHAnsi" w:hAnsiTheme="majorHAnsi"/>
          <w:color w:val="000000" w:themeColor="text1"/>
          <w:sz w:val="20"/>
          <w:szCs w:val="20"/>
          <w:lang w:val="es-CO"/>
        </w:rPr>
        <w:t>de</w:t>
      </w:r>
      <w:r w:rsidR="00912E7E" w:rsidRPr="00BF20FA">
        <w:rPr>
          <w:rFonts w:asciiTheme="majorHAnsi" w:hAnsiTheme="majorHAnsi"/>
          <w:color w:val="000000" w:themeColor="text1"/>
          <w:sz w:val="20"/>
          <w:szCs w:val="20"/>
          <w:lang w:val="es-CO"/>
        </w:rPr>
        <w:t>claró la legalidad de la licencia ambiental</w:t>
      </w:r>
      <w:r w:rsidR="00F807E9" w:rsidRPr="00BF20FA">
        <w:rPr>
          <w:rFonts w:asciiTheme="majorHAnsi" w:hAnsiTheme="majorHAnsi"/>
          <w:color w:val="000000" w:themeColor="text1"/>
          <w:sz w:val="20"/>
          <w:szCs w:val="20"/>
          <w:lang w:val="es-CO"/>
        </w:rPr>
        <w:t>, arguyendo</w:t>
      </w:r>
      <w:r w:rsidR="006534B9" w:rsidRPr="00BF20FA">
        <w:rPr>
          <w:rFonts w:asciiTheme="majorHAnsi" w:hAnsiTheme="majorHAnsi"/>
          <w:color w:val="000000" w:themeColor="text1"/>
          <w:sz w:val="20"/>
          <w:szCs w:val="20"/>
          <w:lang w:val="es-CO"/>
        </w:rPr>
        <w:t xml:space="preserve"> que</w:t>
      </w:r>
      <w:r w:rsidR="002415D6" w:rsidRPr="00BF20FA">
        <w:rPr>
          <w:rFonts w:asciiTheme="majorHAnsi" w:eastAsia="Arial Unicode MS" w:hAnsiTheme="majorHAnsi" w:cs="Times New Roman"/>
          <w:color w:val="548DD4" w:themeColor="text2" w:themeTint="99"/>
          <w:sz w:val="20"/>
          <w:szCs w:val="20"/>
          <w:lang w:val="es-CO" w:eastAsia="en-US"/>
        </w:rPr>
        <w:t xml:space="preserve"> </w:t>
      </w:r>
      <w:r w:rsidR="002415D6" w:rsidRPr="00BF20FA">
        <w:rPr>
          <w:rFonts w:asciiTheme="majorHAnsi" w:hAnsiTheme="majorHAnsi"/>
          <w:color w:val="000000" w:themeColor="text1"/>
          <w:sz w:val="20"/>
          <w:szCs w:val="20"/>
          <w:lang w:val="es-CO"/>
        </w:rPr>
        <w:t>el procedimiento de consulta previa realizado el 10 y 11 de enero de 1995 era</w:t>
      </w:r>
      <w:r w:rsidR="00912E7E" w:rsidRPr="00BF20FA">
        <w:rPr>
          <w:rFonts w:asciiTheme="majorHAnsi" w:hAnsiTheme="majorHAnsi"/>
          <w:color w:val="000000" w:themeColor="text1"/>
          <w:sz w:val="20"/>
          <w:szCs w:val="20"/>
          <w:lang w:val="es-CO"/>
        </w:rPr>
        <w:t xml:space="preserve"> ‘‘el razonablemente adecuado’’ y que</w:t>
      </w:r>
      <w:r w:rsidR="002415D6" w:rsidRPr="00BF20FA">
        <w:rPr>
          <w:rFonts w:asciiTheme="majorHAnsi" w:hAnsiTheme="majorHAnsi"/>
          <w:color w:val="000000" w:themeColor="text1"/>
          <w:sz w:val="20"/>
          <w:szCs w:val="20"/>
          <w:lang w:val="es-CO"/>
        </w:rPr>
        <w:t xml:space="preserve"> </w:t>
      </w:r>
      <w:r w:rsidR="00F807E9" w:rsidRPr="00BF20FA">
        <w:rPr>
          <w:rFonts w:asciiTheme="majorHAnsi" w:hAnsiTheme="majorHAnsi"/>
          <w:color w:val="000000" w:themeColor="text1"/>
          <w:sz w:val="20"/>
          <w:szCs w:val="20"/>
          <w:lang w:val="es-CO"/>
        </w:rPr>
        <w:t>‘‘</w:t>
      </w:r>
      <w:r w:rsidR="006A3D46" w:rsidRPr="00BF20FA">
        <w:rPr>
          <w:rFonts w:asciiTheme="majorHAnsi" w:hAnsiTheme="majorHAnsi"/>
          <w:color w:val="000000" w:themeColor="text1"/>
          <w:sz w:val="20"/>
          <w:szCs w:val="20"/>
          <w:lang w:val="es-CO"/>
        </w:rPr>
        <w:t>la consulta no implicaba que existiera en términos absolutos un acuerdo o consentimiento de la comunidad indígena en relación con la licencia a otorgarse, sino que la consulta se hiciera con ese o</w:t>
      </w:r>
      <w:r w:rsidR="002415D6" w:rsidRPr="00BF20FA">
        <w:rPr>
          <w:rFonts w:asciiTheme="majorHAnsi" w:hAnsiTheme="majorHAnsi"/>
          <w:color w:val="000000" w:themeColor="text1"/>
          <w:sz w:val="20"/>
          <w:szCs w:val="20"/>
          <w:lang w:val="es-CO"/>
        </w:rPr>
        <w:t>bjetivo’’</w:t>
      </w:r>
      <w:r w:rsidR="005B7AA5" w:rsidRPr="00BF20FA">
        <w:rPr>
          <w:rStyle w:val="FootnoteReference"/>
          <w:rFonts w:asciiTheme="majorHAnsi" w:hAnsiTheme="majorHAnsi"/>
          <w:color w:val="000000" w:themeColor="text1"/>
          <w:sz w:val="20"/>
          <w:szCs w:val="20"/>
          <w:lang w:val="es-CO"/>
        </w:rPr>
        <w:footnoteReference w:id="49"/>
      </w:r>
      <w:r w:rsidR="002415D6" w:rsidRPr="00BF20FA">
        <w:rPr>
          <w:rFonts w:asciiTheme="majorHAnsi" w:hAnsiTheme="majorHAnsi"/>
          <w:color w:val="000000" w:themeColor="text1"/>
          <w:sz w:val="20"/>
          <w:szCs w:val="20"/>
          <w:lang w:val="es-CO"/>
        </w:rPr>
        <w:t>.</w:t>
      </w:r>
      <w:r w:rsidR="00ED287B" w:rsidRPr="00BF20FA">
        <w:rPr>
          <w:rFonts w:asciiTheme="majorHAnsi" w:hAnsiTheme="majorHAnsi"/>
          <w:color w:val="000000" w:themeColor="text1"/>
          <w:sz w:val="20"/>
          <w:szCs w:val="20"/>
          <w:lang w:val="es-CO"/>
        </w:rPr>
        <w:t xml:space="preserve">Dicha resolución ordenó que se levantara la orden de inaplicación de la Resolución No. 113 del 3 de febrero de 1995, confirmada por la Corte Constitucional </w:t>
      </w:r>
      <w:r w:rsidR="005E5416" w:rsidRPr="00BF20FA">
        <w:rPr>
          <w:rFonts w:asciiTheme="majorHAnsi" w:hAnsiTheme="majorHAnsi"/>
          <w:color w:val="000000" w:themeColor="text1"/>
          <w:sz w:val="20"/>
          <w:szCs w:val="20"/>
          <w:lang w:val="es-CO"/>
        </w:rPr>
        <w:t>mediante sentencia de tutela de</w:t>
      </w:r>
      <w:r w:rsidR="00ED287B" w:rsidRPr="00BF20FA">
        <w:rPr>
          <w:rFonts w:asciiTheme="majorHAnsi" w:hAnsiTheme="majorHAnsi"/>
          <w:color w:val="000000" w:themeColor="text1"/>
          <w:sz w:val="20"/>
          <w:szCs w:val="20"/>
          <w:lang w:val="es-CO"/>
        </w:rPr>
        <w:t xml:space="preserve"> 3 de febrero de 1997</w:t>
      </w:r>
      <w:r w:rsidR="00ED287B" w:rsidRPr="00BF20FA">
        <w:rPr>
          <w:rStyle w:val="FootnoteReference"/>
          <w:rFonts w:asciiTheme="majorHAnsi" w:hAnsiTheme="majorHAnsi"/>
          <w:color w:val="000000" w:themeColor="text1"/>
          <w:sz w:val="20"/>
          <w:szCs w:val="20"/>
          <w:lang w:val="es-CO"/>
        </w:rPr>
        <w:footnoteReference w:id="50"/>
      </w:r>
      <w:r w:rsidR="00ED287B" w:rsidRPr="00BF20FA">
        <w:rPr>
          <w:rFonts w:asciiTheme="majorHAnsi" w:hAnsiTheme="majorHAnsi"/>
          <w:color w:val="000000" w:themeColor="text1"/>
          <w:sz w:val="20"/>
          <w:szCs w:val="20"/>
          <w:lang w:val="es-CO"/>
        </w:rPr>
        <w:t>.</w:t>
      </w:r>
      <w:r w:rsidR="00BC751A" w:rsidRPr="00BF20FA">
        <w:rPr>
          <w:rFonts w:asciiTheme="majorHAnsi" w:hAnsiTheme="majorHAnsi"/>
          <w:color w:val="000000" w:themeColor="text1"/>
          <w:sz w:val="20"/>
          <w:szCs w:val="20"/>
          <w:lang w:val="es-CO"/>
        </w:rPr>
        <w:t xml:space="preserve"> El Estado afirmó que no obstante que ello otorgaba aval judicial para iniciar las operaciones de exploración en el Bloque Samoré, la compañía Occidental decidió no iniciar las actividades hasta que se </w:t>
      </w:r>
      <w:r w:rsidR="00D20C23" w:rsidRPr="00BF20FA">
        <w:rPr>
          <w:rFonts w:asciiTheme="majorHAnsi" w:hAnsiTheme="majorHAnsi"/>
          <w:color w:val="000000" w:themeColor="text1"/>
          <w:sz w:val="20"/>
          <w:szCs w:val="20"/>
          <w:lang w:val="es-CO"/>
        </w:rPr>
        <w:t>encontrara una solución</w:t>
      </w:r>
      <w:r w:rsidR="00BC751A" w:rsidRPr="00BF20FA">
        <w:rPr>
          <w:rFonts w:asciiTheme="majorHAnsi" w:hAnsiTheme="majorHAnsi"/>
          <w:color w:val="000000" w:themeColor="text1"/>
          <w:sz w:val="20"/>
          <w:szCs w:val="20"/>
          <w:lang w:val="es-CO"/>
        </w:rPr>
        <w:t xml:space="preserve"> definitiva a la controversia con el Pueblo U´wa</w:t>
      </w:r>
      <w:r w:rsidR="00D20C23" w:rsidRPr="00BF20FA">
        <w:rPr>
          <w:rStyle w:val="FootnoteReference"/>
          <w:rFonts w:asciiTheme="majorHAnsi" w:hAnsiTheme="majorHAnsi"/>
          <w:color w:val="000000" w:themeColor="text1"/>
          <w:sz w:val="20"/>
          <w:szCs w:val="20"/>
          <w:lang w:val="es-CO"/>
        </w:rPr>
        <w:footnoteReference w:id="51"/>
      </w:r>
      <w:r w:rsidR="00BC751A" w:rsidRPr="00BF20FA">
        <w:rPr>
          <w:rFonts w:asciiTheme="majorHAnsi" w:hAnsiTheme="majorHAnsi"/>
          <w:color w:val="000000" w:themeColor="text1"/>
          <w:sz w:val="20"/>
          <w:szCs w:val="20"/>
          <w:lang w:val="es-CO"/>
        </w:rPr>
        <w:t>.</w:t>
      </w:r>
    </w:p>
    <w:p w14:paraId="146F8F8C" w14:textId="77777777" w:rsidR="00657ECD" w:rsidRPr="00BF20FA" w:rsidRDefault="00657ECD" w:rsidP="00614E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CO"/>
        </w:rPr>
      </w:pPr>
    </w:p>
    <w:p w14:paraId="16E2B1F9" w14:textId="77777777" w:rsidR="006A3D46"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En mayo de </w:t>
      </w:r>
      <w:r w:rsidR="002415D6" w:rsidRPr="00BF20FA">
        <w:rPr>
          <w:rFonts w:asciiTheme="majorHAnsi" w:hAnsiTheme="majorHAnsi"/>
          <w:color w:val="000000" w:themeColor="text1"/>
          <w:sz w:val="20"/>
          <w:szCs w:val="20"/>
          <w:lang w:val="es-CO"/>
        </w:rPr>
        <w:t>1997</w:t>
      </w:r>
      <w:r w:rsidRPr="00BF20FA">
        <w:rPr>
          <w:rFonts w:asciiTheme="majorHAnsi" w:hAnsiTheme="majorHAnsi"/>
          <w:color w:val="000000" w:themeColor="text1"/>
          <w:sz w:val="20"/>
          <w:szCs w:val="20"/>
          <w:lang w:val="es-CO"/>
        </w:rPr>
        <w:t xml:space="preserve"> el </w:t>
      </w:r>
      <w:r w:rsidR="00F93D3C" w:rsidRPr="00BF20FA">
        <w:rPr>
          <w:rFonts w:asciiTheme="majorHAnsi" w:hAnsiTheme="majorHAnsi"/>
          <w:color w:val="000000" w:themeColor="text1"/>
          <w:sz w:val="20"/>
          <w:szCs w:val="20"/>
          <w:lang w:val="es-CO"/>
        </w:rPr>
        <w:t>g</w:t>
      </w:r>
      <w:r w:rsidRPr="00BF20FA">
        <w:rPr>
          <w:rFonts w:asciiTheme="majorHAnsi" w:hAnsiTheme="majorHAnsi"/>
          <w:color w:val="000000" w:themeColor="text1"/>
          <w:sz w:val="20"/>
          <w:szCs w:val="20"/>
          <w:lang w:val="es-CO"/>
        </w:rPr>
        <w:t xml:space="preserve">obierno colombiano solicitó a la Organización de Estados Americanos </w:t>
      </w:r>
      <w:r w:rsidR="00524559" w:rsidRPr="00BF20FA">
        <w:rPr>
          <w:rFonts w:asciiTheme="majorHAnsi" w:hAnsiTheme="majorHAnsi"/>
          <w:color w:val="000000" w:themeColor="text1"/>
          <w:sz w:val="20"/>
          <w:szCs w:val="20"/>
          <w:lang w:val="es-CO"/>
        </w:rPr>
        <w:t xml:space="preserve">(OEA) </w:t>
      </w:r>
      <w:r w:rsidRPr="00BF20FA">
        <w:rPr>
          <w:rFonts w:asciiTheme="majorHAnsi" w:hAnsiTheme="majorHAnsi"/>
          <w:color w:val="000000" w:themeColor="text1"/>
          <w:sz w:val="20"/>
          <w:szCs w:val="20"/>
          <w:lang w:val="es-CO"/>
        </w:rPr>
        <w:t xml:space="preserve">‘‘convocar la participación de Harvard University para auspiciar una investigación </w:t>
      </w:r>
      <w:r w:rsidRPr="00BF20FA">
        <w:rPr>
          <w:rFonts w:asciiTheme="majorHAnsi" w:hAnsiTheme="majorHAnsi"/>
          <w:i/>
          <w:color w:val="000000" w:themeColor="text1"/>
          <w:sz w:val="20"/>
          <w:szCs w:val="20"/>
          <w:lang w:val="es-CO"/>
        </w:rPr>
        <w:t>in situ</w:t>
      </w:r>
      <w:r w:rsidRPr="00BF20FA">
        <w:rPr>
          <w:rFonts w:asciiTheme="majorHAnsi" w:hAnsiTheme="majorHAnsi"/>
          <w:color w:val="000000" w:themeColor="text1"/>
          <w:sz w:val="20"/>
          <w:szCs w:val="20"/>
          <w:lang w:val="es-CO"/>
        </w:rPr>
        <w:t xml:space="preserve"> del conf</w:t>
      </w:r>
      <w:r w:rsidR="001C2DE4" w:rsidRPr="00BF20FA">
        <w:rPr>
          <w:rFonts w:asciiTheme="majorHAnsi" w:hAnsiTheme="majorHAnsi"/>
          <w:color w:val="000000" w:themeColor="text1"/>
          <w:sz w:val="20"/>
          <w:szCs w:val="20"/>
          <w:lang w:val="es-CO"/>
        </w:rPr>
        <w:t xml:space="preserve">licto entre los indígenas U’wa </w:t>
      </w:r>
      <w:r w:rsidRPr="00BF20FA">
        <w:rPr>
          <w:rFonts w:asciiTheme="majorHAnsi" w:hAnsiTheme="majorHAnsi"/>
          <w:color w:val="000000" w:themeColor="text1"/>
          <w:sz w:val="20"/>
          <w:szCs w:val="20"/>
          <w:lang w:val="es-CO"/>
        </w:rPr>
        <w:t>y las compañías petroleras’’</w:t>
      </w:r>
      <w:r w:rsidRPr="00BF20FA">
        <w:rPr>
          <w:rStyle w:val="FootnoteReference"/>
          <w:rFonts w:asciiTheme="majorHAnsi" w:hAnsiTheme="majorHAnsi"/>
          <w:color w:val="000000" w:themeColor="text1"/>
          <w:sz w:val="20"/>
          <w:szCs w:val="20"/>
          <w:lang w:val="es-CO"/>
        </w:rPr>
        <w:footnoteReference w:id="52"/>
      </w:r>
      <w:r w:rsidRPr="00BF20FA">
        <w:rPr>
          <w:rFonts w:asciiTheme="majorHAnsi" w:hAnsiTheme="majorHAnsi"/>
          <w:color w:val="000000" w:themeColor="text1"/>
          <w:sz w:val="20"/>
          <w:szCs w:val="20"/>
          <w:lang w:val="es-CO"/>
        </w:rPr>
        <w:t>. La OEA respondió enviando un equipo conjunto, denominado ‘‘Proyecto OEA/Harvard en Colombia’’ que viajó a Colombia</w:t>
      </w:r>
      <w:r w:rsidR="001C2DE4" w:rsidRPr="00BF20FA">
        <w:rPr>
          <w:rFonts w:asciiTheme="majorHAnsi" w:hAnsiTheme="majorHAnsi"/>
          <w:color w:val="000000" w:themeColor="text1"/>
          <w:sz w:val="20"/>
          <w:szCs w:val="20"/>
          <w:lang w:val="es-CO"/>
        </w:rPr>
        <w:t xml:space="preserve"> en dos ocasiones durante </w:t>
      </w:r>
      <w:r w:rsidR="008B7DEA" w:rsidRPr="00BF20FA">
        <w:rPr>
          <w:rFonts w:asciiTheme="majorHAnsi" w:hAnsiTheme="majorHAnsi"/>
          <w:color w:val="000000" w:themeColor="text1"/>
          <w:sz w:val="20"/>
          <w:szCs w:val="20"/>
          <w:lang w:val="es-CO"/>
        </w:rPr>
        <w:t>1997</w:t>
      </w:r>
      <w:r w:rsidRPr="00BF20FA">
        <w:rPr>
          <w:rFonts w:asciiTheme="majorHAnsi" w:hAnsiTheme="majorHAnsi"/>
          <w:color w:val="000000" w:themeColor="text1"/>
          <w:sz w:val="20"/>
          <w:szCs w:val="20"/>
          <w:lang w:val="es-CO"/>
        </w:rPr>
        <w:t>.</w:t>
      </w:r>
      <w:r w:rsidR="001C2DE4"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Las recomendaciones decretadas como resultado del proyecto OEA/Harvard fueron: </w:t>
      </w:r>
    </w:p>
    <w:p w14:paraId="11D25535" w14:textId="77777777" w:rsidR="006A3D46" w:rsidRPr="00BF20FA" w:rsidRDefault="006A3D46" w:rsidP="006A3D4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990"/>
        <w:jc w:val="both"/>
        <w:rPr>
          <w:rFonts w:asciiTheme="majorHAnsi" w:hAnsiTheme="majorHAnsi"/>
          <w:color w:val="000000" w:themeColor="text1"/>
          <w:sz w:val="20"/>
          <w:szCs w:val="20"/>
          <w:lang w:val="es-CO"/>
        </w:rPr>
      </w:pPr>
    </w:p>
    <w:p w14:paraId="4D1B8B20" w14:textId="77777777" w:rsidR="006A3D46" w:rsidRPr="00BF20FA" w:rsidRDefault="006A3D46" w:rsidP="00B468B8">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360" w:right="360"/>
        <w:jc w:val="both"/>
        <w:rPr>
          <w:rFonts w:asciiTheme="majorHAnsi" w:hAnsiTheme="majorHAnsi"/>
          <w:color w:val="000000" w:themeColor="text1"/>
          <w:sz w:val="18"/>
          <w:szCs w:val="18"/>
          <w:lang w:val="es-CO"/>
        </w:rPr>
      </w:pPr>
      <w:r w:rsidRPr="00BF20FA">
        <w:rPr>
          <w:rFonts w:asciiTheme="majorHAnsi" w:hAnsiTheme="majorHAnsi"/>
          <w:color w:val="000000" w:themeColor="text1"/>
          <w:sz w:val="18"/>
          <w:szCs w:val="18"/>
          <w:lang w:val="es-CO"/>
        </w:rPr>
        <w:t xml:space="preserve">1. </w:t>
      </w:r>
      <w:r w:rsidR="008B0369" w:rsidRPr="00BF20FA">
        <w:rPr>
          <w:rFonts w:asciiTheme="majorHAnsi" w:hAnsiTheme="majorHAnsi"/>
          <w:color w:val="000000" w:themeColor="text1"/>
          <w:sz w:val="18"/>
          <w:szCs w:val="18"/>
          <w:lang w:val="es-CO"/>
        </w:rPr>
        <w:t>Declaración</w:t>
      </w:r>
      <w:r w:rsidRPr="00BF20FA">
        <w:rPr>
          <w:rFonts w:asciiTheme="majorHAnsi" w:hAnsiTheme="majorHAnsi"/>
          <w:color w:val="000000" w:themeColor="text1"/>
          <w:sz w:val="18"/>
          <w:szCs w:val="18"/>
          <w:lang w:val="es-CO"/>
        </w:rPr>
        <w:t xml:space="preserve"> de las compañías petroleras comprometiéndose a suspender la ejecución de sus planes para la exploración o explotación de petróleo dentro del Bloque Samoré</w:t>
      </w:r>
      <w:r w:rsidR="008B0369" w:rsidRPr="00BF20FA">
        <w:rPr>
          <w:rFonts w:asciiTheme="majorHAnsi" w:hAnsiTheme="majorHAnsi"/>
          <w:color w:val="000000" w:themeColor="text1"/>
          <w:sz w:val="18"/>
          <w:szCs w:val="18"/>
          <w:lang w:val="es-CO"/>
        </w:rPr>
        <w:t xml:space="preserve"> </w:t>
      </w:r>
      <w:r w:rsidR="005E2187" w:rsidRPr="00BF20FA">
        <w:rPr>
          <w:rFonts w:asciiTheme="majorHAnsi" w:hAnsiTheme="majorHAnsi"/>
          <w:color w:val="000000" w:themeColor="text1"/>
          <w:sz w:val="18"/>
          <w:szCs w:val="18"/>
          <w:lang w:val="es-CO"/>
        </w:rPr>
        <w:t>[…]</w:t>
      </w:r>
      <w:r w:rsidRPr="00BF20FA">
        <w:rPr>
          <w:rFonts w:asciiTheme="majorHAnsi" w:hAnsiTheme="majorHAnsi"/>
          <w:color w:val="000000" w:themeColor="text1"/>
          <w:sz w:val="18"/>
          <w:szCs w:val="18"/>
          <w:lang w:val="es-CO"/>
        </w:rPr>
        <w:t xml:space="preserve">; 2. La normalización del proceso para la ampliación del resguardo U’wa; 3. </w:t>
      </w:r>
      <w:r w:rsidR="008B0369" w:rsidRPr="00BF20FA">
        <w:rPr>
          <w:rFonts w:asciiTheme="majorHAnsi" w:hAnsiTheme="majorHAnsi"/>
          <w:color w:val="000000" w:themeColor="text1"/>
          <w:sz w:val="18"/>
          <w:szCs w:val="18"/>
          <w:lang w:val="es-CO"/>
        </w:rPr>
        <w:t>Moderación</w:t>
      </w:r>
      <w:r w:rsidRPr="00BF20FA">
        <w:rPr>
          <w:rFonts w:asciiTheme="majorHAnsi" w:hAnsiTheme="majorHAnsi"/>
          <w:color w:val="000000" w:themeColor="text1"/>
          <w:sz w:val="18"/>
          <w:szCs w:val="18"/>
          <w:lang w:val="es-CO"/>
        </w:rPr>
        <w:t xml:space="preserve"> en la retórica pública de las partes; 4. Reconocimiento y respeto para el sistema U’wa de autoridad y liderazgo; 5. Concretización de un proceso de consulta bajo la responsabilidad del Gobierno colombiano; 6. Preparación y asistencia técnica para los U’wa en cualquiera consulta que se realice con ellos; 7. La creación de un programa para promover una mayor comprensión mutua entre las partes’’</w:t>
      </w:r>
      <w:r w:rsidRPr="00BF20FA">
        <w:rPr>
          <w:rStyle w:val="FootnoteReference"/>
          <w:rFonts w:asciiTheme="majorHAnsi" w:hAnsiTheme="majorHAnsi"/>
          <w:color w:val="000000" w:themeColor="text1"/>
          <w:sz w:val="18"/>
          <w:szCs w:val="18"/>
          <w:lang w:val="es-CO"/>
        </w:rPr>
        <w:footnoteReference w:id="53"/>
      </w:r>
      <w:r w:rsidRPr="00BF20FA">
        <w:rPr>
          <w:rFonts w:asciiTheme="majorHAnsi" w:hAnsiTheme="majorHAnsi"/>
          <w:color w:val="000000" w:themeColor="text1"/>
          <w:sz w:val="18"/>
          <w:szCs w:val="18"/>
          <w:lang w:val="es-CO"/>
        </w:rPr>
        <w:t>.</w:t>
      </w:r>
    </w:p>
    <w:p w14:paraId="34B51F4C" w14:textId="77777777" w:rsidR="006A3D46" w:rsidRPr="00BF20FA" w:rsidRDefault="006A3D46" w:rsidP="006A3D4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990"/>
        <w:jc w:val="both"/>
        <w:rPr>
          <w:rFonts w:asciiTheme="majorHAnsi" w:hAnsiTheme="majorHAnsi"/>
          <w:color w:val="000000" w:themeColor="text1"/>
          <w:sz w:val="20"/>
          <w:szCs w:val="20"/>
          <w:lang w:val="es-CO"/>
        </w:rPr>
      </w:pPr>
    </w:p>
    <w:p w14:paraId="237E63D4" w14:textId="77777777" w:rsidR="00E50953"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El 2 de noviembre de 1997 el equipo OEA/Harvard </w:t>
      </w:r>
      <w:r w:rsidR="00297276" w:rsidRPr="00BF20FA">
        <w:rPr>
          <w:rFonts w:asciiTheme="majorHAnsi" w:hAnsiTheme="majorHAnsi"/>
          <w:color w:val="000000" w:themeColor="text1"/>
          <w:sz w:val="20"/>
          <w:szCs w:val="20"/>
          <w:lang w:val="es-CO"/>
        </w:rPr>
        <w:t xml:space="preserve">remitió escrito </w:t>
      </w:r>
      <w:r w:rsidR="008B0369" w:rsidRPr="00BF20FA">
        <w:rPr>
          <w:rFonts w:asciiTheme="majorHAnsi" w:hAnsiTheme="majorHAnsi"/>
          <w:color w:val="000000" w:themeColor="text1"/>
          <w:sz w:val="20"/>
          <w:szCs w:val="20"/>
          <w:lang w:val="es-CO"/>
        </w:rPr>
        <w:t xml:space="preserve">al Pueblo U’wa </w:t>
      </w:r>
      <w:r w:rsidR="00A464E7" w:rsidRPr="00BF20FA">
        <w:rPr>
          <w:rFonts w:asciiTheme="majorHAnsi" w:hAnsiTheme="majorHAnsi"/>
          <w:color w:val="000000" w:themeColor="text1"/>
          <w:sz w:val="20"/>
          <w:szCs w:val="20"/>
          <w:lang w:val="es-CO"/>
        </w:rPr>
        <w:t xml:space="preserve">señalando </w:t>
      </w:r>
      <w:r w:rsidRPr="00BF20FA">
        <w:rPr>
          <w:rFonts w:asciiTheme="majorHAnsi" w:hAnsiTheme="majorHAnsi"/>
          <w:color w:val="000000" w:themeColor="text1"/>
          <w:sz w:val="20"/>
          <w:szCs w:val="20"/>
          <w:lang w:val="es-CO"/>
        </w:rPr>
        <w:t>‘‘el Ministerio de Minas y Energía nos envió carta, informando que las compañías petroleras habían suspendido operaciones en el Bloque Samoré</w:t>
      </w:r>
      <w:r w:rsidR="00A464E7"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54"/>
      </w:r>
      <w:r w:rsidRPr="00BF20FA">
        <w:rPr>
          <w:rFonts w:asciiTheme="majorHAnsi" w:hAnsiTheme="majorHAnsi"/>
          <w:color w:val="000000" w:themeColor="text1"/>
          <w:sz w:val="20"/>
          <w:szCs w:val="20"/>
          <w:lang w:val="es-CO"/>
        </w:rPr>
        <w:t>.</w:t>
      </w:r>
      <w:r w:rsidR="005779FF"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A través de escrito del 16 d</w:t>
      </w:r>
      <w:r w:rsidR="00A464E7" w:rsidRPr="00BF20FA">
        <w:rPr>
          <w:rFonts w:asciiTheme="majorHAnsi" w:hAnsiTheme="majorHAnsi"/>
          <w:color w:val="000000" w:themeColor="text1"/>
          <w:sz w:val="20"/>
          <w:szCs w:val="20"/>
          <w:lang w:val="es-CO"/>
        </w:rPr>
        <w:t>e febrero de 1998, la ONIC envió</w:t>
      </w:r>
      <w:r w:rsidRPr="00BF20FA">
        <w:rPr>
          <w:rFonts w:asciiTheme="majorHAnsi" w:hAnsiTheme="majorHAnsi"/>
          <w:color w:val="000000" w:themeColor="text1"/>
          <w:sz w:val="20"/>
          <w:szCs w:val="20"/>
          <w:lang w:val="es-CO"/>
        </w:rPr>
        <w:t xml:space="preserve"> respuesta a</w:t>
      </w:r>
      <w:r w:rsidR="00A464E7" w:rsidRPr="00BF20FA">
        <w:rPr>
          <w:rFonts w:asciiTheme="majorHAnsi" w:hAnsiTheme="majorHAnsi"/>
          <w:color w:val="000000" w:themeColor="text1"/>
          <w:sz w:val="20"/>
          <w:szCs w:val="20"/>
          <w:lang w:val="es-CO"/>
        </w:rPr>
        <w:t xml:space="preserve">l equipo OEA/Harvard </w:t>
      </w:r>
      <w:r w:rsidR="005779FF" w:rsidRPr="00BF20FA">
        <w:rPr>
          <w:rFonts w:asciiTheme="majorHAnsi" w:hAnsiTheme="majorHAnsi"/>
          <w:color w:val="000000" w:themeColor="text1"/>
          <w:sz w:val="20"/>
          <w:szCs w:val="20"/>
          <w:lang w:val="es-CO"/>
        </w:rPr>
        <w:t xml:space="preserve">indicando compartir, en general, </w:t>
      </w:r>
      <w:r w:rsidRPr="00BF20FA">
        <w:rPr>
          <w:rFonts w:asciiTheme="majorHAnsi" w:hAnsiTheme="majorHAnsi"/>
          <w:color w:val="000000" w:themeColor="text1"/>
          <w:sz w:val="20"/>
          <w:szCs w:val="20"/>
          <w:lang w:val="es-CO"/>
        </w:rPr>
        <w:t>las recomendaciones del Informe</w:t>
      </w:r>
      <w:r w:rsidR="005779FF" w:rsidRPr="00BF20FA">
        <w:rPr>
          <w:rFonts w:asciiTheme="majorHAnsi" w:hAnsiTheme="majorHAnsi"/>
          <w:color w:val="000000" w:themeColor="text1"/>
          <w:sz w:val="20"/>
          <w:szCs w:val="20"/>
          <w:lang w:val="es-CO"/>
        </w:rPr>
        <w:t xml:space="preserve">; sin embargo, señaló que parte de </w:t>
      </w:r>
      <w:r w:rsidRPr="00BF20FA">
        <w:rPr>
          <w:rFonts w:asciiTheme="majorHAnsi" w:hAnsiTheme="majorHAnsi"/>
          <w:color w:val="000000" w:themeColor="text1"/>
          <w:sz w:val="20"/>
          <w:szCs w:val="20"/>
          <w:lang w:val="es-CO"/>
        </w:rPr>
        <w:t xml:space="preserve">la recomendación No. 5 </w:t>
      </w:r>
      <w:r w:rsidR="005779FF"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da la idea de que tarde o temprano el Pueblo U’wa aceptará la exploración petrolera en su territorio. Nos parece que anticipa un resultado y no da espacio a una real deliberación que mantenga vigente la negativa a la explotación en el Territorio U’wa por razones de integridad cultura, social y económica’’</w:t>
      </w:r>
      <w:r w:rsidRPr="00BF20FA">
        <w:rPr>
          <w:rStyle w:val="FootnoteReference"/>
          <w:rFonts w:asciiTheme="majorHAnsi" w:hAnsiTheme="majorHAnsi"/>
          <w:color w:val="000000" w:themeColor="text1"/>
          <w:sz w:val="20"/>
          <w:szCs w:val="20"/>
          <w:lang w:val="es-CO"/>
        </w:rPr>
        <w:footnoteReference w:id="55"/>
      </w:r>
      <w:r w:rsidRPr="00BF20FA">
        <w:rPr>
          <w:rFonts w:asciiTheme="majorHAnsi" w:hAnsiTheme="majorHAnsi"/>
          <w:color w:val="000000" w:themeColor="text1"/>
          <w:sz w:val="20"/>
          <w:szCs w:val="20"/>
          <w:lang w:val="es-CO"/>
        </w:rPr>
        <w:t xml:space="preserve">. </w:t>
      </w:r>
    </w:p>
    <w:p w14:paraId="42C87EDA" w14:textId="77777777" w:rsidR="00E50953" w:rsidRPr="00BF20FA" w:rsidRDefault="00E50953" w:rsidP="00E5095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20B74BF0" w14:textId="77777777" w:rsidR="008112C8"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Ministerio del Interior expidió Decreto N° 1320 de 13 de julio de 1998 ‘‘por el cual se reglamenta la consulta previa con las comunidades indígenas y negras para la explotación de los recursos naturales dentro de su territorio’’</w:t>
      </w:r>
      <w:r w:rsidR="00297276" w:rsidRPr="00BF20FA">
        <w:rPr>
          <w:rStyle w:val="FootnoteReference"/>
          <w:rFonts w:asciiTheme="majorHAnsi" w:hAnsiTheme="majorHAnsi"/>
          <w:color w:val="000000" w:themeColor="text1"/>
          <w:sz w:val="20"/>
          <w:szCs w:val="20"/>
          <w:lang w:val="es-CO"/>
        </w:rPr>
        <w:footnoteReference w:id="56"/>
      </w:r>
      <w:r w:rsidRPr="00BF20FA">
        <w:rPr>
          <w:rFonts w:asciiTheme="majorHAnsi" w:hAnsiTheme="majorHAnsi"/>
          <w:color w:val="000000" w:themeColor="text1"/>
          <w:sz w:val="20"/>
          <w:szCs w:val="20"/>
          <w:lang w:val="es-CO"/>
        </w:rPr>
        <w:t>.</w:t>
      </w:r>
    </w:p>
    <w:p w14:paraId="32E8E864" w14:textId="77777777" w:rsidR="00F93D3C" w:rsidRPr="00BF20FA" w:rsidRDefault="00F93D3C"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2C2812A1" w14:textId="77777777" w:rsidR="007C6746" w:rsidRPr="00BF20FA" w:rsidRDefault="00BE14A2"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En 1999 el territorio del Bloque Samoré </w:t>
      </w:r>
      <w:r w:rsidR="005A2267" w:rsidRPr="00BF20FA">
        <w:rPr>
          <w:rFonts w:asciiTheme="majorHAnsi" w:hAnsiTheme="majorHAnsi"/>
          <w:color w:val="000000" w:themeColor="text1"/>
          <w:sz w:val="20"/>
          <w:szCs w:val="20"/>
          <w:lang w:val="es-CO"/>
        </w:rPr>
        <w:t>fue reducido y pasó a llamarse ‘‘Proyecto Gibraltar’’</w:t>
      </w:r>
      <w:r w:rsidR="005779FF" w:rsidRPr="00BF20FA">
        <w:rPr>
          <w:rStyle w:val="FootnoteReference"/>
          <w:rFonts w:asciiTheme="majorHAnsi" w:hAnsiTheme="majorHAnsi"/>
          <w:color w:val="000000" w:themeColor="text1"/>
          <w:sz w:val="20"/>
          <w:szCs w:val="20"/>
          <w:lang w:val="es-CO"/>
        </w:rPr>
        <w:footnoteReference w:id="57"/>
      </w:r>
      <w:r w:rsidR="00F93D3C" w:rsidRPr="00BF20FA">
        <w:rPr>
          <w:rFonts w:asciiTheme="majorHAnsi" w:hAnsiTheme="majorHAnsi"/>
          <w:color w:val="000000" w:themeColor="text1"/>
          <w:sz w:val="20"/>
          <w:szCs w:val="20"/>
          <w:lang w:val="es-CO"/>
        </w:rPr>
        <w:t>.</w:t>
      </w:r>
      <w:r w:rsidR="00C666B0" w:rsidRPr="00BF20FA">
        <w:rPr>
          <w:rFonts w:asciiTheme="majorHAnsi" w:hAnsiTheme="majorHAnsi"/>
          <w:color w:val="000000" w:themeColor="text1"/>
          <w:sz w:val="20"/>
          <w:szCs w:val="20"/>
          <w:lang w:val="es-CO"/>
        </w:rPr>
        <w:t xml:space="preserve"> </w:t>
      </w:r>
      <w:r w:rsidR="00F82395" w:rsidRPr="00BF20FA">
        <w:rPr>
          <w:rFonts w:asciiTheme="majorHAnsi" w:hAnsiTheme="majorHAnsi"/>
          <w:color w:val="000000" w:themeColor="text1"/>
          <w:sz w:val="20"/>
          <w:szCs w:val="20"/>
          <w:lang w:val="es-CO"/>
        </w:rPr>
        <w:t>Mediante Resolución</w:t>
      </w:r>
      <w:r w:rsidR="00B563EB" w:rsidRPr="00BF20FA">
        <w:rPr>
          <w:rFonts w:asciiTheme="majorHAnsi" w:hAnsiTheme="majorHAnsi"/>
          <w:color w:val="000000" w:themeColor="text1"/>
          <w:sz w:val="20"/>
          <w:szCs w:val="20"/>
          <w:lang w:val="es-CO"/>
        </w:rPr>
        <w:t xml:space="preserve"> 788 del 21 de septiembre de 1999, el Ministerio de  Medio Ambiente otorgó a la empresa Occidental de Colombia Inc. </w:t>
      </w:r>
      <w:r w:rsidR="00F93D3C" w:rsidRPr="00BF20FA">
        <w:rPr>
          <w:rFonts w:asciiTheme="majorHAnsi" w:hAnsiTheme="majorHAnsi"/>
          <w:color w:val="000000" w:themeColor="text1"/>
          <w:sz w:val="20"/>
          <w:szCs w:val="20"/>
          <w:lang w:val="es-CO"/>
        </w:rPr>
        <w:t>una l</w:t>
      </w:r>
      <w:r w:rsidR="00B563EB" w:rsidRPr="00BF20FA">
        <w:rPr>
          <w:rFonts w:asciiTheme="majorHAnsi" w:hAnsiTheme="majorHAnsi"/>
          <w:color w:val="000000" w:themeColor="text1"/>
          <w:sz w:val="20"/>
          <w:szCs w:val="20"/>
          <w:lang w:val="es-CO"/>
        </w:rPr>
        <w:t xml:space="preserve">icencia </w:t>
      </w:r>
      <w:r w:rsidR="00F93D3C" w:rsidRPr="00BF20FA">
        <w:rPr>
          <w:rFonts w:asciiTheme="majorHAnsi" w:hAnsiTheme="majorHAnsi"/>
          <w:color w:val="000000" w:themeColor="text1"/>
          <w:sz w:val="20"/>
          <w:szCs w:val="20"/>
          <w:lang w:val="es-CO"/>
        </w:rPr>
        <w:t>a</w:t>
      </w:r>
      <w:r w:rsidR="00B563EB" w:rsidRPr="00BF20FA">
        <w:rPr>
          <w:rFonts w:asciiTheme="majorHAnsi" w:hAnsiTheme="majorHAnsi"/>
          <w:color w:val="000000" w:themeColor="text1"/>
          <w:sz w:val="20"/>
          <w:szCs w:val="20"/>
          <w:lang w:val="es-CO"/>
        </w:rPr>
        <w:t xml:space="preserve">mbiental para </w:t>
      </w:r>
      <w:r w:rsidR="00DB18D9" w:rsidRPr="00BF20FA">
        <w:rPr>
          <w:rFonts w:asciiTheme="majorHAnsi" w:hAnsiTheme="majorHAnsi"/>
          <w:color w:val="000000" w:themeColor="text1"/>
          <w:sz w:val="20"/>
          <w:szCs w:val="20"/>
          <w:lang w:val="es-CO"/>
        </w:rPr>
        <w:t>perforar el P</w:t>
      </w:r>
      <w:r w:rsidR="00B563EB" w:rsidRPr="00BF20FA">
        <w:rPr>
          <w:rFonts w:asciiTheme="majorHAnsi" w:hAnsiTheme="majorHAnsi"/>
          <w:color w:val="000000" w:themeColor="text1"/>
          <w:sz w:val="20"/>
          <w:szCs w:val="20"/>
          <w:lang w:val="es-CO"/>
        </w:rPr>
        <w:t xml:space="preserve">ozo Gibraltar 1, localizado </w:t>
      </w:r>
      <w:r w:rsidR="00DB18D9" w:rsidRPr="00BF20FA">
        <w:rPr>
          <w:rFonts w:asciiTheme="majorHAnsi" w:hAnsiTheme="majorHAnsi"/>
          <w:color w:val="000000" w:themeColor="text1"/>
          <w:sz w:val="20"/>
          <w:szCs w:val="20"/>
          <w:lang w:val="es-CO"/>
        </w:rPr>
        <w:t>dentro del territorio antiguamente denominado Bloque Samoré</w:t>
      </w:r>
      <w:r w:rsidR="00B563EB" w:rsidRPr="00BF20FA">
        <w:rPr>
          <w:rStyle w:val="FootnoteReference"/>
          <w:rFonts w:asciiTheme="majorHAnsi" w:hAnsiTheme="majorHAnsi"/>
          <w:color w:val="000000" w:themeColor="text1"/>
          <w:sz w:val="20"/>
          <w:szCs w:val="20"/>
          <w:lang w:val="es-CO"/>
        </w:rPr>
        <w:footnoteReference w:id="58"/>
      </w:r>
      <w:r w:rsidR="00B563EB" w:rsidRPr="00BF20FA">
        <w:rPr>
          <w:rFonts w:asciiTheme="majorHAnsi" w:hAnsiTheme="majorHAnsi"/>
          <w:color w:val="000000" w:themeColor="text1"/>
          <w:sz w:val="20"/>
          <w:szCs w:val="20"/>
          <w:lang w:val="es-CO"/>
        </w:rPr>
        <w:t>.</w:t>
      </w:r>
      <w:r w:rsidR="00C666B0" w:rsidRPr="00BF20FA">
        <w:rPr>
          <w:rFonts w:asciiTheme="majorHAnsi" w:hAnsiTheme="majorHAnsi"/>
          <w:color w:val="000000" w:themeColor="text1"/>
          <w:sz w:val="20"/>
          <w:szCs w:val="20"/>
          <w:lang w:val="es-CO"/>
        </w:rPr>
        <w:t xml:space="preserve"> </w:t>
      </w:r>
    </w:p>
    <w:p w14:paraId="185F7D36" w14:textId="77777777" w:rsidR="007C6746" w:rsidRPr="00BF20FA" w:rsidRDefault="007C6746" w:rsidP="007C6746">
      <w:pPr>
        <w:pStyle w:val="ListParagraph"/>
        <w:rPr>
          <w:rFonts w:asciiTheme="majorHAnsi" w:hAnsiTheme="majorHAnsi"/>
          <w:color w:val="000000" w:themeColor="text1"/>
          <w:sz w:val="20"/>
          <w:szCs w:val="20"/>
          <w:lang w:val="es-CO"/>
        </w:rPr>
      </w:pPr>
    </w:p>
    <w:p w14:paraId="2253487A" w14:textId="77777777" w:rsidR="005A2267" w:rsidRPr="00BF20FA" w:rsidRDefault="005A2267"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A mediados del 2000, ASOU’</w:t>
      </w:r>
      <w:r w:rsidR="008112C8" w:rsidRPr="00BF20FA">
        <w:rPr>
          <w:rFonts w:asciiTheme="majorHAnsi" w:hAnsiTheme="majorHAnsi"/>
          <w:color w:val="000000" w:themeColor="text1"/>
          <w:sz w:val="20"/>
          <w:szCs w:val="20"/>
          <w:lang w:val="es-CO"/>
        </w:rPr>
        <w:t>WA</w:t>
      </w:r>
      <w:r w:rsidRPr="00BF20FA">
        <w:rPr>
          <w:rFonts w:asciiTheme="majorHAnsi" w:hAnsiTheme="majorHAnsi"/>
          <w:color w:val="000000" w:themeColor="text1"/>
          <w:sz w:val="20"/>
          <w:szCs w:val="20"/>
          <w:lang w:val="es-CO"/>
        </w:rPr>
        <w:t xml:space="preserve"> interpuso una acción de tutela solicitando la </w:t>
      </w:r>
      <w:r w:rsidR="00B6030F" w:rsidRPr="00BF20FA">
        <w:rPr>
          <w:rFonts w:asciiTheme="majorHAnsi" w:hAnsiTheme="majorHAnsi"/>
          <w:color w:val="000000" w:themeColor="text1"/>
          <w:sz w:val="20"/>
          <w:szCs w:val="20"/>
          <w:lang w:val="es-CO"/>
        </w:rPr>
        <w:t>suspensión</w:t>
      </w:r>
      <w:r w:rsidRPr="00BF20FA">
        <w:rPr>
          <w:rFonts w:asciiTheme="majorHAnsi" w:hAnsiTheme="majorHAnsi"/>
          <w:color w:val="000000" w:themeColor="text1"/>
          <w:sz w:val="20"/>
          <w:szCs w:val="20"/>
          <w:lang w:val="es-CO"/>
        </w:rPr>
        <w:t xml:space="preserve"> de actividades en la zona, la cual fue accedida por la Juez 11 del Circuito de Bogotá y revocada el 15 de mayo de 2000 por el Tribunal Superior de Bogotá en segunda instancia, al considerar que el Pozo Gibraltar 1 se encontraba por fuera del territorio U’wa</w:t>
      </w:r>
      <w:r w:rsidR="00A93D98" w:rsidRPr="00BF20FA">
        <w:rPr>
          <w:rStyle w:val="FootnoteReference"/>
          <w:rFonts w:asciiTheme="majorHAnsi" w:hAnsiTheme="majorHAnsi"/>
          <w:color w:val="000000" w:themeColor="text1"/>
          <w:sz w:val="20"/>
          <w:szCs w:val="20"/>
          <w:lang w:val="es-CO"/>
        </w:rPr>
        <w:footnoteReference w:id="59"/>
      </w:r>
      <w:r w:rsidR="004332F1" w:rsidRPr="00BF20FA">
        <w:rPr>
          <w:rFonts w:asciiTheme="majorHAnsi" w:hAnsiTheme="majorHAnsi"/>
          <w:color w:val="000000" w:themeColor="text1"/>
          <w:sz w:val="20"/>
          <w:szCs w:val="20"/>
          <w:lang w:val="es-CO"/>
        </w:rPr>
        <w:t>.</w:t>
      </w:r>
      <w:r w:rsidR="00C05251" w:rsidRPr="00BF20FA">
        <w:rPr>
          <w:rFonts w:asciiTheme="majorHAnsi" w:hAnsiTheme="majorHAnsi"/>
          <w:color w:val="000000" w:themeColor="text1"/>
          <w:sz w:val="20"/>
          <w:szCs w:val="20"/>
          <w:lang w:val="es-CO"/>
        </w:rPr>
        <w:t xml:space="preserve"> </w:t>
      </w:r>
      <w:r w:rsidR="00F82395" w:rsidRPr="00BF20FA">
        <w:rPr>
          <w:rFonts w:asciiTheme="majorHAnsi" w:hAnsiTheme="majorHAnsi"/>
          <w:color w:val="000000" w:themeColor="text1"/>
          <w:sz w:val="20"/>
          <w:szCs w:val="20"/>
          <w:lang w:val="es-CO"/>
        </w:rPr>
        <w:t>L</w:t>
      </w:r>
      <w:r w:rsidR="00C05251" w:rsidRPr="00BF20FA">
        <w:rPr>
          <w:rFonts w:asciiTheme="majorHAnsi" w:hAnsiTheme="majorHAnsi"/>
          <w:color w:val="000000" w:themeColor="text1"/>
          <w:sz w:val="20"/>
          <w:szCs w:val="20"/>
          <w:lang w:val="es-CO"/>
        </w:rPr>
        <w:t>as partes informaron que se inició la construcción para la perforación del Pozo Gibraltar 1</w:t>
      </w:r>
      <w:r w:rsidR="00C05251" w:rsidRPr="00BF20FA">
        <w:rPr>
          <w:rStyle w:val="FootnoteReference"/>
          <w:rFonts w:asciiTheme="majorHAnsi" w:hAnsiTheme="majorHAnsi"/>
          <w:color w:val="000000" w:themeColor="text1"/>
          <w:sz w:val="20"/>
          <w:szCs w:val="20"/>
          <w:lang w:val="es-CO"/>
        </w:rPr>
        <w:footnoteReference w:id="60"/>
      </w:r>
      <w:r w:rsidR="007B47BA" w:rsidRPr="00BF20FA">
        <w:rPr>
          <w:rFonts w:asciiTheme="majorHAnsi" w:hAnsiTheme="majorHAnsi"/>
          <w:color w:val="000000" w:themeColor="text1"/>
          <w:sz w:val="20"/>
          <w:szCs w:val="20"/>
          <w:lang w:val="es-CO"/>
        </w:rPr>
        <w:t>.</w:t>
      </w:r>
      <w:r w:rsidR="00CA0D09" w:rsidRPr="00BF20FA">
        <w:rPr>
          <w:rFonts w:asciiTheme="majorHAnsi" w:hAnsiTheme="majorHAnsi"/>
          <w:color w:val="000000" w:themeColor="text1"/>
          <w:sz w:val="20"/>
          <w:szCs w:val="20"/>
          <w:lang w:val="es-CO"/>
        </w:rPr>
        <w:t xml:space="preserve">  </w:t>
      </w:r>
    </w:p>
    <w:p w14:paraId="70102B36" w14:textId="77777777" w:rsidR="00C05251" w:rsidRPr="00BF20FA" w:rsidRDefault="00C05251" w:rsidP="00C05251">
      <w:pPr>
        <w:pStyle w:val="ListParagraph"/>
        <w:rPr>
          <w:rFonts w:asciiTheme="majorHAnsi" w:hAnsiTheme="majorHAnsi"/>
          <w:color w:val="000000" w:themeColor="text1"/>
          <w:sz w:val="20"/>
          <w:szCs w:val="20"/>
          <w:lang w:val="es-CO"/>
        </w:rPr>
      </w:pPr>
    </w:p>
    <w:p w14:paraId="3756ADFB" w14:textId="0AC949B5" w:rsidR="00DE76A7" w:rsidRPr="00BF20FA" w:rsidRDefault="007B47BA"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Según información proporcionada por el Estado, entre 2002 y 2003, ECOPETROL S.A. procedió a rediseñar la totalidad del área de exploración en dos bloques: Bloque Sirirí y Bloque Catleya</w:t>
      </w:r>
      <w:r w:rsidRPr="00BF20FA">
        <w:rPr>
          <w:rStyle w:val="FootnoteReference"/>
          <w:rFonts w:asciiTheme="majorHAnsi" w:hAnsiTheme="majorHAnsi"/>
          <w:color w:val="000000" w:themeColor="text1"/>
          <w:sz w:val="20"/>
          <w:szCs w:val="20"/>
          <w:lang w:val="es-CO"/>
        </w:rPr>
        <w:footnoteReference w:id="61"/>
      </w:r>
      <w:r w:rsidR="00F12312" w:rsidRPr="00BF20FA">
        <w:rPr>
          <w:rFonts w:asciiTheme="majorHAnsi" w:hAnsiTheme="majorHAnsi"/>
          <w:color w:val="000000" w:themeColor="text1"/>
          <w:sz w:val="20"/>
          <w:szCs w:val="20"/>
          <w:lang w:val="es-CO"/>
        </w:rPr>
        <w:t xml:space="preserve">, cuya información detallada se indica a continuación. </w:t>
      </w:r>
    </w:p>
    <w:p w14:paraId="135D374D" w14:textId="77777777" w:rsidR="007B47BA" w:rsidRPr="00BF20FA" w:rsidRDefault="007B47BA" w:rsidP="007B47BA">
      <w:pPr>
        <w:pStyle w:val="ListParagraph"/>
        <w:rPr>
          <w:rFonts w:asciiTheme="majorHAnsi" w:hAnsiTheme="majorHAnsi"/>
          <w:color w:val="000000" w:themeColor="text1"/>
          <w:sz w:val="20"/>
          <w:szCs w:val="20"/>
          <w:lang w:val="es-CO"/>
        </w:rPr>
      </w:pPr>
    </w:p>
    <w:p w14:paraId="7A1F3287" w14:textId="547259B6" w:rsidR="006A3D46" w:rsidRPr="00BF20FA" w:rsidRDefault="003D2664"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19" w:name="_Toc17221562"/>
      <w:r w:rsidRPr="00BF20FA">
        <w:rPr>
          <w:rFonts w:asciiTheme="majorHAnsi" w:hAnsiTheme="majorHAnsi"/>
          <w:sz w:val="20"/>
          <w:szCs w:val="20"/>
          <w:lang w:val="es-ES_tradnl"/>
        </w:rPr>
        <w:t>Bloques Sirirí y Catleya</w:t>
      </w:r>
      <w:bookmarkEnd w:id="19"/>
    </w:p>
    <w:p w14:paraId="19E24FAB" w14:textId="77777777" w:rsidR="008112C8" w:rsidRPr="00BF20FA" w:rsidRDefault="008112C8" w:rsidP="008112C8">
      <w:pPr>
        <w:ind w:left="1350"/>
        <w:jc w:val="both"/>
        <w:rPr>
          <w:rFonts w:asciiTheme="majorHAnsi" w:hAnsiTheme="majorHAnsi"/>
          <w:b/>
          <w:color w:val="000000" w:themeColor="text1"/>
          <w:sz w:val="20"/>
          <w:szCs w:val="20"/>
          <w:lang w:val="es-CO"/>
        </w:rPr>
      </w:pPr>
    </w:p>
    <w:p w14:paraId="1A1718E2" w14:textId="77777777" w:rsidR="008112C8" w:rsidRPr="00BF20FA" w:rsidRDefault="00821123"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Según información proporcionada por el Estado, </w:t>
      </w:r>
      <w:r w:rsidR="007B47BA" w:rsidRPr="00BF20FA">
        <w:rPr>
          <w:rFonts w:asciiTheme="majorHAnsi" w:hAnsiTheme="majorHAnsi"/>
          <w:color w:val="000000" w:themeColor="text1"/>
          <w:sz w:val="20"/>
          <w:szCs w:val="20"/>
          <w:lang w:val="es-CO"/>
        </w:rPr>
        <w:t xml:space="preserve">el </w:t>
      </w:r>
      <w:r w:rsidR="008112C8" w:rsidRPr="00BF20FA">
        <w:rPr>
          <w:rFonts w:asciiTheme="majorHAnsi" w:hAnsiTheme="majorHAnsi"/>
          <w:color w:val="000000" w:themeColor="text1"/>
          <w:sz w:val="20"/>
          <w:szCs w:val="20"/>
          <w:lang w:val="es-CO"/>
        </w:rPr>
        <w:t>Bloque Sirirí contaba con dos pozos de exploración</w:t>
      </w:r>
      <w:r w:rsidR="00ED136C" w:rsidRPr="00BF20FA">
        <w:rPr>
          <w:rFonts w:asciiTheme="majorHAnsi" w:hAnsiTheme="majorHAnsi"/>
          <w:color w:val="000000" w:themeColor="text1"/>
          <w:sz w:val="20"/>
          <w:szCs w:val="20"/>
          <w:lang w:val="es-CO"/>
        </w:rPr>
        <w:t>:</w:t>
      </w:r>
      <w:r w:rsidR="008112C8" w:rsidRPr="00BF20FA">
        <w:rPr>
          <w:rFonts w:asciiTheme="majorHAnsi" w:hAnsiTheme="majorHAnsi"/>
          <w:color w:val="000000" w:themeColor="text1"/>
          <w:sz w:val="20"/>
          <w:szCs w:val="20"/>
          <w:lang w:val="es-CO"/>
        </w:rPr>
        <w:t xml:space="preserve"> el Pozo Gibraltar 1</w:t>
      </w:r>
      <w:r w:rsidR="00ED136C" w:rsidRPr="00BF20FA">
        <w:rPr>
          <w:rFonts w:asciiTheme="majorHAnsi" w:hAnsiTheme="majorHAnsi"/>
          <w:color w:val="000000" w:themeColor="text1"/>
          <w:sz w:val="20"/>
          <w:szCs w:val="20"/>
          <w:lang w:val="es-CO"/>
        </w:rPr>
        <w:t>,</w:t>
      </w:r>
      <w:r w:rsidR="008112C8" w:rsidRPr="00BF20FA">
        <w:rPr>
          <w:rFonts w:asciiTheme="majorHAnsi" w:hAnsiTheme="majorHAnsi"/>
          <w:color w:val="000000" w:themeColor="text1"/>
          <w:sz w:val="20"/>
          <w:szCs w:val="20"/>
          <w:lang w:val="es-CO"/>
        </w:rPr>
        <w:t xml:space="preserve"> mencionado anteriormente, y el Pozo Gibraltar 2</w:t>
      </w:r>
      <w:r w:rsidR="008112C8" w:rsidRPr="00BF20FA">
        <w:rPr>
          <w:rStyle w:val="FootnoteReference"/>
          <w:rFonts w:asciiTheme="majorHAnsi" w:hAnsiTheme="majorHAnsi"/>
          <w:color w:val="000000" w:themeColor="text1"/>
          <w:sz w:val="20"/>
          <w:szCs w:val="20"/>
          <w:lang w:val="es-CO"/>
        </w:rPr>
        <w:footnoteReference w:id="62"/>
      </w:r>
      <w:r w:rsidR="008112C8" w:rsidRPr="00BF20FA">
        <w:rPr>
          <w:rFonts w:asciiTheme="majorHAnsi" w:hAnsiTheme="majorHAnsi"/>
          <w:color w:val="000000" w:themeColor="text1"/>
          <w:sz w:val="20"/>
          <w:szCs w:val="20"/>
          <w:lang w:val="es-CO"/>
        </w:rPr>
        <w:t>.</w:t>
      </w:r>
      <w:r w:rsidR="007B47BA" w:rsidRPr="00BF20FA">
        <w:rPr>
          <w:rFonts w:asciiTheme="majorHAnsi" w:hAnsiTheme="majorHAnsi"/>
          <w:color w:val="000000" w:themeColor="text1"/>
          <w:sz w:val="20"/>
          <w:szCs w:val="20"/>
          <w:lang w:val="es-CO"/>
        </w:rPr>
        <w:t xml:space="preserve"> El Estado afirmó que ambos pozos se encuentran fuera del territorio del Resguardo Unido U´wa</w:t>
      </w:r>
      <w:r w:rsidR="007B47BA" w:rsidRPr="00BF20FA">
        <w:rPr>
          <w:rStyle w:val="FootnoteReference"/>
          <w:rFonts w:asciiTheme="majorHAnsi" w:hAnsiTheme="majorHAnsi"/>
          <w:color w:val="000000" w:themeColor="text1"/>
          <w:sz w:val="20"/>
          <w:szCs w:val="20"/>
          <w:lang w:val="es-CO"/>
        </w:rPr>
        <w:footnoteReference w:id="63"/>
      </w:r>
      <w:r w:rsidR="005E5416" w:rsidRPr="00BF20FA">
        <w:rPr>
          <w:rFonts w:asciiTheme="majorHAnsi" w:hAnsiTheme="majorHAnsi"/>
          <w:color w:val="000000" w:themeColor="text1"/>
          <w:sz w:val="20"/>
          <w:szCs w:val="20"/>
          <w:lang w:val="es-CO"/>
        </w:rPr>
        <w:t>;</w:t>
      </w:r>
      <w:r w:rsidR="00A956E6" w:rsidRPr="00BF20FA">
        <w:rPr>
          <w:rFonts w:asciiTheme="majorHAnsi" w:hAnsiTheme="majorHAnsi"/>
          <w:color w:val="000000" w:themeColor="text1"/>
          <w:sz w:val="20"/>
          <w:szCs w:val="20"/>
          <w:lang w:val="es-CO"/>
        </w:rPr>
        <w:t xml:space="preserve"> sin embargo, la Comisión advierte que el mismo Estado refirió que en el año 2003, el Ministerio de Interior certificó la presencia de comunidades indígenas en el territorio del Bloque Catleyá y en el Bloque Sirirí</w:t>
      </w:r>
      <w:r w:rsidR="00A956E6" w:rsidRPr="00BF20FA">
        <w:rPr>
          <w:rStyle w:val="FootnoteReference"/>
          <w:rFonts w:asciiTheme="majorHAnsi" w:hAnsiTheme="majorHAnsi"/>
          <w:color w:val="000000" w:themeColor="text1"/>
          <w:sz w:val="20"/>
          <w:szCs w:val="20"/>
          <w:lang w:val="es-CO"/>
        </w:rPr>
        <w:footnoteReference w:id="64"/>
      </w:r>
      <w:r w:rsidR="00A956E6" w:rsidRPr="00BF20FA">
        <w:rPr>
          <w:rFonts w:asciiTheme="majorHAnsi" w:hAnsiTheme="majorHAnsi"/>
          <w:color w:val="000000" w:themeColor="text1"/>
          <w:sz w:val="20"/>
          <w:szCs w:val="20"/>
          <w:lang w:val="es-CO"/>
        </w:rPr>
        <w:t>.</w:t>
      </w:r>
      <w:r w:rsidR="00285A0C" w:rsidRPr="00BF20FA">
        <w:rPr>
          <w:rFonts w:asciiTheme="majorHAnsi" w:hAnsiTheme="majorHAnsi"/>
          <w:color w:val="000000" w:themeColor="text1"/>
          <w:sz w:val="20"/>
          <w:szCs w:val="20"/>
          <w:lang w:val="es-CO"/>
        </w:rPr>
        <w:t xml:space="preserve">  El Estado informó que después del reingreso por parte de Ecopetrol a los pozos, se descubrió que se trataba de un yacimient</w:t>
      </w:r>
      <w:r w:rsidR="00203A76" w:rsidRPr="00BF20FA">
        <w:rPr>
          <w:rFonts w:asciiTheme="majorHAnsi" w:hAnsiTheme="majorHAnsi"/>
          <w:color w:val="000000" w:themeColor="text1"/>
          <w:sz w:val="20"/>
          <w:szCs w:val="20"/>
          <w:lang w:val="es-CO"/>
        </w:rPr>
        <w:t>o</w:t>
      </w:r>
      <w:r w:rsidR="00285A0C" w:rsidRPr="00BF20FA">
        <w:rPr>
          <w:rFonts w:asciiTheme="majorHAnsi" w:hAnsiTheme="majorHAnsi"/>
          <w:color w:val="000000" w:themeColor="text1"/>
          <w:sz w:val="20"/>
          <w:szCs w:val="20"/>
          <w:lang w:val="es-CO"/>
        </w:rPr>
        <w:t xml:space="preserve"> de gas, por lo que el Pozo Gibraltar 3 pasó a ser conocido como</w:t>
      </w:r>
      <w:r w:rsidR="002F3941" w:rsidRPr="00BF20FA">
        <w:rPr>
          <w:rFonts w:asciiTheme="majorHAnsi" w:hAnsiTheme="majorHAnsi"/>
          <w:color w:val="000000" w:themeColor="text1"/>
          <w:sz w:val="20"/>
          <w:szCs w:val="20"/>
          <w:lang w:val="es-CO"/>
        </w:rPr>
        <w:t xml:space="preserve"> Campo de Gas Gibraltar</w:t>
      </w:r>
      <w:r w:rsidR="00285A0C" w:rsidRPr="00BF20FA">
        <w:rPr>
          <w:rFonts w:asciiTheme="majorHAnsi" w:hAnsiTheme="majorHAnsi"/>
          <w:color w:val="000000" w:themeColor="text1"/>
          <w:sz w:val="20"/>
          <w:szCs w:val="20"/>
          <w:lang w:val="es-CO"/>
        </w:rPr>
        <w:t>.</w:t>
      </w:r>
    </w:p>
    <w:p w14:paraId="03224DB4" w14:textId="39513593" w:rsidR="00821123" w:rsidRDefault="00821123" w:rsidP="00D160F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CO"/>
        </w:rPr>
      </w:pPr>
    </w:p>
    <w:p w14:paraId="560B9D53" w14:textId="77777777" w:rsidR="006D5143"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19 de agosto de 2003, ECOPETROL S.A. solicitó al Ministerio del Interior y de Justicia iniciar ‘‘la coordinación interinstitucional y convocatoria al pueblo U’wa para r</w:t>
      </w:r>
      <w:r w:rsidR="008413A0" w:rsidRPr="00BF20FA">
        <w:rPr>
          <w:rFonts w:asciiTheme="majorHAnsi" w:hAnsiTheme="majorHAnsi"/>
          <w:color w:val="000000" w:themeColor="text1"/>
          <w:sz w:val="20"/>
          <w:szCs w:val="20"/>
          <w:lang w:val="es-CO"/>
        </w:rPr>
        <w:t xml:space="preserve">ealizar la consulta previa para </w:t>
      </w:r>
      <w:r w:rsidRPr="00BF20FA">
        <w:rPr>
          <w:rFonts w:asciiTheme="majorHAnsi" w:hAnsiTheme="majorHAnsi"/>
          <w:color w:val="000000" w:themeColor="text1"/>
          <w:sz w:val="20"/>
          <w:szCs w:val="20"/>
          <w:lang w:val="es-CO"/>
        </w:rPr>
        <w:t>e</w:t>
      </w:r>
      <w:r w:rsidR="008112C8" w:rsidRPr="00BF20FA">
        <w:rPr>
          <w:rFonts w:asciiTheme="majorHAnsi" w:hAnsiTheme="majorHAnsi"/>
          <w:color w:val="000000" w:themeColor="text1"/>
          <w:sz w:val="20"/>
          <w:szCs w:val="20"/>
          <w:lang w:val="es-CO"/>
        </w:rPr>
        <w:t>l proyecto exploratorio en los Bloques Sirirí</w:t>
      </w:r>
      <w:r w:rsidRPr="00BF20FA">
        <w:rPr>
          <w:rFonts w:asciiTheme="majorHAnsi" w:hAnsiTheme="majorHAnsi"/>
          <w:color w:val="000000" w:themeColor="text1"/>
          <w:sz w:val="20"/>
          <w:szCs w:val="20"/>
          <w:lang w:val="es-CO"/>
        </w:rPr>
        <w:t xml:space="preserve"> y Catleya en territorio U’wa’’</w:t>
      </w:r>
      <w:r w:rsidRPr="00BF20FA">
        <w:rPr>
          <w:rStyle w:val="FootnoteReference"/>
          <w:rFonts w:asciiTheme="majorHAnsi" w:hAnsiTheme="majorHAnsi"/>
          <w:color w:val="000000" w:themeColor="text1"/>
          <w:sz w:val="20"/>
          <w:szCs w:val="20"/>
          <w:lang w:val="es-CO"/>
        </w:rPr>
        <w:footnoteReference w:id="65"/>
      </w:r>
      <w:r w:rsidRPr="00BF20FA">
        <w:rPr>
          <w:rFonts w:asciiTheme="majorHAnsi" w:hAnsiTheme="majorHAnsi"/>
          <w:color w:val="000000" w:themeColor="text1"/>
          <w:sz w:val="20"/>
          <w:szCs w:val="20"/>
          <w:lang w:val="es-CO"/>
        </w:rPr>
        <w:t>.</w:t>
      </w:r>
    </w:p>
    <w:p w14:paraId="169F5612" w14:textId="77777777" w:rsidR="003756C7" w:rsidRPr="00BF20FA" w:rsidRDefault="003756C7" w:rsidP="003756C7">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79B59DA5" w14:textId="77777777" w:rsidR="0069056A" w:rsidRPr="00BF20FA" w:rsidRDefault="003756C7"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Estado indicó que en noviembre de 2004 se realizó el evento de “instalaci</w:t>
      </w:r>
      <w:r w:rsidRPr="00BF20FA">
        <w:rPr>
          <w:rFonts w:asciiTheme="majorHAnsi" w:hAnsiTheme="majorHAnsi"/>
          <w:color w:val="000000" w:themeColor="text1"/>
          <w:sz w:val="20"/>
          <w:szCs w:val="20"/>
          <w:lang w:val="es-ES"/>
        </w:rPr>
        <w:t xml:space="preserve">ón de la consulta previa”, al que asistieron 100 indígenas de las 7 comunidades U´wa de Arauca, el Comité Ejecutivo de ASCATIDAR, miembros del Defensor del Pueblo, la ONIC, la Organización Nacional de los Pueblos Indígenas de la Amazonía Colombiana (OPIAC), Ecopetrol y representantes del Estado. El Estado refirió que a partir de esa reunión se siguieron varias de acercamiento de información, capacitación e identificación de impactos y una etapa de evaluación del </w:t>
      </w:r>
      <w:r w:rsidRPr="00BF20FA">
        <w:rPr>
          <w:rFonts w:asciiTheme="majorHAnsi" w:hAnsiTheme="majorHAnsi"/>
          <w:color w:val="auto"/>
          <w:sz w:val="20"/>
          <w:szCs w:val="20"/>
          <w:lang w:val="es-ES"/>
        </w:rPr>
        <w:t xml:space="preserve">proceso. Sin embargo, </w:t>
      </w:r>
      <w:r w:rsidRPr="00BF20FA">
        <w:rPr>
          <w:rFonts w:asciiTheme="majorHAnsi" w:hAnsiTheme="majorHAnsi"/>
          <w:color w:val="000000" w:themeColor="text1"/>
          <w:sz w:val="20"/>
          <w:szCs w:val="20"/>
          <w:lang w:val="es-CO"/>
        </w:rPr>
        <w:t>e</w:t>
      </w:r>
      <w:r w:rsidR="006A3D46" w:rsidRPr="00BF20FA">
        <w:rPr>
          <w:rFonts w:asciiTheme="majorHAnsi" w:hAnsiTheme="majorHAnsi"/>
          <w:color w:val="000000" w:themeColor="text1"/>
          <w:sz w:val="20"/>
          <w:szCs w:val="20"/>
          <w:lang w:val="es-CO"/>
        </w:rPr>
        <w:t>l 12 de noviembre de 2004, ‘‘el Cabildo Mayor U’wa d</w:t>
      </w:r>
      <w:r w:rsidRPr="00BF20FA">
        <w:rPr>
          <w:rFonts w:asciiTheme="majorHAnsi" w:hAnsiTheme="majorHAnsi"/>
          <w:color w:val="000000" w:themeColor="text1"/>
          <w:sz w:val="20"/>
          <w:szCs w:val="20"/>
          <w:lang w:val="es-CO"/>
        </w:rPr>
        <w:t>io</w:t>
      </w:r>
      <w:r w:rsidR="006A3D46" w:rsidRPr="00BF20FA">
        <w:rPr>
          <w:rFonts w:asciiTheme="majorHAnsi" w:hAnsiTheme="majorHAnsi"/>
          <w:color w:val="000000" w:themeColor="text1"/>
          <w:sz w:val="20"/>
          <w:szCs w:val="20"/>
          <w:lang w:val="es-CO"/>
        </w:rPr>
        <w:t xml:space="preserve"> a conocer un documento mediante circulación amplia a la opinión pública nacional e internacional, en el cual denuncia: 1) que el proyecto de sísmica que se adelanta en la región (Sarare 2D-2004), en un trayecto ha entrado a su territorio y violado la propiedad privada del pueblo U’wa y, que 2) se ha negado y violado el derecho a ser </w:t>
      </w:r>
      <w:r w:rsidR="006A3D46" w:rsidRPr="00BF20FA">
        <w:rPr>
          <w:rFonts w:asciiTheme="majorHAnsi" w:hAnsiTheme="majorHAnsi"/>
          <w:color w:val="000000" w:themeColor="text1"/>
          <w:sz w:val="20"/>
          <w:szCs w:val="20"/>
          <w:lang w:val="es-CO"/>
        </w:rPr>
        <w:lastRenderedPageBreak/>
        <w:t>consultados respecto del proyecto sísmico Sarare 2D-2004. Informa que suspende el taller acordado conjuntamente el 13 de octubre, y, lo aplaza para el mes de febrero de 2005’’</w:t>
      </w:r>
      <w:r w:rsidR="004332F1" w:rsidRPr="00BF20FA">
        <w:rPr>
          <w:rStyle w:val="FootnoteReference"/>
          <w:rFonts w:asciiTheme="majorHAnsi" w:hAnsiTheme="majorHAnsi"/>
          <w:color w:val="000000" w:themeColor="text1"/>
          <w:sz w:val="20"/>
          <w:szCs w:val="20"/>
          <w:lang w:val="es-CO"/>
        </w:rPr>
        <w:footnoteReference w:id="66"/>
      </w:r>
      <w:r w:rsidR="006A3D46" w:rsidRPr="00BF20FA">
        <w:rPr>
          <w:rFonts w:asciiTheme="majorHAnsi" w:hAnsiTheme="majorHAnsi"/>
          <w:color w:val="000000" w:themeColor="text1"/>
          <w:sz w:val="20"/>
          <w:szCs w:val="20"/>
          <w:lang w:val="es-CO"/>
        </w:rPr>
        <w:t>.</w:t>
      </w:r>
    </w:p>
    <w:p w14:paraId="476DAA1E" w14:textId="77777777" w:rsidR="007D6444" w:rsidRPr="00BF20FA" w:rsidRDefault="007D6444" w:rsidP="007D644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55241F62" w14:textId="085C2C9B" w:rsidR="005C6B17" w:rsidRPr="00BF20FA" w:rsidRDefault="007D644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En escrito del 2 de mayo de 2005, ASOU’WA presentó su posición oficial sobre el Proyecto de Exploración Petrolera Sirirí y Catleya, donde manifiesta que rechaza la consulta previa</w:t>
      </w:r>
      <w:r w:rsidR="00F37C92" w:rsidRPr="00BF20FA">
        <w:rPr>
          <w:rFonts w:asciiTheme="majorHAnsi" w:hAnsiTheme="majorHAnsi"/>
          <w:color w:val="000000" w:themeColor="text1"/>
          <w:sz w:val="20"/>
          <w:szCs w:val="20"/>
          <w:lang w:val="es-CO"/>
        </w:rPr>
        <w:t xml:space="preserve"> porque: “a)</w:t>
      </w:r>
      <w:r w:rsidR="00781E45" w:rsidRPr="00BF20FA">
        <w:rPr>
          <w:rFonts w:asciiTheme="majorHAnsi" w:hAnsiTheme="majorHAnsi"/>
          <w:color w:val="000000" w:themeColor="text1"/>
          <w:sz w:val="20"/>
          <w:szCs w:val="20"/>
          <w:lang w:val="es-CO"/>
        </w:rPr>
        <w:t xml:space="preserve"> </w:t>
      </w:r>
      <w:r w:rsidR="00F37C92" w:rsidRPr="00BF20FA">
        <w:rPr>
          <w:rFonts w:asciiTheme="majorHAnsi" w:hAnsiTheme="majorHAnsi"/>
          <w:color w:val="000000" w:themeColor="text1"/>
          <w:sz w:val="20"/>
          <w:szCs w:val="20"/>
          <w:lang w:val="es-CO"/>
        </w:rPr>
        <w:t xml:space="preserve">nuestro territorio no está a la venta, b) las experiencias de consulta previa realizadas en otras regiones, territorios y naciones indígenas han demostrado que ésta se realiza para informar la ejecución del proyecto petrolero </w:t>
      </w:r>
      <w:r w:rsidR="00F37C92" w:rsidRPr="00BF20FA">
        <w:rPr>
          <w:rFonts w:asciiTheme="majorHAnsi" w:hAnsiTheme="majorHAnsi"/>
          <w:color w:val="000000" w:themeColor="text1"/>
          <w:sz w:val="20"/>
          <w:szCs w:val="20"/>
          <w:lang w:val="es-ES"/>
        </w:rPr>
        <w:t>[…] y no para que sean respetadas las decisiones autónomas de los pueblos indígenas en el momento de decidir si aceptan o no el desarrollo de estos proyectos, c) en los procesos anteriores no se ha garantizado la transparencia y legitimidad con que se ejecutan los procesos de consulta previa […]</w:t>
      </w:r>
      <w:r w:rsidR="00F37C92"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67"/>
      </w:r>
      <w:r w:rsidR="00172EB5" w:rsidRPr="00BF20FA">
        <w:rPr>
          <w:rFonts w:asciiTheme="majorHAnsi" w:hAnsiTheme="majorHAnsi"/>
          <w:color w:val="000000" w:themeColor="text1"/>
          <w:sz w:val="20"/>
          <w:szCs w:val="20"/>
          <w:lang w:val="es-CO"/>
        </w:rPr>
        <w:t>. En</w:t>
      </w:r>
      <w:r w:rsidR="00E21143" w:rsidRPr="00BF20FA">
        <w:rPr>
          <w:rFonts w:asciiTheme="majorHAnsi" w:hAnsiTheme="majorHAnsi"/>
          <w:color w:val="000000" w:themeColor="text1"/>
          <w:sz w:val="20"/>
          <w:szCs w:val="20"/>
          <w:lang w:val="es-CO"/>
        </w:rPr>
        <w:t xml:space="preserve"> </w:t>
      </w:r>
      <w:r w:rsidR="003A59DD" w:rsidRPr="00BF20FA">
        <w:rPr>
          <w:rFonts w:asciiTheme="majorHAnsi" w:hAnsiTheme="majorHAnsi"/>
          <w:color w:val="000000" w:themeColor="text1"/>
          <w:sz w:val="20"/>
          <w:szCs w:val="20"/>
          <w:lang w:val="es-CO"/>
        </w:rPr>
        <w:t xml:space="preserve">junio de </w:t>
      </w:r>
      <w:r w:rsidR="00E21143" w:rsidRPr="00BF20FA">
        <w:rPr>
          <w:rFonts w:asciiTheme="majorHAnsi" w:hAnsiTheme="majorHAnsi"/>
          <w:color w:val="000000" w:themeColor="text1"/>
          <w:sz w:val="20"/>
          <w:szCs w:val="20"/>
          <w:lang w:val="es-CO"/>
        </w:rPr>
        <w:t>2005</w:t>
      </w:r>
      <w:r w:rsidR="003A59DD" w:rsidRPr="00BF20FA">
        <w:rPr>
          <w:rFonts w:asciiTheme="majorHAnsi" w:hAnsiTheme="majorHAnsi"/>
          <w:color w:val="000000" w:themeColor="text1"/>
          <w:sz w:val="20"/>
          <w:szCs w:val="20"/>
          <w:lang w:val="es-CO"/>
        </w:rPr>
        <w:t>, el Ministerio del Interior y de Justic</w:t>
      </w:r>
      <w:r w:rsidR="00787D6E" w:rsidRPr="00BF20FA">
        <w:rPr>
          <w:rFonts w:asciiTheme="majorHAnsi" w:hAnsiTheme="majorHAnsi"/>
          <w:color w:val="000000" w:themeColor="text1"/>
          <w:sz w:val="20"/>
          <w:szCs w:val="20"/>
          <w:lang w:val="es-CO"/>
        </w:rPr>
        <w:t>ia junto a ECOPETROL S.A. dio</w:t>
      </w:r>
      <w:r w:rsidR="003A59DD" w:rsidRPr="00BF20FA">
        <w:rPr>
          <w:rFonts w:asciiTheme="majorHAnsi" w:hAnsiTheme="majorHAnsi"/>
          <w:color w:val="000000" w:themeColor="text1"/>
          <w:sz w:val="20"/>
          <w:szCs w:val="20"/>
          <w:lang w:val="es-CO"/>
        </w:rPr>
        <w:t xml:space="preserve"> a conocer el</w:t>
      </w:r>
      <w:r w:rsidR="00787D6E" w:rsidRPr="00BF20FA">
        <w:rPr>
          <w:rFonts w:asciiTheme="majorHAnsi" w:hAnsiTheme="majorHAnsi"/>
          <w:color w:val="000000" w:themeColor="text1"/>
          <w:sz w:val="20"/>
          <w:szCs w:val="20"/>
          <w:lang w:val="es-CO"/>
        </w:rPr>
        <w:t xml:space="preserve"> Plan de Manejo Ambiental y </w:t>
      </w:r>
      <w:r w:rsidR="00CF7E38" w:rsidRPr="00BF20FA">
        <w:rPr>
          <w:rFonts w:asciiTheme="majorHAnsi" w:hAnsiTheme="majorHAnsi"/>
          <w:color w:val="000000" w:themeColor="text1"/>
          <w:sz w:val="20"/>
          <w:szCs w:val="20"/>
          <w:lang w:val="es-CO"/>
        </w:rPr>
        <w:t>concluyó</w:t>
      </w:r>
      <w:r w:rsidR="00F557A8" w:rsidRPr="00BF20FA">
        <w:rPr>
          <w:rFonts w:asciiTheme="majorHAnsi" w:hAnsiTheme="majorHAnsi"/>
          <w:color w:val="000000" w:themeColor="text1"/>
          <w:sz w:val="20"/>
          <w:szCs w:val="20"/>
          <w:lang w:val="es-CO"/>
        </w:rPr>
        <w:t xml:space="preserve"> que el proyecto ‘‘</w:t>
      </w:r>
      <w:r w:rsidR="00F557A8" w:rsidRPr="00BF20FA">
        <w:rPr>
          <w:rFonts w:asciiTheme="majorHAnsi" w:hAnsiTheme="majorHAnsi"/>
          <w:color w:val="000000" w:themeColor="text1"/>
          <w:sz w:val="20"/>
          <w:szCs w:val="20"/>
          <w:lang w:val="es-MX"/>
        </w:rPr>
        <w:t>no vulnera la integridad étnica y cultural de las comunidades indígenas U´wa</w:t>
      </w:r>
      <w:r w:rsidR="00F557A8" w:rsidRPr="00BF20FA">
        <w:rPr>
          <w:rFonts w:asciiTheme="majorHAnsi" w:hAnsiTheme="majorHAnsi"/>
          <w:color w:val="000000" w:themeColor="text1"/>
          <w:sz w:val="20"/>
          <w:szCs w:val="20"/>
          <w:lang w:val="es-CO"/>
        </w:rPr>
        <w:t>’’</w:t>
      </w:r>
      <w:r w:rsidR="00F557A8" w:rsidRPr="00BF20FA">
        <w:rPr>
          <w:rStyle w:val="FootnoteReference"/>
          <w:rFonts w:asciiTheme="majorHAnsi" w:hAnsiTheme="majorHAnsi"/>
          <w:color w:val="000000" w:themeColor="text1"/>
          <w:sz w:val="20"/>
          <w:szCs w:val="20"/>
          <w:lang w:val="es-CO"/>
        </w:rPr>
        <w:footnoteReference w:id="68"/>
      </w:r>
      <w:r w:rsidR="00F557A8" w:rsidRPr="00BF20FA">
        <w:rPr>
          <w:rFonts w:asciiTheme="majorHAnsi" w:hAnsiTheme="majorHAnsi"/>
          <w:color w:val="000000" w:themeColor="text1"/>
          <w:sz w:val="20"/>
          <w:szCs w:val="20"/>
          <w:lang w:val="es-CO"/>
        </w:rPr>
        <w:t>.</w:t>
      </w:r>
      <w:r w:rsidR="004A5E45" w:rsidRPr="00BF20FA">
        <w:rPr>
          <w:rFonts w:asciiTheme="majorHAnsi" w:hAnsiTheme="majorHAnsi"/>
          <w:color w:val="000000" w:themeColor="text1"/>
          <w:sz w:val="20"/>
          <w:szCs w:val="20"/>
          <w:lang w:val="es-CO"/>
        </w:rPr>
        <w:t xml:space="preserve"> </w:t>
      </w:r>
    </w:p>
    <w:p w14:paraId="65D4CE50" w14:textId="77777777" w:rsidR="006C5135" w:rsidRPr="00BF20FA" w:rsidRDefault="006C5135"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2FFBB97E" w14:textId="77777777" w:rsidR="006A3D46"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28 de septiembre de 2005 ‘‘</w:t>
      </w:r>
      <w:r w:rsidR="00C414D6" w:rsidRPr="00BF20FA">
        <w:rPr>
          <w:rFonts w:asciiTheme="majorHAnsi" w:hAnsiTheme="majorHAnsi"/>
          <w:color w:val="000000" w:themeColor="text1"/>
          <w:sz w:val="20"/>
          <w:szCs w:val="20"/>
          <w:lang w:val="es-CO"/>
        </w:rPr>
        <w:t>e</w:t>
      </w:r>
      <w:r w:rsidRPr="00BF20FA">
        <w:rPr>
          <w:rFonts w:asciiTheme="majorHAnsi" w:hAnsiTheme="majorHAnsi"/>
          <w:color w:val="000000" w:themeColor="text1"/>
          <w:sz w:val="20"/>
          <w:szCs w:val="20"/>
          <w:lang w:val="es-CO"/>
        </w:rPr>
        <w:t xml:space="preserve">l Gobierno colombiano, en cabeza del señor Viceministro del Interior, con presencia en la Oficina Regional de la OIT, entes de control y vigilancia, Ministerio de Minas y Energía, ANH, ECOPETROL S.A., Gobernación de Norte de Santander, entre otros, acuden </w:t>
      </w:r>
      <w:r w:rsidR="0024415E" w:rsidRPr="00BF20FA">
        <w:rPr>
          <w:rFonts w:asciiTheme="majorHAnsi" w:hAnsiTheme="majorHAnsi"/>
          <w:color w:val="000000" w:themeColor="text1"/>
          <w:sz w:val="20"/>
          <w:szCs w:val="20"/>
          <w:lang w:val="es-CO"/>
        </w:rPr>
        <w:t>al Chuscal</w:t>
      </w:r>
      <w:r w:rsidRPr="00BF20FA">
        <w:rPr>
          <w:rFonts w:asciiTheme="majorHAnsi" w:hAnsiTheme="majorHAnsi"/>
          <w:color w:val="000000" w:themeColor="text1"/>
          <w:sz w:val="20"/>
          <w:szCs w:val="20"/>
          <w:lang w:val="es-CO"/>
        </w:rPr>
        <w:t xml:space="preserve"> con el fin de instalar formalmente</w:t>
      </w:r>
      <w:r w:rsidR="004A5C18" w:rsidRPr="00BF20FA">
        <w:rPr>
          <w:rFonts w:asciiTheme="majorHAnsi" w:hAnsiTheme="majorHAnsi"/>
          <w:color w:val="000000" w:themeColor="text1"/>
          <w:sz w:val="20"/>
          <w:szCs w:val="20"/>
          <w:lang w:val="es-CO"/>
        </w:rPr>
        <w:t xml:space="preserve"> el proceso de Consulta Previa […]</w:t>
      </w:r>
      <w:r w:rsidRPr="00BF20FA">
        <w:rPr>
          <w:rFonts w:asciiTheme="majorHAnsi" w:hAnsiTheme="majorHAnsi"/>
          <w:color w:val="000000" w:themeColor="text1"/>
          <w:sz w:val="20"/>
          <w:szCs w:val="20"/>
          <w:lang w:val="es-CO"/>
        </w:rPr>
        <w:t xml:space="preserve">. Los Representantes del Pueblo U’wa declaran: 1) no participar en el proceso de consulta y, 2) Rechazar el desarrollo de proyectos petroleros en su territorio. La Dirección de Etnias como ente coordinador de la Consulta Previa, realizó el acta de reunión y una vez leída </w:t>
      </w:r>
      <w:r w:rsidR="004A5C18"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ASOU’WA manifestó no firmar el acta’’</w:t>
      </w:r>
      <w:r w:rsidR="0024415E" w:rsidRPr="00BF20FA">
        <w:rPr>
          <w:rStyle w:val="FootnoteReference"/>
          <w:rFonts w:asciiTheme="majorHAnsi" w:hAnsiTheme="majorHAnsi"/>
          <w:color w:val="000000" w:themeColor="text1"/>
          <w:sz w:val="20"/>
          <w:szCs w:val="20"/>
          <w:lang w:val="es-CO"/>
        </w:rPr>
        <w:footnoteReference w:id="69"/>
      </w:r>
      <w:r w:rsidRPr="00BF20FA">
        <w:rPr>
          <w:rFonts w:asciiTheme="majorHAnsi" w:hAnsiTheme="majorHAnsi"/>
          <w:color w:val="000000" w:themeColor="text1"/>
          <w:sz w:val="20"/>
          <w:szCs w:val="20"/>
          <w:lang w:val="es-CO"/>
        </w:rPr>
        <w:t xml:space="preserve">. </w:t>
      </w:r>
    </w:p>
    <w:p w14:paraId="6707D5DC" w14:textId="77777777" w:rsidR="006C5135" w:rsidRPr="00BF20FA" w:rsidRDefault="006C5135"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32A456E1" w14:textId="77777777" w:rsidR="008312F5"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7 de diciembre de 2005 el Ministerio del Interior y Justicia elevó consulta ante el Consejo de Estado</w:t>
      </w:r>
      <w:r w:rsidR="0053563D" w:rsidRPr="00BF20FA">
        <w:rPr>
          <w:rFonts w:asciiTheme="majorHAnsi" w:hAnsiTheme="majorHAnsi"/>
          <w:color w:val="000000" w:themeColor="text1"/>
          <w:sz w:val="20"/>
          <w:szCs w:val="20"/>
          <w:lang w:val="es-CO"/>
        </w:rPr>
        <w:t xml:space="preserve"> y éste </w:t>
      </w:r>
      <w:r w:rsidR="00DC57A5" w:rsidRPr="00BF20FA">
        <w:rPr>
          <w:rFonts w:asciiTheme="majorHAnsi" w:hAnsiTheme="majorHAnsi"/>
          <w:color w:val="000000" w:themeColor="text1"/>
          <w:sz w:val="20"/>
          <w:szCs w:val="20"/>
          <w:lang w:val="es-CO"/>
        </w:rPr>
        <w:t>respondió</w:t>
      </w:r>
      <w:r w:rsidR="00841B24" w:rsidRPr="00BF20FA">
        <w:rPr>
          <w:rFonts w:asciiTheme="majorHAnsi" w:hAnsiTheme="majorHAnsi"/>
          <w:color w:val="000000" w:themeColor="text1"/>
          <w:sz w:val="20"/>
          <w:szCs w:val="20"/>
          <w:lang w:val="es-CO"/>
        </w:rPr>
        <w:t xml:space="preserve"> que, c</w:t>
      </w:r>
      <w:r w:rsidR="00BB36E3" w:rsidRPr="00BF20FA">
        <w:rPr>
          <w:rFonts w:asciiTheme="majorHAnsi" w:hAnsiTheme="majorHAnsi"/>
          <w:color w:val="000000" w:themeColor="text1"/>
          <w:sz w:val="20"/>
          <w:szCs w:val="20"/>
          <w:lang w:val="es-CO"/>
        </w:rPr>
        <w:t>on respecto</w:t>
      </w:r>
      <w:r w:rsidR="003A59DD" w:rsidRPr="00BF20FA">
        <w:rPr>
          <w:rFonts w:asciiTheme="majorHAnsi" w:hAnsiTheme="majorHAnsi"/>
          <w:color w:val="000000" w:themeColor="text1"/>
          <w:sz w:val="20"/>
          <w:szCs w:val="20"/>
          <w:lang w:val="es-CO"/>
        </w:rPr>
        <w:t xml:space="preserve"> al proceso</w:t>
      </w:r>
      <w:r w:rsidR="008312F5" w:rsidRPr="00BF20FA">
        <w:rPr>
          <w:rFonts w:asciiTheme="majorHAnsi" w:hAnsiTheme="majorHAnsi"/>
          <w:color w:val="000000" w:themeColor="text1"/>
          <w:sz w:val="20"/>
          <w:szCs w:val="20"/>
          <w:lang w:val="es-CO"/>
        </w:rPr>
        <w:t xml:space="preserve"> de</w:t>
      </w:r>
      <w:r w:rsidR="00BB36E3" w:rsidRPr="00BF20FA">
        <w:rPr>
          <w:rFonts w:asciiTheme="majorHAnsi" w:hAnsiTheme="majorHAnsi"/>
          <w:color w:val="000000" w:themeColor="text1"/>
          <w:sz w:val="20"/>
          <w:szCs w:val="20"/>
          <w:lang w:val="es-CO"/>
        </w:rPr>
        <w:t xml:space="preserve"> consulta</w:t>
      </w:r>
      <w:r w:rsidR="003A59DD" w:rsidRPr="00BF20FA">
        <w:rPr>
          <w:rFonts w:asciiTheme="majorHAnsi" w:hAnsiTheme="majorHAnsi"/>
          <w:color w:val="000000" w:themeColor="text1"/>
          <w:sz w:val="20"/>
          <w:szCs w:val="20"/>
          <w:lang w:val="es-CO"/>
        </w:rPr>
        <w:t xml:space="preserve"> previa</w:t>
      </w:r>
      <w:r w:rsidR="00BB36E3" w:rsidRPr="00BF20FA">
        <w:rPr>
          <w:rFonts w:asciiTheme="majorHAnsi" w:hAnsiTheme="majorHAnsi"/>
          <w:color w:val="000000" w:themeColor="text1"/>
          <w:sz w:val="20"/>
          <w:szCs w:val="20"/>
          <w:lang w:val="es-CO"/>
        </w:rPr>
        <w:t xml:space="preserve"> realizad</w:t>
      </w:r>
      <w:r w:rsidR="003A59DD" w:rsidRPr="00BF20FA">
        <w:rPr>
          <w:rFonts w:asciiTheme="majorHAnsi" w:hAnsiTheme="majorHAnsi"/>
          <w:color w:val="000000" w:themeColor="text1"/>
          <w:sz w:val="20"/>
          <w:szCs w:val="20"/>
          <w:lang w:val="es-CO"/>
        </w:rPr>
        <w:t xml:space="preserve">o </w:t>
      </w:r>
      <w:r w:rsidR="00BB36E3" w:rsidRPr="00BF20FA">
        <w:rPr>
          <w:rFonts w:asciiTheme="majorHAnsi" w:hAnsiTheme="majorHAnsi"/>
          <w:color w:val="000000" w:themeColor="text1"/>
          <w:sz w:val="20"/>
          <w:szCs w:val="20"/>
          <w:lang w:val="es-CO"/>
        </w:rPr>
        <w:t>con ASCATIDAR para el</w:t>
      </w:r>
      <w:r w:rsidR="00841B24" w:rsidRPr="00BF20FA">
        <w:rPr>
          <w:rFonts w:asciiTheme="majorHAnsi" w:hAnsiTheme="majorHAnsi"/>
          <w:color w:val="000000" w:themeColor="text1"/>
          <w:sz w:val="20"/>
          <w:szCs w:val="20"/>
          <w:lang w:val="es-CO"/>
        </w:rPr>
        <w:t xml:space="preserve"> Bloque </w:t>
      </w:r>
      <w:r w:rsidR="00FC3D47" w:rsidRPr="00BF20FA">
        <w:rPr>
          <w:rFonts w:asciiTheme="majorHAnsi" w:hAnsiTheme="majorHAnsi"/>
          <w:color w:val="000000" w:themeColor="text1"/>
          <w:sz w:val="20"/>
          <w:szCs w:val="20"/>
          <w:lang w:val="es-CO"/>
        </w:rPr>
        <w:t xml:space="preserve">Catleya, </w:t>
      </w:r>
      <w:r w:rsidR="00CF7E38" w:rsidRPr="00BF20FA">
        <w:rPr>
          <w:rFonts w:asciiTheme="majorHAnsi" w:hAnsiTheme="majorHAnsi"/>
          <w:color w:val="000000" w:themeColor="text1"/>
          <w:sz w:val="20"/>
          <w:szCs w:val="20"/>
          <w:lang w:val="es-CO"/>
        </w:rPr>
        <w:t>se debía dar por agotado con las reuniones llevadas a cabo entre 2004 y 2005, referidas anteriormente</w:t>
      </w:r>
      <w:r w:rsidR="00361517" w:rsidRPr="00BF20FA">
        <w:rPr>
          <w:rFonts w:asciiTheme="majorHAnsi" w:hAnsiTheme="majorHAnsi"/>
          <w:color w:val="000000" w:themeColor="text1"/>
          <w:sz w:val="20"/>
          <w:szCs w:val="20"/>
          <w:lang w:val="es-CO"/>
        </w:rPr>
        <w:t xml:space="preserve">, por considerar que </w:t>
      </w:r>
      <w:r w:rsidR="00361517" w:rsidRPr="00BF20FA">
        <w:rPr>
          <w:rFonts w:asciiTheme="majorHAnsi" w:hAnsiTheme="majorHAnsi"/>
          <w:color w:val="000000" w:themeColor="text1"/>
          <w:sz w:val="20"/>
          <w:szCs w:val="20"/>
          <w:lang w:val="es-ES"/>
        </w:rPr>
        <w:t>“se adelantó</w:t>
      </w:r>
      <w:r w:rsidR="00842E0A" w:rsidRPr="00BF20FA">
        <w:rPr>
          <w:rFonts w:asciiTheme="majorHAnsi" w:hAnsiTheme="majorHAnsi"/>
          <w:color w:val="000000" w:themeColor="text1"/>
          <w:sz w:val="20"/>
          <w:szCs w:val="20"/>
          <w:lang w:val="es-ES"/>
        </w:rPr>
        <w:t xml:space="preserve"> efectivamente un proceso de consulta previa que cumplió con las garantías constitucionales y con las obligaciones internacionales del Estado en la materia...</w:t>
      </w:r>
      <w:r w:rsidR="00361517" w:rsidRPr="00BF20FA">
        <w:rPr>
          <w:rFonts w:asciiTheme="majorHAnsi" w:hAnsiTheme="majorHAnsi"/>
          <w:color w:val="000000" w:themeColor="text1"/>
          <w:sz w:val="20"/>
          <w:szCs w:val="20"/>
          <w:lang w:val="es-ES"/>
        </w:rPr>
        <w:t>”</w:t>
      </w:r>
      <w:r w:rsidR="0029170C" w:rsidRPr="00BF20FA">
        <w:rPr>
          <w:rStyle w:val="FootnoteReference"/>
          <w:rFonts w:asciiTheme="majorHAnsi" w:hAnsiTheme="majorHAnsi"/>
          <w:color w:val="000000" w:themeColor="text1"/>
          <w:sz w:val="20"/>
          <w:szCs w:val="20"/>
          <w:lang w:val="es-CO"/>
        </w:rPr>
        <w:footnoteReference w:id="70"/>
      </w:r>
      <w:r w:rsidR="003A59DD" w:rsidRPr="00BF20FA">
        <w:rPr>
          <w:rFonts w:asciiTheme="majorHAnsi" w:hAnsiTheme="majorHAnsi"/>
          <w:color w:val="000000" w:themeColor="text1"/>
          <w:sz w:val="20"/>
          <w:szCs w:val="20"/>
          <w:lang w:val="es-CO"/>
        </w:rPr>
        <w:t>.</w:t>
      </w:r>
      <w:r w:rsidR="00945968" w:rsidRPr="00BF20FA">
        <w:rPr>
          <w:rFonts w:asciiTheme="majorHAnsi" w:hAnsiTheme="majorHAnsi"/>
          <w:color w:val="000000" w:themeColor="text1"/>
          <w:sz w:val="20"/>
          <w:szCs w:val="20"/>
          <w:lang w:val="es-CO"/>
        </w:rPr>
        <w:t xml:space="preserve"> </w:t>
      </w:r>
    </w:p>
    <w:p w14:paraId="65A5B62D" w14:textId="77777777" w:rsidR="002156A2" w:rsidRPr="00BF20FA" w:rsidRDefault="002156A2" w:rsidP="002156A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CO"/>
        </w:rPr>
      </w:pPr>
    </w:p>
    <w:p w14:paraId="214ABE48" w14:textId="77777777" w:rsidR="00842E0A" w:rsidRPr="00BF20FA" w:rsidRDefault="00841B2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Por otra parte, e</w:t>
      </w:r>
      <w:r w:rsidR="00BB36E3" w:rsidRPr="00BF20FA">
        <w:rPr>
          <w:rFonts w:asciiTheme="majorHAnsi" w:hAnsiTheme="majorHAnsi"/>
          <w:color w:val="000000" w:themeColor="text1"/>
          <w:sz w:val="20"/>
          <w:szCs w:val="20"/>
          <w:lang w:val="es-CO"/>
        </w:rPr>
        <w:t>l 21 de noviembre de 2006, la</w:t>
      </w:r>
      <w:r w:rsidR="006A3D46" w:rsidRPr="00BF20FA">
        <w:rPr>
          <w:rFonts w:asciiTheme="majorHAnsi" w:hAnsiTheme="majorHAnsi"/>
          <w:color w:val="000000" w:themeColor="text1"/>
          <w:sz w:val="20"/>
          <w:szCs w:val="20"/>
          <w:lang w:val="es-CO"/>
        </w:rPr>
        <w:t xml:space="preserve"> Dirección de Etnias</w:t>
      </w:r>
      <w:r w:rsidR="00254388" w:rsidRPr="00BF20FA">
        <w:rPr>
          <w:rFonts w:asciiTheme="majorHAnsi" w:hAnsiTheme="majorHAnsi"/>
          <w:color w:val="000000" w:themeColor="text1"/>
          <w:sz w:val="20"/>
          <w:szCs w:val="20"/>
          <w:lang w:val="es-CO"/>
        </w:rPr>
        <w:t xml:space="preserve"> del Ministerio del Interior</w:t>
      </w:r>
      <w:r w:rsidR="006A3D46" w:rsidRPr="00BF20FA">
        <w:rPr>
          <w:rFonts w:asciiTheme="majorHAnsi" w:hAnsiTheme="majorHAnsi"/>
          <w:color w:val="000000" w:themeColor="text1"/>
          <w:sz w:val="20"/>
          <w:szCs w:val="20"/>
          <w:lang w:val="es-CO"/>
        </w:rPr>
        <w:t xml:space="preserve"> concluy</w:t>
      </w:r>
      <w:r w:rsidR="00254388" w:rsidRPr="00BF20FA">
        <w:rPr>
          <w:rFonts w:asciiTheme="majorHAnsi" w:hAnsiTheme="majorHAnsi"/>
          <w:color w:val="000000" w:themeColor="text1"/>
          <w:sz w:val="20"/>
          <w:szCs w:val="20"/>
          <w:lang w:val="es-CO"/>
        </w:rPr>
        <w:t>ó</w:t>
      </w:r>
      <w:r w:rsidR="006A3D46" w:rsidRPr="00BF20FA">
        <w:rPr>
          <w:rFonts w:asciiTheme="majorHAnsi" w:hAnsiTheme="majorHAnsi"/>
          <w:color w:val="000000" w:themeColor="text1"/>
          <w:sz w:val="20"/>
          <w:szCs w:val="20"/>
          <w:lang w:val="es-CO"/>
        </w:rPr>
        <w:t xml:space="preserve"> que ‘‘las razones que fundamentan la negativa de </w:t>
      </w:r>
      <w:r w:rsidR="00254388" w:rsidRPr="00BF20FA">
        <w:rPr>
          <w:rFonts w:asciiTheme="majorHAnsi" w:hAnsiTheme="majorHAnsi"/>
          <w:color w:val="000000" w:themeColor="text1"/>
          <w:sz w:val="20"/>
          <w:szCs w:val="20"/>
          <w:lang w:val="es-CO"/>
        </w:rPr>
        <w:t>los</w:t>
      </w:r>
      <w:r w:rsidR="00994FF5" w:rsidRPr="00BF20FA">
        <w:rPr>
          <w:rFonts w:asciiTheme="majorHAnsi" w:hAnsiTheme="majorHAnsi"/>
          <w:color w:val="000000" w:themeColor="text1"/>
          <w:sz w:val="20"/>
          <w:szCs w:val="20"/>
          <w:lang w:val="es-CO"/>
        </w:rPr>
        <w:t xml:space="preserve"> representantes del P</w:t>
      </w:r>
      <w:r w:rsidR="006A3D46" w:rsidRPr="00BF20FA">
        <w:rPr>
          <w:rFonts w:asciiTheme="majorHAnsi" w:hAnsiTheme="majorHAnsi"/>
          <w:color w:val="000000" w:themeColor="text1"/>
          <w:sz w:val="20"/>
          <w:szCs w:val="20"/>
          <w:lang w:val="es-CO"/>
        </w:rPr>
        <w:t>ueblo U’wa de los departamentos de Boyacá, Santander y Norte de Santander, agremiados en AsoU’wa a participar en el proceso de Consulta Previa, a pesar de las múltiples oportunidades ofrecidas, no son de recibo por cuanto no se pueden justificar de conformidad con el deber que tienen de ejercer su derecho fundamental, a fin de garantizar la protección étnica y cultural del pueblo U’wa’’</w:t>
      </w:r>
      <w:r w:rsidR="00A4071A" w:rsidRPr="00BF20FA">
        <w:rPr>
          <w:rStyle w:val="FootnoteReference"/>
          <w:rFonts w:asciiTheme="majorHAnsi" w:hAnsiTheme="majorHAnsi"/>
          <w:color w:val="000000" w:themeColor="text1"/>
          <w:sz w:val="20"/>
          <w:szCs w:val="20"/>
          <w:lang w:val="es-CO"/>
        </w:rPr>
        <w:footnoteReference w:id="71"/>
      </w:r>
      <w:r w:rsidR="006A3D46" w:rsidRPr="00BF20FA">
        <w:rPr>
          <w:rFonts w:asciiTheme="majorHAnsi" w:hAnsiTheme="majorHAnsi"/>
          <w:color w:val="000000" w:themeColor="text1"/>
          <w:sz w:val="20"/>
          <w:szCs w:val="20"/>
          <w:lang w:val="es-CO"/>
        </w:rPr>
        <w:t>.</w:t>
      </w:r>
      <w:r w:rsidR="00BB36E3" w:rsidRPr="00BF20FA">
        <w:rPr>
          <w:rFonts w:asciiTheme="majorHAnsi" w:hAnsiTheme="majorHAnsi"/>
          <w:color w:val="000000" w:themeColor="text1"/>
          <w:sz w:val="20"/>
          <w:szCs w:val="20"/>
          <w:lang w:val="es-CO"/>
        </w:rPr>
        <w:t xml:space="preserve"> </w:t>
      </w:r>
      <w:r w:rsidR="00842E0A" w:rsidRPr="00BF20FA">
        <w:rPr>
          <w:rFonts w:asciiTheme="majorHAnsi" w:hAnsiTheme="majorHAnsi"/>
          <w:color w:val="000000" w:themeColor="text1"/>
          <w:sz w:val="20"/>
          <w:szCs w:val="20"/>
          <w:lang w:val="es-CO"/>
        </w:rPr>
        <w:t>El Estado ha afirmado que</w:t>
      </w:r>
      <w:r w:rsidR="00FC3D47" w:rsidRPr="00BF20FA">
        <w:rPr>
          <w:rFonts w:asciiTheme="majorHAnsi" w:hAnsiTheme="majorHAnsi"/>
          <w:color w:val="000000" w:themeColor="text1"/>
          <w:sz w:val="20"/>
          <w:szCs w:val="20"/>
          <w:lang w:val="es-CO"/>
        </w:rPr>
        <w:t>,</w:t>
      </w:r>
      <w:r w:rsidR="00842E0A" w:rsidRPr="00BF20FA">
        <w:rPr>
          <w:rFonts w:asciiTheme="majorHAnsi" w:hAnsiTheme="majorHAnsi"/>
          <w:color w:val="000000" w:themeColor="text1"/>
          <w:sz w:val="20"/>
          <w:szCs w:val="20"/>
          <w:lang w:val="es-CO"/>
        </w:rPr>
        <w:t xml:space="preserve"> para el año 2018</w:t>
      </w:r>
      <w:r w:rsidR="00FC3D47" w:rsidRPr="00BF20FA">
        <w:rPr>
          <w:rFonts w:asciiTheme="majorHAnsi" w:hAnsiTheme="majorHAnsi"/>
          <w:color w:val="000000" w:themeColor="text1"/>
          <w:sz w:val="20"/>
          <w:szCs w:val="20"/>
          <w:lang w:val="es-CO"/>
        </w:rPr>
        <w:t>,</w:t>
      </w:r>
      <w:r w:rsidR="00842E0A" w:rsidRPr="00BF20FA">
        <w:rPr>
          <w:rFonts w:asciiTheme="majorHAnsi" w:hAnsiTheme="majorHAnsi"/>
          <w:color w:val="000000" w:themeColor="text1"/>
          <w:sz w:val="20"/>
          <w:szCs w:val="20"/>
          <w:lang w:val="es-CO"/>
        </w:rPr>
        <w:t xml:space="preserve"> ni Ecopetrol ni su actual socio, Repsol, han adelantado actividad alguna en el área relativa al Bloque Catleyá. </w:t>
      </w:r>
    </w:p>
    <w:p w14:paraId="4B729324" w14:textId="77777777" w:rsidR="00C26EE1" w:rsidRPr="00BF20FA" w:rsidRDefault="00C26EE1" w:rsidP="00F8239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1080"/>
        <w:jc w:val="both"/>
        <w:rPr>
          <w:rFonts w:asciiTheme="majorHAnsi" w:eastAsia="Arial Unicode MS" w:hAnsiTheme="majorHAnsi" w:cs="Times New Roman"/>
          <w:color w:val="000000" w:themeColor="text1"/>
          <w:sz w:val="20"/>
          <w:szCs w:val="20"/>
          <w:lang w:val="es-CO" w:eastAsia="en-US"/>
        </w:rPr>
      </w:pPr>
    </w:p>
    <w:p w14:paraId="0583B4C2" w14:textId="77777777" w:rsidR="00F82395" w:rsidRPr="00BF20FA" w:rsidRDefault="003D2664"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1" w:name="_Toc17221563"/>
      <w:r w:rsidRPr="00BF20FA">
        <w:rPr>
          <w:rFonts w:asciiTheme="majorHAnsi" w:hAnsiTheme="majorHAnsi"/>
          <w:sz w:val="20"/>
          <w:szCs w:val="20"/>
          <w:lang w:val="es-ES_tradnl"/>
        </w:rPr>
        <w:t>Campo de gas Gibraltar</w:t>
      </w:r>
      <w:bookmarkEnd w:id="21"/>
    </w:p>
    <w:p w14:paraId="28BA2070" w14:textId="77777777" w:rsidR="00E7121C" w:rsidRPr="00BF20FA" w:rsidRDefault="00E7121C" w:rsidP="00967C4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077B37BE" w14:textId="77777777" w:rsidR="003A59DD" w:rsidRPr="00BF20FA" w:rsidRDefault="003A59DD"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Mediante Resolución No. 502 del 28 de marzo de 2008, el Ministerio de Medio Ambiente otorgó a la empresa ECOPETROL S.A. Licencia Ambiental Global para el proyecto ‘‘Campo de Gas Gibraltar’’, también conocido como Pozo Gibraltar 3</w:t>
      </w:r>
      <w:r w:rsidRPr="00BF20FA">
        <w:rPr>
          <w:rStyle w:val="FootnoteReference"/>
          <w:rFonts w:asciiTheme="majorHAnsi" w:hAnsiTheme="majorHAnsi"/>
          <w:color w:val="000000" w:themeColor="text1"/>
          <w:sz w:val="20"/>
          <w:szCs w:val="20"/>
          <w:lang w:val="es-CO"/>
        </w:rPr>
        <w:footnoteReference w:id="72"/>
      </w:r>
      <w:r w:rsidRPr="00BF20FA">
        <w:rPr>
          <w:rFonts w:asciiTheme="majorHAnsi" w:hAnsiTheme="majorHAnsi"/>
          <w:color w:val="000000" w:themeColor="text1"/>
          <w:sz w:val="20"/>
          <w:szCs w:val="20"/>
          <w:lang w:val="es-CO"/>
        </w:rPr>
        <w:t>, parte del Área de Perforación Exploratoria Gibraltar</w:t>
      </w:r>
      <w:r w:rsidRPr="00BF20FA">
        <w:rPr>
          <w:rStyle w:val="FootnoteReference"/>
          <w:rFonts w:asciiTheme="majorHAnsi" w:hAnsiTheme="majorHAnsi"/>
          <w:color w:val="000000" w:themeColor="text1"/>
          <w:sz w:val="20"/>
          <w:szCs w:val="20"/>
          <w:lang w:val="es-CO"/>
        </w:rPr>
        <w:footnoteReference w:id="73"/>
      </w:r>
      <w:r w:rsidRPr="00BF20FA">
        <w:rPr>
          <w:rFonts w:asciiTheme="majorHAnsi" w:hAnsiTheme="majorHAnsi"/>
          <w:color w:val="000000" w:themeColor="text1"/>
          <w:sz w:val="20"/>
          <w:szCs w:val="20"/>
          <w:lang w:val="es-CO"/>
        </w:rPr>
        <w:t>.</w:t>
      </w:r>
      <w:r w:rsidR="00A75EC4"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E</w:t>
      </w:r>
      <w:r w:rsidR="00A75EC4" w:rsidRPr="00BF20FA">
        <w:rPr>
          <w:rFonts w:asciiTheme="majorHAnsi" w:hAnsiTheme="majorHAnsi"/>
          <w:color w:val="000000" w:themeColor="text1"/>
          <w:sz w:val="20"/>
          <w:szCs w:val="20"/>
          <w:lang w:val="es-CO"/>
        </w:rPr>
        <w:t xml:space="preserve">l mismo año </w:t>
      </w:r>
      <w:r w:rsidR="00C26EE1" w:rsidRPr="00BF20FA">
        <w:rPr>
          <w:rFonts w:asciiTheme="majorHAnsi" w:hAnsiTheme="majorHAnsi"/>
          <w:color w:val="000000" w:themeColor="text1"/>
          <w:sz w:val="20"/>
          <w:szCs w:val="20"/>
          <w:lang w:val="es-CO"/>
        </w:rPr>
        <w:t>se firmó contrato de compra y venta de g</w:t>
      </w:r>
      <w:r w:rsidRPr="00BF20FA">
        <w:rPr>
          <w:rFonts w:asciiTheme="majorHAnsi" w:hAnsiTheme="majorHAnsi"/>
          <w:color w:val="000000" w:themeColor="text1"/>
          <w:sz w:val="20"/>
          <w:szCs w:val="20"/>
          <w:lang w:val="es-CO"/>
        </w:rPr>
        <w:t>as con la empresa Gas Natural y en 2009</w:t>
      </w:r>
      <w:r w:rsidR="007D2235"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se firmó </w:t>
      </w:r>
      <w:r w:rsidR="00994FF5" w:rsidRPr="00BF20FA">
        <w:rPr>
          <w:rFonts w:asciiTheme="majorHAnsi" w:hAnsiTheme="majorHAnsi"/>
          <w:color w:val="000000" w:themeColor="text1"/>
          <w:sz w:val="20"/>
          <w:szCs w:val="20"/>
          <w:lang w:val="es-CO"/>
        </w:rPr>
        <w:t>contrato</w:t>
      </w:r>
      <w:r w:rsidR="007D2235" w:rsidRPr="00BF20FA">
        <w:rPr>
          <w:rFonts w:asciiTheme="majorHAnsi" w:hAnsiTheme="majorHAnsi"/>
          <w:color w:val="000000" w:themeColor="text1"/>
          <w:sz w:val="20"/>
          <w:szCs w:val="20"/>
          <w:lang w:val="es-CO"/>
        </w:rPr>
        <w:t xml:space="preserve"> para la construcción de la planta de Gas Gibraltar con la firma Consorc</w:t>
      </w:r>
      <w:r w:rsidR="00994FF5" w:rsidRPr="00BF20FA">
        <w:rPr>
          <w:rFonts w:asciiTheme="majorHAnsi" w:hAnsiTheme="majorHAnsi"/>
          <w:color w:val="000000" w:themeColor="text1"/>
          <w:sz w:val="20"/>
          <w:szCs w:val="20"/>
          <w:lang w:val="es-CO"/>
        </w:rPr>
        <w:t>io Unión Temporal Gas Gibraltar</w:t>
      </w:r>
      <w:r w:rsidR="007D2235" w:rsidRPr="00BF20FA">
        <w:rPr>
          <w:rStyle w:val="FootnoteReference"/>
          <w:rFonts w:asciiTheme="majorHAnsi" w:hAnsiTheme="majorHAnsi"/>
          <w:color w:val="000000" w:themeColor="text1"/>
          <w:sz w:val="20"/>
          <w:szCs w:val="20"/>
          <w:lang w:val="es-CO"/>
        </w:rPr>
        <w:footnoteReference w:id="74"/>
      </w:r>
      <w:r w:rsidR="007D2235" w:rsidRPr="00BF20FA">
        <w:rPr>
          <w:rFonts w:asciiTheme="majorHAnsi" w:hAnsiTheme="majorHAnsi"/>
          <w:color w:val="000000" w:themeColor="text1"/>
          <w:sz w:val="20"/>
          <w:szCs w:val="20"/>
          <w:lang w:val="es-CO"/>
        </w:rPr>
        <w:t>.</w:t>
      </w:r>
    </w:p>
    <w:p w14:paraId="1D161957" w14:textId="77777777" w:rsidR="00133F4D" w:rsidRPr="00BF20FA" w:rsidRDefault="00133F4D" w:rsidP="00967C4E">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CO"/>
        </w:rPr>
      </w:pPr>
    </w:p>
    <w:p w14:paraId="73D6E39D" w14:textId="77777777" w:rsidR="004B5574" w:rsidRPr="00BF20FA" w:rsidRDefault="007D223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lastRenderedPageBreak/>
        <w:t xml:space="preserve">Mediante Resolución No. 0602 del 27 de marzo de 2009, </w:t>
      </w:r>
      <w:r w:rsidR="00FA3AB0" w:rsidRPr="00BF20FA">
        <w:rPr>
          <w:rFonts w:asciiTheme="majorHAnsi" w:hAnsiTheme="majorHAnsi"/>
          <w:color w:val="000000" w:themeColor="text1"/>
          <w:sz w:val="20"/>
          <w:szCs w:val="20"/>
          <w:lang w:val="es-MX"/>
        </w:rPr>
        <w:t xml:space="preserve">el </w:t>
      </w:r>
      <w:r w:rsidRPr="00BF20FA">
        <w:rPr>
          <w:rFonts w:asciiTheme="majorHAnsi" w:hAnsiTheme="majorHAnsi"/>
          <w:color w:val="000000" w:themeColor="text1"/>
          <w:sz w:val="20"/>
          <w:szCs w:val="20"/>
          <w:lang w:val="es-MX"/>
        </w:rPr>
        <w:t>Ministerio de Medio Ambiente otorgó Licencia Ambiental a la sociedad TRANSORIENTE S.A. E.S.P., para el proyecto denominado ‘‘Construcción y Operación del Gasoducto Gibraltar – Bucaramanga entre la Estación Gibraltar y la Estación El Palenque, localizado en el municipio de Bucaramanga en el departamento de Santander’’</w:t>
      </w:r>
      <w:r w:rsidRPr="00BF20FA">
        <w:rPr>
          <w:rStyle w:val="FootnoteReference"/>
          <w:rFonts w:asciiTheme="majorHAnsi" w:hAnsiTheme="majorHAnsi"/>
          <w:color w:val="000000" w:themeColor="text1"/>
          <w:sz w:val="20"/>
          <w:szCs w:val="20"/>
        </w:rPr>
        <w:footnoteReference w:id="75"/>
      </w:r>
      <w:r w:rsidRPr="00BF20FA">
        <w:rPr>
          <w:rFonts w:asciiTheme="majorHAnsi" w:hAnsiTheme="majorHAnsi"/>
          <w:color w:val="000000" w:themeColor="text1"/>
          <w:sz w:val="20"/>
          <w:szCs w:val="20"/>
          <w:lang w:val="es-MX"/>
        </w:rPr>
        <w:t>.</w:t>
      </w:r>
    </w:p>
    <w:p w14:paraId="15E6E30B" w14:textId="77777777" w:rsidR="00635874" w:rsidRPr="00BF20FA" w:rsidRDefault="00635874" w:rsidP="0063587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55A0CAC7" w14:textId="1DF8B7FC" w:rsidR="00900AAC" w:rsidRPr="00BF20FA" w:rsidRDefault="00635874"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En los acuerdos de mayo de 2014, se dejó establecido que </w:t>
      </w:r>
      <w:r w:rsidR="00734F2B" w:rsidRPr="00BF20FA">
        <w:rPr>
          <w:rFonts w:asciiTheme="majorHAnsi" w:hAnsiTheme="majorHAnsi"/>
          <w:color w:val="000000" w:themeColor="text1"/>
          <w:sz w:val="20"/>
          <w:szCs w:val="20"/>
          <w:lang w:val="es-CO"/>
        </w:rPr>
        <w:t>“para el caso Gibraltar, la Nación U´wa se mantiene en la posición de no renunciar al derecho del territorio…”</w:t>
      </w:r>
      <w:r w:rsidR="00734F2B" w:rsidRPr="00BF20FA">
        <w:rPr>
          <w:rStyle w:val="FootnoteReference"/>
          <w:rFonts w:asciiTheme="majorHAnsi" w:hAnsiTheme="majorHAnsi"/>
          <w:color w:val="000000" w:themeColor="text1"/>
          <w:sz w:val="20"/>
          <w:szCs w:val="20"/>
          <w:lang w:val="es-CO"/>
        </w:rPr>
        <w:footnoteReference w:id="76"/>
      </w:r>
      <w:r w:rsidR="00734F2B" w:rsidRPr="00BF20FA">
        <w:rPr>
          <w:rFonts w:asciiTheme="majorHAnsi" w:hAnsiTheme="majorHAnsi"/>
          <w:color w:val="000000" w:themeColor="text1"/>
          <w:sz w:val="20"/>
          <w:szCs w:val="20"/>
          <w:lang w:val="es-CO"/>
        </w:rPr>
        <w:t xml:space="preserve">. </w:t>
      </w:r>
      <w:r w:rsidR="003C5BE3" w:rsidRPr="00BF20FA">
        <w:rPr>
          <w:rFonts w:asciiTheme="majorHAnsi" w:hAnsiTheme="majorHAnsi"/>
          <w:color w:val="000000" w:themeColor="text1"/>
          <w:sz w:val="20"/>
          <w:szCs w:val="20"/>
          <w:lang w:val="es-CO"/>
        </w:rPr>
        <w:t>El 13 de junio de 2014 el Cabildo mayor U’wa ‘‘recopiló información primaria sobre las afectaciones que ha generado el proyecto Gibraltar 1 en las comunidades U’wa a través de entrevistas, cartografía y reunión ampliada. Entre las afectaciones señalan ‘‘atentados al tubo que transporta el gas proveniente del pozo Gibraltar (…); contaminación con residuos de petróleo a las quebradas existentes en el sector, causando gran impacto ambiental; sequía de las quebradas a raíz de la construcción de carreteras:(…) los militares realizaban una requisa exhaustiva generando malestar y miedo a las comunidades; (…) deforestación en el sector Sedeño con la creación del bloque de gas’’, desaparición de plantas medicinales, para ayuno y de alimento, ahuyentamiento de animales a raíz de la deforestación e irrealización de la actividad de pesca por sequía de las quebradas; desaparición de sitios sagrados como la lagunilla Shobar-U’wa, ubicada bajo las instalaciones de Ecopetrol y Shobar-riwa; muerte paulatina de las autoridades tradicionales a causa del rompimiento del equilibrio natural y de la línea de comunicación entre las autoridades y los dioses (SIRINAS); debido al rom</w:t>
      </w:r>
      <w:r w:rsidR="001A675C" w:rsidRPr="00BF20FA">
        <w:rPr>
          <w:rFonts w:asciiTheme="majorHAnsi" w:hAnsiTheme="majorHAnsi"/>
          <w:color w:val="000000" w:themeColor="text1"/>
          <w:sz w:val="20"/>
          <w:szCs w:val="20"/>
          <w:lang w:val="es-CO"/>
        </w:rPr>
        <w:t>pimiento del equilibrio natural s</w:t>
      </w:r>
      <w:r w:rsidR="003C5BE3" w:rsidRPr="00BF20FA">
        <w:rPr>
          <w:rFonts w:asciiTheme="majorHAnsi" w:hAnsiTheme="majorHAnsi"/>
          <w:color w:val="000000" w:themeColor="text1"/>
          <w:sz w:val="20"/>
          <w:szCs w:val="20"/>
          <w:lang w:val="es-CO"/>
        </w:rPr>
        <w:t>e</w:t>
      </w:r>
      <w:r w:rsidR="001A675C" w:rsidRPr="00BF20FA">
        <w:rPr>
          <w:rFonts w:asciiTheme="majorHAnsi" w:hAnsiTheme="majorHAnsi"/>
          <w:color w:val="000000" w:themeColor="text1"/>
          <w:sz w:val="20"/>
          <w:szCs w:val="20"/>
          <w:lang w:val="es-CO"/>
        </w:rPr>
        <w:t xml:space="preserve"> </w:t>
      </w:r>
      <w:r w:rsidR="003C5BE3" w:rsidRPr="00BF20FA">
        <w:rPr>
          <w:rFonts w:asciiTheme="majorHAnsi" w:hAnsiTheme="majorHAnsi"/>
          <w:color w:val="000000" w:themeColor="text1"/>
          <w:sz w:val="20"/>
          <w:szCs w:val="20"/>
          <w:lang w:val="es-CO"/>
        </w:rPr>
        <w:t>han aumentado las enfermedades para las familias que habitan allí y la no realización de las prácticas culturales (ayunos), genera graves consecuencias para futuras generaciones’’</w:t>
      </w:r>
      <w:r w:rsidR="00573868" w:rsidRPr="00BF20FA">
        <w:rPr>
          <w:rStyle w:val="FootnoteReference"/>
          <w:rFonts w:asciiTheme="majorHAnsi" w:hAnsiTheme="majorHAnsi"/>
          <w:color w:val="000000" w:themeColor="text1"/>
          <w:sz w:val="20"/>
          <w:szCs w:val="20"/>
          <w:lang w:val="es-CO"/>
        </w:rPr>
        <w:footnoteReference w:id="77"/>
      </w:r>
      <w:r w:rsidR="00D72CA0" w:rsidRPr="00BF20FA">
        <w:rPr>
          <w:rFonts w:asciiTheme="majorHAnsi" w:hAnsiTheme="majorHAnsi"/>
          <w:color w:val="000000" w:themeColor="text1"/>
          <w:sz w:val="20"/>
          <w:szCs w:val="20"/>
          <w:lang w:val="es-CO"/>
        </w:rPr>
        <w:t>.</w:t>
      </w:r>
    </w:p>
    <w:p w14:paraId="14900D76" w14:textId="77777777" w:rsidR="00380442" w:rsidRPr="00BF20FA" w:rsidRDefault="00380442" w:rsidP="00614E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jc w:val="both"/>
        <w:rPr>
          <w:rFonts w:asciiTheme="majorHAnsi" w:hAnsiTheme="majorHAnsi"/>
          <w:color w:val="000000" w:themeColor="text1"/>
          <w:sz w:val="20"/>
          <w:szCs w:val="20"/>
          <w:lang w:val="es-CO"/>
        </w:rPr>
      </w:pPr>
    </w:p>
    <w:p w14:paraId="7561212F" w14:textId="77777777" w:rsidR="00900AAC" w:rsidRPr="00BF20FA" w:rsidRDefault="00275B3D"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Las partes informaron que en el año 2016, </w:t>
      </w:r>
      <w:r w:rsidR="00CF0413" w:rsidRPr="00BF20FA">
        <w:rPr>
          <w:rFonts w:asciiTheme="majorHAnsi" w:hAnsiTheme="majorHAnsi"/>
          <w:color w:val="000000" w:themeColor="text1"/>
          <w:sz w:val="20"/>
          <w:szCs w:val="20"/>
          <w:lang w:val="es-CO"/>
        </w:rPr>
        <w:t xml:space="preserve">integrantes de la comunidad indígena U´wa </w:t>
      </w:r>
      <w:r w:rsidRPr="00BF20FA">
        <w:rPr>
          <w:rFonts w:asciiTheme="majorHAnsi" w:hAnsiTheme="majorHAnsi"/>
          <w:color w:val="000000" w:themeColor="text1"/>
          <w:sz w:val="20"/>
          <w:szCs w:val="20"/>
          <w:lang w:val="es-CO"/>
        </w:rPr>
        <w:t xml:space="preserve">bloquearon </w:t>
      </w:r>
      <w:r w:rsidR="00CF0413" w:rsidRPr="00BF20FA">
        <w:rPr>
          <w:rFonts w:asciiTheme="majorHAnsi" w:hAnsiTheme="majorHAnsi"/>
          <w:color w:val="000000" w:themeColor="text1"/>
          <w:sz w:val="20"/>
          <w:szCs w:val="20"/>
          <w:lang w:val="es-CO"/>
        </w:rPr>
        <w:t xml:space="preserve">la vía de acceso que conduce a la Planta de Gas Gibraltar, </w:t>
      </w:r>
      <w:r w:rsidRPr="00BF20FA">
        <w:rPr>
          <w:rFonts w:asciiTheme="majorHAnsi" w:hAnsiTheme="majorHAnsi"/>
          <w:color w:val="000000" w:themeColor="text1"/>
          <w:sz w:val="20"/>
          <w:szCs w:val="20"/>
          <w:lang w:val="es-CO"/>
        </w:rPr>
        <w:t xml:space="preserve">por </w:t>
      </w:r>
      <w:r w:rsidR="00B75556" w:rsidRPr="00BF20FA">
        <w:rPr>
          <w:rFonts w:asciiTheme="majorHAnsi" w:hAnsiTheme="majorHAnsi"/>
          <w:color w:val="000000" w:themeColor="text1"/>
          <w:sz w:val="20"/>
          <w:szCs w:val="20"/>
          <w:lang w:val="es-CO"/>
        </w:rPr>
        <w:t xml:space="preserve">considerar </w:t>
      </w:r>
      <w:r w:rsidR="00CF0413" w:rsidRPr="00BF20FA">
        <w:rPr>
          <w:rFonts w:asciiTheme="majorHAnsi" w:hAnsiTheme="majorHAnsi"/>
          <w:color w:val="000000" w:themeColor="text1"/>
          <w:sz w:val="20"/>
          <w:szCs w:val="20"/>
          <w:lang w:val="es-CO"/>
        </w:rPr>
        <w:t>incumpli</w:t>
      </w:r>
      <w:r w:rsidR="00B75556" w:rsidRPr="00BF20FA">
        <w:rPr>
          <w:rFonts w:asciiTheme="majorHAnsi" w:hAnsiTheme="majorHAnsi"/>
          <w:color w:val="000000" w:themeColor="text1"/>
          <w:sz w:val="20"/>
          <w:szCs w:val="20"/>
          <w:lang w:val="es-CO"/>
        </w:rPr>
        <w:t>dos</w:t>
      </w:r>
      <w:r w:rsidR="00CF0413" w:rsidRPr="00BF20FA">
        <w:rPr>
          <w:rFonts w:asciiTheme="majorHAnsi" w:hAnsiTheme="majorHAnsi"/>
          <w:color w:val="000000" w:themeColor="text1"/>
          <w:sz w:val="20"/>
          <w:szCs w:val="20"/>
          <w:lang w:val="es-CO"/>
        </w:rPr>
        <w:t xml:space="preserve"> </w:t>
      </w:r>
      <w:r w:rsidR="00B75556" w:rsidRPr="00BF20FA">
        <w:rPr>
          <w:rFonts w:asciiTheme="majorHAnsi" w:hAnsiTheme="majorHAnsi"/>
          <w:color w:val="000000" w:themeColor="text1"/>
          <w:sz w:val="20"/>
          <w:szCs w:val="20"/>
          <w:lang w:val="es-CO"/>
        </w:rPr>
        <w:t>los</w:t>
      </w:r>
      <w:r w:rsidR="00CF0413" w:rsidRPr="00BF20FA">
        <w:rPr>
          <w:rFonts w:asciiTheme="majorHAnsi" w:hAnsiTheme="majorHAnsi"/>
          <w:color w:val="000000" w:themeColor="text1"/>
          <w:sz w:val="20"/>
          <w:szCs w:val="20"/>
          <w:lang w:val="es-CO"/>
        </w:rPr>
        <w:t xml:space="preserve"> acuerdos </w:t>
      </w:r>
      <w:r w:rsidR="003345BB" w:rsidRPr="00BF20FA">
        <w:rPr>
          <w:rFonts w:asciiTheme="majorHAnsi" w:hAnsiTheme="majorHAnsi"/>
          <w:color w:val="000000" w:themeColor="text1"/>
          <w:sz w:val="20"/>
          <w:szCs w:val="20"/>
          <w:lang w:val="es-CO"/>
        </w:rPr>
        <w:t xml:space="preserve">de </w:t>
      </w:r>
      <w:r w:rsidR="00CF0413" w:rsidRPr="00BF20FA">
        <w:rPr>
          <w:rFonts w:asciiTheme="majorHAnsi" w:hAnsiTheme="majorHAnsi"/>
          <w:color w:val="000000" w:themeColor="text1"/>
          <w:sz w:val="20"/>
          <w:szCs w:val="20"/>
          <w:lang w:val="es-CO"/>
        </w:rPr>
        <w:t>mayo de 2014</w:t>
      </w:r>
      <w:r w:rsidR="00126630" w:rsidRPr="00BF20FA">
        <w:rPr>
          <w:rStyle w:val="FootnoteReference"/>
          <w:rFonts w:asciiTheme="majorHAnsi" w:hAnsiTheme="majorHAnsi"/>
          <w:color w:val="000000" w:themeColor="text1"/>
          <w:sz w:val="20"/>
          <w:szCs w:val="20"/>
          <w:lang w:val="es-CO"/>
        </w:rPr>
        <w:footnoteReference w:id="78"/>
      </w:r>
      <w:r w:rsidR="00CF0413" w:rsidRPr="00BF20FA">
        <w:rPr>
          <w:rFonts w:asciiTheme="majorHAnsi" w:hAnsiTheme="majorHAnsi"/>
          <w:color w:val="000000" w:themeColor="text1"/>
          <w:sz w:val="20"/>
          <w:szCs w:val="20"/>
          <w:lang w:val="es-CO"/>
        </w:rPr>
        <w:t xml:space="preserve">. </w:t>
      </w:r>
      <w:r w:rsidR="00BF7D41" w:rsidRPr="00BF20FA">
        <w:rPr>
          <w:rFonts w:asciiTheme="majorHAnsi" w:hAnsiTheme="majorHAnsi"/>
          <w:color w:val="000000" w:themeColor="text1"/>
          <w:sz w:val="20"/>
          <w:szCs w:val="20"/>
          <w:lang w:val="es-CO"/>
        </w:rPr>
        <w:t>Según la parte peticionaria, el proyecto se encuentra en operación y producción de gas mineral y crudo y cuenta con seguridad de parte del Ejercito Nacional.</w:t>
      </w:r>
      <w:r w:rsidR="00350485" w:rsidRPr="00BF20FA">
        <w:rPr>
          <w:rFonts w:asciiTheme="majorHAnsi" w:hAnsiTheme="majorHAnsi"/>
          <w:color w:val="000000" w:themeColor="text1"/>
          <w:sz w:val="20"/>
          <w:szCs w:val="20"/>
          <w:lang w:val="es-CO"/>
        </w:rPr>
        <w:t xml:space="preserve"> El Estado no controvirtió esta información. </w:t>
      </w:r>
    </w:p>
    <w:p w14:paraId="2A43068E" w14:textId="77777777" w:rsidR="006A3D46" w:rsidRPr="00BF20FA" w:rsidRDefault="006A3D46" w:rsidP="00940906">
      <w:pPr>
        <w:jc w:val="both"/>
        <w:rPr>
          <w:rFonts w:asciiTheme="majorHAnsi" w:hAnsiTheme="majorHAnsi"/>
          <w:color w:val="000000" w:themeColor="text1"/>
          <w:sz w:val="20"/>
          <w:szCs w:val="20"/>
          <w:lang w:val="es-CO"/>
        </w:rPr>
      </w:pPr>
    </w:p>
    <w:p w14:paraId="685F4070" w14:textId="5D8097C8" w:rsidR="006A3D46" w:rsidRPr="00BF20FA" w:rsidRDefault="003D2664"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2" w:name="_Toc17221564"/>
      <w:r w:rsidRPr="00BF20FA">
        <w:rPr>
          <w:rFonts w:asciiTheme="majorHAnsi" w:hAnsiTheme="majorHAnsi"/>
          <w:sz w:val="20"/>
          <w:szCs w:val="20"/>
          <w:lang w:val="es-ES_tradnl"/>
        </w:rPr>
        <w:t>Oleoducto Caño Limón – Coveñas</w:t>
      </w:r>
      <w:bookmarkEnd w:id="22"/>
    </w:p>
    <w:p w14:paraId="2937F423" w14:textId="77777777" w:rsidR="001F4DFA" w:rsidRPr="00BF20FA" w:rsidRDefault="001F4DFA" w:rsidP="00E80D9D">
      <w:pPr>
        <w:pStyle w:val="ListParagraph"/>
        <w:ind w:left="1080"/>
        <w:jc w:val="both"/>
        <w:rPr>
          <w:rFonts w:asciiTheme="majorHAnsi" w:hAnsiTheme="majorHAnsi"/>
          <w:b/>
          <w:color w:val="000000" w:themeColor="text1"/>
          <w:sz w:val="20"/>
          <w:szCs w:val="20"/>
          <w:lang w:val="es-CO"/>
        </w:rPr>
      </w:pPr>
    </w:p>
    <w:p w14:paraId="629DA852" w14:textId="77777777" w:rsidR="006A3D46" w:rsidRPr="00BF20FA" w:rsidRDefault="0094090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Con la ampliación del Resguardo Unido U’wa en 1999, parte del Oleoducto Caño Limón-Coveñas quedó dentro del territorio del Pueblo U’wa</w:t>
      </w:r>
      <w:r w:rsidR="00E80D9D" w:rsidRPr="00BF20FA">
        <w:rPr>
          <w:rStyle w:val="FootnoteReference"/>
          <w:rFonts w:asciiTheme="majorHAnsi" w:hAnsiTheme="majorHAnsi"/>
          <w:color w:val="000000" w:themeColor="text1"/>
          <w:sz w:val="20"/>
          <w:szCs w:val="20"/>
          <w:lang w:val="es-CO"/>
        </w:rPr>
        <w:footnoteReference w:id="79"/>
      </w:r>
      <w:r w:rsidRPr="00BF20FA">
        <w:rPr>
          <w:rFonts w:asciiTheme="majorHAnsi" w:hAnsiTheme="majorHAnsi"/>
          <w:color w:val="000000" w:themeColor="text1"/>
          <w:sz w:val="20"/>
          <w:szCs w:val="20"/>
          <w:lang w:val="es-CO"/>
        </w:rPr>
        <w:t>.</w:t>
      </w:r>
    </w:p>
    <w:p w14:paraId="554F482D" w14:textId="16A61FEE" w:rsidR="001F4DFA" w:rsidRDefault="001F4DFA" w:rsidP="00614E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851"/>
          <w:tab w:val="left" w:pos="1440"/>
        </w:tabs>
        <w:ind w:left="810"/>
        <w:jc w:val="both"/>
        <w:rPr>
          <w:rFonts w:asciiTheme="majorHAnsi" w:hAnsiTheme="majorHAnsi"/>
          <w:color w:val="000000" w:themeColor="text1"/>
          <w:sz w:val="20"/>
          <w:szCs w:val="20"/>
          <w:lang w:val="es-CO"/>
        </w:rPr>
      </w:pPr>
    </w:p>
    <w:p w14:paraId="5D90BFE3" w14:textId="121B9C39" w:rsidR="00940906" w:rsidRPr="00BF20FA" w:rsidRDefault="00E80D9D"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S</w:t>
      </w:r>
      <w:r w:rsidR="00CF07BD" w:rsidRPr="00BF20FA">
        <w:rPr>
          <w:rFonts w:asciiTheme="majorHAnsi" w:hAnsiTheme="majorHAnsi"/>
          <w:color w:val="000000" w:themeColor="text1"/>
          <w:sz w:val="20"/>
          <w:szCs w:val="20"/>
          <w:lang w:val="es-CO"/>
        </w:rPr>
        <w:t xml:space="preserve">egún </w:t>
      </w:r>
      <w:r w:rsidR="0048597C" w:rsidRPr="00BF20FA">
        <w:rPr>
          <w:rFonts w:asciiTheme="majorHAnsi" w:hAnsiTheme="majorHAnsi"/>
          <w:color w:val="000000" w:themeColor="text1"/>
          <w:sz w:val="20"/>
          <w:szCs w:val="20"/>
          <w:lang w:val="es-CO"/>
        </w:rPr>
        <w:t>información</w:t>
      </w:r>
      <w:r w:rsidR="00CF07BD" w:rsidRPr="00BF20FA">
        <w:rPr>
          <w:rFonts w:asciiTheme="majorHAnsi" w:hAnsiTheme="majorHAnsi"/>
          <w:color w:val="000000" w:themeColor="text1"/>
          <w:sz w:val="20"/>
          <w:szCs w:val="20"/>
          <w:lang w:val="es-CO"/>
        </w:rPr>
        <w:t xml:space="preserve"> proporcionada por l</w:t>
      </w:r>
      <w:r w:rsidR="000A6096" w:rsidRPr="00BF20FA">
        <w:rPr>
          <w:rFonts w:asciiTheme="majorHAnsi" w:hAnsiTheme="majorHAnsi"/>
          <w:color w:val="000000" w:themeColor="text1"/>
          <w:sz w:val="20"/>
          <w:szCs w:val="20"/>
          <w:lang w:val="es-CO"/>
        </w:rPr>
        <w:t xml:space="preserve">a parte </w:t>
      </w:r>
      <w:r w:rsidR="00CF07BD" w:rsidRPr="00BF20FA">
        <w:rPr>
          <w:rFonts w:asciiTheme="majorHAnsi" w:hAnsiTheme="majorHAnsi"/>
          <w:color w:val="000000" w:themeColor="text1"/>
          <w:sz w:val="20"/>
          <w:szCs w:val="20"/>
          <w:lang w:val="es-CO"/>
        </w:rPr>
        <w:t>peticionari</w:t>
      </w:r>
      <w:r w:rsidR="000A6096" w:rsidRPr="00BF20FA">
        <w:rPr>
          <w:rFonts w:asciiTheme="majorHAnsi" w:hAnsiTheme="majorHAnsi"/>
          <w:color w:val="000000" w:themeColor="text1"/>
          <w:sz w:val="20"/>
          <w:szCs w:val="20"/>
          <w:lang w:val="es-CO"/>
        </w:rPr>
        <w:t>a</w:t>
      </w:r>
      <w:r w:rsidR="00CF07BD" w:rsidRPr="00BF20FA">
        <w:rPr>
          <w:rFonts w:asciiTheme="majorHAnsi" w:hAnsiTheme="majorHAnsi"/>
          <w:color w:val="000000" w:themeColor="text1"/>
          <w:sz w:val="20"/>
          <w:szCs w:val="20"/>
          <w:lang w:val="es-CO"/>
        </w:rPr>
        <w:t xml:space="preserve"> y no controvertida por el Estado, el </w:t>
      </w:r>
      <w:r w:rsidR="006A3D46" w:rsidRPr="00BF20FA">
        <w:rPr>
          <w:rFonts w:asciiTheme="majorHAnsi" w:hAnsiTheme="majorHAnsi"/>
          <w:color w:val="000000" w:themeColor="text1"/>
          <w:sz w:val="20"/>
          <w:szCs w:val="20"/>
          <w:lang w:val="es-CO"/>
        </w:rPr>
        <w:t xml:space="preserve"> oleoducto fue objeto de atentados por p</w:t>
      </w:r>
      <w:r w:rsidR="002404AA">
        <w:rPr>
          <w:rFonts w:asciiTheme="majorHAnsi" w:hAnsiTheme="majorHAnsi"/>
          <w:color w:val="000000" w:themeColor="text1"/>
          <w:sz w:val="20"/>
          <w:szCs w:val="20"/>
          <w:lang w:val="es-CO"/>
        </w:rPr>
        <w:t>arte de grupos al margen de la l</w:t>
      </w:r>
      <w:r w:rsidR="006A3D46" w:rsidRPr="00BF20FA">
        <w:rPr>
          <w:rFonts w:asciiTheme="majorHAnsi" w:hAnsiTheme="majorHAnsi"/>
          <w:color w:val="000000" w:themeColor="text1"/>
          <w:sz w:val="20"/>
          <w:szCs w:val="20"/>
          <w:lang w:val="es-CO"/>
        </w:rPr>
        <w:t>ey los días 30 de junio de 2012, 22 de julio de 2012, 21 de febrero de 2014, 1 de mayo de 2014 y 5 de abril de 2015 en el municipio de Cubará; y los días 4 de enero de 2013, 24 de febre</w:t>
      </w:r>
      <w:r w:rsidR="002404AA">
        <w:rPr>
          <w:rFonts w:asciiTheme="majorHAnsi" w:hAnsiTheme="majorHAnsi"/>
          <w:color w:val="000000" w:themeColor="text1"/>
          <w:sz w:val="20"/>
          <w:szCs w:val="20"/>
          <w:lang w:val="es-CO"/>
        </w:rPr>
        <w:t>ro de 2014, 11 de marzo de 2014 y</w:t>
      </w:r>
      <w:r w:rsidR="006A3D46" w:rsidRPr="00BF20FA">
        <w:rPr>
          <w:rFonts w:asciiTheme="majorHAnsi" w:hAnsiTheme="majorHAnsi"/>
          <w:color w:val="000000" w:themeColor="text1"/>
          <w:sz w:val="20"/>
          <w:szCs w:val="20"/>
          <w:lang w:val="es-CO"/>
        </w:rPr>
        <w:t xml:space="preserve"> 25 de marzo de 2014</w:t>
      </w:r>
      <w:r w:rsidR="002404AA">
        <w:rPr>
          <w:rFonts w:asciiTheme="majorHAnsi" w:hAnsiTheme="majorHAnsi"/>
          <w:color w:val="000000" w:themeColor="text1"/>
          <w:sz w:val="20"/>
          <w:szCs w:val="20"/>
          <w:lang w:val="es-CO"/>
        </w:rPr>
        <w:t>,</w:t>
      </w:r>
      <w:r w:rsidR="006A3D46" w:rsidRPr="00BF20FA">
        <w:rPr>
          <w:rFonts w:asciiTheme="majorHAnsi" w:hAnsiTheme="majorHAnsi"/>
          <w:color w:val="000000" w:themeColor="text1"/>
          <w:sz w:val="20"/>
          <w:szCs w:val="20"/>
          <w:lang w:val="es-CO"/>
        </w:rPr>
        <w:t xml:space="preserve"> en el municipio de Toledo</w:t>
      </w:r>
      <w:r w:rsidR="00940906" w:rsidRPr="00BF20FA">
        <w:rPr>
          <w:rStyle w:val="FootnoteReference"/>
          <w:rFonts w:asciiTheme="majorHAnsi" w:hAnsiTheme="majorHAnsi"/>
          <w:color w:val="000000" w:themeColor="text1"/>
          <w:sz w:val="20"/>
          <w:szCs w:val="20"/>
          <w:lang w:val="es-CO"/>
        </w:rPr>
        <w:footnoteReference w:id="80"/>
      </w:r>
      <w:r w:rsidR="006A3D46" w:rsidRPr="00BF20FA">
        <w:rPr>
          <w:rFonts w:asciiTheme="majorHAnsi" w:hAnsiTheme="majorHAnsi"/>
          <w:color w:val="000000" w:themeColor="text1"/>
          <w:sz w:val="20"/>
          <w:szCs w:val="20"/>
          <w:lang w:val="es-CO"/>
        </w:rPr>
        <w:t>.</w:t>
      </w:r>
    </w:p>
    <w:p w14:paraId="151E43A1" w14:textId="77777777" w:rsidR="001F4DFA" w:rsidRPr="00BF20FA" w:rsidRDefault="001F4DFA"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851"/>
          <w:tab w:val="left" w:pos="1440"/>
        </w:tabs>
        <w:jc w:val="both"/>
        <w:rPr>
          <w:rFonts w:asciiTheme="majorHAnsi" w:hAnsiTheme="majorHAnsi"/>
          <w:color w:val="000000" w:themeColor="text1"/>
          <w:sz w:val="20"/>
          <w:szCs w:val="20"/>
          <w:lang w:val="es-CO"/>
        </w:rPr>
      </w:pPr>
    </w:p>
    <w:p w14:paraId="45153B00" w14:textId="30008AE1" w:rsidR="00940906"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Mediante comunicado a la opinión pública del 31 de marzo de 2014,</w:t>
      </w:r>
      <w:r w:rsidR="008838AE" w:rsidRPr="00BF20FA">
        <w:rPr>
          <w:rFonts w:asciiTheme="majorHAnsi" w:hAnsiTheme="majorHAnsi"/>
          <w:color w:val="000000" w:themeColor="text1"/>
          <w:sz w:val="20"/>
          <w:szCs w:val="20"/>
          <w:lang w:val="es-CO"/>
        </w:rPr>
        <w:t xml:space="preserve"> el pueblo U’wa denunció que </w:t>
      </w:r>
      <w:r w:rsidRPr="00BF20FA">
        <w:rPr>
          <w:rFonts w:asciiTheme="majorHAnsi" w:hAnsiTheme="majorHAnsi"/>
          <w:color w:val="000000" w:themeColor="text1"/>
          <w:sz w:val="20"/>
          <w:szCs w:val="20"/>
          <w:lang w:val="es-CO"/>
        </w:rPr>
        <w:t>el atentado del 25 de marzo de 2014 en el municipio de Toledo</w:t>
      </w:r>
      <w:r w:rsidR="00940906"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generó voladura del oleoducto Caño Limón Coveñas en la vereda la China, la cual afectó la paz y la tranquilidad de los U’was y demás habitantes del sector. El fuerte estruendo produjo estado de zozobra a los U’</w:t>
      </w:r>
      <w:r w:rsidR="008838AE" w:rsidRPr="00BF20FA">
        <w:rPr>
          <w:rFonts w:asciiTheme="majorHAnsi" w:hAnsiTheme="majorHAnsi"/>
          <w:color w:val="000000" w:themeColor="text1"/>
          <w:sz w:val="20"/>
          <w:szCs w:val="20"/>
          <w:lang w:val="es-CO"/>
        </w:rPr>
        <w:t>w</w:t>
      </w:r>
      <w:r w:rsidRPr="00BF20FA">
        <w:rPr>
          <w:rFonts w:asciiTheme="majorHAnsi" w:hAnsiTheme="majorHAnsi"/>
          <w:color w:val="000000" w:themeColor="text1"/>
          <w:sz w:val="20"/>
          <w:szCs w:val="20"/>
          <w:lang w:val="es-CO"/>
        </w:rPr>
        <w:t>as y colonos del sector y dejó a un adulto y a un menor de edad en los</w:t>
      </w:r>
      <w:r w:rsidR="00087845">
        <w:rPr>
          <w:rFonts w:asciiTheme="majorHAnsi" w:hAnsiTheme="majorHAnsi"/>
          <w:color w:val="000000" w:themeColor="text1"/>
          <w:sz w:val="20"/>
          <w:szCs w:val="20"/>
          <w:lang w:val="es-CO"/>
        </w:rPr>
        <w:t xml:space="preserve"> centros de salud de la región </w:t>
      </w:r>
      <w:r w:rsidRPr="00BF20FA">
        <w:rPr>
          <w:rFonts w:asciiTheme="majorHAnsi" w:hAnsiTheme="majorHAnsi"/>
          <w:color w:val="000000" w:themeColor="text1"/>
          <w:sz w:val="20"/>
          <w:szCs w:val="20"/>
          <w:lang w:val="es-CO"/>
        </w:rPr>
        <w:t>por el humo y sustancia producto de la combustión. El crudo derramado fue vertido a la quebrada la China, que cae al río Cubogón, cauce importante que abastece al río Arauca. La fuerte llamarada afectó considerablemente la flora del área y a los habitantes del sector, pues a escasos 100 metros viven familias U’was y colonos’’</w:t>
      </w:r>
      <w:r w:rsidRPr="00BF20FA">
        <w:rPr>
          <w:rStyle w:val="FootnoteReference"/>
          <w:rFonts w:asciiTheme="majorHAnsi" w:hAnsiTheme="majorHAnsi"/>
          <w:color w:val="000000" w:themeColor="text1"/>
          <w:sz w:val="20"/>
          <w:szCs w:val="20"/>
          <w:lang w:val="es-CO"/>
        </w:rPr>
        <w:footnoteReference w:id="81"/>
      </w:r>
      <w:r w:rsidRPr="00BF20FA">
        <w:rPr>
          <w:rFonts w:asciiTheme="majorHAnsi" w:hAnsiTheme="majorHAnsi"/>
          <w:color w:val="000000" w:themeColor="text1"/>
          <w:sz w:val="20"/>
          <w:szCs w:val="20"/>
          <w:lang w:val="es-CO"/>
        </w:rPr>
        <w:t>.</w:t>
      </w:r>
    </w:p>
    <w:p w14:paraId="5A853BBA" w14:textId="77777777" w:rsidR="00055063" w:rsidRPr="00BF20FA" w:rsidRDefault="00055063" w:rsidP="0005506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44512869" w14:textId="77777777" w:rsidR="00055063" w:rsidRPr="00BF20FA" w:rsidRDefault="00A3737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lastRenderedPageBreak/>
        <w:t xml:space="preserve">Según información proporcionada por la parte peticionaria, fue a raíz de lo anterior que el Pueblo U´wa decidió realizar una concentración de aproximadamente 50 indígenas U´was. </w:t>
      </w:r>
    </w:p>
    <w:p w14:paraId="788815D0" w14:textId="77777777" w:rsidR="004378EE" w:rsidRPr="00BF20FA" w:rsidRDefault="004378EE" w:rsidP="00752D6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17B9CC51" w14:textId="77777777" w:rsidR="006A3D46" w:rsidRPr="00BF20FA" w:rsidRDefault="00DD0E4F"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En</w:t>
      </w:r>
      <w:r w:rsidR="007C6735" w:rsidRPr="00BF20FA">
        <w:rPr>
          <w:rFonts w:asciiTheme="majorHAnsi" w:hAnsiTheme="majorHAnsi"/>
          <w:color w:val="000000" w:themeColor="text1"/>
          <w:sz w:val="20"/>
          <w:szCs w:val="20"/>
          <w:lang w:val="es-CO"/>
        </w:rPr>
        <w:t xml:space="preserve"> los acuerdo</w:t>
      </w:r>
      <w:r w:rsidR="00691F91" w:rsidRPr="00BF20FA">
        <w:rPr>
          <w:rFonts w:asciiTheme="majorHAnsi" w:hAnsiTheme="majorHAnsi"/>
          <w:color w:val="000000" w:themeColor="text1"/>
          <w:sz w:val="20"/>
          <w:szCs w:val="20"/>
          <w:lang w:val="es-CO"/>
        </w:rPr>
        <w:t>s</w:t>
      </w:r>
      <w:r w:rsidR="007C6735"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de </w:t>
      </w:r>
      <w:r w:rsidR="006A3D46" w:rsidRPr="00BF20FA">
        <w:rPr>
          <w:rFonts w:asciiTheme="majorHAnsi" w:hAnsiTheme="majorHAnsi"/>
          <w:color w:val="000000" w:themeColor="text1"/>
          <w:sz w:val="20"/>
          <w:szCs w:val="20"/>
          <w:lang w:val="es-CO"/>
        </w:rPr>
        <w:t>mayo de 2014</w:t>
      </w:r>
      <w:r w:rsidR="007C6735" w:rsidRPr="00BF20FA">
        <w:rPr>
          <w:rFonts w:asciiTheme="majorHAnsi" w:hAnsiTheme="majorHAnsi"/>
          <w:color w:val="000000" w:themeColor="text1"/>
          <w:sz w:val="20"/>
          <w:szCs w:val="20"/>
          <w:lang w:val="es-CO"/>
        </w:rPr>
        <w:t>,</w:t>
      </w:r>
      <w:r w:rsidR="00F51DE4"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el Gobierno Nacional y la Nación U’wa acordaron ‘‘permitir la reparación del oleoducto Caño Limón Coveñas en el punto La China, a partir de la firma de esta acta con proyección de enterrarlo en ese punto a la profundidad segura requerida técnicamente’’</w:t>
      </w:r>
      <w:r w:rsidR="006A3D46" w:rsidRPr="00BF20FA">
        <w:rPr>
          <w:rStyle w:val="FootnoteReference"/>
          <w:rFonts w:asciiTheme="majorHAnsi" w:hAnsiTheme="majorHAnsi"/>
          <w:color w:val="000000" w:themeColor="text1"/>
          <w:sz w:val="20"/>
          <w:szCs w:val="20"/>
          <w:lang w:val="es-CO"/>
        </w:rPr>
        <w:footnoteReference w:id="82"/>
      </w:r>
      <w:r w:rsidR="00940906" w:rsidRPr="00BF20FA">
        <w:rPr>
          <w:rFonts w:asciiTheme="majorHAnsi" w:hAnsiTheme="majorHAnsi"/>
          <w:color w:val="000000" w:themeColor="text1"/>
          <w:sz w:val="20"/>
          <w:szCs w:val="20"/>
          <w:lang w:val="es-CO"/>
        </w:rPr>
        <w:t>.</w:t>
      </w:r>
      <w:r w:rsidR="008838AE" w:rsidRPr="00BF20FA">
        <w:rPr>
          <w:rFonts w:asciiTheme="majorHAnsi" w:hAnsiTheme="majorHAnsi"/>
          <w:color w:val="000000" w:themeColor="text1"/>
          <w:sz w:val="20"/>
          <w:szCs w:val="20"/>
          <w:lang w:val="es-CO"/>
        </w:rPr>
        <w:t xml:space="preserve"> La Comisión no </w:t>
      </w:r>
      <w:r w:rsidR="004F65D7" w:rsidRPr="00BF20FA">
        <w:rPr>
          <w:rFonts w:asciiTheme="majorHAnsi" w:hAnsiTheme="majorHAnsi"/>
          <w:color w:val="000000" w:themeColor="text1"/>
          <w:sz w:val="20"/>
          <w:szCs w:val="20"/>
          <w:lang w:val="es-CO"/>
        </w:rPr>
        <w:t xml:space="preserve">cuenta </w:t>
      </w:r>
      <w:r w:rsidR="007C6735" w:rsidRPr="00BF20FA">
        <w:rPr>
          <w:rFonts w:asciiTheme="majorHAnsi" w:hAnsiTheme="majorHAnsi"/>
          <w:color w:val="000000" w:themeColor="text1"/>
          <w:sz w:val="20"/>
          <w:szCs w:val="20"/>
          <w:lang w:val="es-CO"/>
        </w:rPr>
        <w:t>con información respecto a si</w:t>
      </w:r>
      <w:r w:rsidR="008838AE" w:rsidRPr="00BF20FA">
        <w:rPr>
          <w:rFonts w:asciiTheme="majorHAnsi" w:hAnsiTheme="majorHAnsi"/>
          <w:color w:val="000000" w:themeColor="text1"/>
          <w:sz w:val="20"/>
          <w:szCs w:val="20"/>
          <w:lang w:val="es-CO"/>
        </w:rPr>
        <w:t xml:space="preserve"> </w:t>
      </w:r>
      <w:r w:rsidR="007C6735" w:rsidRPr="00BF20FA">
        <w:rPr>
          <w:rFonts w:asciiTheme="majorHAnsi" w:hAnsiTheme="majorHAnsi"/>
          <w:color w:val="000000" w:themeColor="text1"/>
          <w:sz w:val="20"/>
          <w:szCs w:val="20"/>
          <w:lang w:val="es-CO"/>
        </w:rPr>
        <w:t xml:space="preserve">la </w:t>
      </w:r>
      <w:r w:rsidR="008838AE" w:rsidRPr="00BF20FA">
        <w:rPr>
          <w:rFonts w:asciiTheme="majorHAnsi" w:hAnsiTheme="majorHAnsi"/>
          <w:color w:val="000000" w:themeColor="text1"/>
          <w:sz w:val="20"/>
          <w:szCs w:val="20"/>
          <w:lang w:val="es-CO"/>
        </w:rPr>
        <w:t>reparación</w:t>
      </w:r>
      <w:r w:rsidR="007C6735" w:rsidRPr="00BF20FA">
        <w:rPr>
          <w:rFonts w:asciiTheme="majorHAnsi" w:hAnsiTheme="majorHAnsi"/>
          <w:color w:val="000000" w:themeColor="text1"/>
          <w:sz w:val="20"/>
          <w:szCs w:val="20"/>
          <w:lang w:val="es-CO"/>
        </w:rPr>
        <w:t xml:space="preserve"> y el enterramiento del oleoducto se llev</w:t>
      </w:r>
      <w:r w:rsidR="00F51DE4" w:rsidRPr="00BF20FA">
        <w:rPr>
          <w:rFonts w:asciiTheme="majorHAnsi" w:hAnsiTheme="majorHAnsi"/>
          <w:color w:val="000000" w:themeColor="text1"/>
          <w:sz w:val="20"/>
          <w:szCs w:val="20"/>
          <w:lang w:val="es-CO"/>
        </w:rPr>
        <w:t>aron</w:t>
      </w:r>
      <w:r w:rsidR="007C6735" w:rsidRPr="00BF20FA">
        <w:rPr>
          <w:rFonts w:asciiTheme="majorHAnsi" w:hAnsiTheme="majorHAnsi"/>
          <w:color w:val="000000" w:themeColor="text1"/>
          <w:sz w:val="20"/>
          <w:szCs w:val="20"/>
          <w:lang w:val="es-CO"/>
        </w:rPr>
        <w:t xml:space="preserve"> a cabo</w:t>
      </w:r>
      <w:r w:rsidR="008838AE" w:rsidRPr="00BF20FA">
        <w:rPr>
          <w:rFonts w:asciiTheme="majorHAnsi" w:hAnsiTheme="majorHAnsi"/>
          <w:color w:val="000000" w:themeColor="text1"/>
          <w:sz w:val="20"/>
          <w:szCs w:val="20"/>
          <w:lang w:val="es-CO"/>
        </w:rPr>
        <w:t>.</w:t>
      </w:r>
    </w:p>
    <w:p w14:paraId="4DE00DBA" w14:textId="77777777" w:rsidR="006A3D46" w:rsidRPr="00BF20FA" w:rsidRDefault="006A3D46" w:rsidP="006B4C4E">
      <w:pPr>
        <w:jc w:val="both"/>
        <w:rPr>
          <w:rFonts w:asciiTheme="majorHAnsi" w:hAnsiTheme="majorHAnsi"/>
          <w:color w:val="000000" w:themeColor="text1"/>
          <w:sz w:val="20"/>
          <w:szCs w:val="20"/>
          <w:lang w:val="es-CO"/>
        </w:rPr>
      </w:pPr>
    </w:p>
    <w:p w14:paraId="277B6B4B" w14:textId="470A44F9" w:rsidR="006A3D46" w:rsidRPr="00BF20FA" w:rsidRDefault="00644A06"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4" w:name="_Toc17221565"/>
      <w:r w:rsidRPr="00BF20FA">
        <w:rPr>
          <w:rFonts w:asciiTheme="majorHAnsi" w:hAnsiTheme="majorHAnsi"/>
          <w:sz w:val="20"/>
          <w:szCs w:val="20"/>
          <w:lang w:val="es-ES_tradnl"/>
        </w:rPr>
        <w:t>Área de perforación exploratoria Magallanes</w:t>
      </w:r>
      <w:bookmarkEnd w:id="24"/>
    </w:p>
    <w:p w14:paraId="44CFE41A" w14:textId="77777777" w:rsidR="00940906" w:rsidRPr="00BF20FA" w:rsidRDefault="00940906" w:rsidP="00940906">
      <w:pPr>
        <w:pStyle w:val="ListParagraph"/>
        <w:ind w:left="1800"/>
        <w:jc w:val="both"/>
        <w:rPr>
          <w:rFonts w:asciiTheme="majorHAnsi" w:hAnsiTheme="majorHAnsi"/>
          <w:b/>
          <w:color w:val="000000" w:themeColor="text1"/>
          <w:sz w:val="20"/>
          <w:szCs w:val="20"/>
          <w:lang w:val="es-CO"/>
        </w:rPr>
      </w:pPr>
    </w:p>
    <w:p w14:paraId="766E9AB3" w14:textId="303D2DDE" w:rsidR="00940906"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día 9 de diciembre de 2010</w:t>
      </w:r>
      <w:r w:rsidR="00940906"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ECOPETROL</w:t>
      </w:r>
      <w:r w:rsidR="00940906" w:rsidRPr="00BF20FA">
        <w:rPr>
          <w:rFonts w:asciiTheme="majorHAnsi" w:hAnsiTheme="majorHAnsi"/>
          <w:color w:val="000000" w:themeColor="text1"/>
          <w:sz w:val="20"/>
          <w:szCs w:val="20"/>
          <w:lang w:val="es-CO"/>
        </w:rPr>
        <w:t xml:space="preserve"> S.A.</w:t>
      </w:r>
      <w:r w:rsidRPr="00BF20FA">
        <w:rPr>
          <w:rFonts w:asciiTheme="majorHAnsi" w:hAnsiTheme="majorHAnsi"/>
          <w:color w:val="000000" w:themeColor="text1"/>
          <w:sz w:val="20"/>
          <w:szCs w:val="20"/>
          <w:lang w:val="es-CO"/>
        </w:rPr>
        <w:t xml:space="preserve"> hizo entrega </w:t>
      </w:r>
      <w:r w:rsidR="000A6096" w:rsidRPr="00BF20FA">
        <w:rPr>
          <w:rFonts w:asciiTheme="majorHAnsi" w:hAnsiTheme="majorHAnsi"/>
          <w:color w:val="000000" w:themeColor="text1"/>
          <w:sz w:val="20"/>
          <w:szCs w:val="20"/>
          <w:lang w:val="es-CO"/>
        </w:rPr>
        <w:t xml:space="preserve">de diversos documentos </w:t>
      </w:r>
      <w:r w:rsidRPr="00BF20FA">
        <w:rPr>
          <w:rFonts w:asciiTheme="majorHAnsi" w:hAnsiTheme="majorHAnsi"/>
          <w:color w:val="000000" w:themeColor="text1"/>
          <w:sz w:val="20"/>
          <w:szCs w:val="20"/>
          <w:lang w:val="es-CO"/>
        </w:rPr>
        <w:t>al Ministerio de Medio Ambiente para la evaluación del Estudio de Impacto Ambiental para el Área de Perforación Exploratoria Magallanes, ubicado en el municipio de Toledo en el dep</w:t>
      </w:r>
      <w:r w:rsidR="000A6096" w:rsidRPr="00BF20FA">
        <w:rPr>
          <w:rFonts w:asciiTheme="majorHAnsi" w:hAnsiTheme="majorHAnsi"/>
          <w:color w:val="000000" w:themeColor="text1"/>
          <w:sz w:val="20"/>
          <w:szCs w:val="20"/>
          <w:lang w:val="es-CO"/>
        </w:rPr>
        <w:t>artamento de Norte de Santan</w:t>
      </w:r>
      <w:r w:rsidR="008E7F5A" w:rsidRPr="00BF20FA">
        <w:rPr>
          <w:rFonts w:asciiTheme="majorHAnsi" w:hAnsiTheme="majorHAnsi"/>
          <w:color w:val="000000" w:themeColor="text1"/>
          <w:sz w:val="20"/>
          <w:szCs w:val="20"/>
          <w:lang w:val="es-CO"/>
        </w:rPr>
        <w:t>d</w:t>
      </w:r>
      <w:r w:rsidR="000A6096" w:rsidRPr="00BF20FA">
        <w:rPr>
          <w:rFonts w:asciiTheme="majorHAnsi" w:hAnsiTheme="majorHAnsi"/>
          <w:color w:val="000000" w:themeColor="text1"/>
          <w:sz w:val="20"/>
          <w:szCs w:val="20"/>
          <w:lang w:val="es-CO"/>
        </w:rPr>
        <w:t xml:space="preserve">er. El </w:t>
      </w:r>
      <w:r w:rsidR="00512EFC" w:rsidRPr="00BF20FA">
        <w:rPr>
          <w:rFonts w:asciiTheme="majorHAnsi" w:hAnsiTheme="majorHAnsi"/>
          <w:color w:val="000000" w:themeColor="text1"/>
          <w:sz w:val="20"/>
          <w:szCs w:val="20"/>
          <w:lang w:val="es-CO"/>
        </w:rPr>
        <w:t>13 de en</w:t>
      </w:r>
      <w:r w:rsidR="00FD00D0" w:rsidRPr="00BF20FA">
        <w:rPr>
          <w:rFonts w:asciiTheme="majorHAnsi" w:hAnsiTheme="majorHAnsi"/>
          <w:color w:val="000000" w:themeColor="text1"/>
          <w:sz w:val="20"/>
          <w:szCs w:val="20"/>
          <w:lang w:val="es-CO"/>
        </w:rPr>
        <w:t>ero de 2011, inició trámite para la obtención de l</w:t>
      </w:r>
      <w:r w:rsidR="00512EFC" w:rsidRPr="00BF20FA">
        <w:rPr>
          <w:rFonts w:asciiTheme="majorHAnsi" w:hAnsiTheme="majorHAnsi"/>
          <w:color w:val="000000" w:themeColor="text1"/>
          <w:sz w:val="20"/>
          <w:szCs w:val="20"/>
          <w:lang w:val="es-CO"/>
        </w:rPr>
        <w:t xml:space="preserve">icencia </w:t>
      </w:r>
      <w:r w:rsidR="00FD00D0" w:rsidRPr="00BF20FA">
        <w:rPr>
          <w:rFonts w:asciiTheme="majorHAnsi" w:hAnsiTheme="majorHAnsi"/>
          <w:color w:val="000000" w:themeColor="text1"/>
          <w:sz w:val="20"/>
          <w:szCs w:val="20"/>
          <w:lang w:val="es-CO"/>
        </w:rPr>
        <w:t>a</w:t>
      </w:r>
      <w:r w:rsidR="00512EFC" w:rsidRPr="00BF20FA">
        <w:rPr>
          <w:rFonts w:asciiTheme="majorHAnsi" w:hAnsiTheme="majorHAnsi"/>
          <w:color w:val="000000" w:themeColor="text1"/>
          <w:sz w:val="20"/>
          <w:szCs w:val="20"/>
          <w:lang w:val="es-CO"/>
        </w:rPr>
        <w:t>mbiental</w:t>
      </w:r>
      <w:r w:rsidR="00940906" w:rsidRPr="00BF20FA">
        <w:rPr>
          <w:rStyle w:val="FootnoteReference"/>
          <w:rFonts w:asciiTheme="majorHAnsi" w:hAnsiTheme="majorHAnsi"/>
          <w:color w:val="000000" w:themeColor="text1"/>
          <w:sz w:val="20"/>
          <w:szCs w:val="20"/>
          <w:lang w:val="es-CO"/>
        </w:rPr>
        <w:footnoteReference w:id="83"/>
      </w:r>
      <w:r w:rsidRPr="00BF20FA">
        <w:rPr>
          <w:rFonts w:asciiTheme="majorHAnsi" w:hAnsiTheme="majorHAnsi"/>
          <w:color w:val="000000" w:themeColor="text1"/>
          <w:sz w:val="20"/>
          <w:szCs w:val="20"/>
          <w:lang w:val="es-CO"/>
        </w:rPr>
        <w:t>.</w:t>
      </w:r>
    </w:p>
    <w:p w14:paraId="0C31BC64" w14:textId="77777777" w:rsidR="00175E39" w:rsidRPr="00BF20FA" w:rsidRDefault="00175E39" w:rsidP="006B4C4E">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6B150970" w14:textId="77777777" w:rsidR="00940906" w:rsidRPr="00BF20FA" w:rsidRDefault="00B22955"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w:t>
      </w:r>
      <w:r w:rsidR="006A3D46" w:rsidRPr="00BF20FA">
        <w:rPr>
          <w:rFonts w:asciiTheme="majorHAnsi" w:hAnsiTheme="majorHAnsi"/>
          <w:color w:val="000000" w:themeColor="text1"/>
          <w:sz w:val="20"/>
          <w:szCs w:val="20"/>
          <w:lang w:val="es-CO"/>
        </w:rPr>
        <w:t xml:space="preserve">l 23 de </w:t>
      </w:r>
      <w:r w:rsidR="00940906" w:rsidRPr="00BF20FA">
        <w:rPr>
          <w:rFonts w:asciiTheme="majorHAnsi" w:hAnsiTheme="majorHAnsi"/>
          <w:color w:val="000000" w:themeColor="text1"/>
          <w:sz w:val="20"/>
          <w:szCs w:val="20"/>
          <w:lang w:val="es-CO"/>
        </w:rPr>
        <w:t>a</w:t>
      </w:r>
      <w:r w:rsidR="006A3D46" w:rsidRPr="00BF20FA">
        <w:rPr>
          <w:rFonts w:asciiTheme="majorHAnsi" w:hAnsiTheme="majorHAnsi"/>
          <w:color w:val="000000" w:themeColor="text1"/>
          <w:sz w:val="20"/>
          <w:szCs w:val="20"/>
          <w:lang w:val="es-CO"/>
        </w:rPr>
        <w:t>gosto de 2012 la Dirección de Bosques Biodiversidad y Servicios Ecosistémicos del Ministerio de Ambiente y Desarrollo Sostenible efectúo la sustracción temporal de 20.24 hectáreas de la Reserva Forestal del Cocuy establecida en la Ley 2 de 1959 para el desarrollo del proyecto de perforación exploratoria Magallanes, por el término de ocho meses, prorrogables de acuerdo con las pruebas de producción</w:t>
      </w:r>
      <w:r w:rsidR="00940906" w:rsidRPr="00BF20FA">
        <w:rPr>
          <w:rStyle w:val="FootnoteReference"/>
          <w:rFonts w:asciiTheme="majorHAnsi" w:hAnsiTheme="majorHAnsi"/>
          <w:color w:val="000000" w:themeColor="text1"/>
          <w:sz w:val="20"/>
          <w:szCs w:val="20"/>
          <w:lang w:val="es-CO"/>
        </w:rPr>
        <w:footnoteReference w:id="84"/>
      </w:r>
      <w:r w:rsidR="006A3D46" w:rsidRPr="00BF20FA">
        <w:rPr>
          <w:rFonts w:asciiTheme="majorHAnsi" w:hAnsiTheme="majorHAnsi"/>
          <w:color w:val="000000" w:themeColor="text1"/>
          <w:sz w:val="20"/>
          <w:szCs w:val="20"/>
          <w:lang w:val="es-CO"/>
        </w:rPr>
        <w:t>.</w:t>
      </w:r>
    </w:p>
    <w:p w14:paraId="211807F9" w14:textId="77777777" w:rsidR="00B63793" w:rsidRPr="00BF20FA" w:rsidRDefault="00B63793"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31F69FB8" w14:textId="77777777" w:rsidR="00875CF0" w:rsidRPr="00BF20FA" w:rsidRDefault="004E49DB"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En el </w:t>
      </w:r>
      <w:r w:rsidR="006A3D46" w:rsidRPr="00BF20FA">
        <w:rPr>
          <w:rFonts w:asciiTheme="majorHAnsi" w:hAnsiTheme="majorHAnsi"/>
          <w:color w:val="000000" w:themeColor="text1"/>
          <w:sz w:val="20"/>
          <w:szCs w:val="20"/>
          <w:lang w:val="es-CO"/>
        </w:rPr>
        <w:t>2012</w:t>
      </w:r>
      <w:r w:rsidRPr="00BF20FA">
        <w:rPr>
          <w:rFonts w:asciiTheme="majorHAnsi" w:hAnsiTheme="majorHAnsi"/>
          <w:color w:val="000000" w:themeColor="text1"/>
          <w:sz w:val="20"/>
          <w:szCs w:val="20"/>
          <w:lang w:val="es-CO"/>
        </w:rPr>
        <w:t>, la Autoridad Nacional de Licencias Ambientales –ANLA</w:t>
      </w:r>
      <w:r w:rsidR="004E5499" w:rsidRPr="00BF20FA">
        <w:rPr>
          <w:rStyle w:val="FootnoteReference"/>
          <w:rFonts w:asciiTheme="majorHAnsi" w:hAnsiTheme="majorHAnsi"/>
          <w:color w:val="000000" w:themeColor="text1"/>
          <w:sz w:val="20"/>
          <w:szCs w:val="20"/>
          <w:lang w:val="es-CO"/>
        </w:rPr>
        <w:footnoteReference w:id="85"/>
      </w:r>
      <w:r w:rsidRPr="00BF20FA">
        <w:rPr>
          <w:rFonts w:asciiTheme="majorHAnsi" w:hAnsiTheme="majorHAnsi"/>
          <w:color w:val="000000" w:themeColor="text1"/>
          <w:sz w:val="20"/>
          <w:szCs w:val="20"/>
          <w:lang w:val="es-CO"/>
        </w:rPr>
        <w:t xml:space="preserve">- </w:t>
      </w:r>
      <w:r w:rsidR="006533DF" w:rsidRPr="00BF20FA">
        <w:rPr>
          <w:rFonts w:asciiTheme="majorHAnsi" w:hAnsiTheme="majorHAnsi"/>
          <w:color w:val="000000" w:themeColor="text1"/>
          <w:sz w:val="20"/>
          <w:szCs w:val="20"/>
          <w:lang w:val="es-CO"/>
        </w:rPr>
        <w:t>resolvió ‘‘otorga</w:t>
      </w:r>
      <w:r w:rsidR="009350FA" w:rsidRPr="00BF20FA">
        <w:rPr>
          <w:rFonts w:asciiTheme="majorHAnsi" w:hAnsiTheme="majorHAnsi"/>
          <w:color w:val="000000" w:themeColor="text1"/>
          <w:sz w:val="20"/>
          <w:szCs w:val="20"/>
          <w:lang w:val="es-CO"/>
        </w:rPr>
        <w:t>r a la empresa ECOPETROL S.A., l</w:t>
      </w:r>
      <w:r w:rsidR="006533DF" w:rsidRPr="00BF20FA">
        <w:rPr>
          <w:rFonts w:asciiTheme="majorHAnsi" w:hAnsiTheme="majorHAnsi"/>
          <w:color w:val="000000" w:themeColor="text1"/>
          <w:sz w:val="20"/>
          <w:szCs w:val="20"/>
          <w:lang w:val="es-CO"/>
        </w:rPr>
        <w:t xml:space="preserve">icencia </w:t>
      </w:r>
      <w:r w:rsidR="009350FA" w:rsidRPr="00BF20FA">
        <w:rPr>
          <w:rFonts w:asciiTheme="majorHAnsi" w:hAnsiTheme="majorHAnsi"/>
          <w:color w:val="000000" w:themeColor="text1"/>
          <w:sz w:val="20"/>
          <w:szCs w:val="20"/>
          <w:lang w:val="es-CO"/>
        </w:rPr>
        <w:t>a</w:t>
      </w:r>
      <w:r w:rsidR="006533DF" w:rsidRPr="00BF20FA">
        <w:rPr>
          <w:rFonts w:asciiTheme="majorHAnsi" w:hAnsiTheme="majorHAnsi"/>
          <w:color w:val="000000" w:themeColor="text1"/>
          <w:sz w:val="20"/>
          <w:szCs w:val="20"/>
          <w:lang w:val="es-CO"/>
        </w:rPr>
        <w:t xml:space="preserve">mbiental para el proyecto denominado ‘‘Área de Perforación Exploratoria Magallanes’’, para </w:t>
      </w:r>
      <w:r w:rsidR="006A3D46" w:rsidRPr="00BF20FA">
        <w:rPr>
          <w:rFonts w:asciiTheme="majorHAnsi" w:hAnsiTheme="majorHAnsi"/>
          <w:color w:val="000000" w:themeColor="text1"/>
          <w:sz w:val="20"/>
          <w:szCs w:val="20"/>
          <w:lang w:val="es-CO"/>
        </w:rPr>
        <w:t>la búsqueda de hidrocarburos</w:t>
      </w:r>
      <w:r w:rsidR="006533DF" w:rsidRPr="00BF20FA">
        <w:rPr>
          <w:rFonts w:asciiTheme="majorHAnsi" w:hAnsiTheme="majorHAnsi"/>
          <w:color w:val="000000" w:themeColor="text1"/>
          <w:sz w:val="20"/>
          <w:szCs w:val="20"/>
          <w:lang w:val="es-CO"/>
        </w:rPr>
        <w:t xml:space="preserve">, con </w:t>
      </w:r>
      <w:r w:rsidR="006A3D46" w:rsidRPr="00BF20FA">
        <w:rPr>
          <w:rFonts w:asciiTheme="majorHAnsi" w:hAnsiTheme="majorHAnsi"/>
          <w:color w:val="000000" w:themeColor="text1"/>
          <w:sz w:val="20"/>
          <w:szCs w:val="20"/>
          <w:lang w:val="es-CO"/>
        </w:rPr>
        <w:t>la posibilidad de perforar hasta tres (3) pozos</w:t>
      </w:r>
      <w:r w:rsidR="00196736" w:rsidRPr="00BF20FA">
        <w:rPr>
          <w:rFonts w:asciiTheme="majorHAnsi" w:hAnsiTheme="majorHAnsi"/>
          <w:color w:val="000000" w:themeColor="text1"/>
          <w:sz w:val="20"/>
          <w:szCs w:val="20"/>
          <w:lang w:val="es-CO"/>
        </w:rPr>
        <w:t xml:space="preserve">, </w:t>
      </w:r>
      <w:r w:rsidR="006A3D46" w:rsidRPr="00BF20FA">
        <w:rPr>
          <w:rFonts w:asciiTheme="majorHAnsi" w:hAnsiTheme="majorHAnsi"/>
          <w:color w:val="000000" w:themeColor="text1"/>
          <w:sz w:val="20"/>
          <w:szCs w:val="20"/>
          <w:lang w:val="es-CO"/>
        </w:rPr>
        <w:t>cubr</w:t>
      </w:r>
      <w:r w:rsidR="00196736" w:rsidRPr="00BF20FA">
        <w:rPr>
          <w:rFonts w:asciiTheme="majorHAnsi" w:hAnsiTheme="majorHAnsi"/>
          <w:color w:val="000000" w:themeColor="text1"/>
          <w:sz w:val="20"/>
          <w:szCs w:val="20"/>
          <w:lang w:val="es-CO"/>
        </w:rPr>
        <w:t>iendo una extensión de 83,98 ha</w:t>
      </w:r>
      <w:r w:rsidR="00086B67" w:rsidRPr="00BF20FA">
        <w:rPr>
          <w:rStyle w:val="FootnoteReference"/>
          <w:rFonts w:asciiTheme="majorHAnsi" w:hAnsiTheme="majorHAnsi"/>
          <w:color w:val="000000" w:themeColor="text1"/>
          <w:sz w:val="20"/>
          <w:szCs w:val="20"/>
          <w:lang w:val="es-CO"/>
        </w:rPr>
        <w:footnoteReference w:id="86"/>
      </w:r>
      <w:r w:rsidR="00086B67" w:rsidRPr="00BF20FA">
        <w:rPr>
          <w:rFonts w:asciiTheme="majorHAnsi" w:hAnsiTheme="majorHAnsi"/>
          <w:color w:val="000000" w:themeColor="text1"/>
          <w:sz w:val="20"/>
          <w:szCs w:val="20"/>
          <w:lang w:val="es-CO"/>
        </w:rPr>
        <w:t>.</w:t>
      </w:r>
    </w:p>
    <w:p w14:paraId="464A75DA" w14:textId="77777777" w:rsidR="005D664B" w:rsidRPr="00BF20FA" w:rsidRDefault="005D664B"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64DEE108" w14:textId="7B279EBF" w:rsidR="00086B67" w:rsidRPr="00BF20FA" w:rsidRDefault="006A3D46" w:rsidP="008F7F9A">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Mediante ‘‘Informe sobre el proceso de licenciamiento ambiental del pozo Magallanes 1’’ de 1 de mayo de 2014</w:t>
      </w:r>
      <w:r w:rsidR="007A66F5"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la Nación U’wa concluy</w:t>
      </w:r>
      <w:r w:rsidR="009350FA" w:rsidRPr="00BF20FA">
        <w:rPr>
          <w:rFonts w:asciiTheme="majorHAnsi" w:hAnsiTheme="majorHAnsi"/>
          <w:color w:val="000000" w:themeColor="text1"/>
          <w:sz w:val="20"/>
          <w:szCs w:val="20"/>
          <w:lang w:val="es-CO"/>
        </w:rPr>
        <w:t>ó</w:t>
      </w:r>
      <w:r w:rsidRPr="00BF20FA">
        <w:rPr>
          <w:rFonts w:asciiTheme="majorHAnsi" w:hAnsiTheme="majorHAnsi"/>
          <w:color w:val="000000" w:themeColor="text1"/>
          <w:sz w:val="20"/>
          <w:szCs w:val="20"/>
          <w:lang w:val="es-CO"/>
        </w:rPr>
        <w:t xml:space="preserve"> que ‘‘los términos de referencia no se ajusta</w:t>
      </w:r>
      <w:r w:rsidR="000B3967" w:rsidRPr="00BF20FA">
        <w:rPr>
          <w:rFonts w:asciiTheme="majorHAnsi" w:hAnsiTheme="majorHAnsi"/>
          <w:color w:val="000000" w:themeColor="text1"/>
          <w:sz w:val="20"/>
          <w:szCs w:val="20"/>
          <w:lang w:val="es-CO"/>
        </w:rPr>
        <w:t>n</w:t>
      </w:r>
      <w:r w:rsidRPr="00BF20FA">
        <w:rPr>
          <w:rFonts w:asciiTheme="majorHAnsi" w:hAnsiTheme="majorHAnsi"/>
          <w:color w:val="000000" w:themeColor="text1"/>
          <w:sz w:val="20"/>
          <w:szCs w:val="20"/>
          <w:lang w:val="es-CO"/>
        </w:rPr>
        <w:t xml:space="preserve"> de manera adecuada a la normativa y a los principios constitucionales colombianos. No permiten dar cuenta de manera preventiva de los posibles impactos ambientale</w:t>
      </w:r>
      <w:r w:rsidR="000C5914" w:rsidRPr="00BF20FA">
        <w:rPr>
          <w:rFonts w:asciiTheme="majorHAnsi" w:hAnsiTheme="majorHAnsi"/>
          <w:color w:val="000000" w:themeColor="text1"/>
          <w:sz w:val="20"/>
          <w:szCs w:val="20"/>
          <w:lang w:val="es-CO"/>
        </w:rPr>
        <w:t>s de la actividad exploratoria […]</w:t>
      </w:r>
      <w:r w:rsidR="00DE78E6"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w:t>
      </w:r>
      <w:r w:rsidR="00DE78E6" w:rsidRPr="00BF20FA">
        <w:rPr>
          <w:rFonts w:asciiTheme="majorHAnsi" w:hAnsiTheme="majorHAnsi"/>
          <w:color w:val="000000" w:themeColor="text1"/>
          <w:sz w:val="20"/>
          <w:szCs w:val="20"/>
          <w:lang w:val="es-CO"/>
        </w:rPr>
        <w:t>E</w:t>
      </w:r>
      <w:r w:rsidRPr="00BF20FA">
        <w:rPr>
          <w:rFonts w:asciiTheme="majorHAnsi" w:hAnsiTheme="majorHAnsi"/>
          <w:color w:val="000000" w:themeColor="text1"/>
          <w:sz w:val="20"/>
          <w:szCs w:val="20"/>
          <w:lang w:val="es-CO"/>
        </w:rPr>
        <w:t>s posible que existan irregularidades en la sustracción del área de reserva forestal de Ley 2° de 1959 Cocuy</w:t>
      </w:r>
      <w:r w:rsidR="00DE78E6" w:rsidRPr="00BF20FA">
        <w:rPr>
          <w:rFonts w:asciiTheme="majorHAnsi" w:hAnsiTheme="majorHAnsi"/>
          <w:color w:val="000000" w:themeColor="text1"/>
          <w:sz w:val="20"/>
          <w:szCs w:val="20"/>
          <w:lang w:val="es-CO"/>
        </w:rPr>
        <w:t xml:space="preserve"> […]</w:t>
      </w:r>
      <w:r w:rsidR="002404AA">
        <w:rPr>
          <w:rFonts w:asciiTheme="majorHAnsi" w:hAnsiTheme="majorHAnsi"/>
          <w:color w:val="000000" w:themeColor="text1"/>
          <w:sz w:val="20"/>
          <w:szCs w:val="20"/>
          <w:lang w:val="es-CO"/>
        </w:rPr>
        <w:t>.</w:t>
      </w:r>
      <w:r w:rsidR="00DE78E6" w:rsidRPr="00BF20FA">
        <w:rPr>
          <w:rFonts w:asciiTheme="majorHAnsi" w:hAnsiTheme="majorHAnsi"/>
          <w:color w:val="000000" w:themeColor="text1"/>
          <w:sz w:val="20"/>
          <w:szCs w:val="20"/>
          <w:lang w:val="es-CO"/>
        </w:rPr>
        <w:t xml:space="preserve"> E</w:t>
      </w:r>
      <w:r w:rsidRPr="00BF20FA">
        <w:rPr>
          <w:rFonts w:asciiTheme="majorHAnsi" w:hAnsiTheme="majorHAnsi"/>
          <w:color w:val="000000" w:themeColor="text1"/>
          <w:sz w:val="20"/>
          <w:szCs w:val="20"/>
          <w:lang w:val="es-CO"/>
        </w:rPr>
        <w:t xml:space="preserve">l estudio de impacto ambiental y el plan de manejo ambiental presentados por Ecopetrol y evaluados por la ANLA como base técnica para la decisión de licenciamiento ambiental son deficientes, </w:t>
      </w:r>
      <w:r w:rsidR="000C5914" w:rsidRPr="00BF20FA">
        <w:rPr>
          <w:rFonts w:asciiTheme="majorHAnsi" w:hAnsiTheme="majorHAnsi"/>
          <w:color w:val="000000" w:themeColor="text1"/>
          <w:sz w:val="20"/>
          <w:szCs w:val="20"/>
          <w:lang w:val="es-CO"/>
        </w:rPr>
        <w:t>inc</w:t>
      </w:r>
      <w:r w:rsidR="00DE78E6" w:rsidRPr="00BF20FA">
        <w:rPr>
          <w:rFonts w:asciiTheme="majorHAnsi" w:hAnsiTheme="majorHAnsi"/>
          <w:color w:val="000000" w:themeColor="text1"/>
          <w:sz w:val="20"/>
          <w:szCs w:val="20"/>
          <w:lang w:val="es-CO"/>
        </w:rPr>
        <w:t>o</w:t>
      </w:r>
      <w:r w:rsidRPr="00BF20FA">
        <w:rPr>
          <w:rFonts w:asciiTheme="majorHAnsi" w:hAnsiTheme="majorHAnsi"/>
          <w:color w:val="000000" w:themeColor="text1"/>
          <w:sz w:val="20"/>
          <w:szCs w:val="20"/>
          <w:lang w:val="es-CO"/>
        </w:rPr>
        <w:t xml:space="preserve">mpletos y en muchos componentes no cumplen siquiera </w:t>
      </w:r>
      <w:r w:rsidR="000C5914" w:rsidRPr="00BF20FA">
        <w:rPr>
          <w:rFonts w:asciiTheme="majorHAnsi" w:hAnsiTheme="majorHAnsi"/>
          <w:color w:val="000000" w:themeColor="text1"/>
          <w:sz w:val="20"/>
          <w:szCs w:val="20"/>
          <w:lang w:val="es-CO"/>
        </w:rPr>
        <w:t>con los términos de referencia […]</w:t>
      </w:r>
      <w:r w:rsidR="00DE78E6" w:rsidRPr="00BF20FA">
        <w:rPr>
          <w:rFonts w:asciiTheme="majorHAnsi" w:hAnsiTheme="majorHAnsi"/>
          <w:color w:val="000000" w:themeColor="text1"/>
          <w:sz w:val="20"/>
          <w:szCs w:val="20"/>
          <w:lang w:val="es-CO"/>
        </w:rPr>
        <w:t>. E</w:t>
      </w:r>
      <w:r w:rsidRPr="00BF20FA">
        <w:rPr>
          <w:rFonts w:asciiTheme="majorHAnsi" w:hAnsiTheme="majorHAnsi"/>
          <w:color w:val="000000" w:themeColor="text1"/>
          <w:sz w:val="20"/>
          <w:szCs w:val="20"/>
          <w:lang w:val="es-CO"/>
        </w:rPr>
        <w:t xml:space="preserve">xisten serios indicios de vulneración de los derechos fundamentales del pueblo U’wa </w:t>
      </w:r>
      <w:r w:rsidR="00E32882" w:rsidRPr="00BF20FA">
        <w:rPr>
          <w:rFonts w:asciiTheme="majorHAnsi" w:hAnsiTheme="majorHAnsi"/>
          <w:color w:val="000000" w:themeColor="text1"/>
          <w:sz w:val="20"/>
          <w:szCs w:val="20"/>
          <w:lang w:val="es-CO"/>
        </w:rPr>
        <w:t>[…] por</w:t>
      </w:r>
      <w:r w:rsidRPr="00BF20FA">
        <w:rPr>
          <w:rFonts w:asciiTheme="majorHAnsi" w:hAnsiTheme="majorHAnsi"/>
          <w:color w:val="000000" w:themeColor="text1"/>
          <w:sz w:val="20"/>
          <w:szCs w:val="20"/>
          <w:lang w:val="es-CO"/>
        </w:rPr>
        <w:t xml:space="preserve"> cuanto se omitió realizar una evaluación social idónea de los impactos del proyecto, al obviar la presencia de la comunidad del pueblo U’wa en el área de influencia</w:t>
      </w:r>
      <w:r w:rsidR="00E32882" w:rsidRPr="00BF20FA">
        <w:rPr>
          <w:rFonts w:asciiTheme="majorHAnsi" w:hAnsiTheme="majorHAnsi"/>
          <w:color w:val="000000" w:themeColor="text1"/>
          <w:sz w:val="20"/>
          <w:szCs w:val="20"/>
          <w:lang w:val="es-CO"/>
        </w:rPr>
        <w:t xml:space="preserve"> […]</w:t>
      </w:r>
      <w:r w:rsidR="00892FB8" w:rsidRPr="00BF20FA">
        <w:rPr>
          <w:rFonts w:asciiTheme="majorHAnsi" w:hAnsiTheme="majorHAnsi"/>
          <w:color w:val="000000" w:themeColor="text1"/>
          <w:sz w:val="20"/>
          <w:szCs w:val="20"/>
          <w:lang w:val="es-ES"/>
        </w:rPr>
        <w:t>”</w:t>
      </w:r>
      <w:r w:rsidR="00F737C0" w:rsidRPr="00BF20FA">
        <w:rPr>
          <w:rStyle w:val="FootnoteReference"/>
          <w:rFonts w:asciiTheme="majorHAnsi" w:hAnsiTheme="majorHAnsi"/>
          <w:color w:val="000000" w:themeColor="text1"/>
          <w:sz w:val="20"/>
          <w:szCs w:val="20"/>
          <w:lang w:val="es-CO"/>
        </w:rPr>
        <w:footnoteReference w:id="87"/>
      </w:r>
      <w:r w:rsidR="00F737C0" w:rsidRPr="00BF20FA">
        <w:rPr>
          <w:rFonts w:asciiTheme="majorHAnsi" w:hAnsiTheme="majorHAnsi"/>
          <w:color w:val="000000" w:themeColor="text1"/>
          <w:sz w:val="20"/>
          <w:szCs w:val="20"/>
          <w:lang w:val="es-CO"/>
        </w:rPr>
        <w:t xml:space="preserve"> . </w:t>
      </w:r>
      <w:r w:rsidR="00865C01" w:rsidRPr="00BF20FA">
        <w:rPr>
          <w:rFonts w:asciiTheme="majorHAnsi" w:hAnsiTheme="majorHAnsi"/>
          <w:color w:val="000000" w:themeColor="text1"/>
          <w:sz w:val="20"/>
          <w:szCs w:val="20"/>
          <w:lang w:val="es-ES"/>
        </w:rPr>
        <w:t xml:space="preserve">Dicho informe señala </w:t>
      </w:r>
      <w:r w:rsidR="00F737C0" w:rsidRPr="00BF20FA">
        <w:rPr>
          <w:rFonts w:asciiTheme="majorHAnsi" w:hAnsiTheme="majorHAnsi"/>
          <w:color w:val="000000" w:themeColor="text1"/>
          <w:sz w:val="20"/>
          <w:szCs w:val="20"/>
          <w:lang w:val="es-CO"/>
        </w:rPr>
        <w:t>que el p</w:t>
      </w:r>
      <w:r w:rsidRPr="00BF20FA">
        <w:rPr>
          <w:rFonts w:asciiTheme="majorHAnsi" w:hAnsiTheme="majorHAnsi"/>
          <w:color w:val="000000" w:themeColor="text1"/>
          <w:sz w:val="20"/>
          <w:szCs w:val="20"/>
          <w:lang w:val="es-CO"/>
        </w:rPr>
        <w:t>ozo Magallanes 1 se ubica a 270 metros de la línea del resguardo U’wa, y que por tanto debieron ser consultados sobre el proyecto y la posterior militarización</w:t>
      </w:r>
      <w:r w:rsidRPr="00BF20FA">
        <w:rPr>
          <w:rStyle w:val="FootnoteReference"/>
          <w:rFonts w:asciiTheme="majorHAnsi" w:hAnsiTheme="majorHAnsi"/>
          <w:color w:val="000000" w:themeColor="text1"/>
          <w:sz w:val="20"/>
          <w:szCs w:val="20"/>
          <w:lang w:val="es-CO"/>
        </w:rPr>
        <w:footnoteReference w:id="88"/>
      </w:r>
      <w:r w:rsidRPr="00BF20FA">
        <w:rPr>
          <w:rFonts w:asciiTheme="majorHAnsi" w:hAnsiTheme="majorHAnsi"/>
          <w:color w:val="000000" w:themeColor="text1"/>
          <w:sz w:val="20"/>
          <w:szCs w:val="20"/>
          <w:lang w:val="es-CO"/>
        </w:rPr>
        <w:t>.</w:t>
      </w:r>
    </w:p>
    <w:p w14:paraId="556BEBB0" w14:textId="77777777" w:rsidR="00F737C0" w:rsidRPr="00BF20FA" w:rsidRDefault="00F737C0" w:rsidP="009820C7">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CO"/>
        </w:rPr>
      </w:pPr>
    </w:p>
    <w:p w14:paraId="283D9B7A" w14:textId="18151086" w:rsidR="00086B67" w:rsidRPr="00BF20FA" w:rsidRDefault="006A3D46" w:rsidP="00F436B5">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 xml:space="preserve">En </w:t>
      </w:r>
      <w:r w:rsidR="00DD0E4F" w:rsidRPr="00BF20FA">
        <w:rPr>
          <w:rFonts w:asciiTheme="majorHAnsi" w:hAnsiTheme="majorHAnsi"/>
          <w:color w:val="000000" w:themeColor="text1"/>
          <w:sz w:val="20"/>
          <w:szCs w:val="20"/>
          <w:lang w:val="es-CO"/>
        </w:rPr>
        <w:t xml:space="preserve">los acuerdos de </w:t>
      </w:r>
      <w:r w:rsidRPr="00BF20FA">
        <w:rPr>
          <w:rFonts w:asciiTheme="majorHAnsi" w:hAnsiTheme="majorHAnsi"/>
          <w:color w:val="000000" w:themeColor="text1"/>
          <w:sz w:val="20"/>
          <w:szCs w:val="20"/>
          <w:lang w:val="es-CO"/>
        </w:rPr>
        <w:t xml:space="preserve">mayo de 2014 </w:t>
      </w:r>
      <w:r w:rsidR="00DD0E4F" w:rsidRPr="00BF20FA">
        <w:rPr>
          <w:rFonts w:asciiTheme="majorHAnsi" w:hAnsiTheme="majorHAnsi"/>
          <w:color w:val="000000" w:themeColor="text1"/>
          <w:sz w:val="20"/>
          <w:szCs w:val="20"/>
          <w:lang w:val="es-CO"/>
        </w:rPr>
        <w:t xml:space="preserve">se acordó que </w:t>
      </w:r>
      <w:r w:rsidRPr="00BF20FA">
        <w:rPr>
          <w:rFonts w:asciiTheme="majorHAnsi" w:hAnsiTheme="majorHAnsi"/>
          <w:color w:val="000000" w:themeColor="text1"/>
          <w:sz w:val="20"/>
          <w:szCs w:val="20"/>
          <w:lang w:val="es-CO"/>
        </w:rPr>
        <w:t>se suspende</w:t>
      </w:r>
      <w:r w:rsidR="00734F2B" w:rsidRPr="00BF20FA">
        <w:rPr>
          <w:rFonts w:asciiTheme="majorHAnsi" w:hAnsiTheme="majorHAnsi"/>
          <w:color w:val="000000" w:themeColor="text1"/>
          <w:sz w:val="20"/>
          <w:szCs w:val="20"/>
          <w:lang w:val="es-CO"/>
        </w:rPr>
        <w:t>ría</w:t>
      </w:r>
      <w:r w:rsidRPr="00BF20FA">
        <w:rPr>
          <w:rFonts w:asciiTheme="majorHAnsi" w:hAnsiTheme="majorHAnsi"/>
          <w:color w:val="000000" w:themeColor="text1"/>
          <w:sz w:val="20"/>
          <w:szCs w:val="20"/>
          <w:lang w:val="es-CO"/>
        </w:rPr>
        <w:t xml:space="preserve"> por un mes la operación en el proyecto Ma</w:t>
      </w:r>
      <w:r w:rsidR="00734F2B" w:rsidRPr="00BF20FA">
        <w:rPr>
          <w:rFonts w:asciiTheme="majorHAnsi" w:hAnsiTheme="majorHAnsi"/>
          <w:color w:val="000000" w:themeColor="text1"/>
          <w:sz w:val="20"/>
          <w:szCs w:val="20"/>
          <w:lang w:val="es-CO"/>
        </w:rPr>
        <w:t xml:space="preserve">gallanes, para que se </w:t>
      </w:r>
      <w:r w:rsidRPr="00BF20FA">
        <w:rPr>
          <w:rFonts w:asciiTheme="majorHAnsi" w:hAnsiTheme="majorHAnsi"/>
          <w:color w:val="000000" w:themeColor="text1"/>
          <w:sz w:val="20"/>
          <w:szCs w:val="20"/>
          <w:lang w:val="es-CO"/>
        </w:rPr>
        <w:t>realizar</w:t>
      </w:r>
      <w:r w:rsidR="002404AA">
        <w:rPr>
          <w:rFonts w:asciiTheme="majorHAnsi" w:hAnsiTheme="majorHAnsi"/>
          <w:color w:val="000000" w:themeColor="text1"/>
          <w:sz w:val="20"/>
          <w:szCs w:val="20"/>
          <w:lang w:val="es-CO"/>
        </w:rPr>
        <w:t>a</w:t>
      </w:r>
      <w:r w:rsidR="00734F2B" w:rsidRPr="00BF20FA">
        <w:rPr>
          <w:rFonts w:asciiTheme="majorHAnsi" w:hAnsiTheme="majorHAnsi"/>
          <w:color w:val="000000" w:themeColor="text1"/>
          <w:sz w:val="20"/>
          <w:szCs w:val="20"/>
          <w:lang w:val="es-CO"/>
        </w:rPr>
        <w:t xml:space="preserve"> un</w:t>
      </w:r>
      <w:r w:rsidRPr="00BF20FA">
        <w:rPr>
          <w:rFonts w:asciiTheme="majorHAnsi" w:hAnsiTheme="majorHAnsi"/>
          <w:color w:val="000000" w:themeColor="text1"/>
          <w:sz w:val="20"/>
          <w:szCs w:val="20"/>
          <w:lang w:val="es-CO"/>
        </w:rPr>
        <w:t xml:space="preserve"> estudio de impacto ambiental</w:t>
      </w:r>
      <w:r w:rsidR="00086B67" w:rsidRPr="00BF20FA">
        <w:rPr>
          <w:rStyle w:val="FootnoteReference"/>
          <w:rFonts w:asciiTheme="majorHAnsi" w:hAnsiTheme="majorHAnsi"/>
          <w:color w:val="000000" w:themeColor="text1"/>
          <w:sz w:val="20"/>
          <w:szCs w:val="20"/>
          <w:lang w:val="es-CO"/>
        </w:rPr>
        <w:footnoteReference w:id="89"/>
      </w:r>
      <w:r w:rsidRPr="00BF20FA">
        <w:rPr>
          <w:rFonts w:asciiTheme="majorHAnsi" w:hAnsiTheme="majorHAnsi"/>
          <w:color w:val="000000" w:themeColor="text1"/>
          <w:sz w:val="20"/>
          <w:szCs w:val="20"/>
          <w:lang w:val="es-CO"/>
        </w:rPr>
        <w:t>.</w:t>
      </w:r>
      <w:r w:rsidR="00DE5FA9" w:rsidRPr="00BF20FA">
        <w:rPr>
          <w:rFonts w:asciiTheme="majorHAnsi" w:hAnsiTheme="majorHAnsi"/>
          <w:color w:val="000000" w:themeColor="text1"/>
          <w:sz w:val="20"/>
          <w:szCs w:val="20"/>
          <w:lang w:val="es-CO"/>
        </w:rPr>
        <w:t xml:space="preserve"> La Comisi</w:t>
      </w:r>
      <w:r w:rsidR="00DE5FA9" w:rsidRPr="00BF20FA">
        <w:rPr>
          <w:rFonts w:asciiTheme="majorHAnsi" w:hAnsiTheme="majorHAnsi"/>
          <w:color w:val="000000" w:themeColor="text1"/>
          <w:sz w:val="20"/>
          <w:szCs w:val="20"/>
          <w:lang w:val="es-ES"/>
        </w:rPr>
        <w:t>ón no cuenta con información sobre la r</w:t>
      </w:r>
      <w:r w:rsidR="00005B14" w:rsidRPr="00BF20FA">
        <w:rPr>
          <w:rFonts w:asciiTheme="majorHAnsi" w:hAnsiTheme="majorHAnsi"/>
          <w:color w:val="000000" w:themeColor="text1"/>
          <w:sz w:val="20"/>
          <w:szCs w:val="20"/>
          <w:lang w:val="es-ES"/>
        </w:rPr>
        <w:t>ealización d</w:t>
      </w:r>
      <w:r w:rsidR="00DE5FA9" w:rsidRPr="00BF20FA">
        <w:rPr>
          <w:rFonts w:asciiTheme="majorHAnsi" w:hAnsiTheme="majorHAnsi"/>
          <w:color w:val="000000" w:themeColor="text1"/>
          <w:sz w:val="20"/>
          <w:szCs w:val="20"/>
          <w:lang w:val="es-ES"/>
        </w:rPr>
        <w:t xml:space="preserve">el </w:t>
      </w:r>
      <w:r w:rsidR="00734F2B" w:rsidRPr="00BF20FA">
        <w:rPr>
          <w:rFonts w:asciiTheme="majorHAnsi" w:hAnsiTheme="majorHAnsi"/>
          <w:color w:val="000000" w:themeColor="text1"/>
          <w:sz w:val="20"/>
          <w:szCs w:val="20"/>
          <w:lang w:val="es-ES"/>
        </w:rPr>
        <w:t>mismo</w:t>
      </w:r>
      <w:r w:rsidR="00DE5FA9" w:rsidRPr="00BF20FA">
        <w:rPr>
          <w:rFonts w:asciiTheme="majorHAnsi" w:hAnsiTheme="majorHAnsi"/>
          <w:color w:val="000000" w:themeColor="text1"/>
          <w:sz w:val="20"/>
          <w:szCs w:val="20"/>
          <w:lang w:val="es-ES"/>
        </w:rPr>
        <w:t>.</w:t>
      </w:r>
      <w:r w:rsidR="00005B14" w:rsidRPr="00BF20FA">
        <w:rPr>
          <w:rFonts w:asciiTheme="majorHAnsi" w:hAnsiTheme="majorHAnsi"/>
          <w:color w:val="000000" w:themeColor="text1"/>
          <w:sz w:val="20"/>
          <w:szCs w:val="20"/>
          <w:lang w:val="es-ES"/>
        </w:rPr>
        <w:t xml:space="preserve"> La parte peticionaria refirió que aún se encuentra suspendido el proyecto </w:t>
      </w:r>
      <w:r w:rsidR="00005B14" w:rsidRPr="00BF20FA">
        <w:rPr>
          <w:rFonts w:asciiTheme="majorHAnsi" w:hAnsiTheme="majorHAnsi"/>
          <w:color w:val="000000" w:themeColor="text1"/>
          <w:sz w:val="20"/>
          <w:szCs w:val="20"/>
          <w:lang w:val="es-ES"/>
        </w:rPr>
        <w:lastRenderedPageBreak/>
        <w:t>Magallanes pero que la licencia sigue vigente, no obstante haber presentado en febrero de 2015 una demanda contenciosa administrativa de nulidad contra la misma, que no ha sido resuelta</w:t>
      </w:r>
      <w:r w:rsidR="00005B14" w:rsidRPr="00BF20FA">
        <w:rPr>
          <w:rStyle w:val="FootnoteReference"/>
          <w:rFonts w:asciiTheme="majorHAnsi" w:hAnsiTheme="majorHAnsi"/>
          <w:color w:val="000000" w:themeColor="text1"/>
          <w:sz w:val="20"/>
          <w:szCs w:val="20"/>
          <w:lang w:val="es-ES"/>
        </w:rPr>
        <w:footnoteReference w:id="90"/>
      </w:r>
      <w:r w:rsidR="00005B14" w:rsidRPr="00BF20FA">
        <w:rPr>
          <w:rFonts w:asciiTheme="majorHAnsi" w:hAnsiTheme="majorHAnsi"/>
          <w:color w:val="000000" w:themeColor="text1"/>
          <w:sz w:val="20"/>
          <w:szCs w:val="20"/>
          <w:lang w:val="es-ES"/>
        </w:rPr>
        <w:t xml:space="preserve">. </w:t>
      </w:r>
    </w:p>
    <w:p w14:paraId="5E82574F" w14:textId="77777777" w:rsidR="006A3D46" w:rsidRPr="00BF20FA" w:rsidRDefault="006A3D46" w:rsidP="009820C7">
      <w:pPr>
        <w:jc w:val="both"/>
        <w:rPr>
          <w:rFonts w:asciiTheme="majorHAnsi" w:hAnsiTheme="majorHAnsi"/>
          <w:color w:val="000000" w:themeColor="text1"/>
          <w:sz w:val="20"/>
          <w:szCs w:val="20"/>
          <w:lang w:val="es-CO"/>
        </w:rPr>
      </w:pPr>
    </w:p>
    <w:p w14:paraId="495C502F" w14:textId="4BDD3650" w:rsidR="006A3D46" w:rsidRPr="00BF20FA" w:rsidRDefault="00644A06"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5" w:name="_Toc17221566"/>
      <w:r w:rsidRPr="00BF20FA">
        <w:rPr>
          <w:rFonts w:asciiTheme="majorHAnsi" w:hAnsiTheme="majorHAnsi"/>
          <w:sz w:val="20"/>
          <w:szCs w:val="20"/>
          <w:lang w:val="es-ES_tradnl"/>
        </w:rPr>
        <w:t>Zona de traslape con el Parque Nacional Natural “El Cocuy”</w:t>
      </w:r>
      <w:bookmarkEnd w:id="25"/>
    </w:p>
    <w:p w14:paraId="757CF6C9" w14:textId="77777777" w:rsidR="006A3D46" w:rsidRPr="00BF20FA" w:rsidRDefault="006A3D46" w:rsidP="00F436B5">
      <w:pPr>
        <w:pStyle w:val="ListParagraph"/>
        <w:ind w:left="0"/>
        <w:jc w:val="both"/>
        <w:rPr>
          <w:rFonts w:asciiTheme="majorHAnsi" w:hAnsiTheme="majorHAnsi"/>
          <w:color w:val="000000" w:themeColor="text1"/>
          <w:sz w:val="20"/>
          <w:szCs w:val="20"/>
          <w:lang w:val="es-CO"/>
        </w:rPr>
      </w:pPr>
    </w:p>
    <w:p w14:paraId="56146372" w14:textId="1E0ADB45" w:rsidR="006A3D46"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El 6 de junio de 1977 el Ministerio de Agricultura ‘‘reservó, alinderó y declaró la existencia del Parque Nacional Natural El Cocuy en un área ubicada en el Departamento de Boyacá, Casanare y Arauca, con el objeto de conservar la flora, la fauna y las bellezas escénicas naturales, complejos geomorfológicos, manifestaciones históricas y culturales, con fines científicos, recreativos o</w:t>
      </w:r>
      <w:r w:rsidR="000C5914" w:rsidRPr="00BF20FA">
        <w:rPr>
          <w:rFonts w:asciiTheme="majorHAnsi" w:hAnsiTheme="majorHAnsi"/>
          <w:color w:val="000000" w:themeColor="text1"/>
          <w:sz w:val="20"/>
          <w:szCs w:val="20"/>
          <w:lang w:val="es-CO"/>
        </w:rPr>
        <w:t xml:space="preserve"> estéticos. El Parque […]</w:t>
      </w:r>
      <w:r w:rsidRPr="00BF20FA">
        <w:rPr>
          <w:rFonts w:asciiTheme="majorHAnsi" w:hAnsiTheme="majorHAnsi"/>
          <w:color w:val="000000" w:themeColor="text1"/>
          <w:sz w:val="20"/>
          <w:szCs w:val="20"/>
          <w:lang w:val="es-CO"/>
        </w:rPr>
        <w:t xml:space="preserve"> se traslapa o superpone con el resguardo unido U’wa’’</w:t>
      </w:r>
      <w:r w:rsidRPr="00BF20FA">
        <w:rPr>
          <w:rStyle w:val="FootnoteReference"/>
          <w:rFonts w:asciiTheme="majorHAnsi" w:hAnsiTheme="majorHAnsi"/>
          <w:color w:val="000000" w:themeColor="text1"/>
          <w:sz w:val="20"/>
          <w:szCs w:val="20"/>
          <w:lang w:val="es-CO"/>
        </w:rPr>
        <w:footnoteReference w:id="91"/>
      </w:r>
      <w:r w:rsidRPr="00BF20FA">
        <w:rPr>
          <w:rFonts w:asciiTheme="majorHAnsi" w:hAnsiTheme="majorHAnsi"/>
          <w:color w:val="000000" w:themeColor="text1"/>
          <w:sz w:val="20"/>
          <w:szCs w:val="20"/>
          <w:lang w:val="es-CO"/>
        </w:rPr>
        <w:t>.</w:t>
      </w:r>
      <w:r w:rsidR="00311FE1" w:rsidRPr="00BF20FA">
        <w:rPr>
          <w:rFonts w:asciiTheme="majorHAnsi" w:hAnsiTheme="majorHAnsi"/>
          <w:color w:val="000000" w:themeColor="text1"/>
          <w:sz w:val="20"/>
          <w:szCs w:val="20"/>
          <w:lang w:val="es-CO"/>
        </w:rPr>
        <w:t xml:space="preserve"> La parte peticionaria afirma que no se tuvo en cuenta que la totalidad del Parque se encuentra en territorio ancestral</w:t>
      </w:r>
      <w:r w:rsidR="003364D3" w:rsidRPr="00BF20FA">
        <w:rPr>
          <w:rStyle w:val="FootnoteReference"/>
          <w:rFonts w:asciiTheme="majorHAnsi" w:hAnsiTheme="majorHAnsi"/>
          <w:color w:val="000000" w:themeColor="text1"/>
          <w:sz w:val="20"/>
          <w:szCs w:val="20"/>
          <w:lang w:val="es-CO"/>
        </w:rPr>
        <w:footnoteReference w:id="92"/>
      </w:r>
      <w:r w:rsidR="003364D3" w:rsidRPr="00BF20FA">
        <w:rPr>
          <w:rFonts w:asciiTheme="majorHAnsi" w:hAnsiTheme="majorHAnsi"/>
          <w:color w:val="000000" w:themeColor="text1"/>
          <w:sz w:val="20"/>
          <w:szCs w:val="20"/>
          <w:lang w:val="es-CO"/>
        </w:rPr>
        <w:t xml:space="preserve">. </w:t>
      </w:r>
    </w:p>
    <w:p w14:paraId="6737F1F1" w14:textId="77777777" w:rsidR="00504258" w:rsidRPr="00BF20FA" w:rsidRDefault="00504258" w:rsidP="00614E2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CO"/>
        </w:rPr>
      </w:pPr>
    </w:p>
    <w:p w14:paraId="6849891C" w14:textId="29829BAF" w:rsidR="003364D3"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En septiembre de 2011 el Decreto Ley 3572 creó la Unidad Administrativa Especial denominada Parques Na</w:t>
      </w:r>
      <w:r w:rsidR="00B03454" w:rsidRPr="00BF20FA">
        <w:rPr>
          <w:rFonts w:asciiTheme="majorHAnsi" w:hAnsiTheme="majorHAnsi"/>
          <w:color w:val="000000" w:themeColor="text1"/>
          <w:sz w:val="20"/>
          <w:szCs w:val="20"/>
          <w:lang w:val="es-CO"/>
        </w:rPr>
        <w:t>cionales Naturales de Colombia (</w:t>
      </w:r>
      <w:r w:rsidRPr="00BF20FA">
        <w:rPr>
          <w:rFonts w:asciiTheme="majorHAnsi" w:hAnsiTheme="majorHAnsi"/>
          <w:color w:val="000000" w:themeColor="text1"/>
          <w:sz w:val="20"/>
          <w:szCs w:val="20"/>
          <w:lang w:val="es-CO"/>
        </w:rPr>
        <w:t>en adelante ‘‘Parques Nacionales’’</w:t>
      </w:r>
      <w:r w:rsidR="00B03454" w:rsidRPr="00BF20FA">
        <w:rPr>
          <w:rFonts w:asciiTheme="majorHAnsi" w:hAnsiTheme="majorHAnsi"/>
          <w:color w:val="000000" w:themeColor="text1"/>
          <w:sz w:val="20"/>
          <w:szCs w:val="20"/>
          <w:lang w:val="es-CO"/>
        </w:rPr>
        <w:t>)</w:t>
      </w:r>
      <w:r w:rsidRPr="00BF20FA">
        <w:rPr>
          <w:rStyle w:val="FootnoteReference"/>
          <w:rFonts w:asciiTheme="majorHAnsi" w:hAnsiTheme="majorHAnsi"/>
          <w:color w:val="000000" w:themeColor="text1"/>
          <w:sz w:val="20"/>
          <w:szCs w:val="20"/>
          <w:lang w:val="es-CO"/>
        </w:rPr>
        <w:footnoteReference w:id="93"/>
      </w:r>
      <w:r w:rsidRPr="00BF20FA">
        <w:rPr>
          <w:rFonts w:asciiTheme="majorHAnsi" w:hAnsiTheme="majorHAnsi"/>
          <w:color w:val="000000" w:themeColor="text1"/>
          <w:sz w:val="20"/>
          <w:szCs w:val="20"/>
          <w:lang w:val="es-CO"/>
        </w:rPr>
        <w:t>.</w:t>
      </w:r>
      <w:r w:rsidR="009844C1"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Mediante Re</w:t>
      </w:r>
      <w:r w:rsidR="00364254" w:rsidRPr="00BF20FA">
        <w:rPr>
          <w:rFonts w:asciiTheme="majorHAnsi" w:hAnsiTheme="majorHAnsi"/>
          <w:color w:val="000000" w:themeColor="text1"/>
          <w:sz w:val="20"/>
          <w:szCs w:val="20"/>
          <w:lang w:val="es-CO"/>
        </w:rPr>
        <w:t>solución 245 de</w:t>
      </w:r>
      <w:r w:rsidR="00BB7EDB" w:rsidRPr="00BF20FA">
        <w:rPr>
          <w:rFonts w:asciiTheme="majorHAnsi" w:hAnsiTheme="majorHAnsi"/>
          <w:color w:val="000000" w:themeColor="text1"/>
          <w:sz w:val="20"/>
          <w:szCs w:val="20"/>
          <w:lang w:val="es-CO"/>
        </w:rPr>
        <w:t xml:space="preserve"> 6 de julio de</w:t>
      </w:r>
      <w:r w:rsidR="00364254" w:rsidRPr="00BF20FA">
        <w:rPr>
          <w:rFonts w:asciiTheme="majorHAnsi" w:hAnsiTheme="majorHAnsi"/>
          <w:color w:val="000000" w:themeColor="text1"/>
          <w:sz w:val="20"/>
          <w:szCs w:val="20"/>
          <w:lang w:val="es-CO"/>
        </w:rPr>
        <w:t xml:space="preserve"> 2012 </w:t>
      </w:r>
      <w:r w:rsidRPr="00BF20FA">
        <w:rPr>
          <w:rFonts w:asciiTheme="majorHAnsi" w:hAnsiTheme="majorHAnsi"/>
          <w:color w:val="000000" w:themeColor="text1"/>
          <w:sz w:val="20"/>
          <w:szCs w:val="20"/>
          <w:lang w:val="es-CO"/>
        </w:rPr>
        <w:t xml:space="preserve">se </w:t>
      </w:r>
      <w:r w:rsidR="00BB7EDB" w:rsidRPr="00BF20FA">
        <w:rPr>
          <w:rFonts w:asciiTheme="majorHAnsi" w:hAnsiTheme="majorHAnsi"/>
          <w:color w:val="000000" w:themeColor="text1"/>
          <w:sz w:val="20"/>
          <w:szCs w:val="20"/>
          <w:lang w:val="es-CO"/>
        </w:rPr>
        <w:t xml:space="preserve">fijó </w:t>
      </w:r>
      <w:r w:rsidRPr="00BF20FA">
        <w:rPr>
          <w:rFonts w:asciiTheme="majorHAnsi" w:hAnsiTheme="majorHAnsi"/>
          <w:color w:val="000000" w:themeColor="text1"/>
          <w:sz w:val="20"/>
          <w:szCs w:val="20"/>
          <w:lang w:val="es-CO"/>
        </w:rPr>
        <w:t>el valor del derecho de ingreso y permanencia en Parques Nacionales Naturales</w:t>
      </w:r>
      <w:r w:rsidR="00E02F1C"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y </w:t>
      </w:r>
      <w:r w:rsidR="00BD0037" w:rsidRPr="00BF20FA">
        <w:rPr>
          <w:rFonts w:asciiTheme="majorHAnsi" w:hAnsiTheme="majorHAnsi"/>
          <w:color w:val="000000" w:themeColor="text1"/>
          <w:sz w:val="20"/>
          <w:szCs w:val="20"/>
          <w:lang w:val="es-CO"/>
        </w:rPr>
        <w:t xml:space="preserve">se </w:t>
      </w:r>
      <w:r w:rsidRPr="00BF20FA">
        <w:rPr>
          <w:rFonts w:asciiTheme="majorHAnsi" w:hAnsiTheme="majorHAnsi"/>
          <w:color w:val="000000" w:themeColor="text1"/>
          <w:sz w:val="20"/>
          <w:szCs w:val="20"/>
          <w:lang w:val="es-CO"/>
        </w:rPr>
        <w:t>estableció la vocación ecoturística</w:t>
      </w:r>
      <w:r w:rsidR="00BD0037" w:rsidRPr="00BF20FA">
        <w:rPr>
          <w:rFonts w:asciiTheme="majorHAnsi" w:hAnsiTheme="majorHAnsi"/>
          <w:color w:val="000000" w:themeColor="text1"/>
          <w:sz w:val="20"/>
          <w:szCs w:val="20"/>
          <w:lang w:val="es-CO"/>
        </w:rPr>
        <w:t xml:space="preserve"> y educativa para visitantes</w:t>
      </w:r>
      <w:r w:rsidRPr="00BF20FA">
        <w:rPr>
          <w:rFonts w:asciiTheme="majorHAnsi" w:hAnsiTheme="majorHAnsi"/>
          <w:color w:val="000000" w:themeColor="text1"/>
          <w:sz w:val="20"/>
          <w:szCs w:val="20"/>
          <w:lang w:val="es-CO"/>
        </w:rPr>
        <w:t xml:space="preserve"> del Parque Nacional Natura</w:t>
      </w:r>
      <w:r w:rsidR="00E02F1C" w:rsidRPr="00BF20FA">
        <w:rPr>
          <w:rFonts w:asciiTheme="majorHAnsi" w:hAnsiTheme="majorHAnsi"/>
          <w:color w:val="000000" w:themeColor="text1"/>
          <w:sz w:val="20"/>
          <w:szCs w:val="20"/>
          <w:lang w:val="es-CO"/>
        </w:rPr>
        <w:t>l</w:t>
      </w:r>
      <w:r w:rsidRPr="00BF20FA">
        <w:rPr>
          <w:rFonts w:asciiTheme="majorHAnsi" w:hAnsiTheme="majorHAnsi"/>
          <w:color w:val="000000" w:themeColor="text1"/>
          <w:sz w:val="20"/>
          <w:szCs w:val="20"/>
          <w:lang w:val="es-CO"/>
        </w:rPr>
        <w:t xml:space="preserve"> El Cocuy</w:t>
      </w:r>
      <w:r w:rsidRPr="00BF20FA">
        <w:rPr>
          <w:rStyle w:val="FootnoteReference"/>
          <w:rFonts w:asciiTheme="majorHAnsi" w:hAnsiTheme="majorHAnsi"/>
          <w:color w:val="000000" w:themeColor="text1"/>
          <w:sz w:val="20"/>
          <w:szCs w:val="20"/>
          <w:lang w:val="es-CO"/>
        </w:rPr>
        <w:footnoteReference w:id="94"/>
      </w:r>
      <w:r w:rsidRPr="00BF20FA">
        <w:rPr>
          <w:rFonts w:asciiTheme="majorHAnsi" w:hAnsiTheme="majorHAnsi"/>
          <w:color w:val="000000" w:themeColor="text1"/>
          <w:sz w:val="20"/>
          <w:szCs w:val="20"/>
          <w:lang w:val="es-CO"/>
        </w:rPr>
        <w:t>.</w:t>
      </w:r>
      <w:r w:rsidR="009844C1" w:rsidRPr="00BF20FA">
        <w:rPr>
          <w:rFonts w:asciiTheme="majorHAnsi" w:hAnsiTheme="majorHAnsi"/>
          <w:color w:val="000000" w:themeColor="text1"/>
          <w:sz w:val="20"/>
          <w:szCs w:val="20"/>
          <w:lang w:val="es-CO"/>
        </w:rPr>
        <w:t xml:space="preserve"> </w:t>
      </w:r>
      <w:r w:rsidR="003364D3" w:rsidRPr="00BF20FA">
        <w:rPr>
          <w:rFonts w:asciiTheme="majorHAnsi" w:hAnsiTheme="majorHAnsi"/>
          <w:color w:val="000000" w:themeColor="text1"/>
          <w:sz w:val="20"/>
          <w:szCs w:val="20"/>
          <w:lang w:val="es-CO"/>
        </w:rPr>
        <w:t xml:space="preserve"> La parte peticionaria afirmó que el hecho de que la administración corresponda a la Dirección de Parques Naturales impide que la comunidad U´wa ejerza su autonomía y gobierno, y que dicha dirección no integra sus principios culturales y ancestrales</w:t>
      </w:r>
      <w:r w:rsidR="003364D3" w:rsidRPr="00BF20FA">
        <w:rPr>
          <w:rStyle w:val="FootnoteReference"/>
          <w:rFonts w:asciiTheme="majorHAnsi" w:hAnsiTheme="majorHAnsi"/>
          <w:color w:val="000000" w:themeColor="text1"/>
          <w:sz w:val="20"/>
          <w:szCs w:val="20"/>
          <w:lang w:val="es-CO"/>
        </w:rPr>
        <w:footnoteReference w:id="95"/>
      </w:r>
      <w:r w:rsidR="00734F2B" w:rsidRPr="00BF20FA">
        <w:rPr>
          <w:rFonts w:asciiTheme="majorHAnsi" w:hAnsiTheme="majorHAnsi"/>
          <w:color w:val="000000" w:themeColor="text1"/>
          <w:sz w:val="20"/>
          <w:szCs w:val="20"/>
          <w:lang w:val="es-CO"/>
        </w:rPr>
        <w:t>, en ese sentido, los acuerdos de may</w:t>
      </w:r>
      <w:r w:rsidR="00FA58CE" w:rsidRPr="00BF20FA">
        <w:rPr>
          <w:rFonts w:asciiTheme="majorHAnsi" w:hAnsiTheme="majorHAnsi"/>
          <w:color w:val="000000" w:themeColor="text1"/>
          <w:sz w:val="20"/>
          <w:szCs w:val="20"/>
          <w:lang w:val="es-CO"/>
        </w:rPr>
        <w:t>o</w:t>
      </w:r>
      <w:r w:rsidR="00734F2B" w:rsidRPr="00BF20FA">
        <w:rPr>
          <w:rFonts w:asciiTheme="majorHAnsi" w:hAnsiTheme="majorHAnsi"/>
          <w:color w:val="000000" w:themeColor="text1"/>
          <w:sz w:val="20"/>
          <w:szCs w:val="20"/>
          <w:lang w:val="es-CO"/>
        </w:rPr>
        <w:t xml:space="preserve"> de 2014 dejaron establecida la posición de la Nación U´wa “de no coadministración”</w:t>
      </w:r>
      <w:r w:rsidR="00331385" w:rsidRPr="00BF20FA">
        <w:rPr>
          <w:rStyle w:val="FootnoteReference"/>
          <w:rFonts w:asciiTheme="majorHAnsi" w:hAnsiTheme="majorHAnsi"/>
          <w:color w:val="000000" w:themeColor="text1"/>
          <w:sz w:val="20"/>
          <w:szCs w:val="20"/>
          <w:lang w:val="es-CO"/>
        </w:rPr>
        <w:footnoteReference w:id="96"/>
      </w:r>
      <w:r w:rsidR="00734F2B" w:rsidRPr="00BF20FA">
        <w:rPr>
          <w:rFonts w:asciiTheme="majorHAnsi" w:hAnsiTheme="majorHAnsi"/>
          <w:color w:val="000000" w:themeColor="text1"/>
          <w:sz w:val="20"/>
          <w:szCs w:val="20"/>
          <w:lang w:val="es-CO"/>
        </w:rPr>
        <w:t>.</w:t>
      </w:r>
      <w:r w:rsidR="00BB7EDB" w:rsidRPr="00BF20FA">
        <w:rPr>
          <w:rFonts w:asciiTheme="majorHAnsi" w:hAnsiTheme="majorHAnsi"/>
          <w:color w:val="000000" w:themeColor="text1"/>
          <w:sz w:val="20"/>
          <w:szCs w:val="20"/>
          <w:lang w:val="es-CO"/>
        </w:rPr>
        <w:t xml:space="preserve"> </w:t>
      </w:r>
    </w:p>
    <w:p w14:paraId="681DD9DA" w14:textId="77777777" w:rsidR="003364D3" w:rsidRPr="00BF20FA" w:rsidRDefault="003364D3" w:rsidP="003364D3">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CO"/>
        </w:rPr>
      </w:pPr>
    </w:p>
    <w:p w14:paraId="5C3B6280" w14:textId="77777777" w:rsidR="00086B67" w:rsidRPr="00BF20FA" w:rsidRDefault="00D2141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CO"/>
        </w:rPr>
        <w:t>Mediante carta de</w:t>
      </w:r>
      <w:r w:rsidR="006A3D46" w:rsidRPr="00BF20FA">
        <w:rPr>
          <w:rFonts w:asciiTheme="majorHAnsi" w:hAnsiTheme="majorHAnsi"/>
          <w:color w:val="000000" w:themeColor="text1"/>
          <w:sz w:val="20"/>
          <w:szCs w:val="20"/>
          <w:lang w:val="es-CO"/>
        </w:rPr>
        <w:t xml:space="preserve"> 20 de marzo de 2016 la AsoU’wa exigió al Ministerio de Medio Ambiente ‘‘el cierre inmediato del turismo en el área del parque natural el cocuy por cuanto este solo es un paso para la garantía de la vida, de la cultura y de la existencia de la madre tierra</w:t>
      </w:r>
      <w:r w:rsidR="009844C1" w:rsidRPr="00BF20FA">
        <w:rPr>
          <w:rFonts w:asciiTheme="majorHAnsi" w:hAnsiTheme="majorHAnsi"/>
          <w:color w:val="000000" w:themeColor="text1"/>
          <w:sz w:val="20"/>
          <w:szCs w:val="20"/>
          <w:lang w:val="es-CO"/>
        </w:rPr>
        <w:t>”</w:t>
      </w:r>
      <w:r w:rsidR="006A3D46" w:rsidRPr="00BF20FA">
        <w:rPr>
          <w:rStyle w:val="FootnoteReference"/>
          <w:rFonts w:asciiTheme="majorHAnsi" w:hAnsiTheme="majorHAnsi"/>
          <w:color w:val="000000" w:themeColor="text1"/>
          <w:sz w:val="20"/>
          <w:szCs w:val="20"/>
          <w:lang w:val="es-CO"/>
        </w:rPr>
        <w:footnoteReference w:id="97"/>
      </w:r>
      <w:r w:rsidR="00086B67" w:rsidRPr="00BF20FA">
        <w:rPr>
          <w:rFonts w:asciiTheme="majorHAnsi" w:hAnsiTheme="majorHAnsi"/>
          <w:color w:val="000000" w:themeColor="text1"/>
          <w:sz w:val="20"/>
          <w:szCs w:val="20"/>
          <w:lang w:val="es-CO"/>
        </w:rPr>
        <w:t>.</w:t>
      </w:r>
    </w:p>
    <w:p w14:paraId="6D3EAE53" w14:textId="77777777" w:rsidR="00E02F1C" w:rsidRPr="00BF20FA" w:rsidRDefault="00E02F1C"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18B2A097" w14:textId="77777777" w:rsidR="00086B67"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ES_tradnl"/>
        </w:rPr>
        <w:t xml:space="preserve">El 29 de julio de 2016 Parques Nacionales expidió la Resolución 401 ‘‘por medio de la cual se prohíbe temporalmente el ingreso de </w:t>
      </w:r>
      <w:r w:rsidRPr="000A5F88">
        <w:rPr>
          <w:rFonts w:asciiTheme="majorHAnsi" w:hAnsiTheme="majorHAnsi"/>
          <w:color w:val="000000" w:themeColor="text1"/>
          <w:sz w:val="20"/>
          <w:szCs w:val="20"/>
          <w:lang w:val="es-CO"/>
        </w:rPr>
        <w:t>visitantes</w:t>
      </w:r>
      <w:r w:rsidRPr="00BF20FA">
        <w:rPr>
          <w:rFonts w:asciiTheme="majorHAnsi" w:hAnsiTheme="majorHAnsi"/>
          <w:color w:val="000000" w:themeColor="text1"/>
          <w:sz w:val="20"/>
          <w:szCs w:val="20"/>
          <w:lang w:val="es-ES_tradnl"/>
        </w:rPr>
        <w:t xml:space="preserve">, prestadores de servicios turísticos y de personas no autorizadas al Parque Nacional Natural El Cocuy’’. </w:t>
      </w:r>
      <w:r w:rsidRPr="00BF20FA">
        <w:rPr>
          <w:rFonts w:asciiTheme="majorHAnsi" w:hAnsiTheme="majorHAnsi"/>
          <w:color w:val="000000" w:themeColor="text1"/>
          <w:sz w:val="20"/>
          <w:szCs w:val="20"/>
          <w:lang w:val="es-CO"/>
        </w:rPr>
        <w:t>Se señala que ‘‘esta prohibición es de carácter temporal, hasta tanto se adelante un estudio y evaluación de impactos que diagnostique el estado actual de los ecosistemas en los cuales están permitidas las actividades ecoturísticas en el Parque Nacional Natural El Cocuy, y con base en el cual se tomarán medidas de manejo conjuntas para controlar y mitigar dichos impactos’’</w:t>
      </w:r>
      <w:r w:rsidRPr="00BF20FA">
        <w:rPr>
          <w:rStyle w:val="FootnoteReference"/>
          <w:rFonts w:asciiTheme="majorHAnsi" w:hAnsiTheme="majorHAnsi"/>
          <w:color w:val="000000" w:themeColor="text1"/>
          <w:sz w:val="20"/>
          <w:szCs w:val="20"/>
          <w:lang w:val="es-CO"/>
        </w:rPr>
        <w:footnoteReference w:id="98"/>
      </w:r>
      <w:r w:rsidRPr="00BF20FA">
        <w:rPr>
          <w:rFonts w:asciiTheme="majorHAnsi" w:hAnsiTheme="majorHAnsi"/>
          <w:color w:val="000000" w:themeColor="text1"/>
          <w:sz w:val="20"/>
          <w:szCs w:val="20"/>
          <w:lang w:val="es-CO"/>
        </w:rPr>
        <w:t>.</w:t>
      </w:r>
    </w:p>
    <w:p w14:paraId="17C76CD7" w14:textId="77777777" w:rsidR="00D70497" w:rsidRPr="00BF20FA" w:rsidRDefault="00D70497" w:rsidP="00614E21">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CO"/>
        </w:rPr>
      </w:pPr>
    </w:p>
    <w:p w14:paraId="58A73F7B" w14:textId="74B64CD4" w:rsidR="006A3D46"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CO"/>
        </w:rPr>
      </w:pPr>
      <w:r w:rsidRPr="00BF20FA">
        <w:rPr>
          <w:rFonts w:asciiTheme="majorHAnsi" w:hAnsiTheme="majorHAnsi"/>
          <w:color w:val="000000" w:themeColor="text1"/>
          <w:sz w:val="20"/>
          <w:szCs w:val="20"/>
          <w:lang w:val="es-ES_tradnl"/>
        </w:rPr>
        <w:t xml:space="preserve">El 3 de abril de 2017 la comunidad U’wa y Parques Nacionales acordaron la necesidad de la apertura temporal y parcial para el ingreso de visitantes y prestadores de servicios de ecoturismo en el Parque Nacional Natural El </w:t>
      </w:r>
      <w:r w:rsidRPr="000A5F88">
        <w:rPr>
          <w:rFonts w:asciiTheme="majorHAnsi" w:hAnsiTheme="majorHAnsi"/>
          <w:color w:val="000000" w:themeColor="text1"/>
          <w:sz w:val="20"/>
          <w:szCs w:val="20"/>
          <w:lang w:val="es-CO"/>
        </w:rPr>
        <w:t>Cocuy</w:t>
      </w:r>
      <w:r w:rsidRPr="00BF20FA">
        <w:rPr>
          <w:rFonts w:asciiTheme="majorHAnsi" w:hAnsiTheme="majorHAnsi"/>
          <w:color w:val="000000" w:themeColor="text1"/>
          <w:sz w:val="20"/>
          <w:szCs w:val="20"/>
          <w:lang w:val="es-ES_tradnl"/>
        </w:rPr>
        <w:t xml:space="preserve"> a partir del 6 de abril del mismo año, ‘‘así como la realización del estudio de impacto ambiental’’</w:t>
      </w:r>
      <w:r w:rsidRPr="00BF20FA">
        <w:rPr>
          <w:rStyle w:val="FootnoteReference"/>
          <w:rFonts w:asciiTheme="majorHAnsi" w:hAnsiTheme="majorHAnsi"/>
          <w:color w:val="000000" w:themeColor="text1"/>
          <w:sz w:val="20"/>
          <w:szCs w:val="20"/>
          <w:lang w:val="es-ES_tradnl"/>
        </w:rPr>
        <w:footnoteReference w:id="99"/>
      </w:r>
      <w:r w:rsidR="00086B67" w:rsidRPr="00BF20FA">
        <w:rPr>
          <w:rFonts w:asciiTheme="majorHAnsi" w:hAnsiTheme="majorHAnsi"/>
          <w:color w:val="000000" w:themeColor="text1"/>
          <w:sz w:val="20"/>
          <w:szCs w:val="20"/>
          <w:lang w:val="es-ES_tradnl"/>
        </w:rPr>
        <w:t>.</w:t>
      </w:r>
      <w:r w:rsidR="003364D3" w:rsidRPr="00BF20FA">
        <w:rPr>
          <w:rFonts w:asciiTheme="majorHAnsi" w:hAnsiTheme="majorHAnsi"/>
          <w:color w:val="000000" w:themeColor="text1"/>
          <w:sz w:val="20"/>
          <w:szCs w:val="20"/>
          <w:lang w:val="es-ES_tradnl"/>
        </w:rPr>
        <w:t xml:space="preserve"> La Comisión no cuenta con información respecto a </w:t>
      </w:r>
      <w:r w:rsidR="00714F68">
        <w:rPr>
          <w:rFonts w:asciiTheme="majorHAnsi" w:hAnsiTheme="majorHAnsi"/>
          <w:color w:val="000000" w:themeColor="text1"/>
          <w:sz w:val="20"/>
          <w:szCs w:val="20"/>
          <w:lang w:val="es-ES_tradnl"/>
        </w:rPr>
        <w:t xml:space="preserve">la realización de </w:t>
      </w:r>
      <w:r w:rsidR="003364D3" w:rsidRPr="00BF20FA">
        <w:rPr>
          <w:rFonts w:asciiTheme="majorHAnsi" w:hAnsiTheme="majorHAnsi"/>
          <w:color w:val="000000" w:themeColor="text1"/>
          <w:sz w:val="20"/>
          <w:szCs w:val="20"/>
          <w:lang w:val="es-ES_tradnl"/>
        </w:rPr>
        <w:t xml:space="preserve">dicho estudio. </w:t>
      </w:r>
    </w:p>
    <w:p w14:paraId="233B478C" w14:textId="77777777" w:rsidR="006A3D46" w:rsidRPr="00BF20FA" w:rsidRDefault="006A3D46" w:rsidP="009820C7">
      <w:pPr>
        <w:jc w:val="both"/>
        <w:rPr>
          <w:rFonts w:asciiTheme="majorHAnsi" w:hAnsiTheme="majorHAnsi"/>
          <w:color w:val="000000" w:themeColor="text1"/>
          <w:sz w:val="20"/>
          <w:szCs w:val="20"/>
          <w:lang w:val="es-ES_tradnl"/>
        </w:rPr>
      </w:pPr>
    </w:p>
    <w:p w14:paraId="343494FC" w14:textId="77777777" w:rsidR="006A3D46" w:rsidRPr="00BF20FA" w:rsidRDefault="00644A06"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6" w:name="_Toc17221567"/>
      <w:r w:rsidRPr="00BF20FA">
        <w:rPr>
          <w:rFonts w:asciiTheme="majorHAnsi" w:hAnsiTheme="majorHAnsi"/>
          <w:sz w:val="20"/>
          <w:szCs w:val="20"/>
          <w:lang w:val="es-ES_tradnl"/>
        </w:rPr>
        <w:t>Títulos mineros en territorio U’wa</w:t>
      </w:r>
      <w:bookmarkEnd w:id="26"/>
    </w:p>
    <w:p w14:paraId="60445A31" w14:textId="77777777" w:rsidR="00086B67" w:rsidRPr="00BF20FA" w:rsidRDefault="00086B67" w:rsidP="00086B67">
      <w:pPr>
        <w:pStyle w:val="ListParagraph"/>
        <w:ind w:left="1080"/>
        <w:jc w:val="both"/>
        <w:rPr>
          <w:rFonts w:asciiTheme="majorHAnsi" w:hAnsiTheme="majorHAnsi"/>
          <w:b/>
          <w:color w:val="000000" w:themeColor="text1"/>
          <w:sz w:val="20"/>
          <w:szCs w:val="20"/>
          <w:lang w:val="es-ES_tradnl"/>
        </w:rPr>
      </w:pPr>
    </w:p>
    <w:p w14:paraId="3944F10D" w14:textId="099B7823" w:rsidR="006D56AE" w:rsidRPr="00BF20FA" w:rsidRDefault="00C52C8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ES_tradnl"/>
        </w:rPr>
        <w:t>Según información presentada por ambas partes, e</w:t>
      </w:r>
      <w:r w:rsidR="00E44EB0" w:rsidRPr="00BF20FA">
        <w:rPr>
          <w:rFonts w:asciiTheme="majorHAnsi" w:hAnsiTheme="majorHAnsi"/>
          <w:color w:val="000000" w:themeColor="text1"/>
          <w:sz w:val="20"/>
          <w:szCs w:val="20"/>
          <w:lang w:val="es-ES_tradnl"/>
        </w:rPr>
        <w:t>ntre los años 2007 y 2009 se celebraro</w:t>
      </w:r>
      <w:r w:rsidR="004437AF" w:rsidRPr="00BF20FA">
        <w:rPr>
          <w:rFonts w:asciiTheme="majorHAnsi" w:hAnsiTheme="majorHAnsi"/>
          <w:color w:val="000000" w:themeColor="text1"/>
          <w:sz w:val="20"/>
          <w:szCs w:val="20"/>
          <w:lang w:val="es-ES_tradnl"/>
        </w:rPr>
        <w:t xml:space="preserve">n contratos de concesión </w:t>
      </w:r>
      <w:r w:rsidR="00E44EB0" w:rsidRPr="00BF20FA">
        <w:rPr>
          <w:rFonts w:asciiTheme="majorHAnsi" w:hAnsiTheme="majorHAnsi"/>
          <w:color w:val="000000" w:themeColor="text1"/>
          <w:sz w:val="20"/>
          <w:szCs w:val="20"/>
          <w:lang w:val="es-ES_tradnl"/>
        </w:rPr>
        <w:t>para la exploración y explotación de yacimientos de carbón y demás minerales concesibles’’, por plazo</w:t>
      </w:r>
      <w:r w:rsidR="00073BEB" w:rsidRPr="00BF20FA">
        <w:rPr>
          <w:rFonts w:asciiTheme="majorHAnsi" w:hAnsiTheme="majorHAnsi"/>
          <w:color w:val="000000" w:themeColor="text1"/>
          <w:sz w:val="20"/>
          <w:szCs w:val="20"/>
          <w:lang w:val="es-ES_tradnl"/>
        </w:rPr>
        <w:t>s</w:t>
      </w:r>
      <w:r w:rsidR="00E44EB0" w:rsidRPr="00BF20FA">
        <w:rPr>
          <w:rFonts w:asciiTheme="majorHAnsi" w:hAnsiTheme="majorHAnsi"/>
          <w:color w:val="000000" w:themeColor="text1"/>
          <w:sz w:val="20"/>
          <w:szCs w:val="20"/>
          <w:lang w:val="es-ES_tradnl"/>
        </w:rPr>
        <w:t xml:space="preserve"> de 30 años prorrogables por 30 años más</w:t>
      </w:r>
      <w:r w:rsidR="002F6DB0" w:rsidRPr="00BF20FA">
        <w:rPr>
          <w:rFonts w:asciiTheme="majorHAnsi" w:hAnsiTheme="majorHAnsi"/>
          <w:color w:val="000000" w:themeColor="text1"/>
          <w:sz w:val="20"/>
          <w:szCs w:val="20"/>
          <w:lang w:val="es-ES_tradnl"/>
        </w:rPr>
        <w:t>,</w:t>
      </w:r>
      <w:r w:rsidR="00E44EB0" w:rsidRPr="00BF20FA">
        <w:rPr>
          <w:rFonts w:asciiTheme="majorHAnsi" w:hAnsiTheme="majorHAnsi"/>
          <w:color w:val="000000" w:themeColor="text1"/>
          <w:sz w:val="20"/>
          <w:szCs w:val="20"/>
          <w:lang w:val="es-ES_tradnl"/>
        </w:rPr>
        <w:t xml:space="preserve"> en los municipios de Toledo, Chitanga y Cubará</w:t>
      </w:r>
      <w:r w:rsidR="00B1527C" w:rsidRPr="00BF20FA">
        <w:rPr>
          <w:rStyle w:val="FootnoteReference"/>
          <w:rFonts w:asciiTheme="majorHAnsi" w:hAnsiTheme="majorHAnsi"/>
          <w:color w:val="000000" w:themeColor="text1"/>
          <w:sz w:val="20"/>
          <w:szCs w:val="20"/>
          <w:lang w:val="es-ES_tradnl"/>
        </w:rPr>
        <w:footnoteReference w:id="100"/>
      </w:r>
      <w:r w:rsidR="000D4734" w:rsidRPr="00BF20FA">
        <w:rPr>
          <w:rFonts w:asciiTheme="majorHAnsi" w:hAnsiTheme="majorHAnsi"/>
          <w:color w:val="000000" w:themeColor="text1"/>
          <w:sz w:val="20"/>
          <w:szCs w:val="20"/>
          <w:lang w:val="es-ES_tradnl"/>
        </w:rPr>
        <w:t>.</w:t>
      </w:r>
      <w:r w:rsidR="00C92B0E" w:rsidRPr="00BF20FA">
        <w:rPr>
          <w:rFonts w:asciiTheme="majorHAnsi" w:hAnsiTheme="majorHAnsi"/>
          <w:color w:val="000000" w:themeColor="text1"/>
          <w:sz w:val="20"/>
          <w:szCs w:val="20"/>
          <w:lang w:val="es-ES_tradnl"/>
        </w:rPr>
        <w:t xml:space="preserve"> La parte </w:t>
      </w:r>
      <w:r w:rsidR="00C92B0E" w:rsidRPr="00BF20FA">
        <w:rPr>
          <w:rFonts w:asciiTheme="majorHAnsi" w:hAnsiTheme="majorHAnsi"/>
          <w:color w:val="000000" w:themeColor="text1"/>
          <w:sz w:val="20"/>
          <w:szCs w:val="20"/>
          <w:lang w:val="es-ES_tradnl"/>
        </w:rPr>
        <w:lastRenderedPageBreak/>
        <w:t xml:space="preserve">peticionaria afirmó que el Pueblo U´wa no fue consultado con anterioridad a la firma de los contratos. El Estado </w:t>
      </w:r>
      <w:r w:rsidR="00634CDB" w:rsidRPr="00BF20FA">
        <w:rPr>
          <w:rFonts w:asciiTheme="majorHAnsi" w:hAnsiTheme="majorHAnsi"/>
          <w:color w:val="000000" w:themeColor="text1"/>
          <w:sz w:val="20"/>
          <w:szCs w:val="20"/>
          <w:lang w:val="es-ES_tradnl"/>
        </w:rPr>
        <w:t>se refirió específicamente al contrato minero GKT-081 y refirió que el Ministerio de Interior expidió convocatoria para reunión de consulta previa</w:t>
      </w:r>
      <w:r w:rsidR="00714F68">
        <w:rPr>
          <w:rFonts w:asciiTheme="majorHAnsi" w:hAnsiTheme="majorHAnsi"/>
          <w:color w:val="000000" w:themeColor="text1"/>
          <w:sz w:val="20"/>
          <w:szCs w:val="20"/>
          <w:lang w:val="es-ES_tradnl"/>
        </w:rPr>
        <w:t>,</w:t>
      </w:r>
      <w:r w:rsidR="00634CDB" w:rsidRPr="00BF20FA">
        <w:rPr>
          <w:rFonts w:asciiTheme="majorHAnsi" w:hAnsiTheme="majorHAnsi"/>
          <w:color w:val="000000" w:themeColor="text1"/>
          <w:sz w:val="20"/>
          <w:szCs w:val="20"/>
          <w:lang w:val="es-ES_tradnl"/>
        </w:rPr>
        <w:t xml:space="preserve"> a llevarse a cabo el 25 de abril de 2015</w:t>
      </w:r>
      <w:r w:rsidR="00714F68">
        <w:rPr>
          <w:rFonts w:asciiTheme="majorHAnsi" w:hAnsiTheme="majorHAnsi"/>
          <w:color w:val="000000" w:themeColor="text1"/>
          <w:sz w:val="20"/>
          <w:szCs w:val="20"/>
          <w:lang w:val="es-ES_tradnl"/>
        </w:rPr>
        <w:t>,</w:t>
      </w:r>
      <w:r w:rsidR="002F6213" w:rsidRPr="00BF20FA">
        <w:rPr>
          <w:rFonts w:asciiTheme="majorHAnsi" w:hAnsiTheme="majorHAnsi"/>
          <w:color w:val="000000" w:themeColor="text1"/>
          <w:sz w:val="20"/>
          <w:szCs w:val="20"/>
          <w:lang w:val="es-ES_tradnl"/>
        </w:rPr>
        <w:t xml:space="preserve"> pero que las autoridades del Pueblo U´wa no asistieron a dicha reunión. El Estado refirió que se hizo una nueva convocatoria y que en la </w:t>
      </w:r>
      <w:r w:rsidR="002F6213" w:rsidRPr="000A5F88">
        <w:rPr>
          <w:rFonts w:asciiTheme="majorHAnsi" w:hAnsiTheme="majorHAnsi"/>
          <w:color w:val="000000" w:themeColor="text1"/>
          <w:sz w:val="20"/>
          <w:szCs w:val="20"/>
          <w:lang w:val="es-CO"/>
        </w:rPr>
        <w:t>reunión</w:t>
      </w:r>
      <w:r w:rsidR="002F6213" w:rsidRPr="00BF20FA">
        <w:rPr>
          <w:rFonts w:asciiTheme="majorHAnsi" w:hAnsiTheme="majorHAnsi"/>
          <w:color w:val="000000" w:themeColor="text1"/>
          <w:sz w:val="20"/>
          <w:szCs w:val="20"/>
          <w:lang w:val="es-ES_tradnl"/>
        </w:rPr>
        <w:t xml:space="preserve"> del 9 de junio de 2015, el Pueblo U´wa sostuvo que no desarrollarían “ningún proceso de consulta previa por lo que ellos quieren defender su territorio siendo así no piensan abrir la puerta para que ingresen las multinacionales”. </w:t>
      </w:r>
      <w:r w:rsidR="00971EFD" w:rsidRPr="00BF20FA">
        <w:rPr>
          <w:rFonts w:asciiTheme="majorHAnsi" w:hAnsiTheme="majorHAnsi"/>
          <w:color w:val="000000" w:themeColor="text1"/>
          <w:sz w:val="20"/>
          <w:szCs w:val="20"/>
          <w:lang w:val="es-ES_tradnl"/>
        </w:rPr>
        <w:t xml:space="preserve"> El Estado informó que el Ministerio de Interior determinó que el intento de consultar a la comunidad se realizó en debida forma y que al haberse dado los espacios debidos, “el encargado del proyecto debe seguir con su licenciamiento ambiental correspondiente con las</w:t>
      </w:r>
      <w:r w:rsidR="00FB07E8" w:rsidRPr="00BF20FA">
        <w:rPr>
          <w:rFonts w:asciiTheme="majorHAnsi" w:hAnsiTheme="majorHAnsi"/>
          <w:color w:val="000000" w:themeColor="text1"/>
          <w:sz w:val="20"/>
          <w:szCs w:val="20"/>
          <w:lang w:val="es-ES_tradnl"/>
        </w:rPr>
        <w:t xml:space="preserve"> medidas de manejo </w:t>
      </w:r>
      <w:r w:rsidR="008702B0" w:rsidRPr="00BF20FA">
        <w:rPr>
          <w:rFonts w:asciiTheme="majorHAnsi" w:hAnsiTheme="majorHAnsi"/>
          <w:color w:val="000000" w:themeColor="text1"/>
          <w:sz w:val="20"/>
          <w:szCs w:val="20"/>
          <w:lang w:val="es-ES_tradnl"/>
        </w:rPr>
        <w:t xml:space="preserve">[…] para salvaguardar la integridad de la comunidad étnica y cultural </w:t>
      </w:r>
      <w:r w:rsidR="001C6748">
        <w:rPr>
          <w:rFonts w:asciiTheme="majorHAnsi" w:hAnsiTheme="majorHAnsi"/>
          <w:color w:val="000000" w:themeColor="text1"/>
          <w:sz w:val="20"/>
          <w:szCs w:val="20"/>
          <w:lang w:val="es-ES_tradnl"/>
        </w:rPr>
        <w:t>[</w:t>
      </w:r>
      <w:r w:rsidR="008702B0" w:rsidRPr="00BF20FA">
        <w:rPr>
          <w:rFonts w:asciiTheme="majorHAnsi" w:hAnsiTheme="majorHAnsi"/>
          <w:color w:val="000000" w:themeColor="text1"/>
          <w:sz w:val="20"/>
          <w:szCs w:val="20"/>
          <w:lang w:val="es-ES_tradnl"/>
        </w:rPr>
        <w:t>…</w:t>
      </w:r>
      <w:r w:rsidR="001C6748">
        <w:rPr>
          <w:rFonts w:asciiTheme="majorHAnsi" w:hAnsiTheme="majorHAnsi"/>
          <w:color w:val="000000" w:themeColor="text1"/>
          <w:sz w:val="20"/>
          <w:szCs w:val="20"/>
          <w:lang w:val="es-ES_tradnl"/>
        </w:rPr>
        <w:t>]</w:t>
      </w:r>
      <w:r w:rsidR="008702B0" w:rsidRPr="00BF20FA">
        <w:rPr>
          <w:rFonts w:asciiTheme="majorHAnsi" w:hAnsiTheme="majorHAnsi"/>
          <w:color w:val="000000" w:themeColor="text1"/>
          <w:sz w:val="20"/>
          <w:szCs w:val="20"/>
          <w:lang w:val="es-ES_tradnl"/>
        </w:rPr>
        <w:t>”</w:t>
      </w:r>
      <w:r w:rsidR="008702B0" w:rsidRPr="00BF20FA">
        <w:rPr>
          <w:rStyle w:val="FootnoteReference"/>
          <w:rFonts w:asciiTheme="majorHAnsi" w:hAnsiTheme="majorHAnsi"/>
          <w:color w:val="000000" w:themeColor="text1"/>
          <w:sz w:val="20"/>
          <w:szCs w:val="20"/>
          <w:lang w:val="es-ES_tradnl"/>
        </w:rPr>
        <w:footnoteReference w:id="101"/>
      </w:r>
      <w:r w:rsidR="008702B0" w:rsidRPr="00BF20FA">
        <w:rPr>
          <w:rFonts w:asciiTheme="majorHAnsi" w:hAnsiTheme="majorHAnsi"/>
          <w:color w:val="000000" w:themeColor="text1"/>
          <w:sz w:val="20"/>
          <w:szCs w:val="20"/>
          <w:lang w:val="es-ES_tradnl"/>
        </w:rPr>
        <w:t>.</w:t>
      </w:r>
    </w:p>
    <w:p w14:paraId="24E0651A" w14:textId="77777777" w:rsidR="00E07DCF" w:rsidRPr="00BF20FA" w:rsidRDefault="00E07DCF" w:rsidP="00E755D9">
      <w:pPr>
        <w:tabs>
          <w:tab w:val="left" w:pos="360"/>
        </w:tabs>
        <w:jc w:val="both"/>
        <w:rPr>
          <w:rFonts w:asciiTheme="majorHAnsi" w:hAnsiTheme="majorHAnsi"/>
          <w:color w:val="000000" w:themeColor="text1"/>
          <w:sz w:val="20"/>
          <w:szCs w:val="20"/>
          <w:lang w:val="es-ES_tradnl"/>
        </w:rPr>
      </w:pPr>
    </w:p>
    <w:p w14:paraId="4F936711" w14:textId="77777777" w:rsidR="00C52C8E" w:rsidRPr="00BF20FA" w:rsidRDefault="000D473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MX"/>
        </w:rPr>
        <w:t>El 4 de febrero de 2015, ASO’UWA presentó demanda de nulidad contra</w:t>
      </w:r>
      <w:r w:rsidR="00331A97" w:rsidRPr="00BF20FA">
        <w:rPr>
          <w:rFonts w:asciiTheme="majorHAnsi" w:hAnsiTheme="majorHAnsi"/>
          <w:color w:val="000000" w:themeColor="text1"/>
          <w:sz w:val="20"/>
          <w:szCs w:val="20"/>
          <w:lang w:val="es-MX"/>
        </w:rPr>
        <w:t xml:space="preserve"> los</w:t>
      </w:r>
      <w:r w:rsidRPr="00BF20FA">
        <w:rPr>
          <w:rFonts w:asciiTheme="majorHAnsi" w:hAnsiTheme="majorHAnsi"/>
          <w:color w:val="000000" w:themeColor="text1"/>
          <w:sz w:val="20"/>
          <w:szCs w:val="20"/>
          <w:lang w:val="es-MX"/>
        </w:rPr>
        <w:t xml:space="preserve"> contratos mineros ante el Consejo de Estado. Esta entidad, mediante Auto del 5 de mayo de 2015, declaró la falta de competencia de dicha corporación para conocer del proceso y ordenó la remisión del mismo al Tribunal Administrativo de Cundinamarca. Por su parte, el Tribunal Administrativo de Cundinamarca admitió la demanda mediante Auto de 13 de julio de 2015 y, adicionalmente, decretó como medida cautelar la suspensión provisional del contrato minero GKT-081 solicitada por ASO’UWA, mediante Auto del 11 de mayo de 2017</w:t>
      </w:r>
      <w:r w:rsidR="00331A97" w:rsidRPr="00BF20FA">
        <w:rPr>
          <w:rStyle w:val="FootnoteReference"/>
          <w:rFonts w:asciiTheme="majorHAnsi" w:hAnsiTheme="majorHAnsi"/>
          <w:color w:val="000000" w:themeColor="text1"/>
          <w:sz w:val="20"/>
          <w:szCs w:val="20"/>
        </w:rPr>
        <w:footnoteReference w:id="102"/>
      </w:r>
      <w:r w:rsidRPr="00BF20FA">
        <w:rPr>
          <w:rFonts w:asciiTheme="majorHAnsi" w:hAnsiTheme="majorHAnsi"/>
          <w:color w:val="000000" w:themeColor="text1"/>
          <w:sz w:val="20"/>
          <w:szCs w:val="20"/>
          <w:lang w:val="es-MX"/>
        </w:rPr>
        <w:t>.</w:t>
      </w:r>
      <w:r w:rsidR="00C52C8E" w:rsidRPr="00BF20FA">
        <w:rPr>
          <w:rFonts w:asciiTheme="majorHAnsi" w:hAnsiTheme="majorHAnsi"/>
          <w:color w:val="000000" w:themeColor="text1"/>
          <w:sz w:val="20"/>
          <w:szCs w:val="20"/>
          <w:lang w:val="es-MX"/>
        </w:rPr>
        <w:t xml:space="preserve"> La Comisión no posee información adicional sobre lo ocurrido en el proceso de nulidad. </w:t>
      </w:r>
    </w:p>
    <w:p w14:paraId="64E5E219" w14:textId="77777777" w:rsidR="00C52C8E" w:rsidRPr="00BF20FA" w:rsidRDefault="00C52C8E" w:rsidP="00614E21">
      <w:pPr>
        <w:pStyle w:val="ListParagraph"/>
        <w:tabs>
          <w:tab w:val="left" w:pos="360"/>
        </w:tabs>
        <w:ind w:left="0"/>
        <w:rPr>
          <w:rFonts w:asciiTheme="majorHAnsi" w:hAnsiTheme="majorHAnsi"/>
          <w:color w:val="000000" w:themeColor="text1"/>
          <w:sz w:val="20"/>
          <w:szCs w:val="20"/>
          <w:lang w:val="es-MX"/>
        </w:rPr>
      </w:pPr>
    </w:p>
    <w:p w14:paraId="621FBAA3" w14:textId="77777777" w:rsidR="000D4734" w:rsidRPr="00BF20FA" w:rsidRDefault="00983815"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MX"/>
        </w:rPr>
        <w:t>E</w:t>
      </w:r>
      <w:r w:rsidR="00C52C8E" w:rsidRPr="00BF20FA">
        <w:rPr>
          <w:rFonts w:asciiTheme="majorHAnsi" w:hAnsiTheme="majorHAnsi"/>
          <w:color w:val="000000" w:themeColor="text1"/>
          <w:sz w:val="20"/>
          <w:szCs w:val="20"/>
          <w:lang w:val="es-MX"/>
        </w:rPr>
        <w:t>n comunicación de diciembre de 2018, e</w:t>
      </w:r>
      <w:r w:rsidRPr="00BF20FA">
        <w:rPr>
          <w:rFonts w:asciiTheme="majorHAnsi" w:hAnsiTheme="majorHAnsi"/>
          <w:color w:val="000000" w:themeColor="text1"/>
          <w:sz w:val="20"/>
          <w:szCs w:val="20"/>
          <w:lang w:val="es-MX"/>
        </w:rPr>
        <w:t>l Estado afirmó que no se ha adelantado ningún tipo de actividad minera en el área concesionada</w:t>
      </w:r>
      <w:r w:rsidRPr="00BF20FA">
        <w:rPr>
          <w:rStyle w:val="FootnoteReference"/>
          <w:rFonts w:asciiTheme="majorHAnsi" w:hAnsiTheme="majorHAnsi"/>
          <w:color w:val="000000" w:themeColor="text1"/>
          <w:sz w:val="20"/>
          <w:szCs w:val="20"/>
          <w:lang w:val="es-MX"/>
        </w:rPr>
        <w:footnoteReference w:id="103"/>
      </w:r>
      <w:r w:rsidRPr="00BF20FA">
        <w:rPr>
          <w:rFonts w:asciiTheme="majorHAnsi" w:hAnsiTheme="majorHAnsi"/>
          <w:color w:val="000000" w:themeColor="text1"/>
          <w:sz w:val="20"/>
          <w:szCs w:val="20"/>
          <w:lang w:val="es-MX"/>
        </w:rPr>
        <w:t>.</w:t>
      </w:r>
      <w:r w:rsidR="006C29C5" w:rsidRPr="00BF20FA">
        <w:rPr>
          <w:rFonts w:asciiTheme="majorHAnsi" w:hAnsiTheme="majorHAnsi"/>
          <w:color w:val="000000" w:themeColor="text1"/>
          <w:sz w:val="20"/>
          <w:szCs w:val="20"/>
          <w:lang w:val="es-MX"/>
        </w:rPr>
        <w:t xml:space="preserve"> </w:t>
      </w:r>
      <w:r w:rsidR="000F3021" w:rsidRPr="00BF20FA">
        <w:rPr>
          <w:rFonts w:asciiTheme="majorHAnsi" w:hAnsiTheme="majorHAnsi"/>
          <w:color w:val="000000" w:themeColor="text1"/>
          <w:sz w:val="20"/>
          <w:szCs w:val="20"/>
          <w:lang w:val="es-MX"/>
        </w:rPr>
        <w:t>La parte peticionaria no present</w:t>
      </w:r>
      <w:r w:rsidR="008A70EF" w:rsidRPr="00BF20FA">
        <w:rPr>
          <w:rFonts w:asciiTheme="majorHAnsi" w:hAnsiTheme="majorHAnsi"/>
          <w:color w:val="000000" w:themeColor="text1"/>
          <w:sz w:val="20"/>
          <w:szCs w:val="20"/>
          <w:lang w:val="es-MX"/>
        </w:rPr>
        <w:t>ó</w:t>
      </w:r>
      <w:r w:rsidR="000F3021" w:rsidRPr="00BF20FA">
        <w:rPr>
          <w:rFonts w:asciiTheme="majorHAnsi" w:hAnsiTheme="majorHAnsi"/>
          <w:color w:val="000000" w:themeColor="text1"/>
          <w:sz w:val="20"/>
          <w:szCs w:val="20"/>
          <w:lang w:val="es-MX"/>
        </w:rPr>
        <w:t xml:space="preserve"> información en contrario.</w:t>
      </w:r>
    </w:p>
    <w:p w14:paraId="7647EC15" w14:textId="77777777" w:rsidR="006A3D46" w:rsidRPr="00BF20FA" w:rsidRDefault="006A3D46" w:rsidP="004437AF">
      <w:pPr>
        <w:pStyle w:val="ListParagraph"/>
        <w:ind w:left="0"/>
        <w:jc w:val="both"/>
        <w:rPr>
          <w:rFonts w:asciiTheme="majorHAnsi" w:hAnsiTheme="majorHAnsi"/>
          <w:color w:val="000000" w:themeColor="text1"/>
          <w:sz w:val="20"/>
          <w:szCs w:val="20"/>
          <w:lang w:val="es-ES_tradnl"/>
        </w:rPr>
      </w:pPr>
    </w:p>
    <w:p w14:paraId="4038DEE9" w14:textId="77777777" w:rsidR="006A3D46" w:rsidRPr="00BF20FA" w:rsidRDefault="00644A06"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7" w:name="_Toc17221568"/>
      <w:r w:rsidRPr="00BF20FA">
        <w:rPr>
          <w:rFonts w:asciiTheme="majorHAnsi" w:hAnsiTheme="majorHAnsi"/>
          <w:sz w:val="20"/>
          <w:szCs w:val="20"/>
          <w:lang w:val="es-ES_tradnl"/>
        </w:rPr>
        <w:t>Militarización y uso de la fuerza en territorio U’wa</w:t>
      </w:r>
      <w:bookmarkEnd w:id="27"/>
    </w:p>
    <w:p w14:paraId="60CC5F18" w14:textId="77777777" w:rsidR="006A3D46" w:rsidRPr="00BF20FA" w:rsidRDefault="006A3D46" w:rsidP="006A3D46">
      <w:pPr>
        <w:pStyle w:val="ListParagraph"/>
        <w:ind w:left="1800"/>
        <w:rPr>
          <w:rFonts w:asciiTheme="majorHAnsi" w:hAnsiTheme="majorHAnsi"/>
          <w:color w:val="000000" w:themeColor="text1"/>
          <w:sz w:val="20"/>
          <w:szCs w:val="20"/>
          <w:lang w:val="es-ES_tradnl"/>
        </w:rPr>
      </w:pPr>
    </w:p>
    <w:p w14:paraId="1B68FC61" w14:textId="77777777" w:rsidR="006A3D46"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ES_tradnl"/>
        </w:rPr>
        <w:t xml:space="preserve">A través de </w:t>
      </w:r>
      <w:r w:rsidR="00BF5402" w:rsidRPr="00BF20FA">
        <w:rPr>
          <w:rFonts w:asciiTheme="majorHAnsi" w:hAnsiTheme="majorHAnsi"/>
          <w:color w:val="000000" w:themeColor="text1"/>
          <w:sz w:val="20"/>
          <w:szCs w:val="20"/>
          <w:lang w:val="es-ES_tradnl"/>
        </w:rPr>
        <w:t xml:space="preserve">un </w:t>
      </w:r>
      <w:r w:rsidRPr="00BF20FA">
        <w:rPr>
          <w:rFonts w:asciiTheme="majorHAnsi" w:hAnsiTheme="majorHAnsi"/>
          <w:color w:val="000000" w:themeColor="text1"/>
          <w:sz w:val="20"/>
          <w:szCs w:val="20"/>
          <w:lang w:val="es-ES_tradnl"/>
        </w:rPr>
        <w:t>comuni</w:t>
      </w:r>
      <w:r w:rsidR="00BF5402" w:rsidRPr="00BF20FA">
        <w:rPr>
          <w:rFonts w:asciiTheme="majorHAnsi" w:hAnsiTheme="majorHAnsi"/>
          <w:color w:val="000000" w:themeColor="text1"/>
          <w:sz w:val="20"/>
          <w:szCs w:val="20"/>
          <w:lang w:val="es-ES_tradnl"/>
        </w:rPr>
        <w:t xml:space="preserve">cado </w:t>
      </w:r>
      <w:r w:rsidRPr="00BF20FA">
        <w:rPr>
          <w:rFonts w:asciiTheme="majorHAnsi" w:hAnsiTheme="majorHAnsi"/>
          <w:color w:val="000000" w:themeColor="text1"/>
          <w:sz w:val="20"/>
          <w:szCs w:val="20"/>
          <w:lang w:val="es-ES_tradnl"/>
        </w:rPr>
        <w:t xml:space="preserve">a la opinión pública (sin fecha), el pueblo U’wa denunció </w:t>
      </w:r>
      <w:r w:rsidR="00331A97" w:rsidRPr="00BF20FA">
        <w:rPr>
          <w:rFonts w:asciiTheme="majorHAnsi" w:hAnsiTheme="majorHAnsi"/>
          <w:color w:val="000000" w:themeColor="text1"/>
          <w:sz w:val="20"/>
          <w:szCs w:val="20"/>
          <w:lang w:val="es-ES_tradnl"/>
        </w:rPr>
        <w:t>los siguientes hechos:</w:t>
      </w:r>
      <w:r w:rsidRPr="00BF20FA">
        <w:rPr>
          <w:rFonts w:asciiTheme="majorHAnsi" w:hAnsiTheme="majorHAnsi"/>
          <w:color w:val="000000" w:themeColor="text1"/>
          <w:sz w:val="20"/>
          <w:szCs w:val="20"/>
          <w:lang w:val="es-ES_tradnl"/>
        </w:rPr>
        <w:t xml:space="preserve"> </w:t>
      </w:r>
    </w:p>
    <w:p w14:paraId="25A6D4DB" w14:textId="77777777" w:rsidR="00BF5402" w:rsidRPr="00BF20FA" w:rsidRDefault="00BF5402" w:rsidP="002739C0">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810"/>
        <w:jc w:val="both"/>
        <w:rPr>
          <w:rFonts w:asciiTheme="majorHAnsi" w:hAnsiTheme="majorHAnsi"/>
          <w:color w:val="000000" w:themeColor="text1"/>
          <w:sz w:val="20"/>
          <w:szCs w:val="20"/>
          <w:lang w:val="es-ES_tradnl"/>
        </w:rPr>
      </w:pPr>
    </w:p>
    <w:p w14:paraId="0C409134" w14:textId="77777777" w:rsidR="006A3D46" w:rsidRPr="00BF20FA" w:rsidRDefault="00331A97" w:rsidP="00426744">
      <w:pPr>
        <w:pStyle w:val="ListParagraph"/>
        <w:ind w:left="446" w:right="360" w:hanging="86"/>
        <w:jc w:val="both"/>
        <w:rPr>
          <w:rFonts w:asciiTheme="majorHAnsi" w:hAnsiTheme="majorHAnsi"/>
          <w:color w:val="000000" w:themeColor="text1"/>
          <w:sz w:val="18"/>
          <w:szCs w:val="18"/>
          <w:lang w:val="es-ES_tradnl"/>
        </w:rPr>
      </w:pPr>
      <w:r w:rsidRPr="00BF20FA">
        <w:rPr>
          <w:rFonts w:asciiTheme="majorHAnsi" w:hAnsiTheme="majorHAnsi"/>
          <w:color w:val="000000" w:themeColor="text1"/>
          <w:sz w:val="18"/>
          <w:szCs w:val="18"/>
          <w:lang w:val="es-ES_tradnl"/>
        </w:rPr>
        <w:t xml:space="preserve"> </w:t>
      </w:r>
      <w:r w:rsidR="00495780" w:rsidRPr="00BF20FA">
        <w:rPr>
          <w:rFonts w:asciiTheme="majorHAnsi" w:hAnsiTheme="majorHAnsi"/>
          <w:color w:val="000000" w:themeColor="text1"/>
          <w:sz w:val="18"/>
          <w:szCs w:val="18"/>
          <w:lang w:val="es-ES_tradnl"/>
        </w:rPr>
        <w:t xml:space="preserve"> </w:t>
      </w:r>
      <w:r w:rsidR="006A3D46" w:rsidRPr="00BF20FA">
        <w:rPr>
          <w:rFonts w:asciiTheme="majorHAnsi" w:hAnsiTheme="majorHAnsi"/>
          <w:color w:val="000000" w:themeColor="text1"/>
          <w:sz w:val="18"/>
          <w:szCs w:val="18"/>
          <w:lang w:val="es-ES_tradnl"/>
        </w:rPr>
        <w:t>Siendo aproximadamente la una de la tarde llegó un helicóptero a nuestra finca Santa Rita, del mismo se bajaron varias personas</w:t>
      </w:r>
      <w:r w:rsidR="00BF5402" w:rsidRPr="00BF20FA">
        <w:rPr>
          <w:rFonts w:asciiTheme="majorHAnsi" w:hAnsiTheme="majorHAnsi"/>
          <w:color w:val="000000" w:themeColor="text1"/>
          <w:sz w:val="18"/>
          <w:szCs w:val="18"/>
          <w:lang w:val="es-ES_tradnl"/>
        </w:rPr>
        <w:t xml:space="preserve"> </w:t>
      </w:r>
      <w:r w:rsidR="00BF5402" w:rsidRPr="00BF20FA">
        <w:rPr>
          <w:rFonts w:asciiTheme="majorHAnsi" w:hAnsiTheme="majorHAnsi"/>
          <w:color w:val="000000" w:themeColor="text1"/>
          <w:sz w:val="18"/>
          <w:szCs w:val="18"/>
          <w:lang w:val="es-ES"/>
        </w:rPr>
        <w:t xml:space="preserve">[…] </w:t>
      </w:r>
      <w:r w:rsidR="006A3D46" w:rsidRPr="00BF20FA">
        <w:rPr>
          <w:rFonts w:asciiTheme="majorHAnsi" w:hAnsiTheme="majorHAnsi"/>
          <w:color w:val="000000" w:themeColor="text1"/>
          <w:sz w:val="18"/>
          <w:szCs w:val="18"/>
          <w:lang w:val="es-ES_tradnl"/>
        </w:rPr>
        <w:t xml:space="preserve">ofreciéndonos ayuda </w:t>
      </w:r>
      <w:r w:rsidR="00BF5402" w:rsidRPr="00BF20FA">
        <w:rPr>
          <w:rFonts w:asciiTheme="majorHAnsi" w:hAnsiTheme="majorHAnsi"/>
          <w:color w:val="000000" w:themeColor="text1"/>
          <w:sz w:val="18"/>
          <w:szCs w:val="18"/>
          <w:lang w:val="es-ES_tradnl"/>
        </w:rPr>
        <w:t xml:space="preserve">[…] </w:t>
      </w:r>
      <w:r w:rsidR="006A3D46" w:rsidRPr="00BF20FA">
        <w:rPr>
          <w:rFonts w:asciiTheme="majorHAnsi" w:hAnsiTheme="majorHAnsi"/>
          <w:color w:val="000000" w:themeColor="text1"/>
          <w:sz w:val="18"/>
          <w:szCs w:val="18"/>
          <w:lang w:val="es-ES_tradnl"/>
        </w:rPr>
        <w:t>Se montaron tres mujeres y dos niños que estaban enfermos y fueron llevados a la Base de Gibraltar.</w:t>
      </w:r>
    </w:p>
    <w:p w14:paraId="240F41D9" w14:textId="77777777" w:rsidR="00BF5402" w:rsidRPr="00BF20FA" w:rsidRDefault="00BF5402" w:rsidP="00426744">
      <w:pPr>
        <w:pStyle w:val="ListParagraph"/>
        <w:ind w:left="446" w:right="360" w:hanging="86"/>
        <w:jc w:val="both"/>
        <w:rPr>
          <w:rFonts w:asciiTheme="majorHAnsi" w:hAnsiTheme="majorHAnsi"/>
          <w:color w:val="000000" w:themeColor="text1"/>
          <w:sz w:val="18"/>
          <w:szCs w:val="18"/>
          <w:lang w:val="es-ES_tradnl"/>
        </w:rPr>
      </w:pPr>
    </w:p>
    <w:p w14:paraId="785DE005" w14:textId="77777777" w:rsidR="006A3D46" w:rsidRPr="00BF20FA" w:rsidRDefault="004437AF" w:rsidP="00426744">
      <w:pPr>
        <w:pStyle w:val="ListParagraph"/>
        <w:ind w:left="446" w:right="360" w:hanging="86"/>
        <w:jc w:val="both"/>
        <w:rPr>
          <w:rFonts w:asciiTheme="majorHAnsi" w:hAnsiTheme="majorHAnsi"/>
          <w:color w:val="000000" w:themeColor="text1"/>
          <w:sz w:val="18"/>
          <w:szCs w:val="18"/>
          <w:lang w:val="es-ES_tradnl"/>
        </w:rPr>
      </w:pPr>
      <w:r w:rsidRPr="00BF20FA">
        <w:rPr>
          <w:rFonts w:asciiTheme="majorHAnsi" w:hAnsiTheme="majorHAnsi"/>
          <w:color w:val="000000" w:themeColor="text1"/>
          <w:sz w:val="18"/>
          <w:szCs w:val="18"/>
          <w:lang w:val="es-ES_tradnl"/>
        </w:rPr>
        <w:t xml:space="preserve">  </w:t>
      </w:r>
      <w:r w:rsidR="006A3D46" w:rsidRPr="00BF20FA">
        <w:rPr>
          <w:rFonts w:asciiTheme="majorHAnsi" w:hAnsiTheme="majorHAnsi"/>
          <w:color w:val="000000" w:themeColor="text1"/>
          <w:sz w:val="18"/>
          <w:szCs w:val="18"/>
          <w:lang w:val="es-ES_tradnl"/>
        </w:rPr>
        <w:t>Mientras el helicóptero llevaba a las personas enfermas, la Policía antimotín y tropas del Ejército Nacional nos sacaron de la casa tomando ellos posesión inmediata de la misma y a</w:t>
      </w:r>
      <w:r w:rsidR="00F95FE0" w:rsidRPr="00BF20FA">
        <w:rPr>
          <w:rFonts w:asciiTheme="majorHAnsi" w:hAnsiTheme="majorHAnsi"/>
          <w:color w:val="000000" w:themeColor="text1"/>
          <w:sz w:val="18"/>
          <w:szCs w:val="18"/>
          <w:lang w:val="es-ES_tradnl"/>
        </w:rPr>
        <w:t xml:space="preserve">islándola </w:t>
      </w:r>
      <w:r w:rsidR="006A3D46" w:rsidRPr="00BF20FA">
        <w:rPr>
          <w:rFonts w:asciiTheme="majorHAnsi" w:hAnsiTheme="majorHAnsi"/>
          <w:color w:val="000000" w:themeColor="text1"/>
          <w:sz w:val="18"/>
          <w:szCs w:val="18"/>
          <w:lang w:val="es-ES_tradnl"/>
        </w:rPr>
        <w:t>con un cordón militar</w:t>
      </w:r>
      <w:r w:rsidR="00331A97" w:rsidRPr="00BF20FA">
        <w:rPr>
          <w:rFonts w:asciiTheme="majorHAnsi" w:hAnsiTheme="majorHAnsi"/>
          <w:color w:val="000000" w:themeColor="text1"/>
          <w:sz w:val="18"/>
          <w:szCs w:val="18"/>
          <w:lang w:val="es-ES_tradnl"/>
        </w:rPr>
        <w:t>,</w:t>
      </w:r>
      <w:r w:rsidR="006A3D46" w:rsidRPr="00BF20FA">
        <w:rPr>
          <w:rFonts w:asciiTheme="majorHAnsi" w:hAnsiTheme="majorHAnsi"/>
          <w:color w:val="000000" w:themeColor="text1"/>
          <w:sz w:val="18"/>
          <w:szCs w:val="18"/>
          <w:lang w:val="es-ES_tradnl"/>
        </w:rPr>
        <w:t xml:space="preserve"> fuimos engañados por las autoridades al proponernos que se realizar</w:t>
      </w:r>
      <w:r w:rsidR="00495780" w:rsidRPr="00BF20FA">
        <w:rPr>
          <w:rFonts w:asciiTheme="majorHAnsi" w:hAnsiTheme="majorHAnsi"/>
          <w:color w:val="000000" w:themeColor="text1"/>
          <w:sz w:val="18"/>
          <w:szCs w:val="18"/>
          <w:lang w:val="es-ES_tradnl"/>
        </w:rPr>
        <w:t>a</w:t>
      </w:r>
      <w:r w:rsidR="006A3D46" w:rsidRPr="00BF20FA">
        <w:rPr>
          <w:rFonts w:asciiTheme="majorHAnsi" w:hAnsiTheme="majorHAnsi"/>
          <w:color w:val="000000" w:themeColor="text1"/>
          <w:sz w:val="18"/>
          <w:szCs w:val="18"/>
          <w:lang w:val="es-ES_tradnl"/>
        </w:rPr>
        <w:t xml:space="preserve"> una reunión y que todos debían de ser examinados por un supuesto médico que no conocimos, porque no fuimos examinados.</w:t>
      </w:r>
    </w:p>
    <w:p w14:paraId="446816E1" w14:textId="77777777" w:rsidR="00BF5402" w:rsidRPr="00BF20FA" w:rsidRDefault="00BF5402" w:rsidP="00426744">
      <w:pPr>
        <w:pStyle w:val="ListParagraph"/>
        <w:ind w:left="446" w:right="360" w:hanging="86"/>
        <w:jc w:val="both"/>
        <w:rPr>
          <w:rFonts w:asciiTheme="majorHAnsi" w:hAnsiTheme="majorHAnsi"/>
          <w:color w:val="000000" w:themeColor="text1"/>
          <w:sz w:val="18"/>
          <w:szCs w:val="18"/>
          <w:lang w:val="es-ES_tradnl"/>
        </w:rPr>
      </w:pPr>
    </w:p>
    <w:p w14:paraId="68428157" w14:textId="77777777" w:rsidR="00331A97" w:rsidRPr="00BF20FA" w:rsidRDefault="004437AF" w:rsidP="00426744">
      <w:pPr>
        <w:pStyle w:val="ListParagraph"/>
        <w:ind w:left="446" w:right="360" w:hanging="86"/>
        <w:jc w:val="both"/>
        <w:rPr>
          <w:rFonts w:asciiTheme="majorHAnsi" w:hAnsiTheme="majorHAnsi"/>
          <w:sz w:val="18"/>
          <w:szCs w:val="18"/>
          <w:lang w:val="es-ES_tradnl"/>
        </w:rPr>
      </w:pPr>
      <w:r w:rsidRPr="00BF20FA">
        <w:rPr>
          <w:rFonts w:asciiTheme="majorHAnsi" w:hAnsiTheme="majorHAnsi"/>
          <w:color w:val="000000" w:themeColor="text1"/>
          <w:sz w:val="18"/>
          <w:szCs w:val="18"/>
          <w:lang w:val="es-ES_tradnl"/>
        </w:rPr>
        <w:t xml:space="preserve">  </w:t>
      </w:r>
      <w:r w:rsidR="006A3D46" w:rsidRPr="00BF20FA">
        <w:rPr>
          <w:rFonts w:asciiTheme="majorHAnsi" w:hAnsiTheme="majorHAnsi"/>
          <w:sz w:val="18"/>
          <w:szCs w:val="18"/>
          <w:lang w:val="es-ES_tradnl"/>
        </w:rPr>
        <w:t>Frente a la actitud de las autoridades y los representantes de la empresa nosotros nos opusimos al desalojo alegando que era injusto, ilegal y arbitrario, pero los policías y soldados nos llevaron al helicóptero obligados</w:t>
      </w:r>
      <w:r w:rsidR="00BF5402" w:rsidRPr="00BF20FA">
        <w:rPr>
          <w:rFonts w:asciiTheme="majorHAnsi" w:hAnsiTheme="majorHAnsi"/>
          <w:sz w:val="18"/>
          <w:szCs w:val="18"/>
          <w:lang w:val="es-ES_tradnl"/>
        </w:rPr>
        <w:t xml:space="preserve"> […]</w:t>
      </w:r>
      <w:r w:rsidR="006A3D46" w:rsidRPr="00BF20FA">
        <w:rPr>
          <w:rFonts w:asciiTheme="majorHAnsi" w:hAnsiTheme="majorHAnsi"/>
          <w:sz w:val="18"/>
          <w:szCs w:val="18"/>
          <w:lang w:val="es-ES_tradnl"/>
        </w:rPr>
        <w:t xml:space="preserve"> utilizando la violencia física y </w:t>
      </w:r>
      <w:r w:rsidR="00495780" w:rsidRPr="00BF20FA">
        <w:rPr>
          <w:rFonts w:asciiTheme="majorHAnsi" w:hAnsiTheme="majorHAnsi"/>
          <w:sz w:val="18"/>
          <w:szCs w:val="18"/>
          <w:lang w:val="es-ES_tradnl"/>
        </w:rPr>
        <w:t>verbal [</w:t>
      </w:r>
      <w:r w:rsidR="00BF5402" w:rsidRPr="00BF20FA">
        <w:rPr>
          <w:rFonts w:asciiTheme="majorHAnsi" w:hAnsiTheme="majorHAnsi"/>
          <w:sz w:val="18"/>
          <w:szCs w:val="18"/>
          <w:lang w:val="es-ES_tradnl"/>
        </w:rPr>
        <w:t>…]</w:t>
      </w:r>
      <w:r w:rsidR="006A3D46" w:rsidRPr="00BF20FA">
        <w:rPr>
          <w:rFonts w:asciiTheme="majorHAnsi" w:hAnsiTheme="majorHAnsi"/>
          <w:sz w:val="18"/>
          <w:szCs w:val="18"/>
          <w:lang w:val="es-ES_tradnl"/>
        </w:rPr>
        <w:t xml:space="preserve"> no nos dejaban salir hasta las cinco y treinta de la tarde que decidimos hacer presión y rompimos el cordón policial mediante el cual no nos permitían salir. Todos nuestros bienes que poseíamos quedaron en la base militar de Samoré</w:t>
      </w:r>
      <w:r w:rsidR="00495780" w:rsidRPr="00BF20FA">
        <w:rPr>
          <w:rFonts w:asciiTheme="majorHAnsi" w:hAnsiTheme="majorHAnsi"/>
          <w:sz w:val="18"/>
          <w:szCs w:val="18"/>
          <w:lang w:val="es-ES_tradnl"/>
        </w:rPr>
        <w:t xml:space="preserve"> </w:t>
      </w:r>
      <w:r w:rsidR="006A3D46" w:rsidRPr="00BF20FA">
        <w:rPr>
          <w:rStyle w:val="FootnoteReference"/>
          <w:rFonts w:asciiTheme="majorHAnsi" w:hAnsiTheme="majorHAnsi"/>
          <w:color w:val="000000" w:themeColor="text1"/>
          <w:sz w:val="18"/>
          <w:szCs w:val="18"/>
          <w:lang w:val="es-ES_tradnl"/>
        </w:rPr>
        <w:footnoteReference w:id="104"/>
      </w:r>
      <w:r w:rsidR="006A3D46" w:rsidRPr="00BF20FA">
        <w:rPr>
          <w:rFonts w:asciiTheme="majorHAnsi" w:hAnsiTheme="majorHAnsi"/>
          <w:sz w:val="18"/>
          <w:szCs w:val="18"/>
          <w:lang w:val="es-ES_tradnl"/>
        </w:rPr>
        <w:t>.</w:t>
      </w:r>
    </w:p>
    <w:p w14:paraId="5A68CB02" w14:textId="77777777" w:rsidR="00BF5402" w:rsidRPr="00BF20FA" w:rsidRDefault="00BF5402" w:rsidP="00BF5402">
      <w:pPr>
        <w:pStyle w:val="ListParagraph"/>
        <w:ind w:left="1701"/>
        <w:jc w:val="both"/>
        <w:rPr>
          <w:rFonts w:asciiTheme="majorHAnsi" w:hAnsiTheme="majorHAnsi"/>
          <w:sz w:val="20"/>
          <w:szCs w:val="20"/>
          <w:lang w:val="es-ES_tradnl"/>
        </w:rPr>
      </w:pPr>
    </w:p>
    <w:p w14:paraId="0140F4DB" w14:textId="77777777" w:rsidR="006A3D46"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ES_tradnl"/>
        </w:rPr>
        <w:t>En reporte de 31 de enero de 2000 el Pueblo U’wa denunció</w:t>
      </w:r>
      <w:r w:rsidR="000609C4" w:rsidRPr="00BF20FA">
        <w:rPr>
          <w:rFonts w:asciiTheme="majorHAnsi" w:hAnsiTheme="majorHAnsi"/>
          <w:color w:val="000000" w:themeColor="text1"/>
          <w:sz w:val="20"/>
          <w:szCs w:val="20"/>
          <w:lang w:val="es-ES_tradnl"/>
        </w:rPr>
        <w:t xml:space="preserve"> ante la opinión pública</w:t>
      </w:r>
      <w:r w:rsidRPr="00BF20FA">
        <w:rPr>
          <w:rFonts w:asciiTheme="majorHAnsi" w:hAnsiTheme="majorHAnsi"/>
          <w:color w:val="000000" w:themeColor="text1"/>
          <w:sz w:val="20"/>
          <w:szCs w:val="20"/>
          <w:lang w:val="es-ES_tradnl"/>
        </w:rPr>
        <w:t>:</w:t>
      </w:r>
    </w:p>
    <w:p w14:paraId="33FE22F7" w14:textId="77777777" w:rsidR="005B7367" w:rsidRPr="00BF20FA" w:rsidRDefault="005B7367" w:rsidP="0070505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810"/>
        <w:jc w:val="both"/>
        <w:rPr>
          <w:rFonts w:asciiTheme="majorHAnsi" w:hAnsiTheme="majorHAnsi"/>
          <w:color w:val="000000" w:themeColor="text1"/>
          <w:sz w:val="20"/>
          <w:szCs w:val="20"/>
          <w:lang w:val="es-ES_tradnl"/>
        </w:rPr>
      </w:pPr>
    </w:p>
    <w:p w14:paraId="37903A6B" w14:textId="77777777" w:rsidR="006A3D46" w:rsidRPr="00BF20FA" w:rsidRDefault="00F75937" w:rsidP="00426744">
      <w:pPr>
        <w:pStyle w:val="ListParagraph"/>
        <w:ind w:left="360" w:right="360"/>
        <w:jc w:val="both"/>
        <w:rPr>
          <w:rFonts w:asciiTheme="majorHAnsi" w:hAnsiTheme="majorHAnsi"/>
          <w:color w:val="000000" w:themeColor="text1"/>
          <w:sz w:val="18"/>
          <w:szCs w:val="18"/>
          <w:lang w:val="es-ES_tradnl"/>
        </w:rPr>
      </w:pPr>
      <w:r w:rsidRPr="00BF20FA">
        <w:rPr>
          <w:rFonts w:asciiTheme="majorHAnsi" w:hAnsiTheme="majorHAnsi"/>
          <w:color w:val="000000" w:themeColor="text1"/>
          <w:sz w:val="18"/>
          <w:szCs w:val="18"/>
          <w:lang w:val="es-ES"/>
        </w:rPr>
        <w:t xml:space="preserve">[…] </w:t>
      </w:r>
      <w:r w:rsidR="000609C4" w:rsidRPr="00BF20FA">
        <w:rPr>
          <w:rFonts w:asciiTheme="majorHAnsi" w:hAnsiTheme="majorHAnsi"/>
          <w:color w:val="000000" w:themeColor="text1"/>
          <w:sz w:val="18"/>
          <w:szCs w:val="18"/>
          <w:lang w:val="es-ES"/>
        </w:rPr>
        <w:t>a</w:t>
      </w:r>
      <w:r w:rsidR="006A3D46" w:rsidRPr="00BF20FA">
        <w:rPr>
          <w:rFonts w:asciiTheme="majorHAnsi" w:hAnsiTheme="majorHAnsi"/>
          <w:color w:val="000000" w:themeColor="text1"/>
          <w:sz w:val="18"/>
          <w:szCs w:val="18"/>
          <w:lang w:val="es-ES_tradnl"/>
        </w:rPr>
        <w:t xml:space="preserve"> las Fuerzas Armadas Revolucionarias de Colombia por las acciones que han tomado contra el pueblo U’wa; como la intimidación armada contra indígenas de nuestras comunidades en los pasados meses, el ataque a la casa del señor Carlos Tegra Uncaria; y la detención, secuestro y posterior asesinato de nuestras hermanas y hermano activistas, Terence Freitas, Ingrid Washinawatock, and Lahe’ena’e Gay, quienes </w:t>
      </w:r>
      <w:r w:rsidR="00331A97" w:rsidRPr="00BF20FA">
        <w:rPr>
          <w:rFonts w:asciiTheme="majorHAnsi" w:hAnsiTheme="majorHAnsi"/>
          <w:color w:val="000000" w:themeColor="text1"/>
          <w:sz w:val="18"/>
          <w:szCs w:val="18"/>
          <w:lang w:val="es-ES_tradnl"/>
        </w:rPr>
        <w:t>defendieron</w:t>
      </w:r>
      <w:r w:rsidR="006A3D46" w:rsidRPr="00BF20FA">
        <w:rPr>
          <w:rFonts w:asciiTheme="majorHAnsi" w:hAnsiTheme="majorHAnsi"/>
          <w:color w:val="000000" w:themeColor="text1"/>
          <w:sz w:val="18"/>
          <w:szCs w:val="18"/>
          <w:lang w:val="es-ES_tradnl"/>
        </w:rPr>
        <w:t xml:space="preserve"> nuestras causas de una manera humanitaria.</w:t>
      </w:r>
    </w:p>
    <w:p w14:paraId="331DF44D" w14:textId="77777777" w:rsidR="00A72B55" w:rsidRPr="00BF20FA" w:rsidRDefault="00A72B55" w:rsidP="00426744">
      <w:pPr>
        <w:pStyle w:val="ListParagraph"/>
        <w:ind w:left="360" w:right="360"/>
        <w:jc w:val="both"/>
        <w:rPr>
          <w:rFonts w:asciiTheme="majorHAnsi" w:hAnsiTheme="majorHAnsi"/>
          <w:color w:val="000000" w:themeColor="text1"/>
          <w:sz w:val="20"/>
          <w:szCs w:val="20"/>
          <w:lang w:val="es-ES_tradnl"/>
        </w:rPr>
      </w:pPr>
    </w:p>
    <w:p w14:paraId="1F31EC77" w14:textId="77777777" w:rsidR="006A3D46" w:rsidRPr="00BF20FA" w:rsidRDefault="006A3D46" w:rsidP="00426744">
      <w:pPr>
        <w:pStyle w:val="ListParagraph"/>
        <w:ind w:left="360" w:right="360"/>
        <w:jc w:val="both"/>
        <w:rPr>
          <w:rFonts w:asciiTheme="majorHAnsi" w:hAnsiTheme="majorHAnsi"/>
          <w:color w:val="000000" w:themeColor="text1"/>
          <w:sz w:val="18"/>
          <w:szCs w:val="18"/>
          <w:lang w:val="es-ES_tradnl"/>
        </w:rPr>
      </w:pPr>
      <w:r w:rsidRPr="00BF20FA">
        <w:rPr>
          <w:rFonts w:asciiTheme="majorHAnsi" w:hAnsiTheme="majorHAnsi"/>
          <w:color w:val="000000" w:themeColor="text1"/>
          <w:sz w:val="18"/>
          <w:szCs w:val="18"/>
          <w:lang w:val="es-ES_tradnl"/>
        </w:rPr>
        <w:lastRenderedPageBreak/>
        <w:t>El 19 de enero hubo una fuerte militarización en Ceden en nuestra propiedad, donde nuestros hermanos U’wa fueron rodeados por soldados y Policías antimotines de Norte de Santander, y abusados física y psicológicamente, y sus biene</w:t>
      </w:r>
      <w:r w:rsidR="00495780" w:rsidRPr="00BF20FA">
        <w:rPr>
          <w:rFonts w:asciiTheme="majorHAnsi" w:hAnsiTheme="majorHAnsi"/>
          <w:color w:val="000000" w:themeColor="text1"/>
          <w:sz w:val="18"/>
          <w:szCs w:val="18"/>
          <w:lang w:val="es-ES_tradnl"/>
        </w:rPr>
        <w:t>s personales fueron destruidos</w:t>
      </w:r>
      <w:r w:rsidR="000609C4" w:rsidRPr="00BF20FA">
        <w:rPr>
          <w:rStyle w:val="FootnoteReference"/>
          <w:rFonts w:asciiTheme="majorHAnsi" w:hAnsiTheme="majorHAnsi"/>
          <w:color w:val="000000" w:themeColor="text1"/>
          <w:sz w:val="18"/>
          <w:szCs w:val="18"/>
          <w:lang w:val="es-ES_tradnl"/>
        </w:rPr>
        <w:footnoteReference w:id="105"/>
      </w:r>
      <w:r w:rsidRPr="00BF20FA">
        <w:rPr>
          <w:rFonts w:asciiTheme="majorHAnsi" w:hAnsiTheme="majorHAnsi"/>
          <w:color w:val="000000" w:themeColor="text1"/>
          <w:sz w:val="18"/>
          <w:szCs w:val="18"/>
          <w:lang w:val="es-ES_tradnl"/>
        </w:rPr>
        <w:t>.</w:t>
      </w:r>
    </w:p>
    <w:p w14:paraId="59495770" w14:textId="77777777" w:rsidR="00382AC4" w:rsidRPr="00BF20FA" w:rsidRDefault="00382AC4" w:rsidP="00382AC4">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ES_tradnl"/>
        </w:rPr>
      </w:pPr>
    </w:p>
    <w:p w14:paraId="6DAC4518" w14:textId="77777777" w:rsidR="00382AC4" w:rsidRPr="00BF20FA" w:rsidRDefault="00382AC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CO"/>
        </w:rPr>
        <w:t>Mediante comunicado ante la opinión pública de 31 de enero de 2000 el pueblo U’wa y Guajibo denunciaron ‘‘la fuerte militarización realizada el día 19 de los corrientes en Cedeño en predios que son de nuestra propiedad donde fueron acordonados hermanos U’was, por efectivos del ejército de la policía antimotines Norte de Santander, quienes maltrataron física y sicológicamente a los compañeros indígenas que se encontraban allí, destruyendo bienes y enseres que eran nuestros’’</w:t>
      </w:r>
      <w:r w:rsidRPr="00BF20FA">
        <w:rPr>
          <w:rFonts w:asciiTheme="majorHAnsi" w:hAnsiTheme="majorHAnsi"/>
          <w:sz w:val="20"/>
          <w:szCs w:val="20"/>
          <w:vertAlign w:val="superscript"/>
          <w:lang w:val="es-CO"/>
        </w:rPr>
        <w:footnoteReference w:id="106"/>
      </w:r>
      <w:r w:rsidRPr="00BF20FA">
        <w:rPr>
          <w:rFonts w:asciiTheme="majorHAnsi" w:hAnsiTheme="majorHAnsi"/>
          <w:b/>
          <w:color w:val="000000" w:themeColor="text1"/>
          <w:sz w:val="20"/>
          <w:szCs w:val="20"/>
          <w:lang w:val="es-CO"/>
        </w:rPr>
        <w:t>.</w:t>
      </w:r>
    </w:p>
    <w:p w14:paraId="04E388A8" w14:textId="77777777" w:rsidR="00382AC4" w:rsidRPr="00BF20FA" w:rsidRDefault="00382AC4" w:rsidP="00E755D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ES_tradnl"/>
        </w:rPr>
      </w:pPr>
    </w:p>
    <w:p w14:paraId="27FE4DE7" w14:textId="139F48D0" w:rsidR="00382AC4" w:rsidRPr="00BF20FA" w:rsidRDefault="00382AC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CO"/>
        </w:rPr>
        <w:t>Mediante comunicado de 2 de febrero de 2000 el Cabildo Mayor U’wa denunció que</w:t>
      </w:r>
      <w:r w:rsidR="00D74CE8"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‘‘el 19 de enero de 2000 más de 2000 soldados del Ejército armados invadieron nuestro territorio tradicional, exactamente en Cedeno, donde está situado el sitio de perforación petrolera de la Oxy, Gibraltar 1’’</w:t>
      </w:r>
      <w:r w:rsidRPr="00BF20FA">
        <w:rPr>
          <w:rFonts w:asciiTheme="majorHAnsi" w:hAnsiTheme="majorHAnsi"/>
          <w:sz w:val="20"/>
          <w:szCs w:val="20"/>
          <w:vertAlign w:val="superscript"/>
          <w:lang w:val="es-CO"/>
        </w:rPr>
        <w:footnoteReference w:id="107"/>
      </w:r>
      <w:r w:rsidRPr="00BF20FA">
        <w:rPr>
          <w:rFonts w:asciiTheme="majorHAnsi" w:hAnsiTheme="majorHAnsi"/>
          <w:color w:val="000000" w:themeColor="text1"/>
          <w:sz w:val="20"/>
          <w:szCs w:val="20"/>
          <w:lang w:val="es-CO"/>
        </w:rPr>
        <w:t>.</w:t>
      </w:r>
    </w:p>
    <w:p w14:paraId="61FF6B96" w14:textId="77777777" w:rsidR="00382AC4" w:rsidRPr="00BF20FA" w:rsidRDefault="00382AC4" w:rsidP="00E755D9">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jc w:val="both"/>
        <w:rPr>
          <w:rFonts w:asciiTheme="majorHAnsi" w:hAnsiTheme="majorHAnsi"/>
          <w:color w:val="000000" w:themeColor="text1"/>
          <w:sz w:val="20"/>
          <w:szCs w:val="20"/>
          <w:lang w:val="es-ES_tradnl"/>
        </w:rPr>
      </w:pPr>
    </w:p>
    <w:p w14:paraId="1ECF3D13" w14:textId="2C5C8339" w:rsidR="00382AC4" w:rsidRPr="00BF20FA" w:rsidRDefault="00382AC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CO"/>
        </w:rPr>
        <w:t>Mediante comunicado a la opinión pública del 4 de febrero del 2000, el “Comité Colombia es U’wa”  denunció que el 3 de febrero en el marco de un ritual llamado ‘‘Grito y rito por los Pueblos Indígenas U’wa y Embera’’ llevado a cabo por sus integrantes en las puertas del Ministerio de Medio Ambiente en la ciudad de Bogotá, ‘‘efectivos de las fuerzas armadas del Ejército colombiano penetraron e invadieron el territorio del Resguardo Unido U’wa y ahora impiden la entrada de alimentos y medicamentos para los indígenas que viven dentro del resguardo y no permiten la libre movilización de la comunidad U’wa‘’</w:t>
      </w:r>
      <w:r w:rsidRPr="00BF20FA">
        <w:rPr>
          <w:rStyle w:val="FootnoteReference"/>
          <w:rFonts w:asciiTheme="majorHAnsi" w:hAnsiTheme="majorHAnsi"/>
          <w:color w:val="000000" w:themeColor="text1"/>
          <w:sz w:val="20"/>
          <w:szCs w:val="20"/>
          <w:lang w:val="es-CO"/>
        </w:rPr>
        <w:footnoteReference w:id="108"/>
      </w:r>
      <w:r w:rsidRPr="00BF20FA">
        <w:rPr>
          <w:rFonts w:asciiTheme="majorHAnsi" w:hAnsiTheme="majorHAnsi"/>
          <w:color w:val="000000" w:themeColor="text1"/>
          <w:sz w:val="20"/>
          <w:szCs w:val="20"/>
          <w:lang w:val="es-CO"/>
        </w:rPr>
        <w:t>.</w:t>
      </w:r>
    </w:p>
    <w:p w14:paraId="0F66C4BE" w14:textId="77777777" w:rsidR="00382AC4" w:rsidRPr="00BF20FA" w:rsidRDefault="00382AC4" w:rsidP="00E755D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ES_tradnl"/>
        </w:rPr>
      </w:pPr>
    </w:p>
    <w:p w14:paraId="74966165" w14:textId="77777777" w:rsidR="006A3D46" w:rsidRPr="00BF20FA" w:rsidRDefault="00E24CC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ES_tradnl"/>
        </w:rPr>
        <w:t>L</w:t>
      </w:r>
      <w:r w:rsidR="006A3D46" w:rsidRPr="00BF20FA">
        <w:rPr>
          <w:rFonts w:asciiTheme="majorHAnsi" w:hAnsiTheme="majorHAnsi"/>
          <w:color w:val="000000" w:themeColor="text1"/>
          <w:sz w:val="20"/>
          <w:szCs w:val="20"/>
          <w:lang w:val="es-ES_tradnl"/>
        </w:rPr>
        <w:t>a ASOU’WA y el Con</w:t>
      </w:r>
      <w:r w:rsidR="007407C8" w:rsidRPr="00BF20FA">
        <w:rPr>
          <w:rFonts w:asciiTheme="majorHAnsi" w:hAnsiTheme="majorHAnsi"/>
          <w:color w:val="000000" w:themeColor="text1"/>
          <w:sz w:val="20"/>
          <w:szCs w:val="20"/>
          <w:lang w:val="es-ES_tradnl"/>
        </w:rPr>
        <w:t>sejo Regional CRIA, denunciaron</w:t>
      </w:r>
      <w:r w:rsidR="006A3D46" w:rsidRPr="00BF20FA">
        <w:rPr>
          <w:rFonts w:asciiTheme="majorHAnsi" w:hAnsiTheme="majorHAnsi"/>
          <w:color w:val="000000" w:themeColor="text1"/>
          <w:sz w:val="20"/>
          <w:szCs w:val="20"/>
          <w:lang w:val="es-ES_tradnl"/>
        </w:rPr>
        <w:t>:</w:t>
      </w:r>
    </w:p>
    <w:p w14:paraId="48235E9F" w14:textId="77777777" w:rsidR="00A72B55" w:rsidRPr="00BF20FA" w:rsidRDefault="00A72B55" w:rsidP="0070505A">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810"/>
        <w:jc w:val="both"/>
        <w:rPr>
          <w:rFonts w:asciiTheme="majorHAnsi" w:hAnsiTheme="majorHAnsi"/>
          <w:color w:val="000000" w:themeColor="text1"/>
          <w:sz w:val="20"/>
          <w:szCs w:val="20"/>
          <w:lang w:val="es-ES_tradnl"/>
        </w:rPr>
      </w:pPr>
    </w:p>
    <w:p w14:paraId="0FF1C837" w14:textId="77777777" w:rsidR="006A3D46" w:rsidRPr="00BF20FA" w:rsidRDefault="006A3D46" w:rsidP="00426744">
      <w:pPr>
        <w:pStyle w:val="ListParagraph"/>
        <w:ind w:left="360" w:right="360"/>
        <w:jc w:val="both"/>
        <w:rPr>
          <w:rFonts w:asciiTheme="majorHAnsi" w:hAnsiTheme="majorHAnsi"/>
          <w:color w:val="000000" w:themeColor="text1"/>
          <w:sz w:val="18"/>
          <w:szCs w:val="18"/>
          <w:lang w:val="es-ES_tradnl"/>
        </w:rPr>
      </w:pPr>
      <w:r w:rsidRPr="00BF20FA">
        <w:rPr>
          <w:rFonts w:asciiTheme="majorHAnsi" w:hAnsiTheme="majorHAnsi"/>
          <w:color w:val="000000" w:themeColor="text1"/>
          <w:sz w:val="18"/>
          <w:szCs w:val="18"/>
          <w:lang w:val="es-ES_tradnl"/>
        </w:rPr>
        <w:t xml:space="preserve">Hoy viernes 11 de febrero del 2000, siendo las 8:15 a.m., arribaron fuerzas mixtas de policía y ejército que fueron trasladados por vía aérea, al sitio de las Canoas, aproximadamente 4 </w:t>
      </w:r>
      <w:r w:rsidR="00331A97" w:rsidRPr="00BF20FA">
        <w:rPr>
          <w:rFonts w:asciiTheme="majorHAnsi" w:hAnsiTheme="majorHAnsi"/>
          <w:color w:val="000000" w:themeColor="text1"/>
          <w:sz w:val="18"/>
          <w:szCs w:val="18"/>
          <w:lang w:val="es-ES_tradnl"/>
        </w:rPr>
        <w:t>kilómetros</w:t>
      </w:r>
      <w:r w:rsidRPr="00BF20FA">
        <w:rPr>
          <w:rFonts w:asciiTheme="majorHAnsi" w:hAnsiTheme="majorHAnsi"/>
          <w:color w:val="000000" w:themeColor="text1"/>
          <w:sz w:val="18"/>
          <w:szCs w:val="18"/>
          <w:lang w:val="es-ES_tradnl"/>
        </w:rPr>
        <w:t xml:space="preserve"> de Gibraltar (Norte de Santander), lugar donde nos encontrábamos concentrados alrededor de 450 indígenas entre mujeres, niños, ancianos de la comunidad U’wa. La fuerza pública sin ningún aviso, procedió a desplazarnos forzosamente a las comunidades, con maquinaria pesada y gases lacrimógenos; obligándonos a lanzarnos al río del Cubujón, debido a la persecución y hechos de fuerza, quedaron como consecuencia de estos atropellos 3 niños indígenas muertos, niños y mujeres heridos y contusos, a los igual indígenas desaparecidos</w:t>
      </w:r>
      <w:r w:rsidRPr="00BF20FA">
        <w:rPr>
          <w:rStyle w:val="FootnoteReference"/>
          <w:rFonts w:asciiTheme="majorHAnsi" w:hAnsiTheme="majorHAnsi"/>
          <w:color w:val="000000" w:themeColor="text1"/>
          <w:sz w:val="18"/>
          <w:szCs w:val="18"/>
          <w:lang w:val="es-ES_tradnl"/>
        </w:rPr>
        <w:footnoteReference w:id="109"/>
      </w:r>
      <w:r w:rsidRPr="00BF20FA">
        <w:rPr>
          <w:rFonts w:asciiTheme="majorHAnsi" w:hAnsiTheme="majorHAnsi"/>
          <w:color w:val="000000" w:themeColor="text1"/>
          <w:sz w:val="18"/>
          <w:szCs w:val="18"/>
          <w:lang w:val="es-ES_tradnl"/>
        </w:rPr>
        <w:t xml:space="preserve"> .</w:t>
      </w:r>
    </w:p>
    <w:p w14:paraId="499AA046" w14:textId="77777777" w:rsidR="00E35C30" w:rsidRPr="00BF20FA" w:rsidRDefault="00E35C30" w:rsidP="00A9347F">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ES_tradnl"/>
        </w:rPr>
      </w:pPr>
    </w:p>
    <w:p w14:paraId="4C038368" w14:textId="4058D26E" w:rsidR="006A3D46"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CO"/>
        </w:rPr>
        <w:t xml:space="preserve">El 15 de febrero de 2000 el periódico </w:t>
      </w:r>
      <w:r w:rsidR="00A17659"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El Tiempo</w:t>
      </w:r>
      <w:r w:rsidR="00A17659"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señaló que ‘‘un paro agrario comenzó ayer en Arauca por la muerte de cuatro niños U’</w:t>
      </w:r>
      <w:r w:rsidR="003E346E" w:rsidRPr="00BF20FA">
        <w:rPr>
          <w:rFonts w:asciiTheme="majorHAnsi" w:hAnsiTheme="majorHAnsi"/>
          <w:color w:val="000000" w:themeColor="text1"/>
          <w:sz w:val="20"/>
          <w:szCs w:val="20"/>
          <w:lang w:val="es-CO"/>
        </w:rPr>
        <w:t>w</w:t>
      </w:r>
      <w:r w:rsidRPr="00BF20FA">
        <w:rPr>
          <w:rFonts w:asciiTheme="majorHAnsi" w:hAnsiTheme="majorHAnsi"/>
          <w:color w:val="000000" w:themeColor="text1"/>
          <w:sz w:val="20"/>
          <w:szCs w:val="20"/>
          <w:lang w:val="es-CO"/>
        </w:rPr>
        <w:t>a durante un desalojo que realizó el pasado vie</w:t>
      </w:r>
      <w:r w:rsidR="003E346E" w:rsidRPr="00BF20FA">
        <w:rPr>
          <w:rFonts w:asciiTheme="majorHAnsi" w:hAnsiTheme="majorHAnsi"/>
          <w:color w:val="000000" w:themeColor="text1"/>
          <w:sz w:val="20"/>
          <w:szCs w:val="20"/>
          <w:lang w:val="es-CO"/>
        </w:rPr>
        <w:t>r</w:t>
      </w:r>
      <w:r w:rsidRPr="00BF20FA">
        <w:rPr>
          <w:rFonts w:asciiTheme="majorHAnsi" w:hAnsiTheme="majorHAnsi"/>
          <w:color w:val="000000" w:themeColor="text1"/>
          <w:sz w:val="20"/>
          <w:szCs w:val="20"/>
          <w:lang w:val="es-CO"/>
        </w:rPr>
        <w:t>nes</w:t>
      </w:r>
      <w:r w:rsidR="00C74843"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la Policía en el sector de Cedeño (Norte de Santander), donde protestaban los indígenas por la exploración</w:t>
      </w:r>
      <w:r w:rsidR="00A17659" w:rsidRPr="00BF20FA">
        <w:rPr>
          <w:rFonts w:asciiTheme="majorHAnsi" w:hAnsiTheme="majorHAnsi"/>
          <w:color w:val="000000" w:themeColor="text1"/>
          <w:sz w:val="20"/>
          <w:szCs w:val="20"/>
          <w:lang w:val="es-CO"/>
        </w:rPr>
        <w:t xml:space="preserve"> petrolera en el bloque Samoré [</w:t>
      </w:r>
      <w:r w:rsidRPr="00BF20FA">
        <w:rPr>
          <w:rFonts w:asciiTheme="majorHAnsi" w:hAnsiTheme="majorHAnsi"/>
          <w:color w:val="000000" w:themeColor="text1"/>
          <w:sz w:val="20"/>
          <w:szCs w:val="20"/>
          <w:lang w:val="es-CO"/>
        </w:rPr>
        <w:t>…</w:t>
      </w:r>
      <w:r w:rsidR="00A17659" w:rsidRPr="00BF20FA">
        <w:rPr>
          <w:rFonts w:asciiTheme="majorHAnsi" w:hAnsiTheme="majorHAnsi"/>
          <w:color w:val="000000" w:themeColor="text1"/>
          <w:sz w:val="20"/>
          <w:szCs w:val="20"/>
          <w:lang w:val="es-CO"/>
        </w:rPr>
        <w:t>]</w:t>
      </w:r>
      <w:r w:rsidRPr="00BF20FA">
        <w:rPr>
          <w:rFonts w:asciiTheme="majorHAnsi" w:hAnsiTheme="majorHAnsi"/>
          <w:color w:val="000000" w:themeColor="text1"/>
          <w:sz w:val="20"/>
          <w:szCs w:val="20"/>
          <w:lang w:val="es-CO"/>
        </w:rPr>
        <w:t xml:space="preserve"> La ONG ‘Joel Sierra’ de Saravena reveló que se halló el cadáver de la niña Nury Bócota, de cuatro meses, hija de Pastor y Gloria Bócota. La menor murió al caer a las aguas del río cuando era cargada en las espaldas de otra jovencita. El organismo informó que en los hechos también murieron los guahibos de</w:t>
      </w:r>
      <w:r w:rsidR="00A17659"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la comunidad de Genareros (Tame), Jorde Anicuta, de 10 años y Mauricio Días de 0, y una niña de cuatro meses, cuya identidad aún no se conoce, estos cuerpos todavía no han sido hallados. Milton Salazar, integrante del Consejo Regional Indigenista de Arauca (Cria), dijo que en el casco urbano de Cubará (Boyacá) permanecen unos 500 nativos de los que fueron desalojados del sitio Las Canoas’’</w:t>
      </w:r>
      <w:r w:rsidRPr="00BF20FA">
        <w:rPr>
          <w:rFonts w:asciiTheme="majorHAnsi" w:hAnsiTheme="majorHAnsi"/>
          <w:sz w:val="20"/>
          <w:szCs w:val="20"/>
          <w:vertAlign w:val="superscript"/>
          <w:lang w:val="es-CO"/>
        </w:rPr>
        <w:footnoteReference w:id="110"/>
      </w:r>
      <w:r w:rsidR="003E346E" w:rsidRPr="00BF20FA">
        <w:rPr>
          <w:rFonts w:asciiTheme="majorHAnsi" w:hAnsiTheme="majorHAnsi"/>
          <w:b/>
          <w:color w:val="000000" w:themeColor="text1"/>
          <w:sz w:val="20"/>
          <w:szCs w:val="20"/>
          <w:lang w:val="es-CO"/>
        </w:rPr>
        <w:t>.</w:t>
      </w:r>
    </w:p>
    <w:p w14:paraId="3DD50ECA" w14:textId="77777777" w:rsidR="00F159F0" w:rsidRPr="00BF20FA" w:rsidRDefault="00F159F0" w:rsidP="004F2184">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ES_tradnl"/>
        </w:rPr>
      </w:pPr>
    </w:p>
    <w:p w14:paraId="31A52557" w14:textId="77777777" w:rsidR="006C04A9" w:rsidRPr="00BF20FA" w:rsidRDefault="006C04A9"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eastAsia="Calibri" w:hAnsiTheme="majorHAnsi"/>
          <w:b/>
          <w:sz w:val="20"/>
          <w:szCs w:val="20"/>
          <w:bdr w:val="none" w:sz="0" w:space="0" w:color="auto"/>
          <w:lang w:val="es-VE"/>
        </w:rPr>
      </w:pPr>
      <w:r w:rsidRPr="00BF20FA">
        <w:rPr>
          <w:rFonts w:asciiTheme="majorHAnsi" w:hAnsiTheme="majorHAnsi"/>
          <w:color w:val="000000" w:themeColor="text1"/>
          <w:sz w:val="20"/>
          <w:szCs w:val="20"/>
          <w:lang w:val="es-ES_tradnl"/>
        </w:rPr>
        <w:t>Al respecto, el Estado, a través de l</w:t>
      </w:r>
      <w:r w:rsidR="00756DB2" w:rsidRPr="00BF20FA">
        <w:rPr>
          <w:rFonts w:asciiTheme="majorHAnsi" w:hAnsiTheme="majorHAnsi"/>
          <w:color w:val="000000" w:themeColor="text1"/>
          <w:sz w:val="20"/>
          <w:szCs w:val="20"/>
          <w:lang w:val="es-ES_tradnl"/>
        </w:rPr>
        <w:t>a Dirección de Asuntos Internacionales de la Fiscalía General de la Nación</w:t>
      </w:r>
      <w:r w:rsidRPr="00BF20FA">
        <w:rPr>
          <w:rFonts w:asciiTheme="majorHAnsi" w:hAnsiTheme="majorHAnsi"/>
          <w:color w:val="000000" w:themeColor="text1"/>
          <w:sz w:val="20"/>
          <w:szCs w:val="20"/>
          <w:lang w:val="es-ES_tradnl"/>
        </w:rPr>
        <w:t>,</w:t>
      </w:r>
      <w:r w:rsidR="00756DB2" w:rsidRPr="00BF20FA">
        <w:rPr>
          <w:rFonts w:asciiTheme="majorHAnsi" w:hAnsiTheme="majorHAnsi"/>
          <w:color w:val="000000" w:themeColor="text1"/>
          <w:sz w:val="20"/>
          <w:szCs w:val="20"/>
          <w:lang w:val="es-ES_tradnl"/>
        </w:rPr>
        <w:t xml:space="preserve"> informó</w:t>
      </w:r>
      <w:r w:rsidR="0070505A" w:rsidRPr="00BF20FA">
        <w:rPr>
          <w:rFonts w:asciiTheme="majorHAnsi" w:hAnsiTheme="majorHAnsi"/>
          <w:color w:val="000000" w:themeColor="text1"/>
          <w:sz w:val="20"/>
          <w:szCs w:val="20"/>
          <w:lang w:val="es-ES_tradnl"/>
        </w:rPr>
        <w:t xml:space="preserve"> a la CIDH</w:t>
      </w:r>
      <w:r w:rsidR="00756DB2" w:rsidRPr="00BF20FA">
        <w:rPr>
          <w:rFonts w:asciiTheme="majorHAnsi" w:hAnsiTheme="majorHAnsi"/>
          <w:color w:val="000000" w:themeColor="text1"/>
          <w:sz w:val="20"/>
          <w:szCs w:val="20"/>
          <w:lang w:val="es-ES_tradnl"/>
        </w:rPr>
        <w:t xml:space="preserve"> que ‘‘se denunció el homicidio de KENOWIA BOCOTA, JORGE NICETO Y MAURICIO DIAZ, así como también la desaparición de GUSTAVO DELGADO, NELSÓN DOAZ, EDGAR DÍAZ, ELEONOR HERRERA, LUZ HELENA HERRERA, EDGAR DIAZ, WILSON HERRERA, ANTONIO DELGADO, FREDY DIAZ y </w:t>
      </w:r>
      <w:r w:rsidR="00756DB2" w:rsidRPr="00BF20FA">
        <w:rPr>
          <w:rFonts w:asciiTheme="majorHAnsi" w:hAnsiTheme="majorHAnsi"/>
          <w:color w:val="000000" w:themeColor="text1"/>
          <w:sz w:val="20"/>
          <w:szCs w:val="20"/>
          <w:lang w:val="es-ES_tradnl"/>
        </w:rPr>
        <w:lastRenderedPageBreak/>
        <w:t>ALFREDO DIAZ</w:t>
      </w:r>
      <w:r w:rsidR="00612CEF" w:rsidRPr="00BF20FA">
        <w:rPr>
          <w:rFonts w:asciiTheme="majorHAnsi" w:hAnsiTheme="majorHAnsi"/>
          <w:color w:val="000000" w:themeColor="text1"/>
          <w:sz w:val="20"/>
          <w:szCs w:val="20"/>
          <w:lang w:val="es-ES_tradnl"/>
        </w:rPr>
        <w:t xml:space="preserve"> </w:t>
      </w:r>
      <w:r w:rsidRPr="00BF20FA">
        <w:rPr>
          <w:rFonts w:asciiTheme="majorHAnsi" w:hAnsiTheme="majorHAnsi"/>
          <w:color w:val="000000" w:themeColor="text1"/>
          <w:sz w:val="20"/>
          <w:szCs w:val="20"/>
          <w:lang w:val="es-ES_tradnl"/>
        </w:rPr>
        <w:t>[…]</w:t>
      </w:r>
      <w:r w:rsidR="00756DB2" w:rsidRPr="00BF20FA">
        <w:rPr>
          <w:rFonts w:asciiTheme="majorHAnsi" w:hAnsiTheme="majorHAnsi"/>
          <w:color w:val="000000" w:themeColor="text1"/>
          <w:sz w:val="20"/>
          <w:szCs w:val="20"/>
          <w:lang w:val="es-ES_tradnl"/>
        </w:rPr>
        <w:t>. De lo cual se puede concluir que el menor KENOWIA BOCOTA, no falleció por los hechos materia de estudio, sino por el descuido de sus padres quienes le entregaron la bebé a otra menor de edad, y ésta se dirigió al río y allí se ahogó aquella, afirmación que hacen los mismos progenitores. Ahora de los menores JORGE NICETO y MAURICIO DIAZ, se tiene que ellos no fallecieron, y de GUSTAVO DELGADO, NELSON DIAZ, EDGAR DIAZ, ELEONOR HERRERA, LUZ HELENA HERRERA, EDGAR DIAZ, WILSON HERRERA, WILSON DIAZ, ANTONIO DELGADO, FREDY DIAZ y ALFREDO DIAZ, que no desaparecieron. Ello según lo indicado por el Presidente de Etnia Guahiba, y otros testigos de los hechos y miembros de la comunidad</w:t>
      </w:r>
      <w:r w:rsidR="00A17659" w:rsidRPr="00BF20FA">
        <w:rPr>
          <w:rFonts w:asciiTheme="majorHAnsi" w:hAnsiTheme="majorHAnsi"/>
          <w:color w:val="000000" w:themeColor="text1"/>
          <w:sz w:val="20"/>
          <w:szCs w:val="20"/>
          <w:lang w:val="es-ES_tradnl"/>
        </w:rPr>
        <w:t xml:space="preserve"> […]</w:t>
      </w:r>
      <w:r w:rsidR="00756DB2" w:rsidRPr="00BF20FA">
        <w:rPr>
          <w:rFonts w:asciiTheme="majorHAnsi" w:hAnsiTheme="majorHAnsi"/>
          <w:color w:val="000000" w:themeColor="text1"/>
          <w:sz w:val="20"/>
          <w:szCs w:val="20"/>
          <w:lang w:val="es-ES_tradnl"/>
        </w:rPr>
        <w:t>’’</w:t>
      </w:r>
      <w:r w:rsidR="00756DB2" w:rsidRPr="00BF20FA">
        <w:rPr>
          <w:rStyle w:val="FootnoteReference"/>
          <w:rFonts w:asciiTheme="majorHAnsi" w:hAnsiTheme="majorHAnsi"/>
          <w:color w:val="000000" w:themeColor="text1"/>
          <w:sz w:val="20"/>
          <w:szCs w:val="20"/>
          <w:lang w:val="es-ES_tradnl"/>
        </w:rPr>
        <w:footnoteReference w:id="111"/>
      </w:r>
      <w:r w:rsidR="0078274A" w:rsidRPr="00BF20FA">
        <w:rPr>
          <w:rFonts w:asciiTheme="majorHAnsi" w:hAnsiTheme="majorHAnsi"/>
          <w:color w:val="000000" w:themeColor="text1"/>
          <w:sz w:val="20"/>
          <w:szCs w:val="20"/>
          <w:lang w:val="es-ES_tradnl"/>
        </w:rPr>
        <w:t>.</w:t>
      </w:r>
      <w:r w:rsidRPr="00BF20FA">
        <w:rPr>
          <w:rFonts w:asciiTheme="majorHAnsi" w:hAnsiTheme="majorHAnsi"/>
          <w:color w:val="000000" w:themeColor="text1"/>
          <w:sz w:val="20"/>
          <w:szCs w:val="20"/>
          <w:lang w:val="es-ES_tradnl"/>
        </w:rPr>
        <w:t xml:space="preserve"> Así, el Estado informó que </w:t>
      </w:r>
      <w:r w:rsidRPr="00BF20FA">
        <w:rPr>
          <w:rFonts w:asciiTheme="majorHAnsi" w:eastAsia="Calibri" w:hAnsiTheme="majorHAnsi"/>
          <w:sz w:val="20"/>
          <w:szCs w:val="20"/>
          <w:bdr w:val="none" w:sz="0" w:space="0" w:color="auto"/>
          <w:lang w:val="es-VE"/>
        </w:rPr>
        <w:t>como resultado de esta investigación, se profirió resolución inhibitoria el 31 de agosto de 2007.</w:t>
      </w:r>
    </w:p>
    <w:p w14:paraId="279638CC" w14:textId="77777777" w:rsidR="00331385" w:rsidRPr="00BF20FA" w:rsidRDefault="00331385" w:rsidP="00331385">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1440"/>
        </w:tabs>
        <w:jc w:val="both"/>
        <w:rPr>
          <w:rFonts w:asciiTheme="majorHAnsi" w:eastAsia="Calibri" w:hAnsiTheme="majorHAnsi"/>
          <w:b/>
          <w:sz w:val="20"/>
          <w:szCs w:val="20"/>
          <w:bdr w:val="none" w:sz="0" w:space="0" w:color="auto"/>
          <w:lang w:val="es-VE"/>
        </w:rPr>
      </w:pPr>
    </w:p>
    <w:p w14:paraId="490DBACF" w14:textId="10C768A9" w:rsidR="00900784" w:rsidRPr="00BF20FA" w:rsidRDefault="0090078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eastAsia="Calibri" w:hAnsiTheme="majorHAnsi"/>
          <w:b/>
          <w:sz w:val="20"/>
          <w:szCs w:val="20"/>
          <w:bdr w:val="none" w:sz="0" w:space="0" w:color="auto"/>
          <w:lang w:val="es-VE"/>
        </w:rPr>
      </w:pPr>
      <w:r w:rsidRPr="00BF20FA">
        <w:rPr>
          <w:rFonts w:asciiTheme="majorHAnsi" w:hAnsiTheme="majorHAnsi"/>
          <w:color w:val="000000" w:themeColor="text1"/>
          <w:sz w:val="20"/>
          <w:szCs w:val="20"/>
          <w:lang w:val="es-ES_tradnl"/>
        </w:rPr>
        <w:t>En comunicación de 10 de diciembre de 2013, la parte peticionaria afirmó que, en el año 2009, el batallón de alta montaña ocupó y destruyó un lugar sa</w:t>
      </w:r>
      <w:r w:rsidR="008A70EF" w:rsidRPr="00BF20FA">
        <w:rPr>
          <w:rFonts w:asciiTheme="majorHAnsi" w:hAnsiTheme="majorHAnsi"/>
          <w:color w:val="000000" w:themeColor="text1"/>
          <w:sz w:val="20"/>
          <w:szCs w:val="20"/>
          <w:lang w:val="es-ES_tradnl"/>
        </w:rPr>
        <w:t>grado</w:t>
      </w:r>
      <w:r w:rsidR="00D97CCB">
        <w:rPr>
          <w:rFonts w:asciiTheme="majorHAnsi" w:hAnsiTheme="majorHAnsi"/>
          <w:color w:val="000000" w:themeColor="text1"/>
          <w:sz w:val="20"/>
          <w:szCs w:val="20"/>
          <w:lang w:val="es-ES_tradnl"/>
        </w:rPr>
        <w:t>. I</w:t>
      </w:r>
      <w:r w:rsidRPr="00BF20FA">
        <w:rPr>
          <w:rFonts w:asciiTheme="majorHAnsi" w:hAnsiTheme="majorHAnsi"/>
          <w:color w:val="000000" w:themeColor="text1"/>
          <w:sz w:val="20"/>
          <w:szCs w:val="20"/>
          <w:lang w:val="es-ES_tradnl"/>
        </w:rPr>
        <w:t xml:space="preserve">ndicó que las autoridades indígenas presentaron demandas ante la fiscalía en el municipio de Cocuy, sin que hasta esa fecha se tuviera respuesta. Asimismo, afirmó que, a esa fecha, </w:t>
      </w:r>
      <w:r w:rsidRPr="000A5F88">
        <w:rPr>
          <w:rFonts w:asciiTheme="majorHAnsi" w:hAnsiTheme="majorHAnsi"/>
          <w:color w:val="000000" w:themeColor="text1"/>
          <w:sz w:val="20"/>
          <w:szCs w:val="20"/>
          <w:lang w:val="es-CO"/>
        </w:rPr>
        <w:t>las</w:t>
      </w:r>
      <w:r w:rsidRPr="00BF20FA">
        <w:rPr>
          <w:rFonts w:asciiTheme="majorHAnsi" w:hAnsiTheme="majorHAnsi"/>
          <w:color w:val="000000" w:themeColor="text1"/>
          <w:sz w:val="20"/>
          <w:szCs w:val="20"/>
          <w:lang w:val="es-ES_tradnl"/>
        </w:rPr>
        <w:t xml:space="preserve"> fuerzas militares se encontraban ocupando el territorio U´wa con la presencia de una base militar en la comunidad de Tamarana, instalada sin consultar con las autoridades tradicionales y desconociendo la Directiva Ministerial No. 016, que regula la presencia de militares en territorios indígenas</w:t>
      </w:r>
      <w:r w:rsidRPr="00BF20FA">
        <w:rPr>
          <w:rStyle w:val="FootnoteReference"/>
          <w:rFonts w:asciiTheme="majorHAnsi" w:hAnsiTheme="majorHAnsi"/>
          <w:color w:val="000000" w:themeColor="text1"/>
          <w:sz w:val="20"/>
          <w:szCs w:val="20"/>
          <w:lang w:val="es-ES_tradnl"/>
        </w:rPr>
        <w:footnoteReference w:id="112"/>
      </w:r>
      <w:r w:rsidRPr="00BF20FA">
        <w:rPr>
          <w:rFonts w:asciiTheme="majorHAnsi" w:hAnsiTheme="majorHAnsi"/>
          <w:color w:val="000000" w:themeColor="text1"/>
          <w:sz w:val="20"/>
          <w:szCs w:val="20"/>
          <w:lang w:val="es-ES_tradnl"/>
        </w:rPr>
        <w:t xml:space="preserve">. El Estado no presentó información </w:t>
      </w:r>
      <w:r w:rsidR="007E6FBF" w:rsidRPr="00BF20FA">
        <w:rPr>
          <w:rFonts w:asciiTheme="majorHAnsi" w:hAnsiTheme="majorHAnsi"/>
          <w:color w:val="000000" w:themeColor="text1"/>
          <w:sz w:val="20"/>
          <w:szCs w:val="20"/>
          <w:lang w:val="es-ES_tradnl"/>
        </w:rPr>
        <w:t>en contrario</w:t>
      </w:r>
      <w:r w:rsidRPr="00BF20FA">
        <w:rPr>
          <w:rFonts w:asciiTheme="majorHAnsi" w:hAnsiTheme="majorHAnsi"/>
          <w:color w:val="000000" w:themeColor="text1"/>
          <w:sz w:val="20"/>
          <w:szCs w:val="20"/>
          <w:lang w:val="es-ES_tradnl"/>
        </w:rPr>
        <w:t xml:space="preserve">.  </w:t>
      </w:r>
    </w:p>
    <w:p w14:paraId="2EC462BA" w14:textId="77777777" w:rsidR="00756DB2" w:rsidRPr="00BF20FA" w:rsidRDefault="00756DB2" w:rsidP="006C04A9">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0"/>
        <w:jc w:val="both"/>
        <w:rPr>
          <w:rFonts w:asciiTheme="majorHAnsi" w:hAnsiTheme="majorHAnsi"/>
          <w:color w:val="000000" w:themeColor="text1"/>
          <w:sz w:val="20"/>
          <w:szCs w:val="20"/>
          <w:lang w:val="es-ES_tradnl"/>
        </w:rPr>
      </w:pPr>
    </w:p>
    <w:p w14:paraId="3F0C5702" w14:textId="77777777" w:rsidR="006A3D46" w:rsidRPr="00BF20FA" w:rsidRDefault="00644A06" w:rsidP="008F7F9A">
      <w:pPr>
        <w:pStyle w:val="Heading3"/>
        <w:numPr>
          <w:ilvl w:val="0"/>
          <w:numId w:val="67"/>
        </w:numPr>
        <w:tabs>
          <w:tab w:val="left" w:pos="360"/>
        </w:tabs>
        <w:spacing w:before="0" w:after="0"/>
        <w:ind w:left="0" w:firstLine="0"/>
        <w:rPr>
          <w:rFonts w:asciiTheme="majorHAnsi" w:hAnsiTheme="majorHAnsi"/>
          <w:sz w:val="20"/>
          <w:szCs w:val="20"/>
          <w:lang w:val="es-ES_tradnl"/>
        </w:rPr>
      </w:pPr>
      <w:bookmarkStart w:id="29" w:name="_Toc17221569"/>
      <w:r w:rsidRPr="00BF20FA">
        <w:rPr>
          <w:rFonts w:asciiTheme="majorHAnsi" w:hAnsiTheme="majorHAnsi"/>
          <w:sz w:val="20"/>
          <w:szCs w:val="20"/>
          <w:lang w:val="es-ES_tradnl"/>
        </w:rPr>
        <w:t>Secuestro, agresiones y asesinato de indigenistas estadounidenses</w:t>
      </w:r>
      <w:bookmarkEnd w:id="29"/>
      <w:r w:rsidR="00EE0C07" w:rsidRPr="00BF20FA">
        <w:rPr>
          <w:rFonts w:asciiTheme="majorHAnsi" w:hAnsiTheme="majorHAnsi"/>
          <w:sz w:val="20"/>
          <w:szCs w:val="20"/>
          <w:lang w:val="es-ES_tradnl"/>
        </w:rPr>
        <w:t xml:space="preserve"> </w:t>
      </w:r>
    </w:p>
    <w:p w14:paraId="5772AE9C" w14:textId="77777777" w:rsidR="006A3D46" w:rsidRPr="00BF20FA" w:rsidRDefault="006A3D46" w:rsidP="00130AF9">
      <w:pPr>
        <w:pStyle w:val="ListParagraph"/>
        <w:ind w:left="1800"/>
        <w:rPr>
          <w:rFonts w:asciiTheme="majorHAnsi" w:hAnsiTheme="majorHAnsi"/>
          <w:b/>
          <w:color w:val="000000" w:themeColor="text1"/>
          <w:sz w:val="20"/>
          <w:szCs w:val="20"/>
          <w:lang w:val="es-CO"/>
        </w:rPr>
      </w:pPr>
    </w:p>
    <w:p w14:paraId="65A16A11" w14:textId="77777777" w:rsidR="00994119"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CO"/>
        </w:rPr>
        <w:t>El 11 de marzo de 1998</w:t>
      </w:r>
      <w:r w:rsidR="00130AF9"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Ebaristo Tegría, abogado asesor U’wa y Terence Freitas, ciudadano </w:t>
      </w:r>
      <w:r w:rsidR="003E32D9" w:rsidRPr="00BF20FA">
        <w:rPr>
          <w:rFonts w:asciiTheme="majorHAnsi" w:hAnsiTheme="majorHAnsi"/>
          <w:color w:val="000000" w:themeColor="text1"/>
          <w:sz w:val="20"/>
          <w:szCs w:val="20"/>
          <w:lang w:val="es-CO"/>
        </w:rPr>
        <w:t xml:space="preserve">estadounidense </w:t>
      </w:r>
      <w:r w:rsidR="006A3B99" w:rsidRPr="00BF20FA">
        <w:rPr>
          <w:rFonts w:asciiTheme="majorHAnsi" w:hAnsiTheme="majorHAnsi"/>
          <w:color w:val="000000" w:themeColor="text1"/>
          <w:sz w:val="20"/>
          <w:szCs w:val="20"/>
          <w:lang w:val="es-CO"/>
        </w:rPr>
        <w:t>firmaron un acta compromiso con</w:t>
      </w:r>
      <w:r w:rsidR="00D91B8B" w:rsidRPr="00BF20FA">
        <w:rPr>
          <w:rFonts w:asciiTheme="majorHAnsi" w:hAnsiTheme="majorHAnsi"/>
          <w:color w:val="000000" w:themeColor="text1"/>
          <w:sz w:val="20"/>
          <w:szCs w:val="20"/>
          <w:lang w:val="es-CO"/>
        </w:rPr>
        <w:t xml:space="preserve"> el Comandante Contraguerrilla No. 39 y el Comandante de la Estación de Cubará, en la que acordaron</w:t>
      </w:r>
      <w:r w:rsidR="00756DB2"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 xml:space="preserve">1. </w:t>
      </w:r>
      <w:r w:rsidR="00756DB2" w:rsidRPr="00BF20FA">
        <w:rPr>
          <w:rFonts w:asciiTheme="majorHAnsi" w:hAnsiTheme="majorHAnsi"/>
          <w:color w:val="000000" w:themeColor="text1"/>
          <w:sz w:val="20"/>
          <w:szCs w:val="20"/>
          <w:lang w:val="es-CO"/>
        </w:rPr>
        <w:t>No</w:t>
      </w:r>
      <w:r w:rsidRPr="00BF20FA">
        <w:rPr>
          <w:rFonts w:asciiTheme="majorHAnsi" w:hAnsiTheme="majorHAnsi"/>
          <w:color w:val="000000" w:themeColor="text1"/>
          <w:sz w:val="20"/>
          <w:szCs w:val="20"/>
          <w:lang w:val="es-CO"/>
        </w:rPr>
        <w:t xml:space="preserve"> trasladarse a la vereda de El Chuscal por la situación de orden público que se vive en la jurisdicción.</w:t>
      </w:r>
      <w:r w:rsidR="00130AF9"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2. Al desplazarse a esa región lo hará bajo su responsabilidad.</w:t>
      </w:r>
      <w:r w:rsidR="00130AF9" w:rsidRPr="00BF20FA">
        <w:rPr>
          <w:rFonts w:asciiTheme="majorHAnsi" w:hAnsiTheme="majorHAnsi"/>
          <w:color w:val="000000" w:themeColor="text1"/>
          <w:sz w:val="20"/>
          <w:szCs w:val="20"/>
          <w:lang w:val="es-CO"/>
        </w:rPr>
        <w:t xml:space="preserve"> </w:t>
      </w:r>
      <w:r w:rsidRPr="00BF20FA">
        <w:rPr>
          <w:rFonts w:asciiTheme="majorHAnsi" w:hAnsiTheme="majorHAnsi"/>
          <w:color w:val="000000" w:themeColor="text1"/>
          <w:sz w:val="20"/>
          <w:szCs w:val="20"/>
          <w:lang w:val="es-CO"/>
        </w:rPr>
        <w:t>3. El Ejército y la Policía le brindará seguridad en el casco urbano del municipio de Cubará, siempre y cuando se nos informe de su regreso o estancia en el mismo</w:t>
      </w:r>
      <w:r w:rsidR="00756DB2" w:rsidRPr="00BF20FA">
        <w:rPr>
          <w:rFonts w:asciiTheme="majorHAnsi" w:hAnsiTheme="majorHAnsi"/>
          <w:color w:val="000000" w:themeColor="text1"/>
          <w:sz w:val="20"/>
          <w:szCs w:val="20"/>
          <w:lang w:val="es-CO"/>
        </w:rPr>
        <w:t>’’</w:t>
      </w:r>
      <w:r w:rsidR="00756DB2" w:rsidRPr="00BF20FA">
        <w:rPr>
          <w:rStyle w:val="FootnoteReference"/>
          <w:rFonts w:asciiTheme="majorHAnsi" w:hAnsiTheme="majorHAnsi"/>
          <w:color w:val="000000" w:themeColor="text1"/>
          <w:sz w:val="20"/>
          <w:szCs w:val="20"/>
          <w:lang w:val="es-CO"/>
        </w:rPr>
        <w:footnoteReference w:id="113"/>
      </w:r>
      <w:r w:rsidRPr="00BF20FA">
        <w:rPr>
          <w:rFonts w:asciiTheme="majorHAnsi" w:hAnsiTheme="majorHAnsi"/>
          <w:color w:val="000000" w:themeColor="text1"/>
          <w:sz w:val="20"/>
          <w:szCs w:val="20"/>
          <w:lang w:val="es-CO"/>
        </w:rPr>
        <w:t>.</w:t>
      </w:r>
      <w:r w:rsidR="00D91B8B" w:rsidRPr="00BF20FA">
        <w:rPr>
          <w:rFonts w:asciiTheme="majorHAnsi" w:hAnsiTheme="majorHAnsi"/>
          <w:color w:val="000000" w:themeColor="text1"/>
          <w:sz w:val="20"/>
          <w:szCs w:val="20"/>
          <w:lang w:val="es-CO"/>
        </w:rPr>
        <w:t xml:space="preserve"> La parte peticionaria afirmó que los señores Tegría y Freitas fueron obligados a firmar dicha acta compromiso</w:t>
      </w:r>
      <w:r w:rsidR="00D91B8B" w:rsidRPr="00BF20FA">
        <w:rPr>
          <w:rStyle w:val="FootnoteReference"/>
          <w:rFonts w:asciiTheme="majorHAnsi" w:hAnsiTheme="majorHAnsi"/>
          <w:color w:val="000000" w:themeColor="text1"/>
          <w:sz w:val="20"/>
          <w:szCs w:val="20"/>
          <w:lang w:val="es-CO"/>
        </w:rPr>
        <w:footnoteReference w:id="114"/>
      </w:r>
      <w:r w:rsidR="00994119" w:rsidRPr="00BF20FA">
        <w:rPr>
          <w:rFonts w:asciiTheme="majorHAnsi" w:hAnsiTheme="majorHAnsi"/>
          <w:color w:val="000000" w:themeColor="text1"/>
          <w:sz w:val="20"/>
          <w:szCs w:val="20"/>
          <w:lang w:val="es-CO"/>
        </w:rPr>
        <w:t>.</w:t>
      </w:r>
    </w:p>
    <w:p w14:paraId="7C6EEE61" w14:textId="77777777" w:rsidR="0078274A" w:rsidRPr="00BF20FA" w:rsidRDefault="0078274A" w:rsidP="00155CA1">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jc w:val="both"/>
        <w:rPr>
          <w:rFonts w:asciiTheme="majorHAnsi" w:hAnsiTheme="majorHAnsi"/>
          <w:color w:val="000000" w:themeColor="text1"/>
          <w:sz w:val="20"/>
          <w:szCs w:val="20"/>
          <w:lang w:val="es-ES_tradnl"/>
        </w:rPr>
      </w:pPr>
    </w:p>
    <w:p w14:paraId="46BC0822" w14:textId="1AAB0222" w:rsidR="006A3D46" w:rsidRPr="00BF20FA" w:rsidRDefault="00F34225"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color w:val="000000" w:themeColor="text1"/>
          <w:sz w:val="20"/>
          <w:szCs w:val="20"/>
          <w:lang w:val="es-ES_tradnl"/>
        </w:rPr>
      </w:pPr>
      <w:r w:rsidRPr="00BF20FA">
        <w:rPr>
          <w:rFonts w:asciiTheme="majorHAnsi" w:hAnsiTheme="majorHAnsi"/>
          <w:color w:val="000000" w:themeColor="text1"/>
          <w:sz w:val="20"/>
          <w:szCs w:val="20"/>
          <w:lang w:val="es-ES_tradnl"/>
        </w:rPr>
        <w:t xml:space="preserve">En informe presentado por el Estado a la Comisión, se indica que </w:t>
      </w:r>
      <w:r w:rsidR="006A3D46" w:rsidRPr="00BF20FA">
        <w:rPr>
          <w:rFonts w:asciiTheme="majorHAnsi" w:hAnsiTheme="majorHAnsi"/>
          <w:color w:val="000000" w:themeColor="text1"/>
          <w:sz w:val="20"/>
          <w:szCs w:val="20"/>
          <w:lang w:val="es-ES_tradnl"/>
        </w:rPr>
        <w:t>‘‘</w:t>
      </w:r>
      <w:r w:rsidR="00D97CCB">
        <w:rPr>
          <w:rFonts w:asciiTheme="majorHAnsi" w:hAnsiTheme="majorHAnsi"/>
          <w:color w:val="000000" w:themeColor="text1"/>
          <w:sz w:val="20"/>
          <w:szCs w:val="20"/>
          <w:lang w:val="es-ES_tradnl"/>
        </w:rPr>
        <w:t>[</w:t>
      </w:r>
      <w:r w:rsidR="006A3D46" w:rsidRPr="00BF20FA">
        <w:rPr>
          <w:rFonts w:asciiTheme="majorHAnsi" w:hAnsiTheme="majorHAnsi"/>
          <w:color w:val="000000" w:themeColor="text1"/>
          <w:sz w:val="20"/>
          <w:szCs w:val="20"/>
          <w:lang w:val="es-ES_tradnl"/>
        </w:rPr>
        <w:t>E</w:t>
      </w:r>
      <w:r w:rsidR="00D97CCB">
        <w:rPr>
          <w:rFonts w:asciiTheme="majorHAnsi" w:hAnsiTheme="majorHAnsi"/>
          <w:color w:val="000000" w:themeColor="text1"/>
          <w:sz w:val="20"/>
          <w:szCs w:val="20"/>
          <w:lang w:val="es-ES_tradnl"/>
        </w:rPr>
        <w:t>]</w:t>
      </w:r>
      <w:r w:rsidR="006A3D46" w:rsidRPr="00BF20FA">
        <w:rPr>
          <w:rFonts w:asciiTheme="majorHAnsi" w:hAnsiTheme="majorHAnsi"/>
          <w:color w:val="000000" w:themeColor="text1"/>
          <w:sz w:val="20"/>
          <w:szCs w:val="20"/>
          <w:lang w:val="es-ES_tradnl"/>
        </w:rPr>
        <w:t>l día jueves 25 de febrero de 1999, aproximada</w:t>
      </w:r>
      <w:r w:rsidR="006A3D46" w:rsidRPr="000A5F88">
        <w:rPr>
          <w:rFonts w:asciiTheme="majorHAnsi" w:hAnsiTheme="majorHAnsi"/>
          <w:color w:val="000000" w:themeColor="text1"/>
          <w:sz w:val="20"/>
          <w:szCs w:val="20"/>
          <w:lang w:val="es-CO"/>
        </w:rPr>
        <w:t>mente a las nueve y media de la mañana, fueron secuestrados por integrantes del frente 45 de las FARC, los ciudadanos</w:t>
      </w:r>
      <w:r w:rsidR="006A3D46" w:rsidRPr="00BF20FA">
        <w:rPr>
          <w:rFonts w:asciiTheme="majorHAnsi" w:hAnsiTheme="majorHAnsi"/>
          <w:color w:val="000000" w:themeColor="text1"/>
          <w:sz w:val="20"/>
          <w:szCs w:val="20"/>
          <w:lang w:val="es-ES_tradnl"/>
        </w:rPr>
        <w:t xml:space="preserve"> norteamericanos INGRID WASHINAWATOL, LARRY GAY LAHE’ENA’E y TERENCE FREITAS, cuando cubrían el trayecto entre la localidad boyacense de Cubará y el municipio de Savena,</w:t>
      </w:r>
      <w:r w:rsidR="00756DB2" w:rsidRPr="00BF20FA">
        <w:rPr>
          <w:rFonts w:asciiTheme="majorHAnsi" w:hAnsiTheme="majorHAnsi"/>
          <w:color w:val="000000" w:themeColor="text1"/>
          <w:sz w:val="20"/>
          <w:szCs w:val="20"/>
          <w:lang w:val="es-ES_tradnl"/>
        </w:rPr>
        <w:t xml:space="preserve"> </w:t>
      </w:r>
      <w:r w:rsidR="006A3D46" w:rsidRPr="00BF20FA">
        <w:rPr>
          <w:rFonts w:asciiTheme="majorHAnsi" w:hAnsiTheme="majorHAnsi"/>
          <w:color w:val="000000" w:themeColor="text1"/>
          <w:sz w:val="20"/>
          <w:szCs w:val="20"/>
          <w:lang w:val="es-ES_tradnl"/>
        </w:rPr>
        <w:t>en</w:t>
      </w:r>
      <w:r w:rsidR="00756DB2" w:rsidRPr="00BF20FA">
        <w:rPr>
          <w:rFonts w:asciiTheme="majorHAnsi" w:hAnsiTheme="majorHAnsi"/>
          <w:color w:val="000000" w:themeColor="text1"/>
          <w:sz w:val="20"/>
          <w:szCs w:val="20"/>
          <w:lang w:val="es-ES_tradnl"/>
        </w:rPr>
        <w:t xml:space="preserve"> </w:t>
      </w:r>
      <w:r w:rsidR="006A3D46" w:rsidRPr="00BF20FA">
        <w:rPr>
          <w:rFonts w:asciiTheme="majorHAnsi" w:hAnsiTheme="majorHAnsi"/>
          <w:color w:val="000000" w:themeColor="text1"/>
          <w:sz w:val="20"/>
          <w:szCs w:val="20"/>
          <w:lang w:val="es-ES_tradnl"/>
        </w:rPr>
        <w:t xml:space="preserve">el departamento de Arauca, en compañía de cuatro miembros de </w:t>
      </w:r>
      <w:r w:rsidR="000B5E1B" w:rsidRPr="00BF20FA">
        <w:rPr>
          <w:rFonts w:asciiTheme="majorHAnsi" w:hAnsiTheme="majorHAnsi"/>
          <w:color w:val="000000" w:themeColor="text1"/>
          <w:sz w:val="20"/>
          <w:szCs w:val="20"/>
          <w:lang w:val="es-ES_tradnl"/>
        </w:rPr>
        <w:t>la etnia indígena de los U’was […]</w:t>
      </w:r>
      <w:r w:rsidR="006A3D46" w:rsidRPr="00BF20FA">
        <w:rPr>
          <w:rFonts w:asciiTheme="majorHAnsi" w:hAnsiTheme="majorHAnsi"/>
          <w:color w:val="000000" w:themeColor="text1"/>
          <w:sz w:val="20"/>
          <w:szCs w:val="20"/>
          <w:lang w:val="es-ES_tradnl"/>
        </w:rPr>
        <w:t xml:space="preserve">. Se volvió a tener conocimiento de los tres ciudadanos norteamericanos secuestrados, cuando el día 4 de marzo de ese mismo año fueron encontrados los cadáveres </w:t>
      </w:r>
      <w:r w:rsidR="00FD4053" w:rsidRPr="00BF20FA">
        <w:rPr>
          <w:rFonts w:asciiTheme="majorHAnsi" w:hAnsiTheme="majorHAnsi"/>
          <w:color w:val="000000" w:themeColor="text1"/>
          <w:sz w:val="20"/>
          <w:szCs w:val="20"/>
          <w:lang w:val="es-ES"/>
        </w:rPr>
        <w:t xml:space="preserve">[…] </w:t>
      </w:r>
      <w:r w:rsidR="006A3D46" w:rsidRPr="00BF20FA">
        <w:rPr>
          <w:rFonts w:asciiTheme="majorHAnsi" w:hAnsiTheme="majorHAnsi"/>
          <w:color w:val="000000" w:themeColor="text1"/>
          <w:sz w:val="20"/>
          <w:szCs w:val="20"/>
          <w:lang w:val="es-ES_tradnl"/>
        </w:rPr>
        <w:t>atados de manos, con los rostros cubier</w:t>
      </w:r>
      <w:r w:rsidR="00756DB2" w:rsidRPr="00BF20FA">
        <w:rPr>
          <w:rFonts w:asciiTheme="majorHAnsi" w:hAnsiTheme="majorHAnsi"/>
          <w:color w:val="000000" w:themeColor="text1"/>
          <w:sz w:val="20"/>
          <w:szCs w:val="20"/>
          <w:lang w:val="es-ES_tradnl"/>
        </w:rPr>
        <w:t>t</w:t>
      </w:r>
      <w:r w:rsidR="006A3D46" w:rsidRPr="00BF20FA">
        <w:rPr>
          <w:rFonts w:asciiTheme="majorHAnsi" w:hAnsiTheme="majorHAnsi"/>
          <w:color w:val="000000" w:themeColor="text1"/>
          <w:sz w:val="20"/>
          <w:szCs w:val="20"/>
          <w:lang w:val="es-ES_tradnl"/>
        </w:rPr>
        <w:t>os y con varios impactos de arma de fuego cada uno de ellos, a treinta metros de la rivera del río Arauca</w:t>
      </w:r>
      <w:r w:rsidR="003F0B22" w:rsidRPr="00BF20FA">
        <w:rPr>
          <w:rFonts w:asciiTheme="majorHAnsi" w:hAnsiTheme="majorHAnsi"/>
          <w:color w:val="000000" w:themeColor="text1"/>
          <w:sz w:val="20"/>
          <w:szCs w:val="20"/>
          <w:lang w:val="es-ES_tradnl"/>
        </w:rPr>
        <w:t xml:space="preserve"> […]</w:t>
      </w:r>
      <w:r w:rsidR="00851009" w:rsidRPr="00BF20FA">
        <w:rPr>
          <w:rFonts w:asciiTheme="majorHAnsi" w:hAnsiTheme="majorHAnsi"/>
          <w:color w:val="000000" w:themeColor="text1"/>
          <w:sz w:val="20"/>
          <w:szCs w:val="20"/>
          <w:lang w:val="es-ES_tradnl"/>
        </w:rPr>
        <w:t>”</w:t>
      </w:r>
      <w:r w:rsidR="006A3D46" w:rsidRPr="00BF20FA">
        <w:rPr>
          <w:rStyle w:val="FootnoteReference"/>
          <w:rFonts w:asciiTheme="majorHAnsi" w:hAnsiTheme="majorHAnsi"/>
          <w:color w:val="000000" w:themeColor="text1"/>
          <w:sz w:val="20"/>
          <w:szCs w:val="20"/>
          <w:lang w:val="es-ES_tradnl"/>
        </w:rPr>
        <w:footnoteReference w:id="115"/>
      </w:r>
      <w:r w:rsidR="006A3D46" w:rsidRPr="00BF20FA">
        <w:rPr>
          <w:rFonts w:asciiTheme="majorHAnsi" w:hAnsiTheme="majorHAnsi"/>
          <w:color w:val="000000" w:themeColor="text1"/>
          <w:sz w:val="20"/>
          <w:szCs w:val="20"/>
          <w:lang w:val="es-ES_tradnl"/>
        </w:rPr>
        <w:t>.</w:t>
      </w:r>
    </w:p>
    <w:p w14:paraId="3690D4CC" w14:textId="77777777" w:rsidR="00FD4053" w:rsidRPr="00BF20FA" w:rsidRDefault="00FD4053" w:rsidP="0070505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ES_tradnl"/>
        </w:rPr>
      </w:pPr>
    </w:p>
    <w:p w14:paraId="6D4064C8" w14:textId="77777777" w:rsidR="000B7D9A" w:rsidRPr="00BF20FA" w:rsidRDefault="006A3D4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sz w:val="20"/>
          <w:szCs w:val="20"/>
          <w:lang w:val="es-AR"/>
        </w:rPr>
      </w:pPr>
      <w:r w:rsidRPr="000A5F88">
        <w:rPr>
          <w:rFonts w:asciiTheme="majorHAnsi" w:hAnsiTheme="majorHAnsi"/>
          <w:color w:val="000000" w:themeColor="text1"/>
          <w:sz w:val="20"/>
          <w:szCs w:val="20"/>
          <w:lang w:val="es-CO"/>
        </w:rPr>
        <w:t>Mediante</w:t>
      </w:r>
      <w:r w:rsidRPr="00BF20FA">
        <w:rPr>
          <w:rFonts w:asciiTheme="majorHAnsi" w:hAnsiTheme="majorHAnsi"/>
          <w:sz w:val="20"/>
          <w:szCs w:val="20"/>
          <w:lang w:val="es-AR"/>
        </w:rPr>
        <w:t xml:space="preserve"> Oficio No. 055 del 29 de marzo de 2007, la Directora de Asuntos </w:t>
      </w:r>
      <w:r w:rsidR="00756DB2" w:rsidRPr="00BF20FA">
        <w:rPr>
          <w:rFonts w:asciiTheme="majorHAnsi" w:hAnsiTheme="majorHAnsi"/>
          <w:sz w:val="20"/>
          <w:szCs w:val="20"/>
          <w:lang w:val="es-AR"/>
        </w:rPr>
        <w:t>Internacionales</w:t>
      </w:r>
      <w:r w:rsidRPr="00BF20FA">
        <w:rPr>
          <w:rFonts w:asciiTheme="majorHAnsi" w:hAnsiTheme="majorHAnsi"/>
          <w:sz w:val="20"/>
          <w:szCs w:val="20"/>
          <w:lang w:val="es-AR"/>
        </w:rPr>
        <w:t xml:space="preserve"> de la Fiscalía General de la Nación remitió información </w:t>
      </w:r>
      <w:r w:rsidR="00C74843" w:rsidRPr="00BF20FA">
        <w:rPr>
          <w:rFonts w:asciiTheme="majorHAnsi" w:hAnsiTheme="majorHAnsi"/>
          <w:sz w:val="20"/>
          <w:szCs w:val="20"/>
          <w:lang w:val="es-AR"/>
        </w:rPr>
        <w:t xml:space="preserve">a la Comisión </w:t>
      </w:r>
      <w:r w:rsidRPr="00BF20FA">
        <w:rPr>
          <w:rFonts w:asciiTheme="majorHAnsi" w:hAnsiTheme="majorHAnsi"/>
          <w:sz w:val="20"/>
          <w:szCs w:val="20"/>
          <w:lang w:val="es-AR"/>
        </w:rPr>
        <w:t>sobre el ‘‘caso Indigenistas Radicado 676’’ donde señaló</w:t>
      </w:r>
      <w:r w:rsidR="00756DB2" w:rsidRPr="00BF20FA">
        <w:rPr>
          <w:rFonts w:asciiTheme="majorHAnsi" w:hAnsiTheme="majorHAnsi"/>
          <w:sz w:val="20"/>
          <w:szCs w:val="20"/>
          <w:lang w:val="es-AR"/>
        </w:rPr>
        <w:t>:</w:t>
      </w:r>
      <w:r w:rsidRPr="00BF20FA">
        <w:rPr>
          <w:rFonts w:asciiTheme="majorHAnsi" w:hAnsiTheme="majorHAnsi"/>
          <w:sz w:val="20"/>
          <w:szCs w:val="20"/>
          <w:lang w:val="es-AR"/>
        </w:rPr>
        <w:t xml:space="preserve"> </w:t>
      </w:r>
    </w:p>
    <w:p w14:paraId="5A674238" w14:textId="77777777" w:rsidR="00AB48C5" w:rsidRPr="00BF20FA" w:rsidRDefault="00AB48C5" w:rsidP="00AB48C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right="360"/>
        <w:jc w:val="both"/>
        <w:rPr>
          <w:rFonts w:asciiTheme="majorHAnsi" w:hAnsiTheme="majorHAnsi"/>
          <w:color w:val="000000" w:themeColor="text1"/>
          <w:sz w:val="18"/>
          <w:szCs w:val="18"/>
          <w:lang w:val="es-AR"/>
        </w:rPr>
      </w:pPr>
    </w:p>
    <w:p w14:paraId="46643808" w14:textId="77777777" w:rsidR="00AB48C5" w:rsidRPr="00BF20FA" w:rsidRDefault="00AB48C5" w:rsidP="00AB48C5">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ind w:left="360" w:right="360"/>
        <w:jc w:val="both"/>
        <w:rPr>
          <w:rFonts w:asciiTheme="majorHAnsi" w:hAnsiTheme="majorHAnsi"/>
          <w:color w:val="000000" w:themeColor="text1"/>
          <w:sz w:val="18"/>
          <w:szCs w:val="18"/>
          <w:lang w:val="es-ES_tradnl"/>
        </w:rPr>
      </w:pPr>
      <w:r w:rsidRPr="00BF20FA">
        <w:rPr>
          <w:rFonts w:asciiTheme="majorHAnsi" w:hAnsiTheme="majorHAnsi"/>
          <w:color w:val="000000" w:themeColor="text1"/>
          <w:sz w:val="18"/>
          <w:szCs w:val="18"/>
          <w:lang w:val="es-ES_tradnl"/>
        </w:rPr>
        <w:t xml:space="preserve">la investigación por los hechos descritos fue iniciada oficiosamente el día 2 de marzo de 1999 […] Con resolución del 19 de marzo de 1999 […] se decretó la apertura de la instrucción y se ordenó la captura de los miembros de las FARC, […] alias ‘‘Granobles’’.[…] Con resolución de 22 de junio de 1999 y por no haberse podido capturar a los señores se les declaró personas ausentes. Con resolución del 16 de julio de 1999 se les impuso ‘‘medida de aseguramiento de detención privativa de los delitos de secuestro, homicidio, rebelión y hurto calificado’’. Mediante resolución del 20 de diciembre de 1999 se profirió en su contra ‘‘resolución acusatoria por los delitos de secuestro, homicidio, rebelión y hurto calificado y se ordenó continuar la investigación respecto de otros posibles autores’’. […] OLIMPO ROJAS AGUDELO se encuentra actualmente recluido […]. ÁNGELO ALBERTO CÁCERES MECÓN se le profirió Resolución de Acusación, por los mismos delitos menos por rebelión porque </w:t>
      </w:r>
      <w:r w:rsidRPr="00BF20FA">
        <w:rPr>
          <w:rFonts w:asciiTheme="majorHAnsi" w:hAnsiTheme="majorHAnsi"/>
          <w:color w:val="000000" w:themeColor="text1"/>
          <w:sz w:val="18"/>
          <w:szCs w:val="18"/>
          <w:lang w:val="es-ES_tradnl"/>
        </w:rPr>
        <w:lastRenderedPageBreak/>
        <w:t>precluyó. Se encuentra privado de la libertad […]El Juzgado Único Penal del Circuito Especializado de Descongestión de Armenia condenó a DIEGO LUIS GUTIÉRREZ MUÑOS el 27 de octubre de 2005 y a JORGE BRICEÑO SUÁREZ el 12 de diciembre de 2005 condenó, alias ‘NEGRO CHITA’ a la pena principal de treinta y nueve (39) años de prisión y multa de ciento dos (102) salarios al haber sido declarado coautor responsable a título de dolo de los punibles HOMICIDIO AGRAVADO, en concurso heterogéneo del delito de SECUESTRO EXTORSIVO AGRAVADO, delito de REBELIÓN y HURTO CALIFICADO AGRAVADO. Se absolvió a ORLANDO TRIANA, AROLDO BUITRAGO TEGRÍA , AGUSTÍN LÓPEZ MERCHAN y NELSON VARGAS RUEDA. (…). La Fiscalía Quince adscrita a la UNDH y DIH, continúa impulsando la investigación para identificar y vincular a otros integrantes de ese grupo armado ilegal que participaron en los hechos, para lo cual con el apoyo del Grupo de los investigadores de la policía judicial ha ordenado la práctica de varias diligencias probatorias de cuyo resultado se informará más adelante’’</w:t>
      </w:r>
      <w:r w:rsidRPr="00BF20FA">
        <w:rPr>
          <w:rStyle w:val="FootnoteReference"/>
          <w:rFonts w:asciiTheme="majorHAnsi" w:hAnsiTheme="majorHAnsi"/>
          <w:color w:val="000000" w:themeColor="text1"/>
          <w:sz w:val="18"/>
          <w:szCs w:val="18"/>
          <w:lang w:val="es-ES_tradnl"/>
        </w:rPr>
        <w:footnoteReference w:id="116"/>
      </w:r>
      <w:r w:rsidRPr="00BF20FA">
        <w:rPr>
          <w:rFonts w:asciiTheme="majorHAnsi" w:hAnsiTheme="majorHAnsi"/>
          <w:color w:val="000000" w:themeColor="text1"/>
          <w:sz w:val="18"/>
          <w:szCs w:val="18"/>
          <w:lang w:val="es-ES_tradnl"/>
        </w:rPr>
        <w:t>.</w:t>
      </w:r>
    </w:p>
    <w:p w14:paraId="0DC67502" w14:textId="77777777" w:rsidR="00AB48C5" w:rsidRPr="00BF20FA" w:rsidRDefault="00AB48C5" w:rsidP="004F2184">
      <w:pPr>
        <w:pStyle w:val="ListParagraph"/>
        <w:ind w:left="0"/>
        <w:jc w:val="both"/>
        <w:rPr>
          <w:rFonts w:asciiTheme="majorHAnsi" w:hAnsiTheme="majorHAnsi"/>
          <w:sz w:val="20"/>
          <w:szCs w:val="20"/>
          <w:lang w:val="es-AR"/>
        </w:rPr>
      </w:pPr>
    </w:p>
    <w:p w14:paraId="118388FF" w14:textId="77777777" w:rsidR="00AB48C5" w:rsidRPr="00BF20FA" w:rsidRDefault="00FE0433"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360"/>
          <w:tab w:val="left" w:pos="1440"/>
        </w:tabs>
        <w:ind w:left="0" w:firstLine="0"/>
        <w:jc w:val="both"/>
        <w:rPr>
          <w:rFonts w:asciiTheme="majorHAnsi" w:hAnsiTheme="majorHAnsi"/>
          <w:sz w:val="20"/>
          <w:szCs w:val="20"/>
          <w:lang w:val="es-AR"/>
        </w:rPr>
      </w:pPr>
      <w:r w:rsidRPr="00BF20FA">
        <w:rPr>
          <w:rFonts w:asciiTheme="majorHAnsi" w:hAnsiTheme="majorHAnsi"/>
          <w:sz w:val="20"/>
          <w:szCs w:val="20"/>
          <w:lang w:val="es-AR"/>
        </w:rPr>
        <w:t xml:space="preserve">La </w:t>
      </w:r>
      <w:r w:rsidR="00AB48C5" w:rsidRPr="000A5F88">
        <w:rPr>
          <w:rFonts w:asciiTheme="majorHAnsi" w:hAnsiTheme="majorHAnsi"/>
          <w:color w:val="000000" w:themeColor="text1"/>
          <w:sz w:val="20"/>
          <w:szCs w:val="20"/>
          <w:lang w:val="es-CO"/>
        </w:rPr>
        <w:t>Comisión</w:t>
      </w:r>
      <w:r w:rsidR="00AB48C5" w:rsidRPr="00BF20FA">
        <w:rPr>
          <w:rFonts w:asciiTheme="majorHAnsi" w:hAnsiTheme="majorHAnsi"/>
          <w:sz w:val="20"/>
          <w:szCs w:val="20"/>
          <w:lang w:val="es-AR"/>
        </w:rPr>
        <w:t xml:space="preserve"> no recibió mayor informaci</w:t>
      </w:r>
      <w:r w:rsidR="00D82AD7" w:rsidRPr="00BF20FA">
        <w:rPr>
          <w:rFonts w:asciiTheme="majorHAnsi" w:hAnsiTheme="majorHAnsi"/>
          <w:sz w:val="20"/>
          <w:szCs w:val="20"/>
          <w:lang w:val="es-AR"/>
        </w:rPr>
        <w:t>ón</w:t>
      </w:r>
      <w:r w:rsidR="00951D29" w:rsidRPr="00BF20FA">
        <w:rPr>
          <w:rFonts w:asciiTheme="majorHAnsi" w:hAnsiTheme="majorHAnsi"/>
          <w:sz w:val="20"/>
          <w:szCs w:val="20"/>
          <w:lang w:val="es-AR"/>
        </w:rPr>
        <w:t xml:space="preserve">, de ninguna de las partes, </w:t>
      </w:r>
      <w:r w:rsidR="00D82AD7" w:rsidRPr="00BF20FA">
        <w:rPr>
          <w:rFonts w:asciiTheme="majorHAnsi" w:hAnsiTheme="majorHAnsi"/>
          <w:sz w:val="20"/>
          <w:szCs w:val="20"/>
          <w:lang w:val="es-AR"/>
        </w:rPr>
        <w:t>sobre estos hechos ni sobre la investigación</w:t>
      </w:r>
      <w:r w:rsidRPr="00BF20FA">
        <w:rPr>
          <w:rFonts w:asciiTheme="majorHAnsi" w:hAnsiTheme="majorHAnsi"/>
          <w:sz w:val="20"/>
          <w:szCs w:val="20"/>
          <w:lang w:val="es-AR"/>
        </w:rPr>
        <w:t xml:space="preserve">. </w:t>
      </w:r>
    </w:p>
    <w:p w14:paraId="7E2B6C1C" w14:textId="77777777" w:rsidR="001F000D" w:rsidRPr="00BF20FA" w:rsidRDefault="001F000D" w:rsidP="0070505A">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851"/>
          <w:tab w:val="left" w:pos="1440"/>
        </w:tabs>
        <w:jc w:val="both"/>
        <w:rPr>
          <w:rFonts w:asciiTheme="majorHAnsi" w:hAnsiTheme="majorHAnsi"/>
          <w:color w:val="000000" w:themeColor="text1"/>
          <w:sz w:val="20"/>
          <w:szCs w:val="20"/>
          <w:lang w:val="es-ES_tradnl"/>
        </w:rPr>
      </w:pPr>
    </w:p>
    <w:p w14:paraId="62DF6754" w14:textId="77777777" w:rsidR="00A75D2C" w:rsidRPr="00BF20FA" w:rsidRDefault="00220D37" w:rsidP="006C344B">
      <w:pPr>
        <w:pStyle w:val="Heading1"/>
        <w:spacing w:before="0"/>
        <w:ind w:left="360"/>
        <w:rPr>
          <w:color w:val="auto"/>
          <w:sz w:val="20"/>
          <w:szCs w:val="20"/>
          <w:lang w:val="es-ES_tradnl"/>
        </w:rPr>
      </w:pPr>
      <w:bookmarkStart w:id="30" w:name="_Toc17221570"/>
      <w:r w:rsidRPr="00BF20FA">
        <w:rPr>
          <w:color w:val="auto"/>
          <w:sz w:val="20"/>
          <w:szCs w:val="20"/>
          <w:lang w:val="es-ES_tradnl"/>
        </w:rPr>
        <w:t>ANÁLISIS DE DERECHO</w:t>
      </w:r>
      <w:bookmarkStart w:id="31" w:name="_Toc15671756"/>
      <w:bookmarkEnd w:id="30"/>
    </w:p>
    <w:p w14:paraId="2F8BF6C8" w14:textId="77777777" w:rsidR="00A75D2C" w:rsidRPr="00BF20FA" w:rsidRDefault="00A75D2C" w:rsidP="00A75D2C">
      <w:pPr>
        <w:pStyle w:val="ListParagraph"/>
        <w:tabs>
          <w:tab w:val="left" w:pos="360"/>
        </w:tabs>
        <w:ind w:left="360"/>
        <w:jc w:val="both"/>
        <w:rPr>
          <w:rFonts w:asciiTheme="majorHAnsi" w:hAnsiTheme="majorHAnsi"/>
          <w:sz w:val="20"/>
          <w:szCs w:val="20"/>
          <w:lang w:val="es-ES_tradnl"/>
        </w:rPr>
      </w:pPr>
    </w:p>
    <w:p w14:paraId="28F77CB7" w14:textId="4CBA32C4" w:rsidR="00C1523A" w:rsidRPr="00BF20FA" w:rsidRDefault="002F670A" w:rsidP="006C344B">
      <w:pPr>
        <w:pStyle w:val="Heading2"/>
        <w:spacing w:before="0" w:after="0"/>
        <w:rPr>
          <w:rFonts w:asciiTheme="majorHAnsi" w:hAnsiTheme="majorHAnsi"/>
          <w:i w:val="0"/>
          <w:sz w:val="20"/>
          <w:szCs w:val="20"/>
          <w:lang w:val="es-ES_tradnl"/>
        </w:rPr>
      </w:pPr>
      <w:bookmarkStart w:id="32" w:name="_Toc17221571"/>
      <w:r w:rsidRPr="00BF20FA">
        <w:rPr>
          <w:rFonts w:asciiTheme="majorHAnsi" w:hAnsiTheme="majorHAnsi"/>
          <w:i w:val="0"/>
          <w:sz w:val="20"/>
          <w:szCs w:val="20"/>
          <w:lang w:val="es-MX"/>
        </w:rPr>
        <w:t>A</w:t>
      </w:r>
      <w:r w:rsidRPr="00BF20FA">
        <w:rPr>
          <w:rFonts w:asciiTheme="majorHAnsi" w:hAnsiTheme="majorHAnsi"/>
          <w:i w:val="0"/>
          <w:sz w:val="20"/>
          <w:szCs w:val="20"/>
          <w:lang w:val="es-ES_tradnl"/>
        </w:rPr>
        <w:t xml:space="preserve">. </w:t>
      </w:r>
      <w:r w:rsidR="006C344B" w:rsidRPr="00BF20FA">
        <w:rPr>
          <w:rFonts w:asciiTheme="majorHAnsi" w:hAnsiTheme="majorHAnsi"/>
          <w:i w:val="0"/>
          <w:sz w:val="20"/>
          <w:szCs w:val="20"/>
          <w:lang w:val="es-ES_tradnl"/>
        </w:rPr>
        <w:t xml:space="preserve">   </w:t>
      </w:r>
      <w:r w:rsidRPr="00BF20FA">
        <w:rPr>
          <w:rFonts w:asciiTheme="majorHAnsi" w:hAnsiTheme="majorHAnsi"/>
          <w:i w:val="0"/>
          <w:sz w:val="20"/>
          <w:szCs w:val="20"/>
          <w:lang w:val="es-ES_tradnl"/>
        </w:rPr>
        <w:t>Cuestión previa</w:t>
      </w:r>
      <w:bookmarkEnd w:id="32"/>
    </w:p>
    <w:p w14:paraId="50BC0519" w14:textId="4BAC8965" w:rsidR="0089556D" w:rsidRPr="00BF20FA" w:rsidRDefault="0089556D" w:rsidP="00A75D2C">
      <w:pPr>
        <w:tabs>
          <w:tab w:val="left" w:pos="360"/>
        </w:tabs>
        <w:jc w:val="both"/>
        <w:rPr>
          <w:rFonts w:asciiTheme="majorHAnsi" w:hAnsiTheme="majorHAnsi"/>
          <w:b/>
          <w:sz w:val="20"/>
          <w:szCs w:val="20"/>
          <w:lang w:val="es-ES_tradnl"/>
        </w:rPr>
      </w:pPr>
    </w:p>
    <w:p w14:paraId="351FBAA3" w14:textId="6B88B636" w:rsidR="002F670A" w:rsidRPr="004F2184" w:rsidRDefault="002F670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hAnsiTheme="majorHAnsi"/>
          <w:sz w:val="20"/>
          <w:szCs w:val="20"/>
          <w:lang w:val="es-AR"/>
        </w:rPr>
      </w:pPr>
      <w:r w:rsidRPr="004F2184">
        <w:rPr>
          <w:rFonts w:asciiTheme="majorHAnsi" w:hAnsiTheme="majorHAnsi"/>
          <w:sz w:val="20"/>
          <w:szCs w:val="20"/>
          <w:lang w:val="es-AR"/>
        </w:rPr>
        <w:t xml:space="preserve">La Comisión </w:t>
      </w:r>
      <w:r w:rsidRPr="000A5F88">
        <w:rPr>
          <w:rFonts w:asciiTheme="majorHAnsi" w:hAnsiTheme="majorHAnsi"/>
          <w:color w:val="000000" w:themeColor="text1"/>
          <w:sz w:val="20"/>
          <w:szCs w:val="20"/>
          <w:lang w:val="es-CO"/>
        </w:rPr>
        <w:t>observa</w:t>
      </w:r>
      <w:r w:rsidRPr="004F2184">
        <w:rPr>
          <w:rFonts w:asciiTheme="majorHAnsi" w:hAnsiTheme="majorHAnsi"/>
          <w:sz w:val="20"/>
          <w:szCs w:val="20"/>
          <w:lang w:val="es-AR"/>
        </w:rPr>
        <w:t xml:space="preserve"> que tal como se incluyó en la sección anterior, la parte peticionaria describió a lo largo del trámite interamericano una serie de incursiones y hechos de violencia que afectaron a miembros del Pueblo U´wa y al pueblo como tal, los cuales habrían sido cometidos tanto por agentes estatales como por otros actores. La Comisión no cuenta con prueba ni información suficiente sobre tales hechos y los procesos seguidos por los mismos, de manera que sea posible efectuar una determinación separada de la posible responsabilidad internacional del Estado por cada uno de ellos de manera separada. </w:t>
      </w:r>
    </w:p>
    <w:p w14:paraId="76C32316" w14:textId="77777777" w:rsidR="002F670A" w:rsidRPr="00BF20FA" w:rsidRDefault="002F670A" w:rsidP="00CE144E">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hAnsiTheme="majorHAnsi"/>
          <w:bCs/>
          <w:sz w:val="20"/>
          <w:szCs w:val="20"/>
          <w:lang w:val="es-ES_tradnl"/>
        </w:rPr>
      </w:pPr>
    </w:p>
    <w:p w14:paraId="0A49A17F" w14:textId="05DE5373" w:rsidR="002468CE" w:rsidRPr="00BF20FA" w:rsidRDefault="002F670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hAnsiTheme="majorHAnsi"/>
          <w:bCs/>
          <w:sz w:val="20"/>
          <w:szCs w:val="20"/>
          <w:lang w:val="es-ES_tradnl"/>
        </w:rPr>
      </w:pPr>
      <w:r w:rsidRPr="00BF20FA">
        <w:rPr>
          <w:rFonts w:asciiTheme="majorHAnsi" w:hAnsiTheme="majorHAnsi"/>
          <w:bCs/>
          <w:sz w:val="20"/>
          <w:szCs w:val="20"/>
          <w:lang w:val="es-ES_tradnl"/>
        </w:rPr>
        <w:t xml:space="preserve">Sin perjuicio de lo anterior, la Comisión considera que en el presente caso ha quedado suficientemente </w:t>
      </w:r>
      <w:r w:rsidRPr="000A5F88">
        <w:rPr>
          <w:rFonts w:asciiTheme="majorHAnsi" w:hAnsiTheme="majorHAnsi"/>
          <w:sz w:val="20"/>
          <w:szCs w:val="20"/>
          <w:lang w:val="es-AR"/>
        </w:rPr>
        <w:t>establecido</w:t>
      </w:r>
      <w:r w:rsidRPr="00BF20FA">
        <w:rPr>
          <w:rFonts w:asciiTheme="majorHAnsi" w:hAnsiTheme="majorHAnsi"/>
          <w:bCs/>
          <w:sz w:val="20"/>
          <w:szCs w:val="20"/>
          <w:lang w:val="es-ES_tradnl"/>
        </w:rPr>
        <w:t xml:space="preserve"> que el Pueblo U´wa se ha visto afectado severamente por</w:t>
      </w:r>
      <w:r w:rsidR="002468CE" w:rsidRPr="00BF20FA">
        <w:rPr>
          <w:rFonts w:asciiTheme="majorHAnsi" w:hAnsiTheme="majorHAnsi"/>
          <w:bCs/>
          <w:sz w:val="20"/>
          <w:szCs w:val="20"/>
          <w:lang w:val="es-ES_tradnl"/>
        </w:rPr>
        <w:t xml:space="preserve"> el</w:t>
      </w:r>
      <w:r w:rsidRPr="00BF20FA">
        <w:rPr>
          <w:rFonts w:asciiTheme="majorHAnsi" w:hAnsiTheme="majorHAnsi"/>
          <w:bCs/>
          <w:sz w:val="20"/>
          <w:szCs w:val="20"/>
          <w:lang w:val="es-ES_tradnl"/>
        </w:rPr>
        <w:t xml:space="preserve"> conflicto armado interno en Colombia, lo cual lo ha puesto en situación de extrema vulnerabilidad</w:t>
      </w:r>
      <w:r w:rsidR="002468CE" w:rsidRPr="00BF20FA">
        <w:rPr>
          <w:rFonts w:asciiTheme="majorHAnsi" w:hAnsiTheme="majorHAnsi"/>
          <w:bCs/>
          <w:sz w:val="20"/>
          <w:szCs w:val="20"/>
          <w:lang w:val="es-ES_tradnl"/>
        </w:rPr>
        <w:t xml:space="preserve">, llegando al punto de estar en peligro de extinción, tal como la propia Corte Constitucional determinó. En ese sentido, la CIDH tomará en cuenta esta situación de manera transversal a lo largo del análisis que se efectúa a continuación. </w:t>
      </w:r>
    </w:p>
    <w:p w14:paraId="27871466" w14:textId="530FA1BD" w:rsidR="00220D37" w:rsidRPr="00BF20FA" w:rsidRDefault="00C1523A" w:rsidP="00BE0736">
      <w:pPr>
        <w:pStyle w:val="Heading2"/>
        <w:spacing w:before="0" w:after="0"/>
        <w:jc w:val="both"/>
        <w:rPr>
          <w:rFonts w:asciiTheme="majorHAnsi" w:hAnsiTheme="majorHAnsi"/>
          <w:i w:val="0"/>
          <w:sz w:val="20"/>
          <w:szCs w:val="20"/>
          <w:lang w:val="es-ES_tradnl"/>
        </w:rPr>
      </w:pPr>
      <w:bookmarkStart w:id="33" w:name="_Toc17221572"/>
      <w:r w:rsidRPr="00BF20FA">
        <w:rPr>
          <w:rFonts w:asciiTheme="majorHAnsi" w:hAnsiTheme="majorHAnsi"/>
          <w:i w:val="0"/>
          <w:sz w:val="20"/>
          <w:szCs w:val="20"/>
          <w:lang w:val="es-ES_tradnl"/>
        </w:rPr>
        <w:lastRenderedPageBreak/>
        <w:t xml:space="preserve">B. </w:t>
      </w:r>
      <w:r w:rsidR="00BE0736" w:rsidRPr="00BF20FA">
        <w:rPr>
          <w:rFonts w:asciiTheme="majorHAnsi" w:hAnsiTheme="majorHAnsi"/>
          <w:i w:val="0"/>
          <w:sz w:val="20"/>
          <w:szCs w:val="20"/>
          <w:lang w:val="es-ES_tradnl"/>
        </w:rPr>
        <w:t xml:space="preserve"> </w:t>
      </w:r>
      <w:r w:rsidR="00AC7C13" w:rsidRPr="00BF20FA">
        <w:rPr>
          <w:rFonts w:asciiTheme="majorHAnsi" w:hAnsiTheme="majorHAnsi"/>
          <w:i w:val="0"/>
          <w:sz w:val="20"/>
          <w:szCs w:val="20"/>
          <w:lang w:val="es-ES_tradnl"/>
        </w:rPr>
        <w:t>Derechos a la propiedad colectiva</w:t>
      </w:r>
      <w:r w:rsidR="0008728D" w:rsidRPr="00BF20FA">
        <w:rPr>
          <w:rStyle w:val="FootnoteReference"/>
          <w:rFonts w:asciiTheme="majorHAnsi" w:hAnsiTheme="majorHAnsi"/>
          <w:b w:val="0"/>
          <w:i w:val="0"/>
          <w:color w:val="000000" w:themeColor="text1"/>
          <w:sz w:val="20"/>
          <w:szCs w:val="20"/>
          <w:lang w:val="es-ES_tradnl"/>
        </w:rPr>
        <w:footnoteReference w:id="117"/>
      </w:r>
      <w:r w:rsidR="00220D37" w:rsidRPr="00BF20FA">
        <w:rPr>
          <w:rFonts w:asciiTheme="majorHAnsi" w:hAnsiTheme="majorHAnsi"/>
          <w:i w:val="0"/>
          <w:sz w:val="20"/>
          <w:szCs w:val="20"/>
          <w:lang w:val="es-ES_tradnl"/>
        </w:rPr>
        <w:t xml:space="preserve"> </w:t>
      </w:r>
      <w:r w:rsidR="00AC7C13" w:rsidRPr="00BF20FA">
        <w:rPr>
          <w:rFonts w:asciiTheme="majorHAnsi" w:hAnsiTheme="majorHAnsi"/>
          <w:i w:val="0"/>
          <w:sz w:val="20"/>
          <w:szCs w:val="20"/>
          <w:lang w:val="es-ES_tradnl"/>
        </w:rPr>
        <w:t>(artículo 21)</w:t>
      </w:r>
      <w:r w:rsidR="00D60663" w:rsidRPr="00BF20FA">
        <w:rPr>
          <w:rFonts w:asciiTheme="majorHAnsi" w:hAnsiTheme="majorHAnsi"/>
          <w:i w:val="0"/>
          <w:sz w:val="20"/>
          <w:szCs w:val="20"/>
          <w:lang w:val="es-ES_tradnl"/>
        </w:rPr>
        <w:t>, al derecho de acceso a la información</w:t>
      </w:r>
      <w:r w:rsidR="007E57BC" w:rsidRPr="00BF20FA">
        <w:rPr>
          <w:rStyle w:val="FootnoteReference"/>
          <w:rFonts w:asciiTheme="majorHAnsi" w:hAnsiTheme="majorHAnsi"/>
          <w:b w:val="0"/>
          <w:i w:val="0"/>
          <w:sz w:val="20"/>
          <w:szCs w:val="20"/>
          <w:lang w:val="es-ES_tradnl"/>
        </w:rPr>
        <w:footnoteReference w:id="118"/>
      </w:r>
      <w:r w:rsidR="00D60663" w:rsidRPr="00BF20FA">
        <w:rPr>
          <w:rFonts w:asciiTheme="majorHAnsi" w:hAnsiTheme="majorHAnsi"/>
          <w:i w:val="0"/>
          <w:sz w:val="20"/>
          <w:szCs w:val="20"/>
          <w:lang w:val="es-ES_tradnl"/>
        </w:rPr>
        <w:t xml:space="preserve"> (artículo 13), derechos políticos</w:t>
      </w:r>
      <w:r w:rsidR="007E57BC" w:rsidRPr="00BF20FA">
        <w:rPr>
          <w:rStyle w:val="FootnoteReference"/>
          <w:rFonts w:asciiTheme="majorHAnsi" w:hAnsiTheme="majorHAnsi"/>
          <w:b w:val="0"/>
          <w:i w:val="0"/>
          <w:sz w:val="20"/>
          <w:szCs w:val="20"/>
          <w:lang w:val="es-ES_tradnl"/>
        </w:rPr>
        <w:footnoteReference w:id="119"/>
      </w:r>
      <w:r w:rsidR="00D60663" w:rsidRPr="00BF20FA">
        <w:rPr>
          <w:rFonts w:asciiTheme="majorHAnsi" w:hAnsiTheme="majorHAnsi"/>
          <w:i w:val="0"/>
          <w:sz w:val="20"/>
          <w:szCs w:val="20"/>
          <w:lang w:val="es-ES_tradnl"/>
        </w:rPr>
        <w:t xml:space="preserve"> (artículo 23) y </w:t>
      </w:r>
      <w:r w:rsidR="00C0621B" w:rsidRPr="00BF20FA">
        <w:rPr>
          <w:rFonts w:asciiTheme="majorHAnsi" w:hAnsiTheme="majorHAnsi"/>
          <w:i w:val="0"/>
          <w:sz w:val="20"/>
          <w:szCs w:val="20"/>
          <w:lang w:val="es-ES_tradnl"/>
        </w:rPr>
        <w:t>derechos culturales</w:t>
      </w:r>
      <w:r w:rsidR="00C0621B" w:rsidRPr="00BF20FA">
        <w:rPr>
          <w:rStyle w:val="FootnoteReference"/>
          <w:rFonts w:asciiTheme="majorHAnsi" w:hAnsiTheme="majorHAnsi"/>
          <w:b w:val="0"/>
          <w:i w:val="0"/>
          <w:sz w:val="20"/>
          <w:szCs w:val="20"/>
          <w:lang w:val="es-ES_tradnl"/>
        </w:rPr>
        <w:footnoteReference w:id="120"/>
      </w:r>
      <w:r w:rsidR="00C0621B" w:rsidRPr="00BF20FA">
        <w:rPr>
          <w:rFonts w:asciiTheme="majorHAnsi" w:hAnsiTheme="majorHAnsi"/>
          <w:i w:val="0"/>
          <w:sz w:val="20"/>
          <w:szCs w:val="20"/>
          <w:lang w:val="es-ES_tradnl"/>
        </w:rPr>
        <w:t xml:space="preserve"> (artículo 26)</w:t>
      </w:r>
      <w:r w:rsidR="00293C9B" w:rsidRPr="00BF20FA">
        <w:rPr>
          <w:rFonts w:asciiTheme="majorHAnsi" w:hAnsiTheme="majorHAnsi"/>
          <w:i w:val="0"/>
          <w:sz w:val="20"/>
          <w:szCs w:val="20"/>
          <w:lang w:val="es-ES_tradnl"/>
        </w:rPr>
        <w:t xml:space="preserve"> de la Convención Americana, </w:t>
      </w:r>
      <w:r w:rsidR="00220D37" w:rsidRPr="00BF20FA">
        <w:rPr>
          <w:rFonts w:asciiTheme="majorHAnsi" w:hAnsiTheme="majorHAnsi"/>
          <w:i w:val="0"/>
          <w:sz w:val="20"/>
          <w:szCs w:val="20"/>
          <w:lang w:val="es-ES_tradnl"/>
        </w:rPr>
        <w:t xml:space="preserve">en relación con </w:t>
      </w:r>
      <w:r w:rsidR="00293C9B" w:rsidRPr="00BF20FA">
        <w:rPr>
          <w:rFonts w:asciiTheme="majorHAnsi" w:hAnsiTheme="majorHAnsi"/>
          <w:i w:val="0"/>
          <w:sz w:val="20"/>
          <w:szCs w:val="20"/>
          <w:lang w:val="es-ES_tradnl"/>
        </w:rPr>
        <w:t xml:space="preserve">los </w:t>
      </w:r>
      <w:r w:rsidR="00220D37" w:rsidRPr="00BF20FA">
        <w:rPr>
          <w:rFonts w:asciiTheme="majorHAnsi" w:hAnsiTheme="majorHAnsi"/>
          <w:i w:val="0"/>
          <w:sz w:val="20"/>
          <w:szCs w:val="20"/>
          <w:lang w:val="es-ES_tradnl"/>
        </w:rPr>
        <w:t>artículo</w:t>
      </w:r>
      <w:r w:rsidR="00293C9B" w:rsidRPr="00BF20FA">
        <w:rPr>
          <w:rFonts w:asciiTheme="majorHAnsi" w:hAnsiTheme="majorHAnsi"/>
          <w:i w:val="0"/>
          <w:sz w:val="20"/>
          <w:szCs w:val="20"/>
          <w:lang w:val="es-ES_tradnl"/>
        </w:rPr>
        <w:t>s</w:t>
      </w:r>
      <w:r w:rsidR="00220D37" w:rsidRPr="00BF20FA">
        <w:rPr>
          <w:rFonts w:asciiTheme="majorHAnsi" w:hAnsiTheme="majorHAnsi"/>
          <w:i w:val="0"/>
          <w:sz w:val="20"/>
          <w:szCs w:val="20"/>
          <w:lang w:val="es-ES_tradnl"/>
        </w:rPr>
        <w:t xml:space="preserve"> 1.1</w:t>
      </w:r>
      <w:r w:rsidR="00C0621B" w:rsidRPr="00BF20FA">
        <w:rPr>
          <w:rStyle w:val="FootnoteReference"/>
          <w:rFonts w:asciiTheme="majorHAnsi" w:hAnsiTheme="majorHAnsi"/>
          <w:b w:val="0"/>
          <w:i w:val="0"/>
          <w:sz w:val="20"/>
          <w:szCs w:val="20"/>
          <w:lang w:val="es-ES_tradnl"/>
        </w:rPr>
        <w:footnoteReference w:id="121"/>
      </w:r>
      <w:r w:rsidR="00220D37" w:rsidRPr="00BF20FA">
        <w:rPr>
          <w:rFonts w:asciiTheme="majorHAnsi" w:hAnsiTheme="majorHAnsi"/>
          <w:i w:val="0"/>
          <w:sz w:val="20"/>
          <w:szCs w:val="20"/>
          <w:lang w:val="es-ES_tradnl"/>
        </w:rPr>
        <w:t xml:space="preserve"> </w:t>
      </w:r>
      <w:r w:rsidR="0008728D" w:rsidRPr="00BF20FA">
        <w:rPr>
          <w:rFonts w:asciiTheme="majorHAnsi" w:hAnsiTheme="majorHAnsi"/>
          <w:i w:val="0"/>
          <w:sz w:val="20"/>
          <w:szCs w:val="20"/>
          <w:lang w:val="es-ES_tradnl"/>
        </w:rPr>
        <w:t>y 2</w:t>
      </w:r>
      <w:r w:rsidR="00C0621B" w:rsidRPr="00BF20FA">
        <w:rPr>
          <w:rStyle w:val="FootnoteReference"/>
          <w:rFonts w:asciiTheme="majorHAnsi" w:hAnsiTheme="majorHAnsi"/>
          <w:b w:val="0"/>
          <w:i w:val="0"/>
          <w:sz w:val="20"/>
          <w:szCs w:val="20"/>
          <w:lang w:val="es-ES_tradnl"/>
        </w:rPr>
        <w:footnoteReference w:id="122"/>
      </w:r>
      <w:r w:rsidR="0008728D" w:rsidRPr="00BF20FA">
        <w:rPr>
          <w:rFonts w:asciiTheme="majorHAnsi" w:hAnsiTheme="majorHAnsi"/>
          <w:i w:val="0"/>
          <w:sz w:val="20"/>
          <w:szCs w:val="20"/>
          <w:lang w:val="es-ES_tradnl"/>
        </w:rPr>
        <w:t xml:space="preserve"> </w:t>
      </w:r>
      <w:r w:rsidR="00220D37" w:rsidRPr="00BF20FA">
        <w:rPr>
          <w:rFonts w:asciiTheme="majorHAnsi" w:hAnsiTheme="majorHAnsi"/>
          <w:i w:val="0"/>
          <w:sz w:val="20"/>
          <w:szCs w:val="20"/>
          <w:lang w:val="es-ES_tradnl"/>
        </w:rPr>
        <w:t>del mismo instrumento</w:t>
      </w:r>
      <w:r w:rsidR="007C4490" w:rsidRPr="00BF20FA">
        <w:rPr>
          <w:rFonts w:asciiTheme="majorHAnsi" w:hAnsiTheme="majorHAnsi"/>
          <w:i w:val="0"/>
          <w:sz w:val="20"/>
          <w:szCs w:val="20"/>
          <w:lang w:val="es-ES_tradnl"/>
        </w:rPr>
        <w:t>.</w:t>
      </w:r>
      <w:bookmarkEnd w:id="31"/>
      <w:bookmarkEnd w:id="33"/>
    </w:p>
    <w:p w14:paraId="04265A4F" w14:textId="77777777" w:rsidR="00220D37" w:rsidRPr="00BF20FA" w:rsidRDefault="00220D37" w:rsidP="008F7F9A">
      <w:pPr>
        <w:pStyle w:val="Heading3"/>
        <w:numPr>
          <w:ilvl w:val="0"/>
          <w:numId w:val="62"/>
        </w:numPr>
        <w:ind w:left="360"/>
        <w:jc w:val="both"/>
        <w:rPr>
          <w:rFonts w:asciiTheme="majorHAnsi" w:hAnsiTheme="majorHAnsi"/>
          <w:sz w:val="20"/>
          <w:szCs w:val="20"/>
          <w:lang w:val="es-ES_tradnl"/>
        </w:rPr>
      </w:pPr>
      <w:bookmarkStart w:id="34" w:name="_Toc15671757"/>
      <w:bookmarkStart w:id="35" w:name="_Toc17221573"/>
      <w:r w:rsidRPr="00BF20FA">
        <w:rPr>
          <w:rFonts w:asciiTheme="majorHAnsi" w:hAnsiTheme="majorHAnsi"/>
          <w:sz w:val="20"/>
          <w:szCs w:val="20"/>
          <w:lang w:val="es-ES_tradnl"/>
        </w:rPr>
        <w:t>Los derechos territoriales de los pueblos indígenas en el Sistema Interamericano de Derechos Humanos</w:t>
      </w:r>
      <w:bookmarkEnd w:id="34"/>
      <w:bookmarkEnd w:id="35"/>
    </w:p>
    <w:p w14:paraId="4E634697" w14:textId="77777777" w:rsidR="00220D37" w:rsidRPr="00BF20FA" w:rsidRDefault="00220D37" w:rsidP="00220D37">
      <w:pPr>
        <w:pStyle w:val="ListParagraph"/>
        <w:ind w:left="1440"/>
        <w:rPr>
          <w:rFonts w:asciiTheme="majorHAnsi" w:hAnsiTheme="majorHAnsi"/>
          <w:b/>
          <w:color w:val="000000" w:themeColor="text1"/>
          <w:sz w:val="20"/>
          <w:szCs w:val="20"/>
          <w:lang w:val="es-ES_tradnl"/>
        </w:rPr>
      </w:pPr>
    </w:p>
    <w:p w14:paraId="5197EA0B" w14:textId="0134DA1B" w:rsidR="00220D37" w:rsidRPr="00BF20FA" w:rsidRDefault="00220D37"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La jurisprudencia del sistema interamericano de derechos humanos ha reconocido reiteradamente el derecho de propiedad de los pueblos indígenas sobre sus territorios ancestrales, y el deber de protección que emana del artículo 21 de la Convención Americana. Al respecto, la CIDH ha afirmado que los pueblos indígenas y tribales tienen un derecho de propiedad comunal sobre las tierras que han usado y ocupado tradicionalmente, y que el carácter de ese derecho está en función de las modalidades de uso de la tierra y la tenencia consuetudinaria de la tierra</w:t>
      </w:r>
      <w:r w:rsidRPr="00BF20FA">
        <w:rPr>
          <w:rFonts w:asciiTheme="majorHAnsi" w:eastAsia="Times New Roman" w:hAnsiTheme="majorHAnsi"/>
          <w:sz w:val="20"/>
          <w:szCs w:val="20"/>
          <w:bdr w:val="none" w:sz="0" w:space="0" w:color="auto"/>
          <w:vertAlign w:val="superscript"/>
          <w:lang w:val="es-ES_tradnl"/>
        </w:rPr>
        <w:footnoteReference w:id="123"/>
      </w:r>
      <w:r w:rsidRPr="00BF20FA">
        <w:rPr>
          <w:rFonts w:asciiTheme="majorHAnsi" w:eastAsia="Times New Roman" w:hAnsiTheme="majorHAnsi"/>
          <w:sz w:val="20"/>
          <w:szCs w:val="20"/>
          <w:bdr w:val="none" w:sz="0" w:space="0" w:color="auto"/>
          <w:lang w:val="es-ES_tradnl"/>
        </w:rPr>
        <w:t xml:space="preserve">. </w:t>
      </w:r>
      <w:r w:rsidR="007944BC" w:rsidRPr="00BF20FA">
        <w:rPr>
          <w:rFonts w:asciiTheme="majorHAnsi" w:eastAsia="Times New Roman" w:hAnsiTheme="majorHAnsi"/>
          <w:sz w:val="20"/>
          <w:szCs w:val="20"/>
          <w:bdr w:val="none" w:sz="0" w:space="0" w:color="auto"/>
          <w:lang w:val="es-ES_tradnl"/>
        </w:rPr>
        <w:t>C</w:t>
      </w:r>
      <w:r w:rsidRPr="00BF20FA">
        <w:rPr>
          <w:rFonts w:asciiTheme="majorHAnsi" w:eastAsia="Times New Roman" w:hAnsiTheme="majorHAnsi"/>
          <w:sz w:val="20"/>
          <w:szCs w:val="20"/>
          <w:bdr w:val="none" w:sz="0" w:space="0" w:color="auto"/>
          <w:lang w:val="es-ES"/>
        </w:rPr>
        <w:t xml:space="preserve">omo han establecido consistentemente los órganos del sistema interamericano, la propiedad territorial indígena es una forma de propiedad que no se fundamenta en el reconocimiento oficial del Estado, sino en el uso y posesión tradicionales de las tierras y recursos; los territorios de los pueblos </w:t>
      </w:r>
      <w:r w:rsidRPr="000A5F88">
        <w:rPr>
          <w:rFonts w:asciiTheme="majorHAnsi" w:hAnsiTheme="majorHAnsi"/>
          <w:color w:val="000000" w:themeColor="text1"/>
          <w:sz w:val="20"/>
          <w:szCs w:val="20"/>
          <w:lang w:val="es-CO"/>
        </w:rPr>
        <w:t>indígenas</w:t>
      </w:r>
      <w:r w:rsidRPr="00BF20FA">
        <w:rPr>
          <w:rFonts w:asciiTheme="majorHAnsi" w:eastAsia="Times New Roman" w:hAnsiTheme="majorHAnsi"/>
          <w:sz w:val="20"/>
          <w:szCs w:val="20"/>
          <w:bdr w:val="none" w:sz="0" w:space="0" w:color="auto"/>
          <w:lang w:val="es-ES"/>
        </w:rPr>
        <w:t xml:space="preserve"> y tribales “les pertenecen por su uso u ocupación ancestral”</w:t>
      </w:r>
      <w:r w:rsidRPr="00BF20FA">
        <w:rPr>
          <w:rFonts w:asciiTheme="majorHAnsi" w:eastAsia="Times New Roman" w:hAnsiTheme="majorHAnsi"/>
          <w:sz w:val="20"/>
          <w:szCs w:val="20"/>
          <w:bdr w:val="none" w:sz="0" w:space="0" w:color="auto"/>
          <w:vertAlign w:val="superscript"/>
          <w:lang w:val="es-ES"/>
        </w:rPr>
        <w:footnoteReference w:id="124"/>
      </w:r>
      <w:r w:rsidRPr="00BF20FA">
        <w:rPr>
          <w:rFonts w:asciiTheme="majorHAnsi" w:eastAsia="Times New Roman" w:hAnsiTheme="majorHAnsi"/>
          <w:sz w:val="20"/>
          <w:szCs w:val="20"/>
          <w:bdr w:val="none" w:sz="0" w:space="0" w:color="auto"/>
          <w:lang w:val="es-ES"/>
        </w:rPr>
        <w:t xml:space="preserve">. El derecho de propiedad comunal </w:t>
      </w:r>
      <w:r w:rsidRPr="000A5F88">
        <w:rPr>
          <w:rFonts w:asciiTheme="majorHAnsi" w:hAnsiTheme="majorHAnsi"/>
          <w:sz w:val="20"/>
          <w:szCs w:val="20"/>
          <w:lang w:val="es-AR"/>
        </w:rPr>
        <w:t>indígena</w:t>
      </w:r>
      <w:r w:rsidRPr="00BF20FA">
        <w:rPr>
          <w:rFonts w:asciiTheme="majorHAnsi" w:eastAsia="Times New Roman" w:hAnsiTheme="majorHAnsi"/>
          <w:sz w:val="20"/>
          <w:szCs w:val="20"/>
          <w:bdr w:val="none" w:sz="0" w:space="0" w:color="auto"/>
          <w:lang w:val="es-ES"/>
        </w:rPr>
        <w:t xml:space="preserve"> se fundamenta asimismo en las culturas jurídicas indígenas, y en sus sistemas ancestrales de propiedad, con independencia del reconocimiento estatal; el origen de los derechos de propiedad de los pueblos indígenas y tribales se encuentra, por ende, en el sistema consuetudinario de tenencia de la tierra que ha existido tradicionalmente entre las comunidades</w:t>
      </w:r>
      <w:r w:rsidRPr="00BF20FA">
        <w:rPr>
          <w:rFonts w:asciiTheme="majorHAnsi" w:eastAsia="Times New Roman" w:hAnsiTheme="majorHAnsi"/>
          <w:sz w:val="20"/>
          <w:szCs w:val="20"/>
          <w:bdr w:val="none" w:sz="0" w:space="0" w:color="auto"/>
          <w:vertAlign w:val="superscript"/>
          <w:lang w:val="es-ES"/>
        </w:rPr>
        <w:footnoteReference w:id="125"/>
      </w:r>
      <w:r w:rsidRPr="00BF20FA">
        <w:rPr>
          <w:rFonts w:asciiTheme="majorHAnsi" w:eastAsia="Times New Roman" w:hAnsiTheme="majorHAnsi"/>
          <w:sz w:val="20"/>
          <w:szCs w:val="20"/>
          <w:bdr w:val="none" w:sz="0" w:space="0" w:color="auto"/>
          <w:lang w:val="es-ES"/>
        </w:rPr>
        <w:t xml:space="preserve">. </w:t>
      </w:r>
      <w:r w:rsidRPr="00BF20FA">
        <w:rPr>
          <w:rFonts w:asciiTheme="majorHAnsi" w:eastAsia="Times New Roman" w:hAnsiTheme="majorHAnsi" w:cs="Verdana"/>
          <w:sz w:val="20"/>
          <w:szCs w:val="20"/>
          <w:bdr w:val="none" w:sz="0" w:space="0" w:color="auto"/>
          <w:lang w:val="es-ES"/>
        </w:rPr>
        <w:t>En virtud a ello ha afirmado la Corte que “la posesión tradicional de los indígenas sobre sus tierras tiene efectos equivalentes al título de pleno dominio que otorga el Estado”</w:t>
      </w:r>
      <w:r w:rsidRPr="00BF20FA">
        <w:rPr>
          <w:rFonts w:asciiTheme="majorHAnsi" w:eastAsia="Times New Roman" w:hAnsiTheme="majorHAnsi" w:cs="Verdana"/>
          <w:sz w:val="20"/>
          <w:szCs w:val="20"/>
          <w:bdr w:val="none" w:sz="0" w:space="0" w:color="auto"/>
          <w:vertAlign w:val="superscript"/>
          <w:lang w:val="es-ES"/>
        </w:rPr>
        <w:footnoteReference w:id="126"/>
      </w:r>
      <w:r w:rsidRPr="00BF20FA">
        <w:rPr>
          <w:rFonts w:asciiTheme="majorHAnsi" w:eastAsia="Times New Roman" w:hAnsiTheme="majorHAnsi" w:cs="Verdana"/>
          <w:sz w:val="20"/>
          <w:szCs w:val="20"/>
          <w:bdr w:val="none" w:sz="0" w:space="0" w:color="auto"/>
          <w:lang w:val="es-ES"/>
        </w:rPr>
        <w:t>.</w:t>
      </w:r>
    </w:p>
    <w:p w14:paraId="4BFA8402" w14:textId="77777777" w:rsidR="009913DA" w:rsidRPr="00BF20FA" w:rsidRDefault="009913DA" w:rsidP="009913DA">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jc w:val="both"/>
        <w:rPr>
          <w:rFonts w:asciiTheme="majorHAnsi" w:eastAsia="Times New Roman" w:hAnsiTheme="majorHAnsi"/>
          <w:sz w:val="20"/>
          <w:szCs w:val="20"/>
          <w:bdr w:val="none" w:sz="0" w:space="0" w:color="auto"/>
          <w:lang w:val="es-ES_tradnl"/>
        </w:rPr>
      </w:pPr>
    </w:p>
    <w:p w14:paraId="64A71CA9" w14:textId="23471941" w:rsidR="009913DA" w:rsidRPr="00BF20FA" w:rsidRDefault="00C91EB3"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hAnsiTheme="majorHAnsi"/>
          <w:sz w:val="20"/>
          <w:szCs w:val="20"/>
          <w:lang w:val="es-MX"/>
        </w:rPr>
        <w:lastRenderedPageBreak/>
        <w:t>Así, e</w:t>
      </w:r>
      <w:r w:rsidR="009913DA" w:rsidRPr="00BF20FA">
        <w:rPr>
          <w:rFonts w:asciiTheme="majorHAnsi" w:hAnsiTheme="majorHAnsi"/>
          <w:sz w:val="20"/>
          <w:szCs w:val="20"/>
          <w:lang w:val="es-MX"/>
        </w:rPr>
        <w:t xml:space="preserve">n el caso </w:t>
      </w:r>
      <w:r w:rsidRPr="00BF20FA">
        <w:rPr>
          <w:rFonts w:asciiTheme="majorHAnsi" w:hAnsiTheme="majorHAnsi"/>
          <w:i/>
          <w:sz w:val="20"/>
          <w:szCs w:val="20"/>
          <w:lang w:val="es-MX"/>
        </w:rPr>
        <w:t xml:space="preserve">Pueblo </w:t>
      </w:r>
      <w:r w:rsidR="009913DA" w:rsidRPr="00BF20FA">
        <w:rPr>
          <w:rFonts w:asciiTheme="majorHAnsi" w:hAnsiTheme="majorHAnsi"/>
          <w:i/>
          <w:sz w:val="20"/>
          <w:szCs w:val="20"/>
          <w:lang w:val="es-MX"/>
        </w:rPr>
        <w:t xml:space="preserve">Xucurú </w:t>
      </w:r>
      <w:r w:rsidRPr="00BF20FA">
        <w:rPr>
          <w:rFonts w:asciiTheme="majorHAnsi" w:hAnsiTheme="majorHAnsi"/>
          <w:i/>
          <w:sz w:val="20"/>
          <w:szCs w:val="20"/>
          <w:lang w:val="es-MX"/>
        </w:rPr>
        <w:t xml:space="preserve">y sus miembros </w:t>
      </w:r>
      <w:r w:rsidR="009913DA" w:rsidRPr="00BF20FA">
        <w:rPr>
          <w:rFonts w:asciiTheme="majorHAnsi" w:hAnsiTheme="majorHAnsi"/>
          <w:i/>
          <w:sz w:val="20"/>
          <w:szCs w:val="20"/>
          <w:lang w:val="es-MX"/>
        </w:rPr>
        <w:t>vs. Brasil</w:t>
      </w:r>
      <w:r w:rsidR="009913DA" w:rsidRPr="00BF20FA">
        <w:rPr>
          <w:rStyle w:val="FootnoteReference"/>
          <w:rFonts w:asciiTheme="majorHAnsi" w:hAnsiTheme="majorHAnsi"/>
          <w:sz w:val="20"/>
          <w:szCs w:val="20"/>
          <w:lang w:val="es-MX"/>
        </w:rPr>
        <w:footnoteReference w:id="127"/>
      </w:r>
      <w:r w:rsidR="009913DA" w:rsidRPr="00BF20FA">
        <w:rPr>
          <w:rFonts w:asciiTheme="majorHAnsi" w:hAnsiTheme="majorHAnsi"/>
          <w:sz w:val="20"/>
          <w:szCs w:val="20"/>
          <w:lang w:val="es-MX"/>
        </w:rPr>
        <w:t xml:space="preserve">, la Corte recordó su jurisprudencia respecto a la propiedad </w:t>
      </w:r>
      <w:r w:rsidR="00470342" w:rsidRPr="00BF20FA">
        <w:rPr>
          <w:rFonts w:asciiTheme="majorHAnsi" w:hAnsiTheme="majorHAnsi"/>
          <w:sz w:val="20"/>
          <w:szCs w:val="20"/>
          <w:lang w:val="es-MX"/>
        </w:rPr>
        <w:t xml:space="preserve">colectiva </w:t>
      </w:r>
      <w:r w:rsidR="009913DA" w:rsidRPr="00BF20FA">
        <w:rPr>
          <w:rFonts w:asciiTheme="majorHAnsi" w:hAnsiTheme="majorHAnsi"/>
          <w:sz w:val="20"/>
          <w:szCs w:val="20"/>
          <w:lang w:val="es-MX"/>
        </w:rPr>
        <w:t xml:space="preserve"> de las tierras </w:t>
      </w:r>
      <w:r w:rsidR="00470342" w:rsidRPr="00BF20FA">
        <w:rPr>
          <w:rFonts w:asciiTheme="majorHAnsi" w:hAnsiTheme="majorHAnsi"/>
          <w:sz w:val="20"/>
          <w:szCs w:val="20"/>
          <w:lang w:val="es-MX"/>
        </w:rPr>
        <w:t xml:space="preserve">y territorios de los pueblos </w:t>
      </w:r>
      <w:r w:rsidR="009913DA" w:rsidRPr="00BF20FA">
        <w:rPr>
          <w:rFonts w:asciiTheme="majorHAnsi" w:hAnsiTheme="majorHAnsi"/>
          <w:sz w:val="20"/>
          <w:szCs w:val="20"/>
          <w:lang w:val="es-MX"/>
        </w:rPr>
        <w:t xml:space="preserve">indígenas, según la cual se indica </w:t>
      </w:r>
      <w:r w:rsidR="009913DA" w:rsidRPr="00BF20FA">
        <w:rPr>
          <w:rFonts w:asciiTheme="majorHAnsi" w:hAnsiTheme="majorHAnsi"/>
          <w:i/>
          <w:sz w:val="20"/>
          <w:szCs w:val="20"/>
          <w:lang w:val="es-MX"/>
        </w:rPr>
        <w:t>inter alia</w:t>
      </w:r>
      <w:r w:rsidR="009913DA" w:rsidRPr="00BF20FA">
        <w:rPr>
          <w:rFonts w:asciiTheme="majorHAnsi" w:hAnsiTheme="majorHAnsi"/>
          <w:sz w:val="20"/>
          <w:szCs w:val="20"/>
          <w:lang w:val="es-MX"/>
        </w:rPr>
        <w:t xml:space="preserve"> que: 1) la posesión tradicional de los indígenas sobre sus tierras tiene efectos equivalentes al título de pleno dominio que otorga el Estado; 2) la posesión tradicional otorga a los indígenas el derecho a exigir el reconocimiento oficial de propiedad y su registro; 3) los miembros de los pueblos indígenas que por causas ajenas a su voluntad han salido o perdido la posesión de sus tierras tradicionales mantienen el derecho de propiedad sobre las </w:t>
      </w:r>
      <w:r w:rsidR="009913DA" w:rsidRPr="000A5F88">
        <w:rPr>
          <w:rFonts w:asciiTheme="majorHAnsi" w:hAnsiTheme="majorHAnsi"/>
          <w:sz w:val="20"/>
          <w:szCs w:val="20"/>
          <w:lang w:val="es-AR"/>
        </w:rPr>
        <w:t>mismas</w:t>
      </w:r>
      <w:r w:rsidR="009913DA" w:rsidRPr="00BF20FA">
        <w:rPr>
          <w:rFonts w:asciiTheme="majorHAnsi" w:hAnsiTheme="majorHAnsi"/>
          <w:sz w:val="20"/>
          <w:szCs w:val="20"/>
          <w:lang w:val="es-MX"/>
        </w:rPr>
        <w:t xml:space="preserve">, aún a falta de título legal, salvo cuando las tierras hayan sido legítimamente trasladadas a terceros de buena fe; 4) el Estado debe delimitar, demarcar y otorgar título colectivo de las tierras a los </w:t>
      </w:r>
      <w:r w:rsidR="009913DA" w:rsidRPr="000A5F88">
        <w:rPr>
          <w:rFonts w:asciiTheme="majorHAnsi" w:hAnsiTheme="majorHAnsi"/>
          <w:color w:val="000000" w:themeColor="text1"/>
          <w:sz w:val="20"/>
          <w:szCs w:val="20"/>
          <w:lang w:val="es-CO"/>
        </w:rPr>
        <w:t>miembros</w:t>
      </w:r>
      <w:r w:rsidR="009913DA" w:rsidRPr="00BF20FA">
        <w:rPr>
          <w:rFonts w:asciiTheme="majorHAnsi" w:hAnsiTheme="majorHAnsi"/>
          <w:sz w:val="20"/>
          <w:szCs w:val="20"/>
          <w:lang w:val="es-MX"/>
        </w:rPr>
        <w:t xml:space="preserve"> de las comunidades indígenas</w:t>
      </w:r>
      <w:r w:rsidR="009913DA" w:rsidRPr="00BF20FA">
        <w:rPr>
          <w:rStyle w:val="FootnoteReference"/>
          <w:rFonts w:asciiTheme="majorHAnsi" w:hAnsiTheme="majorHAnsi"/>
          <w:sz w:val="20"/>
          <w:szCs w:val="20"/>
        </w:rPr>
        <w:footnoteReference w:id="128"/>
      </w:r>
      <w:r w:rsidR="009913DA" w:rsidRPr="00BF20FA">
        <w:rPr>
          <w:rFonts w:asciiTheme="majorHAnsi" w:hAnsiTheme="majorHAnsi"/>
          <w:sz w:val="20"/>
          <w:szCs w:val="20"/>
          <w:lang w:val="es-MX"/>
        </w:rPr>
        <w:t>; 5) los miembros de los pueblos indígenas que involuntariamente han perdido la posesión de sus tierras, y éstas han sido trasladadas legítimamente a terceros de buena fe, tienen el derecho de recuperarlas o a obtener otras tierras de igual extensión y calidad</w:t>
      </w:r>
      <w:r w:rsidR="009913DA" w:rsidRPr="00BF20FA">
        <w:rPr>
          <w:rFonts w:asciiTheme="majorHAnsi" w:hAnsiTheme="majorHAnsi"/>
          <w:sz w:val="20"/>
          <w:szCs w:val="20"/>
          <w:vertAlign w:val="superscript"/>
        </w:rPr>
        <w:footnoteReference w:id="129"/>
      </w:r>
      <w:r w:rsidR="009913DA" w:rsidRPr="00BF20FA">
        <w:rPr>
          <w:rFonts w:asciiTheme="majorHAnsi" w:hAnsiTheme="majorHAnsi"/>
          <w:sz w:val="20"/>
          <w:szCs w:val="20"/>
          <w:lang w:val="es-MX"/>
        </w:rPr>
        <w:t>; 6) el Estado debe garantizar la propiedad efectiva de los pueblos indígenas y abstenerse de realizar actos que puedan llevar a que los agentes del propio Estado, o terceros que actúen con su aquiescencia o su tolerancia, afecten la existencia, el valor, el uso o el goce de su territorio</w:t>
      </w:r>
      <w:r w:rsidR="009913DA" w:rsidRPr="00BF20FA">
        <w:rPr>
          <w:rFonts w:asciiTheme="majorHAnsi" w:hAnsiTheme="majorHAnsi"/>
          <w:sz w:val="20"/>
          <w:szCs w:val="20"/>
          <w:vertAlign w:val="superscript"/>
        </w:rPr>
        <w:footnoteReference w:id="130"/>
      </w:r>
      <w:r w:rsidR="009913DA" w:rsidRPr="00BF20FA">
        <w:rPr>
          <w:rFonts w:asciiTheme="majorHAnsi" w:hAnsiTheme="majorHAnsi"/>
          <w:sz w:val="20"/>
          <w:szCs w:val="20"/>
          <w:lang w:val="es-MX"/>
        </w:rPr>
        <w:t>; 7) el Estado debe garantizar el derecho de los pueblos indígenas de controlar efectivamente y ser propietarios de su territorio sin ningún tipo de interferencia externa de terceros</w:t>
      </w:r>
      <w:r w:rsidR="009913DA" w:rsidRPr="00BF20FA">
        <w:rPr>
          <w:rFonts w:asciiTheme="majorHAnsi" w:hAnsiTheme="majorHAnsi"/>
          <w:sz w:val="20"/>
          <w:szCs w:val="20"/>
          <w:vertAlign w:val="superscript"/>
        </w:rPr>
        <w:footnoteReference w:id="131"/>
      </w:r>
      <w:r w:rsidR="009913DA" w:rsidRPr="00BF20FA">
        <w:rPr>
          <w:rFonts w:asciiTheme="majorHAnsi" w:hAnsiTheme="majorHAnsi"/>
          <w:sz w:val="20"/>
          <w:szCs w:val="20"/>
          <w:lang w:val="es-MX"/>
        </w:rPr>
        <w:t>, y 8) el Estado debe garantizar el derecho de los pueblos indígenas al control y uso de su territorio y recursos naturales</w:t>
      </w:r>
      <w:r w:rsidR="009913DA" w:rsidRPr="00BF20FA">
        <w:rPr>
          <w:rFonts w:asciiTheme="majorHAnsi" w:hAnsiTheme="majorHAnsi"/>
          <w:sz w:val="20"/>
          <w:szCs w:val="20"/>
          <w:vertAlign w:val="superscript"/>
        </w:rPr>
        <w:footnoteReference w:id="132"/>
      </w:r>
      <w:r w:rsidR="009913DA" w:rsidRPr="00BF20FA">
        <w:rPr>
          <w:rFonts w:asciiTheme="majorHAnsi" w:hAnsiTheme="majorHAnsi"/>
          <w:sz w:val="20"/>
          <w:szCs w:val="20"/>
          <w:lang w:val="es-MX"/>
        </w:rPr>
        <w:t>.</w:t>
      </w:r>
    </w:p>
    <w:p w14:paraId="7A037AB9" w14:textId="77777777" w:rsidR="00220D37" w:rsidRPr="00BF20FA" w:rsidRDefault="00220D37" w:rsidP="00A91762">
      <w:pPr>
        <w:pBdr>
          <w:top w:val="none" w:sz="0" w:space="0" w:color="auto"/>
          <w:left w:val="none" w:sz="0" w:space="0" w:color="auto"/>
          <w:bottom w:val="none" w:sz="0" w:space="0" w:color="auto"/>
          <w:right w:val="none" w:sz="0" w:space="0" w:color="auto"/>
          <w:between w:val="none" w:sz="0" w:space="0" w:color="auto"/>
          <w:bar w:val="none" w:sz="0" w:color="auto"/>
        </w:pBdr>
        <w:tabs>
          <w:tab w:val="num" w:pos="-2160"/>
        </w:tabs>
        <w:jc w:val="both"/>
        <w:rPr>
          <w:rFonts w:asciiTheme="majorHAnsi" w:eastAsia="Calibri" w:hAnsiTheme="majorHAnsi"/>
          <w:sz w:val="20"/>
          <w:szCs w:val="20"/>
          <w:bdr w:val="none" w:sz="0" w:space="0" w:color="auto"/>
          <w:lang w:val="es-ES_tradnl"/>
        </w:rPr>
      </w:pPr>
    </w:p>
    <w:p w14:paraId="72880AA8" w14:textId="77777777" w:rsidR="00C91EB3" w:rsidRPr="00BF20FA" w:rsidRDefault="009913D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La</w:t>
      </w:r>
      <w:r w:rsidR="00220D37" w:rsidRPr="00BF20FA">
        <w:rPr>
          <w:rFonts w:asciiTheme="majorHAnsi" w:eastAsia="Times New Roman" w:hAnsiTheme="majorHAnsi"/>
          <w:sz w:val="20"/>
          <w:szCs w:val="20"/>
          <w:bdr w:val="none" w:sz="0" w:space="0" w:color="auto"/>
          <w:lang w:val="es-ES_tradnl"/>
        </w:rPr>
        <w:t xml:space="preserve"> relación especial y única entre los pueblos indígenas y sus territorios tradicionales tiene protección jurídica </w:t>
      </w:r>
      <w:r w:rsidR="00220D37" w:rsidRPr="000A5F88">
        <w:rPr>
          <w:rFonts w:asciiTheme="majorHAnsi" w:hAnsiTheme="majorHAnsi"/>
          <w:color w:val="000000" w:themeColor="text1"/>
          <w:sz w:val="20"/>
          <w:szCs w:val="20"/>
          <w:lang w:val="es-CO"/>
        </w:rPr>
        <w:t>internacional</w:t>
      </w:r>
      <w:r w:rsidR="00220D37" w:rsidRPr="00BF20FA">
        <w:rPr>
          <w:rFonts w:asciiTheme="majorHAnsi" w:eastAsia="Times New Roman" w:hAnsiTheme="majorHAnsi"/>
          <w:sz w:val="20"/>
          <w:szCs w:val="20"/>
          <w:bdr w:val="none" w:sz="0" w:space="0" w:color="auto"/>
          <w:lang w:val="es-ES_tradnl"/>
        </w:rPr>
        <w:t>. Según han afirmado la CIDH y la Corte Interamericana, la preservación de la conexión particular entre las comunidades indígenas y sus tierras y recursos se vincula a la existencia misma de estos pueblos, y por lo mismo “amerita medidas especiales de protección”</w:t>
      </w:r>
      <w:r w:rsidR="00220D37" w:rsidRPr="00BF20FA">
        <w:rPr>
          <w:rFonts w:asciiTheme="majorHAnsi" w:eastAsia="Times New Roman" w:hAnsiTheme="majorHAnsi"/>
          <w:sz w:val="20"/>
          <w:szCs w:val="20"/>
          <w:bdr w:val="none" w:sz="0" w:space="0" w:color="auto"/>
          <w:vertAlign w:val="superscript"/>
          <w:lang w:val="es-ES_tradnl"/>
        </w:rPr>
        <w:footnoteReference w:id="133"/>
      </w:r>
      <w:r w:rsidR="00220D37" w:rsidRPr="00BF20FA">
        <w:rPr>
          <w:rFonts w:asciiTheme="majorHAnsi" w:eastAsia="Times New Roman" w:hAnsiTheme="majorHAnsi"/>
          <w:sz w:val="20"/>
          <w:szCs w:val="20"/>
          <w:bdr w:val="none" w:sz="0" w:space="0" w:color="auto"/>
          <w:lang w:val="es-ES_tradnl"/>
        </w:rPr>
        <w:t xml:space="preserve">. </w:t>
      </w:r>
    </w:p>
    <w:p w14:paraId="680DCE2F" w14:textId="77777777" w:rsidR="00C91EB3" w:rsidRPr="00BF20FA" w:rsidRDefault="00C91EB3" w:rsidP="00C91EB3">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rPr>
          <w:rFonts w:asciiTheme="majorHAnsi" w:eastAsia="Times New Roman" w:hAnsiTheme="majorHAnsi"/>
          <w:sz w:val="20"/>
          <w:szCs w:val="20"/>
          <w:bdr w:val="none" w:sz="0" w:space="0" w:color="auto"/>
          <w:lang w:val="es-ES_tradnl"/>
        </w:rPr>
      </w:pPr>
    </w:p>
    <w:p w14:paraId="74ABC45A" w14:textId="77777777" w:rsidR="00220D37" w:rsidRPr="00BF20FA" w:rsidRDefault="00220D37"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 xml:space="preserve">Asimismo, la Corte Interamericana ha señalado lo siguiente respecto del derecho de propiedad de los </w:t>
      </w:r>
      <w:r w:rsidRPr="000A5F88">
        <w:rPr>
          <w:rFonts w:asciiTheme="majorHAnsi" w:hAnsiTheme="majorHAnsi"/>
          <w:sz w:val="20"/>
          <w:szCs w:val="20"/>
          <w:lang w:val="es-AR"/>
        </w:rPr>
        <w:t>pueblos</w:t>
      </w:r>
      <w:r w:rsidRPr="00BF20FA">
        <w:rPr>
          <w:rFonts w:asciiTheme="majorHAnsi" w:eastAsia="Times New Roman" w:hAnsiTheme="majorHAnsi"/>
          <w:sz w:val="20"/>
          <w:szCs w:val="20"/>
          <w:bdr w:val="none" w:sz="0" w:space="0" w:color="auto"/>
          <w:lang w:val="es-ES_tradnl"/>
        </w:rPr>
        <w:t xml:space="preserve"> indígenas:</w:t>
      </w:r>
    </w:p>
    <w:p w14:paraId="7C98A462" w14:textId="77777777" w:rsidR="0089169B" w:rsidRPr="00BF20FA" w:rsidRDefault="0089169B" w:rsidP="0089169B">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540"/>
        </w:tabs>
        <w:jc w:val="both"/>
        <w:rPr>
          <w:rFonts w:asciiTheme="majorHAnsi" w:eastAsia="Times New Roman" w:hAnsiTheme="majorHAnsi"/>
          <w:sz w:val="20"/>
          <w:szCs w:val="20"/>
          <w:bdr w:val="none" w:sz="0" w:space="0" w:color="auto"/>
          <w:lang w:val="es-ES_tradnl"/>
        </w:rPr>
      </w:pPr>
    </w:p>
    <w:p w14:paraId="06E72ED4" w14:textId="3820F9EC" w:rsidR="0089169B" w:rsidRDefault="00220D37" w:rsidP="00675C1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sz w:val="18"/>
          <w:szCs w:val="18"/>
          <w:bdr w:val="none" w:sz="0" w:space="0" w:color="auto"/>
          <w:lang w:val="es-MX"/>
        </w:rPr>
      </w:pPr>
      <w:r w:rsidRPr="00BF20FA">
        <w:rPr>
          <w:rFonts w:asciiTheme="majorHAnsi" w:eastAsia="Times New Roman" w:hAnsiTheme="majorHAnsi"/>
          <w:sz w:val="18"/>
          <w:szCs w:val="18"/>
          <w:bdr w:val="none" w:sz="0" w:space="0" w:color="auto"/>
          <w:lang w:val="es-ES_tradnl"/>
        </w:rPr>
        <w:t xml:space="preserve">Haciendo uso de los criterios señalados, este Tribunal ha considerado que la estrecha vinculación de los integrantes de los pueblos indígenas con sus tierras tradicionales y los recursos naturales ligados a su cultura que ahí se encuentren, así como los elementos incorporales que se </w:t>
      </w:r>
      <w:r w:rsidRPr="00BF20FA">
        <w:rPr>
          <w:rFonts w:asciiTheme="majorHAnsi" w:eastAsia="MS Mincho" w:hAnsiTheme="majorHAnsi" w:cs="Verdana"/>
          <w:sz w:val="18"/>
          <w:szCs w:val="18"/>
          <w:bdr w:val="none" w:sz="0" w:space="0" w:color="auto"/>
          <w:lang w:val="es-ES_tradnl"/>
        </w:rPr>
        <w:t>desprendan</w:t>
      </w:r>
      <w:r w:rsidRPr="00BF20FA">
        <w:rPr>
          <w:rFonts w:asciiTheme="majorHAnsi" w:eastAsia="Times New Roman" w:hAnsiTheme="majorHAnsi"/>
          <w:sz w:val="18"/>
          <w:szCs w:val="18"/>
          <w:bdr w:val="none" w:sz="0" w:space="0" w:color="auto"/>
          <w:lang w:val="es-ES_tradnl"/>
        </w:rPr>
        <w:t xml:space="preserve"> de ellos, deben ser salvaguardados por el artículo 21 de la Convención Americana. La cultura de los miembros de las comunidades indígenas corresponde a una forma de vida particular de ser, ver y actuar en el mundo, constituido a partir de su estrecha relación con sus tierras tradicionales y recursos naturales, no sólo por ser estos su principal medio de subsistencia, sino además porque constituyen un elemento integrante de su cosmovisión, religiosidad y, por ende, de su identidad cultural</w:t>
      </w:r>
      <w:r w:rsidRPr="00BF20FA">
        <w:rPr>
          <w:rFonts w:asciiTheme="majorHAnsi" w:eastAsia="Times New Roman" w:hAnsiTheme="majorHAnsi"/>
          <w:sz w:val="18"/>
          <w:szCs w:val="18"/>
          <w:bdr w:val="none" w:sz="0" w:space="0" w:color="auto"/>
          <w:vertAlign w:val="superscript"/>
          <w:lang w:val="es-ES_tradnl"/>
        </w:rPr>
        <w:footnoteReference w:id="134"/>
      </w:r>
      <w:r w:rsidRPr="00BF20FA">
        <w:rPr>
          <w:rFonts w:asciiTheme="majorHAnsi" w:eastAsia="Times New Roman" w:hAnsiTheme="majorHAnsi"/>
          <w:sz w:val="18"/>
          <w:szCs w:val="18"/>
          <w:bdr w:val="none" w:sz="0" w:space="0" w:color="auto"/>
          <w:lang w:val="es-ES_tradnl"/>
        </w:rPr>
        <w:t>.</w:t>
      </w:r>
      <w:r w:rsidRPr="00BF20FA">
        <w:rPr>
          <w:rFonts w:asciiTheme="majorHAnsi" w:eastAsia="Times New Roman" w:hAnsiTheme="majorHAnsi"/>
          <w:sz w:val="18"/>
          <w:szCs w:val="18"/>
          <w:bdr w:val="none" w:sz="0" w:space="0" w:color="auto"/>
          <w:lang w:val="es-MX"/>
        </w:rPr>
        <w:t xml:space="preserve"> </w:t>
      </w:r>
    </w:p>
    <w:p w14:paraId="6420B410" w14:textId="079CB4DB" w:rsidR="00087845" w:rsidRDefault="00087845" w:rsidP="00675C1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sz w:val="18"/>
          <w:szCs w:val="18"/>
          <w:bdr w:val="none" w:sz="0" w:space="0" w:color="auto"/>
          <w:lang w:val="es-MX"/>
        </w:rPr>
      </w:pPr>
    </w:p>
    <w:p w14:paraId="21D2F6AC" w14:textId="3D1AAFA5" w:rsidR="00087845" w:rsidRDefault="00087845" w:rsidP="00675C1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sz w:val="18"/>
          <w:szCs w:val="18"/>
          <w:bdr w:val="none" w:sz="0" w:space="0" w:color="auto"/>
          <w:lang w:val="es-MX"/>
        </w:rPr>
      </w:pPr>
    </w:p>
    <w:p w14:paraId="43D12B6D" w14:textId="103FB8EA" w:rsidR="00087845" w:rsidRDefault="00087845" w:rsidP="00675C1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sz w:val="18"/>
          <w:szCs w:val="18"/>
          <w:bdr w:val="none" w:sz="0" w:space="0" w:color="auto"/>
          <w:lang w:val="es-MX"/>
        </w:rPr>
      </w:pPr>
    </w:p>
    <w:p w14:paraId="77A5B4AF" w14:textId="4AF979CF" w:rsidR="00087845" w:rsidRDefault="00087845" w:rsidP="00675C1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sz w:val="18"/>
          <w:szCs w:val="18"/>
          <w:bdr w:val="none" w:sz="0" w:space="0" w:color="auto"/>
          <w:lang w:val="es-MX"/>
        </w:rPr>
      </w:pPr>
    </w:p>
    <w:p w14:paraId="5FC2E126" w14:textId="0A0DE329" w:rsidR="00087845" w:rsidRDefault="00087845" w:rsidP="00675C14">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sz w:val="18"/>
          <w:szCs w:val="18"/>
          <w:bdr w:val="none" w:sz="0" w:space="0" w:color="auto"/>
          <w:lang w:val="es-MX"/>
        </w:rPr>
      </w:pPr>
    </w:p>
    <w:p w14:paraId="6DFC2BCB" w14:textId="106C16D2" w:rsidR="00220D37" w:rsidRPr="00BF20FA" w:rsidRDefault="00470342" w:rsidP="008F7F9A">
      <w:pPr>
        <w:pStyle w:val="Heading3"/>
        <w:numPr>
          <w:ilvl w:val="0"/>
          <w:numId w:val="62"/>
        </w:numPr>
        <w:ind w:left="360"/>
        <w:jc w:val="both"/>
        <w:rPr>
          <w:rFonts w:asciiTheme="majorHAnsi" w:hAnsiTheme="majorHAnsi"/>
          <w:sz w:val="20"/>
          <w:szCs w:val="20"/>
          <w:lang w:val="es-ES_tradnl"/>
        </w:rPr>
      </w:pPr>
      <w:bookmarkStart w:id="36" w:name="_Toc423502731"/>
      <w:bookmarkStart w:id="37" w:name="_Toc15671758"/>
      <w:bookmarkStart w:id="38" w:name="_Toc17221574"/>
      <w:r w:rsidRPr="00BF20FA">
        <w:rPr>
          <w:rFonts w:asciiTheme="majorHAnsi" w:hAnsiTheme="majorHAnsi"/>
          <w:sz w:val="20"/>
          <w:szCs w:val="20"/>
          <w:lang w:val="es-ES_tradnl"/>
        </w:rPr>
        <w:lastRenderedPageBreak/>
        <w:t>Análisis del d</w:t>
      </w:r>
      <w:r w:rsidR="00227023" w:rsidRPr="00BF20FA">
        <w:rPr>
          <w:rFonts w:asciiTheme="majorHAnsi" w:hAnsiTheme="majorHAnsi"/>
          <w:sz w:val="20"/>
          <w:szCs w:val="20"/>
          <w:lang w:val="es-ES_tradnl"/>
        </w:rPr>
        <w:t>erecho a la propiedad del P</w:t>
      </w:r>
      <w:r w:rsidR="00220D37" w:rsidRPr="00BF20FA">
        <w:rPr>
          <w:rFonts w:asciiTheme="majorHAnsi" w:hAnsiTheme="majorHAnsi"/>
          <w:sz w:val="20"/>
          <w:szCs w:val="20"/>
          <w:lang w:val="es-ES_tradnl"/>
        </w:rPr>
        <w:t xml:space="preserve">ueblo </w:t>
      </w:r>
      <w:r w:rsidR="00406E85" w:rsidRPr="00BF20FA">
        <w:rPr>
          <w:rFonts w:asciiTheme="majorHAnsi" w:hAnsiTheme="majorHAnsi"/>
          <w:sz w:val="20"/>
          <w:szCs w:val="20"/>
          <w:lang w:val="es-ES_tradnl"/>
        </w:rPr>
        <w:t>U´wa</w:t>
      </w:r>
      <w:bookmarkEnd w:id="36"/>
      <w:r w:rsidRPr="00BF20FA">
        <w:rPr>
          <w:rFonts w:asciiTheme="majorHAnsi" w:hAnsiTheme="majorHAnsi"/>
          <w:sz w:val="20"/>
          <w:szCs w:val="20"/>
          <w:lang w:val="es-ES_tradnl"/>
        </w:rPr>
        <w:t xml:space="preserve"> respecto de las obligaciones de </w:t>
      </w:r>
      <w:r w:rsidR="00CC696A" w:rsidRPr="00BF20FA">
        <w:rPr>
          <w:rFonts w:asciiTheme="majorHAnsi" w:hAnsiTheme="majorHAnsi"/>
          <w:sz w:val="20"/>
          <w:szCs w:val="20"/>
          <w:lang w:val="es-ES_tradnl"/>
        </w:rPr>
        <w:t>titulación y saneamiento</w:t>
      </w:r>
      <w:bookmarkEnd w:id="37"/>
      <w:bookmarkEnd w:id="38"/>
      <w:r w:rsidR="00CC696A" w:rsidRPr="00BF20FA">
        <w:rPr>
          <w:rFonts w:asciiTheme="majorHAnsi" w:hAnsiTheme="majorHAnsi"/>
          <w:sz w:val="20"/>
          <w:szCs w:val="20"/>
          <w:lang w:val="es-ES_tradnl"/>
        </w:rPr>
        <w:t xml:space="preserve"> </w:t>
      </w:r>
    </w:p>
    <w:p w14:paraId="7E28EE19" w14:textId="77777777" w:rsidR="00220D37" w:rsidRPr="00BF20FA" w:rsidRDefault="00220D37" w:rsidP="00A9176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Calibri" w:hAnsiTheme="majorHAnsi"/>
          <w:sz w:val="20"/>
          <w:szCs w:val="20"/>
          <w:bdr w:val="none" w:sz="0" w:space="0" w:color="auto"/>
          <w:lang w:val="es-ES"/>
        </w:rPr>
      </w:pPr>
    </w:p>
    <w:p w14:paraId="03432FE5" w14:textId="77777777" w:rsidR="00D830B6" w:rsidRPr="00BF20FA" w:rsidRDefault="00220D37"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 xml:space="preserve">Como han establecido la CIDH y la Corte Interamericana, en virtud del artículo 21 de la Convención Americana, los </w:t>
      </w:r>
      <w:r w:rsidRPr="000A5F88">
        <w:rPr>
          <w:rFonts w:asciiTheme="majorHAnsi" w:hAnsiTheme="majorHAnsi"/>
          <w:sz w:val="20"/>
          <w:szCs w:val="20"/>
          <w:lang w:val="es-AR"/>
        </w:rPr>
        <w:t>pueblos</w:t>
      </w:r>
      <w:r w:rsidRPr="00BF20FA">
        <w:rPr>
          <w:rFonts w:asciiTheme="majorHAnsi" w:eastAsia="Times New Roman" w:hAnsiTheme="majorHAnsi"/>
          <w:sz w:val="20"/>
          <w:szCs w:val="20"/>
          <w:bdr w:val="none" w:sz="0" w:space="0" w:color="auto"/>
          <w:lang w:val="es-ES_tradnl"/>
        </w:rPr>
        <w:t xml:space="preserve"> indígenas son titulares de derechos de propiedad y dominio sobre las tierras y recursos </w:t>
      </w:r>
      <w:r w:rsidRPr="000A5F88">
        <w:rPr>
          <w:rFonts w:asciiTheme="majorHAnsi" w:hAnsiTheme="majorHAnsi"/>
          <w:color w:val="000000" w:themeColor="text1"/>
          <w:sz w:val="20"/>
          <w:szCs w:val="20"/>
          <w:lang w:val="es-CO"/>
        </w:rPr>
        <w:t>que</w:t>
      </w:r>
      <w:r w:rsidRPr="00BF20FA">
        <w:rPr>
          <w:rFonts w:asciiTheme="majorHAnsi" w:eastAsia="Times New Roman" w:hAnsiTheme="majorHAnsi"/>
          <w:sz w:val="20"/>
          <w:szCs w:val="20"/>
          <w:bdr w:val="none" w:sz="0" w:space="0" w:color="auto"/>
          <w:lang w:val="es-ES_tradnl"/>
        </w:rPr>
        <w:t xml:space="preserve"> han ocupado históricamente y, por lo tanto, tienen derecho a ser reconocidos jurídicamente como los dueños de sus territorios, a obtener un título jurídico formal de propiedad de sus tierras, y a que los títulos sean debidamente registrados</w:t>
      </w:r>
      <w:r w:rsidRPr="00BF20FA">
        <w:rPr>
          <w:rFonts w:asciiTheme="majorHAnsi" w:eastAsia="Times New Roman" w:hAnsiTheme="majorHAnsi"/>
          <w:sz w:val="20"/>
          <w:szCs w:val="20"/>
          <w:bdr w:val="none" w:sz="0" w:space="0" w:color="auto"/>
          <w:vertAlign w:val="superscript"/>
          <w:lang w:val="es-ES_tradnl"/>
        </w:rPr>
        <w:footnoteReference w:id="135"/>
      </w:r>
      <w:r w:rsidRPr="00BF20FA">
        <w:rPr>
          <w:rFonts w:asciiTheme="majorHAnsi" w:eastAsia="Times New Roman" w:hAnsiTheme="majorHAnsi"/>
          <w:sz w:val="20"/>
          <w:szCs w:val="20"/>
          <w:bdr w:val="none" w:sz="0" w:space="0" w:color="auto"/>
          <w:lang w:val="es-ES_tradnl"/>
        </w:rPr>
        <w:t>.</w:t>
      </w:r>
    </w:p>
    <w:p w14:paraId="43910C94" w14:textId="77777777" w:rsidR="00940E90" w:rsidRPr="00BF20FA" w:rsidRDefault="00940E90" w:rsidP="00940E9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2E9C5FF0" w14:textId="7B464E1E" w:rsidR="00220D37" w:rsidRPr="00BF20FA" w:rsidRDefault="00220D37"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 xml:space="preserve">Asimismo, la CIDH observa que </w:t>
      </w:r>
      <w:r w:rsidR="00BA71DB" w:rsidRPr="00BF20FA">
        <w:rPr>
          <w:rFonts w:asciiTheme="majorHAnsi" w:eastAsia="Times New Roman" w:hAnsiTheme="majorHAnsi"/>
          <w:sz w:val="20"/>
          <w:szCs w:val="20"/>
          <w:bdr w:val="none" w:sz="0" w:space="0" w:color="auto"/>
          <w:lang w:val="es-ES_tradnl"/>
        </w:rPr>
        <w:t xml:space="preserve">Colombia </w:t>
      </w:r>
      <w:r w:rsidRPr="00BF20FA">
        <w:rPr>
          <w:rFonts w:asciiTheme="majorHAnsi" w:eastAsia="Times New Roman" w:hAnsiTheme="majorHAnsi"/>
          <w:sz w:val="20"/>
          <w:szCs w:val="20"/>
          <w:bdr w:val="none" w:sz="0" w:space="0" w:color="auto"/>
          <w:lang w:val="es-ES_tradnl"/>
        </w:rPr>
        <w:t>ratificó el Convenio No. 169 sobre Pueblos Indígenas y Tribales en Países Independientes de OIT (“Convenio No. 169”), e</w:t>
      </w:r>
      <w:r w:rsidR="00BA4FE5" w:rsidRPr="00BF20FA">
        <w:rPr>
          <w:rFonts w:asciiTheme="majorHAnsi" w:eastAsia="Times New Roman" w:hAnsiTheme="majorHAnsi"/>
          <w:sz w:val="20"/>
          <w:szCs w:val="20"/>
          <w:bdr w:val="none" w:sz="0" w:space="0" w:color="auto"/>
          <w:lang w:val="es-ES_tradnl"/>
        </w:rPr>
        <w:t>l 7 de agosto de</w:t>
      </w:r>
      <w:r w:rsidR="00BA71DB" w:rsidRPr="00BF20FA">
        <w:rPr>
          <w:rFonts w:asciiTheme="majorHAnsi" w:eastAsia="Times New Roman" w:hAnsiTheme="majorHAnsi"/>
          <w:sz w:val="20"/>
          <w:szCs w:val="20"/>
          <w:bdr w:val="none" w:sz="0" w:space="0" w:color="auto"/>
          <w:lang w:val="es-ES_tradnl"/>
        </w:rPr>
        <w:t xml:space="preserve"> 1991</w:t>
      </w:r>
      <w:r w:rsidRPr="00BF20FA">
        <w:rPr>
          <w:rFonts w:asciiTheme="majorHAnsi" w:eastAsia="Times New Roman" w:hAnsiTheme="majorHAnsi"/>
          <w:sz w:val="20"/>
          <w:szCs w:val="20"/>
          <w:bdr w:val="none" w:sz="0" w:space="0" w:color="auto"/>
          <w:lang w:val="es-ES_tradnl"/>
        </w:rPr>
        <w:t xml:space="preserve">. </w:t>
      </w:r>
      <w:r w:rsidR="00A77170" w:rsidRPr="00BF20FA">
        <w:rPr>
          <w:rFonts w:asciiTheme="majorHAnsi" w:eastAsia="Times New Roman" w:hAnsiTheme="majorHAnsi"/>
          <w:sz w:val="20"/>
          <w:szCs w:val="20"/>
          <w:bdr w:val="none" w:sz="0" w:space="0" w:color="auto"/>
          <w:lang w:val="es-ES_tradnl"/>
        </w:rPr>
        <w:t>Este instrumento</w:t>
      </w:r>
      <w:r w:rsidR="009C3CF6" w:rsidRPr="00BF20FA">
        <w:rPr>
          <w:rFonts w:asciiTheme="majorHAnsi" w:eastAsia="Times New Roman" w:hAnsiTheme="majorHAnsi"/>
          <w:sz w:val="20"/>
          <w:szCs w:val="20"/>
          <w:bdr w:val="none" w:sz="0" w:space="0" w:color="auto"/>
          <w:lang w:val="es-ES_tradnl"/>
        </w:rPr>
        <w:t xml:space="preserve">, además de lo ya previsto en el artículo 21 de la Convención Americana desarrollado mediante la juriprudencia interamericana, </w:t>
      </w:r>
      <w:r w:rsidR="00A77170" w:rsidRPr="00BF20FA">
        <w:rPr>
          <w:rFonts w:asciiTheme="majorHAnsi" w:eastAsia="Times New Roman" w:hAnsiTheme="majorHAnsi"/>
          <w:sz w:val="20"/>
          <w:szCs w:val="20"/>
          <w:bdr w:val="none" w:sz="0" w:space="0" w:color="auto"/>
          <w:lang w:val="es-ES_tradnl"/>
        </w:rPr>
        <w:t xml:space="preserve">contempla expresamente la obligación del Estado de adoptar </w:t>
      </w:r>
      <w:r w:rsidRPr="00BF20FA">
        <w:rPr>
          <w:rFonts w:asciiTheme="majorHAnsi" w:eastAsia="Times New Roman" w:hAnsiTheme="majorHAnsi"/>
          <w:sz w:val="20"/>
          <w:szCs w:val="20"/>
          <w:bdr w:val="none" w:sz="0" w:space="0" w:color="auto"/>
          <w:lang w:val="es-ES_tradnl"/>
        </w:rPr>
        <w:t xml:space="preserve">medidas especiales para </w:t>
      </w:r>
      <w:r w:rsidRPr="000A5F88">
        <w:rPr>
          <w:rFonts w:asciiTheme="majorHAnsi" w:hAnsiTheme="majorHAnsi"/>
          <w:sz w:val="20"/>
          <w:szCs w:val="20"/>
          <w:lang w:val="es-AR"/>
        </w:rPr>
        <w:t>garantizar</w:t>
      </w:r>
      <w:r w:rsidRPr="00BF20FA">
        <w:rPr>
          <w:rFonts w:asciiTheme="majorHAnsi" w:eastAsia="Times New Roman" w:hAnsiTheme="majorHAnsi"/>
          <w:sz w:val="20"/>
          <w:szCs w:val="20"/>
          <w:bdr w:val="none" w:sz="0" w:space="0" w:color="auto"/>
          <w:lang w:val="es-ES_tradnl"/>
        </w:rPr>
        <w:t xml:space="preserve"> a los pueblos indígenas el goce efectivo de los derechos humanos y libertades fundamentales sin restricciones, respetando su identidad social y cultural, sus costumbres, tradiciones e instituciones. En relación al derecho de propiedad, el Convenio No. 169 en su artículo 14.1 establece que:</w:t>
      </w:r>
    </w:p>
    <w:p w14:paraId="40194052" w14:textId="77777777" w:rsidR="00940E90" w:rsidRPr="00BF20FA" w:rsidRDefault="00940E90" w:rsidP="00DF2897">
      <w:pPr>
        <w:pStyle w:val="ListParagraph"/>
        <w:ind w:left="360" w:right="360"/>
        <w:rPr>
          <w:rFonts w:asciiTheme="majorHAnsi" w:eastAsia="Times New Roman" w:hAnsiTheme="majorHAnsi"/>
          <w:sz w:val="18"/>
          <w:szCs w:val="18"/>
          <w:bdr w:val="none" w:sz="0" w:space="0" w:color="auto"/>
          <w:lang w:val="es-ES_tradnl"/>
        </w:rPr>
      </w:pPr>
    </w:p>
    <w:p w14:paraId="23C5643B" w14:textId="77777777" w:rsidR="00220D37" w:rsidRPr="00BF20FA" w:rsidRDefault="00220D37" w:rsidP="00DF2897">
      <w:pPr>
        <w:pBdr>
          <w:top w:val="none" w:sz="0" w:space="0" w:color="auto"/>
          <w:left w:val="none" w:sz="0" w:space="0" w:color="auto"/>
          <w:bottom w:val="none" w:sz="0" w:space="0" w:color="auto"/>
          <w:right w:val="none" w:sz="0" w:space="0" w:color="auto"/>
          <w:between w:val="none" w:sz="0" w:space="0" w:color="auto"/>
          <w:bar w:val="none" w:sz="0" w:color="auto"/>
        </w:pBdr>
        <w:ind w:left="360" w:right="360"/>
        <w:jc w:val="both"/>
        <w:rPr>
          <w:rFonts w:asciiTheme="majorHAnsi" w:eastAsia="Times New Roman" w:hAnsiTheme="majorHAnsi" w:cs="Arial"/>
          <w:bCs/>
          <w:sz w:val="18"/>
          <w:szCs w:val="18"/>
          <w:bdr w:val="none" w:sz="0" w:space="0" w:color="auto"/>
          <w:lang w:val="es-ES_tradnl"/>
        </w:rPr>
      </w:pPr>
      <w:r w:rsidRPr="00BF20FA">
        <w:rPr>
          <w:rFonts w:asciiTheme="majorHAnsi" w:eastAsia="Times New Roman" w:hAnsiTheme="majorHAnsi"/>
          <w:sz w:val="18"/>
          <w:szCs w:val="18"/>
          <w:bdr w:val="none" w:sz="0" w:space="0" w:color="auto"/>
          <w:lang w:val="es-ES_tradnl"/>
        </w:rPr>
        <w:t>D</w:t>
      </w:r>
      <w:r w:rsidRPr="00BF20FA">
        <w:rPr>
          <w:rFonts w:asciiTheme="majorHAnsi" w:eastAsia="Times New Roman" w:hAnsiTheme="majorHAnsi" w:cs="Arial"/>
          <w:bCs/>
          <w:sz w:val="18"/>
          <w:szCs w:val="18"/>
          <w:bdr w:val="none" w:sz="0" w:space="0" w:color="auto"/>
          <w:lang w:val="es-ES_tradnl"/>
        </w:rPr>
        <w:t xml:space="preserve">eberá reconocerse a los pueblos interesados el derecho de propiedad y de posesión sobre las tierras que </w:t>
      </w:r>
      <w:r w:rsidRPr="00BF20FA">
        <w:rPr>
          <w:rFonts w:asciiTheme="majorHAnsi" w:eastAsia="MS Mincho" w:hAnsiTheme="majorHAnsi" w:cs="Verdana"/>
          <w:sz w:val="18"/>
          <w:szCs w:val="18"/>
          <w:bdr w:val="none" w:sz="0" w:space="0" w:color="auto"/>
          <w:lang w:val="es-ES_tradnl"/>
        </w:rPr>
        <w:t>tradicionalmente</w:t>
      </w:r>
      <w:r w:rsidRPr="00BF20FA">
        <w:rPr>
          <w:rFonts w:asciiTheme="majorHAnsi" w:eastAsia="Times New Roman" w:hAnsiTheme="majorHAnsi" w:cs="Arial"/>
          <w:bCs/>
          <w:sz w:val="18"/>
          <w:szCs w:val="18"/>
          <w:bdr w:val="none" w:sz="0" w:space="0" w:color="auto"/>
          <w:lang w:val="es-ES_tradnl"/>
        </w:rPr>
        <w:t xml:space="preserve"> ocupan. Además, en los casos apropiados, deberán tomarse medidas para salvaguardar el derecho de los pueblos interesados a utilizar tierras que no estén exclusivamente ocupadas por ellos, pero a las que hayan tenido tradicionalmente acceso para sus actividades tradicionales y de subsistencia.</w:t>
      </w:r>
    </w:p>
    <w:p w14:paraId="66A2E820" w14:textId="77777777" w:rsidR="00940E90" w:rsidRPr="00BF20FA" w:rsidRDefault="00940E90" w:rsidP="00940E90">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sz w:val="20"/>
          <w:szCs w:val="20"/>
          <w:bdr w:val="none" w:sz="0" w:space="0" w:color="auto"/>
          <w:lang w:val="es-ES"/>
        </w:rPr>
      </w:pPr>
    </w:p>
    <w:p w14:paraId="12AFF26A" w14:textId="3EF3F173" w:rsidR="00CC696A" w:rsidRPr="00BF20FA" w:rsidRDefault="00220D37"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A partir de los hechos probados en el presente caso, la Comisión observa que</w:t>
      </w:r>
      <w:r w:rsidR="000F35B5" w:rsidRPr="00BF20FA">
        <w:rPr>
          <w:rFonts w:asciiTheme="majorHAnsi" w:eastAsia="Times New Roman" w:hAnsiTheme="majorHAnsi"/>
          <w:sz w:val="20"/>
          <w:szCs w:val="20"/>
          <w:bdr w:val="none" w:sz="0" w:space="0" w:color="auto"/>
          <w:lang w:val="es-ES_tradnl"/>
        </w:rPr>
        <w:t xml:space="preserve"> mediante Resolución</w:t>
      </w:r>
      <w:r w:rsidR="00634EFA" w:rsidRPr="00BF20FA">
        <w:rPr>
          <w:rFonts w:asciiTheme="majorHAnsi" w:eastAsia="Times New Roman" w:hAnsiTheme="majorHAnsi"/>
          <w:sz w:val="20"/>
          <w:szCs w:val="20"/>
          <w:bdr w:val="none" w:sz="0" w:space="0" w:color="auto"/>
          <w:lang w:val="es-ES_tradnl"/>
        </w:rPr>
        <w:t xml:space="preserve"> No. 56 del 6 de agosto de 1999, el INCORA constituyó el “Resguardo Indígena </w:t>
      </w:r>
      <w:r w:rsidR="009C3CF6" w:rsidRPr="00BF20FA">
        <w:rPr>
          <w:rFonts w:asciiTheme="majorHAnsi" w:eastAsia="Times New Roman" w:hAnsiTheme="majorHAnsi"/>
          <w:sz w:val="20"/>
          <w:szCs w:val="20"/>
          <w:bdr w:val="none" w:sz="0" w:space="0" w:color="auto"/>
          <w:lang w:val="es-ES_tradnl"/>
        </w:rPr>
        <w:t>U</w:t>
      </w:r>
      <w:r w:rsidR="00634EFA" w:rsidRPr="00BF20FA">
        <w:rPr>
          <w:rFonts w:asciiTheme="majorHAnsi" w:eastAsia="Times New Roman" w:hAnsiTheme="majorHAnsi"/>
          <w:sz w:val="20"/>
          <w:szCs w:val="20"/>
          <w:bdr w:val="none" w:sz="0" w:space="0" w:color="auto"/>
          <w:lang w:val="es-ES_tradnl"/>
        </w:rPr>
        <w:t xml:space="preserve">nido U´wa”; ello a partir de una solicitud presentada por la </w:t>
      </w:r>
      <w:r w:rsidR="000F35B5" w:rsidRPr="00BF20FA">
        <w:rPr>
          <w:rFonts w:asciiTheme="majorHAnsi" w:eastAsia="Times New Roman" w:hAnsiTheme="majorHAnsi"/>
          <w:sz w:val="20"/>
          <w:szCs w:val="20"/>
          <w:bdr w:val="none" w:sz="0" w:space="0" w:color="auto"/>
          <w:lang w:val="es-ES_tradnl"/>
        </w:rPr>
        <w:t xml:space="preserve">ORIWOC </w:t>
      </w:r>
      <w:r w:rsidR="00634EFA" w:rsidRPr="00BF20FA">
        <w:rPr>
          <w:rFonts w:asciiTheme="majorHAnsi" w:eastAsia="Times New Roman" w:hAnsiTheme="majorHAnsi"/>
          <w:sz w:val="20"/>
          <w:szCs w:val="20"/>
          <w:bdr w:val="none" w:sz="0" w:space="0" w:color="auto"/>
          <w:lang w:val="es-ES_tradnl"/>
        </w:rPr>
        <w:t>seis años antes.</w:t>
      </w:r>
      <w:r w:rsidR="000F35B5" w:rsidRPr="00BF20FA">
        <w:rPr>
          <w:rFonts w:asciiTheme="majorHAnsi" w:eastAsia="Times New Roman" w:hAnsiTheme="majorHAnsi"/>
          <w:sz w:val="20"/>
          <w:szCs w:val="20"/>
          <w:bdr w:val="none" w:sz="0" w:space="0" w:color="auto"/>
          <w:lang w:val="es-ES_tradnl"/>
        </w:rPr>
        <w:t xml:space="preserve"> </w:t>
      </w:r>
      <w:r w:rsidR="00634EFA" w:rsidRPr="00BF20FA">
        <w:rPr>
          <w:rFonts w:asciiTheme="majorHAnsi" w:eastAsia="Times New Roman" w:hAnsiTheme="majorHAnsi"/>
          <w:sz w:val="20"/>
          <w:szCs w:val="20"/>
          <w:bdr w:val="none" w:sz="0" w:space="0" w:color="auto"/>
          <w:lang w:val="es-ES_tradnl"/>
        </w:rPr>
        <w:t xml:space="preserve"> La Resolución reconoció la presencia de colonos en el territorio del Resguardo y estableció que podrían continuar con la posesión hasta que el INCORA u otra entidad las adquiriera para el saneamiento del Resguardo. </w:t>
      </w:r>
    </w:p>
    <w:p w14:paraId="02F3775F" w14:textId="77777777" w:rsidR="00CE53B2" w:rsidRPr="00BF20FA" w:rsidRDefault="00CE53B2" w:rsidP="00CE53B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51372717" w14:textId="77777777" w:rsidR="00184C93" w:rsidRPr="00BF20FA" w:rsidRDefault="009C4602"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 xml:space="preserve">Como se indicó más arriba, la Corte </w:t>
      </w:r>
      <w:r w:rsidR="00493E05" w:rsidRPr="00BF20FA">
        <w:rPr>
          <w:rFonts w:asciiTheme="majorHAnsi" w:eastAsia="Times New Roman" w:hAnsiTheme="majorHAnsi"/>
          <w:sz w:val="20"/>
          <w:szCs w:val="20"/>
          <w:bdr w:val="none" w:sz="0" w:space="0" w:color="auto"/>
          <w:lang w:val="es-ES_tradnl"/>
        </w:rPr>
        <w:t>se ha referido a la posesión de la tierra como</w:t>
      </w:r>
      <w:r w:rsidRPr="00BF20FA">
        <w:rPr>
          <w:rFonts w:asciiTheme="majorHAnsi" w:eastAsia="Times New Roman" w:hAnsiTheme="majorHAnsi"/>
          <w:sz w:val="20"/>
          <w:szCs w:val="20"/>
          <w:bdr w:val="none" w:sz="0" w:space="0" w:color="auto"/>
          <w:lang w:val="es-ES_tradnl"/>
        </w:rPr>
        <w:t xml:space="preserve"> equivalente al título otorgado por el Estado</w:t>
      </w:r>
      <w:r w:rsidR="00BC004A" w:rsidRPr="00BF20FA">
        <w:rPr>
          <w:rStyle w:val="FootnoteReference"/>
          <w:rFonts w:asciiTheme="majorHAnsi" w:eastAsia="Times New Roman" w:hAnsiTheme="majorHAnsi"/>
          <w:sz w:val="20"/>
          <w:szCs w:val="20"/>
          <w:bdr w:val="none" w:sz="0" w:space="0" w:color="auto"/>
          <w:lang w:val="es-ES_tradnl"/>
        </w:rPr>
        <w:footnoteReference w:id="136"/>
      </w:r>
      <w:r w:rsidR="00493E05" w:rsidRPr="00BF20FA">
        <w:rPr>
          <w:rFonts w:asciiTheme="majorHAnsi" w:eastAsia="Times New Roman" w:hAnsiTheme="majorHAnsi"/>
          <w:sz w:val="20"/>
          <w:szCs w:val="20"/>
          <w:bdr w:val="none" w:sz="0" w:space="0" w:color="auto"/>
          <w:lang w:val="es-ES_tradnl"/>
        </w:rPr>
        <w:t xml:space="preserve">. </w:t>
      </w:r>
      <w:r w:rsidRPr="00BF20FA">
        <w:rPr>
          <w:rFonts w:asciiTheme="majorHAnsi" w:eastAsia="Times New Roman" w:hAnsiTheme="majorHAnsi"/>
          <w:sz w:val="20"/>
          <w:szCs w:val="20"/>
          <w:bdr w:val="none" w:sz="0" w:space="0" w:color="auto"/>
          <w:lang w:val="es-ES_tradnl"/>
        </w:rPr>
        <w:t xml:space="preserve"> Sin embargo, </w:t>
      </w:r>
      <w:r w:rsidR="00BC004A" w:rsidRPr="00BF20FA">
        <w:rPr>
          <w:rFonts w:asciiTheme="majorHAnsi" w:hAnsiTheme="majorHAnsi"/>
          <w:sz w:val="20"/>
          <w:szCs w:val="20"/>
          <w:lang w:val="es-MX"/>
        </w:rPr>
        <w:t xml:space="preserve">el reconocimiento de los derechos de propiedad colectiva indígena debe </w:t>
      </w:r>
      <w:r w:rsidR="00BC004A" w:rsidRPr="000A5F88">
        <w:rPr>
          <w:rFonts w:asciiTheme="majorHAnsi" w:hAnsiTheme="majorHAnsi"/>
          <w:color w:val="000000" w:themeColor="text1"/>
          <w:sz w:val="20"/>
          <w:szCs w:val="20"/>
          <w:lang w:val="es-CO"/>
        </w:rPr>
        <w:t>garantizarse</w:t>
      </w:r>
      <w:r w:rsidR="00BC004A" w:rsidRPr="00BF20FA">
        <w:rPr>
          <w:rFonts w:asciiTheme="majorHAnsi" w:hAnsiTheme="majorHAnsi"/>
          <w:sz w:val="20"/>
          <w:szCs w:val="20"/>
          <w:lang w:val="es-MX"/>
        </w:rPr>
        <w:t xml:space="preserve"> a través del otorgamiento de un título de propiedad formal, u otra forma similar de reconocimiento estatal, que otorgue seguridad jurídica a la tenencia indígena de la tierra frente a la acción de terceros o de </w:t>
      </w:r>
      <w:r w:rsidR="00BC004A" w:rsidRPr="000A5F88">
        <w:rPr>
          <w:rFonts w:asciiTheme="majorHAnsi" w:hAnsiTheme="majorHAnsi"/>
          <w:sz w:val="20"/>
          <w:szCs w:val="20"/>
          <w:lang w:val="es-AR"/>
        </w:rPr>
        <w:t>los</w:t>
      </w:r>
      <w:r w:rsidR="00BC004A" w:rsidRPr="00BF20FA">
        <w:rPr>
          <w:rFonts w:asciiTheme="majorHAnsi" w:hAnsiTheme="majorHAnsi"/>
          <w:sz w:val="20"/>
          <w:szCs w:val="20"/>
          <w:lang w:val="es-MX"/>
        </w:rPr>
        <w:t xml:space="preserve"> agentes del propio Estado</w:t>
      </w:r>
      <w:r w:rsidR="00BC004A" w:rsidRPr="00BF20FA">
        <w:rPr>
          <w:rFonts w:asciiTheme="majorHAnsi" w:hAnsiTheme="majorHAnsi"/>
          <w:sz w:val="20"/>
          <w:szCs w:val="20"/>
          <w:vertAlign w:val="superscript"/>
        </w:rPr>
        <w:footnoteReference w:id="137"/>
      </w:r>
      <w:r w:rsidR="00BC004A" w:rsidRPr="00BF20FA">
        <w:rPr>
          <w:rFonts w:asciiTheme="majorHAnsi" w:hAnsiTheme="majorHAnsi"/>
          <w:sz w:val="20"/>
          <w:szCs w:val="20"/>
          <w:lang w:val="es-MX"/>
        </w:rPr>
        <w:t xml:space="preserve">. </w:t>
      </w:r>
      <w:r w:rsidR="00184C93" w:rsidRPr="00BF20FA">
        <w:rPr>
          <w:rFonts w:asciiTheme="majorHAnsi" w:eastAsia="Times New Roman" w:hAnsiTheme="majorHAnsi"/>
          <w:sz w:val="20"/>
          <w:szCs w:val="20"/>
          <w:bdr w:val="none" w:sz="0" w:space="0" w:color="auto"/>
          <w:lang w:val="es-ES_tradnl"/>
        </w:rPr>
        <w:t xml:space="preserve">En ese sentido, la CIDH ha enfatizado que “la demarcación y registro legal de las tierras indígenas </w:t>
      </w:r>
      <w:r w:rsidR="00184C93" w:rsidRPr="00BF20FA">
        <w:rPr>
          <w:rFonts w:asciiTheme="majorHAnsi" w:eastAsia="MS Mincho" w:hAnsiTheme="majorHAnsi" w:cs="Verdana"/>
          <w:sz w:val="20"/>
          <w:szCs w:val="20"/>
          <w:bdr w:val="none" w:sz="0" w:space="0" w:color="auto"/>
          <w:lang w:val="es-ES_tradnl"/>
        </w:rPr>
        <w:t>constituye</w:t>
      </w:r>
      <w:r w:rsidR="00184C93" w:rsidRPr="00BF20FA">
        <w:rPr>
          <w:rFonts w:asciiTheme="majorHAnsi" w:eastAsia="Times New Roman" w:hAnsiTheme="majorHAnsi"/>
          <w:sz w:val="20"/>
          <w:szCs w:val="20"/>
          <w:bdr w:val="none" w:sz="0" w:space="0" w:color="auto"/>
          <w:lang w:val="es-ES_tradnl"/>
        </w:rPr>
        <w:t xml:space="preserve"> en la realidad sólo un primer paso en su establecimiento y defensa real”, ya que en la práctica la propiedad y posesión efectivas se ven continuamente amenazadas, usurpadas o reducidas por distintas acciones de hecho o de derecho</w:t>
      </w:r>
      <w:r w:rsidR="00184C93" w:rsidRPr="00BF20FA">
        <w:rPr>
          <w:rFonts w:asciiTheme="majorHAnsi" w:eastAsia="Times New Roman" w:hAnsiTheme="majorHAnsi"/>
          <w:sz w:val="20"/>
          <w:szCs w:val="20"/>
          <w:bdr w:val="none" w:sz="0" w:space="0" w:color="auto"/>
          <w:vertAlign w:val="superscript"/>
          <w:lang w:val="es-ES_tradnl"/>
        </w:rPr>
        <w:footnoteReference w:id="138"/>
      </w:r>
      <w:r w:rsidR="00184C93" w:rsidRPr="00BF20FA">
        <w:rPr>
          <w:rFonts w:asciiTheme="majorHAnsi" w:eastAsia="Times New Roman" w:hAnsiTheme="majorHAnsi"/>
          <w:sz w:val="20"/>
          <w:szCs w:val="20"/>
          <w:bdr w:val="none" w:sz="0" w:space="0" w:color="auto"/>
          <w:lang w:val="es-ES_tradnl"/>
        </w:rPr>
        <w:t xml:space="preserve">. </w:t>
      </w:r>
    </w:p>
    <w:p w14:paraId="4BE3844F" w14:textId="77777777" w:rsidR="00940E90" w:rsidRPr="00BF20FA" w:rsidRDefault="00940E90" w:rsidP="001D639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eastAsia="Times New Roman" w:hAnsiTheme="majorHAnsi"/>
          <w:sz w:val="20"/>
          <w:szCs w:val="20"/>
          <w:bdr w:val="none" w:sz="0" w:space="0" w:color="auto"/>
          <w:lang w:val="es-ES_tradnl"/>
        </w:rPr>
      </w:pPr>
    </w:p>
    <w:p w14:paraId="7257AB34" w14:textId="77777777" w:rsidR="00184C93" w:rsidRPr="00BF20FA" w:rsidRDefault="00184C93"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MS Mincho" w:hAnsiTheme="majorHAnsi" w:cs="Verdana"/>
          <w:sz w:val="20"/>
          <w:szCs w:val="20"/>
          <w:bdr w:val="none" w:sz="0" w:space="0" w:color="auto"/>
          <w:lang w:val="es-ES_tradnl"/>
        </w:rPr>
        <w:t xml:space="preserve">La Comisión también ha señalado </w:t>
      </w:r>
      <w:r w:rsidRPr="00BF20FA">
        <w:rPr>
          <w:rFonts w:asciiTheme="majorHAnsi" w:eastAsia="Times New Roman" w:hAnsiTheme="majorHAnsi"/>
          <w:sz w:val="20"/>
          <w:szCs w:val="20"/>
          <w:bdr w:val="none" w:sz="0" w:space="0" w:color="auto"/>
          <w:lang w:val="es-ES_tradnl"/>
        </w:rPr>
        <w:t>que los pueblos indígenas y tribales tienen derecho a que se les proteja de conflictos con terceros por la tierra, a través del otorgamiento pronto de un título de propiedad, y de la delimitación y la demarcación de sus tierras sin demoras, para efectos de prevenir conflictos y ataques por otros</w:t>
      </w:r>
      <w:r w:rsidRPr="00BF20FA">
        <w:rPr>
          <w:rFonts w:asciiTheme="majorHAnsi" w:eastAsia="Times New Roman" w:hAnsiTheme="majorHAnsi"/>
          <w:sz w:val="20"/>
          <w:szCs w:val="20"/>
          <w:bdr w:val="none" w:sz="0" w:space="0" w:color="auto"/>
          <w:vertAlign w:val="superscript"/>
          <w:lang w:val="es-ES_tradnl"/>
        </w:rPr>
        <w:footnoteReference w:id="139"/>
      </w:r>
      <w:r w:rsidRPr="00BF20FA">
        <w:rPr>
          <w:rFonts w:asciiTheme="majorHAnsi" w:eastAsia="Times New Roman" w:hAnsiTheme="majorHAnsi"/>
          <w:sz w:val="20"/>
          <w:szCs w:val="20"/>
          <w:bdr w:val="none" w:sz="0" w:space="0" w:color="auto"/>
          <w:lang w:val="es-ES_tradnl"/>
        </w:rPr>
        <w:t xml:space="preserve">. </w:t>
      </w:r>
      <w:r w:rsidRPr="00BF20FA">
        <w:rPr>
          <w:rFonts w:asciiTheme="majorHAnsi" w:eastAsia="Times New Roman" w:hAnsiTheme="majorHAnsi" w:cs="Calibri"/>
          <w:sz w:val="20"/>
          <w:szCs w:val="20"/>
          <w:bdr w:val="none" w:sz="0" w:space="0" w:color="auto"/>
          <w:lang w:val="es-ES_tradnl"/>
        </w:rPr>
        <w:t>En este mismo ámbito, los pueblos indígenas o tribales y sus miembros tienen derecho a que su territorio sea reservado para ellos, sin que existan dentro de sus tierras asentamientos o presencia de terceros o colonos no indígenas. El Estado tiene una obligación correlativa de prevenir la invasión o colonización del territorio indígena o tribal por parte de otras personas, y de realizar las gestiones y actuaciones necesarias para reubicar a aquellos habitantes no indígenas del territorio que se encuentren asentados allí</w:t>
      </w:r>
      <w:r w:rsidRPr="00BF20FA">
        <w:rPr>
          <w:rFonts w:asciiTheme="majorHAnsi" w:eastAsia="Times New Roman" w:hAnsiTheme="majorHAnsi"/>
          <w:sz w:val="20"/>
          <w:szCs w:val="20"/>
          <w:bdr w:val="none" w:sz="0" w:space="0" w:color="auto"/>
          <w:vertAlign w:val="superscript"/>
          <w:lang w:val="es-ES_tradnl"/>
        </w:rPr>
        <w:footnoteReference w:id="140"/>
      </w:r>
      <w:r w:rsidRPr="00BF20FA">
        <w:rPr>
          <w:rFonts w:asciiTheme="majorHAnsi" w:eastAsia="Times New Roman" w:hAnsiTheme="majorHAnsi"/>
          <w:sz w:val="20"/>
          <w:szCs w:val="20"/>
          <w:bdr w:val="none" w:sz="0" w:space="0" w:color="auto"/>
          <w:lang w:val="es-ES_tradnl"/>
        </w:rPr>
        <w:t>.</w:t>
      </w:r>
    </w:p>
    <w:p w14:paraId="284FE84C" w14:textId="77777777" w:rsidR="00106E98" w:rsidRPr="00BF20FA" w:rsidRDefault="00106E98" w:rsidP="00106E98">
      <w:pPr>
        <w:pStyle w:val="ListParagraph"/>
        <w:rPr>
          <w:rFonts w:asciiTheme="majorHAnsi" w:eastAsia="Times New Roman" w:hAnsiTheme="majorHAnsi"/>
          <w:sz w:val="20"/>
          <w:szCs w:val="20"/>
          <w:bdr w:val="none" w:sz="0" w:space="0" w:color="auto"/>
          <w:lang w:val="es-ES_tradnl"/>
        </w:rPr>
      </w:pPr>
    </w:p>
    <w:p w14:paraId="1C8F6F92" w14:textId="77777777" w:rsidR="00106E98" w:rsidRPr="00BF20FA" w:rsidRDefault="00C47E2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hAnsiTheme="majorHAnsi"/>
          <w:sz w:val="20"/>
          <w:szCs w:val="20"/>
          <w:lang w:val="es-ES_tradnl"/>
        </w:rPr>
        <w:t xml:space="preserve">En la sentencia del caso </w:t>
      </w:r>
      <w:r w:rsidRPr="00BF20FA">
        <w:rPr>
          <w:rFonts w:asciiTheme="majorHAnsi" w:hAnsiTheme="majorHAnsi"/>
          <w:i/>
          <w:sz w:val="20"/>
          <w:szCs w:val="20"/>
          <w:lang w:val="es-ES_tradnl"/>
        </w:rPr>
        <w:t>Pueblo Indígena Xucurú y sus miembros</w:t>
      </w:r>
      <w:r w:rsidRPr="00BF20FA">
        <w:rPr>
          <w:rFonts w:asciiTheme="majorHAnsi" w:hAnsiTheme="majorHAnsi"/>
          <w:sz w:val="20"/>
          <w:szCs w:val="20"/>
          <w:lang w:val="es-ES_tradnl"/>
        </w:rPr>
        <w:t xml:space="preserve">, la Corte se refirió a la pericia de la </w:t>
      </w:r>
      <w:r w:rsidR="00106E98" w:rsidRPr="00BF20FA">
        <w:rPr>
          <w:rFonts w:asciiTheme="majorHAnsi" w:hAnsiTheme="majorHAnsi"/>
          <w:sz w:val="20"/>
          <w:szCs w:val="20"/>
          <w:lang w:val="es-MX"/>
        </w:rPr>
        <w:t xml:space="preserve">Victoria Tauli-Corpuz, Relatora Especial de Naciones Unidas para los Derechos de los Pueblos Indígenas, </w:t>
      </w:r>
      <w:r w:rsidRPr="00BF20FA">
        <w:rPr>
          <w:rFonts w:asciiTheme="majorHAnsi" w:hAnsiTheme="majorHAnsi"/>
          <w:sz w:val="20"/>
          <w:szCs w:val="20"/>
          <w:lang w:val="es-MX"/>
        </w:rPr>
        <w:t xml:space="preserve">quien </w:t>
      </w:r>
      <w:r w:rsidR="00106E98" w:rsidRPr="00BF20FA">
        <w:rPr>
          <w:rFonts w:asciiTheme="majorHAnsi" w:hAnsiTheme="majorHAnsi"/>
          <w:sz w:val="20"/>
          <w:szCs w:val="20"/>
          <w:lang w:val="es-MX"/>
        </w:rPr>
        <w:t>observó que para garantizar el uso y goce del derecho de la propiedad colectiva, los Estados deben asegurar que no exista interferencia externa sobre los territorios tradicionales</w:t>
      </w:r>
      <w:r w:rsidR="00106E98" w:rsidRPr="00BF20FA">
        <w:rPr>
          <w:rStyle w:val="FootnoteReference"/>
          <w:rFonts w:asciiTheme="majorHAnsi" w:hAnsiTheme="majorHAnsi"/>
          <w:sz w:val="20"/>
          <w:szCs w:val="20"/>
        </w:rPr>
        <w:footnoteReference w:id="141"/>
      </w:r>
      <w:r w:rsidR="00106E98" w:rsidRPr="00BF20FA">
        <w:rPr>
          <w:rFonts w:asciiTheme="majorHAnsi" w:hAnsiTheme="majorHAnsi"/>
          <w:sz w:val="20"/>
          <w:szCs w:val="20"/>
          <w:lang w:val="es-MX"/>
        </w:rPr>
        <w:t>, esto es, remover cualquier tipo de interferencia sobre el territorio en cuestión a través del saneamiento</w:t>
      </w:r>
      <w:r w:rsidR="00106E98" w:rsidRPr="00BF20FA">
        <w:rPr>
          <w:rStyle w:val="FootnoteReference"/>
          <w:rFonts w:asciiTheme="majorHAnsi" w:hAnsiTheme="majorHAnsi"/>
          <w:sz w:val="20"/>
          <w:szCs w:val="20"/>
        </w:rPr>
        <w:footnoteReference w:id="142"/>
      </w:r>
      <w:r w:rsidR="00106E98" w:rsidRPr="00BF20FA">
        <w:rPr>
          <w:rFonts w:asciiTheme="majorHAnsi" w:hAnsiTheme="majorHAnsi"/>
          <w:sz w:val="20"/>
          <w:szCs w:val="20"/>
          <w:lang w:val="es-MX"/>
        </w:rPr>
        <w:t xml:space="preserve"> con el objeto de que el ejercicio del derecho a la propiedad </w:t>
      </w:r>
      <w:r w:rsidR="00106E98" w:rsidRPr="000A5F88">
        <w:rPr>
          <w:rFonts w:asciiTheme="majorHAnsi" w:hAnsiTheme="majorHAnsi"/>
          <w:sz w:val="20"/>
          <w:szCs w:val="20"/>
          <w:lang w:val="es-AR"/>
        </w:rPr>
        <w:t>tenga</w:t>
      </w:r>
      <w:r w:rsidR="00106E98" w:rsidRPr="00BF20FA">
        <w:rPr>
          <w:rFonts w:asciiTheme="majorHAnsi" w:hAnsiTheme="majorHAnsi"/>
          <w:sz w:val="20"/>
          <w:szCs w:val="20"/>
          <w:lang w:val="es-MX"/>
        </w:rPr>
        <w:t xml:space="preserve"> un contenido tangible y real. La Corte ha señalado que el saneamiento no sólo implica el desalojo de terceros de buena fe o de personas que ocupen ilegalmente los territorios demarcados y titulados, sino garantizar su posesión pacífica y que los bienes titulados carezcan de vicios ocultos, esto es, libre de obligaciones o gravámenes en beneficio de terceras personas</w:t>
      </w:r>
      <w:r w:rsidR="00106E98" w:rsidRPr="00BF20FA">
        <w:rPr>
          <w:rStyle w:val="FootnoteReference"/>
          <w:rFonts w:asciiTheme="majorHAnsi" w:hAnsiTheme="majorHAnsi"/>
          <w:sz w:val="20"/>
          <w:szCs w:val="20"/>
          <w:lang w:val="es-MX"/>
        </w:rPr>
        <w:footnoteReference w:id="143"/>
      </w:r>
      <w:r w:rsidR="00106E98" w:rsidRPr="00BF20FA">
        <w:rPr>
          <w:rFonts w:asciiTheme="majorHAnsi" w:hAnsiTheme="majorHAnsi"/>
          <w:sz w:val="20"/>
          <w:szCs w:val="20"/>
          <w:lang w:val="es-MX"/>
        </w:rPr>
        <w:t>.</w:t>
      </w:r>
    </w:p>
    <w:p w14:paraId="45B80436" w14:textId="77777777" w:rsidR="007632FD" w:rsidRPr="00BF20FA" w:rsidRDefault="007632FD" w:rsidP="007632FD">
      <w:pPr>
        <w:pStyle w:val="ListParagraph"/>
        <w:rPr>
          <w:rFonts w:asciiTheme="majorHAnsi" w:eastAsia="Times New Roman" w:hAnsiTheme="majorHAnsi"/>
          <w:sz w:val="20"/>
          <w:szCs w:val="20"/>
          <w:bdr w:val="none" w:sz="0" w:space="0" w:color="auto"/>
          <w:lang w:val="es-ES_tradnl"/>
        </w:rPr>
      </w:pPr>
    </w:p>
    <w:p w14:paraId="3F867318" w14:textId="421853E6" w:rsidR="004E262F" w:rsidRPr="00BF20FA" w:rsidRDefault="001D639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hAnsiTheme="majorHAnsi"/>
          <w:sz w:val="20"/>
          <w:szCs w:val="20"/>
          <w:lang w:val="es-ES"/>
        </w:rPr>
        <w:t>La Comisión con</w:t>
      </w:r>
      <w:r w:rsidR="00027C0F" w:rsidRPr="00BF20FA">
        <w:rPr>
          <w:rFonts w:asciiTheme="majorHAnsi" w:hAnsiTheme="majorHAnsi"/>
          <w:sz w:val="20"/>
          <w:szCs w:val="20"/>
          <w:lang w:val="es-ES"/>
        </w:rPr>
        <w:t>sidera que está probado que el p</w:t>
      </w:r>
      <w:r w:rsidRPr="00BF20FA">
        <w:rPr>
          <w:rFonts w:asciiTheme="majorHAnsi" w:hAnsiTheme="majorHAnsi"/>
          <w:sz w:val="20"/>
          <w:szCs w:val="20"/>
          <w:lang w:val="es-ES"/>
        </w:rPr>
        <w:t>ueblo indígena U´wa no ha podido usar y gozar de sus tierras en forma pacífica.</w:t>
      </w:r>
      <w:r w:rsidR="00252F1A" w:rsidRPr="00BF20FA">
        <w:rPr>
          <w:rFonts w:asciiTheme="majorHAnsi" w:hAnsiTheme="majorHAnsi"/>
          <w:sz w:val="20"/>
          <w:szCs w:val="20"/>
          <w:lang w:val="es-ES"/>
        </w:rPr>
        <w:t xml:space="preserve"> Además de los diversos proyectos que se han realizado en su </w:t>
      </w:r>
      <w:r w:rsidR="004E262F" w:rsidRPr="00BF20FA">
        <w:rPr>
          <w:rFonts w:asciiTheme="majorHAnsi" w:hAnsiTheme="majorHAnsi"/>
          <w:sz w:val="20"/>
          <w:szCs w:val="20"/>
          <w:lang w:val="es-ES"/>
        </w:rPr>
        <w:t>territorio a</w:t>
      </w:r>
      <w:r w:rsidR="00252F1A" w:rsidRPr="00BF20FA">
        <w:rPr>
          <w:rFonts w:asciiTheme="majorHAnsi" w:hAnsiTheme="majorHAnsi"/>
          <w:sz w:val="20"/>
          <w:szCs w:val="20"/>
          <w:lang w:val="es-ES"/>
        </w:rPr>
        <w:t xml:space="preserve"> través de los años</w:t>
      </w:r>
      <w:r w:rsidR="009C3CF6" w:rsidRPr="00BF20FA">
        <w:rPr>
          <w:rFonts w:asciiTheme="majorHAnsi" w:hAnsiTheme="majorHAnsi"/>
          <w:sz w:val="20"/>
          <w:szCs w:val="20"/>
          <w:lang w:val="es-ES"/>
        </w:rPr>
        <w:t xml:space="preserve"> como consecuencia de las concesiones otorgadas por el Estado – aspecto que </w:t>
      </w:r>
      <w:r w:rsidR="00252F1A" w:rsidRPr="00BF20FA">
        <w:rPr>
          <w:rFonts w:asciiTheme="majorHAnsi" w:hAnsiTheme="majorHAnsi"/>
          <w:sz w:val="20"/>
          <w:szCs w:val="20"/>
          <w:lang w:val="es-ES"/>
        </w:rPr>
        <w:t>se analizará más adelante</w:t>
      </w:r>
      <w:r w:rsidR="009C3CF6" w:rsidRPr="00BF20FA">
        <w:rPr>
          <w:rFonts w:asciiTheme="majorHAnsi" w:hAnsiTheme="majorHAnsi"/>
          <w:sz w:val="20"/>
          <w:szCs w:val="20"/>
          <w:lang w:val="es-ES"/>
        </w:rPr>
        <w:t xml:space="preserve"> -</w:t>
      </w:r>
      <w:r w:rsidR="00252F1A" w:rsidRPr="00BF20FA">
        <w:rPr>
          <w:rFonts w:asciiTheme="majorHAnsi" w:hAnsiTheme="majorHAnsi"/>
          <w:sz w:val="20"/>
          <w:szCs w:val="20"/>
          <w:lang w:val="es-ES"/>
        </w:rPr>
        <w:t xml:space="preserve"> el saneamiento a</w:t>
      </w:r>
      <w:r w:rsidR="003F4FF0" w:rsidRPr="00BF20FA">
        <w:rPr>
          <w:rFonts w:asciiTheme="majorHAnsi" w:hAnsiTheme="majorHAnsi"/>
          <w:sz w:val="20"/>
          <w:szCs w:val="20"/>
          <w:lang w:val="es-ES"/>
        </w:rPr>
        <w:t>l</w:t>
      </w:r>
      <w:r w:rsidR="00252F1A" w:rsidRPr="00BF20FA">
        <w:rPr>
          <w:rFonts w:asciiTheme="majorHAnsi" w:hAnsiTheme="majorHAnsi"/>
          <w:sz w:val="20"/>
          <w:szCs w:val="20"/>
          <w:lang w:val="es-ES"/>
        </w:rPr>
        <w:t xml:space="preserve"> que se comprometió el Estado en 1999 no ha culminado. </w:t>
      </w:r>
      <w:r w:rsidR="004E262F" w:rsidRPr="00BF20FA">
        <w:rPr>
          <w:rFonts w:asciiTheme="majorHAnsi" w:eastAsia="Times New Roman" w:hAnsiTheme="majorHAnsi"/>
          <w:sz w:val="20"/>
          <w:szCs w:val="20"/>
          <w:bdr w:val="none" w:sz="0" w:space="0" w:color="auto"/>
          <w:lang w:val="es-ES_tradnl"/>
        </w:rPr>
        <w:t xml:space="preserve">El Estado ha alegado que el derecho al uso y goce de la propiedad colectiva no es absoluto y puede ser limitado, en tanto que el Estado sigue siendo propietario legítimo de los recursos del subsuelo. Asimismo, indicó que en 1995 se estableció en escritura pública, que el titular del derecho de dominio es el INCODER y que la transferencia de dominio se haría en el marco del saneamiento. </w:t>
      </w:r>
    </w:p>
    <w:p w14:paraId="23FA33A4" w14:textId="77777777" w:rsidR="004E262F" w:rsidRPr="00BF20FA" w:rsidRDefault="004E262F" w:rsidP="004E262F">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
        </w:rPr>
      </w:pPr>
    </w:p>
    <w:p w14:paraId="509BDED6" w14:textId="3A576C8E" w:rsidR="001D6394" w:rsidRPr="00BF20FA" w:rsidRDefault="004E262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hAnsiTheme="majorHAnsi"/>
          <w:sz w:val="20"/>
          <w:szCs w:val="20"/>
          <w:lang w:val="es-ES"/>
        </w:rPr>
        <w:t xml:space="preserve">Según la información con que cuenta la Comisión, fue hasta el 2003 que se iniciaron actividades </w:t>
      </w:r>
      <w:r w:rsidR="009548E7" w:rsidRPr="00BF20FA">
        <w:rPr>
          <w:rFonts w:asciiTheme="majorHAnsi" w:hAnsiTheme="majorHAnsi"/>
          <w:sz w:val="20"/>
          <w:szCs w:val="20"/>
          <w:lang w:val="es-ES"/>
        </w:rPr>
        <w:t xml:space="preserve">concretas </w:t>
      </w:r>
      <w:r w:rsidRPr="00BF20FA">
        <w:rPr>
          <w:rFonts w:asciiTheme="majorHAnsi" w:hAnsiTheme="majorHAnsi"/>
          <w:sz w:val="20"/>
          <w:szCs w:val="20"/>
          <w:lang w:val="es-ES"/>
        </w:rPr>
        <w:t>tend</w:t>
      </w:r>
      <w:r w:rsidR="009548E7" w:rsidRPr="00BF20FA">
        <w:rPr>
          <w:rFonts w:asciiTheme="majorHAnsi" w:hAnsiTheme="majorHAnsi"/>
          <w:sz w:val="20"/>
          <w:szCs w:val="20"/>
          <w:lang w:val="es-ES"/>
        </w:rPr>
        <w:t>i</w:t>
      </w:r>
      <w:r w:rsidRPr="00BF20FA">
        <w:rPr>
          <w:rFonts w:asciiTheme="majorHAnsi" w:hAnsiTheme="majorHAnsi"/>
          <w:sz w:val="20"/>
          <w:szCs w:val="20"/>
          <w:lang w:val="es-ES"/>
        </w:rPr>
        <w:t>entes al saneamiento. C</w:t>
      </w:r>
      <w:r w:rsidR="00CE53B2" w:rsidRPr="00BF20FA">
        <w:rPr>
          <w:rFonts w:asciiTheme="majorHAnsi" w:hAnsiTheme="majorHAnsi"/>
          <w:sz w:val="20"/>
          <w:szCs w:val="20"/>
          <w:lang w:val="es-ES"/>
        </w:rPr>
        <w:t xml:space="preserve">omo se indicó anteriormente, durante la tramitación del caso ante la Comisión, </w:t>
      </w:r>
      <w:r w:rsidRPr="00BF20FA">
        <w:rPr>
          <w:rFonts w:asciiTheme="majorHAnsi" w:hAnsiTheme="majorHAnsi"/>
          <w:sz w:val="20"/>
          <w:szCs w:val="20"/>
          <w:lang w:val="es-ES"/>
        </w:rPr>
        <w:t xml:space="preserve">en el 2007 </w:t>
      </w:r>
      <w:r w:rsidR="00CE53B2" w:rsidRPr="00BF20FA">
        <w:rPr>
          <w:rFonts w:asciiTheme="majorHAnsi" w:hAnsiTheme="majorHAnsi"/>
          <w:sz w:val="20"/>
          <w:szCs w:val="20"/>
          <w:lang w:val="es-ES"/>
        </w:rPr>
        <w:t xml:space="preserve">el Estado se comprometió a culminar con el saneamiento </w:t>
      </w:r>
      <w:r w:rsidRPr="00BF20FA">
        <w:rPr>
          <w:rFonts w:asciiTheme="majorHAnsi" w:hAnsiTheme="majorHAnsi"/>
          <w:sz w:val="20"/>
          <w:szCs w:val="20"/>
          <w:lang w:val="es-ES"/>
        </w:rPr>
        <w:t xml:space="preserve">del territorio </w:t>
      </w:r>
      <w:r w:rsidR="00CE53B2" w:rsidRPr="00BF20FA">
        <w:rPr>
          <w:rFonts w:asciiTheme="majorHAnsi" w:hAnsiTheme="majorHAnsi"/>
          <w:sz w:val="20"/>
          <w:szCs w:val="20"/>
          <w:lang w:val="es-ES"/>
        </w:rPr>
        <w:t>en 2010</w:t>
      </w:r>
      <w:r w:rsidRPr="00BF20FA">
        <w:rPr>
          <w:rFonts w:asciiTheme="majorHAnsi" w:hAnsiTheme="majorHAnsi"/>
          <w:sz w:val="20"/>
          <w:szCs w:val="20"/>
          <w:lang w:val="es-ES"/>
        </w:rPr>
        <w:t>; sin embargo,</w:t>
      </w:r>
      <w:r w:rsidR="0079737B" w:rsidRPr="00BF20FA">
        <w:rPr>
          <w:rFonts w:asciiTheme="majorHAnsi" w:hAnsiTheme="majorHAnsi"/>
          <w:sz w:val="20"/>
          <w:szCs w:val="20"/>
          <w:lang w:val="es-ES"/>
        </w:rPr>
        <w:t xml:space="preserve"> ello tampoco ha ocurrido conforme a los estándares indicados anteriormente. </w:t>
      </w:r>
      <w:r w:rsidRPr="00BF20FA">
        <w:rPr>
          <w:rFonts w:asciiTheme="majorHAnsi" w:eastAsia="Times New Roman" w:hAnsiTheme="majorHAnsi"/>
          <w:sz w:val="20"/>
          <w:szCs w:val="20"/>
          <w:bdr w:val="none" w:sz="0" w:space="0" w:color="auto"/>
          <w:lang w:val="es-ES"/>
        </w:rPr>
        <w:t>C</w:t>
      </w:r>
      <w:r w:rsidRPr="00BF20FA">
        <w:rPr>
          <w:rFonts w:asciiTheme="majorHAnsi" w:eastAsia="Times New Roman" w:hAnsiTheme="majorHAnsi"/>
          <w:sz w:val="20"/>
          <w:szCs w:val="20"/>
          <w:bdr w:val="none" w:sz="0" w:space="0" w:color="auto"/>
          <w:lang w:val="es-ES_tradnl"/>
        </w:rPr>
        <w:t xml:space="preserve">abe destacar lo asentado en los acuerdos de mayo de 2014, en los que el Estado de nuevo se comprometió a sanear el </w:t>
      </w:r>
      <w:r w:rsidRPr="00BF20FA">
        <w:rPr>
          <w:rFonts w:asciiTheme="majorHAnsi" w:hAnsiTheme="majorHAnsi"/>
          <w:color w:val="000000" w:themeColor="text1"/>
          <w:sz w:val="20"/>
          <w:szCs w:val="20"/>
          <w:lang w:val="es-CO"/>
        </w:rPr>
        <w:t xml:space="preserve">Resguardo Unido U’wa con asignación presupuestal con un plazo de dos años. </w:t>
      </w:r>
      <w:r w:rsidRPr="00BF20FA">
        <w:rPr>
          <w:rFonts w:asciiTheme="majorHAnsi" w:hAnsiTheme="majorHAnsi"/>
          <w:sz w:val="20"/>
          <w:szCs w:val="20"/>
          <w:lang w:val="es-ES"/>
        </w:rPr>
        <w:t xml:space="preserve">Han pasado así 20 años desde la </w:t>
      </w:r>
      <w:r w:rsidR="00252F1A" w:rsidRPr="00BF20FA">
        <w:rPr>
          <w:rFonts w:asciiTheme="majorHAnsi" w:hAnsiTheme="majorHAnsi"/>
          <w:sz w:val="20"/>
          <w:szCs w:val="20"/>
          <w:lang w:val="es-ES"/>
        </w:rPr>
        <w:t>Resolución No. 56</w:t>
      </w:r>
      <w:r w:rsidRPr="00BF20FA">
        <w:rPr>
          <w:rFonts w:asciiTheme="majorHAnsi" w:hAnsiTheme="majorHAnsi"/>
          <w:sz w:val="20"/>
          <w:szCs w:val="20"/>
          <w:lang w:val="es-ES"/>
        </w:rPr>
        <w:t xml:space="preserve"> de 1999 y el Pueblo U´wa no solo no ha recibido el título de propiedad colectiva que desde entonces viene exigiendo, sino que colonos continúan </w:t>
      </w:r>
      <w:r w:rsidR="00FF3B01" w:rsidRPr="00BF20FA">
        <w:rPr>
          <w:rFonts w:asciiTheme="majorHAnsi" w:hAnsiTheme="majorHAnsi"/>
          <w:sz w:val="20"/>
          <w:szCs w:val="20"/>
          <w:lang w:val="es-ES"/>
        </w:rPr>
        <w:t xml:space="preserve">viviendo en </w:t>
      </w:r>
      <w:r w:rsidRPr="00BF20FA">
        <w:rPr>
          <w:rFonts w:asciiTheme="majorHAnsi" w:hAnsiTheme="majorHAnsi"/>
          <w:sz w:val="20"/>
          <w:szCs w:val="20"/>
          <w:lang w:val="es-ES"/>
        </w:rPr>
        <w:t xml:space="preserve">su </w:t>
      </w:r>
      <w:r w:rsidR="00FF3B01" w:rsidRPr="00BF20FA">
        <w:rPr>
          <w:rFonts w:asciiTheme="majorHAnsi" w:hAnsiTheme="majorHAnsi"/>
          <w:sz w:val="20"/>
          <w:szCs w:val="20"/>
          <w:lang w:val="es-ES"/>
        </w:rPr>
        <w:t>territorio.</w:t>
      </w:r>
      <w:r w:rsidR="00375F87" w:rsidRPr="00BF20FA">
        <w:rPr>
          <w:rFonts w:asciiTheme="majorHAnsi" w:eastAsia="Times New Roman" w:hAnsiTheme="majorHAnsi"/>
          <w:sz w:val="20"/>
          <w:szCs w:val="20"/>
          <w:bdr w:val="none" w:sz="0" w:space="0" w:color="auto"/>
          <w:lang w:val="es-ES_tradnl"/>
        </w:rPr>
        <w:t xml:space="preserve"> </w:t>
      </w:r>
      <w:r w:rsidR="004C072F" w:rsidRPr="00BF20FA">
        <w:rPr>
          <w:rFonts w:asciiTheme="majorHAnsi" w:eastAsia="Times New Roman" w:hAnsiTheme="majorHAnsi"/>
          <w:sz w:val="20"/>
          <w:szCs w:val="20"/>
          <w:bdr w:val="none" w:sz="0" w:space="0" w:color="auto"/>
          <w:lang w:val="es-ES_tradnl"/>
        </w:rPr>
        <w:t xml:space="preserve">Este tiempo irrazonable se suma a las décadas previas a 1999 en las que las tierras y territorios U´was permanecieron sin ser saneadas, situación que el Estado se comprometió a revertir recién en dicho año. </w:t>
      </w:r>
    </w:p>
    <w:p w14:paraId="06C0A3CB" w14:textId="77777777" w:rsidR="00375F87" w:rsidRPr="00BF20FA" w:rsidRDefault="00375F87" w:rsidP="00375F87">
      <w:pPr>
        <w:pStyle w:val="ListParagraph"/>
        <w:rPr>
          <w:rFonts w:asciiTheme="majorHAnsi" w:eastAsia="Times New Roman" w:hAnsiTheme="majorHAnsi"/>
          <w:sz w:val="20"/>
          <w:szCs w:val="20"/>
          <w:bdr w:val="none" w:sz="0" w:space="0" w:color="auto"/>
          <w:lang w:val="es-ES_tradnl"/>
        </w:rPr>
      </w:pPr>
    </w:p>
    <w:p w14:paraId="27585360" w14:textId="01DA41B5" w:rsidR="00375F87" w:rsidRPr="00BF20FA" w:rsidRDefault="004E262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La Comisión ha tomado nota del énfasis que l</w:t>
      </w:r>
      <w:r w:rsidR="00375F87" w:rsidRPr="00BF20FA">
        <w:rPr>
          <w:rFonts w:asciiTheme="majorHAnsi" w:eastAsia="Times New Roman" w:hAnsiTheme="majorHAnsi"/>
          <w:sz w:val="20"/>
          <w:szCs w:val="20"/>
          <w:bdr w:val="none" w:sz="0" w:space="0" w:color="auto"/>
          <w:lang w:val="es-ES_tradnl"/>
        </w:rPr>
        <w:t xml:space="preserve">a parte peticionaria hace en los títulos coloniales que le fueron entregados al Pueblo U´wa, con base en los cuales el Estado debe reconocer y titular su tierra. </w:t>
      </w:r>
      <w:r w:rsidRPr="00BF20FA">
        <w:rPr>
          <w:rFonts w:asciiTheme="majorHAnsi" w:eastAsia="Times New Roman" w:hAnsiTheme="majorHAnsi"/>
          <w:sz w:val="20"/>
          <w:szCs w:val="20"/>
          <w:bdr w:val="none" w:sz="0" w:space="0" w:color="auto"/>
          <w:lang w:val="es-ES_tradnl"/>
        </w:rPr>
        <w:t xml:space="preserve">Asimismo, ha observado que el Estado indica que </w:t>
      </w:r>
      <w:r w:rsidR="00E6373C" w:rsidRPr="00BF20FA">
        <w:rPr>
          <w:rFonts w:asciiTheme="majorHAnsi" w:eastAsia="Times New Roman" w:hAnsiTheme="majorHAnsi"/>
          <w:sz w:val="20"/>
          <w:szCs w:val="20"/>
          <w:bdr w:val="none" w:sz="0" w:space="0" w:color="auto"/>
          <w:lang w:val="es-ES_tradnl"/>
        </w:rPr>
        <w:t>ha sido por el incumplimiento del mismo Pueblo U´wa que no se ha</w:t>
      </w:r>
      <w:r w:rsidRPr="00BF20FA">
        <w:rPr>
          <w:rFonts w:asciiTheme="majorHAnsi" w:eastAsia="Times New Roman" w:hAnsiTheme="majorHAnsi"/>
          <w:sz w:val="20"/>
          <w:szCs w:val="20"/>
          <w:bdr w:val="none" w:sz="0" w:space="0" w:color="auto"/>
          <w:lang w:val="es-ES_tradnl"/>
        </w:rPr>
        <w:t>n</w:t>
      </w:r>
      <w:r w:rsidR="00E6373C" w:rsidRPr="00BF20FA">
        <w:rPr>
          <w:rFonts w:asciiTheme="majorHAnsi" w:eastAsia="Times New Roman" w:hAnsiTheme="majorHAnsi"/>
          <w:sz w:val="20"/>
          <w:szCs w:val="20"/>
          <w:bdr w:val="none" w:sz="0" w:space="0" w:color="auto"/>
          <w:lang w:val="es-ES_tradnl"/>
        </w:rPr>
        <w:t xml:space="preserve"> podido veri</w:t>
      </w:r>
      <w:r w:rsidRPr="00BF20FA">
        <w:rPr>
          <w:rFonts w:asciiTheme="majorHAnsi" w:eastAsia="Times New Roman" w:hAnsiTheme="majorHAnsi"/>
          <w:sz w:val="20"/>
          <w:szCs w:val="20"/>
          <w:bdr w:val="none" w:sz="0" w:space="0" w:color="auto"/>
          <w:lang w:val="es-ES_tradnl"/>
        </w:rPr>
        <w:t xml:space="preserve">ficar los “presuntos” títulos. No </w:t>
      </w:r>
      <w:r w:rsidR="00AA7F31" w:rsidRPr="00BF20FA">
        <w:rPr>
          <w:rFonts w:asciiTheme="majorHAnsi" w:eastAsia="Times New Roman" w:hAnsiTheme="majorHAnsi"/>
          <w:sz w:val="20"/>
          <w:szCs w:val="20"/>
          <w:bdr w:val="none" w:sz="0" w:space="0" w:color="auto"/>
          <w:lang w:val="es-ES_tradnl"/>
        </w:rPr>
        <w:t>obstante,</w:t>
      </w:r>
      <w:r w:rsidRPr="00BF20FA">
        <w:rPr>
          <w:rFonts w:asciiTheme="majorHAnsi" w:eastAsia="Times New Roman" w:hAnsiTheme="majorHAnsi"/>
          <w:sz w:val="20"/>
          <w:szCs w:val="20"/>
          <w:bdr w:val="none" w:sz="0" w:space="0" w:color="auto"/>
          <w:lang w:val="es-ES_tradnl"/>
        </w:rPr>
        <w:t xml:space="preserve"> la Comisión considera </w:t>
      </w:r>
      <w:r w:rsidR="00AA7F31" w:rsidRPr="00BF20FA">
        <w:rPr>
          <w:rFonts w:asciiTheme="majorHAnsi" w:eastAsia="Times New Roman" w:hAnsiTheme="majorHAnsi"/>
          <w:sz w:val="20"/>
          <w:szCs w:val="20"/>
          <w:bdr w:val="none" w:sz="0" w:space="0" w:color="auto"/>
          <w:lang w:val="es-ES_tradnl"/>
        </w:rPr>
        <w:t>que,</w:t>
      </w:r>
      <w:r w:rsidRPr="00BF20FA">
        <w:rPr>
          <w:rFonts w:asciiTheme="majorHAnsi" w:eastAsia="Times New Roman" w:hAnsiTheme="majorHAnsi"/>
          <w:sz w:val="20"/>
          <w:szCs w:val="20"/>
          <w:bdr w:val="none" w:sz="0" w:space="0" w:color="auto"/>
          <w:lang w:val="es-ES_tradnl"/>
        </w:rPr>
        <w:t xml:space="preserve"> de conformidad con la jurisprudencia constante del sistema interamericano, ya señalada en los párrafos anteriores, la posesión </w:t>
      </w:r>
      <w:r w:rsidR="00B611BD" w:rsidRPr="00BF20FA">
        <w:rPr>
          <w:rFonts w:asciiTheme="majorHAnsi" w:eastAsia="Times New Roman" w:hAnsiTheme="majorHAnsi"/>
          <w:sz w:val="20"/>
          <w:szCs w:val="20"/>
          <w:bdr w:val="none" w:sz="0" w:space="0" w:color="auto"/>
          <w:lang w:val="es-ES_tradnl"/>
        </w:rPr>
        <w:t>ancestral</w:t>
      </w:r>
      <w:r w:rsidR="00AF6F33" w:rsidRPr="00BF20FA">
        <w:rPr>
          <w:rFonts w:asciiTheme="majorHAnsi" w:eastAsia="Times New Roman" w:hAnsiTheme="majorHAnsi"/>
          <w:sz w:val="20"/>
          <w:szCs w:val="20"/>
          <w:bdr w:val="none" w:sz="0" w:space="0" w:color="auto"/>
          <w:lang w:val="es-ES_tradnl"/>
        </w:rPr>
        <w:t xml:space="preserve"> por  </w:t>
      </w:r>
      <w:r w:rsidRPr="00BF20FA">
        <w:rPr>
          <w:rFonts w:asciiTheme="majorHAnsi" w:eastAsia="Times New Roman" w:hAnsiTheme="majorHAnsi"/>
          <w:sz w:val="20"/>
          <w:szCs w:val="20"/>
          <w:bdr w:val="none" w:sz="0" w:space="0" w:color="auto"/>
          <w:lang w:val="es-ES_tradnl"/>
        </w:rPr>
        <w:t>cientos de años de las tierras</w:t>
      </w:r>
      <w:r w:rsidR="00AF6F33" w:rsidRPr="00BF20FA">
        <w:rPr>
          <w:rFonts w:asciiTheme="majorHAnsi" w:eastAsia="Times New Roman" w:hAnsiTheme="majorHAnsi"/>
          <w:sz w:val="20"/>
          <w:szCs w:val="20"/>
          <w:bdr w:val="none" w:sz="0" w:space="0" w:color="auto"/>
          <w:lang w:val="es-ES_tradnl"/>
        </w:rPr>
        <w:t xml:space="preserve"> y territorios </w:t>
      </w:r>
      <w:r w:rsidR="000225D6" w:rsidRPr="00BF20FA">
        <w:rPr>
          <w:rFonts w:asciiTheme="majorHAnsi" w:eastAsia="Times New Roman" w:hAnsiTheme="majorHAnsi"/>
          <w:sz w:val="20"/>
          <w:szCs w:val="20"/>
          <w:bdr w:val="none" w:sz="0" w:space="0" w:color="auto"/>
          <w:lang w:val="es-ES_tradnl"/>
        </w:rPr>
        <w:t>por parte del Pueblo U´wa es suficiente para</w:t>
      </w:r>
      <w:r w:rsidR="00E6373C" w:rsidRPr="00BF20FA">
        <w:rPr>
          <w:rFonts w:asciiTheme="majorHAnsi" w:eastAsia="Times New Roman" w:hAnsiTheme="majorHAnsi"/>
          <w:sz w:val="20"/>
          <w:szCs w:val="20"/>
          <w:bdr w:val="none" w:sz="0" w:space="0" w:color="auto"/>
          <w:lang w:val="es-ES_tradnl"/>
        </w:rPr>
        <w:t xml:space="preserve"> </w:t>
      </w:r>
      <w:r w:rsidR="000225D6" w:rsidRPr="00BF20FA">
        <w:rPr>
          <w:rFonts w:asciiTheme="majorHAnsi" w:eastAsia="Times New Roman" w:hAnsiTheme="majorHAnsi"/>
          <w:sz w:val="20"/>
          <w:szCs w:val="20"/>
          <w:bdr w:val="none" w:sz="0" w:space="0" w:color="auto"/>
          <w:lang w:val="es-ES_tradnl"/>
        </w:rPr>
        <w:t xml:space="preserve">comprobar la </w:t>
      </w:r>
      <w:r w:rsidR="000225D6" w:rsidRPr="000A5F88">
        <w:rPr>
          <w:rFonts w:asciiTheme="majorHAnsi" w:hAnsiTheme="majorHAnsi"/>
          <w:sz w:val="20"/>
          <w:szCs w:val="20"/>
          <w:lang w:val="es-AR"/>
        </w:rPr>
        <w:t>titularidad</w:t>
      </w:r>
      <w:r w:rsidR="000225D6" w:rsidRPr="00BF20FA">
        <w:rPr>
          <w:rFonts w:asciiTheme="majorHAnsi" w:eastAsia="Times New Roman" w:hAnsiTheme="majorHAnsi"/>
          <w:sz w:val="20"/>
          <w:szCs w:val="20"/>
          <w:bdr w:val="none" w:sz="0" w:space="0" w:color="auto"/>
          <w:lang w:val="es-ES_tradnl"/>
        </w:rPr>
        <w:t xml:space="preserve"> y el Estado no debe exigir ningún requisito adicional. </w:t>
      </w:r>
      <w:r w:rsidR="00667628" w:rsidRPr="00BF20FA">
        <w:rPr>
          <w:rFonts w:asciiTheme="majorHAnsi" w:eastAsia="Times New Roman" w:hAnsiTheme="majorHAnsi"/>
          <w:sz w:val="20"/>
          <w:szCs w:val="20"/>
          <w:bdr w:val="none" w:sz="0" w:space="0" w:color="auto"/>
          <w:lang w:val="es-ES_tradnl"/>
        </w:rPr>
        <w:t>Sin embargo, toda vez que el Pueblo U´wa afirma que el Estado no incluyó todas sus tierras en el Resguardo Único, la Comisión considera que corresponde al Esta</w:t>
      </w:r>
      <w:r w:rsidR="0012745E" w:rsidRPr="00BF20FA">
        <w:rPr>
          <w:rFonts w:asciiTheme="majorHAnsi" w:eastAsia="Times New Roman" w:hAnsiTheme="majorHAnsi"/>
          <w:sz w:val="20"/>
          <w:szCs w:val="20"/>
          <w:bdr w:val="none" w:sz="0" w:space="0" w:color="auto"/>
          <w:lang w:val="es-ES_tradnl"/>
        </w:rPr>
        <w:t xml:space="preserve">do y no al Pueblo U´wa, clarificar </w:t>
      </w:r>
      <w:r w:rsidR="00C227CD" w:rsidRPr="00BF20FA">
        <w:rPr>
          <w:rFonts w:asciiTheme="majorHAnsi" w:eastAsia="Times New Roman" w:hAnsiTheme="majorHAnsi"/>
          <w:sz w:val="20"/>
          <w:szCs w:val="20"/>
          <w:bdr w:val="none" w:sz="0" w:space="0" w:color="auto"/>
          <w:lang w:val="es-ES_tradnl"/>
        </w:rPr>
        <w:t xml:space="preserve">la situación de </w:t>
      </w:r>
      <w:r w:rsidR="0012745E" w:rsidRPr="00BF20FA">
        <w:rPr>
          <w:rFonts w:asciiTheme="majorHAnsi" w:eastAsia="Times New Roman" w:hAnsiTheme="majorHAnsi"/>
          <w:sz w:val="20"/>
          <w:szCs w:val="20"/>
          <w:bdr w:val="none" w:sz="0" w:space="0" w:color="auto"/>
          <w:lang w:val="es-ES_tradnl"/>
        </w:rPr>
        <w:t>los títulos coloniales</w:t>
      </w:r>
      <w:r w:rsidR="00C227CD" w:rsidRPr="00BF20FA">
        <w:rPr>
          <w:rFonts w:asciiTheme="majorHAnsi" w:eastAsia="Times New Roman" w:hAnsiTheme="majorHAnsi"/>
          <w:sz w:val="20"/>
          <w:szCs w:val="20"/>
          <w:bdr w:val="none" w:sz="0" w:space="0" w:color="auto"/>
          <w:lang w:val="es-ES_tradnl"/>
        </w:rPr>
        <w:t xml:space="preserve"> y sus implicaciones en materia de titulación y saneamiento</w:t>
      </w:r>
      <w:r w:rsidR="0012745E" w:rsidRPr="00BF20FA">
        <w:rPr>
          <w:rFonts w:asciiTheme="majorHAnsi" w:eastAsia="Times New Roman" w:hAnsiTheme="majorHAnsi"/>
          <w:sz w:val="20"/>
          <w:szCs w:val="20"/>
          <w:bdr w:val="none" w:sz="0" w:space="0" w:color="auto"/>
          <w:lang w:val="es-ES_tradnl"/>
        </w:rPr>
        <w:t>, de acuerdo a las normas vigentes, según se comprometió a hacerlo en los acuerdo</w:t>
      </w:r>
      <w:r w:rsidR="00B611BD" w:rsidRPr="00BF20FA">
        <w:rPr>
          <w:rFonts w:asciiTheme="majorHAnsi" w:eastAsia="Times New Roman" w:hAnsiTheme="majorHAnsi"/>
          <w:sz w:val="20"/>
          <w:szCs w:val="20"/>
          <w:bdr w:val="none" w:sz="0" w:space="0" w:color="auto"/>
          <w:lang w:val="es-ES_tradnl"/>
        </w:rPr>
        <w:t>s</w:t>
      </w:r>
      <w:r w:rsidR="0012745E" w:rsidRPr="00BF20FA">
        <w:rPr>
          <w:rFonts w:asciiTheme="majorHAnsi" w:eastAsia="Times New Roman" w:hAnsiTheme="majorHAnsi"/>
          <w:sz w:val="20"/>
          <w:szCs w:val="20"/>
          <w:bdr w:val="none" w:sz="0" w:space="0" w:color="auto"/>
          <w:lang w:val="es-ES_tradnl"/>
        </w:rPr>
        <w:t xml:space="preserve"> de mayo de 2014.</w:t>
      </w:r>
      <w:r w:rsidR="00667628" w:rsidRPr="00BF20FA">
        <w:rPr>
          <w:rFonts w:asciiTheme="majorHAnsi" w:eastAsia="Times New Roman" w:hAnsiTheme="majorHAnsi"/>
          <w:sz w:val="20"/>
          <w:szCs w:val="20"/>
          <w:bdr w:val="none" w:sz="0" w:space="0" w:color="auto"/>
          <w:lang w:val="es-ES_tradnl"/>
        </w:rPr>
        <w:t xml:space="preserve">  </w:t>
      </w:r>
    </w:p>
    <w:p w14:paraId="02835F4C" w14:textId="77777777" w:rsidR="0094623F" w:rsidRPr="00BF20FA" w:rsidRDefault="0094623F" w:rsidP="0094623F">
      <w:pPr>
        <w:pStyle w:val="ListParagraph"/>
        <w:rPr>
          <w:rFonts w:asciiTheme="majorHAnsi" w:eastAsia="Times New Roman" w:hAnsiTheme="majorHAnsi"/>
          <w:sz w:val="20"/>
          <w:szCs w:val="20"/>
          <w:bdr w:val="none" w:sz="0" w:space="0" w:color="auto"/>
          <w:lang w:val="es-ES_tradnl"/>
        </w:rPr>
      </w:pPr>
    </w:p>
    <w:p w14:paraId="04EB9CC9" w14:textId="611A5DE1" w:rsidR="0094623F" w:rsidRPr="00BF20FA" w:rsidRDefault="000225D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La falta de titulación</w:t>
      </w:r>
      <w:r w:rsidR="008723F1" w:rsidRPr="00BF20FA">
        <w:rPr>
          <w:rFonts w:asciiTheme="majorHAnsi" w:eastAsia="Times New Roman" w:hAnsiTheme="majorHAnsi"/>
          <w:sz w:val="20"/>
          <w:szCs w:val="20"/>
          <w:bdr w:val="none" w:sz="0" w:space="0" w:color="auto"/>
          <w:lang w:val="es-ES_tradnl"/>
        </w:rPr>
        <w:t xml:space="preserve"> oportuna y completa, así como las demoras en el </w:t>
      </w:r>
      <w:r w:rsidRPr="00BF20FA">
        <w:rPr>
          <w:rFonts w:asciiTheme="majorHAnsi" w:eastAsia="Times New Roman" w:hAnsiTheme="majorHAnsi"/>
          <w:sz w:val="20"/>
          <w:szCs w:val="20"/>
          <w:bdr w:val="none" w:sz="0" w:space="0" w:color="auto"/>
          <w:lang w:val="es-ES_tradnl"/>
        </w:rPr>
        <w:t xml:space="preserve">saneamiento del territorio del Pueblo U´wa, </w:t>
      </w:r>
      <w:r w:rsidR="008723F1" w:rsidRPr="000A5F88">
        <w:rPr>
          <w:rFonts w:asciiTheme="majorHAnsi" w:hAnsiTheme="majorHAnsi"/>
          <w:sz w:val="20"/>
          <w:szCs w:val="20"/>
          <w:lang w:val="es-AR"/>
        </w:rPr>
        <w:t>incluyendo</w:t>
      </w:r>
      <w:r w:rsidR="008723F1" w:rsidRPr="00BF20FA">
        <w:rPr>
          <w:rFonts w:asciiTheme="majorHAnsi" w:hAnsiTheme="majorHAnsi"/>
          <w:sz w:val="20"/>
          <w:szCs w:val="20"/>
          <w:lang w:val="es-ES_tradnl"/>
        </w:rPr>
        <w:t xml:space="preserve"> </w:t>
      </w:r>
      <w:r w:rsidR="0094623F" w:rsidRPr="00BF20FA">
        <w:rPr>
          <w:rFonts w:asciiTheme="majorHAnsi" w:hAnsiTheme="majorHAnsi"/>
          <w:sz w:val="20"/>
          <w:szCs w:val="20"/>
          <w:lang w:val="es-ES_tradnl"/>
        </w:rPr>
        <w:t xml:space="preserve">las falencias del Estado en asegurar la propiedad y posesión </w:t>
      </w:r>
      <w:r w:rsidR="005B2926" w:rsidRPr="00BF20FA">
        <w:rPr>
          <w:rFonts w:asciiTheme="majorHAnsi" w:hAnsiTheme="majorHAnsi"/>
          <w:sz w:val="20"/>
          <w:szCs w:val="20"/>
          <w:lang w:val="es-ES_tradnl"/>
        </w:rPr>
        <w:t>pacíficas</w:t>
      </w:r>
      <w:r w:rsidR="0094623F" w:rsidRPr="00BF20FA">
        <w:rPr>
          <w:rFonts w:asciiTheme="majorHAnsi" w:hAnsiTheme="majorHAnsi"/>
          <w:sz w:val="20"/>
          <w:szCs w:val="20"/>
          <w:lang w:val="es-ES_tradnl"/>
        </w:rPr>
        <w:t xml:space="preserve">, </w:t>
      </w:r>
      <w:r w:rsidR="008723F1" w:rsidRPr="00BF20FA">
        <w:rPr>
          <w:rFonts w:asciiTheme="majorHAnsi" w:hAnsiTheme="majorHAnsi"/>
          <w:sz w:val="20"/>
          <w:szCs w:val="20"/>
          <w:lang w:val="es-ES_tradnl"/>
        </w:rPr>
        <w:t xml:space="preserve">son contrarias a la obligación de efectuar un reconocimiento de la propiedad colectiva, con la seguridad jurídica necesaria para lograr </w:t>
      </w:r>
      <w:r w:rsidR="0094623F" w:rsidRPr="00BF20FA">
        <w:rPr>
          <w:rFonts w:asciiTheme="majorHAnsi" w:hAnsiTheme="majorHAnsi"/>
          <w:sz w:val="20"/>
          <w:szCs w:val="20"/>
          <w:lang w:val="es-ES_tradnl"/>
        </w:rPr>
        <w:t>una protección efectiva del derecho a la propiedad</w:t>
      </w:r>
      <w:r w:rsidR="008723F1" w:rsidRPr="00BF20FA">
        <w:rPr>
          <w:rFonts w:asciiTheme="majorHAnsi" w:hAnsiTheme="majorHAnsi"/>
          <w:sz w:val="20"/>
          <w:szCs w:val="20"/>
          <w:lang w:val="es-ES_tradnl"/>
        </w:rPr>
        <w:t>, así como su posesión pacífica y exclusivamente indígena</w:t>
      </w:r>
      <w:r w:rsidR="0094623F" w:rsidRPr="00BF20FA">
        <w:rPr>
          <w:rFonts w:asciiTheme="majorHAnsi" w:hAnsiTheme="majorHAnsi"/>
          <w:sz w:val="20"/>
          <w:szCs w:val="20"/>
          <w:lang w:val="es-ES_tradnl"/>
        </w:rPr>
        <w:t xml:space="preserve"> y, por lo tanto, </w:t>
      </w:r>
      <w:r w:rsidR="0094623F" w:rsidRPr="00BF20FA">
        <w:rPr>
          <w:rFonts w:asciiTheme="majorHAnsi" w:hAnsiTheme="majorHAnsi"/>
          <w:bCs/>
          <w:sz w:val="20"/>
          <w:szCs w:val="20"/>
          <w:lang w:val="es-ES_tradnl"/>
        </w:rPr>
        <w:t>constituy</w:t>
      </w:r>
      <w:r w:rsidR="00B55E13" w:rsidRPr="00BF20FA">
        <w:rPr>
          <w:rFonts w:asciiTheme="majorHAnsi" w:hAnsiTheme="majorHAnsi"/>
          <w:bCs/>
          <w:sz w:val="20"/>
          <w:szCs w:val="20"/>
          <w:lang w:val="es-ES_tradnl"/>
        </w:rPr>
        <w:t>e</w:t>
      </w:r>
      <w:r w:rsidR="002275A5" w:rsidRPr="00BF20FA">
        <w:rPr>
          <w:rFonts w:asciiTheme="majorHAnsi" w:hAnsiTheme="majorHAnsi"/>
          <w:bCs/>
          <w:sz w:val="20"/>
          <w:szCs w:val="20"/>
          <w:lang w:val="es-ES_tradnl"/>
        </w:rPr>
        <w:t>n</w:t>
      </w:r>
      <w:r w:rsidR="0094623F" w:rsidRPr="00BF20FA">
        <w:rPr>
          <w:rFonts w:asciiTheme="majorHAnsi" w:hAnsiTheme="majorHAnsi"/>
          <w:bCs/>
          <w:sz w:val="20"/>
          <w:szCs w:val="20"/>
          <w:lang w:val="es-ES_tradnl"/>
        </w:rPr>
        <w:t xml:space="preserve"> una violación del artículo 21 de la Convención Americana,</w:t>
      </w:r>
      <w:r w:rsidR="0094623F" w:rsidRPr="00BF20FA">
        <w:rPr>
          <w:rFonts w:asciiTheme="majorHAnsi" w:hAnsiTheme="majorHAnsi"/>
          <w:sz w:val="20"/>
          <w:szCs w:val="20"/>
          <w:lang w:val="es-ES_tradnl"/>
        </w:rPr>
        <w:t xml:space="preserve"> en conexión con </w:t>
      </w:r>
      <w:r w:rsidR="00027C0F" w:rsidRPr="00BF20FA">
        <w:rPr>
          <w:rFonts w:asciiTheme="majorHAnsi" w:hAnsiTheme="majorHAnsi"/>
          <w:sz w:val="20"/>
          <w:szCs w:val="20"/>
          <w:lang w:val="es-ES_tradnl"/>
        </w:rPr>
        <w:t>el artículo 1.1</w:t>
      </w:r>
      <w:r w:rsidR="0094623F" w:rsidRPr="00BF20FA">
        <w:rPr>
          <w:rFonts w:asciiTheme="majorHAnsi" w:hAnsiTheme="majorHAnsi"/>
          <w:sz w:val="20"/>
          <w:szCs w:val="20"/>
          <w:lang w:val="es-ES_tradnl"/>
        </w:rPr>
        <w:t xml:space="preserve"> del mismo instrumento internacional.</w:t>
      </w:r>
    </w:p>
    <w:p w14:paraId="09E3C135" w14:textId="4B905EA0" w:rsidR="009B447B" w:rsidRPr="00BF20FA" w:rsidRDefault="005738EF" w:rsidP="008F7F9A">
      <w:pPr>
        <w:pStyle w:val="Heading3"/>
        <w:numPr>
          <w:ilvl w:val="0"/>
          <w:numId w:val="62"/>
        </w:numPr>
        <w:ind w:left="360"/>
        <w:jc w:val="both"/>
        <w:rPr>
          <w:rFonts w:asciiTheme="majorHAnsi" w:hAnsiTheme="majorHAnsi"/>
          <w:sz w:val="20"/>
          <w:szCs w:val="20"/>
          <w:lang w:val="es-ES_tradnl"/>
        </w:rPr>
      </w:pPr>
      <w:bookmarkStart w:id="39" w:name="_Toc17221575"/>
      <w:r w:rsidRPr="00BF20FA">
        <w:rPr>
          <w:rFonts w:asciiTheme="majorHAnsi" w:hAnsiTheme="majorHAnsi"/>
          <w:sz w:val="20"/>
          <w:szCs w:val="20"/>
          <w:lang w:val="es-ES_tradnl"/>
        </w:rPr>
        <w:lastRenderedPageBreak/>
        <w:t xml:space="preserve">Derecho </w:t>
      </w:r>
      <w:r w:rsidR="009B447B" w:rsidRPr="00BF20FA">
        <w:rPr>
          <w:rFonts w:asciiTheme="majorHAnsi" w:hAnsiTheme="majorHAnsi"/>
          <w:sz w:val="20"/>
          <w:szCs w:val="20"/>
          <w:lang w:val="es-ES_tradnl"/>
        </w:rPr>
        <w:t>a la consulta previa</w:t>
      </w:r>
      <w:r w:rsidR="00A537FC" w:rsidRPr="00BF20FA">
        <w:rPr>
          <w:rFonts w:asciiTheme="majorHAnsi" w:hAnsiTheme="majorHAnsi"/>
          <w:sz w:val="20"/>
          <w:szCs w:val="20"/>
          <w:lang w:val="es-ES_tradnl"/>
        </w:rPr>
        <w:t>, libre e informada, así como a la obtención del consentimiento del</w:t>
      </w:r>
      <w:r w:rsidR="00227023" w:rsidRPr="00BF20FA">
        <w:rPr>
          <w:rFonts w:asciiTheme="majorHAnsi" w:hAnsiTheme="majorHAnsi"/>
          <w:sz w:val="20"/>
          <w:szCs w:val="20"/>
          <w:lang w:val="es-ES_tradnl"/>
        </w:rPr>
        <w:t xml:space="preserve"> Pueblo U´wa</w:t>
      </w:r>
      <w:bookmarkEnd w:id="39"/>
    </w:p>
    <w:p w14:paraId="0177D19E" w14:textId="77777777" w:rsidR="009B447B" w:rsidRPr="00BF20FA" w:rsidRDefault="009B447B" w:rsidP="00027C0F">
      <w:pPr>
        <w:rPr>
          <w:rFonts w:asciiTheme="majorHAnsi" w:eastAsia="Times New Roman" w:hAnsiTheme="majorHAnsi"/>
          <w:sz w:val="20"/>
          <w:szCs w:val="20"/>
          <w:bdr w:val="none" w:sz="0" w:space="0" w:color="auto"/>
          <w:lang w:val="es-ES_tradnl"/>
        </w:rPr>
      </w:pPr>
    </w:p>
    <w:p w14:paraId="6CB15930" w14:textId="307096A6" w:rsidR="009B447B" w:rsidRPr="00BF20FA" w:rsidRDefault="009B447B"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En el presente caso, el Estado ha alegado que algunos de los hechos del presente caso ocurrieron con anterioridad a que se desarrollaran los estándares internacionales en materia de consulta previa y solicitó a la Comisión que no aplicara esos estándares de manera retroactiva. La Comisión advierte que</w:t>
      </w:r>
      <w:r w:rsidR="007C7BC0" w:rsidRPr="00BF20FA">
        <w:rPr>
          <w:rFonts w:asciiTheme="majorHAnsi" w:eastAsia="Times New Roman" w:hAnsiTheme="majorHAnsi"/>
          <w:sz w:val="20"/>
          <w:szCs w:val="20"/>
          <w:bdr w:val="none" w:sz="0" w:space="0" w:color="auto"/>
          <w:lang w:val="es-ES_tradnl"/>
        </w:rPr>
        <w:t xml:space="preserve"> en</w:t>
      </w:r>
      <w:r w:rsidRPr="00BF20FA">
        <w:rPr>
          <w:rFonts w:asciiTheme="majorHAnsi" w:eastAsia="Times New Roman" w:hAnsiTheme="majorHAnsi"/>
          <w:sz w:val="20"/>
          <w:szCs w:val="20"/>
          <w:bdr w:val="none" w:sz="0" w:space="0" w:color="auto"/>
          <w:lang w:val="es-ES_tradnl"/>
        </w:rPr>
        <w:t xml:space="preserve"> 1998 el Estado intentó regular la consulta previa mediante el Decreto No. 1320, mismo que</w:t>
      </w:r>
      <w:r w:rsidR="00B90D8F" w:rsidRPr="00BF20FA">
        <w:rPr>
          <w:rFonts w:asciiTheme="majorHAnsi" w:eastAsia="Times New Roman" w:hAnsiTheme="majorHAnsi"/>
          <w:sz w:val="20"/>
          <w:szCs w:val="20"/>
          <w:bdr w:val="none" w:sz="0" w:space="0" w:color="auto"/>
          <w:lang w:val="es-ES_tradnl"/>
        </w:rPr>
        <w:t>, como ya quedó señalado,</w:t>
      </w:r>
      <w:r w:rsidRPr="00BF20FA">
        <w:rPr>
          <w:rFonts w:asciiTheme="majorHAnsi" w:eastAsia="Times New Roman" w:hAnsiTheme="majorHAnsi"/>
          <w:sz w:val="20"/>
          <w:szCs w:val="20"/>
          <w:bdr w:val="none" w:sz="0" w:space="0" w:color="auto"/>
          <w:lang w:val="es-ES_tradnl"/>
        </w:rPr>
        <w:t xml:space="preserve"> fue declarado </w:t>
      </w:r>
      <w:r w:rsidRPr="000A5F88">
        <w:rPr>
          <w:rFonts w:asciiTheme="majorHAnsi" w:hAnsiTheme="majorHAnsi"/>
          <w:sz w:val="20"/>
          <w:szCs w:val="20"/>
          <w:lang w:val="es-AR"/>
        </w:rPr>
        <w:t>inconstitucional</w:t>
      </w:r>
      <w:r w:rsidRPr="00BF20FA">
        <w:rPr>
          <w:rFonts w:asciiTheme="majorHAnsi" w:eastAsia="Times New Roman" w:hAnsiTheme="majorHAnsi"/>
          <w:sz w:val="20"/>
          <w:szCs w:val="20"/>
          <w:bdr w:val="none" w:sz="0" w:space="0" w:color="auto"/>
          <w:lang w:val="es-ES_tradnl"/>
        </w:rPr>
        <w:t xml:space="preserve">, debido a que, a su vez, no fue producto de una consulta. </w:t>
      </w:r>
      <w:r w:rsidR="009B13E0" w:rsidRPr="00BF20FA">
        <w:rPr>
          <w:rFonts w:asciiTheme="majorHAnsi" w:eastAsia="Times New Roman" w:hAnsiTheme="majorHAnsi"/>
          <w:sz w:val="20"/>
          <w:szCs w:val="20"/>
          <w:bdr w:val="none" w:sz="0" w:space="0" w:color="auto"/>
          <w:lang w:val="es-ES_tradnl"/>
        </w:rPr>
        <w:t>Según la parte peticionaria, ese decreto se sigue aplicando.</w:t>
      </w:r>
      <w:r w:rsidR="00B90D8F" w:rsidRPr="00BF20FA">
        <w:rPr>
          <w:rFonts w:asciiTheme="majorHAnsi" w:eastAsia="Times New Roman" w:hAnsiTheme="majorHAnsi"/>
          <w:sz w:val="20"/>
          <w:szCs w:val="20"/>
          <w:bdr w:val="none" w:sz="0" w:space="0" w:color="auto"/>
          <w:lang w:val="es-ES_tradnl"/>
        </w:rPr>
        <w:t xml:space="preserve"> </w:t>
      </w:r>
      <w:r w:rsidR="009B13E0" w:rsidRPr="00BF20FA">
        <w:rPr>
          <w:rFonts w:asciiTheme="majorHAnsi" w:eastAsia="Times New Roman" w:hAnsiTheme="majorHAnsi"/>
          <w:sz w:val="20"/>
          <w:szCs w:val="20"/>
          <w:bdr w:val="none" w:sz="0" w:space="0" w:color="auto"/>
          <w:lang w:val="es-ES_tradnl"/>
        </w:rPr>
        <w:t xml:space="preserve"> Independientemente de ello, </w:t>
      </w:r>
      <w:r w:rsidR="004B08AF" w:rsidRPr="00BF20FA">
        <w:rPr>
          <w:rFonts w:asciiTheme="majorHAnsi" w:eastAsia="Times New Roman" w:hAnsiTheme="majorHAnsi"/>
          <w:sz w:val="20"/>
          <w:szCs w:val="20"/>
          <w:bdr w:val="none" w:sz="0" w:space="0" w:color="auto"/>
          <w:lang w:val="es-ES_tradnl"/>
        </w:rPr>
        <w:t xml:space="preserve">no fue sino hasta el 2013 que mediante Decreto </w:t>
      </w:r>
      <w:r w:rsidR="00E16313" w:rsidRPr="00BF20FA">
        <w:rPr>
          <w:rFonts w:asciiTheme="majorHAnsi" w:eastAsia="Times New Roman" w:hAnsiTheme="majorHAnsi"/>
          <w:sz w:val="20"/>
          <w:szCs w:val="20"/>
          <w:bdr w:val="none" w:sz="0" w:space="0" w:color="auto"/>
          <w:lang w:val="es-ES_tradnl"/>
        </w:rPr>
        <w:t>2613 y Directiva Presidencial No.</w:t>
      </w:r>
      <w:r w:rsidR="004B08AF" w:rsidRPr="00BF20FA">
        <w:rPr>
          <w:rFonts w:asciiTheme="majorHAnsi" w:eastAsia="Times New Roman" w:hAnsiTheme="majorHAnsi"/>
          <w:sz w:val="20"/>
          <w:szCs w:val="20"/>
          <w:bdr w:val="none" w:sz="0" w:space="0" w:color="auto"/>
          <w:lang w:val="es-ES_tradnl"/>
        </w:rPr>
        <w:t xml:space="preserve"> 10 se propusieron pasos </w:t>
      </w:r>
      <w:r w:rsidR="00890316" w:rsidRPr="00BF20FA">
        <w:rPr>
          <w:rFonts w:asciiTheme="majorHAnsi" w:eastAsia="Times New Roman" w:hAnsiTheme="majorHAnsi"/>
          <w:sz w:val="20"/>
          <w:szCs w:val="20"/>
          <w:bdr w:val="none" w:sz="0" w:space="0" w:color="auto"/>
          <w:lang w:val="es-ES_tradnl"/>
        </w:rPr>
        <w:t xml:space="preserve">a seguir </w:t>
      </w:r>
      <w:r w:rsidR="004B08AF" w:rsidRPr="00BF20FA">
        <w:rPr>
          <w:rFonts w:asciiTheme="majorHAnsi" w:eastAsia="Times New Roman" w:hAnsiTheme="majorHAnsi"/>
          <w:sz w:val="20"/>
          <w:szCs w:val="20"/>
          <w:bdr w:val="none" w:sz="0" w:space="0" w:color="auto"/>
          <w:lang w:val="es-ES_tradnl"/>
        </w:rPr>
        <w:t>para la realización de la consulta</w:t>
      </w:r>
      <w:r w:rsidR="00B90D8F" w:rsidRPr="00BF20FA">
        <w:rPr>
          <w:rFonts w:asciiTheme="majorHAnsi" w:eastAsia="Times New Roman" w:hAnsiTheme="majorHAnsi"/>
          <w:sz w:val="20"/>
          <w:szCs w:val="20"/>
          <w:bdr w:val="none" w:sz="0" w:space="0" w:color="auto"/>
          <w:lang w:val="es-ES_tradnl"/>
        </w:rPr>
        <w:t xml:space="preserve">, que tampoco fueron consultados y que no otorga garantías a los pueblos indígenas. Es así que, a </w:t>
      </w:r>
      <w:r w:rsidR="007023A3" w:rsidRPr="00BF20FA">
        <w:rPr>
          <w:rFonts w:asciiTheme="majorHAnsi" w:eastAsia="Times New Roman" w:hAnsiTheme="majorHAnsi"/>
          <w:sz w:val="20"/>
          <w:szCs w:val="20"/>
          <w:bdr w:val="none" w:sz="0" w:space="0" w:color="auto"/>
          <w:lang w:val="es-ES_tradnl"/>
        </w:rPr>
        <w:t>la fecha,</w:t>
      </w:r>
      <w:r w:rsidR="00890316" w:rsidRPr="00BF20FA">
        <w:rPr>
          <w:rFonts w:asciiTheme="majorHAnsi" w:eastAsia="Times New Roman" w:hAnsiTheme="majorHAnsi"/>
          <w:sz w:val="20"/>
          <w:szCs w:val="20"/>
          <w:bdr w:val="none" w:sz="0" w:space="0" w:color="auto"/>
          <w:lang w:val="es-ES_tradnl"/>
        </w:rPr>
        <w:t xml:space="preserve"> si bien</w:t>
      </w:r>
      <w:r w:rsidR="00DD3106" w:rsidRPr="00BF20FA">
        <w:rPr>
          <w:rFonts w:asciiTheme="majorHAnsi" w:eastAsia="Times New Roman" w:hAnsiTheme="majorHAnsi"/>
          <w:sz w:val="20"/>
          <w:szCs w:val="20"/>
          <w:bdr w:val="none" w:sz="0" w:space="0" w:color="auto"/>
          <w:lang w:val="es-ES_tradnl"/>
        </w:rPr>
        <w:t xml:space="preserve"> la Corte Constitucional elevó el </w:t>
      </w:r>
      <w:r w:rsidR="00890316" w:rsidRPr="00BF20FA">
        <w:rPr>
          <w:rFonts w:asciiTheme="majorHAnsi" w:eastAsia="Times New Roman" w:hAnsiTheme="majorHAnsi"/>
          <w:sz w:val="20"/>
          <w:szCs w:val="20"/>
          <w:bdr w:val="none" w:sz="0" w:space="0" w:color="auto"/>
          <w:lang w:val="es-ES_tradnl"/>
        </w:rPr>
        <w:t xml:space="preserve">derecho </w:t>
      </w:r>
      <w:r w:rsidR="00DD3106" w:rsidRPr="00BF20FA">
        <w:rPr>
          <w:rFonts w:asciiTheme="majorHAnsi" w:eastAsia="Times New Roman" w:hAnsiTheme="majorHAnsi"/>
          <w:sz w:val="20"/>
          <w:szCs w:val="20"/>
          <w:bdr w:val="none" w:sz="0" w:space="0" w:color="auto"/>
          <w:lang w:val="es-ES_tradnl"/>
        </w:rPr>
        <w:t xml:space="preserve">a la </w:t>
      </w:r>
      <w:r w:rsidR="00890316" w:rsidRPr="00BF20FA">
        <w:rPr>
          <w:rFonts w:asciiTheme="majorHAnsi" w:eastAsia="Times New Roman" w:hAnsiTheme="majorHAnsi"/>
          <w:sz w:val="20"/>
          <w:szCs w:val="20"/>
          <w:bdr w:val="none" w:sz="0" w:space="0" w:color="auto"/>
          <w:lang w:val="es-ES_tradnl"/>
        </w:rPr>
        <w:t>consulta</w:t>
      </w:r>
      <w:r w:rsidR="00DD3106" w:rsidRPr="00BF20FA">
        <w:rPr>
          <w:rFonts w:asciiTheme="majorHAnsi" w:eastAsia="Times New Roman" w:hAnsiTheme="majorHAnsi"/>
          <w:sz w:val="20"/>
          <w:szCs w:val="20"/>
          <w:bdr w:val="none" w:sz="0" w:space="0" w:color="auto"/>
          <w:lang w:val="es-ES_tradnl"/>
        </w:rPr>
        <w:t xml:space="preserve"> a derecho fundamental</w:t>
      </w:r>
      <w:r w:rsidR="00890316" w:rsidRPr="00BF20FA">
        <w:rPr>
          <w:rFonts w:asciiTheme="majorHAnsi" w:eastAsia="Times New Roman" w:hAnsiTheme="majorHAnsi"/>
          <w:sz w:val="20"/>
          <w:szCs w:val="20"/>
          <w:bdr w:val="none" w:sz="0" w:space="0" w:color="auto"/>
          <w:lang w:val="es-ES_tradnl"/>
        </w:rPr>
        <w:t>, lo cierto es que</w:t>
      </w:r>
      <w:r w:rsidR="007023A3" w:rsidRPr="00BF20FA">
        <w:rPr>
          <w:rFonts w:asciiTheme="majorHAnsi" w:eastAsia="Times New Roman" w:hAnsiTheme="majorHAnsi"/>
          <w:sz w:val="20"/>
          <w:szCs w:val="20"/>
          <w:bdr w:val="none" w:sz="0" w:space="0" w:color="auto"/>
          <w:lang w:val="es-ES_tradnl"/>
        </w:rPr>
        <w:t xml:space="preserve"> Colombia no cuenta con una ley </w:t>
      </w:r>
      <w:r w:rsidR="00890316" w:rsidRPr="00BF20FA">
        <w:rPr>
          <w:rFonts w:asciiTheme="majorHAnsi" w:eastAsia="Times New Roman" w:hAnsiTheme="majorHAnsi"/>
          <w:sz w:val="20"/>
          <w:szCs w:val="20"/>
          <w:bdr w:val="none" w:sz="0" w:space="0" w:color="auto"/>
          <w:lang w:val="es-ES_tradnl"/>
        </w:rPr>
        <w:t xml:space="preserve">que regule la </w:t>
      </w:r>
      <w:r w:rsidR="007023A3" w:rsidRPr="00BF20FA">
        <w:rPr>
          <w:rFonts w:asciiTheme="majorHAnsi" w:eastAsia="Times New Roman" w:hAnsiTheme="majorHAnsi"/>
          <w:sz w:val="20"/>
          <w:szCs w:val="20"/>
          <w:bdr w:val="none" w:sz="0" w:space="0" w:color="auto"/>
          <w:lang w:val="es-ES_tradnl"/>
        </w:rPr>
        <w:t>consulta previa</w:t>
      </w:r>
      <w:r w:rsidR="00890316" w:rsidRPr="00BF20FA">
        <w:rPr>
          <w:rFonts w:asciiTheme="majorHAnsi" w:eastAsia="Times New Roman" w:hAnsiTheme="majorHAnsi"/>
          <w:sz w:val="20"/>
          <w:szCs w:val="20"/>
          <w:bdr w:val="none" w:sz="0" w:space="0" w:color="auto"/>
          <w:lang w:val="es-ES_tradnl"/>
        </w:rPr>
        <w:t xml:space="preserve">. Así </w:t>
      </w:r>
      <w:r w:rsidR="007023A3" w:rsidRPr="00BF20FA">
        <w:rPr>
          <w:rFonts w:asciiTheme="majorHAnsi" w:eastAsia="Times New Roman" w:hAnsiTheme="majorHAnsi"/>
          <w:sz w:val="20"/>
          <w:szCs w:val="20"/>
          <w:bdr w:val="none" w:sz="0" w:space="0" w:color="auto"/>
          <w:lang w:val="es-ES_tradnl"/>
        </w:rPr>
        <w:t xml:space="preserve">lo ha informado el propio Estado, refiriéndose a su regulación como </w:t>
      </w:r>
      <w:r w:rsidR="00E16313" w:rsidRPr="00BF20FA">
        <w:rPr>
          <w:rFonts w:asciiTheme="majorHAnsi" w:eastAsia="Times New Roman" w:hAnsiTheme="majorHAnsi"/>
          <w:sz w:val="20"/>
          <w:szCs w:val="20"/>
          <w:bdr w:val="none" w:sz="0" w:space="0" w:color="auto"/>
          <w:lang w:val="es-ES_tradnl"/>
        </w:rPr>
        <w:t>“</w:t>
      </w:r>
      <w:r w:rsidR="007023A3" w:rsidRPr="00BF20FA">
        <w:rPr>
          <w:rFonts w:asciiTheme="majorHAnsi" w:eastAsia="Times New Roman" w:hAnsiTheme="majorHAnsi"/>
          <w:sz w:val="20"/>
          <w:szCs w:val="20"/>
          <w:bdr w:val="none" w:sz="0" w:space="0" w:color="auto"/>
          <w:lang w:val="es-ES_tradnl"/>
        </w:rPr>
        <w:t>una tarea no fácil, al tener en cuenta que la misma debe ser consultada con comunidades indígenas, negras y tribales</w:t>
      </w:r>
      <w:r w:rsidR="00E16313" w:rsidRPr="00BF20FA">
        <w:rPr>
          <w:rFonts w:asciiTheme="majorHAnsi" w:eastAsia="Times New Roman" w:hAnsiTheme="majorHAnsi"/>
          <w:sz w:val="20"/>
          <w:szCs w:val="20"/>
          <w:bdr w:val="none" w:sz="0" w:space="0" w:color="auto"/>
          <w:lang w:val="es-ES_tradnl"/>
        </w:rPr>
        <w:t>”</w:t>
      </w:r>
      <w:r w:rsidR="007023A3" w:rsidRPr="00BF20FA">
        <w:rPr>
          <w:rFonts w:asciiTheme="majorHAnsi" w:eastAsia="Times New Roman" w:hAnsiTheme="majorHAnsi"/>
          <w:sz w:val="20"/>
          <w:szCs w:val="20"/>
          <w:bdr w:val="none" w:sz="0" w:space="0" w:color="auto"/>
          <w:lang w:val="es-ES_tradnl"/>
        </w:rPr>
        <w:t xml:space="preserve">. </w:t>
      </w:r>
    </w:p>
    <w:p w14:paraId="7C8AEA73" w14:textId="77777777" w:rsidR="00C46798" w:rsidRPr="00BF20FA" w:rsidRDefault="00C46798" w:rsidP="00C46798">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Theme="majorHAnsi" w:eastAsia="Times New Roman" w:hAnsiTheme="majorHAnsi"/>
          <w:sz w:val="20"/>
          <w:szCs w:val="20"/>
          <w:bdr w:val="none" w:sz="0" w:space="0" w:color="auto"/>
          <w:lang w:val="es-ES_tradnl"/>
        </w:rPr>
      </w:pPr>
    </w:p>
    <w:p w14:paraId="6A50343F" w14:textId="1CEAA11A" w:rsidR="002E47EE" w:rsidRPr="00BF20FA" w:rsidRDefault="002E47E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 xml:space="preserve">Respecto del argumento del Estado, la CIDH destaca que la obligación de realizar la consulta previa, libre e informada, se desprende de la propia Convención Americana, en una lectura conjunta de los derechos establecidos en sus </w:t>
      </w:r>
      <w:r w:rsidRPr="000A5F88">
        <w:rPr>
          <w:rFonts w:asciiTheme="majorHAnsi" w:hAnsiTheme="majorHAnsi"/>
          <w:sz w:val="20"/>
          <w:szCs w:val="20"/>
          <w:lang w:val="es-AR"/>
        </w:rPr>
        <w:t>artículos</w:t>
      </w:r>
      <w:r w:rsidRPr="00BF20FA">
        <w:rPr>
          <w:rFonts w:asciiTheme="majorHAnsi" w:eastAsia="Times New Roman" w:hAnsiTheme="majorHAnsi"/>
          <w:sz w:val="20"/>
          <w:szCs w:val="20"/>
          <w:bdr w:val="none" w:sz="0" w:space="0" w:color="auto"/>
          <w:lang w:val="es-ES_tradnl"/>
        </w:rPr>
        <w:t xml:space="preserve"> 13, 21 y 23</w:t>
      </w:r>
      <w:r w:rsidR="008A65CB" w:rsidRPr="00BF20FA">
        <w:rPr>
          <w:rFonts w:asciiTheme="majorHAnsi" w:eastAsia="Times New Roman" w:hAnsiTheme="majorHAnsi"/>
          <w:sz w:val="20"/>
          <w:szCs w:val="20"/>
          <w:bdr w:val="none" w:sz="0" w:space="0" w:color="auto"/>
          <w:lang w:val="es-ES_tradnl"/>
        </w:rPr>
        <w:t>, que obligan al Estado colombiano desde la ratificación del instrumento.</w:t>
      </w:r>
      <w:r w:rsidRPr="00BF20FA">
        <w:rPr>
          <w:rFonts w:asciiTheme="majorHAnsi" w:eastAsia="Times New Roman" w:hAnsiTheme="majorHAnsi"/>
          <w:sz w:val="20"/>
          <w:szCs w:val="20"/>
          <w:bdr w:val="none" w:sz="0" w:space="0" w:color="auto"/>
          <w:lang w:val="es-ES_tradnl"/>
        </w:rPr>
        <w:t xml:space="preserve"> Frente a un argumento similar relativo a la supuesta aplicación </w:t>
      </w:r>
      <w:r w:rsidR="002915F9" w:rsidRPr="00BF20FA">
        <w:rPr>
          <w:rFonts w:asciiTheme="majorHAnsi" w:eastAsia="Times New Roman" w:hAnsiTheme="majorHAnsi"/>
          <w:sz w:val="20"/>
          <w:szCs w:val="20"/>
          <w:bdr w:val="none" w:sz="0" w:space="0" w:color="auto"/>
          <w:lang w:val="es-ES_tradnl"/>
        </w:rPr>
        <w:t>retroactiva</w:t>
      </w:r>
      <w:r w:rsidRPr="00BF20FA">
        <w:rPr>
          <w:rFonts w:asciiTheme="majorHAnsi" w:eastAsia="Times New Roman" w:hAnsiTheme="majorHAnsi"/>
          <w:sz w:val="20"/>
          <w:szCs w:val="20"/>
          <w:bdr w:val="none" w:sz="0" w:space="0" w:color="auto"/>
          <w:lang w:val="es-ES_tradnl"/>
        </w:rPr>
        <w:t xml:space="preserve"> de los estándares relativos a la prohibición de la aplicación de la justicia penal militar a casos de violaciones de derechos humanos, la Corte Interamericana indicó en el caso </w:t>
      </w:r>
      <w:r w:rsidRPr="00BF20FA">
        <w:rPr>
          <w:rFonts w:asciiTheme="majorHAnsi" w:eastAsia="Times New Roman" w:hAnsiTheme="majorHAnsi"/>
          <w:i/>
          <w:iCs/>
          <w:sz w:val="20"/>
          <w:szCs w:val="20"/>
          <w:bdr w:val="none" w:sz="0" w:space="0" w:color="auto"/>
          <w:lang w:val="es-ES_tradnl"/>
        </w:rPr>
        <w:t xml:space="preserve">Velez Restrepo vs. Colombia </w:t>
      </w:r>
      <w:r w:rsidRPr="00BF20FA">
        <w:rPr>
          <w:rFonts w:asciiTheme="majorHAnsi" w:eastAsia="Times New Roman" w:hAnsiTheme="majorHAnsi"/>
          <w:sz w:val="20"/>
          <w:szCs w:val="20"/>
          <w:bdr w:val="none" w:sz="0" w:space="0" w:color="auto"/>
          <w:lang w:val="es-ES_tradnl"/>
        </w:rPr>
        <w:t>lo siguiente:</w:t>
      </w:r>
    </w:p>
    <w:p w14:paraId="33EEB419" w14:textId="77777777" w:rsidR="00AD2AF7" w:rsidRPr="00BF20FA" w:rsidRDefault="00AD2AF7" w:rsidP="00AD2AF7">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Theme="majorHAnsi" w:eastAsia="Times New Roman" w:hAnsiTheme="majorHAnsi"/>
          <w:sz w:val="20"/>
          <w:szCs w:val="20"/>
          <w:bdr w:val="none" w:sz="0" w:space="0" w:color="auto"/>
          <w:lang w:val="es-ES_tradnl"/>
        </w:rPr>
      </w:pPr>
    </w:p>
    <w:p w14:paraId="62A3EB88" w14:textId="0A695C61" w:rsidR="00AD2AF7" w:rsidRPr="00BF20FA" w:rsidRDefault="00A47F82" w:rsidP="00AD2AF7">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360" w:right="360"/>
        <w:jc w:val="both"/>
        <w:rPr>
          <w:rFonts w:asciiTheme="majorHAnsi" w:eastAsia="Times New Roman" w:hAnsiTheme="majorHAnsi"/>
          <w:sz w:val="18"/>
          <w:szCs w:val="18"/>
          <w:bdr w:val="none" w:sz="0" w:space="0" w:color="auto"/>
          <w:lang w:val="es-ES"/>
        </w:rPr>
      </w:pPr>
      <w:r w:rsidRPr="00BF20FA">
        <w:rPr>
          <w:rFonts w:asciiTheme="majorHAnsi" w:eastAsia="Times New Roman" w:hAnsiTheme="majorHAnsi"/>
          <w:sz w:val="18"/>
          <w:szCs w:val="18"/>
          <w:bdr w:val="none" w:sz="0" w:space="0" w:color="auto"/>
          <w:lang w:val="es-ES_tradnl"/>
        </w:rPr>
        <w:t>[…]</w:t>
      </w:r>
      <w:r w:rsidR="00AD2AF7" w:rsidRPr="00BF20FA">
        <w:rPr>
          <w:rFonts w:asciiTheme="majorHAnsi" w:eastAsia="Times New Roman" w:hAnsiTheme="majorHAnsi"/>
          <w:sz w:val="18"/>
          <w:szCs w:val="18"/>
          <w:bdr w:val="none" w:sz="0" w:space="0" w:color="auto"/>
          <w:lang w:val="es-ES"/>
        </w:rPr>
        <w:t>es preciso indicar que si bien la jurisprudencia constante</w:t>
      </w:r>
      <w:r w:rsidR="00AD2AF7" w:rsidRPr="00BF20FA">
        <w:rPr>
          <w:rFonts w:asciiTheme="majorHAnsi" w:eastAsia="Times New Roman" w:hAnsiTheme="majorHAnsi"/>
          <w:b/>
          <w:sz w:val="18"/>
          <w:szCs w:val="18"/>
          <w:bdr w:val="none" w:sz="0" w:space="0" w:color="auto"/>
          <w:lang w:val="es-ES"/>
        </w:rPr>
        <w:t xml:space="preserve"> </w:t>
      </w:r>
      <w:r w:rsidR="00AD2AF7" w:rsidRPr="00BF20FA">
        <w:rPr>
          <w:rFonts w:asciiTheme="majorHAnsi" w:eastAsia="Times New Roman" w:hAnsiTheme="majorHAnsi"/>
          <w:sz w:val="18"/>
          <w:szCs w:val="18"/>
          <w:bdr w:val="none" w:sz="0" w:space="0" w:color="auto"/>
          <w:lang w:val="es-ES"/>
        </w:rPr>
        <w:t>de esta Corte es la autoridad interpretativa de las obligaciones establecidas en la Convención Americana, la obligación de no investigar y juzgar violaciones de derechos humanos a través de la jurisdicción penal militar es una garantía del debido proceso que se deriva de las obligaciones mismas contenidas en el artículo 8.1 de la Convención Americana y no depende únicamente de que lo haya reafirmado este Tribunal en su jurisprudencia. La garantía de que violaciones a derechos humanos tales como la vida y la integridad personal sean investigadas por un juez competente está consagrada en la Convención Americana y no nace a partir de su aplicación e interpretación por esta Corte en el ejercicio de su jurisdicción contenciosa, por lo cual debe ser respetada por los Estados Parte desde el momento en que ratifican dicho tratado</w:t>
      </w:r>
      <w:r w:rsidR="004A5549" w:rsidRPr="00BF20FA">
        <w:rPr>
          <w:rStyle w:val="FootnoteReference"/>
          <w:rFonts w:asciiTheme="majorHAnsi" w:eastAsia="Times New Roman" w:hAnsiTheme="majorHAnsi"/>
          <w:sz w:val="18"/>
          <w:szCs w:val="18"/>
          <w:bdr w:val="none" w:sz="0" w:space="0" w:color="auto"/>
          <w:lang w:val="es-ES"/>
        </w:rPr>
        <w:footnoteReference w:id="144"/>
      </w:r>
      <w:r w:rsidR="00AD2AF7" w:rsidRPr="00BF20FA">
        <w:rPr>
          <w:rFonts w:asciiTheme="majorHAnsi" w:eastAsia="Times New Roman" w:hAnsiTheme="majorHAnsi"/>
          <w:sz w:val="18"/>
          <w:szCs w:val="18"/>
          <w:bdr w:val="none" w:sz="0" w:space="0" w:color="auto"/>
          <w:lang w:val="es-ES"/>
        </w:rPr>
        <w:t xml:space="preserve">. </w:t>
      </w:r>
    </w:p>
    <w:p w14:paraId="051FE7C9" w14:textId="77777777" w:rsidR="000C0DF6" w:rsidRPr="00BF20FA" w:rsidRDefault="000C0DF6" w:rsidP="001163B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Theme="majorHAnsi" w:eastAsia="Times New Roman" w:hAnsiTheme="majorHAnsi"/>
          <w:sz w:val="20"/>
          <w:szCs w:val="20"/>
          <w:bdr w:val="none" w:sz="0" w:space="0" w:color="auto"/>
          <w:lang w:val="es-ES_tradnl"/>
        </w:rPr>
      </w:pPr>
    </w:p>
    <w:p w14:paraId="193192DB" w14:textId="77777777" w:rsidR="00DE30EA" w:rsidRPr="00BF20FA" w:rsidRDefault="001163B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eastAsia="Times New Roman" w:hAnsiTheme="majorHAnsi"/>
          <w:sz w:val="20"/>
          <w:szCs w:val="20"/>
          <w:bdr w:val="none" w:sz="0" w:space="0" w:color="auto"/>
          <w:lang w:val="es-ES_tradnl"/>
        </w:rPr>
        <w:t>En cuanto a estándares en materia de consulta previa,</w:t>
      </w:r>
      <w:r w:rsidR="00DE30EA" w:rsidRPr="00BF20FA">
        <w:rPr>
          <w:rFonts w:asciiTheme="majorHAnsi" w:hAnsiTheme="majorHAnsi"/>
          <w:sz w:val="20"/>
          <w:szCs w:val="20"/>
          <w:lang w:val="es-AR"/>
        </w:rPr>
        <w:t xml:space="preserve"> </w:t>
      </w:r>
      <w:r w:rsidR="00DE30EA" w:rsidRPr="00BF20FA">
        <w:rPr>
          <w:rFonts w:asciiTheme="majorHAnsi" w:eastAsia="Times New Roman" w:hAnsiTheme="majorHAnsi"/>
          <w:sz w:val="20"/>
          <w:szCs w:val="20"/>
          <w:bdr w:val="none" w:sz="0" w:space="0" w:color="auto"/>
          <w:lang w:val="es-ES_tradnl"/>
        </w:rPr>
        <w:t>e</w:t>
      </w:r>
      <w:r w:rsidR="00DE30EA" w:rsidRPr="00BF20FA">
        <w:rPr>
          <w:rFonts w:asciiTheme="majorHAnsi" w:hAnsiTheme="majorHAnsi"/>
          <w:sz w:val="20"/>
          <w:szCs w:val="20"/>
          <w:lang w:val="es-ES_tradnl"/>
        </w:rPr>
        <w:t xml:space="preserve">n el caso </w:t>
      </w:r>
      <w:r w:rsidR="00DE30EA" w:rsidRPr="00BF20FA">
        <w:rPr>
          <w:rFonts w:asciiTheme="majorHAnsi" w:hAnsiTheme="majorHAnsi"/>
          <w:sz w:val="20"/>
          <w:szCs w:val="20"/>
          <w:lang w:val="es-AR"/>
        </w:rPr>
        <w:t xml:space="preserve">Mary y Carrie Dann presentado ante la CIDH el </w:t>
      </w:r>
      <w:r w:rsidR="00DE30EA" w:rsidRPr="00BF20FA">
        <w:rPr>
          <w:rFonts w:asciiTheme="majorHAnsi" w:hAnsiTheme="majorHAnsi"/>
          <w:sz w:val="20"/>
          <w:szCs w:val="20"/>
          <w:lang w:val="es-MX"/>
        </w:rPr>
        <w:t>2 de abril de 1993</w:t>
      </w:r>
      <w:r w:rsidR="00DE30EA" w:rsidRPr="00BF20FA">
        <w:rPr>
          <w:rFonts w:asciiTheme="majorHAnsi" w:hAnsiTheme="majorHAnsi"/>
          <w:sz w:val="20"/>
          <w:szCs w:val="20"/>
          <w:lang w:val="es-AR"/>
        </w:rPr>
        <w:t>, la Comisión analizó la actividad aurífera realizada con la autorización del Estado en el territorio ancestral de miembros del pueblo Western Shoshone, sin la consulta adecuada, la Comisión consideró que:</w:t>
      </w:r>
    </w:p>
    <w:p w14:paraId="1DDB9B8D" w14:textId="77777777" w:rsidR="00DE30EA" w:rsidRPr="00BF20FA" w:rsidRDefault="00DE30EA" w:rsidP="00DE30EA">
      <w:pPr>
        <w:jc w:val="both"/>
        <w:rPr>
          <w:rFonts w:asciiTheme="majorHAnsi" w:eastAsia="Times New Roman" w:hAnsiTheme="majorHAnsi"/>
          <w:sz w:val="20"/>
          <w:szCs w:val="20"/>
          <w:lang w:val="es-UY"/>
        </w:rPr>
      </w:pPr>
    </w:p>
    <w:p w14:paraId="0CEB2859" w14:textId="77777777" w:rsidR="00DE30EA" w:rsidRPr="00BF20FA" w:rsidRDefault="00DE30EA" w:rsidP="00E16313">
      <w:pPr>
        <w:ind w:left="360" w:right="360"/>
        <w:jc w:val="both"/>
        <w:rPr>
          <w:rFonts w:asciiTheme="majorHAnsi" w:hAnsiTheme="majorHAnsi"/>
          <w:sz w:val="18"/>
          <w:szCs w:val="18"/>
          <w:lang w:val="es-MX"/>
        </w:rPr>
      </w:pPr>
      <w:r w:rsidRPr="00BF20FA">
        <w:rPr>
          <w:rFonts w:asciiTheme="majorHAnsi" w:hAnsiTheme="majorHAnsi"/>
          <w:sz w:val="18"/>
          <w:szCs w:val="18"/>
          <w:lang w:val="es-MX"/>
        </w:rPr>
        <w:t>[…] toda determinación de la medida en que los reclamantes indígenas mantienen intereses en las tierras de las que han poseído tradicionalmente título y que han ocupado y utilizado, se base en un proceso de total información y mutuo consentimiento de parte de la comunidad indígena en su conjunto.  Esto requiere, como mínimo, que todos los miembros de la comunidad estén plena y cabalmente informados de la naturaleza y las consecuencias del proceso y se les brinde una oportunidad efectiva de participar individual o colectivamente.  […]</w:t>
      </w:r>
      <w:r w:rsidRPr="00BF20FA">
        <w:rPr>
          <w:rStyle w:val="FootnoteReference"/>
          <w:rFonts w:asciiTheme="majorHAnsi" w:hAnsiTheme="majorHAnsi"/>
          <w:sz w:val="18"/>
          <w:szCs w:val="18"/>
          <w:lang w:val="es-MX"/>
        </w:rPr>
        <w:footnoteReference w:id="145"/>
      </w:r>
      <w:r w:rsidRPr="00BF20FA">
        <w:rPr>
          <w:rFonts w:asciiTheme="majorHAnsi" w:hAnsiTheme="majorHAnsi"/>
          <w:sz w:val="18"/>
          <w:szCs w:val="18"/>
          <w:lang w:val="es-MX"/>
        </w:rPr>
        <w:t>.</w:t>
      </w:r>
    </w:p>
    <w:p w14:paraId="347793AF" w14:textId="77777777" w:rsidR="00DE30EA" w:rsidRPr="00BF20FA" w:rsidRDefault="00DE30EA" w:rsidP="00DE30E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Theme="majorHAnsi" w:hAnsiTheme="majorHAnsi"/>
          <w:sz w:val="20"/>
          <w:szCs w:val="20"/>
          <w:lang w:val="es-AR"/>
        </w:rPr>
      </w:pPr>
    </w:p>
    <w:p w14:paraId="6A6960A3" w14:textId="77777777" w:rsidR="00DE30EA" w:rsidRPr="00BF20FA" w:rsidRDefault="00DE30E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hAnsiTheme="majorHAnsi"/>
          <w:sz w:val="20"/>
          <w:szCs w:val="20"/>
          <w:lang w:val="es-AR"/>
        </w:rPr>
        <w:t xml:space="preserve">En su </w:t>
      </w:r>
      <w:r w:rsidRPr="00BF20FA">
        <w:rPr>
          <w:rFonts w:asciiTheme="majorHAnsi" w:hAnsiTheme="majorHAnsi"/>
          <w:sz w:val="20"/>
          <w:szCs w:val="20"/>
          <w:lang w:val="es-UY"/>
        </w:rPr>
        <w:t xml:space="preserve">Tercer Informe sobre la situación de los derechos humanos en Colombia, </w:t>
      </w:r>
      <w:r w:rsidRPr="00BF20FA">
        <w:rPr>
          <w:rFonts w:asciiTheme="majorHAnsi" w:hAnsiTheme="majorHAnsi"/>
          <w:sz w:val="20"/>
          <w:szCs w:val="20"/>
          <w:lang w:val="es-AR"/>
        </w:rPr>
        <w:t>la CIDH se refirió a la actividad petrolera en los territorios indígenas tradicionales, tomando en cuenta las garantías del derecho a la propiedad del pueblo indígena U’wa, y recomendó al Estado que “antes de autorizarse la explotación de los recursos naturales que se encuentren en las tierras de los indígenas se celebren las consultas pertinentes con las comunidades indígenas afectadas y, en la medida en que sea jurídicamente necesario, se obtenga el consentimiento de éstas”</w:t>
      </w:r>
      <w:r w:rsidRPr="00BF20FA">
        <w:rPr>
          <w:rStyle w:val="FootnoteReference"/>
          <w:rFonts w:asciiTheme="majorHAnsi" w:hAnsiTheme="majorHAnsi"/>
          <w:sz w:val="20"/>
          <w:szCs w:val="20"/>
          <w:lang w:val="es-UY"/>
        </w:rPr>
        <w:t xml:space="preserve"> </w:t>
      </w:r>
      <w:r w:rsidRPr="00BF20FA">
        <w:rPr>
          <w:rStyle w:val="FootnoteReference"/>
          <w:rFonts w:asciiTheme="majorHAnsi" w:hAnsiTheme="majorHAnsi"/>
          <w:sz w:val="20"/>
          <w:szCs w:val="20"/>
          <w:lang w:val="es-UY"/>
        </w:rPr>
        <w:footnoteReference w:id="146"/>
      </w:r>
      <w:r w:rsidRPr="00BF20FA">
        <w:rPr>
          <w:rFonts w:asciiTheme="majorHAnsi" w:hAnsiTheme="majorHAnsi"/>
          <w:sz w:val="20"/>
          <w:szCs w:val="20"/>
          <w:lang w:val="es-AR"/>
        </w:rPr>
        <w:t>.</w:t>
      </w:r>
    </w:p>
    <w:p w14:paraId="67AD32AA" w14:textId="77777777" w:rsidR="00DE30EA" w:rsidRPr="00BF20FA" w:rsidRDefault="00DE30EA" w:rsidP="00DE30EA">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jc w:val="both"/>
        <w:rPr>
          <w:rFonts w:asciiTheme="majorHAnsi" w:eastAsia="Times New Roman" w:hAnsiTheme="majorHAnsi"/>
          <w:sz w:val="20"/>
          <w:szCs w:val="20"/>
          <w:bdr w:val="none" w:sz="0" w:space="0" w:color="auto"/>
          <w:lang w:val="es-ES_tradnl"/>
        </w:rPr>
      </w:pPr>
    </w:p>
    <w:p w14:paraId="7A7DA1B6" w14:textId="77777777" w:rsidR="007A5F08" w:rsidRPr="00BF20FA" w:rsidRDefault="00DE30E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Times New Roman" w:hAnsiTheme="majorHAnsi"/>
          <w:sz w:val="20"/>
          <w:szCs w:val="20"/>
          <w:bdr w:val="none" w:sz="0" w:space="0" w:color="auto"/>
          <w:lang w:val="es-ES_tradnl"/>
        </w:rPr>
      </w:pPr>
      <w:r w:rsidRPr="00BF20FA">
        <w:rPr>
          <w:rFonts w:asciiTheme="majorHAnsi" w:hAnsiTheme="majorHAnsi"/>
          <w:sz w:val="20"/>
          <w:szCs w:val="20"/>
          <w:lang w:val="es-AR"/>
        </w:rPr>
        <w:lastRenderedPageBreak/>
        <w:t xml:space="preserve">Asimismo, la Comisión </w:t>
      </w:r>
      <w:r w:rsidR="007927B1" w:rsidRPr="00BF20FA">
        <w:rPr>
          <w:rFonts w:asciiTheme="majorHAnsi" w:hAnsiTheme="majorHAnsi"/>
          <w:sz w:val="20"/>
          <w:szCs w:val="20"/>
          <w:lang w:val="es-AR"/>
        </w:rPr>
        <w:t>ha indicado que, en el caso de actividades realizadas por el Estado, o bajo su autorización –a través de, por ejemplo, licitaciones o concesiones– que tendrían un impacto significativo en el uso y goce de este derecho, es necesario que el Estado asegure que los pueblos afectados cuenten con información sobre las actividades que les afectarían, que tengan la posibilidad de participar en los diferentes procesos para la toma de las decisiones respectivas, y por otra parte, tengan acceso a la protección y las garantías judiciales en caso de considerar que sus derechos no sean respetados</w:t>
      </w:r>
      <w:r w:rsidR="000D5DE9" w:rsidRPr="00BF20FA">
        <w:rPr>
          <w:rStyle w:val="FootnoteReference"/>
          <w:rFonts w:asciiTheme="majorHAnsi" w:hAnsiTheme="majorHAnsi"/>
          <w:sz w:val="20"/>
          <w:szCs w:val="20"/>
          <w:lang w:val="es-AR"/>
        </w:rPr>
        <w:footnoteReference w:id="147"/>
      </w:r>
      <w:r w:rsidR="00284613" w:rsidRPr="00BF20FA">
        <w:rPr>
          <w:rFonts w:asciiTheme="majorHAnsi" w:hAnsiTheme="majorHAnsi"/>
          <w:sz w:val="20"/>
          <w:szCs w:val="20"/>
          <w:lang w:val="es-AR"/>
        </w:rPr>
        <w:t>.</w:t>
      </w:r>
      <w:r w:rsidR="007927B1" w:rsidRPr="00BF20FA">
        <w:rPr>
          <w:rFonts w:asciiTheme="majorHAnsi" w:hAnsiTheme="majorHAnsi"/>
          <w:sz w:val="20"/>
          <w:szCs w:val="20"/>
          <w:lang w:val="es-AR"/>
        </w:rPr>
        <w:t xml:space="preserve"> </w:t>
      </w:r>
    </w:p>
    <w:p w14:paraId="40B1A9EB" w14:textId="77777777" w:rsidR="0040740F" w:rsidRPr="00BF20FA" w:rsidRDefault="0040740F" w:rsidP="00DF5DCC">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Theme="majorHAnsi" w:hAnsiTheme="majorHAnsi"/>
          <w:sz w:val="20"/>
          <w:szCs w:val="20"/>
          <w:lang w:val="es-ES_tradnl"/>
        </w:rPr>
      </w:pPr>
    </w:p>
    <w:p w14:paraId="7AD07E4D" w14:textId="77777777" w:rsidR="007A5F08" w:rsidRPr="00BF20FA" w:rsidRDefault="007A5F08"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hAnsiTheme="majorHAnsi"/>
          <w:sz w:val="20"/>
          <w:szCs w:val="20"/>
          <w:lang w:val="es-ES_tradnl"/>
        </w:rPr>
      </w:pPr>
      <w:r w:rsidRPr="00BF20FA">
        <w:rPr>
          <w:rFonts w:asciiTheme="majorHAnsi" w:hAnsiTheme="majorHAnsi"/>
          <w:sz w:val="20"/>
          <w:szCs w:val="20"/>
          <w:lang w:val="es-ES_tradnl"/>
        </w:rPr>
        <w:t xml:space="preserve">Asimismo, en </w:t>
      </w:r>
      <w:r w:rsidRPr="000A5F88">
        <w:rPr>
          <w:rFonts w:asciiTheme="majorHAnsi" w:hAnsiTheme="majorHAnsi"/>
          <w:sz w:val="20"/>
          <w:szCs w:val="20"/>
          <w:lang w:val="es-AR"/>
        </w:rPr>
        <w:t>2007</w:t>
      </w:r>
      <w:r w:rsidRPr="00BF20FA">
        <w:rPr>
          <w:rFonts w:asciiTheme="majorHAnsi" w:hAnsiTheme="majorHAnsi"/>
          <w:sz w:val="20"/>
          <w:szCs w:val="20"/>
          <w:lang w:val="es-ES_tradnl"/>
        </w:rPr>
        <w:t xml:space="preserve"> la Comisión se pronunció sobre el derecho a la consulta previa respecto de Bolivia, en su Informe sobre acceso a la justicia e inclusión social en el cual enfatizó:</w:t>
      </w:r>
    </w:p>
    <w:p w14:paraId="2B8A3953" w14:textId="77777777" w:rsidR="007A5F08" w:rsidRPr="00BF20FA" w:rsidRDefault="007A5F08" w:rsidP="007A5F08">
      <w:pPr>
        <w:jc w:val="both"/>
        <w:rPr>
          <w:rFonts w:asciiTheme="majorHAnsi" w:hAnsiTheme="majorHAnsi"/>
          <w:sz w:val="20"/>
          <w:szCs w:val="20"/>
          <w:lang w:val="es-ES_tradnl"/>
        </w:rPr>
      </w:pPr>
    </w:p>
    <w:p w14:paraId="70C5E79C" w14:textId="77777777" w:rsidR="007A5F08" w:rsidRPr="00BF20FA" w:rsidRDefault="007A5F08" w:rsidP="00B9450C">
      <w:pPr>
        <w:pStyle w:val="NormalWeb"/>
        <w:tabs>
          <w:tab w:val="left" w:pos="180"/>
        </w:tabs>
        <w:spacing w:before="0" w:beforeAutospacing="0" w:after="0" w:afterAutospacing="0"/>
        <w:ind w:left="360" w:right="360"/>
        <w:jc w:val="both"/>
        <w:rPr>
          <w:rFonts w:asciiTheme="majorHAnsi" w:hAnsiTheme="majorHAnsi"/>
          <w:sz w:val="18"/>
          <w:szCs w:val="18"/>
          <w:lang w:val="es-AR"/>
        </w:rPr>
      </w:pPr>
      <w:r w:rsidRPr="00BF20FA">
        <w:rPr>
          <w:rFonts w:asciiTheme="majorHAnsi" w:hAnsiTheme="majorHAnsi"/>
          <w:sz w:val="18"/>
          <w:szCs w:val="18"/>
          <w:lang w:val="es-AR"/>
        </w:rPr>
        <w:t>[…] que el procedimiento de consultas en el sentido de garantizar el derecho a la participación de los pueblos indígenas en los asuntos susceptibles de afectarles, tiene un alcance mucho más amplio y debe propender por la obtención del consentimiento libre e informado de los pueblos y no limitarse únicamente a una notificación o a un trámite de cuantificación de daños. Por el contrario, debe garantizarse la participación de los pueblos indígenas, a través de dicha consulta, en todas las instancias de decisión de los proyectos de explotación de recursos naturales en sus tierras y territorios, desde su diseño, licitación y concesión, hasta su ejecución y evaluación. […]</w:t>
      </w:r>
      <w:r w:rsidRPr="00BF20FA">
        <w:rPr>
          <w:rStyle w:val="FootnoteReference"/>
          <w:rFonts w:asciiTheme="majorHAnsi" w:eastAsia="MS Mincho" w:hAnsiTheme="majorHAnsi"/>
          <w:sz w:val="18"/>
          <w:szCs w:val="18"/>
          <w:lang w:val="es-MX"/>
        </w:rPr>
        <w:footnoteReference w:id="148"/>
      </w:r>
      <w:r w:rsidRPr="00BF20FA">
        <w:rPr>
          <w:rFonts w:asciiTheme="majorHAnsi" w:hAnsiTheme="majorHAnsi"/>
          <w:sz w:val="18"/>
          <w:szCs w:val="18"/>
          <w:lang w:val="es-AR"/>
        </w:rPr>
        <w:t>.</w:t>
      </w:r>
    </w:p>
    <w:p w14:paraId="7353504B" w14:textId="77777777" w:rsidR="005600ED" w:rsidRPr="00BF20FA" w:rsidRDefault="005600ED" w:rsidP="005600ED">
      <w:pPr>
        <w:pStyle w:val="NormalWeb"/>
        <w:tabs>
          <w:tab w:val="left" w:pos="180"/>
        </w:tabs>
        <w:spacing w:before="0" w:beforeAutospacing="0" w:after="0" w:afterAutospacing="0"/>
        <w:ind w:right="386"/>
        <w:jc w:val="both"/>
        <w:rPr>
          <w:rFonts w:asciiTheme="majorHAnsi" w:hAnsiTheme="majorHAnsi"/>
          <w:sz w:val="20"/>
          <w:szCs w:val="20"/>
          <w:lang w:val="es-UY"/>
        </w:rPr>
      </w:pPr>
    </w:p>
    <w:p w14:paraId="4FD4BF71" w14:textId="77777777" w:rsidR="00E91ACB" w:rsidRPr="00BF20FA" w:rsidRDefault="005600ED"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Times New Roman" w:hAnsiTheme="majorHAnsi"/>
          <w:sz w:val="20"/>
          <w:szCs w:val="20"/>
          <w:bdr w:val="none" w:sz="0" w:space="0" w:color="auto"/>
          <w:lang w:val="es-ES_tradnl"/>
        </w:rPr>
        <w:t xml:space="preserve">La Corte, por su parte, ha </w:t>
      </w:r>
      <w:r w:rsidRPr="00BF20FA">
        <w:rPr>
          <w:rFonts w:asciiTheme="majorHAnsi" w:eastAsia="Calibri" w:hAnsiTheme="majorHAnsi"/>
          <w:sz w:val="20"/>
          <w:szCs w:val="20"/>
          <w:bdr w:val="none" w:sz="0" w:space="0" w:color="auto"/>
          <w:lang w:val="es-ES_tradnl"/>
        </w:rPr>
        <w:t xml:space="preserve">establecido que para todo plan de desarrollo, inversión, exploración o extracción en territorios tradicionales de comunidades indígenas o tribales, el Estado debe cumplir con tres garantías. Primero, </w:t>
      </w:r>
      <w:r w:rsidRPr="00BF20FA">
        <w:rPr>
          <w:rFonts w:asciiTheme="majorHAnsi" w:eastAsia="Calibri" w:hAnsiTheme="majorHAnsi"/>
          <w:sz w:val="20"/>
          <w:szCs w:val="20"/>
          <w:bdr w:val="none" w:sz="0" w:space="0" w:color="auto"/>
          <w:lang w:val="es-MX"/>
        </w:rPr>
        <w:t>asegurar la participación efectiva de los integrantes de los pueblos indígenas y tribales, de conformidad con sus costumbres y tradiciones. Segundo, garantizar que los miembros de los pueblos indígenas y tribales se beneficien razonablemente del plan que se lleve a cabo dentro de su territorio. Tercero, garantizar que no se emitirá ninguna concesión dentro de su territorio a menos y hasta que se realice un estudio previo de impacto social y ambiental</w:t>
      </w:r>
      <w:r w:rsidRPr="00BF20FA">
        <w:rPr>
          <w:rFonts w:asciiTheme="majorHAnsi" w:eastAsia="Calibri" w:hAnsiTheme="majorHAnsi"/>
          <w:sz w:val="20"/>
          <w:szCs w:val="20"/>
          <w:bdr w:val="none" w:sz="0" w:space="0" w:color="auto"/>
          <w:vertAlign w:val="superscript"/>
          <w:lang w:val="es-MX"/>
        </w:rPr>
        <w:footnoteReference w:id="149"/>
      </w:r>
      <w:r w:rsidRPr="00BF20FA">
        <w:rPr>
          <w:rFonts w:asciiTheme="majorHAnsi" w:eastAsia="Calibri" w:hAnsiTheme="majorHAnsi"/>
          <w:sz w:val="20"/>
          <w:szCs w:val="20"/>
          <w:bdr w:val="none" w:sz="0" w:space="0" w:color="auto"/>
          <w:lang w:val="es-MX"/>
        </w:rPr>
        <w:t xml:space="preserve">. </w:t>
      </w:r>
      <w:r w:rsidR="00E91ACB" w:rsidRPr="00BF20FA">
        <w:rPr>
          <w:rFonts w:asciiTheme="majorHAnsi" w:eastAsia="Calibri" w:hAnsiTheme="majorHAnsi"/>
          <w:sz w:val="20"/>
          <w:szCs w:val="20"/>
          <w:bdr w:val="none" w:sz="0" w:space="0" w:color="auto"/>
          <w:lang w:val="es-MX"/>
        </w:rPr>
        <w:t xml:space="preserve"> </w:t>
      </w:r>
    </w:p>
    <w:p w14:paraId="224D2987" w14:textId="77777777" w:rsidR="00E91ACB" w:rsidRPr="00BF20FA" w:rsidRDefault="00E91ACB" w:rsidP="00E91ACB">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Theme="majorHAnsi" w:eastAsia="Calibri" w:hAnsiTheme="majorHAnsi"/>
          <w:sz w:val="20"/>
          <w:szCs w:val="20"/>
          <w:bdr w:val="none" w:sz="0" w:space="0" w:color="auto"/>
          <w:lang w:val="es-CO"/>
        </w:rPr>
      </w:pPr>
    </w:p>
    <w:p w14:paraId="4A73C945" w14:textId="77777777" w:rsidR="00430589" w:rsidRPr="00BF20FA" w:rsidRDefault="00534BC1"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Calibri" w:hAnsiTheme="majorHAnsi"/>
          <w:sz w:val="20"/>
          <w:szCs w:val="20"/>
          <w:bdr w:val="none" w:sz="0" w:space="0" w:color="auto"/>
          <w:lang w:val="es-CO"/>
        </w:rPr>
        <w:t>Al respecto, e</w:t>
      </w:r>
      <w:r w:rsidR="00E91ACB" w:rsidRPr="00BF20FA">
        <w:rPr>
          <w:rFonts w:asciiTheme="majorHAnsi" w:eastAsia="Calibri" w:hAnsiTheme="majorHAnsi"/>
          <w:sz w:val="20"/>
          <w:szCs w:val="20"/>
          <w:bdr w:val="none" w:sz="0" w:space="0" w:color="auto"/>
          <w:lang w:val="es-MX"/>
        </w:rPr>
        <w:t xml:space="preserve">n el caso del </w:t>
      </w:r>
      <w:r w:rsidR="00E91ACB" w:rsidRPr="00BF20FA">
        <w:rPr>
          <w:rFonts w:asciiTheme="majorHAnsi" w:eastAsia="Calibri" w:hAnsiTheme="majorHAnsi"/>
          <w:i/>
          <w:sz w:val="20"/>
          <w:szCs w:val="20"/>
          <w:bdr w:val="none" w:sz="0" w:space="0" w:color="auto"/>
          <w:lang w:val="es-MX"/>
        </w:rPr>
        <w:t>Pueblo Saramaka vs. Surinam</w:t>
      </w:r>
      <w:r w:rsidR="00E91ACB" w:rsidRPr="00BF20FA">
        <w:rPr>
          <w:rFonts w:asciiTheme="majorHAnsi" w:eastAsia="Calibri" w:hAnsiTheme="majorHAnsi"/>
          <w:sz w:val="20"/>
          <w:szCs w:val="20"/>
          <w:bdr w:val="none" w:sz="0" w:space="0" w:color="auto"/>
          <w:lang w:val="es-MX"/>
        </w:rPr>
        <w:t>,  la Corte aclaró que las consultas deben realizarse de buena fe, a través de procedimientos culturalmente adecuados y deben tener como fin llegar a un acuerdo. Asimismo, señaló que se debe consultar a los pueblos, de conformidad con sus propias tradiciones, en las primeras etapas del plan de desarrollo o inversión</w:t>
      </w:r>
      <w:r w:rsidRPr="00BF20FA">
        <w:rPr>
          <w:rFonts w:asciiTheme="majorHAnsi" w:eastAsia="Calibri" w:hAnsiTheme="majorHAnsi"/>
          <w:sz w:val="20"/>
          <w:szCs w:val="20"/>
          <w:bdr w:val="none" w:sz="0" w:space="0" w:color="auto"/>
          <w:lang w:val="es-MX"/>
        </w:rPr>
        <w:t xml:space="preserve">, puesto que </w:t>
      </w:r>
      <w:r w:rsidR="00E91ACB" w:rsidRPr="00BF20FA">
        <w:rPr>
          <w:rFonts w:asciiTheme="majorHAnsi" w:eastAsia="Calibri" w:hAnsiTheme="majorHAnsi"/>
          <w:sz w:val="20"/>
          <w:szCs w:val="20"/>
          <w:bdr w:val="none" w:sz="0" w:space="0" w:color="auto"/>
          <w:lang w:val="es-MX"/>
        </w:rPr>
        <w:t>el aviso temprano proporciona un tiempo para la discusión interna de las comunidades y para brindar una adecuada respuesta al Estado</w:t>
      </w:r>
      <w:r w:rsidR="00430589" w:rsidRPr="00BF20FA">
        <w:rPr>
          <w:rStyle w:val="FootnoteReference"/>
          <w:rFonts w:asciiTheme="majorHAnsi" w:eastAsia="Calibri" w:hAnsiTheme="majorHAnsi"/>
          <w:sz w:val="20"/>
          <w:szCs w:val="20"/>
          <w:bdr w:val="none" w:sz="0" w:space="0" w:color="auto"/>
          <w:lang w:val="es-MX"/>
        </w:rPr>
        <w:footnoteReference w:id="150"/>
      </w:r>
      <w:r w:rsidR="00E91ACB" w:rsidRPr="00BF20FA">
        <w:rPr>
          <w:rFonts w:asciiTheme="majorHAnsi" w:eastAsia="Calibri" w:hAnsiTheme="majorHAnsi"/>
          <w:sz w:val="20"/>
          <w:szCs w:val="20"/>
          <w:bdr w:val="none" w:sz="0" w:space="0" w:color="auto"/>
          <w:lang w:val="es-MX"/>
        </w:rPr>
        <w:t xml:space="preserve">. </w:t>
      </w:r>
      <w:r w:rsidR="00430589" w:rsidRPr="00BF20FA">
        <w:rPr>
          <w:rFonts w:asciiTheme="majorHAnsi" w:eastAsia="Calibri" w:hAnsiTheme="majorHAnsi"/>
          <w:sz w:val="20"/>
          <w:szCs w:val="20"/>
          <w:bdr w:val="none" w:sz="0" w:space="0" w:color="auto"/>
          <w:lang w:val="es-MX"/>
        </w:rPr>
        <w:t xml:space="preserve"> En ese mismo </w:t>
      </w:r>
      <w:r w:rsidR="00430589" w:rsidRPr="000A5F88">
        <w:rPr>
          <w:rFonts w:asciiTheme="majorHAnsi" w:hAnsiTheme="majorHAnsi"/>
          <w:sz w:val="20"/>
          <w:szCs w:val="20"/>
          <w:lang w:val="es-AR"/>
        </w:rPr>
        <w:t>sentido</w:t>
      </w:r>
      <w:r w:rsidR="00430589" w:rsidRPr="00BF20FA">
        <w:rPr>
          <w:rFonts w:asciiTheme="majorHAnsi" w:eastAsia="Calibri" w:hAnsiTheme="majorHAnsi"/>
          <w:sz w:val="20"/>
          <w:szCs w:val="20"/>
          <w:bdr w:val="none" w:sz="0" w:space="0" w:color="auto"/>
          <w:lang w:val="es-MX"/>
        </w:rPr>
        <w:t>, la Corte ha referido que el derecho a la consulta se actualiza de manera previa a la ejecución de acciones que podrían afectar de manera relevante los intereses de los pueblos indígenas y tribales, tales como las etapas de exploración y explotación o extracción</w:t>
      </w:r>
      <w:r w:rsidR="00430589" w:rsidRPr="00BF20FA">
        <w:rPr>
          <w:rStyle w:val="FootnoteReference"/>
          <w:rFonts w:asciiTheme="majorHAnsi" w:eastAsia="Calibri" w:hAnsiTheme="majorHAnsi"/>
          <w:sz w:val="20"/>
          <w:szCs w:val="20"/>
          <w:bdr w:val="none" w:sz="0" w:space="0" w:color="auto"/>
          <w:lang w:val="es-MX"/>
        </w:rPr>
        <w:footnoteReference w:id="151"/>
      </w:r>
      <w:r w:rsidR="00430589" w:rsidRPr="00BF20FA">
        <w:rPr>
          <w:rFonts w:asciiTheme="majorHAnsi" w:eastAsia="Calibri" w:hAnsiTheme="majorHAnsi"/>
          <w:sz w:val="20"/>
          <w:szCs w:val="20"/>
          <w:bdr w:val="none" w:sz="0" w:space="0" w:color="auto"/>
          <w:lang w:val="es-MX"/>
        </w:rPr>
        <w:t>.</w:t>
      </w:r>
      <w:r w:rsidRPr="00BF20FA">
        <w:rPr>
          <w:rFonts w:asciiTheme="majorHAnsi" w:eastAsia="Calibri" w:hAnsiTheme="majorHAnsi"/>
          <w:sz w:val="20"/>
          <w:szCs w:val="20"/>
          <w:bdr w:val="none" w:sz="0" w:space="0" w:color="auto"/>
          <w:lang w:val="es-MX"/>
        </w:rPr>
        <w:t xml:space="preserve"> </w:t>
      </w:r>
    </w:p>
    <w:p w14:paraId="4DCCF723" w14:textId="77777777" w:rsidR="00430589" w:rsidRPr="00BF20FA" w:rsidRDefault="00430589" w:rsidP="00430589">
      <w:pPr>
        <w:pStyle w:val="ListParagraph"/>
        <w:rPr>
          <w:rFonts w:asciiTheme="majorHAnsi" w:eastAsia="Calibri" w:hAnsiTheme="majorHAnsi"/>
          <w:sz w:val="20"/>
          <w:szCs w:val="20"/>
          <w:bdr w:val="none" w:sz="0" w:space="0" w:color="auto"/>
          <w:lang w:val="es-MX"/>
        </w:rPr>
      </w:pPr>
    </w:p>
    <w:p w14:paraId="46BFAB7C" w14:textId="77777777" w:rsidR="00BF654F" w:rsidRPr="00BF20FA" w:rsidRDefault="00430589"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Calibri" w:hAnsiTheme="majorHAnsi"/>
          <w:sz w:val="20"/>
          <w:szCs w:val="20"/>
          <w:bdr w:val="none" w:sz="0" w:space="0" w:color="auto"/>
          <w:lang w:val="es-MX"/>
        </w:rPr>
        <w:t>En cuanto a los estudios de impacto social y ambiental, l</w:t>
      </w:r>
      <w:r w:rsidR="00534BC1" w:rsidRPr="00BF20FA">
        <w:rPr>
          <w:rFonts w:asciiTheme="majorHAnsi" w:eastAsia="Calibri" w:hAnsiTheme="majorHAnsi"/>
          <w:sz w:val="20"/>
          <w:szCs w:val="20"/>
          <w:bdr w:val="none" w:sz="0" w:space="0" w:color="auto"/>
          <w:lang w:val="es-MX"/>
        </w:rPr>
        <w:t xml:space="preserve">a Corte </w:t>
      </w:r>
      <w:r w:rsidR="00796361" w:rsidRPr="00BF20FA">
        <w:rPr>
          <w:rFonts w:asciiTheme="majorHAnsi" w:eastAsia="Calibri" w:hAnsiTheme="majorHAnsi"/>
          <w:sz w:val="20"/>
          <w:szCs w:val="20"/>
          <w:bdr w:val="none" w:sz="0" w:space="0" w:color="auto"/>
          <w:lang w:val="es-MX"/>
        </w:rPr>
        <w:t xml:space="preserve">ha </w:t>
      </w:r>
      <w:r w:rsidR="00534BC1" w:rsidRPr="00BF20FA">
        <w:rPr>
          <w:rFonts w:asciiTheme="majorHAnsi" w:eastAsia="Calibri" w:hAnsiTheme="majorHAnsi"/>
          <w:sz w:val="20"/>
          <w:szCs w:val="20"/>
          <w:bdr w:val="none" w:sz="0" w:space="0" w:color="auto"/>
          <w:lang w:val="es-MX"/>
        </w:rPr>
        <w:t>señal</w:t>
      </w:r>
      <w:r w:rsidR="00796361" w:rsidRPr="00BF20FA">
        <w:rPr>
          <w:rFonts w:asciiTheme="majorHAnsi" w:eastAsia="Calibri" w:hAnsiTheme="majorHAnsi"/>
          <w:sz w:val="20"/>
          <w:szCs w:val="20"/>
          <w:bdr w:val="none" w:sz="0" w:space="0" w:color="auto"/>
          <w:lang w:val="es-MX"/>
        </w:rPr>
        <w:t>ado</w:t>
      </w:r>
      <w:r w:rsidR="00534BC1" w:rsidRPr="00BF20FA">
        <w:rPr>
          <w:rFonts w:asciiTheme="majorHAnsi" w:eastAsia="Calibri" w:hAnsiTheme="majorHAnsi"/>
          <w:sz w:val="20"/>
          <w:szCs w:val="20"/>
          <w:bdr w:val="none" w:sz="0" w:space="0" w:color="auto"/>
          <w:lang w:val="es-MX"/>
        </w:rPr>
        <w:t xml:space="preserve"> que el Estado debe asegurarse que los miembros del pueblo tengan conocimiento de los posibles riesgos, incluido los riesgos ambientales y de </w:t>
      </w:r>
      <w:r w:rsidR="00534BC1" w:rsidRPr="000A5F88">
        <w:rPr>
          <w:rFonts w:asciiTheme="majorHAnsi" w:hAnsiTheme="majorHAnsi"/>
          <w:sz w:val="20"/>
          <w:szCs w:val="20"/>
          <w:lang w:val="es-AR"/>
        </w:rPr>
        <w:t>salubridad</w:t>
      </w:r>
      <w:r w:rsidR="00534BC1" w:rsidRPr="00BF20FA">
        <w:rPr>
          <w:rFonts w:asciiTheme="majorHAnsi" w:eastAsia="Calibri" w:hAnsiTheme="majorHAnsi"/>
          <w:sz w:val="20"/>
          <w:szCs w:val="20"/>
          <w:bdr w:val="none" w:sz="0" w:space="0" w:color="auto"/>
          <w:lang w:val="es-MX"/>
        </w:rPr>
        <w:t>, a fin de que acepten el plan de desarrollo o inversión propuesto con conocimiento y de forma voluntaria</w:t>
      </w:r>
      <w:r w:rsidR="00534BC1" w:rsidRPr="00BF20FA">
        <w:rPr>
          <w:rStyle w:val="FootnoteReference"/>
          <w:rFonts w:asciiTheme="majorHAnsi" w:eastAsia="Calibri" w:hAnsiTheme="majorHAnsi"/>
          <w:sz w:val="20"/>
          <w:szCs w:val="20"/>
          <w:bdr w:val="none" w:sz="0" w:space="0" w:color="auto"/>
          <w:lang w:val="es-MX"/>
        </w:rPr>
        <w:footnoteReference w:id="152"/>
      </w:r>
      <w:r w:rsidR="00534BC1" w:rsidRPr="00BF20FA">
        <w:rPr>
          <w:rFonts w:asciiTheme="majorHAnsi" w:eastAsia="Calibri" w:hAnsiTheme="majorHAnsi"/>
          <w:sz w:val="20"/>
          <w:szCs w:val="20"/>
          <w:bdr w:val="none" w:sz="0" w:space="0" w:color="auto"/>
          <w:lang w:val="es-MX"/>
        </w:rPr>
        <w:t xml:space="preserve">. </w:t>
      </w:r>
      <w:r w:rsidR="00796361" w:rsidRPr="00BF20FA">
        <w:rPr>
          <w:rFonts w:asciiTheme="majorHAnsi" w:eastAsia="Calibri" w:hAnsiTheme="majorHAnsi"/>
          <w:sz w:val="20"/>
          <w:szCs w:val="20"/>
          <w:bdr w:val="none" w:sz="0" w:space="0" w:color="auto"/>
          <w:lang w:val="es-MX"/>
        </w:rPr>
        <w:t xml:space="preserve">Asimismo, el Estado debe </w:t>
      </w:r>
      <w:r w:rsidR="00796361" w:rsidRPr="00BF20FA">
        <w:rPr>
          <w:rFonts w:asciiTheme="majorHAnsi" w:hAnsiTheme="majorHAnsi"/>
          <w:sz w:val="20"/>
          <w:szCs w:val="20"/>
          <w:lang w:val="es-CR"/>
        </w:rPr>
        <w:t>garantizar que no se emitirá ninguna concesión dentro del territorio de una comunidad indígena a menos y hasta que entidades independientes y técnicamente capaces, bajo la supervisión del Estado, realicen un estudio previo de impacto social y ambiental</w:t>
      </w:r>
      <w:r w:rsidR="00796361" w:rsidRPr="00BF20FA">
        <w:rPr>
          <w:rStyle w:val="FootnoteReference"/>
          <w:rFonts w:asciiTheme="majorHAnsi" w:hAnsiTheme="majorHAnsi"/>
          <w:sz w:val="20"/>
          <w:szCs w:val="20"/>
          <w:lang w:val="es-CR"/>
        </w:rPr>
        <w:footnoteReference w:id="153"/>
      </w:r>
      <w:r w:rsidR="00796361" w:rsidRPr="00BF20FA">
        <w:rPr>
          <w:rFonts w:asciiTheme="majorHAnsi" w:hAnsiTheme="majorHAnsi"/>
          <w:sz w:val="20"/>
          <w:szCs w:val="20"/>
          <w:lang w:val="es-MX"/>
        </w:rPr>
        <w:t xml:space="preserve">. El nivel de impacto </w:t>
      </w:r>
      <w:r w:rsidR="00796361" w:rsidRPr="00BF20FA">
        <w:rPr>
          <w:rFonts w:asciiTheme="majorHAnsi" w:hAnsiTheme="majorHAnsi"/>
          <w:sz w:val="20"/>
          <w:szCs w:val="20"/>
          <w:lang w:val="es-MX"/>
        </w:rPr>
        <w:lastRenderedPageBreak/>
        <w:t>permitido no puede negar la capacidad de los miembros de los pueblos indígenas y tribales a su propia supervivencia</w:t>
      </w:r>
      <w:r w:rsidR="00796361" w:rsidRPr="00BF20FA">
        <w:rPr>
          <w:rStyle w:val="FootnoteReference"/>
          <w:rFonts w:asciiTheme="majorHAnsi" w:hAnsiTheme="majorHAnsi"/>
          <w:sz w:val="20"/>
          <w:szCs w:val="20"/>
        </w:rPr>
        <w:footnoteReference w:id="154"/>
      </w:r>
      <w:r w:rsidR="00796361" w:rsidRPr="00BF20FA">
        <w:rPr>
          <w:rFonts w:asciiTheme="majorHAnsi" w:hAnsiTheme="majorHAnsi"/>
          <w:sz w:val="20"/>
          <w:szCs w:val="20"/>
          <w:lang w:val="es-MX"/>
        </w:rPr>
        <w:t>.</w:t>
      </w:r>
    </w:p>
    <w:p w14:paraId="4023633D" w14:textId="77777777" w:rsidR="00BF654F" w:rsidRPr="00BF20FA" w:rsidRDefault="00BF654F" w:rsidP="00BF654F">
      <w:pPr>
        <w:pStyle w:val="ListParagraph"/>
        <w:rPr>
          <w:rFonts w:asciiTheme="majorHAnsi" w:hAnsiTheme="majorHAnsi"/>
          <w:sz w:val="20"/>
          <w:szCs w:val="20"/>
          <w:lang w:val="es-CR"/>
        </w:rPr>
      </w:pPr>
    </w:p>
    <w:p w14:paraId="259519D6" w14:textId="164A1042" w:rsidR="00BF654F" w:rsidRPr="00BF20FA" w:rsidRDefault="00BF654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hAnsiTheme="majorHAnsi"/>
          <w:sz w:val="20"/>
          <w:szCs w:val="20"/>
          <w:lang w:val="es-CR"/>
        </w:rPr>
        <w:t xml:space="preserve">Por otro lado, la Corte ha establecido que los estudios de impacto ambiental deben respetar las tradiciones y cultura de los pueblos indígenas y que uno de los objetivos de la exigencia de dichos estudios es garantizar el derecho del </w:t>
      </w:r>
      <w:r w:rsidRPr="000A5F88">
        <w:rPr>
          <w:rFonts w:asciiTheme="majorHAnsi" w:hAnsiTheme="majorHAnsi"/>
          <w:sz w:val="20"/>
          <w:szCs w:val="20"/>
          <w:lang w:val="es-AR"/>
        </w:rPr>
        <w:t>pueblo</w:t>
      </w:r>
      <w:r w:rsidRPr="00BF20FA">
        <w:rPr>
          <w:rFonts w:asciiTheme="majorHAnsi" w:hAnsiTheme="majorHAnsi"/>
          <w:sz w:val="20"/>
          <w:szCs w:val="20"/>
          <w:lang w:val="es-CR"/>
        </w:rPr>
        <w:t xml:space="preserve"> indígena a ser informado acerca de todos los proyectos propuestos en su territorio</w:t>
      </w:r>
      <w:r w:rsidRPr="00BF20FA">
        <w:rPr>
          <w:rStyle w:val="FootnoteReference"/>
          <w:rFonts w:asciiTheme="majorHAnsi" w:hAnsiTheme="majorHAnsi"/>
          <w:sz w:val="20"/>
          <w:szCs w:val="20"/>
        </w:rPr>
        <w:footnoteReference w:id="155"/>
      </w:r>
      <w:r w:rsidRPr="00BF20FA">
        <w:rPr>
          <w:rFonts w:asciiTheme="majorHAnsi" w:hAnsiTheme="majorHAnsi"/>
          <w:sz w:val="20"/>
          <w:szCs w:val="20"/>
          <w:lang w:val="es-CR"/>
        </w:rPr>
        <w:t>. Por lo tanto, la obligación del Estado de supervisar dichos estudios coincide con su deber de garantizar la efectiva participación del pueblo indígena</w:t>
      </w:r>
      <w:r w:rsidRPr="00BF20FA">
        <w:rPr>
          <w:rStyle w:val="FootnoteReference"/>
          <w:rFonts w:asciiTheme="majorHAnsi" w:hAnsiTheme="majorHAnsi"/>
          <w:sz w:val="20"/>
          <w:szCs w:val="20"/>
          <w:lang w:val="es-CR"/>
        </w:rPr>
        <w:footnoteReference w:id="156"/>
      </w:r>
      <w:r w:rsidRPr="00BF20FA">
        <w:rPr>
          <w:rFonts w:asciiTheme="majorHAnsi" w:hAnsiTheme="majorHAnsi"/>
          <w:sz w:val="20"/>
          <w:szCs w:val="20"/>
          <w:lang w:val="es-CR"/>
        </w:rPr>
        <w:t xml:space="preserve">. </w:t>
      </w:r>
    </w:p>
    <w:p w14:paraId="74C442A8" w14:textId="77777777" w:rsidR="00E91ACB" w:rsidRPr="00BF20FA" w:rsidRDefault="00E91ACB" w:rsidP="00BF654F">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Theme="majorHAnsi" w:eastAsia="Calibri" w:hAnsiTheme="majorHAnsi"/>
          <w:sz w:val="20"/>
          <w:szCs w:val="20"/>
          <w:bdr w:val="none" w:sz="0" w:space="0" w:color="auto"/>
          <w:lang w:val="es-CO"/>
        </w:rPr>
      </w:pPr>
    </w:p>
    <w:p w14:paraId="55FB4141" w14:textId="77777777" w:rsidR="0018694F" w:rsidRDefault="00534BC1"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Calibri" w:hAnsiTheme="majorHAnsi"/>
          <w:sz w:val="20"/>
          <w:szCs w:val="20"/>
          <w:bdr w:val="none" w:sz="0" w:space="0" w:color="auto"/>
          <w:lang w:val="es-CO"/>
        </w:rPr>
        <w:t>Asimismo, l</w:t>
      </w:r>
      <w:r w:rsidR="005600ED" w:rsidRPr="00BF20FA">
        <w:rPr>
          <w:rFonts w:asciiTheme="majorHAnsi" w:eastAsia="Calibri" w:hAnsiTheme="majorHAnsi"/>
          <w:sz w:val="20"/>
          <w:szCs w:val="20"/>
          <w:bdr w:val="none" w:sz="0" w:space="0" w:color="auto"/>
          <w:lang w:val="es-CO"/>
        </w:rPr>
        <w:t>a Corte señal</w:t>
      </w:r>
      <w:r w:rsidRPr="00BF20FA">
        <w:rPr>
          <w:rFonts w:asciiTheme="majorHAnsi" w:eastAsia="Calibri" w:hAnsiTheme="majorHAnsi"/>
          <w:sz w:val="20"/>
          <w:szCs w:val="20"/>
          <w:bdr w:val="none" w:sz="0" w:space="0" w:color="auto"/>
          <w:lang w:val="es-CO"/>
        </w:rPr>
        <w:t>ó</w:t>
      </w:r>
      <w:r w:rsidR="005600ED" w:rsidRPr="00BF20FA">
        <w:rPr>
          <w:rFonts w:asciiTheme="majorHAnsi" w:eastAsia="Calibri" w:hAnsiTheme="majorHAnsi"/>
          <w:sz w:val="20"/>
          <w:szCs w:val="20"/>
          <w:bdr w:val="none" w:sz="0" w:space="0" w:color="auto"/>
          <w:lang w:val="es-CO"/>
        </w:rPr>
        <w:t xml:space="preserve"> </w:t>
      </w:r>
      <w:r w:rsidR="005600ED" w:rsidRPr="00BF20FA">
        <w:rPr>
          <w:rFonts w:asciiTheme="majorHAnsi" w:eastAsia="Calibri" w:hAnsiTheme="majorHAnsi"/>
          <w:sz w:val="20"/>
          <w:szCs w:val="20"/>
          <w:bdr w:val="none" w:sz="0" w:space="0" w:color="auto"/>
          <w:lang w:val="es-ES_tradnl"/>
        </w:rPr>
        <w:t>que </w:t>
      </w:r>
      <w:r w:rsidR="005600ED" w:rsidRPr="00BF20FA">
        <w:rPr>
          <w:rFonts w:asciiTheme="majorHAnsi" w:eastAsia="Calibri" w:hAnsiTheme="majorHAnsi"/>
          <w:sz w:val="20"/>
          <w:szCs w:val="20"/>
          <w:bdr w:val="none" w:sz="0" w:space="0" w:color="auto"/>
          <w:lang w:val="es-CO"/>
        </w:rPr>
        <w:t xml:space="preserve">cuando se trate de planes de desarrollo o de inversión a gran escala, que podrían afectar la </w:t>
      </w:r>
      <w:r w:rsidR="005600ED" w:rsidRPr="000A5F88">
        <w:rPr>
          <w:rFonts w:asciiTheme="majorHAnsi" w:hAnsiTheme="majorHAnsi"/>
          <w:sz w:val="20"/>
          <w:szCs w:val="20"/>
          <w:lang w:val="es-AR"/>
        </w:rPr>
        <w:t>integridad</w:t>
      </w:r>
      <w:r w:rsidR="005600ED" w:rsidRPr="00BF20FA">
        <w:rPr>
          <w:rFonts w:asciiTheme="majorHAnsi" w:eastAsia="Calibri" w:hAnsiTheme="majorHAnsi"/>
          <w:sz w:val="20"/>
          <w:szCs w:val="20"/>
          <w:bdr w:val="none" w:sz="0" w:space="0" w:color="auto"/>
          <w:lang w:val="es-CO"/>
        </w:rPr>
        <w:t xml:space="preserve"> de las tierras y recursos naturales de los pueblos indígenas, el Estado tiene la obligación, no sólo de consultar sino también de obtener su consentimiento previo, libre e informado, acorde a la costumbre y tradiciones de los pueblos</w:t>
      </w:r>
      <w:r w:rsidR="005600ED" w:rsidRPr="00BF20FA">
        <w:rPr>
          <w:rFonts w:asciiTheme="majorHAnsi" w:eastAsia="Calibri" w:hAnsiTheme="majorHAnsi"/>
          <w:sz w:val="20"/>
          <w:szCs w:val="20"/>
          <w:bdr w:val="none" w:sz="0" w:space="0" w:color="auto"/>
          <w:vertAlign w:val="superscript"/>
          <w:lang w:val="es-CO"/>
        </w:rPr>
        <w:footnoteReference w:id="157"/>
      </w:r>
      <w:r w:rsidR="005600ED" w:rsidRPr="00BF20FA">
        <w:rPr>
          <w:rFonts w:asciiTheme="majorHAnsi" w:eastAsia="Calibri" w:hAnsiTheme="majorHAnsi"/>
          <w:sz w:val="20"/>
          <w:szCs w:val="20"/>
          <w:bdr w:val="none" w:sz="0" w:space="0" w:color="auto"/>
          <w:lang w:val="es-CO"/>
        </w:rPr>
        <w:t>.</w:t>
      </w:r>
    </w:p>
    <w:p w14:paraId="4E3969B7" w14:textId="77777777" w:rsidR="0018694F" w:rsidRDefault="0018694F" w:rsidP="00B9450C">
      <w:pPr>
        <w:pStyle w:val="ListParagraph"/>
        <w:rPr>
          <w:rFonts w:asciiTheme="majorHAnsi" w:eastAsia="Calibri" w:hAnsiTheme="majorHAnsi"/>
          <w:sz w:val="20"/>
          <w:szCs w:val="20"/>
          <w:bdr w:val="none" w:sz="0" w:space="0" w:color="auto"/>
          <w:lang w:val="es-CO"/>
        </w:rPr>
      </w:pPr>
    </w:p>
    <w:p w14:paraId="537C41B5" w14:textId="6A379C4F" w:rsidR="001C6748" w:rsidRDefault="001C6748"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EE1152">
        <w:rPr>
          <w:rFonts w:asciiTheme="majorHAnsi" w:hAnsiTheme="majorHAnsi"/>
          <w:sz w:val="20"/>
          <w:szCs w:val="20"/>
          <w:lang w:val="es-PE"/>
        </w:rPr>
        <w:t>En particular cabe recordar que la aprobación por los Estados de planes de desarrollo o de explotación de los recursos naturales frecuentemente afecta la capacidad de los pueblos indígenas de usar y gozar sus tierras y otros recursos naturales presentes en sus territorios tradicionales. Los órganos del sistema</w:t>
      </w:r>
      <w:r>
        <w:rPr>
          <w:rFonts w:asciiTheme="majorHAnsi" w:hAnsiTheme="majorHAnsi"/>
          <w:sz w:val="20"/>
          <w:szCs w:val="20"/>
          <w:lang w:val="es-PE"/>
        </w:rPr>
        <w:t xml:space="preserve"> interamericano</w:t>
      </w:r>
      <w:r w:rsidRPr="00EE1152">
        <w:rPr>
          <w:rFonts w:asciiTheme="majorHAnsi" w:hAnsiTheme="majorHAnsi"/>
          <w:sz w:val="20"/>
          <w:szCs w:val="20"/>
          <w:lang w:val="es-PE"/>
        </w:rPr>
        <w:t xml:space="preserve"> han sido particularmente cuidadosos a la hora de encontrar un equilibrio entre el derecho de propiedad comunal indígena y el interés de los Estados en la explotación de los recursos naturales. En ese sentido ha sido identificado de manera clara la obligación de los Estados de diseñar, implementar y aplicar efectivamente un marco normativo adecuado para la protección de los derechos humanos frente a actividades extractivas, de explotación o desarrollo, que incluy</w:t>
      </w:r>
      <w:r w:rsidRPr="005B3BAB">
        <w:rPr>
          <w:rFonts w:asciiTheme="majorHAnsi" w:hAnsiTheme="majorHAnsi"/>
          <w:sz w:val="20"/>
          <w:szCs w:val="20"/>
          <w:lang w:val="es-PE"/>
        </w:rPr>
        <w:t>e</w:t>
      </w:r>
      <w:r w:rsidRPr="00EE1152">
        <w:rPr>
          <w:rFonts w:asciiTheme="majorHAnsi" w:hAnsiTheme="majorHAnsi"/>
          <w:sz w:val="20"/>
          <w:szCs w:val="20"/>
          <w:lang w:val="es-PE"/>
        </w:rPr>
        <w:t xml:space="preserve"> la realización del derecho a la consulta, y en su caso el consentimiento, libre, previo e informado respecto de los pueblos indígenas y tribales. Lo anterior de modo que las decisiones en torno al territorio y recursos naturales involucren debidamente al pueblo indígena o tribal en cuestión, y se garantice no solo su supervivencia física y cultural, sino también su propia concepción de desarrollo y la continuidad de su cosmovisión, modo de vida tradicional, identidad cultural, estructura social y sistema económico</w:t>
      </w:r>
      <w:r w:rsidRPr="00EE1152">
        <w:rPr>
          <w:rStyle w:val="FootnoteReference"/>
          <w:rFonts w:asciiTheme="majorHAnsi" w:hAnsiTheme="majorHAnsi"/>
          <w:sz w:val="20"/>
          <w:szCs w:val="20"/>
          <w:lang w:val="es-PE"/>
        </w:rPr>
        <w:footnoteReference w:id="158"/>
      </w:r>
      <w:r w:rsidRPr="00EE1152">
        <w:rPr>
          <w:rFonts w:asciiTheme="majorHAnsi" w:hAnsiTheme="majorHAnsi"/>
          <w:sz w:val="20"/>
          <w:szCs w:val="20"/>
          <w:lang w:val="es-PE"/>
        </w:rPr>
        <w:t xml:space="preserve">. </w:t>
      </w:r>
      <w:r w:rsidRPr="00724067">
        <w:rPr>
          <w:rFonts w:asciiTheme="majorHAnsi" w:eastAsia="Calibri" w:hAnsiTheme="majorHAnsi"/>
          <w:sz w:val="20"/>
          <w:szCs w:val="20"/>
          <w:bdr w:val="none" w:sz="0" w:space="0" w:color="auto"/>
          <w:lang w:val="es-CO"/>
        </w:rPr>
        <w:t xml:space="preserve"> </w:t>
      </w:r>
    </w:p>
    <w:p w14:paraId="131F3A39" w14:textId="434F47A4" w:rsidR="00491B0A" w:rsidRDefault="00491B0A" w:rsidP="00B9450C">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Theme="majorHAnsi" w:eastAsia="Calibri" w:hAnsiTheme="majorHAnsi"/>
          <w:sz w:val="20"/>
          <w:szCs w:val="20"/>
          <w:bdr w:val="none" w:sz="0" w:space="0" w:color="auto"/>
          <w:lang w:val="es-CO"/>
        </w:rPr>
      </w:pPr>
    </w:p>
    <w:p w14:paraId="21353254" w14:textId="77777777" w:rsidR="0039760C" w:rsidRPr="005B3BAB" w:rsidRDefault="0039760C"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EE1152">
        <w:rPr>
          <w:sz w:val="20"/>
          <w:szCs w:val="20"/>
          <w:lang w:val="es-PE"/>
        </w:rPr>
        <w:t>E</w:t>
      </w:r>
      <w:r>
        <w:rPr>
          <w:sz w:val="20"/>
          <w:szCs w:val="20"/>
          <w:lang w:val="es-PE"/>
        </w:rPr>
        <w:t xml:space="preserve">s decir, </w:t>
      </w:r>
      <w:r w:rsidRPr="00EE1152">
        <w:rPr>
          <w:sz w:val="20"/>
          <w:szCs w:val="20"/>
          <w:lang w:val="es-PE"/>
        </w:rPr>
        <w:t xml:space="preserve">una cuestión fundamental reside en el establecimiento de un marco legislativo e institucional claro para </w:t>
      </w:r>
      <w:r>
        <w:rPr>
          <w:sz w:val="20"/>
          <w:szCs w:val="20"/>
          <w:lang w:val="es-PE"/>
        </w:rPr>
        <w:t xml:space="preserve">prevenir y </w:t>
      </w:r>
      <w:r w:rsidRPr="00EE1152">
        <w:rPr>
          <w:sz w:val="20"/>
          <w:szCs w:val="20"/>
          <w:lang w:val="es-PE"/>
        </w:rPr>
        <w:t>evaluar eficazmente los riesgos a los derechos humanos inherentes a la operación de actividades</w:t>
      </w:r>
      <w:r>
        <w:rPr>
          <w:sz w:val="20"/>
          <w:szCs w:val="20"/>
          <w:lang w:val="es-PE"/>
        </w:rPr>
        <w:t xml:space="preserve"> </w:t>
      </w:r>
      <w:r w:rsidRPr="00EE1152">
        <w:rPr>
          <w:sz w:val="20"/>
          <w:szCs w:val="20"/>
          <w:lang w:val="es-PE"/>
        </w:rPr>
        <w:t>extractivas</w:t>
      </w:r>
      <w:r>
        <w:rPr>
          <w:sz w:val="20"/>
          <w:szCs w:val="20"/>
          <w:lang w:val="es-PE"/>
        </w:rPr>
        <w:t xml:space="preserve"> o</w:t>
      </w:r>
      <w:r w:rsidRPr="00EE1152">
        <w:rPr>
          <w:sz w:val="20"/>
          <w:szCs w:val="20"/>
          <w:lang w:val="es-PE"/>
        </w:rPr>
        <w:t xml:space="preserve"> de desarrollo </w:t>
      </w:r>
      <w:r>
        <w:rPr>
          <w:sz w:val="20"/>
          <w:szCs w:val="20"/>
          <w:lang w:val="es-PE"/>
        </w:rPr>
        <w:t>en relación con</w:t>
      </w:r>
      <w:r w:rsidRPr="00EE1152">
        <w:rPr>
          <w:sz w:val="20"/>
          <w:szCs w:val="20"/>
          <w:lang w:val="es-PE"/>
        </w:rPr>
        <w:t xml:space="preserve"> los</w:t>
      </w:r>
      <w:r>
        <w:rPr>
          <w:sz w:val="20"/>
          <w:szCs w:val="20"/>
          <w:lang w:val="es-PE"/>
        </w:rPr>
        <w:t xml:space="preserve"> derechos de los</w:t>
      </w:r>
      <w:r w:rsidRPr="00EE1152">
        <w:rPr>
          <w:sz w:val="20"/>
          <w:szCs w:val="20"/>
          <w:lang w:val="es-PE"/>
        </w:rPr>
        <w:t xml:space="preserve"> pueblos indígenas y tribales antes de que sean autorizadas y desde sus fases iniciales. Dicho marco no solo debe incluir procesos de consulta, y en su caso consentimiento, previo, libre </w:t>
      </w:r>
      <w:r>
        <w:rPr>
          <w:sz w:val="20"/>
          <w:szCs w:val="20"/>
          <w:lang w:val="es-PE"/>
        </w:rPr>
        <w:t>e informado</w:t>
      </w:r>
      <w:r w:rsidRPr="00EE1152">
        <w:rPr>
          <w:sz w:val="20"/>
          <w:szCs w:val="20"/>
          <w:lang w:val="es-PE"/>
        </w:rPr>
        <w:t xml:space="preserve">, sino además garantías diferenciadas que </w:t>
      </w:r>
      <w:r>
        <w:rPr>
          <w:sz w:val="20"/>
          <w:szCs w:val="20"/>
          <w:lang w:val="es-PE"/>
        </w:rPr>
        <w:t xml:space="preserve">lo complementen y permitan </w:t>
      </w:r>
      <w:r w:rsidRPr="00EE1152">
        <w:rPr>
          <w:sz w:val="20"/>
          <w:szCs w:val="20"/>
          <w:lang w:val="es-PE"/>
        </w:rPr>
        <w:t xml:space="preserve">el ejercicio de su autodeterminación sobre sus territorios, formas de vida y </w:t>
      </w:r>
      <w:r>
        <w:rPr>
          <w:sz w:val="20"/>
          <w:szCs w:val="20"/>
          <w:lang w:val="es-PE"/>
        </w:rPr>
        <w:t>forma de</w:t>
      </w:r>
      <w:r w:rsidRPr="00EE1152">
        <w:rPr>
          <w:sz w:val="20"/>
          <w:szCs w:val="20"/>
          <w:lang w:val="es-PE"/>
        </w:rPr>
        <w:t xml:space="preserve"> desarrollo</w:t>
      </w:r>
      <w:r>
        <w:rPr>
          <w:sz w:val="20"/>
          <w:szCs w:val="20"/>
          <w:lang w:val="es-PE"/>
        </w:rPr>
        <w:t xml:space="preserve">, además de </w:t>
      </w:r>
      <w:r w:rsidRPr="00EE1152">
        <w:rPr>
          <w:sz w:val="20"/>
          <w:szCs w:val="20"/>
          <w:lang w:val="es-PE"/>
        </w:rPr>
        <w:t>recono</w:t>
      </w:r>
      <w:r>
        <w:rPr>
          <w:sz w:val="20"/>
          <w:szCs w:val="20"/>
          <w:lang w:val="es-PE"/>
        </w:rPr>
        <w:t>cer</w:t>
      </w:r>
      <w:r w:rsidRPr="00EE1152">
        <w:rPr>
          <w:sz w:val="20"/>
          <w:szCs w:val="20"/>
          <w:lang w:val="es-PE"/>
        </w:rPr>
        <w:t xml:space="preserve"> la asimetría de condiciones en la que suelen encontrarse dichos pueblos respecto de aquellos actores que buscan implementar </w:t>
      </w:r>
      <w:r w:rsidRPr="000A5F88">
        <w:rPr>
          <w:rFonts w:asciiTheme="majorHAnsi" w:hAnsiTheme="majorHAnsi"/>
          <w:sz w:val="20"/>
          <w:szCs w:val="20"/>
          <w:lang w:val="es-AR"/>
        </w:rPr>
        <w:t>proyectos</w:t>
      </w:r>
      <w:r w:rsidRPr="00EE1152">
        <w:rPr>
          <w:sz w:val="20"/>
          <w:szCs w:val="20"/>
          <w:lang w:val="es-PE"/>
        </w:rPr>
        <w:t xml:space="preserve"> extractivos o de desarrollo por la situación de pobreza, exclusión y discriminación histórica a la que se han visto sometidos</w:t>
      </w:r>
      <w:r>
        <w:rPr>
          <w:rStyle w:val="FootnoteReference"/>
          <w:sz w:val="20"/>
          <w:szCs w:val="20"/>
          <w:lang w:val="es-PE"/>
        </w:rPr>
        <w:footnoteReference w:id="159"/>
      </w:r>
      <w:r w:rsidRPr="00EE1152">
        <w:rPr>
          <w:sz w:val="20"/>
          <w:szCs w:val="20"/>
          <w:lang w:val="es-PE"/>
        </w:rPr>
        <w:t xml:space="preserve">. </w:t>
      </w:r>
    </w:p>
    <w:p w14:paraId="32CD0DA4" w14:textId="77777777" w:rsidR="00B5386E" w:rsidRPr="00BF20FA" w:rsidRDefault="00B5386E" w:rsidP="00B5386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Theme="majorHAnsi" w:eastAsia="Calibri" w:hAnsiTheme="majorHAnsi"/>
          <w:sz w:val="20"/>
          <w:szCs w:val="20"/>
          <w:bdr w:val="none" w:sz="0" w:space="0" w:color="auto"/>
          <w:lang w:val="es-CO"/>
        </w:rPr>
      </w:pPr>
    </w:p>
    <w:p w14:paraId="640C41B7" w14:textId="0B5EDF48" w:rsidR="00E44C09" w:rsidRPr="00BF20FA" w:rsidRDefault="002E1CB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Calibri" w:hAnsiTheme="majorHAnsi"/>
          <w:sz w:val="20"/>
          <w:szCs w:val="20"/>
          <w:bdr w:val="none" w:sz="0" w:space="0" w:color="auto"/>
          <w:lang w:val="es-MX"/>
        </w:rPr>
        <w:t xml:space="preserve">De la </w:t>
      </w:r>
      <w:r w:rsidRPr="00BF20FA">
        <w:rPr>
          <w:rFonts w:asciiTheme="majorHAnsi" w:eastAsia="Times New Roman" w:hAnsiTheme="majorHAnsi"/>
          <w:sz w:val="20"/>
          <w:szCs w:val="20"/>
          <w:bdr w:val="none" w:sz="0" w:space="0" w:color="auto"/>
          <w:lang w:val="es-ES_tradnl"/>
        </w:rPr>
        <w:t xml:space="preserve">información con que cuenta la Comisión y que ha sido plasmada en la sección de determinación de hechos del presente </w:t>
      </w:r>
      <w:r w:rsidRPr="000A5F88">
        <w:rPr>
          <w:rFonts w:asciiTheme="majorHAnsi" w:hAnsiTheme="majorHAnsi"/>
          <w:sz w:val="20"/>
          <w:szCs w:val="20"/>
          <w:lang w:val="es-AR"/>
        </w:rPr>
        <w:t>informe</w:t>
      </w:r>
      <w:r w:rsidRPr="00BF20FA">
        <w:rPr>
          <w:rFonts w:asciiTheme="majorHAnsi" w:eastAsia="Times New Roman" w:hAnsiTheme="majorHAnsi"/>
          <w:sz w:val="20"/>
          <w:szCs w:val="20"/>
          <w:bdr w:val="none" w:sz="0" w:space="0" w:color="auto"/>
          <w:lang w:val="es-ES_tradnl"/>
        </w:rPr>
        <w:t xml:space="preserve">, se advierte que el Estado no cumplió con </w:t>
      </w:r>
      <w:r w:rsidR="00550A1D" w:rsidRPr="00BF20FA">
        <w:rPr>
          <w:rFonts w:asciiTheme="majorHAnsi" w:eastAsia="Times New Roman" w:hAnsiTheme="majorHAnsi"/>
          <w:sz w:val="20"/>
          <w:szCs w:val="20"/>
          <w:bdr w:val="none" w:sz="0" w:space="0" w:color="auto"/>
          <w:lang w:val="es-ES_tradnl"/>
        </w:rPr>
        <w:t xml:space="preserve">el derecho a la consulta previa, libre e informada, </w:t>
      </w:r>
      <w:r w:rsidRPr="00BF20FA">
        <w:rPr>
          <w:rFonts w:asciiTheme="majorHAnsi" w:eastAsia="Times New Roman" w:hAnsiTheme="majorHAnsi"/>
          <w:sz w:val="20"/>
          <w:szCs w:val="20"/>
          <w:bdr w:val="none" w:sz="0" w:space="0" w:color="auto"/>
          <w:lang w:val="es-ES_tradnl"/>
        </w:rPr>
        <w:t xml:space="preserve">al otorgar permisos, licencias y concesiones </w:t>
      </w:r>
      <w:r w:rsidR="007B7441" w:rsidRPr="00BF20FA">
        <w:rPr>
          <w:rFonts w:asciiTheme="majorHAnsi" w:eastAsia="Times New Roman" w:hAnsiTheme="majorHAnsi"/>
          <w:sz w:val="20"/>
          <w:szCs w:val="20"/>
          <w:bdr w:val="none" w:sz="0" w:space="0" w:color="auto"/>
          <w:lang w:val="es-ES_tradnl"/>
        </w:rPr>
        <w:t>para la realización de proyectos petroleros, mineros y de infraestructura en tierras del Pueblo U´wa o e</w:t>
      </w:r>
      <w:r w:rsidR="00B00CDF" w:rsidRPr="00BF20FA">
        <w:rPr>
          <w:rFonts w:asciiTheme="majorHAnsi" w:eastAsia="Times New Roman" w:hAnsiTheme="majorHAnsi"/>
          <w:sz w:val="20"/>
          <w:szCs w:val="20"/>
          <w:bdr w:val="none" w:sz="0" w:space="0" w:color="auto"/>
          <w:lang w:val="es-ES_tradnl"/>
        </w:rPr>
        <w:t>n zonas adyacentes a las mismas</w:t>
      </w:r>
      <w:r w:rsidR="00284B0A" w:rsidRPr="00BF20FA">
        <w:rPr>
          <w:rFonts w:asciiTheme="majorHAnsi" w:eastAsia="Times New Roman" w:hAnsiTheme="majorHAnsi"/>
          <w:sz w:val="20"/>
          <w:szCs w:val="20"/>
          <w:bdr w:val="none" w:sz="0" w:space="0" w:color="auto"/>
          <w:lang w:val="es-ES_tradnl"/>
        </w:rPr>
        <w:t>,</w:t>
      </w:r>
      <w:r w:rsidR="00B00CDF" w:rsidRPr="00BF20FA">
        <w:rPr>
          <w:rFonts w:asciiTheme="majorHAnsi" w:eastAsia="Times New Roman" w:hAnsiTheme="majorHAnsi"/>
          <w:sz w:val="20"/>
          <w:szCs w:val="20"/>
          <w:bdr w:val="none" w:sz="0" w:space="0" w:color="auto"/>
          <w:lang w:val="es-ES_tradnl"/>
        </w:rPr>
        <w:t xml:space="preserve"> que podían afectar sus tierras</w:t>
      </w:r>
      <w:r w:rsidR="00550A1D" w:rsidRPr="00BF20FA">
        <w:rPr>
          <w:rFonts w:asciiTheme="majorHAnsi" w:eastAsia="Times New Roman" w:hAnsiTheme="majorHAnsi"/>
          <w:sz w:val="20"/>
          <w:szCs w:val="20"/>
          <w:bdr w:val="none" w:sz="0" w:space="0" w:color="auto"/>
          <w:lang w:val="es-ES_tradnl"/>
        </w:rPr>
        <w:t>, territorios</w:t>
      </w:r>
      <w:r w:rsidR="00B00CDF" w:rsidRPr="00BF20FA">
        <w:rPr>
          <w:rFonts w:asciiTheme="majorHAnsi" w:eastAsia="Times New Roman" w:hAnsiTheme="majorHAnsi"/>
          <w:sz w:val="20"/>
          <w:szCs w:val="20"/>
          <w:bdr w:val="none" w:sz="0" w:space="0" w:color="auto"/>
          <w:lang w:val="es-ES_tradnl"/>
        </w:rPr>
        <w:t xml:space="preserve"> y su forma de vida</w:t>
      </w:r>
      <w:r w:rsidR="00550A1D" w:rsidRPr="00BF20FA">
        <w:rPr>
          <w:rFonts w:asciiTheme="majorHAnsi" w:eastAsia="Times New Roman" w:hAnsiTheme="majorHAnsi"/>
          <w:sz w:val="20"/>
          <w:szCs w:val="20"/>
          <w:bdr w:val="none" w:sz="0" w:space="0" w:color="auto"/>
          <w:lang w:val="es-ES_tradnl"/>
        </w:rPr>
        <w:t xml:space="preserve">. Mucho menos, el Estado colombiano procuró obtener el consentimiento del pueblo U´wa, no obstante varios de los proyectos pueden considerarse planes de desarrollo o de inversión a gran escala con un impacto muy severo en la supervivencia del pueblo. </w:t>
      </w:r>
    </w:p>
    <w:p w14:paraId="4541F6F3" w14:textId="77777777" w:rsidR="00E44C09" w:rsidRPr="00BF20FA" w:rsidRDefault="00E44C09" w:rsidP="00E44C09">
      <w:pPr>
        <w:pStyle w:val="ListParagraph"/>
        <w:rPr>
          <w:rFonts w:asciiTheme="majorHAnsi" w:eastAsia="Times New Roman" w:hAnsiTheme="majorHAnsi"/>
          <w:sz w:val="20"/>
          <w:szCs w:val="20"/>
          <w:bdr w:val="none" w:sz="0" w:space="0" w:color="auto"/>
          <w:lang w:val="es-ES_tradnl"/>
        </w:rPr>
      </w:pPr>
    </w:p>
    <w:p w14:paraId="476334B1" w14:textId="3627AD9B" w:rsidR="001066DE" w:rsidRPr="00BF20FA" w:rsidRDefault="00362EBD"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Times New Roman" w:hAnsiTheme="majorHAnsi"/>
          <w:sz w:val="20"/>
          <w:szCs w:val="20"/>
          <w:bdr w:val="none" w:sz="0" w:space="0" w:color="auto"/>
          <w:lang w:val="es-ES_tradnl"/>
        </w:rPr>
        <w:t>En este punto, la CIDH considera importante destacar que la propia Corte Constitucional en su Auto de 2009 destacó que el pueblo U´</w:t>
      </w:r>
      <w:r w:rsidR="001066DE" w:rsidRPr="00BF20FA">
        <w:rPr>
          <w:rFonts w:asciiTheme="majorHAnsi" w:eastAsia="Times New Roman" w:hAnsiTheme="majorHAnsi"/>
          <w:sz w:val="20"/>
          <w:szCs w:val="20"/>
          <w:bdr w:val="none" w:sz="0" w:space="0" w:color="auto"/>
          <w:lang w:val="es-ES_tradnl"/>
        </w:rPr>
        <w:t xml:space="preserve">wa era uno de los pueblos en peligro de extinción. Si bien esta determinación se basó principalmente en el impacto del </w:t>
      </w:r>
      <w:r w:rsidR="001066DE" w:rsidRPr="000A5F88">
        <w:rPr>
          <w:rFonts w:asciiTheme="majorHAnsi" w:hAnsiTheme="majorHAnsi"/>
          <w:sz w:val="20"/>
          <w:szCs w:val="20"/>
          <w:lang w:val="es-AR"/>
        </w:rPr>
        <w:t>conflicto</w:t>
      </w:r>
      <w:r w:rsidR="001066DE" w:rsidRPr="00BF20FA">
        <w:rPr>
          <w:rFonts w:asciiTheme="majorHAnsi" w:eastAsia="Times New Roman" w:hAnsiTheme="majorHAnsi"/>
          <w:sz w:val="20"/>
          <w:szCs w:val="20"/>
          <w:bdr w:val="none" w:sz="0" w:space="0" w:color="auto"/>
          <w:lang w:val="es-ES_tradnl"/>
        </w:rPr>
        <w:t xml:space="preserve"> armado en el pueblo, la Comisión considera que pone en evidencia la extrema vulnerabilidad en que ha estado dicho pueblo, lo que sumado a las concesiones </w:t>
      </w:r>
      <w:r w:rsidR="00724067">
        <w:rPr>
          <w:rFonts w:asciiTheme="majorHAnsi" w:eastAsia="Times New Roman" w:hAnsiTheme="majorHAnsi"/>
          <w:sz w:val="20"/>
          <w:szCs w:val="20"/>
          <w:bdr w:val="none" w:sz="0" w:space="0" w:color="auto"/>
          <w:lang w:val="es-ES_tradnl"/>
        </w:rPr>
        <w:t xml:space="preserve">y actividades empresariales </w:t>
      </w:r>
      <w:r w:rsidR="001066DE" w:rsidRPr="00BF20FA">
        <w:rPr>
          <w:rFonts w:asciiTheme="majorHAnsi" w:eastAsia="Times New Roman" w:hAnsiTheme="majorHAnsi"/>
          <w:sz w:val="20"/>
          <w:szCs w:val="20"/>
          <w:bdr w:val="none" w:sz="0" w:space="0" w:color="auto"/>
          <w:lang w:val="es-ES_tradnl"/>
        </w:rPr>
        <w:t>en sus tierras y territorios, necesariamente debe ser considerado al momento de evaluar el peligro que dichas concesiones, en tal situación de vulnerabilidad, implicaba</w:t>
      </w:r>
      <w:r w:rsidR="00724067">
        <w:rPr>
          <w:rFonts w:asciiTheme="majorHAnsi" w:eastAsia="Times New Roman" w:hAnsiTheme="majorHAnsi"/>
          <w:sz w:val="20"/>
          <w:szCs w:val="20"/>
          <w:bdr w:val="none" w:sz="0" w:space="0" w:color="auto"/>
          <w:lang w:val="es-ES_tradnl"/>
        </w:rPr>
        <w:t>n</w:t>
      </w:r>
      <w:r w:rsidR="001066DE" w:rsidRPr="00BF20FA">
        <w:rPr>
          <w:rFonts w:asciiTheme="majorHAnsi" w:eastAsia="Times New Roman" w:hAnsiTheme="majorHAnsi"/>
          <w:sz w:val="20"/>
          <w:szCs w:val="20"/>
          <w:bdr w:val="none" w:sz="0" w:space="0" w:color="auto"/>
          <w:lang w:val="es-ES_tradnl"/>
        </w:rPr>
        <w:t xml:space="preserve"> para el pueblo, de manera que resultaba necesario no sólo efectuar la consulta previa, libre e informada, sino obtener el consentimiento en los términos ya referidos. </w:t>
      </w:r>
    </w:p>
    <w:p w14:paraId="68D65481" w14:textId="77777777" w:rsidR="001066DE" w:rsidRPr="00BF20FA" w:rsidRDefault="001066DE" w:rsidP="001066DE">
      <w:p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suppressAutoHyphens/>
        <w:jc w:val="both"/>
        <w:rPr>
          <w:rFonts w:asciiTheme="majorHAnsi" w:eastAsia="Calibri" w:hAnsiTheme="majorHAnsi"/>
          <w:sz w:val="20"/>
          <w:szCs w:val="20"/>
          <w:bdr w:val="none" w:sz="0" w:space="0" w:color="auto"/>
          <w:lang w:val="es-CO"/>
        </w:rPr>
      </w:pPr>
    </w:p>
    <w:p w14:paraId="7F911DCC" w14:textId="2B3BF53E" w:rsidR="000C0E5E" w:rsidRPr="00BF20FA" w:rsidRDefault="00284B0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Times New Roman" w:hAnsiTheme="majorHAnsi"/>
          <w:sz w:val="20"/>
          <w:szCs w:val="20"/>
          <w:bdr w:val="none" w:sz="0" w:space="0" w:color="auto"/>
          <w:lang w:val="es-ES_tradnl"/>
        </w:rPr>
        <w:t>Las reuniones realizadas en 1995, así como las de 2004 y 2005</w:t>
      </w:r>
      <w:r w:rsidR="00ED21F2" w:rsidRPr="00BF20FA">
        <w:rPr>
          <w:rFonts w:asciiTheme="majorHAnsi" w:eastAsia="Times New Roman" w:hAnsiTheme="majorHAnsi"/>
          <w:sz w:val="20"/>
          <w:szCs w:val="20"/>
          <w:bdr w:val="none" w:sz="0" w:space="0" w:color="auto"/>
          <w:lang w:val="es-ES_tradnl"/>
        </w:rPr>
        <w:t xml:space="preserve"> y la convocatoria de 2015, en cuanto al título minero, todas ellas </w:t>
      </w:r>
      <w:r w:rsidRPr="00BF20FA">
        <w:rPr>
          <w:rFonts w:asciiTheme="majorHAnsi" w:eastAsia="Times New Roman" w:hAnsiTheme="majorHAnsi"/>
          <w:sz w:val="20"/>
          <w:szCs w:val="20"/>
          <w:bdr w:val="none" w:sz="0" w:space="0" w:color="auto"/>
          <w:lang w:val="es-ES_tradnl"/>
        </w:rPr>
        <w:t>refer</w:t>
      </w:r>
      <w:r w:rsidR="00ED21F2" w:rsidRPr="00BF20FA">
        <w:rPr>
          <w:rFonts w:asciiTheme="majorHAnsi" w:eastAsia="Times New Roman" w:hAnsiTheme="majorHAnsi"/>
          <w:sz w:val="20"/>
          <w:szCs w:val="20"/>
          <w:bdr w:val="none" w:sz="0" w:space="0" w:color="auto"/>
          <w:lang w:val="es-ES_tradnl"/>
        </w:rPr>
        <w:t xml:space="preserve">idas por el Estado </w:t>
      </w:r>
      <w:r w:rsidRPr="00BF20FA">
        <w:rPr>
          <w:rFonts w:asciiTheme="majorHAnsi" w:eastAsia="Times New Roman" w:hAnsiTheme="majorHAnsi"/>
          <w:sz w:val="20"/>
          <w:szCs w:val="20"/>
          <w:bdr w:val="none" w:sz="0" w:space="0" w:color="auto"/>
          <w:lang w:val="es-ES_tradnl"/>
        </w:rPr>
        <w:t>como consulta</w:t>
      </w:r>
      <w:r w:rsidR="00227023" w:rsidRPr="00BF20FA">
        <w:rPr>
          <w:rFonts w:asciiTheme="majorHAnsi" w:eastAsia="Times New Roman" w:hAnsiTheme="majorHAnsi"/>
          <w:sz w:val="20"/>
          <w:szCs w:val="20"/>
          <w:bdr w:val="none" w:sz="0" w:space="0" w:color="auto"/>
          <w:lang w:val="es-ES_tradnl"/>
        </w:rPr>
        <w:t xml:space="preserve"> previa</w:t>
      </w:r>
      <w:r w:rsidRPr="00BF20FA">
        <w:rPr>
          <w:rFonts w:asciiTheme="majorHAnsi" w:eastAsia="Times New Roman" w:hAnsiTheme="majorHAnsi"/>
          <w:sz w:val="20"/>
          <w:szCs w:val="20"/>
          <w:bdr w:val="none" w:sz="0" w:space="0" w:color="auto"/>
          <w:lang w:val="es-ES_tradnl"/>
        </w:rPr>
        <w:t>, incumplen a todas luces</w:t>
      </w:r>
      <w:r w:rsidRPr="00BF20FA">
        <w:rPr>
          <w:rFonts w:asciiTheme="majorHAnsi" w:eastAsia="Calibri" w:hAnsiTheme="majorHAnsi"/>
          <w:sz w:val="20"/>
          <w:szCs w:val="20"/>
          <w:bdr w:val="none" w:sz="0" w:space="0" w:color="auto"/>
          <w:lang w:val="es-CO"/>
        </w:rPr>
        <w:t xml:space="preserve"> los múltiples estándares establecidos por el sistema interamericano.</w:t>
      </w:r>
      <w:r w:rsidRPr="00BF20FA">
        <w:rPr>
          <w:rFonts w:asciiTheme="majorHAnsi" w:eastAsia="Times New Roman" w:hAnsiTheme="majorHAnsi"/>
          <w:sz w:val="20"/>
          <w:szCs w:val="20"/>
          <w:bdr w:val="none" w:sz="0" w:space="0" w:color="auto"/>
          <w:lang w:val="es-ES_tradnl"/>
        </w:rPr>
        <w:t xml:space="preserve"> </w:t>
      </w:r>
      <w:r w:rsidR="00B5386E" w:rsidRPr="00BF20FA">
        <w:rPr>
          <w:rFonts w:asciiTheme="majorHAnsi" w:eastAsia="Times New Roman" w:hAnsiTheme="majorHAnsi"/>
          <w:sz w:val="20"/>
          <w:szCs w:val="20"/>
          <w:bdr w:val="none" w:sz="0" w:space="0" w:color="auto"/>
          <w:lang w:val="es-ES_tradnl"/>
        </w:rPr>
        <w:t xml:space="preserve">El Estado tampoco realizó estudios de impacto ambiental y social, </w:t>
      </w:r>
      <w:r w:rsidR="00B5386E" w:rsidRPr="000A5F88">
        <w:rPr>
          <w:rFonts w:asciiTheme="majorHAnsi" w:hAnsiTheme="majorHAnsi"/>
          <w:sz w:val="20"/>
          <w:szCs w:val="20"/>
          <w:lang w:val="es-AR"/>
        </w:rPr>
        <w:t>que</w:t>
      </w:r>
      <w:r w:rsidR="00B5386E" w:rsidRPr="00BF20FA">
        <w:rPr>
          <w:rFonts w:asciiTheme="majorHAnsi" w:eastAsia="Times New Roman" w:hAnsiTheme="majorHAnsi"/>
          <w:sz w:val="20"/>
          <w:szCs w:val="20"/>
          <w:bdr w:val="none" w:sz="0" w:space="0" w:color="auto"/>
          <w:lang w:val="es-ES_tradnl"/>
        </w:rPr>
        <w:t xml:space="preserve"> permitieran determinar el modo en que los proyectos </w:t>
      </w:r>
      <w:r w:rsidR="00724067">
        <w:rPr>
          <w:rFonts w:asciiTheme="majorHAnsi" w:eastAsia="Times New Roman" w:hAnsiTheme="majorHAnsi"/>
          <w:sz w:val="20"/>
          <w:szCs w:val="20"/>
          <w:bdr w:val="none" w:sz="0" w:space="0" w:color="auto"/>
          <w:lang w:val="es-ES_tradnl"/>
        </w:rPr>
        <w:t xml:space="preserve">y actividades empresariales </w:t>
      </w:r>
      <w:r w:rsidR="00B5386E" w:rsidRPr="00BF20FA">
        <w:rPr>
          <w:rFonts w:asciiTheme="majorHAnsi" w:eastAsia="Times New Roman" w:hAnsiTheme="majorHAnsi"/>
          <w:sz w:val="20"/>
          <w:szCs w:val="20"/>
          <w:bdr w:val="none" w:sz="0" w:space="0" w:color="auto"/>
          <w:lang w:val="es-ES_tradnl"/>
        </w:rPr>
        <w:t xml:space="preserve">pudieran afectar la subsistencia e integridad cultural de las comunidades indígenas que habitan el territorio. </w:t>
      </w:r>
      <w:r w:rsidR="00574A29" w:rsidRPr="00BF20FA">
        <w:rPr>
          <w:rFonts w:asciiTheme="majorHAnsi" w:eastAsia="Times New Roman" w:hAnsiTheme="majorHAnsi"/>
          <w:sz w:val="20"/>
          <w:szCs w:val="20"/>
          <w:bdr w:val="none" w:sz="0" w:space="0" w:color="auto"/>
          <w:lang w:val="es-ES_tradnl"/>
        </w:rPr>
        <w:t>Ello, aunado a que el Estado no cuenta con legislación que regule debidamente la consulta</w:t>
      </w:r>
      <w:r w:rsidR="000C0E5E" w:rsidRPr="00BF20FA">
        <w:rPr>
          <w:rFonts w:asciiTheme="majorHAnsi" w:eastAsia="Times New Roman" w:hAnsiTheme="majorHAnsi"/>
          <w:sz w:val="20"/>
          <w:szCs w:val="20"/>
          <w:bdr w:val="none" w:sz="0" w:space="0" w:color="auto"/>
          <w:lang w:val="es-ES_tradnl"/>
        </w:rPr>
        <w:t xml:space="preserve">. </w:t>
      </w:r>
      <w:r w:rsidR="008C4851" w:rsidRPr="00BF20FA">
        <w:rPr>
          <w:rFonts w:asciiTheme="majorHAnsi" w:eastAsia="Times New Roman" w:hAnsiTheme="majorHAnsi"/>
          <w:sz w:val="20"/>
          <w:szCs w:val="20"/>
          <w:bdr w:val="none" w:sz="0" w:space="0" w:color="auto"/>
          <w:lang w:val="es-ES_tradnl"/>
        </w:rPr>
        <w:t xml:space="preserve">A pesar de estas graves omisiones, varios de los proyectos iniciaron en su implementación, sin haber obtenido el consentimiento del pueblo U´wa. </w:t>
      </w:r>
    </w:p>
    <w:p w14:paraId="7D311769" w14:textId="77777777" w:rsidR="000C0E5E" w:rsidRPr="00BF20FA" w:rsidRDefault="000C0E5E" w:rsidP="000C0E5E">
      <w:pPr>
        <w:pStyle w:val="ListParagraph"/>
        <w:rPr>
          <w:rFonts w:asciiTheme="majorHAnsi" w:eastAsia="Calibri" w:hAnsiTheme="majorHAnsi"/>
          <w:sz w:val="20"/>
          <w:szCs w:val="20"/>
          <w:bdr w:val="none" w:sz="0" w:space="0" w:color="auto"/>
          <w:lang w:val="es-MX"/>
        </w:rPr>
      </w:pPr>
    </w:p>
    <w:p w14:paraId="5F5C2488" w14:textId="77777777" w:rsidR="001B3DD8" w:rsidRPr="00BF20FA" w:rsidRDefault="000C0E5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CO"/>
        </w:rPr>
      </w:pPr>
      <w:r w:rsidRPr="00BF20FA">
        <w:rPr>
          <w:rFonts w:asciiTheme="majorHAnsi" w:eastAsia="Calibri" w:hAnsiTheme="majorHAnsi"/>
          <w:sz w:val="20"/>
          <w:szCs w:val="20"/>
          <w:bdr w:val="none" w:sz="0" w:space="0" w:color="auto"/>
          <w:lang w:val="es-MX"/>
        </w:rPr>
        <w:t>En virtud de lo anterior, la Comisión considera que tales omisiones</w:t>
      </w:r>
      <w:r w:rsidR="00574A29" w:rsidRPr="00BF20FA">
        <w:rPr>
          <w:rFonts w:asciiTheme="majorHAnsi" w:eastAsia="Calibri" w:hAnsiTheme="majorHAnsi"/>
          <w:sz w:val="20"/>
          <w:szCs w:val="20"/>
          <w:bdr w:val="none" w:sz="0" w:space="0" w:color="auto"/>
          <w:lang w:val="es-MX"/>
        </w:rPr>
        <w:t xml:space="preserve"> c</w:t>
      </w:r>
      <w:r w:rsidR="00B5386E" w:rsidRPr="00BF20FA">
        <w:rPr>
          <w:rFonts w:asciiTheme="majorHAnsi" w:eastAsia="Calibri" w:hAnsiTheme="majorHAnsi"/>
          <w:sz w:val="20"/>
          <w:szCs w:val="20"/>
          <w:bdr w:val="none" w:sz="0" w:space="0" w:color="auto"/>
          <w:lang w:val="es-MX"/>
        </w:rPr>
        <w:t>onstituy</w:t>
      </w:r>
      <w:r w:rsidR="00574A29" w:rsidRPr="00BF20FA">
        <w:rPr>
          <w:rFonts w:asciiTheme="majorHAnsi" w:eastAsia="Calibri" w:hAnsiTheme="majorHAnsi"/>
          <w:sz w:val="20"/>
          <w:szCs w:val="20"/>
          <w:bdr w:val="none" w:sz="0" w:space="0" w:color="auto"/>
          <w:lang w:val="es-MX"/>
        </w:rPr>
        <w:t>e</w:t>
      </w:r>
      <w:r w:rsidRPr="00BF20FA">
        <w:rPr>
          <w:rFonts w:asciiTheme="majorHAnsi" w:eastAsia="Calibri" w:hAnsiTheme="majorHAnsi"/>
          <w:sz w:val="20"/>
          <w:szCs w:val="20"/>
          <w:bdr w:val="none" w:sz="0" w:space="0" w:color="auto"/>
          <w:lang w:val="es-MX"/>
        </w:rPr>
        <w:t>n</w:t>
      </w:r>
      <w:r w:rsidR="00B5386E" w:rsidRPr="00BF20FA">
        <w:rPr>
          <w:rFonts w:asciiTheme="majorHAnsi" w:eastAsia="Calibri" w:hAnsiTheme="majorHAnsi"/>
          <w:sz w:val="20"/>
          <w:szCs w:val="20"/>
          <w:bdr w:val="none" w:sz="0" w:space="0" w:color="auto"/>
          <w:lang w:val="es-MX"/>
        </w:rPr>
        <w:t xml:space="preserve"> una violación, además del derecho a la propiedad colectiva, del derecho de acceso a la información,</w:t>
      </w:r>
      <w:r w:rsidRPr="00BF20FA">
        <w:rPr>
          <w:rFonts w:asciiTheme="majorHAnsi" w:eastAsia="Calibri" w:hAnsiTheme="majorHAnsi"/>
          <w:sz w:val="20"/>
          <w:szCs w:val="20"/>
          <w:bdr w:val="none" w:sz="0" w:space="0" w:color="auto"/>
          <w:lang w:val="es-MX"/>
        </w:rPr>
        <w:t xml:space="preserve"> establecido en el artículo 13 de la Convención,</w:t>
      </w:r>
      <w:r w:rsidR="00B5386E" w:rsidRPr="00BF20FA">
        <w:rPr>
          <w:rFonts w:asciiTheme="majorHAnsi" w:eastAsia="Calibri" w:hAnsiTheme="majorHAnsi"/>
          <w:sz w:val="20"/>
          <w:szCs w:val="20"/>
          <w:bdr w:val="none" w:sz="0" w:space="0" w:color="auto"/>
          <w:lang w:val="es-MX"/>
        </w:rPr>
        <w:t xml:space="preserve"> así como del derecho a participar en los asuntos susceptibles de afectarles</w:t>
      </w:r>
      <w:r w:rsidR="00574A29" w:rsidRPr="00BF20FA">
        <w:rPr>
          <w:rFonts w:asciiTheme="majorHAnsi" w:eastAsia="Calibri" w:hAnsiTheme="majorHAnsi"/>
          <w:sz w:val="20"/>
          <w:szCs w:val="20"/>
          <w:bdr w:val="none" w:sz="0" w:space="0" w:color="auto"/>
          <w:lang w:val="es-MX"/>
        </w:rPr>
        <w:t xml:space="preserve">, </w:t>
      </w:r>
      <w:r w:rsidRPr="00BF20FA">
        <w:rPr>
          <w:rFonts w:asciiTheme="majorHAnsi" w:eastAsia="Calibri" w:hAnsiTheme="majorHAnsi"/>
          <w:sz w:val="20"/>
          <w:szCs w:val="20"/>
          <w:bdr w:val="none" w:sz="0" w:space="0" w:color="auto"/>
          <w:lang w:val="es-MX"/>
        </w:rPr>
        <w:t xml:space="preserve">previsto en el artículo 23 de la misma, </w:t>
      </w:r>
      <w:r w:rsidR="00574A29" w:rsidRPr="00BF20FA">
        <w:rPr>
          <w:rFonts w:asciiTheme="majorHAnsi" w:eastAsia="Calibri" w:hAnsiTheme="majorHAnsi"/>
          <w:sz w:val="20"/>
          <w:szCs w:val="20"/>
          <w:bdr w:val="none" w:sz="0" w:space="0" w:color="auto"/>
          <w:lang w:val="es-MX"/>
        </w:rPr>
        <w:t xml:space="preserve">con relación a la obligación del Estado de </w:t>
      </w:r>
      <w:r w:rsidR="00775324" w:rsidRPr="00BF20FA">
        <w:rPr>
          <w:rFonts w:asciiTheme="majorHAnsi" w:eastAsia="Calibri" w:hAnsiTheme="majorHAnsi"/>
          <w:sz w:val="20"/>
          <w:szCs w:val="20"/>
          <w:bdr w:val="none" w:sz="0" w:space="0" w:color="auto"/>
          <w:lang w:val="es-MX"/>
        </w:rPr>
        <w:t xml:space="preserve">respetar los derechos y de </w:t>
      </w:r>
      <w:r w:rsidRPr="00BF20FA">
        <w:rPr>
          <w:rFonts w:asciiTheme="majorHAnsi" w:eastAsia="Calibri" w:hAnsiTheme="majorHAnsi"/>
          <w:sz w:val="20"/>
          <w:szCs w:val="20"/>
          <w:bdr w:val="none" w:sz="0" w:space="0" w:color="auto"/>
          <w:lang w:val="es-MX"/>
        </w:rPr>
        <w:t>adoptar disposiciones de derecho interno</w:t>
      </w:r>
      <w:r w:rsidR="00775324" w:rsidRPr="00BF20FA">
        <w:rPr>
          <w:rFonts w:asciiTheme="majorHAnsi" w:eastAsia="Calibri" w:hAnsiTheme="majorHAnsi"/>
          <w:sz w:val="20"/>
          <w:szCs w:val="20"/>
          <w:bdr w:val="none" w:sz="0" w:space="0" w:color="auto"/>
          <w:lang w:val="es-MX"/>
        </w:rPr>
        <w:t>, según los artículos 1.1. y  2 de la Convención</w:t>
      </w:r>
      <w:r w:rsidR="00B5386E" w:rsidRPr="00BF20FA">
        <w:rPr>
          <w:rFonts w:asciiTheme="majorHAnsi" w:eastAsia="Calibri" w:hAnsiTheme="majorHAnsi"/>
          <w:sz w:val="20"/>
          <w:szCs w:val="20"/>
          <w:bdr w:val="none" w:sz="0" w:space="0" w:color="auto"/>
          <w:lang w:val="es-MX"/>
        </w:rPr>
        <w:t>.</w:t>
      </w:r>
    </w:p>
    <w:p w14:paraId="6AF609BF" w14:textId="69FB958E" w:rsidR="00021FB7" w:rsidRPr="00BF20FA" w:rsidRDefault="00021FB7" w:rsidP="008F7F9A">
      <w:pPr>
        <w:pStyle w:val="Heading3"/>
        <w:numPr>
          <w:ilvl w:val="0"/>
          <w:numId w:val="62"/>
        </w:numPr>
        <w:ind w:left="360"/>
        <w:jc w:val="both"/>
        <w:rPr>
          <w:rFonts w:asciiTheme="majorHAnsi" w:hAnsiTheme="majorHAnsi"/>
          <w:sz w:val="20"/>
          <w:szCs w:val="20"/>
          <w:lang w:val="es-ES_tradnl"/>
        </w:rPr>
      </w:pPr>
      <w:bookmarkStart w:id="40" w:name="_Toc17221576"/>
      <w:r w:rsidRPr="00BF20FA">
        <w:rPr>
          <w:rFonts w:asciiTheme="majorHAnsi" w:hAnsiTheme="majorHAnsi"/>
          <w:sz w:val="20"/>
          <w:szCs w:val="20"/>
          <w:lang w:val="es-ES_tradnl"/>
        </w:rPr>
        <w:t>Derecho</w:t>
      </w:r>
      <w:r w:rsidR="003E4CA5" w:rsidRPr="00BF20FA">
        <w:rPr>
          <w:rFonts w:asciiTheme="majorHAnsi" w:hAnsiTheme="majorHAnsi"/>
          <w:sz w:val="20"/>
          <w:szCs w:val="20"/>
          <w:lang w:val="es-ES_tradnl"/>
        </w:rPr>
        <w:t xml:space="preserve">s del </w:t>
      </w:r>
      <w:r w:rsidRPr="00BF20FA">
        <w:rPr>
          <w:rFonts w:asciiTheme="majorHAnsi" w:hAnsiTheme="majorHAnsi"/>
          <w:sz w:val="20"/>
          <w:szCs w:val="20"/>
          <w:lang w:val="es-ES_tradnl"/>
        </w:rPr>
        <w:t>Pueblo U´wa</w:t>
      </w:r>
      <w:bookmarkEnd w:id="40"/>
      <w:r w:rsidR="003E4CA5" w:rsidRPr="00BF20FA">
        <w:rPr>
          <w:rFonts w:asciiTheme="majorHAnsi" w:hAnsiTheme="majorHAnsi"/>
          <w:sz w:val="20"/>
          <w:szCs w:val="20"/>
          <w:lang w:val="es-ES_tradnl"/>
        </w:rPr>
        <w:t xml:space="preserve"> respecto a la administración de sus recursos naturales</w:t>
      </w:r>
    </w:p>
    <w:p w14:paraId="2F444535" w14:textId="77777777" w:rsidR="001B022B" w:rsidRPr="00BF20FA" w:rsidRDefault="001B022B" w:rsidP="001B022B">
      <w:pPr>
        <w:pStyle w:val="ListParagraph"/>
        <w:rPr>
          <w:rFonts w:asciiTheme="majorHAnsi" w:eastAsia="Calibri" w:hAnsiTheme="majorHAnsi"/>
          <w:sz w:val="20"/>
          <w:szCs w:val="20"/>
          <w:bdr w:val="none" w:sz="0" w:space="0" w:color="auto"/>
          <w:lang w:val="es-ES_tradnl"/>
        </w:rPr>
      </w:pPr>
    </w:p>
    <w:p w14:paraId="0F147667" w14:textId="4C7B6E1D" w:rsidR="00736C6E" w:rsidRPr="00087845" w:rsidRDefault="001B022B"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eastAsia="Calibri" w:hAnsiTheme="majorHAnsi"/>
          <w:sz w:val="20"/>
          <w:szCs w:val="20"/>
          <w:bdr w:val="none" w:sz="0" w:space="0" w:color="auto"/>
          <w:lang w:val="es-CO"/>
        </w:rPr>
        <w:t>La Corte ha establecido que la conexión entre el territorio y los recursos naturales que han usado tradicionalmente</w:t>
      </w:r>
      <w:r w:rsidRPr="00BF20FA">
        <w:rPr>
          <w:rFonts w:ascii="Verdana" w:eastAsia="Calibri" w:hAnsi="Verdana"/>
          <w:sz w:val="20"/>
          <w:szCs w:val="20"/>
          <w:bdr w:val="none" w:sz="0" w:space="0" w:color="auto"/>
          <w:lang w:val="es-CR"/>
        </w:rPr>
        <w:t xml:space="preserve"> </w:t>
      </w:r>
      <w:r w:rsidRPr="00BF20FA">
        <w:rPr>
          <w:rFonts w:asciiTheme="majorHAnsi" w:eastAsia="Calibri" w:hAnsiTheme="majorHAnsi"/>
          <w:sz w:val="20"/>
          <w:szCs w:val="20"/>
          <w:bdr w:val="none" w:sz="0" w:space="0" w:color="auto"/>
          <w:lang w:val="es-CR"/>
        </w:rPr>
        <w:t xml:space="preserve">los pueblos indígenas y tribales, y que son necesarios para su supervivencia física y cultural, así como el desarrollo y continuidad de su cosmovisión, deben ser protegidos bajo el artículo 21 de la </w:t>
      </w:r>
      <w:r w:rsidRPr="000A5F88">
        <w:rPr>
          <w:rFonts w:asciiTheme="majorHAnsi" w:hAnsiTheme="majorHAnsi"/>
          <w:sz w:val="20"/>
          <w:szCs w:val="20"/>
          <w:lang w:val="es-AR"/>
        </w:rPr>
        <w:t>Convención</w:t>
      </w:r>
      <w:r w:rsidRPr="00BF20FA">
        <w:rPr>
          <w:rFonts w:asciiTheme="majorHAnsi" w:eastAsia="Calibri" w:hAnsiTheme="majorHAnsi"/>
          <w:sz w:val="20"/>
          <w:szCs w:val="20"/>
          <w:bdr w:val="none" w:sz="0" w:space="0" w:color="auto"/>
          <w:lang w:val="es-CR"/>
        </w:rPr>
        <w:t>.</w:t>
      </w:r>
      <w:r w:rsidRPr="00BF20FA">
        <w:rPr>
          <w:rFonts w:ascii="Verdana" w:eastAsia="Calibri" w:hAnsi="Verdana"/>
          <w:sz w:val="20"/>
          <w:szCs w:val="20"/>
          <w:bdr w:val="none" w:sz="0" w:space="0" w:color="auto"/>
          <w:lang w:val="es-CR"/>
        </w:rPr>
        <w:t xml:space="preserve"> </w:t>
      </w:r>
      <w:r w:rsidRPr="00BF20FA">
        <w:rPr>
          <w:rFonts w:asciiTheme="majorHAnsi" w:eastAsia="Calibri" w:hAnsiTheme="majorHAnsi"/>
          <w:sz w:val="20"/>
          <w:szCs w:val="20"/>
          <w:bdr w:val="none" w:sz="0" w:space="0" w:color="auto"/>
          <w:lang w:val="es-CR"/>
        </w:rPr>
        <w:t>Esta protección tiene como fin el garantizar que los pueblos indígenas y tribales puedan continuar viviendo su modo de vida tradicional y que su identidad cultural, estructura social, sistema económico, costumbres, creencias y tradiciones distintivas serán respetados, garantizados y protegidos por los Estados</w:t>
      </w:r>
      <w:r w:rsidRPr="00BF20FA">
        <w:rPr>
          <w:rFonts w:asciiTheme="majorHAnsi" w:eastAsia="Calibri" w:hAnsiTheme="majorHAnsi"/>
          <w:sz w:val="20"/>
          <w:szCs w:val="20"/>
          <w:bdr w:val="none" w:sz="0" w:space="0" w:color="auto"/>
          <w:vertAlign w:val="superscript"/>
          <w:lang w:val="es-ES_tradnl"/>
        </w:rPr>
        <w:footnoteReference w:id="160"/>
      </w:r>
      <w:r w:rsidRPr="00BF20FA">
        <w:rPr>
          <w:rFonts w:asciiTheme="majorHAnsi" w:eastAsia="Calibri" w:hAnsiTheme="majorHAnsi"/>
          <w:sz w:val="20"/>
          <w:szCs w:val="20"/>
          <w:bdr w:val="none" w:sz="0" w:space="0" w:color="auto"/>
          <w:lang w:val="es-CR"/>
        </w:rPr>
        <w:t xml:space="preserve">. Así, </w:t>
      </w:r>
      <w:r w:rsidRPr="00BF20FA">
        <w:rPr>
          <w:rFonts w:asciiTheme="majorHAnsi" w:eastAsia="Calibri" w:hAnsiTheme="majorHAnsi"/>
          <w:sz w:val="20"/>
          <w:szCs w:val="20"/>
          <w:bdr w:val="none" w:sz="0" w:space="0" w:color="auto"/>
          <w:lang w:val="es-MX"/>
        </w:rPr>
        <w:t>los pueblos indígenas tienen el derecho de ser titulares de los recursos naturales que han usado tradicionalmente dentro de su territorio, ya que sin ellos su supervivencia económica, social y cultural está en riesgo</w:t>
      </w:r>
      <w:r w:rsidRPr="00BF20FA">
        <w:rPr>
          <w:rFonts w:asciiTheme="majorHAnsi" w:eastAsia="Calibri" w:hAnsiTheme="majorHAnsi"/>
          <w:sz w:val="20"/>
          <w:szCs w:val="20"/>
          <w:bdr w:val="none" w:sz="0" w:space="0" w:color="auto"/>
          <w:vertAlign w:val="superscript"/>
          <w:lang w:val="es-MX"/>
        </w:rPr>
        <w:footnoteReference w:id="161"/>
      </w:r>
      <w:r w:rsidRPr="00BF20FA">
        <w:rPr>
          <w:rFonts w:asciiTheme="majorHAnsi" w:eastAsia="Calibri" w:hAnsiTheme="majorHAnsi"/>
          <w:sz w:val="20"/>
          <w:szCs w:val="20"/>
          <w:bdr w:val="none" w:sz="0" w:space="0" w:color="auto"/>
          <w:lang w:val="es-MX"/>
        </w:rPr>
        <w:t>.</w:t>
      </w:r>
    </w:p>
    <w:p w14:paraId="363C1FFC" w14:textId="77777777" w:rsidR="00087845" w:rsidRPr="00BF20FA" w:rsidRDefault="00087845" w:rsidP="000878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Theme="majorHAnsi" w:eastAsia="Calibri" w:hAnsiTheme="majorHAnsi"/>
          <w:sz w:val="20"/>
          <w:szCs w:val="20"/>
          <w:bdr w:val="none" w:sz="0" w:space="0" w:color="auto"/>
          <w:lang w:val="es-ES"/>
        </w:rPr>
      </w:pPr>
    </w:p>
    <w:p w14:paraId="62C846AB" w14:textId="632F1FB9" w:rsidR="00412F39" w:rsidRPr="00BF20FA" w:rsidRDefault="00E14698"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eastAsia="Calibri" w:hAnsiTheme="majorHAnsi"/>
          <w:sz w:val="20"/>
          <w:szCs w:val="20"/>
          <w:bdr w:val="none" w:sz="0" w:space="0" w:color="auto"/>
          <w:lang w:val="es-MX"/>
        </w:rPr>
        <w:t xml:space="preserve">En cuanto a las áreas naturales protegidas, la </w:t>
      </w:r>
      <w:r w:rsidR="00412F39" w:rsidRPr="00BF20FA">
        <w:rPr>
          <w:rFonts w:asciiTheme="majorHAnsi" w:eastAsia="Calibri" w:hAnsiTheme="majorHAnsi"/>
          <w:sz w:val="20"/>
          <w:szCs w:val="20"/>
          <w:bdr w:val="none" w:sz="0" w:space="0" w:color="auto"/>
          <w:lang w:val="es-MX"/>
        </w:rPr>
        <w:t xml:space="preserve">Relatora Especial de Naciones Unidas sobre los derechos de los </w:t>
      </w:r>
      <w:r w:rsidR="00412F39" w:rsidRPr="000A5F88">
        <w:rPr>
          <w:rFonts w:asciiTheme="majorHAnsi" w:hAnsiTheme="majorHAnsi"/>
          <w:sz w:val="20"/>
          <w:szCs w:val="20"/>
          <w:lang w:val="es-AR"/>
        </w:rPr>
        <w:t>Pueblos</w:t>
      </w:r>
      <w:r w:rsidR="00412F39" w:rsidRPr="00BF20FA">
        <w:rPr>
          <w:rFonts w:asciiTheme="majorHAnsi" w:eastAsia="Calibri" w:hAnsiTheme="majorHAnsi"/>
          <w:sz w:val="20"/>
          <w:szCs w:val="20"/>
          <w:bdr w:val="none" w:sz="0" w:space="0" w:color="auto"/>
          <w:lang w:val="es-MX"/>
        </w:rPr>
        <w:t xml:space="preserve"> Indígenas</w:t>
      </w:r>
      <w:r w:rsidRPr="00BF20FA">
        <w:rPr>
          <w:rFonts w:asciiTheme="majorHAnsi" w:eastAsia="Calibri" w:hAnsiTheme="majorHAnsi"/>
          <w:sz w:val="20"/>
          <w:szCs w:val="20"/>
          <w:bdr w:val="none" w:sz="0" w:space="0" w:color="auto"/>
          <w:lang w:val="es-MX"/>
        </w:rPr>
        <w:t xml:space="preserve"> ha señalado que:</w:t>
      </w:r>
    </w:p>
    <w:p w14:paraId="023F32B1" w14:textId="77777777" w:rsidR="00412F39" w:rsidRPr="00BF20FA" w:rsidRDefault="00412F39" w:rsidP="00412F39">
      <w:pPr>
        <w:pStyle w:val="ListParagraph"/>
        <w:rPr>
          <w:rFonts w:asciiTheme="majorHAnsi" w:eastAsia="Calibri" w:hAnsiTheme="majorHAnsi"/>
          <w:sz w:val="20"/>
          <w:szCs w:val="20"/>
          <w:bdr w:val="none" w:sz="0" w:space="0" w:color="auto"/>
          <w:lang w:val="es-ES"/>
        </w:rPr>
      </w:pPr>
    </w:p>
    <w:p w14:paraId="54775D32" w14:textId="63FF961B" w:rsidR="00412F39" w:rsidRPr="00BF20FA" w:rsidRDefault="00412F39" w:rsidP="00E14698">
      <w:pPr>
        <w:tabs>
          <w:tab w:val="left" w:pos="540"/>
        </w:tabs>
        <w:suppressAutoHyphens/>
        <w:ind w:left="360" w:right="360"/>
        <w:jc w:val="both"/>
        <w:rPr>
          <w:rFonts w:asciiTheme="majorHAnsi" w:eastAsia="Calibri" w:hAnsiTheme="majorHAnsi"/>
          <w:sz w:val="18"/>
          <w:szCs w:val="18"/>
          <w:bdr w:val="none" w:sz="0" w:space="0" w:color="auto"/>
          <w:lang w:val="es-ES"/>
        </w:rPr>
      </w:pPr>
      <w:r w:rsidRPr="00BF20FA">
        <w:rPr>
          <w:rFonts w:asciiTheme="majorHAnsi" w:eastAsia="Calibri" w:hAnsiTheme="majorHAnsi"/>
          <w:sz w:val="18"/>
          <w:szCs w:val="18"/>
          <w:bdr w:val="none" w:sz="0" w:space="0" w:color="auto"/>
          <w:lang w:val="es-ES"/>
        </w:rPr>
        <w:t xml:space="preserve">[…] Las organizaciones de indígenas y las dedicadas a la conservación podrían ser buenas aliadas en el empeño por lograr sus objetivos comunes de salvaguardar la diversidad biológica y proteger la naturaleza de amenazas externas como la explotación insostenible de recursos. </w:t>
      </w:r>
    </w:p>
    <w:p w14:paraId="5F2E757B" w14:textId="6FD33959" w:rsidR="00412F39" w:rsidRPr="00BF20FA" w:rsidRDefault="00412F39" w:rsidP="00E14698">
      <w:pPr>
        <w:tabs>
          <w:tab w:val="left" w:pos="540"/>
        </w:tabs>
        <w:suppressAutoHyphens/>
        <w:ind w:left="360" w:right="360"/>
        <w:jc w:val="both"/>
        <w:rPr>
          <w:rFonts w:asciiTheme="majorHAnsi" w:eastAsia="Calibri" w:hAnsiTheme="majorHAnsi"/>
          <w:sz w:val="18"/>
          <w:szCs w:val="18"/>
          <w:bdr w:val="none" w:sz="0" w:space="0" w:color="auto"/>
          <w:lang w:val="es-ES"/>
        </w:rPr>
      </w:pPr>
      <w:r w:rsidRPr="00BF20FA">
        <w:rPr>
          <w:rFonts w:asciiTheme="majorHAnsi" w:eastAsia="Calibri" w:hAnsiTheme="majorHAnsi"/>
          <w:sz w:val="18"/>
          <w:szCs w:val="18"/>
          <w:bdr w:val="none" w:sz="0" w:space="0" w:color="auto"/>
          <w:lang w:val="es-ES"/>
        </w:rPr>
        <w:t xml:space="preserve">[…] El pleno reconocimiento de los derechos de los pueblos indígenas sobre la tierra y su participación son condiciones esenciales necesarias para que la conservación continúe.  El Plan de Acción de Durban, en el que se indica que todas las zonas protegidas, presentes y futuras, se gestionarán y establecerán respetando plenamente los derechos de los pueblos indígenas, y la Visión de Sídney, en que se prometió que se trataría </w:t>
      </w:r>
      <w:r w:rsidR="00920B9B" w:rsidRPr="00BF20FA">
        <w:rPr>
          <w:rFonts w:asciiTheme="majorHAnsi" w:eastAsia="Calibri" w:hAnsiTheme="majorHAnsi"/>
          <w:sz w:val="18"/>
          <w:szCs w:val="18"/>
          <w:bdr w:val="none" w:sz="0" w:space="0" w:color="auto"/>
          <w:lang w:val="es-ES"/>
        </w:rPr>
        <w:t xml:space="preserve">de rectificar y </w:t>
      </w:r>
      <w:r w:rsidR="00920B9B" w:rsidRPr="00BF20FA">
        <w:rPr>
          <w:rFonts w:asciiTheme="majorHAnsi" w:eastAsia="Calibri" w:hAnsiTheme="majorHAnsi"/>
          <w:sz w:val="18"/>
          <w:szCs w:val="18"/>
          <w:bdr w:val="none" w:sz="0" w:space="0" w:color="auto"/>
          <w:lang w:val="es-ES"/>
        </w:rPr>
        <w:lastRenderedPageBreak/>
        <w:t>remediar las injusticias pasadas y presentes en cumplimiento de los acuerdos internacionales, son compromisos férreos de la comunidad dedicada a la conservación […]</w:t>
      </w:r>
      <w:r w:rsidR="00920B9B" w:rsidRPr="00BF20FA">
        <w:rPr>
          <w:rStyle w:val="FootnoteReference"/>
          <w:rFonts w:asciiTheme="majorHAnsi" w:eastAsia="Calibri" w:hAnsiTheme="majorHAnsi"/>
          <w:sz w:val="18"/>
          <w:szCs w:val="18"/>
          <w:bdr w:val="none" w:sz="0" w:space="0" w:color="auto"/>
          <w:lang w:val="es-ES"/>
        </w:rPr>
        <w:footnoteReference w:id="162"/>
      </w:r>
      <w:r w:rsidR="00920B9B" w:rsidRPr="00BF20FA">
        <w:rPr>
          <w:rFonts w:asciiTheme="majorHAnsi" w:eastAsia="Calibri" w:hAnsiTheme="majorHAnsi"/>
          <w:sz w:val="18"/>
          <w:szCs w:val="18"/>
          <w:bdr w:val="none" w:sz="0" w:space="0" w:color="auto"/>
          <w:lang w:val="es-ES"/>
        </w:rPr>
        <w:t xml:space="preserve">. </w:t>
      </w:r>
    </w:p>
    <w:p w14:paraId="1FBBAAAE" w14:textId="77777777" w:rsidR="00736C6E" w:rsidRPr="00BF20FA" w:rsidRDefault="00736C6E" w:rsidP="00736C6E">
      <w:pPr>
        <w:tabs>
          <w:tab w:val="left" w:pos="540"/>
        </w:tabs>
        <w:suppressAutoHyphens/>
        <w:jc w:val="both"/>
        <w:rPr>
          <w:rFonts w:asciiTheme="majorHAnsi" w:eastAsia="Calibri" w:hAnsiTheme="majorHAnsi"/>
          <w:sz w:val="20"/>
          <w:szCs w:val="20"/>
          <w:bdr w:val="none" w:sz="0" w:space="0" w:color="auto"/>
          <w:lang w:val="es-ES"/>
        </w:rPr>
      </w:pPr>
    </w:p>
    <w:p w14:paraId="3F1D2BA9" w14:textId="77777777" w:rsidR="008E58EA" w:rsidRPr="00BF20FA" w:rsidRDefault="00E14698"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hAnsiTheme="majorHAnsi"/>
          <w:sz w:val="20"/>
          <w:szCs w:val="20"/>
          <w:lang w:val="es-ES"/>
        </w:rPr>
        <w:t xml:space="preserve">En el </w:t>
      </w:r>
      <w:r w:rsidRPr="00BF20FA">
        <w:rPr>
          <w:rFonts w:asciiTheme="majorHAnsi" w:hAnsiTheme="majorHAnsi"/>
          <w:i/>
          <w:sz w:val="20"/>
          <w:szCs w:val="20"/>
          <w:lang w:val="es-ES"/>
        </w:rPr>
        <w:t xml:space="preserve">Caso </w:t>
      </w:r>
      <w:r w:rsidR="00A931A2" w:rsidRPr="00BF20FA">
        <w:rPr>
          <w:rFonts w:asciiTheme="majorHAnsi" w:hAnsiTheme="majorHAnsi"/>
          <w:i/>
          <w:sz w:val="20"/>
          <w:szCs w:val="20"/>
          <w:lang w:val="es-ES"/>
        </w:rPr>
        <w:t xml:space="preserve">Pueblos </w:t>
      </w:r>
      <w:r w:rsidRPr="00BF20FA">
        <w:rPr>
          <w:rFonts w:asciiTheme="majorHAnsi" w:hAnsiTheme="majorHAnsi"/>
          <w:i/>
          <w:sz w:val="20"/>
          <w:szCs w:val="20"/>
          <w:lang w:val="es-ES"/>
        </w:rPr>
        <w:t>Kaliña</w:t>
      </w:r>
      <w:r w:rsidR="00A931A2" w:rsidRPr="00BF20FA">
        <w:rPr>
          <w:rFonts w:asciiTheme="majorHAnsi" w:hAnsiTheme="majorHAnsi"/>
          <w:i/>
          <w:sz w:val="20"/>
          <w:szCs w:val="20"/>
          <w:lang w:val="es-ES"/>
        </w:rPr>
        <w:t xml:space="preserve"> y Lokono Vs. Surinam</w:t>
      </w:r>
      <w:r w:rsidRPr="00BF20FA">
        <w:rPr>
          <w:rFonts w:asciiTheme="majorHAnsi" w:hAnsiTheme="majorHAnsi"/>
          <w:sz w:val="20"/>
          <w:szCs w:val="20"/>
          <w:lang w:val="es-ES"/>
        </w:rPr>
        <w:t>, la Corte se refirió a</w:t>
      </w:r>
      <w:r w:rsidR="00736C6E" w:rsidRPr="00BF20FA">
        <w:rPr>
          <w:rFonts w:asciiTheme="majorHAnsi" w:hAnsiTheme="majorHAnsi"/>
          <w:sz w:val="20"/>
          <w:szCs w:val="20"/>
          <w:lang w:val="es-PR"/>
        </w:rPr>
        <w:t>l artículo 8.j) del Convenio de Diversidad Biológica</w:t>
      </w:r>
      <w:r w:rsidRPr="00BF20FA">
        <w:rPr>
          <w:rFonts w:asciiTheme="majorHAnsi" w:hAnsiTheme="majorHAnsi"/>
          <w:sz w:val="20"/>
          <w:szCs w:val="20"/>
          <w:lang w:val="es-PR"/>
        </w:rPr>
        <w:t xml:space="preserve"> que</w:t>
      </w:r>
      <w:r w:rsidR="00736C6E" w:rsidRPr="00BF20FA">
        <w:rPr>
          <w:rFonts w:asciiTheme="majorHAnsi" w:hAnsiTheme="majorHAnsi"/>
          <w:sz w:val="20"/>
          <w:szCs w:val="20"/>
          <w:lang w:val="es-PR"/>
        </w:rPr>
        <w:t xml:space="preserve"> señala que los Estados </w:t>
      </w:r>
      <w:r w:rsidR="00736C6E" w:rsidRPr="00BF20FA">
        <w:rPr>
          <w:rFonts w:asciiTheme="majorHAnsi" w:hAnsiTheme="majorHAnsi" w:cs="Arial"/>
          <w:sz w:val="20"/>
          <w:szCs w:val="20"/>
          <w:lang w:val="es-ES"/>
        </w:rPr>
        <w:t xml:space="preserve">“respetará[n], preservará[n] y mantendrá[n] […] las prácticas de las comunidades indígenas y locales que entrañen estilos tradicionales de vida pertinentes para la conservación y la utilización sostenible de la diversidad biológica y promoverá[n] su aplicación más amplia, con la aprobación y la </w:t>
      </w:r>
      <w:r w:rsidR="00736C6E" w:rsidRPr="000A5F88">
        <w:rPr>
          <w:rFonts w:asciiTheme="majorHAnsi" w:hAnsiTheme="majorHAnsi"/>
          <w:sz w:val="20"/>
          <w:szCs w:val="20"/>
          <w:lang w:val="es-AR"/>
        </w:rPr>
        <w:t>participación</w:t>
      </w:r>
      <w:r w:rsidR="00736C6E" w:rsidRPr="00BF20FA">
        <w:rPr>
          <w:rFonts w:asciiTheme="majorHAnsi" w:hAnsiTheme="majorHAnsi" w:cs="Arial"/>
          <w:sz w:val="20"/>
          <w:szCs w:val="20"/>
          <w:lang w:val="es-ES"/>
        </w:rPr>
        <w:t xml:space="preserve"> de quienes posean esos conocimientos […] y prácticas, y fomentará </w:t>
      </w:r>
      <w:r w:rsidR="00736C6E" w:rsidRPr="00BF20FA">
        <w:rPr>
          <w:rFonts w:asciiTheme="majorHAnsi" w:hAnsiTheme="majorHAnsi"/>
          <w:sz w:val="20"/>
          <w:lang w:val="es-ES"/>
        </w:rPr>
        <w:t xml:space="preserve">que los </w:t>
      </w:r>
      <w:r w:rsidR="00736C6E" w:rsidRPr="00BF20FA">
        <w:rPr>
          <w:rFonts w:asciiTheme="majorHAnsi" w:hAnsiTheme="majorHAnsi" w:cs="Arial"/>
          <w:sz w:val="20"/>
          <w:szCs w:val="20"/>
          <w:lang w:val="es-ES"/>
        </w:rPr>
        <w:t>beneficios derivados de la utilización de [ellos] se compartan equitativamente”. El artículo 10.c) del mismo, señala que se “[p]rotegerá y alentará la utilización consuetudinaria de los recursos biológicos, de conformidad con las prácticas culturales tradicionales que sean compatibles con las exigencias de la conservación o de la utilización sostenible”</w:t>
      </w:r>
      <w:r w:rsidRPr="00BF20FA">
        <w:rPr>
          <w:rStyle w:val="FootnoteReference"/>
          <w:rFonts w:asciiTheme="majorHAnsi" w:hAnsiTheme="majorHAnsi" w:cs="Arial"/>
          <w:sz w:val="20"/>
          <w:szCs w:val="20"/>
          <w:lang w:val="es-ES"/>
        </w:rPr>
        <w:footnoteReference w:id="163"/>
      </w:r>
      <w:r w:rsidR="00736C6E" w:rsidRPr="00BF20FA">
        <w:rPr>
          <w:rFonts w:asciiTheme="majorHAnsi" w:hAnsiTheme="majorHAnsi" w:cs="Arial"/>
          <w:sz w:val="20"/>
          <w:szCs w:val="20"/>
          <w:lang w:val="es-ES"/>
        </w:rPr>
        <w:t xml:space="preserve">. </w:t>
      </w:r>
      <w:r w:rsidR="00A931A2" w:rsidRPr="00BF20FA">
        <w:rPr>
          <w:rFonts w:asciiTheme="majorHAnsi" w:hAnsiTheme="majorHAnsi" w:cs="Arial"/>
          <w:sz w:val="20"/>
          <w:szCs w:val="20"/>
          <w:lang w:val="es-ES"/>
        </w:rPr>
        <w:t xml:space="preserve">  </w:t>
      </w:r>
    </w:p>
    <w:p w14:paraId="4F533F71" w14:textId="77777777" w:rsidR="008E58EA" w:rsidRPr="00BF20FA" w:rsidRDefault="008E58EA" w:rsidP="008E58EA">
      <w:pPr>
        <w:tabs>
          <w:tab w:val="left" w:pos="540"/>
          <w:tab w:val="left" w:pos="6480"/>
        </w:tabs>
        <w:suppressAutoHyphens/>
        <w:jc w:val="both"/>
        <w:rPr>
          <w:rFonts w:asciiTheme="majorHAnsi" w:eastAsia="Calibri" w:hAnsiTheme="majorHAnsi"/>
          <w:sz w:val="20"/>
          <w:szCs w:val="20"/>
          <w:bdr w:val="none" w:sz="0" w:space="0" w:color="auto"/>
          <w:lang w:val="es-ES"/>
        </w:rPr>
      </w:pPr>
    </w:p>
    <w:p w14:paraId="1500E021" w14:textId="029466A3" w:rsidR="008E58EA" w:rsidRPr="00BF20FA" w:rsidRDefault="00A931A2"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hAnsiTheme="majorHAnsi" w:cs="Arial"/>
          <w:sz w:val="20"/>
          <w:szCs w:val="20"/>
          <w:lang w:val="es-ES"/>
        </w:rPr>
        <w:t xml:space="preserve">Así, señaló también que la </w:t>
      </w:r>
      <w:r w:rsidRPr="00BF20FA">
        <w:rPr>
          <w:rFonts w:asciiTheme="majorHAnsi" w:hAnsiTheme="majorHAnsi"/>
          <w:sz w:val="20"/>
          <w:szCs w:val="20"/>
          <w:lang w:val="es-MX"/>
        </w:rPr>
        <w:t xml:space="preserve">la Conferencia de Partes del Convenio de Diversidad Biológica, órgano rector del Convenio, ha determinado “las obligaciones de las Partes hacia las comunidades indígenas y locales de conformidad con el Artículo 8.j) del Convenio y disposiciones conexas [para el] establecimiento, gestión y vigilancia de las áreas </w:t>
      </w:r>
      <w:r w:rsidRPr="000A5F88">
        <w:rPr>
          <w:rFonts w:asciiTheme="majorHAnsi" w:hAnsiTheme="majorHAnsi"/>
          <w:sz w:val="20"/>
          <w:szCs w:val="20"/>
          <w:lang w:val="es-AR"/>
        </w:rPr>
        <w:t>protegidas</w:t>
      </w:r>
      <w:r w:rsidR="00C639F8" w:rsidRPr="00BF20FA">
        <w:rPr>
          <w:rFonts w:asciiTheme="majorHAnsi" w:hAnsiTheme="majorHAnsi"/>
          <w:sz w:val="20"/>
          <w:szCs w:val="20"/>
          <w:lang w:val="es-MX"/>
        </w:rPr>
        <w:t xml:space="preserve"> [las cuales] deberá</w:t>
      </w:r>
      <w:r w:rsidRPr="00BF20FA">
        <w:rPr>
          <w:rFonts w:asciiTheme="majorHAnsi" w:hAnsiTheme="majorHAnsi"/>
          <w:sz w:val="20"/>
          <w:szCs w:val="20"/>
          <w:lang w:val="es-MX"/>
        </w:rPr>
        <w:t>n realizarse con la participación plena y efectiva de las comunidades indígenas y locales[,] respetando plenamente sus derechos en consonancia con la legislación nacional y las obligaciones internacionales aplicables”</w:t>
      </w:r>
      <w:r w:rsidRPr="00BF20FA">
        <w:rPr>
          <w:rStyle w:val="FootnoteReference"/>
          <w:rFonts w:asciiTheme="majorHAnsi" w:hAnsiTheme="majorHAnsi"/>
          <w:sz w:val="20"/>
          <w:szCs w:val="20"/>
        </w:rPr>
        <w:footnoteReference w:id="164"/>
      </w:r>
      <w:r w:rsidRPr="00BF20FA">
        <w:rPr>
          <w:rFonts w:asciiTheme="majorHAnsi" w:hAnsiTheme="majorHAnsi"/>
          <w:sz w:val="20"/>
          <w:szCs w:val="20"/>
          <w:lang w:val="es-MX"/>
        </w:rPr>
        <w:t>.</w:t>
      </w:r>
      <w:r w:rsidR="008E58EA" w:rsidRPr="00BF20FA">
        <w:rPr>
          <w:rFonts w:asciiTheme="majorHAnsi" w:hAnsiTheme="majorHAnsi"/>
          <w:sz w:val="20"/>
          <w:szCs w:val="20"/>
          <w:lang w:val="es-MX"/>
        </w:rPr>
        <w:t xml:space="preserve"> </w:t>
      </w:r>
    </w:p>
    <w:p w14:paraId="54A4DA6A" w14:textId="77777777" w:rsidR="008E58EA" w:rsidRPr="00BF20FA" w:rsidRDefault="008E58EA" w:rsidP="008E58EA">
      <w:pPr>
        <w:pStyle w:val="ListParagraph"/>
        <w:rPr>
          <w:rFonts w:asciiTheme="majorHAnsi" w:hAnsiTheme="majorHAnsi"/>
          <w:sz w:val="20"/>
          <w:szCs w:val="20"/>
          <w:lang w:val="es-MX"/>
        </w:rPr>
      </w:pPr>
    </w:p>
    <w:p w14:paraId="1AF87051" w14:textId="5DA3168C" w:rsidR="00736C6E" w:rsidRPr="00BF20FA" w:rsidRDefault="00736C6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hAnsiTheme="majorHAnsi"/>
          <w:sz w:val="20"/>
          <w:szCs w:val="20"/>
          <w:lang w:val="es-MX"/>
        </w:rPr>
        <w:t xml:space="preserve">Por su parte, el Principio 22 de la Declaración de Río sobre el Medio Ambiente y Desarrollo, establece que “las poblaciones indígenas y sus comunidades […] desempeñan un papel fundamental en la ordenación del medio ambiente y en el desarrollo debido a sus conocimientos y prácticas tradicionales. Los Estados deberían reconocer y </w:t>
      </w:r>
      <w:r w:rsidRPr="000A5F88">
        <w:rPr>
          <w:rFonts w:asciiTheme="majorHAnsi" w:hAnsiTheme="majorHAnsi"/>
          <w:sz w:val="20"/>
          <w:szCs w:val="20"/>
          <w:lang w:val="es-AR"/>
        </w:rPr>
        <w:t>apoyar</w:t>
      </w:r>
      <w:r w:rsidRPr="00BF20FA">
        <w:rPr>
          <w:rFonts w:asciiTheme="majorHAnsi" w:hAnsiTheme="majorHAnsi"/>
          <w:sz w:val="20"/>
          <w:szCs w:val="20"/>
          <w:lang w:val="es-MX"/>
        </w:rPr>
        <w:t xml:space="preserve"> debidamente su identidad, cultura e intereses y hacer posible su participación efectiva en el logro del desarrollo sustentable”</w:t>
      </w:r>
      <w:r w:rsidRPr="00BF20FA">
        <w:rPr>
          <w:rStyle w:val="FootnoteReference"/>
          <w:rFonts w:asciiTheme="majorHAnsi" w:hAnsiTheme="majorHAnsi"/>
          <w:sz w:val="20"/>
          <w:szCs w:val="20"/>
        </w:rPr>
        <w:footnoteReference w:id="165"/>
      </w:r>
      <w:r w:rsidRPr="00BF20FA">
        <w:rPr>
          <w:rFonts w:asciiTheme="majorHAnsi" w:hAnsiTheme="majorHAnsi"/>
          <w:sz w:val="20"/>
          <w:szCs w:val="20"/>
          <w:lang w:val="es-MX"/>
        </w:rPr>
        <w:t>.</w:t>
      </w:r>
    </w:p>
    <w:p w14:paraId="32D9437A" w14:textId="77777777" w:rsidR="000D7541" w:rsidRPr="00BF20FA" w:rsidRDefault="000D7541" w:rsidP="000D7541">
      <w:pPr>
        <w:pStyle w:val="ListParagraph"/>
        <w:rPr>
          <w:rFonts w:asciiTheme="majorHAnsi" w:eastAsia="Calibri" w:hAnsiTheme="majorHAnsi"/>
          <w:sz w:val="20"/>
          <w:szCs w:val="20"/>
          <w:bdr w:val="none" w:sz="0" w:space="0" w:color="auto"/>
          <w:lang w:val="es-ES"/>
        </w:rPr>
      </w:pPr>
    </w:p>
    <w:p w14:paraId="0AA4E79A" w14:textId="0C39AD5F" w:rsidR="00C7533C" w:rsidRDefault="000D7541"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eastAsia="Calibri" w:hAnsiTheme="majorHAnsi"/>
          <w:sz w:val="20"/>
          <w:szCs w:val="20"/>
          <w:bdr w:val="none" w:sz="0" w:space="0" w:color="auto"/>
          <w:lang w:val="es-ES"/>
        </w:rPr>
        <w:t xml:space="preserve">La Comisión toma nota </w:t>
      </w:r>
      <w:r w:rsidR="007F346F" w:rsidRPr="00BF20FA">
        <w:rPr>
          <w:rFonts w:asciiTheme="majorHAnsi" w:eastAsia="Calibri" w:hAnsiTheme="majorHAnsi"/>
          <w:sz w:val="20"/>
          <w:szCs w:val="20"/>
          <w:bdr w:val="none" w:sz="0" w:space="0" w:color="auto"/>
          <w:lang w:val="es-ES"/>
        </w:rPr>
        <w:t xml:space="preserve">que en el presente caso, </w:t>
      </w:r>
      <w:r w:rsidRPr="00BF20FA">
        <w:rPr>
          <w:rFonts w:asciiTheme="majorHAnsi" w:eastAsia="Calibri" w:hAnsiTheme="majorHAnsi"/>
          <w:sz w:val="20"/>
          <w:szCs w:val="20"/>
          <w:bdr w:val="none" w:sz="0" w:space="0" w:color="auto"/>
          <w:lang w:val="es-ES"/>
        </w:rPr>
        <w:t>el Parque Nacional El Cocuy fue establecido</w:t>
      </w:r>
      <w:r w:rsidR="007F346F" w:rsidRPr="00BF20FA">
        <w:rPr>
          <w:rFonts w:asciiTheme="majorHAnsi" w:eastAsia="Calibri" w:hAnsiTheme="majorHAnsi"/>
          <w:sz w:val="20"/>
          <w:szCs w:val="20"/>
          <w:bdr w:val="none" w:sz="0" w:space="0" w:color="auto"/>
          <w:lang w:val="es-ES"/>
        </w:rPr>
        <w:t xml:space="preserve"> en 1977, dentro d</w:t>
      </w:r>
      <w:r w:rsidR="00087845">
        <w:rPr>
          <w:rFonts w:asciiTheme="majorHAnsi" w:eastAsia="Calibri" w:hAnsiTheme="majorHAnsi"/>
          <w:sz w:val="20"/>
          <w:szCs w:val="20"/>
          <w:bdr w:val="none" w:sz="0" w:space="0" w:color="auto"/>
          <w:lang w:val="es-ES"/>
        </w:rPr>
        <w:t>el</w:t>
      </w:r>
      <w:r w:rsidR="00494273" w:rsidRPr="00BF20FA">
        <w:rPr>
          <w:rFonts w:asciiTheme="majorHAnsi" w:eastAsia="Calibri" w:hAnsiTheme="majorHAnsi"/>
          <w:sz w:val="20"/>
          <w:szCs w:val="20"/>
          <w:bdr w:val="none" w:sz="0" w:space="0" w:color="auto"/>
          <w:lang w:val="es-ES"/>
        </w:rPr>
        <w:t xml:space="preserve"> territorio del Resguardo Unido U´wa</w:t>
      </w:r>
      <w:r w:rsidR="007F346F" w:rsidRPr="00BF20FA">
        <w:rPr>
          <w:rFonts w:asciiTheme="majorHAnsi" w:eastAsia="Calibri" w:hAnsiTheme="majorHAnsi"/>
          <w:sz w:val="20"/>
          <w:szCs w:val="20"/>
          <w:bdr w:val="none" w:sz="0" w:space="0" w:color="auto"/>
          <w:lang w:val="es-ES"/>
        </w:rPr>
        <w:t>,</w:t>
      </w:r>
      <w:r w:rsidRPr="00BF20FA">
        <w:rPr>
          <w:rFonts w:asciiTheme="majorHAnsi" w:eastAsia="Calibri" w:hAnsiTheme="majorHAnsi"/>
          <w:sz w:val="20"/>
          <w:szCs w:val="20"/>
          <w:bdr w:val="none" w:sz="0" w:space="0" w:color="auto"/>
          <w:lang w:val="es-ES"/>
        </w:rPr>
        <w:t xml:space="preserve"> con el objeto de </w:t>
      </w:r>
      <w:r w:rsidR="00494273" w:rsidRPr="00BF20FA">
        <w:rPr>
          <w:rFonts w:asciiTheme="majorHAnsi" w:eastAsia="Calibri" w:hAnsiTheme="majorHAnsi"/>
          <w:sz w:val="20"/>
          <w:szCs w:val="20"/>
          <w:bdr w:val="none" w:sz="0" w:space="0" w:color="auto"/>
          <w:lang w:val="es-ES"/>
        </w:rPr>
        <w:t>“</w:t>
      </w:r>
      <w:r w:rsidR="00494273" w:rsidRPr="00BF20FA">
        <w:rPr>
          <w:sz w:val="20"/>
          <w:szCs w:val="20"/>
          <w:lang w:val="es-CO"/>
        </w:rPr>
        <w:t>conservar la flora, la fauna y las bellezas escénicas naturales, complejos geomorfológicos, manifestaciones históricas y culturales, con fines científicos, recreativos o estéticos”</w:t>
      </w:r>
      <w:r w:rsidR="007F346F" w:rsidRPr="00BF20FA">
        <w:rPr>
          <w:sz w:val="20"/>
          <w:szCs w:val="20"/>
          <w:lang w:val="es-CO"/>
        </w:rPr>
        <w:t xml:space="preserve">. </w:t>
      </w:r>
      <w:r w:rsidR="00494273" w:rsidRPr="00BF20FA">
        <w:rPr>
          <w:rFonts w:asciiTheme="majorHAnsi" w:eastAsia="Calibri" w:hAnsiTheme="majorHAnsi"/>
          <w:sz w:val="20"/>
          <w:szCs w:val="20"/>
          <w:bdr w:val="none" w:sz="0" w:space="0" w:color="auto"/>
          <w:lang w:val="es-ES"/>
        </w:rPr>
        <w:t xml:space="preserve"> </w:t>
      </w:r>
      <w:r w:rsidR="00275582" w:rsidRPr="00BF20FA">
        <w:rPr>
          <w:rFonts w:asciiTheme="majorHAnsi" w:eastAsia="Calibri" w:hAnsiTheme="majorHAnsi"/>
          <w:sz w:val="20"/>
          <w:szCs w:val="20"/>
          <w:bdr w:val="none" w:sz="0" w:space="0" w:color="auto"/>
          <w:lang w:val="es-ES"/>
        </w:rPr>
        <w:t>Siendo que el Parque Nacional se encuentra dentro del territorio del Resguardo Unido U´wa</w:t>
      </w:r>
      <w:r w:rsidR="00C7533C" w:rsidRPr="00BF20FA">
        <w:rPr>
          <w:rFonts w:asciiTheme="majorHAnsi" w:eastAsia="Calibri" w:hAnsiTheme="majorHAnsi"/>
          <w:sz w:val="20"/>
          <w:szCs w:val="20"/>
          <w:bdr w:val="none" w:sz="0" w:space="0" w:color="auto"/>
          <w:lang w:val="es-ES"/>
        </w:rPr>
        <w:t>,</w:t>
      </w:r>
      <w:r w:rsidR="00087845">
        <w:rPr>
          <w:rFonts w:asciiTheme="majorHAnsi" w:eastAsia="Calibri" w:hAnsiTheme="majorHAnsi"/>
          <w:sz w:val="20"/>
          <w:szCs w:val="20"/>
          <w:bdr w:val="none" w:sz="0" w:space="0" w:color="auto"/>
          <w:lang w:val="es-ES"/>
        </w:rPr>
        <w:t xml:space="preserve"> </w:t>
      </w:r>
      <w:r w:rsidR="00275582" w:rsidRPr="00BF20FA">
        <w:rPr>
          <w:rFonts w:asciiTheme="majorHAnsi" w:eastAsia="Calibri" w:hAnsiTheme="majorHAnsi"/>
          <w:sz w:val="20"/>
          <w:szCs w:val="20"/>
          <w:bdr w:val="none" w:sz="0" w:space="0" w:color="auto"/>
          <w:lang w:val="es-ES"/>
        </w:rPr>
        <w:t xml:space="preserve">que el </w:t>
      </w:r>
      <w:r w:rsidR="00275582" w:rsidRPr="000A5F88">
        <w:rPr>
          <w:rFonts w:asciiTheme="majorHAnsi" w:hAnsiTheme="majorHAnsi"/>
          <w:sz w:val="20"/>
          <w:szCs w:val="20"/>
          <w:lang w:val="es-AR"/>
        </w:rPr>
        <w:t>Pueblo</w:t>
      </w:r>
      <w:r w:rsidR="00275582" w:rsidRPr="00BF20FA">
        <w:rPr>
          <w:rFonts w:asciiTheme="majorHAnsi" w:eastAsia="Calibri" w:hAnsiTheme="majorHAnsi"/>
          <w:sz w:val="20"/>
          <w:szCs w:val="20"/>
          <w:bdr w:val="none" w:sz="0" w:space="0" w:color="auto"/>
          <w:lang w:val="es-ES"/>
        </w:rPr>
        <w:t xml:space="preserve"> U´wa </w:t>
      </w:r>
      <w:r w:rsidR="00C7533C" w:rsidRPr="00BF20FA">
        <w:rPr>
          <w:rFonts w:asciiTheme="majorHAnsi" w:eastAsia="Calibri" w:hAnsiTheme="majorHAnsi"/>
          <w:sz w:val="20"/>
          <w:szCs w:val="20"/>
          <w:bdr w:val="none" w:sz="0" w:space="0" w:color="auto"/>
          <w:lang w:val="es-ES"/>
        </w:rPr>
        <w:t xml:space="preserve">es propietario de esas tierras, como ya ha quedado establecido, y que sus miembros son </w:t>
      </w:r>
      <w:r w:rsidR="00275582" w:rsidRPr="00BF20FA">
        <w:rPr>
          <w:rFonts w:asciiTheme="majorHAnsi" w:eastAsia="Calibri" w:hAnsiTheme="majorHAnsi"/>
          <w:sz w:val="20"/>
          <w:szCs w:val="20"/>
          <w:bdr w:val="none" w:sz="0" w:space="0" w:color="auto"/>
          <w:lang w:val="es-ES"/>
        </w:rPr>
        <w:t>los portadores del conocimiento y prácticas beneficiarias para su medio ambiente, correspondía a estos la administraci</w:t>
      </w:r>
      <w:r w:rsidR="00C7533C" w:rsidRPr="00BF20FA">
        <w:rPr>
          <w:rFonts w:asciiTheme="majorHAnsi" w:eastAsia="Calibri" w:hAnsiTheme="majorHAnsi"/>
          <w:sz w:val="20"/>
          <w:szCs w:val="20"/>
          <w:bdr w:val="none" w:sz="0" w:space="0" w:color="auto"/>
          <w:lang w:val="es-ES"/>
        </w:rPr>
        <w:t xml:space="preserve">ón de dicho Parque; sin embargo, </w:t>
      </w:r>
      <w:r w:rsidR="00454CF7" w:rsidRPr="00BF20FA">
        <w:rPr>
          <w:rFonts w:asciiTheme="majorHAnsi" w:eastAsia="Calibri" w:hAnsiTheme="majorHAnsi"/>
          <w:sz w:val="20"/>
          <w:szCs w:val="20"/>
          <w:bdr w:val="none" w:sz="0" w:space="0" w:color="auto"/>
          <w:lang w:val="es-ES"/>
        </w:rPr>
        <w:t xml:space="preserve">el Estado decidió dar su </w:t>
      </w:r>
      <w:r w:rsidR="00436295" w:rsidRPr="00BF20FA">
        <w:rPr>
          <w:rFonts w:asciiTheme="majorHAnsi" w:eastAsia="Calibri" w:hAnsiTheme="majorHAnsi"/>
          <w:sz w:val="20"/>
          <w:szCs w:val="20"/>
          <w:bdr w:val="none" w:sz="0" w:space="0" w:color="auto"/>
          <w:lang w:val="es-ES"/>
        </w:rPr>
        <w:t>a</w:t>
      </w:r>
      <w:r w:rsidR="00454CF7" w:rsidRPr="00BF20FA">
        <w:rPr>
          <w:rFonts w:asciiTheme="majorHAnsi" w:eastAsia="Calibri" w:hAnsiTheme="majorHAnsi"/>
          <w:sz w:val="20"/>
          <w:szCs w:val="20"/>
          <w:bdr w:val="none" w:sz="0" w:space="0" w:color="auto"/>
          <w:lang w:val="es-ES"/>
        </w:rPr>
        <w:t xml:space="preserve">dministración a la </w:t>
      </w:r>
      <w:r w:rsidR="00436295" w:rsidRPr="00BF20FA">
        <w:rPr>
          <w:rFonts w:asciiTheme="majorHAnsi" w:eastAsia="Calibri" w:hAnsiTheme="majorHAnsi"/>
          <w:sz w:val="20"/>
          <w:szCs w:val="20"/>
          <w:bdr w:val="none" w:sz="0" w:space="0" w:color="auto"/>
          <w:lang w:val="es-ES"/>
        </w:rPr>
        <w:t>Dirección de Parques Nacionales</w:t>
      </w:r>
      <w:r w:rsidR="000917D5" w:rsidRPr="00BF20FA">
        <w:rPr>
          <w:rFonts w:asciiTheme="majorHAnsi" w:eastAsia="Calibri" w:hAnsiTheme="majorHAnsi"/>
          <w:sz w:val="20"/>
          <w:szCs w:val="20"/>
          <w:bdr w:val="none" w:sz="0" w:space="0" w:color="auto"/>
          <w:lang w:val="es-ES"/>
        </w:rPr>
        <w:t xml:space="preserve">. </w:t>
      </w:r>
      <w:r w:rsidR="00C7533C" w:rsidRPr="00BF20FA">
        <w:rPr>
          <w:rFonts w:asciiTheme="majorHAnsi" w:eastAsia="Calibri" w:hAnsiTheme="majorHAnsi"/>
          <w:sz w:val="20"/>
          <w:szCs w:val="20"/>
          <w:bdr w:val="none" w:sz="0" w:space="0" w:color="auto"/>
          <w:lang w:val="es-ES"/>
        </w:rPr>
        <w:t xml:space="preserve">Como en ocasiones anteriores, </w:t>
      </w:r>
      <w:r w:rsidR="000917D5" w:rsidRPr="00BF20FA">
        <w:rPr>
          <w:rFonts w:asciiTheme="majorHAnsi" w:eastAsia="Calibri" w:hAnsiTheme="majorHAnsi"/>
          <w:sz w:val="20"/>
          <w:szCs w:val="20"/>
          <w:bdr w:val="none" w:sz="0" w:space="0" w:color="auto"/>
          <w:lang w:val="es-ES"/>
        </w:rPr>
        <w:t xml:space="preserve">la Comisión afirma que la protección de la naturaleza es compatible con la forma de vida de los pueblos indígenas y son estos quienes deben asumir la administración y conservación de sus tierras. </w:t>
      </w:r>
    </w:p>
    <w:p w14:paraId="1BBCC552" w14:textId="05A5974A" w:rsidR="00087845" w:rsidRDefault="00087845" w:rsidP="000878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Theme="majorHAnsi" w:eastAsia="Calibri" w:hAnsiTheme="majorHAnsi"/>
          <w:sz w:val="20"/>
          <w:szCs w:val="20"/>
          <w:bdr w:val="none" w:sz="0" w:space="0" w:color="auto"/>
          <w:lang w:val="es-ES"/>
        </w:rPr>
      </w:pPr>
    </w:p>
    <w:p w14:paraId="3F8A360A" w14:textId="686BD44C" w:rsidR="00AF42C5" w:rsidRPr="00BF20FA" w:rsidRDefault="00AF42C5"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
        </w:rPr>
      </w:pPr>
      <w:r w:rsidRPr="00BF20FA">
        <w:rPr>
          <w:rFonts w:asciiTheme="majorHAnsi" w:eastAsia="Calibri" w:hAnsiTheme="majorHAnsi"/>
          <w:sz w:val="20"/>
          <w:szCs w:val="20"/>
          <w:bdr w:val="none" w:sz="0" w:space="0" w:color="auto"/>
          <w:lang w:val="es-ES"/>
        </w:rPr>
        <w:t xml:space="preserve">La Comisión concluye que el Estado de Colombia ha vulnerado los derechos a la propiedad colectiva y de participación en asuntos de los miembros del Pueblo U´wa, al impedir la participación efectiva en la </w:t>
      </w:r>
      <w:r w:rsidRPr="000A5F88">
        <w:rPr>
          <w:rFonts w:asciiTheme="majorHAnsi" w:hAnsiTheme="majorHAnsi"/>
          <w:sz w:val="20"/>
          <w:szCs w:val="20"/>
          <w:lang w:val="es-AR"/>
        </w:rPr>
        <w:t>administración</w:t>
      </w:r>
      <w:r w:rsidRPr="00BF20FA">
        <w:rPr>
          <w:rFonts w:asciiTheme="majorHAnsi" w:eastAsia="Calibri" w:hAnsiTheme="majorHAnsi"/>
          <w:sz w:val="20"/>
          <w:szCs w:val="20"/>
          <w:bdr w:val="none" w:sz="0" w:space="0" w:color="auto"/>
          <w:lang w:val="es-ES"/>
        </w:rPr>
        <w:t xml:space="preserve"> de su territorio tradicional</w:t>
      </w:r>
      <w:r w:rsidR="003E4CA5" w:rsidRPr="00BF20FA">
        <w:rPr>
          <w:rFonts w:asciiTheme="majorHAnsi" w:eastAsia="Calibri" w:hAnsiTheme="majorHAnsi"/>
          <w:sz w:val="20"/>
          <w:szCs w:val="20"/>
          <w:bdr w:val="none" w:sz="0" w:space="0" w:color="auto"/>
          <w:lang w:val="es-ES"/>
        </w:rPr>
        <w:t xml:space="preserve"> y recursos naturales</w:t>
      </w:r>
      <w:r w:rsidRPr="00BF20FA">
        <w:rPr>
          <w:rFonts w:asciiTheme="majorHAnsi" w:eastAsia="Calibri" w:hAnsiTheme="majorHAnsi"/>
          <w:sz w:val="20"/>
          <w:szCs w:val="20"/>
          <w:bdr w:val="none" w:sz="0" w:space="0" w:color="auto"/>
          <w:lang w:val="es-ES"/>
        </w:rPr>
        <w:t xml:space="preserve">.   </w:t>
      </w:r>
    </w:p>
    <w:p w14:paraId="2B324362" w14:textId="5F8E5551" w:rsidR="006A7457" w:rsidRPr="00BF20FA" w:rsidRDefault="003006B1" w:rsidP="008F7F9A">
      <w:pPr>
        <w:pStyle w:val="Heading3"/>
        <w:numPr>
          <w:ilvl w:val="0"/>
          <w:numId w:val="62"/>
        </w:numPr>
        <w:ind w:left="360"/>
        <w:jc w:val="both"/>
        <w:rPr>
          <w:rFonts w:asciiTheme="majorHAnsi" w:hAnsiTheme="majorHAnsi"/>
          <w:sz w:val="20"/>
          <w:szCs w:val="20"/>
          <w:lang w:val="es-ES_tradnl"/>
        </w:rPr>
      </w:pPr>
      <w:bookmarkStart w:id="43" w:name="_Toc17221577"/>
      <w:r w:rsidRPr="00BF20FA">
        <w:rPr>
          <w:rFonts w:asciiTheme="majorHAnsi" w:hAnsiTheme="majorHAnsi"/>
          <w:sz w:val="20"/>
          <w:szCs w:val="20"/>
          <w:lang w:val="es-ES_tradnl"/>
        </w:rPr>
        <w:t>Derecho</w:t>
      </w:r>
      <w:r w:rsidR="00A75D2C" w:rsidRPr="00BF20FA">
        <w:rPr>
          <w:rFonts w:asciiTheme="majorHAnsi" w:hAnsiTheme="majorHAnsi"/>
          <w:sz w:val="20"/>
          <w:szCs w:val="20"/>
          <w:lang w:val="es-ES_tradnl"/>
        </w:rPr>
        <w:t>s</w:t>
      </w:r>
      <w:r w:rsidR="006A7457" w:rsidRPr="00BF20FA">
        <w:rPr>
          <w:rFonts w:asciiTheme="majorHAnsi" w:hAnsiTheme="majorHAnsi"/>
          <w:sz w:val="20"/>
          <w:szCs w:val="20"/>
          <w:lang w:val="es-ES_tradnl"/>
        </w:rPr>
        <w:t xml:space="preserve"> </w:t>
      </w:r>
      <w:r w:rsidR="004949C9" w:rsidRPr="00BF20FA">
        <w:rPr>
          <w:rFonts w:asciiTheme="majorHAnsi" w:hAnsiTheme="majorHAnsi"/>
          <w:sz w:val="20"/>
          <w:szCs w:val="20"/>
          <w:lang w:val="es-ES_tradnl"/>
        </w:rPr>
        <w:t>culturales</w:t>
      </w:r>
      <w:r w:rsidRPr="00BF20FA">
        <w:rPr>
          <w:rFonts w:asciiTheme="majorHAnsi" w:hAnsiTheme="majorHAnsi"/>
          <w:sz w:val="20"/>
          <w:szCs w:val="20"/>
          <w:lang w:val="es-ES_tradnl"/>
        </w:rPr>
        <w:t xml:space="preserve"> del Pueblo U´wa</w:t>
      </w:r>
      <w:bookmarkEnd w:id="43"/>
    </w:p>
    <w:p w14:paraId="424FC611" w14:textId="77777777" w:rsidR="006A7457" w:rsidRPr="00BF20FA" w:rsidRDefault="006A7457" w:rsidP="003006B1">
      <w:pPr>
        <w:pStyle w:val="ListParagraph"/>
        <w:rPr>
          <w:rFonts w:asciiTheme="majorHAnsi" w:eastAsia="Calibri" w:hAnsiTheme="majorHAnsi"/>
          <w:sz w:val="20"/>
          <w:szCs w:val="20"/>
          <w:bdr w:val="none" w:sz="0" w:space="0" w:color="auto"/>
          <w:lang w:val="es-CO"/>
        </w:rPr>
      </w:pPr>
    </w:p>
    <w:p w14:paraId="20242B52" w14:textId="1E792217" w:rsidR="001639E6" w:rsidRPr="00EE1152" w:rsidRDefault="001639E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EE1152">
        <w:rPr>
          <w:rFonts w:asciiTheme="majorHAnsi" w:hAnsiTheme="majorHAnsi"/>
          <w:sz w:val="20"/>
          <w:szCs w:val="20"/>
          <w:lang w:val="es-CO"/>
        </w:rPr>
        <w:t>El artículo 26 de la Convención Americana establece una obligación en cabeza de los Estados partes, de procurar el desarrollo progresivo de los derechos que dicha norma contiene</w:t>
      </w:r>
      <w:r w:rsidR="007C53FD">
        <w:rPr>
          <w:rFonts w:asciiTheme="majorHAnsi" w:hAnsiTheme="majorHAnsi"/>
          <w:sz w:val="20"/>
          <w:szCs w:val="20"/>
          <w:lang w:val="es-CO"/>
        </w:rPr>
        <w:t>, a la luz de las obligaciones generales de los artículos 1.1 y 2 del mismo instrumento</w:t>
      </w:r>
      <w:r w:rsidRPr="00EE1152">
        <w:rPr>
          <w:rFonts w:asciiTheme="majorHAnsi" w:hAnsiTheme="majorHAnsi"/>
          <w:sz w:val="20"/>
          <w:szCs w:val="20"/>
          <w:lang w:val="es-CO"/>
        </w:rPr>
        <w:t xml:space="preserve">. Ambos órganos del sistema interamericano </w:t>
      </w:r>
      <w:r w:rsidRPr="00EE1152">
        <w:rPr>
          <w:rFonts w:asciiTheme="majorHAnsi" w:hAnsiTheme="majorHAnsi" w:cs="Arial"/>
          <w:snapToGrid w:val="0"/>
          <w:sz w:val="20"/>
          <w:szCs w:val="20"/>
          <w:lang w:val="es-CO"/>
        </w:rPr>
        <w:t xml:space="preserve">han reafirmado su </w:t>
      </w:r>
      <w:r w:rsidRPr="000A5F88">
        <w:rPr>
          <w:rFonts w:asciiTheme="majorHAnsi" w:hAnsiTheme="majorHAnsi"/>
          <w:sz w:val="20"/>
          <w:szCs w:val="20"/>
          <w:lang w:val="es-AR"/>
        </w:rPr>
        <w:t>competencia</w:t>
      </w:r>
      <w:r w:rsidRPr="00EE1152">
        <w:rPr>
          <w:rFonts w:asciiTheme="majorHAnsi" w:hAnsiTheme="majorHAnsi" w:cs="Arial"/>
          <w:snapToGrid w:val="0"/>
          <w:sz w:val="20"/>
          <w:szCs w:val="20"/>
          <w:lang w:val="es-CO"/>
        </w:rPr>
        <w:t xml:space="preserve"> para pronunciarse sobre posibles violaciones del artículo 26 </w:t>
      </w:r>
      <w:r w:rsidRPr="00EE1152">
        <w:rPr>
          <w:rFonts w:asciiTheme="majorHAnsi" w:eastAsia="Batang" w:hAnsiTheme="majorHAnsi"/>
          <w:sz w:val="20"/>
          <w:szCs w:val="20"/>
          <w:bdr w:val="none" w:sz="0" w:space="0" w:color="auto" w:frame="1"/>
          <w:lang w:val="es-UY"/>
        </w:rPr>
        <w:t>de</w:t>
      </w:r>
      <w:r w:rsidRPr="00EE1152">
        <w:rPr>
          <w:rFonts w:asciiTheme="majorHAnsi" w:hAnsiTheme="majorHAnsi" w:cs="Arial"/>
          <w:snapToGrid w:val="0"/>
          <w:sz w:val="20"/>
          <w:szCs w:val="20"/>
          <w:lang w:val="es-CO"/>
        </w:rPr>
        <w:t xml:space="preserve"> la Convención </w:t>
      </w:r>
      <w:r w:rsidRPr="00EE1152">
        <w:rPr>
          <w:rFonts w:asciiTheme="majorHAnsi" w:hAnsiTheme="majorHAnsi" w:cs="Arial"/>
          <w:snapToGrid w:val="0"/>
          <w:sz w:val="20"/>
          <w:szCs w:val="20"/>
          <w:lang w:val="es-CO"/>
        </w:rPr>
        <w:lastRenderedPageBreak/>
        <w:t>Americana en el marco del sistema de peticiones y casos individuales</w:t>
      </w:r>
      <w:r w:rsidRPr="00EE1152">
        <w:rPr>
          <w:rFonts w:asciiTheme="majorHAnsi" w:hAnsiTheme="majorHAnsi" w:cs="Arial"/>
          <w:i/>
          <w:snapToGrid w:val="0"/>
          <w:sz w:val="20"/>
          <w:szCs w:val="20"/>
          <w:lang w:val="es-CO"/>
        </w:rPr>
        <w:t xml:space="preserve">. </w:t>
      </w:r>
      <w:r w:rsidRPr="00EE1152">
        <w:rPr>
          <w:rFonts w:asciiTheme="majorHAnsi" w:hAnsiTheme="majorHAnsi"/>
          <w:sz w:val="20"/>
          <w:szCs w:val="20"/>
          <w:bdr w:val="none" w:sz="0" w:space="0" w:color="auto" w:frame="1"/>
          <w:lang w:val="es-MX"/>
        </w:rPr>
        <w:t xml:space="preserve">En sus pronunciamientos sobre la materia, la Corte ha enfatizado la </w:t>
      </w:r>
      <w:r w:rsidRPr="00EE1152">
        <w:rPr>
          <w:rFonts w:asciiTheme="majorHAnsi" w:hAnsiTheme="majorHAnsi" w:cs="Arial"/>
          <w:snapToGrid w:val="0"/>
          <w:sz w:val="20"/>
          <w:szCs w:val="20"/>
          <w:bdr w:val="none" w:sz="0" w:space="0" w:color="auto" w:frame="1"/>
          <w:lang w:val="es-CO"/>
        </w:rPr>
        <w:t>interdependencia e indivisibilidad de los derechos económicos, sociales y culturales respecto de los derechos civiles y políticos</w:t>
      </w:r>
      <w:r w:rsidRPr="00EE1152">
        <w:rPr>
          <w:rStyle w:val="FootnoteReference"/>
          <w:rFonts w:asciiTheme="majorHAnsi" w:hAnsiTheme="majorHAnsi" w:cs="Arial"/>
          <w:snapToGrid w:val="0"/>
          <w:sz w:val="20"/>
          <w:szCs w:val="20"/>
          <w:bdr w:val="none" w:sz="0" w:space="0" w:color="auto" w:frame="1"/>
          <w:lang w:val="es-CO"/>
        </w:rPr>
        <w:footnoteReference w:id="166"/>
      </w:r>
      <w:r w:rsidR="00560E8F">
        <w:rPr>
          <w:rFonts w:asciiTheme="majorHAnsi" w:hAnsiTheme="majorHAnsi" w:cs="Arial"/>
          <w:snapToGrid w:val="0"/>
          <w:sz w:val="20"/>
          <w:szCs w:val="20"/>
          <w:bdr w:val="none" w:sz="0" w:space="0" w:color="auto" w:frame="1"/>
          <w:lang w:val="es-CO"/>
        </w:rPr>
        <w:t>.</w:t>
      </w:r>
    </w:p>
    <w:p w14:paraId="269EA6E8" w14:textId="77777777" w:rsidR="001639E6" w:rsidRPr="00EE1152" w:rsidRDefault="001639E6" w:rsidP="001639E6">
      <w:pPr>
        <w:tabs>
          <w:tab w:val="left" w:pos="450"/>
        </w:tabs>
        <w:jc w:val="both"/>
        <w:rPr>
          <w:rFonts w:asciiTheme="majorHAnsi" w:eastAsia="Batang" w:hAnsiTheme="majorHAnsi" w:cs="Arial"/>
          <w:sz w:val="20"/>
          <w:bdr w:val="none" w:sz="0" w:space="0" w:color="auto"/>
          <w:lang w:val="es-ES"/>
        </w:rPr>
      </w:pPr>
    </w:p>
    <w:p w14:paraId="2F75DC03" w14:textId="77777777" w:rsidR="001639E6" w:rsidRPr="00EE1152" w:rsidRDefault="001639E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EE1152">
        <w:rPr>
          <w:rFonts w:asciiTheme="majorHAnsi" w:hAnsiTheme="majorHAnsi"/>
          <w:sz w:val="20"/>
          <w:szCs w:val="20"/>
          <w:lang w:val="es-MX"/>
        </w:rPr>
        <w:t xml:space="preserve">La Comisión ya ha indicado que el análisis de un caso concreto a la luz del artículo 26 de la Convención Americana debe ser efectuado en dos niveles. En un primer momento, es necesario establecer si el derecho del que se trata el caso se deriva “de las normas económicas, sociales y sobre educación, ciencia y cultura, contenidas en la Carta de la Organización de Estados Americanos”, tal como remite el texto del artículo 26. Es decir, el artículo 26 de la CADH es el que atribuye a la Carta de la OEA como fuente directa de derechos, asignando carácter de derechos humanos a las disposiciones que sobre la materia pueden desprenderse de dicho tratado. Dado que el objeto de la Carta de la OEA no fue individualizar derechos sino constituir un organismo internacional, es necesario recurrir a textos auxiliares para identificar los derechos que se desprenden de las disposiciones de dicho instrumento, incluyendo fundamentalmente la Declaración Americana y otras normas relevantes del </w:t>
      </w:r>
      <w:r w:rsidRPr="00EE1152">
        <w:rPr>
          <w:rFonts w:asciiTheme="majorHAnsi" w:hAnsiTheme="majorHAnsi"/>
          <w:i/>
          <w:sz w:val="20"/>
          <w:szCs w:val="20"/>
          <w:lang w:val="es-MX"/>
        </w:rPr>
        <w:t xml:space="preserve">corpus iuris </w:t>
      </w:r>
      <w:r w:rsidRPr="00EE1152">
        <w:rPr>
          <w:rFonts w:asciiTheme="majorHAnsi" w:hAnsiTheme="majorHAnsi"/>
          <w:sz w:val="20"/>
          <w:szCs w:val="20"/>
          <w:lang w:val="es-MX"/>
        </w:rPr>
        <w:t>internacional</w:t>
      </w:r>
      <w:r w:rsidRPr="00EE1152">
        <w:rPr>
          <w:rStyle w:val="FootnoteReference"/>
          <w:rFonts w:asciiTheme="majorHAnsi" w:hAnsiTheme="majorHAnsi"/>
          <w:sz w:val="20"/>
          <w:szCs w:val="20"/>
          <w:lang w:val="es-MX"/>
        </w:rPr>
        <w:footnoteReference w:id="167"/>
      </w:r>
      <w:r w:rsidRPr="00EE1152">
        <w:rPr>
          <w:rFonts w:asciiTheme="majorHAnsi" w:hAnsiTheme="majorHAnsi"/>
          <w:sz w:val="20"/>
          <w:szCs w:val="20"/>
          <w:lang w:val="es-MX"/>
        </w:rPr>
        <w:t>.</w:t>
      </w:r>
    </w:p>
    <w:p w14:paraId="51BBE5B8" w14:textId="77777777" w:rsidR="001639E6" w:rsidRPr="00EE1152" w:rsidRDefault="001639E6" w:rsidP="001639E6">
      <w:pPr>
        <w:pStyle w:val="ListParagraph"/>
        <w:rPr>
          <w:rFonts w:asciiTheme="majorHAnsi" w:hAnsiTheme="majorHAnsi"/>
          <w:sz w:val="20"/>
          <w:szCs w:val="20"/>
          <w:lang w:val="es-MX"/>
        </w:rPr>
      </w:pPr>
    </w:p>
    <w:p w14:paraId="3068B49D" w14:textId="77777777" w:rsidR="001639E6" w:rsidRPr="00EE1152" w:rsidRDefault="001639E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EE1152">
        <w:rPr>
          <w:rFonts w:asciiTheme="majorHAnsi" w:hAnsiTheme="majorHAnsi"/>
          <w:sz w:val="20"/>
          <w:szCs w:val="20"/>
          <w:lang w:val="es-MX"/>
        </w:rPr>
        <w:t xml:space="preserve">Una vez establecido ello, corresponde determinar si el Estado en cuestión incumplió la obligación de “lograr progresivamente” la </w:t>
      </w:r>
      <w:r w:rsidRPr="000A5F88">
        <w:rPr>
          <w:rFonts w:asciiTheme="majorHAnsi" w:hAnsiTheme="majorHAnsi"/>
          <w:sz w:val="20"/>
          <w:szCs w:val="20"/>
          <w:lang w:val="es-AR"/>
        </w:rPr>
        <w:t>plena</w:t>
      </w:r>
      <w:r w:rsidRPr="00EE1152">
        <w:rPr>
          <w:rFonts w:asciiTheme="majorHAnsi" w:hAnsiTheme="majorHAnsi"/>
          <w:sz w:val="20"/>
          <w:szCs w:val="20"/>
          <w:lang w:val="es-MX"/>
        </w:rPr>
        <w:t xml:space="preserve"> efectividad de tal derecho, o aquellas obligaciones generales de respetar y de garantizar el mismo. En este segundo nivel de análisis, es preciso tomar en consideración la naturaleza y </w:t>
      </w:r>
      <w:r w:rsidRPr="00EE1152">
        <w:rPr>
          <w:rFonts w:asciiTheme="majorHAnsi" w:hAnsiTheme="majorHAnsi"/>
          <w:sz w:val="20"/>
          <w:szCs w:val="20"/>
          <w:lang w:val="es-PE"/>
        </w:rPr>
        <w:t>alcance</w:t>
      </w:r>
      <w:r w:rsidRPr="00EE1152">
        <w:rPr>
          <w:rFonts w:asciiTheme="majorHAnsi" w:hAnsiTheme="majorHAnsi"/>
          <w:sz w:val="20"/>
          <w:szCs w:val="20"/>
          <w:lang w:val="es-MX"/>
        </w:rPr>
        <w:t xml:space="preserve"> de las obligaciones exigibles al Estado bajo los artículos 1.1, 2 y 26 de la Convención, así como los contenidos del derecho de que se trate</w:t>
      </w:r>
      <w:r w:rsidRPr="00EE1152">
        <w:rPr>
          <w:rStyle w:val="FootnoteReference"/>
          <w:rFonts w:asciiTheme="majorHAnsi" w:hAnsiTheme="majorHAnsi"/>
          <w:sz w:val="20"/>
          <w:szCs w:val="20"/>
          <w:lang w:val="es-MX"/>
        </w:rPr>
        <w:footnoteReference w:id="168"/>
      </w:r>
      <w:r w:rsidRPr="00EE1152">
        <w:rPr>
          <w:rFonts w:asciiTheme="majorHAnsi" w:hAnsiTheme="majorHAnsi"/>
          <w:sz w:val="20"/>
          <w:szCs w:val="20"/>
          <w:lang w:val="es-MX"/>
        </w:rPr>
        <w:t>.</w:t>
      </w:r>
    </w:p>
    <w:p w14:paraId="3BE5ACAC" w14:textId="77777777" w:rsidR="001639E6" w:rsidRPr="00EE1152" w:rsidRDefault="001639E6" w:rsidP="001639E6">
      <w:pPr>
        <w:pStyle w:val="ListParagraph"/>
        <w:rPr>
          <w:rFonts w:asciiTheme="majorHAnsi" w:hAnsiTheme="majorHAnsi" w:cs="Arial"/>
          <w:snapToGrid w:val="0"/>
          <w:sz w:val="20"/>
          <w:szCs w:val="20"/>
          <w:lang w:val="es-CO"/>
        </w:rPr>
      </w:pPr>
    </w:p>
    <w:p w14:paraId="751E20D1" w14:textId="77777777" w:rsidR="001639E6" w:rsidRPr="00EE1152" w:rsidRDefault="001639E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EE1152">
        <w:rPr>
          <w:rFonts w:asciiTheme="majorHAnsi" w:hAnsiTheme="majorHAnsi" w:cs="Arial"/>
          <w:snapToGrid w:val="0"/>
          <w:sz w:val="20"/>
          <w:szCs w:val="20"/>
          <w:lang w:val="es-CO"/>
        </w:rPr>
        <w:t xml:space="preserve">La Comisión también ha indicado que el artículo 26 de la Convención Americana impone diversas obligaciones a los Estados que no se limitan a una prohibición de regresividad, el cual es un correlato de la obligación de progresividad, pero no puede entenderse como la única obligación justiciable en el sistema interamericano bajo esta norma. Así, la Comisión afirma que teniendo en cuenta el marco interpretativo del artículo 29 de la Convención Americana, el artículo 26 visto a la luz de los artículos 1.1 y 2 del mismo instrumento, se desprenden, </w:t>
      </w:r>
      <w:r w:rsidRPr="000A5F88">
        <w:rPr>
          <w:rFonts w:asciiTheme="majorHAnsi" w:hAnsiTheme="majorHAnsi"/>
          <w:sz w:val="20"/>
          <w:szCs w:val="20"/>
          <w:lang w:val="es-AR"/>
        </w:rPr>
        <w:t>al</w:t>
      </w:r>
      <w:r w:rsidRPr="00EE1152">
        <w:rPr>
          <w:rFonts w:asciiTheme="majorHAnsi" w:hAnsiTheme="majorHAnsi" w:cs="Arial"/>
          <w:snapToGrid w:val="0"/>
          <w:sz w:val="20"/>
          <w:szCs w:val="20"/>
          <w:lang w:val="es-CO"/>
        </w:rPr>
        <w:t xml:space="preserve"> menos las siguientes obligaciones inmediatas y exigibles: i) obligaciones generales de respeto y garantía, ii) aplicación del principio de no discriminación a los derechos económicos, sociales y culturales, iii) obligaciones de dar pasos o adoptar medidas para </w:t>
      </w:r>
      <w:r w:rsidRPr="00EE1152">
        <w:rPr>
          <w:rFonts w:asciiTheme="majorHAnsi" w:hAnsiTheme="majorHAnsi" w:cs="Helvetica"/>
          <w:sz w:val="20"/>
          <w:szCs w:val="20"/>
          <w:lang w:val="es-CO" w:bidi="en-US"/>
        </w:rPr>
        <w:t>lograr</w:t>
      </w:r>
      <w:r w:rsidRPr="00EE1152">
        <w:rPr>
          <w:rFonts w:asciiTheme="majorHAnsi" w:hAnsiTheme="majorHAnsi" w:cs="Arial"/>
          <w:snapToGrid w:val="0"/>
          <w:sz w:val="20"/>
          <w:szCs w:val="20"/>
          <w:lang w:val="es-CO"/>
        </w:rPr>
        <w:t xml:space="preserve"> el goce de los derechos incorporados en dicho artículo y iv) ofrecer recursos idóneos y efectivos para su protección. Las metodologías o fuentes de análisis que resulten pertinentes para cada una de estas obligaciones, deberán ser establecidas según las circunstancias propias de cada caso</w:t>
      </w:r>
      <w:r w:rsidRPr="00EE1152">
        <w:rPr>
          <w:rStyle w:val="FootnoteReference"/>
          <w:rFonts w:asciiTheme="majorHAnsi" w:hAnsiTheme="majorHAnsi" w:cs="Arial"/>
          <w:snapToGrid w:val="0"/>
          <w:sz w:val="20"/>
          <w:szCs w:val="20"/>
          <w:lang w:val="es-CO"/>
        </w:rPr>
        <w:footnoteReference w:id="169"/>
      </w:r>
      <w:r w:rsidRPr="00EE1152">
        <w:rPr>
          <w:rFonts w:asciiTheme="majorHAnsi" w:hAnsiTheme="majorHAnsi" w:cs="Arial"/>
          <w:snapToGrid w:val="0"/>
          <w:sz w:val="20"/>
          <w:szCs w:val="20"/>
          <w:lang w:val="es-CO"/>
        </w:rPr>
        <w:t>. Además, e</w:t>
      </w:r>
      <w:r w:rsidRPr="00EE1152">
        <w:rPr>
          <w:rFonts w:asciiTheme="majorHAnsi" w:hAnsiTheme="majorHAnsi" w:cs="Arial"/>
          <w:sz w:val="20"/>
          <w:szCs w:val="20"/>
          <w:shd w:val="clear" w:color="auto" w:fill="FFFFFF"/>
          <w:lang w:val="es-PE"/>
        </w:rPr>
        <w:t xml:space="preserve">l Estado tiene obligaciones básicas que deben satisfacer niveles esenciales de tales derechos, las cuales no están sujetas al desarrollo </w:t>
      </w:r>
      <w:r w:rsidRPr="00EE1152">
        <w:rPr>
          <w:rFonts w:asciiTheme="majorHAnsi" w:hAnsiTheme="majorHAnsi"/>
          <w:sz w:val="20"/>
          <w:szCs w:val="20"/>
          <w:lang w:val="es-ES"/>
        </w:rPr>
        <w:t>progresivo</w:t>
      </w:r>
      <w:r w:rsidRPr="00EE1152">
        <w:rPr>
          <w:rFonts w:asciiTheme="majorHAnsi" w:hAnsiTheme="majorHAnsi" w:cs="Arial"/>
          <w:sz w:val="20"/>
          <w:szCs w:val="20"/>
          <w:shd w:val="clear" w:color="auto" w:fill="FFFFFF"/>
          <w:lang w:val="es-PE"/>
        </w:rPr>
        <w:t xml:space="preserve"> sino que son de carácter inmediato</w:t>
      </w:r>
      <w:r w:rsidRPr="00EE1152">
        <w:rPr>
          <w:rStyle w:val="FootnoteReference"/>
          <w:rFonts w:asciiTheme="majorHAnsi" w:hAnsiTheme="majorHAnsi" w:cs="Arial"/>
          <w:snapToGrid w:val="0"/>
          <w:sz w:val="20"/>
          <w:szCs w:val="20"/>
          <w:lang w:val="es-CO"/>
        </w:rPr>
        <w:footnoteReference w:id="170"/>
      </w:r>
      <w:r w:rsidRPr="00EE1152">
        <w:rPr>
          <w:rFonts w:asciiTheme="majorHAnsi" w:hAnsiTheme="majorHAnsi" w:cs="Arial"/>
          <w:sz w:val="20"/>
          <w:szCs w:val="20"/>
          <w:shd w:val="clear" w:color="auto" w:fill="FFFFFF"/>
          <w:lang w:val="es-PE"/>
        </w:rPr>
        <w:t>.</w:t>
      </w:r>
    </w:p>
    <w:p w14:paraId="18B84193" w14:textId="77777777" w:rsidR="00830126" w:rsidRPr="00B9450C" w:rsidRDefault="00830126" w:rsidP="00B9450C">
      <w:pPr>
        <w:tabs>
          <w:tab w:val="left" w:pos="450"/>
        </w:tabs>
        <w:jc w:val="both"/>
        <w:rPr>
          <w:rFonts w:asciiTheme="majorHAnsi" w:eastAsia="Batang" w:hAnsiTheme="majorHAnsi" w:cs="Arial"/>
          <w:color w:val="000000"/>
          <w:sz w:val="20"/>
          <w:bdr w:val="none" w:sz="0" w:space="0" w:color="auto"/>
          <w:lang w:val="es-ES" w:eastAsia="es-ES"/>
        </w:rPr>
      </w:pPr>
    </w:p>
    <w:p w14:paraId="096E4E40" w14:textId="77777777" w:rsidR="00367F5A" w:rsidRPr="00BF20FA" w:rsidRDefault="00367F5A"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eastAsia="Arial Unicode MS" w:hAnsiTheme="majorHAnsi" w:cs="Times New Roman"/>
          <w:color w:val="auto"/>
          <w:sz w:val="20"/>
          <w:szCs w:val="20"/>
          <w:lang w:val="es-CO" w:eastAsia="en-US"/>
        </w:rPr>
        <w:t xml:space="preserve">Como ya se señaló, </w:t>
      </w:r>
      <w:r w:rsidRPr="00BF20FA">
        <w:rPr>
          <w:rFonts w:asciiTheme="majorHAnsi" w:eastAsia="Arial Unicode MS" w:hAnsiTheme="majorHAnsi" w:cs="Times New Roman"/>
          <w:color w:val="auto"/>
          <w:sz w:val="20"/>
          <w:szCs w:val="20"/>
          <w:lang w:val="es-ES" w:eastAsia="en-US"/>
        </w:rPr>
        <w:t xml:space="preserve">la Corte ha establecido una relación entre el territorio y la supervivencia física y cultural de los pueblos indígenas, Así, </w:t>
      </w:r>
      <w:r w:rsidRPr="00BF20FA">
        <w:rPr>
          <w:rFonts w:asciiTheme="majorHAnsi" w:eastAsia="Arial Unicode MS" w:hAnsiTheme="majorHAnsi" w:cs="Times New Roman"/>
          <w:color w:val="auto"/>
          <w:sz w:val="20"/>
          <w:szCs w:val="20"/>
          <w:lang w:val="es-CL" w:eastAsia="en-US"/>
        </w:rPr>
        <w:t xml:space="preserve">conforme al artículo 21 de la Convención, los Estados deben respetar la especial relación que los miembros de los pueblos indígenas tienen con su territorio a modo de garantizar su supervivencia social, cultural y económica. </w:t>
      </w:r>
    </w:p>
    <w:p w14:paraId="67BC9915" w14:textId="77777777" w:rsidR="00367F5A" w:rsidRPr="00BF20FA" w:rsidRDefault="00367F5A" w:rsidP="00367F5A">
      <w:pPr>
        <w:pStyle w:val="ListParagraph"/>
        <w:tabs>
          <w:tab w:val="left" w:pos="450"/>
        </w:tabs>
        <w:ind w:left="0"/>
        <w:jc w:val="both"/>
        <w:rPr>
          <w:rFonts w:asciiTheme="majorHAnsi" w:eastAsia="Batang" w:hAnsiTheme="majorHAnsi" w:cs="Arial"/>
          <w:sz w:val="20"/>
          <w:bdr w:val="none" w:sz="0" w:space="0" w:color="auto"/>
          <w:lang w:val="es-ES"/>
        </w:rPr>
      </w:pPr>
    </w:p>
    <w:p w14:paraId="49499E6F" w14:textId="77777777" w:rsidR="000C7BE4" w:rsidRPr="00BF20FA" w:rsidRDefault="00EF718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eastAsia="Batang" w:hAnsiTheme="majorHAnsi" w:cs="Arial"/>
          <w:sz w:val="20"/>
          <w:bdr w:val="none" w:sz="0" w:space="0" w:color="auto"/>
          <w:lang w:val="es-ES"/>
        </w:rPr>
        <w:t xml:space="preserve">La Comisión </w:t>
      </w:r>
      <w:r w:rsidR="000C7BE4" w:rsidRPr="00BF20FA">
        <w:rPr>
          <w:rFonts w:asciiTheme="majorHAnsi" w:eastAsia="Batang" w:hAnsiTheme="majorHAnsi" w:cs="Arial"/>
          <w:sz w:val="20"/>
          <w:bdr w:val="none" w:sz="0" w:space="0" w:color="auto"/>
          <w:lang w:val="es-ES"/>
        </w:rPr>
        <w:t xml:space="preserve">observa que la Carta de la OEA </w:t>
      </w:r>
      <w:r w:rsidR="004364FF" w:rsidRPr="00BF20FA">
        <w:rPr>
          <w:rFonts w:asciiTheme="majorHAnsi" w:eastAsia="Batang" w:hAnsiTheme="majorHAnsi" w:cs="Arial"/>
          <w:sz w:val="20"/>
          <w:bdr w:val="none" w:sz="0" w:space="0" w:color="auto"/>
          <w:lang w:val="es-ES"/>
        </w:rPr>
        <w:t xml:space="preserve">hace referencia a los derechos culturales. Así, la Carta establece que los Estados deben dar prioridad al estímulo de la cultura hacia el mejoramiento integral de la persona humana como fundamento de la justicia social y la democracia (artículo 47), seguidamente reconoce el compromiso individual y solidario para preservar el patrimonio cultural de los pueblos americanos (artículo </w:t>
      </w:r>
      <w:r w:rsidR="004364FF" w:rsidRPr="00BF20FA">
        <w:rPr>
          <w:rFonts w:asciiTheme="majorHAnsi" w:eastAsia="Batang" w:hAnsiTheme="majorHAnsi" w:cs="Arial"/>
          <w:sz w:val="20"/>
          <w:bdr w:val="none" w:sz="0" w:space="0" w:color="auto"/>
          <w:lang w:val="es-ES"/>
        </w:rPr>
        <w:lastRenderedPageBreak/>
        <w:t>48); y también consagra el derecho de la participación de sectores excluidos y discriminados en la vida cultural del país (artículo 45.f). Para efectos de los pueblos indígenas en general, la CIDH entiende estas disposiciones como el derecho a practicar y, de ser el caso, difundir su propia cultura; y, como manifestación del deber de respeto que sus prácticas culturales y cosmovisión sean debidamente protegidas</w:t>
      </w:r>
      <w:r w:rsidR="00A22B57" w:rsidRPr="00BF20FA">
        <w:rPr>
          <w:rFonts w:asciiTheme="majorHAnsi" w:eastAsia="Batang" w:hAnsiTheme="majorHAnsi" w:cs="Arial"/>
          <w:sz w:val="20"/>
          <w:bdr w:val="none" w:sz="0" w:space="0" w:color="auto"/>
          <w:lang w:val="es-ES"/>
        </w:rPr>
        <w:t>.</w:t>
      </w:r>
      <w:r w:rsidR="004364FF" w:rsidRPr="00BF20FA">
        <w:rPr>
          <w:rFonts w:asciiTheme="majorHAnsi" w:eastAsia="Batang" w:hAnsiTheme="majorHAnsi" w:cs="Arial"/>
          <w:sz w:val="20"/>
          <w:bdr w:val="none" w:sz="0" w:space="0" w:color="auto"/>
          <w:lang w:val="es-ES"/>
        </w:rPr>
        <w:t xml:space="preserve">  Así, por ejemplo, el </w:t>
      </w:r>
      <w:r w:rsidR="004364FF" w:rsidRPr="000A5F88">
        <w:rPr>
          <w:rFonts w:asciiTheme="majorHAnsi" w:hAnsiTheme="majorHAnsi"/>
          <w:sz w:val="20"/>
          <w:szCs w:val="20"/>
          <w:lang w:val="es-AR"/>
        </w:rPr>
        <w:t>Comité</w:t>
      </w:r>
      <w:r w:rsidR="000C7BE4" w:rsidRPr="00BF20FA">
        <w:rPr>
          <w:rFonts w:asciiTheme="majorHAnsi" w:eastAsia="Batang" w:hAnsiTheme="majorHAnsi" w:cs="Arial"/>
          <w:sz w:val="20"/>
          <w:bdr w:val="none" w:sz="0" w:space="0" w:color="auto"/>
          <w:lang w:val="es-ES"/>
        </w:rPr>
        <w:t xml:space="preserve"> DESC ha subrayado el deber de “</w:t>
      </w:r>
      <w:r w:rsidR="004364FF" w:rsidRPr="00BF20FA">
        <w:rPr>
          <w:rFonts w:asciiTheme="majorHAnsi" w:eastAsia="Batang" w:hAnsiTheme="majorHAnsi" w:cs="Arial"/>
          <w:sz w:val="20"/>
          <w:bdr w:val="none" w:sz="0" w:space="0" w:color="auto"/>
          <w:lang w:val="es-ES"/>
        </w:rPr>
        <w:t>respetar y proteger los valores culturales y los derechos de los pueblos indígenas asociados a sus tierras ancestrales y a su relación con la naturaleza, a fin de evitar la degradación de su peculiar estilo de vida, incluidos los medios de subsistencia, la pérdida de recursos naturales y, en última i</w:t>
      </w:r>
      <w:r w:rsidR="000C7BE4" w:rsidRPr="00BF20FA">
        <w:rPr>
          <w:rFonts w:asciiTheme="majorHAnsi" w:eastAsia="Batang" w:hAnsiTheme="majorHAnsi" w:cs="Arial"/>
          <w:sz w:val="20"/>
          <w:bdr w:val="none" w:sz="0" w:space="0" w:color="auto"/>
          <w:lang w:val="es-ES"/>
        </w:rPr>
        <w:t>nstancia, su identidad cultural”</w:t>
      </w:r>
      <w:r w:rsidR="004364FF" w:rsidRPr="00BF20FA">
        <w:rPr>
          <w:rFonts w:asciiTheme="majorHAnsi" w:eastAsia="Batang" w:hAnsiTheme="majorHAnsi" w:cs="Arial"/>
          <w:sz w:val="20"/>
          <w:bdr w:val="none" w:sz="0" w:space="0" w:color="auto"/>
          <w:vertAlign w:val="superscript"/>
          <w:lang w:val="es-ES"/>
        </w:rPr>
        <w:footnoteReference w:id="171"/>
      </w:r>
      <w:r w:rsidR="004364FF" w:rsidRPr="00BF20FA">
        <w:rPr>
          <w:rFonts w:asciiTheme="majorHAnsi" w:eastAsia="Batang" w:hAnsiTheme="majorHAnsi" w:cs="Arial"/>
          <w:sz w:val="20"/>
          <w:bdr w:val="none" w:sz="0" w:space="0" w:color="auto"/>
          <w:lang w:val="es-ES"/>
        </w:rPr>
        <w:t>, que pueden estar asociados, entre otras cosas, con los alimentos, la vivienda, el uso del agua, los mecanismos de salud y educación, etc. En particular ha destacado que las medidas adoptadas por el Estado para respetar y garantizar la participación en la vida cultural deben ser idóneos, es decir pertinentes a un contexto o modalidad cultural particular, de manera que se respete la cultura y los derechos culturales de las personas y comunidades</w:t>
      </w:r>
      <w:r w:rsidR="004364FF" w:rsidRPr="00BF20FA">
        <w:rPr>
          <w:rFonts w:asciiTheme="majorHAnsi" w:eastAsia="Batang" w:hAnsiTheme="majorHAnsi" w:cs="Arial"/>
          <w:sz w:val="20"/>
          <w:bdr w:val="none" w:sz="0" w:space="0" w:color="auto"/>
          <w:vertAlign w:val="superscript"/>
          <w:lang w:val="es-ES"/>
        </w:rPr>
        <w:footnoteReference w:id="172"/>
      </w:r>
      <w:r w:rsidR="004364FF" w:rsidRPr="00BF20FA">
        <w:rPr>
          <w:rFonts w:asciiTheme="majorHAnsi" w:eastAsia="Batang" w:hAnsiTheme="majorHAnsi" w:cs="Arial"/>
          <w:sz w:val="20"/>
          <w:bdr w:val="none" w:sz="0" w:space="0" w:color="auto"/>
          <w:lang w:val="es-ES"/>
        </w:rPr>
        <w:t xml:space="preserve">. </w:t>
      </w:r>
    </w:p>
    <w:p w14:paraId="284FE011" w14:textId="77777777" w:rsidR="000C7BE4" w:rsidRPr="00BF20FA" w:rsidRDefault="000C7BE4" w:rsidP="000C7BE4">
      <w:pPr>
        <w:pStyle w:val="ListParagraph"/>
        <w:tabs>
          <w:tab w:val="left" w:pos="450"/>
        </w:tabs>
        <w:ind w:left="0"/>
        <w:jc w:val="both"/>
        <w:rPr>
          <w:rFonts w:asciiTheme="majorHAnsi" w:eastAsia="Batang" w:hAnsiTheme="majorHAnsi" w:cs="Arial"/>
          <w:sz w:val="20"/>
          <w:bdr w:val="none" w:sz="0" w:space="0" w:color="auto"/>
          <w:lang w:val="es-ES"/>
        </w:rPr>
      </w:pPr>
    </w:p>
    <w:p w14:paraId="1B53BA8E" w14:textId="77777777" w:rsidR="000C7BE4" w:rsidRPr="00724067" w:rsidRDefault="004364F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eastAsia="Batang" w:hAnsiTheme="majorHAnsi" w:cs="Arial"/>
          <w:sz w:val="20"/>
          <w:bdr w:val="none" w:sz="0" w:space="0" w:color="auto"/>
          <w:lang w:val="es-ES"/>
        </w:rPr>
        <w:t>De la misma forma, la CIDH toma en cuenta que dentro de las obligaciones inmediatas de los Estados sobre dicho derecho se encuentra la eliminación de obstáculos que impid</w:t>
      </w:r>
      <w:r w:rsidR="001B3280" w:rsidRPr="00BF20FA">
        <w:rPr>
          <w:rFonts w:asciiTheme="majorHAnsi" w:eastAsia="Batang" w:hAnsiTheme="majorHAnsi" w:cs="Arial"/>
          <w:sz w:val="20"/>
          <w:bdr w:val="none" w:sz="0" w:space="0" w:color="auto"/>
          <w:lang w:val="es-ES"/>
        </w:rPr>
        <w:t>e</w:t>
      </w:r>
      <w:r w:rsidRPr="00BF20FA">
        <w:rPr>
          <w:rFonts w:asciiTheme="majorHAnsi" w:eastAsia="Batang" w:hAnsiTheme="majorHAnsi" w:cs="Arial"/>
          <w:sz w:val="20"/>
          <w:bdr w:val="none" w:sz="0" w:space="0" w:color="auto"/>
          <w:lang w:val="es-ES"/>
        </w:rPr>
        <w:t xml:space="preserve">n o limitan el acceso de la persona o comunidad a su propia cultura, la posibilidad de realizar sus prácticas culturales y llevar su forma de vida, incluyendo la prohibición de discriminación </w:t>
      </w:r>
      <w:r w:rsidRPr="00BF20FA">
        <w:rPr>
          <w:rFonts w:asciiTheme="majorHAnsi" w:hAnsiTheme="majorHAnsi"/>
          <w:sz w:val="20"/>
          <w:szCs w:val="20"/>
          <w:lang w:val="es-ES"/>
        </w:rPr>
        <w:t>basada en la identidad cultural, de exclusión o de asimilación forzada</w:t>
      </w:r>
      <w:r w:rsidRPr="00BF20FA">
        <w:rPr>
          <w:rFonts w:asciiTheme="majorHAnsi" w:hAnsiTheme="majorHAnsi"/>
          <w:sz w:val="20"/>
          <w:szCs w:val="20"/>
          <w:vertAlign w:val="superscript"/>
          <w:lang w:val="es-ES"/>
        </w:rPr>
        <w:footnoteReference w:id="173"/>
      </w:r>
      <w:r w:rsidRPr="00BF20FA">
        <w:rPr>
          <w:rFonts w:asciiTheme="majorHAnsi" w:hAnsiTheme="majorHAnsi"/>
          <w:sz w:val="20"/>
          <w:szCs w:val="20"/>
          <w:lang w:val="es-ES"/>
        </w:rPr>
        <w:t>.</w:t>
      </w:r>
      <w:r w:rsidRPr="00BF20FA">
        <w:rPr>
          <w:rFonts w:asciiTheme="majorHAnsi" w:eastAsia="Batang" w:hAnsiTheme="majorHAnsi" w:cs="Arial"/>
          <w:sz w:val="20"/>
          <w:bdr w:val="none" w:sz="0" w:space="0" w:color="auto"/>
          <w:lang w:val="es-ES"/>
        </w:rPr>
        <w:t xml:space="preserve"> </w:t>
      </w:r>
      <w:r w:rsidRPr="00BF20FA">
        <w:rPr>
          <w:rFonts w:asciiTheme="majorHAnsi" w:eastAsia="Batang" w:hAnsiTheme="majorHAnsi" w:cs="Arial"/>
          <w:sz w:val="20"/>
          <w:szCs w:val="20"/>
          <w:bdr w:val="none" w:sz="0" w:space="0" w:color="auto"/>
          <w:lang w:val="es-ES"/>
        </w:rPr>
        <w:t xml:space="preserve">En particular la Comisión resalta que “[l]a protección de la diversidad cultural es un imperativo ético inseparable del respeto de la dignidad humana. Entraña un compromiso con los derechos humanos y las libertades </w:t>
      </w:r>
      <w:r w:rsidRPr="000A5F88">
        <w:rPr>
          <w:rFonts w:asciiTheme="majorHAnsi" w:hAnsiTheme="majorHAnsi"/>
          <w:sz w:val="20"/>
          <w:szCs w:val="20"/>
          <w:lang w:val="es-AR"/>
        </w:rPr>
        <w:t>fundamentales</w:t>
      </w:r>
      <w:r w:rsidRPr="00BF20FA">
        <w:rPr>
          <w:rFonts w:asciiTheme="majorHAnsi" w:eastAsia="Batang" w:hAnsiTheme="majorHAnsi" w:cs="Arial"/>
          <w:sz w:val="20"/>
          <w:szCs w:val="20"/>
          <w:bdr w:val="none" w:sz="0" w:space="0" w:color="auto"/>
          <w:lang w:val="es-ES"/>
        </w:rPr>
        <w:t xml:space="preserve"> y requiere la plena realización de los derechos culturales, incluido el de participar en la vida cultur</w:t>
      </w:r>
      <w:r w:rsidR="000C7BE4" w:rsidRPr="00BF20FA">
        <w:rPr>
          <w:rFonts w:asciiTheme="majorHAnsi" w:eastAsia="Batang" w:hAnsiTheme="majorHAnsi" w:cs="Arial"/>
          <w:sz w:val="20"/>
          <w:szCs w:val="20"/>
          <w:bdr w:val="none" w:sz="0" w:space="0" w:color="auto"/>
          <w:lang w:val="es-ES"/>
        </w:rPr>
        <w:t>al”</w:t>
      </w:r>
      <w:r w:rsidRPr="00BF20FA">
        <w:rPr>
          <w:rFonts w:asciiTheme="majorHAnsi" w:eastAsia="Batang" w:hAnsiTheme="majorHAnsi" w:cs="Arial"/>
          <w:sz w:val="20"/>
          <w:szCs w:val="20"/>
          <w:bdr w:val="none" w:sz="0" w:space="0" w:color="auto"/>
          <w:vertAlign w:val="superscript"/>
          <w:lang w:val="es-ES"/>
        </w:rPr>
        <w:footnoteReference w:id="174"/>
      </w:r>
      <w:r w:rsidRPr="00BF20FA">
        <w:rPr>
          <w:rFonts w:asciiTheme="majorHAnsi" w:eastAsia="Batang" w:hAnsiTheme="majorHAnsi" w:cs="Arial"/>
          <w:sz w:val="20"/>
          <w:szCs w:val="20"/>
          <w:bdr w:val="none" w:sz="0" w:space="0" w:color="auto"/>
          <w:lang w:val="es-ES"/>
        </w:rPr>
        <w:t>, por lo que el Estado deberá reforzar sus acciones de protección al respecto en los contextos de los pueblos indígenas, a la luz de la delicada relación y amenazas que se pueden presentar entre su cultura y  la sociedad mayoritaria.</w:t>
      </w:r>
    </w:p>
    <w:p w14:paraId="1C461093" w14:textId="77777777" w:rsidR="00724067" w:rsidRPr="00B9450C" w:rsidRDefault="00724067" w:rsidP="00B9450C">
      <w:pPr>
        <w:pStyle w:val="ListParagraph"/>
        <w:rPr>
          <w:rFonts w:asciiTheme="majorHAnsi" w:eastAsia="Batang" w:hAnsiTheme="majorHAnsi" w:cs="Arial"/>
          <w:sz w:val="20"/>
          <w:bdr w:val="none" w:sz="0" w:space="0" w:color="auto"/>
          <w:lang w:val="es-ES"/>
        </w:rPr>
      </w:pPr>
    </w:p>
    <w:p w14:paraId="355893D6" w14:textId="4C585039" w:rsidR="00727C6E" w:rsidRPr="00087845" w:rsidRDefault="00727C6E"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szCs w:val="20"/>
          <w:bdr w:val="none" w:sz="0" w:space="0" w:color="auto"/>
          <w:lang w:val="es-ES"/>
        </w:rPr>
      </w:pPr>
      <w:r w:rsidRPr="00EE1152">
        <w:rPr>
          <w:sz w:val="20"/>
          <w:szCs w:val="20"/>
          <w:lang w:val="es-PE"/>
        </w:rPr>
        <w:t xml:space="preserve">En ese marco, el derecho de los pueblos indígenas a ser consultados sobre las decisiones que puedan afectarlos se relaciona también con sus derechos culturales, en la medida en que la cultura puede resultar afectada por tales decisiones. Así, la CIDH ha reconocido que los Estados deben respetar, proteger y promover las tradiciones, instituciones y costumbres de los pueblos indígenas y tribales, por ser éstas un componente intrínseco de la </w:t>
      </w:r>
      <w:r w:rsidRPr="000A5F88">
        <w:rPr>
          <w:rFonts w:asciiTheme="majorHAnsi" w:hAnsiTheme="majorHAnsi"/>
          <w:sz w:val="20"/>
          <w:szCs w:val="20"/>
          <w:lang w:val="es-AR"/>
        </w:rPr>
        <w:t>forma</w:t>
      </w:r>
      <w:r w:rsidRPr="00EE1152">
        <w:rPr>
          <w:sz w:val="20"/>
          <w:szCs w:val="20"/>
          <w:lang w:val="es-PE"/>
        </w:rPr>
        <w:t xml:space="preserve"> de vida de estos pueblos</w:t>
      </w:r>
      <w:r w:rsidRPr="00EE1152">
        <w:rPr>
          <w:rStyle w:val="FootnoteReference"/>
          <w:sz w:val="20"/>
          <w:szCs w:val="20"/>
          <w:lang w:val="es-PE"/>
        </w:rPr>
        <w:footnoteReference w:id="175"/>
      </w:r>
      <w:r w:rsidRPr="00EE1152">
        <w:rPr>
          <w:sz w:val="20"/>
          <w:szCs w:val="20"/>
          <w:lang w:val="es-PE"/>
        </w:rPr>
        <w:t xml:space="preserve">. De allí que la obligación estatal de desarrollar procesos de consulta en </w:t>
      </w:r>
      <w:r>
        <w:rPr>
          <w:sz w:val="20"/>
          <w:szCs w:val="20"/>
          <w:lang w:val="es-PE"/>
        </w:rPr>
        <w:t>el marco de actividades empresariales que pueden generar efectos sobre sus derechos</w:t>
      </w:r>
      <w:r w:rsidRPr="00EE1152">
        <w:rPr>
          <w:sz w:val="20"/>
          <w:szCs w:val="20"/>
          <w:lang w:val="es-PE"/>
        </w:rPr>
        <w:t xml:space="preserve"> no solo se vincula directamente a su derecho de propiedad colectiva sino a la obligación estatal de adoptar medidas especiales para proteger sus derechos culturales, en tanto prácticas y formas de vida relacionadas intrínsecamente a su territorio y uso de recursos naturales</w:t>
      </w:r>
      <w:r>
        <w:rPr>
          <w:rStyle w:val="FootnoteReference"/>
          <w:sz w:val="20"/>
          <w:szCs w:val="20"/>
          <w:lang w:val="es-PE"/>
        </w:rPr>
        <w:footnoteReference w:id="176"/>
      </w:r>
      <w:r w:rsidRPr="00EE1152">
        <w:rPr>
          <w:sz w:val="20"/>
          <w:szCs w:val="20"/>
          <w:lang w:val="es-PE"/>
        </w:rPr>
        <w:t>.</w:t>
      </w:r>
    </w:p>
    <w:p w14:paraId="730A7D3C" w14:textId="62BBE9E4" w:rsidR="00087845" w:rsidRPr="005D664B" w:rsidRDefault="00087845" w:rsidP="000878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Theme="majorHAnsi" w:eastAsia="Batang" w:hAnsiTheme="majorHAnsi" w:cs="Arial"/>
          <w:sz w:val="20"/>
          <w:szCs w:val="20"/>
          <w:bdr w:val="none" w:sz="0" w:space="0" w:color="auto"/>
          <w:lang w:val="es-ES"/>
        </w:rPr>
      </w:pPr>
    </w:p>
    <w:p w14:paraId="0CB2B0BF" w14:textId="77777777" w:rsidR="002D5D87" w:rsidRPr="00BF20FA" w:rsidRDefault="004364F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hAnsiTheme="majorHAnsi"/>
          <w:sz w:val="20"/>
          <w:lang w:val="es-ES"/>
        </w:rPr>
        <w:t>En ese marco</w:t>
      </w:r>
      <w:r w:rsidRPr="00BF20FA">
        <w:rPr>
          <w:rFonts w:asciiTheme="majorHAnsi" w:hAnsiTheme="majorHAnsi"/>
          <w:sz w:val="20"/>
          <w:szCs w:val="20"/>
          <w:lang w:val="es-PE"/>
        </w:rPr>
        <w:t xml:space="preserve">, la CIDH recuerda que también indicó que a la luz del deber de garantía previsto en el artículo 1.1 de la CADH y la interpretación que sobre el mismo han hecho los órganos del Sistema Interamericano, los Estados partes deben </w:t>
      </w:r>
      <w:r w:rsidRPr="00BF20FA">
        <w:rPr>
          <w:rFonts w:asciiTheme="majorHAnsi" w:eastAsia="Batang" w:hAnsiTheme="majorHAnsi"/>
          <w:sz w:val="20"/>
          <w:szCs w:val="20"/>
          <w:lang w:val="es-UY"/>
        </w:rPr>
        <w:t>prevenir</w:t>
      </w:r>
      <w:r w:rsidRPr="00BF20FA">
        <w:rPr>
          <w:rFonts w:asciiTheme="majorHAnsi" w:hAnsiTheme="majorHAnsi"/>
          <w:sz w:val="20"/>
          <w:szCs w:val="20"/>
          <w:lang w:val="es-PE"/>
        </w:rPr>
        <w:t xml:space="preserve"> razonablemente la conculcación de los derechos contenidos en el artículo 26 en el contexto de las actividades empresariales. Lo anterior incluye adoptar un marco jurídico que permita asegurar la protección de dichos derechos y que proporcione acceso efectivo a recursos para las víctimas de tales violaciones. Entre las acciones que aseguren un marco jurídico adecuado, el Estado deberá exigir que las empresas bajo su jurisdicción ejerzan la diligencia debida en materia de derechos humanos a fin de identificar, prevenir y mitigar los riesgos de vulneración de los derechos en el marco de sus actividades</w:t>
      </w:r>
      <w:r w:rsidRPr="00BF20FA">
        <w:rPr>
          <w:sz w:val="20"/>
          <w:szCs w:val="20"/>
          <w:vertAlign w:val="superscript"/>
          <w:lang w:val="es-PE"/>
        </w:rPr>
        <w:footnoteReference w:id="177"/>
      </w:r>
      <w:r w:rsidRPr="00BF20FA">
        <w:rPr>
          <w:rFonts w:asciiTheme="majorHAnsi" w:hAnsiTheme="majorHAnsi"/>
          <w:sz w:val="20"/>
          <w:szCs w:val="20"/>
          <w:lang w:val="es-PE"/>
        </w:rPr>
        <w:t xml:space="preserve">. </w:t>
      </w:r>
    </w:p>
    <w:p w14:paraId="3E334AA8" w14:textId="77777777" w:rsidR="002D5D87" w:rsidRPr="00A538F3" w:rsidRDefault="002D5D87" w:rsidP="002D5D87">
      <w:pPr>
        <w:pStyle w:val="ListParagraph"/>
        <w:rPr>
          <w:rFonts w:asciiTheme="majorHAnsi" w:eastAsia="Batang" w:hAnsiTheme="majorHAnsi" w:cs="Arial"/>
          <w:sz w:val="18"/>
          <w:szCs w:val="18"/>
          <w:bdr w:val="none" w:sz="0" w:space="0" w:color="auto"/>
          <w:lang w:val="es-ES"/>
        </w:rPr>
      </w:pPr>
    </w:p>
    <w:p w14:paraId="50C3DC82" w14:textId="71543280" w:rsidR="002D5D87" w:rsidRPr="00BF20FA" w:rsidRDefault="00E0218D"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eastAsia="Batang" w:hAnsiTheme="majorHAnsi" w:cs="Arial"/>
          <w:sz w:val="20"/>
          <w:bdr w:val="none" w:sz="0" w:space="0" w:color="auto"/>
          <w:lang w:val="es-ES"/>
        </w:rPr>
        <w:t>La C</w:t>
      </w:r>
      <w:r w:rsidR="001B3280" w:rsidRPr="00BF20FA">
        <w:rPr>
          <w:rFonts w:asciiTheme="majorHAnsi" w:eastAsia="Batang" w:hAnsiTheme="majorHAnsi" w:cs="Arial"/>
          <w:sz w:val="20"/>
          <w:bdr w:val="none" w:sz="0" w:space="0" w:color="auto"/>
          <w:lang w:val="es-ES"/>
        </w:rPr>
        <w:t xml:space="preserve">omisión </w:t>
      </w:r>
      <w:r w:rsidR="00B8463C" w:rsidRPr="00BF20FA">
        <w:rPr>
          <w:rFonts w:asciiTheme="majorHAnsi" w:eastAsia="Batang" w:hAnsiTheme="majorHAnsi" w:cs="Arial"/>
          <w:sz w:val="20"/>
          <w:bdr w:val="none" w:sz="0" w:space="0" w:color="auto"/>
          <w:lang w:val="es-ES"/>
        </w:rPr>
        <w:t xml:space="preserve">recuerda </w:t>
      </w:r>
      <w:r w:rsidR="00494273" w:rsidRPr="00BF20FA">
        <w:rPr>
          <w:rFonts w:asciiTheme="majorHAnsi" w:eastAsia="Batang" w:hAnsiTheme="majorHAnsi" w:cs="Arial"/>
          <w:sz w:val="20"/>
          <w:bdr w:val="none" w:sz="0" w:space="0" w:color="auto"/>
          <w:lang w:val="es-ES"/>
        </w:rPr>
        <w:t xml:space="preserve">que </w:t>
      </w:r>
      <w:r w:rsidR="002D5D87" w:rsidRPr="00BF20FA">
        <w:rPr>
          <w:rFonts w:asciiTheme="majorHAnsi" w:eastAsia="Batang" w:hAnsiTheme="majorHAnsi" w:cs="Arial"/>
          <w:sz w:val="20"/>
          <w:bdr w:val="none" w:sz="0" w:space="0" w:color="auto"/>
          <w:lang w:val="es-ES"/>
        </w:rPr>
        <w:t xml:space="preserve">del especial vínculo con el territorio que tiene el Pueblo U´wa, así como </w:t>
      </w:r>
      <w:r w:rsidR="00B8463C" w:rsidRPr="00BF20FA">
        <w:rPr>
          <w:rFonts w:asciiTheme="majorHAnsi" w:eastAsia="Batang" w:hAnsiTheme="majorHAnsi" w:cs="Arial"/>
          <w:sz w:val="20"/>
          <w:bdr w:val="none" w:sz="0" w:space="0" w:color="auto"/>
          <w:lang w:val="es-ES"/>
        </w:rPr>
        <w:t xml:space="preserve">que </w:t>
      </w:r>
      <w:r w:rsidR="002D5D87" w:rsidRPr="00BF20FA">
        <w:rPr>
          <w:rFonts w:asciiTheme="majorHAnsi" w:eastAsia="Batang" w:hAnsiTheme="majorHAnsi" w:cs="Arial"/>
          <w:sz w:val="20"/>
          <w:bdr w:val="none" w:sz="0" w:space="0" w:color="auto"/>
          <w:lang w:val="es-ES"/>
        </w:rPr>
        <w:t xml:space="preserve">su </w:t>
      </w:r>
      <w:r w:rsidR="00B8463C" w:rsidRPr="00BF20FA">
        <w:rPr>
          <w:rFonts w:asciiTheme="majorHAnsi" w:eastAsia="Batang" w:hAnsiTheme="majorHAnsi" w:cs="Arial"/>
          <w:sz w:val="20"/>
          <w:bdr w:val="none" w:sz="0" w:space="0" w:color="auto"/>
          <w:lang w:val="es-ES"/>
        </w:rPr>
        <w:t>cosmovisión se fundamenta en el equilibro entre el hombre, el medio ambiente y su universo c</w:t>
      </w:r>
      <w:r w:rsidR="002D5D87" w:rsidRPr="00BF20FA">
        <w:rPr>
          <w:rFonts w:asciiTheme="majorHAnsi" w:eastAsia="Batang" w:hAnsiTheme="majorHAnsi" w:cs="Arial"/>
          <w:sz w:val="20"/>
          <w:bdr w:val="none" w:sz="0" w:space="0" w:color="auto"/>
          <w:lang w:val="es-ES"/>
        </w:rPr>
        <w:t>ósmico. L</w:t>
      </w:r>
      <w:r w:rsidR="00B8463C" w:rsidRPr="00BF20FA">
        <w:rPr>
          <w:rFonts w:asciiTheme="majorHAnsi" w:eastAsia="Batang" w:hAnsiTheme="majorHAnsi" w:cs="Arial"/>
          <w:sz w:val="20"/>
          <w:bdr w:val="none" w:sz="0" w:space="0" w:color="auto"/>
          <w:lang w:val="es-ES"/>
        </w:rPr>
        <w:t xml:space="preserve">a </w:t>
      </w:r>
      <w:r w:rsidR="002D5D87" w:rsidRPr="00BF20FA">
        <w:rPr>
          <w:rFonts w:asciiTheme="majorHAnsi" w:eastAsia="Batang" w:hAnsiTheme="majorHAnsi" w:cs="Arial"/>
          <w:sz w:val="20"/>
          <w:bdr w:val="none" w:sz="0" w:space="0" w:color="auto"/>
          <w:lang w:val="es-ES"/>
        </w:rPr>
        <w:t>C</w:t>
      </w:r>
      <w:r w:rsidR="00B8463C" w:rsidRPr="00BF20FA">
        <w:rPr>
          <w:rFonts w:asciiTheme="majorHAnsi" w:eastAsia="Batang" w:hAnsiTheme="majorHAnsi" w:cs="Arial"/>
          <w:sz w:val="20"/>
          <w:bdr w:val="none" w:sz="0" w:space="0" w:color="auto"/>
          <w:lang w:val="es-ES"/>
        </w:rPr>
        <w:t xml:space="preserve">omisión </w:t>
      </w:r>
      <w:r w:rsidRPr="00BF20FA">
        <w:rPr>
          <w:rFonts w:asciiTheme="majorHAnsi" w:eastAsia="Batang" w:hAnsiTheme="majorHAnsi" w:cs="Arial"/>
          <w:sz w:val="20"/>
          <w:bdr w:val="none" w:sz="0" w:space="0" w:color="auto"/>
          <w:lang w:val="es-ES"/>
        </w:rPr>
        <w:t xml:space="preserve">encuentra que el ingreso </w:t>
      </w:r>
      <w:r w:rsidR="00453737" w:rsidRPr="00BF20FA">
        <w:rPr>
          <w:rFonts w:asciiTheme="majorHAnsi" w:eastAsia="Batang" w:hAnsiTheme="majorHAnsi" w:cs="Arial"/>
          <w:sz w:val="20"/>
          <w:bdr w:val="none" w:sz="0" w:space="0" w:color="auto"/>
          <w:lang w:val="es-ES"/>
        </w:rPr>
        <w:t xml:space="preserve">de las empresas </w:t>
      </w:r>
      <w:r w:rsidRPr="00BF20FA">
        <w:rPr>
          <w:rFonts w:asciiTheme="majorHAnsi" w:eastAsia="Batang" w:hAnsiTheme="majorHAnsi" w:cs="Arial"/>
          <w:sz w:val="20"/>
          <w:bdr w:val="none" w:sz="0" w:space="0" w:color="auto"/>
          <w:lang w:val="es-ES"/>
        </w:rPr>
        <w:t>al territorio de</w:t>
      </w:r>
      <w:r w:rsidR="001B3280" w:rsidRPr="00BF20FA">
        <w:rPr>
          <w:rFonts w:asciiTheme="majorHAnsi" w:eastAsia="Batang" w:hAnsiTheme="majorHAnsi" w:cs="Arial"/>
          <w:sz w:val="20"/>
          <w:bdr w:val="none" w:sz="0" w:space="0" w:color="auto"/>
          <w:lang w:val="es-ES"/>
        </w:rPr>
        <w:t>l Pueblo U´wa</w:t>
      </w:r>
      <w:r w:rsidR="002D5D87" w:rsidRPr="00BF20FA">
        <w:rPr>
          <w:rFonts w:asciiTheme="majorHAnsi" w:eastAsia="Batang" w:hAnsiTheme="majorHAnsi" w:cs="Arial"/>
          <w:sz w:val="20"/>
          <w:bdr w:val="none" w:sz="0" w:space="0" w:color="auto"/>
          <w:lang w:val="es-ES"/>
        </w:rPr>
        <w:t xml:space="preserve"> y </w:t>
      </w:r>
      <w:r w:rsidR="00F457FF" w:rsidRPr="00BF20FA">
        <w:rPr>
          <w:rFonts w:asciiTheme="majorHAnsi" w:eastAsia="Batang" w:hAnsiTheme="majorHAnsi" w:cs="Arial"/>
          <w:sz w:val="20"/>
          <w:bdr w:val="none" w:sz="0" w:space="0" w:color="auto"/>
          <w:lang w:val="es-ES"/>
        </w:rPr>
        <w:t xml:space="preserve">el que su territorio no haya sido del todo saneado y se </w:t>
      </w:r>
      <w:r w:rsidR="002D5D87" w:rsidRPr="000A5F88">
        <w:rPr>
          <w:rFonts w:asciiTheme="majorHAnsi" w:hAnsiTheme="majorHAnsi"/>
          <w:sz w:val="20"/>
          <w:szCs w:val="20"/>
          <w:lang w:val="es-AR"/>
        </w:rPr>
        <w:t>encuentren</w:t>
      </w:r>
      <w:r w:rsidR="002D5D87" w:rsidRPr="00BF20FA">
        <w:rPr>
          <w:rFonts w:asciiTheme="majorHAnsi" w:eastAsia="Batang" w:hAnsiTheme="majorHAnsi" w:cs="Arial"/>
          <w:sz w:val="20"/>
          <w:bdr w:val="none" w:sz="0" w:space="0" w:color="auto"/>
          <w:lang w:val="es-ES"/>
        </w:rPr>
        <w:t xml:space="preserve"> colonos en el mismo, </w:t>
      </w:r>
      <w:r w:rsidR="00F457FF" w:rsidRPr="00BF20FA">
        <w:rPr>
          <w:rFonts w:asciiTheme="majorHAnsi" w:eastAsia="Batang" w:hAnsiTheme="majorHAnsi" w:cs="Arial"/>
          <w:sz w:val="20"/>
          <w:bdr w:val="none" w:sz="0" w:space="0" w:color="auto"/>
          <w:lang w:val="es-ES"/>
        </w:rPr>
        <w:t xml:space="preserve">les impide tener un libre acceso a sus tierras y </w:t>
      </w:r>
      <w:r w:rsidR="00F457FF" w:rsidRPr="00BF20FA">
        <w:rPr>
          <w:rFonts w:asciiTheme="majorHAnsi" w:eastAsia="Batang" w:hAnsiTheme="majorHAnsi" w:cs="Arial"/>
          <w:sz w:val="20"/>
          <w:bdr w:val="none" w:sz="0" w:space="0" w:color="auto"/>
          <w:lang w:val="es-ES"/>
        </w:rPr>
        <w:lastRenderedPageBreak/>
        <w:t>lugares sagrados, afectando así sus tradiciones</w:t>
      </w:r>
      <w:r w:rsidR="00B8463C" w:rsidRPr="00BF20FA">
        <w:rPr>
          <w:rFonts w:asciiTheme="majorHAnsi" w:eastAsia="Batang" w:hAnsiTheme="majorHAnsi" w:cs="Arial"/>
          <w:sz w:val="20"/>
          <w:bdr w:val="none" w:sz="0" w:space="0" w:color="auto"/>
          <w:lang w:val="es-ES"/>
        </w:rPr>
        <w:t xml:space="preserve"> y </w:t>
      </w:r>
      <w:r w:rsidRPr="00BF20FA">
        <w:rPr>
          <w:rFonts w:asciiTheme="majorHAnsi" w:eastAsia="Batang" w:hAnsiTheme="majorHAnsi" w:cs="Arial"/>
          <w:sz w:val="20"/>
          <w:bdr w:val="none" w:sz="0" w:space="0" w:color="auto"/>
          <w:lang w:val="es-ES"/>
        </w:rPr>
        <w:t xml:space="preserve">su </w:t>
      </w:r>
      <w:r w:rsidR="002D5D87" w:rsidRPr="00BF20FA">
        <w:rPr>
          <w:rFonts w:asciiTheme="majorHAnsi" w:eastAsia="Batang" w:hAnsiTheme="majorHAnsi" w:cs="Arial"/>
          <w:sz w:val="20"/>
          <w:bdr w:val="none" w:sz="0" w:space="0" w:color="auto"/>
          <w:lang w:val="es-ES"/>
        </w:rPr>
        <w:t xml:space="preserve">pervivencia </w:t>
      </w:r>
      <w:r w:rsidR="00B8463C" w:rsidRPr="00BF20FA">
        <w:rPr>
          <w:rFonts w:asciiTheme="majorHAnsi" w:eastAsia="Batang" w:hAnsiTheme="majorHAnsi" w:cs="Arial"/>
          <w:sz w:val="20"/>
          <w:bdr w:val="none" w:sz="0" w:space="0" w:color="auto"/>
          <w:lang w:val="es-ES"/>
        </w:rPr>
        <w:t>cultura</w:t>
      </w:r>
      <w:r w:rsidR="002D5D87" w:rsidRPr="00BF20FA">
        <w:rPr>
          <w:rFonts w:asciiTheme="majorHAnsi" w:eastAsia="Batang" w:hAnsiTheme="majorHAnsi" w:cs="Arial"/>
          <w:sz w:val="20"/>
          <w:bdr w:val="none" w:sz="0" w:space="0" w:color="auto"/>
          <w:lang w:val="es-ES"/>
        </w:rPr>
        <w:t xml:space="preserve">l y espiritual.  A ello, debe agregarse el que al crear el Parque Natural “El Cocuy”, el Estado otorgó su administración y manejo a la Dirección Nacional de Parques Naturales y no a las autoridades tradicionales del Pueblo U’wa, a pesar de que la totalidad del parque se encuentra en su territorio </w:t>
      </w:r>
      <w:r w:rsidR="00EB0C32" w:rsidRPr="00BF20FA">
        <w:rPr>
          <w:rFonts w:asciiTheme="majorHAnsi" w:eastAsia="Batang" w:hAnsiTheme="majorHAnsi" w:cs="Arial"/>
          <w:sz w:val="20"/>
          <w:bdr w:val="none" w:sz="0" w:space="0" w:color="auto"/>
          <w:lang w:val="es-ES"/>
        </w:rPr>
        <w:t xml:space="preserve">y que </w:t>
      </w:r>
      <w:r w:rsidR="000D5B7C" w:rsidRPr="00BF20FA">
        <w:rPr>
          <w:rFonts w:asciiTheme="majorHAnsi" w:eastAsia="Batang" w:hAnsiTheme="majorHAnsi" w:cs="Arial"/>
          <w:sz w:val="20"/>
          <w:bdr w:val="none" w:sz="0" w:space="0" w:color="auto"/>
          <w:lang w:val="es-ES"/>
        </w:rPr>
        <w:t>sus</w:t>
      </w:r>
      <w:r w:rsidR="00EB0C32" w:rsidRPr="00BF20FA">
        <w:rPr>
          <w:rFonts w:asciiTheme="majorHAnsi" w:eastAsia="Batang" w:hAnsiTheme="majorHAnsi" w:cs="Arial"/>
          <w:sz w:val="20"/>
          <w:bdr w:val="none" w:sz="0" w:space="0" w:color="auto"/>
          <w:lang w:val="es-ES"/>
        </w:rPr>
        <w:t xml:space="preserve"> autoridades son quienes tienen el conocimiento</w:t>
      </w:r>
      <w:r w:rsidR="000D5B7C" w:rsidRPr="00BF20FA">
        <w:rPr>
          <w:rFonts w:asciiTheme="majorHAnsi" w:eastAsia="Batang" w:hAnsiTheme="majorHAnsi" w:cs="Arial"/>
          <w:sz w:val="20"/>
          <w:bdr w:val="none" w:sz="0" w:space="0" w:color="auto"/>
          <w:lang w:val="es-ES"/>
        </w:rPr>
        <w:t xml:space="preserve"> ancestral para poder determinar si el ingreso de visitantes puede afectar su equilibrio espiritual y su subsistencia cultural. </w:t>
      </w:r>
    </w:p>
    <w:p w14:paraId="04EF3A07" w14:textId="77777777" w:rsidR="000D5B7C" w:rsidRPr="00A538F3" w:rsidRDefault="000D5B7C" w:rsidP="000D5B7C">
      <w:pPr>
        <w:pStyle w:val="ListParagraph"/>
        <w:rPr>
          <w:rFonts w:asciiTheme="majorHAnsi" w:eastAsia="Batang" w:hAnsiTheme="majorHAnsi" w:cs="Arial"/>
          <w:sz w:val="18"/>
          <w:szCs w:val="18"/>
          <w:bdr w:val="none" w:sz="0" w:space="0" w:color="auto"/>
          <w:lang w:val="es-ES"/>
        </w:rPr>
      </w:pPr>
    </w:p>
    <w:p w14:paraId="6891C701" w14:textId="1F3E064A" w:rsidR="006849B6" w:rsidRPr="00BF20FA" w:rsidRDefault="000D5B7C"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eastAsia="Batang" w:hAnsiTheme="majorHAnsi" w:cs="Arial"/>
          <w:sz w:val="20"/>
          <w:bdr w:val="none" w:sz="0" w:space="0" w:color="auto"/>
          <w:lang w:val="es-ES"/>
        </w:rPr>
        <w:t xml:space="preserve">La Comisión concluye que el Estado ha violado los derechos culturales del Pueblo U´wa, en relación con su derecho a la propiedad </w:t>
      </w:r>
      <w:r w:rsidR="00852F64" w:rsidRPr="00BF20FA">
        <w:rPr>
          <w:rFonts w:asciiTheme="majorHAnsi" w:eastAsia="Batang" w:hAnsiTheme="majorHAnsi" w:cs="Arial"/>
          <w:sz w:val="20"/>
          <w:bdr w:val="none" w:sz="0" w:space="0" w:color="auto"/>
          <w:lang w:val="es-ES"/>
        </w:rPr>
        <w:t>colectiva</w:t>
      </w:r>
      <w:r w:rsidRPr="00BF20FA">
        <w:rPr>
          <w:rFonts w:asciiTheme="majorHAnsi" w:eastAsia="Batang" w:hAnsiTheme="majorHAnsi" w:cs="Arial"/>
          <w:sz w:val="20"/>
          <w:bdr w:val="none" w:sz="0" w:space="0" w:color="auto"/>
          <w:lang w:val="es-ES"/>
        </w:rPr>
        <w:t xml:space="preserve">. </w:t>
      </w:r>
    </w:p>
    <w:p w14:paraId="10AC55E0" w14:textId="77777777" w:rsidR="006849B6" w:rsidRPr="00BF20FA" w:rsidRDefault="006849B6" w:rsidP="008F7F9A">
      <w:pPr>
        <w:pStyle w:val="Heading3"/>
        <w:numPr>
          <w:ilvl w:val="0"/>
          <w:numId w:val="62"/>
        </w:numPr>
        <w:ind w:left="360"/>
        <w:jc w:val="both"/>
        <w:rPr>
          <w:rFonts w:asciiTheme="majorHAnsi" w:hAnsiTheme="majorHAnsi"/>
          <w:sz w:val="20"/>
          <w:szCs w:val="20"/>
          <w:lang w:val="es-ES_tradnl"/>
        </w:rPr>
      </w:pPr>
      <w:bookmarkStart w:id="44" w:name="_Toc17221578"/>
      <w:r w:rsidRPr="00BF20FA">
        <w:rPr>
          <w:rFonts w:asciiTheme="majorHAnsi" w:hAnsiTheme="majorHAnsi"/>
          <w:sz w:val="20"/>
          <w:szCs w:val="20"/>
          <w:lang w:val="es-ES_tradnl"/>
        </w:rPr>
        <w:t>Conclusión</w:t>
      </w:r>
      <w:bookmarkEnd w:id="44"/>
    </w:p>
    <w:p w14:paraId="3E672FE4" w14:textId="77777777" w:rsidR="006849B6" w:rsidRPr="00A538F3" w:rsidRDefault="006849B6" w:rsidP="006849B6">
      <w:pPr>
        <w:pStyle w:val="ListParagraph"/>
        <w:rPr>
          <w:rFonts w:asciiTheme="majorHAnsi" w:eastAsia="Batang" w:hAnsiTheme="majorHAnsi" w:cs="Arial"/>
          <w:sz w:val="18"/>
          <w:szCs w:val="18"/>
          <w:bdr w:val="none" w:sz="0" w:space="0" w:color="auto"/>
          <w:lang w:val="es-ES"/>
        </w:rPr>
      </w:pPr>
    </w:p>
    <w:p w14:paraId="17A51C8A" w14:textId="74C42FB5" w:rsidR="006849B6" w:rsidRPr="00BF20FA" w:rsidRDefault="006849B6"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Batang" w:hAnsiTheme="majorHAnsi" w:cs="Arial"/>
          <w:sz w:val="20"/>
          <w:bdr w:val="none" w:sz="0" w:space="0" w:color="auto"/>
          <w:lang w:val="es-ES"/>
        </w:rPr>
      </w:pPr>
      <w:r w:rsidRPr="00BF20FA">
        <w:rPr>
          <w:rFonts w:asciiTheme="majorHAnsi" w:eastAsia="Batang" w:hAnsiTheme="majorHAnsi" w:cs="Arial"/>
          <w:sz w:val="20"/>
          <w:bdr w:val="none" w:sz="0" w:space="0" w:color="auto"/>
          <w:lang w:val="es-ES"/>
        </w:rPr>
        <w:t xml:space="preserve">En virtud de todo lo anterior, la Comisión concluye el Estado de Colombia vulneró el derecho a la propiedad colectiva, </w:t>
      </w:r>
      <w:r w:rsidR="00E51367" w:rsidRPr="00BF20FA">
        <w:rPr>
          <w:rFonts w:asciiTheme="majorHAnsi" w:eastAsia="Batang" w:hAnsiTheme="majorHAnsi" w:cs="Arial"/>
          <w:sz w:val="20"/>
          <w:bdr w:val="none" w:sz="0" w:space="0" w:color="auto"/>
          <w:lang w:val="es-ES"/>
        </w:rPr>
        <w:t xml:space="preserve">el </w:t>
      </w:r>
      <w:r w:rsidRPr="00BF20FA">
        <w:rPr>
          <w:rFonts w:asciiTheme="majorHAnsi" w:eastAsia="Batang" w:hAnsiTheme="majorHAnsi" w:cs="Arial"/>
          <w:sz w:val="20"/>
          <w:bdr w:val="none" w:sz="0" w:space="0" w:color="auto"/>
          <w:lang w:val="es-ES"/>
        </w:rPr>
        <w:t>derecho de acceso a la información, los derechos políticos y los derechos culturales, consagrados en los artículos 21, 13, 23 y 26 de la Convención Americana, en relación con los artículos 1.1 y 2 del mismo instrumento, en perjuicio del Pueblo U´wa.</w:t>
      </w:r>
    </w:p>
    <w:p w14:paraId="3444A463" w14:textId="77777777" w:rsidR="002D5D87" w:rsidRPr="00A538F3" w:rsidRDefault="002D5D87" w:rsidP="002D5D87">
      <w:pPr>
        <w:pStyle w:val="ListParagraph"/>
        <w:tabs>
          <w:tab w:val="left" w:pos="450"/>
        </w:tabs>
        <w:jc w:val="both"/>
        <w:rPr>
          <w:rFonts w:asciiTheme="majorHAnsi" w:eastAsia="Batang" w:hAnsiTheme="majorHAnsi" w:cs="Arial"/>
          <w:sz w:val="18"/>
          <w:szCs w:val="18"/>
          <w:bdr w:val="none" w:sz="0" w:space="0" w:color="auto"/>
          <w:lang w:val="es-ES"/>
        </w:rPr>
      </w:pPr>
    </w:p>
    <w:p w14:paraId="644E462C" w14:textId="3F328E92" w:rsidR="00C1523A" w:rsidRPr="00BF20FA" w:rsidRDefault="00C1523A" w:rsidP="00BB3426">
      <w:pPr>
        <w:pStyle w:val="Heading2"/>
        <w:spacing w:before="0" w:after="0"/>
        <w:jc w:val="both"/>
        <w:rPr>
          <w:rFonts w:asciiTheme="majorHAnsi" w:hAnsiTheme="majorHAnsi"/>
          <w:i w:val="0"/>
          <w:sz w:val="20"/>
          <w:szCs w:val="20"/>
          <w:lang w:val="es-ES_tradnl"/>
        </w:rPr>
      </w:pPr>
      <w:bookmarkStart w:id="45" w:name="_Toc17221579"/>
      <w:r w:rsidRPr="00BF20FA">
        <w:rPr>
          <w:rFonts w:asciiTheme="majorHAnsi" w:hAnsiTheme="majorHAnsi"/>
          <w:i w:val="0"/>
          <w:sz w:val="20"/>
          <w:szCs w:val="20"/>
          <w:lang w:val="es-ES_tradnl"/>
        </w:rPr>
        <w:t xml:space="preserve">C. </w:t>
      </w:r>
      <w:r w:rsidR="00BB3426" w:rsidRPr="00BF20FA">
        <w:rPr>
          <w:rFonts w:asciiTheme="majorHAnsi" w:hAnsiTheme="majorHAnsi"/>
          <w:i w:val="0"/>
          <w:sz w:val="20"/>
          <w:szCs w:val="20"/>
          <w:lang w:val="es-ES_tradnl"/>
        </w:rPr>
        <w:t xml:space="preserve">  </w:t>
      </w:r>
      <w:r w:rsidR="00B97941">
        <w:rPr>
          <w:rFonts w:asciiTheme="majorHAnsi" w:hAnsiTheme="majorHAnsi"/>
          <w:i w:val="0"/>
          <w:sz w:val="20"/>
          <w:szCs w:val="20"/>
          <w:lang w:val="es-ES_tradnl"/>
        </w:rPr>
        <w:t>Garantías judiciales</w:t>
      </w:r>
      <w:r w:rsidR="000C74A1" w:rsidRPr="00BF20FA">
        <w:rPr>
          <w:rStyle w:val="FootnoteReference"/>
          <w:rFonts w:asciiTheme="majorHAnsi" w:hAnsiTheme="majorHAnsi"/>
          <w:b w:val="0"/>
          <w:i w:val="0"/>
          <w:color w:val="000000" w:themeColor="text1"/>
          <w:sz w:val="20"/>
          <w:szCs w:val="20"/>
          <w:lang w:val="es-ES_tradnl"/>
        </w:rPr>
        <w:footnoteReference w:id="178"/>
      </w:r>
      <w:r w:rsidR="00B97941">
        <w:rPr>
          <w:rFonts w:asciiTheme="majorHAnsi" w:hAnsiTheme="majorHAnsi"/>
          <w:i w:val="0"/>
          <w:sz w:val="20"/>
          <w:szCs w:val="20"/>
          <w:lang w:val="es-ES_tradnl"/>
        </w:rPr>
        <w:t xml:space="preserve"> (artículo 8.1)</w:t>
      </w:r>
      <w:r w:rsidR="007C4490" w:rsidRPr="00BF20FA">
        <w:rPr>
          <w:rFonts w:asciiTheme="majorHAnsi" w:hAnsiTheme="majorHAnsi"/>
          <w:i w:val="0"/>
          <w:sz w:val="20"/>
          <w:szCs w:val="20"/>
          <w:lang w:val="es-ES_tradnl"/>
        </w:rPr>
        <w:t xml:space="preserve"> y </w:t>
      </w:r>
      <w:r w:rsidR="00B97941">
        <w:rPr>
          <w:rFonts w:asciiTheme="majorHAnsi" w:hAnsiTheme="majorHAnsi"/>
          <w:i w:val="0"/>
          <w:sz w:val="20"/>
          <w:szCs w:val="20"/>
          <w:lang w:val="es-ES_tradnl"/>
        </w:rPr>
        <w:t>protección judicial</w:t>
      </w:r>
      <w:r w:rsidR="000C74A1" w:rsidRPr="00BF20FA">
        <w:rPr>
          <w:rStyle w:val="FootnoteReference"/>
          <w:rFonts w:asciiTheme="majorHAnsi" w:hAnsiTheme="majorHAnsi"/>
          <w:b w:val="0"/>
          <w:i w:val="0"/>
          <w:color w:val="000000" w:themeColor="text1"/>
          <w:sz w:val="20"/>
          <w:szCs w:val="20"/>
          <w:lang w:val="es-ES_tradnl"/>
        </w:rPr>
        <w:footnoteReference w:id="179"/>
      </w:r>
      <w:r w:rsidR="00B97941">
        <w:rPr>
          <w:rFonts w:asciiTheme="majorHAnsi" w:hAnsiTheme="majorHAnsi"/>
          <w:i w:val="0"/>
          <w:sz w:val="20"/>
          <w:szCs w:val="20"/>
          <w:lang w:val="es-ES_tradnl"/>
        </w:rPr>
        <w:t xml:space="preserve"> (artículo 25.1)</w:t>
      </w:r>
      <w:r w:rsidR="007C4490" w:rsidRPr="00BF20FA">
        <w:rPr>
          <w:rFonts w:asciiTheme="majorHAnsi" w:hAnsiTheme="majorHAnsi"/>
          <w:i w:val="0"/>
          <w:sz w:val="20"/>
          <w:szCs w:val="20"/>
          <w:lang w:val="es-ES_tradnl"/>
        </w:rPr>
        <w:t xml:space="preserve"> </w:t>
      </w:r>
      <w:r w:rsidR="001B3DD8" w:rsidRPr="00BF20FA">
        <w:rPr>
          <w:rFonts w:asciiTheme="majorHAnsi" w:hAnsiTheme="majorHAnsi"/>
          <w:i w:val="0"/>
          <w:sz w:val="20"/>
          <w:szCs w:val="20"/>
          <w:lang w:val="es-ES_tradnl"/>
        </w:rPr>
        <w:t xml:space="preserve">de la Convención Americana, en relación con </w:t>
      </w:r>
      <w:r w:rsidR="007C4490" w:rsidRPr="00BF20FA">
        <w:rPr>
          <w:rFonts w:asciiTheme="majorHAnsi" w:hAnsiTheme="majorHAnsi"/>
          <w:i w:val="0"/>
          <w:sz w:val="20"/>
          <w:szCs w:val="20"/>
          <w:lang w:val="es-ES_tradnl"/>
        </w:rPr>
        <w:t xml:space="preserve">el </w:t>
      </w:r>
      <w:r w:rsidR="001B3DD8" w:rsidRPr="00BF20FA">
        <w:rPr>
          <w:rFonts w:asciiTheme="majorHAnsi" w:hAnsiTheme="majorHAnsi"/>
          <w:i w:val="0"/>
          <w:sz w:val="20"/>
          <w:szCs w:val="20"/>
          <w:lang w:val="es-ES_tradnl"/>
        </w:rPr>
        <w:t>artículo 1.1 del mismo instrumento</w:t>
      </w:r>
      <w:bookmarkEnd w:id="45"/>
    </w:p>
    <w:p w14:paraId="2335A71F" w14:textId="77777777" w:rsidR="001B3DD8" w:rsidRPr="00A538F3" w:rsidRDefault="001B3DD8" w:rsidP="001B3DD8">
      <w:pPr>
        <w:pStyle w:val="ListParagraph"/>
        <w:rPr>
          <w:rFonts w:asciiTheme="majorHAnsi" w:eastAsia="Calibri" w:hAnsiTheme="majorHAnsi"/>
          <w:sz w:val="18"/>
          <w:szCs w:val="18"/>
          <w:bdr w:val="none" w:sz="0" w:space="0" w:color="auto"/>
          <w:lang w:val="es-CO"/>
        </w:rPr>
      </w:pPr>
    </w:p>
    <w:p w14:paraId="5C591D49" w14:textId="1C567201" w:rsidR="008D350B" w:rsidRDefault="007C4490"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 xml:space="preserve">La Comisión recuerda que el Estado está en la obligación general de proveer recursos judiciales efectivos a las personas que aleguen ser víctimas de violaciones de derechos humanos, recursos que deben ser sustanciados </w:t>
      </w:r>
      <w:r w:rsidRPr="000A5F88">
        <w:rPr>
          <w:rFonts w:asciiTheme="majorHAnsi" w:hAnsiTheme="majorHAnsi"/>
          <w:sz w:val="20"/>
          <w:szCs w:val="20"/>
          <w:lang w:val="es-AR"/>
        </w:rPr>
        <w:t>de</w:t>
      </w:r>
      <w:r w:rsidRPr="00BF20FA">
        <w:rPr>
          <w:rFonts w:asciiTheme="majorHAnsi" w:eastAsia="Calibri" w:hAnsiTheme="majorHAnsi"/>
          <w:sz w:val="20"/>
          <w:szCs w:val="20"/>
          <w:bdr w:val="none" w:sz="0" w:space="0" w:color="auto"/>
          <w:lang w:val="es-ES_tradnl"/>
        </w:rPr>
        <w:t xml:space="preserve"> conformidad con las reglas del debido proceso legal, todo ello dentro de la obligación general, a cargo de los mismos Estados, de garantizar el libre y pleno ejercicio de los derechos reconocidos por la Convención a toda persona que se encuentre bajo su jurisdicción</w:t>
      </w:r>
      <w:r w:rsidRPr="00BF20FA">
        <w:rPr>
          <w:rFonts w:asciiTheme="majorHAnsi" w:eastAsia="Calibri" w:hAnsiTheme="majorHAnsi"/>
          <w:sz w:val="20"/>
          <w:szCs w:val="20"/>
          <w:bdr w:val="none" w:sz="0" w:space="0" w:color="auto"/>
          <w:vertAlign w:val="superscript"/>
          <w:lang w:val="es-ES_tradnl"/>
        </w:rPr>
        <w:footnoteReference w:id="180"/>
      </w:r>
      <w:r w:rsidRPr="00BF20FA">
        <w:rPr>
          <w:rFonts w:asciiTheme="majorHAnsi" w:eastAsia="Calibri" w:hAnsiTheme="majorHAnsi"/>
          <w:sz w:val="20"/>
          <w:szCs w:val="20"/>
          <w:bdr w:val="none" w:sz="0" w:space="0" w:color="auto"/>
          <w:lang w:val="es-ES_tradnl"/>
        </w:rPr>
        <w:t>. Al respecto, la Corte Interamericana ha especificado que el debido proceso debe seguirse tanto en los procedimientos administrativos como en cualquier otro procedimiento cuya decisión pueda afectar los derechos de las personas</w:t>
      </w:r>
      <w:r w:rsidRPr="00BF20FA">
        <w:rPr>
          <w:rFonts w:asciiTheme="majorHAnsi" w:eastAsia="Calibri" w:hAnsiTheme="majorHAnsi"/>
          <w:sz w:val="20"/>
          <w:szCs w:val="20"/>
          <w:bdr w:val="none" w:sz="0" w:space="0" w:color="auto"/>
          <w:vertAlign w:val="superscript"/>
          <w:lang w:val="es-ES_tradnl"/>
        </w:rPr>
        <w:footnoteReference w:id="181"/>
      </w:r>
      <w:r w:rsidRPr="00BF20FA">
        <w:rPr>
          <w:rFonts w:asciiTheme="majorHAnsi" w:eastAsia="Calibri" w:hAnsiTheme="majorHAnsi"/>
          <w:sz w:val="20"/>
          <w:szCs w:val="20"/>
          <w:bdr w:val="none" w:sz="0" w:space="0" w:color="auto"/>
          <w:lang w:val="es-ES_tradnl"/>
        </w:rPr>
        <w:t>.</w:t>
      </w:r>
    </w:p>
    <w:p w14:paraId="3B603FB8" w14:textId="77777777" w:rsidR="00087845" w:rsidRPr="00BF20FA" w:rsidRDefault="00087845" w:rsidP="000878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Theme="majorHAnsi" w:eastAsia="Calibri" w:hAnsiTheme="majorHAnsi"/>
          <w:sz w:val="20"/>
          <w:szCs w:val="20"/>
          <w:bdr w:val="none" w:sz="0" w:space="0" w:color="auto"/>
          <w:lang w:val="es-ES_tradnl"/>
        </w:rPr>
      </w:pPr>
    </w:p>
    <w:p w14:paraId="6E4911FB" w14:textId="77777777" w:rsidR="008A6B6F" w:rsidRPr="00BF20FA" w:rsidRDefault="008D350B"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sz w:val="20"/>
          <w:szCs w:val="20"/>
          <w:lang w:val="es-ES_tradnl"/>
        </w:rPr>
        <w:t xml:space="preserve">Asimismo, la jurisprudencia del Sistema Interamericano de Derechos Humanos ha determinado que los pueblos indígenas y </w:t>
      </w:r>
      <w:r w:rsidRPr="000A5F88">
        <w:rPr>
          <w:rFonts w:asciiTheme="majorHAnsi" w:hAnsiTheme="majorHAnsi"/>
          <w:sz w:val="20"/>
          <w:szCs w:val="20"/>
          <w:lang w:val="es-AR"/>
        </w:rPr>
        <w:t>tribales</w:t>
      </w:r>
      <w:r w:rsidRPr="00BF20FA">
        <w:rPr>
          <w:sz w:val="20"/>
          <w:szCs w:val="20"/>
          <w:lang w:val="es-ES_tradnl"/>
        </w:rPr>
        <w:t xml:space="preserve"> tienen derecho a que existan mecanismos administrativos efectivos y expeditos para proteger, garantizar y promover sus derechos so</w:t>
      </w:r>
      <w:r w:rsidR="00794842" w:rsidRPr="00BF20FA">
        <w:rPr>
          <w:sz w:val="20"/>
          <w:szCs w:val="20"/>
          <w:lang w:val="es-ES_tradnl"/>
        </w:rPr>
        <w:t>bre los territorios ancestrales</w:t>
      </w:r>
      <w:r w:rsidRPr="00BF20FA">
        <w:rPr>
          <w:rStyle w:val="FootnoteReference"/>
          <w:sz w:val="20"/>
          <w:szCs w:val="20"/>
          <w:lang w:val="es-ES_tradnl"/>
        </w:rPr>
        <w:footnoteReference w:id="182"/>
      </w:r>
      <w:r w:rsidR="00794842" w:rsidRPr="00BF20FA">
        <w:rPr>
          <w:sz w:val="20"/>
          <w:szCs w:val="20"/>
          <w:lang w:val="es-ES_tradnl"/>
        </w:rPr>
        <w:t xml:space="preserve"> y la Corte ha señalado </w:t>
      </w:r>
      <w:r w:rsidR="00794842" w:rsidRPr="00BF20FA">
        <w:rPr>
          <w:rFonts w:asciiTheme="majorHAnsi" w:hAnsiTheme="majorHAnsi"/>
          <w:sz w:val="20"/>
          <w:szCs w:val="20"/>
          <w:lang w:val="es-ES_tradnl"/>
        </w:rPr>
        <w:t>que “</w:t>
      </w:r>
      <w:r w:rsidR="00794842" w:rsidRPr="00BF20FA">
        <w:rPr>
          <w:rFonts w:asciiTheme="majorHAnsi" w:eastAsia="Times New Roman" w:hAnsiTheme="majorHAnsi" w:cs="Arial"/>
          <w:sz w:val="20"/>
          <w:szCs w:val="20"/>
          <w:bdr w:val="none" w:sz="0" w:space="0" w:color="auto"/>
          <w:lang w:val="es-ES"/>
        </w:rPr>
        <w:t>es indispensable que los Estados otorguen una protección efectiva que tome en cuenta sus particularidades propias, sus características económicas y sociales, así como su situación de especial vulnerabilidad, su derecho consuetudinario, valores, usos y costumbres”</w:t>
      </w:r>
      <w:r w:rsidR="00794842" w:rsidRPr="00BF20FA">
        <w:rPr>
          <w:rFonts w:asciiTheme="majorHAnsi" w:eastAsia="Times New Roman" w:hAnsiTheme="majorHAnsi" w:cs="Arial"/>
          <w:sz w:val="20"/>
          <w:szCs w:val="20"/>
          <w:bdr w:val="none" w:sz="0" w:space="0" w:color="auto"/>
          <w:vertAlign w:val="superscript"/>
          <w:lang w:val="es-ES"/>
        </w:rPr>
        <w:footnoteReference w:id="183"/>
      </w:r>
      <w:r w:rsidR="00ED6639" w:rsidRPr="00BF20FA">
        <w:rPr>
          <w:rFonts w:asciiTheme="majorHAnsi" w:eastAsia="Times New Roman" w:hAnsiTheme="majorHAnsi" w:cs="Arial"/>
          <w:sz w:val="20"/>
          <w:szCs w:val="20"/>
          <w:bdr w:val="none" w:sz="0" w:space="0" w:color="auto"/>
          <w:lang w:val="es-ES"/>
        </w:rPr>
        <w:t xml:space="preserve">.  </w:t>
      </w:r>
    </w:p>
    <w:p w14:paraId="48897B24" w14:textId="77777777" w:rsidR="00640112" w:rsidRPr="00A538F3" w:rsidRDefault="00640112" w:rsidP="008A6B6F">
      <w:pPr>
        <w:pStyle w:val="ListParagraph"/>
        <w:rPr>
          <w:rFonts w:asciiTheme="majorHAnsi" w:eastAsia="Calibri" w:hAnsiTheme="majorHAnsi"/>
          <w:sz w:val="18"/>
          <w:szCs w:val="18"/>
          <w:bdr w:val="none" w:sz="0" w:space="0" w:color="auto"/>
          <w:lang w:val="es-ES_tradnl"/>
        </w:rPr>
      </w:pPr>
    </w:p>
    <w:p w14:paraId="37E047E7" w14:textId="01349745" w:rsidR="00ED6639" w:rsidRPr="00BF20FA" w:rsidRDefault="008A6B6F"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 xml:space="preserve">La Comisión ya determinó que el Estado vulneró el derecho a la propiedad del Pueblo </w:t>
      </w:r>
      <w:r w:rsidR="00E51367" w:rsidRPr="00BF20FA">
        <w:rPr>
          <w:rFonts w:asciiTheme="majorHAnsi" w:eastAsia="Calibri" w:hAnsiTheme="majorHAnsi"/>
          <w:sz w:val="20"/>
          <w:szCs w:val="20"/>
          <w:bdr w:val="none" w:sz="0" w:space="0" w:color="auto"/>
          <w:lang w:val="es-ES_tradnl"/>
        </w:rPr>
        <w:t>e</w:t>
      </w:r>
      <w:r w:rsidR="00ED6639" w:rsidRPr="00BF20FA">
        <w:rPr>
          <w:rFonts w:asciiTheme="majorHAnsi" w:eastAsia="Calibri" w:hAnsiTheme="majorHAnsi"/>
          <w:sz w:val="20"/>
          <w:szCs w:val="20"/>
          <w:bdr w:val="none" w:sz="0" w:space="0" w:color="auto"/>
          <w:lang w:val="es-ES_tradnl"/>
        </w:rPr>
        <w:t xml:space="preserve">n cuanto al </w:t>
      </w:r>
      <w:r w:rsidR="00540809" w:rsidRPr="00BF20FA">
        <w:rPr>
          <w:rFonts w:asciiTheme="majorHAnsi" w:eastAsia="Calibri" w:hAnsiTheme="majorHAnsi"/>
          <w:sz w:val="20"/>
          <w:szCs w:val="20"/>
          <w:bdr w:val="none" w:sz="0" w:space="0" w:color="auto"/>
          <w:lang w:val="es-ES_tradnl"/>
        </w:rPr>
        <w:t xml:space="preserve">procedimiento de </w:t>
      </w:r>
      <w:r w:rsidR="00ED6639" w:rsidRPr="00BF20FA">
        <w:rPr>
          <w:rFonts w:asciiTheme="majorHAnsi" w:eastAsia="Calibri" w:hAnsiTheme="majorHAnsi"/>
          <w:sz w:val="20"/>
          <w:szCs w:val="20"/>
          <w:bdr w:val="none" w:sz="0" w:space="0" w:color="auto"/>
          <w:lang w:val="es-ES_tradnl"/>
        </w:rPr>
        <w:t xml:space="preserve">saneamiento, </w:t>
      </w:r>
      <w:r w:rsidR="00540809" w:rsidRPr="00BF20FA">
        <w:rPr>
          <w:rFonts w:asciiTheme="majorHAnsi" w:eastAsia="Calibri" w:hAnsiTheme="majorHAnsi"/>
          <w:sz w:val="20"/>
          <w:szCs w:val="20"/>
          <w:bdr w:val="none" w:sz="0" w:space="0" w:color="auto"/>
          <w:lang w:val="es-ES_tradnl"/>
        </w:rPr>
        <w:t xml:space="preserve">como ya se indicó, </w:t>
      </w:r>
      <w:r w:rsidR="00ED6639" w:rsidRPr="00BF20FA">
        <w:rPr>
          <w:rFonts w:asciiTheme="majorHAnsi" w:eastAsia="Calibri" w:hAnsiTheme="majorHAnsi"/>
          <w:sz w:val="20"/>
          <w:szCs w:val="20"/>
          <w:bdr w:val="none" w:sz="0" w:space="0" w:color="auto"/>
          <w:lang w:val="es-ES_tradnl"/>
        </w:rPr>
        <w:t>fue en 199</w:t>
      </w:r>
      <w:r w:rsidR="00540809" w:rsidRPr="00BF20FA">
        <w:rPr>
          <w:rFonts w:asciiTheme="majorHAnsi" w:eastAsia="Calibri" w:hAnsiTheme="majorHAnsi"/>
          <w:sz w:val="20"/>
          <w:szCs w:val="20"/>
          <w:bdr w:val="none" w:sz="0" w:space="0" w:color="auto"/>
          <w:lang w:val="es-ES_tradnl"/>
        </w:rPr>
        <w:t>9</w:t>
      </w:r>
      <w:r w:rsidR="00ED6639" w:rsidRPr="00BF20FA">
        <w:rPr>
          <w:rFonts w:asciiTheme="majorHAnsi" w:eastAsia="Calibri" w:hAnsiTheme="majorHAnsi"/>
          <w:sz w:val="20"/>
          <w:szCs w:val="20"/>
          <w:bdr w:val="none" w:sz="0" w:space="0" w:color="auto"/>
          <w:lang w:val="es-ES_tradnl"/>
        </w:rPr>
        <w:t xml:space="preserve"> que </w:t>
      </w:r>
      <w:r w:rsidR="00540809" w:rsidRPr="00BF20FA">
        <w:rPr>
          <w:rFonts w:asciiTheme="majorHAnsi" w:eastAsia="Calibri" w:hAnsiTheme="majorHAnsi"/>
          <w:sz w:val="20"/>
          <w:szCs w:val="20"/>
          <w:bdr w:val="none" w:sz="0" w:space="0" w:color="auto"/>
          <w:lang w:val="es-ES_tradnl"/>
        </w:rPr>
        <w:t xml:space="preserve">se </w:t>
      </w:r>
      <w:r w:rsidR="00ED6639" w:rsidRPr="00BF20FA">
        <w:rPr>
          <w:rFonts w:asciiTheme="majorHAnsi" w:eastAsia="Calibri" w:hAnsiTheme="majorHAnsi"/>
          <w:sz w:val="20"/>
          <w:szCs w:val="20"/>
          <w:bdr w:val="none" w:sz="0" w:space="0" w:color="auto"/>
          <w:lang w:val="es-ES_tradnl"/>
        </w:rPr>
        <w:t>constitu</w:t>
      </w:r>
      <w:r w:rsidR="00540809" w:rsidRPr="00BF20FA">
        <w:rPr>
          <w:rFonts w:asciiTheme="majorHAnsi" w:eastAsia="Calibri" w:hAnsiTheme="majorHAnsi"/>
          <w:sz w:val="20"/>
          <w:szCs w:val="20"/>
          <w:bdr w:val="none" w:sz="0" w:space="0" w:color="auto"/>
          <w:lang w:val="es-ES_tradnl"/>
        </w:rPr>
        <w:t xml:space="preserve">yó </w:t>
      </w:r>
      <w:r w:rsidR="00ED6639" w:rsidRPr="00BF20FA">
        <w:rPr>
          <w:rFonts w:asciiTheme="majorHAnsi" w:eastAsia="Calibri" w:hAnsiTheme="majorHAnsi"/>
          <w:sz w:val="20"/>
          <w:szCs w:val="20"/>
          <w:bdr w:val="none" w:sz="0" w:space="0" w:color="auto"/>
          <w:lang w:val="es-ES_tradnl"/>
        </w:rPr>
        <w:t>el Resguardo Único U´wa</w:t>
      </w:r>
      <w:r w:rsidR="00540809" w:rsidRPr="00BF20FA">
        <w:rPr>
          <w:rFonts w:asciiTheme="majorHAnsi" w:eastAsia="Calibri" w:hAnsiTheme="majorHAnsi"/>
          <w:sz w:val="20"/>
          <w:szCs w:val="20"/>
          <w:bdr w:val="none" w:sz="0" w:space="0" w:color="auto"/>
          <w:lang w:val="es-ES_tradnl"/>
        </w:rPr>
        <w:t xml:space="preserve"> y la</w:t>
      </w:r>
      <w:r w:rsidR="00831F8A" w:rsidRPr="00BF20FA">
        <w:rPr>
          <w:rFonts w:asciiTheme="majorHAnsi" w:eastAsia="Calibri" w:hAnsiTheme="majorHAnsi"/>
          <w:sz w:val="20"/>
          <w:szCs w:val="20"/>
          <w:bdr w:val="none" w:sz="0" w:space="0" w:color="auto"/>
          <w:lang w:val="es-ES_tradnl"/>
        </w:rPr>
        <w:t xml:space="preserve"> Resolución por la cual se creó disponía que los colonos podrían continuar en posesión de las tierras en tanto fueran adquiridas para el saneamiento del resguardo. </w:t>
      </w:r>
      <w:r w:rsidR="00540809" w:rsidRPr="00BF20FA">
        <w:rPr>
          <w:rFonts w:asciiTheme="majorHAnsi" w:eastAsia="Calibri" w:hAnsiTheme="majorHAnsi"/>
          <w:sz w:val="20"/>
          <w:szCs w:val="20"/>
          <w:bdr w:val="none" w:sz="0" w:space="0" w:color="auto"/>
          <w:lang w:val="es-ES_tradnl"/>
        </w:rPr>
        <w:t>A la fecha, los miembros del Pueblo U´wa continúan sin contar con un recurso que haga efect</w:t>
      </w:r>
      <w:r w:rsidRPr="00BF20FA">
        <w:rPr>
          <w:rFonts w:asciiTheme="majorHAnsi" w:eastAsia="Calibri" w:hAnsiTheme="majorHAnsi"/>
          <w:sz w:val="20"/>
          <w:szCs w:val="20"/>
          <w:bdr w:val="none" w:sz="0" w:space="0" w:color="auto"/>
          <w:lang w:val="es-ES_tradnl"/>
        </w:rPr>
        <w:t>ivo su derecho de propiedad</w:t>
      </w:r>
      <w:r w:rsidR="009A7346" w:rsidRPr="00BF20FA">
        <w:rPr>
          <w:rFonts w:asciiTheme="majorHAnsi" w:eastAsia="Calibri" w:hAnsiTheme="majorHAnsi"/>
          <w:sz w:val="20"/>
          <w:szCs w:val="20"/>
          <w:bdr w:val="none" w:sz="0" w:space="0" w:color="auto"/>
          <w:lang w:val="es-ES_tradnl"/>
        </w:rPr>
        <w:t xml:space="preserve"> y el Estado no ha identificado el recurso existente en la legislación colombiana para lograr el saneamiento prometido a las víctimas desde 1999.</w:t>
      </w:r>
    </w:p>
    <w:p w14:paraId="323335F2" w14:textId="77777777" w:rsidR="00FF5258" w:rsidRPr="00A538F3" w:rsidRDefault="00FF5258" w:rsidP="00FF5258">
      <w:pPr>
        <w:pStyle w:val="ListParagraph"/>
        <w:rPr>
          <w:rFonts w:asciiTheme="majorHAnsi" w:eastAsia="Calibri" w:hAnsiTheme="majorHAnsi"/>
          <w:sz w:val="18"/>
          <w:szCs w:val="18"/>
          <w:bdr w:val="none" w:sz="0" w:space="0" w:color="auto"/>
          <w:lang w:val="es-ES_tradnl"/>
        </w:rPr>
      </w:pPr>
    </w:p>
    <w:p w14:paraId="71A95443" w14:textId="599BE3D1" w:rsidR="00FF5258" w:rsidRPr="00BF20FA" w:rsidRDefault="00FF5258"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 xml:space="preserve">En </w:t>
      </w:r>
      <w:r w:rsidR="00DF44CC" w:rsidRPr="00BF20FA">
        <w:rPr>
          <w:rFonts w:asciiTheme="majorHAnsi" w:eastAsia="Calibri" w:hAnsiTheme="majorHAnsi"/>
          <w:sz w:val="20"/>
          <w:szCs w:val="20"/>
          <w:bdr w:val="none" w:sz="0" w:space="0" w:color="auto"/>
          <w:lang w:val="es-ES_tradnl"/>
        </w:rPr>
        <w:t>cuanto al bloque exploratorio Samor</w:t>
      </w:r>
      <w:r w:rsidR="001E77BA" w:rsidRPr="00BF20FA">
        <w:rPr>
          <w:rFonts w:asciiTheme="majorHAnsi" w:eastAsia="Calibri" w:hAnsiTheme="majorHAnsi"/>
          <w:sz w:val="20"/>
          <w:szCs w:val="20"/>
          <w:bdr w:val="none" w:sz="0" w:space="0" w:color="auto"/>
          <w:lang w:val="es-ES_tradnl"/>
        </w:rPr>
        <w:t xml:space="preserve">é, </w:t>
      </w:r>
      <w:r w:rsidR="00DF44CC" w:rsidRPr="00BF20FA">
        <w:rPr>
          <w:rFonts w:asciiTheme="majorHAnsi" w:eastAsia="Calibri" w:hAnsiTheme="majorHAnsi"/>
          <w:sz w:val="20"/>
          <w:szCs w:val="20"/>
          <w:bdr w:val="none" w:sz="0" w:space="0" w:color="auto"/>
          <w:lang w:val="es-ES_tradnl"/>
        </w:rPr>
        <w:t xml:space="preserve">en </w:t>
      </w:r>
      <w:r w:rsidRPr="00BF20FA">
        <w:rPr>
          <w:rFonts w:asciiTheme="majorHAnsi" w:eastAsia="Calibri" w:hAnsiTheme="majorHAnsi"/>
          <w:sz w:val="20"/>
          <w:szCs w:val="20"/>
          <w:bdr w:val="none" w:sz="0" w:space="0" w:color="auto"/>
          <w:lang w:val="es-ES_tradnl"/>
        </w:rPr>
        <w:t xml:space="preserve">1995 </w:t>
      </w:r>
      <w:r w:rsidR="00DF44CC" w:rsidRPr="00BF20FA">
        <w:rPr>
          <w:rFonts w:asciiTheme="majorHAnsi" w:eastAsia="Calibri" w:hAnsiTheme="majorHAnsi"/>
          <w:sz w:val="20"/>
          <w:szCs w:val="20"/>
          <w:bdr w:val="none" w:sz="0" w:space="0" w:color="auto"/>
          <w:lang w:val="es-ES_tradnl"/>
        </w:rPr>
        <w:t xml:space="preserve">el Defensor del Pueblo </w:t>
      </w:r>
      <w:r w:rsidRPr="00BF20FA">
        <w:rPr>
          <w:rFonts w:asciiTheme="majorHAnsi" w:eastAsia="Calibri" w:hAnsiTheme="majorHAnsi"/>
          <w:sz w:val="20"/>
          <w:szCs w:val="20"/>
          <w:bdr w:val="none" w:sz="0" w:space="0" w:color="auto"/>
          <w:lang w:val="es-ES_tradnl"/>
        </w:rPr>
        <w:t xml:space="preserve">presentó acción de tutela y demanda de nulidad, a fin de que las autoridades jurisdiccionales determinaran que las reuniones de 10 y 11 de enero de ese año no podrían tenerse en cuenta como consulta previa.  Dos años después, la Corte Constitucional confirmó </w:t>
      </w:r>
      <w:r w:rsidR="0060625E" w:rsidRPr="00BF20FA">
        <w:rPr>
          <w:rFonts w:asciiTheme="majorHAnsi" w:eastAsia="Calibri" w:hAnsiTheme="majorHAnsi"/>
          <w:sz w:val="20"/>
          <w:szCs w:val="20"/>
          <w:bdr w:val="none" w:sz="0" w:space="0" w:color="auto"/>
          <w:lang w:val="es-ES_tradnl"/>
        </w:rPr>
        <w:t xml:space="preserve">que </w:t>
      </w:r>
      <w:r w:rsidRPr="00BF20FA">
        <w:rPr>
          <w:rFonts w:asciiTheme="majorHAnsi" w:eastAsia="Calibri" w:hAnsiTheme="majorHAnsi"/>
          <w:sz w:val="20"/>
          <w:szCs w:val="20"/>
          <w:bdr w:val="none" w:sz="0" w:space="0" w:color="auto"/>
          <w:lang w:val="es-ES_tradnl"/>
        </w:rPr>
        <w:t xml:space="preserve">dichas reuniones no configuraron la consulta requerida para autorizar una licencia </w:t>
      </w:r>
      <w:r w:rsidRPr="000A5F88">
        <w:rPr>
          <w:rFonts w:asciiTheme="majorHAnsi" w:hAnsiTheme="majorHAnsi"/>
          <w:sz w:val="20"/>
          <w:szCs w:val="20"/>
          <w:lang w:val="es-AR"/>
        </w:rPr>
        <w:t>ambiental</w:t>
      </w:r>
      <w:r w:rsidRPr="00BF20FA">
        <w:rPr>
          <w:rFonts w:asciiTheme="majorHAnsi" w:eastAsia="Calibri" w:hAnsiTheme="majorHAnsi"/>
          <w:sz w:val="20"/>
          <w:szCs w:val="20"/>
          <w:bdr w:val="none" w:sz="0" w:space="0" w:color="auto"/>
          <w:lang w:val="es-ES_tradnl"/>
        </w:rPr>
        <w:t xml:space="preserve">. No obstante ello, el mismo año, la Sala de lo Contencioso Administrativo declaró la legalidad de la licencia. </w:t>
      </w:r>
      <w:r w:rsidR="00DF44CC" w:rsidRPr="00BF20FA">
        <w:rPr>
          <w:rFonts w:asciiTheme="majorHAnsi" w:eastAsia="Calibri" w:hAnsiTheme="majorHAnsi"/>
          <w:sz w:val="20"/>
          <w:szCs w:val="20"/>
          <w:bdr w:val="none" w:sz="0" w:space="0" w:color="auto"/>
          <w:lang w:val="es-ES_tradnl"/>
        </w:rPr>
        <w:t>Si bien la Comisión observa que la Corte Constitucional ordenó la suspensión de las actividades solo en tanto el Contencioso Administrativo se pronunciara, la Comisión no deja de subrayar</w:t>
      </w:r>
      <w:r w:rsidR="00502288" w:rsidRPr="00BF20FA">
        <w:rPr>
          <w:rFonts w:asciiTheme="majorHAnsi" w:eastAsia="Calibri" w:hAnsiTheme="majorHAnsi"/>
          <w:sz w:val="20"/>
          <w:szCs w:val="20"/>
          <w:bdr w:val="none" w:sz="0" w:space="0" w:color="auto"/>
          <w:lang w:val="es-ES_tradnl"/>
        </w:rPr>
        <w:t xml:space="preserve"> la denegación de justicia generada por la contradicción entre ambas Altas Cortes en lo relativo al alcance del derecho a la consulta en favor del pueblo U´wa. </w:t>
      </w:r>
      <w:r w:rsidR="00DF44CC" w:rsidRPr="00BF20FA">
        <w:rPr>
          <w:rFonts w:asciiTheme="majorHAnsi" w:eastAsia="Calibri" w:hAnsiTheme="majorHAnsi"/>
          <w:sz w:val="20"/>
          <w:szCs w:val="20"/>
          <w:bdr w:val="none" w:sz="0" w:space="0" w:color="auto"/>
          <w:lang w:val="es-ES_tradnl"/>
        </w:rPr>
        <w:t xml:space="preserve">Una Corte afirmando que lo que se realizó no fue una consulta, la otra afirmando que el procedimiento fue razonablemente adecuado. </w:t>
      </w:r>
      <w:r w:rsidR="00592164" w:rsidRPr="00BF20FA">
        <w:rPr>
          <w:rFonts w:asciiTheme="majorHAnsi" w:eastAsia="Calibri" w:hAnsiTheme="majorHAnsi"/>
          <w:sz w:val="20"/>
          <w:szCs w:val="20"/>
          <w:bdr w:val="none" w:sz="0" w:space="0" w:color="auto"/>
          <w:lang w:val="es-ES_tradnl"/>
        </w:rPr>
        <w:t xml:space="preserve">  </w:t>
      </w:r>
    </w:p>
    <w:p w14:paraId="081275E5" w14:textId="77777777" w:rsidR="00592164" w:rsidRPr="00A538F3" w:rsidRDefault="00592164" w:rsidP="00592164">
      <w:pPr>
        <w:pStyle w:val="ListParagraph"/>
        <w:rPr>
          <w:rFonts w:asciiTheme="majorHAnsi" w:eastAsia="Calibri" w:hAnsiTheme="majorHAnsi"/>
          <w:sz w:val="18"/>
          <w:szCs w:val="18"/>
          <w:bdr w:val="none" w:sz="0" w:space="0" w:color="auto"/>
          <w:lang w:val="es-ES_tradnl"/>
        </w:rPr>
      </w:pPr>
    </w:p>
    <w:p w14:paraId="474186DE" w14:textId="77777777" w:rsidR="00592164" w:rsidRPr="00BF20FA" w:rsidRDefault="00592164"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 xml:space="preserve">La Comisión observa que se presentaron otras acciones de nulidad en contra de las licencias ambientales otorgadas para la exploración de </w:t>
      </w:r>
      <w:r w:rsidR="00540809" w:rsidRPr="00BF20FA">
        <w:rPr>
          <w:rFonts w:asciiTheme="majorHAnsi" w:eastAsia="Calibri" w:hAnsiTheme="majorHAnsi"/>
          <w:sz w:val="20"/>
          <w:szCs w:val="20"/>
          <w:bdr w:val="none" w:sz="0" w:space="0" w:color="auto"/>
          <w:lang w:val="es-ES_tradnl"/>
        </w:rPr>
        <w:t>Gibraltar y Magallanes; la primera que fue fallada en contra y la Comisión n</w:t>
      </w:r>
      <w:r w:rsidR="00540809" w:rsidRPr="000A5F88">
        <w:rPr>
          <w:rFonts w:asciiTheme="majorHAnsi" w:hAnsiTheme="majorHAnsi"/>
          <w:sz w:val="20"/>
          <w:szCs w:val="20"/>
          <w:lang w:val="es-AR"/>
        </w:rPr>
        <w:t xml:space="preserve">o tiene </w:t>
      </w:r>
      <w:r w:rsidR="00540809" w:rsidRPr="000A5F88">
        <w:rPr>
          <w:rFonts w:asciiTheme="majorHAnsi" w:eastAsia="Calibri" w:hAnsiTheme="majorHAnsi"/>
          <w:sz w:val="20"/>
          <w:szCs w:val="20"/>
          <w:bdr w:val="none" w:sz="0" w:space="0" w:color="auto"/>
          <w:lang w:val="es-ES_tradnl"/>
        </w:rPr>
        <w:t>información</w:t>
      </w:r>
      <w:r w:rsidR="00540809" w:rsidRPr="000A5F88">
        <w:rPr>
          <w:rFonts w:asciiTheme="majorHAnsi" w:hAnsiTheme="majorHAnsi"/>
          <w:sz w:val="20"/>
          <w:szCs w:val="20"/>
          <w:lang w:val="es-AR"/>
        </w:rPr>
        <w:t xml:space="preserve"> sobre si la segunda ha sido resuelta</w:t>
      </w:r>
      <w:r w:rsidR="008A6B6F" w:rsidRPr="000A5F88">
        <w:rPr>
          <w:rFonts w:asciiTheme="majorHAnsi" w:hAnsiTheme="majorHAnsi"/>
          <w:sz w:val="20"/>
          <w:szCs w:val="20"/>
          <w:lang w:val="es-AR"/>
        </w:rPr>
        <w:t>, a casi siete años de su interposición</w:t>
      </w:r>
      <w:r w:rsidR="00540809" w:rsidRPr="000A5F88">
        <w:rPr>
          <w:rFonts w:asciiTheme="majorHAnsi" w:hAnsiTheme="majorHAnsi"/>
          <w:sz w:val="20"/>
          <w:szCs w:val="20"/>
          <w:lang w:val="es-AR"/>
        </w:rPr>
        <w:t>.</w:t>
      </w:r>
      <w:r w:rsidR="008A6B6F" w:rsidRPr="000A5F88">
        <w:rPr>
          <w:rFonts w:asciiTheme="majorHAnsi" w:hAnsiTheme="majorHAnsi"/>
          <w:sz w:val="20"/>
          <w:szCs w:val="20"/>
          <w:lang w:val="es-AR"/>
        </w:rPr>
        <w:t xml:space="preserve"> D</w:t>
      </w:r>
      <w:r w:rsidR="009A7346" w:rsidRPr="000A5F88">
        <w:rPr>
          <w:rFonts w:asciiTheme="majorHAnsi" w:hAnsiTheme="majorHAnsi"/>
          <w:sz w:val="20"/>
          <w:szCs w:val="20"/>
          <w:lang w:val="es-AR"/>
        </w:rPr>
        <w:t>e</w:t>
      </w:r>
      <w:r w:rsidR="008A6B6F" w:rsidRPr="000A5F88">
        <w:rPr>
          <w:rFonts w:asciiTheme="majorHAnsi" w:hAnsiTheme="majorHAnsi"/>
          <w:sz w:val="20"/>
          <w:szCs w:val="20"/>
          <w:lang w:val="es-AR"/>
        </w:rPr>
        <w:t xml:space="preserve"> igual manera</w:t>
      </w:r>
      <w:r w:rsidR="008A6B6F" w:rsidRPr="00BF20FA">
        <w:rPr>
          <w:rFonts w:asciiTheme="majorHAnsi" w:eastAsia="Calibri" w:hAnsiTheme="majorHAnsi"/>
          <w:sz w:val="20"/>
          <w:szCs w:val="20"/>
          <w:bdr w:val="none" w:sz="0" w:space="0" w:color="auto"/>
          <w:lang w:val="es-ES_tradnl"/>
        </w:rPr>
        <w:t xml:space="preserve">, cabe resaltar la acción de nulidad interpuesta en 2015 contra los contratos de concesión minera otorgados, que a la fecha no parece haber sido resuelta. </w:t>
      </w:r>
      <w:r w:rsidR="00540809" w:rsidRPr="00BF20FA">
        <w:rPr>
          <w:rFonts w:asciiTheme="majorHAnsi" w:eastAsia="Calibri" w:hAnsiTheme="majorHAnsi"/>
          <w:sz w:val="20"/>
          <w:szCs w:val="20"/>
          <w:bdr w:val="none" w:sz="0" w:space="0" w:color="auto"/>
          <w:lang w:val="es-ES_tradnl"/>
        </w:rPr>
        <w:t xml:space="preserve"> </w:t>
      </w:r>
    </w:p>
    <w:p w14:paraId="37DFC0B9" w14:textId="77777777" w:rsidR="00592164" w:rsidRPr="00A538F3" w:rsidRDefault="00592164" w:rsidP="00592164">
      <w:pPr>
        <w:pStyle w:val="ListParagraph"/>
        <w:rPr>
          <w:rFonts w:asciiTheme="majorHAnsi" w:eastAsia="Calibri" w:hAnsiTheme="majorHAnsi"/>
          <w:sz w:val="18"/>
          <w:szCs w:val="18"/>
          <w:bdr w:val="none" w:sz="0" w:space="0" w:color="auto"/>
          <w:lang w:val="es-ES_tradnl"/>
        </w:rPr>
      </w:pPr>
    </w:p>
    <w:p w14:paraId="1DF15D63" w14:textId="314B7B44" w:rsidR="006C3A25" w:rsidRDefault="006C3A25"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 xml:space="preserve">La Comisión advierte que los recursos utilizados por miembros del Pueblo U´wa </w:t>
      </w:r>
      <w:r w:rsidR="001E77BA" w:rsidRPr="00BF20FA">
        <w:rPr>
          <w:rFonts w:asciiTheme="majorHAnsi" w:eastAsia="Calibri" w:hAnsiTheme="majorHAnsi"/>
          <w:sz w:val="20"/>
          <w:szCs w:val="20"/>
          <w:bdr w:val="none" w:sz="0" w:space="0" w:color="auto"/>
          <w:lang w:val="es-ES_tradnl"/>
        </w:rPr>
        <w:t xml:space="preserve">tenían como finalidad </w:t>
      </w:r>
      <w:r w:rsidR="009A7346" w:rsidRPr="00BF20FA">
        <w:rPr>
          <w:rFonts w:asciiTheme="majorHAnsi" w:eastAsia="Calibri" w:hAnsiTheme="majorHAnsi"/>
          <w:sz w:val="20"/>
          <w:szCs w:val="20"/>
          <w:bdr w:val="none" w:sz="0" w:space="0" w:color="auto"/>
          <w:lang w:val="es-ES_tradnl"/>
        </w:rPr>
        <w:t xml:space="preserve">común </w:t>
      </w:r>
      <w:r w:rsidR="001E77BA" w:rsidRPr="00BF20FA">
        <w:rPr>
          <w:rFonts w:asciiTheme="majorHAnsi" w:eastAsia="Calibri" w:hAnsiTheme="majorHAnsi"/>
          <w:sz w:val="20"/>
          <w:szCs w:val="20"/>
          <w:bdr w:val="none" w:sz="0" w:space="0" w:color="auto"/>
          <w:lang w:val="es-ES_tradnl"/>
        </w:rPr>
        <w:t>la protección de su territorio</w:t>
      </w:r>
      <w:r w:rsidR="009A7346" w:rsidRPr="00BF20FA">
        <w:rPr>
          <w:rFonts w:asciiTheme="majorHAnsi" w:eastAsia="Calibri" w:hAnsiTheme="majorHAnsi"/>
          <w:sz w:val="20"/>
          <w:szCs w:val="20"/>
          <w:bdr w:val="none" w:sz="0" w:space="0" w:color="auto"/>
          <w:lang w:val="es-ES_tradnl"/>
        </w:rPr>
        <w:t xml:space="preserve"> y detener los proyectos autorizados, dadas las afectaciones que generarían y la </w:t>
      </w:r>
      <w:r w:rsidR="009A7346" w:rsidRPr="000A5F88">
        <w:rPr>
          <w:rFonts w:asciiTheme="majorHAnsi" w:hAnsiTheme="majorHAnsi"/>
          <w:sz w:val="20"/>
          <w:szCs w:val="20"/>
          <w:lang w:val="es-AR"/>
        </w:rPr>
        <w:t>afectación</w:t>
      </w:r>
      <w:r w:rsidR="009A7346" w:rsidRPr="00BF20FA">
        <w:rPr>
          <w:rFonts w:asciiTheme="majorHAnsi" w:eastAsia="Calibri" w:hAnsiTheme="majorHAnsi"/>
          <w:sz w:val="20"/>
          <w:szCs w:val="20"/>
          <w:bdr w:val="none" w:sz="0" w:space="0" w:color="auto"/>
          <w:lang w:val="es-ES_tradnl"/>
        </w:rPr>
        <w:t xml:space="preserve"> que ello significaría a su propia supervivencia. Aunado a ello, cabe reiterar que no se cuenta en Colombia con una regulación </w:t>
      </w:r>
      <w:r w:rsidR="00F52813" w:rsidRPr="00BF20FA">
        <w:rPr>
          <w:rFonts w:asciiTheme="majorHAnsi" w:eastAsia="Calibri" w:hAnsiTheme="majorHAnsi"/>
          <w:sz w:val="20"/>
          <w:szCs w:val="20"/>
          <w:bdr w:val="none" w:sz="0" w:space="0" w:color="auto"/>
          <w:lang w:val="es-ES_tradnl"/>
        </w:rPr>
        <w:t xml:space="preserve">del derecho de consulta previa, lo que dificulta que los miembros de pueblos indígenas tengan los elementos y herramientas necesarias para cuestionar los permisos otorgados por el Estado, dejándolos en desigualdad de armas frente a las grandes empresas y el mismo Estado. </w:t>
      </w:r>
    </w:p>
    <w:p w14:paraId="37C4BC3E" w14:textId="57C00C48" w:rsidR="00087845" w:rsidRDefault="00087845" w:rsidP="00087845">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jc w:val="both"/>
        <w:rPr>
          <w:rFonts w:asciiTheme="majorHAnsi" w:eastAsia="Calibri" w:hAnsiTheme="majorHAnsi"/>
          <w:sz w:val="20"/>
          <w:szCs w:val="20"/>
          <w:bdr w:val="none" w:sz="0" w:space="0" w:color="auto"/>
          <w:lang w:val="es-ES_tradnl"/>
        </w:rPr>
      </w:pPr>
    </w:p>
    <w:p w14:paraId="2687B236" w14:textId="5B14EDFD" w:rsidR="008F2D6C" w:rsidRPr="00BF20FA" w:rsidRDefault="008F2D6C"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 xml:space="preserve">En virtud de lo anterior, </w:t>
      </w:r>
      <w:r w:rsidR="006849B6" w:rsidRPr="00BF20FA">
        <w:rPr>
          <w:rFonts w:asciiTheme="majorHAnsi" w:eastAsia="Calibri" w:hAnsiTheme="majorHAnsi"/>
          <w:sz w:val="20"/>
          <w:szCs w:val="20"/>
          <w:bdr w:val="none" w:sz="0" w:space="0" w:color="auto"/>
          <w:lang w:val="es-ES_tradnl"/>
        </w:rPr>
        <w:t>la Comisión concluye que se vulneraron los derechos consagrados en los artículos 8.1 y 25.</w:t>
      </w:r>
      <w:r w:rsidR="006849B6" w:rsidRPr="000A5F88">
        <w:rPr>
          <w:rFonts w:asciiTheme="majorHAnsi" w:hAnsiTheme="majorHAnsi"/>
          <w:sz w:val="20"/>
          <w:szCs w:val="20"/>
          <w:lang w:val="es-AR"/>
        </w:rPr>
        <w:t xml:space="preserve">1 de la Convención Americana, </w:t>
      </w:r>
      <w:r w:rsidR="00896284" w:rsidRPr="000A5F88">
        <w:rPr>
          <w:rFonts w:asciiTheme="majorHAnsi" w:hAnsiTheme="majorHAnsi"/>
          <w:sz w:val="20"/>
          <w:szCs w:val="20"/>
          <w:lang w:val="es-AR"/>
        </w:rPr>
        <w:t xml:space="preserve">en </w:t>
      </w:r>
      <w:r w:rsidR="006849B6" w:rsidRPr="000A5F88">
        <w:rPr>
          <w:rFonts w:asciiTheme="majorHAnsi" w:hAnsiTheme="majorHAnsi"/>
          <w:sz w:val="20"/>
          <w:szCs w:val="20"/>
          <w:lang w:val="es-AR"/>
        </w:rPr>
        <w:t>relación</w:t>
      </w:r>
      <w:r w:rsidR="00896284" w:rsidRPr="000A5F88">
        <w:rPr>
          <w:rFonts w:asciiTheme="majorHAnsi" w:hAnsiTheme="majorHAnsi"/>
          <w:sz w:val="20"/>
          <w:szCs w:val="20"/>
          <w:lang w:val="es-AR"/>
        </w:rPr>
        <w:t xml:space="preserve"> con</w:t>
      </w:r>
      <w:r w:rsidR="006849B6" w:rsidRPr="000A5F88">
        <w:rPr>
          <w:rFonts w:asciiTheme="majorHAnsi" w:hAnsiTheme="majorHAnsi"/>
          <w:sz w:val="20"/>
          <w:szCs w:val="20"/>
          <w:lang w:val="es-AR"/>
        </w:rPr>
        <w:t xml:space="preserve"> las obligaciones establecidas en los artículos 1.1 y 2 del mismo </w:t>
      </w:r>
      <w:r w:rsidR="006849B6" w:rsidRPr="00BF20FA">
        <w:rPr>
          <w:rFonts w:asciiTheme="majorHAnsi" w:eastAsia="Calibri" w:hAnsiTheme="majorHAnsi"/>
          <w:sz w:val="20"/>
          <w:szCs w:val="20"/>
          <w:bdr w:val="none" w:sz="0" w:space="0" w:color="auto"/>
          <w:lang w:val="es-ES_tradnl"/>
        </w:rPr>
        <w:t xml:space="preserve">instrumento, en perjuicio del Pueblo U´wa. </w:t>
      </w:r>
    </w:p>
    <w:p w14:paraId="7A07B8C3" w14:textId="77777777" w:rsidR="00B9450C" w:rsidRPr="00A538F3" w:rsidRDefault="00B9450C" w:rsidP="00BD5E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b/>
          <w:color w:val="000000" w:themeColor="text1"/>
          <w:sz w:val="18"/>
          <w:szCs w:val="18"/>
          <w:lang w:val="es-VE"/>
        </w:rPr>
      </w:pPr>
    </w:p>
    <w:p w14:paraId="3B40B99B" w14:textId="0E19C6E3" w:rsidR="005C4A48" w:rsidRPr="00BF20FA" w:rsidRDefault="005C4A48" w:rsidP="00BB3426">
      <w:pPr>
        <w:pStyle w:val="Heading1"/>
        <w:spacing w:before="0"/>
        <w:ind w:left="360"/>
        <w:rPr>
          <w:color w:val="auto"/>
          <w:sz w:val="20"/>
          <w:szCs w:val="20"/>
          <w:lang w:val="es-ES_tradnl"/>
        </w:rPr>
      </w:pPr>
      <w:bookmarkStart w:id="46" w:name="_Toc423502737"/>
      <w:bookmarkStart w:id="47" w:name="_Toc15671759"/>
      <w:bookmarkStart w:id="48" w:name="_Toc17221580"/>
      <w:r w:rsidRPr="00BF20FA">
        <w:rPr>
          <w:color w:val="auto"/>
          <w:sz w:val="20"/>
          <w:szCs w:val="20"/>
          <w:lang w:val="es-ES_tradnl"/>
        </w:rPr>
        <w:t>CONCLUSIONE</w:t>
      </w:r>
      <w:bookmarkEnd w:id="46"/>
      <w:bookmarkEnd w:id="47"/>
      <w:r w:rsidR="008F5967" w:rsidRPr="00BF20FA">
        <w:rPr>
          <w:color w:val="auto"/>
          <w:sz w:val="20"/>
          <w:szCs w:val="20"/>
          <w:lang w:val="es-ES_tradnl"/>
        </w:rPr>
        <w:t>S Y RECOMENDACIONES</w:t>
      </w:r>
      <w:bookmarkEnd w:id="48"/>
      <w:r w:rsidR="008F5967" w:rsidRPr="00BF20FA">
        <w:rPr>
          <w:color w:val="auto"/>
          <w:sz w:val="20"/>
          <w:szCs w:val="20"/>
          <w:lang w:val="es-ES_tradnl"/>
        </w:rPr>
        <w:t xml:space="preserve"> </w:t>
      </w:r>
    </w:p>
    <w:p w14:paraId="40CF58C3" w14:textId="77777777" w:rsidR="00BB3426" w:rsidRPr="00A538F3" w:rsidRDefault="00BB3426" w:rsidP="00BB3426">
      <w:pPr>
        <w:rPr>
          <w:sz w:val="18"/>
          <w:szCs w:val="18"/>
          <w:lang w:val="es-ES_tradnl"/>
        </w:rPr>
      </w:pPr>
    </w:p>
    <w:p w14:paraId="3D1D4DF2" w14:textId="2CDFD665" w:rsidR="005C4A48" w:rsidRPr="00BF20FA" w:rsidRDefault="008F5967" w:rsidP="000A5F88">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left" w:pos="540"/>
        </w:tabs>
        <w:ind w:left="0" w:firstLine="0"/>
        <w:jc w:val="both"/>
        <w:rPr>
          <w:rFonts w:asciiTheme="majorHAnsi" w:eastAsia="Calibri" w:hAnsiTheme="majorHAnsi"/>
          <w:sz w:val="20"/>
          <w:szCs w:val="20"/>
          <w:bdr w:val="none" w:sz="0" w:space="0" w:color="auto"/>
          <w:lang w:val="es-ES_tradnl"/>
        </w:rPr>
      </w:pPr>
      <w:r w:rsidRPr="00BF20FA">
        <w:rPr>
          <w:rFonts w:asciiTheme="majorHAnsi" w:eastAsia="Calibri" w:hAnsiTheme="majorHAnsi"/>
          <w:sz w:val="20"/>
          <w:szCs w:val="20"/>
          <w:bdr w:val="none" w:sz="0" w:space="0" w:color="auto"/>
          <w:lang w:val="es-ES_tradnl"/>
        </w:rPr>
        <w:t>Con base en las determinaciones de hecho y de derecho del presente informe, la C</w:t>
      </w:r>
      <w:r w:rsidR="005C4A48" w:rsidRPr="00BF20FA">
        <w:rPr>
          <w:rFonts w:asciiTheme="majorHAnsi" w:eastAsia="Calibri" w:hAnsiTheme="majorHAnsi"/>
          <w:sz w:val="20"/>
          <w:szCs w:val="20"/>
          <w:bdr w:val="none" w:sz="0" w:space="0" w:color="auto"/>
          <w:lang w:val="es-ES_tradnl"/>
        </w:rPr>
        <w:t xml:space="preserve">omisión Interamericana </w:t>
      </w:r>
      <w:r w:rsidRPr="00BF20FA">
        <w:rPr>
          <w:rFonts w:asciiTheme="majorHAnsi" w:eastAsia="Calibri" w:hAnsiTheme="majorHAnsi"/>
          <w:sz w:val="20"/>
          <w:szCs w:val="20"/>
          <w:bdr w:val="none" w:sz="0" w:space="0" w:color="auto"/>
          <w:lang w:val="es-ES_tradnl"/>
        </w:rPr>
        <w:t>concluye que el Estado es responsable por la violación de los derechos establecidos en los artículos: 8.1 (garantías judiciales), 13 (libertad de pensamiento y expresión),</w:t>
      </w:r>
      <w:r w:rsidR="00560E8F" w:rsidRPr="00560E8F">
        <w:rPr>
          <w:rFonts w:asciiTheme="majorHAnsi" w:eastAsia="Batang" w:hAnsiTheme="majorHAnsi" w:cs="Arial"/>
          <w:sz w:val="20"/>
          <w:bdr w:val="none" w:sz="0" w:space="0" w:color="auto"/>
          <w:lang w:val="es-ES"/>
        </w:rPr>
        <w:t xml:space="preserve"> </w:t>
      </w:r>
      <w:r w:rsidR="00560E8F">
        <w:rPr>
          <w:rFonts w:asciiTheme="majorHAnsi" w:eastAsia="Batang" w:hAnsiTheme="majorHAnsi" w:cs="Arial"/>
          <w:sz w:val="20"/>
          <w:bdr w:val="none" w:sz="0" w:space="0" w:color="auto"/>
          <w:lang w:val="es-ES"/>
        </w:rPr>
        <w:t>21 (</w:t>
      </w:r>
      <w:r w:rsidR="00560E8F" w:rsidRPr="00BF20FA">
        <w:rPr>
          <w:rFonts w:asciiTheme="majorHAnsi" w:eastAsia="Batang" w:hAnsiTheme="majorHAnsi" w:cs="Arial"/>
          <w:sz w:val="20"/>
          <w:bdr w:val="none" w:sz="0" w:space="0" w:color="auto"/>
          <w:lang w:val="es-ES"/>
        </w:rPr>
        <w:t>propiedad colectiva</w:t>
      </w:r>
      <w:r w:rsidR="00560E8F">
        <w:rPr>
          <w:rFonts w:asciiTheme="majorHAnsi" w:eastAsia="Batang" w:hAnsiTheme="majorHAnsi" w:cs="Arial"/>
          <w:sz w:val="20"/>
          <w:bdr w:val="none" w:sz="0" w:space="0" w:color="auto"/>
          <w:lang w:val="es-ES"/>
        </w:rPr>
        <w:t>),</w:t>
      </w:r>
      <w:r w:rsidRPr="00BF20FA">
        <w:rPr>
          <w:rFonts w:asciiTheme="majorHAnsi" w:eastAsia="Calibri" w:hAnsiTheme="majorHAnsi"/>
          <w:sz w:val="20"/>
          <w:szCs w:val="20"/>
          <w:bdr w:val="none" w:sz="0" w:space="0" w:color="auto"/>
          <w:lang w:val="es-ES_tradnl"/>
        </w:rPr>
        <w:t xml:space="preserve"> 23 (derechos políticos)</w:t>
      </w:r>
      <w:r w:rsidR="00B97941">
        <w:rPr>
          <w:rFonts w:asciiTheme="majorHAnsi" w:eastAsia="Calibri" w:hAnsiTheme="majorHAnsi"/>
          <w:sz w:val="20"/>
          <w:szCs w:val="20"/>
          <w:bdr w:val="none" w:sz="0" w:space="0" w:color="auto"/>
          <w:lang w:val="es-ES_tradnl"/>
        </w:rPr>
        <w:t>, 25.1 (protección judicial)</w:t>
      </w:r>
      <w:r w:rsidRPr="00BF20FA">
        <w:rPr>
          <w:rFonts w:asciiTheme="majorHAnsi" w:eastAsia="Calibri" w:hAnsiTheme="majorHAnsi"/>
          <w:sz w:val="20"/>
          <w:szCs w:val="20"/>
          <w:bdr w:val="none" w:sz="0" w:space="0" w:color="auto"/>
          <w:lang w:val="es-ES_tradnl"/>
        </w:rPr>
        <w:t xml:space="preserve"> y 26 (derechos culturales) de la Convención Americana, en relación con los artículos 1.1 y 2 del mismo instrumento.  </w:t>
      </w:r>
    </w:p>
    <w:p w14:paraId="28440034" w14:textId="77777777" w:rsidR="005C4A48" w:rsidRPr="00A538F3" w:rsidRDefault="005C4A48" w:rsidP="005C4A4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Theme="majorHAnsi" w:eastAsia="Calibri" w:hAnsiTheme="majorHAnsi"/>
          <w:sz w:val="18"/>
          <w:szCs w:val="18"/>
          <w:bdr w:val="none" w:sz="0" w:space="0" w:color="auto"/>
          <w:lang w:val="es-ES_tradnl"/>
        </w:rPr>
      </w:pPr>
    </w:p>
    <w:p w14:paraId="53C882B6" w14:textId="507791F6" w:rsidR="005C4A48" w:rsidRPr="00BF20FA" w:rsidRDefault="005C4A48" w:rsidP="005C4A4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20"/>
        <w:jc w:val="both"/>
        <w:rPr>
          <w:rFonts w:asciiTheme="majorHAnsi" w:eastAsia="Calibri" w:hAnsiTheme="majorHAnsi"/>
          <w:b/>
          <w:sz w:val="20"/>
          <w:szCs w:val="20"/>
          <w:bdr w:val="none" w:sz="0" w:space="0" w:color="auto"/>
          <w:lang w:val="es-ES_tradnl"/>
        </w:rPr>
      </w:pPr>
      <w:r w:rsidRPr="00BF20FA">
        <w:rPr>
          <w:rFonts w:asciiTheme="majorHAnsi" w:eastAsia="Calibri" w:hAnsiTheme="majorHAnsi"/>
          <w:b/>
          <w:sz w:val="20"/>
          <w:szCs w:val="20"/>
          <w:bdr w:val="none" w:sz="0" w:space="0" w:color="auto"/>
          <w:lang w:val="es-ES_tradnl"/>
        </w:rPr>
        <w:t xml:space="preserve">LA COMISIÓN INTERAMERICANA DE DERECHOS HUMANOS RECOMIENDA AL ESTADO DE </w:t>
      </w:r>
      <w:r w:rsidR="009069FA" w:rsidRPr="00BF20FA">
        <w:rPr>
          <w:rFonts w:asciiTheme="majorHAnsi" w:eastAsia="Calibri" w:hAnsiTheme="majorHAnsi"/>
          <w:b/>
          <w:sz w:val="20"/>
          <w:szCs w:val="20"/>
          <w:bdr w:val="none" w:sz="0" w:space="0" w:color="auto"/>
          <w:lang w:val="es-ES_tradnl"/>
        </w:rPr>
        <w:t>COLOMBIA</w:t>
      </w:r>
      <w:r w:rsidRPr="00BF20FA">
        <w:rPr>
          <w:rFonts w:asciiTheme="majorHAnsi" w:eastAsia="Calibri" w:hAnsiTheme="majorHAnsi"/>
          <w:b/>
          <w:sz w:val="20"/>
          <w:szCs w:val="20"/>
          <w:bdr w:val="none" w:sz="0" w:space="0" w:color="auto"/>
          <w:lang w:val="es-ES_tradnl"/>
        </w:rPr>
        <w:t>:</w:t>
      </w:r>
    </w:p>
    <w:p w14:paraId="4E4B6652" w14:textId="77777777" w:rsidR="005C4A48" w:rsidRPr="00A538F3" w:rsidRDefault="005C4A48" w:rsidP="005C4A48">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720"/>
        <w:rPr>
          <w:rFonts w:asciiTheme="majorHAnsi" w:eastAsia="Calibri" w:hAnsiTheme="majorHAnsi"/>
          <w:sz w:val="18"/>
          <w:szCs w:val="18"/>
          <w:bdr w:val="none" w:sz="0" w:space="0" w:color="auto"/>
          <w:lang w:val="es-ES_tradnl"/>
        </w:rPr>
      </w:pPr>
    </w:p>
    <w:p w14:paraId="3DA12856" w14:textId="677A134F" w:rsidR="00700CF7" w:rsidRPr="000A5F88" w:rsidRDefault="005C4A48" w:rsidP="000A5F88">
      <w:pPr>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s>
        <w:autoSpaceDE w:val="0"/>
        <w:autoSpaceDN w:val="0"/>
        <w:adjustRightInd w:val="0"/>
        <w:ind w:left="720" w:hanging="720"/>
        <w:jc w:val="both"/>
        <w:rPr>
          <w:rFonts w:asciiTheme="majorHAnsi" w:eastAsia="Calibri" w:hAnsiTheme="majorHAnsi" w:cs="Arial"/>
          <w:sz w:val="20"/>
          <w:szCs w:val="20"/>
          <w:bdr w:val="none" w:sz="0" w:space="0" w:color="auto"/>
          <w:lang w:val="es-ES"/>
        </w:rPr>
      </w:pPr>
      <w:r w:rsidRPr="00BF20FA">
        <w:rPr>
          <w:rFonts w:asciiTheme="majorHAnsi" w:eastAsia="Calibri" w:hAnsiTheme="majorHAnsi" w:cs="Arial"/>
          <w:sz w:val="20"/>
          <w:szCs w:val="20"/>
          <w:bdr w:val="none" w:sz="0" w:space="0" w:color="auto"/>
          <w:lang w:val="es-ES"/>
        </w:rPr>
        <w:t xml:space="preserve">Adoptar a la </w:t>
      </w:r>
      <w:r w:rsidR="00477A17" w:rsidRPr="00BF20FA">
        <w:rPr>
          <w:rFonts w:asciiTheme="majorHAnsi" w:eastAsia="Calibri" w:hAnsiTheme="majorHAnsi" w:cs="Arial"/>
          <w:sz w:val="20"/>
          <w:szCs w:val="20"/>
          <w:bdr w:val="none" w:sz="0" w:space="0" w:color="auto"/>
          <w:lang w:val="es-ES"/>
        </w:rPr>
        <w:t xml:space="preserve">mayor </w:t>
      </w:r>
      <w:r w:rsidRPr="00BF20FA">
        <w:rPr>
          <w:rFonts w:asciiTheme="majorHAnsi" w:eastAsia="Calibri" w:hAnsiTheme="majorHAnsi" w:cs="Arial"/>
          <w:sz w:val="20"/>
          <w:szCs w:val="20"/>
          <w:bdr w:val="none" w:sz="0" w:space="0" w:color="auto"/>
          <w:lang w:val="es-ES"/>
        </w:rPr>
        <w:t>brevedad</w:t>
      </w:r>
      <w:r w:rsidR="00477A17" w:rsidRPr="00BF20FA">
        <w:rPr>
          <w:rFonts w:asciiTheme="majorHAnsi" w:eastAsia="Calibri" w:hAnsiTheme="majorHAnsi" w:cs="Arial"/>
          <w:sz w:val="20"/>
          <w:szCs w:val="20"/>
          <w:bdr w:val="none" w:sz="0" w:space="0" w:color="auto"/>
          <w:lang w:val="es-ES"/>
        </w:rPr>
        <w:t xml:space="preserve"> posible</w:t>
      </w:r>
      <w:r w:rsidR="006B0AAA" w:rsidRPr="00BF20FA">
        <w:rPr>
          <w:rFonts w:asciiTheme="majorHAnsi" w:eastAsia="Calibri" w:hAnsiTheme="majorHAnsi" w:cs="Arial"/>
          <w:sz w:val="20"/>
          <w:szCs w:val="20"/>
          <w:bdr w:val="none" w:sz="0" w:space="0" w:color="auto"/>
          <w:lang w:val="es-ES"/>
        </w:rPr>
        <w:t xml:space="preserve"> todas</w:t>
      </w:r>
      <w:r w:rsidRPr="00BF20FA">
        <w:rPr>
          <w:rFonts w:asciiTheme="majorHAnsi" w:eastAsia="Calibri" w:hAnsiTheme="majorHAnsi" w:cs="Arial"/>
          <w:sz w:val="20"/>
          <w:szCs w:val="20"/>
          <w:bdr w:val="none" w:sz="0" w:space="0" w:color="auto"/>
          <w:lang w:val="es-ES"/>
        </w:rPr>
        <w:t xml:space="preserve"> las medidas necesarias</w:t>
      </w:r>
      <w:r w:rsidR="00992C36" w:rsidRPr="00BF20FA">
        <w:rPr>
          <w:rFonts w:asciiTheme="majorHAnsi" w:eastAsia="Calibri" w:hAnsiTheme="majorHAnsi" w:cs="Arial"/>
          <w:sz w:val="20"/>
          <w:szCs w:val="20"/>
          <w:bdr w:val="none" w:sz="0" w:space="0" w:color="auto"/>
          <w:lang w:val="es-ES"/>
        </w:rPr>
        <w:t xml:space="preserve"> para hacer efectivo el derecho a la propiedad co</w:t>
      </w:r>
      <w:r w:rsidR="00C65DDB" w:rsidRPr="00BF20FA">
        <w:rPr>
          <w:rFonts w:asciiTheme="majorHAnsi" w:eastAsia="Calibri" w:hAnsiTheme="majorHAnsi" w:cs="Arial"/>
          <w:sz w:val="20"/>
          <w:szCs w:val="20"/>
          <w:bdr w:val="none" w:sz="0" w:space="0" w:color="auto"/>
          <w:lang w:val="es-ES"/>
        </w:rPr>
        <w:t>lectiva</w:t>
      </w:r>
      <w:r w:rsidR="00992C36" w:rsidRPr="00BF20FA">
        <w:rPr>
          <w:rFonts w:asciiTheme="majorHAnsi" w:eastAsia="Calibri" w:hAnsiTheme="majorHAnsi" w:cs="Arial"/>
          <w:sz w:val="20"/>
          <w:szCs w:val="20"/>
          <w:bdr w:val="none" w:sz="0" w:space="0" w:color="auto"/>
          <w:lang w:val="es-ES"/>
        </w:rPr>
        <w:t xml:space="preserve"> y la posesión del Pueblo Indígena U´wa,</w:t>
      </w:r>
      <w:r w:rsidRPr="00BF20FA">
        <w:rPr>
          <w:rFonts w:asciiTheme="majorHAnsi" w:eastAsia="Calibri" w:hAnsiTheme="majorHAnsi" w:cs="Arial"/>
          <w:sz w:val="20"/>
          <w:szCs w:val="20"/>
          <w:bdr w:val="none" w:sz="0" w:space="0" w:color="auto"/>
          <w:lang w:val="es-ES"/>
        </w:rPr>
        <w:t xml:space="preserve"> para lograr </w:t>
      </w:r>
      <w:r w:rsidR="00F63ACC" w:rsidRPr="00BF20FA">
        <w:rPr>
          <w:rFonts w:asciiTheme="majorHAnsi" w:eastAsia="Calibri" w:hAnsiTheme="majorHAnsi" w:cs="Arial"/>
          <w:sz w:val="20"/>
          <w:szCs w:val="20"/>
          <w:bdr w:val="none" w:sz="0" w:space="0" w:color="auto"/>
          <w:lang w:val="es-ES"/>
        </w:rPr>
        <w:t>la titulación</w:t>
      </w:r>
      <w:r w:rsidR="00A94359" w:rsidRPr="00BF20FA">
        <w:rPr>
          <w:rFonts w:asciiTheme="majorHAnsi" w:eastAsia="Calibri" w:hAnsiTheme="majorHAnsi" w:cs="Arial"/>
          <w:sz w:val="20"/>
          <w:szCs w:val="20"/>
          <w:bdr w:val="none" w:sz="0" w:space="0" w:color="auto"/>
          <w:lang w:val="es-ES"/>
        </w:rPr>
        <w:t xml:space="preserve"> completa</w:t>
      </w:r>
      <w:r w:rsidR="00F63ACC" w:rsidRPr="00BF20FA">
        <w:rPr>
          <w:rFonts w:asciiTheme="majorHAnsi" w:eastAsia="Calibri" w:hAnsiTheme="majorHAnsi" w:cs="Arial"/>
          <w:sz w:val="20"/>
          <w:szCs w:val="20"/>
          <w:bdr w:val="none" w:sz="0" w:space="0" w:color="auto"/>
          <w:lang w:val="es-ES"/>
        </w:rPr>
        <w:t xml:space="preserve"> y </w:t>
      </w:r>
      <w:r w:rsidRPr="00BF20FA">
        <w:rPr>
          <w:rFonts w:asciiTheme="majorHAnsi" w:eastAsia="Times" w:hAnsiTheme="majorHAnsi" w:cs="Arial"/>
          <w:sz w:val="20"/>
          <w:szCs w:val="20"/>
          <w:bdr w:val="none" w:sz="0" w:space="0" w:color="auto"/>
          <w:lang w:val="es-ES"/>
        </w:rPr>
        <w:t>el saneamiento efectivo de</w:t>
      </w:r>
      <w:r w:rsidR="00992C36" w:rsidRPr="00BF20FA">
        <w:rPr>
          <w:rFonts w:asciiTheme="majorHAnsi" w:eastAsia="Times" w:hAnsiTheme="majorHAnsi" w:cs="Arial"/>
          <w:sz w:val="20"/>
          <w:szCs w:val="20"/>
          <w:bdr w:val="none" w:sz="0" w:space="0" w:color="auto"/>
          <w:lang w:val="es-ES"/>
        </w:rPr>
        <w:t xml:space="preserve"> su</w:t>
      </w:r>
      <w:r w:rsidRPr="00BF20FA">
        <w:rPr>
          <w:rFonts w:asciiTheme="majorHAnsi" w:eastAsia="Times" w:hAnsiTheme="majorHAnsi" w:cs="Arial"/>
          <w:sz w:val="20"/>
          <w:szCs w:val="20"/>
          <w:bdr w:val="none" w:sz="0" w:space="0" w:color="auto"/>
          <w:lang w:val="es-ES"/>
        </w:rPr>
        <w:t xml:space="preserve"> territorio ancestral. </w:t>
      </w:r>
      <w:r w:rsidR="00652382" w:rsidRPr="00BF20FA">
        <w:rPr>
          <w:rFonts w:asciiTheme="majorHAnsi" w:eastAsia="Times" w:hAnsiTheme="majorHAnsi" w:cs="Arial"/>
          <w:sz w:val="20"/>
          <w:szCs w:val="20"/>
          <w:bdr w:val="none" w:sz="0" w:space="0" w:color="auto"/>
          <w:lang w:val="es-ES"/>
        </w:rPr>
        <w:t xml:space="preserve">El Estado deberá asegurar que estas medidas sean conducentes para </w:t>
      </w:r>
      <w:r w:rsidR="008F5967" w:rsidRPr="00BF20FA">
        <w:rPr>
          <w:rFonts w:asciiTheme="majorHAnsi" w:eastAsia="Calibri" w:hAnsiTheme="majorHAnsi" w:cs="Arial"/>
          <w:sz w:val="20"/>
          <w:szCs w:val="20"/>
          <w:bdr w:val="none" w:sz="0" w:space="0" w:color="auto"/>
          <w:lang w:val="es-ES"/>
        </w:rPr>
        <w:t>garantizar</w:t>
      </w:r>
      <w:r w:rsidR="00652382" w:rsidRPr="00BF20FA">
        <w:rPr>
          <w:rFonts w:asciiTheme="majorHAnsi" w:eastAsia="Calibri" w:hAnsiTheme="majorHAnsi" w:cs="Arial"/>
          <w:sz w:val="20"/>
          <w:szCs w:val="20"/>
          <w:bdr w:val="none" w:sz="0" w:space="0" w:color="auto"/>
          <w:lang w:val="es-ES"/>
        </w:rPr>
        <w:t xml:space="preserve"> de manera efectiva</w:t>
      </w:r>
      <w:r w:rsidR="008F5967" w:rsidRPr="00BF20FA">
        <w:rPr>
          <w:rFonts w:asciiTheme="majorHAnsi" w:eastAsia="Calibri" w:hAnsiTheme="majorHAnsi" w:cs="Arial"/>
          <w:sz w:val="20"/>
          <w:szCs w:val="20"/>
          <w:bdr w:val="none" w:sz="0" w:space="0" w:color="auto"/>
          <w:lang w:val="es-ES"/>
        </w:rPr>
        <w:t xml:space="preserve"> </w:t>
      </w:r>
      <w:r w:rsidR="000A3915">
        <w:rPr>
          <w:rFonts w:asciiTheme="majorHAnsi" w:eastAsia="Calibri" w:hAnsiTheme="majorHAnsi" w:cs="Arial"/>
          <w:sz w:val="20"/>
          <w:szCs w:val="20"/>
          <w:bdr w:val="none" w:sz="0" w:space="0" w:color="auto"/>
          <w:lang w:val="es-ES"/>
        </w:rPr>
        <w:t>la libre determinación de</w:t>
      </w:r>
      <w:r w:rsidR="000A3915" w:rsidRPr="00BF20FA">
        <w:rPr>
          <w:rFonts w:asciiTheme="majorHAnsi" w:eastAsia="Calibri" w:hAnsiTheme="majorHAnsi" w:cs="Arial"/>
          <w:sz w:val="20"/>
          <w:szCs w:val="20"/>
          <w:bdr w:val="none" w:sz="0" w:space="0" w:color="auto"/>
          <w:lang w:val="es-ES"/>
        </w:rPr>
        <w:t xml:space="preserve"> </w:t>
      </w:r>
      <w:r w:rsidR="008F5967" w:rsidRPr="00BF20FA">
        <w:rPr>
          <w:rFonts w:asciiTheme="majorHAnsi" w:eastAsia="Calibri" w:hAnsiTheme="majorHAnsi" w:cs="Arial"/>
          <w:sz w:val="20"/>
          <w:szCs w:val="20"/>
          <w:bdr w:val="none" w:sz="0" w:space="0" w:color="auto"/>
          <w:lang w:val="es-ES"/>
        </w:rPr>
        <w:t>los miembros del P</w:t>
      </w:r>
      <w:r w:rsidRPr="00BF20FA">
        <w:rPr>
          <w:rFonts w:asciiTheme="majorHAnsi" w:eastAsia="Calibri" w:hAnsiTheme="majorHAnsi" w:cs="Arial"/>
          <w:sz w:val="20"/>
          <w:szCs w:val="20"/>
          <w:bdr w:val="none" w:sz="0" w:space="0" w:color="auto"/>
          <w:lang w:val="es-ES"/>
        </w:rPr>
        <w:t>ueblo</w:t>
      </w:r>
      <w:r w:rsidR="00C700A2" w:rsidRPr="00BF20FA">
        <w:rPr>
          <w:rFonts w:asciiTheme="majorHAnsi" w:eastAsia="Calibri" w:hAnsiTheme="majorHAnsi" w:cs="Arial"/>
          <w:sz w:val="20"/>
          <w:szCs w:val="20"/>
          <w:bdr w:val="none" w:sz="0" w:space="0" w:color="auto"/>
          <w:lang w:val="es-ES"/>
        </w:rPr>
        <w:t xml:space="preserve"> U´wa</w:t>
      </w:r>
      <w:r w:rsidRPr="00BF20FA">
        <w:rPr>
          <w:rFonts w:asciiTheme="majorHAnsi" w:eastAsia="Calibri" w:hAnsiTheme="majorHAnsi" w:cs="Arial"/>
          <w:sz w:val="20"/>
          <w:szCs w:val="20"/>
          <w:bdr w:val="none" w:sz="0" w:space="0" w:color="auto"/>
          <w:lang w:val="es-ES"/>
        </w:rPr>
        <w:t xml:space="preserve"> </w:t>
      </w:r>
      <w:r w:rsidR="000A3915">
        <w:rPr>
          <w:rFonts w:asciiTheme="majorHAnsi" w:eastAsia="Calibri" w:hAnsiTheme="majorHAnsi" w:cs="Arial"/>
          <w:sz w:val="20"/>
          <w:szCs w:val="20"/>
          <w:bdr w:val="none" w:sz="0" w:space="0" w:color="auto"/>
          <w:lang w:val="es-ES"/>
        </w:rPr>
        <w:t>y</w:t>
      </w:r>
      <w:r w:rsidR="00735942">
        <w:rPr>
          <w:rFonts w:asciiTheme="majorHAnsi" w:eastAsia="Calibri" w:hAnsiTheme="majorHAnsi" w:cs="Arial"/>
          <w:sz w:val="20"/>
          <w:szCs w:val="20"/>
          <w:bdr w:val="none" w:sz="0" w:space="0" w:color="auto"/>
          <w:lang w:val="es-ES"/>
        </w:rPr>
        <w:t xml:space="preserve"> </w:t>
      </w:r>
      <w:r w:rsidR="00652382" w:rsidRPr="00BF20FA">
        <w:rPr>
          <w:rFonts w:asciiTheme="majorHAnsi" w:eastAsia="Calibri" w:hAnsiTheme="majorHAnsi" w:cs="Arial"/>
          <w:sz w:val="20"/>
          <w:szCs w:val="20"/>
          <w:bdr w:val="none" w:sz="0" w:space="0" w:color="auto"/>
          <w:lang w:val="es-ES"/>
        </w:rPr>
        <w:t xml:space="preserve">su derecho a </w:t>
      </w:r>
      <w:r w:rsidRPr="00BF20FA">
        <w:rPr>
          <w:rFonts w:asciiTheme="majorHAnsi" w:eastAsia="Calibri" w:hAnsiTheme="majorHAnsi"/>
          <w:sz w:val="20"/>
          <w:szCs w:val="20"/>
          <w:bdr w:val="none" w:sz="0" w:space="0" w:color="auto"/>
          <w:lang w:val="es-ES"/>
        </w:rPr>
        <w:t>vivi</w:t>
      </w:r>
      <w:r w:rsidR="00652382" w:rsidRPr="00BF20FA">
        <w:rPr>
          <w:rFonts w:asciiTheme="majorHAnsi" w:eastAsia="Calibri" w:hAnsiTheme="majorHAnsi"/>
          <w:sz w:val="20"/>
          <w:szCs w:val="20"/>
          <w:bdr w:val="none" w:sz="0" w:space="0" w:color="auto"/>
          <w:lang w:val="es-ES"/>
        </w:rPr>
        <w:t xml:space="preserve">r </w:t>
      </w:r>
      <w:r w:rsidRPr="00BF20FA">
        <w:rPr>
          <w:rFonts w:asciiTheme="majorHAnsi" w:eastAsia="Calibri" w:hAnsiTheme="majorHAnsi"/>
          <w:sz w:val="20"/>
          <w:szCs w:val="20"/>
          <w:bdr w:val="none" w:sz="0" w:space="0" w:color="auto"/>
          <w:lang w:val="es-ES"/>
        </w:rPr>
        <w:t>de manera pacífica su modo de vida tradicional, conforme a su identidad cultural, estructura social, sistema económico, costumbres, creencias y tradiciones distintivas</w:t>
      </w:r>
      <w:r w:rsidR="00992C36" w:rsidRPr="00BF20FA">
        <w:rPr>
          <w:rFonts w:asciiTheme="majorHAnsi" w:eastAsia="Calibri" w:hAnsiTheme="majorHAnsi"/>
          <w:sz w:val="20"/>
          <w:szCs w:val="20"/>
          <w:bdr w:val="none" w:sz="0" w:space="0" w:color="auto"/>
          <w:lang w:val="es-ES"/>
        </w:rPr>
        <w:t>.</w:t>
      </w:r>
    </w:p>
    <w:p w14:paraId="521439F1" w14:textId="77777777" w:rsidR="000A5F88" w:rsidRPr="00A538F3" w:rsidRDefault="000A5F88" w:rsidP="000A5F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jc w:val="both"/>
        <w:rPr>
          <w:rFonts w:asciiTheme="majorHAnsi" w:eastAsia="Calibri" w:hAnsiTheme="majorHAnsi" w:cs="Arial"/>
          <w:sz w:val="18"/>
          <w:szCs w:val="18"/>
          <w:bdr w:val="none" w:sz="0" w:space="0" w:color="auto"/>
          <w:lang w:val="es-ES"/>
        </w:rPr>
      </w:pPr>
    </w:p>
    <w:p w14:paraId="7D0C16D7" w14:textId="6C334F06" w:rsidR="005C4A48" w:rsidRPr="000A5F88" w:rsidRDefault="005C4A48" w:rsidP="000A5F88">
      <w:pPr>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 w:val="num" w:pos="1440"/>
        </w:tabs>
        <w:autoSpaceDE w:val="0"/>
        <w:autoSpaceDN w:val="0"/>
        <w:adjustRightInd w:val="0"/>
        <w:ind w:left="720" w:hanging="720"/>
        <w:jc w:val="both"/>
        <w:rPr>
          <w:rFonts w:asciiTheme="majorHAnsi" w:eastAsia="Calibri" w:hAnsiTheme="majorHAnsi" w:cs="Arial"/>
          <w:sz w:val="20"/>
          <w:szCs w:val="20"/>
          <w:bdr w:val="none" w:sz="0" w:space="0" w:color="auto"/>
          <w:lang w:val="es-ES"/>
        </w:rPr>
      </w:pPr>
      <w:r w:rsidRPr="00BF20FA">
        <w:rPr>
          <w:rFonts w:asciiTheme="majorHAnsi" w:eastAsia="Calibri" w:hAnsiTheme="majorHAnsi" w:cs="Arial"/>
          <w:sz w:val="20"/>
          <w:szCs w:val="20"/>
          <w:bdr w:val="none" w:sz="0" w:space="0" w:color="auto"/>
          <w:lang w:val="es-ES"/>
        </w:rPr>
        <w:lastRenderedPageBreak/>
        <w:t>Reparar</w:t>
      </w:r>
      <w:r w:rsidRPr="00BF20FA">
        <w:rPr>
          <w:rFonts w:asciiTheme="majorHAnsi" w:eastAsia="Calibri" w:hAnsiTheme="majorHAnsi"/>
          <w:sz w:val="20"/>
          <w:szCs w:val="20"/>
          <w:bdr w:val="none" w:sz="0" w:space="0" w:color="auto"/>
          <w:lang w:val="es-ES"/>
        </w:rPr>
        <w:t xml:space="preserve"> </w:t>
      </w:r>
      <w:r w:rsidR="00734FA0" w:rsidRPr="00BF20FA">
        <w:rPr>
          <w:rFonts w:asciiTheme="majorHAnsi" w:eastAsia="Calibri" w:hAnsiTheme="majorHAnsi"/>
          <w:sz w:val="20"/>
          <w:szCs w:val="20"/>
          <w:bdr w:val="none" w:sz="0" w:space="0" w:color="auto"/>
          <w:lang w:val="es-ES"/>
        </w:rPr>
        <w:t xml:space="preserve">integralmente </w:t>
      </w:r>
      <w:r w:rsidRPr="00BF20FA">
        <w:rPr>
          <w:rFonts w:asciiTheme="majorHAnsi" w:eastAsia="Calibri" w:hAnsiTheme="majorHAnsi"/>
          <w:sz w:val="20"/>
          <w:szCs w:val="20"/>
          <w:bdr w:val="none" w:sz="0" w:space="0" w:color="auto"/>
          <w:lang w:val="es-ES"/>
        </w:rPr>
        <w:t>las consecuencias de la</w:t>
      </w:r>
      <w:r w:rsidR="00E92C78" w:rsidRPr="00BF20FA">
        <w:rPr>
          <w:rFonts w:asciiTheme="majorHAnsi" w:eastAsia="Calibri" w:hAnsiTheme="majorHAnsi"/>
          <w:sz w:val="20"/>
          <w:szCs w:val="20"/>
          <w:bdr w:val="none" w:sz="0" w:space="0" w:color="auto"/>
          <w:lang w:val="es-ES"/>
        </w:rPr>
        <w:t>s</w:t>
      </w:r>
      <w:r w:rsidRPr="00BF20FA">
        <w:rPr>
          <w:rFonts w:asciiTheme="majorHAnsi" w:eastAsia="Calibri" w:hAnsiTheme="majorHAnsi"/>
          <w:sz w:val="20"/>
          <w:szCs w:val="20"/>
          <w:bdr w:val="none" w:sz="0" w:space="0" w:color="auto"/>
          <w:lang w:val="es-ES"/>
        </w:rPr>
        <w:t xml:space="preserve"> violaci</w:t>
      </w:r>
      <w:r w:rsidR="00E92C78" w:rsidRPr="00BF20FA">
        <w:rPr>
          <w:rFonts w:asciiTheme="majorHAnsi" w:eastAsia="Calibri" w:hAnsiTheme="majorHAnsi"/>
          <w:sz w:val="20"/>
          <w:szCs w:val="20"/>
          <w:bdr w:val="none" w:sz="0" w:space="0" w:color="auto"/>
          <w:lang w:val="es-ES"/>
        </w:rPr>
        <w:t>ones</w:t>
      </w:r>
      <w:r w:rsidR="00734FA0" w:rsidRPr="00BF20FA">
        <w:rPr>
          <w:rFonts w:asciiTheme="majorHAnsi" w:eastAsia="Calibri" w:hAnsiTheme="majorHAnsi"/>
          <w:sz w:val="20"/>
          <w:szCs w:val="20"/>
          <w:bdr w:val="none" w:sz="0" w:space="0" w:color="auto"/>
          <w:lang w:val="es-ES"/>
        </w:rPr>
        <w:t xml:space="preserve"> </w:t>
      </w:r>
      <w:r w:rsidR="00D35FFF" w:rsidRPr="00BF20FA">
        <w:rPr>
          <w:rFonts w:asciiTheme="majorHAnsi" w:eastAsia="Calibri" w:hAnsiTheme="majorHAnsi"/>
          <w:sz w:val="20"/>
          <w:szCs w:val="20"/>
          <w:bdr w:val="none" w:sz="0" w:space="0" w:color="auto"/>
          <w:lang w:val="es-ES"/>
        </w:rPr>
        <w:t>declaradas en el presente informe de fondo.</w:t>
      </w:r>
      <w:r w:rsidRPr="00BF20FA">
        <w:rPr>
          <w:rFonts w:asciiTheme="majorHAnsi" w:eastAsia="Calibri" w:hAnsiTheme="majorHAnsi"/>
          <w:sz w:val="20"/>
          <w:szCs w:val="20"/>
          <w:bdr w:val="none" w:sz="0" w:space="0" w:color="auto"/>
          <w:lang w:val="es-ES"/>
        </w:rPr>
        <w:t xml:space="preserve"> En especial, considerar los daños provocados al </w:t>
      </w:r>
      <w:r w:rsidR="00700CF7" w:rsidRPr="00BF20FA">
        <w:rPr>
          <w:rFonts w:asciiTheme="majorHAnsi" w:eastAsia="Calibri" w:hAnsiTheme="majorHAnsi"/>
          <w:sz w:val="20"/>
          <w:szCs w:val="20"/>
          <w:bdr w:val="none" w:sz="0" w:space="0" w:color="auto"/>
          <w:lang w:val="es-ES"/>
        </w:rPr>
        <w:t>P</w:t>
      </w:r>
      <w:r w:rsidRPr="00BF20FA">
        <w:rPr>
          <w:rFonts w:asciiTheme="majorHAnsi" w:eastAsia="Calibri" w:hAnsiTheme="majorHAnsi"/>
          <w:sz w:val="20"/>
          <w:szCs w:val="20"/>
          <w:bdr w:val="none" w:sz="0" w:space="0" w:color="auto"/>
          <w:lang w:val="es-ES"/>
        </w:rPr>
        <w:t xml:space="preserve">ueblo </w:t>
      </w:r>
      <w:r w:rsidR="00700CF7" w:rsidRPr="00BF20FA">
        <w:rPr>
          <w:rFonts w:asciiTheme="majorHAnsi" w:eastAsia="Calibri" w:hAnsiTheme="majorHAnsi"/>
          <w:sz w:val="20"/>
          <w:szCs w:val="20"/>
          <w:bdr w:val="none" w:sz="0" w:space="0" w:color="auto"/>
          <w:lang w:val="es-ES"/>
        </w:rPr>
        <w:t>I</w:t>
      </w:r>
      <w:r w:rsidRPr="00BF20FA">
        <w:rPr>
          <w:rFonts w:asciiTheme="majorHAnsi" w:eastAsia="Calibri" w:hAnsiTheme="majorHAnsi"/>
          <w:sz w:val="20"/>
          <w:szCs w:val="20"/>
          <w:bdr w:val="none" w:sz="0" w:space="0" w:color="auto"/>
          <w:lang w:val="es-ES"/>
        </w:rPr>
        <w:t>ndígena U´wa por l</w:t>
      </w:r>
      <w:r w:rsidR="00700CF7" w:rsidRPr="00BF20FA">
        <w:rPr>
          <w:rFonts w:asciiTheme="majorHAnsi" w:eastAsia="Calibri" w:hAnsiTheme="majorHAnsi"/>
          <w:sz w:val="20"/>
          <w:szCs w:val="20"/>
          <w:bdr w:val="none" w:sz="0" w:space="0" w:color="auto"/>
          <w:lang w:val="es-ES"/>
        </w:rPr>
        <w:t xml:space="preserve">a falta de saneamiento de su territorio ancestral, </w:t>
      </w:r>
      <w:r w:rsidR="009F1922" w:rsidRPr="00BF20FA">
        <w:rPr>
          <w:rFonts w:asciiTheme="majorHAnsi" w:eastAsia="Calibri" w:hAnsiTheme="majorHAnsi"/>
          <w:sz w:val="20"/>
          <w:szCs w:val="20"/>
          <w:bdr w:val="none" w:sz="0" w:space="0" w:color="auto"/>
          <w:lang w:val="es-ES"/>
        </w:rPr>
        <w:t xml:space="preserve">así como </w:t>
      </w:r>
      <w:r w:rsidR="00700CF7" w:rsidRPr="00BF20FA">
        <w:rPr>
          <w:rFonts w:asciiTheme="majorHAnsi" w:eastAsia="Calibri" w:hAnsiTheme="majorHAnsi"/>
          <w:sz w:val="20"/>
          <w:szCs w:val="20"/>
          <w:bdr w:val="none" w:sz="0" w:space="0" w:color="auto"/>
          <w:lang w:val="es-ES"/>
        </w:rPr>
        <w:t>los daños causados por los proyectos y por la incursión de</w:t>
      </w:r>
      <w:r w:rsidR="00036703" w:rsidRPr="00BF20FA">
        <w:rPr>
          <w:rFonts w:asciiTheme="majorHAnsi" w:eastAsia="Calibri" w:hAnsiTheme="majorHAnsi"/>
          <w:sz w:val="20"/>
          <w:szCs w:val="20"/>
          <w:bdr w:val="none" w:sz="0" w:space="0" w:color="auto"/>
          <w:lang w:val="es-ES"/>
        </w:rPr>
        <w:t xml:space="preserve"> agentes estatales y de </w:t>
      </w:r>
      <w:r w:rsidR="00700CF7" w:rsidRPr="00BF20FA">
        <w:rPr>
          <w:rFonts w:asciiTheme="majorHAnsi" w:eastAsia="Calibri" w:hAnsiTheme="majorHAnsi"/>
          <w:sz w:val="20"/>
          <w:szCs w:val="20"/>
          <w:bdr w:val="none" w:sz="0" w:space="0" w:color="auto"/>
          <w:lang w:val="es-ES"/>
        </w:rPr>
        <w:t xml:space="preserve">terceros a su territorio. </w:t>
      </w:r>
    </w:p>
    <w:p w14:paraId="6CFFA3EC" w14:textId="77777777" w:rsidR="000A5F88" w:rsidRPr="00A538F3" w:rsidRDefault="000A5F88" w:rsidP="000A5F8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jc w:val="both"/>
        <w:rPr>
          <w:rFonts w:asciiTheme="majorHAnsi" w:eastAsia="Calibri" w:hAnsiTheme="majorHAnsi" w:cs="Arial"/>
          <w:sz w:val="18"/>
          <w:szCs w:val="18"/>
          <w:bdr w:val="none" w:sz="0" w:space="0" w:color="auto"/>
          <w:lang w:val="es-ES"/>
        </w:rPr>
      </w:pPr>
    </w:p>
    <w:p w14:paraId="1F134B13" w14:textId="075B54D6" w:rsidR="00E07290" w:rsidRDefault="002B3AA6" w:rsidP="000A5F88">
      <w:pPr>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 w:val="num" w:pos="1440"/>
        </w:tabs>
        <w:autoSpaceDE w:val="0"/>
        <w:autoSpaceDN w:val="0"/>
        <w:adjustRightInd w:val="0"/>
        <w:ind w:left="720" w:hanging="720"/>
        <w:jc w:val="both"/>
        <w:rPr>
          <w:rFonts w:asciiTheme="majorHAnsi" w:eastAsia="Calibri" w:hAnsiTheme="majorHAnsi" w:cs="Arial"/>
          <w:sz w:val="20"/>
          <w:szCs w:val="20"/>
          <w:bdr w:val="none" w:sz="0" w:space="0" w:color="auto"/>
          <w:lang w:val="es-ES"/>
        </w:rPr>
      </w:pPr>
      <w:r w:rsidRPr="00BF20FA">
        <w:rPr>
          <w:rFonts w:asciiTheme="majorHAnsi" w:eastAsia="Calibri" w:hAnsiTheme="majorHAnsi" w:cs="Arial"/>
          <w:sz w:val="20"/>
          <w:szCs w:val="20"/>
          <w:bdr w:val="none" w:sz="0" w:space="0" w:color="auto"/>
          <w:lang w:val="es-ES"/>
        </w:rPr>
        <w:t>A</w:t>
      </w:r>
      <w:r w:rsidR="009311BE" w:rsidRPr="00BF20FA">
        <w:rPr>
          <w:rFonts w:asciiTheme="majorHAnsi" w:eastAsia="Calibri" w:hAnsiTheme="majorHAnsi" w:cs="Arial"/>
          <w:sz w:val="20"/>
          <w:szCs w:val="20"/>
          <w:bdr w:val="none" w:sz="0" w:space="0" w:color="auto"/>
          <w:lang w:val="es-ES"/>
        </w:rPr>
        <w:t xml:space="preserve">doptar todas las medidas necesarias para asegurar </w:t>
      </w:r>
      <w:r w:rsidR="001240E3" w:rsidRPr="00BF20FA">
        <w:rPr>
          <w:rFonts w:asciiTheme="majorHAnsi" w:eastAsia="Calibri" w:hAnsiTheme="majorHAnsi" w:cs="Arial"/>
          <w:sz w:val="20"/>
          <w:szCs w:val="20"/>
          <w:bdr w:val="none" w:sz="0" w:space="0" w:color="auto"/>
          <w:lang w:val="es-ES"/>
        </w:rPr>
        <w:t xml:space="preserve">que </w:t>
      </w:r>
      <w:r w:rsidR="0031639B" w:rsidRPr="00BF20FA">
        <w:rPr>
          <w:rFonts w:asciiTheme="majorHAnsi" w:eastAsia="Calibri" w:hAnsiTheme="majorHAnsi" w:cs="Arial"/>
          <w:sz w:val="20"/>
          <w:szCs w:val="20"/>
          <w:bdr w:val="none" w:sz="0" w:space="0" w:color="auto"/>
          <w:lang w:val="es-ES"/>
        </w:rPr>
        <w:t>no se continúen ejecutando o se inicie la ejecución de proyectos vinculados a las concesiones</w:t>
      </w:r>
      <w:r w:rsidR="00735942">
        <w:rPr>
          <w:rFonts w:asciiTheme="majorHAnsi" w:eastAsia="Calibri" w:hAnsiTheme="majorHAnsi" w:cs="Arial"/>
          <w:sz w:val="20"/>
          <w:szCs w:val="20"/>
          <w:bdr w:val="none" w:sz="0" w:space="0" w:color="auto"/>
          <w:lang w:val="es-ES"/>
        </w:rPr>
        <w:t xml:space="preserve"> </w:t>
      </w:r>
      <w:r w:rsidR="000A3915">
        <w:rPr>
          <w:rFonts w:asciiTheme="majorHAnsi" w:eastAsia="Calibri" w:hAnsiTheme="majorHAnsi" w:cs="Arial"/>
          <w:sz w:val="20"/>
          <w:szCs w:val="20"/>
          <w:bdr w:val="none" w:sz="0" w:space="0" w:color="auto"/>
          <w:lang w:val="es-ES"/>
        </w:rPr>
        <w:t>y actividades empresariales</w:t>
      </w:r>
      <w:r w:rsidR="000A3915" w:rsidRPr="00BF20FA">
        <w:rPr>
          <w:rFonts w:asciiTheme="majorHAnsi" w:eastAsia="Calibri" w:hAnsiTheme="majorHAnsi" w:cs="Arial"/>
          <w:sz w:val="20"/>
          <w:szCs w:val="20"/>
          <w:bdr w:val="none" w:sz="0" w:space="0" w:color="auto"/>
          <w:lang w:val="es-ES"/>
        </w:rPr>
        <w:t xml:space="preserve"> </w:t>
      </w:r>
      <w:r w:rsidR="0031639B" w:rsidRPr="00BF20FA">
        <w:rPr>
          <w:rFonts w:asciiTheme="majorHAnsi" w:eastAsia="Calibri" w:hAnsiTheme="majorHAnsi" w:cs="Arial"/>
          <w:sz w:val="20"/>
          <w:szCs w:val="20"/>
          <w:bdr w:val="none" w:sz="0" w:space="0" w:color="auto"/>
          <w:lang w:val="es-ES"/>
        </w:rPr>
        <w:t xml:space="preserve">en las cuales </w:t>
      </w:r>
      <w:r w:rsidR="00E75E97" w:rsidRPr="00BF20FA">
        <w:rPr>
          <w:rFonts w:asciiTheme="majorHAnsi" w:eastAsia="Calibri" w:hAnsiTheme="majorHAnsi" w:cs="Arial"/>
          <w:sz w:val="20"/>
          <w:szCs w:val="20"/>
          <w:bdr w:val="none" w:sz="0" w:space="0" w:color="auto"/>
          <w:lang w:val="es-ES"/>
        </w:rPr>
        <w:t xml:space="preserve">no se hayan cumplido los estándares establecidos en el presente informe de fondo en materia de consulta y consentimiento previo, libre e informado. </w:t>
      </w:r>
    </w:p>
    <w:p w14:paraId="125FFDD3" w14:textId="77777777" w:rsidR="000A5F88" w:rsidRPr="00A538F3" w:rsidRDefault="000A5F88" w:rsidP="000A5F8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jc w:val="both"/>
        <w:rPr>
          <w:rFonts w:asciiTheme="majorHAnsi" w:eastAsia="Calibri" w:hAnsiTheme="majorHAnsi" w:cs="Arial"/>
          <w:sz w:val="18"/>
          <w:szCs w:val="18"/>
          <w:bdr w:val="none" w:sz="0" w:space="0" w:color="auto"/>
          <w:lang w:val="es-ES"/>
        </w:rPr>
      </w:pPr>
    </w:p>
    <w:p w14:paraId="2E56DC3F" w14:textId="7FA9B00A" w:rsidR="00222EFF" w:rsidRDefault="00222EFF" w:rsidP="000A5F88">
      <w:pPr>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 w:val="num" w:pos="0"/>
          <w:tab w:val="num" w:pos="1440"/>
        </w:tabs>
        <w:autoSpaceDE w:val="0"/>
        <w:autoSpaceDN w:val="0"/>
        <w:adjustRightInd w:val="0"/>
        <w:ind w:left="720" w:hanging="720"/>
        <w:jc w:val="both"/>
        <w:rPr>
          <w:rFonts w:asciiTheme="majorHAnsi" w:eastAsia="Calibri" w:hAnsiTheme="majorHAnsi" w:cs="Arial"/>
          <w:sz w:val="20"/>
          <w:szCs w:val="20"/>
          <w:bdr w:val="none" w:sz="0" w:space="0" w:color="auto"/>
          <w:lang w:val="es-ES"/>
        </w:rPr>
      </w:pPr>
      <w:r w:rsidRPr="00BF20FA">
        <w:rPr>
          <w:rFonts w:asciiTheme="majorHAnsi" w:eastAsia="Calibri" w:hAnsiTheme="majorHAnsi" w:cs="Arial"/>
          <w:sz w:val="20"/>
          <w:szCs w:val="20"/>
          <w:bdr w:val="none" w:sz="0" w:space="0" w:color="auto"/>
          <w:lang w:val="es-ES"/>
        </w:rPr>
        <w:t xml:space="preserve">Asegurar que de existir recursos judiciales pendientes interpuestos por el Pueblo U´wa, los mismos sean resueltos de manera pronta y efectuando un control de convencionalidad conforme a las obligaciones internacionales del Estado colombiano bajo la Convención Americana en los términos descritos en el presente informe. </w:t>
      </w:r>
    </w:p>
    <w:p w14:paraId="1B33A189" w14:textId="77777777" w:rsidR="000A5F88" w:rsidRPr="00A538F3" w:rsidRDefault="000A5F88" w:rsidP="000A5F88">
      <w:p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autoSpaceDE w:val="0"/>
        <w:autoSpaceDN w:val="0"/>
        <w:adjustRightInd w:val="0"/>
        <w:jc w:val="both"/>
        <w:rPr>
          <w:rFonts w:asciiTheme="majorHAnsi" w:eastAsia="Calibri" w:hAnsiTheme="majorHAnsi" w:cs="Arial"/>
          <w:sz w:val="18"/>
          <w:szCs w:val="18"/>
          <w:bdr w:val="none" w:sz="0" w:space="0" w:color="auto"/>
          <w:lang w:val="es-ES"/>
        </w:rPr>
      </w:pPr>
    </w:p>
    <w:p w14:paraId="53D5229A" w14:textId="5C39EF47" w:rsidR="005C4A48" w:rsidRPr="00BF20FA" w:rsidRDefault="005C4A48" w:rsidP="000A5F88">
      <w:pPr>
        <w:numPr>
          <w:ilvl w:val="3"/>
          <w:numId w:val="63"/>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1440"/>
        </w:tabs>
        <w:autoSpaceDE w:val="0"/>
        <w:autoSpaceDN w:val="0"/>
        <w:adjustRightInd w:val="0"/>
        <w:ind w:left="720" w:hanging="720"/>
        <w:jc w:val="both"/>
        <w:rPr>
          <w:rFonts w:asciiTheme="majorHAnsi" w:eastAsia="Calibri" w:hAnsiTheme="majorHAnsi" w:cs="Arial"/>
          <w:sz w:val="20"/>
          <w:szCs w:val="20"/>
          <w:bdr w:val="none" w:sz="0" w:space="0" w:color="auto"/>
          <w:lang w:val="es-ES"/>
        </w:rPr>
      </w:pPr>
      <w:r w:rsidRPr="00BF20FA">
        <w:rPr>
          <w:rFonts w:asciiTheme="majorHAnsi" w:eastAsia="Calibri" w:hAnsiTheme="majorHAnsi"/>
          <w:sz w:val="20"/>
          <w:szCs w:val="20"/>
          <w:bdr w:val="none" w:sz="0" w:space="0" w:color="auto"/>
          <w:lang w:val="es-ES"/>
        </w:rPr>
        <w:t xml:space="preserve">Adoptar las medidas </w:t>
      </w:r>
      <w:r w:rsidR="00BC2F62" w:rsidRPr="00BF20FA">
        <w:rPr>
          <w:rFonts w:asciiTheme="majorHAnsi" w:eastAsia="Calibri" w:hAnsiTheme="majorHAnsi"/>
          <w:sz w:val="20"/>
          <w:szCs w:val="20"/>
          <w:bdr w:val="none" w:sz="0" w:space="0" w:color="auto"/>
          <w:lang w:val="es-ES"/>
        </w:rPr>
        <w:t xml:space="preserve">legislativas, administrativas o de otra índole </w:t>
      </w:r>
      <w:r w:rsidRPr="00BF20FA">
        <w:rPr>
          <w:rFonts w:asciiTheme="majorHAnsi" w:eastAsia="Calibri" w:hAnsiTheme="majorHAnsi"/>
          <w:sz w:val="20"/>
          <w:szCs w:val="20"/>
          <w:bdr w:val="none" w:sz="0" w:space="0" w:color="auto"/>
          <w:lang w:val="es-ES"/>
        </w:rPr>
        <w:t>necesarias para evitar que en el futuro se produzcan hechos similares</w:t>
      </w:r>
      <w:r w:rsidR="00BC2F62" w:rsidRPr="00BF20FA">
        <w:rPr>
          <w:rFonts w:asciiTheme="majorHAnsi" w:eastAsia="Calibri" w:hAnsiTheme="majorHAnsi"/>
          <w:sz w:val="20"/>
          <w:szCs w:val="20"/>
          <w:bdr w:val="none" w:sz="0" w:space="0" w:color="auto"/>
          <w:lang w:val="es-ES"/>
        </w:rPr>
        <w:t xml:space="preserve">; </w:t>
      </w:r>
      <w:r w:rsidRPr="00BF20FA">
        <w:rPr>
          <w:rFonts w:asciiTheme="majorHAnsi" w:eastAsia="Calibri" w:hAnsiTheme="majorHAnsi"/>
          <w:sz w:val="20"/>
          <w:szCs w:val="20"/>
          <w:bdr w:val="none" w:sz="0" w:space="0" w:color="auto"/>
          <w:lang w:val="es-ES"/>
        </w:rPr>
        <w:t xml:space="preserve">en particular, </w:t>
      </w:r>
      <w:r w:rsidRPr="00BF20FA">
        <w:rPr>
          <w:rFonts w:asciiTheme="majorHAnsi" w:eastAsia="Calibri" w:hAnsiTheme="majorHAnsi" w:cs="Arial"/>
          <w:sz w:val="20"/>
          <w:szCs w:val="20"/>
          <w:bdr w:val="none" w:sz="0" w:space="0" w:color="auto"/>
          <w:lang w:val="es-ES"/>
        </w:rPr>
        <w:t>adoptar recurso</w:t>
      </w:r>
      <w:r w:rsidR="00AF5E35" w:rsidRPr="00BF20FA">
        <w:rPr>
          <w:rFonts w:asciiTheme="majorHAnsi" w:eastAsia="Calibri" w:hAnsiTheme="majorHAnsi" w:cs="Arial"/>
          <w:sz w:val="20"/>
          <w:szCs w:val="20"/>
          <w:bdr w:val="none" w:sz="0" w:space="0" w:color="auto"/>
          <w:lang w:val="es-ES"/>
        </w:rPr>
        <w:t>s</w:t>
      </w:r>
      <w:r w:rsidRPr="00BF20FA">
        <w:rPr>
          <w:rFonts w:asciiTheme="majorHAnsi" w:eastAsia="Calibri" w:hAnsiTheme="majorHAnsi" w:cs="Arial"/>
          <w:sz w:val="20"/>
          <w:szCs w:val="20"/>
          <w:bdr w:val="none" w:sz="0" w:space="0" w:color="auto"/>
          <w:lang w:val="es-ES"/>
        </w:rPr>
        <w:t xml:space="preserve"> sencillo</w:t>
      </w:r>
      <w:r w:rsidR="00AF5E35" w:rsidRPr="00BF20FA">
        <w:rPr>
          <w:rFonts w:asciiTheme="majorHAnsi" w:eastAsia="Calibri" w:hAnsiTheme="majorHAnsi" w:cs="Arial"/>
          <w:sz w:val="20"/>
          <w:szCs w:val="20"/>
          <w:bdr w:val="none" w:sz="0" w:space="0" w:color="auto"/>
          <w:lang w:val="es-ES"/>
        </w:rPr>
        <w:t>s</w:t>
      </w:r>
      <w:r w:rsidRPr="00BF20FA">
        <w:rPr>
          <w:rFonts w:asciiTheme="majorHAnsi" w:eastAsia="Calibri" w:hAnsiTheme="majorHAnsi" w:cs="Arial"/>
          <w:sz w:val="20"/>
          <w:szCs w:val="20"/>
          <w:bdr w:val="none" w:sz="0" w:space="0" w:color="auto"/>
          <w:lang w:val="es-ES"/>
        </w:rPr>
        <w:t>, rápido</w:t>
      </w:r>
      <w:r w:rsidR="00AF5E35" w:rsidRPr="00BF20FA">
        <w:rPr>
          <w:rFonts w:asciiTheme="majorHAnsi" w:eastAsia="Calibri" w:hAnsiTheme="majorHAnsi" w:cs="Arial"/>
          <w:sz w:val="20"/>
          <w:szCs w:val="20"/>
          <w:bdr w:val="none" w:sz="0" w:space="0" w:color="auto"/>
          <w:lang w:val="es-ES"/>
        </w:rPr>
        <w:t>s</w:t>
      </w:r>
      <w:r w:rsidRPr="00BF20FA">
        <w:rPr>
          <w:rFonts w:asciiTheme="majorHAnsi" w:eastAsia="Calibri" w:hAnsiTheme="majorHAnsi" w:cs="Arial"/>
          <w:sz w:val="20"/>
          <w:szCs w:val="20"/>
          <w:bdr w:val="none" w:sz="0" w:space="0" w:color="auto"/>
          <w:lang w:val="es-ES"/>
        </w:rPr>
        <w:t xml:space="preserve"> y efectivo</w:t>
      </w:r>
      <w:r w:rsidR="00AF5E35" w:rsidRPr="00BF20FA">
        <w:rPr>
          <w:rFonts w:asciiTheme="majorHAnsi" w:eastAsia="Calibri" w:hAnsiTheme="majorHAnsi" w:cs="Arial"/>
          <w:sz w:val="20"/>
          <w:szCs w:val="20"/>
          <w:bdr w:val="none" w:sz="0" w:space="0" w:color="auto"/>
          <w:lang w:val="es-ES"/>
        </w:rPr>
        <w:t>s</w:t>
      </w:r>
      <w:r w:rsidRPr="00BF20FA">
        <w:rPr>
          <w:rFonts w:asciiTheme="majorHAnsi" w:eastAsia="Calibri" w:hAnsiTheme="majorHAnsi" w:cs="Arial"/>
          <w:sz w:val="20"/>
          <w:szCs w:val="20"/>
          <w:bdr w:val="none" w:sz="0" w:space="0" w:color="auto"/>
          <w:lang w:val="es-ES"/>
        </w:rPr>
        <w:t xml:space="preserve"> que tutele</w:t>
      </w:r>
      <w:r w:rsidR="00AF5E35" w:rsidRPr="00BF20FA">
        <w:rPr>
          <w:rFonts w:asciiTheme="majorHAnsi" w:eastAsia="Calibri" w:hAnsiTheme="majorHAnsi" w:cs="Arial"/>
          <w:sz w:val="20"/>
          <w:szCs w:val="20"/>
          <w:bdr w:val="none" w:sz="0" w:space="0" w:color="auto"/>
          <w:lang w:val="es-ES"/>
        </w:rPr>
        <w:t>n</w:t>
      </w:r>
      <w:r w:rsidRPr="00BF20FA">
        <w:rPr>
          <w:rFonts w:asciiTheme="majorHAnsi" w:eastAsia="Calibri" w:hAnsiTheme="majorHAnsi" w:cs="Arial"/>
          <w:sz w:val="20"/>
          <w:szCs w:val="20"/>
          <w:bdr w:val="none" w:sz="0" w:space="0" w:color="auto"/>
          <w:lang w:val="es-ES"/>
        </w:rPr>
        <w:t xml:space="preserve"> el derecho de</w:t>
      </w:r>
      <w:r w:rsidR="00804DA7" w:rsidRPr="00BF20FA">
        <w:rPr>
          <w:rFonts w:asciiTheme="majorHAnsi" w:eastAsia="Calibri" w:hAnsiTheme="majorHAnsi" w:cs="Arial"/>
          <w:sz w:val="20"/>
          <w:szCs w:val="20"/>
          <w:bdr w:val="none" w:sz="0" w:space="0" w:color="auto"/>
          <w:lang w:val="es-ES"/>
        </w:rPr>
        <w:t xml:space="preserve"> los pueblos indígenas</w:t>
      </w:r>
      <w:r w:rsidRPr="00BF20FA">
        <w:rPr>
          <w:rFonts w:asciiTheme="majorHAnsi" w:eastAsia="Calibri" w:hAnsiTheme="majorHAnsi" w:cs="Arial"/>
          <w:sz w:val="20"/>
          <w:szCs w:val="20"/>
          <w:bdr w:val="none" w:sz="0" w:space="0" w:color="auto"/>
          <w:lang w:val="es-ES"/>
        </w:rPr>
        <w:t xml:space="preserve"> a reivindicar sus territorios ancestrales y a ejercer pacíficamente su propiedad colectiva</w:t>
      </w:r>
      <w:r w:rsidR="00AF5E35" w:rsidRPr="00BF20FA">
        <w:rPr>
          <w:rFonts w:asciiTheme="majorHAnsi" w:eastAsia="Calibri" w:hAnsiTheme="majorHAnsi" w:cs="Arial"/>
          <w:sz w:val="20"/>
          <w:szCs w:val="20"/>
          <w:bdr w:val="none" w:sz="0" w:space="0" w:color="auto"/>
          <w:lang w:val="es-ES"/>
        </w:rPr>
        <w:t>, mediante la titulación, demarcación, delimitación y saneamiento</w:t>
      </w:r>
      <w:r w:rsidRPr="00BF20FA">
        <w:rPr>
          <w:rFonts w:asciiTheme="majorHAnsi" w:eastAsia="Calibri" w:hAnsiTheme="majorHAnsi" w:cs="Arial"/>
          <w:sz w:val="20"/>
          <w:szCs w:val="20"/>
          <w:bdr w:val="none" w:sz="0" w:space="0" w:color="auto"/>
          <w:lang w:val="es-ES"/>
        </w:rPr>
        <w:t xml:space="preserve">. </w:t>
      </w:r>
      <w:r w:rsidR="00575341" w:rsidRPr="00BF20FA">
        <w:rPr>
          <w:rFonts w:asciiTheme="majorHAnsi" w:eastAsia="Calibri" w:hAnsiTheme="majorHAnsi" w:cs="Arial"/>
          <w:sz w:val="20"/>
          <w:szCs w:val="20"/>
          <w:bdr w:val="none" w:sz="0" w:space="0" w:color="auto"/>
          <w:lang w:val="es-ES"/>
        </w:rPr>
        <w:t>As</w:t>
      </w:r>
      <w:r w:rsidR="00AF5E35" w:rsidRPr="00BF20FA">
        <w:rPr>
          <w:rFonts w:asciiTheme="majorHAnsi" w:eastAsia="Calibri" w:hAnsiTheme="majorHAnsi" w:cs="Arial"/>
          <w:sz w:val="20"/>
          <w:szCs w:val="20"/>
          <w:bdr w:val="none" w:sz="0" w:space="0" w:color="auto"/>
          <w:lang w:val="es-ES"/>
        </w:rPr>
        <w:t xml:space="preserve">imismo, adoptar una </w:t>
      </w:r>
      <w:r w:rsidR="00575341" w:rsidRPr="00BF20FA">
        <w:rPr>
          <w:rFonts w:asciiTheme="majorHAnsi" w:eastAsia="Calibri" w:hAnsiTheme="majorHAnsi" w:cs="Arial"/>
          <w:sz w:val="20"/>
          <w:szCs w:val="20"/>
          <w:bdr w:val="none" w:sz="0" w:space="0" w:color="auto"/>
          <w:lang w:val="es-ES"/>
        </w:rPr>
        <w:t xml:space="preserve">ley de consulta previa acorde a los estándares señalados en el presente </w:t>
      </w:r>
      <w:r w:rsidR="00AF5E35" w:rsidRPr="00BF20FA">
        <w:rPr>
          <w:rFonts w:asciiTheme="majorHAnsi" w:eastAsia="Calibri" w:hAnsiTheme="majorHAnsi" w:cs="Arial"/>
          <w:sz w:val="20"/>
          <w:szCs w:val="20"/>
          <w:bdr w:val="none" w:sz="0" w:space="0" w:color="auto"/>
          <w:lang w:val="es-ES"/>
        </w:rPr>
        <w:t>in</w:t>
      </w:r>
      <w:r w:rsidR="005D5C2A" w:rsidRPr="00BF20FA">
        <w:rPr>
          <w:rFonts w:asciiTheme="majorHAnsi" w:eastAsia="Calibri" w:hAnsiTheme="majorHAnsi" w:cs="Arial"/>
          <w:sz w:val="20"/>
          <w:szCs w:val="20"/>
          <w:bdr w:val="none" w:sz="0" w:space="0" w:color="auto"/>
          <w:lang w:val="es-ES"/>
        </w:rPr>
        <w:t>forme y en consulta con la comunidad indígena colombiana</w:t>
      </w:r>
      <w:r w:rsidR="00AF5E35" w:rsidRPr="00BF20FA">
        <w:rPr>
          <w:rFonts w:asciiTheme="majorHAnsi" w:eastAsia="Calibri" w:hAnsiTheme="majorHAnsi" w:cs="Arial"/>
          <w:sz w:val="20"/>
          <w:szCs w:val="20"/>
          <w:bdr w:val="none" w:sz="0" w:space="0" w:color="auto"/>
          <w:lang w:val="es-ES"/>
        </w:rPr>
        <w:t>.</w:t>
      </w:r>
    </w:p>
    <w:p w14:paraId="09321123" w14:textId="77777777" w:rsidR="00824850" w:rsidRPr="00A538F3" w:rsidRDefault="00824850" w:rsidP="00824850">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18"/>
          <w:szCs w:val="18"/>
          <w:lang w:val="es-ES_tradnl"/>
        </w:rPr>
      </w:pPr>
    </w:p>
    <w:p w14:paraId="60C82914" w14:textId="36614E19" w:rsidR="00824850" w:rsidRPr="006E0DF3" w:rsidRDefault="00824850" w:rsidP="00824850">
      <w:pPr>
        <w:ind w:firstLine="720"/>
        <w:jc w:val="both"/>
        <w:rPr>
          <w:rFonts w:ascii="Cambria" w:hAnsi="Cambria" w:cs="Arial"/>
          <w:noProof/>
          <w:spacing w:val="-2"/>
          <w:sz w:val="20"/>
          <w:szCs w:val="20"/>
          <w:lang w:val="es-CL"/>
        </w:rPr>
      </w:pPr>
      <w:r w:rsidRPr="006E0DF3">
        <w:rPr>
          <w:rFonts w:ascii="Cambria" w:hAnsi="Cambria" w:cs="Arial"/>
          <w:noProof/>
          <w:spacing w:val="-2"/>
          <w:sz w:val="20"/>
          <w:szCs w:val="20"/>
          <w:lang w:val="es-CL"/>
        </w:rPr>
        <w:t>Aprobado por la Comisión Interamericana de Derechos Humanos en la ciudad de Washington D.C., USA, a los 28 días del mes de septiembre de 2019.  (Firmado): Esmeralda E. Arosemena Bernal de Troitiño, Presidenta; Joel Hernández, Primer Vicepresidente; Antonia Urrejola, Segunda Vicepresidenta; Margarette May Macaulay, Francisco José Eguiguren, y Flávia Piovesan, Miembros de la Comisión.</w:t>
      </w:r>
      <w:r w:rsidRPr="006E0DF3">
        <w:rPr>
          <w:rFonts w:ascii="Cambria" w:hAnsi="Cambria" w:cs="Arial"/>
          <w:noProof/>
          <w:sz w:val="20"/>
          <w:szCs w:val="20"/>
          <w:lang w:val="es-CL"/>
        </w:rPr>
        <w:t xml:space="preserve"> </w:t>
      </w:r>
    </w:p>
    <w:p w14:paraId="79DCDB66" w14:textId="7D40F665" w:rsidR="00824850" w:rsidRPr="00A538F3" w:rsidRDefault="00824850" w:rsidP="00824850">
      <w:pPr>
        <w:suppressAutoHyphens/>
        <w:ind w:firstLine="720"/>
        <w:jc w:val="both"/>
        <w:rPr>
          <w:rFonts w:ascii="Cambria" w:hAnsi="Cambria" w:cs="Arial"/>
          <w:noProof/>
          <w:spacing w:val="-2"/>
          <w:sz w:val="18"/>
          <w:szCs w:val="18"/>
          <w:lang w:val="es-CL"/>
        </w:rPr>
      </w:pPr>
    </w:p>
    <w:p w14:paraId="28D9D0EA" w14:textId="77777777" w:rsidR="00824850" w:rsidRPr="006E0DF3" w:rsidRDefault="00824850" w:rsidP="00824850">
      <w:pPr>
        <w:ind w:firstLine="720"/>
        <w:jc w:val="both"/>
        <w:rPr>
          <w:rFonts w:ascii="Cambria" w:hAnsi="Cambria"/>
          <w:sz w:val="20"/>
          <w:szCs w:val="20"/>
          <w:lang w:val="es-CL"/>
        </w:rPr>
      </w:pPr>
      <w:r w:rsidRPr="006E0DF3">
        <w:rPr>
          <w:rFonts w:ascii="Cambria" w:hAnsi="Cambria"/>
          <w:sz w:val="20"/>
          <w:szCs w:val="20"/>
          <w:lang w:val="es-CL"/>
        </w:rPr>
        <w:t xml:space="preserve">El que suscribe, </w:t>
      </w:r>
      <w:r w:rsidRPr="006E0DF3">
        <w:rPr>
          <w:rFonts w:ascii="Cambria" w:hAnsi="Cambria" w:cs="Arial"/>
          <w:sz w:val="20"/>
          <w:szCs w:val="20"/>
          <w:lang w:val="es-US"/>
        </w:rPr>
        <w:t>Paulo Abrão</w:t>
      </w:r>
      <w:r w:rsidRPr="006E0DF3">
        <w:rPr>
          <w:rFonts w:ascii="Cambria" w:hAnsi="Cambria"/>
          <w:sz w:val="20"/>
          <w:szCs w:val="20"/>
          <w:lang w:val="es-CL"/>
        </w:rPr>
        <w:t>, Secretario Ejecutivo, de conformidad con el artículo 49 del Reglamento de la Comisión, certifica que es copia fiel del original depositado en los archivos de la Secretaría de la CIDH.</w:t>
      </w:r>
    </w:p>
    <w:p w14:paraId="47307A66" w14:textId="7A7373E9" w:rsidR="00824850" w:rsidRPr="006E0DF3" w:rsidRDefault="00824850" w:rsidP="00A538F3">
      <w:pPr>
        <w:ind w:left="4320" w:firstLine="720"/>
        <w:rPr>
          <w:rFonts w:ascii="Cambria" w:hAnsi="Cambria"/>
          <w:sz w:val="20"/>
          <w:szCs w:val="20"/>
          <w:lang w:val="es-US"/>
        </w:rPr>
      </w:pPr>
    </w:p>
    <w:p w14:paraId="29D46948" w14:textId="77777777" w:rsidR="00824850" w:rsidRPr="006E0DF3" w:rsidRDefault="00824850" w:rsidP="00824850">
      <w:pPr>
        <w:ind w:left="2160" w:firstLine="720"/>
        <w:jc w:val="center"/>
        <w:rPr>
          <w:rFonts w:ascii="Cambria" w:hAnsi="Cambria"/>
          <w:sz w:val="20"/>
          <w:szCs w:val="20"/>
        </w:rPr>
      </w:pPr>
      <w:r w:rsidRPr="006E0DF3">
        <w:rPr>
          <w:rFonts w:ascii="Cambria" w:hAnsi="Cambria" w:cs="Arial"/>
          <w:sz w:val="20"/>
          <w:szCs w:val="20"/>
        </w:rPr>
        <w:t>Paulo Abrão</w:t>
      </w:r>
    </w:p>
    <w:p w14:paraId="54D7BAE8" w14:textId="77777777" w:rsidR="00824850" w:rsidRPr="006E0DF3" w:rsidRDefault="00824850" w:rsidP="00824850">
      <w:pPr>
        <w:ind w:left="2160" w:firstLine="720"/>
        <w:jc w:val="center"/>
        <w:rPr>
          <w:rFonts w:ascii="Cambria" w:hAnsi="Cambria"/>
          <w:b/>
          <w:sz w:val="20"/>
          <w:szCs w:val="20"/>
          <w:lang w:val="es-ES_tradnl"/>
        </w:rPr>
      </w:pPr>
      <w:r w:rsidRPr="006E0DF3">
        <w:rPr>
          <w:rFonts w:ascii="Cambria" w:hAnsi="Cambria"/>
          <w:sz w:val="20"/>
          <w:szCs w:val="20"/>
        </w:rPr>
        <w:t>Secretario Ejecutivo</w:t>
      </w:r>
    </w:p>
    <w:p w14:paraId="0AB0FD26" w14:textId="77777777" w:rsidR="00824850" w:rsidRPr="005600ED" w:rsidRDefault="00824850" w:rsidP="00BD5E98">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lang w:val="es-ES"/>
        </w:rPr>
      </w:pPr>
    </w:p>
    <w:sectPr w:rsidR="00824850" w:rsidRPr="005600ED"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BF9717" w14:textId="77777777" w:rsidR="00AB1B66" w:rsidRDefault="00AB1B66">
      <w:r>
        <w:separator/>
      </w:r>
    </w:p>
  </w:endnote>
  <w:endnote w:type="continuationSeparator" w:id="0">
    <w:p w14:paraId="7453A752" w14:textId="77777777" w:rsidR="00AB1B66" w:rsidRDefault="00AB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Verdana">
    <w:panose1 w:val="020B0604030504040204"/>
    <w:charset w:val="00"/>
    <w:family w:val="swiss"/>
    <w:pitch w:val="variable"/>
    <w:sig w:usb0="A00006FF" w:usb1="4000205B" w:usb2="00000010" w:usb3="00000000" w:csb0="0000019F" w:csb1="00000000"/>
  </w:font>
  <w:font w:name="Palatino-Italic">
    <w:altName w:val="Arial Unicode MS"/>
    <w:charset w:val="00"/>
    <w:family w:val="roman"/>
    <w:pitch w:val="variable"/>
    <w:sig w:usb0="00000001" w:usb1="7800205A" w:usb2="14600000" w:usb3="00000000" w:csb0="00000193"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5294112"/>
      <w:docPartObj>
        <w:docPartGallery w:val="Page Numbers (Bottom of Page)"/>
        <w:docPartUnique/>
      </w:docPartObj>
    </w:sdtPr>
    <w:sdtEndPr>
      <w:rPr>
        <w:noProof/>
        <w:sz w:val="16"/>
        <w:szCs w:val="22"/>
      </w:rPr>
    </w:sdtEndPr>
    <w:sdtContent>
      <w:p w14:paraId="5E3B1340" w14:textId="0EED2CFA" w:rsidR="00824850" w:rsidRPr="00934A2C" w:rsidRDefault="00824850">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83243">
          <w:rPr>
            <w:noProof/>
            <w:sz w:val="16"/>
            <w:szCs w:val="22"/>
          </w:rPr>
          <w:t>34</w:t>
        </w:r>
        <w:r w:rsidRPr="00934A2C">
          <w:rPr>
            <w:noProof/>
            <w:sz w:val="16"/>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A4F04" w14:textId="77777777" w:rsidR="00824850" w:rsidRPr="00934A2C" w:rsidRDefault="00824850">
    <w:pPr>
      <w:pStyle w:val="Footer"/>
      <w:jc w:val="center"/>
      <w:rPr>
        <w:sz w:val="16"/>
        <w:szCs w:val="22"/>
      </w:rPr>
    </w:pPr>
  </w:p>
  <w:p w14:paraId="5736052C" w14:textId="77777777" w:rsidR="00824850" w:rsidRDefault="00824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D784B" w14:textId="77777777" w:rsidR="00AB1B66" w:rsidRPr="000F35ED" w:rsidRDefault="00AB1B6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DB5640B" w14:textId="77777777" w:rsidR="00AB1B66" w:rsidRPr="000F35ED" w:rsidRDefault="00AB1B66" w:rsidP="000F35ED">
      <w:pPr>
        <w:rPr>
          <w:rFonts w:asciiTheme="majorHAnsi" w:hAnsiTheme="majorHAnsi"/>
          <w:sz w:val="16"/>
          <w:szCs w:val="16"/>
        </w:rPr>
      </w:pPr>
      <w:r w:rsidRPr="000F35ED">
        <w:rPr>
          <w:rFonts w:asciiTheme="majorHAnsi" w:hAnsiTheme="majorHAnsi"/>
          <w:sz w:val="16"/>
          <w:szCs w:val="16"/>
        </w:rPr>
        <w:separator/>
      </w:r>
    </w:p>
    <w:p w14:paraId="62CBF76D" w14:textId="77777777" w:rsidR="00AB1B66" w:rsidRPr="000F35ED" w:rsidRDefault="00AB1B66"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A9917B4" w14:textId="77777777" w:rsidR="00AB1B66" w:rsidRPr="000F35ED" w:rsidRDefault="00AB1B66"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2E9C515" w14:textId="77777777" w:rsidR="00824850" w:rsidRPr="005C4CA5" w:rsidRDefault="00824850" w:rsidP="00CB5D70">
      <w:pPr>
        <w:pStyle w:val="FootnoteText"/>
        <w:jc w:val="both"/>
        <w:rPr>
          <w:rFonts w:asciiTheme="majorHAnsi" w:hAnsiTheme="majorHAnsi"/>
          <w:sz w:val="16"/>
          <w:szCs w:val="16"/>
          <w:lang w:val="es-US"/>
        </w:rPr>
      </w:pPr>
      <w:r w:rsidRPr="005C4CA5">
        <w:rPr>
          <w:rStyle w:val="FootnoteReference"/>
          <w:rFonts w:asciiTheme="majorHAnsi" w:hAnsiTheme="majorHAnsi"/>
          <w:sz w:val="16"/>
          <w:szCs w:val="16"/>
        </w:rPr>
        <w:footnoteRef/>
      </w:r>
      <w:r>
        <w:rPr>
          <w:rFonts w:asciiTheme="majorHAnsi" w:hAnsiTheme="majorHAnsi"/>
          <w:sz w:val="16"/>
          <w:szCs w:val="16"/>
          <w:lang w:val="es-US"/>
        </w:rPr>
        <w:t xml:space="preserve"> Posteriormente se</w:t>
      </w:r>
      <w:r w:rsidRPr="005C4CA5">
        <w:rPr>
          <w:rFonts w:asciiTheme="majorHAnsi" w:hAnsiTheme="majorHAnsi"/>
          <w:sz w:val="16"/>
          <w:szCs w:val="16"/>
          <w:lang w:val="es-US"/>
        </w:rPr>
        <w:t xml:space="preserve"> incorpor</w:t>
      </w:r>
      <w:r>
        <w:rPr>
          <w:rFonts w:asciiTheme="majorHAnsi" w:hAnsiTheme="majorHAnsi"/>
          <w:sz w:val="16"/>
          <w:szCs w:val="16"/>
          <w:lang w:val="es-US"/>
        </w:rPr>
        <w:t>aron</w:t>
      </w:r>
      <w:r w:rsidRPr="005C4CA5">
        <w:rPr>
          <w:rFonts w:asciiTheme="majorHAnsi" w:hAnsiTheme="majorHAnsi"/>
          <w:sz w:val="16"/>
          <w:szCs w:val="16"/>
          <w:lang w:val="es-US"/>
        </w:rPr>
        <w:t xml:space="preserve"> co</w:t>
      </w:r>
      <w:r>
        <w:rPr>
          <w:rFonts w:asciiTheme="majorHAnsi" w:hAnsiTheme="majorHAnsi"/>
          <w:sz w:val="16"/>
          <w:szCs w:val="16"/>
          <w:lang w:val="es-US"/>
        </w:rPr>
        <w:t>m</w:t>
      </w:r>
      <w:r w:rsidRPr="005C4CA5">
        <w:rPr>
          <w:rFonts w:asciiTheme="majorHAnsi" w:hAnsiTheme="majorHAnsi"/>
          <w:sz w:val="16"/>
          <w:szCs w:val="16"/>
          <w:lang w:val="es-US"/>
        </w:rPr>
        <w:t>o</w:t>
      </w:r>
      <w:r>
        <w:rPr>
          <w:rFonts w:asciiTheme="majorHAnsi" w:hAnsiTheme="majorHAnsi"/>
          <w:sz w:val="16"/>
          <w:szCs w:val="16"/>
          <w:lang w:val="es-US"/>
        </w:rPr>
        <w:t xml:space="preserve"> copeticionarias la Comisión Colombiana de Juristas,  la Corporación Colectivo de Abogados José Alvear Restrepo (CCAJAR) y Earth Rights International. En diciembre de 2016, la parte peticionaria informó que únicamente seguirían como copeticionarias la Asociación de Cabildos Mayores del Pueblo U´wa AsoU´wa, la ONIC, Earth Rights International y CCAJAR.</w:t>
      </w:r>
    </w:p>
  </w:footnote>
  <w:footnote w:id="3">
    <w:p w14:paraId="4D3A8707" w14:textId="77777777" w:rsidR="00824850" w:rsidRPr="00282FF0" w:rsidRDefault="00824850" w:rsidP="00CB5D70">
      <w:pPr>
        <w:pStyle w:val="FootnoteText"/>
        <w:jc w:val="both"/>
        <w:rPr>
          <w:rFonts w:ascii="Cambria" w:hAnsi="Cambria"/>
          <w:color w:val="000000" w:themeColor="text1"/>
          <w:sz w:val="16"/>
          <w:szCs w:val="16"/>
          <w:lang w:val="es-US"/>
        </w:rPr>
      </w:pPr>
      <w:r w:rsidRPr="00282FF0">
        <w:rPr>
          <w:rStyle w:val="FootnoteReference"/>
          <w:rFonts w:ascii="Cambria" w:hAnsi="Cambria"/>
          <w:color w:val="000000" w:themeColor="text1"/>
          <w:sz w:val="16"/>
          <w:szCs w:val="16"/>
        </w:rPr>
        <w:footnoteRef/>
      </w:r>
      <w:r w:rsidRPr="00497679">
        <w:rPr>
          <w:rFonts w:ascii="Cambria" w:hAnsi="Cambria"/>
          <w:color w:val="000000" w:themeColor="text1"/>
          <w:sz w:val="16"/>
          <w:szCs w:val="16"/>
          <w:lang w:val="es-MX"/>
        </w:rPr>
        <w:t xml:space="preserve"> CIDH. Informe No. 33/15. </w:t>
      </w:r>
      <w:r w:rsidRPr="00282FF0">
        <w:rPr>
          <w:rFonts w:ascii="Cambria" w:hAnsi="Cambria"/>
          <w:color w:val="000000" w:themeColor="text1"/>
          <w:sz w:val="16"/>
          <w:szCs w:val="16"/>
          <w:lang w:val="es-US"/>
        </w:rPr>
        <w:t xml:space="preserve">Caso 11.754. Pueblo U’wa (Colombia). 22 de julio de 2015. </w:t>
      </w:r>
      <w:r>
        <w:rPr>
          <w:rFonts w:ascii="Cambria" w:hAnsi="Cambria"/>
          <w:color w:val="000000" w:themeColor="text1"/>
          <w:sz w:val="16"/>
          <w:szCs w:val="16"/>
          <w:lang w:val="es-US"/>
        </w:rPr>
        <w:t xml:space="preserve">La Comisión declaró admisible la petición respecto de los artículos 8, 13, 21, 23, 24, 25 y 26 de la Convención Americana, en concordancia con los artículos 1.1. y 2 de la misma, así como del artículo XIII de la Declaración Americana. </w:t>
      </w:r>
    </w:p>
  </w:footnote>
  <w:footnote w:id="4">
    <w:p w14:paraId="595AED8F" w14:textId="77777777" w:rsidR="00824850" w:rsidRPr="002145ED" w:rsidRDefault="00824850" w:rsidP="001B52C5">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w:t>
      </w:r>
      <w:hyperlink r:id="rId1" w:history="1">
        <w:r w:rsidRPr="00E97025">
          <w:rPr>
            <w:rStyle w:val="Hyperlink"/>
            <w:rFonts w:asciiTheme="majorHAnsi" w:hAnsiTheme="majorHAnsi"/>
            <w:sz w:val="16"/>
            <w:szCs w:val="16"/>
            <w:lang w:val="es-CO"/>
          </w:rPr>
          <w:t>Consejo Económico y Social de Naciones Unidas. Resumen del informe y recomendaciones del Foro Permanente a Colombia de 8 de febrero de 2011.</w:t>
        </w:r>
      </w:hyperlink>
    </w:p>
  </w:footnote>
  <w:footnote w:id="5">
    <w:p w14:paraId="105874DF" w14:textId="77777777"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Artículo 21 del Decreto 2164 de 1995.</w:t>
      </w:r>
    </w:p>
  </w:footnote>
  <w:footnote w:id="6">
    <w:p w14:paraId="2C885466" w14:textId="77777777"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Artículo 63 de la Constitución Política de Colombia</w:t>
      </w:r>
      <w:r>
        <w:rPr>
          <w:rFonts w:asciiTheme="majorHAnsi" w:hAnsiTheme="majorHAnsi"/>
          <w:sz w:val="16"/>
          <w:szCs w:val="16"/>
          <w:lang w:val="es-CO"/>
        </w:rPr>
        <w:t>.</w:t>
      </w:r>
    </w:p>
  </w:footnote>
  <w:footnote w:id="7">
    <w:p w14:paraId="051A882D" w14:textId="77777777" w:rsidR="00824850" w:rsidRPr="002145ED"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w:t>
      </w:r>
      <w:hyperlink r:id="rId2" w:history="1">
        <w:r w:rsidRPr="00E97025">
          <w:rPr>
            <w:rStyle w:val="Hyperlink"/>
            <w:rFonts w:asciiTheme="majorHAnsi" w:hAnsiTheme="majorHAnsi"/>
            <w:sz w:val="16"/>
            <w:szCs w:val="16"/>
            <w:lang w:val="es-CO"/>
          </w:rPr>
          <w:t>CIDH. Informe sobre la situación de Derechos Humanos en Colombia ‘‘Verdad, Justicia y Reparación’’, 31 de diciembre de 2013.</w:t>
        </w:r>
      </w:hyperlink>
    </w:p>
  </w:footnote>
  <w:footnote w:id="8">
    <w:p w14:paraId="65E6E5E3" w14:textId="77777777" w:rsidR="00824850" w:rsidRPr="00E97025" w:rsidRDefault="00824850" w:rsidP="001B52C5">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hyperlink r:id="rId3" w:history="1">
        <w:r w:rsidRPr="00E97025">
          <w:rPr>
            <w:rStyle w:val="Hyperlink"/>
            <w:rFonts w:asciiTheme="majorHAnsi" w:hAnsiTheme="majorHAnsi"/>
            <w:sz w:val="16"/>
            <w:szCs w:val="16"/>
            <w:lang w:val="es-CO"/>
          </w:rPr>
          <w:t>CIDH. Informe sobre la situación de Derechos Humanos en Colombia ‘‘Verdad, Justicia y Reparación’’, 31 de diciembre de 2013.</w:t>
        </w:r>
      </w:hyperlink>
    </w:p>
  </w:footnote>
  <w:footnote w:id="9">
    <w:p w14:paraId="660E1080" w14:textId="77777777" w:rsidR="00824850" w:rsidRPr="00E97025" w:rsidRDefault="00824850" w:rsidP="001B52C5">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sidRPr="00E97025">
        <w:rPr>
          <w:rFonts w:asciiTheme="majorHAnsi" w:hAnsiTheme="majorHAnsi"/>
          <w:sz w:val="16"/>
          <w:szCs w:val="16"/>
          <w:lang w:val="es-MX"/>
        </w:rPr>
        <w:t xml:space="preserve"> </w:t>
      </w:r>
      <w:hyperlink r:id="rId4" w:history="1">
        <w:r w:rsidRPr="00E97025">
          <w:rPr>
            <w:rStyle w:val="Hyperlink"/>
            <w:rFonts w:asciiTheme="majorHAnsi" w:hAnsiTheme="majorHAnsi"/>
            <w:sz w:val="16"/>
            <w:szCs w:val="16"/>
            <w:lang w:val="es-CO"/>
          </w:rPr>
          <w:t>Informe del Relator Especial sobre la situación de los derechos humanos y las libertades fundamentales de los indígenas, Sr. Rodolfo Stavenhagen – Misión a Colombia de 10 de noviembre de 2004.</w:t>
        </w:r>
      </w:hyperlink>
      <w:r w:rsidRPr="00E97025">
        <w:rPr>
          <w:rFonts w:asciiTheme="majorHAnsi" w:hAnsiTheme="majorHAnsi"/>
          <w:sz w:val="16"/>
          <w:szCs w:val="16"/>
          <w:lang w:val="es-MX"/>
        </w:rPr>
        <w:t xml:space="preserve"> </w:t>
      </w:r>
    </w:p>
  </w:footnote>
  <w:footnote w:id="10">
    <w:p w14:paraId="449BF2F0" w14:textId="77777777" w:rsidR="00824850" w:rsidRPr="002145ED" w:rsidRDefault="00824850" w:rsidP="001B52C5">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sidRPr="00E97025">
        <w:rPr>
          <w:rFonts w:asciiTheme="majorHAnsi" w:hAnsiTheme="majorHAnsi"/>
          <w:sz w:val="16"/>
          <w:szCs w:val="16"/>
          <w:lang w:val="es-MX"/>
        </w:rPr>
        <w:t xml:space="preserve"> </w:t>
      </w:r>
      <w:hyperlink r:id="rId5" w:history="1">
        <w:r w:rsidRPr="00E97025">
          <w:rPr>
            <w:rStyle w:val="Hyperlink"/>
            <w:rFonts w:asciiTheme="majorHAnsi" w:hAnsiTheme="majorHAnsi"/>
            <w:sz w:val="16"/>
            <w:szCs w:val="16"/>
            <w:lang w:val="es-CO"/>
          </w:rPr>
          <w:t>Informe del Relator Especial sobre la situación de los derechos humanos y las libertades fundamentales de los indígenas Sr. James Anaya  – Misión a Colombia del 8 de enero de 2010.</w:t>
        </w:r>
      </w:hyperlink>
      <w:r w:rsidRPr="00254388">
        <w:rPr>
          <w:rFonts w:asciiTheme="majorHAnsi" w:hAnsiTheme="majorHAnsi"/>
          <w:sz w:val="16"/>
          <w:szCs w:val="16"/>
          <w:lang w:val="es-CO"/>
        </w:rPr>
        <w:t xml:space="preserve"> </w:t>
      </w:r>
    </w:p>
  </w:footnote>
  <w:footnote w:id="11">
    <w:p w14:paraId="2DC3C55E" w14:textId="4B4F8E80"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1</w:t>
      </w:r>
      <w:r w:rsidRPr="00254388">
        <w:rPr>
          <w:rFonts w:asciiTheme="majorHAnsi" w:hAnsiTheme="majorHAnsi"/>
          <w:sz w:val="16"/>
          <w:szCs w:val="16"/>
          <w:lang w:val="es-CO"/>
        </w:rPr>
        <w:t>. Informe del Foro Permanente para las Cuestiones Indígenas de la Orga</w:t>
      </w:r>
      <w:r>
        <w:rPr>
          <w:rFonts w:asciiTheme="majorHAnsi" w:hAnsiTheme="majorHAnsi"/>
          <w:sz w:val="16"/>
          <w:szCs w:val="16"/>
          <w:lang w:val="es-CO"/>
        </w:rPr>
        <w:t>nización de las Naciones Unidas</w:t>
      </w:r>
      <w:r w:rsidRPr="00254388">
        <w:rPr>
          <w:rFonts w:asciiTheme="majorHAnsi" w:hAnsiTheme="majorHAnsi"/>
          <w:sz w:val="16"/>
          <w:szCs w:val="16"/>
          <w:lang w:val="es-CO"/>
        </w:rPr>
        <w:t xml:space="preserve"> de 8 de febrero de 2011.</w:t>
      </w:r>
      <w:r>
        <w:rPr>
          <w:rFonts w:asciiTheme="majorHAnsi" w:hAnsiTheme="majorHAnsi"/>
          <w:sz w:val="16"/>
          <w:szCs w:val="16"/>
          <w:lang w:val="es-CO"/>
        </w:rPr>
        <w:t xml:space="preserve"> </w:t>
      </w:r>
    </w:p>
  </w:footnote>
  <w:footnote w:id="12">
    <w:p w14:paraId="4A777B5E" w14:textId="77777777" w:rsidR="00824850" w:rsidRPr="0012386B" w:rsidRDefault="00824850" w:rsidP="00196F84">
      <w:pPr>
        <w:pStyle w:val="FootnoteText"/>
        <w:rPr>
          <w:lang w:val="es-CO"/>
        </w:rPr>
      </w:pPr>
      <w:r w:rsidRPr="00196F84">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hyperlink r:id="rId6" w:history="1">
        <w:r w:rsidRPr="00A93113">
          <w:rPr>
            <w:rStyle w:val="Hyperlink"/>
            <w:rFonts w:asciiTheme="majorHAnsi" w:hAnsiTheme="majorHAnsi"/>
            <w:sz w:val="16"/>
            <w:szCs w:val="16"/>
            <w:lang w:val="es-CO"/>
          </w:rPr>
          <w:t>Corte Constitucional de Colombia. Sentencia T-652 de 10 de noviembre de 1998.</w:t>
        </w:r>
      </w:hyperlink>
    </w:p>
  </w:footnote>
  <w:footnote w:id="13">
    <w:p w14:paraId="64C4A548" w14:textId="77777777" w:rsidR="00824850" w:rsidRPr="002145ED" w:rsidRDefault="00824850" w:rsidP="001B52C5">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hyperlink r:id="rId7" w:history="1">
        <w:r w:rsidRPr="00A93113">
          <w:rPr>
            <w:rStyle w:val="Hyperlink"/>
            <w:rFonts w:asciiTheme="majorHAnsi" w:hAnsiTheme="majorHAnsi"/>
            <w:sz w:val="16"/>
            <w:szCs w:val="16"/>
            <w:lang w:val="es-CO"/>
          </w:rPr>
          <w:t>Organización Internacional del Trabajo. Informe sobre la reclamación en la que se alega el incumplimiento por Colombia del Convenio sobre pueblos indígenas y tribales, 1989 (núm. 169)’’</w:t>
        </w:r>
      </w:hyperlink>
      <w:r w:rsidRPr="00254388">
        <w:rPr>
          <w:rFonts w:asciiTheme="majorHAnsi" w:hAnsiTheme="majorHAnsi"/>
          <w:sz w:val="16"/>
          <w:szCs w:val="16"/>
          <w:lang w:val="es-CO"/>
        </w:rPr>
        <w:t>.</w:t>
      </w:r>
    </w:p>
  </w:footnote>
  <w:footnote w:id="14">
    <w:p w14:paraId="670596B7" w14:textId="35E395FF"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2</w:t>
      </w:r>
      <w:r w:rsidRPr="00254388">
        <w:rPr>
          <w:rFonts w:asciiTheme="majorHAnsi" w:hAnsiTheme="majorHAnsi"/>
          <w:sz w:val="16"/>
          <w:szCs w:val="16"/>
          <w:lang w:val="es-CO"/>
        </w:rPr>
        <w:t>. Resolución</w:t>
      </w:r>
      <w:r>
        <w:rPr>
          <w:rFonts w:asciiTheme="majorHAnsi" w:hAnsiTheme="majorHAnsi"/>
          <w:sz w:val="16"/>
          <w:szCs w:val="16"/>
          <w:lang w:val="es-CO"/>
        </w:rPr>
        <w:t xml:space="preserve"> No. 56</w:t>
      </w:r>
      <w:r w:rsidRPr="00254388">
        <w:rPr>
          <w:rFonts w:asciiTheme="majorHAnsi" w:hAnsiTheme="majorHAnsi"/>
          <w:sz w:val="16"/>
          <w:szCs w:val="16"/>
          <w:lang w:val="es-CO"/>
        </w:rPr>
        <w:t xml:space="preserve"> mediante la cual se crea el Resguardo Unido U’wa de 6 de agosto de 1999. Anexo a observaciones de fondo de l</w:t>
      </w:r>
      <w:r>
        <w:rPr>
          <w:rFonts w:asciiTheme="majorHAnsi" w:hAnsiTheme="majorHAnsi"/>
          <w:sz w:val="16"/>
          <w:szCs w:val="16"/>
          <w:lang w:val="es-CO"/>
        </w:rPr>
        <w:t>a parte p</w:t>
      </w:r>
      <w:r w:rsidRPr="00254388">
        <w:rPr>
          <w:rFonts w:asciiTheme="majorHAnsi" w:hAnsiTheme="majorHAnsi"/>
          <w:sz w:val="16"/>
          <w:szCs w:val="16"/>
          <w:lang w:val="es-CO"/>
        </w:rPr>
        <w:t>eticionari</w:t>
      </w:r>
      <w:r>
        <w:rPr>
          <w:rFonts w:asciiTheme="majorHAnsi" w:hAnsiTheme="majorHAnsi"/>
          <w:sz w:val="16"/>
          <w:szCs w:val="16"/>
          <w:lang w:val="es-CO"/>
        </w:rPr>
        <w:t>a</w:t>
      </w:r>
      <w:r w:rsidRPr="00254388">
        <w:rPr>
          <w:rFonts w:asciiTheme="majorHAnsi" w:hAnsiTheme="majorHAnsi"/>
          <w:sz w:val="16"/>
          <w:szCs w:val="16"/>
          <w:lang w:val="es-CO"/>
        </w:rPr>
        <w:t xml:space="preserve"> de 16 de diciembre de 2016.</w:t>
      </w:r>
    </w:p>
  </w:footnote>
  <w:footnote w:id="15">
    <w:p w14:paraId="5C73E955" w14:textId="1FC3935B"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3</w:t>
      </w:r>
      <w:r w:rsidRPr="00254388">
        <w:rPr>
          <w:rFonts w:asciiTheme="majorHAnsi" w:hAnsiTheme="majorHAnsi"/>
          <w:sz w:val="16"/>
          <w:szCs w:val="16"/>
          <w:lang w:val="es-CO"/>
        </w:rPr>
        <w:t xml:space="preserve">. Documento del Ministerio de Cultura ‘‘U’wa, gente inteligente que sabe hablar’’. Anexo a Observaciones de </w:t>
      </w:r>
      <w:r>
        <w:rPr>
          <w:rFonts w:asciiTheme="majorHAnsi" w:hAnsiTheme="majorHAnsi"/>
          <w:sz w:val="16"/>
          <w:szCs w:val="16"/>
          <w:lang w:val="es-CO"/>
        </w:rPr>
        <w:t>f</w:t>
      </w:r>
      <w:r w:rsidRPr="00254388">
        <w:rPr>
          <w:rFonts w:asciiTheme="majorHAnsi" w:hAnsiTheme="majorHAnsi"/>
          <w:sz w:val="16"/>
          <w:szCs w:val="16"/>
          <w:lang w:val="es-CO"/>
        </w:rPr>
        <w:t>ondo de l</w:t>
      </w:r>
      <w:r>
        <w:rPr>
          <w:rFonts w:asciiTheme="majorHAnsi" w:hAnsiTheme="majorHAnsi"/>
          <w:sz w:val="16"/>
          <w:szCs w:val="16"/>
          <w:lang w:val="es-CO"/>
        </w:rPr>
        <w:t>a</w:t>
      </w:r>
      <w:r w:rsidRPr="00254388">
        <w:rPr>
          <w:rFonts w:asciiTheme="majorHAnsi" w:hAnsiTheme="majorHAnsi"/>
          <w:sz w:val="16"/>
          <w:szCs w:val="16"/>
          <w:lang w:val="es-CO"/>
        </w:rPr>
        <w:t xml:space="preserve"> </w:t>
      </w:r>
      <w:r>
        <w:rPr>
          <w:rFonts w:asciiTheme="majorHAnsi" w:hAnsiTheme="majorHAnsi"/>
          <w:sz w:val="16"/>
          <w:szCs w:val="16"/>
          <w:lang w:val="es-CO"/>
        </w:rPr>
        <w:t xml:space="preserve">parte </w:t>
      </w:r>
      <w:r w:rsidRPr="00254388">
        <w:rPr>
          <w:rFonts w:asciiTheme="majorHAnsi" w:hAnsiTheme="majorHAnsi"/>
          <w:sz w:val="16"/>
          <w:szCs w:val="16"/>
          <w:lang w:val="es-CO"/>
        </w:rPr>
        <w:t>peticionari</w:t>
      </w:r>
      <w:r>
        <w:rPr>
          <w:rFonts w:asciiTheme="majorHAnsi" w:hAnsiTheme="majorHAnsi"/>
          <w:sz w:val="16"/>
          <w:szCs w:val="16"/>
          <w:lang w:val="es-CO"/>
        </w:rPr>
        <w:t>a</w:t>
      </w:r>
      <w:r w:rsidRPr="00254388">
        <w:rPr>
          <w:rFonts w:asciiTheme="majorHAnsi" w:hAnsiTheme="majorHAnsi"/>
          <w:sz w:val="16"/>
          <w:szCs w:val="16"/>
          <w:lang w:val="es-CO"/>
        </w:rPr>
        <w:t xml:space="preserve"> de 15 de diciembre de 2016.</w:t>
      </w:r>
    </w:p>
  </w:footnote>
  <w:footnote w:id="16">
    <w:p w14:paraId="65CB4F92" w14:textId="35E06FD1"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3</w:t>
      </w:r>
      <w:r w:rsidRPr="00254388">
        <w:rPr>
          <w:rFonts w:asciiTheme="majorHAnsi" w:hAnsiTheme="majorHAnsi"/>
          <w:sz w:val="16"/>
          <w:szCs w:val="16"/>
          <w:lang w:val="es-CO"/>
        </w:rPr>
        <w:t>. Documento del Ministerio de Cultura ‘‘U’wa, gente inteligente que sabe habl</w:t>
      </w:r>
      <w:r>
        <w:rPr>
          <w:rFonts w:asciiTheme="majorHAnsi" w:hAnsiTheme="majorHAnsi"/>
          <w:sz w:val="16"/>
          <w:szCs w:val="16"/>
          <w:lang w:val="es-CO"/>
        </w:rPr>
        <w:t>ar’’. Anexo a Observaciones de f</w:t>
      </w:r>
      <w:r w:rsidRPr="00254388">
        <w:rPr>
          <w:rFonts w:asciiTheme="majorHAnsi" w:hAnsiTheme="majorHAnsi"/>
          <w:sz w:val="16"/>
          <w:szCs w:val="16"/>
          <w:lang w:val="es-CO"/>
        </w:rPr>
        <w:t>ondo de l</w:t>
      </w:r>
      <w:r>
        <w:rPr>
          <w:rFonts w:asciiTheme="majorHAnsi" w:hAnsiTheme="majorHAnsi"/>
          <w:sz w:val="16"/>
          <w:szCs w:val="16"/>
          <w:lang w:val="es-CO"/>
        </w:rPr>
        <w:t xml:space="preserve">a parte </w:t>
      </w:r>
      <w:r w:rsidRPr="00254388">
        <w:rPr>
          <w:rFonts w:asciiTheme="majorHAnsi" w:hAnsiTheme="majorHAnsi"/>
          <w:sz w:val="16"/>
          <w:szCs w:val="16"/>
          <w:lang w:val="es-CO"/>
        </w:rPr>
        <w:t>peticionari</w:t>
      </w:r>
      <w:r>
        <w:rPr>
          <w:rFonts w:asciiTheme="majorHAnsi" w:hAnsiTheme="majorHAnsi"/>
          <w:sz w:val="16"/>
          <w:szCs w:val="16"/>
          <w:lang w:val="es-CO"/>
        </w:rPr>
        <w:t>a</w:t>
      </w:r>
      <w:r w:rsidRPr="00254388">
        <w:rPr>
          <w:rFonts w:asciiTheme="majorHAnsi" w:hAnsiTheme="majorHAnsi"/>
          <w:sz w:val="16"/>
          <w:szCs w:val="16"/>
          <w:lang w:val="es-CO"/>
        </w:rPr>
        <w:t xml:space="preserve"> de 15 de diciembre de 2016.</w:t>
      </w:r>
    </w:p>
  </w:footnote>
  <w:footnote w:id="17">
    <w:p w14:paraId="43B8913F" w14:textId="77777777" w:rsidR="00824850" w:rsidRPr="00254388" w:rsidRDefault="00824850" w:rsidP="001B52C5">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bookmarkStart w:id="11" w:name="_Hlk513469684"/>
      <w:bookmarkStart w:id="12" w:name="_Hlk513535315"/>
      <w:r w:rsidRPr="00254388">
        <w:rPr>
          <w:rFonts w:asciiTheme="majorHAnsi" w:hAnsiTheme="majorHAnsi"/>
          <w:sz w:val="16"/>
          <w:szCs w:val="16"/>
          <w:lang w:val="es-CO"/>
        </w:rPr>
        <w:t xml:space="preserve">Observaciones de </w:t>
      </w:r>
      <w:r>
        <w:rPr>
          <w:rFonts w:asciiTheme="majorHAnsi" w:hAnsiTheme="majorHAnsi"/>
          <w:sz w:val="16"/>
          <w:szCs w:val="16"/>
          <w:lang w:val="es-CO"/>
        </w:rPr>
        <w:t xml:space="preserve">fondo de </w:t>
      </w:r>
      <w:r w:rsidRPr="00254388">
        <w:rPr>
          <w:rFonts w:asciiTheme="majorHAnsi" w:hAnsiTheme="majorHAnsi"/>
          <w:sz w:val="16"/>
          <w:szCs w:val="16"/>
          <w:lang w:val="es-CO"/>
        </w:rPr>
        <w:t>l</w:t>
      </w:r>
      <w:r>
        <w:rPr>
          <w:rFonts w:asciiTheme="majorHAnsi" w:hAnsiTheme="majorHAnsi"/>
          <w:sz w:val="16"/>
          <w:szCs w:val="16"/>
          <w:lang w:val="es-CO"/>
        </w:rPr>
        <w:t>a</w:t>
      </w:r>
      <w:r w:rsidRPr="00254388">
        <w:rPr>
          <w:rFonts w:asciiTheme="majorHAnsi" w:hAnsiTheme="majorHAnsi"/>
          <w:sz w:val="16"/>
          <w:szCs w:val="16"/>
          <w:lang w:val="es-CO"/>
        </w:rPr>
        <w:t xml:space="preserve"> </w:t>
      </w:r>
      <w:r>
        <w:rPr>
          <w:rFonts w:asciiTheme="majorHAnsi" w:hAnsiTheme="majorHAnsi"/>
          <w:sz w:val="16"/>
          <w:szCs w:val="16"/>
          <w:lang w:val="es-CO"/>
        </w:rPr>
        <w:t xml:space="preserve">parte </w:t>
      </w:r>
      <w:r w:rsidRPr="00254388">
        <w:rPr>
          <w:rFonts w:asciiTheme="majorHAnsi" w:hAnsiTheme="majorHAnsi"/>
          <w:sz w:val="16"/>
          <w:szCs w:val="16"/>
          <w:lang w:val="es-CO"/>
        </w:rPr>
        <w:t>peticionari</w:t>
      </w:r>
      <w:r>
        <w:rPr>
          <w:rFonts w:asciiTheme="majorHAnsi" w:hAnsiTheme="majorHAnsi"/>
          <w:sz w:val="16"/>
          <w:szCs w:val="16"/>
          <w:lang w:val="es-CO"/>
        </w:rPr>
        <w:t>a</w:t>
      </w:r>
      <w:r w:rsidRPr="00254388">
        <w:rPr>
          <w:rFonts w:asciiTheme="majorHAnsi" w:hAnsiTheme="majorHAnsi"/>
          <w:sz w:val="16"/>
          <w:szCs w:val="16"/>
          <w:lang w:val="es-CO"/>
        </w:rPr>
        <w:t xml:space="preserve"> de 15 de diciembre de 2016</w:t>
      </w:r>
      <w:bookmarkEnd w:id="11"/>
      <w:r w:rsidRPr="00254388">
        <w:rPr>
          <w:rFonts w:asciiTheme="majorHAnsi" w:hAnsiTheme="majorHAnsi"/>
          <w:sz w:val="16"/>
          <w:szCs w:val="16"/>
          <w:lang w:val="es-CO"/>
        </w:rPr>
        <w:t>.</w:t>
      </w:r>
      <w:r>
        <w:rPr>
          <w:rFonts w:asciiTheme="majorHAnsi" w:hAnsiTheme="majorHAnsi"/>
          <w:sz w:val="16"/>
          <w:szCs w:val="16"/>
          <w:lang w:val="es-CO"/>
        </w:rPr>
        <w:t xml:space="preserve"> </w:t>
      </w:r>
    </w:p>
    <w:bookmarkEnd w:id="12"/>
  </w:footnote>
  <w:footnote w:id="18">
    <w:p w14:paraId="1AA8E55F" w14:textId="77777777" w:rsidR="00824850" w:rsidRPr="003209EB" w:rsidRDefault="00824850">
      <w:pPr>
        <w:pStyle w:val="FootnoteText"/>
        <w:rPr>
          <w:rFonts w:asciiTheme="majorHAnsi" w:hAnsiTheme="majorHAnsi"/>
          <w:sz w:val="16"/>
          <w:szCs w:val="16"/>
          <w:lang w:val="es-MX"/>
        </w:rPr>
      </w:pPr>
      <w:r w:rsidRPr="003209EB">
        <w:rPr>
          <w:rStyle w:val="FootnoteReference"/>
          <w:rFonts w:asciiTheme="majorHAnsi" w:hAnsiTheme="majorHAnsi"/>
          <w:sz w:val="16"/>
          <w:szCs w:val="16"/>
        </w:rPr>
        <w:footnoteRef/>
      </w:r>
      <w:r w:rsidRPr="003209EB">
        <w:rPr>
          <w:rFonts w:asciiTheme="majorHAnsi" w:hAnsiTheme="majorHAnsi"/>
          <w:sz w:val="16"/>
          <w:szCs w:val="16"/>
          <w:lang w:val="es-MX"/>
        </w:rPr>
        <w:t xml:space="preserve"> Observaciones de</w:t>
      </w:r>
      <w:r>
        <w:rPr>
          <w:rFonts w:asciiTheme="majorHAnsi" w:hAnsiTheme="majorHAnsi"/>
          <w:sz w:val="16"/>
          <w:szCs w:val="16"/>
          <w:lang w:val="es-MX"/>
        </w:rPr>
        <w:t xml:space="preserve"> fondo de</w:t>
      </w:r>
      <w:r w:rsidRPr="003209EB">
        <w:rPr>
          <w:rFonts w:asciiTheme="majorHAnsi" w:hAnsiTheme="majorHAnsi"/>
          <w:sz w:val="16"/>
          <w:szCs w:val="16"/>
          <w:lang w:val="es-MX"/>
        </w:rPr>
        <w:t xml:space="preserve"> l</w:t>
      </w:r>
      <w:r>
        <w:rPr>
          <w:rFonts w:asciiTheme="majorHAnsi" w:hAnsiTheme="majorHAnsi"/>
          <w:sz w:val="16"/>
          <w:szCs w:val="16"/>
          <w:lang w:val="es-MX"/>
        </w:rPr>
        <w:t xml:space="preserve">a parte </w:t>
      </w:r>
      <w:r w:rsidRPr="003209EB">
        <w:rPr>
          <w:rFonts w:asciiTheme="majorHAnsi" w:hAnsiTheme="majorHAnsi"/>
          <w:sz w:val="16"/>
          <w:szCs w:val="16"/>
          <w:lang w:val="es-MX"/>
        </w:rPr>
        <w:t>peticionari</w:t>
      </w:r>
      <w:r>
        <w:rPr>
          <w:rFonts w:asciiTheme="majorHAnsi" w:hAnsiTheme="majorHAnsi"/>
          <w:sz w:val="16"/>
          <w:szCs w:val="16"/>
          <w:lang w:val="es-MX"/>
        </w:rPr>
        <w:t>a</w:t>
      </w:r>
      <w:r w:rsidRPr="003209EB">
        <w:rPr>
          <w:rFonts w:asciiTheme="majorHAnsi" w:hAnsiTheme="majorHAnsi"/>
          <w:sz w:val="16"/>
          <w:szCs w:val="16"/>
          <w:lang w:val="es-MX"/>
        </w:rPr>
        <w:t xml:space="preserve"> de 15 de diciembre de 2016 y observaciones del Estado de 28 de marzo de 2018. </w:t>
      </w:r>
    </w:p>
  </w:footnote>
  <w:footnote w:id="19">
    <w:p w14:paraId="5C742BED" w14:textId="7E2E7C24" w:rsidR="00824850" w:rsidRPr="002145ED" w:rsidRDefault="00824850" w:rsidP="001B52C5">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r>
        <w:rPr>
          <w:rFonts w:asciiTheme="majorHAnsi" w:hAnsiTheme="majorHAnsi"/>
          <w:sz w:val="16"/>
          <w:szCs w:val="16"/>
          <w:lang w:val="es-CO"/>
        </w:rPr>
        <w:t xml:space="preserve">Anexo 4. </w:t>
      </w:r>
      <w:hyperlink r:id="rId8" w:history="1">
        <w:r w:rsidRPr="00077C78">
          <w:rPr>
            <w:rStyle w:val="Hyperlink"/>
            <w:rFonts w:asciiTheme="majorHAnsi" w:hAnsiTheme="majorHAnsi"/>
            <w:sz w:val="16"/>
            <w:szCs w:val="16"/>
            <w:lang w:val="es-CO"/>
          </w:rPr>
          <w:t>Informe del Relator Especial sobre la situación de los derechos humanos y las libertades fundamentales de los indígenas Sr. Rodolfo Stavenhagen – Misión a Colombia de 10 de noviembre de 2004.</w:t>
        </w:r>
      </w:hyperlink>
    </w:p>
  </w:footnote>
  <w:footnote w:id="20">
    <w:p w14:paraId="6FC608B3" w14:textId="583EBE33" w:rsidR="00824850" w:rsidRPr="00254388" w:rsidRDefault="00824850" w:rsidP="003822D9">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5</w:t>
      </w:r>
      <w:r w:rsidRPr="00254388">
        <w:rPr>
          <w:rFonts w:asciiTheme="majorHAnsi" w:hAnsiTheme="majorHAnsi"/>
          <w:sz w:val="16"/>
          <w:szCs w:val="16"/>
          <w:lang w:val="es-CO"/>
        </w:rPr>
        <w:t>. Auto 004 de 2009 de la Corte Constitucional colombiana. Anexo a escrito de l</w:t>
      </w:r>
      <w:r>
        <w:rPr>
          <w:rFonts w:asciiTheme="majorHAnsi" w:hAnsiTheme="majorHAnsi"/>
          <w:sz w:val="16"/>
          <w:szCs w:val="16"/>
          <w:lang w:val="es-CO"/>
        </w:rPr>
        <w:t xml:space="preserve">a parte </w:t>
      </w:r>
      <w:r w:rsidRPr="00254388">
        <w:rPr>
          <w:rFonts w:asciiTheme="majorHAnsi" w:hAnsiTheme="majorHAnsi"/>
          <w:sz w:val="16"/>
          <w:szCs w:val="16"/>
          <w:lang w:val="es-CO"/>
        </w:rPr>
        <w:t>peticionari</w:t>
      </w:r>
      <w:r>
        <w:rPr>
          <w:rFonts w:asciiTheme="majorHAnsi" w:hAnsiTheme="majorHAnsi"/>
          <w:sz w:val="16"/>
          <w:szCs w:val="16"/>
          <w:lang w:val="es-CO"/>
        </w:rPr>
        <w:t>a</w:t>
      </w:r>
      <w:r w:rsidRPr="00254388">
        <w:rPr>
          <w:rFonts w:asciiTheme="majorHAnsi" w:hAnsiTheme="majorHAnsi"/>
          <w:sz w:val="16"/>
          <w:szCs w:val="16"/>
          <w:lang w:val="es-CO"/>
        </w:rPr>
        <w:t xml:space="preserve"> de 15 de mayo de 2015</w:t>
      </w:r>
      <w:r>
        <w:rPr>
          <w:rFonts w:asciiTheme="majorHAnsi" w:hAnsiTheme="majorHAnsi"/>
          <w:sz w:val="16"/>
          <w:szCs w:val="16"/>
          <w:lang w:val="es-CO"/>
        </w:rPr>
        <w:t>.</w:t>
      </w:r>
    </w:p>
  </w:footnote>
  <w:footnote w:id="21">
    <w:p w14:paraId="1B48A08F" w14:textId="03FB3B5A" w:rsidR="00824850" w:rsidRPr="00254388" w:rsidRDefault="00824850" w:rsidP="003822D9">
      <w:pPr>
        <w:pStyle w:val="FootnoteText"/>
        <w:jc w:val="both"/>
        <w:rPr>
          <w:rFonts w:asciiTheme="majorHAnsi" w:eastAsia="Arial Unicode MS" w:hAnsiTheme="majorHAnsi" w:cs="Times New Roman"/>
          <w:color w:val="FF0000"/>
          <w:sz w:val="16"/>
          <w:szCs w:val="16"/>
          <w:lang w:val="es-VE" w:eastAsia="en-US"/>
        </w:rPr>
      </w:pPr>
      <w:r w:rsidRPr="00254388">
        <w:rPr>
          <w:rStyle w:val="FootnoteReference"/>
          <w:rFonts w:asciiTheme="majorHAnsi" w:eastAsia="Arial Unicode MS" w:hAnsiTheme="majorHAnsi" w:cs="Times New Roman"/>
          <w:color w:val="auto"/>
          <w:sz w:val="16"/>
          <w:szCs w:val="16"/>
          <w:lang w:eastAsia="en-US"/>
        </w:rPr>
        <w:footnoteRef/>
      </w:r>
      <w:r w:rsidRPr="00254388">
        <w:rPr>
          <w:rStyle w:val="FootnoteReference"/>
          <w:rFonts w:asciiTheme="majorHAnsi" w:hAnsiTheme="majorHAnsi"/>
          <w:color w:val="auto"/>
          <w:sz w:val="16"/>
          <w:szCs w:val="16"/>
          <w:lang w:val="es-CO" w:eastAsia="en-US"/>
        </w:rPr>
        <w:t xml:space="preserve"> </w:t>
      </w:r>
      <w:bookmarkStart w:id="15" w:name="_Hlk510369168"/>
      <w:r>
        <w:rPr>
          <w:rFonts w:asciiTheme="majorHAnsi" w:eastAsia="Arial Unicode MS" w:hAnsiTheme="majorHAnsi" w:cs="Times New Roman"/>
          <w:color w:val="auto"/>
          <w:sz w:val="16"/>
          <w:szCs w:val="16"/>
          <w:lang w:val="es-VE" w:eastAsia="en-US"/>
        </w:rPr>
        <w:t>Anexo 6</w:t>
      </w:r>
      <w:r w:rsidRPr="00254388">
        <w:rPr>
          <w:rFonts w:asciiTheme="majorHAnsi" w:eastAsia="Arial Unicode MS" w:hAnsiTheme="majorHAnsi" w:cs="Times New Roman"/>
          <w:color w:val="auto"/>
          <w:sz w:val="16"/>
          <w:szCs w:val="16"/>
          <w:lang w:val="es-VE" w:eastAsia="en-US"/>
        </w:rPr>
        <w:t>. Resolución por la cual se prohibió el ingreso de visitantes al Parque Natural El Cocuy. 29 de julio de 2016. Anexo a observaciones de fondo de l</w:t>
      </w:r>
      <w:r>
        <w:rPr>
          <w:rFonts w:asciiTheme="majorHAnsi" w:eastAsia="Arial Unicode MS" w:hAnsiTheme="majorHAnsi" w:cs="Times New Roman"/>
          <w:color w:val="auto"/>
          <w:sz w:val="16"/>
          <w:szCs w:val="16"/>
          <w:lang w:val="es-VE" w:eastAsia="en-US"/>
        </w:rPr>
        <w:t xml:space="preserve">a parte </w:t>
      </w:r>
      <w:r w:rsidRPr="00254388">
        <w:rPr>
          <w:rFonts w:asciiTheme="majorHAnsi" w:eastAsia="Arial Unicode MS" w:hAnsiTheme="majorHAnsi" w:cs="Times New Roman"/>
          <w:color w:val="auto"/>
          <w:sz w:val="16"/>
          <w:szCs w:val="16"/>
          <w:lang w:val="es-VE" w:eastAsia="en-US"/>
        </w:rPr>
        <w:t>peticionari</w:t>
      </w:r>
      <w:r>
        <w:rPr>
          <w:rFonts w:asciiTheme="majorHAnsi" w:eastAsia="Arial Unicode MS" w:hAnsiTheme="majorHAnsi" w:cs="Times New Roman"/>
          <w:color w:val="auto"/>
          <w:sz w:val="16"/>
          <w:szCs w:val="16"/>
          <w:lang w:val="es-VE" w:eastAsia="en-US"/>
        </w:rPr>
        <w:t>a</w:t>
      </w:r>
      <w:r w:rsidRPr="00254388">
        <w:rPr>
          <w:rFonts w:asciiTheme="majorHAnsi" w:eastAsia="Arial Unicode MS" w:hAnsiTheme="majorHAnsi" w:cs="Times New Roman"/>
          <w:color w:val="auto"/>
          <w:sz w:val="16"/>
          <w:szCs w:val="16"/>
          <w:lang w:val="es-VE" w:eastAsia="en-US"/>
        </w:rPr>
        <w:t xml:space="preserve"> de 16 de diciembre de 2016. </w:t>
      </w:r>
      <w:bookmarkEnd w:id="15"/>
    </w:p>
  </w:footnote>
  <w:footnote w:id="22">
    <w:p w14:paraId="4C444638" w14:textId="260A087F" w:rsidR="00824850" w:rsidRPr="009C7948" w:rsidRDefault="00824850" w:rsidP="003822D9">
      <w:pPr>
        <w:pStyle w:val="FootnoteText"/>
        <w:jc w:val="both"/>
        <w:rPr>
          <w:lang w:val="es-CO"/>
        </w:rPr>
      </w:pPr>
      <w:r w:rsidRPr="009C7948">
        <w:rPr>
          <w:rStyle w:val="FootnoteReference"/>
          <w:rFonts w:asciiTheme="majorHAnsi" w:eastAsia="Arial Unicode MS" w:hAnsiTheme="majorHAnsi" w:cs="Times New Roman"/>
          <w:color w:val="auto"/>
          <w:sz w:val="16"/>
          <w:szCs w:val="16"/>
          <w:lang w:eastAsia="en-US"/>
        </w:rPr>
        <w:footnoteRef/>
      </w:r>
      <w:r w:rsidRPr="00497679">
        <w:rPr>
          <w:rStyle w:val="FootnoteReference"/>
          <w:rFonts w:asciiTheme="majorHAnsi" w:eastAsia="Arial Unicode MS" w:hAnsiTheme="majorHAnsi" w:cs="Times New Roman"/>
          <w:color w:val="auto"/>
          <w:sz w:val="16"/>
          <w:szCs w:val="16"/>
          <w:lang w:val="es-MX" w:eastAsia="en-US"/>
        </w:rPr>
        <w:t xml:space="preserve"> </w:t>
      </w:r>
      <w:r w:rsidRPr="00254388">
        <w:rPr>
          <w:rFonts w:asciiTheme="majorHAnsi" w:eastAsia="Arial Unicode MS" w:hAnsiTheme="majorHAnsi" w:cs="Times New Roman"/>
          <w:color w:val="auto"/>
          <w:sz w:val="16"/>
          <w:szCs w:val="16"/>
          <w:lang w:val="es-VE" w:eastAsia="en-US"/>
        </w:rPr>
        <w:t xml:space="preserve">Anexo </w:t>
      </w:r>
      <w:r>
        <w:rPr>
          <w:rFonts w:asciiTheme="majorHAnsi" w:eastAsia="Arial Unicode MS" w:hAnsiTheme="majorHAnsi" w:cs="Times New Roman"/>
          <w:color w:val="auto"/>
          <w:sz w:val="16"/>
          <w:szCs w:val="16"/>
          <w:lang w:val="es-VE" w:eastAsia="en-US"/>
        </w:rPr>
        <w:t>7</w:t>
      </w:r>
      <w:r w:rsidRPr="00254388">
        <w:rPr>
          <w:rFonts w:asciiTheme="majorHAnsi" w:eastAsia="Arial Unicode MS" w:hAnsiTheme="majorHAnsi" w:cs="Times New Roman"/>
          <w:color w:val="auto"/>
          <w:sz w:val="16"/>
          <w:szCs w:val="16"/>
          <w:lang w:val="es-VE" w:eastAsia="en-US"/>
        </w:rPr>
        <w:t>. Estudio Socioeconómico, ambiental, jurídico y de tenencia de tierras para la constitución del Resguardo Único realizado por un Convenio Institucional de agosto de 1996</w:t>
      </w:r>
      <w:r>
        <w:rPr>
          <w:rFonts w:asciiTheme="majorHAnsi" w:eastAsia="Arial Unicode MS" w:hAnsiTheme="majorHAnsi" w:cs="Times New Roman"/>
          <w:color w:val="auto"/>
          <w:sz w:val="16"/>
          <w:szCs w:val="16"/>
          <w:lang w:val="es-VE" w:eastAsia="en-US"/>
        </w:rPr>
        <w:t>.</w:t>
      </w:r>
    </w:p>
  </w:footnote>
  <w:footnote w:id="23">
    <w:p w14:paraId="7246BBFD" w14:textId="66ABD6A9" w:rsidR="00824850" w:rsidRPr="00254388" w:rsidRDefault="00824850" w:rsidP="003822D9">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bookmarkStart w:id="16" w:name="_Hlk513464089"/>
      <w:r w:rsidRPr="00254388">
        <w:rPr>
          <w:rFonts w:asciiTheme="majorHAnsi" w:hAnsiTheme="majorHAnsi"/>
          <w:sz w:val="16"/>
          <w:szCs w:val="16"/>
          <w:lang w:val="es-CO"/>
        </w:rPr>
        <w:t xml:space="preserve">Anexo </w:t>
      </w:r>
      <w:r>
        <w:rPr>
          <w:rFonts w:asciiTheme="majorHAnsi" w:hAnsiTheme="majorHAnsi"/>
          <w:sz w:val="16"/>
          <w:szCs w:val="16"/>
          <w:lang w:val="es-CO"/>
        </w:rPr>
        <w:t>2</w:t>
      </w:r>
      <w:r w:rsidRPr="00254388">
        <w:rPr>
          <w:rFonts w:asciiTheme="majorHAnsi" w:hAnsiTheme="majorHAnsi"/>
          <w:sz w:val="16"/>
          <w:szCs w:val="16"/>
          <w:lang w:val="es-CO"/>
        </w:rPr>
        <w:t>. Resolución</w:t>
      </w:r>
      <w:r>
        <w:rPr>
          <w:rFonts w:asciiTheme="majorHAnsi" w:hAnsiTheme="majorHAnsi"/>
          <w:sz w:val="16"/>
          <w:szCs w:val="16"/>
          <w:lang w:val="es-CO"/>
        </w:rPr>
        <w:t xml:space="preserve"> No. 56</w:t>
      </w:r>
      <w:r w:rsidRPr="00254388">
        <w:rPr>
          <w:rFonts w:asciiTheme="majorHAnsi" w:hAnsiTheme="majorHAnsi"/>
          <w:sz w:val="16"/>
          <w:szCs w:val="16"/>
          <w:lang w:val="es-CO"/>
        </w:rPr>
        <w:t xml:space="preserve"> mediante la cual se crea el Resguardo Unido U’wa de 6 de agosto de 1999. Anexo a observaciones de fondo de l</w:t>
      </w:r>
      <w:r>
        <w:rPr>
          <w:rFonts w:asciiTheme="majorHAnsi" w:hAnsiTheme="majorHAnsi"/>
          <w:sz w:val="16"/>
          <w:szCs w:val="16"/>
          <w:lang w:val="es-CO"/>
        </w:rPr>
        <w:t>a</w:t>
      </w:r>
      <w:r w:rsidRPr="00254388">
        <w:rPr>
          <w:rFonts w:asciiTheme="majorHAnsi" w:hAnsiTheme="majorHAnsi"/>
          <w:sz w:val="16"/>
          <w:szCs w:val="16"/>
          <w:lang w:val="es-CO"/>
        </w:rPr>
        <w:t xml:space="preserve"> </w:t>
      </w:r>
      <w:r>
        <w:rPr>
          <w:rFonts w:asciiTheme="majorHAnsi" w:hAnsiTheme="majorHAnsi"/>
          <w:sz w:val="16"/>
          <w:szCs w:val="16"/>
          <w:lang w:val="es-CO"/>
        </w:rPr>
        <w:t xml:space="preserve">parte </w:t>
      </w:r>
      <w:r w:rsidRPr="00254388">
        <w:rPr>
          <w:rFonts w:asciiTheme="majorHAnsi" w:hAnsiTheme="majorHAnsi"/>
          <w:sz w:val="16"/>
          <w:szCs w:val="16"/>
          <w:lang w:val="es-CO"/>
        </w:rPr>
        <w:t>peticionari</w:t>
      </w:r>
      <w:r>
        <w:rPr>
          <w:rFonts w:asciiTheme="majorHAnsi" w:hAnsiTheme="majorHAnsi"/>
          <w:sz w:val="16"/>
          <w:szCs w:val="16"/>
          <w:lang w:val="es-CO"/>
        </w:rPr>
        <w:t>a</w:t>
      </w:r>
      <w:r w:rsidRPr="00254388">
        <w:rPr>
          <w:rFonts w:asciiTheme="majorHAnsi" w:hAnsiTheme="majorHAnsi"/>
          <w:sz w:val="16"/>
          <w:szCs w:val="16"/>
          <w:lang w:val="es-CO"/>
        </w:rPr>
        <w:t xml:space="preserve"> de 16 de diciembre de 2016.</w:t>
      </w:r>
      <w:bookmarkEnd w:id="16"/>
    </w:p>
  </w:footnote>
  <w:footnote w:id="24">
    <w:p w14:paraId="1EA6DD76" w14:textId="4BEC1085" w:rsidR="00824850" w:rsidRPr="00254388" w:rsidRDefault="00824850" w:rsidP="003822D9">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8</w:t>
      </w:r>
      <w:r w:rsidRPr="00254388">
        <w:rPr>
          <w:rFonts w:asciiTheme="majorHAnsi" w:hAnsiTheme="majorHAnsi"/>
          <w:sz w:val="16"/>
          <w:szCs w:val="16"/>
          <w:lang w:val="es-CO"/>
        </w:rPr>
        <w:t xml:space="preserve">. Documento sobre Saneamiento del Resguardo Unido  U’wa de 17 de abril de 2007. Anexo a escrito del Estado  de 30 de abril de 2007. </w:t>
      </w:r>
    </w:p>
  </w:footnote>
  <w:footnote w:id="25">
    <w:p w14:paraId="028AB7C9" w14:textId="4DB2FBBC" w:rsidR="00824850" w:rsidRPr="00C55C69" w:rsidRDefault="00824850" w:rsidP="00EA7128">
      <w:pPr>
        <w:pStyle w:val="FootnoteText"/>
        <w:jc w:val="both"/>
        <w:rPr>
          <w:lang w:val="es-CO"/>
        </w:rPr>
      </w:pPr>
      <w:r w:rsidRPr="00B42D36">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r w:rsidRPr="00254388">
        <w:rPr>
          <w:rFonts w:asciiTheme="majorHAnsi" w:hAnsiTheme="majorHAnsi"/>
          <w:sz w:val="16"/>
          <w:szCs w:val="16"/>
          <w:lang w:val="es-CO"/>
        </w:rPr>
        <w:t>Anexo</w:t>
      </w:r>
      <w:r>
        <w:rPr>
          <w:rFonts w:asciiTheme="majorHAnsi" w:hAnsiTheme="majorHAnsi"/>
          <w:sz w:val="16"/>
          <w:szCs w:val="16"/>
          <w:lang w:val="es-CO"/>
        </w:rPr>
        <w:t xml:space="preserve"> 2.</w:t>
      </w:r>
      <w:r w:rsidRPr="00254388">
        <w:rPr>
          <w:rFonts w:asciiTheme="majorHAnsi" w:hAnsiTheme="majorHAnsi"/>
          <w:sz w:val="16"/>
          <w:szCs w:val="16"/>
          <w:lang w:val="es-CO"/>
        </w:rPr>
        <w:t xml:space="preserve"> Resolución</w:t>
      </w:r>
      <w:r>
        <w:rPr>
          <w:rFonts w:asciiTheme="majorHAnsi" w:hAnsiTheme="majorHAnsi"/>
          <w:sz w:val="16"/>
          <w:szCs w:val="16"/>
          <w:lang w:val="es-CO"/>
        </w:rPr>
        <w:t xml:space="preserve"> No. 56</w:t>
      </w:r>
      <w:r w:rsidRPr="00254388">
        <w:rPr>
          <w:rFonts w:asciiTheme="majorHAnsi" w:hAnsiTheme="majorHAnsi"/>
          <w:sz w:val="16"/>
          <w:szCs w:val="16"/>
          <w:lang w:val="es-CO"/>
        </w:rPr>
        <w:t xml:space="preserve"> mediante la cual se crea el Resguardo Unido U’wa de 6 de agosto de 1999. Anexo a observaciones de fondo de l</w:t>
      </w:r>
      <w:r>
        <w:rPr>
          <w:rFonts w:asciiTheme="majorHAnsi" w:hAnsiTheme="majorHAnsi"/>
          <w:sz w:val="16"/>
          <w:szCs w:val="16"/>
          <w:lang w:val="es-CO"/>
        </w:rPr>
        <w:t>a parte p</w:t>
      </w:r>
      <w:r w:rsidRPr="00254388">
        <w:rPr>
          <w:rFonts w:asciiTheme="majorHAnsi" w:hAnsiTheme="majorHAnsi"/>
          <w:sz w:val="16"/>
          <w:szCs w:val="16"/>
          <w:lang w:val="es-CO"/>
        </w:rPr>
        <w:t>eticionari</w:t>
      </w:r>
      <w:r>
        <w:rPr>
          <w:rFonts w:asciiTheme="majorHAnsi" w:hAnsiTheme="majorHAnsi"/>
          <w:sz w:val="16"/>
          <w:szCs w:val="16"/>
          <w:lang w:val="es-CO"/>
        </w:rPr>
        <w:t>a</w:t>
      </w:r>
      <w:r w:rsidRPr="00254388">
        <w:rPr>
          <w:rFonts w:asciiTheme="majorHAnsi" w:hAnsiTheme="majorHAnsi"/>
          <w:sz w:val="16"/>
          <w:szCs w:val="16"/>
          <w:lang w:val="es-CO"/>
        </w:rPr>
        <w:t xml:space="preserve"> de 16 de diciembre de 2016.</w:t>
      </w:r>
    </w:p>
  </w:footnote>
  <w:footnote w:id="26">
    <w:p w14:paraId="1EB94B2D" w14:textId="1F32DA8D" w:rsidR="00824850" w:rsidRPr="00254388" w:rsidRDefault="00824850" w:rsidP="00EA7128">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8</w:t>
      </w:r>
      <w:r w:rsidRPr="00254388">
        <w:rPr>
          <w:rFonts w:asciiTheme="majorHAnsi" w:hAnsiTheme="majorHAnsi"/>
          <w:sz w:val="16"/>
          <w:szCs w:val="16"/>
          <w:lang w:val="es-CO"/>
        </w:rPr>
        <w:t xml:space="preserve">. Documento sobre Saneamiento del Resguardo Unido U’wa de 17 de abril de 2007. Anexo a escrito del Estado de 30 de abril de 2007. </w:t>
      </w:r>
    </w:p>
  </w:footnote>
  <w:footnote w:id="27">
    <w:p w14:paraId="4585B6D2" w14:textId="2C2FDC54" w:rsidR="00824850" w:rsidRPr="00E91E41" w:rsidRDefault="00824850" w:rsidP="00EA7128">
      <w:pPr>
        <w:pStyle w:val="FootnoteText"/>
        <w:jc w:val="both"/>
        <w:rPr>
          <w:rFonts w:asciiTheme="majorHAnsi" w:hAnsiTheme="majorHAnsi"/>
          <w:sz w:val="16"/>
          <w:szCs w:val="16"/>
          <w:lang w:val="es-MX"/>
        </w:rPr>
      </w:pPr>
      <w:r w:rsidRPr="00E91E41">
        <w:rPr>
          <w:rStyle w:val="FootnoteReference"/>
          <w:rFonts w:asciiTheme="majorHAnsi" w:hAnsiTheme="majorHAnsi"/>
          <w:sz w:val="16"/>
          <w:szCs w:val="16"/>
        </w:rPr>
        <w:footnoteRef/>
      </w:r>
      <w:r w:rsidRPr="00E91E41">
        <w:rPr>
          <w:rFonts w:asciiTheme="majorHAnsi" w:hAnsiTheme="majorHAnsi"/>
          <w:sz w:val="16"/>
          <w:szCs w:val="16"/>
          <w:lang w:val="es-MX"/>
        </w:rPr>
        <w:t xml:space="preserve"> </w:t>
      </w:r>
      <w:r>
        <w:rPr>
          <w:rFonts w:asciiTheme="majorHAnsi" w:hAnsiTheme="majorHAnsi"/>
          <w:sz w:val="16"/>
          <w:szCs w:val="16"/>
          <w:lang w:val="es-MX"/>
        </w:rPr>
        <w:t xml:space="preserve">Anexo 9. </w:t>
      </w:r>
      <w:r w:rsidRPr="00E91E41">
        <w:rPr>
          <w:rFonts w:asciiTheme="majorHAnsi" w:hAnsiTheme="majorHAnsi"/>
          <w:sz w:val="16"/>
          <w:szCs w:val="16"/>
          <w:lang w:val="es-MX"/>
        </w:rPr>
        <w:t xml:space="preserve">A través del </w:t>
      </w:r>
      <w:hyperlink r:id="rId9" w:history="1">
        <w:r w:rsidRPr="003822D9">
          <w:rPr>
            <w:rStyle w:val="Hyperlink"/>
            <w:rFonts w:asciiTheme="majorHAnsi" w:hAnsiTheme="majorHAnsi"/>
            <w:sz w:val="16"/>
            <w:szCs w:val="16"/>
            <w:lang w:val="es-MX"/>
          </w:rPr>
          <w:t>Decreto 1300 del 2003</w:t>
        </w:r>
      </w:hyperlink>
      <w:r w:rsidRPr="00E91E41">
        <w:rPr>
          <w:rFonts w:asciiTheme="majorHAnsi" w:hAnsiTheme="majorHAnsi"/>
          <w:sz w:val="16"/>
          <w:szCs w:val="16"/>
          <w:lang w:val="es-MX"/>
        </w:rPr>
        <w:t>, el Presidente de la República suprimió el INCORA y en su reemplazo creó el Instituto Colombiano de Desarrollo Rural (INCODER).</w:t>
      </w:r>
      <w:r w:rsidRPr="0062268E">
        <w:rPr>
          <w:lang w:val="es-MX"/>
        </w:rPr>
        <w:t xml:space="preserve"> </w:t>
      </w:r>
    </w:p>
  </w:footnote>
  <w:footnote w:id="28">
    <w:p w14:paraId="35C36CFB" w14:textId="6026B836" w:rsidR="00824850" w:rsidRPr="00384EBB" w:rsidRDefault="00824850" w:rsidP="00EA7128">
      <w:pPr>
        <w:pStyle w:val="FootnoteText"/>
        <w:jc w:val="both"/>
        <w:rPr>
          <w:rFonts w:asciiTheme="majorHAnsi" w:hAnsiTheme="majorHAnsi"/>
          <w:sz w:val="16"/>
          <w:szCs w:val="16"/>
          <w:lang w:val="es-MX"/>
        </w:rPr>
      </w:pPr>
      <w:r w:rsidRPr="00254388">
        <w:rPr>
          <w:rStyle w:val="FootnoteReference"/>
          <w:rFonts w:asciiTheme="majorHAnsi" w:hAnsiTheme="majorHAnsi"/>
          <w:sz w:val="16"/>
          <w:szCs w:val="16"/>
        </w:rPr>
        <w:footnoteRef/>
      </w:r>
      <w:r w:rsidRPr="00E91E41">
        <w:rPr>
          <w:rFonts w:asciiTheme="majorHAnsi" w:hAnsiTheme="majorHAnsi"/>
          <w:sz w:val="16"/>
          <w:szCs w:val="16"/>
          <w:lang w:val="es-MX"/>
        </w:rPr>
        <w:t xml:space="preserve"> Anexo </w:t>
      </w:r>
      <w:r>
        <w:rPr>
          <w:rFonts w:asciiTheme="majorHAnsi" w:hAnsiTheme="majorHAnsi"/>
          <w:sz w:val="16"/>
          <w:szCs w:val="16"/>
          <w:lang w:val="es-MX"/>
        </w:rPr>
        <w:t>8</w:t>
      </w:r>
      <w:r w:rsidRPr="00E91E41">
        <w:rPr>
          <w:rFonts w:asciiTheme="majorHAnsi" w:hAnsiTheme="majorHAnsi"/>
          <w:sz w:val="16"/>
          <w:szCs w:val="16"/>
          <w:lang w:val="es-MX"/>
        </w:rPr>
        <w:t xml:space="preserve">. Documento sobre Saneamiento del Resguardo Unido  U’wa de 17 de abril de 2007. </w:t>
      </w:r>
      <w:r w:rsidRPr="00384EBB">
        <w:rPr>
          <w:rFonts w:asciiTheme="majorHAnsi" w:hAnsiTheme="majorHAnsi"/>
          <w:sz w:val="16"/>
          <w:szCs w:val="16"/>
          <w:lang w:val="es-MX"/>
        </w:rPr>
        <w:t xml:space="preserve">Anexo a escrito del Estado de 30 de abril de 2007. </w:t>
      </w:r>
    </w:p>
  </w:footnote>
  <w:footnote w:id="29">
    <w:p w14:paraId="2538B918" w14:textId="6A28BA63" w:rsidR="00824850" w:rsidRPr="00254388" w:rsidRDefault="00824850" w:rsidP="00EA7128">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384EBB">
        <w:rPr>
          <w:rFonts w:asciiTheme="majorHAnsi" w:hAnsiTheme="majorHAnsi"/>
          <w:sz w:val="16"/>
          <w:szCs w:val="16"/>
          <w:lang w:val="es-MX"/>
        </w:rPr>
        <w:t xml:space="preserve"> Anexo </w:t>
      </w:r>
      <w:r>
        <w:rPr>
          <w:rFonts w:asciiTheme="majorHAnsi" w:hAnsiTheme="majorHAnsi"/>
          <w:sz w:val="16"/>
          <w:szCs w:val="16"/>
          <w:lang w:val="es-MX"/>
        </w:rPr>
        <w:t>8</w:t>
      </w:r>
      <w:r w:rsidRPr="00384EBB">
        <w:rPr>
          <w:rFonts w:asciiTheme="majorHAnsi" w:hAnsiTheme="majorHAnsi"/>
          <w:sz w:val="16"/>
          <w:szCs w:val="16"/>
          <w:lang w:val="es-MX"/>
        </w:rPr>
        <w:t xml:space="preserve">. Documento sobre Saneamiento del Resguardo Unido  U’wa de 17 de abril de 2007. Anexo a escrito del Estado de 30 de abril de 2007. </w:t>
      </w:r>
    </w:p>
  </w:footnote>
  <w:footnote w:id="30">
    <w:p w14:paraId="0C219461" w14:textId="77777777" w:rsidR="00824850" w:rsidRPr="00B734D5" w:rsidRDefault="00824850">
      <w:pPr>
        <w:pStyle w:val="FootnoteText"/>
        <w:rPr>
          <w:rFonts w:asciiTheme="majorHAnsi" w:hAnsiTheme="majorHAnsi"/>
          <w:sz w:val="16"/>
          <w:szCs w:val="16"/>
          <w:lang w:val="es-ES"/>
        </w:rPr>
      </w:pPr>
      <w:r w:rsidRPr="00B734D5">
        <w:rPr>
          <w:rStyle w:val="FootnoteReference"/>
          <w:rFonts w:asciiTheme="majorHAnsi" w:hAnsiTheme="majorHAnsi"/>
          <w:sz w:val="16"/>
          <w:szCs w:val="16"/>
        </w:rPr>
        <w:footnoteRef/>
      </w:r>
      <w:r w:rsidRPr="00B734D5">
        <w:rPr>
          <w:rFonts w:asciiTheme="majorHAnsi" w:hAnsiTheme="majorHAnsi"/>
          <w:sz w:val="16"/>
          <w:szCs w:val="16"/>
          <w:lang w:val="es-ES"/>
        </w:rPr>
        <w:t xml:space="preserve"> Observaciones del Estado de 30 de abril de 2007. </w:t>
      </w:r>
    </w:p>
  </w:footnote>
  <w:footnote w:id="31">
    <w:p w14:paraId="7F460BBA" w14:textId="47542A63" w:rsidR="00824850" w:rsidRPr="002D72A7" w:rsidRDefault="00824850" w:rsidP="00EA7128">
      <w:pPr>
        <w:pStyle w:val="FootnoteText"/>
        <w:jc w:val="both"/>
        <w:rPr>
          <w:rFonts w:asciiTheme="majorHAnsi" w:hAnsiTheme="majorHAnsi"/>
          <w:sz w:val="16"/>
          <w:szCs w:val="16"/>
          <w:lang w:val="es-CO"/>
        </w:rPr>
      </w:pPr>
      <w:r w:rsidRPr="00B734D5">
        <w:rPr>
          <w:rStyle w:val="FootnoteReference"/>
          <w:rFonts w:asciiTheme="majorHAnsi" w:hAnsiTheme="majorHAnsi"/>
          <w:sz w:val="16"/>
          <w:szCs w:val="16"/>
        </w:rPr>
        <w:footnoteRef/>
      </w:r>
      <w:r w:rsidRPr="00B734D5">
        <w:rPr>
          <w:rFonts w:asciiTheme="majorHAnsi" w:hAnsiTheme="majorHAnsi"/>
          <w:sz w:val="16"/>
          <w:szCs w:val="16"/>
          <w:lang w:val="es-CO"/>
        </w:rPr>
        <w:t xml:space="preserve"> Anexo </w:t>
      </w:r>
      <w:r>
        <w:rPr>
          <w:rFonts w:asciiTheme="majorHAnsi" w:hAnsiTheme="majorHAnsi"/>
          <w:sz w:val="16"/>
          <w:szCs w:val="16"/>
          <w:lang w:val="es-CO"/>
        </w:rPr>
        <w:t>9</w:t>
      </w:r>
      <w:r w:rsidRPr="00B734D5">
        <w:rPr>
          <w:rFonts w:asciiTheme="majorHAnsi" w:hAnsiTheme="majorHAnsi"/>
          <w:sz w:val="16"/>
          <w:szCs w:val="16"/>
          <w:lang w:val="es-CO"/>
        </w:rPr>
        <w:t>. Acuerdo entre el Gobierno Nacional y la Nación</w:t>
      </w:r>
      <w:r w:rsidRPr="00254388">
        <w:rPr>
          <w:rFonts w:asciiTheme="majorHAnsi" w:hAnsiTheme="majorHAnsi"/>
          <w:sz w:val="16"/>
          <w:szCs w:val="16"/>
          <w:lang w:val="es-CO"/>
        </w:rPr>
        <w:t xml:space="preserve"> U’wa de 1 de mayo de 2014. Anexo a escrito de </w:t>
      </w:r>
      <w:r>
        <w:rPr>
          <w:rFonts w:asciiTheme="majorHAnsi" w:hAnsiTheme="majorHAnsi"/>
          <w:sz w:val="16"/>
          <w:szCs w:val="16"/>
          <w:lang w:val="es-CO"/>
        </w:rPr>
        <w:t xml:space="preserve">la parte </w:t>
      </w:r>
      <w:r w:rsidRPr="00254388">
        <w:rPr>
          <w:rFonts w:asciiTheme="majorHAnsi" w:hAnsiTheme="majorHAnsi"/>
          <w:sz w:val="16"/>
          <w:szCs w:val="16"/>
          <w:lang w:val="es-CO"/>
        </w:rPr>
        <w:t>peticionari</w:t>
      </w:r>
      <w:r>
        <w:rPr>
          <w:rFonts w:asciiTheme="majorHAnsi" w:hAnsiTheme="majorHAnsi"/>
          <w:sz w:val="16"/>
          <w:szCs w:val="16"/>
          <w:lang w:val="es-CO"/>
        </w:rPr>
        <w:t>a</w:t>
      </w:r>
      <w:r w:rsidRPr="00254388">
        <w:rPr>
          <w:rFonts w:asciiTheme="majorHAnsi" w:hAnsiTheme="majorHAnsi"/>
          <w:sz w:val="16"/>
          <w:szCs w:val="16"/>
          <w:lang w:val="es-CO"/>
        </w:rPr>
        <w:t xml:space="preserve"> de 15 de </w:t>
      </w:r>
      <w:r w:rsidRPr="002D72A7">
        <w:rPr>
          <w:rFonts w:asciiTheme="majorHAnsi" w:hAnsiTheme="majorHAnsi"/>
          <w:sz w:val="16"/>
          <w:szCs w:val="16"/>
          <w:lang w:val="es-CO"/>
        </w:rPr>
        <w:t>mayo de 2015.</w:t>
      </w:r>
    </w:p>
  </w:footnote>
  <w:footnote w:id="32">
    <w:p w14:paraId="3D3CCB24" w14:textId="77777777" w:rsidR="00824850" w:rsidRPr="005B5543" w:rsidRDefault="00824850" w:rsidP="005B5543">
      <w:pPr>
        <w:pStyle w:val="FootnoteText"/>
        <w:jc w:val="both"/>
        <w:rPr>
          <w:rFonts w:asciiTheme="majorHAnsi" w:hAnsiTheme="majorHAnsi"/>
          <w:sz w:val="16"/>
          <w:szCs w:val="16"/>
          <w:lang w:val="es-ES"/>
        </w:rPr>
      </w:pPr>
      <w:r w:rsidRPr="005B5543">
        <w:rPr>
          <w:rStyle w:val="FootnoteReference"/>
          <w:rFonts w:asciiTheme="majorHAnsi" w:hAnsiTheme="majorHAnsi"/>
          <w:sz w:val="16"/>
          <w:szCs w:val="16"/>
        </w:rPr>
        <w:footnoteRef/>
      </w:r>
      <w:r w:rsidRPr="005B5543">
        <w:rPr>
          <w:rFonts w:asciiTheme="majorHAnsi" w:hAnsiTheme="majorHAnsi"/>
          <w:sz w:val="16"/>
          <w:szCs w:val="16"/>
          <w:lang w:val="es-ES"/>
        </w:rPr>
        <w:t xml:space="preserve">Firmado por representantes del Ministerio del Interior, del Ministerio de Medio Ambiente, de Parques Nacionales Naturales, Ministerio de Minas y Energía, Ecopetrol, Incoder, Defensoría del Pueblo y el Presidente de Aso U´wa.  </w:t>
      </w:r>
    </w:p>
  </w:footnote>
  <w:footnote w:id="33">
    <w:p w14:paraId="604A058F" w14:textId="776952AB" w:rsidR="00824850" w:rsidRPr="00643297" w:rsidRDefault="00824850" w:rsidP="00EA7128">
      <w:pPr>
        <w:pStyle w:val="FootnoteText"/>
        <w:jc w:val="both"/>
        <w:rPr>
          <w:rFonts w:asciiTheme="majorHAnsi" w:hAnsiTheme="majorHAnsi"/>
          <w:sz w:val="16"/>
          <w:szCs w:val="16"/>
          <w:lang w:val="es-PE"/>
        </w:rPr>
      </w:pPr>
      <w:r w:rsidRPr="002D72A7">
        <w:rPr>
          <w:rStyle w:val="FootnoteReference"/>
          <w:rFonts w:asciiTheme="majorHAnsi" w:hAnsiTheme="majorHAnsi"/>
          <w:sz w:val="16"/>
          <w:szCs w:val="16"/>
        </w:rPr>
        <w:footnoteRef/>
      </w:r>
      <w:r w:rsidRPr="002D72A7">
        <w:rPr>
          <w:rFonts w:asciiTheme="majorHAnsi" w:hAnsiTheme="majorHAnsi"/>
          <w:sz w:val="16"/>
          <w:szCs w:val="16"/>
          <w:lang w:val="es-CO"/>
        </w:rPr>
        <w:t xml:space="preserve"> </w:t>
      </w:r>
      <w:hyperlink r:id="rId10" w:history="1">
        <w:r w:rsidRPr="00CB7587">
          <w:rPr>
            <w:rStyle w:val="Hyperlink"/>
            <w:rFonts w:asciiTheme="majorHAnsi" w:hAnsiTheme="majorHAnsi"/>
            <w:sz w:val="16"/>
            <w:szCs w:val="16"/>
            <w:lang w:val="es-CO"/>
          </w:rPr>
          <w:t>Anexo 10. Acuerdo No. 337 de 2015</w:t>
        </w:r>
      </w:hyperlink>
      <w:r w:rsidRPr="002D72A7">
        <w:rPr>
          <w:rFonts w:asciiTheme="majorHAnsi" w:hAnsiTheme="majorHAnsi"/>
          <w:sz w:val="16"/>
          <w:szCs w:val="16"/>
          <w:lang w:val="es-CO"/>
        </w:rPr>
        <w:t xml:space="preserve">. </w:t>
      </w:r>
    </w:p>
  </w:footnote>
  <w:footnote w:id="34">
    <w:p w14:paraId="12C424DB" w14:textId="77777777" w:rsidR="00824850" w:rsidRPr="00EC0A91" w:rsidRDefault="00824850">
      <w:pPr>
        <w:pStyle w:val="FootnoteText"/>
        <w:rPr>
          <w:rFonts w:asciiTheme="majorHAnsi" w:hAnsiTheme="majorHAnsi"/>
          <w:sz w:val="16"/>
          <w:szCs w:val="16"/>
          <w:lang w:val="es-ES"/>
        </w:rPr>
      </w:pPr>
      <w:r w:rsidRPr="00EC0A91">
        <w:rPr>
          <w:rStyle w:val="FootnoteReference"/>
          <w:rFonts w:asciiTheme="majorHAnsi" w:hAnsiTheme="majorHAnsi"/>
          <w:sz w:val="16"/>
          <w:szCs w:val="16"/>
        </w:rPr>
        <w:footnoteRef/>
      </w:r>
      <w:r w:rsidRPr="00EC0A91">
        <w:rPr>
          <w:rFonts w:asciiTheme="majorHAnsi" w:hAnsiTheme="majorHAnsi"/>
          <w:sz w:val="16"/>
          <w:szCs w:val="16"/>
          <w:lang w:val="es-ES"/>
        </w:rPr>
        <w:t xml:space="preserve"> Observaciones de fondo del Estado de 28 de marzo de 2018.</w:t>
      </w:r>
    </w:p>
  </w:footnote>
  <w:footnote w:id="35">
    <w:p w14:paraId="09C69A3D" w14:textId="77777777" w:rsidR="00824850" w:rsidRPr="00EC0A91" w:rsidRDefault="00824850">
      <w:pPr>
        <w:pStyle w:val="FootnoteText"/>
        <w:rPr>
          <w:rFonts w:asciiTheme="majorHAnsi" w:hAnsiTheme="majorHAnsi"/>
          <w:sz w:val="16"/>
          <w:szCs w:val="16"/>
          <w:lang w:val="es-ES"/>
        </w:rPr>
      </w:pPr>
      <w:r w:rsidRPr="00EC0A91">
        <w:rPr>
          <w:rStyle w:val="FootnoteReference"/>
          <w:rFonts w:asciiTheme="majorHAnsi" w:hAnsiTheme="majorHAnsi"/>
          <w:sz w:val="16"/>
          <w:szCs w:val="16"/>
        </w:rPr>
        <w:footnoteRef/>
      </w:r>
      <w:r w:rsidRPr="00EC0A91">
        <w:rPr>
          <w:rFonts w:asciiTheme="majorHAnsi" w:hAnsiTheme="majorHAnsi"/>
          <w:sz w:val="16"/>
          <w:szCs w:val="16"/>
          <w:lang w:val="es-ES"/>
        </w:rPr>
        <w:t xml:space="preserve"> Observaciones de fondo de la parte peticionaria de 16 de diciembre de 2016.</w:t>
      </w:r>
    </w:p>
  </w:footnote>
  <w:footnote w:id="36">
    <w:p w14:paraId="2317BDE0" w14:textId="2A47550A" w:rsidR="00824850" w:rsidRPr="00EC0A91" w:rsidRDefault="00824850" w:rsidP="00EA7128">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Pr>
          <w:rFonts w:asciiTheme="majorHAnsi" w:hAnsiTheme="majorHAnsi"/>
          <w:sz w:val="16"/>
          <w:szCs w:val="16"/>
          <w:lang w:val="es-CO"/>
        </w:rPr>
        <w:t xml:space="preserve">   Anexo 2</w:t>
      </w:r>
      <w:r w:rsidRPr="00EC0A91">
        <w:rPr>
          <w:rFonts w:asciiTheme="majorHAnsi" w:hAnsiTheme="majorHAnsi"/>
          <w:sz w:val="16"/>
          <w:szCs w:val="16"/>
          <w:lang w:val="es-CO"/>
        </w:rPr>
        <w:t xml:space="preserve">. </w:t>
      </w:r>
      <w:r w:rsidRPr="00CB7587">
        <w:rPr>
          <w:rFonts w:asciiTheme="majorHAnsi" w:hAnsiTheme="majorHAnsi"/>
          <w:sz w:val="16"/>
          <w:szCs w:val="16"/>
          <w:lang w:val="es-CO"/>
        </w:rPr>
        <w:t>Resolución No. 56 mediante la cual se crea el Resguardo Unido U’wa de 6 de agosto de 1999. Anexo a observaciones de fondo de la parte peticionaria de 16 de diciembre de 2016.</w:t>
      </w:r>
    </w:p>
  </w:footnote>
  <w:footnote w:id="37">
    <w:p w14:paraId="60DBF830" w14:textId="73A71468" w:rsidR="00824850" w:rsidRPr="00254388" w:rsidRDefault="00824850" w:rsidP="00EA7128">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sidRPr="00EC0A91">
        <w:rPr>
          <w:rFonts w:asciiTheme="majorHAnsi" w:hAnsiTheme="majorHAnsi"/>
          <w:sz w:val="16"/>
          <w:szCs w:val="16"/>
          <w:lang w:val="es-CO"/>
        </w:rPr>
        <w:t xml:space="preserve">   Anexo </w:t>
      </w:r>
      <w:r>
        <w:rPr>
          <w:rFonts w:asciiTheme="majorHAnsi" w:hAnsiTheme="majorHAnsi"/>
          <w:sz w:val="16"/>
          <w:szCs w:val="16"/>
          <w:lang w:val="es-CO"/>
        </w:rPr>
        <w:t>2</w:t>
      </w:r>
      <w:r w:rsidRPr="00EC0A91">
        <w:rPr>
          <w:rFonts w:asciiTheme="majorHAnsi" w:hAnsiTheme="majorHAnsi"/>
          <w:sz w:val="16"/>
          <w:szCs w:val="16"/>
          <w:lang w:val="es-CO"/>
        </w:rPr>
        <w:t xml:space="preserve">. </w:t>
      </w:r>
      <w:r w:rsidRPr="00CB7587">
        <w:rPr>
          <w:rFonts w:asciiTheme="majorHAnsi" w:hAnsiTheme="majorHAnsi"/>
          <w:sz w:val="16"/>
          <w:szCs w:val="16"/>
          <w:lang w:val="es-CO"/>
        </w:rPr>
        <w:t>Resolución No. 56 mediante la cual se crea el Resguardo Unido U’wa de 6 de agosto de 1999. Anexo a observaciones de fondo de la parte peticionaria de 16 de diciembre de 2016.</w:t>
      </w:r>
    </w:p>
  </w:footnote>
  <w:footnote w:id="38">
    <w:p w14:paraId="71CD4404" w14:textId="46B6A985" w:rsidR="00824850" w:rsidRPr="00481ED0" w:rsidRDefault="00824850" w:rsidP="00EA7128">
      <w:pPr>
        <w:pStyle w:val="FootnoteText"/>
        <w:jc w:val="both"/>
        <w:rPr>
          <w:lang w:val="es-CO"/>
        </w:rPr>
      </w:pPr>
      <w:r w:rsidRPr="00E1219C">
        <w:rPr>
          <w:rStyle w:val="FootnoteReference"/>
          <w:rFonts w:asciiTheme="majorHAnsi" w:hAnsiTheme="majorHAnsi"/>
          <w:sz w:val="16"/>
          <w:szCs w:val="16"/>
        </w:rPr>
        <w:footnoteRef/>
      </w:r>
      <w:r w:rsidRPr="00E1219C">
        <w:rPr>
          <w:rFonts w:asciiTheme="majorHAnsi" w:hAnsiTheme="majorHAnsi"/>
          <w:sz w:val="16"/>
          <w:szCs w:val="16"/>
          <w:lang w:val="es-MX"/>
        </w:rPr>
        <w:t xml:space="preserve"> </w:t>
      </w:r>
      <w:r w:rsidRPr="00E1219C">
        <w:rPr>
          <w:rFonts w:asciiTheme="majorHAnsi" w:hAnsiTheme="majorHAnsi"/>
          <w:sz w:val="16"/>
          <w:szCs w:val="16"/>
          <w:lang w:val="es-CO"/>
        </w:rPr>
        <w:t xml:space="preserve">Anexo </w:t>
      </w:r>
      <w:r>
        <w:rPr>
          <w:rFonts w:asciiTheme="majorHAnsi" w:hAnsiTheme="majorHAnsi"/>
          <w:sz w:val="16"/>
          <w:szCs w:val="16"/>
          <w:lang w:val="es-CO"/>
        </w:rPr>
        <w:t>11</w:t>
      </w:r>
      <w:r w:rsidRPr="00E1219C">
        <w:rPr>
          <w:rFonts w:asciiTheme="majorHAnsi" w:hAnsiTheme="majorHAnsi"/>
          <w:sz w:val="16"/>
          <w:szCs w:val="16"/>
          <w:lang w:val="es-CO"/>
        </w:rPr>
        <w:t>. Acta de reunión</w:t>
      </w:r>
      <w:r w:rsidRPr="00254388">
        <w:rPr>
          <w:rFonts w:asciiTheme="majorHAnsi" w:hAnsiTheme="majorHAnsi"/>
          <w:sz w:val="16"/>
          <w:szCs w:val="16"/>
          <w:lang w:val="es-CO"/>
        </w:rPr>
        <w:t xml:space="preserve"> de información y consulta sobre el Bloque Samoré de 10 y 11 de enero de 1995. Anexo a la petición inicial</w:t>
      </w:r>
      <w:r>
        <w:rPr>
          <w:rFonts w:asciiTheme="majorHAnsi" w:hAnsiTheme="majorHAnsi"/>
          <w:sz w:val="16"/>
          <w:szCs w:val="16"/>
          <w:lang w:val="es-CO"/>
        </w:rPr>
        <w:t>.</w:t>
      </w:r>
    </w:p>
  </w:footnote>
  <w:footnote w:id="39">
    <w:p w14:paraId="6AB753F2" w14:textId="16386FBE" w:rsidR="00824850" w:rsidRPr="00254388" w:rsidRDefault="00824850" w:rsidP="006A3D46">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11</w:t>
      </w:r>
      <w:r w:rsidRPr="00254388">
        <w:rPr>
          <w:rFonts w:asciiTheme="majorHAnsi" w:hAnsiTheme="majorHAnsi"/>
          <w:sz w:val="16"/>
          <w:szCs w:val="16"/>
          <w:lang w:val="es-CO"/>
        </w:rPr>
        <w:t>. Acta de reunión de información y consulta sobre el Bloque Samoré de 10 y 11 de enero de 1995. Anexo a la petición inicial</w:t>
      </w:r>
      <w:r>
        <w:rPr>
          <w:rFonts w:asciiTheme="majorHAnsi" w:hAnsiTheme="majorHAnsi"/>
          <w:sz w:val="16"/>
          <w:szCs w:val="16"/>
          <w:lang w:val="es-CO"/>
        </w:rPr>
        <w:t>.</w:t>
      </w:r>
    </w:p>
  </w:footnote>
  <w:footnote w:id="40">
    <w:p w14:paraId="161C6CEB" w14:textId="0D06E64A" w:rsidR="00824850" w:rsidRPr="00254388" w:rsidRDefault="00824850" w:rsidP="006A3D46">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11</w:t>
      </w:r>
      <w:r w:rsidRPr="00254388">
        <w:rPr>
          <w:rFonts w:asciiTheme="majorHAnsi" w:hAnsiTheme="majorHAnsi"/>
          <w:sz w:val="16"/>
          <w:szCs w:val="16"/>
          <w:lang w:val="es-CO"/>
        </w:rPr>
        <w:t>.</w:t>
      </w:r>
      <w:r w:rsidRPr="00CB7587">
        <w:rPr>
          <w:lang w:val="es-MX"/>
        </w:rPr>
        <w:t xml:space="preserve"> </w:t>
      </w:r>
      <w:r w:rsidRPr="00CB7587">
        <w:rPr>
          <w:rFonts w:asciiTheme="majorHAnsi" w:hAnsiTheme="majorHAnsi"/>
          <w:sz w:val="16"/>
          <w:szCs w:val="16"/>
          <w:lang w:val="es-CO"/>
        </w:rPr>
        <w:t>Acta de reunión de información y consulta sobre el Bloque Samoré de 10 y 11 de enero de 1995. Anexo a la petición inicial.</w:t>
      </w:r>
    </w:p>
  </w:footnote>
  <w:footnote w:id="41">
    <w:p w14:paraId="5B8B2C77" w14:textId="6694B75C" w:rsidR="00824850" w:rsidRPr="00254388" w:rsidRDefault="00824850" w:rsidP="003E30BF">
      <w:pPr>
        <w:pStyle w:val="FootnoteText"/>
        <w:ind w:left="720" w:hanging="720"/>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12</w:t>
      </w:r>
      <w:r w:rsidRPr="00254388">
        <w:rPr>
          <w:rFonts w:asciiTheme="majorHAnsi" w:hAnsiTheme="majorHAnsi"/>
          <w:sz w:val="16"/>
          <w:szCs w:val="16"/>
          <w:lang w:val="es-CO"/>
        </w:rPr>
        <w:t xml:space="preserve">. </w:t>
      </w:r>
      <w:r>
        <w:rPr>
          <w:rFonts w:asciiTheme="majorHAnsi" w:hAnsiTheme="majorHAnsi"/>
          <w:sz w:val="16"/>
          <w:szCs w:val="16"/>
          <w:lang w:val="es-CO"/>
        </w:rPr>
        <w:t>Resolución No. 110 del 3 de febrero de 1995. Anexo a Escrito de la parte peticionaria de 30 de abril de 1998.</w:t>
      </w:r>
    </w:p>
  </w:footnote>
  <w:footnote w:id="42">
    <w:p w14:paraId="0535BACF" w14:textId="49E57EB5" w:rsidR="00824850" w:rsidRPr="00254388" w:rsidRDefault="00824850" w:rsidP="006A3D46">
      <w:pPr>
        <w:pStyle w:val="FootnoteText"/>
        <w:rPr>
          <w:rFonts w:asciiTheme="majorHAnsi" w:hAnsiTheme="majorHAnsi"/>
          <w:sz w:val="16"/>
          <w:szCs w:val="16"/>
          <w:lang w:val="es-CO" w:eastAsia="en-US"/>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13</w:t>
      </w:r>
      <w:r w:rsidRPr="00254388">
        <w:rPr>
          <w:rFonts w:asciiTheme="majorHAnsi" w:hAnsiTheme="majorHAnsi"/>
          <w:sz w:val="16"/>
          <w:szCs w:val="16"/>
          <w:lang w:val="es-CO"/>
        </w:rPr>
        <w:t>. Acta de reunión de seguimiento de consulta de 21 de febrero de 1995. Anexo a la petición inicial.</w:t>
      </w:r>
    </w:p>
  </w:footnote>
  <w:footnote w:id="43">
    <w:p w14:paraId="794C480D" w14:textId="5886785F" w:rsidR="00824850" w:rsidRPr="008B7DEA" w:rsidRDefault="00824850">
      <w:pPr>
        <w:pStyle w:val="FootnoteText"/>
        <w:rPr>
          <w:rFonts w:asciiTheme="majorHAnsi" w:hAnsiTheme="majorHAnsi"/>
          <w:sz w:val="16"/>
          <w:szCs w:val="16"/>
          <w:lang w:val="es-CO"/>
        </w:rPr>
      </w:pPr>
      <w:r w:rsidRPr="008B7DEA">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r w:rsidRPr="00254388">
        <w:rPr>
          <w:rFonts w:asciiTheme="majorHAnsi" w:hAnsiTheme="majorHAnsi"/>
          <w:sz w:val="16"/>
          <w:szCs w:val="16"/>
          <w:lang w:val="es-CO"/>
        </w:rPr>
        <w:t xml:space="preserve">Anexo </w:t>
      </w:r>
      <w:r>
        <w:rPr>
          <w:rFonts w:asciiTheme="majorHAnsi" w:hAnsiTheme="majorHAnsi"/>
          <w:sz w:val="16"/>
          <w:szCs w:val="16"/>
          <w:lang w:val="es-CO"/>
        </w:rPr>
        <w:t>14</w:t>
      </w:r>
      <w:r w:rsidRPr="00254388">
        <w:rPr>
          <w:rFonts w:asciiTheme="majorHAnsi" w:hAnsiTheme="majorHAnsi"/>
          <w:sz w:val="16"/>
          <w:szCs w:val="16"/>
          <w:lang w:val="es-CO"/>
        </w:rPr>
        <w:t>. Sentencia de la Corte Constitucional SU-039 de 1997. Anexo a la petición inicial.</w:t>
      </w:r>
    </w:p>
  </w:footnote>
  <w:footnote w:id="44">
    <w:p w14:paraId="7E75050B" w14:textId="4A9DB624" w:rsidR="00824850" w:rsidRPr="00254388" w:rsidRDefault="00824850" w:rsidP="006A3D46">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14</w:t>
      </w:r>
      <w:r w:rsidRPr="00254388">
        <w:rPr>
          <w:rFonts w:asciiTheme="majorHAnsi" w:hAnsiTheme="majorHAnsi"/>
          <w:sz w:val="16"/>
          <w:szCs w:val="16"/>
          <w:lang w:val="es-CO"/>
        </w:rPr>
        <w:t>. Sentencia de la Corte Constitucional SU-039 de 1997. Anexo a la petición inicial.</w:t>
      </w:r>
    </w:p>
  </w:footnote>
  <w:footnote w:id="45">
    <w:p w14:paraId="6A4F6D9B" w14:textId="2D6966C4" w:rsidR="00824850" w:rsidRPr="00254388" w:rsidRDefault="00824850" w:rsidP="006A3D46">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14</w:t>
      </w:r>
      <w:r w:rsidRPr="00254388">
        <w:rPr>
          <w:rFonts w:asciiTheme="majorHAnsi" w:hAnsiTheme="majorHAnsi"/>
          <w:sz w:val="16"/>
          <w:szCs w:val="16"/>
          <w:lang w:val="es-CO"/>
        </w:rPr>
        <w:t>. Sentencia de la Corte Constitucional SU-039 de 1997. Anexo a la petición inicial.</w:t>
      </w:r>
    </w:p>
  </w:footnote>
  <w:footnote w:id="46">
    <w:p w14:paraId="042CC1D5" w14:textId="0EE2F839" w:rsidR="00824850" w:rsidRPr="008B7DEA" w:rsidRDefault="00824850">
      <w:pPr>
        <w:pStyle w:val="FootnoteText"/>
        <w:rPr>
          <w:lang w:val="es-CO"/>
        </w:rPr>
      </w:pPr>
      <w:r w:rsidRPr="008B7DEA">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r>
        <w:rPr>
          <w:rFonts w:asciiTheme="majorHAnsi" w:hAnsiTheme="majorHAnsi"/>
          <w:sz w:val="16"/>
          <w:szCs w:val="16"/>
          <w:lang w:val="es-CO"/>
        </w:rPr>
        <w:t>Anexo 14</w:t>
      </w:r>
      <w:r w:rsidRPr="00254388">
        <w:rPr>
          <w:rFonts w:asciiTheme="majorHAnsi" w:hAnsiTheme="majorHAnsi"/>
          <w:sz w:val="16"/>
          <w:szCs w:val="16"/>
          <w:lang w:val="es-CO"/>
        </w:rPr>
        <w:t>. Sentencia de la Corte Constitucional SU-039 de 1997. Anexo a la petición inicial.</w:t>
      </w:r>
    </w:p>
  </w:footnote>
  <w:footnote w:id="47">
    <w:p w14:paraId="4414B8C8" w14:textId="3BB4BD55" w:rsidR="00824850" w:rsidRPr="00D220F3" w:rsidRDefault="00824850">
      <w:pPr>
        <w:pStyle w:val="FootnoteText"/>
        <w:rPr>
          <w:lang w:val="es-ES"/>
        </w:rPr>
      </w:pPr>
      <w:r w:rsidRPr="00D220F3">
        <w:rPr>
          <w:rStyle w:val="FootnoteReference"/>
          <w:rFonts w:asciiTheme="majorHAnsi" w:hAnsiTheme="majorHAnsi"/>
          <w:sz w:val="16"/>
          <w:szCs w:val="16"/>
        </w:rPr>
        <w:footnoteRef/>
      </w:r>
      <w:r w:rsidRPr="00D220F3">
        <w:rPr>
          <w:rFonts w:asciiTheme="majorHAnsi" w:hAnsiTheme="majorHAnsi"/>
          <w:sz w:val="16"/>
          <w:szCs w:val="16"/>
          <w:lang w:val="es-ES"/>
        </w:rPr>
        <w:t xml:space="preserve"> </w:t>
      </w:r>
      <w:r w:rsidRPr="00D220F3">
        <w:rPr>
          <w:rFonts w:asciiTheme="majorHAnsi" w:hAnsiTheme="majorHAnsi"/>
          <w:sz w:val="16"/>
          <w:szCs w:val="16"/>
          <w:lang w:val="es-CO"/>
        </w:rPr>
        <w:t>A</w:t>
      </w:r>
      <w:r>
        <w:rPr>
          <w:rFonts w:asciiTheme="majorHAnsi" w:hAnsiTheme="majorHAnsi"/>
          <w:sz w:val="16"/>
          <w:szCs w:val="16"/>
          <w:lang w:val="es-CO"/>
        </w:rPr>
        <w:t>nexo 14</w:t>
      </w:r>
      <w:r w:rsidRPr="00254388">
        <w:rPr>
          <w:rFonts w:asciiTheme="majorHAnsi" w:hAnsiTheme="majorHAnsi"/>
          <w:sz w:val="16"/>
          <w:szCs w:val="16"/>
          <w:lang w:val="es-CO"/>
        </w:rPr>
        <w:t>. Sentencia de la Corte Constitucional SU-039 de 1997. Anexo a la petición inicial.</w:t>
      </w:r>
    </w:p>
  </w:footnote>
  <w:footnote w:id="48">
    <w:p w14:paraId="6A01B788" w14:textId="6E90DC08" w:rsidR="00824850" w:rsidRPr="00220A73" w:rsidRDefault="00824850">
      <w:pPr>
        <w:pStyle w:val="FootnoteText"/>
        <w:rPr>
          <w:lang w:val="es-ES"/>
        </w:rPr>
      </w:pPr>
      <w:r w:rsidRPr="00220A73">
        <w:rPr>
          <w:rStyle w:val="FootnoteReference"/>
          <w:rFonts w:asciiTheme="majorHAnsi" w:hAnsiTheme="majorHAnsi"/>
          <w:sz w:val="16"/>
          <w:szCs w:val="16"/>
        </w:rPr>
        <w:footnoteRef/>
      </w:r>
      <w:r w:rsidRPr="00220A73">
        <w:rPr>
          <w:rFonts w:asciiTheme="majorHAnsi" w:hAnsiTheme="majorHAnsi"/>
          <w:sz w:val="16"/>
          <w:szCs w:val="16"/>
          <w:lang w:val="es-ES"/>
        </w:rPr>
        <w:t xml:space="preserve"> </w:t>
      </w:r>
      <w:r>
        <w:rPr>
          <w:rFonts w:asciiTheme="majorHAnsi" w:hAnsiTheme="majorHAnsi"/>
          <w:sz w:val="16"/>
          <w:szCs w:val="16"/>
          <w:lang w:val="es-CO"/>
        </w:rPr>
        <w:t>Anexo 14</w:t>
      </w:r>
      <w:r w:rsidRPr="00220A73">
        <w:rPr>
          <w:rFonts w:asciiTheme="majorHAnsi" w:hAnsiTheme="majorHAnsi"/>
          <w:sz w:val="16"/>
          <w:szCs w:val="16"/>
          <w:lang w:val="es-CO"/>
        </w:rPr>
        <w:t>. Sentencia</w:t>
      </w:r>
      <w:r w:rsidRPr="00254388">
        <w:rPr>
          <w:rFonts w:asciiTheme="majorHAnsi" w:hAnsiTheme="majorHAnsi"/>
          <w:sz w:val="16"/>
          <w:szCs w:val="16"/>
          <w:lang w:val="es-CO"/>
        </w:rPr>
        <w:t xml:space="preserve"> de la Corte Constitucional SU-039 de 1997. Anexo a la petición inicial.</w:t>
      </w:r>
    </w:p>
  </w:footnote>
  <w:footnote w:id="49">
    <w:p w14:paraId="5EEAC54E" w14:textId="455DEF3D" w:rsidR="00824850" w:rsidRPr="00254388" w:rsidRDefault="00824850">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15</w:t>
      </w:r>
      <w:r w:rsidRPr="00254388">
        <w:rPr>
          <w:rFonts w:asciiTheme="majorHAnsi" w:hAnsiTheme="majorHAnsi"/>
          <w:sz w:val="16"/>
          <w:szCs w:val="16"/>
          <w:lang w:val="es-CO"/>
        </w:rPr>
        <w:t>. Sentencia del Consejo de Estado</w:t>
      </w:r>
      <w:r>
        <w:rPr>
          <w:rFonts w:asciiTheme="majorHAnsi" w:hAnsiTheme="majorHAnsi"/>
          <w:sz w:val="16"/>
          <w:szCs w:val="16"/>
          <w:lang w:val="es-CO"/>
        </w:rPr>
        <w:t xml:space="preserve"> de 4 de marzo de 1997</w:t>
      </w:r>
      <w:r w:rsidRPr="00254388">
        <w:rPr>
          <w:rFonts w:asciiTheme="majorHAnsi" w:hAnsiTheme="majorHAnsi"/>
          <w:sz w:val="16"/>
          <w:szCs w:val="16"/>
          <w:lang w:val="es-CO"/>
        </w:rPr>
        <w:t>. Anexo a la petición inicial.</w:t>
      </w:r>
    </w:p>
  </w:footnote>
  <w:footnote w:id="50">
    <w:p w14:paraId="6FA02690" w14:textId="50524FC7" w:rsidR="00824850" w:rsidRPr="00ED287B" w:rsidRDefault="00824850" w:rsidP="00B9450C">
      <w:pPr>
        <w:pStyle w:val="FootnoteText"/>
        <w:jc w:val="both"/>
        <w:rPr>
          <w:lang w:val="es-ES"/>
        </w:rPr>
      </w:pPr>
      <w:r w:rsidRPr="00ED287B">
        <w:rPr>
          <w:rStyle w:val="FootnoteReference"/>
          <w:rFonts w:asciiTheme="majorHAnsi" w:hAnsiTheme="majorHAnsi"/>
          <w:sz w:val="16"/>
          <w:szCs w:val="16"/>
        </w:rPr>
        <w:footnoteRef/>
      </w:r>
      <w:r w:rsidRPr="00ED287B">
        <w:rPr>
          <w:rFonts w:asciiTheme="majorHAnsi" w:hAnsiTheme="majorHAnsi"/>
          <w:sz w:val="16"/>
          <w:szCs w:val="16"/>
          <w:lang w:val="es-ES"/>
        </w:rPr>
        <w:t xml:space="preserve"> </w:t>
      </w:r>
      <w:r w:rsidRPr="00ED287B">
        <w:rPr>
          <w:rFonts w:asciiTheme="majorHAnsi" w:hAnsiTheme="majorHAnsi"/>
          <w:sz w:val="16"/>
          <w:szCs w:val="16"/>
          <w:lang w:val="es-CO"/>
        </w:rPr>
        <w:t>Anexo</w:t>
      </w:r>
      <w:r>
        <w:rPr>
          <w:rFonts w:asciiTheme="majorHAnsi" w:hAnsiTheme="majorHAnsi"/>
          <w:sz w:val="16"/>
          <w:szCs w:val="16"/>
          <w:lang w:val="es-CO"/>
        </w:rPr>
        <w:t xml:space="preserve"> 15</w:t>
      </w:r>
      <w:r w:rsidRPr="00254388">
        <w:rPr>
          <w:rFonts w:asciiTheme="majorHAnsi" w:hAnsiTheme="majorHAnsi"/>
          <w:sz w:val="16"/>
          <w:szCs w:val="16"/>
          <w:lang w:val="es-CO"/>
        </w:rPr>
        <w:t>. Sentencia del Consejo de Estado</w:t>
      </w:r>
      <w:r>
        <w:rPr>
          <w:rFonts w:asciiTheme="majorHAnsi" w:hAnsiTheme="majorHAnsi"/>
          <w:sz w:val="16"/>
          <w:szCs w:val="16"/>
          <w:lang w:val="es-CO"/>
        </w:rPr>
        <w:t xml:space="preserve"> de 4 de marzo de 1997</w:t>
      </w:r>
      <w:r w:rsidRPr="00254388">
        <w:rPr>
          <w:rFonts w:asciiTheme="majorHAnsi" w:hAnsiTheme="majorHAnsi"/>
          <w:sz w:val="16"/>
          <w:szCs w:val="16"/>
          <w:lang w:val="es-CO"/>
        </w:rPr>
        <w:t>. Anexo a la petición inicial.</w:t>
      </w:r>
    </w:p>
  </w:footnote>
  <w:footnote w:id="51">
    <w:p w14:paraId="6DF44B5C" w14:textId="77777777" w:rsidR="00824850" w:rsidRPr="00D20C23" w:rsidRDefault="00824850" w:rsidP="00B9450C">
      <w:pPr>
        <w:pStyle w:val="FootnoteText"/>
        <w:jc w:val="both"/>
        <w:rPr>
          <w:rFonts w:asciiTheme="majorHAnsi" w:hAnsiTheme="majorHAnsi"/>
          <w:sz w:val="16"/>
          <w:szCs w:val="16"/>
          <w:lang w:val="es-ES"/>
        </w:rPr>
      </w:pPr>
      <w:r w:rsidRPr="00D20C23">
        <w:rPr>
          <w:rStyle w:val="FootnoteReference"/>
          <w:rFonts w:asciiTheme="majorHAnsi" w:hAnsiTheme="majorHAnsi"/>
          <w:sz w:val="16"/>
          <w:szCs w:val="16"/>
        </w:rPr>
        <w:footnoteRef/>
      </w:r>
      <w:r w:rsidRPr="00D20C23">
        <w:rPr>
          <w:rFonts w:asciiTheme="majorHAnsi" w:hAnsiTheme="majorHAnsi"/>
          <w:sz w:val="16"/>
          <w:szCs w:val="16"/>
          <w:lang w:val="es-ES"/>
        </w:rPr>
        <w:t xml:space="preserve"> Observaciones del Estado de 1 de marzo de 2007.</w:t>
      </w:r>
    </w:p>
  </w:footnote>
  <w:footnote w:id="52">
    <w:p w14:paraId="4FFBFBBC" w14:textId="160781C6" w:rsidR="00824850" w:rsidRPr="00840ABD" w:rsidRDefault="00824850" w:rsidP="00B9450C">
      <w:pPr>
        <w:pStyle w:val="FootnoteText"/>
        <w:jc w:val="both"/>
        <w:rPr>
          <w:rFonts w:asciiTheme="majorHAnsi" w:hAnsiTheme="majorHAnsi"/>
          <w:sz w:val="16"/>
          <w:szCs w:val="16"/>
          <w:lang w:val="es-ES"/>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hyperlink r:id="rId11" w:history="1">
        <w:r w:rsidRPr="00FD7BA1">
          <w:rPr>
            <w:rStyle w:val="Hyperlink"/>
            <w:rFonts w:asciiTheme="majorHAnsi" w:hAnsiTheme="majorHAnsi"/>
            <w:sz w:val="16"/>
            <w:szCs w:val="16"/>
            <w:lang w:val="es-CO"/>
          </w:rPr>
          <w:t xml:space="preserve">Anexo </w:t>
        </w:r>
        <w:r>
          <w:rPr>
            <w:rStyle w:val="Hyperlink"/>
            <w:rFonts w:asciiTheme="majorHAnsi" w:hAnsiTheme="majorHAnsi"/>
            <w:sz w:val="16"/>
            <w:szCs w:val="16"/>
            <w:lang w:val="es-CO"/>
          </w:rPr>
          <w:t>16</w:t>
        </w:r>
        <w:r w:rsidRPr="00FD7BA1">
          <w:rPr>
            <w:rStyle w:val="Hyperlink"/>
            <w:rFonts w:asciiTheme="majorHAnsi" w:hAnsiTheme="majorHAnsi"/>
            <w:sz w:val="16"/>
            <w:szCs w:val="16"/>
            <w:lang w:val="es-CO"/>
          </w:rPr>
          <w:t>. Observaciones y Recomendaciones sobre el caso del Bloque Samoré (Colombia) del proyecto OEA/Harvard.</w:t>
        </w:r>
      </w:hyperlink>
      <w:r w:rsidRPr="00254388">
        <w:rPr>
          <w:rFonts w:asciiTheme="majorHAnsi" w:hAnsiTheme="majorHAnsi"/>
          <w:sz w:val="16"/>
          <w:szCs w:val="16"/>
          <w:lang w:val="es-CO"/>
        </w:rPr>
        <w:t xml:space="preserve"> </w:t>
      </w:r>
      <w:r>
        <w:rPr>
          <w:rFonts w:asciiTheme="majorHAnsi" w:hAnsiTheme="majorHAnsi"/>
          <w:sz w:val="16"/>
          <w:szCs w:val="16"/>
          <w:lang w:val="es-CO"/>
        </w:rPr>
        <w:t>En escrito del 1 de marzo de 2007, el Estado afirm</w:t>
      </w:r>
      <w:r>
        <w:rPr>
          <w:rFonts w:asciiTheme="majorHAnsi" w:hAnsiTheme="majorHAnsi"/>
          <w:sz w:val="16"/>
          <w:szCs w:val="16"/>
          <w:lang w:val="es-ES"/>
        </w:rPr>
        <w:t>ó</w:t>
      </w:r>
      <w:r>
        <w:rPr>
          <w:rFonts w:asciiTheme="majorHAnsi" w:hAnsiTheme="majorHAnsi"/>
          <w:sz w:val="16"/>
          <w:szCs w:val="16"/>
          <w:lang w:val="es-CO"/>
        </w:rPr>
        <w:t xml:space="preserve"> tener claridad de que </w:t>
      </w:r>
      <w:r w:rsidRPr="00840ABD">
        <w:rPr>
          <w:rFonts w:asciiTheme="majorHAnsi" w:hAnsiTheme="majorHAnsi"/>
          <w:sz w:val="16"/>
          <w:szCs w:val="16"/>
          <w:lang w:val="es-ES"/>
        </w:rPr>
        <w:t>“esas recomendaciones hacen parte de un compromiso</w:t>
      </w:r>
      <w:r>
        <w:rPr>
          <w:rFonts w:asciiTheme="majorHAnsi" w:hAnsiTheme="majorHAnsi"/>
          <w:sz w:val="16"/>
          <w:szCs w:val="16"/>
          <w:lang w:val="es-ES"/>
        </w:rPr>
        <w:t xml:space="preserve"> </w:t>
      </w:r>
      <w:r w:rsidRPr="00840ABD">
        <w:rPr>
          <w:rFonts w:asciiTheme="majorHAnsi" w:hAnsiTheme="majorHAnsi"/>
          <w:sz w:val="16"/>
          <w:szCs w:val="16"/>
          <w:lang w:val="es-ES"/>
        </w:rPr>
        <w:t>internacional vinculante para el Estado”.</w:t>
      </w:r>
    </w:p>
  </w:footnote>
  <w:footnote w:id="53">
    <w:p w14:paraId="10F54A1E" w14:textId="463FE84D" w:rsidR="00824850" w:rsidRPr="00254388" w:rsidRDefault="00824850" w:rsidP="006A3D46">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hyperlink r:id="rId12" w:history="1">
        <w:r w:rsidRPr="00C87E49">
          <w:rPr>
            <w:rStyle w:val="Hyperlink"/>
            <w:rFonts w:asciiTheme="majorHAnsi" w:hAnsiTheme="majorHAnsi"/>
            <w:sz w:val="16"/>
            <w:szCs w:val="16"/>
            <w:lang w:val="es-CO"/>
          </w:rPr>
          <w:t xml:space="preserve">Anexo </w:t>
        </w:r>
        <w:r>
          <w:rPr>
            <w:rStyle w:val="Hyperlink"/>
            <w:rFonts w:asciiTheme="majorHAnsi" w:hAnsiTheme="majorHAnsi"/>
            <w:sz w:val="16"/>
            <w:szCs w:val="16"/>
            <w:lang w:val="es-CO"/>
          </w:rPr>
          <w:t>16</w:t>
        </w:r>
        <w:r w:rsidRPr="00C87E49">
          <w:rPr>
            <w:rStyle w:val="Hyperlink"/>
            <w:rFonts w:asciiTheme="majorHAnsi" w:hAnsiTheme="majorHAnsi"/>
            <w:sz w:val="16"/>
            <w:szCs w:val="16"/>
            <w:lang w:val="es-CO"/>
          </w:rPr>
          <w:t>. Observaciones y Recomendaciones sobre el caso del Bloque Samoré (Colombia) del proyecto OEA/Harvard.</w:t>
        </w:r>
      </w:hyperlink>
    </w:p>
  </w:footnote>
  <w:footnote w:id="54">
    <w:p w14:paraId="2D292D2D" w14:textId="7DCDB7A6" w:rsidR="00824850" w:rsidRPr="00EC0A91" w:rsidRDefault="00824850" w:rsidP="00CE4975">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sidRPr="00EC0A91">
        <w:rPr>
          <w:rFonts w:asciiTheme="majorHAnsi" w:hAnsiTheme="majorHAnsi"/>
          <w:sz w:val="16"/>
          <w:szCs w:val="16"/>
          <w:lang w:val="es-CO"/>
        </w:rPr>
        <w:t xml:space="preserve"> Anexo </w:t>
      </w:r>
      <w:r>
        <w:rPr>
          <w:rFonts w:asciiTheme="majorHAnsi" w:hAnsiTheme="majorHAnsi"/>
          <w:sz w:val="16"/>
          <w:szCs w:val="16"/>
          <w:lang w:val="es-CO"/>
        </w:rPr>
        <w:t>17</w:t>
      </w:r>
      <w:r w:rsidRPr="00EC0A91">
        <w:rPr>
          <w:rFonts w:asciiTheme="majorHAnsi" w:hAnsiTheme="majorHAnsi"/>
          <w:sz w:val="16"/>
          <w:szCs w:val="16"/>
          <w:lang w:val="es-CO"/>
        </w:rPr>
        <w:t>. Escrito del Equipo OEA /Harvard al pueblo U’wa del 2 de noviembre de 1997. Anexo a escrito de la parte peticionaria de 13 de abril de 1998.</w:t>
      </w:r>
    </w:p>
  </w:footnote>
  <w:footnote w:id="55">
    <w:p w14:paraId="1FB6EDBE" w14:textId="4563ABC0" w:rsidR="00824850" w:rsidRPr="00EC0A91" w:rsidRDefault="00824850" w:rsidP="00CE4975">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sidRPr="00EC0A91">
        <w:rPr>
          <w:rFonts w:asciiTheme="majorHAnsi" w:hAnsiTheme="majorHAnsi"/>
          <w:sz w:val="16"/>
          <w:szCs w:val="16"/>
          <w:lang w:val="es-CO"/>
        </w:rPr>
        <w:t xml:space="preserve"> Anexo </w:t>
      </w:r>
      <w:r>
        <w:rPr>
          <w:rFonts w:asciiTheme="majorHAnsi" w:hAnsiTheme="majorHAnsi"/>
          <w:sz w:val="16"/>
          <w:szCs w:val="16"/>
          <w:lang w:val="es-CO"/>
        </w:rPr>
        <w:t>18</w:t>
      </w:r>
      <w:r w:rsidRPr="00EC0A91">
        <w:rPr>
          <w:rFonts w:asciiTheme="majorHAnsi" w:hAnsiTheme="majorHAnsi"/>
          <w:sz w:val="16"/>
          <w:szCs w:val="16"/>
          <w:lang w:val="es-CO"/>
        </w:rPr>
        <w:t>. Escrito de la ONIC al Equipo OEA/Harvard  de 16 de febrero de 1998. Anexo a escrito de l</w:t>
      </w:r>
      <w:r>
        <w:rPr>
          <w:rFonts w:asciiTheme="majorHAnsi" w:hAnsiTheme="majorHAnsi"/>
          <w:sz w:val="16"/>
          <w:szCs w:val="16"/>
          <w:lang w:val="es-CO"/>
        </w:rPr>
        <w:t>a parte</w:t>
      </w:r>
      <w:r w:rsidRPr="00EC0A91">
        <w:rPr>
          <w:rFonts w:asciiTheme="majorHAnsi" w:hAnsiTheme="majorHAnsi"/>
          <w:sz w:val="16"/>
          <w:szCs w:val="16"/>
          <w:lang w:val="es-CO"/>
        </w:rPr>
        <w:t xml:space="preserve"> peticionari</w:t>
      </w:r>
      <w:r>
        <w:rPr>
          <w:rFonts w:asciiTheme="majorHAnsi" w:hAnsiTheme="majorHAnsi"/>
          <w:sz w:val="16"/>
          <w:szCs w:val="16"/>
          <w:lang w:val="es-CO"/>
        </w:rPr>
        <w:t>a</w:t>
      </w:r>
      <w:r w:rsidRPr="00EC0A91">
        <w:rPr>
          <w:rFonts w:asciiTheme="majorHAnsi" w:hAnsiTheme="majorHAnsi"/>
          <w:sz w:val="16"/>
          <w:szCs w:val="16"/>
          <w:lang w:val="es-CO"/>
        </w:rPr>
        <w:t xml:space="preserve"> de 13 de abril de 1998.</w:t>
      </w:r>
    </w:p>
  </w:footnote>
  <w:footnote w:id="56">
    <w:p w14:paraId="47CB560F" w14:textId="4DF1C64B" w:rsidR="00824850" w:rsidRPr="00EC0A91" w:rsidRDefault="00824850" w:rsidP="00CE4975">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sidRPr="00CE144E">
        <w:rPr>
          <w:rStyle w:val="FootnoteReference"/>
          <w:rFonts w:asciiTheme="majorHAnsi" w:hAnsiTheme="majorHAnsi"/>
          <w:sz w:val="16"/>
          <w:szCs w:val="16"/>
          <w:lang w:val="es-CO"/>
        </w:rPr>
        <w:t xml:space="preserve"> </w:t>
      </w:r>
      <w:r w:rsidRPr="00CE144E">
        <w:rPr>
          <w:rFonts w:asciiTheme="majorHAnsi" w:hAnsiTheme="majorHAnsi"/>
          <w:sz w:val="16"/>
          <w:szCs w:val="16"/>
          <w:lang w:val="es-CO"/>
        </w:rPr>
        <w:t xml:space="preserve">Anexo </w:t>
      </w:r>
      <w:r>
        <w:rPr>
          <w:rFonts w:asciiTheme="majorHAnsi" w:hAnsiTheme="majorHAnsi"/>
          <w:sz w:val="16"/>
          <w:szCs w:val="16"/>
          <w:lang w:val="es-CO"/>
        </w:rPr>
        <w:t>19</w:t>
      </w:r>
      <w:r w:rsidRPr="00CE144E">
        <w:rPr>
          <w:rFonts w:asciiTheme="majorHAnsi" w:hAnsiTheme="majorHAnsi"/>
          <w:sz w:val="16"/>
          <w:szCs w:val="16"/>
          <w:lang w:val="es-CO"/>
        </w:rPr>
        <w:t xml:space="preserve">. Decreto No. 1320 de 1998. </w:t>
      </w:r>
      <w:r w:rsidRPr="00EC0A91">
        <w:rPr>
          <w:rFonts w:asciiTheme="majorHAnsi" w:hAnsiTheme="majorHAnsi"/>
          <w:sz w:val="16"/>
          <w:szCs w:val="16"/>
          <w:lang w:val="es-CO"/>
        </w:rPr>
        <w:t>Anexo a escrito de l</w:t>
      </w:r>
      <w:r>
        <w:rPr>
          <w:rFonts w:asciiTheme="majorHAnsi" w:hAnsiTheme="majorHAnsi"/>
          <w:sz w:val="16"/>
          <w:szCs w:val="16"/>
          <w:lang w:val="es-CO"/>
        </w:rPr>
        <w:t xml:space="preserve">a parte </w:t>
      </w:r>
      <w:r w:rsidRPr="00EC0A91">
        <w:rPr>
          <w:rFonts w:asciiTheme="majorHAnsi" w:hAnsiTheme="majorHAnsi"/>
          <w:sz w:val="16"/>
          <w:szCs w:val="16"/>
          <w:lang w:val="es-CO"/>
        </w:rPr>
        <w:t>peticionari</w:t>
      </w:r>
      <w:r>
        <w:rPr>
          <w:rFonts w:asciiTheme="majorHAnsi" w:hAnsiTheme="majorHAnsi"/>
          <w:sz w:val="16"/>
          <w:szCs w:val="16"/>
          <w:lang w:val="es-CO"/>
        </w:rPr>
        <w:t>a</w:t>
      </w:r>
      <w:r w:rsidRPr="00EC0A91">
        <w:rPr>
          <w:rFonts w:asciiTheme="majorHAnsi" w:hAnsiTheme="majorHAnsi"/>
          <w:sz w:val="16"/>
          <w:szCs w:val="16"/>
          <w:lang w:val="es-CO"/>
        </w:rPr>
        <w:t xml:space="preserve"> d</w:t>
      </w:r>
      <w:r>
        <w:rPr>
          <w:rFonts w:asciiTheme="majorHAnsi" w:hAnsiTheme="majorHAnsi"/>
          <w:sz w:val="16"/>
          <w:szCs w:val="16"/>
          <w:lang w:val="es-CO"/>
        </w:rPr>
        <w:t>e</w:t>
      </w:r>
      <w:r w:rsidRPr="00EC0A91">
        <w:rPr>
          <w:rFonts w:asciiTheme="majorHAnsi" w:hAnsiTheme="majorHAnsi"/>
          <w:sz w:val="16"/>
          <w:szCs w:val="16"/>
          <w:lang w:val="es-CO"/>
        </w:rPr>
        <w:t xml:space="preserve"> 8 de septiembre de 1998.</w:t>
      </w:r>
    </w:p>
  </w:footnote>
  <w:footnote w:id="57">
    <w:p w14:paraId="5EB15497" w14:textId="77777777" w:rsidR="00824850" w:rsidRPr="00EC0A91" w:rsidRDefault="00824850" w:rsidP="00CE4975">
      <w:pPr>
        <w:pStyle w:val="FootnoteText"/>
        <w:jc w:val="both"/>
        <w:rPr>
          <w:rFonts w:asciiTheme="majorHAnsi" w:hAnsiTheme="majorHAnsi"/>
          <w:sz w:val="16"/>
          <w:szCs w:val="16"/>
          <w:lang w:val="es-MX"/>
        </w:rPr>
      </w:pPr>
      <w:r w:rsidRPr="00EC0A91">
        <w:rPr>
          <w:rStyle w:val="FootnoteReference"/>
          <w:rFonts w:asciiTheme="majorHAnsi" w:hAnsiTheme="majorHAnsi"/>
          <w:sz w:val="16"/>
          <w:szCs w:val="16"/>
        </w:rPr>
        <w:footnoteRef/>
      </w:r>
      <w:r w:rsidRPr="00EC0A91">
        <w:rPr>
          <w:rFonts w:asciiTheme="majorHAnsi" w:hAnsiTheme="majorHAnsi"/>
          <w:sz w:val="16"/>
          <w:szCs w:val="16"/>
          <w:lang w:val="es-MX"/>
        </w:rPr>
        <w:t xml:space="preserve"> Observaciones de fondo del Estado de 28 de marzo de 2018. </w:t>
      </w:r>
    </w:p>
  </w:footnote>
  <w:footnote w:id="58">
    <w:p w14:paraId="54070836" w14:textId="77777777" w:rsidR="00824850" w:rsidRPr="00EC0A91" w:rsidRDefault="00824850" w:rsidP="00CE4975">
      <w:pPr>
        <w:pStyle w:val="FootnoteText"/>
        <w:jc w:val="both"/>
        <w:rPr>
          <w:rFonts w:asciiTheme="majorHAnsi" w:hAnsiTheme="majorHAnsi"/>
          <w:sz w:val="16"/>
          <w:szCs w:val="16"/>
          <w:lang w:val="es-MX"/>
        </w:rPr>
      </w:pPr>
      <w:r w:rsidRPr="00EC0A91">
        <w:rPr>
          <w:rStyle w:val="FootnoteReference"/>
          <w:rFonts w:asciiTheme="majorHAnsi" w:hAnsiTheme="majorHAnsi"/>
          <w:sz w:val="16"/>
          <w:szCs w:val="16"/>
        </w:rPr>
        <w:footnoteRef/>
      </w:r>
      <w:r w:rsidRPr="00EC0A91">
        <w:rPr>
          <w:rFonts w:asciiTheme="majorHAnsi" w:hAnsiTheme="majorHAnsi"/>
          <w:sz w:val="16"/>
          <w:szCs w:val="16"/>
          <w:lang w:val="es-CO"/>
        </w:rPr>
        <w:t xml:space="preserve"> </w:t>
      </w:r>
      <w:bookmarkStart w:id="18" w:name="_Hlk511187866"/>
      <w:r w:rsidRPr="00EC0A91">
        <w:rPr>
          <w:rFonts w:asciiTheme="majorHAnsi" w:hAnsiTheme="majorHAnsi"/>
          <w:sz w:val="16"/>
          <w:szCs w:val="16"/>
          <w:lang w:val="es-CO"/>
        </w:rPr>
        <w:t>Observaciones de fondo del Estado de 28 de marzo de 2018.</w:t>
      </w:r>
      <w:bookmarkEnd w:id="18"/>
    </w:p>
  </w:footnote>
  <w:footnote w:id="59">
    <w:p w14:paraId="2CD2D3EA" w14:textId="77777777" w:rsidR="00824850" w:rsidRPr="00EC0A91" w:rsidRDefault="00824850" w:rsidP="00CE4975">
      <w:pPr>
        <w:pStyle w:val="FootnoteText"/>
        <w:jc w:val="both"/>
        <w:rPr>
          <w:sz w:val="16"/>
          <w:szCs w:val="16"/>
          <w:lang w:val="es-CO"/>
        </w:rPr>
      </w:pPr>
      <w:r w:rsidRPr="00EC0A91">
        <w:rPr>
          <w:rStyle w:val="FootnoteReference"/>
          <w:rFonts w:asciiTheme="majorHAnsi" w:hAnsiTheme="majorHAnsi"/>
          <w:sz w:val="16"/>
          <w:szCs w:val="16"/>
        </w:rPr>
        <w:footnoteRef/>
      </w:r>
      <w:r w:rsidRPr="00EC0A91">
        <w:rPr>
          <w:rStyle w:val="FootnoteReference"/>
          <w:rFonts w:asciiTheme="majorHAnsi" w:hAnsiTheme="majorHAnsi"/>
          <w:sz w:val="16"/>
          <w:szCs w:val="16"/>
          <w:lang w:val="es-MX"/>
        </w:rPr>
        <w:t xml:space="preserve"> </w:t>
      </w:r>
      <w:r w:rsidRPr="00EC0A91">
        <w:rPr>
          <w:rFonts w:asciiTheme="majorHAnsi" w:hAnsiTheme="majorHAnsi"/>
          <w:sz w:val="16"/>
          <w:szCs w:val="16"/>
          <w:lang w:val="es-CO"/>
        </w:rPr>
        <w:t>Observaciones de fondo del Estado de 28 de marzo de 2018.</w:t>
      </w:r>
    </w:p>
  </w:footnote>
  <w:footnote w:id="60">
    <w:p w14:paraId="2F1878BF" w14:textId="77777777" w:rsidR="00824850" w:rsidRPr="00EC0A91" w:rsidRDefault="00824850" w:rsidP="00CE4975">
      <w:pPr>
        <w:pStyle w:val="FootnoteText"/>
        <w:jc w:val="both"/>
        <w:rPr>
          <w:rFonts w:asciiTheme="majorHAnsi" w:hAnsiTheme="majorHAnsi"/>
          <w:sz w:val="16"/>
          <w:szCs w:val="16"/>
          <w:lang w:val="es-MX"/>
        </w:rPr>
      </w:pPr>
      <w:r w:rsidRPr="00EC0A91">
        <w:rPr>
          <w:rStyle w:val="FootnoteReference"/>
          <w:rFonts w:asciiTheme="majorHAnsi" w:hAnsiTheme="majorHAnsi"/>
          <w:sz w:val="16"/>
          <w:szCs w:val="16"/>
        </w:rPr>
        <w:footnoteRef/>
      </w:r>
      <w:r w:rsidRPr="00EC0A91">
        <w:rPr>
          <w:rFonts w:asciiTheme="majorHAnsi" w:hAnsiTheme="majorHAnsi"/>
          <w:sz w:val="16"/>
          <w:szCs w:val="16"/>
          <w:lang w:val="es-MX"/>
        </w:rPr>
        <w:t xml:space="preserve"> Observaciones de fondo de la parte peticionaria de 15 de diciembre de 2016. Observaciones de fondo del Estado de 28 de marzo de 2018.</w:t>
      </w:r>
    </w:p>
  </w:footnote>
  <w:footnote w:id="61">
    <w:p w14:paraId="58DD0ED4" w14:textId="77777777" w:rsidR="00824850" w:rsidRPr="00EC0A91" w:rsidRDefault="00824850" w:rsidP="00A6332C">
      <w:pPr>
        <w:pStyle w:val="FootnoteText"/>
        <w:jc w:val="both"/>
        <w:rPr>
          <w:rFonts w:asciiTheme="majorHAnsi" w:hAnsiTheme="majorHAnsi"/>
          <w:sz w:val="16"/>
          <w:szCs w:val="16"/>
          <w:lang w:val="es-MX"/>
        </w:rPr>
      </w:pPr>
      <w:r w:rsidRPr="00EC0A91">
        <w:rPr>
          <w:rStyle w:val="FootnoteReference"/>
          <w:rFonts w:asciiTheme="majorHAnsi" w:hAnsiTheme="majorHAnsi"/>
          <w:sz w:val="16"/>
          <w:szCs w:val="16"/>
        </w:rPr>
        <w:footnoteRef/>
      </w:r>
      <w:r w:rsidRPr="00EC0A91">
        <w:rPr>
          <w:rFonts w:asciiTheme="majorHAnsi" w:hAnsiTheme="majorHAnsi"/>
          <w:sz w:val="16"/>
          <w:szCs w:val="16"/>
          <w:lang w:val="es-MX"/>
        </w:rPr>
        <w:t xml:space="preserve"> </w:t>
      </w:r>
      <w:r w:rsidRPr="00EC0A91">
        <w:rPr>
          <w:rFonts w:asciiTheme="majorHAnsi" w:hAnsiTheme="majorHAnsi"/>
          <w:sz w:val="16"/>
          <w:szCs w:val="16"/>
          <w:lang w:val="es-CO"/>
        </w:rPr>
        <w:t>Observaciones de fondo del Estado de 28 de marzo de 2018.</w:t>
      </w:r>
    </w:p>
  </w:footnote>
  <w:footnote w:id="62">
    <w:p w14:paraId="338EB3E2" w14:textId="77777777" w:rsidR="00824850" w:rsidRPr="00EC0A91" w:rsidRDefault="00824850" w:rsidP="00A6332C">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sidRPr="00EC0A91">
        <w:rPr>
          <w:rFonts w:asciiTheme="majorHAnsi" w:hAnsiTheme="majorHAnsi"/>
          <w:sz w:val="16"/>
          <w:szCs w:val="16"/>
          <w:lang w:val="es-CO"/>
        </w:rPr>
        <w:t xml:space="preserve"> Observaciones de fondo del Estado de 28 de marzo de 2018.</w:t>
      </w:r>
    </w:p>
  </w:footnote>
  <w:footnote w:id="63">
    <w:p w14:paraId="0497A8EA" w14:textId="77777777" w:rsidR="00824850" w:rsidRPr="00EC0A91" w:rsidRDefault="00824850" w:rsidP="00A6332C">
      <w:pPr>
        <w:pStyle w:val="FootnoteText"/>
        <w:jc w:val="both"/>
        <w:rPr>
          <w:rFonts w:asciiTheme="majorHAnsi" w:hAnsiTheme="majorHAnsi"/>
          <w:sz w:val="16"/>
          <w:szCs w:val="16"/>
          <w:lang w:val="es-MX"/>
        </w:rPr>
      </w:pPr>
      <w:r w:rsidRPr="00EC0A91">
        <w:rPr>
          <w:rStyle w:val="FootnoteReference"/>
          <w:rFonts w:asciiTheme="majorHAnsi" w:hAnsiTheme="majorHAnsi"/>
          <w:sz w:val="16"/>
          <w:szCs w:val="16"/>
        </w:rPr>
        <w:footnoteRef/>
      </w:r>
      <w:r w:rsidRPr="00EC0A91">
        <w:rPr>
          <w:rFonts w:asciiTheme="majorHAnsi" w:hAnsiTheme="majorHAnsi"/>
          <w:sz w:val="16"/>
          <w:szCs w:val="16"/>
          <w:lang w:val="es-MX"/>
        </w:rPr>
        <w:t xml:space="preserve"> Observaciones de fondo del Estado de 28 de marzo de 2018.</w:t>
      </w:r>
    </w:p>
  </w:footnote>
  <w:footnote w:id="64">
    <w:p w14:paraId="4937DB3F" w14:textId="77777777" w:rsidR="00824850" w:rsidRPr="00EC0A91" w:rsidRDefault="00824850" w:rsidP="00A6332C">
      <w:pPr>
        <w:pStyle w:val="FootnoteText"/>
        <w:jc w:val="both"/>
        <w:rPr>
          <w:sz w:val="16"/>
          <w:szCs w:val="16"/>
          <w:lang w:val="es-MX"/>
        </w:rPr>
      </w:pPr>
      <w:r w:rsidRPr="00EC0A91">
        <w:rPr>
          <w:rStyle w:val="FootnoteReference"/>
          <w:rFonts w:asciiTheme="majorHAnsi" w:hAnsiTheme="majorHAnsi"/>
          <w:sz w:val="16"/>
          <w:szCs w:val="16"/>
        </w:rPr>
        <w:footnoteRef/>
      </w:r>
      <w:r w:rsidRPr="00EC0A91">
        <w:rPr>
          <w:rFonts w:asciiTheme="majorHAnsi" w:hAnsiTheme="majorHAnsi"/>
          <w:sz w:val="16"/>
          <w:szCs w:val="16"/>
          <w:lang w:val="es-MX"/>
        </w:rPr>
        <w:t xml:space="preserve"> Observaciones de fondo del Estado de 28 de marzo de 2018.</w:t>
      </w:r>
    </w:p>
  </w:footnote>
  <w:footnote w:id="65">
    <w:p w14:paraId="7EE2C93D" w14:textId="77E808A1" w:rsidR="00824850" w:rsidRPr="00EC0A91" w:rsidRDefault="00824850" w:rsidP="00A6332C">
      <w:pPr>
        <w:pStyle w:val="FootnoteText"/>
        <w:jc w:val="both"/>
        <w:rPr>
          <w:rFonts w:asciiTheme="majorHAnsi" w:hAnsiTheme="majorHAnsi"/>
          <w:sz w:val="16"/>
          <w:szCs w:val="16"/>
          <w:lang w:val="es-CO"/>
        </w:rPr>
      </w:pPr>
      <w:r w:rsidRPr="00EC0A91">
        <w:rPr>
          <w:rStyle w:val="FootnoteReference"/>
          <w:rFonts w:asciiTheme="majorHAnsi" w:hAnsiTheme="majorHAnsi"/>
          <w:sz w:val="16"/>
          <w:szCs w:val="16"/>
        </w:rPr>
        <w:footnoteRef/>
      </w:r>
      <w:r w:rsidRPr="00EC0A91">
        <w:rPr>
          <w:rFonts w:asciiTheme="majorHAnsi" w:hAnsiTheme="majorHAnsi"/>
          <w:sz w:val="16"/>
          <w:szCs w:val="16"/>
          <w:lang w:val="es-CO"/>
        </w:rPr>
        <w:t xml:space="preserve"> Anexo </w:t>
      </w:r>
      <w:r>
        <w:rPr>
          <w:rFonts w:asciiTheme="majorHAnsi" w:hAnsiTheme="majorHAnsi"/>
          <w:sz w:val="16"/>
          <w:szCs w:val="16"/>
          <w:lang w:val="es-CO"/>
        </w:rPr>
        <w:t>20</w:t>
      </w:r>
      <w:r w:rsidRPr="00EC0A91">
        <w:rPr>
          <w:rFonts w:asciiTheme="majorHAnsi" w:hAnsiTheme="majorHAnsi"/>
          <w:sz w:val="16"/>
          <w:szCs w:val="16"/>
          <w:lang w:val="es-CO"/>
        </w:rPr>
        <w:t>. Evaluación del Ministerio del Interior de las razones del rechazo de la consulta previa dentro del proyecto Sirirí y Catleya de 21 de noviembre de 2006. Anexo a escrito del Estado del 1 de marzo de 2007.</w:t>
      </w:r>
    </w:p>
  </w:footnote>
  <w:footnote w:id="66">
    <w:p w14:paraId="5D4F22B1" w14:textId="77777777" w:rsidR="00824850" w:rsidRPr="004332F1" w:rsidRDefault="00824850" w:rsidP="00A6332C">
      <w:pPr>
        <w:pStyle w:val="FootnoteText"/>
        <w:jc w:val="both"/>
        <w:rPr>
          <w:lang w:val="es-CO"/>
        </w:rPr>
      </w:pPr>
      <w:r w:rsidRPr="004332F1">
        <w:rPr>
          <w:rStyle w:val="FootnoteReference"/>
          <w:rFonts w:asciiTheme="majorHAnsi" w:hAnsiTheme="majorHAnsi"/>
          <w:sz w:val="16"/>
          <w:szCs w:val="16"/>
        </w:rPr>
        <w:footnoteRef/>
      </w:r>
      <w:r w:rsidRPr="00497679">
        <w:rPr>
          <w:lang w:val="es-MX"/>
        </w:rPr>
        <w:t xml:space="preserve"> </w:t>
      </w:r>
      <w:bookmarkStart w:id="20" w:name="_Hlk513472645"/>
      <w:r w:rsidRPr="00254388">
        <w:rPr>
          <w:rFonts w:asciiTheme="majorHAnsi" w:hAnsiTheme="majorHAnsi"/>
          <w:sz w:val="16"/>
          <w:szCs w:val="16"/>
          <w:lang w:val="es-CO"/>
        </w:rPr>
        <w:t>Observaciones de fondo del Estado de 28 de marzo de 2018.</w:t>
      </w:r>
      <w:bookmarkEnd w:id="20"/>
    </w:p>
  </w:footnote>
  <w:footnote w:id="67">
    <w:p w14:paraId="3FF2D21E" w14:textId="65B0DD83" w:rsidR="00824850" w:rsidRPr="00254388" w:rsidRDefault="00824850" w:rsidP="00A6332C">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21</w:t>
      </w:r>
      <w:r w:rsidRPr="00254388">
        <w:rPr>
          <w:rFonts w:asciiTheme="majorHAnsi" w:hAnsiTheme="majorHAnsi"/>
          <w:sz w:val="16"/>
          <w:szCs w:val="16"/>
          <w:lang w:val="es-CO"/>
        </w:rPr>
        <w:t>. Posición del Pueblo U’wa frente a la consulta previa dentro del proyecto Sirirí y Catleya de 2 de mayo de 2005. Anexo a escrito del Estado del 1 de marzo de 2007.</w:t>
      </w:r>
    </w:p>
  </w:footnote>
  <w:footnote w:id="68">
    <w:p w14:paraId="61739F5D" w14:textId="160A9A37" w:rsidR="00824850" w:rsidRPr="00F557A8" w:rsidRDefault="00824850" w:rsidP="00A6332C">
      <w:pPr>
        <w:pStyle w:val="FootnoteText"/>
        <w:jc w:val="both"/>
        <w:rPr>
          <w:lang w:val="es-CO"/>
        </w:rPr>
      </w:pPr>
      <w:r w:rsidRPr="00F557A8">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r>
        <w:rPr>
          <w:rFonts w:asciiTheme="majorHAnsi" w:hAnsiTheme="majorHAnsi"/>
          <w:sz w:val="16"/>
          <w:szCs w:val="16"/>
          <w:lang w:val="es-MX"/>
        </w:rPr>
        <w:t>Anexo 22</w:t>
      </w:r>
      <w:r w:rsidRPr="00497679">
        <w:rPr>
          <w:rFonts w:asciiTheme="majorHAnsi" w:hAnsiTheme="majorHAnsi"/>
          <w:sz w:val="16"/>
          <w:szCs w:val="16"/>
          <w:lang w:val="es-MX"/>
        </w:rPr>
        <w:t>. Estudio sobre los efectos que a las comunidades del pueblo U'wa puede causar el proyecto del Bloque Catleya de 30 de junio de 2005. Anexo a Escrito del Estado de 1 de marzo de 2007.</w:t>
      </w:r>
    </w:p>
  </w:footnote>
  <w:footnote w:id="69">
    <w:p w14:paraId="2BB5A427" w14:textId="44695877" w:rsidR="00824850" w:rsidRPr="00254388" w:rsidRDefault="00824850" w:rsidP="00A6332C">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23</w:t>
      </w:r>
      <w:r w:rsidRPr="00254388">
        <w:rPr>
          <w:rFonts w:asciiTheme="majorHAnsi" w:hAnsiTheme="majorHAnsi"/>
          <w:sz w:val="16"/>
          <w:szCs w:val="16"/>
          <w:lang w:val="es-CO"/>
        </w:rPr>
        <w:t>. Evaluación de las razones del rechazo de la consulta previa dentro del proyecto Sirirí y Catleya de 21 de noviembre de 2006. Anexo a escrito del Estado del 1 de marzo de 2007.</w:t>
      </w:r>
    </w:p>
  </w:footnote>
  <w:footnote w:id="70">
    <w:p w14:paraId="72673F30" w14:textId="326E798D" w:rsidR="00824850" w:rsidRPr="0029170C" w:rsidRDefault="00824850" w:rsidP="00734F2B">
      <w:pPr>
        <w:pStyle w:val="FootnoteText"/>
        <w:jc w:val="both"/>
        <w:rPr>
          <w:lang w:val="es-CO"/>
        </w:rPr>
      </w:pPr>
      <w:r w:rsidRPr="00A4071A">
        <w:rPr>
          <w:rStyle w:val="FootnoteReference"/>
          <w:rFonts w:asciiTheme="majorHAnsi" w:hAnsiTheme="majorHAnsi"/>
          <w:sz w:val="16"/>
          <w:szCs w:val="16"/>
        </w:rPr>
        <w:footnoteRef/>
      </w:r>
      <w:r w:rsidRPr="00497679">
        <w:rPr>
          <w:lang w:val="es-MX"/>
        </w:rPr>
        <w:t xml:space="preserve"> </w:t>
      </w:r>
      <w:r>
        <w:rPr>
          <w:rFonts w:asciiTheme="majorHAnsi" w:hAnsiTheme="majorHAnsi"/>
          <w:sz w:val="16"/>
          <w:szCs w:val="16"/>
          <w:lang w:val="es-CO"/>
        </w:rPr>
        <w:t>Anexo 24</w:t>
      </w:r>
      <w:r w:rsidRPr="00573868">
        <w:rPr>
          <w:rFonts w:asciiTheme="majorHAnsi" w:hAnsiTheme="majorHAnsi"/>
          <w:sz w:val="16"/>
          <w:szCs w:val="16"/>
          <w:lang w:val="es-CO"/>
        </w:rPr>
        <w:t>. Concepto 1708 del 2 de febrero de 2006 del Consejo de Estado.</w:t>
      </w:r>
      <w:r>
        <w:rPr>
          <w:rFonts w:asciiTheme="majorHAnsi" w:hAnsiTheme="majorHAnsi"/>
          <w:sz w:val="16"/>
          <w:szCs w:val="16"/>
          <w:lang w:val="es-CO"/>
        </w:rPr>
        <w:t xml:space="preserve"> </w:t>
      </w:r>
      <w:r w:rsidRPr="00573868">
        <w:rPr>
          <w:rFonts w:asciiTheme="majorHAnsi" w:hAnsiTheme="majorHAnsi"/>
          <w:sz w:val="16"/>
          <w:szCs w:val="16"/>
          <w:lang w:val="es-CO"/>
        </w:rPr>
        <w:t>Anexo a Escrito del Estado del 1 de marzo de 2007</w:t>
      </w:r>
    </w:p>
  </w:footnote>
  <w:footnote w:id="71">
    <w:p w14:paraId="7DEFF82A" w14:textId="317B324E" w:rsidR="00824850" w:rsidRPr="008838AE" w:rsidRDefault="00824850" w:rsidP="00734F2B">
      <w:pPr>
        <w:jc w:val="both"/>
        <w:rPr>
          <w:rFonts w:asciiTheme="majorHAnsi" w:eastAsia="Calibri" w:hAnsiTheme="majorHAnsi" w:cs="Calibri"/>
          <w:color w:val="000000"/>
          <w:sz w:val="16"/>
          <w:szCs w:val="16"/>
          <w:u w:color="000000"/>
          <w:lang w:val="es-CO" w:eastAsia="es-ES"/>
        </w:rPr>
      </w:pPr>
      <w:r w:rsidRPr="00A4071A">
        <w:rPr>
          <w:rStyle w:val="FootnoteReference"/>
          <w:rFonts w:asciiTheme="majorHAnsi" w:eastAsia="Calibri" w:hAnsiTheme="majorHAnsi" w:cs="Calibri"/>
          <w:color w:val="000000"/>
          <w:sz w:val="16"/>
          <w:szCs w:val="16"/>
          <w:u w:color="000000"/>
          <w:lang w:eastAsia="es-ES"/>
        </w:rPr>
        <w:footnoteRef/>
      </w:r>
      <w:r w:rsidRPr="00497679">
        <w:rPr>
          <w:lang w:val="es-MX"/>
        </w:rPr>
        <w:t xml:space="preserve"> </w:t>
      </w:r>
      <w:r w:rsidRPr="00573868">
        <w:rPr>
          <w:rFonts w:asciiTheme="majorHAnsi" w:eastAsia="Calibri" w:hAnsiTheme="majorHAnsi" w:cs="Calibri"/>
          <w:color w:val="000000"/>
          <w:sz w:val="16"/>
          <w:szCs w:val="16"/>
          <w:u w:color="000000"/>
          <w:lang w:val="es-CO" w:eastAsia="es-ES"/>
        </w:rPr>
        <w:t xml:space="preserve">Anexo </w:t>
      </w:r>
      <w:r>
        <w:rPr>
          <w:rFonts w:asciiTheme="majorHAnsi" w:eastAsia="Calibri" w:hAnsiTheme="majorHAnsi" w:cs="Calibri"/>
          <w:color w:val="000000"/>
          <w:sz w:val="16"/>
          <w:szCs w:val="16"/>
          <w:u w:color="000000"/>
          <w:lang w:val="es-CO" w:eastAsia="es-ES"/>
        </w:rPr>
        <w:t>25</w:t>
      </w:r>
      <w:r w:rsidRPr="00573868">
        <w:rPr>
          <w:rFonts w:asciiTheme="majorHAnsi" w:eastAsia="Calibri" w:hAnsiTheme="majorHAnsi" w:cs="Calibri"/>
          <w:color w:val="000000"/>
          <w:sz w:val="16"/>
          <w:szCs w:val="16"/>
          <w:u w:color="000000"/>
          <w:lang w:val="es-CO" w:eastAsia="es-ES"/>
        </w:rPr>
        <w:t>. Concepto de la Dirección de Etnias sobre la posición de AsoU'wa en la consulta previa del Bloque Sirirí del 10 de noviembre de 2006. Anexo a Escrito del Estado del 1 de marzo de 2007</w:t>
      </w:r>
      <w:r>
        <w:rPr>
          <w:rFonts w:asciiTheme="majorHAnsi" w:eastAsia="Calibri" w:hAnsiTheme="majorHAnsi" w:cs="Calibri"/>
          <w:color w:val="000000"/>
          <w:sz w:val="16"/>
          <w:szCs w:val="16"/>
          <w:u w:color="000000"/>
          <w:lang w:val="es-CO" w:eastAsia="es-ES"/>
        </w:rPr>
        <w:t>.</w:t>
      </w:r>
    </w:p>
  </w:footnote>
  <w:footnote w:id="72">
    <w:p w14:paraId="7A105A77" w14:textId="77777777" w:rsidR="00824850" w:rsidRPr="00254388" w:rsidRDefault="00824850" w:rsidP="00734F2B">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w:t>
      </w:r>
      <w:r w:rsidRPr="00254388">
        <w:rPr>
          <w:rFonts w:asciiTheme="majorHAnsi" w:hAnsiTheme="majorHAnsi"/>
          <w:sz w:val="16"/>
          <w:szCs w:val="16"/>
          <w:lang w:val="es-CO"/>
        </w:rPr>
        <w:t>Observaciones de Fondo del Estado de 28 de marzo de 2018.</w:t>
      </w:r>
    </w:p>
  </w:footnote>
  <w:footnote w:id="73">
    <w:p w14:paraId="606B8722" w14:textId="33D30BDF" w:rsidR="00824850" w:rsidRPr="007D360A" w:rsidRDefault="00824850" w:rsidP="00734F2B">
      <w:pPr>
        <w:pStyle w:val="FootnoteText"/>
        <w:jc w:val="both"/>
        <w:rPr>
          <w:rFonts w:asciiTheme="majorHAnsi" w:hAnsiTheme="majorHAnsi"/>
          <w:sz w:val="16"/>
          <w:szCs w:val="16"/>
          <w:lang w:val="es-MX"/>
        </w:rPr>
      </w:pPr>
      <w:r w:rsidRPr="00466FA8">
        <w:rPr>
          <w:rStyle w:val="FootnoteReference"/>
          <w:rFonts w:asciiTheme="majorHAnsi" w:hAnsiTheme="majorHAnsi"/>
          <w:sz w:val="16"/>
          <w:szCs w:val="16"/>
        </w:rPr>
        <w:footnoteRef/>
      </w:r>
      <w:r w:rsidRPr="00466FA8">
        <w:rPr>
          <w:rFonts w:asciiTheme="majorHAnsi" w:hAnsiTheme="majorHAnsi"/>
          <w:sz w:val="16"/>
          <w:szCs w:val="16"/>
          <w:lang w:val="es-MX"/>
        </w:rPr>
        <w:t xml:space="preserve"> </w:t>
      </w:r>
      <w:r w:rsidRPr="00466FA8">
        <w:rPr>
          <w:rFonts w:asciiTheme="majorHAnsi" w:hAnsiTheme="majorHAnsi"/>
          <w:sz w:val="16"/>
          <w:szCs w:val="16"/>
          <w:lang w:val="es-CO"/>
        </w:rPr>
        <w:t xml:space="preserve">Anexo  </w:t>
      </w:r>
      <w:r>
        <w:rPr>
          <w:rFonts w:asciiTheme="majorHAnsi" w:hAnsiTheme="majorHAnsi"/>
          <w:sz w:val="16"/>
          <w:szCs w:val="16"/>
          <w:lang w:val="es-CO"/>
        </w:rPr>
        <w:t>26</w:t>
      </w:r>
      <w:r w:rsidRPr="00466FA8">
        <w:rPr>
          <w:rFonts w:asciiTheme="majorHAnsi" w:hAnsiTheme="majorHAnsi"/>
          <w:sz w:val="16"/>
          <w:szCs w:val="16"/>
          <w:lang w:val="es-CO"/>
        </w:rPr>
        <w:t xml:space="preserve">. </w:t>
      </w:r>
      <w:hyperlink r:id="rId13" w:history="1">
        <w:r w:rsidRPr="00C26EE1">
          <w:rPr>
            <w:rStyle w:val="Hyperlink"/>
            <w:rFonts w:asciiTheme="majorHAnsi" w:hAnsiTheme="majorHAnsi"/>
            <w:sz w:val="16"/>
            <w:szCs w:val="16"/>
            <w:lang w:val="es-CO"/>
          </w:rPr>
          <w:t>Auto 2638 de 15 de septiembre de 2009</w:t>
        </w:r>
      </w:hyperlink>
      <w:r w:rsidRPr="00466FA8">
        <w:rPr>
          <w:rFonts w:asciiTheme="majorHAnsi" w:hAnsiTheme="majorHAnsi"/>
          <w:sz w:val="16"/>
          <w:szCs w:val="16"/>
          <w:lang w:val="es-CO"/>
        </w:rPr>
        <w:t xml:space="preserve"> del Ministerio del Ambiente, Vivienda y Desarrollo Territorial. </w:t>
      </w:r>
      <w:r>
        <w:rPr>
          <w:rFonts w:asciiTheme="majorHAnsi" w:hAnsiTheme="majorHAnsi"/>
          <w:sz w:val="16"/>
          <w:szCs w:val="16"/>
          <w:lang w:val="es-CO"/>
        </w:rPr>
        <w:t xml:space="preserve">   </w:t>
      </w:r>
    </w:p>
  </w:footnote>
  <w:footnote w:id="74">
    <w:p w14:paraId="182BFF97" w14:textId="77777777" w:rsidR="00824850" w:rsidRPr="00466FA8" w:rsidRDefault="00824850" w:rsidP="00734F2B">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MX"/>
        </w:rPr>
        <w:t xml:space="preserve"> </w:t>
      </w:r>
      <w:r w:rsidRPr="00466FA8">
        <w:rPr>
          <w:rFonts w:asciiTheme="majorHAnsi" w:hAnsiTheme="majorHAnsi"/>
          <w:sz w:val="16"/>
          <w:szCs w:val="16"/>
          <w:lang w:val="es-CO"/>
        </w:rPr>
        <w:t>Observaciones de Fondo del Estado de 28 de marzo de 2018.</w:t>
      </w:r>
    </w:p>
  </w:footnote>
  <w:footnote w:id="75">
    <w:p w14:paraId="6AF90E55" w14:textId="0F2BA542" w:rsidR="00824850" w:rsidRPr="00734F2B" w:rsidRDefault="00824850" w:rsidP="00734F2B">
      <w:pPr>
        <w:pStyle w:val="FootnoteText"/>
        <w:jc w:val="both"/>
        <w:rPr>
          <w:rFonts w:asciiTheme="majorHAnsi" w:hAnsiTheme="majorHAnsi"/>
          <w:sz w:val="16"/>
          <w:szCs w:val="16"/>
          <w:lang w:val="es-MX"/>
        </w:rPr>
      </w:pPr>
      <w:r w:rsidRPr="00466FA8">
        <w:rPr>
          <w:rStyle w:val="FootnoteReference"/>
          <w:rFonts w:asciiTheme="majorHAnsi" w:hAnsiTheme="majorHAnsi"/>
          <w:sz w:val="16"/>
          <w:szCs w:val="16"/>
        </w:rPr>
        <w:footnoteRef/>
      </w:r>
      <w:r w:rsidRPr="004D4598">
        <w:rPr>
          <w:rStyle w:val="FootnoteReference"/>
          <w:rFonts w:asciiTheme="majorHAnsi" w:hAnsiTheme="majorHAnsi"/>
          <w:sz w:val="16"/>
          <w:szCs w:val="16"/>
          <w:lang w:val="es-MX"/>
        </w:rPr>
        <w:t xml:space="preserve"> </w:t>
      </w:r>
      <w:r w:rsidRPr="00734F2B">
        <w:rPr>
          <w:rFonts w:asciiTheme="majorHAnsi" w:hAnsiTheme="majorHAnsi"/>
          <w:sz w:val="16"/>
          <w:szCs w:val="16"/>
          <w:lang w:val="es-MX"/>
        </w:rPr>
        <w:t xml:space="preserve">Anexo </w:t>
      </w:r>
      <w:r>
        <w:rPr>
          <w:rFonts w:asciiTheme="majorHAnsi" w:hAnsiTheme="majorHAnsi"/>
          <w:sz w:val="16"/>
          <w:szCs w:val="16"/>
          <w:lang w:val="es-MX"/>
        </w:rPr>
        <w:t>27</w:t>
      </w:r>
      <w:r w:rsidRPr="00734F2B">
        <w:rPr>
          <w:rFonts w:asciiTheme="majorHAnsi" w:hAnsiTheme="majorHAnsi"/>
          <w:sz w:val="16"/>
          <w:szCs w:val="16"/>
          <w:lang w:val="es-MX"/>
        </w:rPr>
        <w:t xml:space="preserve">. </w:t>
      </w:r>
      <w:hyperlink r:id="rId14" w:history="1">
        <w:r w:rsidRPr="00734F2B">
          <w:rPr>
            <w:rStyle w:val="Hyperlink"/>
            <w:rFonts w:asciiTheme="majorHAnsi" w:hAnsiTheme="majorHAnsi"/>
            <w:sz w:val="16"/>
            <w:szCs w:val="16"/>
            <w:lang w:val="es-MX"/>
          </w:rPr>
          <w:t>Auto No. 2863 de octubre 8 de 2009</w:t>
        </w:r>
      </w:hyperlink>
      <w:r w:rsidRPr="00734F2B">
        <w:rPr>
          <w:rFonts w:asciiTheme="majorHAnsi" w:hAnsiTheme="majorHAnsi"/>
          <w:sz w:val="16"/>
          <w:szCs w:val="16"/>
          <w:lang w:val="es-MX"/>
        </w:rPr>
        <w:t xml:space="preserve"> del Ministerio del Ambiente, Vivienda y Desarrollo Territorial. </w:t>
      </w:r>
    </w:p>
  </w:footnote>
  <w:footnote w:id="76">
    <w:p w14:paraId="6FA7C1D8" w14:textId="6B23BAF7" w:rsidR="00824850" w:rsidRPr="00734F2B" w:rsidRDefault="00824850" w:rsidP="00734F2B">
      <w:pPr>
        <w:pStyle w:val="FootnoteText"/>
        <w:jc w:val="both"/>
        <w:rPr>
          <w:lang w:val="es-ES"/>
        </w:rPr>
      </w:pPr>
      <w:r w:rsidRPr="00734F2B">
        <w:rPr>
          <w:rStyle w:val="FootnoteReference"/>
          <w:rFonts w:asciiTheme="majorHAnsi" w:hAnsiTheme="majorHAnsi"/>
          <w:sz w:val="16"/>
          <w:szCs w:val="16"/>
        </w:rPr>
        <w:footnoteRef/>
      </w:r>
      <w:r w:rsidRPr="00734F2B">
        <w:rPr>
          <w:rFonts w:asciiTheme="majorHAnsi" w:hAnsiTheme="majorHAnsi"/>
          <w:sz w:val="16"/>
          <w:szCs w:val="16"/>
          <w:lang w:val="es-ES"/>
        </w:rPr>
        <w:t xml:space="preserve"> Anexo </w:t>
      </w:r>
      <w:r>
        <w:rPr>
          <w:rFonts w:asciiTheme="majorHAnsi" w:hAnsiTheme="majorHAnsi"/>
          <w:sz w:val="16"/>
          <w:szCs w:val="16"/>
          <w:lang w:val="es-ES"/>
        </w:rPr>
        <w:t>9</w:t>
      </w:r>
      <w:r w:rsidRPr="00734F2B">
        <w:rPr>
          <w:rFonts w:asciiTheme="majorHAnsi" w:hAnsiTheme="majorHAnsi"/>
          <w:sz w:val="16"/>
          <w:szCs w:val="16"/>
          <w:lang w:val="es-ES"/>
        </w:rPr>
        <w:t xml:space="preserve">. </w:t>
      </w:r>
      <w:r w:rsidRPr="00734F2B">
        <w:rPr>
          <w:rFonts w:asciiTheme="majorHAnsi" w:hAnsiTheme="majorHAnsi"/>
          <w:sz w:val="16"/>
          <w:szCs w:val="16"/>
          <w:lang w:val="es-CO"/>
        </w:rPr>
        <w:t>Acuerdo entre el Gobierno Nacional y la Nación U’wa de 1 de m</w:t>
      </w:r>
      <w:r>
        <w:rPr>
          <w:rFonts w:asciiTheme="majorHAnsi" w:hAnsiTheme="majorHAnsi"/>
          <w:sz w:val="16"/>
          <w:szCs w:val="16"/>
          <w:lang w:val="es-CO"/>
        </w:rPr>
        <w:t xml:space="preserve">ayo de 2014. </w:t>
      </w:r>
      <w:r w:rsidRPr="002404AA">
        <w:rPr>
          <w:rFonts w:asciiTheme="majorHAnsi" w:hAnsiTheme="majorHAnsi"/>
          <w:sz w:val="16"/>
          <w:szCs w:val="16"/>
          <w:lang w:val="es-CO"/>
        </w:rPr>
        <w:t>Anexo a escrito de la parte peticionaria de 15 de mayo de 2015.</w:t>
      </w:r>
    </w:p>
  </w:footnote>
  <w:footnote w:id="77">
    <w:p w14:paraId="11C47C20" w14:textId="77777777" w:rsidR="00824850" w:rsidRPr="00466FA8" w:rsidRDefault="00824850" w:rsidP="00734F2B">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MX"/>
        </w:rPr>
        <w:t xml:space="preserve"> </w:t>
      </w:r>
      <w:r w:rsidRPr="00466FA8">
        <w:rPr>
          <w:rFonts w:asciiTheme="majorHAnsi" w:hAnsiTheme="majorHAnsi"/>
          <w:sz w:val="16"/>
          <w:szCs w:val="16"/>
          <w:lang w:val="es-CO"/>
        </w:rPr>
        <w:t>Observaciones de fondo de l</w:t>
      </w:r>
      <w:r>
        <w:rPr>
          <w:rFonts w:asciiTheme="majorHAnsi" w:hAnsiTheme="majorHAnsi"/>
          <w:sz w:val="16"/>
          <w:szCs w:val="16"/>
          <w:lang w:val="es-CO"/>
        </w:rPr>
        <w:t xml:space="preserve">a parte </w:t>
      </w:r>
      <w:r w:rsidRPr="00466FA8">
        <w:rPr>
          <w:rFonts w:asciiTheme="majorHAnsi" w:hAnsiTheme="majorHAnsi"/>
          <w:sz w:val="16"/>
          <w:szCs w:val="16"/>
          <w:lang w:val="es-CO"/>
        </w:rPr>
        <w:t>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diciembre de 2016. </w:t>
      </w:r>
    </w:p>
  </w:footnote>
  <w:footnote w:id="78">
    <w:p w14:paraId="39DA8675" w14:textId="77777777" w:rsidR="00824850" w:rsidRPr="00126630" w:rsidRDefault="00824850">
      <w:pPr>
        <w:pStyle w:val="FootnoteText"/>
        <w:rPr>
          <w:rFonts w:asciiTheme="majorHAnsi" w:hAnsiTheme="majorHAnsi"/>
          <w:sz w:val="16"/>
          <w:szCs w:val="16"/>
          <w:lang w:val="es-ES"/>
        </w:rPr>
      </w:pPr>
      <w:r w:rsidRPr="00126630">
        <w:rPr>
          <w:rStyle w:val="FootnoteReference"/>
          <w:rFonts w:asciiTheme="majorHAnsi" w:hAnsiTheme="majorHAnsi"/>
          <w:sz w:val="16"/>
          <w:szCs w:val="16"/>
        </w:rPr>
        <w:footnoteRef/>
      </w:r>
      <w:r w:rsidRPr="00126630">
        <w:rPr>
          <w:rFonts w:asciiTheme="majorHAnsi" w:hAnsiTheme="majorHAnsi"/>
          <w:sz w:val="16"/>
          <w:szCs w:val="16"/>
          <w:lang w:val="es-ES"/>
        </w:rPr>
        <w:t xml:space="preserve"> </w:t>
      </w:r>
      <w:r w:rsidRPr="00126630">
        <w:rPr>
          <w:rFonts w:asciiTheme="majorHAnsi" w:hAnsiTheme="majorHAnsi"/>
          <w:sz w:val="16"/>
          <w:szCs w:val="16"/>
          <w:lang w:val="es-CO"/>
        </w:rPr>
        <w:t>Observaciones de fondo de l</w:t>
      </w:r>
      <w:r>
        <w:rPr>
          <w:rFonts w:asciiTheme="majorHAnsi" w:hAnsiTheme="majorHAnsi"/>
          <w:sz w:val="16"/>
          <w:szCs w:val="16"/>
          <w:lang w:val="es-CO"/>
        </w:rPr>
        <w:t xml:space="preserve">a parte </w:t>
      </w:r>
      <w:r w:rsidRPr="00126630">
        <w:rPr>
          <w:rFonts w:asciiTheme="majorHAnsi" w:hAnsiTheme="majorHAnsi"/>
          <w:sz w:val="16"/>
          <w:szCs w:val="16"/>
          <w:lang w:val="es-CO"/>
        </w:rPr>
        <w:t>peticionari</w:t>
      </w:r>
      <w:r>
        <w:rPr>
          <w:rFonts w:asciiTheme="majorHAnsi" w:hAnsiTheme="majorHAnsi"/>
          <w:sz w:val="16"/>
          <w:szCs w:val="16"/>
          <w:lang w:val="es-CO"/>
        </w:rPr>
        <w:t>a</w:t>
      </w:r>
      <w:r w:rsidRPr="00126630">
        <w:rPr>
          <w:rFonts w:asciiTheme="majorHAnsi" w:hAnsiTheme="majorHAnsi"/>
          <w:sz w:val="16"/>
          <w:szCs w:val="16"/>
          <w:lang w:val="es-CO"/>
        </w:rPr>
        <w:t xml:space="preserve"> de 15 de diciembre de 2016. Observaciones de fondo del Estado de 28 de marzo de 2018.</w:t>
      </w:r>
    </w:p>
  </w:footnote>
  <w:footnote w:id="79">
    <w:p w14:paraId="0F64FE23" w14:textId="2D1BAFC9" w:rsidR="00824850" w:rsidRPr="00126630" w:rsidRDefault="00824850" w:rsidP="0048597C">
      <w:pPr>
        <w:rPr>
          <w:rFonts w:asciiTheme="majorHAnsi" w:eastAsia="Calibri" w:hAnsiTheme="majorHAnsi" w:cs="Calibri"/>
          <w:color w:val="000000"/>
          <w:sz w:val="16"/>
          <w:szCs w:val="16"/>
          <w:u w:color="000000"/>
          <w:lang w:val="es-CO" w:eastAsia="es-ES"/>
        </w:rPr>
      </w:pPr>
      <w:r w:rsidRPr="00126630">
        <w:rPr>
          <w:rStyle w:val="FootnoteReference"/>
          <w:rFonts w:asciiTheme="majorHAnsi" w:eastAsia="Calibri" w:hAnsiTheme="majorHAnsi" w:cs="Calibri"/>
          <w:color w:val="000000"/>
          <w:sz w:val="16"/>
          <w:szCs w:val="16"/>
          <w:u w:color="000000"/>
          <w:lang w:eastAsia="es-ES"/>
        </w:rPr>
        <w:footnoteRef/>
      </w:r>
      <w:r w:rsidRPr="00126630">
        <w:rPr>
          <w:rStyle w:val="FootnoteReference"/>
          <w:rFonts w:asciiTheme="majorHAnsi" w:eastAsia="Calibri" w:hAnsiTheme="majorHAnsi" w:cs="Calibri"/>
          <w:color w:val="000000"/>
          <w:sz w:val="16"/>
          <w:szCs w:val="16"/>
          <w:u w:color="000000"/>
          <w:lang w:val="es-MX" w:eastAsia="es-ES"/>
        </w:rPr>
        <w:t xml:space="preserve"> </w:t>
      </w:r>
      <w:r w:rsidRPr="00126630">
        <w:rPr>
          <w:rFonts w:asciiTheme="majorHAnsi" w:eastAsia="Calibri" w:hAnsiTheme="majorHAnsi" w:cs="Calibri"/>
          <w:color w:val="000000"/>
          <w:sz w:val="16"/>
          <w:szCs w:val="16"/>
          <w:u w:color="000000"/>
          <w:lang w:val="es-CO" w:eastAsia="es-ES"/>
        </w:rPr>
        <w:t xml:space="preserve">Anexo </w:t>
      </w:r>
      <w:r>
        <w:rPr>
          <w:rFonts w:asciiTheme="majorHAnsi" w:eastAsia="Calibri" w:hAnsiTheme="majorHAnsi" w:cs="Calibri"/>
          <w:color w:val="000000"/>
          <w:sz w:val="16"/>
          <w:szCs w:val="16"/>
          <w:u w:color="000000"/>
          <w:lang w:val="es-CO" w:eastAsia="es-ES"/>
        </w:rPr>
        <w:t>28</w:t>
      </w:r>
      <w:r w:rsidRPr="00126630">
        <w:rPr>
          <w:rFonts w:asciiTheme="majorHAnsi" w:eastAsia="Calibri" w:hAnsiTheme="majorHAnsi" w:cs="Calibri"/>
          <w:color w:val="000000"/>
          <w:sz w:val="16"/>
          <w:szCs w:val="16"/>
          <w:u w:color="000000"/>
          <w:lang w:val="es-CO" w:eastAsia="es-ES"/>
        </w:rPr>
        <w:t>. Mapa de amenazas territoriales al Pueblo U'wa. Anexo a Escrito de la parte peticionaria del 15 de mayo de 2015.</w:t>
      </w:r>
    </w:p>
  </w:footnote>
  <w:footnote w:id="80">
    <w:p w14:paraId="30765111" w14:textId="2B165A5A" w:rsidR="00824850" w:rsidRPr="00254388" w:rsidRDefault="00824850" w:rsidP="00DE78E6">
      <w:pPr>
        <w:pStyle w:val="FootnoteText"/>
        <w:jc w:val="both"/>
        <w:rPr>
          <w:rFonts w:asciiTheme="majorHAnsi" w:hAnsiTheme="majorHAnsi"/>
          <w:sz w:val="16"/>
          <w:szCs w:val="16"/>
          <w:lang w:val="es-CO" w:eastAsia="en-US"/>
        </w:rPr>
      </w:pPr>
      <w:r w:rsidRPr="00126630">
        <w:rPr>
          <w:rStyle w:val="FootnoteReference"/>
          <w:rFonts w:asciiTheme="majorHAnsi" w:hAnsiTheme="majorHAnsi"/>
          <w:sz w:val="16"/>
          <w:szCs w:val="16"/>
        </w:rPr>
        <w:footnoteRef/>
      </w:r>
      <w:r w:rsidRPr="00126630">
        <w:rPr>
          <w:rFonts w:asciiTheme="majorHAnsi" w:hAnsiTheme="majorHAnsi"/>
          <w:sz w:val="16"/>
          <w:szCs w:val="16"/>
          <w:lang w:val="es-CO"/>
        </w:rPr>
        <w:t xml:space="preserve"> Anexo </w:t>
      </w:r>
      <w:r>
        <w:rPr>
          <w:rFonts w:asciiTheme="majorHAnsi" w:hAnsiTheme="majorHAnsi"/>
          <w:sz w:val="16"/>
          <w:szCs w:val="16"/>
          <w:lang w:val="es-CO"/>
        </w:rPr>
        <w:t>29</w:t>
      </w:r>
      <w:r w:rsidRPr="00126630">
        <w:rPr>
          <w:rFonts w:asciiTheme="majorHAnsi" w:hAnsiTheme="majorHAnsi"/>
          <w:sz w:val="16"/>
          <w:szCs w:val="16"/>
          <w:lang w:val="es-CO"/>
        </w:rPr>
        <w:t xml:space="preserve">. Lista de atentados contra el Oleoducto Caño Limón-Coveñas. Anexo a observaciones de fondo de </w:t>
      </w:r>
      <w:r>
        <w:rPr>
          <w:rFonts w:asciiTheme="majorHAnsi" w:hAnsiTheme="majorHAnsi"/>
          <w:sz w:val="16"/>
          <w:szCs w:val="16"/>
          <w:lang w:val="es-CO"/>
        </w:rPr>
        <w:t xml:space="preserve">la parte </w:t>
      </w:r>
      <w:r w:rsidRPr="00126630">
        <w:rPr>
          <w:rFonts w:asciiTheme="majorHAnsi" w:hAnsiTheme="majorHAnsi"/>
          <w:sz w:val="16"/>
          <w:szCs w:val="16"/>
          <w:lang w:val="es-CO"/>
        </w:rPr>
        <w:t>peticionari</w:t>
      </w:r>
      <w:r>
        <w:rPr>
          <w:rFonts w:asciiTheme="majorHAnsi" w:hAnsiTheme="majorHAnsi"/>
          <w:sz w:val="16"/>
          <w:szCs w:val="16"/>
          <w:lang w:val="es-CO"/>
        </w:rPr>
        <w:t>a</w:t>
      </w:r>
      <w:r w:rsidRPr="00126630">
        <w:rPr>
          <w:rFonts w:asciiTheme="majorHAnsi" w:hAnsiTheme="majorHAnsi"/>
          <w:sz w:val="16"/>
          <w:szCs w:val="16"/>
          <w:lang w:val="es-CO"/>
        </w:rPr>
        <w:t xml:space="preserve"> de 16 de diciembr</w:t>
      </w:r>
      <w:r w:rsidRPr="00254388">
        <w:rPr>
          <w:rFonts w:asciiTheme="majorHAnsi" w:hAnsiTheme="majorHAnsi"/>
          <w:sz w:val="16"/>
          <w:szCs w:val="16"/>
          <w:lang w:val="es-CO"/>
        </w:rPr>
        <w:t>e de 2016.</w:t>
      </w:r>
    </w:p>
  </w:footnote>
  <w:footnote w:id="81">
    <w:p w14:paraId="4610D689" w14:textId="0B2713CB" w:rsidR="00824850" w:rsidRPr="00466FA8" w:rsidRDefault="00824850" w:rsidP="00DE78E6">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CO"/>
        </w:rPr>
        <w:t xml:space="preserve">Anexo </w:t>
      </w:r>
      <w:r>
        <w:rPr>
          <w:rFonts w:asciiTheme="majorHAnsi" w:hAnsiTheme="majorHAnsi"/>
          <w:sz w:val="16"/>
          <w:szCs w:val="16"/>
          <w:lang w:val="es-CO"/>
        </w:rPr>
        <w:t>30</w:t>
      </w:r>
      <w:r w:rsidRPr="00466FA8">
        <w:rPr>
          <w:rFonts w:asciiTheme="majorHAnsi" w:hAnsiTheme="majorHAnsi"/>
          <w:sz w:val="16"/>
          <w:szCs w:val="16"/>
          <w:lang w:val="es-CO"/>
        </w:rPr>
        <w:t>. Comunicado de prensa de AsoU’wa del 31 de marzo de 20</w:t>
      </w:r>
      <w:r>
        <w:rPr>
          <w:rFonts w:asciiTheme="majorHAnsi" w:hAnsiTheme="majorHAnsi"/>
          <w:sz w:val="16"/>
          <w:szCs w:val="16"/>
          <w:lang w:val="es-CO"/>
        </w:rPr>
        <w:t>1</w:t>
      </w:r>
      <w:r w:rsidRPr="00466FA8">
        <w:rPr>
          <w:rFonts w:asciiTheme="majorHAnsi" w:hAnsiTheme="majorHAnsi"/>
          <w:sz w:val="16"/>
          <w:szCs w:val="16"/>
          <w:lang w:val="es-CO"/>
        </w:rPr>
        <w:t>4. Anexo a escrito de l</w:t>
      </w:r>
      <w:r>
        <w:rPr>
          <w:rFonts w:asciiTheme="majorHAnsi" w:hAnsiTheme="majorHAnsi"/>
          <w:sz w:val="16"/>
          <w:szCs w:val="16"/>
          <w:lang w:val="es-CO"/>
        </w:rPr>
        <w:t xml:space="preserve">a parte </w:t>
      </w:r>
      <w:r w:rsidRPr="00466FA8">
        <w:rPr>
          <w:rFonts w:asciiTheme="majorHAnsi" w:hAnsiTheme="majorHAnsi"/>
          <w:sz w:val="16"/>
          <w:szCs w:val="16"/>
          <w:lang w:val="es-CO"/>
        </w:rPr>
        <w:t>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mayo de 2015</w:t>
      </w:r>
      <w:r>
        <w:rPr>
          <w:rFonts w:asciiTheme="majorHAnsi" w:hAnsiTheme="majorHAnsi"/>
          <w:sz w:val="16"/>
          <w:szCs w:val="16"/>
          <w:lang w:val="es-CO"/>
        </w:rPr>
        <w:t>.</w:t>
      </w:r>
    </w:p>
  </w:footnote>
  <w:footnote w:id="82">
    <w:p w14:paraId="0F032C0D" w14:textId="5E411AFF" w:rsidR="00824850" w:rsidRPr="00466FA8" w:rsidRDefault="00824850" w:rsidP="00DE78E6">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CO"/>
        </w:rPr>
        <w:t xml:space="preserve"> </w:t>
      </w:r>
      <w:bookmarkStart w:id="23" w:name="_Hlk511190259"/>
      <w:r w:rsidRPr="00466FA8">
        <w:rPr>
          <w:rFonts w:asciiTheme="majorHAnsi" w:hAnsiTheme="majorHAnsi"/>
          <w:sz w:val="16"/>
          <w:szCs w:val="16"/>
          <w:lang w:val="es-CO"/>
        </w:rPr>
        <w:t xml:space="preserve">Anexo </w:t>
      </w:r>
      <w:r>
        <w:rPr>
          <w:rFonts w:asciiTheme="majorHAnsi" w:hAnsiTheme="majorHAnsi"/>
          <w:sz w:val="16"/>
          <w:szCs w:val="16"/>
          <w:lang w:val="es-CO"/>
        </w:rPr>
        <w:t>9</w:t>
      </w:r>
      <w:r w:rsidRPr="00466FA8">
        <w:rPr>
          <w:rFonts w:asciiTheme="majorHAnsi" w:hAnsiTheme="majorHAnsi"/>
          <w:sz w:val="16"/>
          <w:szCs w:val="16"/>
          <w:lang w:val="es-CO"/>
        </w:rPr>
        <w:t>. Acta de acuerdo del 1 de mayo de 2014. Anexo a escrito de l</w:t>
      </w:r>
      <w:r>
        <w:rPr>
          <w:rFonts w:asciiTheme="majorHAnsi" w:hAnsiTheme="majorHAnsi"/>
          <w:sz w:val="16"/>
          <w:szCs w:val="16"/>
          <w:lang w:val="es-CO"/>
        </w:rPr>
        <w:t xml:space="preserve">a parte </w:t>
      </w:r>
      <w:r w:rsidRPr="00466FA8">
        <w:rPr>
          <w:rFonts w:asciiTheme="majorHAnsi" w:hAnsiTheme="majorHAnsi"/>
          <w:sz w:val="16"/>
          <w:szCs w:val="16"/>
          <w:lang w:val="es-CO"/>
        </w:rPr>
        <w:t>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mayo de 2015</w:t>
      </w:r>
      <w:bookmarkEnd w:id="23"/>
      <w:r w:rsidRPr="00466FA8">
        <w:rPr>
          <w:rFonts w:asciiTheme="majorHAnsi" w:hAnsiTheme="majorHAnsi"/>
          <w:sz w:val="16"/>
          <w:szCs w:val="16"/>
          <w:lang w:val="es-CO"/>
        </w:rPr>
        <w:t>.</w:t>
      </w:r>
    </w:p>
  </w:footnote>
  <w:footnote w:id="83">
    <w:p w14:paraId="07BD9FE1" w14:textId="29703178" w:rsidR="00824850" w:rsidRPr="00466FA8" w:rsidRDefault="00824850" w:rsidP="00DE78E6">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MX"/>
        </w:rPr>
        <w:t xml:space="preserve"> </w:t>
      </w:r>
      <w:r w:rsidRPr="00466FA8">
        <w:rPr>
          <w:rFonts w:asciiTheme="majorHAnsi" w:hAnsiTheme="majorHAnsi"/>
          <w:sz w:val="16"/>
          <w:szCs w:val="16"/>
          <w:lang w:val="es-CO"/>
        </w:rPr>
        <w:t xml:space="preserve">Anexo </w:t>
      </w:r>
      <w:r>
        <w:rPr>
          <w:rFonts w:asciiTheme="majorHAnsi" w:hAnsiTheme="majorHAnsi"/>
          <w:sz w:val="16"/>
          <w:szCs w:val="16"/>
          <w:lang w:val="es-CO"/>
        </w:rPr>
        <w:t>31</w:t>
      </w:r>
      <w:r w:rsidRPr="00466FA8">
        <w:rPr>
          <w:rFonts w:asciiTheme="majorHAnsi" w:hAnsiTheme="majorHAnsi"/>
          <w:sz w:val="16"/>
          <w:szCs w:val="16"/>
          <w:lang w:val="es-CO"/>
        </w:rPr>
        <w:t>. Licencia ambiental del Proyecto Área de Perforación Exploratoria Magallanes – Resolución 0803 de 24 de septiembre de 2012. Anexo a escrito de l</w:t>
      </w:r>
      <w:r>
        <w:rPr>
          <w:rFonts w:asciiTheme="majorHAnsi" w:hAnsiTheme="majorHAnsi"/>
          <w:sz w:val="16"/>
          <w:szCs w:val="16"/>
          <w:lang w:val="es-CO"/>
        </w:rPr>
        <w:t>a parte</w:t>
      </w:r>
      <w:r w:rsidRPr="00466FA8">
        <w:rPr>
          <w:rFonts w:asciiTheme="majorHAnsi" w:hAnsiTheme="majorHAnsi"/>
          <w:sz w:val="16"/>
          <w:szCs w:val="16"/>
          <w:lang w:val="es-CO"/>
        </w:rPr>
        <w:t xml:space="preserve"> 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mayo de 2015.</w:t>
      </w:r>
    </w:p>
  </w:footnote>
  <w:footnote w:id="84">
    <w:p w14:paraId="10AB3436" w14:textId="704186E6" w:rsidR="00824850" w:rsidRPr="00466FA8" w:rsidRDefault="00824850" w:rsidP="00DE78E6">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MX"/>
        </w:rPr>
        <w:t xml:space="preserve"> </w:t>
      </w:r>
      <w:r w:rsidRPr="00466FA8">
        <w:rPr>
          <w:rFonts w:asciiTheme="majorHAnsi" w:hAnsiTheme="majorHAnsi"/>
          <w:sz w:val="16"/>
          <w:szCs w:val="16"/>
          <w:lang w:val="es-CO"/>
        </w:rPr>
        <w:t xml:space="preserve">Anexo </w:t>
      </w:r>
      <w:r>
        <w:rPr>
          <w:rFonts w:asciiTheme="majorHAnsi" w:hAnsiTheme="majorHAnsi"/>
          <w:sz w:val="16"/>
          <w:szCs w:val="16"/>
          <w:lang w:val="es-CO"/>
        </w:rPr>
        <w:t>31</w:t>
      </w:r>
      <w:r w:rsidRPr="00466FA8">
        <w:rPr>
          <w:rFonts w:asciiTheme="majorHAnsi" w:hAnsiTheme="majorHAnsi"/>
          <w:sz w:val="16"/>
          <w:szCs w:val="16"/>
          <w:lang w:val="es-CO"/>
        </w:rPr>
        <w:t>. Licencia ambiental del Proyecto Área de Perforación Exploratoria Magallanes – Resolución 0803 de 24 de septiembre de 2012. Anexo a escrito de l</w:t>
      </w:r>
      <w:r>
        <w:rPr>
          <w:rFonts w:asciiTheme="majorHAnsi" w:hAnsiTheme="majorHAnsi"/>
          <w:sz w:val="16"/>
          <w:szCs w:val="16"/>
          <w:lang w:val="es-CO"/>
        </w:rPr>
        <w:t xml:space="preserve">a parte </w:t>
      </w:r>
      <w:r w:rsidRPr="00466FA8">
        <w:rPr>
          <w:rFonts w:asciiTheme="majorHAnsi" w:hAnsiTheme="majorHAnsi"/>
          <w:sz w:val="16"/>
          <w:szCs w:val="16"/>
          <w:lang w:val="es-CO"/>
        </w:rPr>
        <w:t>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mayo de 2015.</w:t>
      </w:r>
    </w:p>
  </w:footnote>
  <w:footnote w:id="85">
    <w:p w14:paraId="12FEBB4F" w14:textId="1D54256D" w:rsidR="00824850" w:rsidRPr="00466FA8" w:rsidRDefault="00824850" w:rsidP="00DE78E6">
      <w:pPr>
        <w:pStyle w:val="FootnoteText"/>
        <w:jc w:val="both"/>
        <w:rPr>
          <w:rFonts w:asciiTheme="majorHAnsi" w:hAnsiTheme="majorHAnsi"/>
          <w:sz w:val="16"/>
          <w:szCs w:val="16"/>
          <w:lang w:val="es-ES"/>
        </w:rPr>
      </w:pPr>
      <w:r w:rsidRPr="00466FA8">
        <w:rPr>
          <w:rStyle w:val="FootnoteReference"/>
          <w:rFonts w:asciiTheme="majorHAnsi" w:hAnsiTheme="majorHAnsi"/>
          <w:sz w:val="16"/>
          <w:szCs w:val="16"/>
        </w:rPr>
        <w:footnoteRef/>
      </w:r>
      <w:r w:rsidRPr="00466FA8">
        <w:rPr>
          <w:rFonts w:asciiTheme="majorHAnsi" w:hAnsiTheme="majorHAnsi"/>
          <w:sz w:val="16"/>
          <w:szCs w:val="16"/>
          <w:lang w:val="es-ES"/>
        </w:rPr>
        <w:t xml:space="preserve"> Mediante el </w:t>
      </w:r>
      <w:hyperlink r:id="rId15" w:history="1">
        <w:r w:rsidRPr="00BB7EDB">
          <w:rPr>
            <w:rStyle w:val="Hyperlink"/>
            <w:rFonts w:asciiTheme="majorHAnsi" w:hAnsiTheme="majorHAnsi"/>
            <w:sz w:val="16"/>
            <w:szCs w:val="16"/>
            <w:lang w:val="es-ES"/>
          </w:rPr>
          <w:t>Decreto 3573 del 27 de septiembre de 2011</w:t>
        </w:r>
      </w:hyperlink>
      <w:r w:rsidRPr="00466FA8">
        <w:rPr>
          <w:rFonts w:asciiTheme="majorHAnsi" w:hAnsiTheme="majorHAnsi"/>
          <w:sz w:val="16"/>
          <w:szCs w:val="16"/>
          <w:lang w:val="es-ES"/>
        </w:rPr>
        <w:t>, se creó la Autoridad Nacional de Licencias Ambientales – ANLA- y se estableció que dentro de sus funciones se encontrarían otorgar o negar licencias, permisos y trámites ambientales de competencia del Ministerio de Medio Ambiente y Desarrollo Sostenible.</w:t>
      </w:r>
    </w:p>
  </w:footnote>
  <w:footnote w:id="86">
    <w:p w14:paraId="5164884F" w14:textId="242A49D5" w:rsidR="00824850" w:rsidRPr="00466FA8" w:rsidRDefault="00824850" w:rsidP="00DE78E6">
      <w:pPr>
        <w:pStyle w:val="FootnoteText"/>
        <w:jc w:val="both"/>
        <w:rPr>
          <w:rFonts w:asciiTheme="majorHAnsi" w:hAnsiTheme="majorHAnsi"/>
          <w:sz w:val="16"/>
          <w:szCs w:val="16"/>
          <w:lang w:val="es-CO"/>
        </w:rPr>
      </w:pPr>
      <w:r w:rsidRPr="00466FA8">
        <w:rPr>
          <w:rStyle w:val="FootnoteReference"/>
          <w:rFonts w:asciiTheme="majorHAnsi" w:hAnsiTheme="majorHAnsi"/>
          <w:sz w:val="16"/>
          <w:szCs w:val="16"/>
        </w:rPr>
        <w:footnoteRef/>
      </w:r>
      <w:r w:rsidRPr="00466FA8">
        <w:rPr>
          <w:rFonts w:asciiTheme="majorHAnsi" w:hAnsiTheme="majorHAnsi"/>
          <w:sz w:val="16"/>
          <w:szCs w:val="16"/>
          <w:lang w:val="es-MX"/>
        </w:rPr>
        <w:t xml:space="preserve"> </w:t>
      </w:r>
      <w:r w:rsidRPr="00466FA8">
        <w:rPr>
          <w:rFonts w:asciiTheme="majorHAnsi" w:hAnsiTheme="majorHAnsi"/>
          <w:sz w:val="16"/>
          <w:szCs w:val="16"/>
          <w:lang w:val="es-CO"/>
        </w:rPr>
        <w:t>Anexo</w:t>
      </w:r>
      <w:r>
        <w:rPr>
          <w:rFonts w:asciiTheme="majorHAnsi" w:hAnsiTheme="majorHAnsi"/>
          <w:sz w:val="16"/>
          <w:szCs w:val="16"/>
          <w:lang w:val="es-CO"/>
        </w:rPr>
        <w:t xml:space="preserve"> 31</w:t>
      </w:r>
      <w:r w:rsidRPr="00466FA8">
        <w:rPr>
          <w:rFonts w:asciiTheme="majorHAnsi" w:hAnsiTheme="majorHAnsi"/>
          <w:sz w:val="16"/>
          <w:szCs w:val="16"/>
          <w:lang w:val="es-CO"/>
        </w:rPr>
        <w:t>. Licencia ambiental del Proyecto Área de Perforación Exploratoria Magallanes – Resolución 0803 de 24 de septiembre de 2012. Anexo a escrito de l</w:t>
      </w:r>
      <w:r>
        <w:rPr>
          <w:rFonts w:asciiTheme="majorHAnsi" w:hAnsiTheme="majorHAnsi"/>
          <w:sz w:val="16"/>
          <w:szCs w:val="16"/>
          <w:lang w:val="es-CO"/>
        </w:rPr>
        <w:t xml:space="preserve">a parte </w:t>
      </w:r>
      <w:r w:rsidRPr="00466FA8">
        <w:rPr>
          <w:rFonts w:asciiTheme="majorHAnsi" w:hAnsiTheme="majorHAnsi"/>
          <w:sz w:val="16"/>
          <w:szCs w:val="16"/>
          <w:lang w:val="es-CO"/>
        </w:rPr>
        <w:t>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mayo de 2015.</w:t>
      </w:r>
    </w:p>
  </w:footnote>
  <w:footnote w:id="87">
    <w:p w14:paraId="18CE2AE6" w14:textId="5FAABC02" w:rsidR="00824850" w:rsidRPr="00466FA8" w:rsidRDefault="00824850" w:rsidP="00714F68">
      <w:pPr>
        <w:pStyle w:val="FootnoteText"/>
        <w:jc w:val="both"/>
        <w:rPr>
          <w:rFonts w:asciiTheme="majorHAnsi" w:hAnsiTheme="majorHAnsi"/>
          <w:sz w:val="16"/>
          <w:szCs w:val="16"/>
          <w:lang w:val="es-ES"/>
        </w:rPr>
      </w:pPr>
      <w:r w:rsidRPr="00466FA8">
        <w:rPr>
          <w:rStyle w:val="FootnoteReference"/>
          <w:rFonts w:asciiTheme="majorHAnsi" w:hAnsiTheme="majorHAnsi"/>
          <w:sz w:val="16"/>
          <w:szCs w:val="16"/>
        </w:rPr>
        <w:footnoteRef/>
      </w:r>
      <w:r w:rsidRPr="00466FA8">
        <w:rPr>
          <w:rFonts w:asciiTheme="majorHAnsi" w:hAnsiTheme="majorHAnsi"/>
          <w:sz w:val="16"/>
          <w:szCs w:val="16"/>
          <w:lang w:val="es-ES"/>
        </w:rPr>
        <w:t xml:space="preserve"> </w:t>
      </w:r>
      <w:r w:rsidRPr="00466FA8">
        <w:rPr>
          <w:rFonts w:asciiTheme="majorHAnsi" w:hAnsiTheme="majorHAnsi"/>
          <w:sz w:val="16"/>
          <w:szCs w:val="16"/>
          <w:lang w:val="es-CO"/>
        </w:rPr>
        <w:t xml:space="preserve">Anexo </w:t>
      </w:r>
      <w:r>
        <w:rPr>
          <w:rFonts w:asciiTheme="majorHAnsi" w:hAnsiTheme="majorHAnsi"/>
          <w:sz w:val="16"/>
          <w:szCs w:val="16"/>
          <w:lang w:val="es-CO"/>
        </w:rPr>
        <w:t>32</w:t>
      </w:r>
      <w:r w:rsidRPr="00466FA8">
        <w:rPr>
          <w:rFonts w:asciiTheme="majorHAnsi" w:hAnsiTheme="majorHAnsi"/>
          <w:sz w:val="16"/>
          <w:szCs w:val="16"/>
          <w:lang w:val="es-CO"/>
        </w:rPr>
        <w:t>. Documento de análisis de la licencia ambiental proyecto Magallanes por el equipo técnico U’wa de 1 de mayo de 2014. Anexo a escrito de l</w:t>
      </w:r>
      <w:r>
        <w:rPr>
          <w:rFonts w:asciiTheme="majorHAnsi" w:hAnsiTheme="majorHAnsi"/>
          <w:sz w:val="16"/>
          <w:szCs w:val="16"/>
          <w:lang w:val="es-CO"/>
        </w:rPr>
        <w:t>a parte</w:t>
      </w:r>
      <w:r w:rsidRPr="00466FA8">
        <w:rPr>
          <w:rFonts w:asciiTheme="majorHAnsi" w:hAnsiTheme="majorHAnsi"/>
          <w:sz w:val="16"/>
          <w:szCs w:val="16"/>
          <w:lang w:val="es-CO"/>
        </w:rPr>
        <w:t xml:space="preserve"> peticionari</w:t>
      </w:r>
      <w:r>
        <w:rPr>
          <w:rFonts w:asciiTheme="majorHAnsi" w:hAnsiTheme="majorHAnsi"/>
          <w:sz w:val="16"/>
          <w:szCs w:val="16"/>
          <w:lang w:val="es-CO"/>
        </w:rPr>
        <w:t>a</w:t>
      </w:r>
      <w:r w:rsidRPr="00466FA8">
        <w:rPr>
          <w:rFonts w:asciiTheme="majorHAnsi" w:hAnsiTheme="majorHAnsi"/>
          <w:sz w:val="16"/>
          <w:szCs w:val="16"/>
          <w:lang w:val="es-CO"/>
        </w:rPr>
        <w:t xml:space="preserve"> de 15 de mayo de 2015.</w:t>
      </w:r>
    </w:p>
  </w:footnote>
  <w:footnote w:id="88">
    <w:p w14:paraId="3850781F" w14:textId="2DF15A6D" w:rsidR="00824850" w:rsidRPr="00005B14" w:rsidRDefault="00824850" w:rsidP="00714F68">
      <w:pPr>
        <w:pStyle w:val="FootnoteText"/>
        <w:jc w:val="both"/>
        <w:rPr>
          <w:rFonts w:asciiTheme="majorHAnsi" w:hAnsiTheme="majorHAnsi"/>
          <w:sz w:val="16"/>
          <w:szCs w:val="16"/>
          <w:lang w:val="es-CO"/>
        </w:rPr>
      </w:pPr>
      <w:r w:rsidRPr="00B03454">
        <w:rPr>
          <w:rStyle w:val="FootnoteReference"/>
          <w:rFonts w:asciiTheme="majorHAnsi" w:hAnsiTheme="majorHAnsi"/>
          <w:sz w:val="16"/>
          <w:szCs w:val="16"/>
        </w:rPr>
        <w:footnoteRef/>
      </w:r>
      <w:r w:rsidRPr="00B03454">
        <w:rPr>
          <w:rFonts w:asciiTheme="majorHAnsi" w:hAnsiTheme="majorHAnsi"/>
          <w:sz w:val="16"/>
          <w:szCs w:val="16"/>
          <w:lang w:val="es-CO"/>
        </w:rPr>
        <w:t xml:space="preserve"> Anexo </w:t>
      </w:r>
      <w:r>
        <w:rPr>
          <w:rFonts w:asciiTheme="majorHAnsi" w:hAnsiTheme="majorHAnsi"/>
          <w:sz w:val="16"/>
          <w:szCs w:val="16"/>
          <w:lang w:val="es-CO"/>
        </w:rPr>
        <w:t>32</w:t>
      </w:r>
      <w:r w:rsidRPr="00B03454">
        <w:rPr>
          <w:rFonts w:asciiTheme="majorHAnsi" w:hAnsiTheme="majorHAnsi"/>
          <w:sz w:val="16"/>
          <w:szCs w:val="16"/>
          <w:lang w:val="es-CO"/>
        </w:rPr>
        <w:t xml:space="preserve">. Documento de análisis de la licencia ambiental proyecto Magallanes por el equipo técnico U’wa de 1 de mayo de 2014. Anexo </w:t>
      </w:r>
      <w:r w:rsidRPr="00005B14">
        <w:rPr>
          <w:rFonts w:asciiTheme="majorHAnsi" w:hAnsiTheme="majorHAnsi"/>
          <w:sz w:val="16"/>
          <w:szCs w:val="16"/>
          <w:lang w:val="es-CO"/>
        </w:rPr>
        <w:t>a escrito de l</w:t>
      </w:r>
      <w:r>
        <w:rPr>
          <w:rFonts w:asciiTheme="majorHAnsi" w:hAnsiTheme="majorHAnsi"/>
          <w:sz w:val="16"/>
          <w:szCs w:val="16"/>
          <w:lang w:val="es-CO"/>
        </w:rPr>
        <w:t>a parte</w:t>
      </w:r>
      <w:r w:rsidRPr="00005B14">
        <w:rPr>
          <w:rFonts w:asciiTheme="majorHAnsi" w:hAnsiTheme="majorHAnsi"/>
          <w:sz w:val="16"/>
          <w:szCs w:val="16"/>
          <w:lang w:val="es-CO"/>
        </w:rPr>
        <w:t xml:space="preserve"> peticionari</w:t>
      </w:r>
      <w:r>
        <w:rPr>
          <w:rFonts w:asciiTheme="majorHAnsi" w:hAnsiTheme="majorHAnsi"/>
          <w:sz w:val="16"/>
          <w:szCs w:val="16"/>
          <w:lang w:val="es-CO"/>
        </w:rPr>
        <w:t>a</w:t>
      </w:r>
      <w:r w:rsidRPr="00005B14">
        <w:rPr>
          <w:rFonts w:asciiTheme="majorHAnsi" w:hAnsiTheme="majorHAnsi"/>
          <w:sz w:val="16"/>
          <w:szCs w:val="16"/>
          <w:lang w:val="es-CO"/>
        </w:rPr>
        <w:t xml:space="preserve"> de 15 de mayo de 2015.</w:t>
      </w:r>
    </w:p>
  </w:footnote>
  <w:footnote w:id="89">
    <w:p w14:paraId="021D0A71" w14:textId="2F225433" w:rsidR="00824850" w:rsidRPr="00005B14" w:rsidRDefault="00824850" w:rsidP="00714F68">
      <w:pPr>
        <w:pStyle w:val="FootnoteText"/>
        <w:jc w:val="both"/>
        <w:rPr>
          <w:rFonts w:asciiTheme="majorHAnsi" w:hAnsiTheme="majorHAnsi"/>
          <w:sz w:val="16"/>
          <w:szCs w:val="16"/>
          <w:lang w:val="es-CO"/>
        </w:rPr>
      </w:pPr>
      <w:r w:rsidRPr="00005B14">
        <w:rPr>
          <w:rStyle w:val="FootnoteReference"/>
          <w:rFonts w:asciiTheme="majorHAnsi" w:hAnsiTheme="majorHAnsi"/>
          <w:sz w:val="16"/>
          <w:szCs w:val="16"/>
        </w:rPr>
        <w:footnoteRef/>
      </w:r>
      <w:r w:rsidRPr="00005B14">
        <w:rPr>
          <w:rFonts w:asciiTheme="majorHAnsi" w:hAnsiTheme="majorHAnsi"/>
          <w:sz w:val="16"/>
          <w:szCs w:val="16"/>
          <w:lang w:val="es-MX"/>
        </w:rPr>
        <w:t xml:space="preserve"> </w:t>
      </w:r>
      <w:r w:rsidRPr="00005B14">
        <w:rPr>
          <w:rFonts w:asciiTheme="majorHAnsi" w:hAnsiTheme="majorHAnsi"/>
          <w:sz w:val="16"/>
          <w:szCs w:val="16"/>
          <w:lang w:val="es-CO"/>
        </w:rPr>
        <w:t xml:space="preserve">Anexo </w:t>
      </w:r>
      <w:r>
        <w:rPr>
          <w:rFonts w:asciiTheme="majorHAnsi" w:hAnsiTheme="majorHAnsi"/>
          <w:sz w:val="16"/>
          <w:szCs w:val="16"/>
          <w:lang w:val="es-CO"/>
        </w:rPr>
        <w:t>9</w:t>
      </w:r>
      <w:r w:rsidRPr="00005B14">
        <w:rPr>
          <w:rFonts w:asciiTheme="majorHAnsi" w:hAnsiTheme="majorHAnsi"/>
          <w:sz w:val="16"/>
          <w:szCs w:val="16"/>
          <w:lang w:val="es-CO"/>
        </w:rPr>
        <w:t>. Acta de acuerdo del 1 de mayo de 2014. Anexo a escrito de l</w:t>
      </w:r>
      <w:r>
        <w:rPr>
          <w:rFonts w:asciiTheme="majorHAnsi" w:hAnsiTheme="majorHAnsi"/>
          <w:sz w:val="16"/>
          <w:szCs w:val="16"/>
          <w:lang w:val="es-CO"/>
        </w:rPr>
        <w:t>a parte</w:t>
      </w:r>
      <w:r w:rsidRPr="00005B14">
        <w:rPr>
          <w:rFonts w:asciiTheme="majorHAnsi" w:hAnsiTheme="majorHAnsi"/>
          <w:sz w:val="16"/>
          <w:szCs w:val="16"/>
          <w:lang w:val="es-CO"/>
        </w:rPr>
        <w:t xml:space="preserve"> peticionari</w:t>
      </w:r>
      <w:r>
        <w:rPr>
          <w:rFonts w:asciiTheme="majorHAnsi" w:hAnsiTheme="majorHAnsi"/>
          <w:sz w:val="16"/>
          <w:szCs w:val="16"/>
          <w:lang w:val="es-CO"/>
        </w:rPr>
        <w:t>a</w:t>
      </w:r>
      <w:r w:rsidRPr="00005B14">
        <w:rPr>
          <w:rFonts w:asciiTheme="majorHAnsi" w:hAnsiTheme="majorHAnsi"/>
          <w:sz w:val="16"/>
          <w:szCs w:val="16"/>
          <w:lang w:val="es-CO"/>
        </w:rPr>
        <w:t xml:space="preserve"> de 15 de mayo de 2015</w:t>
      </w:r>
    </w:p>
  </w:footnote>
  <w:footnote w:id="90">
    <w:p w14:paraId="2F2647F9" w14:textId="77777777" w:rsidR="00824850" w:rsidRPr="00005B14" w:rsidRDefault="00824850" w:rsidP="00714F68">
      <w:pPr>
        <w:pStyle w:val="FootnoteText"/>
        <w:jc w:val="both"/>
        <w:rPr>
          <w:lang w:val="es-ES"/>
        </w:rPr>
      </w:pPr>
      <w:r w:rsidRPr="00005B14">
        <w:rPr>
          <w:rStyle w:val="FootnoteReference"/>
          <w:rFonts w:asciiTheme="majorHAnsi" w:hAnsiTheme="majorHAnsi"/>
          <w:sz w:val="16"/>
          <w:szCs w:val="16"/>
        </w:rPr>
        <w:footnoteRef/>
      </w:r>
      <w:r w:rsidRPr="00005B14">
        <w:rPr>
          <w:rFonts w:asciiTheme="majorHAnsi" w:hAnsiTheme="majorHAnsi"/>
          <w:sz w:val="16"/>
          <w:szCs w:val="16"/>
          <w:lang w:val="es-ES"/>
        </w:rPr>
        <w:t xml:space="preserve"> </w:t>
      </w:r>
      <w:r>
        <w:rPr>
          <w:rFonts w:asciiTheme="majorHAnsi" w:hAnsiTheme="majorHAnsi"/>
          <w:sz w:val="16"/>
          <w:szCs w:val="16"/>
          <w:lang w:val="es-ES"/>
        </w:rPr>
        <w:t>O</w:t>
      </w:r>
      <w:r w:rsidRPr="00005B14">
        <w:rPr>
          <w:rFonts w:asciiTheme="majorHAnsi" w:hAnsiTheme="majorHAnsi"/>
          <w:sz w:val="16"/>
          <w:szCs w:val="16"/>
          <w:lang w:val="es-ES"/>
        </w:rPr>
        <w:t>bservaciones de fondo de la parte peticionaria de 16 de diciembre de 2016.</w:t>
      </w:r>
      <w:r>
        <w:rPr>
          <w:lang w:val="es-ES"/>
        </w:rPr>
        <w:t xml:space="preserve"> </w:t>
      </w:r>
    </w:p>
  </w:footnote>
  <w:footnote w:id="91">
    <w:p w14:paraId="6AA3FAC4" w14:textId="01E54593" w:rsidR="00824850" w:rsidRPr="003364D3" w:rsidRDefault="00824850" w:rsidP="00714F68">
      <w:pPr>
        <w:pStyle w:val="FootnoteText"/>
        <w:jc w:val="both"/>
        <w:rPr>
          <w:rFonts w:asciiTheme="majorHAnsi" w:hAnsiTheme="majorHAnsi"/>
          <w:sz w:val="16"/>
          <w:szCs w:val="16"/>
          <w:lang w:val="es-CO"/>
        </w:rPr>
      </w:pPr>
      <w:r w:rsidRPr="00B03454">
        <w:rPr>
          <w:rStyle w:val="FootnoteReference"/>
          <w:rFonts w:asciiTheme="majorHAnsi" w:hAnsiTheme="majorHAnsi"/>
          <w:sz w:val="16"/>
          <w:szCs w:val="16"/>
        </w:rPr>
        <w:footnoteRef/>
      </w:r>
      <w:r w:rsidRPr="00B03454">
        <w:rPr>
          <w:rFonts w:asciiTheme="majorHAnsi" w:hAnsiTheme="majorHAnsi"/>
          <w:sz w:val="16"/>
          <w:szCs w:val="16"/>
          <w:lang w:val="es-CO"/>
        </w:rPr>
        <w:t xml:space="preserve"> Anexo</w:t>
      </w:r>
      <w:r w:rsidRPr="00254388">
        <w:rPr>
          <w:rFonts w:asciiTheme="majorHAnsi" w:hAnsiTheme="majorHAnsi"/>
          <w:sz w:val="16"/>
          <w:szCs w:val="16"/>
          <w:lang w:val="es-CO"/>
        </w:rPr>
        <w:t xml:space="preserve"> </w:t>
      </w:r>
      <w:r>
        <w:rPr>
          <w:rFonts w:asciiTheme="majorHAnsi" w:hAnsiTheme="majorHAnsi"/>
          <w:sz w:val="16"/>
          <w:szCs w:val="16"/>
          <w:lang w:val="es-CO"/>
        </w:rPr>
        <w:t>33</w:t>
      </w:r>
      <w:r w:rsidRPr="00254388">
        <w:rPr>
          <w:rFonts w:asciiTheme="majorHAnsi" w:hAnsiTheme="majorHAnsi"/>
          <w:sz w:val="16"/>
          <w:szCs w:val="16"/>
          <w:lang w:val="es-CO"/>
        </w:rPr>
        <w:t xml:space="preserve">. Resolución por la cual se prohibió el ingreso de visitantes al Parque Natural El Cocuy. 29 de julio de 2016. Anexo a </w:t>
      </w:r>
      <w:r w:rsidRPr="003364D3">
        <w:rPr>
          <w:rFonts w:asciiTheme="majorHAnsi" w:hAnsiTheme="majorHAnsi"/>
          <w:sz w:val="16"/>
          <w:szCs w:val="16"/>
          <w:lang w:val="es-CO"/>
        </w:rPr>
        <w:t>observaciones de fondo de l</w:t>
      </w:r>
      <w:r>
        <w:rPr>
          <w:rFonts w:asciiTheme="majorHAnsi" w:hAnsiTheme="majorHAnsi"/>
          <w:sz w:val="16"/>
          <w:szCs w:val="16"/>
          <w:lang w:val="es-CO"/>
        </w:rPr>
        <w:t xml:space="preserve">a parte </w:t>
      </w:r>
      <w:r w:rsidRPr="003364D3">
        <w:rPr>
          <w:rFonts w:asciiTheme="majorHAnsi" w:hAnsiTheme="majorHAnsi"/>
          <w:sz w:val="16"/>
          <w:szCs w:val="16"/>
          <w:lang w:val="es-CO"/>
        </w:rPr>
        <w:t>peticionar</w:t>
      </w:r>
      <w:r>
        <w:rPr>
          <w:rFonts w:asciiTheme="majorHAnsi" w:hAnsiTheme="majorHAnsi"/>
          <w:sz w:val="16"/>
          <w:szCs w:val="16"/>
          <w:lang w:val="es-CO"/>
        </w:rPr>
        <w:t>ia</w:t>
      </w:r>
      <w:r w:rsidRPr="003364D3">
        <w:rPr>
          <w:rFonts w:asciiTheme="majorHAnsi" w:hAnsiTheme="majorHAnsi"/>
          <w:sz w:val="16"/>
          <w:szCs w:val="16"/>
          <w:lang w:val="es-CO"/>
        </w:rPr>
        <w:t xml:space="preserve"> de 16 de diciembre de 2016.</w:t>
      </w:r>
    </w:p>
  </w:footnote>
  <w:footnote w:id="92">
    <w:p w14:paraId="2FD823D8" w14:textId="77777777" w:rsidR="00824850" w:rsidRPr="003364D3" w:rsidRDefault="00824850" w:rsidP="00714F68">
      <w:pPr>
        <w:pStyle w:val="FootnoteText"/>
        <w:jc w:val="both"/>
        <w:rPr>
          <w:rFonts w:asciiTheme="majorHAnsi" w:hAnsiTheme="majorHAnsi"/>
          <w:sz w:val="16"/>
          <w:szCs w:val="16"/>
          <w:lang w:val="es-ES"/>
        </w:rPr>
      </w:pPr>
      <w:r w:rsidRPr="003364D3">
        <w:rPr>
          <w:rStyle w:val="FootnoteReference"/>
          <w:rFonts w:asciiTheme="majorHAnsi" w:hAnsiTheme="majorHAnsi"/>
          <w:sz w:val="16"/>
          <w:szCs w:val="16"/>
        </w:rPr>
        <w:footnoteRef/>
      </w:r>
      <w:r w:rsidRPr="003364D3">
        <w:rPr>
          <w:rFonts w:asciiTheme="majorHAnsi" w:hAnsiTheme="majorHAnsi"/>
          <w:sz w:val="16"/>
          <w:szCs w:val="16"/>
          <w:lang w:val="es-ES"/>
        </w:rPr>
        <w:t xml:space="preserve"> Observaciones de fondo de la parte peticionaria de 16 de diciembre de 2016.</w:t>
      </w:r>
    </w:p>
  </w:footnote>
  <w:footnote w:id="93">
    <w:p w14:paraId="11E3EBDD" w14:textId="28EFA369" w:rsidR="00824850" w:rsidRPr="003364D3" w:rsidRDefault="00824850" w:rsidP="00714F68">
      <w:pPr>
        <w:pStyle w:val="FootnoteText"/>
        <w:jc w:val="both"/>
        <w:rPr>
          <w:rFonts w:asciiTheme="majorHAnsi" w:hAnsiTheme="majorHAnsi"/>
          <w:sz w:val="16"/>
          <w:szCs w:val="16"/>
          <w:lang w:val="es-CO"/>
        </w:rPr>
      </w:pPr>
      <w:r w:rsidRPr="003364D3">
        <w:rPr>
          <w:rStyle w:val="FootnoteReference"/>
          <w:rFonts w:asciiTheme="majorHAnsi" w:hAnsiTheme="majorHAnsi"/>
          <w:sz w:val="16"/>
          <w:szCs w:val="16"/>
        </w:rPr>
        <w:footnoteRef/>
      </w:r>
      <w:r w:rsidRPr="003364D3">
        <w:rPr>
          <w:rFonts w:asciiTheme="majorHAnsi" w:hAnsiTheme="majorHAnsi"/>
          <w:sz w:val="16"/>
          <w:szCs w:val="16"/>
          <w:lang w:val="es-CO"/>
        </w:rPr>
        <w:t xml:space="preserve"> </w:t>
      </w:r>
      <w:hyperlink r:id="rId16" w:history="1">
        <w:r w:rsidRPr="00BB7EDB">
          <w:rPr>
            <w:rStyle w:val="Hyperlink"/>
            <w:rFonts w:asciiTheme="majorHAnsi" w:hAnsiTheme="majorHAnsi"/>
            <w:sz w:val="16"/>
            <w:szCs w:val="16"/>
            <w:lang w:val="es-CO"/>
          </w:rPr>
          <w:t>Decreto Ley 3572 de 27 de septiembre de 2011</w:t>
        </w:r>
      </w:hyperlink>
      <w:r>
        <w:rPr>
          <w:rFonts w:asciiTheme="majorHAnsi" w:hAnsiTheme="majorHAnsi"/>
          <w:sz w:val="16"/>
          <w:szCs w:val="16"/>
          <w:lang w:val="es-CO"/>
        </w:rPr>
        <w:t>.</w:t>
      </w:r>
    </w:p>
  </w:footnote>
  <w:footnote w:id="94">
    <w:p w14:paraId="6FDC4151" w14:textId="618A4360" w:rsidR="00824850" w:rsidRPr="003364D3" w:rsidRDefault="00824850" w:rsidP="00714F68">
      <w:pPr>
        <w:pStyle w:val="FootnoteText"/>
        <w:jc w:val="both"/>
        <w:rPr>
          <w:rFonts w:asciiTheme="majorHAnsi" w:hAnsiTheme="majorHAnsi"/>
          <w:sz w:val="16"/>
          <w:szCs w:val="16"/>
          <w:lang w:val="es-CO"/>
        </w:rPr>
      </w:pPr>
      <w:r w:rsidRPr="003364D3">
        <w:rPr>
          <w:rStyle w:val="FootnoteReference"/>
          <w:rFonts w:asciiTheme="majorHAnsi" w:hAnsiTheme="majorHAnsi"/>
          <w:sz w:val="16"/>
          <w:szCs w:val="16"/>
        </w:rPr>
        <w:footnoteRef/>
      </w:r>
      <w:r>
        <w:rPr>
          <w:rFonts w:asciiTheme="majorHAnsi" w:hAnsiTheme="majorHAnsi"/>
          <w:sz w:val="16"/>
          <w:szCs w:val="16"/>
          <w:lang w:val="es-CO"/>
        </w:rPr>
        <w:t xml:space="preserve"> </w:t>
      </w:r>
      <w:hyperlink r:id="rId17" w:history="1">
        <w:r w:rsidRPr="00BD0037">
          <w:rPr>
            <w:rStyle w:val="Hyperlink"/>
            <w:rFonts w:asciiTheme="majorHAnsi" w:hAnsiTheme="majorHAnsi"/>
            <w:sz w:val="16"/>
            <w:szCs w:val="16"/>
            <w:lang w:val="es-CO"/>
          </w:rPr>
          <w:t>Resolución 245 de 6 de julio de 2012.</w:t>
        </w:r>
      </w:hyperlink>
    </w:p>
  </w:footnote>
  <w:footnote w:id="95">
    <w:p w14:paraId="6FC2BDEE" w14:textId="77777777" w:rsidR="00824850" w:rsidRPr="00331385" w:rsidRDefault="00824850" w:rsidP="00714F68">
      <w:pPr>
        <w:pStyle w:val="FootnoteText"/>
        <w:jc w:val="both"/>
        <w:rPr>
          <w:rFonts w:asciiTheme="majorHAnsi" w:hAnsiTheme="majorHAnsi"/>
          <w:sz w:val="16"/>
          <w:szCs w:val="16"/>
          <w:lang w:val="es-ES"/>
        </w:rPr>
      </w:pPr>
      <w:r w:rsidRPr="00331385">
        <w:rPr>
          <w:rStyle w:val="FootnoteReference"/>
          <w:rFonts w:asciiTheme="majorHAnsi" w:hAnsiTheme="majorHAnsi"/>
          <w:sz w:val="16"/>
          <w:szCs w:val="16"/>
        </w:rPr>
        <w:footnoteRef/>
      </w:r>
      <w:r w:rsidRPr="00331385">
        <w:rPr>
          <w:rFonts w:asciiTheme="majorHAnsi" w:hAnsiTheme="majorHAnsi"/>
          <w:sz w:val="16"/>
          <w:szCs w:val="16"/>
          <w:lang w:val="es-ES"/>
        </w:rPr>
        <w:t xml:space="preserve"> Observaciones de fondo de la parte peticionaria de 16 de diciembre de 2016.</w:t>
      </w:r>
    </w:p>
  </w:footnote>
  <w:footnote w:id="96">
    <w:p w14:paraId="1CFD36E5" w14:textId="65D1F898" w:rsidR="00824850" w:rsidRPr="00331385" w:rsidRDefault="00824850" w:rsidP="00714F68">
      <w:pPr>
        <w:pStyle w:val="FootnoteText"/>
        <w:jc w:val="both"/>
        <w:rPr>
          <w:lang w:val="es-ES"/>
        </w:rPr>
      </w:pPr>
      <w:r w:rsidRPr="00331385">
        <w:rPr>
          <w:rStyle w:val="FootnoteReference"/>
          <w:rFonts w:asciiTheme="majorHAnsi" w:hAnsiTheme="majorHAnsi"/>
          <w:sz w:val="16"/>
          <w:szCs w:val="16"/>
        </w:rPr>
        <w:footnoteRef/>
      </w:r>
      <w:r w:rsidRPr="00331385">
        <w:rPr>
          <w:rFonts w:asciiTheme="majorHAnsi" w:hAnsiTheme="majorHAnsi"/>
          <w:sz w:val="16"/>
          <w:szCs w:val="16"/>
          <w:lang w:val="es-ES"/>
        </w:rPr>
        <w:t xml:space="preserve"> Anexo </w:t>
      </w:r>
      <w:r>
        <w:rPr>
          <w:rFonts w:asciiTheme="majorHAnsi" w:hAnsiTheme="majorHAnsi"/>
          <w:sz w:val="16"/>
          <w:szCs w:val="16"/>
          <w:lang w:val="es-ES"/>
        </w:rPr>
        <w:t>9</w:t>
      </w:r>
      <w:r w:rsidRPr="00331385">
        <w:rPr>
          <w:rFonts w:asciiTheme="majorHAnsi" w:hAnsiTheme="majorHAnsi"/>
          <w:sz w:val="16"/>
          <w:szCs w:val="16"/>
          <w:lang w:val="es-ES"/>
        </w:rPr>
        <w:t xml:space="preserve">. </w:t>
      </w:r>
      <w:r w:rsidRPr="00331385">
        <w:rPr>
          <w:rFonts w:asciiTheme="majorHAnsi" w:hAnsiTheme="majorHAnsi"/>
          <w:sz w:val="16"/>
          <w:szCs w:val="16"/>
          <w:lang w:val="es-CO"/>
        </w:rPr>
        <w:t>Acuerdo entre el Gobierno Nacional y la Nación U’wa de 1 de mayo de 2014.</w:t>
      </w:r>
    </w:p>
  </w:footnote>
  <w:footnote w:id="97">
    <w:p w14:paraId="392FA42B" w14:textId="423E5F11" w:rsidR="00824850" w:rsidRPr="00254388" w:rsidRDefault="00824850" w:rsidP="00714F68">
      <w:pPr>
        <w:pStyle w:val="FootnoteText"/>
        <w:jc w:val="both"/>
        <w:rPr>
          <w:rFonts w:asciiTheme="majorHAnsi" w:hAnsiTheme="majorHAnsi"/>
          <w:sz w:val="16"/>
          <w:szCs w:val="16"/>
          <w:lang w:val="es-CO"/>
        </w:rPr>
      </w:pPr>
      <w:r w:rsidRPr="003364D3">
        <w:rPr>
          <w:rStyle w:val="FootnoteReference"/>
          <w:rFonts w:asciiTheme="majorHAnsi" w:hAnsiTheme="majorHAnsi"/>
          <w:sz w:val="16"/>
          <w:szCs w:val="16"/>
        </w:rPr>
        <w:footnoteRef/>
      </w:r>
      <w:r w:rsidRPr="003364D3">
        <w:rPr>
          <w:rFonts w:asciiTheme="majorHAnsi" w:hAnsiTheme="majorHAnsi"/>
          <w:sz w:val="16"/>
          <w:szCs w:val="16"/>
          <w:lang w:val="es-CO"/>
        </w:rPr>
        <w:t xml:space="preserve"> Anexo </w:t>
      </w:r>
      <w:r>
        <w:rPr>
          <w:rFonts w:asciiTheme="majorHAnsi" w:hAnsiTheme="majorHAnsi"/>
          <w:sz w:val="16"/>
          <w:szCs w:val="16"/>
          <w:lang w:val="es-CO"/>
        </w:rPr>
        <w:t>34</w:t>
      </w:r>
      <w:r w:rsidRPr="003364D3">
        <w:rPr>
          <w:rFonts w:asciiTheme="majorHAnsi" w:hAnsiTheme="majorHAnsi"/>
          <w:sz w:val="16"/>
          <w:szCs w:val="16"/>
          <w:lang w:val="es-CO"/>
        </w:rPr>
        <w:t>. Carta U’wa al Ministerio de Medio Ambiente sobre</w:t>
      </w:r>
      <w:r w:rsidRPr="00254388">
        <w:rPr>
          <w:rFonts w:asciiTheme="majorHAnsi" w:hAnsiTheme="majorHAnsi"/>
          <w:sz w:val="16"/>
          <w:szCs w:val="16"/>
          <w:lang w:val="es-CO"/>
        </w:rPr>
        <w:t xml:space="preserve"> el Parque Natural El Cocuy de 20 de marzo de 2016. Anexo a observaciones de fondo</w:t>
      </w:r>
      <w:r>
        <w:rPr>
          <w:rFonts w:asciiTheme="majorHAnsi" w:hAnsiTheme="majorHAnsi"/>
          <w:sz w:val="16"/>
          <w:szCs w:val="16"/>
          <w:lang w:val="es-CO"/>
        </w:rPr>
        <w:t xml:space="preserve"> de la parte peticionaria. </w:t>
      </w:r>
    </w:p>
  </w:footnote>
  <w:footnote w:id="98">
    <w:p w14:paraId="73B9C934" w14:textId="10AF584B" w:rsidR="00824850" w:rsidRPr="00254388" w:rsidRDefault="00824850" w:rsidP="008702B0">
      <w:pPr>
        <w:pStyle w:val="FootnoteText"/>
        <w:jc w:val="both"/>
        <w:rPr>
          <w:rFonts w:asciiTheme="majorHAnsi" w:hAnsiTheme="majorHAnsi"/>
          <w:sz w:val="16"/>
          <w:szCs w:val="16"/>
          <w:lang w:val="es-CO" w:eastAsia="en-US"/>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35</w:t>
      </w:r>
      <w:r w:rsidRPr="00254388">
        <w:rPr>
          <w:rFonts w:asciiTheme="majorHAnsi" w:hAnsiTheme="majorHAnsi"/>
          <w:sz w:val="16"/>
          <w:szCs w:val="16"/>
          <w:lang w:val="es-CO"/>
        </w:rPr>
        <w:t xml:space="preserve">. Resolución </w:t>
      </w:r>
      <w:r>
        <w:rPr>
          <w:rFonts w:asciiTheme="majorHAnsi" w:hAnsiTheme="majorHAnsi"/>
          <w:sz w:val="16"/>
          <w:szCs w:val="16"/>
          <w:lang w:val="es-CO"/>
        </w:rPr>
        <w:t>No. 401 de 29 de julio de 2016</w:t>
      </w:r>
      <w:r w:rsidRPr="00254388">
        <w:rPr>
          <w:rFonts w:asciiTheme="majorHAnsi" w:hAnsiTheme="majorHAnsi"/>
          <w:sz w:val="16"/>
          <w:szCs w:val="16"/>
          <w:lang w:val="es-CO"/>
        </w:rPr>
        <w:t xml:space="preserve"> Anexo a observaciones de fondo de </w:t>
      </w:r>
      <w:r>
        <w:rPr>
          <w:rFonts w:asciiTheme="majorHAnsi" w:hAnsiTheme="majorHAnsi"/>
          <w:sz w:val="16"/>
          <w:szCs w:val="16"/>
          <w:lang w:val="es-CO"/>
        </w:rPr>
        <w:t>la parte peticionaria</w:t>
      </w:r>
      <w:r w:rsidRPr="00254388">
        <w:rPr>
          <w:rFonts w:asciiTheme="majorHAnsi" w:hAnsiTheme="majorHAnsi"/>
          <w:sz w:val="16"/>
          <w:szCs w:val="16"/>
          <w:lang w:val="es-CO"/>
        </w:rPr>
        <w:t xml:space="preserve"> de 16 de diciembre de 2016.</w:t>
      </w:r>
    </w:p>
  </w:footnote>
  <w:footnote w:id="99">
    <w:p w14:paraId="3968C9F3" w14:textId="31DAF8AF" w:rsidR="00824850" w:rsidRPr="007D360A" w:rsidRDefault="00824850" w:rsidP="008702B0">
      <w:pPr>
        <w:pStyle w:val="FootnoteText"/>
        <w:jc w:val="both"/>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w:t>
      </w:r>
      <w:hyperlink r:id="rId18" w:history="1">
        <w:r w:rsidRPr="00C52C8E">
          <w:rPr>
            <w:rStyle w:val="Hyperlink"/>
            <w:rFonts w:asciiTheme="majorHAnsi" w:hAnsiTheme="majorHAnsi"/>
            <w:sz w:val="16"/>
            <w:szCs w:val="16"/>
            <w:lang w:val="es-CO"/>
          </w:rPr>
          <w:t>Reapertura del Parque Nacional Natural El Cocuy de 5 de abril de 2017</w:t>
        </w:r>
      </w:hyperlink>
      <w:r w:rsidRPr="00254388">
        <w:rPr>
          <w:rFonts w:asciiTheme="majorHAnsi" w:hAnsiTheme="majorHAnsi"/>
          <w:sz w:val="16"/>
          <w:szCs w:val="16"/>
          <w:lang w:val="es-CO"/>
        </w:rPr>
        <w:t xml:space="preserve">. </w:t>
      </w:r>
    </w:p>
  </w:footnote>
  <w:footnote w:id="100">
    <w:p w14:paraId="04184513" w14:textId="1B956E23" w:rsidR="00824850" w:rsidRPr="00B86368" w:rsidRDefault="00824850" w:rsidP="008702B0">
      <w:pPr>
        <w:pStyle w:val="FootnoteText"/>
        <w:jc w:val="both"/>
        <w:rPr>
          <w:rFonts w:asciiTheme="majorHAnsi" w:hAnsiTheme="majorHAnsi"/>
          <w:sz w:val="16"/>
          <w:szCs w:val="16"/>
          <w:lang w:val="es-CO" w:eastAsia="en-US"/>
        </w:rPr>
      </w:pPr>
      <w:r w:rsidRPr="00B86368">
        <w:rPr>
          <w:rStyle w:val="FootnoteReference"/>
          <w:rFonts w:asciiTheme="majorHAnsi" w:hAnsiTheme="majorHAnsi"/>
          <w:sz w:val="16"/>
          <w:szCs w:val="16"/>
        </w:rPr>
        <w:footnoteRef/>
      </w:r>
      <w:r w:rsidRPr="00B86368">
        <w:rPr>
          <w:rFonts w:asciiTheme="majorHAnsi" w:hAnsiTheme="majorHAnsi"/>
          <w:sz w:val="16"/>
          <w:szCs w:val="16"/>
          <w:lang w:val="es-CO"/>
        </w:rPr>
        <w:t xml:space="preserve"> Anexo </w:t>
      </w:r>
      <w:r>
        <w:rPr>
          <w:rFonts w:asciiTheme="majorHAnsi" w:hAnsiTheme="majorHAnsi"/>
          <w:sz w:val="16"/>
          <w:szCs w:val="16"/>
          <w:lang w:val="es-CO"/>
        </w:rPr>
        <w:t>36</w:t>
      </w:r>
      <w:r w:rsidRPr="00B86368">
        <w:rPr>
          <w:rFonts w:asciiTheme="majorHAnsi" w:hAnsiTheme="majorHAnsi"/>
          <w:sz w:val="16"/>
          <w:szCs w:val="16"/>
          <w:lang w:val="es-CO"/>
        </w:rPr>
        <w:t>. Contrato</w:t>
      </w:r>
      <w:r>
        <w:rPr>
          <w:rFonts w:asciiTheme="majorHAnsi" w:hAnsiTheme="majorHAnsi"/>
          <w:sz w:val="16"/>
          <w:szCs w:val="16"/>
          <w:lang w:val="es-CO"/>
        </w:rPr>
        <w:t>s</w:t>
      </w:r>
      <w:r w:rsidRPr="00B86368">
        <w:rPr>
          <w:rFonts w:asciiTheme="majorHAnsi" w:hAnsiTheme="majorHAnsi"/>
          <w:sz w:val="16"/>
          <w:szCs w:val="16"/>
          <w:lang w:val="es-CO"/>
        </w:rPr>
        <w:t xml:space="preserve"> de concesión minera N° GKT-081; N° HI8-14571 y N° HI1-10041. Anexos a escrito de la parte peticionaria</w:t>
      </w:r>
      <w:r>
        <w:rPr>
          <w:rFonts w:asciiTheme="majorHAnsi" w:hAnsiTheme="majorHAnsi"/>
          <w:sz w:val="16"/>
          <w:szCs w:val="16"/>
          <w:lang w:val="es-CO"/>
        </w:rPr>
        <w:t xml:space="preserve"> del 15 de mayo de 2015.</w:t>
      </w:r>
    </w:p>
  </w:footnote>
  <w:footnote w:id="101">
    <w:p w14:paraId="321E9C8E" w14:textId="4EAF06D6" w:rsidR="00824850" w:rsidRPr="008702B0" w:rsidRDefault="00824850" w:rsidP="008702B0">
      <w:pPr>
        <w:pStyle w:val="FootnoteText"/>
        <w:jc w:val="both"/>
        <w:rPr>
          <w:rFonts w:asciiTheme="majorHAnsi" w:hAnsiTheme="majorHAnsi"/>
          <w:sz w:val="16"/>
          <w:szCs w:val="16"/>
          <w:lang w:val="es-MX"/>
        </w:rPr>
      </w:pPr>
      <w:r w:rsidRPr="008702B0">
        <w:rPr>
          <w:rStyle w:val="FootnoteReference"/>
          <w:rFonts w:asciiTheme="majorHAnsi" w:hAnsiTheme="majorHAnsi"/>
          <w:sz w:val="16"/>
          <w:szCs w:val="16"/>
        </w:rPr>
        <w:footnoteRef/>
      </w:r>
      <w:r w:rsidRPr="008702B0">
        <w:rPr>
          <w:rFonts w:asciiTheme="majorHAnsi" w:hAnsiTheme="majorHAnsi"/>
          <w:sz w:val="16"/>
          <w:szCs w:val="16"/>
          <w:lang w:val="es-MX"/>
        </w:rPr>
        <w:t xml:space="preserve"> Anexo</w:t>
      </w:r>
      <w:r>
        <w:rPr>
          <w:rFonts w:asciiTheme="majorHAnsi" w:hAnsiTheme="majorHAnsi"/>
          <w:sz w:val="16"/>
          <w:szCs w:val="16"/>
          <w:lang w:val="es-MX"/>
        </w:rPr>
        <w:t xml:space="preserve"> 37</w:t>
      </w:r>
      <w:r w:rsidRPr="008702B0">
        <w:rPr>
          <w:rFonts w:asciiTheme="majorHAnsi" w:hAnsiTheme="majorHAnsi"/>
          <w:sz w:val="16"/>
          <w:szCs w:val="16"/>
          <w:lang w:val="es-MX"/>
        </w:rPr>
        <w:t xml:space="preserve">. Oficio enviado por la Agencia Nacional de Tierras de 19 de diciembre de 2017. Rad. 20175001032601. Anexo a las observaciones de fondo del Estado de 28 de marzo de 2018. </w:t>
      </w:r>
    </w:p>
  </w:footnote>
  <w:footnote w:id="102">
    <w:p w14:paraId="5B68C555" w14:textId="77777777" w:rsidR="00824850" w:rsidRPr="00983815" w:rsidRDefault="00824850" w:rsidP="008702B0">
      <w:pPr>
        <w:pStyle w:val="FootnoteText"/>
        <w:jc w:val="both"/>
        <w:rPr>
          <w:rFonts w:asciiTheme="majorHAnsi" w:hAnsiTheme="majorHAnsi"/>
          <w:sz w:val="16"/>
          <w:szCs w:val="16"/>
          <w:lang w:val="es-CO"/>
        </w:rPr>
      </w:pPr>
      <w:r w:rsidRPr="008702B0">
        <w:rPr>
          <w:rStyle w:val="FootnoteReference"/>
          <w:rFonts w:asciiTheme="majorHAnsi" w:hAnsiTheme="majorHAnsi"/>
          <w:sz w:val="16"/>
          <w:szCs w:val="16"/>
        </w:rPr>
        <w:footnoteRef/>
      </w:r>
      <w:r w:rsidRPr="008702B0">
        <w:rPr>
          <w:rFonts w:asciiTheme="majorHAnsi" w:hAnsiTheme="majorHAnsi"/>
          <w:sz w:val="16"/>
          <w:szCs w:val="16"/>
          <w:lang w:val="es-CO"/>
        </w:rPr>
        <w:t>Observaciones de fondo del Estado de 28 de marzo de 2018.</w:t>
      </w:r>
    </w:p>
  </w:footnote>
  <w:footnote w:id="103">
    <w:p w14:paraId="5D672E3C" w14:textId="77777777" w:rsidR="00824850" w:rsidRPr="00983815" w:rsidRDefault="00824850" w:rsidP="008702B0">
      <w:pPr>
        <w:pStyle w:val="FootnoteText"/>
        <w:jc w:val="both"/>
        <w:rPr>
          <w:rFonts w:asciiTheme="majorHAnsi" w:hAnsiTheme="majorHAnsi"/>
          <w:sz w:val="16"/>
          <w:szCs w:val="16"/>
          <w:lang w:val="es-ES"/>
        </w:rPr>
      </w:pPr>
      <w:r w:rsidRPr="00983815">
        <w:rPr>
          <w:rStyle w:val="FootnoteReference"/>
          <w:rFonts w:asciiTheme="majorHAnsi" w:hAnsiTheme="majorHAnsi"/>
          <w:sz w:val="16"/>
          <w:szCs w:val="16"/>
        </w:rPr>
        <w:footnoteRef/>
      </w:r>
      <w:r w:rsidRPr="00983815">
        <w:rPr>
          <w:rFonts w:asciiTheme="majorHAnsi" w:hAnsiTheme="majorHAnsi"/>
          <w:sz w:val="16"/>
          <w:szCs w:val="16"/>
          <w:lang w:val="es-ES"/>
        </w:rPr>
        <w:t xml:space="preserve"> </w:t>
      </w:r>
      <w:r w:rsidRPr="00983815">
        <w:rPr>
          <w:rFonts w:asciiTheme="majorHAnsi" w:hAnsiTheme="majorHAnsi"/>
          <w:sz w:val="16"/>
          <w:szCs w:val="16"/>
          <w:lang w:val="es-CO"/>
        </w:rPr>
        <w:t>Observaciones de fondo del Estado de 28 de marzo de 2018.</w:t>
      </w:r>
    </w:p>
  </w:footnote>
  <w:footnote w:id="104">
    <w:p w14:paraId="5A65A443" w14:textId="14B15A7F" w:rsidR="00824850" w:rsidRPr="00254388" w:rsidRDefault="00824850" w:rsidP="00573868">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38</w:t>
      </w:r>
      <w:r w:rsidRPr="00254388">
        <w:rPr>
          <w:rFonts w:asciiTheme="majorHAnsi" w:hAnsiTheme="majorHAnsi"/>
          <w:sz w:val="16"/>
          <w:szCs w:val="16"/>
          <w:lang w:val="es-CO"/>
        </w:rPr>
        <w:t xml:space="preserve">. Comunicado del Pueblo U’wa ante la opinión pública sin fecha. </w:t>
      </w:r>
      <w:r w:rsidRPr="00630337">
        <w:rPr>
          <w:rFonts w:asciiTheme="majorHAnsi" w:hAnsiTheme="majorHAnsi"/>
          <w:sz w:val="16"/>
          <w:szCs w:val="16"/>
          <w:lang w:val="es-CO"/>
        </w:rPr>
        <w:t>Anexo a observaciones de fondo de la parte peticionaria de 15 de diciembre de 2016.</w:t>
      </w:r>
    </w:p>
  </w:footnote>
  <w:footnote w:id="105">
    <w:p w14:paraId="085B90D6" w14:textId="7983C692" w:rsidR="00824850" w:rsidRPr="000609C4" w:rsidRDefault="00824850">
      <w:pPr>
        <w:pStyle w:val="FootnoteText"/>
        <w:rPr>
          <w:lang w:val="es-CO"/>
        </w:rPr>
      </w:pPr>
      <w:r w:rsidRPr="000609C4">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bookmarkStart w:id="28" w:name="_Hlk513538834"/>
      <w:r>
        <w:rPr>
          <w:rFonts w:asciiTheme="majorHAnsi" w:hAnsiTheme="majorHAnsi"/>
          <w:sz w:val="16"/>
          <w:szCs w:val="16"/>
          <w:lang w:val="es-CO"/>
        </w:rPr>
        <w:t>Anexo 39</w:t>
      </w:r>
      <w:r w:rsidRPr="00254388">
        <w:rPr>
          <w:rFonts w:asciiTheme="majorHAnsi" w:hAnsiTheme="majorHAnsi"/>
          <w:sz w:val="16"/>
          <w:szCs w:val="16"/>
          <w:lang w:val="es-CO"/>
        </w:rPr>
        <w:t>. Comunicado del Pueblo U’wa ante la opinión pública de 31 de enero de 2000</w:t>
      </w:r>
      <w:bookmarkEnd w:id="28"/>
      <w:r w:rsidRPr="00254388">
        <w:rPr>
          <w:rFonts w:asciiTheme="majorHAnsi" w:hAnsiTheme="majorHAnsi"/>
          <w:sz w:val="16"/>
          <w:szCs w:val="16"/>
          <w:lang w:val="es-CO"/>
        </w:rPr>
        <w:t>.</w:t>
      </w:r>
      <w:r w:rsidRPr="00630337">
        <w:rPr>
          <w:lang w:val="es-MX"/>
        </w:rPr>
        <w:t xml:space="preserve"> </w:t>
      </w:r>
      <w:r w:rsidRPr="00630337">
        <w:rPr>
          <w:rFonts w:asciiTheme="majorHAnsi" w:hAnsiTheme="majorHAnsi"/>
          <w:sz w:val="16"/>
          <w:szCs w:val="16"/>
          <w:lang w:val="es-CO"/>
        </w:rPr>
        <w:t>Anexo a observaciones de fondo de la parte peticionaria de 15 de diciembre de 2016.</w:t>
      </w:r>
    </w:p>
  </w:footnote>
  <w:footnote w:id="106">
    <w:p w14:paraId="3BD003D6" w14:textId="7319DD3A" w:rsidR="00824850" w:rsidRPr="00254388" w:rsidRDefault="00824850" w:rsidP="00382AC4">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Pr>
          <w:rFonts w:asciiTheme="majorHAnsi" w:hAnsiTheme="majorHAnsi"/>
          <w:sz w:val="16"/>
          <w:szCs w:val="16"/>
          <w:lang w:val="es-CO"/>
        </w:rPr>
        <w:t xml:space="preserve"> Anexo 39</w:t>
      </w:r>
      <w:r w:rsidRPr="00254388">
        <w:rPr>
          <w:rFonts w:asciiTheme="majorHAnsi" w:hAnsiTheme="majorHAnsi"/>
          <w:sz w:val="16"/>
          <w:szCs w:val="16"/>
          <w:lang w:val="es-CO"/>
        </w:rPr>
        <w:t xml:space="preserve">. Comunicado del Pueblo U’wa ante la opinión pública de 31 de enero de 2000. </w:t>
      </w:r>
      <w:r w:rsidRPr="00630337">
        <w:rPr>
          <w:rFonts w:asciiTheme="majorHAnsi" w:hAnsiTheme="majorHAnsi"/>
          <w:sz w:val="16"/>
          <w:szCs w:val="16"/>
          <w:lang w:val="es-CO"/>
        </w:rPr>
        <w:t>Anexo a observaciones de fondo de la parte peticionaria de 15 de diciembre de 2016.</w:t>
      </w:r>
      <w:r>
        <w:rPr>
          <w:rFonts w:asciiTheme="majorHAnsi" w:hAnsiTheme="majorHAnsi"/>
          <w:sz w:val="16"/>
          <w:szCs w:val="16"/>
          <w:lang w:val="es-CO"/>
        </w:rPr>
        <w:t xml:space="preserve"> </w:t>
      </w:r>
      <w:r w:rsidRPr="00630337">
        <w:rPr>
          <w:rFonts w:asciiTheme="majorHAnsi" w:hAnsiTheme="majorHAnsi"/>
          <w:sz w:val="16"/>
          <w:szCs w:val="16"/>
          <w:lang w:val="es-CO"/>
        </w:rPr>
        <w:t>Anexo a observaciones de fondo de la parte peticionaria de 15 de diciembre de 2016.</w:t>
      </w:r>
    </w:p>
  </w:footnote>
  <w:footnote w:id="107">
    <w:p w14:paraId="362FF505" w14:textId="77013B7A" w:rsidR="00824850" w:rsidRPr="00254388" w:rsidRDefault="00824850" w:rsidP="00382AC4">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40</w:t>
      </w:r>
      <w:r w:rsidRPr="00254388">
        <w:rPr>
          <w:rFonts w:asciiTheme="majorHAnsi" w:hAnsiTheme="majorHAnsi"/>
          <w:sz w:val="16"/>
          <w:szCs w:val="16"/>
          <w:lang w:val="es-CO"/>
        </w:rPr>
        <w:t xml:space="preserve">. Colección de reportes del pueblo U’wa. </w:t>
      </w:r>
      <w:r w:rsidRPr="00630337">
        <w:rPr>
          <w:rFonts w:asciiTheme="majorHAnsi" w:hAnsiTheme="majorHAnsi"/>
          <w:sz w:val="16"/>
          <w:szCs w:val="16"/>
          <w:lang w:val="es-CO"/>
        </w:rPr>
        <w:t>Anexo a observaciones de fondo de la parte peticionaria de 15 de diciembre de 2016.</w:t>
      </w:r>
    </w:p>
  </w:footnote>
  <w:footnote w:id="108">
    <w:p w14:paraId="68D79735" w14:textId="798671D2" w:rsidR="00824850" w:rsidRPr="000609C4" w:rsidRDefault="00824850" w:rsidP="00382AC4">
      <w:pPr>
        <w:pStyle w:val="FootnoteText"/>
        <w:rPr>
          <w:lang w:val="es-CO"/>
        </w:rPr>
      </w:pPr>
      <w:r w:rsidRPr="00C74843">
        <w:rPr>
          <w:rStyle w:val="FootnoteReference"/>
          <w:rFonts w:asciiTheme="majorHAnsi" w:hAnsiTheme="majorHAnsi"/>
          <w:sz w:val="16"/>
          <w:szCs w:val="16"/>
        </w:rPr>
        <w:footnoteRef/>
      </w:r>
      <w:r w:rsidRPr="00497679">
        <w:rPr>
          <w:rStyle w:val="FootnoteReference"/>
          <w:rFonts w:asciiTheme="majorHAnsi" w:hAnsiTheme="majorHAnsi"/>
          <w:sz w:val="16"/>
          <w:szCs w:val="16"/>
          <w:lang w:val="es-MX"/>
        </w:rPr>
        <w:t xml:space="preserve"> </w:t>
      </w:r>
      <w:r w:rsidRPr="00254388">
        <w:rPr>
          <w:rFonts w:asciiTheme="majorHAnsi" w:hAnsiTheme="majorHAnsi"/>
          <w:sz w:val="16"/>
          <w:szCs w:val="16"/>
          <w:lang w:val="es-CO"/>
        </w:rPr>
        <w:t xml:space="preserve">Anexo </w:t>
      </w:r>
      <w:r>
        <w:rPr>
          <w:rFonts w:asciiTheme="majorHAnsi" w:hAnsiTheme="majorHAnsi"/>
          <w:sz w:val="16"/>
          <w:szCs w:val="16"/>
          <w:lang w:val="es-CO"/>
        </w:rPr>
        <w:t>41</w:t>
      </w:r>
      <w:r w:rsidRPr="00254388">
        <w:rPr>
          <w:rFonts w:asciiTheme="majorHAnsi" w:hAnsiTheme="majorHAnsi"/>
          <w:sz w:val="16"/>
          <w:szCs w:val="16"/>
          <w:lang w:val="es-CO"/>
        </w:rPr>
        <w:t xml:space="preserve">. Comunicado del Pueblo U’wa ante la opinión pública de </w:t>
      </w:r>
      <w:r>
        <w:rPr>
          <w:rFonts w:asciiTheme="majorHAnsi" w:hAnsiTheme="majorHAnsi"/>
          <w:sz w:val="16"/>
          <w:szCs w:val="16"/>
          <w:lang w:val="es-CO"/>
        </w:rPr>
        <w:t>4</w:t>
      </w:r>
      <w:r w:rsidRPr="00254388">
        <w:rPr>
          <w:rFonts w:asciiTheme="majorHAnsi" w:hAnsiTheme="majorHAnsi"/>
          <w:sz w:val="16"/>
          <w:szCs w:val="16"/>
          <w:lang w:val="es-CO"/>
        </w:rPr>
        <w:t xml:space="preserve"> de </w:t>
      </w:r>
      <w:r>
        <w:rPr>
          <w:rFonts w:asciiTheme="majorHAnsi" w:hAnsiTheme="majorHAnsi"/>
          <w:sz w:val="16"/>
          <w:szCs w:val="16"/>
          <w:lang w:val="es-CO"/>
        </w:rPr>
        <w:t>febrero</w:t>
      </w:r>
      <w:r w:rsidRPr="00254388">
        <w:rPr>
          <w:rFonts w:asciiTheme="majorHAnsi" w:hAnsiTheme="majorHAnsi"/>
          <w:sz w:val="16"/>
          <w:szCs w:val="16"/>
          <w:lang w:val="es-CO"/>
        </w:rPr>
        <w:t xml:space="preserve"> de 2000</w:t>
      </w:r>
      <w:r>
        <w:rPr>
          <w:rFonts w:asciiTheme="majorHAnsi" w:hAnsiTheme="majorHAnsi"/>
          <w:sz w:val="16"/>
          <w:szCs w:val="16"/>
          <w:lang w:val="es-CO"/>
        </w:rPr>
        <w:t xml:space="preserve">. </w:t>
      </w:r>
      <w:r w:rsidRPr="00630337">
        <w:rPr>
          <w:rFonts w:asciiTheme="majorHAnsi" w:hAnsiTheme="majorHAnsi"/>
          <w:sz w:val="16"/>
          <w:szCs w:val="16"/>
          <w:lang w:val="es-CO"/>
        </w:rPr>
        <w:t>Anexo a observaciones de fondo de la parte peticionaria de 15 de diciembre de 2016.</w:t>
      </w:r>
    </w:p>
  </w:footnote>
  <w:footnote w:id="109">
    <w:p w14:paraId="31D0B6A7" w14:textId="1F3BB0E4" w:rsidR="00824850" w:rsidRPr="00254388" w:rsidRDefault="00824850" w:rsidP="00573868">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42</w:t>
      </w:r>
      <w:r w:rsidRPr="00254388">
        <w:rPr>
          <w:rFonts w:asciiTheme="majorHAnsi" w:hAnsiTheme="majorHAnsi"/>
          <w:sz w:val="16"/>
          <w:szCs w:val="16"/>
          <w:lang w:val="es-CO"/>
        </w:rPr>
        <w:t xml:space="preserve">. Comunicado del Pueblo U’wa ante la opinión pública sin fecha. </w:t>
      </w:r>
      <w:r w:rsidRPr="00630337">
        <w:rPr>
          <w:rFonts w:asciiTheme="majorHAnsi" w:hAnsiTheme="majorHAnsi"/>
          <w:sz w:val="16"/>
          <w:szCs w:val="16"/>
          <w:lang w:val="es-CO"/>
        </w:rPr>
        <w:t>Anexo a observaciones de fondo de la parte peticionaria de 15 de diciembre de 2016.</w:t>
      </w:r>
    </w:p>
  </w:footnote>
  <w:footnote w:id="110">
    <w:p w14:paraId="2EFBFBD0" w14:textId="085F4F49" w:rsidR="00824850" w:rsidRPr="00254388" w:rsidRDefault="00824850" w:rsidP="00573868">
      <w:pPr>
        <w:pStyle w:val="FootnoteText"/>
        <w:rPr>
          <w:rFonts w:asciiTheme="majorHAnsi" w:hAnsiTheme="majorHAnsi"/>
          <w:sz w:val="16"/>
          <w:szCs w:val="16"/>
          <w:lang w:val="es-CO"/>
        </w:rPr>
      </w:pPr>
      <w:r w:rsidRPr="00254388">
        <w:rPr>
          <w:rStyle w:val="FootnoteReference"/>
          <w:rFonts w:asciiTheme="majorHAnsi" w:hAnsiTheme="majorHAnsi"/>
          <w:sz w:val="16"/>
          <w:szCs w:val="16"/>
        </w:rPr>
        <w:footnoteRef/>
      </w:r>
      <w:r w:rsidRPr="00254388">
        <w:rPr>
          <w:rFonts w:asciiTheme="majorHAnsi" w:hAnsiTheme="majorHAnsi"/>
          <w:sz w:val="16"/>
          <w:szCs w:val="16"/>
          <w:lang w:val="es-CO"/>
        </w:rPr>
        <w:t xml:space="preserve"> Anexo </w:t>
      </w:r>
      <w:r>
        <w:rPr>
          <w:rFonts w:asciiTheme="majorHAnsi" w:hAnsiTheme="majorHAnsi"/>
          <w:sz w:val="16"/>
          <w:szCs w:val="16"/>
          <w:lang w:val="es-CO"/>
        </w:rPr>
        <w:t>43</w:t>
      </w:r>
      <w:r w:rsidRPr="00254388">
        <w:rPr>
          <w:rFonts w:asciiTheme="majorHAnsi" w:hAnsiTheme="majorHAnsi"/>
          <w:sz w:val="16"/>
          <w:szCs w:val="16"/>
          <w:lang w:val="es-CO"/>
        </w:rPr>
        <w:t xml:space="preserve">. Columna del períodico </w:t>
      </w:r>
      <w:r>
        <w:rPr>
          <w:rFonts w:asciiTheme="majorHAnsi" w:hAnsiTheme="majorHAnsi"/>
          <w:sz w:val="16"/>
          <w:szCs w:val="16"/>
          <w:lang w:val="es-CO"/>
        </w:rPr>
        <w:t>“</w:t>
      </w:r>
      <w:r w:rsidRPr="00254388">
        <w:rPr>
          <w:rFonts w:asciiTheme="majorHAnsi" w:hAnsiTheme="majorHAnsi"/>
          <w:sz w:val="16"/>
          <w:szCs w:val="16"/>
          <w:lang w:val="es-CO"/>
        </w:rPr>
        <w:t>El Tiempo</w:t>
      </w:r>
      <w:r>
        <w:rPr>
          <w:rFonts w:asciiTheme="majorHAnsi" w:hAnsiTheme="majorHAnsi"/>
          <w:sz w:val="16"/>
          <w:szCs w:val="16"/>
          <w:lang w:val="es-CO"/>
        </w:rPr>
        <w:t>”</w:t>
      </w:r>
      <w:r w:rsidRPr="00254388">
        <w:rPr>
          <w:rFonts w:asciiTheme="majorHAnsi" w:hAnsiTheme="majorHAnsi"/>
          <w:sz w:val="16"/>
          <w:szCs w:val="16"/>
          <w:lang w:val="es-CO"/>
        </w:rPr>
        <w:t xml:space="preserve"> sobre muerte de niños U’wa’’ de 15 de febrero de 2000. </w:t>
      </w:r>
    </w:p>
  </w:footnote>
  <w:footnote w:id="111">
    <w:p w14:paraId="13F8178F" w14:textId="6925A4F5" w:rsidR="00824850" w:rsidRPr="00D91B8B" w:rsidRDefault="00824850" w:rsidP="00573868">
      <w:pPr>
        <w:pStyle w:val="FootnoteText"/>
        <w:rPr>
          <w:rFonts w:asciiTheme="majorHAnsi" w:hAnsiTheme="majorHAnsi"/>
          <w:sz w:val="16"/>
          <w:szCs w:val="16"/>
          <w:lang w:val="es-CO"/>
        </w:rPr>
      </w:pPr>
      <w:r w:rsidRPr="00C74843">
        <w:rPr>
          <w:rStyle w:val="FootnoteReference"/>
          <w:rFonts w:asciiTheme="majorHAnsi" w:hAnsiTheme="majorHAnsi"/>
          <w:sz w:val="16"/>
          <w:szCs w:val="16"/>
        </w:rPr>
        <w:footnoteRef/>
      </w:r>
      <w:r w:rsidRPr="00C74843">
        <w:rPr>
          <w:rFonts w:asciiTheme="majorHAnsi" w:hAnsiTheme="majorHAnsi"/>
          <w:sz w:val="16"/>
          <w:szCs w:val="16"/>
          <w:lang w:val="es-MX"/>
        </w:rPr>
        <w:t xml:space="preserve"> Anexo </w:t>
      </w:r>
      <w:r>
        <w:rPr>
          <w:rFonts w:asciiTheme="majorHAnsi" w:hAnsiTheme="majorHAnsi"/>
          <w:sz w:val="16"/>
          <w:szCs w:val="16"/>
          <w:lang w:val="es-MX"/>
        </w:rPr>
        <w:t>44.</w:t>
      </w:r>
      <w:r w:rsidRPr="00C74843">
        <w:rPr>
          <w:rFonts w:asciiTheme="majorHAnsi" w:hAnsiTheme="majorHAnsi"/>
          <w:sz w:val="16"/>
          <w:szCs w:val="16"/>
          <w:lang w:val="es-MX"/>
        </w:rPr>
        <w:t xml:space="preserve"> </w:t>
      </w:r>
      <w:r w:rsidRPr="00497679">
        <w:rPr>
          <w:rFonts w:asciiTheme="majorHAnsi" w:hAnsiTheme="majorHAnsi"/>
          <w:sz w:val="16"/>
          <w:szCs w:val="16"/>
          <w:lang w:val="es-MX"/>
        </w:rPr>
        <w:t>Informes sobre procesos penales por parte de la Fiscalía General de la Nación. Anexo a Escrito del Estado del 30 de abril de 2007</w:t>
      </w:r>
      <w:r>
        <w:rPr>
          <w:rFonts w:asciiTheme="majorHAnsi" w:hAnsiTheme="majorHAnsi"/>
          <w:sz w:val="16"/>
          <w:szCs w:val="16"/>
          <w:lang w:val="es-MX"/>
        </w:rPr>
        <w:t>.</w:t>
      </w:r>
    </w:p>
  </w:footnote>
  <w:footnote w:id="112">
    <w:p w14:paraId="2FAC76E2" w14:textId="77777777" w:rsidR="00824850" w:rsidRPr="00900784" w:rsidRDefault="00824850">
      <w:pPr>
        <w:pStyle w:val="FootnoteText"/>
        <w:rPr>
          <w:rFonts w:asciiTheme="majorHAnsi" w:hAnsiTheme="majorHAnsi"/>
          <w:sz w:val="16"/>
          <w:szCs w:val="16"/>
          <w:lang w:val="es-ES"/>
        </w:rPr>
      </w:pPr>
      <w:r w:rsidRPr="00900784">
        <w:rPr>
          <w:rStyle w:val="FootnoteReference"/>
          <w:rFonts w:asciiTheme="majorHAnsi" w:hAnsiTheme="majorHAnsi"/>
          <w:sz w:val="16"/>
          <w:szCs w:val="16"/>
        </w:rPr>
        <w:footnoteRef/>
      </w:r>
      <w:r w:rsidRPr="00900784">
        <w:rPr>
          <w:rFonts w:asciiTheme="majorHAnsi" w:hAnsiTheme="majorHAnsi"/>
          <w:sz w:val="16"/>
          <w:szCs w:val="16"/>
          <w:lang w:val="es-ES"/>
        </w:rPr>
        <w:t xml:space="preserve"> Observaciones de la parte peticionaria de 10 de diciembre de 2013. </w:t>
      </w:r>
    </w:p>
  </w:footnote>
  <w:footnote w:id="113">
    <w:p w14:paraId="06597CD8" w14:textId="0E4CABD5" w:rsidR="00824850" w:rsidRPr="00D91B8B" w:rsidRDefault="00824850" w:rsidP="00573868">
      <w:pPr>
        <w:pStyle w:val="FootnoteText"/>
        <w:rPr>
          <w:rFonts w:asciiTheme="majorHAnsi" w:hAnsiTheme="majorHAnsi"/>
          <w:sz w:val="16"/>
          <w:szCs w:val="16"/>
          <w:lang w:val="es-CO"/>
        </w:rPr>
      </w:pPr>
      <w:r w:rsidRPr="00900784">
        <w:rPr>
          <w:rStyle w:val="FootnoteReference"/>
          <w:rFonts w:asciiTheme="majorHAnsi" w:hAnsiTheme="majorHAnsi"/>
          <w:sz w:val="16"/>
          <w:szCs w:val="16"/>
        </w:rPr>
        <w:footnoteRef/>
      </w:r>
      <w:r w:rsidRPr="00900784">
        <w:rPr>
          <w:rFonts w:asciiTheme="majorHAnsi" w:hAnsiTheme="majorHAnsi"/>
          <w:sz w:val="16"/>
          <w:szCs w:val="16"/>
          <w:lang w:val="es-CO"/>
        </w:rPr>
        <w:t xml:space="preserve"> Anexo </w:t>
      </w:r>
      <w:r>
        <w:rPr>
          <w:rFonts w:asciiTheme="majorHAnsi" w:hAnsiTheme="majorHAnsi"/>
          <w:sz w:val="16"/>
          <w:szCs w:val="16"/>
          <w:lang w:val="es-CO"/>
        </w:rPr>
        <w:t>45</w:t>
      </w:r>
      <w:r w:rsidRPr="00900784">
        <w:rPr>
          <w:rFonts w:asciiTheme="majorHAnsi" w:hAnsiTheme="majorHAnsi"/>
          <w:sz w:val="16"/>
          <w:szCs w:val="16"/>
          <w:lang w:val="es-CO"/>
        </w:rPr>
        <w:t>. Acta de compromiso No. 001 de 11 de marzo de 1998. Anexo a comunicación</w:t>
      </w:r>
      <w:r w:rsidRPr="00D91B8B">
        <w:rPr>
          <w:rFonts w:asciiTheme="majorHAnsi" w:hAnsiTheme="majorHAnsi"/>
          <w:sz w:val="16"/>
          <w:szCs w:val="16"/>
          <w:lang w:val="es-CO"/>
        </w:rPr>
        <w:t xml:space="preserve"> de la parte peticionaria de 18 de marzo de 1998.</w:t>
      </w:r>
    </w:p>
  </w:footnote>
  <w:footnote w:id="114">
    <w:p w14:paraId="32171B8C" w14:textId="77777777" w:rsidR="00824850" w:rsidRPr="00D91B8B" w:rsidRDefault="00824850">
      <w:pPr>
        <w:pStyle w:val="FootnoteText"/>
        <w:rPr>
          <w:rFonts w:asciiTheme="majorHAnsi" w:hAnsiTheme="majorHAnsi"/>
          <w:sz w:val="16"/>
          <w:szCs w:val="16"/>
          <w:lang w:val="es-MX"/>
        </w:rPr>
      </w:pPr>
      <w:r w:rsidRPr="00D91B8B">
        <w:rPr>
          <w:rStyle w:val="FootnoteReference"/>
          <w:rFonts w:asciiTheme="majorHAnsi" w:hAnsiTheme="majorHAnsi"/>
          <w:sz w:val="16"/>
          <w:szCs w:val="16"/>
        </w:rPr>
        <w:footnoteRef/>
      </w:r>
      <w:r w:rsidRPr="00D91B8B">
        <w:rPr>
          <w:rFonts w:asciiTheme="majorHAnsi" w:hAnsiTheme="majorHAnsi"/>
          <w:sz w:val="16"/>
          <w:szCs w:val="16"/>
          <w:lang w:val="es-MX"/>
        </w:rPr>
        <w:t xml:space="preserve"> </w:t>
      </w:r>
      <w:r>
        <w:rPr>
          <w:rFonts w:asciiTheme="majorHAnsi" w:hAnsiTheme="majorHAnsi"/>
          <w:sz w:val="16"/>
          <w:szCs w:val="16"/>
          <w:lang w:val="es-MX"/>
        </w:rPr>
        <w:t>C</w:t>
      </w:r>
      <w:r w:rsidRPr="00D91B8B">
        <w:rPr>
          <w:rFonts w:asciiTheme="majorHAnsi" w:hAnsiTheme="majorHAnsi"/>
          <w:sz w:val="16"/>
          <w:szCs w:val="16"/>
          <w:lang w:val="es-MX"/>
        </w:rPr>
        <w:t>omunicación de la parte peticionaria de 18 de marzo de 1998.</w:t>
      </w:r>
    </w:p>
  </w:footnote>
  <w:footnote w:id="115">
    <w:p w14:paraId="3B88A2BA" w14:textId="44E297E9" w:rsidR="00824850" w:rsidRPr="00254388" w:rsidRDefault="00824850" w:rsidP="00573868">
      <w:pPr>
        <w:pStyle w:val="FootnoteText"/>
        <w:rPr>
          <w:rFonts w:asciiTheme="majorHAnsi" w:hAnsiTheme="majorHAnsi"/>
          <w:sz w:val="16"/>
          <w:szCs w:val="16"/>
          <w:lang w:val="es-CO"/>
        </w:rPr>
      </w:pPr>
      <w:r w:rsidRPr="007151ED">
        <w:rPr>
          <w:rStyle w:val="FootnoteReference"/>
          <w:rFonts w:asciiTheme="majorHAnsi" w:hAnsiTheme="majorHAnsi"/>
          <w:sz w:val="16"/>
          <w:szCs w:val="16"/>
        </w:rPr>
        <w:footnoteRef/>
      </w:r>
      <w:r w:rsidRPr="007151ED">
        <w:rPr>
          <w:rFonts w:asciiTheme="majorHAnsi" w:hAnsiTheme="majorHAnsi"/>
          <w:sz w:val="16"/>
          <w:szCs w:val="16"/>
          <w:lang w:val="es-CO"/>
        </w:rPr>
        <w:t xml:space="preserve"> </w:t>
      </w:r>
      <w:r w:rsidRPr="00C74843">
        <w:rPr>
          <w:rFonts w:asciiTheme="majorHAnsi" w:hAnsiTheme="majorHAnsi"/>
          <w:sz w:val="16"/>
          <w:szCs w:val="16"/>
          <w:lang w:val="es-MX"/>
        </w:rPr>
        <w:t xml:space="preserve">Anexo </w:t>
      </w:r>
      <w:r>
        <w:rPr>
          <w:rFonts w:asciiTheme="majorHAnsi" w:hAnsiTheme="majorHAnsi"/>
          <w:sz w:val="16"/>
          <w:szCs w:val="16"/>
          <w:lang w:val="es-MX"/>
        </w:rPr>
        <w:t>46</w:t>
      </w:r>
      <w:r w:rsidRPr="00C74843">
        <w:rPr>
          <w:rFonts w:asciiTheme="majorHAnsi" w:hAnsiTheme="majorHAnsi"/>
          <w:sz w:val="16"/>
          <w:szCs w:val="16"/>
          <w:lang w:val="es-MX"/>
        </w:rPr>
        <w:t xml:space="preserve">. </w:t>
      </w:r>
      <w:r w:rsidRPr="00497679">
        <w:rPr>
          <w:rFonts w:asciiTheme="majorHAnsi" w:hAnsiTheme="majorHAnsi"/>
          <w:sz w:val="16"/>
          <w:szCs w:val="16"/>
          <w:lang w:val="es-MX"/>
        </w:rPr>
        <w:t>Informes sobre procesos penales por parte de la Fiscalía General de la Nación. Anexo a Escrito del Estado del 30 de abril del 2007</w:t>
      </w:r>
      <w:r>
        <w:rPr>
          <w:rFonts w:asciiTheme="majorHAnsi" w:hAnsiTheme="majorHAnsi"/>
          <w:sz w:val="16"/>
          <w:szCs w:val="16"/>
          <w:lang w:val="es-MX"/>
        </w:rPr>
        <w:t>.</w:t>
      </w:r>
    </w:p>
  </w:footnote>
  <w:footnote w:id="116">
    <w:p w14:paraId="03D77D62" w14:textId="71CD7FCA" w:rsidR="00824850" w:rsidRPr="0008728D" w:rsidRDefault="00824850" w:rsidP="00AB48C5">
      <w:pPr>
        <w:pStyle w:val="FootnoteText"/>
        <w:rPr>
          <w:rFonts w:asciiTheme="majorHAnsi" w:hAnsiTheme="majorHAnsi"/>
          <w:sz w:val="16"/>
          <w:szCs w:val="16"/>
          <w:lang w:val="es-CO"/>
        </w:rPr>
      </w:pPr>
      <w:r w:rsidRPr="00C91EB3">
        <w:rPr>
          <w:rStyle w:val="FootnoteReference"/>
          <w:rFonts w:asciiTheme="majorHAnsi" w:hAnsiTheme="majorHAnsi"/>
          <w:sz w:val="16"/>
          <w:szCs w:val="16"/>
        </w:rPr>
        <w:footnoteRef/>
      </w:r>
      <w:r w:rsidRPr="00C91EB3">
        <w:rPr>
          <w:rFonts w:asciiTheme="majorHAnsi" w:hAnsiTheme="majorHAnsi"/>
          <w:sz w:val="16"/>
          <w:szCs w:val="16"/>
          <w:lang w:val="es-CO"/>
        </w:rPr>
        <w:t xml:space="preserve"> </w:t>
      </w:r>
      <w:r w:rsidRPr="00C91EB3">
        <w:rPr>
          <w:rFonts w:asciiTheme="majorHAnsi" w:hAnsiTheme="majorHAnsi"/>
          <w:sz w:val="16"/>
          <w:szCs w:val="16"/>
          <w:lang w:val="es-MX"/>
        </w:rPr>
        <w:t xml:space="preserve">Anexo </w:t>
      </w:r>
      <w:r>
        <w:rPr>
          <w:rFonts w:asciiTheme="majorHAnsi" w:hAnsiTheme="majorHAnsi"/>
          <w:sz w:val="16"/>
          <w:szCs w:val="16"/>
          <w:lang w:val="es-MX"/>
        </w:rPr>
        <w:t>46</w:t>
      </w:r>
      <w:r w:rsidRPr="00C91EB3">
        <w:rPr>
          <w:rFonts w:asciiTheme="majorHAnsi" w:hAnsiTheme="majorHAnsi"/>
          <w:sz w:val="16"/>
          <w:szCs w:val="16"/>
          <w:lang w:val="es-MX"/>
        </w:rPr>
        <w:t xml:space="preserve">. Informes sobre procesos penales por parte de la Fiscalía General de la Nación. </w:t>
      </w:r>
      <w:r w:rsidRPr="00C91EB3">
        <w:rPr>
          <w:rFonts w:asciiTheme="majorHAnsi" w:hAnsiTheme="majorHAnsi"/>
          <w:sz w:val="16"/>
          <w:szCs w:val="16"/>
          <w:lang w:val="es-ES"/>
        </w:rPr>
        <w:t xml:space="preserve">Anexo a Escrito del Estado del 30 de abril del </w:t>
      </w:r>
      <w:r w:rsidRPr="0008728D">
        <w:rPr>
          <w:rFonts w:asciiTheme="majorHAnsi" w:hAnsiTheme="majorHAnsi"/>
          <w:sz w:val="16"/>
          <w:szCs w:val="16"/>
          <w:lang w:val="es-ES"/>
        </w:rPr>
        <w:t>2007</w:t>
      </w:r>
      <w:r>
        <w:rPr>
          <w:rFonts w:asciiTheme="majorHAnsi" w:hAnsiTheme="majorHAnsi"/>
          <w:sz w:val="16"/>
          <w:szCs w:val="16"/>
          <w:lang w:val="es-ES"/>
        </w:rPr>
        <w:t>.</w:t>
      </w:r>
    </w:p>
  </w:footnote>
  <w:footnote w:id="117">
    <w:p w14:paraId="7CF1DAD6" w14:textId="77777777" w:rsidR="00824850" w:rsidRPr="0008728D" w:rsidRDefault="00824850">
      <w:pPr>
        <w:pStyle w:val="FootnoteText"/>
        <w:rPr>
          <w:rFonts w:asciiTheme="majorHAnsi" w:hAnsiTheme="majorHAnsi"/>
          <w:sz w:val="16"/>
          <w:szCs w:val="16"/>
          <w:lang w:val="es-MX"/>
        </w:rPr>
      </w:pPr>
      <w:r w:rsidRPr="0008728D">
        <w:rPr>
          <w:rStyle w:val="FootnoteReference"/>
          <w:rFonts w:asciiTheme="majorHAnsi" w:hAnsiTheme="majorHAnsi"/>
          <w:sz w:val="16"/>
          <w:szCs w:val="16"/>
        </w:rPr>
        <w:footnoteRef/>
      </w:r>
      <w:r w:rsidRPr="0008728D">
        <w:rPr>
          <w:rFonts w:asciiTheme="majorHAnsi" w:hAnsiTheme="majorHAnsi"/>
          <w:sz w:val="16"/>
          <w:szCs w:val="16"/>
          <w:lang w:val="es-MX"/>
        </w:rPr>
        <w:t xml:space="preserve"> El artículo 21 de la Convención Americana establece en lo pertinente, lo siguiente:</w:t>
      </w:r>
    </w:p>
    <w:p w14:paraId="65653375" w14:textId="77777777" w:rsidR="00824850" w:rsidRPr="0008728D" w:rsidRDefault="00824850" w:rsidP="0008728D">
      <w:pPr>
        <w:pStyle w:val="FootnoteText"/>
        <w:rPr>
          <w:rFonts w:asciiTheme="majorHAnsi" w:hAnsiTheme="majorHAnsi"/>
          <w:sz w:val="16"/>
          <w:szCs w:val="16"/>
          <w:lang w:val="es-MX"/>
        </w:rPr>
      </w:pPr>
      <w:r>
        <w:rPr>
          <w:rFonts w:asciiTheme="majorHAnsi" w:hAnsiTheme="majorHAnsi"/>
          <w:sz w:val="16"/>
          <w:szCs w:val="16"/>
          <w:lang w:val="es-MX"/>
        </w:rPr>
        <w:t xml:space="preserve">1. </w:t>
      </w:r>
      <w:r w:rsidRPr="0008728D">
        <w:rPr>
          <w:rFonts w:asciiTheme="majorHAnsi" w:hAnsiTheme="majorHAnsi"/>
          <w:sz w:val="16"/>
          <w:szCs w:val="16"/>
          <w:lang w:val="es-MX"/>
        </w:rPr>
        <w:t>Toda persona tiene derecho al uso y goce de sus bienes. La ley puede subordinar tal uso y goce al interés social.</w:t>
      </w:r>
    </w:p>
    <w:p w14:paraId="7674091C" w14:textId="77777777" w:rsidR="00824850" w:rsidRPr="007E57BC" w:rsidRDefault="00824850" w:rsidP="007E57BC">
      <w:pPr>
        <w:pStyle w:val="FootnoteText"/>
        <w:jc w:val="both"/>
        <w:rPr>
          <w:rFonts w:asciiTheme="majorHAnsi" w:hAnsiTheme="majorHAnsi"/>
          <w:sz w:val="16"/>
          <w:szCs w:val="16"/>
          <w:lang w:val="es-MX"/>
        </w:rPr>
      </w:pPr>
      <w:r w:rsidRPr="007E57BC">
        <w:rPr>
          <w:rFonts w:asciiTheme="majorHAnsi" w:hAnsiTheme="majorHAnsi"/>
          <w:sz w:val="16"/>
          <w:szCs w:val="16"/>
          <w:lang w:val="es-MX"/>
        </w:rPr>
        <w:t>2. Ninguna persona puede ser privada de sus bienes, excepto mediante el pago de indemnización justa, por razones de utilidad pública o de interés social y en los casos y según las formas establecidas por la ley.</w:t>
      </w:r>
    </w:p>
  </w:footnote>
  <w:footnote w:id="118">
    <w:p w14:paraId="5C8E6FCE" w14:textId="77777777" w:rsidR="00824850" w:rsidRPr="007E57BC" w:rsidRDefault="00824850" w:rsidP="007E57BC">
      <w:pPr>
        <w:pStyle w:val="FootnoteText"/>
        <w:jc w:val="both"/>
        <w:rPr>
          <w:rFonts w:asciiTheme="majorHAnsi" w:hAnsiTheme="majorHAnsi"/>
          <w:sz w:val="16"/>
          <w:szCs w:val="16"/>
          <w:lang w:val="es-MX"/>
        </w:rPr>
      </w:pPr>
      <w:r w:rsidRPr="007E57BC">
        <w:rPr>
          <w:rStyle w:val="FootnoteReference"/>
          <w:rFonts w:asciiTheme="majorHAnsi" w:hAnsiTheme="majorHAnsi"/>
          <w:sz w:val="16"/>
          <w:szCs w:val="16"/>
        </w:rPr>
        <w:footnoteRef/>
      </w:r>
      <w:r w:rsidRPr="007E57BC">
        <w:rPr>
          <w:rFonts w:asciiTheme="majorHAnsi" w:hAnsiTheme="majorHAnsi"/>
          <w:sz w:val="16"/>
          <w:szCs w:val="16"/>
          <w:lang w:val="es-MX"/>
        </w:rPr>
        <w:t xml:space="preserve"> El artículo 13 de la Convención Ameri</w:t>
      </w:r>
      <w:r>
        <w:rPr>
          <w:rFonts w:asciiTheme="majorHAnsi" w:hAnsiTheme="majorHAnsi"/>
          <w:sz w:val="16"/>
          <w:szCs w:val="16"/>
          <w:lang w:val="es-MX"/>
        </w:rPr>
        <w:t xml:space="preserve">cana establece en lo pertinente que “1. </w:t>
      </w:r>
      <w:r w:rsidRPr="007E57BC">
        <w:rPr>
          <w:rFonts w:asciiTheme="majorHAnsi" w:hAnsiTheme="majorHAnsi"/>
          <w:sz w:val="16"/>
          <w:szCs w:val="16"/>
          <w:lang w:val="es-MX"/>
        </w:rPr>
        <w:t>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r>
        <w:rPr>
          <w:rFonts w:asciiTheme="majorHAnsi" w:hAnsiTheme="majorHAnsi"/>
          <w:sz w:val="16"/>
          <w:szCs w:val="16"/>
          <w:lang w:val="es-MX"/>
        </w:rPr>
        <w:t>”</w:t>
      </w:r>
      <w:r w:rsidRPr="007E57BC">
        <w:rPr>
          <w:rFonts w:asciiTheme="majorHAnsi" w:hAnsiTheme="majorHAnsi"/>
          <w:sz w:val="16"/>
          <w:szCs w:val="16"/>
          <w:lang w:val="es-MX"/>
        </w:rPr>
        <w:t>.</w:t>
      </w:r>
    </w:p>
  </w:footnote>
  <w:footnote w:id="119">
    <w:p w14:paraId="5F641CC2" w14:textId="77777777" w:rsidR="00824850" w:rsidRPr="007E57BC" w:rsidRDefault="00824850" w:rsidP="007E57BC">
      <w:pPr>
        <w:pStyle w:val="FootnoteText"/>
        <w:jc w:val="both"/>
        <w:rPr>
          <w:rFonts w:asciiTheme="majorHAnsi" w:hAnsiTheme="majorHAnsi"/>
          <w:sz w:val="16"/>
          <w:szCs w:val="16"/>
          <w:lang w:val="es-MX"/>
        </w:rPr>
      </w:pPr>
      <w:r w:rsidRPr="007E57BC">
        <w:rPr>
          <w:rStyle w:val="FootnoteReference"/>
          <w:rFonts w:asciiTheme="majorHAnsi" w:hAnsiTheme="majorHAnsi"/>
          <w:sz w:val="16"/>
          <w:szCs w:val="16"/>
        </w:rPr>
        <w:footnoteRef/>
      </w:r>
      <w:r w:rsidRPr="007E57BC">
        <w:rPr>
          <w:rFonts w:asciiTheme="majorHAnsi" w:hAnsiTheme="majorHAnsi"/>
          <w:sz w:val="16"/>
          <w:szCs w:val="16"/>
          <w:lang w:val="es-MX"/>
        </w:rPr>
        <w:t xml:space="preserve"> El artículo 23 de la Convención Americana estableces en lo pertinente que “1. Todos los ciudadanos deben gozar de los siguientes derechos y oportunidades: a. de participar en la dirección de los asuntos públicos, directamente o por medio de representantes libremente elegidos</w:t>
      </w:r>
      <w:r>
        <w:rPr>
          <w:rFonts w:asciiTheme="majorHAnsi" w:hAnsiTheme="majorHAnsi"/>
          <w:sz w:val="16"/>
          <w:szCs w:val="16"/>
          <w:lang w:val="es-MX"/>
        </w:rPr>
        <w:t xml:space="preserve"> […]</w:t>
      </w:r>
      <w:r w:rsidRPr="007E57BC">
        <w:rPr>
          <w:rFonts w:asciiTheme="majorHAnsi" w:hAnsiTheme="majorHAnsi"/>
          <w:sz w:val="16"/>
          <w:szCs w:val="16"/>
          <w:lang w:val="es-MX"/>
        </w:rPr>
        <w:t>”.</w:t>
      </w:r>
    </w:p>
  </w:footnote>
  <w:footnote w:id="120">
    <w:p w14:paraId="1EB02009" w14:textId="77777777" w:rsidR="00824850" w:rsidRPr="00C0621B" w:rsidRDefault="00824850" w:rsidP="007E57BC">
      <w:pPr>
        <w:pStyle w:val="FootnoteText"/>
        <w:jc w:val="both"/>
        <w:rPr>
          <w:rFonts w:asciiTheme="majorHAnsi" w:hAnsiTheme="majorHAnsi"/>
          <w:sz w:val="16"/>
          <w:szCs w:val="16"/>
          <w:lang w:val="es-MX"/>
        </w:rPr>
      </w:pPr>
      <w:r w:rsidRPr="007E57BC">
        <w:rPr>
          <w:rStyle w:val="FootnoteReference"/>
          <w:rFonts w:asciiTheme="majorHAnsi" w:hAnsiTheme="majorHAnsi"/>
          <w:sz w:val="16"/>
          <w:szCs w:val="16"/>
        </w:rPr>
        <w:footnoteRef/>
      </w:r>
      <w:r w:rsidRPr="007E57BC">
        <w:rPr>
          <w:rFonts w:asciiTheme="majorHAnsi" w:hAnsiTheme="majorHAnsi"/>
          <w:sz w:val="16"/>
          <w:szCs w:val="16"/>
          <w:lang w:val="es-MX"/>
        </w:rPr>
        <w:t xml:space="preserve"> El artículo 26 de la Convención Americana establece lo siguiente “Los Estados Partes se comprometen a adoptar providencias, tanto a nivel interno como mediante</w:t>
      </w:r>
      <w:r w:rsidRPr="00C0621B">
        <w:rPr>
          <w:rFonts w:asciiTheme="majorHAnsi" w:hAnsiTheme="majorHAnsi"/>
          <w:sz w:val="16"/>
          <w:szCs w:val="16"/>
          <w:lang w:val="es-MX"/>
        </w:rPr>
        <w:t xml:space="preserv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121">
    <w:p w14:paraId="65C9BFC6" w14:textId="77777777" w:rsidR="00824850" w:rsidRPr="00C0621B" w:rsidRDefault="00824850" w:rsidP="00C0621B">
      <w:pPr>
        <w:pStyle w:val="FootnoteText"/>
        <w:jc w:val="both"/>
        <w:rPr>
          <w:rFonts w:asciiTheme="majorHAnsi" w:hAnsiTheme="majorHAnsi"/>
          <w:sz w:val="16"/>
          <w:szCs w:val="16"/>
          <w:lang w:val="es-MX"/>
        </w:rPr>
      </w:pPr>
      <w:r w:rsidRPr="00C0621B">
        <w:rPr>
          <w:rStyle w:val="FootnoteReference"/>
          <w:rFonts w:asciiTheme="majorHAnsi" w:hAnsiTheme="majorHAnsi"/>
          <w:sz w:val="16"/>
          <w:szCs w:val="16"/>
        </w:rPr>
        <w:footnoteRef/>
      </w:r>
      <w:r w:rsidRPr="00C0621B">
        <w:rPr>
          <w:rFonts w:asciiTheme="majorHAnsi" w:hAnsiTheme="majorHAnsi"/>
          <w:sz w:val="16"/>
          <w:szCs w:val="16"/>
          <w:lang w:val="es-MX"/>
        </w:rPr>
        <w:t xml:space="preserve"> El artículo 1.1 de la Convención Americana establece lo siguiente: “1.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footnote>
  <w:footnote w:id="122">
    <w:p w14:paraId="07CF0C37" w14:textId="77777777" w:rsidR="00824850" w:rsidRPr="00C0621B" w:rsidRDefault="00824850" w:rsidP="00C0621B">
      <w:pPr>
        <w:pStyle w:val="FootnoteText"/>
        <w:jc w:val="both"/>
        <w:rPr>
          <w:lang w:val="es-MX"/>
        </w:rPr>
      </w:pPr>
      <w:r w:rsidRPr="00C0621B">
        <w:rPr>
          <w:rStyle w:val="FootnoteReference"/>
          <w:rFonts w:asciiTheme="majorHAnsi" w:hAnsiTheme="majorHAnsi"/>
          <w:sz w:val="16"/>
          <w:szCs w:val="16"/>
        </w:rPr>
        <w:footnoteRef/>
      </w:r>
      <w:r w:rsidRPr="00C0621B">
        <w:rPr>
          <w:rFonts w:asciiTheme="majorHAnsi" w:hAnsiTheme="majorHAnsi"/>
          <w:sz w:val="16"/>
          <w:szCs w:val="16"/>
          <w:lang w:val="es-MX"/>
        </w:rPr>
        <w:t xml:space="preserve"> El artículo 2 de la Convención Americana establece lo siguiente: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123">
    <w:p w14:paraId="2D144212" w14:textId="77777777" w:rsidR="00824850" w:rsidRPr="00C91EB3" w:rsidRDefault="00824850" w:rsidP="00C91EB3">
      <w:pPr>
        <w:pStyle w:val="NoSpacing"/>
        <w:jc w:val="both"/>
        <w:rPr>
          <w:rFonts w:asciiTheme="majorHAnsi" w:hAnsiTheme="majorHAnsi"/>
          <w:sz w:val="16"/>
          <w:szCs w:val="16"/>
          <w:lang w:val="es-ES_tradnl"/>
        </w:rPr>
      </w:pPr>
      <w:r w:rsidRPr="00C91EB3">
        <w:rPr>
          <w:rStyle w:val="FootnoteReference"/>
          <w:rFonts w:asciiTheme="majorHAnsi" w:hAnsiTheme="majorHAnsi"/>
          <w:sz w:val="16"/>
          <w:szCs w:val="16"/>
          <w:lang w:val="es-ES_tradnl"/>
        </w:rPr>
        <w:footnoteRef/>
      </w:r>
      <w:r w:rsidRPr="00C91EB3">
        <w:rPr>
          <w:rFonts w:asciiTheme="majorHAnsi" w:hAnsiTheme="majorHAnsi"/>
          <w:sz w:val="16"/>
          <w:szCs w:val="16"/>
          <w:lang w:val="es-ES_tradnl"/>
        </w:rPr>
        <w:t xml:space="preserve"> CIDH. Informe No. 40/04, Caso 12.053, Comunidades Indígenas Mayas del Distrito de Toledo (Belice), 12 de octubre de 2004, párr. 151. Véase inter alia CIDH, Informe No. 75/02, Caso 11.140, Mary y Carrie Dann (Estados Unidos), 27 de diciem</w:t>
      </w:r>
      <w:r>
        <w:rPr>
          <w:rFonts w:asciiTheme="majorHAnsi" w:hAnsiTheme="majorHAnsi"/>
          <w:sz w:val="16"/>
          <w:szCs w:val="16"/>
          <w:lang w:val="es-ES_tradnl"/>
        </w:rPr>
        <w:t>bre de 2002, párr. 130; y CIDH. Informe de Seguimiento- Acceso a la Justicia e Inclusión Social: el camino hacia el fortalecimiento de la democracia en Bolivia</w:t>
      </w:r>
      <w:r w:rsidRPr="00C91EB3">
        <w:rPr>
          <w:rFonts w:asciiTheme="majorHAnsi" w:hAnsiTheme="majorHAnsi"/>
          <w:sz w:val="16"/>
          <w:szCs w:val="16"/>
          <w:lang w:val="es-ES_tradnl"/>
        </w:rPr>
        <w:t>, OEA/Ser/L/V/II.135, Doc. 40, 7 de agosto de 2009, párr. 160.</w:t>
      </w:r>
    </w:p>
  </w:footnote>
  <w:footnote w:id="124">
    <w:p w14:paraId="7D3766D4" w14:textId="77777777" w:rsidR="00824850" w:rsidRPr="00A91762" w:rsidRDefault="00824850" w:rsidP="00C91EB3">
      <w:pPr>
        <w:pStyle w:val="NoSpacing"/>
        <w:jc w:val="both"/>
        <w:rPr>
          <w:rFonts w:asciiTheme="majorHAnsi" w:hAnsiTheme="majorHAnsi"/>
          <w:noProof/>
          <w:sz w:val="16"/>
          <w:szCs w:val="16"/>
          <w:lang w:val="es-ES"/>
        </w:rPr>
      </w:pPr>
      <w:r w:rsidRPr="00C91EB3">
        <w:rPr>
          <w:rStyle w:val="FootnoteReference"/>
          <w:rFonts w:asciiTheme="majorHAnsi" w:hAnsiTheme="majorHAnsi"/>
          <w:noProof/>
          <w:sz w:val="16"/>
          <w:szCs w:val="16"/>
          <w:lang w:val="es-ES"/>
        </w:rPr>
        <w:footnoteRef/>
      </w:r>
      <w:r w:rsidRPr="00C91EB3">
        <w:rPr>
          <w:rFonts w:asciiTheme="majorHAnsi" w:hAnsiTheme="majorHAnsi"/>
          <w:noProof/>
          <w:sz w:val="16"/>
          <w:szCs w:val="16"/>
          <w:lang w:val="es-ES"/>
        </w:rPr>
        <w:t xml:space="preserve"> CIDH</w:t>
      </w:r>
      <w:r>
        <w:rPr>
          <w:rFonts w:asciiTheme="majorHAnsi" w:hAnsiTheme="majorHAnsi"/>
          <w:noProof/>
          <w:sz w:val="16"/>
          <w:szCs w:val="16"/>
          <w:lang w:val="es-ES"/>
        </w:rPr>
        <w:t xml:space="preserve">. </w:t>
      </w:r>
      <w:r w:rsidRPr="00345D2C">
        <w:rPr>
          <w:rFonts w:asciiTheme="majorHAnsi" w:hAnsiTheme="majorHAnsi"/>
          <w:noProof/>
          <w:sz w:val="16"/>
          <w:szCs w:val="16"/>
          <w:lang w:val="es-ES"/>
        </w:rPr>
        <w:t>Acceso a la Justicia e Inclusión Social: el camino hacia el fortalecimiento de la democracia en Bolivia</w:t>
      </w:r>
      <w:r w:rsidRPr="00A91762">
        <w:rPr>
          <w:rFonts w:asciiTheme="majorHAnsi" w:hAnsiTheme="majorHAnsi"/>
          <w:noProof/>
          <w:sz w:val="16"/>
          <w:szCs w:val="16"/>
          <w:lang w:val="es-ES"/>
        </w:rPr>
        <w:t>. OEA/Ser.L/V/II, Doc. 34, 28 de junio de 2007, párr. 231.</w:t>
      </w:r>
    </w:p>
  </w:footnote>
  <w:footnote w:id="125">
    <w:p w14:paraId="5170DF5B" w14:textId="77777777" w:rsidR="00824850" w:rsidRPr="00A91762" w:rsidRDefault="00824850" w:rsidP="00C91EB3">
      <w:pPr>
        <w:pStyle w:val="NoSpacing"/>
        <w:jc w:val="both"/>
        <w:rPr>
          <w:rFonts w:asciiTheme="majorHAnsi" w:hAnsiTheme="majorHAnsi"/>
          <w:noProof/>
          <w:sz w:val="16"/>
          <w:szCs w:val="16"/>
          <w:lang w:val="es-ES"/>
        </w:rPr>
      </w:pPr>
      <w:r w:rsidRPr="00A91762">
        <w:rPr>
          <w:rStyle w:val="FootnoteReference"/>
          <w:rFonts w:asciiTheme="majorHAnsi" w:hAnsiTheme="majorHAnsi"/>
          <w:noProof/>
          <w:sz w:val="16"/>
          <w:szCs w:val="16"/>
          <w:lang w:val="es-ES"/>
        </w:rPr>
        <w:footnoteRef/>
      </w:r>
      <w:r w:rsidRPr="00A91762">
        <w:rPr>
          <w:rFonts w:asciiTheme="majorHAnsi" w:hAnsiTheme="majorHAnsi"/>
          <w:noProof/>
          <w:sz w:val="16"/>
          <w:szCs w:val="16"/>
          <w:lang w:val="es-ES"/>
        </w:rPr>
        <w:t xml:space="preserve"> Véase, inter alia, Corte IDH, </w:t>
      </w:r>
      <w:r w:rsidRPr="00A91762">
        <w:rPr>
          <w:rFonts w:asciiTheme="majorHAnsi" w:hAnsiTheme="majorHAnsi"/>
          <w:iCs/>
          <w:noProof/>
          <w:sz w:val="16"/>
          <w:szCs w:val="16"/>
          <w:lang w:val="es-ES"/>
        </w:rPr>
        <w:t>Caso del Pueblo Saramaka Vs. Surinam</w:t>
      </w:r>
      <w:r w:rsidRPr="00A91762">
        <w:rPr>
          <w:rFonts w:asciiTheme="majorHAnsi" w:hAnsiTheme="majorHAnsi"/>
          <w:noProof/>
          <w:sz w:val="16"/>
          <w:szCs w:val="16"/>
          <w:lang w:val="es-ES"/>
        </w:rPr>
        <w:t xml:space="preserve">. Excepciones Preliminares, Fondo, Reparaciones y Costas. Sentencia de 28 de noviembre de 2007. Serie C No. 172, párr. 96; CIDH, Alegatos ante la Corte Interamericana de Derechos Humanos en el caso de Awas Tingni v. Nicaragua. Referidos en: Corte IDH, </w:t>
      </w:r>
      <w:r w:rsidRPr="00A91762">
        <w:rPr>
          <w:rFonts w:asciiTheme="majorHAnsi" w:hAnsiTheme="majorHAnsi"/>
          <w:iCs/>
          <w:noProof/>
          <w:sz w:val="16"/>
          <w:szCs w:val="16"/>
          <w:lang w:val="es-ES"/>
        </w:rPr>
        <w:t>Caso de la Comunidad Mayagna (Sumo) Awas Tingni Vs. Nicaragua</w:t>
      </w:r>
      <w:r w:rsidRPr="00A91762">
        <w:rPr>
          <w:rFonts w:asciiTheme="majorHAnsi" w:hAnsiTheme="majorHAnsi"/>
          <w:noProof/>
          <w:sz w:val="16"/>
          <w:szCs w:val="16"/>
          <w:lang w:val="es-ES"/>
        </w:rPr>
        <w:t>. Fondo, Reparaciones y Costas. Sentencia de 31 de agosto de 2001. Serie C No. 79, párr. 140(a); y CIDH, Informe No. 40/04, Caso 12.053, Comunidades Indígenas Mayas del Distrito de Toledo (Belice), 12 de octubre de 2004, párr. 115.</w:t>
      </w:r>
    </w:p>
  </w:footnote>
  <w:footnote w:id="126">
    <w:p w14:paraId="72358823" w14:textId="77777777" w:rsidR="00824850" w:rsidRPr="00A91762" w:rsidRDefault="00824850" w:rsidP="00D830B6">
      <w:pPr>
        <w:pStyle w:val="NoSpacing"/>
        <w:jc w:val="both"/>
        <w:rPr>
          <w:rFonts w:asciiTheme="majorHAnsi" w:hAnsiTheme="majorHAnsi" w:cs="Verdana"/>
          <w:noProof/>
          <w:sz w:val="16"/>
          <w:szCs w:val="16"/>
          <w:lang w:val="es-ES"/>
        </w:rPr>
      </w:pPr>
      <w:r w:rsidRPr="00A91762">
        <w:rPr>
          <w:rStyle w:val="FootnoteReference"/>
          <w:rFonts w:asciiTheme="majorHAnsi" w:hAnsiTheme="majorHAnsi"/>
          <w:noProof/>
          <w:sz w:val="16"/>
          <w:szCs w:val="16"/>
          <w:lang w:val="es-ES"/>
        </w:rPr>
        <w:footnoteRef/>
      </w:r>
      <w:r w:rsidRPr="00A91762">
        <w:rPr>
          <w:rFonts w:asciiTheme="majorHAnsi" w:hAnsiTheme="majorHAnsi"/>
          <w:noProof/>
          <w:sz w:val="16"/>
          <w:szCs w:val="16"/>
          <w:lang w:val="es-ES"/>
        </w:rPr>
        <w:t xml:space="preserve"> Corte IDH, Caso de la Comunidad Mayagna (Sumo) Awas Tingni Vs. Nicaragua, Fondo, Reparaciones y Costas. Sentencia de 31 de agosto de 2001. Serie C No. 79, párr. 151; Caso Comunidad Indígena Sawhoyamaxa Vs. Paraguay. Fondo, Reparaciones y Costas. Sentencia de 29 de marzo de 2006. Serie C No. 146, párr. 128; y Caso Comunidad Indígena Xákmok Kásek. Vs. Paraguay. Fondo, Reparaciones y Costas. Sentencia de 24 de agosto de 2010 Serie C No. 214, párr. 109.</w:t>
      </w:r>
    </w:p>
  </w:footnote>
  <w:footnote w:id="127">
    <w:p w14:paraId="0AB49E01" w14:textId="77777777" w:rsidR="00824850" w:rsidRPr="00A91762" w:rsidRDefault="00824850">
      <w:pPr>
        <w:pStyle w:val="FootnoteText"/>
        <w:rPr>
          <w:rFonts w:asciiTheme="majorHAnsi" w:hAnsiTheme="majorHAnsi"/>
          <w:sz w:val="16"/>
          <w:szCs w:val="16"/>
          <w:lang w:val="es-MX"/>
        </w:rPr>
      </w:pPr>
      <w:r w:rsidRPr="00A91762">
        <w:rPr>
          <w:rStyle w:val="FootnoteReference"/>
          <w:rFonts w:asciiTheme="majorHAnsi" w:hAnsiTheme="majorHAnsi"/>
          <w:sz w:val="16"/>
          <w:szCs w:val="16"/>
        </w:rPr>
        <w:footnoteRef/>
      </w:r>
      <w:r w:rsidRPr="00A91762">
        <w:rPr>
          <w:rFonts w:asciiTheme="majorHAnsi" w:hAnsiTheme="majorHAnsi"/>
          <w:sz w:val="16"/>
          <w:szCs w:val="16"/>
          <w:lang w:val="es-MX"/>
        </w:rPr>
        <w:t xml:space="preserve"> Corte IDH. Xucurú, parr. 117</w:t>
      </w:r>
    </w:p>
  </w:footnote>
  <w:footnote w:id="128">
    <w:p w14:paraId="4E1E466F" w14:textId="77777777" w:rsidR="00824850" w:rsidRPr="00A91762" w:rsidRDefault="00824850" w:rsidP="00A931A2">
      <w:pPr>
        <w:pStyle w:val="Footnotes"/>
      </w:pPr>
      <w:r w:rsidRPr="00A91762">
        <w:rPr>
          <w:rStyle w:val="FootnoteReference"/>
          <w:rFonts w:eastAsia="Batang"/>
          <w:spacing w:val="0"/>
        </w:rPr>
        <w:footnoteRef/>
      </w:r>
      <w:r w:rsidRPr="00A91762">
        <w:t xml:space="preserve"> </w:t>
      </w:r>
      <w:r w:rsidRPr="00A91762">
        <w:rPr>
          <w:lang w:val="es-CR"/>
        </w:rPr>
        <w:t>Caso de la Comunidad Mayagna (Sumo) Awas Tingni Vs. Nicaragua, párr. 164.</w:t>
      </w:r>
      <w:r w:rsidRPr="00A91762">
        <w:rPr>
          <w:rStyle w:val="apple-style-span"/>
          <w:rFonts w:eastAsia="Trebuchet MS"/>
          <w:spacing w:val="0"/>
        </w:rPr>
        <w:t xml:space="preserve">, y </w:t>
      </w:r>
      <w:r w:rsidRPr="00A91762">
        <w:rPr>
          <w:rStyle w:val="apple-style-span"/>
          <w:rFonts w:eastAsia="Trebuchet MS"/>
          <w:i/>
          <w:spacing w:val="0"/>
        </w:rPr>
        <w:t>Caso Comunidad Garífuna Triunfo de la Cruz y sus miembros Vs. Honduras</w:t>
      </w:r>
      <w:r w:rsidRPr="00A91762">
        <w:rPr>
          <w:rStyle w:val="apple-style-span"/>
          <w:rFonts w:eastAsia="Trebuchet MS"/>
          <w:spacing w:val="0"/>
        </w:rPr>
        <w:t>, párr. 105.</w:t>
      </w:r>
    </w:p>
  </w:footnote>
  <w:footnote w:id="129">
    <w:p w14:paraId="7A80E165" w14:textId="77777777" w:rsidR="00824850" w:rsidRPr="00A91762" w:rsidRDefault="00824850" w:rsidP="00A931A2">
      <w:pPr>
        <w:pStyle w:val="Footnotes"/>
      </w:pPr>
      <w:r w:rsidRPr="00A91762">
        <w:rPr>
          <w:rStyle w:val="FootnoteReference"/>
          <w:rFonts w:eastAsia="Batang"/>
          <w:spacing w:val="0"/>
        </w:rPr>
        <w:footnoteRef/>
      </w:r>
      <w:r w:rsidRPr="00A91762">
        <w:t xml:space="preserve"> Caso de la Comunidad Indígena Sawhoyamaxa Vs. Paraguay, párr. 128, y Caso Comunidad Indígena Xákmok Kásek Vs. Paraguay, párr. 109, y </w:t>
      </w:r>
      <w:r w:rsidRPr="00A91762">
        <w:rPr>
          <w:rFonts w:cs="Times New Roman"/>
          <w:bCs/>
          <w:lang w:val="es-CO"/>
        </w:rPr>
        <w:t>Caso Pueblos Kaliña y Lokono Vs. Suriname</w:t>
      </w:r>
      <w:r w:rsidRPr="00A91762">
        <w:rPr>
          <w:rStyle w:val="apple-style-span"/>
          <w:rFonts w:eastAsia="Trebuchet MS"/>
          <w:spacing w:val="0"/>
        </w:rPr>
        <w:t>, párr. 131.</w:t>
      </w:r>
    </w:p>
  </w:footnote>
  <w:footnote w:id="130">
    <w:p w14:paraId="3D53CE10" w14:textId="77777777" w:rsidR="00824850" w:rsidRPr="00A91762" w:rsidRDefault="00824850" w:rsidP="009913DA">
      <w:pPr>
        <w:rPr>
          <w:rFonts w:asciiTheme="majorHAnsi" w:hAnsiTheme="majorHAnsi"/>
          <w:sz w:val="16"/>
          <w:szCs w:val="16"/>
          <w:lang w:val="es-CR"/>
        </w:rPr>
      </w:pPr>
      <w:r w:rsidRPr="00A91762">
        <w:rPr>
          <w:rStyle w:val="FootnoteReference"/>
          <w:rFonts w:asciiTheme="majorHAnsi" w:hAnsiTheme="majorHAnsi"/>
          <w:sz w:val="16"/>
          <w:szCs w:val="16"/>
        </w:rPr>
        <w:footnoteRef/>
      </w:r>
      <w:r w:rsidRPr="00A91762">
        <w:rPr>
          <w:rFonts w:asciiTheme="majorHAnsi" w:hAnsiTheme="majorHAnsi"/>
          <w:sz w:val="16"/>
          <w:szCs w:val="16"/>
          <w:lang w:val="es-MX"/>
        </w:rPr>
        <w:t xml:space="preserve"> </w:t>
      </w:r>
      <w:r w:rsidRPr="00A91762">
        <w:rPr>
          <w:rFonts w:asciiTheme="majorHAnsi" w:hAnsiTheme="majorHAnsi"/>
          <w:i/>
          <w:sz w:val="16"/>
          <w:szCs w:val="16"/>
          <w:lang w:val="es-MX"/>
        </w:rPr>
        <w:t>Comunidad Mayagna (Sumo) Awas Tingni Vs. Nicaragua</w:t>
      </w:r>
      <w:r w:rsidRPr="00A91762">
        <w:rPr>
          <w:rFonts w:asciiTheme="majorHAnsi" w:hAnsiTheme="majorHAnsi"/>
          <w:sz w:val="16"/>
          <w:szCs w:val="16"/>
          <w:lang w:val="es-MX"/>
        </w:rPr>
        <w:t xml:space="preserve">, párr. 164, y </w:t>
      </w:r>
      <w:r w:rsidRPr="00A91762">
        <w:rPr>
          <w:rFonts w:asciiTheme="majorHAnsi" w:hAnsiTheme="majorHAnsi"/>
          <w:bCs/>
          <w:i/>
          <w:sz w:val="16"/>
          <w:szCs w:val="16"/>
          <w:lang w:val="es-CO"/>
        </w:rPr>
        <w:t>Caso Pueblos Kaliña y Lokono Vs. Suriname</w:t>
      </w:r>
      <w:r w:rsidRPr="00A91762">
        <w:rPr>
          <w:rStyle w:val="apple-style-span"/>
          <w:rFonts w:asciiTheme="majorHAnsi" w:hAnsiTheme="majorHAnsi"/>
          <w:sz w:val="16"/>
          <w:szCs w:val="16"/>
          <w:lang w:val="es-MX"/>
        </w:rPr>
        <w:t>, párr. 132.</w:t>
      </w:r>
    </w:p>
  </w:footnote>
  <w:footnote w:id="131">
    <w:p w14:paraId="531504B8" w14:textId="77777777" w:rsidR="00824850" w:rsidRPr="00A91762" w:rsidRDefault="00824850" w:rsidP="00A931A2">
      <w:pPr>
        <w:pStyle w:val="Footnotes"/>
      </w:pPr>
      <w:r w:rsidRPr="00A91762">
        <w:rPr>
          <w:rStyle w:val="FootnoteReference"/>
          <w:spacing w:val="0"/>
        </w:rPr>
        <w:footnoteRef/>
      </w:r>
      <w:r w:rsidRPr="00A91762">
        <w:t xml:space="preserve"> </w:t>
      </w:r>
      <w:r w:rsidRPr="00A91762">
        <w:rPr>
          <w:rStyle w:val="Strong"/>
          <w:b w:val="0"/>
          <w:i/>
          <w:color w:val="000000"/>
          <w:spacing w:val="0"/>
          <w:shd w:val="clear" w:color="auto" w:fill="FFFFFF"/>
        </w:rPr>
        <w:t>Caso del Pueblo Saramaka Vs. Suriname. Excepciones Preliminares, Fondo, Reparaciones y Costas</w:t>
      </w:r>
      <w:r w:rsidRPr="00A91762">
        <w:rPr>
          <w:rStyle w:val="Strong"/>
          <w:b w:val="0"/>
          <w:color w:val="000000"/>
          <w:spacing w:val="0"/>
          <w:shd w:val="clear" w:color="auto" w:fill="FFFFFF"/>
        </w:rPr>
        <w:t xml:space="preserve">. Sentencia de 28 de noviembre de 2007. Serie C No. 172, párr. 115 y </w:t>
      </w:r>
      <w:r w:rsidRPr="00A91762">
        <w:rPr>
          <w:rStyle w:val="Strong"/>
          <w:b w:val="0"/>
          <w:i/>
          <w:color w:val="000000"/>
          <w:shd w:val="clear" w:color="auto" w:fill="FFFFFF"/>
          <w:lang w:val="es-CR"/>
        </w:rPr>
        <w:t>Caso Pueblos Kaliña y Lokono Vs. Suriname.</w:t>
      </w:r>
      <w:r w:rsidRPr="00A91762">
        <w:rPr>
          <w:rStyle w:val="Strong"/>
          <w:b w:val="0"/>
          <w:color w:val="000000"/>
          <w:shd w:val="clear" w:color="auto" w:fill="FFFFFF"/>
          <w:lang w:val="es-CR"/>
        </w:rPr>
        <w:t xml:space="preserve"> párr. 132.</w:t>
      </w:r>
    </w:p>
  </w:footnote>
  <w:footnote w:id="132">
    <w:p w14:paraId="6862D691" w14:textId="77777777" w:rsidR="00824850" w:rsidRPr="00A91762" w:rsidRDefault="00824850" w:rsidP="00A931A2">
      <w:pPr>
        <w:pStyle w:val="Footnotes"/>
      </w:pPr>
      <w:r w:rsidRPr="00A91762">
        <w:rPr>
          <w:rStyle w:val="FootnoteReference"/>
          <w:spacing w:val="0"/>
        </w:rPr>
        <w:footnoteRef/>
      </w:r>
      <w:r w:rsidRPr="00A91762">
        <w:t xml:space="preserve"> </w:t>
      </w:r>
      <w:r w:rsidRPr="00A91762">
        <w:rPr>
          <w:rStyle w:val="Strong"/>
          <w:b w:val="0"/>
          <w:i/>
          <w:color w:val="000000"/>
          <w:spacing w:val="0"/>
          <w:shd w:val="clear" w:color="auto" w:fill="FFFFFF"/>
        </w:rPr>
        <w:t>Caso Pueblo Indígena Kichwa de Sarayaku Vs. Ecuador. Fondo y Reparaciones.</w:t>
      </w:r>
      <w:r w:rsidRPr="00A91762">
        <w:rPr>
          <w:rStyle w:val="Strong"/>
          <w:b w:val="0"/>
          <w:color w:val="000000"/>
          <w:spacing w:val="0"/>
          <w:shd w:val="clear" w:color="auto" w:fill="FFFFFF"/>
        </w:rPr>
        <w:t xml:space="preserve"> Sentencia de 27 de junio de 2012. Serie C No. 245, párr</w:t>
      </w:r>
      <w:r w:rsidRPr="00A91762">
        <w:rPr>
          <w:rStyle w:val="Strong"/>
          <w:b w:val="0"/>
          <w:i/>
          <w:color w:val="000000"/>
          <w:spacing w:val="0"/>
          <w:shd w:val="clear" w:color="auto" w:fill="FFFFFF"/>
        </w:rPr>
        <w:t>.</w:t>
      </w:r>
      <w:r w:rsidRPr="00A91762">
        <w:rPr>
          <w:rStyle w:val="Strong"/>
          <w:b w:val="0"/>
          <w:color w:val="000000"/>
          <w:spacing w:val="0"/>
          <w:shd w:val="clear" w:color="auto" w:fill="FFFFFF"/>
        </w:rPr>
        <w:t xml:space="preserve"> </w:t>
      </w:r>
      <w:r w:rsidRPr="00A91762">
        <w:rPr>
          <w:lang w:val="es-ES_tradnl"/>
        </w:rPr>
        <w:t>146</w:t>
      </w:r>
      <w:r w:rsidRPr="00A91762">
        <w:t xml:space="preserve"> y </w:t>
      </w:r>
      <w:r w:rsidRPr="00A91762">
        <w:rPr>
          <w:rStyle w:val="Strong"/>
          <w:b w:val="0"/>
          <w:i/>
          <w:color w:val="000000"/>
          <w:shd w:val="clear" w:color="auto" w:fill="FFFFFF"/>
          <w:lang w:val="es-CR"/>
        </w:rPr>
        <w:t>Caso Pueblos Kaliña y Lokono Vs. Suriname.</w:t>
      </w:r>
      <w:r w:rsidRPr="00A91762">
        <w:rPr>
          <w:rStyle w:val="Strong"/>
          <w:b w:val="0"/>
          <w:color w:val="000000"/>
          <w:shd w:val="clear" w:color="auto" w:fill="FFFFFF"/>
          <w:lang w:val="es-CR"/>
        </w:rPr>
        <w:t xml:space="preserve"> párr. 132.</w:t>
      </w:r>
    </w:p>
  </w:footnote>
  <w:footnote w:id="133">
    <w:p w14:paraId="32CE5CB5" w14:textId="77777777" w:rsidR="00824850" w:rsidRPr="00A91762" w:rsidRDefault="00824850" w:rsidP="00D830B6">
      <w:pPr>
        <w:pStyle w:val="NoSpacing"/>
        <w:jc w:val="both"/>
        <w:rPr>
          <w:rFonts w:asciiTheme="majorHAnsi" w:hAnsiTheme="majorHAnsi"/>
          <w:sz w:val="16"/>
          <w:szCs w:val="16"/>
          <w:lang w:val="es-ES_tradnl"/>
        </w:rPr>
      </w:pPr>
      <w:r w:rsidRPr="00A91762">
        <w:rPr>
          <w:rStyle w:val="FootnoteReference"/>
          <w:rFonts w:asciiTheme="majorHAnsi" w:hAnsiTheme="majorHAnsi"/>
          <w:sz w:val="16"/>
          <w:szCs w:val="16"/>
          <w:lang w:val="es-ES_tradnl"/>
        </w:rPr>
        <w:footnoteRef/>
      </w:r>
      <w:r w:rsidRPr="00A91762">
        <w:rPr>
          <w:rFonts w:asciiTheme="majorHAnsi" w:hAnsiTheme="majorHAnsi"/>
          <w:sz w:val="16"/>
          <w:szCs w:val="16"/>
          <w:lang w:val="es-ES_tradnl"/>
        </w:rPr>
        <w:t xml:space="preserve"> CIDH. Informe Derechos de los Pueblos Indígenas y Tribales sobre sus Tierras Ancestrales y Recursos Naturales. 2009. Párr. 55. Disponible en: </w:t>
      </w:r>
      <w:hyperlink r:id="rId19" w:history="1">
        <w:r w:rsidRPr="00A91762">
          <w:rPr>
            <w:rStyle w:val="Hyperlink"/>
            <w:rFonts w:asciiTheme="majorHAnsi" w:eastAsia="Cambria" w:hAnsiTheme="majorHAnsi"/>
            <w:sz w:val="16"/>
            <w:szCs w:val="16"/>
            <w:lang w:val="es-CO"/>
          </w:rPr>
          <w:t>http://www.oas.org/es/cidh/indigenas/docs/pdf/Tierras-Ancestrales.ESP.pdf</w:t>
        </w:r>
      </w:hyperlink>
      <w:r w:rsidRPr="00A91762">
        <w:rPr>
          <w:rFonts w:asciiTheme="majorHAnsi" w:hAnsiTheme="majorHAnsi"/>
          <w:sz w:val="16"/>
          <w:szCs w:val="16"/>
          <w:lang w:val="es-ES_tradnl"/>
        </w:rPr>
        <w:t>; CIDH, Informe No. 75/02, Caso 11.140, Mary y Carrie Dann (Estados Unidos), 27 de diciembre de 2002, párr. 128; Corte I.D.H. Caso de la Comunidad Mayagna (Sumo) Awas Tingni Vs. Nicaragua. Sentencia de 31 de agosto de 2001. Serie C No. 79. párr. 149. Véase también Corte I.D.H., Caso Comunidad Indígena Sawhoyamaxa Vs. Paraguay. Fondo, Reparaciones y Costas. Sentencia de 29 de marzo de 2006. Serie C No. 146, párr. 222.</w:t>
      </w:r>
    </w:p>
  </w:footnote>
  <w:footnote w:id="134">
    <w:p w14:paraId="31C7520A" w14:textId="77777777" w:rsidR="00824850" w:rsidRPr="00557DDA" w:rsidRDefault="00824850" w:rsidP="00A40835">
      <w:pPr>
        <w:pStyle w:val="NoSpacing"/>
        <w:jc w:val="both"/>
        <w:rPr>
          <w:rFonts w:ascii="Cambria" w:hAnsi="Cambria"/>
          <w:sz w:val="16"/>
          <w:szCs w:val="16"/>
          <w:lang w:val="es-ES_tradnl"/>
        </w:rPr>
      </w:pPr>
      <w:r w:rsidRPr="00557DDA">
        <w:rPr>
          <w:rStyle w:val="FootnoteReference"/>
          <w:rFonts w:ascii="Cambria" w:hAnsi="Cambria"/>
          <w:sz w:val="16"/>
          <w:szCs w:val="16"/>
          <w:lang w:val="es-ES_tradnl"/>
        </w:rPr>
        <w:footnoteRef/>
      </w:r>
      <w:r w:rsidRPr="00557DDA">
        <w:rPr>
          <w:rFonts w:ascii="Cambria" w:hAnsi="Cambria"/>
          <w:sz w:val="16"/>
          <w:szCs w:val="16"/>
          <w:lang w:val="es-ES_tradnl"/>
        </w:rPr>
        <w:t xml:space="preserve"> Corte I.D.H. </w:t>
      </w:r>
      <w:r w:rsidRPr="001B022B">
        <w:rPr>
          <w:rFonts w:ascii="Cambria" w:hAnsi="Cambria"/>
          <w:i/>
          <w:sz w:val="16"/>
          <w:szCs w:val="16"/>
          <w:lang w:val="es-ES_tradnl"/>
        </w:rPr>
        <w:t>Caso de la Comunidad Mayagna (Sumo) Awas Tingni Vs. Nicaragua</w:t>
      </w:r>
      <w:r w:rsidRPr="00557DDA">
        <w:rPr>
          <w:rFonts w:ascii="Cambria" w:hAnsi="Cambria"/>
          <w:sz w:val="16"/>
          <w:szCs w:val="16"/>
          <w:lang w:val="es-ES_tradnl"/>
        </w:rPr>
        <w:t xml:space="preserve">. Sentencia de 31 de agosto de 2001. Serie C No. 79. párr. 149. </w:t>
      </w:r>
      <w:r w:rsidRPr="001B022B">
        <w:rPr>
          <w:rFonts w:ascii="Cambria" w:hAnsi="Cambria"/>
          <w:i/>
          <w:sz w:val="16"/>
          <w:szCs w:val="16"/>
          <w:lang w:val="es-ES_tradnl"/>
        </w:rPr>
        <w:t>Caso Comunidad Indígena Yakye Axa Vs. Paraguay</w:t>
      </w:r>
      <w:r w:rsidRPr="00557DDA">
        <w:rPr>
          <w:rFonts w:ascii="Cambria" w:hAnsi="Cambria"/>
          <w:sz w:val="16"/>
          <w:szCs w:val="16"/>
          <w:lang w:val="es-ES_tradnl"/>
        </w:rPr>
        <w:t xml:space="preserve">. Fondo Reparaciones y Costas. Sentencia 17 de junio de 2005. Serie C No. 125, párr. 137; </w:t>
      </w:r>
      <w:r w:rsidRPr="001B022B">
        <w:rPr>
          <w:rFonts w:ascii="Cambria" w:hAnsi="Cambria"/>
          <w:i/>
          <w:sz w:val="16"/>
          <w:szCs w:val="16"/>
          <w:lang w:val="es-ES_tradnl"/>
        </w:rPr>
        <w:t>Caso Comunidad Indígena Sawhoyamaxa Vs. Paraguay</w:t>
      </w:r>
      <w:r w:rsidRPr="00557DDA">
        <w:rPr>
          <w:rFonts w:ascii="Cambria" w:hAnsi="Cambria"/>
          <w:sz w:val="16"/>
          <w:szCs w:val="16"/>
          <w:lang w:val="es-ES_tradnl"/>
        </w:rPr>
        <w:t>. Fondo, Reparaciones y Costas. Sentencia de 29 de marzo de 2006. Serie C No. 146. párr. 118.</w:t>
      </w:r>
    </w:p>
  </w:footnote>
  <w:footnote w:id="135">
    <w:p w14:paraId="46A30BA5" w14:textId="77777777" w:rsidR="00824850" w:rsidRPr="00557DDA" w:rsidRDefault="00824850" w:rsidP="00A40835">
      <w:pPr>
        <w:pStyle w:val="NoSpacing"/>
        <w:jc w:val="both"/>
        <w:rPr>
          <w:rFonts w:ascii="Cambria" w:hAnsi="Cambria"/>
          <w:sz w:val="16"/>
          <w:szCs w:val="16"/>
          <w:lang w:val="es-ES_tradnl"/>
        </w:rPr>
      </w:pPr>
      <w:r w:rsidRPr="00557DDA">
        <w:rPr>
          <w:rStyle w:val="FootnoteReference"/>
          <w:rFonts w:ascii="Cambria" w:hAnsi="Cambria"/>
          <w:sz w:val="16"/>
          <w:szCs w:val="16"/>
          <w:lang w:val="es-ES_tradnl"/>
        </w:rPr>
        <w:footnoteRef/>
      </w:r>
      <w:r w:rsidRPr="00B9450C">
        <w:rPr>
          <w:rFonts w:ascii="Cambria" w:hAnsi="Cambria"/>
          <w:sz w:val="16"/>
          <w:szCs w:val="16"/>
          <w:lang w:val="es-PE"/>
        </w:rPr>
        <w:t xml:space="preserve"> Véase, inter alia, Corte IDH. </w:t>
      </w:r>
      <w:r w:rsidRPr="00557DDA">
        <w:rPr>
          <w:rFonts w:ascii="Cambria" w:hAnsi="Cambria"/>
          <w:iCs/>
          <w:sz w:val="16"/>
          <w:szCs w:val="16"/>
          <w:lang w:val="es-ES_tradnl"/>
        </w:rPr>
        <w:t xml:space="preserve">Caso de la Comunidad Mayagna (Sumo) Awas Tingni Vs. Nicaragua. </w:t>
      </w:r>
      <w:r w:rsidRPr="00557DDA">
        <w:rPr>
          <w:rFonts w:ascii="Cambria" w:hAnsi="Cambria"/>
          <w:sz w:val="16"/>
          <w:szCs w:val="16"/>
          <w:lang w:val="es-ES_tradnl"/>
        </w:rPr>
        <w:t xml:space="preserve">Fondo, Reparaciones y Costas. Sentencia de 31 de agosto de 2001. Serie C No. 79, párr. 137; CIDH, Informe No. 40/04, Caso 12.053, Comunidades Indígenas Mayas del Distrito de Toledo (Belice), 12 de octubre de 2004, párr. 115. </w:t>
      </w:r>
    </w:p>
  </w:footnote>
  <w:footnote w:id="136">
    <w:p w14:paraId="780293C0" w14:textId="77777777" w:rsidR="00824850" w:rsidRPr="0094623F" w:rsidRDefault="00824850" w:rsidP="00A40835">
      <w:pPr>
        <w:pStyle w:val="FootnoteText"/>
        <w:rPr>
          <w:rFonts w:asciiTheme="majorHAnsi" w:hAnsiTheme="majorHAnsi"/>
          <w:sz w:val="16"/>
          <w:szCs w:val="16"/>
          <w:lang w:val="es-MX"/>
        </w:rPr>
      </w:pPr>
      <w:r w:rsidRPr="0094623F">
        <w:rPr>
          <w:rStyle w:val="FootnoteReference"/>
          <w:rFonts w:asciiTheme="majorHAnsi" w:hAnsiTheme="majorHAnsi"/>
          <w:sz w:val="16"/>
          <w:szCs w:val="16"/>
        </w:rPr>
        <w:footnoteRef/>
      </w:r>
      <w:r w:rsidRPr="0094623F">
        <w:rPr>
          <w:rFonts w:asciiTheme="majorHAnsi" w:hAnsiTheme="majorHAnsi"/>
          <w:sz w:val="16"/>
          <w:szCs w:val="16"/>
          <w:lang w:val="es-MX"/>
        </w:rPr>
        <w:t xml:space="preserve"> Corte IDH. </w:t>
      </w:r>
      <w:r w:rsidRPr="0094623F">
        <w:rPr>
          <w:rFonts w:asciiTheme="majorHAnsi" w:hAnsiTheme="majorHAnsi"/>
          <w:iCs/>
          <w:sz w:val="16"/>
          <w:szCs w:val="16"/>
          <w:lang w:val="es-ES_tradnl"/>
        </w:rPr>
        <w:t xml:space="preserve">Caso de la Comunidad Mayagna (Sumo) Awas Tingni Vs. Nicaragua. </w:t>
      </w:r>
      <w:r w:rsidRPr="0094623F">
        <w:rPr>
          <w:rFonts w:asciiTheme="majorHAnsi" w:hAnsiTheme="majorHAnsi"/>
          <w:sz w:val="16"/>
          <w:szCs w:val="16"/>
          <w:lang w:val="es-ES_tradnl"/>
        </w:rPr>
        <w:t>Fondo, Reparaciones y Costas. Sentencia de 31 de agosto de 2001. Serie C No. 79, párr. 151.</w:t>
      </w:r>
    </w:p>
  </w:footnote>
  <w:footnote w:id="137">
    <w:p w14:paraId="15EB32A6" w14:textId="77777777" w:rsidR="00824850" w:rsidRPr="0094623F" w:rsidRDefault="00824850" w:rsidP="00A931A2">
      <w:pPr>
        <w:pStyle w:val="Footnotes"/>
      </w:pPr>
      <w:r w:rsidRPr="0094623F">
        <w:rPr>
          <w:rStyle w:val="FootnoteReference"/>
          <w:rFonts w:eastAsia="Batang"/>
          <w:spacing w:val="0"/>
        </w:rPr>
        <w:footnoteRef/>
      </w:r>
      <w:r w:rsidRPr="0094623F">
        <w:t xml:space="preserve"> Caso Comunidad Indígena Yakye Axa Vs. Paraguay, párr. 143, y Caso Pueblos Kaliña y Lokono Vs. Suriname, párr. 133.</w:t>
      </w:r>
    </w:p>
  </w:footnote>
  <w:footnote w:id="138">
    <w:p w14:paraId="7B02D48E" w14:textId="77777777" w:rsidR="00824850" w:rsidRPr="0094623F" w:rsidRDefault="00824850" w:rsidP="00CE53B2">
      <w:pPr>
        <w:pStyle w:val="NoSpacing"/>
        <w:jc w:val="both"/>
        <w:rPr>
          <w:rFonts w:asciiTheme="majorHAnsi" w:hAnsiTheme="majorHAnsi"/>
          <w:sz w:val="16"/>
          <w:szCs w:val="16"/>
          <w:lang w:val="es-ES_tradnl"/>
        </w:rPr>
      </w:pPr>
      <w:r w:rsidRPr="0094623F">
        <w:rPr>
          <w:rStyle w:val="FootnoteReference"/>
          <w:rFonts w:asciiTheme="majorHAnsi" w:hAnsiTheme="majorHAnsi"/>
          <w:sz w:val="16"/>
          <w:szCs w:val="16"/>
          <w:lang w:val="es-ES_tradnl"/>
        </w:rPr>
        <w:footnoteRef/>
      </w:r>
      <w:r w:rsidRPr="0094623F">
        <w:rPr>
          <w:rFonts w:asciiTheme="majorHAnsi" w:hAnsiTheme="majorHAnsi"/>
          <w:sz w:val="16"/>
          <w:szCs w:val="16"/>
          <w:lang w:val="es-ES_tradnl"/>
        </w:rPr>
        <w:t xml:space="preserve"> CIDH, </w:t>
      </w:r>
      <w:r w:rsidRPr="0094623F">
        <w:rPr>
          <w:rFonts w:asciiTheme="majorHAnsi" w:hAnsiTheme="majorHAnsi"/>
          <w:smallCaps/>
          <w:sz w:val="16"/>
          <w:szCs w:val="16"/>
          <w:lang w:val="es-ES_tradnl"/>
        </w:rPr>
        <w:t>Informe sobre la Situación de los Derechos Humanos en Brasil.</w:t>
      </w:r>
      <w:r w:rsidRPr="0094623F">
        <w:rPr>
          <w:rFonts w:asciiTheme="majorHAnsi" w:hAnsiTheme="majorHAnsi"/>
          <w:sz w:val="16"/>
          <w:szCs w:val="16"/>
          <w:lang w:val="es-ES_tradnl"/>
        </w:rPr>
        <w:t xml:space="preserve"> Doc. OEA/Ser.L/V/II.97, Doc. 29 rev. 1, 29 de septiembre de 1997, párr. 33.</w:t>
      </w:r>
    </w:p>
  </w:footnote>
  <w:footnote w:id="139">
    <w:p w14:paraId="36A14C04" w14:textId="77777777" w:rsidR="00824850" w:rsidRPr="00106E98" w:rsidRDefault="00824850" w:rsidP="00CE53B2">
      <w:pPr>
        <w:pStyle w:val="NoSpacing"/>
        <w:jc w:val="both"/>
        <w:rPr>
          <w:rFonts w:asciiTheme="majorHAnsi" w:hAnsiTheme="majorHAnsi"/>
          <w:sz w:val="16"/>
          <w:szCs w:val="16"/>
          <w:lang w:val="es-ES_tradnl"/>
        </w:rPr>
      </w:pPr>
      <w:r w:rsidRPr="0094623F">
        <w:rPr>
          <w:rStyle w:val="FootnoteReference"/>
          <w:rFonts w:asciiTheme="majorHAnsi" w:hAnsiTheme="majorHAnsi"/>
          <w:sz w:val="16"/>
          <w:szCs w:val="16"/>
          <w:lang w:val="es-ES_tradnl"/>
        </w:rPr>
        <w:footnoteRef/>
      </w:r>
      <w:r w:rsidRPr="0094623F">
        <w:rPr>
          <w:rFonts w:asciiTheme="majorHAnsi" w:hAnsiTheme="majorHAnsi"/>
          <w:sz w:val="16"/>
          <w:szCs w:val="16"/>
          <w:lang w:val="es-ES_tradnl"/>
        </w:rPr>
        <w:t xml:space="preserve"> CIDH, </w:t>
      </w:r>
      <w:r w:rsidRPr="0094623F">
        <w:rPr>
          <w:rFonts w:asciiTheme="majorHAnsi" w:hAnsiTheme="majorHAnsi"/>
          <w:smallCaps/>
          <w:sz w:val="16"/>
          <w:szCs w:val="16"/>
          <w:lang w:val="es-ES_tradnl"/>
        </w:rPr>
        <w:t>Democracia y Derechos Humanos en Venezuela</w:t>
      </w:r>
      <w:r w:rsidRPr="0094623F">
        <w:rPr>
          <w:rFonts w:asciiTheme="majorHAnsi" w:hAnsiTheme="majorHAnsi"/>
          <w:iCs/>
          <w:sz w:val="16"/>
          <w:szCs w:val="16"/>
          <w:lang w:val="es-ES_tradnl"/>
        </w:rPr>
        <w:t xml:space="preserve">. </w:t>
      </w:r>
      <w:r w:rsidRPr="0094623F">
        <w:rPr>
          <w:rFonts w:asciiTheme="majorHAnsi" w:hAnsiTheme="majorHAnsi"/>
          <w:sz w:val="16"/>
          <w:szCs w:val="16"/>
          <w:lang w:val="es-ES_tradnl"/>
        </w:rPr>
        <w:t xml:space="preserve">Doc. OEA/Ser.L/V/II, Doc. 54, 30 de diciembre de 2009, párr. 1137 – Recomendación 2; y CIDH, </w:t>
      </w:r>
      <w:r w:rsidRPr="0094623F">
        <w:rPr>
          <w:rFonts w:asciiTheme="majorHAnsi" w:hAnsiTheme="majorHAnsi"/>
          <w:smallCaps/>
          <w:sz w:val="16"/>
          <w:szCs w:val="16"/>
          <w:lang w:val="es-ES_tradnl"/>
        </w:rPr>
        <w:t xml:space="preserve">Derechos de los pueblos indígenas y tribales sobre sus tierras ancestrales y recursos naturales. Normas y jurisprudencia del Sistema Interamericano de </w:t>
      </w:r>
      <w:r w:rsidRPr="00106E98">
        <w:rPr>
          <w:rFonts w:asciiTheme="majorHAnsi" w:hAnsiTheme="majorHAnsi"/>
          <w:smallCaps/>
          <w:sz w:val="16"/>
          <w:szCs w:val="16"/>
          <w:lang w:val="es-ES_tradnl"/>
        </w:rPr>
        <w:t>Derechos Humanos</w:t>
      </w:r>
      <w:r w:rsidRPr="00106E98">
        <w:rPr>
          <w:rFonts w:asciiTheme="majorHAnsi" w:hAnsiTheme="majorHAnsi"/>
          <w:sz w:val="16"/>
          <w:szCs w:val="16"/>
          <w:lang w:val="es-ES_tradnl"/>
        </w:rPr>
        <w:t>. OEA/Ser.L/V/II.Doc.56/09, 30 de diciembre de 2009, párr. 113.</w:t>
      </w:r>
    </w:p>
  </w:footnote>
  <w:footnote w:id="140">
    <w:p w14:paraId="64EDF5D1" w14:textId="77777777" w:rsidR="00824850" w:rsidRPr="00106E98" w:rsidRDefault="00824850" w:rsidP="00CE53B2">
      <w:pPr>
        <w:pStyle w:val="NoSpacing"/>
        <w:jc w:val="both"/>
        <w:rPr>
          <w:rFonts w:asciiTheme="majorHAnsi" w:hAnsiTheme="majorHAnsi"/>
          <w:sz w:val="16"/>
          <w:szCs w:val="16"/>
          <w:lang w:val="es-ES_tradnl"/>
        </w:rPr>
      </w:pPr>
      <w:r w:rsidRPr="00106E98">
        <w:rPr>
          <w:rStyle w:val="FootnoteReference"/>
          <w:rFonts w:asciiTheme="majorHAnsi" w:hAnsiTheme="majorHAnsi"/>
          <w:sz w:val="16"/>
          <w:szCs w:val="16"/>
          <w:lang w:val="es-ES_tradnl"/>
        </w:rPr>
        <w:footnoteRef/>
      </w:r>
      <w:r w:rsidRPr="00106E98">
        <w:rPr>
          <w:rFonts w:asciiTheme="majorHAnsi" w:hAnsiTheme="majorHAnsi"/>
          <w:sz w:val="16"/>
          <w:szCs w:val="16"/>
          <w:lang w:val="es-ES_tradnl"/>
        </w:rPr>
        <w:t xml:space="preserve"> CIDH, Informe No. 40/04, Caso 12.053, Comunidades Indígenas Mayas del Distrito de Toledo (Belice), 12 de octubre de 2004, párr. 132.</w:t>
      </w:r>
    </w:p>
  </w:footnote>
  <w:footnote w:id="141">
    <w:p w14:paraId="17FC2DE4" w14:textId="77777777" w:rsidR="00824850" w:rsidRPr="00106E98" w:rsidRDefault="00824850" w:rsidP="00A931A2">
      <w:pPr>
        <w:pStyle w:val="Footnotes"/>
      </w:pPr>
      <w:r w:rsidRPr="00106E98">
        <w:rPr>
          <w:rStyle w:val="FootnoteReference"/>
          <w:rFonts w:eastAsia="Batang"/>
          <w:spacing w:val="0"/>
        </w:rPr>
        <w:footnoteRef/>
      </w:r>
      <w:r w:rsidRPr="00106E98">
        <w:t xml:space="preserve"> Declaración pericial rendida mediante afidávit por la señora Victoria Tauli-Corpuz de 17 de marzo de 2017</w:t>
      </w:r>
      <w:r>
        <w:t>.</w:t>
      </w:r>
    </w:p>
  </w:footnote>
  <w:footnote w:id="142">
    <w:p w14:paraId="40794AEF" w14:textId="75CAF556" w:rsidR="00824850" w:rsidRPr="00106E98" w:rsidRDefault="00824850" w:rsidP="00A931A2">
      <w:pPr>
        <w:pStyle w:val="Footnotes"/>
        <w:rPr>
          <w:spacing w:val="0"/>
        </w:rPr>
      </w:pPr>
      <w:r w:rsidRPr="00106E98">
        <w:rPr>
          <w:rStyle w:val="FootnoteReference"/>
          <w:rFonts w:eastAsia="Batang"/>
          <w:spacing w:val="0"/>
        </w:rPr>
        <w:footnoteRef/>
      </w:r>
      <w:r w:rsidRPr="00106E98">
        <w:rPr>
          <w:spacing w:val="0"/>
        </w:rPr>
        <w:t xml:space="preserve"> </w:t>
      </w:r>
      <w:r w:rsidRPr="009B71DF">
        <w:rPr>
          <w:lang w:val="es-MX"/>
        </w:rPr>
        <w:t>Corte IDH.</w:t>
      </w:r>
      <w:r w:rsidRPr="009B71DF">
        <w:rPr>
          <w:i/>
        </w:rPr>
        <w:t xml:space="preserve"> Caso Comunidad Garífuna de Punta Piedra y sus miembros Vs. Honduras</w:t>
      </w:r>
      <w:r w:rsidRPr="009B71DF">
        <w:t>. Excepciones Preliminares, Fondo, Reparaciones y Costas. Sentencia de 8 de octubre de 2015. Serie C No. 304</w:t>
      </w:r>
      <w:r>
        <w:t>, párr. 182.</w:t>
      </w:r>
    </w:p>
  </w:footnote>
  <w:footnote w:id="143">
    <w:p w14:paraId="083C9B21" w14:textId="77777777" w:rsidR="00824850" w:rsidRPr="00106E98" w:rsidRDefault="00824850">
      <w:pPr>
        <w:pStyle w:val="FootnoteText"/>
        <w:rPr>
          <w:rFonts w:asciiTheme="majorHAnsi" w:hAnsiTheme="majorHAnsi"/>
          <w:sz w:val="16"/>
          <w:szCs w:val="16"/>
          <w:lang w:val="es-MX"/>
        </w:rPr>
      </w:pPr>
      <w:r w:rsidRPr="00106E98">
        <w:rPr>
          <w:rStyle w:val="FootnoteReference"/>
          <w:rFonts w:asciiTheme="majorHAnsi" w:hAnsiTheme="majorHAnsi"/>
          <w:sz w:val="16"/>
          <w:szCs w:val="16"/>
        </w:rPr>
        <w:footnoteRef/>
      </w:r>
      <w:r w:rsidRPr="00106E98">
        <w:rPr>
          <w:rFonts w:asciiTheme="majorHAnsi" w:hAnsiTheme="majorHAnsi"/>
          <w:sz w:val="16"/>
          <w:szCs w:val="16"/>
          <w:lang w:val="es-MX"/>
        </w:rPr>
        <w:t xml:space="preserve"> Corte IDH. </w:t>
      </w:r>
      <w:r w:rsidRPr="00C81D17">
        <w:rPr>
          <w:rFonts w:asciiTheme="majorHAnsi" w:hAnsiTheme="majorHAnsi"/>
          <w:i/>
          <w:sz w:val="16"/>
          <w:szCs w:val="16"/>
          <w:lang w:val="es-MX"/>
        </w:rPr>
        <w:t>Caso Pueblo Indígena Xucurú y sus miembros Vs. Brasil</w:t>
      </w:r>
      <w:r w:rsidRPr="00106E98">
        <w:rPr>
          <w:rFonts w:asciiTheme="majorHAnsi" w:hAnsiTheme="majorHAnsi"/>
          <w:sz w:val="16"/>
          <w:szCs w:val="16"/>
          <w:lang w:val="es-MX"/>
        </w:rPr>
        <w:t xml:space="preserve">. </w:t>
      </w:r>
      <w:r w:rsidRPr="00106E98">
        <w:rPr>
          <w:rFonts w:asciiTheme="majorHAnsi" w:hAnsiTheme="majorHAnsi"/>
          <w:sz w:val="16"/>
          <w:szCs w:val="16"/>
          <w:lang w:val="es-ES_tradnl"/>
        </w:rPr>
        <w:t>Excepciones preliminares, Fondo, Reparaciones y Costas.</w:t>
      </w:r>
      <w:r w:rsidRPr="00106E98">
        <w:rPr>
          <w:rFonts w:asciiTheme="majorHAnsi" w:hAnsiTheme="majorHAnsi"/>
          <w:sz w:val="16"/>
          <w:szCs w:val="16"/>
          <w:lang w:val="es-MX"/>
        </w:rPr>
        <w:t xml:space="preserve"> Sentencia de 5 de febrero de 2018. Serie C. No. 346, párr. 124.</w:t>
      </w:r>
    </w:p>
  </w:footnote>
  <w:footnote w:id="144">
    <w:p w14:paraId="0709AE30" w14:textId="4970A5AC" w:rsidR="00824850" w:rsidRPr="004A5549" w:rsidRDefault="00824850" w:rsidP="004A5549">
      <w:pPr>
        <w:pStyle w:val="FootnoteText"/>
        <w:jc w:val="both"/>
        <w:rPr>
          <w:rFonts w:asciiTheme="majorHAnsi" w:hAnsiTheme="majorHAnsi"/>
          <w:sz w:val="16"/>
          <w:szCs w:val="16"/>
          <w:lang w:val="es-MX"/>
        </w:rPr>
      </w:pPr>
      <w:r w:rsidRPr="004A5549">
        <w:rPr>
          <w:rStyle w:val="FootnoteReference"/>
          <w:rFonts w:asciiTheme="majorHAnsi" w:hAnsiTheme="majorHAnsi"/>
          <w:sz w:val="16"/>
          <w:szCs w:val="16"/>
        </w:rPr>
        <w:footnoteRef/>
      </w:r>
      <w:r w:rsidRPr="004A5549">
        <w:rPr>
          <w:rFonts w:asciiTheme="majorHAnsi" w:hAnsiTheme="majorHAnsi"/>
          <w:sz w:val="16"/>
          <w:szCs w:val="16"/>
          <w:lang w:val="es-MX"/>
        </w:rPr>
        <w:t xml:space="preserve"> Corte IDH. Caso Vélez Restrepo y familiares  Vs. Colombia. Excepción Preliminar, Fondo, Reparaciones y Costas. Sentencia de 3 de septiembre de 2012. Serie C No. 248, párr.241.</w:t>
      </w:r>
    </w:p>
  </w:footnote>
  <w:footnote w:id="145">
    <w:p w14:paraId="1817EE79" w14:textId="77777777" w:rsidR="00824850" w:rsidRPr="00274982" w:rsidRDefault="00824850" w:rsidP="000D5DE9">
      <w:pPr>
        <w:pStyle w:val="FootnoteText"/>
        <w:tabs>
          <w:tab w:val="left" w:pos="10080"/>
        </w:tabs>
        <w:ind w:right="29"/>
        <w:jc w:val="both"/>
        <w:rPr>
          <w:rFonts w:asciiTheme="majorHAnsi" w:hAnsiTheme="majorHAnsi"/>
          <w:sz w:val="16"/>
          <w:szCs w:val="16"/>
          <w:lang w:val="es-AR"/>
        </w:rPr>
      </w:pPr>
      <w:r w:rsidRPr="00274982">
        <w:rPr>
          <w:rStyle w:val="FootnoteReference"/>
          <w:rFonts w:asciiTheme="majorHAnsi" w:hAnsiTheme="majorHAnsi"/>
          <w:sz w:val="16"/>
          <w:szCs w:val="16"/>
        </w:rPr>
        <w:footnoteRef/>
      </w:r>
      <w:r w:rsidRPr="00274982">
        <w:rPr>
          <w:rStyle w:val="FootnoteReference"/>
          <w:rFonts w:asciiTheme="majorHAnsi" w:hAnsiTheme="majorHAnsi"/>
          <w:lang w:val="es-MX"/>
        </w:rPr>
        <w:t xml:space="preserve"> </w:t>
      </w:r>
      <w:r>
        <w:rPr>
          <w:rFonts w:asciiTheme="majorHAnsi" w:hAnsiTheme="majorHAnsi"/>
          <w:sz w:val="16"/>
          <w:szCs w:val="16"/>
          <w:lang w:val="es-AR"/>
        </w:rPr>
        <w:t>CIDH, Informe de F</w:t>
      </w:r>
      <w:r w:rsidRPr="00274982">
        <w:rPr>
          <w:rFonts w:asciiTheme="majorHAnsi" w:hAnsiTheme="majorHAnsi"/>
          <w:sz w:val="16"/>
          <w:szCs w:val="16"/>
          <w:lang w:val="es-AR"/>
        </w:rPr>
        <w:t>ondo  N° 75/02, Caso 11.140, Mary y Carrie Dann (Estados Unidos), Informe Anual de la CIDH 2002, párr. 140.</w:t>
      </w:r>
    </w:p>
  </w:footnote>
  <w:footnote w:id="146">
    <w:p w14:paraId="6924553F" w14:textId="77777777" w:rsidR="00824850" w:rsidRPr="005B764D" w:rsidRDefault="00824850" w:rsidP="000D5DE9">
      <w:pPr>
        <w:pStyle w:val="FootnoteText"/>
        <w:tabs>
          <w:tab w:val="left" w:pos="10080"/>
        </w:tabs>
        <w:ind w:right="29"/>
        <w:jc w:val="both"/>
        <w:rPr>
          <w:rFonts w:ascii="Univers" w:hAnsi="Univers"/>
          <w:sz w:val="16"/>
          <w:szCs w:val="16"/>
          <w:lang w:val="es-AR"/>
        </w:rPr>
      </w:pPr>
      <w:r w:rsidRPr="00274982">
        <w:rPr>
          <w:rStyle w:val="FootnoteReference"/>
          <w:rFonts w:asciiTheme="majorHAnsi" w:hAnsiTheme="majorHAnsi"/>
          <w:sz w:val="16"/>
          <w:szCs w:val="16"/>
        </w:rPr>
        <w:footnoteRef/>
      </w:r>
      <w:r w:rsidRPr="00274982">
        <w:rPr>
          <w:rFonts w:asciiTheme="majorHAnsi" w:hAnsiTheme="majorHAnsi"/>
          <w:sz w:val="16"/>
          <w:szCs w:val="16"/>
          <w:lang w:val="es-AR"/>
        </w:rPr>
        <w:t xml:space="preserve"> CIDH, Informe sobre la situación de los derechos humanos en Colombia, Capítulo X, 1999. Recomendación No. 4.</w:t>
      </w:r>
      <w:r w:rsidRPr="005B764D">
        <w:rPr>
          <w:rFonts w:ascii="Univers" w:hAnsi="Univers"/>
          <w:sz w:val="16"/>
          <w:szCs w:val="16"/>
          <w:lang w:val="es-AR"/>
        </w:rPr>
        <w:t xml:space="preserve"> </w:t>
      </w:r>
    </w:p>
  </w:footnote>
  <w:footnote w:id="147">
    <w:p w14:paraId="31E7420E" w14:textId="77777777" w:rsidR="00824850" w:rsidRPr="000D5DE9" w:rsidRDefault="00824850" w:rsidP="000D5DE9">
      <w:pPr>
        <w:pStyle w:val="FootnoteText"/>
        <w:jc w:val="both"/>
        <w:rPr>
          <w:rFonts w:asciiTheme="majorHAnsi" w:hAnsiTheme="majorHAnsi"/>
          <w:sz w:val="16"/>
          <w:szCs w:val="16"/>
          <w:lang w:val="es-MX"/>
        </w:rPr>
      </w:pPr>
      <w:r w:rsidRPr="000D5DE9">
        <w:rPr>
          <w:rStyle w:val="FootnoteReference"/>
          <w:rFonts w:asciiTheme="majorHAnsi" w:hAnsiTheme="majorHAnsi"/>
          <w:sz w:val="16"/>
          <w:szCs w:val="16"/>
        </w:rPr>
        <w:footnoteRef/>
      </w:r>
      <w:r w:rsidRPr="000D5DE9">
        <w:rPr>
          <w:rFonts w:asciiTheme="majorHAnsi" w:hAnsiTheme="majorHAnsi"/>
          <w:sz w:val="16"/>
          <w:szCs w:val="16"/>
          <w:lang w:val="es-MX"/>
        </w:rPr>
        <w:t xml:space="preserve"> CIDH. Demanda ante la Corte Interamericana de Derechos Humanos en el caso del Pueblo Indígena Kichwa de Sarayaku y sus miembros contra el Estado de Ecuador. Caso 12.465. 26 de abril de 2010, párr. 121.</w:t>
      </w:r>
    </w:p>
  </w:footnote>
  <w:footnote w:id="148">
    <w:p w14:paraId="0FDDE9B5" w14:textId="77777777" w:rsidR="00824850" w:rsidRPr="009B71DF" w:rsidRDefault="00824850" w:rsidP="009B71DF">
      <w:pPr>
        <w:pStyle w:val="FootnoteText"/>
        <w:tabs>
          <w:tab w:val="left" w:pos="10080"/>
        </w:tabs>
        <w:jc w:val="both"/>
        <w:rPr>
          <w:rFonts w:asciiTheme="majorHAnsi" w:hAnsiTheme="majorHAnsi"/>
          <w:sz w:val="16"/>
          <w:szCs w:val="16"/>
          <w:lang w:val="es-AR"/>
        </w:rPr>
      </w:pPr>
      <w:r w:rsidRPr="009B71DF">
        <w:rPr>
          <w:rStyle w:val="FootnoteReference"/>
          <w:rFonts w:asciiTheme="majorHAnsi" w:hAnsiTheme="majorHAnsi"/>
          <w:sz w:val="16"/>
          <w:szCs w:val="16"/>
        </w:rPr>
        <w:footnoteRef/>
      </w:r>
      <w:r w:rsidRPr="009B71DF">
        <w:rPr>
          <w:rStyle w:val="FootnoteReference"/>
          <w:rFonts w:asciiTheme="majorHAnsi" w:hAnsiTheme="majorHAnsi"/>
          <w:lang w:val="es-MX"/>
        </w:rPr>
        <w:t xml:space="preserve"> </w:t>
      </w:r>
      <w:r w:rsidRPr="009B71DF">
        <w:rPr>
          <w:rFonts w:asciiTheme="majorHAnsi" w:hAnsiTheme="majorHAnsi"/>
          <w:sz w:val="16"/>
          <w:szCs w:val="16"/>
          <w:lang w:val="es-AR"/>
        </w:rPr>
        <w:t xml:space="preserve">CIDH, Informe sobre acceso a la justicia e inclusión social: El camino hacia el fortalecimiento de la democracia en Bolivia. Capítulo IV, Derechos de los pueblos indígenas y comunidades campesinas, párr. 248. </w:t>
      </w:r>
      <w:r w:rsidRPr="009B71DF">
        <w:rPr>
          <w:rFonts w:asciiTheme="majorHAnsi" w:hAnsiTheme="majorHAnsi"/>
          <w:sz w:val="16"/>
          <w:szCs w:val="16"/>
          <w:lang w:val="es-ES_tradnl"/>
        </w:rPr>
        <w:t>Bolivia ratificó el Convenio No. 169 de la OIT en 1991.</w:t>
      </w:r>
    </w:p>
  </w:footnote>
  <w:footnote w:id="149">
    <w:p w14:paraId="4F5B7754" w14:textId="77777777" w:rsidR="00824850" w:rsidRPr="009B71DF" w:rsidRDefault="00824850" w:rsidP="009B71DF">
      <w:pPr>
        <w:pStyle w:val="FootnoteText"/>
        <w:jc w:val="both"/>
        <w:rPr>
          <w:rFonts w:asciiTheme="majorHAnsi" w:hAnsiTheme="majorHAnsi"/>
          <w:sz w:val="16"/>
          <w:szCs w:val="16"/>
          <w:lang w:val="es-MX"/>
        </w:rPr>
      </w:pPr>
      <w:r w:rsidRPr="009B71DF">
        <w:rPr>
          <w:rStyle w:val="FootnoteReference"/>
          <w:rFonts w:asciiTheme="majorHAnsi" w:hAnsiTheme="majorHAnsi"/>
          <w:sz w:val="16"/>
          <w:szCs w:val="16"/>
        </w:rPr>
        <w:footnoteRef/>
      </w:r>
      <w:r w:rsidRPr="009B71DF">
        <w:rPr>
          <w:rFonts w:asciiTheme="majorHAnsi" w:hAnsiTheme="majorHAnsi"/>
          <w:sz w:val="16"/>
          <w:szCs w:val="16"/>
          <w:lang w:val="es-MX"/>
        </w:rPr>
        <w:t xml:space="preserve"> Corte IDH., </w:t>
      </w:r>
      <w:r w:rsidRPr="009B71DF">
        <w:rPr>
          <w:rFonts w:asciiTheme="majorHAnsi" w:hAnsiTheme="majorHAnsi"/>
          <w:i/>
          <w:sz w:val="16"/>
          <w:szCs w:val="16"/>
          <w:lang w:val="es-MX"/>
        </w:rPr>
        <w:t>Caso del Pueblo Saramaka Vs. Surinam.</w:t>
      </w:r>
      <w:r w:rsidRPr="009B71DF">
        <w:rPr>
          <w:rFonts w:asciiTheme="majorHAnsi" w:hAnsiTheme="majorHAnsi" w:cs="Arial"/>
          <w:sz w:val="16"/>
          <w:szCs w:val="16"/>
          <w:lang w:val="es-ES"/>
        </w:rPr>
        <w:t xml:space="preserve"> Excepciones Preliminares, Fondo, Reparaciones y Costas. Sentencia de 28 de noviembre de 2007. Serie C No. 172,</w:t>
      </w:r>
      <w:r w:rsidRPr="009B71DF">
        <w:rPr>
          <w:rFonts w:asciiTheme="majorHAnsi" w:hAnsiTheme="majorHAnsi"/>
          <w:i/>
          <w:sz w:val="16"/>
          <w:szCs w:val="16"/>
          <w:lang w:val="es-MX"/>
        </w:rPr>
        <w:t xml:space="preserve"> </w:t>
      </w:r>
      <w:r w:rsidRPr="009B71DF">
        <w:rPr>
          <w:rFonts w:asciiTheme="majorHAnsi" w:hAnsiTheme="majorHAnsi"/>
          <w:sz w:val="16"/>
          <w:szCs w:val="16"/>
          <w:lang w:val="es-MX"/>
        </w:rPr>
        <w:t>párr. 129; Corte IDH.</w:t>
      </w:r>
      <w:r w:rsidRPr="009B71DF">
        <w:rPr>
          <w:rFonts w:asciiTheme="majorHAnsi" w:hAnsiTheme="majorHAnsi" w:cs="Arial"/>
          <w:i/>
          <w:sz w:val="16"/>
          <w:szCs w:val="16"/>
          <w:lang w:val="es-ES"/>
        </w:rPr>
        <w:t xml:space="preserve"> Caso Comunidad Garífuna de Punta Piedra y sus miembros Vs. Honduras</w:t>
      </w:r>
      <w:r w:rsidRPr="009B71DF">
        <w:rPr>
          <w:rFonts w:asciiTheme="majorHAnsi" w:hAnsiTheme="majorHAnsi" w:cs="Arial"/>
          <w:sz w:val="16"/>
          <w:szCs w:val="16"/>
          <w:lang w:val="es-ES"/>
        </w:rPr>
        <w:t>. Excepciones Preliminares, Fondo, Reparaciones y Costas. Sentencia de 8 de octubre de 2015. Serie C No. 304, párr. 215.</w:t>
      </w:r>
    </w:p>
  </w:footnote>
  <w:footnote w:id="150">
    <w:p w14:paraId="788CCCFD" w14:textId="6F611634" w:rsidR="00824850" w:rsidRPr="00430589" w:rsidRDefault="00824850" w:rsidP="00430589">
      <w:pPr>
        <w:pStyle w:val="FootnoteText"/>
        <w:jc w:val="both"/>
        <w:rPr>
          <w:rFonts w:asciiTheme="majorHAnsi" w:hAnsiTheme="majorHAnsi"/>
          <w:sz w:val="16"/>
          <w:szCs w:val="16"/>
          <w:lang w:val="es-MX"/>
        </w:rPr>
      </w:pPr>
      <w:r w:rsidRPr="00430589">
        <w:rPr>
          <w:rStyle w:val="FootnoteReference"/>
          <w:rFonts w:asciiTheme="majorHAnsi" w:hAnsiTheme="majorHAnsi"/>
          <w:sz w:val="16"/>
          <w:szCs w:val="16"/>
        </w:rPr>
        <w:footnoteRef/>
      </w:r>
      <w:r w:rsidRPr="00430589">
        <w:rPr>
          <w:rFonts w:asciiTheme="majorHAnsi" w:hAnsiTheme="majorHAnsi"/>
          <w:sz w:val="16"/>
          <w:szCs w:val="16"/>
          <w:lang w:val="es-MX"/>
        </w:rPr>
        <w:t xml:space="preserve"> Corte</w:t>
      </w:r>
      <w:r w:rsidRPr="00534BC1">
        <w:rPr>
          <w:rFonts w:asciiTheme="majorHAnsi" w:hAnsiTheme="majorHAnsi"/>
          <w:sz w:val="16"/>
          <w:szCs w:val="16"/>
          <w:lang w:val="es-MX"/>
        </w:rPr>
        <w:t xml:space="preserve"> IDH., Caso del Pueblo Saramaka Vs. Surinam. Excepciones Preliminares, Fondo, Reparaciones y Costas. Sentencia de 28 de </w:t>
      </w:r>
      <w:r w:rsidRPr="00430589">
        <w:rPr>
          <w:rFonts w:asciiTheme="majorHAnsi" w:hAnsiTheme="majorHAnsi"/>
          <w:sz w:val="16"/>
          <w:szCs w:val="16"/>
          <w:lang w:val="es-MX"/>
        </w:rPr>
        <w:t>noviembre de 2007. Serie C No. 172, párr. 133</w:t>
      </w:r>
    </w:p>
  </w:footnote>
  <w:footnote w:id="151">
    <w:p w14:paraId="59EC0215" w14:textId="527C7D6E" w:rsidR="00824850" w:rsidRPr="00430589" w:rsidRDefault="00824850" w:rsidP="00430589">
      <w:pPr>
        <w:pStyle w:val="FootnoteText"/>
        <w:jc w:val="both"/>
        <w:rPr>
          <w:rFonts w:asciiTheme="majorHAnsi" w:hAnsiTheme="majorHAnsi"/>
          <w:sz w:val="16"/>
          <w:szCs w:val="16"/>
          <w:lang w:val="es-MX"/>
        </w:rPr>
      </w:pPr>
      <w:r w:rsidRPr="00430589">
        <w:rPr>
          <w:rStyle w:val="FootnoteReference"/>
          <w:rFonts w:asciiTheme="majorHAnsi" w:hAnsiTheme="majorHAnsi"/>
          <w:sz w:val="16"/>
          <w:szCs w:val="16"/>
        </w:rPr>
        <w:footnoteRef/>
      </w:r>
      <w:r w:rsidRPr="00430589">
        <w:rPr>
          <w:rFonts w:asciiTheme="majorHAnsi" w:hAnsiTheme="majorHAnsi"/>
          <w:sz w:val="16"/>
          <w:szCs w:val="16"/>
          <w:lang w:val="es-MX"/>
        </w:rPr>
        <w:t xml:space="preserve"> Corte IDH. Caso Pueblos Kaliña y Lokono Vs. Surinam. Fondo, Reparaciones y Costsa. Sentencia de 25 de noviembre de 2015. Serie C No. 309, párr. 207. </w:t>
      </w:r>
    </w:p>
  </w:footnote>
  <w:footnote w:id="152">
    <w:p w14:paraId="7C871557" w14:textId="0AD9B992" w:rsidR="00824850" w:rsidRPr="00534BC1" w:rsidRDefault="00824850" w:rsidP="00430589">
      <w:pPr>
        <w:pStyle w:val="FootnoteText"/>
        <w:jc w:val="both"/>
        <w:rPr>
          <w:rFonts w:asciiTheme="majorHAnsi" w:hAnsiTheme="majorHAnsi"/>
          <w:sz w:val="16"/>
          <w:szCs w:val="16"/>
          <w:lang w:val="es-MX"/>
        </w:rPr>
      </w:pPr>
      <w:r w:rsidRPr="00430589">
        <w:rPr>
          <w:rStyle w:val="FootnoteReference"/>
          <w:rFonts w:asciiTheme="majorHAnsi" w:hAnsiTheme="majorHAnsi"/>
          <w:sz w:val="16"/>
          <w:szCs w:val="16"/>
        </w:rPr>
        <w:footnoteRef/>
      </w:r>
      <w:r w:rsidRPr="00430589">
        <w:rPr>
          <w:rFonts w:asciiTheme="majorHAnsi" w:hAnsiTheme="majorHAnsi"/>
          <w:sz w:val="16"/>
          <w:szCs w:val="16"/>
          <w:lang w:val="es-MX"/>
        </w:rPr>
        <w:t xml:space="preserve"> Corte IDH., Caso del Pueblo Saramaka Vs. Surinam. Excepciones Preliminares, Fondo, Reparaciones y Costas. Sentencia de 28 de noviembre de 2007. Serie C No. 172, párr. 133</w:t>
      </w:r>
      <w:r>
        <w:rPr>
          <w:rFonts w:asciiTheme="majorHAnsi" w:hAnsiTheme="majorHAnsi"/>
          <w:sz w:val="16"/>
          <w:szCs w:val="16"/>
          <w:lang w:val="es-MX"/>
        </w:rPr>
        <w:t>.</w:t>
      </w:r>
    </w:p>
  </w:footnote>
  <w:footnote w:id="153">
    <w:p w14:paraId="420DB44F" w14:textId="670DCAC3" w:rsidR="00824850" w:rsidRPr="00BF654F" w:rsidRDefault="00824850" w:rsidP="00BD465D">
      <w:pPr>
        <w:pStyle w:val="FootnoteText"/>
        <w:jc w:val="both"/>
        <w:rPr>
          <w:rFonts w:asciiTheme="majorHAnsi" w:hAnsiTheme="majorHAnsi"/>
          <w:sz w:val="16"/>
          <w:szCs w:val="16"/>
          <w:lang w:val="es-MX"/>
        </w:rPr>
      </w:pPr>
      <w:r w:rsidRPr="00BF654F">
        <w:rPr>
          <w:rStyle w:val="FootnoteReference"/>
          <w:rFonts w:asciiTheme="majorHAnsi" w:hAnsiTheme="majorHAnsi"/>
          <w:sz w:val="16"/>
          <w:szCs w:val="16"/>
        </w:rPr>
        <w:footnoteRef/>
      </w:r>
      <w:r w:rsidRPr="00BF654F">
        <w:rPr>
          <w:rFonts w:asciiTheme="majorHAnsi" w:hAnsiTheme="majorHAnsi"/>
          <w:sz w:val="16"/>
          <w:szCs w:val="16"/>
          <w:lang w:val="es-MX"/>
        </w:rPr>
        <w:t xml:space="preserve"> Corte IDH., </w:t>
      </w:r>
      <w:r w:rsidRPr="00BF654F">
        <w:rPr>
          <w:rFonts w:asciiTheme="majorHAnsi" w:hAnsiTheme="majorHAnsi"/>
          <w:i/>
          <w:sz w:val="16"/>
          <w:szCs w:val="16"/>
          <w:lang w:val="es-MX"/>
        </w:rPr>
        <w:t>Caso del Pueblo Saramaka Vs. Surinam.</w:t>
      </w:r>
      <w:r w:rsidRPr="00BF654F">
        <w:rPr>
          <w:rFonts w:asciiTheme="majorHAnsi" w:hAnsiTheme="majorHAnsi" w:cs="Arial"/>
          <w:sz w:val="16"/>
          <w:szCs w:val="16"/>
          <w:lang w:val="es-ES"/>
        </w:rPr>
        <w:t xml:space="preserve"> Excepciones Preliminares, Fondo, Reparaciones y Costas. Sentencia de 28 de noviembre de 2007. Serie C No. 172,</w:t>
      </w:r>
      <w:r w:rsidRPr="00BF654F">
        <w:rPr>
          <w:rFonts w:asciiTheme="majorHAnsi" w:hAnsiTheme="majorHAnsi"/>
          <w:i/>
          <w:sz w:val="16"/>
          <w:szCs w:val="16"/>
          <w:lang w:val="es-ES"/>
        </w:rPr>
        <w:t xml:space="preserve"> </w:t>
      </w:r>
      <w:r w:rsidRPr="00BF654F">
        <w:rPr>
          <w:rFonts w:asciiTheme="majorHAnsi" w:hAnsiTheme="majorHAnsi"/>
          <w:sz w:val="16"/>
          <w:szCs w:val="16"/>
          <w:lang w:val="es-ES"/>
        </w:rPr>
        <w:t>párr. 1</w:t>
      </w:r>
      <w:r>
        <w:rPr>
          <w:rFonts w:asciiTheme="majorHAnsi" w:hAnsiTheme="majorHAnsi"/>
          <w:sz w:val="16"/>
          <w:szCs w:val="16"/>
          <w:lang w:val="es-ES"/>
        </w:rPr>
        <w:t xml:space="preserve">29; </w:t>
      </w:r>
      <w:r>
        <w:rPr>
          <w:rFonts w:asciiTheme="majorHAnsi" w:hAnsiTheme="majorHAnsi"/>
          <w:sz w:val="16"/>
          <w:szCs w:val="16"/>
          <w:lang w:val="es-MX"/>
        </w:rPr>
        <w:t xml:space="preserve">Corte IDH, </w:t>
      </w:r>
      <w:r w:rsidRPr="00BF654F">
        <w:rPr>
          <w:rFonts w:asciiTheme="majorHAnsi" w:hAnsiTheme="majorHAnsi"/>
          <w:i/>
          <w:sz w:val="16"/>
          <w:szCs w:val="16"/>
          <w:lang w:val="es-MX"/>
        </w:rPr>
        <w:t>Caso Pueblos Kaliña y Lokono</w:t>
      </w:r>
      <w:r w:rsidRPr="00430589">
        <w:rPr>
          <w:rFonts w:asciiTheme="majorHAnsi" w:hAnsiTheme="majorHAnsi"/>
          <w:sz w:val="16"/>
          <w:szCs w:val="16"/>
          <w:lang w:val="es-MX"/>
        </w:rPr>
        <w:t xml:space="preserve"> Vs. Surinam. Fondo, Reparaciones y Costa</w:t>
      </w:r>
      <w:r>
        <w:rPr>
          <w:rFonts w:asciiTheme="majorHAnsi" w:hAnsiTheme="majorHAnsi"/>
          <w:sz w:val="16"/>
          <w:szCs w:val="16"/>
          <w:lang w:val="es-MX"/>
        </w:rPr>
        <w:t>s</w:t>
      </w:r>
      <w:r w:rsidRPr="00430589">
        <w:rPr>
          <w:rFonts w:asciiTheme="majorHAnsi" w:hAnsiTheme="majorHAnsi"/>
          <w:sz w:val="16"/>
          <w:szCs w:val="16"/>
          <w:lang w:val="es-MX"/>
        </w:rPr>
        <w:t>. Sentencia de 25 de noviembre de 2015. Serie C No. 309, párr. 2</w:t>
      </w:r>
      <w:r>
        <w:rPr>
          <w:rFonts w:asciiTheme="majorHAnsi" w:hAnsiTheme="majorHAnsi"/>
          <w:sz w:val="16"/>
          <w:szCs w:val="16"/>
          <w:lang w:val="es-MX"/>
        </w:rPr>
        <w:t>14</w:t>
      </w:r>
      <w:r w:rsidRPr="00430589">
        <w:rPr>
          <w:rFonts w:asciiTheme="majorHAnsi" w:hAnsiTheme="majorHAnsi"/>
          <w:sz w:val="16"/>
          <w:szCs w:val="16"/>
          <w:lang w:val="es-MX"/>
        </w:rPr>
        <w:t>.</w:t>
      </w:r>
    </w:p>
  </w:footnote>
  <w:footnote w:id="154">
    <w:p w14:paraId="3D8718CD" w14:textId="424CAA96" w:rsidR="00824850" w:rsidRPr="00BD465D" w:rsidRDefault="00824850" w:rsidP="00BD465D">
      <w:pPr>
        <w:pStyle w:val="FootnoteText"/>
        <w:jc w:val="both"/>
        <w:rPr>
          <w:rFonts w:asciiTheme="majorHAnsi" w:hAnsiTheme="majorHAnsi"/>
          <w:sz w:val="16"/>
          <w:szCs w:val="16"/>
          <w:lang w:val="es-PE"/>
        </w:rPr>
      </w:pPr>
      <w:r w:rsidRPr="00BF654F">
        <w:rPr>
          <w:rStyle w:val="FootnoteReference"/>
          <w:rFonts w:asciiTheme="majorHAnsi" w:hAnsiTheme="majorHAnsi"/>
          <w:sz w:val="16"/>
          <w:szCs w:val="16"/>
        </w:rPr>
        <w:footnoteRef/>
      </w:r>
      <w:r w:rsidRPr="00BF654F">
        <w:rPr>
          <w:rFonts w:asciiTheme="majorHAnsi" w:hAnsiTheme="majorHAnsi"/>
          <w:sz w:val="16"/>
          <w:szCs w:val="16"/>
          <w:lang w:val="es-MX"/>
        </w:rPr>
        <w:t xml:space="preserve"> </w:t>
      </w:r>
      <w:r>
        <w:rPr>
          <w:rFonts w:asciiTheme="majorHAnsi" w:hAnsiTheme="majorHAnsi"/>
          <w:sz w:val="16"/>
          <w:szCs w:val="16"/>
          <w:lang w:val="es-MX"/>
        </w:rPr>
        <w:t xml:space="preserve">Corte IDH., </w:t>
      </w:r>
      <w:r w:rsidRPr="00BF654F">
        <w:rPr>
          <w:rFonts w:asciiTheme="majorHAnsi" w:hAnsiTheme="majorHAnsi"/>
          <w:i/>
          <w:sz w:val="16"/>
          <w:szCs w:val="16"/>
          <w:lang w:val="es-MX"/>
        </w:rPr>
        <w:t>Caso del Pueblo Saramaka</w:t>
      </w:r>
      <w:r>
        <w:rPr>
          <w:rFonts w:asciiTheme="majorHAnsi" w:hAnsiTheme="majorHAnsi"/>
          <w:i/>
          <w:sz w:val="16"/>
          <w:szCs w:val="16"/>
          <w:lang w:val="es-MX"/>
        </w:rPr>
        <w:t xml:space="preserve"> Vs Surinam</w:t>
      </w:r>
      <w:r w:rsidRPr="00BF654F">
        <w:rPr>
          <w:rFonts w:asciiTheme="majorHAnsi" w:hAnsiTheme="majorHAnsi"/>
          <w:i/>
          <w:sz w:val="16"/>
          <w:szCs w:val="16"/>
          <w:lang w:val="es-MX"/>
        </w:rPr>
        <w:t xml:space="preserve">. </w:t>
      </w:r>
      <w:r w:rsidRPr="00BD465D">
        <w:rPr>
          <w:rFonts w:asciiTheme="majorHAnsi" w:hAnsiTheme="majorHAnsi"/>
          <w:sz w:val="16"/>
          <w:szCs w:val="16"/>
          <w:lang w:val="es-MX"/>
        </w:rPr>
        <w:t>Interpretación de la Sentencia.</w:t>
      </w:r>
      <w:r>
        <w:rPr>
          <w:rFonts w:asciiTheme="majorHAnsi" w:hAnsiTheme="majorHAnsi"/>
          <w:sz w:val="16"/>
          <w:szCs w:val="16"/>
          <w:lang w:val="es-MX"/>
        </w:rPr>
        <w:t xml:space="preserve"> Sentencia de 12 de agosto de 2008. Serie C No. 185, párr. 42.</w:t>
      </w:r>
    </w:p>
  </w:footnote>
  <w:footnote w:id="155">
    <w:p w14:paraId="640CFA96" w14:textId="535C96D0" w:rsidR="00824850" w:rsidRPr="00BF654F" w:rsidRDefault="00824850" w:rsidP="00A931A2">
      <w:pPr>
        <w:pStyle w:val="Footnotes"/>
      </w:pPr>
      <w:r w:rsidRPr="00BF654F">
        <w:rPr>
          <w:rStyle w:val="FootnoteReference"/>
        </w:rPr>
        <w:footnoteRef/>
      </w:r>
      <w:r w:rsidRPr="00BF654F">
        <w:t xml:space="preserve"> </w:t>
      </w:r>
      <w:r>
        <w:t xml:space="preserve"> Corte IDH. </w:t>
      </w:r>
      <w:r w:rsidRPr="00BF654F">
        <w:rPr>
          <w:i/>
        </w:rPr>
        <w:t xml:space="preserve">Caso del Pueblo Saramaka. </w:t>
      </w:r>
      <w:r w:rsidRPr="00BD465D">
        <w:t>Interpretación de la Sentencia</w:t>
      </w:r>
      <w:r>
        <w:t>. Sentencia de 12 de agosto de 2008. Serie C No. 185, p</w:t>
      </w:r>
      <w:r w:rsidRPr="00BF654F">
        <w:t>árr. 41</w:t>
      </w:r>
      <w:r>
        <w:t>;</w:t>
      </w:r>
      <w:r w:rsidRPr="00BF654F">
        <w:t xml:space="preserve"> </w:t>
      </w:r>
      <w:r>
        <w:t xml:space="preserve">Corte IDH.; </w:t>
      </w:r>
      <w:r w:rsidRPr="00BF654F">
        <w:rPr>
          <w:i/>
          <w:lang w:val="es-MX"/>
        </w:rPr>
        <w:t>Caso Pueblos Kaliña y Lokono</w:t>
      </w:r>
      <w:r w:rsidRPr="00430589">
        <w:rPr>
          <w:lang w:val="es-MX"/>
        </w:rPr>
        <w:t xml:space="preserve"> </w:t>
      </w:r>
      <w:r w:rsidRPr="001F54B5">
        <w:rPr>
          <w:i/>
          <w:lang w:val="es-MX"/>
        </w:rPr>
        <w:t>Vs. Surinam</w:t>
      </w:r>
      <w:r w:rsidRPr="00430589">
        <w:rPr>
          <w:lang w:val="es-MX"/>
        </w:rPr>
        <w:t>. Fondo, Reparaciones y Costa</w:t>
      </w:r>
      <w:r>
        <w:rPr>
          <w:lang w:val="es-MX"/>
        </w:rPr>
        <w:t>s</w:t>
      </w:r>
      <w:r w:rsidRPr="00430589">
        <w:rPr>
          <w:lang w:val="es-MX"/>
        </w:rPr>
        <w:t>. Sentencia de 25 de noviembre de 2015. Serie C No. 309, párr. 2</w:t>
      </w:r>
      <w:r>
        <w:rPr>
          <w:lang w:val="es-MX"/>
        </w:rPr>
        <w:t>15.</w:t>
      </w:r>
    </w:p>
  </w:footnote>
  <w:footnote w:id="156">
    <w:p w14:paraId="60F63025" w14:textId="407048B2" w:rsidR="00824850" w:rsidRPr="00BF654F" w:rsidRDefault="00824850" w:rsidP="00A931A2">
      <w:pPr>
        <w:pStyle w:val="Footnotes"/>
        <w:rPr>
          <w:lang w:val="es-MX"/>
        </w:rPr>
      </w:pPr>
      <w:r w:rsidRPr="00BF654F">
        <w:rPr>
          <w:rStyle w:val="FootnoteReference"/>
        </w:rPr>
        <w:footnoteRef/>
      </w:r>
      <w:r w:rsidRPr="00BF654F">
        <w:rPr>
          <w:lang w:val="es-MX"/>
        </w:rPr>
        <w:t xml:space="preserve"> </w:t>
      </w:r>
      <w:r>
        <w:t xml:space="preserve">Corte IDH. </w:t>
      </w:r>
      <w:r w:rsidRPr="00BF654F">
        <w:rPr>
          <w:i/>
        </w:rPr>
        <w:t xml:space="preserve">Caso del Pueblo Saramaka. </w:t>
      </w:r>
      <w:r w:rsidRPr="00BD465D">
        <w:t>Interpretación de la Sentencia</w:t>
      </w:r>
      <w:r>
        <w:t>. Sentencia de 12 de agosto de 2008. Serie C No. 185, p</w:t>
      </w:r>
      <w:r w:rsidRPr="00BF654F">
        <w:t>árr. 41</w:t>
      </w:r>
      <w:r>
        <w:t xml:space="preserve">; </w:t>
      </w:r>
      <w:r>
        <w:rPr>
          <w:rFonts w:eastAsia="Batang"/>
        </w:rPr>
        <w:t xml:space="preserve">Corte IDH., </w:t>
      </w:r>
      <w:r w:rsidRPr="00BF654F">
        <w:rPr>
          <w:i/>
          <w:lang w:val="es-MX"/>
        </w:rPr>
        <w:t xml:space="preserve">Caso Pueblos Kaliña y </w:t>
      </w:r>
      <w:r w:rsidRPr="001F54B5">
        <w:rPr>
          <w:lang w:val="es-MX"/>
        </w:rPr>
        <w:t>Lokono Vs. Surinam</w:t>
      </w:r>
      <w:r w:rsidRPr="00430589">
        <w:rPr>
          <w:lang w:val="es-MX"/>
        </w:rPr>
        <w:t>. Fondo, Reparaciones y Co</w:t>
      </w:r>
      <w:r>
        <w:rPr>
          <w:lang w:val="es-MX"/>
        </w:rPr>
        <w:t>s</w:t>
      </w:r>
      <w:r w:rsidRPr="00430589">
        <w:rPr>
          <w:lang w:val="es-MX"/>
        </w:rPr>
        <w:t>ta</w:t>
      </w:r>
      <w:r>
        <w:rPr>
          <w:lang w:val="es-MX"/>
        </w:rPr>
        <w:t>s</w:t>
      </w:r>
      <w:r w:rsidRPr="00430589">
        <w:rPr>
          <w:lang w:val="es-MX"/>
        </w:rPr>
        <w:t>. Sentencia de 25 de noviembre de 2015. Serie C No. 309, párr. 2</w:t>
      </w:r>
      <w:r>
        <w:rPr>
          <w:lang w:val="es-MX"/>
        </w:rPr>
        <w:t>15.</w:t>
      </w:r>
    </w:p>
  </w:footnote>
  <w:footnote w:id="157">
    <w:p w14:paraId="02FDC2A9" w14:textId="77777777" w:rsidR="00824850" w:rsidRPr="004949C9" w:rsidRDefault="00824850" w:rsidP="00BD465D">
      <w:pPr>
        <w:pStyle w:val="FootnoteText"/>
        <w:jc w:val="both"/>
        <w:rPr>
          <w:rFonts w:asciiTheme="majorHAnsi" w:hAnsiTheme="majorHAnsi"/>
          <w:sz w:val="16"/>
          <w:szCs w:val="16"/>
          <w:lang w:val="es-ES"/>
        </w:rPr>
      </w:pPr>
      <w:r w:rsidRPr="00BF654F">
        <w:rPr>
          <w:rStyle w:val="FootnoteReference"/>
          <w:rFonts w:asciiTheme="majorHAnsi" w:hAnsiTheme="majorHAnsi"/>
          <w:sz w:val="16"/>
          <w:szCs w:val="16"/>
        </w:rPr>
        <w:footnoteRef/>
      </w:r>
      <w:r w:rsidRPr="00BF654F">
        <w:rPr>
          <w:rFonts w:asciiTheme="majorHAnsi" w:hAnsiTheme="majorHAnsi"/>
          <w:sz w:val="16"/>
          <w:szCs w:val="16"/>
          <w:lang w:val="es-MX"/>
        </w:rPr>
        <w:t xml:space="preserve"> Corte IDH., </w:t>
      </w:r>
      <w:r w:rsidRPr="00BF654F">
        <w:rPr>
          <w:rFonts w:asciiTheme="majorHAnsi" w:hAnsiTheme="majorHAnsi"/>
          <w:i/>
          <w:sz w:val="16"/>
          <w:szCs w:val="16"/>
          <w:lang w:val="es-MX"/>
        </w:rPr>
        <w:t>Caso del Pueblo Saramaka Vs. Surinam.</w:t>
      </w:r>
      <w:r w:rsidRPr="00BF654F">
        <w:rPr>
          <w:rFonts w:asciiTheme="majorHAnsi" w:hAnsiTheme="majorHAnsi" w:cs="Arial"/>
          <w:sz w:val="16"/>
          <w:szCs w:val="16"/>
          <w:lang w:val="es-ES"/>
        </w:rPr>
        <w:t xml:space="preserve"> Excepciones Preliminares, Fondo, Reparaciones y Costas. Sentencia de 28 de noviembre de 2007. Serie C No. 172,</w:t>
      </w:r>
      <w:r w:rsidRPr="00BF654F">
        <w:rPr>
          <w:rFonts w:asciiTheme="majorHAnsi" w:hAnsiTheme="majorHAnsi"/>
          <w:i/>
          <w:sz w:val="16"/>
          <w:szCs w:val="16"/>
          <w:lang w:val="es-ES"/>
        </w:rPr>
        <w:t xml:space="preserve"> </w:t>
      </w:r>
      <w:r w:rsidRPr="00BF654F">
        <w:rPr>
          <w:rFonts w:asciiTheme="majorHAnsi" w:hAnsiTheme="majorHAnsi"/>
          <w:sz w:val="16"/>
          <w:szCs w:val="16"/>
          <w:lang w:val="es-ES"/>
        </w:rPr>
        <w:t>párr. 134.</w:t>
      </w:r>
    </w:p>
  </w:footnote>
  <w:footnote w:id="158">
    <w:p w14:paraId="60F1A281" w14:textId="2D3811C5" w:rsidR="00824850" w:rsidRPr="00EE1152" w:rsidRDefault="00824850" w:rsidP="001C6748">
      <w:pPr>
        <w:pStyle w:val="FootnoteText"/>
        <w:jc w:val="both"/>
        <w:rPr>
          <w:rFonts w:asciiTheme="majorHAnsi" w:hAnsiTheme="majorHAnsi"/>
          <w:sz w:val="16"/>
          <w:szCs w:val="16"/>
          <w:lang w:val="es-PE"/>
        </w:rPr>
      </w:pPr>
      <w:r w:rsidRPr="00EE1152">
        <w:rPr>
          <w:rStyle w:val="FootnoteReference"/>
          <w:rFonts w:asciiTheme="majorHAnsi" w:hAnsiTheme="majorHAnsi"/>
          <w:sz w:val="16"/>
          <w:szCs w:val="16"/>
        </w:rPr>
        <w:footnoteRef/>
      </w:r>
      <w:r w:rsidRPr="00EE1152">
        <w:rPr>
          <w:rFonts w:asciiTheme="majorHAnsi" w:hAnsiTheme="majorHAnsi"/>
          <w:sz w:val="16"/>
          <w:szCs w:val="16"/>
          <w:lang w:val="es-PE"/>
        </w:rPr>
        <w:t xml:space="preserve"> </w:t>
      </w:r>
      <w:r w:rsidRPr="00C75856">
        <w:rPr>
          <w:rFonts w:asciiTheme="majorHAnsi" w:hAnsiTheme="majorHAnsi"/>
          <w:sz w:val="16"/>
          <w:szCs w:val="16"/>
          <w:lang w:val="es-PE"/>
        </w:rPr>
        <w:t>CIDH. Pueblos ind</w:t>
      </w:r>
      <w:r w:rsidRPr="00580B83">
        <w:rPr>
          <w:rFonts w:asciiTheme="majorHAnsi" w:hAnsiTheme="majorHAnsi"/>
          <w:sz w:val="16"/>
          <w:szCs w:val="16"/>
          <w:lang w:val="es-PE"/>
        </w:rPr>
        <w:t xml:space="preserve">ígenas, comunidades afrodescendientes y recursos naturales: protección de derechos humanos en el contexto de actividades de extracción, explotación y desarrollo. </w:t>
      </w:r>
      <w:r w:rsidRPr="00EE1152">
        <w:rPr>
          <w:rFonts w:asciiTheme="majorHAnsi" w:hAnsiTheme="majorHAnsi"/>
          <w:sz w:val="16"/>
          <w:szCs w:val="16"/>
          <w:lang w:val="es-PE"/>
        </w:rPr>
        <w:t xml:space="preserve">OEA/Ser.L/V/II. Doc. 47/15, 31 diciembre 2015 </w:t>
      </w:r>
      <w:r w:rsidRPr="00C75856">
        <w:rPr>
          <w:rFonts w:asciiTheme="majorHAnsi" w:hAnsiTheme="majorHAnsi"/>
          <w:sz w:val="16"/>
          <w:szCs w:val="16"/>
          <w:lang w:val="es-PE"/>
        </w:rPr>
        <w:t>párrs.</w:t>
      </w:r>
      <w:r w:rsidRPr="00580B83">
        <w:rPr>
          <w:rFonts w:asciiTheme="majorHAnsi" w:hAnsiTheme="majorHAnsi"/>
          <w:sz w:val="16"/>
          <w:szCs w:val="16"/>
          <w:lang w:val="es-PE"/>
        </w:rPr>
        <w:t xml:space="preserve"> </w:t>
      </w:r>
      <w:r w:rsidRPr="00EE1152">
        <w:rPr>
          <w:rFonts w:asciiTheme="majorHAnsi" w:hAnsiTheme="majorHAnsi"/>
          <w:sz w:val="16"/>
          <w:szCs w:val="16"/>
          <w:lang w:val="es-PE"/>
        </w:rPr>
        <w:t>67, 156, 161</w:t>
      </w:r>
      <w:r>
        <w:rPr>
          <w:rFonts w:asciiTheme="majorHAnsi" w:hAnsiTheme="majorHAnsi"/>
          <w:sz w:val="16"/>
          <w:szCs w:val="16"/>
          <w:lang w:val="es-PE"/>
        </w:rPr>
        <w:t>.</w:t>
      </w:r>
    </w:p>
  </w:footnote>
  <w:footnote w:id="159">
    <w:p w14:paraId="10D88753" w14:textId="5B0E7A59" w:rsidR="00824850" w:rsidRPr="00EE1152" w:rsidRDefault="00824850" w:rsidP="0039760C">
      <w:pPr>
        <w:pStyle w:val="FootnoteText"/>
        <w:jc w:val="both"/>
        <w:rPr>
          <w:lang w:val="es-PE"/>
        </w:rPr>
      </w:pPr>
      <w:r w:rsidRPr="00EE1152">
        <w:rPr>
          <w:rStyle w:val="FootnoteReference"/>
          <w:rFonts w:asciiTheme="majorHAnsi" w:hAnsiTheme="majorHAnsi"/>
          <w:sz w:val="16"/>
          <w:szCs w:val="16"/>
        </w:rPr>
        <w:footnoteRef/>
      </w:r>
      <w:r w:rsidRPr="00EE1152">
        <w:rPr>
          <w:rFonts w:asciiTheme="majorHAnsi" w:hAnsiTheme="majorHAnsi"/>
          <w:sz w:val="16"/>
          <w:szCs w:val="16"/>
          <w:lang w:val="es-PE"/>
        </w:rPr>
        <w:t xml:space="preserve"> CIDH. Informe sobre Pobreza y Derechos Humanos en las Américas. OEA/Ser.L/V/II.164 Doc. 147, 7 septiembre 2017, párrs. 357-375</w:t>
      </w:r>
      <w:r>
        <w:rPr>
          <w:rFonts w:asciiTheme="majorHAnsi" w:hAnsiTheme="majorHAnsi"/>
          <w:sz w:val="16"/>
          <w:szCs w:val="16"/>
          <w:lang w:val="es-PE"/>
        </w:rPr>
        <w:t>.</w:t>
      </w:r>
    </w:p>
  </w:footnote>
  <w:footnote w:id="160">
    <w:p w14:paraId="09D78370" w14:textId="15540BC8" w:rsidR="00824850" w:rsidRPr="001B022B" w:rsidRDefault="00824850" w:rsidP="007674DD">
      <w:pPr>
        <w:pStyle w:val="FootnoteText"/>
        <w:jc w:val="both"/>
        <w:rPr>
          <w:rFonts w:asciiTheme="majorHAnsi" w:eastAsiaTheme="minorHAnsi" w:hAnsiTheme="majorHAnsi" w:cs="Arial"/>
          <w:sz w:val="16"/>
          <w:szCs w:val="16"/>
          <w:highlight w:val="yellow"/>
          <w:lang w:val="es-MX"/>
        </w:rPr>
      </w:pPr>
      <w:r w:rsidRPr="001B022B">
        <w:rPr>
          <w:rStyle w:val="FootnoteReference"/>
          <w:rFonts w:asciiTheme="majorHAnsi" w:hAnsiTheme="majorHAnsi"/>
          <w:sz w:val="16"/>
          <w:szCs w:val="16"/>
        </w:rPr>
        <w:footnoteRef/>
      </w:r>
      <w:r w:rsidRPr="001B022B">
        <w:rPr>
          <w:rFonts w:asciiTheme="majorHAnsi" w:hAnsiTheme="majorHAnsi"/>
          <w:sz w:val="16"/>
          <w:szCs w:val="16"/>
          <w:lang w:val="es-MX"/>
        </w:rPr>
        <w:t xml:space="preserve"> </w:t>
      </w:r>
      <w:r>
        <w:rPr>
          <w:rFonts w:asciiTheme="majorHAnsi" w:hAnsiTheme="majorHAnsi"/>
          <w:sz w:val="16"/>
          <w:szCs w:val="16"/>
          <w:lang w:val="es-MX"/>
        </w:rPr>
        <w:t xml:space="preserve">Corte IDH. </w:t>
      </w:r>
      <w:r w:rsidRPr="001B022B">
        <w:rPr>
          <w:rFonts w:ascii="Cambria" w:hAnsi="Cambria"/>
          <w:i/>
          <w:sz w:val="16"/>
          <w:szCs w:val="16"/>
          <w:lang w:val="es-ES_tradnl"/>
        </w:rPr>
        <w:t>Caso Comunidad Indígena Yakye Axa Vs. Paraguay</w:t>
      </w:r>
      <w:r w:rsidRPr="00557DDA">
        <w:rPr>
          <w:rFonts w:ascii="Cambria" w:hAnsi="Cambria"/>
          <w:sz w:val="16"/>
          <w:szCs w:val="16"/>
          <w:lang w:val="es-ES_tradnl"/>
        </w:rPr>
        <w:t xml:space="preserve">. Fondo Reparaciones y Costas. Sentencia 17 de junio de 2005. Serie C No. 125, </w:t>
      </w:r>
      <w:r w:rsidRPr="001B022B">
        <w:rPr>
          <w:rFonts w:asciiTheme="majorHAnsi" w:hAnsiTheme="majorHAnsi"/>
          <w:sz w:val="16"/>
          <w:szCs w:val="16"/>
          <w:lang w:val="es-MX"/>
        </w:rPr>
        <w:t xml:space="preserve">párrs. 124, 135 y 137, y </w:t>
      </w:r>
      <w:r w:rsidRPr="002C4955">
        <w:rPr>
          <w:rFonts w:asciiTheme="majorHAnsi" w:hAnsiTheme="majorHAnsi"/>
          <w:sz w:val="16"/>
          <w:szCs w:val="16"/>
          <w:lang w:val="es-MX"/>
        </w:rPr>
        <w:t xml:space="preserve">Corte IDH. </w:t>
      </w:r>
      <w:r w:rsidRPr="002C4955">
        <w:rPr>
          <w:rFonts w:asciiTheme="majorHAnsi" w:hAnsiTheme="majorHAnsi"/>
          <w:i/>
          <w:sz w:val="16"/>
          <w:szCs w:val="16"/>
          <w:lang w:val="es-MX"/>
        </w:rPr>
        <w:t>Caso Comunidad Garífuna de Punta Piedra y sus miembros Vs. Honduras</w:t>
      </w:r>
      <w:r w:rsidRPr="002C4955">
        <w:rPr>
          <w:rFonts w:asciiTheme="majorHAnsi" w:hAnsiTheme="majorHAnsi"/>
          <w:sz w:val="16"/>
          <w:szCs w:val="16"/>
          <w:lang w:val="es-MX"/>
        </w:rPr>
        <w:t xml:space="preserve">. Excepciones Preliminares, Fondo, Reparaciones y Costas. Sentencia de 8 de octubre de 2015. Serie C No. 304, párr. </w:t>
      </w:r>
      <w:r w:rsidRPr="001B022B">
        <w:rPr>
          <w:rFonts w:asciiTheme="majorHAnsi" w:hAnsiTheme="majorHAnsi"/>
          <w:sz w:val="16"/>
          <w:szCs w:val="16"/>
          <w:lang w:val="es-MX"/>
        </w:rPr>
        <w:t>167.</w:t>
      </w:r>
      <w:r w:rsidRPr="001B022B">
        <w:rPr>
          <w:rFonts w:asciiTheme="majorHAnsi" w:hAnsiTheme="majorHAnsi"/>
          <w:i/>
          <w:sz w:val="16"/>
          <w:szCs w:val="16"/>
          <w:lang w:val="es-MX"/>
        </w:rPr>
        <w:t xml:space="preserve"> </w:t>
      </w:r>
    </w:p>
  </w:footnote>
  <w:footnote w:id="161">
    <w:p w14:paraId="2BDA22C0" w14:textId="2358A9F1" w:rsidR="00824850" w:rsidRPr="00A931A2" w:rsidRDefault="00824850" w:rsidP="00A931A2">
      <w:pPr>
        <w:pStyle w:val="FootnoteText"/>
        <w:jc w:val="both"/>
        <w:rPr>
          <w:rFonts w:asciiTheme="majorHAnsi" w:hAnsiTheme="majorHAnsi"/>
          <w:sz w:val="16"/>
          <w:szCs w:val="16"/>
          <w:lang w:val="es-MX"/>
        </w:rPr>
      </w:pPr>
      <w:r w:rsidRPr="001B022B">
        <w:rPr>
          <w:rStyle w:val="FootnoteReference"/>
          <w:rFonts w:asciiTheme="majorHAnsi" w:hAnsiTheme="majorHAnsi"/>
          <w:sz w:val="16"/>
          <w:szCs w:val="16"/>
        </w:rPr>
        <w:footnoteRef/>
      </w:r>
      <w:r w:rsidRPr="001B022B">
        <w:rPr>
          <w:rFonts w:asciiTheme="majorHAnsi" w:hAnsiTheme="majorHAnsi"/>
          <w:sz w:val="16"/>
          <w:szCs w:val="16"/>
          <w:lang w:val="es-MX"/>
        </w:rPr>
        <w:t xml:space="preserve"> </w:t>
      </w:r>
      <w:r>
        <w:rPr>
          <w:rFonts w:asciiTheme="majorHAnsi" w:hAnsiTheme="majorHAnsi"/>
          <w:sz w:val="16"/>
          <w:szCs w:val="16"/>
          <w:lang w:val="es-MX"/>
        </w:rPr>
        <w:t xml:space="preserve">Corte IDH. </w:t>
      </w:r>
      <w:r w:rsidRPr="001B022B">
        <w:rPr>
          <w:rFonts w:ascii="Cambria" w:hAnsi="Cambria"/>
          <w:i/>
          <w:sz w:val="16"/>
          <w:szCs w:val="16"/>
          <w:lang w:val="es-ES_tradnl"/>
        </w:rPr>
        <w:t>Caso Comunidad Indígena Yakye Axa Vs. Paraguay</w:t>
      </w:r>
      <w:r w:rsidRPr="00557DDA">
        <w:rPr>
          <w:rFonts w:ascii="Cambria" w:hAnsi="Cambria"/>
          <w:sz w:val="16"/>
          <w:szCs w:val="16"/>
          <w:lang w:val="es-ES_tradnl"/>
        </w:rPr>
        <w:t>. Fondo Reparaciones y Costas. Sentencia 17 de junio de 2005. Serie C No. 125</w:t>
      </w:r>
      <w:r>
        <w:rPr>
          <w:rFonts w:ascii="Cambria" w:hAnsi="Cambria"/>
          <w:sz w:val="16"/>
          <w:szCs w:val="16"/>
          <w:lang w:val="es-ES_tradnl"/>
        </w:rPr>
        <w:t xml:space="preserve">, </w:t>
      </w:r>
      <w:r w:rsidRPr="001B022B">
        <w:rPr>
          <w:rFonts w:asciiTheme="majorHAnsi" w:hAnsiTheme="majorHAnsi"/>
          <w:sz w:val="16"/>
          <w:szCs w:val="16"/>
          <w:lang w:val="es-MX"/>
        </w:rPr>
        <w:t xml:space="preserve">párrs. 135 y 137, y </w:t>
      </w:r>
      <w:r w:rsidRPr="009B71DF">
        <w:rPr>
          <w:rFonts w:asciiTheme="majorHAnsi" w:hAnsiTheme="majorHAnsi"/>
          <w:sz w:val="16"/>
          <w:szCs w:val="16"/>
          <w:lang w:val="es-MX"/>
        </w:rPr>
        <w:t>Corte IDH.</w:t>
      </w:r>
      <w:r w:rsidRPr="009B71DF">
        <w:rPr>
          <w:rFonts w:asciiTheme="majorHAnsi" w:hAnsiTheme="majorHAnsi" w:cs="Arial"/>
          <w:i/>
          <w:sz w:val="16"/>
          <w:szCs w:val="16"/>
          <w:lang w:val="es-ES"/>
        </w:rPr>
        <w:t xml:space="preserve"> Caso Comunidad Garífuna de Punta Piedra y sus miembros Vs. Honduras</w:t>
      </w:r>
      <w:r w:rsidRPr="009B71DF">
        <w:rPr>
          <w:rFonts w:asciiTheme="majorHAnsi" w:hAnsiTheme="majorHAnsi" w:cs="Arial"/>
          <w:sz w:val="16"/>
          <w:szCs w:val="16"/>
          <w:lang w:val="es-ES"/>
        </w:rPr>
        <w:t>. Excepciones Preliminares, Fondo</w:t>
      </w:r>
      <w:r w:rsidRPr="00A931A2">
        <w:rPr>
          <w:rFonts w:asciiTheme="majorHAnsi" w:hAnsiTheme="majorHAnsi" w:cs="Arial"/>
          <w:sz w:val="16"/>
          <w:szCs w:val="16"/>
          <w:lang w:val="es-ES"/>
        </w:rPr>
        <w:t>, Reparaciones y Costas. Sentencia de 8 de octubre de 2015. Serie C No. 304,</w:t>
      </w:r>
      <w:r w:rsidRPr="00A931A2">
        <w:rPr>
          <w:rFonts w:asciiTheme="majorHAnsi" w:hAnsiTheme="majorHAnsi"/>
          <w:sz w:val="16"/>
          <w:szCs w:val="16"/>
          <w:lang w:val="es-MX"/>
        </w:rPr>
        <w:t xml:space="preserve"> párrs. 165 a 167 y 172. </w:t>
      </w:r>
    </w:p>
  </w:footnote>
  <w:footnote w:id="162">
    <w:p w14:paraId="154BFA61" w14:textId="1E17A114" w:rsidR="00824850" w:rsidRPr="00A931A2" w:rsidRDefault="00824850" w:rsidP="00A931A2">
      <w:pPr>
        <w:pStyle w:val="FootnoteText"/>
        <w:jc w:val="both"/>
        <w:rPr>
          <w:rFonts w:asciiTheme="majorHAnsi" w:hAnsiTheme="majorHAnsi"/>
          <w:sz w:val="16"/>
          <w:szCs w:val="16"/>
          <w:lang w:val="es-MX"/>
        </w:rPr>
      </w:pPr>
      <w:r w:rsidRPr="00A931A2">
        <w:rPr>
          <w:rStyle w:val="FootnoteReference"/>
          <w:rFonts w:asciiTheme="majorHAnsi" w:hAnsiTheme="majorHAnsi"/>
          <w:sz w:val="16"/>
          <w:szCs w:val="16"/>
        </w:rPr>
        <w:footnoteRef/>
      </w:r>
      <w:r w:rsidRPr="00A931A2">
        <w:rPr>
          <w:rFonts w:asciiTheme="majorHAnsi" w:hAnsiTheme="majorHAnsi"/>
          <w:sz w:val="16"/>
          <w:szCs w:val="16"/>
          <w:lang w:val="es-MX"/>
        </w:rPr>
        <w:t xml:space="preserve"> </w:t>
      </w:r>
      <w:hyperlink r:id="rId20" w:history="1">
        <w:r w:rsidRPr="00A931A2">
          <w:rPr>
            <w:rStyle w:val="Hyperlink"/>
            <w:rFonts w:asciiTheme="majorHAnsi" w:hAnsiTheme="majorHAnsi"/>
            <w:sz w:val="16"/>
            <w:szCs w:val="16"/>
            <w:lang w:val="es-MX"/>
          </w:rPr>
          <w:t>Informe de la Relatora Especial del Consejo de Derechos Humanos sobre los derechos de los pueblos indígenas</w:t>
        </w:r>
      </w:hyperlink>
      <w:r w:rsidRPr="00A931A2">
        <w:rPr>
          <w:rFonts w:asciiTheme="majorHAnsi" w:hAnsiTheme="majorHAnsi"/>
          <w:sz w:val="16"/>
          <w:szCs w:val="16"/>
          <w:lang w:val="es-MX"/>
        </w:rPr>
        <w:t xml:space="preserve">, Victoria Tauli-Corpuz. A/71/229. 29 de julio de 2016, párr. 56. </w:t>
      </w:r>
    </w:p>
  </w:footnote>
  <w:footnote w:id="163">
    <w:p w14:paraId="740571B7" w14:textId="10412F5C" w:rsidR="00824850" w:rsidRPr="00A931A2" w:rsidRDefault="00824850" w:rsidP="00A931A2">
      <w:pPr>
        <w:pStyle w:val="Footnotes"/>
        <w:rPr>
          <w:lang w:val="es-MX"/>
        </w:rPr>
      </w:pPr>
      <w:r w:rsidRPr="00A931A2">
        <w:rPr>
          <w:rStyle w:val="FootnoteReference"/>
        </w:rPr>
        <w:footnoteRef/>
      </w:r>
      <w:r w:rsidRPr="00A931A2">
        <w:t xml:space="preserve"> Convenio Sobre la Diversidad Biológica, de 1992. Referido en Corte IDH.; </w:t>
      </w:r>
      <w:r w:rsidRPr="00A931A2">
        <w:rPr>
          <w:i/>
        </w:rPr>
        <w:t>Caso Pueblos Kaliña y Lokono</w:t>
      </w:r>
      <w:r w:rsidRPr="00A931A2">
        <w:t xml:space="preserve"> </w:t>
      </w:r>
      <w:r w:rsidRPr="00A931A2">
        <w:rPr>
          <w:i/>
        </w:rPr>
        <w:t>Vs. Surinam</w:t>
      </w:r>
      <w:r w:rsidRPr="00A931A2">
        <w:t>. Fondo, Reparaciones y Costas. Sentencia de 25 de noviembre de 2015. Serie C No. 309, párr. 177.</w:t>
      </w:r>
      <w:r>
        <w:t xml:space="preserve"> El Estado colombiano ratificó el referido tratado el 28 de noviembre de 1994.</w:t>
      </w:r>
    </w:p>
  </w:footnote>
  <w:footnote w:id="164">
    <w:p w14:paraId="21739FA3" w14:textId="14498BDE" w:rsidR="00824850" w:rsidRPr="007E20F9" w:rsidRDefault="00824850" w:rsidP="00A931A2">
      <w:pPr>
        <w:pStyle w:val="Heading1"/>
        <w:numPr>
          <w:ilvl w:val="0"/>
          <w:numId w:val="0"/>
        </w:numPr>
        <w:tabs>
          <w:tab w:val="left" w:pos="567"/>
        </w:tabs>
        <w:spacing w:before="0"/>
        <w:jc w:val="both"/>
        <w:rPr>
          <w:rFonts w:ascii="Verdana" w:hAnsi="Verdana"/>
          <w:b w:val="0"/>
          <w:color w:val="auto"/>
          <w:sz w:val="16"/>
          <w:szCs w:val="16"/>
          <w:lang w:val="es-CR"/>
        </w:rPr>
      </w:pPr>
      <w:r w:rsidRPr="00A931A2">
        <w:rPr>
          <w:rStyle w:val="FootnoteReference"/>
          <w:b w:val="0"/>
          <w:color w:val="auto"/>
          <w:sz w:val="16"/>
          <w:szCs w:val="16"/>
        </w:rPr>
        <w:footnoteRef/>
      </w:r>
      <w:r w:rsidRPr="00A931A2">
        <w:rPr>
          <w:b w:val="0"/>
          <w:color w:val="auto"/>
          <w:sz w:val="16"/>
          <w:szCs w:val="16"/>
          <w:lang w:val="es-MX"/>
        </w:rPr>
        <w:t xml:space="preserve"> </w:t>
      </w:r>
      <w:bookmarkStart w:id="41" w:name="OLE_LINK4"/>
      <w:bookmarkStart w:id="42" w:name="OLE_LINK3"/>
      <w:r w:rsidRPr="00A931A2">
        <w:rPr>
          <w:b w:val="0"/>
          <w:color w:val="auto"/>
          <w:sz w:val="16"/>
          <w:szCs w:val="16"/>
          <w:lang w:val="es-MX"/>
        </w:rPr>
        <w:t>Decisiones adoptadas por la Conferencia de las Partes en el Convenio sobre la Diversidad Biológica en su séptima reunión, Decisión</w:t>
      </w:r>
      <w:r w:rsidRPr="00A931A2">
        <w:rPr>
          <w:sz w:val="16"/>
          <w:szCs w:val="16"/>
          <w:lang w:val="es-MX"/>
        </w:rPr>
        <w:t xml:space="preserve"> </w:t>
      </w:r>
      <w:r w:rsidRPr="00A931A2">
        <w:rPr>
          <w:b w:val="0"/>
          <w:color w:val="auto"/>
          <w:sz w:val="16"/>
          <w:szCs w:val="16"/>
          <w:lang w:val="es-MX"/>
        </w:rPr>
        <w:t>VII/28,</w:t>
      </w:r>
      <w:r w:rsidRPr="00A931A2">
        <w:rPr>
          <w:rFonts w:eastAsia="Calibri"/>
          <w:b w:val="0"/>
          <w:bCs w:val="0"/>
          <w:color w:val="auto"/>
          <w:sz w:val="16"/>
          <w:szCs w:val="16"/>
          <w:lang w:val="es-MX"/>
        </w:rPr>
        <w:t xml:space="preserve"> á</w:t>
      </w:r>
      <w:r w:rsidRPr="00A931A2">
        <w:rPr>
          <w:b w:val="0"/>
          <w:color w:val="auto"/>
          <w:sz w:val="16"/>
          <w:szCs w:val="16"/>
          <w:lang w:val="es-MX"/>
        </w:rPr>
        <w:t xml:space="preserve">reas </w:t>
      </w:r>
      <w:r w:rsidRPr="007F346F">
        <w:rPr>
          <w:b w:val="0"/>
          <w:color w:val="auto"/>
          <w:sz w:val="16"/>
          <w:szCs w:val="16"/>
          <w:lang w:val="es-MX"/>
        </w:rPr>
        <w:t xml:space="preserve">protegidas (Artículo 8 (a) a (e), párr. 22. </w:t>
      </w:r>
      <w:bookmarkEnd w:id="41"/>
      <w:bookmarkEnd w:id="42"/>
      <w:r w:rsidRPr="007F346F">
        <w:rPr>
          <w:b w:val="0"/>
          <w:color w:val="auto"/>
          <w:sz w:val="16"/>
          <w:szCs w:val="16"/>
          <w:lang w:val="es-CR"/>
        </w:rPr>
        <w:t xml:space="preserve">Disponible en: </w:t>
      </w:r>
      <w:hyperlink r:id="rId21" w:history="1">
        <w:r w:rsidRPr="007F346F">
          <w:rPr>
            <w:rStyle w:val="Hyperlink"/>
            <w:b w:val="0"/>
            <w:sz w:val="16"/>
            <w:szCs w:val="16"/>
            <w:lang w:val="es-CR"/>
          </w:rPr>
          <w:t>https://www.cbd.int/doc/decisions/cop-07/full/cop-07-dec-es.pdf</w:t>
        </w:r>
      </w:hyperlink>
      <w:r w:rsidRPr="007F346F">
        <w:rPr>
          <w:b w:val="0"/>
          <w:color w:val="auto"/>
          <w:sz w:val="16"/>
          <w:szCs w:val="16"/>
          <w:lang w:val="es-CR"/>
        </w:rPr>
        <w:t xml:space="preserve">. Referido en Corte IDH.; Caso </w:t>
      </w:r>
      <w:r w:rsidRPr="007F346F">
        <w:rPr>
          <w:b w:val="0"/>
          <w:i/>
          <w:color w:val="auto"/>
          <w:sz w:val="16"/>
          <w:szCs w:val="16"/>
          <w:lang w:val="es-CR"/>
        </w:rPr>
        <w:t>Pueblos Kaliña y Lokono Vs. Surinam</w:t>
      </w:r>
      <w:r w:rsidRPr="007F346F">
        <w:rPr>
          <w:b w:val="0"/>
          <w:color w:val="auto"/>
          <w:sz w:val="16"/>
          <w:szCs w:val="16"/>
          <w:lang w:val="es-CR"/>
        </w:rPr>
        <w:t>. Fondo, Reparaciones y Costas. Sentencia de 25 de noviembre de 2015. Serie C No. 309, párr. 17</w:t>
      </w:r>
      <w:r>
        <w:rPr>
          <w:b w:val="0"/>
          <w:color w:val="auto"/>
          <w:sz w:val="16"/>
          <w:szCs w:val="16"/>
          <w:lang w:val="es-CR"/>
        </w:rPr>
        <w:t>8</w:t>
      </w:r>
      <w:r w:rsidRPr="007F346F">
        <w:rPr>
          <w:rFonts w:ascii="Verdana" w:hAnsi="Verdana"/>
          <w:b w:val="0"/>
          <w:color w:val="auto"/>
          <w:sz w:val="16"/>
          <w:szCs w:val="16"/>
          <w:lang w:val="es-CR"/>
        </w:rPr>
        <w:t>.</w:t>
      </w:r>
    </w:p>
  </w:footnote>
  <w:footnote w:id="165">
    <w:p w14:paraId="47F9876D" w14:textId="40E93000" w:rsidR="00824850" w:rsidRPr="00736C6E" w:rsidRDefault="00824850" w:rsidP="007674DD">
      <w:pPr>
        <w:pStyle w:val="FootnoteText"/>
        <w:rPr>
          <w:lang w:val="es-MX"/>
        </w:rPr>
      </w:pPr>
      <w:r w:rsidRPr="00606243">
        <w:rPr>
          <w:rStyle w:val="FootnoteReference"/>
          <w:sz w:val="16"/>
        </w:rPr>
        <w:footnoteRef/>
      </w:r>
      <w:r w:rsidRPr="00736C6E">
        <w:rPr>
          <w:lang w:val="es-MX"/>
        </w:rPr>
        <w:t xml:space="preserve"> </w:t>
      </w:r>
      <w:r w:rsidRPr="00FE10FB">
        <w:rPr>
          <w:rFonts w:asciiTheme="majorHAnsi" w:hAnsiTheme="majorHAnsi"/>
          <w:sz w:val="16"/>
          <w:szCs w:val="16"/>
          <w:lang w:val="es-MX"/>
        </w:rPr>
        <w:t xml:space="preserve">Declaración de Río sobre el Medioambiente y el Desarrollo, </w:t>
      </w:r>
      <w:r w:rsidRPr="00FE10FB">
        <w:rPr>
          <w:rFonts w:asciiTheme="majorHAnsi" w:hAnsiTheme="majorHAnsi"/>
          <w:i/>
          <w:sz w:val="16"/>
          <w:szCs w:val="16"/>
          <w:lang w:val="es-MX"/>
        </w:rPr>
        <w:t>supra</w:t>
      </w:r>
      <w:r w:rsidRPr="00FE10FB">
        <w:rPr>
          <w:rFonts w:asciiTheme="majorHAnsi" w:hAnsiTheme="majorHAnsi"/>
          <w:sz w:val="16"/>
          <w:szCs w:val="16"/>
          <w:lang w:val="es-MX"/>
        </w:rPr>
        <w:t>, Principio 22.</w:t>
      </w:r>
    </w:p>
  </w:footnote>
  <w:footnote w:id="166">
    <w:p w14:paraId="1FDDE611" w14:textId="77777777" w:rsidR="00824850" w:rsidRPr="007C53FD" w:rsidRDefault="00824850" w:rsidP="001639E6">
      <w:pPr>
        <w:pStyle w:val="FootnoteText"/>
        <w:jc w:val="both"/>
        <w:rPr>
          <w:rFonts w:asciiTheme="majorHAnsi" w:hAnsiTheme="majorHAnsi"/>
          <w:sz w:val="16"/>
          <w:szCs w:val="16"/>
          <w:highlight w:val="green"/>
          <w:lang w:val="es-CO"/>
        </w:rPr>
      </w:pPr>
      <w:r w:rsidRPr="007C53FD">
        <w:rPr>
          <w:rStyle w:val="FootnoteReference"/>
          <w:rFonts w:asciiTheme="majorHAnsi" w:hAnsiTheme="majorHAnsi"/>
          <w:sz w:val="16"/>
          <w:szCs w:val="16"/>
        </w:rPr>
        <w:footnoteRef/>
      </w:r>
      <w:r w:rsidRPr="007C53FD">
        <w:rPr>
          <w:rFonts w:asciiTheme="majorHAnsi" w:hAnsiTheme="majorHAnsi"/>
          <w:sz w:val="16"/>
          <w:szCs w:val="16"/>
          <w:lang w:val="es-CO"/>
        </w:rPr>
        <w:t xml:space="preserve"> </w:t>
      </w:r>
      <w:r w:rsidRPr="007C53FD">
        <w:rPr>
          <w:rStyle w:val="Strong"/>
          <w:rFonts w:asciiTheme="majorHAnsi" w:eastAsia="Times New Roman" w:hAnsiTheme="majorHAnsi"/>
          <w:b w:val="0"/>
          <w:sz w:val="16"/>
          <w:szCs w:val="16"/>
          <w:lang w:val="es-PE"/>
        </w:rPr>
        <w:t>Ver, por ejemplo.</w:t>
      </w:r>
      <w:r w:rsidRPr="007C53FD">
        <w:rPr>
          <w:rStyle w:val="Strong"/>
          <w:rFonts w:asciiTheme="majorHAnsi" w:eastAsia="Times New Roman" w:hAnsiTheme="majorHAnsi"/>
          <w:sz w:val="16"/>
          <w:szCs w:val="16"/>
          <w:lang w:val="es-PE"/>
        </w:rPr>
        <w:t xml:space="preserve"> </w:t>
      </w:r>
      <w:r w:rsidRPr="007C53FD">
        <w:rPr>
          <w:rFonts w:asciiTheme="majorHAnsi" w:hAnsiTheme="majorHAnsi" w:cs="Times New Roman"/>
          <w:bCs/>
          <w:sz w:val="16"/>
          <w:szCs w:val="16"/>
          <w:lang w:val="es-CO"/>
        </w:rPr>
        <w:t xml:space="preserve">Corte IDH. Caso Cuscul Pivaral y otros Vs. Guatemala. Excepción Preliminar, Fondo, Reparaciones y Costas. Sentencia de 23 de agosto de 2018. Serie C No. 359. Párrs. 74 – 97, </w:t>
      </w:r>
      <w:r w:rsidRPr="007C53FD">
        <w:rPr>
          <w:rStyle w:val="Strong"/>
          <w:rFonts w:asciiTheme="majorHAnsi" w:eastAsia="Times New Roman" w:hAnsiTheme="majorHAnsi"/>
          <w:b w:val="0"/>
          <w:sz w:val="16"/>
          <w:szCs w:val="16"/>
          <w:lang w:val="es-PE"/>
        </w:rPr>
        <w:t>Corte IDH. Caso Lagos del Campo Vs. Perú. Excepciones Preliminares, Fondo, Reparaciones y Costas. Sentencia de 31 de agosto de 2017. Serie C No. 340. Párr. 141</w:t>
      </w:r>
      <w:r w:rsidRPr="007C53FD">
        <w:rPr>
          <w:rStyle w:val="Strong"/>
          <w:rFonts w:asciiTheme="majorHAnsi" w:eastAsia="Times New Roman" w:hAnsiTheme="majorHAnsi"/>
          <w:sz w:val="16"/>
          <w:szCs w:val="16"/>
          <w:lang w:val="es-PE"/>
        </w:rPr>
        <w:t xml:space="preserve">; y </w:t>
      </w:r>
      <w:r w:rsidRPr="007C53FD">
        <w:rPr>
          <w:rFonts w:asciiTheme="majorHAnsi" w:hAnsiTheme="majorHAnsi" w:cs="Helvetica"/>
          <w:color w:val="141413"/>
          <w:sz w:val="16"/>
          <w:szCs w:val="16"/>
          <w:lang w:val="es-CO" w:bidi="en-US"/>
        </w:rPr>
        <w:t>Caso Acevedo Buendía y otros (“Cesantes y Jubilados de la Contraloría”) vs. Perú (Excepción Preliminar, Fondo, Reparaciones y Costas), Sentencia del 1 de julio de 2009. Párr. 101.</w:t>
      </w:r>
    </w:p>
  </w:footnote>
  <w:footnote w:id="167">
    <w:p w14:paraId="1ECFE2A2" w14:textId="77777777" w:rsidR="00824850" w:rsidRPr="007C53FD" w:rsidRDefault="00824850" w:rsidP="001639E6">
      <w:pPr>
        <w:pStyle w:val="FootnoteText"/>
        <w:jc w:val="both"/>
        <w:rPr>
          <w:rFonts w:asciiTheme="majorHAnsi" w:hAnsiTheme="majorHAnsi"/>
          <w:sz w:val="16"/>
          <w:szCs w:val="16"/>
          <w:lang w:val="es-PE"/>
        </w:rPr>
      </w:pPr>
      <w:r w:rsidRPr="007C53FD">
        <w:rPr>
          <w:rStyle w:val="FootnoteReference"/>
          <w:rFonts w:asciiTheme="majorHAnsi" w:hAnsiTheme="majorHAnsi"/>
          <w:sz w:val="16"/>
          <w:szCs w:val="16"/>
        </w:rPr>
        <w:footnoteRef/>
      </w:r>
      <w:r w:rsidRPr="007C53FD">
        <w:rPr>
          <w:rFonts w:asciiTheme="majorHAnsi" w:hAnsiTheme="majorHAnsi"/>
          <w:sz w:val="16"/>
          <w:szCs w:val="16"/>
          <w:lang w:val="es-PE"/>
        </w:rPr>
        <w:t xml:space="preserve"> CIDH, Informe No. 25/18, Caso 12.428. Admisibilidad y Fondo. Empleados de la Fábrica de Fuegos en Santo Antonio de Jesus y sus familiares. Brasil. 2 de marzo de 2018, párr. 129.</w:t>
      </w:r>
    </w:p>
  </w:footnote>
  <w:footnote w:id="168">
    <w:p w14:paraId="28362D21" w14:textId="77777777" w:rsidR="00824850" w:rsidRPr="007C53FD" w:rsidRDefault="00824850" w:rsidP="001639E6">
      <w:pPr>
        <w:pStyle w:val="FootnoteText"/>
        <w:jc w:val="both"/>
        <w:rPr>
          <w:rFonts w:asciiTheme="majorHAnsi" w:hAnsiTheme="majorHAnsi"/>
          <w:sz w:val="16"/>
          <w:szCs w:val="16"/>
          <w:lang w:val="es-PE"/>
        </w:rPr>
      </w:pPr>
      <w:r w:rsidRPr="007C53FD">
        <w:rPr>
          <w:rStyle w:val="FootnoteReference"/>
          <w:rFonts w:asciiTheme="majorHAnsi" w:hAnsiTheme="majorHAnsi"/>
          <w:sz w:val="16"/>
          <w:szCs w:val="16"/>
        </w:rPr>
        <w:footnoteRef/>
      </w:r>
      <w:r w:rsidRPr="007C53FD">
        <w:rPr>
          <w:rFonts w:asciiTheme="majorHAnsi" w:hAnsiTheme="majorHAnsi"/>
          <w:sz w:val="16"/>
          <w:szCs w:val="16"/>
          <w:lang w:val="es-PE"/>
        </w:rPr>
        <w:t xml:space="preserve"> CIDH, Informe No. 25/18, Caso 12.428. Admisibilidad y Fondo. Empleados de la Fábrica de Fuegos en Santo Antonio de Jesus y sus familiares. Brasil. 2 de marzo de 2018, párr. 130.</w:t>
      </w:r>
    </w:p>
  </w:footnote>
  <w:footnote w:id="169">
    <w:p w14:paraId="416E2161" w14:textId="77777777" w:rsidR="00824850" w:rsidRPr="007C53FD" w:rsidRDefault="00824850" w:rsidP="001639E6">
      <w:pPr>
        <w:pStyle w:val="FootnoteText"/>
        <w:jc w:val="both"/>
        <w:rPr>
          <w:rFonts w:asciiTheme="majorHAnsi" w:hAnsiTheme="majorHAnsi"/>
          <w:sz w:val="16"/>
          <w:szCs w:val="16"/>
          <w:lang w:val="es-PE"/>
        </w:rPr>
      </w:pPr>
      <w:r w:rsidRPr="007C53FD">
        <w:rPr>
          <w:rStyle w:val="FootnoteReference"/>
          <w:rFonts w:asciiTheme="majorHAnsi" w:hAnsiTheme="majorHAnsi"/>
          <w:sz w:val="16"/>
          <w:szCs w:val="16"/>
        </w:rPr>
        <w:footnoteRef/>
      </w:r>
      <w:r w:rsidRPr="007C53FD">
        <w:rPr>
          <w:rFonts w:asciiTheme="majorHAnsi" w:hAnsiTheme="majorHAnsi"/>
          <w:sz w:val="16"/>
          <w:szCs w:val="16"/>
          <w:lang w:val="es-PE"/>
        </w:rPr>
        <w:t xml:space="preserve"> CIDH, Informe No. 25/18, Caso 12.428. Admisibilidad y Fondo. Empleados de la Fábrica de Fuegos en Santo Antonio de Jesus y sus familiares. Brasil. 2 de marzo de 2018, párr. 134.</w:t>
      </w:r>
    </w:p>
  </w:footnote>
  <w:footnote w:id="170">
    <w:p w14:paraId="390370A3" w14:textId="77777777" w:rsidR="00824850" w:rsidRDefault="00824850" w:rsidP="001639E6">
      <w:pPr>
        <w:jc w:val="both"/>
        <w:rPr>
          <w:rFonts w:asciiTheme="majorHAnsi" w:eastAsia="Times New Roman" w:hAnsiTheme="majorHAnsi"/>
          <w:sz w:val="16"/>
          <w:szCs w:val="16"/>
          <w:lang w:val="es-PE"/>
        </w:rPr>
      </w:pPr>
      <w:r w:rsidRPr="007C53FD">
        <w:rPr>
          <w:rStyle w:val="FootnoteReference"/>
          <w:rFonts w:asciiTheme="majorHAnsi" w:hAnsiTheme="majorHAnsi"/>
          <w:sz w:val="16"/>
          <w:szCs w:val="16"/>
        </w:rPr>
        <w:footnoteRef/>
      </w:r>
      <w:r w:rsidRPr="007C53FD">
        <w:rPr>
          <w:rFonts w:asciiTheme="majorHAnsi" w:hAnsiTheme="majorHAnsi"/>
          <w:sz w:val="16"/>
          <w:szCs w:val="16"/>
          <w:lang w:val="es-PE"/>
        </w:rPr>
        <w:t xml:space="preserve"> </w:t>
      </w:r>
      <w:r w:rsidRPr="007C53FD">
        <w:rPr>
          <w:rFonts w:asciiTheme="majorHAnsi" w:eastAsia="Times New Roman" w:hAnsiTheme="majorHAnsi"/>
          <w:color w:val="000000"/>
          <w:sz w:val="16"/>
          <w:szCs w:val="16"/>
          <w:lang w:val="es-PE"/>
        </w:rPr>
        <w:t>Comité de Derechos Económicos, Sociales y Culturales de Naciones Unidas,</w:t>
      </w:r>
      <w:r w:rsidRPr="007C53FD">
        <w:rPr>
          <w:rStyle w:val="apple-converted-space"/>
          <w:rFonts w:asciiTheme="majorHAnsi" w:eastAsia="Times New Roman" w:hAnsiTheme="majorHAnsi"/>
          <w:sz w:val="16"/>
          <w:szCs w:val="16"/>
          <w:lang w:val="es-PE"/>
        </w:rPr>
        <w:t> </w:t>
      </w:r>
      <w:r w:rsidRPr="007C53FD">
        <w:rPr>
          <w:rFonts w:asciiTheme="majorHAnsi" w:eastAsia="Times New Roman" w:hAnsiTheme="majorHAnsi"/>
          <w:iCs/>
          <w:color w:val="000000"/>
          <w:sz w:val="16"/>
          <w:szCs w:val="16"/>
          <w:lang w:val="es-PE"/>
        </w:rPr>
        <w:t>Observación general 3: La índole de las obligaciones de los Estados Partes (párrafo 1 del artículo 2 del Pacto)</w:t>
      </w:r>
      <w:r w:rsidRPr="007C53FD">
        <w:rPr>
          <w:rFonts w:asciiTheme="majorHAnsi" w:eastAsia="Times New Roman" w:hAnsiTheme="majorHAnsi"/>
          <w:color w:val="000000"/>
          <w:sz w:val="16"/>
          <w:szCs w:val="16"/>
          <w:lang w:val="es-PE"/>
        </w:rPr>
        <w:t xml:space="preserve">,  1990. En ese sentido ver: </w:t>
      </w:r>
      <w:r w:rsidRPr="007C53FD">
        <w:rPr>
          <w:rFonts w:asciiTheme="majorHAnsi" w:hAnsiTheme="majorHAnsi"/>
          <w:sz w:val="16"/>
          <w:szCs w:val="16"/>
          <w:lang w:val="es-PE"/>
        </w:rPr>
        <w:t>CIDH. Informe sobre pobreza y derechos humanos en las Américas OEA/Ser.L/V/II.164 Doc. 147 (7 de septiembre de 2017) párrs. 236 y 237</w:t>
      </w:r>
      <w:r>
        <w:rPr>
          <w:rFonts w:asciiTheme="majorHAnsi" w:hAnsiTheme="majorHAnsi"/>
          <w:sz w:val="16"/>
          <w:szCs w:val="16"/>
          <w:lang w:val="es-PE"/>
        </w:rPr>
        <w:t>.</w:t>
      </w:r>
    </w:p>
  </w:footnote>
  <w:footnote w:id="171">
    <w:p w14:paraId="5C218B82" w14:textId="77777777" w:rsidR="00824850" w:rsidRPr="00117457" w:rsidRDefault="00824850" w:rsidP="004364FF">
      <w:pPr>
        <w:pStyle w:val="FootnoteText"/>
        <w:jc w:val="both"/>
        <w:rPr>
          <w:rFonts w:asciiTheme="majorHAnsi" w:hAnsiTheme="majorHAnsi"/>
          <w:sz w:val="16"/>
          <w:szCs w:val="16"/>
          <w:lang w:val="es-ES"/>
        </w:rPr>
      </w:pPr>
      <w:r w:rsidRPr="00117457">
        <w:rPr>
          <w:rStyle w:val="FootnoteReference"/>
          <w:rFonts w:asciiTheme="majorHAnsi" w:hAnsiTheme="majorHAnsi"/>
          <w:sz w:val="16"/>
          <w:szCs w:val="16"/>
        </w:rPr>
        <w:footnoteRef/>
      </w:r>
      <w:r w:rsidRPr="00117457">
        <w:rPr>
          <w:rFonts w:asciiTheme="majorHAnsi" w:hAnsiTheme="majorHAnsi"/>
          <w:sz w:val="16"/>
          <w:szCs w:val="16"/>
          <w:lang w:val="es-ES"/>
        </w:rPr>
        <w:t xml:space="preserve"> Comité DESC. Observación General No. 21. UN Doc. E/C.12/GC/21/Rev.1, 17 de mayo de 2010, párr. 36.</w:t>
      </w:r>
    </w:p>
  </w:footnote>
  <w:footnote w:id="172">
    <w:p w14:paraId="0DF1EA53" w14:textId="77777777" w:rsidR="00824850" w:rsidRPr="00117457" w:rsidRDefault="00824850" w:rsidP="004364FF">
      <w:pPr>
        <w:pStyle w:val="FootnoteText"/>
        <w:jc w:val="both"/>
        <w:rPr>
          <w:rFonts w:asciiTheme="majorHAnsi" w:hAnsiTheme="majorHAnsi"/>
          <w:sz w:val="16"/>
          <w:szCs w:val="16"/>
          <w:lang w:val="es-ES"/>
        </w:rPr>
      </w:pPr>
      <w:r w:rsidRPr="00117457">
        <w:rPr>
          <w:rStyle w:val="FootnoteReference"/>
          <w:rFonts w:asciiTheme="majorHAnsi" w:hAnsiTheme="majorHAnsi"/>
          <w:sz w:val="16"/>
          <w:szCs w:val="16"/>
        </w:rPr>
        <w:footnoteRef/>
      </w:r>
      <w:r w:rsidRPr="00117457">
        <w:rPr>
          <w:rFonts w:asciiTheme="majorHAnsi" w:hAnsiTheme="majorHAnsi"/>
          <w:sz w:val="16"/>
          <w:szCs w:val="16"/>
          <w:lang w:val="es-ES"/>
        </w:rPr>
        <w:t xml:space="preserve"> Comité DESC. Observación General No. 21. UN Doc. E/C.12/GC/21/Rev.1, 17 de mayo de 2010, párr. 16.</w:t>
      </w:r>
    </w:p>
  </w:footnote>
  <w:footnote w:id="173">
    <w:p w14:paraId="14B73272" w14:textId="77777777" w:rsidR="00824850" w:rsidRPr="00117457" w:rsidRDefault="00824850" w:rsidP="00B9450C">
      <w:pPr>
        <w:pStyle w:val="FootnoteText"/>
        <w:jc w:val="both"/>
        <w:rPr>
          <w:rFonts w:asciiTheme="majorHAnsi" w:hAnsiTheme="majorHAnsi"/>
          <w:sz w:val="16"/>
          <w:szCs w:val="16"/>
          <w:lang w:val="es-ES"/>
        </w:rPr>
      </w:pPr>
      <w:r w:rsidRPr="00117457">
        <w:rPr>
          <w:rStyle w:val="FootnoteReference"/>
          <w:rFonts w:asciiTheme="majorHAnsi" w:hAnsiTheme="majorHAnsi"/>
          <w:sz w:val="16"/>
          <w:szCs w:val="16"/>
        </w:rPr>
        <w:footnoteRef/>
      </w:r>
      <w:r w:rsidRPr="00117457">
        <w:rPr>
          <w:rFonts w:asciiTheme="majorHAnsi" w:hAnsiTheme="majorHAnsi"/>
          <w:sz w:val="16"/>
          <w:szCs w:val="16"/>
          <w:lang w:val="es-ES"/>
        </w:rPr>
        <w:t xml:space="preserve"> Comité DESC. Observación General No. 21. UN Doc. E/C.12/GC/21/Rev.1, 17 de mayo de 2010, párr. 55.</w:t>
      </w:r>
    </w:p>
  </w:footnote>
  <w:footnote w:id="174">
    <w:p w14:paraId="5316ED0B" w14:textId="77777777" w:rsidR="00824850" w:rsidRPr="00480046" w:rsidRDefault="00824850" w:rsidP="00B9450C">
      <w:pPr>
        <w:pStyle w:val="FootnoteText"/>
        <w:jc w:val="both"/>
        <w:rPr>
          <w:rFonts w:asciiTheme="majorHAnsi" w:hAnsiTheme="majorHAnsi"/>
          <w:sz w:val="16"/>
          <w:szCs w:val="16"/>
          <w:lang w:val="es-ES"/>
        </w:rPr>
      </w:pPr>
      <w:r w:rsidRPr="00117457">
        <w:rPr>
          <w:rStyle w:val="FootnoteReference"/>
          <w:rFonts w:asciiTheme="majorHAnsi" w:hAnsiTheme="majorHAnsi"/>
          <w:sz w:val="16"/>
          <w:szCs w:val="16"/>
        </w:rPr>
        <w:footnoteRef/>
      </w:r>
      <w:r w:rsidRPr="00117457">
        <w:rPr>
          <w:rFonts w:asciiTheme="majorHAnsi" w:hAnsiTheme="majorHAnsi"/>
          <w:sz w:val="16"/>
          <w:szCs w:val="16"/>
          <w:lang w:val="es-ES"/>
        </w:rPr>
        <w:t xml:space="preserve"> Comité </w:t>
      </w:r>
      <w:r w:rsidRPr="00480046">
        <w:rPr>
          <w:rFonts w:asciiTheme="majorHAnsi" w:hAnsiTheme="majorHAnsi"/>
          <w:sz w:val="16"/>
          <w:szCs w:val="16"/>
          <w:lang w:val="es-ES"/>
        </w:rPr>
        <w:t>DESC. Observación General No. 21. UN Doc. E/C.12/GC/21/Rev.1, 17 de mayo de 2010, párr. 40.</w:t>
      </w:r>
    </w:p>
  </w:footnote>
  <w:footnote w:id="175">
    <w:p w14:paraId="222C5AD3" w14:textId="5578829F" w:rsidR="00824850" w:rsidRPr="00EE1152" w:rsidRDefault="00824850" w:rsidP="00B9450C">
      <w:pPr>
        <w:pStyle w:val="FootnoteText"/>
        <w:jc w:val="both"/>
        <w:rPr>
          <w:rFonts w:asciiTheme="majorHAnsi" w:hAnsiTheme="majorHAnsi"/>
          <w:sz w:val="16"/>
          <w:szCs w:val="16"/>
          <w:lang w:val="es-PE"/>
        </w:rPr>
      </w:pPr>
      <w:r w:rsidRPr="00EE1152">
        <w:rPr>
          <w:rStyle w:val="FootnoteReference"/>
          <w:rFonts w:asciiTheme="majorHAnsi" w:hAnsiTheme="majorHAnsi"/>
          <w:sz w:val="16"/>
          <w:szCs w:val="16"/>
        </w:rPr>
        <w:footnoteRef/>
      </w:r>
      <w:r w:rsidRPr="00EE1152">
        <w:rPr>
          <w:rFonts w:asciiTheme="majorHAnsi" w:hAnsiTheme="majorHAnsi"/>
          <w:sz w:val="16"/>
          <w:szCs w:val="16"/>
          <w:lang w:val="es-PE"/>
        </w:rPr>
        <w:t xml:space="preserve"> CIDH. Pueblos indígenas, comunidades afrodescendientes y recursos naturales: protección de derechos humanos en el contexto de actividades de extracción, explotación y desarrollo. OEA/Ser.L/V/II. Doc. 47/15, 31 diciembre 2015 párr. 164</w:t>
      </w:r>
      <w:r>
        <w:rPr>
          <w:rFonts w:asciiTheme="majorHAnsi" w:hAnsiTheme="majorHAnsi"/>
          <w:sz w:val="16"/>
          <w:szCs w:val="16"/>
          <w:lang w:val="es-PE"/>
        </w:rPr>
        <w:t>.</w:t>
      </w:r>
    </w:p>
  </w:footnote>
  <w:footnote w:id="176">
    <w:p w14:paraId="1AA52194" w14:textId="77777777" w:rsidR="00824850" w:rsidRPr="00EE1152" w:rsidRDefault="00824850" w:rsidP="00B9450C">
      <w:pPr>
        <w:pStyle w:val="FootnoteText"/>
        <w:jc w:val="both"/>
        <w:rPr>
          <w:lang w:val="es-PE"/>
        </w:rPr>
      </w:pPr>
      <w:r w:rsidRPr="00EE1152">
        <w:rPr>
          <w:rStyle w:val="FootnoteReference"/>
          <w:rFonts w:asciiTheme="majorHAnsi" w:hAnsiTheme="majorHAnsi"/>
          <w:sz w:val="16"/>
          <w:szCs w:val="16"/>
        </w:rPr>
        <w:footnoteRef/>
      </w:r>
      <w:r w:rsidRPr="00EE1152">
        <w:rPr>
          <w:rFonts w:asciiTheme="majorHAnsi" w:hAnsiTheme="majorHAnsi"/>
          <w:sz w:val="16"/>
          <w:szCs w:val="16"/>
          <w:lang w:val="es-PE"/>
        </w:rPr>
        <w:t xml:space="preserve"> </w:t>
      </w:r>
      <w:r w:rsidRPr="009C55F4">
        <w:rPr>
          <w:rFonts w:asciiTheme="majorHAnsi" w:hAnsiTheme="majorHAnsi"/>
          <w:sz w:val="16"/>
          <w:szCs w:val="16"/>
          <w:lang w:val="es-ES"/>
        </w:rPr>
        <w:t xml:space="preserve">Comité </w:t>
      </w:r>
      <w:r w:rsidRPr="00DA1E07">
        <w:rPr>
          <w:rFonts w:asciiTheme="majorHAnsi" w:hAnsiTheme="majorHAnsi"/>
          <w:sz w:val="16"/>
          <w:szCs w:val="16"/>
          <w:lang w:val="es-ES"/>
        </w:rPr>
        <w:t xml:space="preserve">DESC. Observación General No. 24. UN Doc. </w:t>
      </w:r>
      <w:r w:rsidRPr="00EE1152">
        <w:rPr>
          <w:rFonts w:asciiTheme="majorHAnsi" w:hAnsiTheme="majorHAnsi"/>
          <w:sz w:val="16"/>
          <w:szCs w:val="16"/>
          <w:lang w:val="es-PE"/>
        </w:rPr>
        <w:t>E/C.12/GC/24, 10 de agosto de 2017, párrs. 12 y 17.</w:t>
      </w:r>
    </w:p>
  </w:footnote>
  <w:footnote w:id="177">
    <w:p w14:paraId="3190B097" w14:textId="77777777" w:rsidR="00824850" w:rsidRPr="00480046" w:rsidRDefault="00824850" w:rsidP="004364FF">
      <w:pPr>
        <w:pStyle w:val="FootnoteText"/>
        <w:jc w:val="both"/>
        <w:rPr>
          <w:rFonts w:asciiTheme="majorHAnsi" w:hAnsiTheme="majorHAnsi"/>
          <w:sz w:val="16"/>
          <w:szCs w:val="16"/>
          <w:lang w:val="es-ES"/>
        </w:rPr>
      </w:pPr>
      <w:r w:rsidRPr="00480046">
        <w:rPr>
          <w:rStyle w:val="FootnoteReference"/>
          <w:rFonts w:asciiTheme="majorHAnsi" w:hAnsiTheme="majorHAnsi"/>
          <w:sz w:val="16"/>
          <w:szCs w:val="16"/>
        </w:rPr>
        <w:footnoteRef/>
      </w:r>
      <w:r w:rsidRPr="001C6748">
        <w:rPr>
          <w:rFonts w:asciiTheme="majorHAnsi" w:hAnsiTheme="majorHAnsi"/>
          <w:sz w:val="16"/>
          <w:szCs w:val="16"/>
          <w:lang w:val="es-PE"/>
        </w:rPr>
        <w:t xml:space="preserve"> </w:t>
      </w:r>
      <w:r w:rsidRPr="001C6748">
        <w:rPr>
          <w:rFonts w:asciiTheme="majorHAnsi" w:eastAsia="Times New Roman" w:hAnsiTheme="majorHAnsi"/>
          <w:sz w:val="16"/>
          <w:szCs w:val="16"/>
          <w:lang w:val="es-PE"/>
        </w:rPr>
        <w:t xml:space="preserve">CIDH.  </w:t>
      </w:r>
      <w:r w:rsidRPr="00480046">
        <w:rPr>
          <w:rFonts w:asciiTheme="majorHAnsi" w:hAnsiTheme="majorHAnsi"/>
          <w:sz w:val="16"/>
          <w:szCs w:val="16"/>
          <w:lang w:val="es-ES"/>
        </w:rPr>
        <w:t>Informe No 25/18. Caso 12.428. Admisibilidad y Fondo. Empleados de la fábrica de fuegos en Santo Antonio de Jesús y sus familiares. Brasil</w:t>
      </w:r>
      <w:r>
        <w:rPr>
          <w:rFonts w:asciiTheme="majorHAnsi" w:hAnsiTheme="majorHAnsi"/>
          <w:sz w:val="16"/>
          <w:szCs w:val="16"/>
          <w:lang w:val="es-ES"/>
        </w:rPr>
        <w:t>.</w:t>
      </w:r>
      <w:r w:rsidRPr="00480046">
        <w:rPr>
          <w:rFonts w:asciiTheme="majorHAnsi" w:hAnsiTheme="majorHAnsi"/>
          <w:sz w:val="16"/>
          <w:szCs w:val="16"/>
          <w:lang w:val="es-ES"/>
        </w:rPr>
        <w:t xml:space="preserve"> 2 de marzo  de 2018, párr. 144.</w:t>
      </w:r>
    </w:p>
  </w:footnote>
  <w:footnote w:id="178">
    <w:p w14:paraId="16D3526C" w14:textId="77777777" w:rsidR="00824850" w:rsidRPr="00480046" w:rsidRDefault="00824850" w:rsidP="000C74A1">
      <w:pPr>
        <w:pStyle w:val="FootnoteText"/>
        <w:jc w:val="both"/>
        <w:rPr>
          <w:rFonts w:asciiTheme="majorHAnsi" w:hAnsiTheme="majorHAnsi"/>
          <w:sz w:val="16"/>
          <w:szCs w:val="16"/>
          <w:lang w:val="es-MX"/>
        </w:rPr>
      </w:pPr>
      <w:r w:rsidRPr="00480046">
        <w:rPr>
          <w:rStyle w:val="FootnoteReference"/>
          <w:rFonts w:asciiTheme="majorHAnsi" w:hAnsiTheme="majorHAnsi"/>
          <w:sz w:val="16"/>
          <w:szCs w:val="16"/>
        </w:rPr>
        <w:footnoteRef/>
      </w:r>
      <w:r w:rsidRPr="00480046">
        <w:rPr>
          <w:rFonts w:asciiTheme="majorHAnsi" w:hAnsiTheme="majorHAnsi"/>
          <w:sz w:val="16"/>
          <w:szCs w:val="16"/>
          <w:lang w:val="es-MX"/>
        </w:rPr>
        <w:t xml:space="preserve"> El artículo 8.1 de la Convención Americana establece en lo pertinente, lo siguiente: </w:t>
      </w:r>
    </w:p>
    <w:p w14:paraId="440DAA3D" w14:textId="77777777" w:rsidR="00824850" w:rsidRPr="00480046" w:rsidRDefault="00824850" w:rsidP="000C74A1">
      <w:pPr>
        <w:pStyle w:val="FootnoteText"/>
        <w:jc w:val="both"/>
        <w:rPr>
          <w:rFonts w:asciiTheme="majorHAnsi" w:hAnsiTheme="majorHAnsi"/>
          <w:sz w:val="16"/>
          <w:szCs w:val="16"/>
          <w:lang w:val="es-MX"/>
        </w:rPr>
      </w:pPr>
      <w:r w:rsidRPr="00480046">
        <w:rPr>
          <w:rFonts w:asciiTheme="majorHAnsi" w:hAnsiTheme="majorHAnsi"/>
          <w:sz w:val="16"/>
          <w:szCs w:val="16"/>
          <w:lang w:val="es-MX"/>
        </w:rPr>
        <w:t>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179">
    <w:p w14:paraId="5B48B80E" w14:textId="77777777" w:rsidR="00824850" w:rsidRDefault="00824850" w:rsidP="000C74A1">
      <w:pPr>
        <w:pStyle w:val="FootnoteText"/>
        <w:jc w:val="both"/>
        <w:rPr>
          <w:rFonts w:asciiTheme="majorHAnsi" w:hAnsiTheme="majorHAnsi"/>
          <w:sz w:val="16"/>
          <w:szCs w:val="16"/>
          <w:lang w:val="es-MX"/>
        </w:rPr>
      </w:pPr>
      <w:r w:rsidRPr="00480046">
        <w:rPr>
          <w:rStyle w:val="FootnoteReference"/>
          <w:rFonts w:asciiTheme="majorHAnsi" w:hAnsiTheme="majorHAnsi"/>
          <w:sz w:val="16"/>
          <w:szCs w:val="16"/>
        </w:rPr>
        <w:footnoteRef/>
      </w:r>
      <w:r w:rsidRPr="00480046">
        <w:rPr>
          <w:rFonts w:asciiTheme="majorHAnsi" w:hAnsiTheme="majorHAnsi"/>
          <w:sz w:val="16"/>
          <w:szCs w:val="16"/>
          <w:lang w:val="es-MX"/>
        </w:rPr>
        <w:t xml:space="preserve">   El artículo 25.1</w:t>
      </w:r>
      <w:r w:rsidRPr="000C74A1">
        <w:rPr>
          <w:rFonts w:asciiTheme="majorHAnsi" w:hAnsiTheme="majorHAnsi"/>
          <w:sz w:val="16"/>
          <w:szCs w:val="16"/>
          <w:lang w:val="es-MX"/>
        </w:rPr>
        <w:t xml:space="preserve"> de la Convención Americana establece en lo pertinente, lo siguiente: </w:t>
      </w:r>
    </w:p>
    <w:p w14:paraId="0FC9DF62" w14:textId="77777777" w:rsidR="00824850" w:rsidRPr="000C74A1" w:rsidRDefault="00824850" w:rsidP="000C74A1">
      <w:pPr>
        <w:pStyle w:val="FootnoteText"/>
        <w:jc w:val="both"/>
        <w:rPr>
          <w:rFonts w:asciiTheme="majorHAnsi" w:hAnsiTheme="majorHAnsi"/>
          <w:sz w:val="16"/>
          <w:szCs w:val="16"/>
          <w:lang w:val="es-MX"/>
        </w:rPr>
      </w:pPr>
      <w:r w:rsidRPr="000C74A1">
        <w:rPr>
          <w:rFonts w:asciiTheme="majorHAnsi" w:hAnsiTheme="majorHAnsi"/>
          <w:sz w:val="16"/>
          <w:szCs w:val="16"/>
          <w:lang w:val="es-MX"/>
        </w:rPr>
        <w:t>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180">
    <w:p w14:paraId="4E8B7477" w14:textId="77777777" w:rsidR="00824850" w:rsidRPr="00557DDA" w:rsidRDefault="00824850" w:rsidP="000C74A1">
      <w:pPr>
        <w:pStyle w:val="NoSpacing"/>
        <w:jc w:val="both"/>
        <w:rPr>
          <w:rFonts w:ascii="Cambria" w:hAnsi="Cambria"/>
          <w:sz w:val="16"/>
          <w:szCs w:val="16"/>
          <w:lang w:val="es-ES_tradnl"/>
        </w:rPr>
      </w:pPr>
      <w:r w:rsidRPr="00557DDA">
        <w:rPr>
          <w:rStyle w:val="FootnoteReference"/>
          <w:rFonts w:ascii="Cambria" w:hAnsi="Cambria"/>
          <w:sz w:val="16"/>
          <w:szCs w:val="16"/>
          <w:lang w:val="es-ES_tradnl"/>
        </w:rPr>
        <w:footnoteRef/>
      </w:r>
      <w:r w:rsidRPr="00557DDA">
        <w:rPr>
          <w:rFonts w:ascii="Cambria" w:hAnsi="Cambria"/>
          <w:sz w:val="16"/>
          <w:szCs w:val="16"/>
          <w:lang w:val="es-ES_tradnl"/>
        </w:rPr>
        <w:t xml:space="preserve"> Corte IDH, Caso Velásquez Rodríguez Vs. Honduras. Excepciones Preliminares. Sentencia de 26 de junio de 1987. Serie C No. 1, párr. 91; Caso Pueblo Indígena Kichwa de Sarayaku Vs. Ecuador. Fondo y reparaciones. Sentencia de 27 de junio de 2012. Serie C No. 245, párr. 260; y</w:t>
      </w:r>
      <w:r w:rsidRPr="00557DDA">
        <w:rPr>
          <w:rFonts w:ascii="Cambria" w:hAnsi="Cambria"/>
          <w:bCs/>
          <w:sz w:val="16"/>
          <w:szCs w:val="16"/>
          <w:lang w:val="es-ES_tradnl" w:bidi="en-US"/>
        </w:rPr>
        <w:t xml:space="preserve"> Caso de los Pueblos Indígenas Kuna de Madungandí y Emberá de Bayano y sus Miembros Vs. Panamá. Excepciones Preliminares, Fondo, Reparaciones y Costas. Sentencia de 14 de octubre de 2014. Serie C No. 284, párr. 165.</w:t>
      </w:r>
    </w:p>
  </w:footnote>
  <w:footnote w:id="181">
    <w:p w14:paraId="56FFC61B" w14:textId="77777777" w:rsidR="00824850" w:rsidRPr="00557DDA" w:rsidRDefault="00824850" w:rsidP="008D350B">
      <w:pPr>
        <w:pStyle w:val="NoSpacing"/>
        <w:jc w:val="both"/>
        <w:rPr>
          <w:rFonts w:ascii="Cambria" w:hAnsi="Cambria"/>
          <w:sz w:val="16"/>
          <w:szCs w:val="16"/>
          <w:lang w:val="es-ES_tradnl"/>
        </w:rPr>
      </w:pPr>
      <w:r w:rsidRPr="00557DDA">
        <w:rPr>
          <w:rStyle w:val="FootnoteReference"/>
          <w:rFonts w:ascii="Cambria" w:hAnsi="Cambria"/>
          <w:sz w:val="16"/>
          <w:szCs w:val="16"/>
          <w:lang w:val="es-ES_tradnl"/>
        </w:rPr>
        <w:footnoteRef/>
      </w:r>
      <w:r w:rsidRPr="00557DDA">
        <w:rPr>
          <w:rFonts w:ascii="Cambria" w:hAnsi="Cambria"/>
          <w:sz w:val="16"/>
          <w:szCs w:val="16"/>
          <w:lang w:val="es-ES_tradnl"/>
        </w:rPr>
        <w:t xml:space="preserve"> Corte IDH, </w:t>
      </w:r>
      <w:r w:rsidRPr="00557DDA">
        <w:rPr>
          <w:rFonts w:ascii="Cambria" w:hAnsi="Cambria"/>
          <w:bCs/>
          <w:sz w:val="16"/>
          <w:szCs w:val="16"/>
          <w:lang w:val="es-ES_tradnl"/>
        </w:rPr>
        <w:t xml:space="preserve">Caso Comunidad Indígena Yakye Axa Vs. Paraguay. </w:t>
      </w:r>
      <w:r w:rsidRPr="00557DDA">
        <w:rPr>
          <w:rFonts w:ascii="Cambria" w:hAnsi="Cambria"/>
          <w:sz w:val="16"/>
          <w:szCs w:val="16"/>
          <w:lang w:val="es-ES_tradnl"/>
        </w:rPr>
        <w:t xml:space="preserve">Fondo, Reparaciones y Costas. Sentencia de 17 de junio de 2005. Serie C No. 125, párr. 62; </w:t>
      </w:r>
      <w:r w:rsidRPr="00557DDA">
        <w:rPr>
          <w:rFonts w:ascii="Cambria" w:hAnsi="Cambria"/>
          <w:bCs/>
          <w:sz w:val="16"/>
          <w:szCs w:val="16"/>
          <w:lang w:val="es-ES_tradnl"/>
        </w:rPr>
        <w:t xml:space="preserve">Caso Baena Ricardo y otros Vs. Panamá. </w:t>
      </w:r>
      <w:r w:rsidRPr="00557DDA">
        <w:rPr>
          <w:rFonts w:ascii="Cambria" w:hAnsi="Cambria"/>
          <w:sz w:val="16"/>
          <w:szCs w:val="16"/>
          <w:lang w:val="es-ES_tradnl"/>
        </w:rPr>
        <w:t xml:space="preserve">Fondo, Reparaciones y Costas. Sentencia de 2 de febrero de 2001. Serie C No. 72, párr. 127; </w:t>
      </w:r>
      <w:r w:rsidRPr="00557DDA">
        <w:rPr>
          <w:rFonts w:ascii="Cambria" w:hAnsi="Cambria"/>
          <w:bCs/>
          <w:sz w:val="16"/>
          <w:szCs w:val="16"/>
          <w:lang w:val="es-ES_tradnl"/>
        </w:rPr>
        <w:t xml:space="preserve">Caso Comunidad Indígena Sawhoyamaxa Vs. Paraguay. </w:t>
      </w:r>
      <w:r w:rsidRPr="00557DDA">
        <w:rPr>
          <w:rFonts w:ascii="Cambria" w:hAnsi="Cambria"/>
          <w:sz w:val="16"/>
          <w:szCs w:val="16"/>
          <w:lang w:val="es-ES_tradnl"/>
        </w:rPr>
        <w:t xml:space="preserve">Fondo, Reparaciones y Costas. Sentencia de 29 de marzo de 2006. Serie C No. 146, párrs. 82, 83. La Corte Interamericana ha indicado que entre los procedimientos administrativos internos que deben dar cumplimiento a las garantías del debido proceso se cuentan, por ejemplo, los procedimientos de reconocimiento de líderes indígenas, los procedimientos de reconocimiento de la personalidad jurídica, y los procedimientos de restitución de tierras [Corte IDH, </w:t>
      </w:r>
      <w:r w:rsidRPr="00557DDA">
        <w:rPr>
          <w:rFonts w:ascii="Cambria" w:hAnsi="Cambria"/>
          <w:bCs/>
          <w:sz w:val="16"/>
          <w:szCs w:val="16"/>
          <w:lang w:val="es-ES_tradnl"/>
        </w:rPr>
        <w:t xml:space="preserve">Caso Comunidad Indígena Sawhoyamaxa Vs. Paraguay. </w:t>
      </w:r>
      <w:r w:rsidRPr="00557DDA">
        <w:rPr>
          <w:rFonts w:ascii="Cambria" w:hAnsi="Cambria"/>
          <w:sz w:val="16"/>
          <w:szCs w:val="16"/>
          <w:lang w:val="es-ES_tradnl"/>
        </w:rPr>
        <w:t>Fondo, Reparaciones y Costas. Sentencia de 29 de marzo de 2006. Serie C No. 146, párrs. 81, 82].</w:t>
      </w:r>
    </w:p>
  </w:footnote>
  <w:footnote w:id="182">
    <w:p w14:paraId="2D5FE196" w14:textId="77777777" w:rsidR="00824850" w:rsidRPr="00557DDA" w:rsidRDefault="00824850" w:rsidP="008D350B">
      <w:pPr>
        <w:pStyle w:val="NoSpacing"/>
        <w:jc w:val="both"/>
        <w:rPr>
          <w:rFonts w:ascii="Cambria" w:hAnsi="Cambria"/>
          <w:sz w:val="16"/>
          <w:szCs w:val="16"/>
          <w:lang w:val="es-ES_tradnl"/>
        </w:rPr>
      </w:pPr>
      <w:r w:rsidRPr="00557DDA">
        <w:rPr>
          <w:rStyle w:val="FootnoteReference"/>
          <w:rFonts w:ascii="Cambria" w:hAnsi="Cambria"/>
          <w:sz w:val="16"/>
          <w:szCs w:val="16"/>
          <w:lang w:val="es-ES_tradnl"/>
        </w:rPr>
        <w:footnoteRef/>
      </w:r>
      <w:r w:rsidRPr="00557DDA">
        <w:rPr>
          <w:rFonts w:ascii="Cambria" w:hAnsi="Cambria"/>
          <w:sz w:val="16"/>
          <w:szCs w:val="16"/>
          <w:lang w:val="es-ES_tradnl"/>
        </w:rPr>
        <w:t xml:space="preserve"> Corte IDH, </w:t>
      </w:r>
      <w:r w:rsidRPr="00557DDA">
        <w:rPr>
          <w:rFonts w:ascii="Cambria" w:hAnsi="Cambria"/>
          <w:bCs/>
          <w:sz w:val="16"/>
          <w:szCs w:val="16"/>
          <w:lang w:val="es-ES_tradnl"/>
        </w:rPr>
        <w:t xml:space="preserve">Caso de la Comunidad Mayagna (Sumo) Awas Tingni Vs. Nicaragua. </w:t>
      </w:r>
      <w:r w:rsidRPr="00557DDA">
        <w:rPr>
          <w:rFonts w:ascii="Cambria" w:hAnsi="Cambria"/>
          <w:sz w:val="16"/>
          <w:szCs w:val="16"/>
          <w:lang w:val="es-ES_tradnl"/>
        </w:rPr>
        <w:t xml:space="preserve">Fondo, Reparaciones y Costas. Sentencia de 31 de agosto de 2001. Serie C No. 79, párr. 138; Caso Comunidad Indígena Yakye Axa Vs. Paraguay. Fondo, Reparaciones y Costas. Sentencia de 17 de junio de 2005. Serie C No. 125, párr. 143; y CIDH, </w:t>
      </w:r>
      <w:r w:rsidRPr="00557DDA">
        <w:rPr>
          <w:rFonts w:ascii="Cambria" w:hAnsi="Cambria"/>
          <w:smallCaps/>
          <w:sz w:val="16"/>
          <w:szCs w:val="16"/>
          <w:lang w:val="es-ES_tradnl"/>
        </w:rPr>
        <w:t>Derechos de los pueblos indígenas y tribales sobre sus tierras ancestrales y recursos naturales. Normas y jurisprudencia del Sistema Interamericano de Derechos Humanos</w:t>
      </w:r>
      <w:r w:rsidRPr="00557DDA">
        <w:rPr>
          <w:rFonts w:ascii="Cambria" w:hAnsi="Cambria"/>
          <w:sz w:val="16"/>
          <w:szCs w:val="16"/>
          <w:lang w:val="es-ES_tradnl"/>
        </w:rPr>
        <w:t>. OEA/Ser.L/V/II.Doc.56/09, 30 de diciembre, 2009, párr. 335.</w:t>
      </w:r>
    </w:p>
  </w:footnote>
  <w:footnote w:id="183">
    <w:p w14:paraId="525E00EC" w14:textId="77777777" w:rsidR="00824850" w:rsidRPr="002636B0" w:rsidRDefault="00824850" w:rsidP="006C3A25">
      <w:pPr>
        <w:spacing w:after="120"/>
        <w:jc w:val="both"/>
        <w:rPr>
          <w:rFonts w:ascii="Univers" w:hAnsi="Univers"/>
          <w:sz w:val="16"/>
          <w:szCs w:val="16"/>
          <w:lang w:val="es-ES"/>
        </w:rPr>
      </w:pPr>
      <w:r w:rsidRPr="002636B0">
        <w:rPr>
          <w:rStyle w:val="FootnoteReference"/>
          <w:rFonts w:ascii="Univers" w:hAnsi="Univers"/>
          <w:sz w:val="16"/>
          <w:szCs w:val="16"/>
          <w:lang w:val="es-ES"/>
        </w:rPr>
        <w:footnoteRef/>
      </w:r>
      <w:r w:rsidRPr="002636B0">
        <w:rPr>
          <w:rFonts w:ascii="Univers" w:eastAsia="Times New Roman" w:hAnsi="Univers"/>
          <w:sz w:val="16"/>
          <w:szCs w:val="16"/>
          <w:lang w:val="es-ES"/>
        </w:rPr>
        <w:t xml:space="preserve"> </w:t>
      </w:r>
      <w:r w:rsidRPr="002636B0">
        <w:rPr>
          <w:rFonts w:ascii="Univers" w:hAnsi="Univers"/>
          <w:sz w:val="16"/>
          <w:szCs w:val="16"/>
          <w:lang w:val="es-ES"/>
        </w:rPr>
        <w:t xml:space="preserve">Corte </w:t>
      </w:r>
      <w:r>
        <w:rPr>
          <w:rFonts w:ascii="Univers" w:hAnsi="Univers"/>
          <w:sz w:val="16"/>
          <w:szCs w:val="16"/>
          <w:lang w:val="es-ES"/>
        </w:rPr>
        <w:t>I</w:t>
      </w:r>
      <w:r w:rsidRPr="002636B0">
        <w:rPr>
          <w:rFonts w:ascii="Univers" w:hAnsi="Univers"/>
          <w:sz w:val="16"/>
          <w:szCs w:val="16"/>
          <w:lang w:val="es-ES"/>
        </w:rPr>
        <w:t xml:space="preserve">DH., </w:t>
      </w:r>
      <w:r>
        <w:rPr>
          <w:rFonts w:ascii="Univers" w:hAnsi="Univers"/>
          <w:i/>
          <w:iCs/>
          <w:sz w:val="16"/>
          <w:szCs w:val="16"/>
          <w:lang w:val="es-ES"/>
        </w:rPr>
        <w:t>Caso</w:t>
      </w:r>
      <w:r w:rsidRPr="002636B0">
        <w:rPr>
          <w:rFonts w:ascii="Univers" w:hAnsi="Univers"/>
          <w:i/>
          <w:iCs/>
          <w:sz w:val="16"/>
          <w:szCs w:val="16"/>
          <w:lang w:val="es-ES"/>
        </w:rPr>
        <w:t xml:space="preserve"> Pueblo Indígena </w:t>
      </w:r>
      <w:r>
        <w:rPr>
          <w:rFonts w:ascii="Univers" w:hAnsi="Univers"/>
          <w:i/>
          <w:iCs/>
          <w:sz w:val="16"/>
          <w:szCs w:val="16"/>
          <w:lang w:val="es-ES"/>
        </w:rPr>
        <w:t>Kichwa de Sarayaku vs. Ecuador</w:t>
      </w:r>
      <w:r w:rsidRPr="002636B0">
        <w:rPr>
          <w:rFonts w:ascii="Univers" w:hAnsi="Univers"/>
          <w:sz w:val="16"/>
          <w:szCs w:val="16"/>
          <w:lang w:val="es-ES"/>
        </w:rPr>
        <w:t xml:space="preserve">. Sentencia de </w:t>
      </w:r>
      <w:r>
        <w:rPr>
          <w:rFonts w:ascii="Univers" w:hAnsi="Univers"/>
          <w:sz w:val="16"/>
          <w:szCs w:val="16"/>
          <w:lang w:val="es-ES"/>
        </w:rPr>
        <w:t>2</w:t>
      </w:r>
      <w:r w:rsidRPr="002636B0">
        <w:rPr>
          <w:rFonts w:ascii="Univers" w:hAnsi="Univers"/>
          <w:sz w:val="16"/>
          <w:szCs w:val="16"/>
          <w:lang w:val="es-ES"/>
        </w:rPr>
        <w:t>7 de junio de 20</w:t>
      </w:r>
      <w:r>
        <w:rPr>
          <w:rFonts w:ascii="Univers" w:hAnsi="Univers"/>
          <w:sz w:val="16"/>
          <w:szCs w:val="16"/>
          <w:lang w:val="es-ES"/>
        </w:rPr>
        <w:t>12</w:t>
      </w:r>
      <w:r w:rsidRPr="002636B0">
        <w:rPr>
          <w:rFonts w:ascii="Univers" w:hAnsi="Univers"/>
          <w:sz w:val="16"/>
          <w:szCs w:val="16"/>
          <w:lang w:val="es-ES"/>
        </w:rPr>
        <w:t xml:space="preserve">. Serie C No. </w:t>
      </w:r>
      <w:r>
        <w:rPr>
          <w:rFonts w:ascii="Univers" w:hAnsi="Univers"/>
          <w:sz w:val="16"/>
          <w:szCs w:val="16"/>
          <w:lang w:val="es-ES"/>
        </w:rPr>
        <w:t>245</w:t>
      </w:r>
      <w:r w:rsidRPr="002636B0">
        <w:rPr>
          <w:rFonts w:ascii="Univers" w:hAnsi="Univers"/>
          <w:sz w:val="16"/>
          <w:szCs w:val="16"/>
          <w:lang w:val="es-ES"/>
        </w:rPr>
        <w:t xml:space="preserve">. párr. </w:t>
      </w:r>
      <w:r>
        <w:rPr>
          <w:rFonts w:ascii="Univers" w:hAnsi="Univers"/>
          <w:sz w:val="16"/>
          <w:szCs w:val="16"/>
          <w:lang w:val="es-ES"/>
        </w:rPr>
        <w:t>164</w:t>
      </w:r>
      <w:r w:rsidRPr="002636B0">
        <w:rPr>
          <w:rFonts w:ascii="Univers" w:hAnsi="Univers"/>
          <w:sz w:val="16"/>
          <w:szCs w:val="16"/>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F16EA" w14:textId="77777777" w:rsidR="00824850" w:rsidRDefault="00824850" w:rsidP="00DE7E2E">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C0EEBC6" w14:textId="77777777" w:rsidR="00824850" w:rsidRDefault="008248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2B5FE" w14:textId="77777777" w:rsidR="00824850" w:rsidRDefault="00824850" w:rsidP="00A50FCF">
    <w:pPr>
      <w:pStyle w:val="Header"/>
      <w:tabs>
        <w:tab w:val="clear" w:pos="4320"/>
        <w:tab w:val="clear" w:pos="8640"/>
      </w:tabs>
      <w:jc w:val="center"/>
      <w:rPr>
        <w:sz w:val="22"/>
        <w:szCs w:val="22"/>
      </w:rPr>
    </w:pPr>
    <w:r>
      <w:rPr>
        <w:noProof/>
        <w:sz w:val="22"/>
        <w:szCs w:val="22"/>
      </w:rPr>
      <w:drawing>
        <wp:inline distT="0" distB="0" distL="0" distR="0" wp14:anchorId="3A351971" wp14:editId="221DE5FC">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4FDC87BF" w14:textId="77777777" w:rsidR="00824850" w:rsidRPr="00EC7D62" w:rsidRDefault="00C8225E" w:rsidP="00A50FCF">
    <w:pPr>
      <w:pStyle w:val="Header"/>
      <w:tabs>
        <w:tab w:val="clear" w:pos="4320"/>
        <w:tab w:val="clear" w:pos="8640"/>
      </w:tabs>
      <w:jc w:val="center"/>
      <w:rPr>
        <w:sz w:val="22"/>
        <w:szCs w:val="22"/>
      </w:rPr>
    </w:pPr>
    <w:r>
      <w:rPr>
        <w:sz w:val="22"/>
        <w:szCs w:val="22"/>
      </w:rPr>
      <w:pict w14:anchorId="700CB788">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BE45D1F"/>
    <w:multiLevelType w:val="hybridMultilevel"/>
    <w:tmpl w:val="DC66E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387B3F"/>
    <w:multiLevelType w:val="multilevel"/>
    <w:tmpl w:val="80666F96"/>
    <w:lvl w:ilvl="0">
      <w:start w:val="123"/>
      <w:numFmt w:val="decimal"/>
      <w:lvlText w:val="%1."/>
      <w:lvlJc w:val="left"/>
      <w:pPr>
        <w:ind w:left="990" w:hanging="360"/>
      </w:pPr>
      <w:rPr>
        <w:rFonts w:hint="default"/>
        <w:b w:val="0"/>
      </w:rPr>
    </w:lvl>
    <w:lvl w:ilvl="1">
      <w:start w:val="1"/>
      <w:numFmt w:val="decimal"/>
      <w:isLgl/>
      <w:lvlText w:val="%2."/>
      <w:lvlJc w:val="left"/>
      <w:pPr>
        <w:ind w:left="1440" w:hanging="720"/>
      </w:pPr>
      <w:rPr>
        <w:rFonts w:ascii="Cambria" w:eastAsia="Calibri" w:hAnsi="Cambria" w:cs="Helvetica"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D0A5DF9"/>
    <w:multiLevelType w:val="hybridMultilevel"/>
    <w:tmpl w:val="DC7656C4"/>
    <w:lvl w:ilvl="0" w:tplc="751AD788">
      <w:start w:val="103"/>
      <w:numFmt w:val="decimal"/>
      <w:lvlText w:val="%1."/>
      <w:lvlJc w:val="left"/>
      <w:pPr>
        <w:ind w:left="720" w:hanging="360"/>
      </w:pPr>
      <w:rPr>
        <w:rFonts w:ascii="Cambria" w:eastAsia="Times New Roman" w:hAnsi="Cambria"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061086E"/>
    <w:multiLevelType w:val="hybridMultilevel"/>
    <w:tmpl w:val="3704E16C"/>
    <w:lvl w:ilvl="0" w:tplc="F0A69672">
      <w:start w:val="1"/>
      <w:numFmt w:val="decimal"/>
      <w:pStyle w:val="Estilo1"/>
      <w:lvlText w:val="%1."/>
      <w:lvlJc w:val="left"/>
      <w:pPr>
        <w:ind w:left="720" w:hanging="360"/>
      </w:pPr>
      <w:rPr>
        <w:rFonts w:hint="default"/>
      </w:rPr>
    </w:lvl>
    <w:lvl w:ilvl="1" w:tplc="870EC26C">
      <w:start w:val="1"/>
      <w:numFmt w:val="lowerLetter"/>
      <w:lvlText w:val="%2)"/>
      <w:lvlJc w:val="left"/>
      <w:pPr>
        <w:ind w:left="1440" w:hanging="360"/>
      </w:pPr>
      <w:rPr>
        <w:rFonts w:ascii="Times New Roman" w:hAnsi="Times New Roman" w:cs="Times New Roman" w:hint="default"/>
        <w:b w:val="0"/>
        <w:i/>
        <w:sz w:val="24"/>
        <w:szCs w:val="24"/>
      </w:r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6FB5FA7"/>
    <w:multiLevelType w:val="hybridMultilevel"/>
    <w:tmpl w:val="87763244"/>
    <w:lvl w:ilvl="0" w:tplc="068A1C9E">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2"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06C03ED"/>
    <w:multiLevelType w:val="hybridMultilevel"/>
    <w:tmpl w:val="90BC1122"/>
    <w:lvl w:ilvl="0" w:tplc="D024717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2632006C"/>
    <w:multiLevelType w:val="hybridMultilevel"/>
    <w:tmpl w:val="DF50894C"/>
    <w:lvl w:ilvl="0" w:tplc="26305AAE">
      <w:start w:val="8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AA069EE"/>
    <w:multiLevelType w:val="hybridMultilevel"/>
    <w:tmpl w:val="26E21384"/>
    <w:lvl w:ilvl="0" w:tplc="CFB00F46">
      <w:start w:val="8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0FA35B7"/>
    <w:multiLevelType w:val="hybridMultilevel"/>
    <w:tmpl w:val="CDC6B806"/>
    <w:lvl w:ilvl="0" w:tplc="FBC41484">
      <w:start w:val="7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32D840A8"/>
    <w:multiLevelType w:val="hybridMultilevel"/>
    <w:tmpl w:val="6B7CD8E6"/>
    <w:lvl w:ilvl="0" w:tplc="4D563C52">
      <w:start w:val="8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5"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6" w15:restartNumberingAfterBreak="0">
    <w:nsid w:val="3AEB178D"/>
    <w:multiLevelType w:val="hybridMultilevel"/>
    <w:tmpl w:val="F7BEFABE"/>
    <w:lvl w:ilvl="0" w:tplc="E02812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DCB44BB"/>
    <w:multiLevelType w:val="multilevel"/>
    <w:tmpl w:val="8196F056"/>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3DF643AC"/>
    <w:multiLevelType w:val="hybridMultilevel"/>
    <w:tmpl w:val="3008F9F6"/>
    <w:lvl w:ilvl="0" w:tplc="1DCA34DC">
      <w:start w:val="1"/>
      <w:numFmt w:val="upperLetter"/>
      <w:lvlText w:val="%1."/>
      <w:lvlJc w:val="left"/>
      <w:pPr>
        <w:ind w:left="45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48285D8C"/>
    <w:multiLevelType w:val="hybridMultilevel"/>
    <w:tmpl w:val="5EA20716"/>
    <w:lvl w:ilvl="0" w:tplc="23026318">
      <w:start w:val="1"/>
      <w:numFmt w:val="upperLetter"/>
      <w:lvlText w:val="%1."/>
      <w:lvlJc w:val="left"/>
      <w:pPr>
        <w:ind w:left="516" w:hanging="360"/>
      </w:pPr>
      <w:rPr>
        <w:rFonts w:hint="default"/>
        <w:b/>
        <w:i w:val="0"/>
      </w:rPr>
    </w:lvl>
    <w:lvl w:ilvl="1" w:tplc="04090019" w:tentative="1">
      <w:start w:val="1"/>
      <w:numFmt w:val="lowerLetter"/>
      <w:lvlText w:val="%2."/>
      <w:lvlJc w:val="left"/>
      <w:pPr>
        <w:ind w:left="1236" w:hanging="360"/>
      </w:pPr>
    </w:lvl>
    <w:lvl w:ilvl="2" w:tplc="0409001B" w:tentative="1">
      <w:start w:val="1"/>
      <w:numFmt w:val="lowerRoman"/>
      <w:lvlText w:val="%3."/>
      <w:lvlJc w:val="right"/>
      <w:pPr>
        <w:ind w:left="1956" w:hanging="180"/>
      </w:pPr>
    </w:lvl>
    <w:lvl w:ilvl="3" w:tplc="0409000F" w:tentative="1">
      <w:start w:val="1"/>
      <w:numFmt w:val="decimal"/>
      <w:lvlText w:val="%4."/>
      <w:lvlJc w:val="left"/>
      <w:pPr>
        <w:ind w:left="2676" w:hanging="360"/>
      </w:pPr>
    </w:lvl>
    <w:lvl w:ilvl="4" w:tplc="04090019" w:tentative="1">
      <w:start w:val="1"/>
      <w:numFmt w:val="lowerLetter"/>
      <w:lvlText w:val="%5."/>
      <w:lvlJc w:val="left"/>
      <w:pPr>
        <w:ind w:left="3396" w:hanging="360"/>
      </w:pPr>
    </w:lvl>
    <w:lvl w:ilvl="5" w:tplc="0409001B" w:tentative="1">
      <w:start w:val="1"/>
      <w:numFmt w:val="lowerRoman"/>
      <w:lvlText w:val="%6."/>
      <w:lvlJc w:val="right"/>
      <w:pPr>
        <w:ind w:left="4116" w:hanging="180"/>
      </w:pPr>
    </w:lvl>
    <w:lvl w:ilvl="6" w:tplc="0409000F" w:tentative="1">
      <w:start w:val="1"/>
      <w:numFmt w:val="decimal"/>
      <w:lvlText w:val="%7."/>
      <w:lvlJc w:val="left"/>
      <w:pPr>
        <w:ind w:left="4836" w:hanging="360"/>
      </w:pPr>
    </w:lvl>
    <w:lvl w:ilvl="7" w:tplc="04090019" w:tentative="1">
      <w:start w:val="1"/>
      <w:numFmt w:val="lowerLetter"/>
      <w:lvlText w:val="%8."/>
      <w:lvlJc w:val="left"/>
      <w:pPr>
        <w:ind w:left="5556" w:hanging="360"/>
      </w:pPr>
    </w:lvl>
    <w:lvl w:ilvl="8" w:tplc="0409001B" w:tentative="1">
      <w:start w:val="1"/>
      <w:numFmt w:val="lowerRoman"/>
      <w:lvlText w:val="%9."/>
      <w:lvlJc w:val="right"/>
      <w:pPr>
        <w:ind w:left="6276" w:hanging="180"/>
      </w:pPr>
    </w:lvl>
  </w:abstractNum>
  <w:abstractNum w:abstractNumId="4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56164FED"/>
    <w:multiLevelType w:val="hybridMultilevel"/>
    <w:tmpl w:val="F22AFBEE"/>
    <w:lvl w:ilvl="0" w:tplc="A886A912">
      <w:start w:val="9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6" w15:restartNumberingAfterBreak="0">
    <w:nsid w:val="5D7D4B9D"/>
    <w:multiLevelType w:val="hybridMultilevel"/>
    <w:tmpl w:val="6EC4B846"/>
    <w:lvl w:ilvl="0" w:tplc="9E0CAF0C">
      <w:start w:val="1"/>
      <w:numFmt w:val="decimal"/>
      <w:lvlText w:val="%1."/>
      <w:lvlJc w:val="left"/>
      <w:pPr>
        <w:ind w:left="45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0F60E0A"/>
    <w:multiLevelType w:val="hybridMultilevel"/>
    <w:tmpl w:val="81263486"/>
    <w:lvl w:ilvl="0" w:tplc="694601C2">
      <w:start w:val="95"/>
      <w:numFmt w:val="decimal"/>
      <w:lvlText w:val="%1."/>
      <w:lvlJc w:val="left"/>
      <w:pPr>
        <w:ind w:left="450" w:hanging="360"/>
      </w:pPr>
      <w:rPr>
        <w:rFonts w:ascii="Cambria" w:hAnsi="Cambri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6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61"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34F7378"/>
    <w:multiLevelType w:val="hybridMultilevel"/>
    <w:tmpl w:val="8312C5A2"/>
    <w:lvl w:ilvl="0" w:tplc="A9AA7402">
      <w:start w:val="97"/>
      <w:numFmt w:val="decimal"/>
      <w:lvlText w:val="%1."/>
      <w:lvlJc w:val="left"/>
      <w:pPr>
        <w:ind w:left="1440" w:hanging="360"/>
      </w:pPr>
      <w:rPr>
        <w:rFonts w:ascii="Cambria" w:eastAsia="Times New Roman" w:hAnsi="Cambria" w:cs="Times New Roman" w:hint="default"/>
        <w:b w:val="0"/>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8" w15:restartNumberingAfterBreak="0">
    <w:nsid w:val="7A403F48"/>
    <w:multiLevelType w:val="hybridMultilevel"/>
    <w:tmpl w:val="BDD64A0A"/>
    <w:lvl w:ilvl="0" w:tplc="40FED1D8">
      <w:start w:val="94"/>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6"/>
  </w:num>
  <w:num w:numId="2">
    <w:abstractNumId w:val="8"/>
  </w:num>
  <w:num w:numId="3">
    <w:abstractNumId w:val="66"/>
  </w:num>
  <w:num w:numId="4">
    <w:abstractNumId w:val="28"/>
  </w:num>
  <w:num w:numId="5">
    <w:abstractNumId w:val="59"/>
  </w:num>
  <w:num w:numId="6">
    <w:abstractNumId w:val="34"/>
  </w:num>
  <w:num w:numId="7">
    <w:abstractNumId w:val="10"/>
  </w:num>
  <w:num w:numId="8">
    <w:abstractNumId w:val="23"/>
  </w:num>
  <w:num w:numId="9">
    <w:abstractNumId w:val="52"/>
  </w:num>
  <w:num w:numId="10">
    <w:abstractNumId w:val="0"/>
  </w:num>
  <w:num w:numId="11">
    <w:abstractNumId w:val="47"/>
  </w:num>
  <w:num w:numId="12">
    <w:abstractNumId w:val="48"/>
  </w:num>
  <w:num w:numId="13">
    <w:abstractNumId w:val="54"/>
  </w:num>
  <w:num w:numId="14">
    <w:abstractNumId w:val="1"/>
  </w:num>
  <w:num w:numId="15">
    <w:abstractNumId w:val="2"/>
  </w:num>
  <w:num w:numId="16">
    <w:abstractNumId w:val="11"/>
  </w:num>
  <w:num w:numId="17">
    <w:abstractNumId w:val="12"/>
  </w:num>
  <w:num w:numId="18">
    <w:abstractNumId w:val="13"/>
  </w:num>
  <w:num w:numId="19">
    <w:abstractNumId w:val="14"/>
  </w:num>
  <w:num w:numId="20">
    <w:abstractNumId w:val="15"/>
  </w:num>
  <w:num w:numId="21">
    <w:abstractNumId w:val="17"/>
  </w:num>
  <w:num w:numId="22">
    <w:abstractNumId w:val="18"/>
  </w:num>
  <w:num w:numId="23">
    <w:abstractNumId w:val="20"/>
  </w:num>
  <w:num w:numId="24">
    <w:abstractNumId w:val="21"/>
  </w:num>
  <w:num w:numId="25">
    <w:abstractNumId w:val="24"/>
  </w:num>
  <w:num w:numId="26">
    <w:abstractNumId w:val="25"/>
  </w:num>
  <w:num w:numId="27">
    <w:abstractNumId w:val="30"/>
  </w:num>
  <w:num w:numId="28">
    <w:abstractNumId w:val="31"/>
  </w:num>
  <w:num w:numId="29">
    <w:abstractNumId w:val="32"/>
  </w:num>
  <w:num w:numId="30">
    <w:abstractNumId w:val="33"/>
  </w:num>
  <w:num w:numId="31">
    <w:abstractNumId w:val="35"/>
  </w:num>
  <w:num w:numId="32">
    <w:abstractNumId w:val="39"/>
  </w:num>
  <w:num w:numId="33">
    <w:abstractNumId w:val="40"/>
  </w:num>
  <w:num w:numId="34">
    <w:abstractNumId w:val="41"/>
  </w:num>
  <w:num w:numId="35">
    <w:abstractNumId w:val="42"/>
  </w:num>
  <w:num w:numId="36">
    <w:abstractNumId w:val="43"/>
  </w:num>
  <w:num w:numId="37">
    <w:abstractNumId w:val="45"/>
  </w:num>
  <w:num w:numId="38">
    <w:abstractNumId w:val="46"/>
  </w:num>
  <w:num w:numId="39">
    <w:abstractNumId w:val="49"/>
  </w:num>
  <w:num w:numId="40">
    <w:abstractNumId w:val="50"/>
  </w:num>
  <w:num w:numId="41">
    <w:abstractNumId w:val="58"/>
  </w:num>
  <w:num w:numId="42">
    <w:abstractNumId w:val="60"/>
  </w:num>
  <w:num w:numId="43">
    <w:abstractNumId w:val="61"/>
  </w:num>
  <w:num w:numId="44">
    <w:abstractNumId w:val="64"/>
  </w:num>
  <w:num w:numId="45">
    <w:abstractNumId w:val="65"/>
  </w:num>
  <w:num w:numId="46">
    <w:abstractNumId w:val="67"/>
  </w:num>
  <w:num w:numId="47">
    <w:abstractNumId w:val="69"/>
  </w:num>
  <w:num w:numId="48">
    <w:abstractNumId w:val="70"/>
  </w:num>
  <w:num w:numId="49">
    <w:abstractNumId w:val="71"/>
  </w:num>
  <w:num w:numId="50">
    <w:abstractNumId w:val="72"/>
  </w:num>
  <w:num w:numId="51">
    <w:abstractNumId w:val="27"/>
  </w:num>
  <w:num w:numId="52">
    <w:abstractNumId w:val="51"/>
  </w:num>
  <w:num w:numId="53">
    <w:abstractNumId w:val="62"/>
  </w:num>
  <w:num w:numId="54">
    <w:abstractNumId w:val="55"/>
  </w:num>
  <w:num w:numId="55">
    <w:abstractNumId w:val="56"/>
  </w:num>
  <w:num w:numId="56">
    <w:abstractNumId w:val="38"/>
  </w:num>
  <w:num w:numId="57">
    <w:abstractNumId w:val="26"/>
  </w:num>
  <w:num w:numId="58">
    <w:abstractNumId w:val="19"/>
  </w:num>
  <w:num w:numId="59">
    <w:abstractNumId w:val="16"/>
  </w:num>
  <w:num w:numId="60">
    <w:abstractNumId w:val="68"/>
  </w:num>
  <w:num w:numId="61">
    <w:abstractNumId w:val="63"/>
  </w:num>
  <w:num w:numId="62">
    <w:abstractNumId w:val="36"/>
  </w:num>
  <w:num w:numId="63">
    <w:abstractNumId w:val="37"/>
  </w:num>
  <w:num w:numId="64">
    <w:abstractNumId w:val="4"/>
  </w:num>
  <w:num w:numId="65">
    <w:abstractNumId w:val="7"/>
  </w:num>
  <w:num w:numId="66">
    <w:abstractNumId w:val="44"/>
  </w:num>
  <w:num w:numId="67">
    <w:abstractNumId w:val="3"/>
  </w:num>
  <w:num w:numId="68">
    <w:abstractNumId w:val="9"/>
  </w:num>
  <w:num w:numId="69">
    <w:abstractNumId w:val="29"/>
  </w:num>
  <w:num w:numId="70">
    <w:abstractNumId w:val="22"/>
  </w:num>
  <w:num w:numId="71">
    <w:abstractNumId w:val="57"/>
  </w:num>
  <w:num w:numId="72">
    <w:abstractNumId w:val="53"/>
  </w:num>
  <w:num w:numId="73">
    <w:abstractNumId w:val="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1440"/>
  <w:hyphenationZone w:val="425"/>
  <w:characterSpacingControl w:val="doNotCompress"/>
  <w:hdrShapeDefaults>
    <o:shapedefaults v:ext="edit" spidmax="6146"/>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5B14"/>
    <w:rsid w:val="00006896"/>
    <w:rsid w:val="00006E1F"/>
    <w:rsid w:val="000070D7"/>
    <w:rsid w:val="00011095"/>
    <w:rsid w:val="00011BA9"/>
    <w:rsid w:val="00014407"/>
    <w:rsid w:val="00015811"/>
    <w:rsid w:val="000158FD"/>
    <w:rsid w:val="00015B48"/>
    <w:rsid w:val="0001788C"/>
    <w:rsid w:val="00021FB7"/>
    <w:rsid w:val="000225D6"/>
    <w:rsid w:val="00023C9D"/>
    <w:rsid w:val="00027C0F"/>
    <w:rsid w:val="00030F97"/>
    <w:rsid w:val="00032D3D"/>
    <w:rsid w:val="00034B95"/>
    <w:rsid w:val="00036703"/>
    <w:rsid w:val="00040C3A"/>
    <w:rsid w:val="00043CD4"/>
    <w:rsid w:val="00055063"/>
    <w:rsid w:val="000609C4"/>
    <w:rsid w:val="00060B67"/>
    <w:rsid w:val="00062111"/>
    <w:rsid w:val="00067A5D"/>
    <w:rsid w:val="000716C5"/>
    <w:rsid w:val="0007340A"/>
    <w:rsid w:val="00073BEB"/>
    <w:rsid w:val="00075E23"/>
    <w:rsid w:val="00076666"/>
    <w:rsid w:val="00077C78"/>
    <w:rsid w:val="000817AF"/>
    <w:rsid w:val="00083109"/>
    <w:rsid w:val="00083663"/>
    <w:rsid w:val="0008393F"/>
    <w:rsid w:val="00084794"/>
    <w:rsid w:val="00086B67"/>
    <w:rsid w:val="0008728D"/>
    <w:rsid w:val="0008768F"/>
    <w:rsid w:val="00087845"/>
    <w:rsid w:val="000917D5"/>
    <w:rsid w:val="00092DAE"/>
    <w:rsid w:val="0009344A"/>
    <w:rsid w:val="00094BC1"/>
    <w:rsid w:val="000A12F5"/>
    <w:rsid w:val="000A1BD5"/>
    <w:rsid w:val="000A1F0C"/>
    <w:rsid w:val="000A3823"/>
    <w:rsid w:val="000A3915"/>
    <w:rsid w:val="000A392E"/>
    <w:rsid w:val="000A575F"/>
    <w:rsid w:val="000A576A"/>
    <w:rsid w:val="000A5F88"/>
    <w:rsid w:val="000A6096"/>
    <w:rsid w:val="000A7370"/>
    <w:rsid w:val="000B33AB"/>
    <w:rsid w:val="000B3967"/>
    <w:rsid w:val="000B5E1B"/>
    <w:rsid w:val="000B678A"/>
    <w:rsid w:val="000B7D9A"/>
    <w:rsid w:val="000C0DF6"/>
    <w:rsid w:val="000C0E5E"/>
    <w:rsid w:val="000C5914"/>
    <w:rsid w:val="000C74A1"/>
    <w:rsid w:val="000C7BE4"/>
    <w:rsid w:val="000C7C2D"/>
    <w:rsid w:val="000D02B5"/>
    <w:rsid w:val="000D10DB"/>
    <w:rsid w:val="000D116E"/>
    <w:rsid w:val="000D2007"/>
    <w:rsid w:val="000D4734"/>
    <w:rsid w:val="000D5A6E"/>
    <w:rsid w:val="000D5B7C"/>
    <w:rsid w:val="000D5DE9"/>
    <w:rsid w:val="000D6471"/>
    <w:rsid w:val="000D7541"/>
    <w:rsid w:val="000E0771"/>
    <w:rsid w:val="000E5131"/>
    <w:rsid w:val="000E5EB5"/>
    <w:rsid w:val="000F0E8B"/>
    <w:rsid w:val="000F3021"/>
    <w:rsid w:val="000F35B5"/>
    <w:rsid w:val="000F35ED"/>
    <w:rsid w:val="000F43C6"/>
    <w:rsid w:val="000F72F0"/>
    <w:rsid w:val="00102AE0"/>
    <w:rsid w:val="001066DE"/>
    <w:rsid w:val="00106E98"/>
    <w:rsid w:val="00107131"/>
    <w:rsid w:val="0010736F"/>
    <w:rsid w:val="00110882"/>
    <w:rsid w:val="00113F73"/>
    <w:rsid w:val="001163BE"/>
    <w:rsid w:val="00117457"/>
    <w:rsid w:val="00121CC2"/>
    <w:rsid w:val="0012386B"/>
    <w:rsid w:val="001240E3"/>
    <w:rsid w:val="00126630"/>
    <w:rsid w:val="0012676C"/>
    <w:rsid w:val="0012745E"/>
    <w:rsid w:val="00130AF9"/>
    <w:rsid w:val="00133E26"/>
    <w:rsid w:val="00133EE5"/>
    <w:rsid w:val="00133F4D"/>
    <w:rsid w:val="00134CB5"/>
    <w:rsid w:val="00144D88"/>
    <w:rsid w:val="00147C06"/>
    <w:rsid w:val="001508D7"/>
    <w:rsid w:val="00152A07"/>
    <w:rsid w:val="00155CA1"/>
    <w:rsid w:val="00157786"/>
    <w:rsid w:val="00157A53"/>
    <w:rsid w:val="00157A90"/>
    <w:rsid w:val="001639E6"/>
    <w:rsid w:val="00165C55"/>
    <w:rsid w:val="00166189"/>
    <w:rsid w:val="00167A34"/>
    <w:rsid w:val="00172EB5"/>
    <w:rsid w:val="00173AF9"/>
    <w:rsid w:val="00174E35"/>
    <w:rsid w:val="00175E39"/>
    <w:rsid w:val="00176370"/>
    <w:rsid w:val="00181F34"/>
    <w:rsid w:val="00182E57"/>
    <w:rsid w:val="00184C93"/>
    <w:rsid w:val="00185120"/>
    <w:rsid w:val="00185670"/>
    <w:rsid w:val="0018637D"/>
    <w:rsid w:val="0018694F"/>
    <w:rsid w:val="00187C05"/>
    <w:rsid w:val="00187DBC"/>
    <w:rsid w:val="00192871"/>
    <w:rsid w:val="00196736"/>
    <w:rsid w:val="00196F84"/>
    <w:rsid w:val="001A0DAA"/>
    <w:rsid w:val="001A0E32"/>
    <w:rsid w:val="001A19EB"/>
    <w:rsid w:val="001A5569"/>
    <w:rsid w:val="001A5E2D"/>
    <w:rsid w:val="001A5EAD"/>
    <w:rsid w:val="001A675C"/>
    <w:rsid w:val="001A7870"/>
    <w:rsid w:val="001B022B"/>
    <w:rsid w:val="001B0739"/>
    <w:rsid w:val="001B3280"/>
    <w:rsid w:val="001B3DD8"/>
    <w:rsid w:val="001B52C5"/>
    <w:rsid w:val="001C0A94"/>
    <w:rsid w:val="001C103F"/>
    <w:rsid w:val="001C10CC"/>
    <w:rsid w:val="001C12E5"/>
    <w:rsid w:val="001C1400"/>
    <w:rsid w:val="001C1B41"/>
    <w:rsid w:val="001C267D"/>
    <w:rsid w:val="001C2DE4"/>
    <w:rsid w:val="001C2F2F"/>
    <w:rsid w:val="001C6748"/>
    <w:rsid w:val="001C6D9A"/>
    <w:rsid w:val="001D18C7"/>
    <w:rsid w:val="001D3229"/>
    <w:rsid w:val="001D51CC"/>
    <w:rsid w:val="001D6394"/>
    <w:rsid w:val="001D65EF"/>
    <w:rsid w:val="001D6B5C"/>
    <w:rsid w:val="001E126B"/>
    <w:rsid w:val="001E15B6"/>
    <w:rsid w:val="001E1993"/>
    <w:rsid w:val="001E75DB"/>
    <w:rsid w:val="001E77BA"/>
    <w:rsid w:val="001F000D"/>
    <w:rsid w:val="001F1D8F"/>
    <w:rsid w:val="001F1E02"/>
    <w:rsid w:val="001F3843"/>
    <w:rsid w:val="001F462C"/>
    <w:rsid w:val="001F4D3B"/>
    <w:rsid w:val="001F4DFA"/>
    <w:rsid w:val="001F54B5"/>
    <w:rsid w:val="00203A76"/>
    <w:rsid w:val="00203D58"/>
    <w:rsid w:val="00204634"/>
    <w:rsid w:val="00204B61"/>
    <w:rsid w:val="0020548E"/>
    <w:rsid w:val="002072E4"/>
    <w:rsid w:val="00210224"/>
    <w:rsid w:val="00211217"/>
    <w:rsid w:val="00214573"/>
    <w:rsid w:val="002145ED"/>
    <w:rsid w:val="002156A2"/>
    <w:rsid w:val="00220A73"/>
    <w:rsid w:val="00220D30"/>
    <w:rsid w:val="00220D37"/>
    <w:rsid w:val="00220EB0"/>
    <w:rsid w:val="002219B7"/>
    <w:rsid w:val="0022272A"/>
    <w:rsid w:val="00222EFF"/>
    <w:rsid w:val="002237C3"/>
    <w:rsid w:val="002250A3"/>
    <w:rsid w:val="00227023"/>
    <w:rsid w:val="002275A5"/>
    <w:rsid w:val="00233F6D"/>
    <w:rsid w:val="00234220"/>
    <w:rsid w:val="00235217"/>
    <w:rsid w:val="00236612"/>
    <w:rsid w:val="00236921"/>
    <w:rsid w:val="002404AA"/>
    <w:rsid w:val="002415D6"/>
    <w:rsid w:val="0024415E"/>
    <w:rsid w:val="002468CE"/>
    <w:rsid w:val="00246D1F"/>
    <w:rsid w:val="00247403"/>
    <w:rsid w:val="00247542"/>
    <w:rsid w:val="00250BF1"/>
    <w:rsid w:val="00252F1A"/>
    <w:rsid w:val="00254388"/>
    <w:rsid w:val="00255ECB"/>
    <w:rsid w:val="00256A7C"/>
    <w:rsid w:val="00260F79"/>
    <w:rsid w:val="00263A8C"/>
    <w:rsid w:val="00264829"/>
    <w:rsid w:val="00266B61"/>
    <w:rsid w:val="0026712A"/>
    <w:rsid w:val="002704DB"/>
    <w:rsid w:val="00271054"/>
    <w:rsid w:val="002724EF"/>
    <w:rsid w:val="002739C0"/>
    <w:rsid w:val="00274982"/>
    <w:rsid w:val="00275582"/>
    <w:rsid w:val="00275AD5"/>
    <w:rsid w:val="00275B3D"/>
    <w:rsid w:val="00276DF8"/>
    <w:rsid w:val="00277EF9"/>
    <w:rsid w:val="002827DD"/>
    <w:rsid w:val="00282FF0"/>
    <w:rsid w:val="00284613"/>
    <w:rsid w:val="00284B0A"/>
    <w:rsid w:val="00285486"/>
    <w:rsid w:val="00285A0C"/>
    <w:rsid w:val="00285EC6"/>
    <w:rsid w:val="002915F9"/>
    <w:rsid w:val="0029170C"/>
    <w:rsid w:val="00292928"/>
    <w:rsid w:val="00293C9B"/>
    <w:rsid w:val="002947D9"/>
    <w:rsid w:val="00295678"/>
    <w:rsid w:val="00297276"/>
    <w:rsid w:val="002A0AAE"/>
    <w:rsid w:val="002A0CE0"/>
    <w:rsid w:val="002A335D"/>
    <w:rsid w:val="002A5820"/>
    <w:rsid w:val="002B05F1"/>
    <w:rsid w:val="002B0676"/>
    <w:rsid w:val="002B3AA6"/>
    <w:rsid w:val="002B76D4"/>
    <w:rsid w:val="002B7F12"/>
    <w:rsid w:val="002C0CB2"/>
    <w:rsid w:val="002C29A3"/>
    <w:rsid w:val="002C3CFB"/>
    <w:rsid w:val="002C4955"/>
    <w:rsid w:val="002C7ED9"/>
    <w:rsid w:val="002D2B26"/>
    <w:rsid w:val="002D3E47"/>
    <w:rsid w:val="002D5D87"/>
    <w:rsid w:val="002D6EE9"/>
    <w:rsid w:val="002D72A7"/>
    <w:rsid w:val="002D7EA2"/>
    <w:rsid w:val="002E187C"/>
    <w:rsid w:val="002E1B4A"/>
    <w:rsid w:val="002E1CBF"/>
    <w:rsid w:val="002E1E83"/>
    <w:rsid w:val="002E27FC"/>
    <w:rsid w:val="002E47EE"/>
    <w:rsid w:val="002E4AEA"/>
    <w:rsid w:val="002F08B8"/>
    <w:rsid w:val="002F3941"/>
    <w:rsid w:val="002F56EF"/>
    <w:rsid w:val="002F5F6C"/>
    <w:rsid w:val="002F6213"/>
    <w:rsid w:val="002F6359"/>
    <w:rsid w:val="002F670A"/>
    <w:rsid w:val="002F6DB0"/>
    <w:rsid w:val="002F71FF"/>
    <w:rsid w:val="003006B1"/>
    <w:rsid w:val="00301AD5"/>
    <w:rsid w:val="00302733"/>
    <w:rsid w:val="00303D52"/>
    <w:rsid w:val="00307ABC"/>
    <w:rsid w:val="0031169D"/>
    <w:rsid w:val="00311AF8"/>
    <w:rsid w:val="00311FE1"/>
    <w:rsid w:val="00314078"/>
    <w:rsid w:val="0031535D"/>
    <w:rsid w:val="0031639B"/>
    <w:rsid w:val="003209EB"/>
    <w:rsid w:val="00320FE7"/>
    <w:rsid w:val="0032784A"/>
    <w:rsid w:val="0033028D"/>
    <w:rsid w:val="00331385"/>
    <w:rsid w:val="0033169F"/>
    <w:rsid w:val="00331A97"/>
    <w:rsid w:val="00331F0B"/>
    <w:rsid w:val="00332C7D"/>
    <w:rsid w:val="00332E24"/>
    <w:rsid w:val="003345BB"/>
    <w:rsid w:val="00335A4C"/>
    <w:rsid w:val="003364D3"/>
    <w:rsid w:val="00342A6A"/>
    <w:rsid w:val="0034371B"/>
    <w:rsid w:val="00343A99"/>
    <w:rsid w:val="00343CD0"/>
    <w:rsid w:val="00345D2C"/>
    <w:rsid w:val="00346C95"/>
    <w:rsid w:val="00350485"/>
    <w:rsid w:val="00350A25"/>
    <w:rsid w:val="0035255C"/>
    <w:rsid w:val="00352755"/>
    <w:rsid w:val="00353248"/>
    <w:rsid w:val="00354D73"/>
    <w:rsid w:val="00356185"/>
    <w:rsid w:val="00360380"/>
    <w:rsid w:val="00361415"/>
    <w:rsid w:val="00361517"/>
    <w:rsid w:val="00362EBD"/>
    <w:rsid w:val="00363E4A"/>
    <w:rsid w:val="00364254"/>
    <w:rsid w:val="00365872"/>
    <w:rsid w:val="00367F5A"/>
    <w:rsid w:val="00371911"/>
    <w:rsid w:val="00373FA6"/>
    <w:rsid w:val="00375098"/>
    <w:rsid w:val="0037519E"/>
    <w:rsid w:val="003756C7"/>
    <w:rsid w:val="00375F87"/>
    <w:rsid w:val="00380442"/>
    <w:rsid w:val="0038065B"/>
    <w:rsid w:val="003822D9"/>
    <w:rsid w:val="00382AC4"/>
    <w:rsid w:val="00384EBB"/>
    <w:rsid w:val="00386CF0"/>
    <w:rsid w:val="003875C2"/>
    <w:rsid w:val="003905F8"/>
    <w:rsid w:val="0039308D"/>
    <w:rsid w:val="00393942"/>
    <w:rsid w:val="003945EC"/>
    <w:rsid w:val="00395E91"/>
    <w:rsid w:val="00396532"/>
    <w:rsid w:val="0039760C"/>
    <w:rsid w:val="003A0252"/>
    <w:rsid w:val="003A2907"/>
    <w:rsid w:val="003A59DD"/>
    <w:rsid w:val="003B7AC7"/>
    <w:rsid w:val="003C02AF"/>
    <w:rsid w:val="003C058F"/>
    <w:rsid w:val="003C24F4"/>
    <w:rsid w:val="003C3D30"/>
    <w:rsid w:val="003C5BE3"/>
    <w:rsid w:val="003C676B"/>
    <w:rsid w:val="003C6A50"/>
    <w:rsid w:val="003C71F0"/>
    <w:rsid w:val="003D2664"/>
    <w:rsid w:val="003D31EC"/>
    <w:rsid w:val="003D3BC2"/>
    <w:rsid w:val="003D4E6F"/>
    <w:rsid w:val="003D5BD7"/>
    <w:rsid w:val="003D67C7"/>
    <w:rsid w:val="003D7C03"/>
    <w:rsid w:val="003E0604"/>
    <w:rsid w:val="003E100F"/>
    <w:rsid w:val="003E30BF"/>
    <w:rsid w:val="003E32D9"/>
    <w:rsid w:val="003E346E"/>
    <w:rsid w:val="003E432F"/>
    <w:rsid w:val="003E4CA5"/>
    <w:rsid w:val="003E6CA1"/>
    <w:rsid w:val="003F0B22"/>
    <w:rsid w:val="003F242B"/>
    <w:rsid w:val="003F2B80"/>
    <w:rsid w:val="003F4FF0"/>
    <w:rsid w:val="003F64F1"/>
    <w:rsid w:val="00400369"/>
    <w:rsid w:val="00400435"/>
    <w:rsid w:val="004014F5"/>
    <w:rsid w:val="004038E6"/>
    <w:rsid w:val="004041AB"/>
    <w:rsid w:val="004042BE"/>
    <w:rsid w:val="00405FF0"/>
    <w:rsid w:val="00406D89"/>
    <w:rsid w:val="00406E85"/>
    <w:rsid w:val="0040740F"/>
    <w:rsid w:val="004121D0"/>
    <w:rsid w:val="0041284C"/>
    <w:rsid w:val="00412F39"/>
    <w:rsid w:val="00414BE6"/>
    <w:rsid w:val="0041604E"/>
    <w:rsid w:val="004165C2"/>
    <w:rsid w:val="00423F1C"/>
    <w:rsid w:val="00426114"/>
    <w:rsid w:val="00426744"/>
    <w:rsid w:val="00430589"/>
    <w:rsid w:val="0043123D"/>
    <w:rsid w:val="0043310B"/>
    <w:rsid w:val="004332F1"/>
    <w:rsid w:val="00434DA4"/>
    <w:rsid w:val="00436295"/>
    <w:rsid w:val="004364FF"/>
    <w:rsid w:val="00437655"/>
    <w:rsid w:val="004378EE"/>
    <w:rsid w:val="00437CB6"/>
    <w:rsid w:val="00440BAC"/>
    <w:rsid w:val="00441E45"/>
    <w:rsid w:val="00441ECB"/>
    <w:rsid w:val="00442CB4"/>
    <w:rsid w:val="004437AF"/>
    <w:rsid w:val="00444120"/>
    <w:rsid w:val="00444B2A"/>
    <w:rsid w:val="004526C8"/>
    <w:rsid w:val="00453737"/>
    <w:rsid w:val="00454CF7"/>
    <w:rsid w:val="004655DB"/>
    <w:rsid w:val="0046587E"/>
    <w:rsid w:val="004660D6"/>
    <w:rsid w:val="00466FA8"/>
    <w:rsid w:val="00467B7E"/>
    <w:rsid w:val="00470342"/>
    <w:rsid w:val="00472383"/>
    <w:rsid w:val="00477592"/>
    <w:rsid w:val="00477A17"/>
    <w:rsid w:val="00480046"/>
    <w:rsid w:val="0048017D"/>
    <w:rsid w:val="00481ED0"/>
    <w:rsid w:val="00482EC8"/>
    <w:rsid w:val="00484809"/>
    <w:rsid w:val="0048597C"/>
    <w:rsid w:val="00486F1C"/>
    <w:rsid w:val="00487042"/>
    <w:rsid w:val="004877D8"/>
    <w:rsid w:val="00491B0A"/>
    <w:rsid w:val="00493214"/>
    <w:rsid w:val="00493E05"/>
    <w:rsid w:val="0049419D"/>
    <w:rsid w:val="00494273"/>
    <w:rsid w:val="004949C9"/>
    <w:rsid w:val="00494B99"/>
    <w:rsid w:val="00495780"/>
    <w:rsid w:val="00497679"/>
    <w:rsid w:val="004A0CD9"/>
    <w:rsid w:val="004A1795"/>
    <w:rsid w:val="004A1A57"/>
    <w:rsid w:val="004A2030"/>
    <w:rsid w:val="004A5549"/>
    <w:rsid w:val="004A5C18"/>
    <w:rsid w:val="004A5DA6"/>
    <w:rsid w:val="004A5E45"/>
    <w:rsid w:val="004A6161"/>
    <w:rsid w:val="004A7B66"/>
    <w:rsid w:val="004B007B"/>
    <w:rsid w:val="004B082F"/>
    <w:rsid w:val="004B08AF"/>
    <w:rsid w:val="004B5574"/>
    <w:rsid w:val="004B575F"/>
    <w:rsid w:val="004C072F"/>
    <w:rsid w:val="004C0A60"/>
    <w:rsid w:val="004C20D2"/>
    <w:rsid w:val="004C4B62"/>
    <w:rsid w:val="004C54C9"/>
    <w:rsid w:val="004C5EF8"/>
    <w:rsid w:val="004C66F3"/>
    <w:rsid w:val="004C790D"/>
    <w:rsid w:val="004D195F"/>
    <w:rsid w:val="004D2720"/>
    <w:rsid w:val="004D4598"/>
    <w:rsid w:val="004D6025"/>
    <w:rsid w:val="004D6618"/>
    <w:rsid w:val="004D698B"/>
    <w:rsid w:val="004D6AF2"/>
    <w:rsid w:val="004E11D9"/>
    <w:rsid w:val="004E262F"/>
    <w:rsid w:val="004E2649"/>
    <w:rsid w:val="004E49DB"/>
    <w:rsid w:val="004E5499"/>
    <w:rsid w:val="004E675B"/>
    <w:rsid w:val="004F0373"/>
    <w:rsid w:val="004F03BE"/>
    <w:rsid w:val="004F0940"/>
    <w:rsid w:val="004F2184"/>
    <w:rsid w:val="004F2468"/>
    <w:rsid w:val="004F47A6"/>
    <w:rsid w:val="004F627D"/>
    <w:rsid w:val="004F65D7"/>
    <w:rsid w:val="00501075"/>
    <w:rsid w:val="00501399"/>
    <w:rsid w:val="00502288"/>
    <w:rsid w:val="00504258"/>
    <w:rsid w:val="0050633D"/>
    <w:rsid w:val="00507BC4"/>
    <w:rsid w:val="0051032C"/>
    <w:rsid w:val="00511C7D"/>
    <w:rsid w:val="005128E4"/>
    <w:rsid w:val="00512EFC"/>
    <w:rsid w:val="005132A7"/>
    <w:rsid w:val="005133DB"/>
    <w:rsid w:val="00516282"/>
    <w:rsid w:val="005243E8"/>
    <w:rsid w:val="0052454B"/>
    <w:rsid w:val="00524559"/>
    <w:rsid w:val="00524FEA"/>
    <w:rsid w:val="00525560"/>
    <w:rsid w:val="0052680B"/>
    <w:rsid w:val="00534BC1"/>
    <w:rsid w:val="005354F3"/>
    <w:rsid w:val="0053563D"/>
    <w:rsid w:val="00536923"/>
    <w:rsid w:val="00540809"/>
    <w:rsid w:val="00541C89"/>
    <w:rsid w:val="005430CE"/>
    <w:rsid w:val="00544C49"/>
    <w:rsid w:val="00547324"/>
    <w:rsid w:val="0054769A"/>
    <w:rsid w:val="00550A1D"/>
    <w:rsid w:val="005516A1"/>
    <w:rsid w:val="00552D15"/>
    <w:rsid w:val="00555360"/>
    <w:rsid w:val="00557AE3"/>
    <w:rsid w:val="005600ED"/>
    <w:rsid w:val="00560E8F"/>
    <w:rsid w:val="00562422"/>
    <w:rsid w:val="005628F4"/>
    <w:rsid w:val="00564169"/>
    <w:rsid w:val="00565744"/>
    <w:rsid w:val="005678D7"/>
    <w:rsid w:val="00573868"/>
    <w:rsid w:val="005738EF"/>
    <w:rsid w:val="0057402A"/>
    <w:rsid w:val="00574A29"/>
    <w:rsid w:val="00575341"/>
    <w:rsid w:val="005771D0"/>
    <w:rsid w:val="005779FF"/>
    <w:rsid w:val="00580B83"/>
    <w:rsid w:val="00581811"/>
    <w:rsid w:val="00581CBF"/>
    <w:rsid w:val="005835BF"/>
    <w:rsid w:val="005843AD"/>
    <w:rsid w:val="00584713"/>
    <w:rsid w:val="00584B0F"/>
    <w:rsid w:val="0059191A"/>
    <w:rsid w:val="00592164"/>
    <w:rsid w:val="005921FF"/>
    <w:rsid w:val="005937D2"/>
    <w:rsid w:val="005937F1"/>
    <w:rsid w:val="00595C1D"/>
    <w:rsid w:val="00596B71"/>
    <w:rsid w:val="005A0D6B"/>
    <w:rsid w:val="005A159C"/>
    <w:rsid w:val="005A2267"/>
    <w:rsid w:val="005A324A"/>
    <w:rsid w:val="005A553A"/>
    <w:rsid w:val="005A6D0E"/>
    <w:rsid w:val="005B02FC"/>
    <w:rsid w:val="005B2926"/>
    <w:rsid w:val="005B3BAB"/>
    <w:rsid w:val="005B52B0"/>
    <w:rsid w:val="005B5543"/>
    <w:rsid w:val="005B6806"/>
    <w:rsid w:val="005B7367"/>
    <w:rsid w:val="005B7AA5"/>
    <w:rsid w:val="005C0AE5"/>
    <w:rsid w:val="005C0D29"/>
    <w:rsid w:val="005C4225"/>
    <w:rsid w:val="005C4A48"/>
    <w:rsid w:val="005C4CA5"/>
    <w:rsid w:val="005C6B17"/>
    <w:rsid w:val="005D0C52"/>
    <w:rsid w:val="005D0DB1"/>
    <w:rsid w:val="005D39D2"/>
    <w:rsid w:val="005D5C2A"/>
    <w:rsid w:val="005D664B"/>
    <w:rsid w:val="005D772C"/>
    <w:rsid w:val="005E0737"/>
    <w:rsid w:val="005E2187"/>
    <w:rsid w:val="005E2468"/>
    <w:rsid w:val="005E5416"/>
    <w:rsid w:val="005F0DAD"/>
    <w:rsid w:val="005F0F33"/>
    <w:rsid w:val="005F309E"/>
    <w:rsid w:val="00600412"/>
    <w:rsid w:val="00600DEB"/>
    <w:rsid w:val="00602E55"/>
    <w:rsid w:val="0060434B"/>
    <w:rsid w:val="0060625E"/>
    <w:rsid w:val="006071BB"/>
    <w:rsid w:val="006103D8"/>
    <w:rsid w:val="00611650"/>
    <w:rsid w:val="006119C1"/>
    <w:rsid w:val="006125C3"/>
    <w:rsid w:val="00612AEE"/>
    <w:rsid w:val="00612CEF"/>
    <w:rsid w:val="006135B4"/>
    <w:rsid w:val="00613CFB"/>
    <w:rsid w:val="00614E21"/>
    <w:rsid w:val="00615243"/>
    <w:rsid w:val="0062172C"/>
    <w:rsid w:val="0062268E"/>
    <w:rsid w:val="006226C3"/>
    <w:rsid w:val="00622723"/>
    <w:rsid w:val="006262C2"/>
    <w:rsid w:val="00627045"/>
    <w:rsid w:val="00627C9F"/>
    <w:rsid w:val="00630337"/>
    <w:rsid w:val="006311E9"/>
    <w:rsid w:val="00632354"/>
    <w:rsid w:val="006334A0"/>
    <w:rsid w:val="00633A9B"/>
    <w:rsid w:val="00634228"/>
    <w:rsid w:val="00634CDB"/>
    <w:rsid w:val="00634EFA"/>
    <w:rsid w:val="00635747"/>
    <w:rsid w:val="00635874"/>
    <w:rsid w:val="00636DB4"/>
    <w:rsid w:val="00640112"/>
    <w:rsid w:val="0064207C"/>
    <w:rsid w:val="00642810"/>
    <w:rsid w:val="00643297"/>
    <w:rsid w:val="00644A06"/>
    <w:rsid w:val="00644AF6"/>
    <w:rsid w:val="006457C8"/>
    <w:rsid w:val="00646637"/>
    <w:rsid w:val="00650ADF"/>
    <w:rsid w:val="00651CCB"/>
    <w:rsid w:val="00651F94"/>
    <w:rsid w:val="00652333"/>
    <w:rsid w:val="00652382"/>
    <w:rsid w:val="006533DF"/>
    <w:rsid w:val="006534B9"/>
    <w:rsid w:val="006563BD"/>
    <w:rsid w:val="0065747F"/>
    <w:rsid w:val="00657ECD"/>
    <w:rsid w:val="00661300"/>
    <w:rsid w:val="00667628"/>
    <w:rsid w:val="00670411"/>
    <w:rsid w:val="00673C14"/>
    <w:rsid w:val="00675C14"/>
    <w:rsid w:val="0068009E"/>
    <w:rsid w:val="006849B6"/>
    <w:rsid w:val="00687C66"/>
    <w:rsid w:val="0069056A"/>
    <w:rsid w:val="00691F91"/>
    <w:rsid w:val="00692219"/>
    <w:rsid w:val="006953EC"/>
    <w:rsid w:val="006A0AB3"/>
    <w:rsid w:val="006A17D2"/>
    <w:rsid w:val="006A2D9A"/>
    <w:rsid w:val="006A39AE"/>
    <w:rsid w:val="006A3B99"/>
    <w:rsid w:val="006A3D46"/>
    <w:rsid w:val="006A412D"/>
    <w:rsid w:val="006A4B39"/>
    <w:rsid w:val="006A6C70"/>
    <w:rsid w:val="006A7195"/>
    <w:rsid w:val="006A73E6"/>
    <w:rsid w:val="006A7457"/>
    <w:rsid w:val="006B0228"/>
    <w:rsid w:val="006B0813"/>
    <w:rsid w:val="006B0AAA"/>
    <w:rsid w:val="006B0B08"/>
    <w:rsid w:val="006B2D5C"/>
    <w:rsid w:val="006B47BA"/>
    <w:rsid w:val="006B4C4E"/>
    <w:rsid w:val="006B4D40"/>
    <w:rsid w:val="006C04A9"/>
    <w:rsid w:val="006C126C"/>
    <w:rsid w:val="006C1A20"/>
    <w:rsid w:val="006C295F"/>
    <w:rsid w:val="006C29C5"/>
    <w:rsid w:val="006C344B"/>
    <w:rsid w:val="006C3A25"/>
    <w:rsid w:val="006C4EB1"/>
    <w:rsid w:val="006C5135"/>
    <w:rsid w:val="006D461D"/>
    <w:rsid w:val="006D5143"/>
    <w:rsid w:val="006D56AE"/>
    <w:rsid w:val="006D6659"/>
    <w:rsid w:val="006E0166"/>
    <w:rsid w:val="006E5391"/>
    <w:rsid w:val="006E7B34"/>
    <w:rsid w:val="006F2184"/>
    <w:rsid w:val="006F44D8"/>
    <w:rsid w:val="00700CF7"/>
    <w:rsid w:val="007023A3"/>
    <w:rsid w:val="00702D62"/>
    <w:rsid w:val="0070505A"/>
    <w:rsid w:val="0070697F"/>
    <w:rsid w:val="007101AB"/>
    <w:rsid w:val="00714CA4"/>
    <w:rsid w:val="00714F68"/>
    <w:rsid w:val="007151ED"/>
    <w:rsid w:val="00717A01"/>
    <w:rsid w:val="0072199C"/>
    <w:rsid w:val="00721D24"/>
    <w:rsid w:val="00722C9F"/>
    <w:rsid w:val="00722F4E"/>
    <w:rsid w:val="00724067"/>
    <w:rsid w:val="00724CF7"/>
    <w:rsid w:val="007253B8"/>
    <w:rsid w:val="00726AB7"/>
    <w:rsid w:val="00727C6E"/>
    <w:rsid w:val="007302B0"/>
    <w:rsid w:val="00732193"/>
    <w:rsid w:val="0073362C"/>
    <w:rsid w:val="00734F2B"/>
    <w:rsid w:val="00734FA0"/>
    <w:rsid w:val="00735942"/>
    <w:rsid w:val="0073631B"/>
    <w:rsid w:val="007366BE"/>
    <w:rsid w:val="00736C6E"/>
    <w:rsid w:val="0073741F"/>
    <w:rsid w:val="007407C8"/>
    <w:rsid w:val="007410A4"/>
    <w:rsid w:val="0074788E"/>
    <w:rsid w:val="00750A49"/>
    <w:rsid w:val="007512FD"/>
    <w:rsid w:val="00752D64"/>
    <w:rsid w:val="00753672"/>
    <w:rsid w:val="00754FA5"/>
    <w:rsid w:val="00755C5A"/>
    <w:rsid w:val="00756DB2"/>
    <w:rsid w:val="00760161"/>
    <w:rsid w:val="007632FD"/>
    <w:rsid w:val="0076437C"/>
    <w:rsid w:val="0076643F"/>
    <w:rsid w:val="007674DD"/>
    <w:rsid w:val="00770838"/>
    <w:rsid w:val="007737AB"/>
    <w:rsid w:val="00775208"/>
    <w:rsid w:val="00775324"/>
    <w:rsid w:val="00775954"/>
    <w:rsid w:val="00776302"/>
    <w:rsid w:val="00776447"/>
    <w:rsid w:val="00777F63"/>
    <w:rsid w:val="00781E45"/>
    <w:rsid w:val="0078274A"/>
    <w:rsid w:val="0078279A"/>
    <w:rsid w:val="00787D6E"/>
    <w:rsid w:val="0079033A"/>
    <w:rsid w:val="007927B1"/>
    <w:rsid w:val="007944BC"/>
    <w:rsid w:val="00794790"/>
    <w:rsid w:val="00794842"/>
    <w:rsid w:val="007953BC"/>
    <w:rsid w:val="00796361"/>
    <w:rsid w:val="0079737B"/>
    <w:rsid w:val="007A10C7"/>
    <w:rsid w:val="007A2C6F"/>
    <w:rsid w:val="007A33B7"/>
    <w:rsid w:val="007A5817"/>
    <w:rsid w:val="007A5F08"/>
    <w:rsid w:val="007A66F5"/>
    <w:rsid w:val="007A79D1"/>
    <w:rsid w:val="007A7A61"/>
    <w:rsid w:val="007B47BA"/>
    <w:rsid w:val="007B60E9"/>
    <w:rsid w:val="007B6CC3"/>
    <w:rsid w:val="007B7441"/>
    <w:rsid w:val="007C3334"/>
    <w:rsid w:val="007C4490"/>
    <w:rsid w:val="007C518C"/>
    <w:rsid w:val="007C53FD"/>
    <w:rsid w:val="007C6735"/>
    <w:rsid w:val="007C6746"/>
    <w:rsid w:val="007C756A"/>
    <w:rsid w:val="007C7BC0"/>
    <w:rsid w:val="007D2235"/>
    <w:rsid w:val="007D2B98"/>
    <w:rsid w:val="007D360A"/>
    <w:rsid w:val="007D6444"/>
    <w:rsid w:val="007E0EA4"/>
    <w:rsid w:val="007E1959"/>
    <w:rsid w:val="007E1C66"/>
    <w:rsid w:val="007E21BC"/>
    <w:rsid w:val="007E23CF"/>
    <w:rsid w:val="007E2DDC"/>
    <w:rsid w:val="007E57BC"/>
    <w:rsid w:val="007E6FBF"/>
    <w:rsid w:val="007F2C4B"/>
    <w:rsid w:val="007F2D0F"/>
    <w:rsid w:val="007F346F"/>
    <w:rsid w:val="007F4CF7"/>
    <w:rsid w:val="007F4DE5"/>
    <w:rsid w:val="007F7E9A"/>
    <w:rsid w:val="00802979"/>
    <w:rsid w:val="00803F1C"/>
    <w:rsid w:val="00804DA7"/>
    <w:rsid w:val="00805E45"/>
    <w:rsid w:val="0080600E"/>
    <w:rsid w:val="00810901"/>
    <w:rsid w:val="00810BEC"/>
    <w:rsid w:val="008112C8"/>
    <w:rsid w:val="0081260B"/>
    <w:rsid w:val="00814382"/>
    <w:rsid w:val="00814EBA"/>
    <w:rsid w:val="00815021"/>
    <w:rsid w:val="00815233"/>
    <w:rsid w:val="00817612"/>
    <w:rsid w:val="00817FDA"/>
    <w:rsid w:val="00821123"/>
    <w:rsid w:val="008217E6"/>
    <w:rsid w:val="00824850"/>
    <w:rsid w:val="008266A7"/>
    <w:rsid w:val="00830126"/>
    <w:rsid w:val="00830442"/>
    <w:rsid w:val="008312F5"/>
    <w:rsid w:val="00831F8A"/>
    <w:rsid w:val="008338A4"/>
    <w:rsid w:val="00833E3C"/>
    <w:rsid w:val="00835005"/>
    <w:rsid w:val="00835150"/>
    <w:rsid w:val="00835C2F"/>
    <w:rsid w:val="00837203"/>
    <w:rsid w:val="00837C45"/>
    <w:rsid w:val="00840ABD"/>
    <w:rsid w:val="008413A0"/>
    <w:rsid w:val="00841B24"/>
    <w:rsid w:val="00842E0A"/>
    <w:rsid w:val="00844730"/>
    <w:rsid w:val="00844A36"/>
    <w:rsid w:val="008457C2"/>
    <w:rsid w:val="00847AE0"/>
    <w:rsid w:val="00851009"/>
    <w:rsid w:val="008524BF"/>
    <w:rsid w:val="00852F64"/>
    <w:rsid w:val="0085509F"/>
    <w:rsid w:val="008564F2"/>
    <w:rsid w:val="00856A12"/>
    <w:rsid w:val="00857A82"/>
    <w:rsid w:val="008647C6"/>
    <w:rsid w:val="00865C01"/>
    <w:rsid w:val="008702B0"/>
    <w:rsid w:val="00871D99"/>
    <w:rsid w:val="008723F1"/>
    <w:rsid w:val="00873836"/>
    <w:rsid w:val="0087560D"/>
    <w:rsid w:val="00875CF0"/>
    <w:rsid w:val="00876D57"/>
    <w:rsid w:val="00877D6E"/>
    <w:rsid w:val="008800C9"/>
    <w:rsid w:val="008800E7"/>
    <w:rsid w:val="008827EE"/>
    <w:rsid w:val="008838AE"/>
    <w:rsid w:val="00884FB5"/>
    <w:rsid w:val="00885737"/>
    <w:rsid w:val="00890316"/>
    <w:rsid w:val="00890650"/>
    <w:rsid w:val="00890712"/>
    <w:rsid w:val="008909AB"/>
    <w:rsid w:val="0089169B"/>
    <w:rsid w:val="00892FB8"/>
    <w:rsid w:val="0089556D"/>
    <w:rsid w:val="00896284"/>
    <w:rsid w:val="008977ED"/>
    <w:rsid w:val="00897E12"/>
    <w:rsid w:val="008A0FC3"/>
    <w:rsid w:val="008A60C8"/>
    <w:rsid w:val="008A65CB"/>
    <w:rsid w:val="008A6B6F"/>
    <w:rsid w:val="008A70EF"/>
    <w:rsid w:val="008A7E0F"/>
    <w:rsid w:val="008B00DC"/>
    <w:rsid w:val="008B0369"/>
    <w:rsid w:val="008B12F5"/>
    <w:rsid w:val="008B64E4"/>
    <w:rsid w:val="008B7DEA"/>
    <w:rsid w:val="008C0D61"/>
    <w:rsid w:val="008C3098"/>
    <w:rsid w:val="008C41F3"/>
    <w:rsid w:val="008C4851"/>
    <w:rsid w:val="008D1963"/>
    <w:rsid w:val="008D1D21"/>
    <w:rsid w:val="008D350B"/>
    <w:rsid w:val="008D622C"/>
    <w:rsid w:val="008D768D"/>
    <w:rsid w:val="008E0C6E"/>
    <w:rsid w:val="008E3759"/>
    <w:rsid w:val="008E58EA"/>
    <w:rsid w:val="008E7F5A"/>
    <w:rsid w:val="008F18D7"/>
    <w:rsid w:val="008F1912"/>
    <w:rsid w:val="008F1B28"/>
    <w:rsid w:val="008F2D6C"/>
    <w:rsid w:val="008F58EA"/>
    <w:rsid w:val="008F5967"/>
    <w:rsid w:val="008F604B"/>
    <w:rsid w:val="008F7001"/>
    <w:rsid w:val="008F7F9A"/>
    <w:rsid w:val="00900784"/>
    <w:rsid w:val="00900AAC"/>
    <w:rsid w:val="009014A4"/>
    <w:rsid w:val="009017E6"/>
    <w:rsid w:val="00901DCE"/>
    <w:rsid w:val="0090270B"/>
    <w:rsid w:val="00903DFA"/>
    <w:rsid w:val="009041DC"/>
    <w:rsid w:val="0090431C"/>
    <w:rsid w:val="009069FA"/>
    <w:rsid w:val="00912E7E"/>
    <w:rsid w:val="00913305"/>
    <w:rsid w:val="009170F9"/>
    <w:rsid w:val="00917B5A"/>
    <w:rsid w:val="00920A58"/>
    <w:rsid w:val="00920A8C"/>
    <w:rsid w:val="00920B9B"/>
    <w:rsid w:val="0092111F"/>
    <w:rsid w:val="009226E8"/>
    <w:rsid w:val="00924FC1"/>
    <w:rsid w:val="009311BE"/>
    <w:rsid w:val="00931913"/>
    <w:rsid w:val="00931A8C"/>
    <w:rsid w:val="00934123"/>
    <w:rsid w:val="00934A2C"/>
    <w:rsid w:val="009350FA"/>
    <w:rsid w:val="00935968"/>
    <w:rsid w:val="00936404"/>
    <w:rsid w:val="00936E39"/>
    <w:rsid w:val="00940906"/>
    <w:rsid w:val="00940E90"/>
    <w:rsid w:val="0094405D"/>
    <w:rsid w:val="00945968"/>
    <w:rsid w:val="0094623F"/>
    <w:rsid w:val="0094780D"/>
    <w:rsid w:val="00950557"/>
    <w:rsid w:val="00951CBC"/>
    <w:rsid w:val="00951D29"/>
    <w:rsid w:val="00953668"/>
    <w:rsid w:val="009539CD"/>
    <w:rsid w:val="00954049"/>
    <w:rsid w:val="0095436A"/>
    <w:rsid w:val="009548E7"/>
    <w:rsid w:val="009549DE"/>
    <w:rsid w:val="00957FF4"/>
    <w:rsid w:val="0096650C"/>
    <w:rsid w:val="00966DD0"/>
    <w:rsid w:val="0096706E"/>
    <w:rsid w:val="00967C4E"/>
    <w:rsid w:val="00971EFD"/>
    <w:rsid w:val="00973CD8"/>
    <w:rsid w:val="00975C4E"/>
    <w:rsid w:val="00981FBA"/>
    <w:rsid w:val="009820C7"/>
    <w:rsid w:val="00982657"/>
    <w:rsid w:val="00983815"/>
    <w:rsid w:val="009844C1"/>
    <w:rsid w:val="00986F16"/>
    <w:rsid w:val="00991303"/>
    <w:rsid w:val="009913DA"/>
    <w:rsid w:val="00992C36"/>
    <w:rsid w:val="0099395D"/>
    <w:rsid w:val="00994119"/>
    <w:rsid w:val="00994FF5"/>
    <w:rsid w:val="0099630F"/>
    <w:rsid w:val="00997BC5"/>
    <w:rsid w:val="009A0BE3"/>
    <w:rsid w:val="009A2959"/>
    <w:rsid w:val="009A4F41"/>
    <w:rsid w:val="009A5558"/>
    <w:rsid w:val="009A5D9E"/>
    <w:rsid w:val="009A67E4"/>
    <w:rsid w:val="009A7091"/>
    <w:rsid w:val="009A7346"/>
    <w:rsid w:val="009A7CC5"/>
    <w:rsid w:val="009A7FEC"/>
    <w:rsid w:val="009B038F"/>
    <w:rsid w:val="009B03F1"/>
    <w:rsid w:val="009B0448"/>
    <w:rsid w:val="009B13E0"/>
    <w:rsid w:val="009B381B"/>
    <w:rsid w:val="009B447B"/>
    <w:rsid w:val="009B5A2F"/>
    <w:rsid w:val="009B71DF"/>
    <w:rsid w:val="009C0101"/>
    <w:rsid w:val="009C03DF"/>
    <w:rsid w:val="009C115C"/>
    <w:rsid w:val="009C18EF"/>
    <w:rsid w:val="009C2221"/>
    <w:rsid w:val="009C23F7"/>
    <w:rsid w:val="009C3CF6"/>
    <w:rsid w:val="009C4602"/>
    <w:rsid w:val="009C4EAA"/>
    <w:rsid w:val="009C55F4"/>
    <w:rsid w:val="009C5C84"/>
    <w:rsid w:val="009C6DDE"/>
    <w:rsid w:val="009C7948"/>
    <w:rsid w:val="009D1753"/>
    <w:rsid w:val="009D25B2"/>
    <w:rsid w:val="009D5BC4"/>
    <w:rsid w:val="009D7611"/>
    <w:rsid w:val="009E0B61"/>
    <w:rsid w:val="009E11CA"/>
    <w:rsid w:val="009E53DE"/>
    <w:rsid w:val="009E662A"/>
    <w:rsid w:val="009E7809"/>
    <w:rsid w:val="009E7FB9"/>
    <w:rsid w:val="009F0060"/>
    <w:rsid w:val="009F10C3"/>
    <w:rsid w:val="009F14CD"/>
    <w:rsid w:val="009F1922"/>
    <w:rsid w:val="009F20F8"/>
    <w:rsid w:val="009F2E83"/>
    <w:rsid w:val="009F6D4B"/>
    <w:rsid w:val="009F7E74"/>
    <w:rsid w:val="00A00E24"/>
    <w:rsid w:val="00A074D6"/>
    <w:rsid w:val="00A148BF"/>
    <w:rsid w:val="00A150EE"/>
    <w:rsid w:val="00A17659"/>
    <w:rsid w:val="00A22B57"/>
    <w:rsid w:val="00A2598E"/>
    <w:rsid w:val="00A3166C"/>
    <w:rsid w:val="00A32440"/>
    <w:rsid w:val="00A328B3"/>
    <w:rsid w:val="00A33293"/>
    <w:rsid w:val="00A33B1E"/>
    <w:rsid w:val="00A33C87"/>
    <w:rsid w:val="00A356ED"/>
    <w:rsid w:val="00A37375"/>
    <w:rsid w:val="00A3761C"/>
    <w:rsid w:val="00A4071A"/>
    <w:rsid w:val="00A40835"/>
    <w:rsid w:val="00A4405F"/>
    <w:rsid w:val="00A464E7"/>
    <w:rsid w:val="00A47F82"/>
    <w:rsid w:val="00A50FCF"/>
    <w:rsid w:val="00A52019"/>
    <w:rsid w:val="00A528D1"/>
    <w:rsid w:val="00A529E5"/>
    <w:rsid w:val="00A537FC"/>
    <w:rsid w:val="00A538F3"/>
    <w:rsid w:val="00A600F5"/>
    <w:rsid w:val="00A60916"/>
    <w:rsid w:val="00A610CD"/>
    <w:rsid w:val="00A6332C"/>
    <w:rsid w:val="00A63CE1"/>
    <w:rsid w:val="00A7004E"/>
    <w:rsid w:val="00A72A5B"/>
    <w:rsid w:val="00A72B55"/>
    <w:rsid w:val="00A75D2C"/>
    <w:rsid w:val="00A75E63"/>
    <w:rsid w:val="00A75EC4"/>
    <w:rsid w:val="00A77170"/>
    <w:rsid w:val="00A814FA"/>
    <w:rsid w:val="00A81F0F"/>
    <w:rsid w:val="00A91762"/>
    <w:rsid w:val="00A923EB"/>
    <w:rsid w:val="00A93113"/>
    <w:rsid w:val="00A931A2"/>
    <w:rsid w:val="00A93220"/>
    <w:rsid w:val="00A9347F"/>
    <w:rsid w:val="00A93A27"/>
    <w:rsid w:val="00A93D98"/>
    <w:rsid w:val="00A94359"/>
    <w:rsid w:val="00A956E6"/>
    <w:rsid w:val="00AA09A2"/>
    <w:rsid w:val="00AA437C"/>
    <w:rsid w:val="00AA4FD8"/>
    <w:rsid w:val="00AA7996"/>
    <w:rsid w:val="00AA7D0E"/>
    <w:rsid w:val="00AA7F31"/>
    <w:rsid w:val="00AB1456"/>
    <w:rsid w:val="00AB1B66"/>
    <w:rsid w:val="00AB2328"/>
    <w:rsid w:val="00AB48C5"/>
    <w:rsid w:val="00AB6479"/>
    <w:rsid w:val="00AB77C7"/>
    <w:rsid w:val="00AC19CB"/>
    <w:rsid w:val="00AC55D4"/>
    <w:rsid w:val="00AC56AD"/>
    <w:rsid w:val="00AC7C13"/>
    <w:rsid w:val="00AD07BE"/>
    <w:rsid w:val="00AD2AF7"/>
    <w:rsid w:val="00AE00ED"/>
    <w:rsid w:val="00AE0210"/>
    <w:rsid w:val="00AE0311"/>
    <w:rsid w:val="00AE04D6"/>
    <w:rsid w:val="00AE4EE1"/>
    <w:rsid w:val="00AE5488"/>
    <w:rsid w:val="00AE5CD3"/>
    <w:rsid w:val="00AE5F8D"/>
    <w:rsid w:val="00AE6F91"/>
    <w:rsid w:val="00AF0272"/>
    <w:rsid w:val="00AF1E33"/>
    <w:rsid w:val="00AF42C5"/>
    <w:rsid w:val="00AF5571"/>
    <w:rsid w:val="00AF5E35"/>
    <w:rsid w:val="00AF60C9"/>
    <w:rsid w:val="00AF6F1D"/>
    <w:rsid w:val="00AF6F33"/>
    <w:rsid w:val="00AF7988"/>
    <w:rsid w:val="00B00CDF"/>
    <w:rsid w:val="00B01C19"/>
    <w:rsid w:val="00B03454"/>
    <w:rsid w:val="00B049BA"/>
    <w:rsid w:val="00B07184"/>
    <w:rsid w:val="00B07341"/>
    <w:rsid w:val="00B07768"/>
    <w:rsid w:val="00B12677"/>
    <w:rsid w:val="00B144CE"/>
    <w:rsid w:val="00B1527C"/>
    <w:rsid w:val="00B16C76"/>
    <w:rsid w:val="00B21897"/>
    <w:rsid w:val="00B22955"/>
    <w:rsid w:val="00B27DC3"/>
    <w:rsid w:val="00B3016B"/>
    <w:rsid w:val="00B30539"/>
    <w:rsid w:val="00B314DB"/>
    <w:rsid w:val="00B34CE7"/>
    <w:rsid w:val="00B361F2"/>
    <w:rsid w:val="00B3718B"/>
    <w:rsid w:val="00B405AB"/>
    <w:rsid w:val="00B42D36"/>
    <w:rsid w:val="00B44C03"/>
    <w:rsid w:val="00B4632A"/>
    <w:rsid w:val="00B468B8"/>
    <w:rsid w:val="00B511E2"/>
    <w:rsid w:val="00B513B1"/>
    <w:rsid w:val="00B530F1"/>
    <w:rsid w:val="00B5386E"/>
    <w:rsid w:val="00B5399A"/>
    <w:rsid w:val="00B53D6A"/>
    <w:rsid w:val="00B542EA"/>
    <w:rsid w:val="00B54A0C"/>
    <w:rsid w:val="00B55B72"/>
    <w:rsid w:val="00B55E13"/>
    <w:rsid w:val="00B56197"/>
    <w:rsid w:val="00B563EB"/>
    <w:rsid w:val="00B56418"/>
    <w:rsid w:val="00B574CA"/>
    <w:rsid w:val="00B57F85"/>
    <w:rsid w:val="00B6030F"/>
    <w:rsid w:val="00B611BD"/>
    <w:rsid w:val="00B632D6"/>
    <w:rsid w:val="00B63793"/>
    <w:rsid w:val="00B65907"/>
    <w:rsid w:val="00B70242"/>
    <w:rsid w:val="00B71987"/>
    <w:rsid w:val="00B71C3F"/>
    <w:rsid w:val="00B734D5"/>
    <w:rsid w:val="00B75556"/>
    <w:rsid w:val="00B7588B"/>
    <w:rsid w:val="00B765A8"/>
    <w:rsid w:val="00B83243"/>
    <w:rsid w:val="00B8463C"/>
    <w:rsid w:val="00B84DA0"/>
    <w:rsid w:val="00B86210"/>
    <w:rsid w:val="00B86368"/>
    <w:rsid w:val="00B87DAA"/>
    <w:rsid w:val="00B902F0"/>
    <w:rsid w:val="00B90D8F"/>
    <w:rsid w:val="00B92EAF"/>
    <w:rsid w:val="00B9450C"/>
    <w:rsid w:val="00B97941"/>
    <w:rsid w:val="00BA02D5"/>
    <w:rsid w:val="00BA276C"/>
    <w:rsid w:val="00BA2F6E"/>
    <w:rsid w:val="00BA461E"/>
    <w:rsid w:val="00BA4991"/>
    <w:rsid w:val="00BA4DB7"/>
    <w:rsid w:val="00BA4FE5"/>
    <w:rsid w:val="00BA71DB"/>
    <w:rsid w:val="00BB09ED"/>
    <w:rsid w:val="00BB306F"/>
    <w:rsid w:val="00BB3426"/>
    <w:rsid w:val="00BB36E3"/>
    <w:rsid w:val="00BB3CF2"/>
    <w:rsid w:val="00BB5A90"/>
    <w:rsid w:val="00BB7EDB"/>
    <w:rsid w:val="00BC004A"/>
    <w:rsid w:val="00BC1180"/>
    <w:rsid w:val="00BC155D"/>
    <w:rsid w:val="00BC2F62"/>
    <w:rsid w:val="00BC751A"/>
    <w:rsid w:val="00BD0037"/>
    <w:rsid w:val="00BD465D"/>
    <w:rsid w:val="00BD4B89"/>
    <w:rsid w:val="00BD5E98"/>
    <w:rsid w:val="00BE0736"/>
    <w:rsid w:val="00BE14A2"/>
    <w:rsid w:val="00BF02CB"/>
    <w:rsid w:val="00BF108B"/>
    <w:rsid w:val="00BF11D3"/>
    <w:rsid w:val="00BF20FA"/>
    <w:rsid w:val="00BF30AB"/>
    <w:rsid w:val="00BF3E71"/>
    <w:rsid w:val="00BF5402"/>
    <w:rsid w:val="00BF64A9"/>
    <w:rsid w:val="00BF654F"/>
    <w:rsid w:val="00BF68E1"/>
    <w:rsid w:val="00BF6FD8"/>
    <w:rsid w:val="00BF753E"/>
    <w:rsid w:val="00BF7D41"/>
    <w:rsid w:val="00C03680"/>
    <w:rsid w:val="00C05251"/>
    <w:rsid w:val="00C054DF"/>
    <w:rsid w:val="00C0621B"/>
    <w:rsid w:val="00C06833"/>
    <w:rsid w:val="00C07237"/>
    <w:rsid w:val="00C11C55"/>
    <w:rsid w:val="00C135A7"/>
    <w:rsid w:val="00C1523A"/>
    <w:rsid w:val="00C165BC"/>
    <w:rsid w:val="00C21762"/>
    <w:rsid w:val="00C227CD"/>
    <w:rsid w:val="00C235FF"/>
    <w:rsid w:val="00C24361"/>
    <w:rsid w:val="00C24543"/>
    <w:rsid w:val="00C256A2"/>
    <w:rsid w:val="00C26EE1"/>
    <w:rsid w:val="00C30F25"/>
    <w:rsid w:val="00C40789"/>
    <w:rsid w:val="00C409CF"/>
    <w:rsid w:val="00C414D6"/>
    <w:rsid w:val="00C46798"/>
    <w:rsid w:val="00C46B80"/>
    <w:rsid w:val="00C46EE5"/>
    <w:rsid w:val="00C47E2E"/>
    <w:rsid w:val="00C5131C"/>
    <w:rsid w:val="00C51515"/>
    <w:rsid w:val="00C52681"/>
    <w:rsid w:val="00C52C8E"/>
    <w:rsid w:val="00C55C69"/>
    <w:rsid w:val="00C5660B"/>
    <w:rsid w:val="00C601C3"/>
    <w:rsid w:val="00C62A75"/>
    <w:rsid w:val="00C62F64"/>
    <w:rsid w:val="00C639F8"/>
    <w:rsid w:val="00C65DDB"/>
    <w:rsid w:val="00C65F57"/>
    <w:rsid w:val="00C666B0"/>
    <w:rsid w:val="00C66B72"/>
    <w:rsid w:val="00C700A2"/>
    <w:rsid w:val="00C74843"/>
    <w:rsid w:val="00C7533C"/>
    <w:rsid w:val="00C75856"/>
    <w:rsid w:val="00C810D8"/>
    <w:rsid w:val="00C81D17"/>
    <w:rsid w:val="00C8206A"/>
    <w:rsid w:val="00C8225E"/>
    <w:rsid w:val="00C84114"/>
    <w:rsid w:val="00C85243"/>
    <w:rsid w:val="00C87E49"/>
    <w:rsid w:val="00C91EB3"/>
    <w:rsid w:val="00C92780"/>
    <w:rsid w:val="00C92B0E"/>
    <w:rsid w:val="00C9567A"/>
    <w:rsid w:val="00C95CF3"/>
    <w:rsid w:val="00C97129"/>
    <w:rsid w:val="00CA0551"/>
    <w:rsid w:val="00CA0D09"/>
    <w:rsid w:val="00CA5820"/>
    <w:rsid w:val="00CA5831"/>
    <w:rsid w:val="00CA7D4B"/>
    <w:rsid w:val="00CB098C"/>
    <w:rsid w:val="00CB212D"/>
    <w:rsid w:val="00CB2583"/>
    <w:rsid w:val="00CB25C2"/>
    <w:rsid w:val="00CB2660"/>
    <w:rsid w:val="00CB5D70"/>
    <w:rsid w:val="00CB7587"/>
    <w:rsid w:val="00CC28C7"/>
    <w:rsid w:val="00CC354C"/>
    <w:rsid w:val="00CC5E90"/>
    <w:rsid w:val="00CC63CF"/>
    <w:rsid w:val="00CC696A"/>
    <w:rsid w:val="00CD046C"/>
    <w:rsid w:val="00CD1B2E"/>
    <w:rsid w:val="00CD524B"/>
    <w:rsid w:val="00CD60C6"/>
    <w:rsid w:val="00CD6376"/>
    <w:rsid w:val="00CE0310"/>
    <w:rsid w:val="00CE076C"/>
    <w:rsid w:val="00CE144E"/>
    <w:rsid w:val="00CE4975"/>
    <w:rsid w:val="00CE4BA0"/>
    <w:rsid w:val="00CE5199"/>
    <w:rsid w:val="00CE53B2"/>
    <w:rsid w:val="00CE5979"/>
    <w:rsid w:val="00CE66D5"/>
    <w:rsid w:val="00CE713F"/>
    <w:rsid w:val="00CF0413"/>
    <w:rsid w:val="00CF07BD"/>
    <w:rsid w:val="00CF5975"/>
    <w:rsid w:val="00CF637A"/>
    <w:rsid w:val="00CF6AC6"/>
    <w:rsid w:val="00CF7E38"/>
    <w:rsid w:val="00D005E1"/>
    <w:rsid w:val="00D00A63"/>
    <w:rsid w:val="00D00CC2"/>
    <w:rsid w:val="00D01193"/>
    <w:rsid w:val="00D0193E"/>
    <w:rsid w:val="00D047EC"/>
    <w:rsid w:val="00D059DE"/>
    <w:rsid w:val="00D06D9E"/>
    <w:rsid w:val="00D1004E"/>
    <w:rsid w:val="00D11414"/>
    <w:rsid w:val="00D12193"/>
    <w:rsid w:val="00D13FCE"/>
    <w:rsid w:val="00D14353"/>
    <w:rsid w:val="00D160F1"/>
    <w:rsid w:val="00D1685F"/>
    <w:rsid w:val="00D20C23"/>
    <w:rsid w:val="00D20D35"/>
    <w:rsid w:val="00D20E06"/>
    <w:rsid w:val="00D2141F"/>
    <w:rsid w:val="00D220F3"/>
    <w:rsid w:val="00D26706"/>
    <w:rsid w:val="00D26C79"/>
    <w:rsid w:val="00D2746D"/>
    <w:rsid w:val="00D306D1"/>
    <w:rsid w:val="00D33F72"/>
    <w:rsid w:val="00D34786"/>
    <w:rsid w:val="00D35FFF"/>
    <w:rsid w:val="00D37BFC"/>
    <w:rsid w:val="00D46A5F"/>
    <w:rsid w:val="00D47A8E"/>
    <w:rsid w:val="00D50195"/>
    <w:rsid w:val="00D5022F"/>
    <w:rsid w:val="00D52D14"/>
    <w:rsid w:val="00D5623E"/>
    <w:rsid w:val="00D60663"/>
    <w:rsid w:val="00D61E14"/>
    <w:rsid w:val="00D65B39"/>
    <w:rsid w:val="00D66DD8"/>
    <w:rsid w:val="00D70497"/>
    <w:rsid w:val="00D712D3"/>
    <w:rsid w:val="00D71422"/>
    <w:rsid w:val="00D72CA0"/>
    <w:rsid w:val="00D72DC6"/>
    <w:rsid w:val="00D74CE8"/>
    <w:rsid w:val="00D7558D"/>
    <w:rsid w:val="00D7585F"/>
    <w:rsid w:val="00D80040"/>
    <w:rsid w:val="00D81D92"/>
    <w:rsid w:val="00D82AD7"/>
    <w:rsid w:val="00D830B6"/>
    <w:rsid w:val="00D83454"/>
    <w:rsid w:val="00D83B74"/>
    <w:rsid w:val="00D83D73"/>
    <w:rsid w:val="00D876C7"/>
    <w:rsid w:val="00D9127C"/>
    <w:rsid w:val="00D91B8B"/>
    <w:rsid w:val="00D96E66"/>
    <w:rsid w:val="00D97CCB"/>
    <w:rsid w:val="00DA00EA"/>
    <w:rsid w:val="00DA190C"/>
    <w:rsid w:val="00DA1E07"/>
    <w:rsid w:val="00DA7027"/>
    <w:rsid w:val="00DA76F4"/>
    <w:rsid w:val="00DA7B5F"/>
    <w:rsid w:val="00DB03F7"/>
    <w:rsid w:val="00DB0ECA"/>
    <w:rsid w:val="00DB18D9"/>
    <w:rsid w:val="00DB1AE0"/>
    <w:rsid w:val="00DB29D3"/>
    <w:rsid w:val="00DB470E"/>
    <w:rsid w:val="00DB6180"/>
    <w:rsid w:val="00DB7594"/>
    <w:rsid w:val="00DC11E7"/>
    <w:rsid w:val="00DC57A5"/>
    <w:rsid w:val="00DC7023"/>
    <w:rsid w:val="00DC769A"/>
    <w:rsid w:val="00DD0E4F"/>
    <w:rsid w:val="00DD3106"/>
    <w:rsid w:val="00DD3D86"/>
    <w:rsid w:val="00DE0123"/>
    <w:rsid w:val="00DE01E2"/>
    <w:rsid w:val="00DE30EA"/>
    <w:rsid w:val="00DE4734"/>
    <w:rsid w:val="00DE5836"/>
    <w:rsid w:val="00DE5FA9"/>
    <w:rsid w:val="00DE6D63"/>
    <w:rsid w:val="00DE76A7"/>
    <w:rsid w:val="00DE78E6"/>
    <w:rsid w:val="00DE7E2E"/>
    <w:rsid w:val="00DF124B"/>
    <w:rsid w:val="00DF15D1"/>
    <w:rsid w:val="00DF1EC4"/>
    <w:rsid w:val="00DF2897"/>
    <w:rsid w:val="00DF44CC"/>
    <w:rsid w:val="00DF5DCC"/>
    <w:rsid w:val="00E020A9"/>
    <w:rsid w:val="00E0218D"/>
    <w:rsid w:val="00E02A1C"/>
    <w:rsid w:val="00E02F1C"/>
    <w:rsid w:val="00E0340B"/>
    <w:rsid w:val="00E037CD"/>
    <w:rsid w:val="00E040BA"/>
    <w:rsid w:val="00E04A90"/>
    <w:rsid w:val="00E07290"/>
    <w:rsid w:val="00E07DCF"/>
    <w:rsid w:val="00E1219C"/>
    <w:rsid w:val="00E132F3"/>
    <w:rsid w:val="00E14698"/>
    <w:rsid w:val="00E1574B"/>
    <w:rsid w:val="00E15ACB"/>
    <w:rsid w:val="00E16313"/>
    <w:rsid w:val="00E21143"/>
    <w:rsid w:val="00E219C7"/>
    <w:rsid w:val="00E2327D"/>
    <w:rsid w:val="00E24CC4"/>
    <w:rsid w:val="00E27C5D"/>
    <w:rsid w:val="00E32882"/>
    <w:rsid w:val="00E34367"/>
    <w:rsid w:val="00E353F4"/>
    <w:rsid w:val="00E35C30"/>
    <w:rsid w:val="00E35F55"/>
    <w:rsid w:val="00E3666D"/>
    <w:rsid w:val="00E42183"/>
    <w:rsid w:val="00E43157"/>
    <w:rsid w:val="00E435A6"/>
    <w:rsid w:val="00E44665"/>
    <w:rsid w:val="00E44C09"/>
    <w:rsid w:val="00E44EB0"/>
    <w:rsid w:val="00E461CE"/>
    <w:rsid w:val="00E46A78"/>
    <w:rsid w:val="00E50953"/>
    <w:rsid w:val="00E50EAA"/>
    <w:rsid w:val="00E5115A"/>
    <w:rsid w:val="00E51367"/>
    <w:rsid w:val="00E60626"/>
    <w:rsid w:val="00E6373C"/>
    <w:rsid w:val="00E63B0E"/>
    <w:rsid w:val="00E6525E"/>
    <w:rsid w:val="00E7121C"/>
    <w:rsid w:val="00E720CA"/>
    <w:rsid w:val="00E72921"/>
    <w:rsid w:val="00E755D9"/>
    <w:rsid w:val="00E75E97"/>
    <w:rsid w:val="00E80D9D"/>
    <w:rsid w:val="00E80F93"/>
    <w:rsid w:val="00E810C3"/>
    <w:rsid w:val="00E815DD"/>
    <w:rsid w:val="00E81EFF"/>
    <w:rsid w:val="00E84EB5"/>
    <w:rsid w:val="00E851E9"/>
    <w:rsid w:val="00E85662"/>
    <w:rsid w:val="00E85B00"/>
    <w:rsid w:val="00E85C56"/>
    <w:rsid w:val="00E8789F"/>
    <w:rsid w:val="00E909AA"/>
    <w:rsid w:val="00E91260"/>
    <w:rsid w:val="00E91503"/>
    <w:rsid w:val="00E9193B"/>
    <w:rsid w:val="00E91ACB"/>
    <w:rsid w:val="00E91E41"/>
    <w:rsid w:val="00E92C78"/>
    <w:rsid w:val="00E9665E"/>
    <w:rsid w:val="00E97025"/>
    <w:rsid w:val="00E97B71"/>
    <w:rsid w:val="00EA3D34"/>
    <w:rsid w:val="00EA3FCD"/>
    <w:rsid w:val="00EA7128"/>
    <w:rsid w:val="00EA77A3"/>
    <w:rsid w:val="00EB0C32"/>
    <w:rsid w:val="00EB2763"/>
    <w:rsid w:val="00EB454D"/>
    <w:rsid w:val="00EB57AE"/>
    <w:rsid w:val="00EB7B6B"/>
    <w:rsid w:val="00EC0A91"/>
    <w:rsid w:val="00EC3578"/>
    <w:rsid w:val="00ED136C"/>
    <w:rsid w:val="00ED21F2"/>
    <w:rsid w:val="00ED287B"/>
    <w:rsid w:val="00ED6639"/>
    <w:rsid w:val="00ED76BE"/>
    <w:rsid w:val="00EE0C07"/>
    <w:rsid w:val="00EE2815"/>
    <w:rsid w:val="00EE2D86"/>
    <w:rsid w:val="00EE48C8"/>
    <w:rsid w:val="00EF5967"/>
    <w:rsid w:val="00EF619B"/>
    <w:rsid w:val="00EF718E"/>
    <w:rsid w:val="00EF7A9E"/>
    <w:rsid w:val="00F00B55"/>
    <w:rsid w:val="00F02AD1"/>
    <w:rsid w:val="00F053E2"/>
    <w:rsid w:val="00F12312"/>
    <w:rsid w:val="00F144C9"/>
    <w:rsid w:val="00F1460D"/>
    <w:rsid w:val="00F14E57"/>
    <w:rsid w:val="00F159D6"/>
    <w:rsid w:val="00F159F0"/>
    <w:rsid w:val="00F22105"/>
    <w:rsid w:val="00F253CC"/>
    <w:rsid w:val="00F26CE1"/>
    <w:rsid w:val="00F27903"/>
    <w:rsid w:val="00F30B90"/>
    <w:rsid w:val="00F33B71"/>
    <w:rsid w:val="00F33C8D"/>
    <w:rsid w:val="00F34225"/>
    <w:rsid w:val="00F37106"/>
    <w:rsid w:val="00F37C92"/>
    <w:rsid w:val="00F400BF"/>
    <w:rsid w:val="00F412C9"/>
    <w:rsid w:val="00F42191"/>
    <w:rsid w:val="00F424BB"/>
    <w:rsid w:val="00F436B5"/>
    <w:rsid w:val="00F44AC5"/>
    <w:rsid w:val="00F44C1C"/>
    <w:rsid w:val="00F44E24"/>
    <w:rsid w:val="00F457FF"/>
    <w:rsid w:val="00F519CF"/>
    <w:rsid w:val="00F51DE4"/>
    <w:rsid w:val="00F52813"/>
    <w:rsid w:val="00F533E0"/>
    <w:rsid w:val="00F54621"/>
    <w:rsid w:val="00F557A8"/>
    <w:rsid w:val="00F56BA5"/>
    <w:rsid w:val="00F579CC"/>
    <w:rsid w:val="00F60E22"/>
    <w:rsid w:val="00F61775"/>
    <w:rsid w:val="00F63ACC"/>
    <w:rsid w:val="00F64C13"/>
    <w:rsid w:val="00F654A5"/>
    <w:rsid w:val="00F66E97"/>
    <w:rsid w:val="00F70E60"/>
    <w:rsid w:val="00F72D76"/>
    <w:rsid w:val="00F73104"/>
    <w:rsid w:val="00F737C0"/>
    <w:rsid w:val="00F75937"/>
    <w:rsid w:val="00F805FB"/>
    <w:rsid w:val="00F807E9"/>
    <w:rsid w:val="00F80FAB"/>
    <w:rsid w:val="00F81395"/>
    <w:rsid w:val="00F82395"/>
    <w:rsid w:val="00F82F96"/>
    <w:rsid w:val="00F853F4"/>
    <w:rsid w:val="00F902EB"/>
    <w:rsid w:val="00F917D1"/>
    <w:rsid w:val="00F91E0F"/>
    <w:rsid w:val="00F93D3C"/>
    <w:rsid w:val="00F95FE0"/>
    <w:rsid w:val="00F9653B"/>
    <w:rsid w:val="00F96906"/>
    <w:rsid w:val="00F97EE1"/>
    <w:rsid w:val="00FA0EDE"/>
    <w:rsid w:val="00FA3AB0"/>
    <w:rsid w:val="00FA58CE"/>
    <w:rsid w:val="00FB076D"/>
    <w:rsid w:val="00FB07E8"/>
    <w:rsid w:val="00FB1B0A"/>
    <w:rsid w:val="00FB23FE"/>
    <w:rsid w:val="00FB32E4"/>
    <w:rsid w:val="00FB442C"/>
    <w:rsid w:val="00FB4758"/>
    <w:rsid w:val="00FB62CF"/>
    <w:rsid w:val="00FB6B64"/>
    <w:rsid w:val="00FC25C2"/>
    <w:rsid w:val="00FC3430"/>
    <w:rsid w:val="00FC3D47"/>
    <w:rsid w:val="00FC519B"/>
    <w:rsid w:val="00FC7136"/>
    <w:rsid w:val="00FD00D0"/>
    <w:rsid w:val="00FD3C3B"/>
    <w:rsid w:val="00FD4053"/>
    <w:rsid w:val="00FD5A99"/>
    <w:rsid w:val="00FD5DBB"/>
    <w:rsid w:val="00FD7BA1"/>
    <w:rsid w:val="00FE0433"/>
    <w:rsid w:val="00FE07DD"/>
    <w:rsid w:val="00FE10FB"/>
    <w:rsid w:val="00FE4B9C"/>
    <w:rsid w:val="00FE6B45"/>
    <w:rsid w:val="00FF187D"/>
    <w:rsid w:val="00FF3B01"/>
    <w:rsid w:val="00FF525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B9BF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sz w:val="24"/>
        <w:szCs w:val="24"/>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paragraph" w:styleId="Heading4">
    <w:name w:val="heading 4"/>
    <w:basedOn w:val="Normal"/>
    <w:next w:val="Normal"/>
    <w:link w:val="Heading4Char"/>
    <w:uiPriority w:val="9"/>
    <w:semiHidden/>
    <w:unhideWhenUsed/>
    <w:qFormat/>
    <w:rsid w:val="00220D3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rPr>
  </w:style>
  <w:style w:type="paragraph" w:styleId="Footer">
    <w:name w:val="footer"/>
    <w:link w:val="FooterChar"/>
    <w:uiPriority w:val="99"/>
    <w:pPr>
      <w:tabs>
        <w:tab w:val="center" w:pos="4513"/>
        <w:tab w:val="right" w:pos="9026"/>
      </w:tabs>
    </w:pPr>
    <w:rPr>
      <w:rFonts w:ascii="Cambria" w:eastAsia="Cambria" w:hAnsi="Cambria" w:cs="Cambria"/>
      <w:color w:val="000000"/>
      <w:u w:color="000000"/>
      <w:lang w:val="en-US"/>
    </w:rPr>
  </w:style>
  <w:style w:type="paragraph" w:customStyle="1" w:styleId="Cuerpo">
    <w:name w:val="Cuerpo"/>
    <w:rPr>
      <w:rFonts w:ascii="Cambria" w:eastAsia="Cambria" w:hAnsi="Cambria" w:cs="Cambria"/>
      <w:color w:val="000000"/>
      <w:u w:color="000000"/>
    </w:rPr>
  </w:style>
  <w:style w:type="paragraph" w:styleId="BodyTextIndent">
    <w:name w:val="Body Text Indent"/>
    <w:pPr>
      <w:ind w:left="2160" w:hanging="720"/>
    </w:pPr>
    <w:rPr>
      <w:rFonts w:eastAsia="Times New Roman"/>
      <w:color w:val="000000"/>
      <w:u w:color="000000"/>
      <w:lang w:val="es-ES_tradnl"/>
    </w:rPr>
  </w:style>
  <w:style w:type="paragraph" w:styleId="ListParagraph">
    <w:name w:val="List Paragraph"/>
    <w:aliases w:val="Párrafo de lista1,List Paragraph1,Colorful List - Accent 11,List Paragraph11,List Paragraph2,Lista vistosa - Énfasis 11,Medium Grid 1 - Accent 21,Colorful List - Accent 12"/>
    <w:link w:val="ListParagraphChar"/>
    <w:qFormat/>
    <w:pPr>
      <w:ind w:left="720"/>
    </w:pPr>
    <w:rPr>
      <w:rFonts w:ascii="Cambria" w:eastAsia="Cambria" w:hAnsi="Cambria" w:cs="Cambria"/>
      <w:color w:val="000000"/>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R,Ref. de nota al pi"/>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014A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4D6618"/>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Medium Grid 1 - Accent 21 Char,Colorful List - Accent 12 Char"/>
    <w:link w:val="ListParagraph"/>
    <w:locked/>
    <w:rsid w:val="002E4AEA"/>
    <w:rPr>
      <w:rFonts w:ascii="Cambria" w:eastAsia="Cambria" w:hAnsi="Cambria" w:cs="Cambria"/>
      <w:color w:val="000000"/>
      <w:sz w:val="24"/>
      <w:szCs w:val="24"/>
      <w:u w:color="000000"/>
      <w:lang w:val="en-US"/>
    </w:rPr>
  </w:style>
  <w:style w:type="character" w:styleId="CommentReference">
    <w:name w:val="annotation reference"/>
    <w:basedOn w:val="DefaultParagraphFont"/>
    <w:uiPriority w:val="99"/>
    <w:semiHidden/>
    <w:unhideWhenUsed/>
    <w:rsid w:val="006A3D46"/>
    <w:rPr>
      <w:sz w:val="16"/>
      <w:szCs w:val="16"/>
    </w:rPr>
  </w:style>
  <w:style w:type="paragraph" w:styleId="CommentText">
    <w:name w:val="annotation text"/>
    <w:basedOn w:val="Normal"/>
    <w:link w:val="CommentTextChar"/>
    <w:uiPriority w:val="99"/>
    <w:semiHidden/>
    <w:unhideWhenUsed/>
    <w:rsid w:val="006A3D46"/>
    <w:rPr>
      <w:sz w:val="20"/>
      <w:szCs w:val="20"/>
    </w:rPr>
  </w:style>
  <w:style w:type="character" w:customStyle="1" w:styleId="CommentTextChar">
    <w:name w:val="Comment Text Char"/>
    <w:basedOn w:val="DefaultParagraphFont"/>
    <w:link w:val="CommentText"/>
    <w:uiPriority w:val="99"/>
    <w:semiHidden/>
    <w:rsid w:val="006A3D46"/>
    <w:rPr>
      <w:lang w:val="en-US" w:eastAsia="en-US"/>
    </w:rPr>
  </w:style>
  <w:style w:type="paragraph" w:styleId="CommentSubject">
    <w:name w:val="annotation subject"/>
    <w:basedOn w:val="CommentText"/>
    <w:next w:val="CommentText"/>
    <w:link w:val="CommentSubjectChar"/>
    <w:uiPriority w:val="99"/>
    <w:semiHidden/>
    <w:unhideWhenUsed/>
    <w:rsid w:val="00DA76F4"/>
    <w:rPr>
      <w:b/>
      <w:bCs/>
    </w:rPr>
  </w:style>
  <w:style w:type="character" w:customStyle="1" w:styleId="CommentSubjectChar">
    <w:name w:val="Comment Subject Char"/>
    <w:basedOn w:val="CommentTextChar"/>
    <w:link w:val="CommentSubject"/>
    <w:uiPriority w:val="99"/>
    <w:semiHidden/>
    <w:rsid w:val="00DA76F4"/>
    <w:rPr>
      <w:b/>
      <w:bCs/>
      <w:lang w:val="en-US" w:eastAsia="en-US"/>
    </w:rPr>
  </w:style>
  <w:style w:type="paragraph" w:styleId="Revision">
    <w:name w:val="Revision"/>
    <w:hidden/>
    <w:uiPriority w:val="99"/>
    <w:semiHidden/>
    <w:rsid w:val="00B53D6A"/>
    <w:pPr>
      <w:pBdr>
        <w:top w:val="none" w:sz="0" w:space="0" w:color="auto"/>
        <w:left w:val="none" w:sz="0" w:space="0" w:color="auto"/>
        <w:bottom w:val="none" w:sz="0" w:space="0" w:color="auto"/>
        <w:right w:val="none" w:sz="0" w:space="0" w:color="auto"/>
        <w:between w:val="none" w:sz="0" w:space="0" w:color="auto"/>
        <w:bar w:val="none" w:sz="0" w:color="auto"/>
      </w:pBdr>
    </w:pPr>
    <w:rPr>
      <w:lang w:val="en-US" w:eastAsia="en-US"/>
    </w:rPr>
  </w:style>
  <w:style w:type="table" w:styleId="TableGrid">
    <w:name w:val="Table Grid"/>
    <w:basedOn w:val="TableNormal"/>
    <w:uiPriority w:val="59"/>
    <w:rsid w:val="00A40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22D9"/>
    <w:rPr>
      <w:color w:val="800080" w:themeColor="followedHyperlink"/>
      <w:u w:val="single"/>
    </w:rPr>
  </w:style>
  <w:style w:type="character" w:customStyle="1" w:styleId="Heading4Char">
    <w:name w:val="Heading 4 Char"/>
    <w:basedOn w:val="DefaultParagraphFont"/>
    <w:link w:val="Heading4"/>
    <w:uiPriority w:val="9"/>
    <w:semiHidden/>
    <w:rsid w:val="00220D37"/>
    <w:rPr>
      <w:rFonts w:asciiTheme="majorHAnsi" w:eastAsiaTheme="majorEastAsia" w:hAnsiTheme="majorHAnsi" w:cstheme="majorBidi"/>
      <w:b/>
      <w:bCs/>
      <w:i/>
      <w:iCs/>
      <w:color w:val="4F81BD" w:themeColor="accent1"/>
      <w:sz w:val="24"/>
      <w:szCs w:val="24"/>
      <w:lang w:val="en-US" w:eastAsia="en-US"/>
    </w:rPr>
  </w:style>
  <w:style w:type="paragraph" w:styleId="NoSpacing">
    <w:name w:val="No Spacing"/>
    <w:uiPriority w:val="1"/>
    <w:qFormat/>
    <w:rsid w:val="00220D37"/>
    <w:rPr>
      <w:lang w:val="en-US" w:eastAsia="en-US"/>
    </w:rPr>
  </w:style>
  <w:style w:type="character" w:styleId="Strong">
    <w:name w:val="Strong"/>
    <w:basedOn w:val="DefaultParagraphFont"/>
    <w:uiPriority w:val="22"/>
    <w:qFormat/>
    <w:rsid w:val="009913DA"/>
    <w:rPr>
      <w:b/>
      <w:bCs/>
    </w:rPr>
  </w:style>
  <w:style w:type="paragraph" w:customStyle="1" w:styleId="Footnotes">
    <w:name w:val="**. Footnotes"/>
    <w:basedOn w:val="FootnoteText"/>
    <w:link w:val="FootnotesChar"/>
    <w:autoRedefine/>
    <w:qFormat/>
    <w:rsid w:val="00A931A2"/>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ajorHAnsi" w:eastAsia="Times New Roman" w:hAnsiTheme="majorHAnsi" w:cs="Palatino-Italic"/>
      <w:iCs/>
      <w:color w:val="auto"/>
      <w:spacing w:val="-4"/>
      <w:sz w:val="16"/>
      <w:szCs w:val="16"/>
      <w:bdr w:val="none" w:sz="0" w:space="0" w:color="auto"/>
      <w:lang w:val="es-ES" w:eastAsia="en-US" w:bidi="en-US"/>
    </w:rPr>
  </w:style>
  <w:style w:type="character" w:customStyle="1" w:styleId="FootnotesChar">
    <w:name w:val="**. Footnotes Char"/>
    <w:basedOn w:val="DefaultParagraphFont"/>
    <w:link w:val="Footnotes"/>
    <w:rsid w:val="00A931A2"/>
    <w:rPr>
      <w:rFonts w:asciiTheme="majorHAnsi" w:eastAsia="Times New Roman" w:hAnsiTheme="majorHAnsi" w:cs="Palatino-Italic"/>
      <w:iCs/>
      <w:spacing w:val="-4"/>
      <w:sz w:val="16"/>
      <w:szCs w:val="16"/>
      <w:u w:color="000000"/>
      <w:bdr w:val="none" w:sz="0" w:space="0" w:color="auto"/>
      <w:lang w:eastAsia="en-US" w:bidi="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9913DA"/>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sz w:val="22"/>
      <w:szCs w:val="20"/>
      <w:bdr w:val="none" w:sz="0" w:space="0" w:color="auto"/>
      <w:vertAlign w:val="superscript"/>
      <w:lang w:val="es-ES"/>
    </w:rPr>
  </w:style>
  <w:style w:type="paragraph" w:customStyle="1" w:styleId="StyleHeading2LatinTimesNewRomanAsianBatang12ptN">
    <w:name w:val="Style Heading 2 + (Latin) Times New Roman (Asian) Batang 12 pt N..."/>
    <w:basedOn w:val="Heading2"/>
    <w:next w:val="Normal"/>
    <w:uiPriority w:val="99"/>
    <w:rsid w:val="009913DA"/>
    <w:pPr>
      <w:keepNext w:val="0"/>
      <w:tabs>
        <w:tab w:val="num" w:pos="576"/>
      </w:tabs>
      <w:autoSpaceDE w:val="0"/>
      <w:autoSpaceDN w:val="0"/>
      <w:adjustRightInd w:val="0"/>
      <w:spacing w:before="0" w:after="240" w:line="276" w:lineRule="auto"/>
      <w:ind w:left="576" w:hanging="576"/>
      <w:jc w:val="both"/>
    </w:pPr>
    <w:rPr>
      <w:rFonts w:ascii="Times New Roman" w:eastAsia="Batang" w:hAnsi="Times New Roman" w:cs="Times New Roman"/>
      <w:bCs w:val="0"/>
      <w:iCs w:val="0"/>
      <w:color w:val="365F91"/>
      <w:sz w:val="24"/>
      <w:szCs w:val="20"/>
      <w:lang w:val="es-ES_tradnl" w:eastAsia="es-ES"/>
    </w:rPr>
  </w:style>
  <w:style w:type="character" w:customStyle="1" w:styleId="apple-style-span">
    <w:name w:val="apple-style-span"/>
    <w:basedOn w:val="DefaultParagraphFont"/>
    <w:rsid w:val="009913DA"/>
    <w:rPr>
      <w:rFonts w:cs="Times New Roman"/>
    </w:rPr>
  </w:style>
  <w:style w:type="paragraph" w:styleId="NormalWeb">
    <w:name w:val="Normal (Web)"/>
    <w:basedOn w:val="Normal"/>
    <w:rsid w:val="007A5F0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sz w:val="22"/>
      <w:szCs w:val="22"/>
      <w:bdr w:val="none" w:sz="0" w:space="0" w:color="auto"/>
    </w:rPr>
  </w:style>
  <w:style w:type="paragraph" w:customStyle="1" w:styleId="Estilo1">
    <w:name w:val="Estilo1"/>
    <w:basedOn w:val="ListParagraph"/>
    <w:qFormat/>
    <w:rsid w:val="00A931A2"/>
    <w:pPr>
      <w:numPr>
        <w:numId w:val="65"/>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0"/>
      <w:jc w:val="both"/>
    </w:pPr>
    <w:rPr>
      <w:rFonts w:ascii="Times New Roman" w:eastAsia="Calibri" w:hAnsi="Times New Roman" w:cs="Times New Roman"/>
      <w:color w:val="auto"/>
      <w:bdr w:val="none" w:sz="0" w:space="0" w:color="auto"/>
      <w:lang w:val="es-UY" w:eastAsia="en-US"/>
    </w:rPr>
  </w:style>
  <w:style w:type="paragraph" w:styleId="TOCHeading">
    <w:name w:val="TOC Heading"/>
    <w:basedOn w:val="Heading1"/>
    <w:next w:val="Normal"/>
    <w:uiPriority w:val="39"/>
    <w:semiHidden/>
    <w:unhideWhenUsed/>
    <w:qFormat/>
    <w:rsid w:val="008B00DC"/>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 w:type="character" w:customStyle="1" w:styleId="apple-converted-space">
    <w:name w:val="apple-converted-space"/>
    <w:rsid w:val="00830126"/>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614149">
      <w:bodyDiv w:val="1"/>
      <w:marLeft w:val="0"/>
      <w:marRight w:val="0"/>
      <w:marTop w:val="0"/>
      <w:marBottom w:val="0"/>
      <w:divBdr>
        <w:top w:val="none" w:sz="0" w:space="0" w:color="auto"/>
        <w:left w:val="none" w:sz="0" w:space="0" w:color="auto"/>
        <w:bottom w:val="none" w:sz="0" w:space="0" w:color="auto"/>
        <w:right w:val="none" w:sz="0" w:space="0" w:color="auto"/>
      </w:divBdr>
    </w:div>
    <w:div w:id="297759494">
      <w:bodyDiv w:val="1"/>
      <w:marLeft w:val="0"/>
      <w:marRight w:val="0"/>
      <w:marTop w:val="0"/>
      <w:marBottom w:val="0"/>
      <w:divBdr>
        <w:top w:val="none" w:sz="0" w:space="0" w:color="auto"/>
        <w:left w:val="none" w:sz="0" w:space="0" w:color="auto"/>
        <w:bottom w:val="none" w:sz="0" w:space="0" w:color="auto"/>
        <w:right w:val="none" w:sz="0" w:space="0" w:color="auto"/>
      </w:divBdr>
    </w:div>
    <w:div w:id="588006113">
      <w:bodyDiv w:val="1"/>
      <w:marLeft w:val="0"/>
      <w:marRight w:val="0"/>
      <w:marTop w:val="0"/>
      <w:marBottom w:val="0"/>
      <w:divBdr>
        <w:top w:val="none" w:sz="0" w:space="0" w:color="auto"/>
        <w:left w:val="none" w:sz="0" w:space="0" w:color="auto"/>
        <w:bottom w:val="none" w:sz="0" w:space="0" w:color="auto"/>
        <w:right w:val="none" w:sz="0" w:space="0" w:color="auto"/>
      </w:divBdr>
    </w:div>
    <w:div w:id="744645497">
      <w:bodyDiv w:val="1"/>
      <w:marLeft w:val="0"/>
      <w:marRight w:val="0"/>
      <w:marTop w:val="0"/>
      <w:marBottom w:val="0"/>
      <w:divBdr>
        <w:top w:val="none" w:sz="0" w:space="0" w:color="auto"/>
        <w:left w:val="none" w:sz="0" w:space="0" w:color="auto"/>
        <w:bottom w:val="none" w:sz="0" w:space="0" w:color="auto"/>
        <w:right w:val="none" w:sz="0" w:space="0" w:color="auto"/>
      </w:divBdr>
    </w:div>
    <w:div w:id="1209489260">
      <w:bodyDiv w:val="1"/>
      <w:marLeft w:val="0"/>
      <w:marRight w:val="0"/>
      <w:marTop w:val="0"/>
      <w:marBottom w:val="0"/>
      <w:divBdr>
        <w:top w:val="none" w:sz="0" w:space="0" w:color="auto"/>
        <w:left w:val="none" w:sz="0" w:space="0" w:color="auto"/>
        <w:bottom w:val="none" w:sz="0" w:space="0" w:color="auto"/>
        <w:right w:val="none" w:sz="0" w:space="0" w:color="auto"/>
      </w:divBdr>
      <w:divsChild>
        <w:div w:id="81531834">
          <w:marLeft w:val="0"/>
          <w:marRight w:val="0"/>
          <w:marTop w:val="0"/>
          <w:marBottom w:val="0"/>
          <w:divBdr>
            <w:top w:val="none" w:sz="0" w:space="0" w:color="auto"/>
            <w:left w:val="none" w:sz="0" w:space="0" w:color="auto"/>
            <w:bottom w:val="none" w:sz="0" w:space="0" w:color="auto"/>
            <w:right w:val="none" w:sz="0" w:space="0" w:color="auto"/>
          </w:divBdr>
        </w:div>
        <w:div w:id="2022471265">
          <w:marLeft w:val="0"/>
          <w:marRight w:val="0"/>
          <w:marTop w:val="0"/>
          <w:marBottom w:val="0"/>
          <w:divBdr>
            <w:top w:val="none" w:sz="0" w:space="0" w:color="auto"/>
            <w:left w:val="none" w:sz="0" w:space="0" w:color="auto"/>
            <w:bottom w:val="none" w:sz="0" w:space="0" w:color="auto"/>
            <w:right w:val="none" w:sz="0" w:space="0" w:color="auto"/>
          </w:divBdr>
        </w:div>
      </w:divsChild>
    </w:div>
    <w:div w:id="1331565150">
      <w:bodyDiv w:val="1"/>
      <w:marLeft w:val="0"/>
      <w:marRight w:val="0"/>
      <w:marTop w:val="0"/>
      <w:marBottom w:val="0"/>
      <w:divBdr>
        <w:top w:val="none" w:sz="0" w:space="0" w:color="auto"/>
        <w:left w:val="none" w:sz="0" w:space="0" w:color="auto"/>
        <w:bottom w:val="none" w:sz="0" w:space="0" w:color="auto"/>
        <w:right w:val="none" w:sz="0" w:space="0" w:color="auto"/>
      </w:divBdr>
    </w:div>
    <w:div w:id="1592620639">
      <w:bodyDiv w:val="1"/>
      <w:marLeft w:val="0"/>
      <w:marRight w:val="0"/>
      <w:marTop w:val="0"/>
      <w:marBottom w:val="0"/>
      <w:divBdr>
        <w:top w:val="none" w:sz="0" w:space="0" w:color="auto"/>
        <w:left w:val="none" w:sz="0" w:space="0" w:color="auto"/>
        <w:bottom w:val="none" w:sz="0" w:space="0" w:color="auto"/>
        <w:right w:val="none" w:sz="0" w:space="0" w:color="auto"/>
      </w:divBdr>
    </w:div>
    <w:div w:id="168266514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acnur.org/fileadmin/Documentos/BDL/2006/4353.pdf?view=1" TargetMode="External"/><Relationship Id="rId13" Type="http://schemas.openxmlformats.org/officeDocument/2006/relationships/hyperlink" Target="http://www.minambiente.gov.co/images/normativa/Otros/Autos/2009/auto_2638_150909.pdf" TargetMode="External"/><Relationship Id="rId18" Type="http://schemas.openxmlformats.org/officeDocument/2006/relationships/hyperlink" Target="http://www.parquesnacionales.gov.co/portal/es/el-parque-nacional-natural-cocuy-abre-nuevamente-sus-puertas-a-los-turistas%E2%80%8B/" TargetMode="External"/><Relationship Id="rId3" Type="http://schemas.openxmlformats.org/officeDocument/2006/relationships/hyperlink" Target="https://www.oas.org/es/cidh/docs/pdfs/justicia-verdad-reparacion-es.pdf" TargetMode="External"/><Relationship Id="rId21" Type="http://schemas.openxmlformats.org/officeDocument/2006/relationships/hyperlink" Target="https://www.cbd.int/doc/decisions/cop-07/full/cop-07-dec-es.pdf" TargetMode="External"/><Relationship Id="rId7" Type="http://schemas.openxmlformats.org/officeDocument/2006/relationships/hyperlink" Target="http://www.ilo.org/dyn/normlex/es/f?p=1000:50012:0::NO:50012:P50012_COMPLAINT_PROCEDURE_ID,P50012_LANG_CODE:2507143,es:NO" TargetMode="External"/><Relationship Id="rId12" Type="http://schemas.openxmlformats.org/officeDocument/2006/relationships/hyperlink" Target="http://www.oas.org/sap/publications/1998/conflict_res/samore_case/wp_samore_case_98_spa.pdf" TargetMode="External"/><Relationship Id="rId17" Type="http://schemas.openxmlformats.org/officeDocument/2006/relationships/hyperlink" Target="http://www.parquesnacionales.gov.co/portal/wp-content/uploads/2013/12/245.pdf" TargetMode="External"/><Relationship Id="rId2" Type="http://schemas.openxmlformats.org/officeDocument/2006/relationships/hyperlink" Target="https://www.oas.org/es/cidh/docs/pdfs/justicia-verdad-reparacion-es.pdf" TargetMode="External"/><Relationship Id="rId16" Type="http://schemas.openxmlformats.org/officeDocument/2006/relationships/hyperlink" Target="https://www.funcionpublica.gov.co/eva/gestornormativo/norma.php?i=65329" TargetMode="External"/><Relationship Id="rId20" Type="http://schemas.openxmlformats.org/officeDocument/2006/relationships/hyperlink" Target="https://www.acnur.org/fileadmin/Documentos/BDL/2016/10748.pdf" TargetMode="External"/><Relationship Id="rId1" Type="http://schemas.openxmlformats.org/officeDocument/2006/relationships/hyperlink" Target="https://www.un.org/esa/socdev/unpfii/documents/E_C19_2011_3%20.pdf" TargetMode="External"/><Relationship Id="rId6" Type="http://schemas.openxmlformats.org/officeDocument/2006/relationships/hyperlink" Target="http://www.corteconstitucional.gov.co/relatoria/1998/T-652-98.htm" TargetMode="External"/><Relationship Id="rId11" Type="http://schemas.openxmlformats.org/officeDocument/2006/relationships/hyperlink" Target="http://www.oas.org/sap/publications/1998/conflict_res/samore_case/wp_samore_case_98_spa.pdf" TargetMode="External"/><Relationship Id="rId5" Type="http://schemas.openxmlformats.org/officeDocument/2006/relationships/hyperlink" Target="https://www.acnur.org/fileadmin/Documentos/BDL/2010/7377.pdf?view=1" TargetMode="External"/><Relationship Id="rId15" Type="http://schemas.openxmlformats.org/officeDocument/2006/relationships/hyperlink" Target="https://www.funcionpublica.gov.co/eva/gestornormativo/norma.php?i=64920" TargetMode="External"/><Relationship Id="rId10" Type="http://schemas.openxmlformats.org/officeDocument/2006/relationships/hyperlink" Target="https://diario-oficial.vlex.com.co/vid/acuerdo-numero-377-2015-645661549" TargetMode="External"/><Relationship Id="rId19" Type="http://schemas.openxmlformats.org/officeDocument/2006/relationships/hyperlink" Target="http://www.oas.org/es/cidh/indigenas/docs/pdf/Tierras-Ancestrales.ESP.pdf" TargetMode="External"/><Relationship Id="rId4" Type="http://schemas.openxmlformats.org/officeDocument/2006/relationships/hyperlink" Target="https://www.acnur.org/fileadmin/Documentos/BDL/2006/4353.pdf?view=1" TargetMode="External"/><Relationship Id="rId9" Type="http://schemas.openxmlformats.org/officeDocument/2006/relationships/hyperlink" Target="http://www.secretariasenado.gov.co/senado/basedoc/decreto_1300_2003.htm" TargetMode="External"/><Relationship Id="rId14" Type="http://schemas.openxmlformats.org/officeDocument/2006/relationships/hyperlink" Target="http://www.minambiente.gov.co/images/normativa/Otros/Autos/2009/auto_2863_0810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C1A74-A056-4A3F-89D1-627FDD1C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18442</Words>
  <Characters>105125</Characters>
  <Application>Microsoft Office Word</Application>
  <DocSecurity>0</DocSecurity>
  <Lines>876</Lines>
  <Paragraphs>246</Paragraphs>
  <ScaleCrop>false</ScaleCrop>
  <Company/>
  <LinksUpToDate>false</LinksUpToDate>
  <CharactersWithSpaces>123321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2021-01-15T22:14:00Z</dcterms:created>
  <dcterms:modified xsi:type="dcterms:W3CDTF">2021-01-15T22:14:00Z</dcterms:modified>
</cp:coreProperties>
</file>