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73C5B" w:rsidRDefault="00D306D1" w:rsidP="000D31F6">
      <w:pPr>
        <w:jc w:val="both"/>
        <w:rPr>
          <w:rFonts w:asciiTheme="majorHAnsi" w:hAnsiTheme="majorHAnsi" w:cs="Univers"/>
          <w:b/>
          <w:bCs/>
          <w:sz w:val="20"/>
          <w:szCs w:val="20"/>
          <w:lang w:val="es-ES_tradnl"/>
        </w:rPr>
      </w:pPr>
      <w:r w:rsidRPr="00D73C5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79267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73C5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Default="00D040E7"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040E7" w:rsidRDefault="00D040E7"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73C5B" w:rsidRDefault="00040C3A" w:rsidP="000D31F6">
      <w:pPr>
        <w:suppressAutoHyphens/>
        <w:jc w:val="both"/>
        <w:rPr>
          <w:rFonts w:asciiTheme="majorHAnsi" w:hAnsiTheme="majorHAnsi"/>
          <w:sz w:val="20"/>
          <w:szCs w:val="20"/>
          <w:lang w:val="es-ES"/>
        </w:rPr>
      </w:pPr>
    </w:p>
    <w:p w:rsidR="00040C3A" w:rsidRPr="00D73C5B" w:rsidRDefault="00040C3A" w:rsidP="000D31F6">
      <w:pPr>
        <w:suppressAutoHyphens/>
        <w:jc w:val="both"/>
        <w:rPr>
          <w:rFonts w:asciiTheme="majorHAnsi" w:hAnsiTheme="majorHAnsi"/>
          <w:sz w:val="20"/>
          <w:szCs w:val="20"/>
          <w:lang w:val="es-ES"/>
        </w:rPr>
      </w:pPr>
    </w:p>
    <w:p w:rsidR="005128E4" w:rsidRPr="00D73C5B" w:rsidRDefault="005128E4" w:rsidP="000D31F6">
      <w:pPr>
        <w:suppressAutoHyphens/>
        <w:rPr>
          <w:rFonts w:asciiTheme="majorHAnsi" w:hAnsiTheme="majorHAnsi"/>
          <w:sz w:val="20"/>
          <w:szCs w:val="20"/>
          <w:lang w:val="es-ES_tradnl"/>
        </w:rPr>
      </w:pPr>
    </w:p>
    <w:p w:rsidR="005128E4" w:rsidRPr="00D73C5B" w:rsidRDefault="005128E4" w:rsidP="000D31F6">
      <w:pPr>
        <w:suppressAutoHyphens/>
        <w:rPr>
          <w:rFonts w:asciiTheme="majorHAnsi" w:hAnsiTheme="majorHAnsi"/>
          <w:sz w:val="20"/>
          <w:szCs w:val="20"/>
          <w:lang w:val="es-ES_tradnl"/>
        </w:rPr>
      </w:pPr>
    </w:p>
    <w:p w:rsidR="005128E4" w:rsidRPr="00D73C5B" w:rsidRDefault="005128E4" w:rsidP="000D31F6">
      <w:pPr>
        <w:suppressAutoHyphens/>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5B52B0" w:rsidRPr="00D73C5B" w:rsidRDefault="005B52B0" w:rsidP="000D31F6">
      <w:pPr>
        <w:suppressAutoHyphens/>
        <w:jc w:val="center"/>
        <w:rPr>
          <w:rFonts w:asciiTheme="majorHAnsi" w:hAnsiTheme="majorHAnsi"/>
          <w:sz w:val="20"/>
          <w:szCs w:val="20"/>
          <w:lang w:val="es-ES_tradnl"/>
        </w:rPr>
      </w:pPr>
    </w:p>
    <w:p w:rsidR="005B52B0" w:rsidRPr="00D73C5B" w:rsidRDefault="005B52B0" w:rsidP="000D31F6">
      <w:pPr>
        <w:suppressAutoHyphens/>
        <w:jc w:val="center"/>
        <w:rPr>
          <w:rFonts w:asciiTheme="majorHAnsi" w:hAnsiTheme="majorHAnsi"/>
          <w:sz w:val="20"/>
          <w:szCs w:val="20"/>
          <w:lang w:val="es-ES_tradnl"/>
        </w:rPr>
      </w:pPr>
    </w:p>
    <w:p w:rsidR="005B52B0" w:rsidRPr="00D73C5B" w:rsidRDefault="005B52B0"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3D3BC2" w:rsidP="000D31F6">
      <w:pPr>
        <w:suppressAutoHyphens/>
        <w:jc w:val="center"/>
        <w:rPr>
          <w:rFonts w:asciiTheme="majorHAnsi" w:hAnsiTheme="majorHAnsi"/>
          <w:sz w:val="20"/>
          <w:szCs w:val="20"/>
          <w:lang w:val="es-ES_tradnl"/>
        </w:rPr>
      </w:pPr>
      <w:r w:rsidRPr="00D73C5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Pr="000158FD" w:rsidRDefault="00D040E7"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sidR="004E533A">
                              <w:rPr>
                                <w:rFonts w:asciiTheme="majorHAnsi" w:hAnsiTheme="majorHAnsi" w:cs="Arial"/>
                                <w:b/>
                                <w:bCs/>
                                <w:color w:val="0D0D0D" w:themeColor="text1" w:themeTint="F2"/>
                                <w:sz w:val="36"/>
                                <w:szCs w:val="22"/>
                                <w:lang w:val="pt-BR"/>
                              </w:rPr>
                              <w:t>148</w:t>
                            </w:r>
                            <w:r w:rsidRPr="000158FD">
                              <w:rPr>
                                <w:rFonts w:asciiTheme="majorHAnsi" w:hAnsiTheme="majorHAnsi" w:cs="Arial"/>
                                <w:b/>
                                <w:bCs/>
                                <w:color w:val="0D0D0D" w:themeColor="text1" w:themeTint="F2"/>
                                <w:sz w:val="36"/>
                                <w:szCs w:val="22"/>
                                <w:lang w:val="pt-BR"/>
                              </w:rPr>
                              <w:t>/</w:t>
                            </w:r>
                            <w:r w:rsidR="000D31F6">
                              <w:rPr>
                                <w:rFonts w:asciiTheme="majorHAnsi" w:hAnsiTheme="majorHAnsi" w:cs="Arial"/>
                                <w:b/>
                                <w:bCs/>
                                <w:color w:val="0D0D0D" w:themeColor="text1" w:themeTint="F2"/>
                                <w:sz w:val="36"/>
                                <w:szCs w:val="22"/>
                                <w:lang w:val="pt-BR"/>
                              </w:rPr>
                              <w:t>18</w:t>
                            </w:r>
                          </w:p>
                          <w:p w:rsidR="00D040E7" w:rsidRPr="000158FD" w:rsidRDefault="00D040E7"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12.997</w:t>
                            </w:r>
                          </w:p>
                          <w:p w:rsidR="00D040E7" w:rsidRPr="0010736F" w:rsidRDefault="00D040E7"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D040E7" w:rsidRPr="0010736F" w:rsidRDefault="00D040E7" w:rsidP="00997BC5">
                            <w:pPr>
                              <w:spacing w:line="276" w:lineRule="auto"/>
                              <w:rPr>
                                <w:rFonts w:asciiTheme="majorHAnsi" w:hAnsiTheme="majorHAnsi" w:cs="Arial"/>
                                <w:color w:val="0D0D0D" w:themeColor="text1" w:themeTint="F2"/>
                                <w:szCs w:val="22"/>
                                <w:lang w:val="es-ES_tradnl"/>
                              </w:rPr>
                            </w:pPr>
                            <w:bookmarkStart w:id="0" w:name="_ftnref1"/>
                          </w:p>
                          <w:p w:rsidR="00D040E7" w:rsidRPr="0010736F" w:rsidRDefault="00D040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SANDRA CECILIA PAVEZ </w:t>
                            </w:r>
                            <w:proofErr w:type="spellStart"/>
                            <w:r>
                              <w:rPr>
                                <w:rFonts w:asciiTheme="majorHAnsi" w:hAnsiTheme="majorHAnsi" w:cs="Arial"/>
                                <w:color w:val="0D0D0D" w:themeColor="text1" w:themeTint="F2"/>
                                <w:szCs w:val="22"/>
                                <w:lang w:val="es-ES_tradnl"/>
                              </w:rPr>
                              <w:t>PAVEZ</w:t>
                            </w:r>
                            <w:proofErr w:type="spellEnd"/>
                          </w:p>
                          <w:bookmarkEnd w:id="0"/>
                          <w:p w:rsidR="00D040E7" w:rsidRPr="0010736F" w:rsidRDefault="00D040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D040E7" w:rsidRPr="00AE5488" w:rsidRDefault="00D040E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431D62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040E7" w:rsidRPr="000158FD" w:rsidRDefault="00D040E7" w:rsidP="00997BC5">
                      <w:pPr>
                        <w:spacing w:line="276" w:lineRule="auto"/>
                        <w:rPr>
                          <w:rFonts w:asciiTheme="majorHAnsi" w:hAnsiTheme="majorHAnsi" w:cs="Arial"/>
                          <w:b/>
                          <w:bCs/>
                          <w:color w:val="0D0D0D" w:themeColor="text1" w:themeTint="F2"/>
                          <w:sz w:val="36"/>
                          <w:szCs w:val="22"/>
                          <w:lang w:val="pt-BR"/>
                        </w:rPr>
                      </w:pPr>
                      <w:r w:rsidRPr="000158FD">
                        <w:rPr>
                          <w:rFonts w:asciiTheme="majorHAnsi" w:hAnsiTheme="majorHAnsi" w:cs="Arial"/>
                          <w:b/>
                          <w:bCs/>
                          <w:color w:val="0D0D0D" w:themeColor="text1" w:themeTint="F2"/>
                          <w:sz w:val="36"/>
                          <w:szCs w:val="22"/>
                          <w:lang w:val="pt-BR"/>
                        </w:rPr>
                        <w:t xml:space="preserve">INFORME </w:t>
                      </w:r>
                      <w:r w:rsidRPr="000158FD">
                        <w:rPr>
                          <w:rFonts w:asciiTheme="majorHAnsi" w:hAnsiTheme="majorHAnsi" w:cs="Arial"/>
                          <w:b/>
                          <w:bCs/>
                          <w:color w:val="0D0D0D" w:themeColor="text1" w:themeTint="F2"/>
                          <w:sz w:val="36"/>
                          <w:szCs w:val="40"/>
                          <w:lang w:val="pt-BR"/>
                        </w:rPr>
                        <w:t>No.</w:t>
                      </w:r>
                      <w:r w:rsidRPr="000158FD">
                        <w:rPr>
                          <w:rFonts w:asciiTheme="majorHAnsi" w:hAnsiTheme="majorHAnsi" w:cs="Arial"/>
                          <w:b/>
                          <w:bCs/>
                          <w:color w:val="0D0D0D" w:themeColor="text1" w:themeTint="F2"/>
                          <w:sz w:val="36"/>
                          <w:szCs w:val="22"/>
                          <w:lang w:val="pt-BR"/>
                        </w:rPr>
                        <w:t xml:space="preserve"> </w:t>
                      </w:r>
                      <w:r w:rsidR="004E533A">
                        <w:rPr>
                          <w:rFonts w:asciiTheme="majorHAnsi" w:hAnsiTheme="majorHAnsi" w:cs="Arial"/>
                          <w:b/>
                          <w:bCs/>
                          <w:color w:val="0D0D0D" w:themeColor="text1" w:themeTint="F2"/>
                          <w:sz w:val="36"/>
                          <w:szCs w:val="22"/>
                          <w:lang w:val="pt-BR"/>
                        </w:rPr>
                        <w:t>148</w:t>
                      </w:r>
                      <w:r w:rsidRPr="000158FD">
                        <w:rPr>
                          <w:rFonts w:asciiTheme="majorHAnsi" w:hAnsiTheme="majorHAnsi" w:cs="Arial"/>
                          <w:b/>
                          <w:bCs/>
                          <w:color w:val="0D0D0D" w:themeColor="text1" w:themeTint="F2"/>
                          <w:sz w:val="36"/>
                          <w:szCs w:val="22"/>
                          <w:lang w:val="pt-BR"/>
                        </w:rPr>
                        <w:t>/</w:t>
                      </w:r>
                      <w:r w:rsidR="000D31F6">
                        <w:rPr>
                          <w:rFonts w:asciiTheme="majorHAnsi" w:hAnsiTheme="majorHAnsi" w:cs="Arial"/>
                          <w:b/>
                          <w:bCs/>
                          <w:color w:val="0D0D0D" w:themeColor="text1" w:themeTint="F2"/>
                          <w:sz w:val="36"/>
                          <w:szCs w:val="22"/>
                          <w:lang w:val="pt-BR"/>
                        </w:rPr>
                        <w:t>18</w:t>
                      </w:r>
                    </w:p>
                    <w:p w:rsidR="00D040E7" w:rsidRPr="000158FD" w:rsidRDefault="00D040E7" w:rsidP="00997BC5">
                      <w:pPr>
                        <w:spacing w:line="276" w:lineRule="auto"/>
                        <w:rPr>
                          <w:rFonts w:asciiTheme="majorHAnsi" w:hAnsiTheme="majorHAnsi" w:cs="Arial"/>
                          <w:b/>
                          <w:color w:val="0D0D0D" w:themeColor="text1" w:themeTint="F2"/>
                          <w:sz w:val="36"/>
                          <w:szCs w:val="22"/>
                          <w:lang w:val="pt-BR"/>
                        </w:rPr>
                      </w:pPr>
                      <w:r w:rsidRPr="000158FD">
                        <w:rPr>
                          <w:rFonts w:asciiTheme="majorHAnsi" w:hAnsiTheme="majorHAnsi" w:cs="Arial"/>
                          <w:b/>
                          <w:color w:val="0D0D0D" w:themeColor="text1" w:themeTint="F2"/>
                          <w:sz w:val="36"/>
                          <w:szCs w:val="22"/>
                          <w:lang w:val="pt-BR"/>
                        </w:rPr>
                        <w:t xml:space="preserve">CASO </w:t>
                      </w:r>
                      <w:r>
                        <w:rPr>
                          <w:rFonts w:asciiTheme="majorHAnsi" w:hAnsiTheme="majorHAnsi" w:cs="Arial"/>
                          <w:b/>
                          <w:color w:val="0D0D0D" w:themeColor="text1" w:themeTint="F2"/>
                          <w:sz w:val="36"/>
                          <w:szCs w:val="22"/>
                          <w:lang w:val="pt-BR"/>
                        </w:rPr>
                        <w:t>12.997</w:t>
                      </w:r>
                    </w:p>
                    <w:p w:rsidR="00D040E7" w:rsidRPr="0010736F" w:rsidRDefault="00D040E7"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D040E7" w:rsidRPr="0010736F" w:rsidRDefault="00D040E7" w:rsidP="00997BC5">
                      <w:pPr>
                        <w:spacing w:line="276" w:lineRule="auto"/>
                        <w:rPr>
                          <w:rFonts w:asciiTheme="majorHAnsi" w:hAnsiTheme="majorHAnsi" w:cs="Arial"/>
                          <w:color w:val="0D0D0D" w:themeColor="text1" w:themeTint="F2"/>
                          <w:szCs w:val="22"/>
                          <w:lang w:val="es-ES_tradnl"/>
                        </w:rPr>
                      </w:pPr>
                      <w:bookmarkStart w:id="1" w:name="_ftnref1"/>
                    </w:p>
                    <w:p w:rsidR="00D040E7" w:rsidRPr="0010736F" w:rsidRDefault="00D040E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SANDRA CECILIA PAVEZ PAVEZ</w:t>
                      </w:r>
                    </w:p>
                    <w:bookmarkEnd w:id="1"/>
                    <w:p w:rsidR="00D040E7" w:rsidRPr="0010736F" w:rsidRDefault="00D040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D040E7" w:rsidRPr="00AE5488" w:rsidRDefault="00D040E7" w:rsidP="007A5817">
                      <w:pPr>
                        <w:rPr>
                          <w:color w:val="0D0D0D" w:themeColor="text1" w:themeTint="F2"/>
                          <w:lang w:val="es-ES_tradnl"/>
                        </w:rPr>
                      </w:pPr>
                    </w:p>
                  </w:txbxContent>
                </v:textbox>
              </v:shape>
            </w:pict>
          </mc:Fallback>
        </mc:AlternateContent>
      </w:r>
      <w:r w:rsidR="004E2649" w:rsidRPr="00D73C5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Pr="004E2649" w:rsidRDefault="00D040E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0D31F6">
                              <w:rPr>
                                <w:rFonts w:asciiTheme="minorHAnsi" w:hAnsiTheme="minorHAnsi"/>
                                <w:color w:val="FFFFFF" w:themeColor="background1"/>
                                <w:sz w:val="22"/>
                                <w:lang w:val="pt-BR"/>
                              </w:rPr>
                              <w:t>170</w:t>
                            </w:r>
                          </w:p>
                          <w:p w:rsidR="00D040E7" w:rsidRPr="004E2649" w:rsidRDefault="00D040E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E1986">
                              <w:rPr>
                                <w:rFonts w:asciiTheme="minorHAnsi" w:hAnsiTheme="minorHAnsi"/>
                                <w:color w:val="FFFFFF" w:themeColor="background1"/>
                                <w:sz w:val="22"/>
                                <w:lang w:val="pt-BR"/>
                              </w:rPr>
                              <w:t>170</w:t>
                            </w:r>
                          </w:p>
                          <w:p w:rsidR="00D040E7" w:rsidRPr="007C756A" w:rsidRDefault="00626B5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sidR="00D040E7" w:rsidRPr="007C756A">
                              <w:rPr>
                                <w:rFonts w:asciiTheme="minorHAnsi" w:hAnsiTheme="minorHAnsi"/>
                                <w:color w:val="FFFFFF" w:themeColor="background1"/>
                                <w:sz w:val="22"/>
                                <w:lang w:val="es-US"/>
                              </w:rPr>
                              <w:t xml:space="preserve"> </w:t>
                            </w:r>
                            <w:r w:rsidR="000D31F6">
                              <w:rPr>
                                <w:rFonts w:asciiTheme="minorHAnsi" w:hAnsiTheme="minorHAnsi"/>
                                <w:color w:val="FFFFFF" w:themeColor="background1"/>
                                <w:sz w:val="22"/>
                                <w:lang w:val="es-US"/>
                              </w:rPr>
                              <w:t>diciembre</w:t>
                            </w:r>
                            <w:r w:rsidR="00D040E7" w:rsidRPr="007C756A">
                              <w:rPr>
                                <w:rFonts w:asciiTheme="minorHAnsi" w:hAnsiTheme="minorHAnsi"/>
                                <w:color w:val="FFFFFF" w:themeColor="background1"/>
                                <w:sz w:val="22"/>
                                <w:lang w:val="es-US"/>
                              </w:rPr>
                              <w:t xml:space="preserve"> </w:t>
                            </w:r>
                            <w:r w:rsidR="00306C81">
                              <w:rPr>
                                <w:rFonts w:asciiTheme="minorHAnsi" w:hAnsiTheme="minorHAnsi"/>
                                <w:color w:val="FFFFFF" w:themeColor="background1"/>
                                <w:sz w:val="22"/>
                                <w:lang w:val="es-US"/>
                              </w:rPr>
                              <w:t>2018</w:t>
                            </w:r>
                          </w:p>
                          <w:p w:rsidR="00D040E7" w:rsidRPr="007C756A" w:rsidRDefault="00D040E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E0EDE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040E7" w:rsidRPr="004E2649" w:rsidRDefault="00D040E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0D31F6">
                        <w:rPr>
                          <w:rFonts w:asciiTheme="minorHAnsi" w:hAnsiTheme="minorHAnsi"/>
                          <w:color w:val="FFFFFF" w:themeColor="background1"/>
                          <w:sz w:val="22"/>
                          <w:lang w:val="pt-BR"/>
                        </w:rPr>
                        <w:t>170</w:t>
                      </w:r>
                    </w:p>
                    <w:p w:rsidR="00D040E7" w:rsidRPr="004E2649" w:rsidRDefault="00D040E7"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E1986">
                        <w:rPr>
                          <w:rFonts w:asciiTheme="minorHAnsi" w:hAnsiTheme="minorHAnsi"/>
                          <w:color w:val="FFFFFF" w:themeColor="background1"/>
                          <w:sz w:val="22"/>
                          <w:lang w:val="pt-BR"/>
                        </w:rPr>
                        <w:t>170</w:t>
                      </w:r>
                    </w:p>
                    <w:p w:rsidR="00D040E7" w:rsidRPr="007C756A" w:rsidRDefault="00626B5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sidR="00D040E7" w:rsidRPr="007C756A">
                        <w:rPr>
                          <w:rFonts w:asciiTheme="minorHAnsi" w:hAnsiTheme="minorHAnsi"/>
                          <w:color w:val="FFFFFF" w:themeColor="background1"/>
                          <w:sz w:val="22"/>
                          <w:lang w:val="es-US"/>
                        </w:rPr>
                        <w:t xml:space="preserve"> </w:t>
                      </w:r>
                      <w:r w:rsidR="000D31F6">
                        <w:rPr>
                          <w:rFonts w:asciiTheme="minorHAnsi" w:hAnsiTheme="minorHAnsi"/>
                          <w:color w:val="FFFFFF" w:themeColor="background1"/>
                          <w:sz w:val="22"/>
                          <w:lang w:val="es-US"/>
                        </w:rPr>
                        <w:t>diciembre</w:t>
                      </w:r>
                      <w:r w:rsidR="00D040E7" w:rsidRPr="007C756A">
                        <w:rPr>
                          <w:rFonts w:asciiTheme="minorHAnsi" w:hAnsiTheme="minorHAnsi"/>
                          <w:color w:val="FFFFFF" w:themeColor="background1"/>
                          <w:sz w:val="22"/>
                          <w:lang w:val="es-US"/>
                        </w:rPr>
                        <w:t xml:space="preserve"> </w:t>
                      </w:r>
                      <w:r w:rsidR="00306C81">
                        <w:rPr>
                          <w:rFonts w:asciiTheme="minorHAnsi" w:hAnsiTheme="minorHAnsi"/>
                          <w:color w:val="FFFFFF" w:themeColor="background1"/>
                          <w:sz w:val="22"/>
                          <w:lang w:val="es-US"/>
                        </w:rPr>
                        <w:t>2018</w:t>
                      </w:r>
                    </w:p>
                    <w:p w:rsidR="00D040E7" w:rsidRPr="007C756A" w:rsidRDefault="00D040E7"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cs="Arial"/>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5128E4" w:rsidRPr="00D73C5B" w:rsidRDefault="005128E4"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5128E4" w:rsidRPr="00D73C5B" w:rsidRDefault="005128E4" w:rsidP="000D31F6">
      <w:pPr>
        <w:suppressAutoHyphens/>
        <w:jc w:val="center"/>
        <w:rPr>
          <w:rFonts w:asciiTheme="majorHAnsi" w:hAnsiTheme="majorHAnsi"/>
          <w:sz w:val="20"/>
          <w:szCs w:val="20"/>
          <w:lang w:val="es-ES_tradnl"/>
        </w:rPr>
      </w:pPr>
    </w:p>
    <w:p w:rsidR="005128E4" w:rsidRPr="00D73C5B" w:rsidRDefault="005128E4" w:rsidP="000D31F6">
      <w:pPr>
        <w:suppressAutoHyphens/>
        <w:jc w:val="center"/>
        <w:rPr>
          <w:rFonts w:asciiTheme="majorHAnsi" w:hAnsiTheme="majorHAnsi"/>
          <w:sz w:val="20"/>
          <w:szCs w:val="20"/>
          <w:lang w:val="es-ES_tradnl"/>
        </w:rPr>
      </w:pPr>
    </w:p>
    <w:p w:rsidR="005128E4" w:rsidRPr="00D73C5B" w:rsidRDefault="005128E4"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040C3A" w:rsidRPr="00D73C5B" w:rsidRDefault="00040C3A"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90270B" w:rsidP="000D31F6">
      <w:pPr>
        <w:suppressAutoHyphens/>
        <w:jc w:val="center"/>
        <w:rPr>
          <w:rFonts w:asciiTheme="majorHAnsi" w:hAnsiTheme="majorHAnsi"/>
          <w:sz w:val="20"/>
          <w:szCs w:val="20"/>
          <w:lang w:val="es-ES_tradnl"/>
        </w:rPr>
      </w:pPr>
      <w:r w:rsidRPr="00D73C5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Pr="00890650" w:rsidRDefault="001D7748"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00D040E7" w:rsidRPr="00890650">
                              <w:rPr>
                                <w:rFonts w:asciiTheme="majorHAnsi" w:hAnsiTheme="majorHAnsi"/>
                                <w:color w:val="0D0D0D" w:themeColor="text1" w:themeTint="F2"/>
                                <w:sz w:val="18"/>
                                <w:szCs w:val="20"/>
                                <w:lang w:val="es-ES"/>
                              </w:rPr>
                              <w:t>esión N</w:t>
                            </w:r>
                            <w:r w:rsidR="00D040E7">
                              <w:rPr>
                                <w:rFonts w:asciiTheme="majorHAnsi" w:hAnsiTheme="majorHAnsi"/>
                                <w:color w:val="0D0D0D" w:themeColor="text1" w:themeTint="F2"/>
                                <w:sz w:val="18"/>
                                <w:szCs w:val="20"/>
                                <w:lang w:val="es-ES"/>
                              </w:rPr>
                              <w:t>o</w:t>
                            </w:r>
                            <w:r>
                              <w:rPr>
                                <w:rFonts w:asciiTheme="majorHAnsi" w:hAnsiTheme="majorHAnsi"/>
                                <w:color w:val="0D0D0D" w:themeColor="text1" w:themeTint="F2"/>
                                <w:sz w:val="18"/>
                                <w:szCs w:val="20"/>
                                <w:lang w:val="es-ES"/>
                              </w:rPr>
                              <w:t>.</w:t>
                            </w:r>
                            <w:r w:rsidR="006E1986">
                              <w:rPr>
                                <w:rFonts w:asciiTheme="majorHAnsi" w:hAnsiTheme="majorHAnsi"/>
                                <w:color w:val="0D0D0D" w:themeColor="text1" w:themeTint="F2"/>
                                <w:sz w:val="18"/>
                                <w:szCs w:val="20"/>
                                <w:lang w:val="es-ES"/>
                              </w:rPr>
                              <w:t xml:space="preserve"> 2142</w:t>
                            </w:r>
                            <w:r w:rsidR="00D040E7" w:rsidRPr="00890650">
                              <w:rPr>
                                <w:rFonts w:asciiTheme="majorHAnsi" w:hAnsiTheme="majorHAnsi"/>
                                <w:color w:val="0D0D0D" w:themeColor="text1" w:themeTint="F2"/>
                                <w:sz w:val="18"/>
                                <w:szCs w:val="20"/>
                                <w:lang w:val="es-ES"/>
                              </w:rPr>
                              <w:t xml:space="preserve"> c</w:t>
                            </w:r>
                            <w:r w:rsidR="00D040E7">
                              <w:rPr>
                                <w:rFonts w:asciiTheme="majorHAnsi" w:hAnsiTheme="majorHAnsi"/>
                                <w:color w:val="0D0D0D" w:themeColor="text1" w:themeTint="F2"/>
                                <w:sz w:val="18"/>
                                <w:szCs w:val="20"/>
                                <w:lang w:val="es-ES"/>
                              </w:rPr>
                              <w:t xml:space="preserve">elebrada el </w:t>
                            </w:r>
                            <w:r w:rsidR="00626B58">
                              <w:rPr>
                                <w:rFonts w:asciiTheme="majorHAnsi" w:hAnsiTheme="majorHAnsi"/>
                                <w:color w:val="0D0D0D" w:themeColor="text1" w:themeTint="F2"/>
                                <w:sz w:val="18"/>
                                <w:szCs w:val="20"/>
                                <w:lang w:val="es-ES"/>
                              </w:rPr>
                              <w:t>7</w:t>
                            </w:r>
                            <w:r w:rsidR="00D040E7">
                              <w:rPr>
                                <w:rFonts w:asciiTheme="majorHAnsi" w:hAnsiTheme="majorHAnsi"/>
                                <w:color w:val="0D0D0D" w:themeColor="text1" w:themeTint="F2"/>
                                <w:sz w:val="18"/>
                                <w:szCs w:val="20"/>
                                <w:lang w:val="es-ES"/>
                              </w:rPr>
                              <w:t xml:space="preserve"> de </w:t>
                            </w:r>
                            <w:r w:rsidR="00626B58">
                              <w:rPr>
                                <w:rFonts w:asciiTheme="majorHAnsi" w:hAnsiTheme="majorHAnsi"/>
                                <w:color w:val="0D0D0D" w:themeColor="text1" w:themeTint="F2"/>
                                <w:sz w:val="18"/>
                                <w:szCs w:val="20"/>
                                <w:lang w:val="es-ES"/>
                              </w:rPr>
                              <w:t xml:space="preserve">diciembre </w:t>
                            </w:r>
                            <w:r w:rsidR="00D040E7" w:rsidRPr="00890650">
                              <w:rPr>
                                <w:rFonts w:asciiTheme="majorHAnsi" w:hAnsiTheme="majorHAnsi"/>
                                <w:color w:val="0D0D0D" w:themeColor="text1" w:themeTint="F2"/>
                                <w:sz w:val="18"/>
                                <w:szCs w:val="20"/>
                                <w:lang w:val="es-ES"/>
                              </w:rPr>
                              <w:t>de 201</w:t>
                            </w:r>
                            <w:r w:rsidR="00626B58">
                              <w:rPr>
                                <w:rFonts w:asciiTheme="majorHAnsi" w:hAnsiTheme="majorHAnsi"/>
                                <w:color w:val="0D0D0D" w:themeColor="text1" w:themeTint="F2"/>
                                <w:sz w:val="18"/>
                                <w:szCs w:val="20"/>
                                <w:lang w:val="es-ES"/>
                              </w:rPr>
                              <w:t>8</w:t>
                            </w:r>
                            <w:r w:rsidR="00D040E7" w:rsidRPr="00890650">
                              <w:rPr>
                                <w:rFonts w:asciiTheme="majorHAnsi" w:hAnsiTheme="majorHAnsi"/>
                                <w:color w:val="0D0D0D" w:themeColor="text1" w:themeTint="F2"/>
                                <w:sz w:val="18"/>
                                <w:szCs w:val="20"/>
                                <w:lang w:val="es-ES"/>
                              </w:rPr>
                              <w:br/>
                            </w:r>
                            <w:r w:rsidR="00626B58">
                              <w:rPr>
                                <w:rFonts w:asciiTheme="majorHAnsi" w:hAnsiTheme="majorHAnsi" w:cs="Univers"/>
                                <w:color w:val="0D0D0D" w:themeColor="text1" w:themeTint="F2"/>
                                <w:sz w:val="18"/>
                                <w:szCs w:val="20"/>
                                <w:lang w:val="es-ES"/>
                              </w:rPr>
                              <w:t>170</w:t>
                            </w:r>
                            <w:r>
                              <w:rPr>
                                <w:rFonts w:asciiTheme="majorHAnsi" w:hAnsiTheme="majorHAnsi" w:cs="Univers"/>
                                <w:color w:val="0D0D0D" w:themeColor="text1" w:themeTint="F2"/>
                                <w:sz w:val="18"/>
                                <w:szCs w:val="20"/>
                                <w:lang w:val="es-ES_tradnl"/>
                              </w:rPr>
                              <w:t xml:space="preserve"> P</w:t>
                            </w:r>
                            <w:r w:rsidR="00D040E7"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O</w:t>
                            </w:r>
                            <w:r w:rsidR="00D040E7" w:rsidRPr="000D31F6">
                              <w:rPr>
                                <w:rFonts w:asciiTheme="majorHAnsi" w:hAnsiTheme="majorHAnsi" w:cs="Univers"/>
                                <w:color w:val="0D0D0D" w:themeColor="text1" w:themeTint="F2"/>
                                <w:sz w:val="18"/>
                                <w:szCs w:val="20"/>
                                <w:lang w:val="es-ES_tradnl"/>
                              </w:rPr>
                              <w:t>rdinario</w:t>
                            </w:r>
                            <w:r w:rsidR="00D040E7" w:rsidRPr="00890650">
                              <w:rPr>
                                <w:rFonts w:asciiTheme="majorHAnsi" w:hAnsiTheme="majorHAnsi" w:cs="Univers"/>
                                <w:color w:val="0D0D0D" w:themeColor="text1" w:themeTint="F2"/>
                                <w:sz w:val="18"/>
                                <w:szCs w:val="20"/>
                                <w:lang w:val="es-ES_tradnl"/>
                              </w:rPr>
                              <w:t xml:space="preserve"> de </w:t>
                            </w:r>
                            <w:r>
                              <w:rPr>
                                <w:rFonts w:asciiTheme="majorHAnsi" w:hAnsiTheme="majorHAnsi" w:cs="Univers"/>
                                <w:color w:val="0D0D0D" w:themeColor="text1" w:themeTint="F2"/>
                                <w:sz w:val="18"/>
                                <w:szCs w:val="20"/>
                                <w:lang w:val="es-ES_tradnl"/>
                              </w:rPr>
                              <w:t>S</w:t>
                            </w:r>
                            <w:r w:rsidR="00D040E7" w:rsidRPr="00890650">
                              <w:rPr>
                                <w:rFonts w:asciiTheme="majorHAnsi" w:hAnsiTheme="majorHAnsi" w:cs="Univers"/>
                                <w:color w:val="0D0D0D" w:themeColor="text1" w:themeTint="F2"/>
                                <w:sz w:val="18"/>
                                <w:szCs w:val="20"/>
                                <w:lang w:val="es-ES_tradnl"/>
                              </w:rPr>
                              <w:t>esiones</w:t>
                            </w:r>
                          </w:p>
                          <w:p w:rsidR="00D040E7" w:rsidRPr="007A5817" w:rsidRDefault="00D040E7" w:rsidP="00247403">
                            <w:pPr>
                              <w:tabs>
                                <w:tab w:val="center" w:pos="5400"/>
                              </w:tabs>
                              <w:suppressAutoHyphens/>
                              <w:spacing w:before="60"/>
                              <w:rPr>
                                <w:rFonts w:asciiTheme="minorHAnsi" w:hAnsiTheme="minorHAnsi" w:cs="Univers"/>
                                <w:color w:val="0D0D0D" w:themeColor="text1" w:themeTint="F2"/>
                                <w:sz w:val="20"/>
                                <w:szCs w:val="20"/>
                                <w:lang w:val="es-ES"/>
                              </w:rPr>
                            </w:pPr>
                          </w:p>
                          <w:p w:rsidR="00D040E7" w:rsidRPr="00167A34" w:rsidRDefault="00D040E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040E7" w:rsidRPr="00890650" w:rsidRDefault="001D7748"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00D040E7" w:rsidRPr="00890650">
                        <w:rPr>
                          <w:rFonts w:asciiTheme="majorHAnsi" w:hAnsiTheme="majorHAnsi"/>
                          <w:color w:val="0D0D0D" w:themeColor="text1" w:themeTint="F2"/>
                          <w:sz w:val="18"/>
                          <w:szCs w:val="20"/>
                          <w:lang w:val="es-ES"/>
                        </w:rPr>
                        <w:t>esión N</w:t>
                      </w:r>
                      <w:r w:rsidR="00D040E7">
                        <w:rPr>
                          <w:rFonts w:asciiTheme="majorHAnsi" w:hAnsiTheme="majorHAnsi"/>
                          <w:color w:val="0D0D0D" w:themeColor="text1" w:themeTint="F2"/>
                          <w:sz w:val="18"/>
                          <w:szCs w:val="20"/>
                          <w:lang w:val="es-ES"/>
                        </w:rPr>
                        <w:t>o</w:t>
                      </w:r>
                      <w:r>
                        <w:rPr>
                          <w:rFonts w:asciiTheme="majorHAnsi" w:hAnsiTheme="majorHAnsi"/>
                          <w:color w:val="0D0D0D" w:themeColor="text1" w:themeTint="F2"/>
                          <w:sz w:val="18"/>
                          <w:szCs w:val="20"/>
                          <w:lang w:val="es-ES"/>
                        </w:rPr>
                        <w:t>.</w:t>
                      </w:r>
                      <w:r w:rsidR="006E1986">
                        <w:rPr>
                          <w:rFonts w:asciiTheme="majorHAnsi" w:hAnsiTheme="majorHAnsi"/>
                          <w:color w:val="0D0D0D" w:themeColor="text1" w:themeTint="F2"/>
                          <w:sz w:val="18"/>
                          <w:szCs w:val="20"/>
                          <w:lang w:val="es-ES"/>
                        </w:rPr>
                        <w:t xml:space="preserve"> 2142</w:t>
                      </w:r>
                      <w:r w:rsidR="00D040E7" w:rsidRPr="00890650">
                        <w:rPr>
                          <w:rFonts w:asciiTheme="majorHAnsi" w:hAnsiTheme="majorHAnsi"/>
                          <w:color w:val="0D0D0D" w:themeColor="text1" w:themeTint="F2"/>
                          <w:sz w:val="18"/>
                          <w:szCs w:val="20"/>
                          <w:lang w:val="es-ES"/>
                        </w:rPr>
                        <w:t xml:space="preserve"> c</w:t>
                      </w:r>
                      <w:r w:rsidR="00D040E7">
                        <w:rPr>
                          <w:rFonts w:asciiTheme="majorHAnsi" w:hAnsiTheme="majorHAnsi"/>
                          <w:color w:val="0D0D0D" w:themeColor="text1" w:themeTint="F2"/>
                          <w:sz w:val="18"/>
                          <w:szCs w:val="20"/>
                          <w:lang w:val="es-ES"/>
                        </w:rPr>
                        <w:t xml:space="preserve">elebrada el </w:t>
                      </w:r>
                      <w:r w:rsidR="00626B58">
                        <w:rPr>
                          <w:rFonts w:asciiTheme="majorHAnsi" w:hAnsiTheme="majorHAnsi"/>
                          <w:color w:val="0D0D0D" w:themeColor="text1" w:themeTint="F2"/>
                          <w:sz w:val="18"/>
                          <w:szCs w:val="20"/>
                          <w:lang w:val="es-ES"/>
                        </w:rPr>
                        <w:t>7</w:t>
                      </w:r>
                      <w:r w:rsidR="00D040E7">
                        <w:rPr>
                          <w:rFonts w:asciiTheme="majorHAnsi" w:hAnsiTheme="majorHAnsi"/>
                          <w:color w:val="0D0D0D" w:themeColor="text1" w:themeTint="F2"/>
                          <w:sz w:val="18"/>
                          <w:szCs w:val="20"/>
                          <w:lang w:val="es-ES"/>
                        </w:rPr>
                        <w:t xml:space="preserve"> de </w:t>
                      </w:r>
                      <w:r w:rsidR="00626B58">
                        <w:rPr>
                          <w:rFonts w:asciiTheme="majorHAnsi" w:hAnsiTheme="majorHAnsi"/>
                          <w:color w:val="0D0D0D" w:themeColor="text1" w:themeTint="F2"/>
                          <w:sz w:val="18"/>
                          <w:szCs w:val="20"/>
                          <w:lang w:val="es-ES"/>
                        </w:rPr>
                        <w:t xml:space="preserve">diciembre </w:t>
                      </w:r>
                      <w:r w:rsidR="00D040E7" w:rsidRPr="00890650">
                        <w:rPr>
                          <w:rFonts w:asciiTheme="majorHAnsi" w:hAnsiTheme="majorHAnsi"/>
                          <w:color w:val="0D0D0D" w:themeColor="text1" w:themeTint="F2"/>
                          <w:sz w:val="18"/>
                          <w:szCs w:val="20"/>
                          <w:lang w:val="es-ES"/>
                        </w:rPr>
                        <w:t>de 201</w:t>
                      </w:r>
                      <w:r w:rsidR="00626B58">
                        <w:rPr>
                          <w:rFonts w:asciiTheme="majorHAnsi" w:hAnsiTheme="majorHAnsi"/>
                          <w:color w:val="0D0D0D" w:themeColor="text1" w:themeTint="F2"/>
                          <w:sz w:val="18"/>
                          <w:szCs w:val="20"/>
                          <w:lang w:val="es-ES"/>
                        </w:rPr>
                        <w:t>8</w:t>
                      </w:r>
                      <w:r w:rsidR="00D040E7" w:rsidRPr="00890650">
                        <w:rPr>
                          <w:rFonts w:asciiTheme="majorHAnsi" w:hAnsiTheme="majorHAnsi"/>
                          <w:color w:val="0D0D0D" w:themeColor="text1" w:themeTint="F2"/>
                          <w:sz w:val="18"/>
                          <w:szCs w:val="20"/>
                          <w:lang w:val="es-ES"/>
                        </w:rPr>
                        <w:br/>
                      </w:r>
                      <w:r w:rsidR="00626B58">
                        <w:rPr>
                          <w:rFonts w:asciiTheme="majorHAnsi" w:hAnsiTheme="majorHAnsi" w:cs="Univers"/>
                          <w:color w:val="0D0D0D" w:themeColor="text1" w:themeTint="F2"/>
                          <w:sz w:val="18"/>
                          <w:szCs w:val="20"/>
                          <w:lang w:val="es-ES"/>
                        </w:rPr>
                        <w:t>170</w:t>
                      </w:r>
                      <w:r>
                        <w:rPr>
                          <w:rFonts w:asciiTheme="majorHAnsi" w:hAnsiTheme="majorHAnsi" w:cs="Univers"/>
                          <w:color w:val="0D0D0D" w:themeColor="text1" w:themeTint="F2"/>
                          <w:sz w:val="18"/>
                          <w:szCs w:val="20"/>
                          <w:lang w:val="es-ES_tradnl"/>
                        </w:rPr>
                        <w:t xml:space="preserve"> P</w:t>
                      </w:r>
                      <w:r w:rsidR="00D040E7"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O</w:t>
                      </w:r>
                      <w:r w:rsidR="00D040E7" w:rsidRPr="000D31F6">
                        <w:rPr>
                          <w:rFonts w:asciiTheme="majorHAnsi" w:hAnsiTheme="majorHAnsi" w:cs="Univers"/>
                          <w:color w:val="0D0D0D" w:themeColor="text1" w:themeTint="F2"/>
                          <w:sz w:val="18"/>
                          <w:szCs w:val="20"/>
                          <w:lang w:val="es-ES_tradnl"/>
                        </w:rPr>
                        <w:t>rdinario</w:t>
                      </w:r>
                      <w:r w:rsidR="00D040E7" w:rsidRPr="00890650">
                        <w:rPr>
                          <w:rFonts w:asciiTheme="majorHAnsi" w:hAnsiTheme="majorHAnsi" w:cs="Univers"/>
                          <w:color w:val="0D0D0D" w:themeColor="text1" w:themeTint="F2"/>
                          <w:sz w:val="18"/>
                          <w:szCs w:val="20"/>
                          <w:lang w:val="es-ES_tradnl"/>
                        </w:rPr>
                        <w:t xml:space="preserve"> de </w:t>
                      </w:r>
                      <w:r>
                        <w:rPr>
                          <w:rFonts w:asciiTheme="majorHAnsi" w:hAnsiTheme="majorHAnsi" w:cs="Univers"/>
                          <w:color w:val="0D0D0D" w:themeColor="text1" w:themeTint="F2"/>
                          <w:sz w:val="18"/>
                          <w:szCs w:val="20"/>
                          <w:lang w:val="es-ES_tradnl"/>
                        </w:rPr>
                        <w:t>S</w:t>
                      </w:r>
                      <w:r w:rsidR="00D040E7" w:rsidRPr="00890650">
                        <w:rPr>
                          <w:rFonts w:asciiTheme="majorHAnsi" w:hAnsiTheme="majorHAnsi" w:cs="Univers"/>
                          <w:color w:val="0D0D0D" w:themeColor="text1" w:themeTint="F2"/>
                          <w:sz w:val="18"/>
                          <w:szCs w:val="20"/>
                          <w:lang w:val="es-ES_tradnl"/>
                        </w:rPr>
                        <w:t>esiones</w:t>
                      </w:r>
                    </w:p>
                    <w:p w:rsidR="00D040E7" w:rsidRPr="007A5817" w:rsidRDefault="00D040E7" w:rsidP="00247403">
                      <w:pPr>
                        <w:tabs>
                          <w:tab w:val="center" w:pos="5400"/>
                        </w:tabs>
                        <w:suppressAutoHyphens/>
                        <w:spacing w:before="60"/>
                        <w:rPr>
                          <w:rFonts w:asciiTheme="minorHAnsi" w:hAnsiTheme="minorHAnsi" w:cs="Univers"/>
                          <w:color w:val="0D0D0D" w:themeColor="text1" w:themeTint="F2"/>
                          <w:sz w:val="20"/>
                          <w:szCs w:val="20"/>
                          <w:lang w:val="es-ES"/>
                        </w:rPr>
                      </w:pPr>
                    </w:p>
                    <w:p w:rsidR="00D040E7" w:rsidRPr="00167A34" w:rsidRDefault="00D040E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A50FCF" w:rsidP="000D31F6">
      <w:pPr>
        <w:suppressAutoHyphens/>
        <w:jc w:val="center"/>
        <w:rPr>
          <w:rFonts w:asciiTheme="majorHAnsi" w:hAnsiTheme="majorHAnsi"/>
          <w:sz w:val="20"/>
          <w:szCs w:val="20"/>
          <w:lang w:val="es-ES_tradnl"/>
        </w:rPr>
      </w:pPr>
    </w:p>
    <w:p w:rsidR="00A50FCF" w:rsidRPr="00D73C5B" w:rsidRDefault="0090270B" w:rsidP="000D31F6">
      <w:pPr>
        <w:suppressAutoHyphens/>
        <w:jc w:val="center"/>
        <w:rPr>
          <w:rFonts w:asciiTheme="majorHAnsi" w:hAnsiTheme="majorHAnsi"/>
          <w:sz w:val="20"/>
          <w:szCs w:val="20"/>
          <w:lang w:val="es-ES_tradnl"/>
        </w:rPr>
      </w:pPr>
      <w:r w:rsidRPr="00D73C5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Pr="007C756A" w:rsidRDefault="00D040E7" w:rsidP="00113F73">
                            <w:pPr>
                              <w:spacing w:line="276" w:lineRule="auto"/>
                              <w:rPr>
                                <w:rFonts w:asciiTheme="majorHAnsi" w:hAnsiTheme="majorHAnsi"/>
                                <w:color w:val="595959" w:themeColor="text1" w:themeTint="A6"/>
                                <w:sz w:val="18"/>
                                <w:szCs w:val="18"/>
                                <w:lang w:val="es-US"/>
                              </w:rPr>
                            </w:pPr>
                            <w:r w:rsidRPr="00AC65E8">
                              <w:rPr>
                                <w:rFonts w:asciiTheme="majorHAnsi" w:hAnsiTheme="majorHAnsi"/>
                                <w:b/>
                                <w:color w:val="595959" w:themeColor="text1" w:themeTint="A6"/>
                                <w:sz w:val="18"/>
                                <w:szCs w:val="18"/>
                                <w:lang w:val="pt-BR"/>
                              </w:rPr>
                              <w:t>Citar como:</w:t>
                            </w:r>
                            <w:r w:rsidRPr="00AC65E8">
                              <w:rPr>
                                <w:rFonts w:asciiTheme="majorHAnsi" w:hAnsiTheme="majorHAnsi"/>
                                <w:color w:val="595959" w:themeColor="text1" w:themeTint="A6"/>
                                <w:sz w:val="18"/>
                                <w:szCs w:val="18"/>
                                <w:lang w:val="pt-BR"/>
                              </w:rPr>
                              <w:t xml:space="preserve"> CIDH. Informe No. </w:t>
                            </w:r>
                            <w:r w:rsidR="007809C7">
                              <w:rPr>
                                <w:rFonts w:asciiTheme="majorHAnsi" w:hAnsiTheme="majorHAnsi"/>
                                <w:color w:val="595959" w:themeColor="text1" w:themeTint="A6"/>
                                <w:sz w:val="18"/>
                                <w:szCs w:val="18"/>
                                <w:lang w:val="pt-BR"/>
                              </w:rPr>
                              <w:t>148</w:t>
                            </w:r>
                            <w:r w:rsidRPr="00AC65E8">
                              <w:rPr>
                                <w:rFonts w:asciiTheme="majorHAnsi" w:hAnsiTheme="majorHAnsi"/>
                                <w:color w:val="595959" w:themeColor="text1" w:themeTint="A6"/>
                                <w:sz w:val="18"/>
                                <w:szCs w:val="18"/>
                                <w:lang w:val="pt-BR"/>
                              </w:rPr>
                              <w:t>/</w:t>
                            </w:r>
                            <w:r w:rsidR="007809C7">
                              <w:rPr>
                                <w:rFonts w:asciiTheme="majorHAnsi" w:hAnsiTheme="majorHAnsi"/>
                                <w:color w:val="595959" w:themeColor="text1" w:themeTint="A6"/>
                                <w:sz w:val="18"/>
                                <w:szCs w:val="18"/>
                                <w:lang w:val="pt-BR"/>
                              </w:rPr>
                              <w:t>18</w:t>
                            </w:r>
                            <w:r w:rsidRPr="00AC65E8">
                              <w:rPr>
                                <w:rFonts w:asciiTheme="majorHAnsi" w:hAnsiTheme="majorHAnsi"/>
                                <w:color w:val="595959" w:themeColor="text1" w:themeTint="A6"/>
                                <w:sz w:val="18"/>
                                <w:szCs w:val="18"/>
                                <w:lang w:val="pt-BR"/>
                              </w:rPr>
                              <w:t xml:space="preserve">. Caso 12.997. Fondo. Sandra Cecilia Pavez Pavez.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w:t>
                            </w:r>
                            <w:r w:rsidR="00865653">
                              <w:rPr>
                                <w:rFonts w:asciiTheme="majorHAnsi" w:hAnsiTheme="majorHAnsi"/>
                                <w:color w:val="595959" w:themeColor="text1" w:themeTint="A6"/>
                                <w:sz w:val="18"/>
                                <w:szCs w:val="18"/>
                                <w:lang w:val="es-US"/>
                              </w:rPr>
                              <w:t xml:space="preserve"> </w:t>
                            </w:r>
                            <w:r w:rsidR="007809C7">
                              <w:rPr>
                                <w:rFonts w:asciiTheme="majorHAnsi" w:hAnsiTheme="majorHAnsi"/>
                                <w:color w:val="595959" w:themeColor="text1" w:themeTint="A6"/>
                                <w:sz w:val="18"/>
                                <w:szCs w:val="18"/>
                                <w:lang w:val="es-US"/>
                              </w:rPr>
                              <w:t>7 de diciembre de 2018</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040E7" w:rsidRPr="007C756A" w:rsidRDefault="00D040E7" w:rsidP="00113F73">
                      <w:pPr>
                        <w:spacing w:line="276" w:lineRule="auto"/>
                        <w:rPr>
                          <w:rFonts w:asciiTheme="majorHAnsi" w:hAnsiTheme="majorHAnsi"/>
                          <w:color w:val="595959" w:themeColor="text1" w:themeTint="A6"/>
                          <w:sz w:val="18"/>
                          <w:szCs w:val="18"/>
                          <w:lang w:val="es-US"/>
                        </w:rPr>
                      </w:pPr>
                      <w:r w:rsidRPr="00AC65E8">
                        <w:rPr>
                          <w:rFonts w:asciiTheme="majorHAnsi" w:hAnsiTheme="majorHAnsi"/>
                          <w:b/>
                          <w:color w:val="595959" w:themeColor="text1" w:themeTint="A6"/>
                          <w:sz w:val="18"/>
                          <w:szCs w:val="18"/>
                          <w:lang w:val="pt-BR"/>
                        </w:rPr>
                        <w:t>Citar como:</w:t>
                      </w:r>
                      <w:r w:rsidRPr="00AC65E8">
                        <w:rPr>
                          <w:rFonts w:asciiTheme="majorHAnsi" w:hAnsiTheme="majorHAnsi"/>
                          <w:color w:val="595959" w:themeColor="text1" w:themeTint="A6"/>
                          <w:sz w:val="18"/>
                          <w:szCs w:val="18"/>
                          <w:lang w:val="pt-BR"/>
                        </w:rPr>
                        <w:t xml:space="preserve"> CIDH. Informe No. </w:t>
                      </w:r>
                      <w:r w:rsidR="007809C7">
                        <w:rPr>
                          <w:rFonts w:asciiTheme="majorHAnsi" w:hAnsiTheme="majorHAnsi"/>
                          <w:color w:val="595959" w:themeColor="text1" w:themeTint="A6"/>
                          <w:sz w:val="18"/>
                          <w:szCs w:val="18"/>
                          <w:lang w:val="pt-BR"/>
                        </w:rPr>
                        <w:t>148</w:t>
                      </w:r>
                      <w:r w:rsidRPr="00AC65E8">
                        <w:rPr>
                          <w:rFonts w:asciiTheme="majorHAnsi" w:hAnsiTheme="majorHAnsi"/>
                          <w:color w:val="595959" w:themeColor="text1" w:themeTint="A6"/>
                          <w:sz w:val="18"/>
                          <w:szCs w:val="18"/>
                          <w:lang w:val="pt-BR"/>
                        </w:rPr>
                        <w:t>/</w:t>
                      </w:r>
                      <w:r w:rsidR="007809C7">
                        <w:rPr>
                          <w:rFonts w:asciiTheme="majorHAnsi" w:hAnsiTheme="majorHAnsi"/>
                          <w:color w:val="595959" w:themeColor="text1" w:themeTint="A6"/>
                          <w:sz w:val="18"/>
                          <w:szCs w:val="18"/>
                          <w:lang w:val="pt-BR"/>
                        </w:rPr>
                        <w:t>18</w:t>
                      </w:r>
                      <w:r w:rsidRPr="00AC65E8">
                        <w:rPr>
                          <w:rFonts w:asciiTheme="majorHAnsi" w:hAnsiTheme="majorHAnsi"/>
                          <w:color w:val="595959" w:themeColor="text1" w:themeTint="A6"/>
                          <w:sz w:val="18"/>
                          <w:szCs w:val="18"/>
                          <w:lang w:val="pt-BR"/>
                        </w:rPr>
                        <w:t xml:space="preserve">. Caso 12.997. Fondo. Sandra Cecilia Pavez Pavez.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w:t>
                      </w:r>
                      <w:r w:rsidR="00865653">
                        <w:rPr>
                          <w:rFonts w:asciiTheme="majorHAnsi" w:hAnsiTheme="majorHAnsi"/>
                          <w:color w:val="595959" w:themeColor="text1" w:themeTint="A6"/>
                          <w:sz w:val="18"/>
                          <w:szCs w:val="18"/>
                          <w:lang w:val="es-US"/>
                        </w:rPr>
                        <w:t xml:space="preserve"> </w:t>
                      </w:r>
                      <w:r w:rsidR="007809C7">
                        <w:rPr>
                          <w:rFonts w:asciiTheme="majorHAnsi" w:hAnsiTheme="majorHAnsi"/>
                          <w:color w:val="595959" w:themeColor="text1" w:themeTint="A6"/>
                          <w:sz w:val="18"/>
                          <w:szCs w:val="18"/>
                          <w:lang w:val="es-US"/>
                        </w:rPr>
                        <w:t>7 de diciembre de 2018</w:t>
                      </w:r>
                      <w:r w:rsidRPr="007C756A">
                        <w:rPr>
                          <w:rFonts w:asciiTheme="majorHAnsi" w:hAnsiTheme="majorHAnsi"/>
                          <w:color w:val="595959" w:themeColor="text1" w:themeTint="A6"/>
                          <w:sz w:val="18"/>
                          <w:szCs w:val="18"/>
                          <w:lang w:val="es-US"/>
                        </w:rPr>
                        <w:t>.</w:t>
                      </w:r>
                    </w:p>
                  </w:txbxContent>
                </v:textbox>
              </v:shape>
            </w:pict>
          </mc:Fallback>
        </mc:AlternateContent>
      </w:r>
    </w:p>
    <w:p w:rsidR="00A50FCF" w:rsidRPr="00D73C5B" w:rsidRDefault="00A50FCF" w:rsidP="000D31F6">
      <w:pPr>
        <w:suppressAutoHyphens/>
        <w:jc w:val="center"/>
        <w:rPr>
          <w:rFonts w:asciiTheme="majorHAnsi" w:hAnsiTheme="majorHAnsi"/>
          <w:sz w:val="20"/>
          <w:szCs w:val="20"/>
          <w:lang w:val="es-ES_tradnl"/>
        </w:rPr>
      </w:pPr>
    </w:p>
    <w:p w:rsidR="0090270B" w:rsidRPr="00D73C5B" w:rsidRDefault="00D306D1" w:rsidP="000D31F6">
      <w:pPr>
        <w:suppressAutoHyphens/>
        <w:jc w:val="center"/>
        <w:rPr>
          <w:rFonts w:asciiTheme="majorHAnsi" w:hAnsiTheme="majorHAnsi"/>
          <w:b/>
          <w:sz w:val="20"/>
          <w:szCs w:val="20"/>
          <w:lang w:val="es-ES_tradnl"/>
        </w:rPr>
      </w:pPr>
      <w:r w:rsidRPr="00D73C5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Pr="00D72DC6" w:rsidRDefault="00D040E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040E7" w:rsidRPr="00D72DC6" w:rsidRDefault="00D040E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73C5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0E7" w:rsidRPr="004B7EB6" w:rsidRDefault="00D040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040E7" w:rsidRPr="004B7EB6" w:rsidRDefault="00D040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73C5B" w:rsidRDefault="0070697F" w:rsidP="000D31F6">
      <w:pPr>
        <w:suppressAutoHyphens/>
        <w:jc w:val="center"/>
        <w:rPr>
          <w:rFonts w:asciiTheme="majorHAnsi" w:hAnsiTheme="majorHAnsi"/>
          <w:b/>
          <w:sz w:val="20"/>
          <w:szCs w:val="20"/>
          <w:lang w:val="es-ES_tradnl"/>
        </w:rPr>
        <w:sectPr w:rsidR="0070697F" w:rsidRPr="00D73C5B"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AF4700" w:rsidRDefault="007C756A" w:rsidP="000D31F6">
      <w:pPr>
        <w:suppressAutoHyphens/>
        <w:jc w:val="center"/>
        <w:rPr>
          <w:rFonts w:asciiTheme="majorHAnsi" w:hAnsiTheme="majorHAnsi"/>
          <w:b/>
          <w:sz w:val="18"/>
          <w:szCs w:val="20"/>
          <w:lang w:val="pt-BR"/>
        </w:rPr>
      </w:pPr>
      <w:r w:rsidRPr="00AF4700">
        <w:rPr>
          <w:rFonts w:asciiTheme="majorHAnsi" w:hAnsiTheme="majorHAnsi"/>
          <w:b/>
          <w:sz w:val="18"/>
          <w:szCs w:val="20"/>
          <w:lang w:val="pt-BR"/>
        </w:rPr>
        <w:lastRenderedPageBreak/>
        <w:t xml:space="preserve">INFORME No. </w:t>
      </w:r>
      <w:r w:rsidR="006C0622">
        <w:rPr>
          <w:rFonts w:asciiTheme="majorHAnsi" w:hAnsiTheme="majorHAnsi"/>
          <w:b/>
          <w:sz w:val="18"/>
          <w:szCs w:val="20"/>
          <w:lang w:val="pt-BR"/>
        </w:rPr>
        <w:t>148</w:t>
      </w:r>
      <w:r w:rsidRPr="00AF4700">
        <w:rPr>
          <w:rFonts w:asciiTheme="majorHAnsi" w:hAnsiTheme="majorHAnsi"/>
          <w:b/>
          <w:sz w:val="18"/>
          <w:szCs w:val="20"/>
          <w:lang w:val="pt-BR"/>
        </w:rPr>
        <w:t>/</w:t>
      </w:r>
      <w:r w:rsidR="006C0622">
        <w:rPr>
          <w:rFonts w:asciiTheme="majorHAnsi" w:hAnsiTheme="majorHAnsi"/>
          <w:b/>
          <w:sz w:val="18"/>
          <w:szCs w:val="20"/>
          <w:lang w:val="pt-BR"/>
        </w:rPr>
        <w:t>18</w:t>
      </w:r>
    </w:p>
    <w:p w:rsidR="00722C9F" w:rsidRPr="00AF4700" w:rsidRDefault="004B0D2C" w:rsidP="000D31F6">
      <w:pPr>
        <w:suppressAutoHyphens/>
        <w:jc w:val="center"/>
        <w:rPr>
          <w:rFonts w:asciiTheme="majorHAnsi" w:hAnsiTheme="majorHAnsi"/>
          <w:b/>
          <w:sz w:val="18"/>
          <w:szCs w:val="20"/>
          <w:lang w:val="pt-BR"/>
        </w:rPr>
      </w:pPr>
      <w:r w:rsidRPr="00AF4700">
        <w:rPr>
          <w:rFonts w:asciiTheme="majorHAnsi" w:hAnsiTheme="majorHAnsi"/>
          <w:b/>
          <w:sz w:val="18"/>
          <w:szCs w:val="20"/>
          <w:lang w:val="pt-BR"/>
        </w:rPr>
        <w:t>CASO 12.997</w:t>
      </w:r>
    </w:p>
    <w:p w:rsidR="00722C9F" w:rsidRPr="00AF4700" w:rsidRDefault="00F805FB" w:rsidP="000D31F6">
      <w:pPr>
        <w:suppressAutoHyphens/>
        <w:jc w:val="center"/>
        <w:rPr>
          <w:rFonts w:asciiTheme="majorHAnsi" w:hAnsiTheme="majorHAnsi"/>
          <w:sz w:val="18"/>
          <w:szCs w:val="20"/>
          <w:lang w:val="pt-BR"/>
        </w:rPr>
      </w:pPr>
      <w:r w:rsidRPr="00AF4700">
        <w:rPr>
          <w:rFonts w:asciiTheme="majorHAnsi" w:hAnsiTheme="majorHAnsi"/>
          <w:sz w:val="18"/>
          <w:szCs w:val="20"/>
          <w:lang w:val="pt-BR"/>
        </w:rPr>
        <w:t>FONDO</w:t>
      </w:r>
    </w:p>
    <w:p w:rsidR="00722C9F" w:rsidRPr="00AF4700" w:rsidRDefault="004B0D2C" w:rsidP="000D31F6">
      <w:pPr>
        <w:suppressAutoHyphens/>
        <w:jc w:val="center"/>
        <w:rPr>
          <w:rFonts w:asciiTheme="majorHAnsi" w:hAnsiTheme="majorHAnsi"/>
          <w:sz w:val="18"/>
          <w:szCs w:val="20"/>
          <w:lang w:val="pt-BR"/>
        </w:rPr>
      </w:pPr>
      <w:r w:rsidRPr="00AF4700">
        <w:rPr>
          <w:rFonts w:asciiTheme="majorHAnsi" w:hAnsiTheme="majorHAnsi"/>
          <w:sz w:val="18"/>
          <w:szCs w:val="20"/>
          <w:lang w:val="pt-BR"/>
        </w:rPr>
        <w:t>SANDRA CECILIA PAVEZ PAVEZ</w:t>
      </w:r>
    </w:p>
    <w:p w:rsidR="0070697F" w:rsidRPr="00AF4700" w:rsidRDefault="00035494" w:rsidP="000D31F6">
      <w:pPr>
        <w:suppressAutoHyphens/>
        <w:jc w:val="center"/>
        <w:rPr>
          <w:rFonts w:asciiTheme="majorHAnsi" w:hAnsiTheme="majorHAnsi"/>
          <w:sz w:val="18"/>
          <w:szCs w:val="20"/>
          <w:lang w:val="es-ES_tradnl"/>
        </w:rPr>
      </w:pPr>
      <w:r w:rsidRPr="00AF4700">
        <w:rPr>
          <w:rFonts w:asciiTheme="majorHAnsi" w:hAnsiTheme="majorHAnsi"/>
          <w:sz w:val="18"/>
          <w:szCs w:val="20"/>
          <w:lang w:val="es-ES_tradnl"/>
        </w:rPr>
        <w:t>CHILE</w:t>
      </w:r>
    </w:p>
    <w:p w:rsidR="00722C9F" w:rsidRPr="00AF4700" w:rsidRDefault="001E43C7" w:rsidP="000D31F6">
      <w:pPr>
        <w:suppressAutoHyphens/>
        <w:jc w:val="center"/>
        <w:rPr>
          <w:rFonts w:asciiTheme="majorHAnsi" w:hAnsiTheme="majorHAnsi"/>
          <w:sz w:val="18"/>
          <w:szCs w:val="20"/>
          <w:lang w:val="es-ES_tradnl"/>
        </w:rPr>
      </w:pPr>
      <w:r>
        <w:rPr>
          <w:rFonts w:asciiTheme="majorHAnsi" w:hAnsiTheme="majorHAnsi"/>
          <w:sz w:val="18"/>
          <w:szCs w:val="20"/>
          <w:lang w:val="es-ES_tradnl"/>
        </w:rPr>
        <w:t>7 de diciembre de 2018</w:t>
      </w:r>
    </w:p>
    <w:p w:rsidR="00722C9F" w:rsidRPr="00D73C5B" w:rsidRDefault="00722C9F" w:rsidP="000D31F6">
      <w:pPr>
        <w:suppressAutoHyphens/>
        <w:jc w:val="center"/>
        <w:rPr>
          <w:rFonts w:asciiTheme="majorHAnsi" w:hAnsiTheme="majorHAnsi"/>
          <w:sz w:val="20"/>
          <w:szCs w:val="20"/>
          <w:lang w:val="es-ES_tradnl"/>
        </w:rPr>
      </w:pPr>
    </w:p>
    <w:p w:rsidR="00722C9F" w:rsidRPr="00D73C5B" w:rsidRDefault="00722C9F" w:rsidP="000D31F6">
      <w:pPr>
        <w:suppressAutoHyphens/>
        <w:jc w:val="center"/>
        <w:rPr>
          <w:rFonts w:asciiTheme="majorHAnsi" w:hAnsiTheme="majorHAnsi"/>
          <w:b/>
          <w:sz w:val="20"/>
          <w:szCs w:val="20"/>
          <w:lang w:val="es-ES_tradnl"/>
        </w:rPr>
      </w:pPr>
      <w:r w:rsidRPr="00D73C5B">
        <w:rPr>
          <w:rFonts w:asciiTheme="majorHAnsi" w:hAnsiTheme="majorHAnsi"/>
          <w:b/>
          <w:sz w:val="20"/>
          <w:szCs w:val="20"/>
          <w:lang w:val="es-ES_tradnl"/>
        </w:rPr>
        <w:t>ÍNDICE</w:t>
      </w:r>
    </w:p>
    <w:p w:rsidR="008D768D" w:rsidRPr="00D73C5B" w:rsidRDefault="008D768D" w:rsidP="000D31F6">
      <w:pPr>
        <w:suppressAutoHyphens/>
        <w:rPr>
          <w:rFonts w:asciiTheme="majorHAnsi" w:hAnsiTheme="majorHAnsi"/>
          <w:sz w:val="20"/>
          <w:szCs w:val="20"/>
          <w:lang w:val="es-ES_tradnl"/>
        </w:rPr>
      </w:pPr>
    </w:p>
    <w:p w:rsidR="00E909AA" w:rsidRPr="00D73C5B" w:rsidRDefault="00E909AA" w:rsidP="000D31F6">
      <w:pPr>
        <w:suppressAutoHyphens/>
        <w:rPr>
          <w:rFonts w:asciiTheme="majorHAnsi" w:hAnsiTheme="majorHAnsi"/>
          <w:b/>
          <w:sz w:val="20"/>
          <w:szCs w:val="20"/>
          <w:lang w:val="es-ES_tradnl"/>
        </w:rPr>
      </w:pPr>
    </w:p>
    <w:p w:rsidR="00AF4700" w:rsidRPr="00AF4700" w:rsidRDefault="00AF4700" w:rsidP="00AF470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AF4700">
        <w:rPr>
          <w:rFonts w:asciiTheme="majorHAnsi" w:hAnsiTheme="majorHAnsi"/>
          <w:b/>
          <w:sz w:val="20"/>
          <w:szCs w:val="20"/>
          <w:lang w:val="es-ES_tradnl"/>
        </w:rPr>
        <w:fldChar w:fldCharType="begin"/>
      </w:r>
      <w:r w:rsidRPr="00AF4700">
        <w:rPr>
          <w:rFonts w:asciiTheme="majorHAnsi" w:hAnsiTheme="majorHAnsi"/>
          <w:b/>
          <w:sz w:val="20"/>
          <w:szCs w:val="20"/>
          <w:lang w:val="es-ES_tradnl"/>
        </w:rPr>
        <w:instrText xml:space="preserve"> TOC \o "1-4" \h \z \u </w:instrText>
      </w:r>
      <w:r w:rsidRPr="00AF4700">
        <w:rPr>
          <w:rFonts w:asciiTheme="majorHAnsi" w:hAnsiTheme="majorHAnsi"/>
          <w:b/>
          <w:sz w:val="20"/>
          <w:szCs w:val="20"/>
          <w:lang w:val="es-ES_tradnl"/>
        </w:rPr>
        <w:fldChar w:fldCharType="separate"/>
      </w:r>
      <w:hyperlink w:anchor="_Toc531327088" w:history="1">
        <w:r w:rsidRPr="00AF4700">
          <w:rPr>
            <w:rStyle w:val="Hyperlink"/>
            <w:rFonts w:asciiTheme="majorHAnsi" w:hAnsiTheme="majorHAnsi"/>
            <w:noProof/>
            <w:sz w:val="20"/>
            <w:szCs w:val="20"/>
          </w:rPr>
          <w:t>I.</w:t>
        </w:r>
        <w:r w:rsidRPr="00AF4700">
          <w:rPr>
            <w:rFonts w:asciiTheme="majorHAnsi" w:eastAsiaTheme="minorEastAsia" w:hAnsiTheme="majorHAnsi" w:cstheme="minorBidi"/>
            <w:noProof/>
            <w:sz w:val="20"/>
            <w:szCs w:val="20"/>
            <w:bdr w:val="none" w:sz="0" w:space="0" w:color="auto"/>
          </w:rPr>
          <w:tab/>
        </w:r>
        <w:r w:rsidRPr="00AF4700">
          <w:rPr>
            <w:rStyle w:val="Hyperlink"/>
            <w:rFonts w:asciiTheme="majorHAnsi" w:hAnsiTheme="majorHAnsi"/>
            <w:noProof/>
            <w:sz w:val="20"/>
            <w:szCs w:val="20"/>
          </w:rPr>
          <w:t>RESUMEN</w:t>
        </w:r>
        <w:r w:rsidRPr="00AF4700">
          <w:rPr>
            <w:rFonts w:asciiTheme="majorHAnsi" w:hAnsiTheme="majorHAnsi"/>
            <w:noProof/>
            <w:webHidden/>
            <w:sz w:val="20"/>
            <w:szCs w:val="20"/>
          </w:rPr>
          <w:tab/>
        </w:r>
        <w:r w:rsidRPr="00AF4700">
          <w:rPr>
            <w:rFonts w:asciiTheme="majorHAnsi" w:hAnsiTheme="majorHAnsi"/>
            <w:noProof/>
            <w:webHidden/>
            <w:sz w:val="20"/>
            <w:szCs w:val="20"/>
          </w:rPr>
          <w:fldChar w:fldCharType="begin"/>
        </w:r>
        <w:r w:rsidRPr="00AF4700">
          <w:rPr>
            <w:rFonts w:asciiTheme="majorHAnsi" w:hAnsiTheme="majorHAnsi"/>
            <w:noProof/>
            <w:webHidden/>
            <w:sz w:val="20"/>
            <w:szCs w:val="20"/>
          </w:rPr>
          <w:instrText xml:space="preserve"> PAGEREF _Toc531327088 \h </w:instrText>
        </w:r>
        <w:r w:rsidRPr="00AF4700">
          <w:rPr>
            <w:rFonts w:asciiTheme="majorHAnsi" w:hAnsiTheme="majorHAnsi"/>
            <w:noProof/>
            <w:webHidden/>
            <w:sz w:val="20"/>
            <w:szCs w:val="20"/>
          </w:rPr>
        </w:r>
        <w:r w:rsidRPr="00AF4700">
          <w:rPr>
            <w:rFonts w:asciiTheme="majorHAnsi" w:hAnsiTheme="majorHAnsi"/>
            <w:noProof/>
            <w:webHidden/>
            <w:sz w:val="20"/>
            <w:szCs w:val="20"/>
          </w:rPr>
          <w:fldChar w:fldCharType="separate"/>
        </w:r>
        <w:r w:rsidR="00D73767">
          <w:rPr>
            <w:rFonts w:asciiTheme="majorHAnsi" w:hAnsiTheme="majorHAnsi"/>
            <w:noProof/>
            <w:webHidden/>
            <w:sz w:val="20"/>
            <w:szCs w:val="20"/>
          </w:rPr>
          <w:t>2</w:t>
        </w:r>
        <w:r w:rsidRPr="00AF4700">
          <w:rPr>
            <w:rFonts w:asciiTheme="majorHAnsi" w:hAnsiTheme="majorHAnsi"/>
            <w:noProof/>
            <w:webHidden/>
            <w:sz w:val="20"/>
            <w:szCs w:val="20"/>
          </w:rPr>
          <w:fldChar w:fldCharType="end"/>
        </w:r>
      </w:hyperlink>
    </w:p>
    <w:p w:rsidR="00AF4700" w:rsidRPr="00AF4700" w:rsidRDefault="00D73767" w:rsidP="00AF470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1327089" w:history="1">
        <w:r w:rsidR="00AF4700" w:rsidRPr="00AF4700">
          <w:rPr>
            <w:rStyle w:val="Hyperlink"/>
            <w:rFonts w:asciiTheme="majorHAnsi" w:hAnsiTheme="majorHAnsi"/>
            <w:noProof/>
            <w:sz w:val="20"/>
            <w:szCs w:val="20"/>
          </w:rPr>
          <w:t>II.</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ALEGATOS DE LAS PARTES</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_Toc531327089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3</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0" w:history="1">
        <w:r w:rsidR="00AF4700" w:rsidRPr="00AF4700">
          <w:rPr>
            <w:rStyle w:val="Hyperlink"/>
            <w:rFonts w:asciiTheme="majorHAnsi" w:hAnsiTheme="majorHAnsi"/>
            <w:noProof/>
            <w:sz w:val="20"/>
            <w:szCs w:val="20"/>
          </w:rPr>
          <w:t>A.</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Parte peticionaria</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_Toc531327090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3</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1" w:history="1">
        <w:r w:rsidR="00AF4700" w:rsidRPr="00AF4700">
          <w:rPr>
            <w:rStyle w:val="Hyperlink"/>
            <w:rFonts w:asciiTheme="majorHAnsi" w:hAnsiTheme="majorHAnsi"/>
            <w:noProof/>
            <w:sz w:val="20"/>
            <w:szCs w:val="20"/>
          </w:rPr>
          <w:t>B.</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Estado</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_Toc531327091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4</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1327092" w:history="1">
        <w:r w:rsidR="00AF4700" w:rsidRPr="00AF4700">
          <w:rPr>
            <w:rStyle w:val="Hyperlink"/>
            <w:rFonts w:asciiTheme="majorHAnsi" w:hAnsiTheme="majorHAnsi"/>
            <w:noProof/>
            <w:sz w:val="20"/>
            <w:szCs w:val="20"/>
          </w:rPr>
          <w:t>III.</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DETERMINACIONES DE HECHO</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_Toc531327092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5</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3" w:history="1">
        <w:r w:rsidR="00AF4700" w:rsidRPr="00AF4700">
          <w:rPr>
            <w:rStyle w:val="Hyperlink"/>
            <w:rFonts w:asciiTheme="majorHAnsi" w:hAnsiTheme="majorHAnsi"/>
            <w:noProof/>
            <w:sz w:val="20"/>
            <w:szCs w:val="20"/>
          </w:rPr>
          <w:t>A.</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Marco normativo relevante</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_Toc531327093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5</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4" w:history="1">
        <w:r w:rsidR="00AF4700" w:rsidRPr="00AF4700">
          <w:rPr>
            <w:rStyle w:val="Hyperlink"/>
            <w:rFonts w:asciiTheme="majorHAnsi" w:hAnsiTheme="majorHAnsi"/>
            <w:noProof/>
            <w:sz w:val="20"/>
            <w:szCs w:val="20"/>
          </w:rPr>
          <w:t>B.</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Hechos del caso</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_Toc531327094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5</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5" w:history="1">
        <w:r w:rsidR="00AF4700" w:rsidRPr="00AF4700">
          <w:rPr>
            <w:rStyle w:val="Hyperlink"/>
            <w:rFonts w:asciiTheme="majorHAnsi" w:hAnsiTheme="majorHAnsi"/>
            <w:noProof/>
            <w:sz w:val="20"/>
            <w:szCs w:val="20"/>
          </w:rPr>
          <w:t>C.</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Procesos internos</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_Toc531327095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6</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6" w:history="1">
        <w:r w:rsidR="00AF4700" w:rsidRPr="00AF4700">
          <w:rPr>
            <w:rStyle w:val="Hyperlink"/>
            <w:rFonts w:asciiTheme="majorHAnsi" w:hAnsiTheme="majorHAnsi"/>
            <w:noProof/>
            <w:sz w:val="20"/>
            <w:szCs w:val="20"/>
          </w:rPr>
          <w:t>D.</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Información sobre afectación a la presunta víctima</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_Toc531327096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7</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1327097" w:history="1">
        <w:r w:rsidR="00AF4700" w:rsidRPr="00AF4700">
          <w:rPr>
            <w:rStyle w:val="Hyperlink"/>
            <w:rFonts w:asciiTheme="majorHAnsi" w:hAnsiTheme="majorHAnsi"/>
            <w:noProof/>
            <w:sz w:val="20"/>
            <w:szCs w:val="20"/>
          </w:rPr>
          <w:t>IV.</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ANÁLISIS DE DERECHO</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_Toc531327097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8</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2"/>
        <w:tabs>
          <w:tab w:val="left" w:pos="720"/>
        </w:tabs>
        <w:rPr>
          <w:rFonts w:asciiTheme="majorHAnsi" w:eastAsiaTheme="minorEastAsia" w:hAnsiTheme="majorHAnsi" w:cstheme="minorBidi"/>
          <w:noProof/>
          <w:sz w:val="20"/>
          <w:szCs w:val="20"/>
          <w:bdr w:val="none" w:sz="0" w:space="0" w:color="auto"/>
        </w:rPr>
      </w:pPr>
      <w:hyperlink w:anchor="_Toc531327098" w:history="1">
        <w:r w:rsidR="00AF4700" w:rsidRPr="00AF4700">
          <w:rPr>
            <w:rStyle w:val="Hyperlink"/>
            <w:rFonts w:asciiTheme="majorHAnsi" w:hAnsiTheme="majorHAnsi"/>
            <w:noProof/>
            <w:sz w:val="20"/>
            <w:szCs w:val="20"/>
          </w:rPr>
          <w:t>A.</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Derechos a las garantías judiciales, vida privada y autonomía, acceso a la función pública en condiciones de igualdad, igualdad y no discriminación, protección judicial y al trabajo (Artículos 8.1, 11.2, 23.1 c), 24, 25 y 26 en relación con los artículos 1.1 y 2 de la Convención Americana)</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_Toc531327098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8</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1327099" w:history="1">
        <w:r w:rsidR="00AF4700" w:rsidRPr="00AF4700">
          <w:rPr>
            <w:rStyle w:val="Hyperlink"/>
            <w:rFonts w:asciiTheme="majorHAnsi" w:hAnsiTheme="majorHAnsi"/>
            <w:noProof/>
            <w:sz w:val="20"/>
            <w:szCs w:val="20"/>
          </w:rPr>
          <w:t>1.</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Consideraciones sobre el principio de igualdad y no discriminación, el derecho a la vida privada y autonomía y la orientación sexual</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_Toc531327099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8</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1327100" w:history="1">
        <w:r w:rsidR="00AF4700" w:rsidRPr="00AF4700">
          <w:rPr>
            <w:rStyle w:val="Hyperlink"/>
            <w:rFonts w:asciiTheme="majorHAnsi" w:hAnsiTheme="majorHAnsi"/>
            <w:noProof/>
            <w:sz w:val="20"/>
            <w:szCs w:val="20"/>
          </w:rPr>
          <w:t>2.</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Consideraciones sobre el derecho de acceso a la función pública en condiciones de igualdad y el derecho al trabajo</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_Toc531327100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10</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1327101" w:history="1">
        <w:r w:rsidR="00AF4700" w:rsidRPr="00AF4700">
          <w:rPr>
            <w:rStyle w:val="Hyperlink"/>
            <w:rFonts w:asciiTheme="majorHAnsi" w:hAnsiTheme="majorHAnsi"/>
            <w:noProof/>
            <w:sz w:val="20"/>
            <w:szCs w:val="20"/>
          </w:rPr>
          <w:t>3.</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Consideraciones sobre el derecho a contar con decisiones motivadas y el derecho a la protección judicial</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_Toc531327101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12</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1327102" w:history="1">
        <w:r w:rsidR="00AF4700" w:rsidRPr="00AF4700">
          <w:rPr>
            <w:rStyle w:val="Hyperlink"/>
            <w:rFonts w:asciiTheme="majorHAnsi" w:hAnsiTheme="majorHAnsi"/>
            <w:noProof/>
            <w:sz w:val="20"/>
            <w:szCs w:val="20"/>
          </w:rPr>
          <w:t>4.</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Análisis del caso</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_Toc531327102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13</w:t>
        </w:r>
        <w:r w:rsidR="00AF4700" w:rsidRPr="00AF4700">
          <w:rPr>
            <w:rFonts w:asciiTheme="majorHAnsi" w:hAnsiTheme="majorHAnsi"/>
            <w:noProof/>
            <w:webHidden/>
            <w:sz w:val="20"/>
            <w:szCs w:val="20"/>
          </w:rPr>
          <w:fldChar w:fldCharType="end"/>
        </w:r>
      </w:hyperlink>
    </w:p>
    <w:p w:rsidR="00AF4700" w:rsidRPr="00AF4700" w:rsidRDefault="00D73767" w:rsidP="00AF4700">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1327103" w:history="1">
        <w:r w:rsidR="00AF4700" w:rsidRPr="00AF4700">
          <w:rPr>
            <w:rStyle w:val="Hyperlink"/>
            <w:rFonts w:asciiTheme="majorHAnsi" w:hAnsiTheme="majorHAnsi"/>
            <w:noProof/>
            <w:sz w:val="20"/>
            <w:szCs w:val="20"/>
          </w:rPr>
          <w:t>V.</w:t>
        </w:r>
        <w:r w:rsidR="00AF4700" w:rsidRPr="00AF4700">
          <w:rPr>
            <w:rFonts w:asciiTheme="majorHAnsi" w:eastAsiaTheme="minorEastAsia" w:hAnsiTheme="majorHAnsi" w:cstheme="minorBidi"/>
            <w:noProof/>
            <w:sz w:val="20"/>
            <w:szCs w:val="20"/>
            <w:bdr w:val="none" w:sz="0" w:space="0" w:color="auto"/>
          </w:rPr>
          <w:tab/>
        </w:r>
        <w:r w:rsidR="00AF4700" w:rsidRPr="00AF4700">
          <w:rPr>
            <w:rStyle w:val="Hyperlink"/>
            <w:rFonts w:asciiTheme="majorHAnsi" w:hAnsiTheme="majorHAnsi"/>
            <w:noProof/>
            <w:sz w:val="20"/>
            <w:szCs w:val="20"/>
          </w:rPr>
          <w:t>CONCLUSIONES Y RECOMENDACIONES</w:t>
        </w:r>
        <w:r w:rsidR="00AF4700" w:rsidRPr="00AF4700">
          <w:rPr>
            <w:rFonts w:asciiTheme="majorHAnsi" w:hAnsiTheme="majorHAnsi"/>
            <w:noProof/>
            <w:webHidden/>
            <w:sz w:val="20"/>
            <w:szCs w:val="20"/>
          </w:rPr>
          <w:tab/>
        </w:r>
        <w:r w:rsidR="00AF4700" w:rsidRPr="00AF4700">
          <w:rPr>
            <w:rFonts w:asciiTheme="majorHAnsi" w:hAnsiTheme="majorHAnsi"/>
            <w:noProof/>
            <w:webHidden/>
            <w:sz w:val="20"/>
            <w:szCs w:val="20"/>
          </w:rPr>
          <w:fldChar w:fldCharType="begin"/>
        </w:r>
        <w:r w:rsidR="00AF4700" w:rsidRPr="00AF4700">
          <w:rPr>
            <w:rFonts w:asciiTheme="majorHAnsi" w:hAnsiTheme="majorHAnsi"/>
            <w:noProof/>
            <w:webHidden/>
            <w:sz w:val="20"/>
            <w:szCs w:val="20"/>
          </w:rPr>
          <w:instrText xml:space="preserve"> PAGEREF _Toc531327103 \h </w:instrText>
        </w:r>
        <w:r w:rsidR="00AF4700" w:rsidRPr="00AF4700">
          <w:rPr>
            <w:rFonts w:asciiTheme="majorHAnsi" w:hAnsiTheme="majorHAnsi"/>
            <w:noProof/>
            <w:webHidden/>
            <w:sz w:val="20"/>
            <w:szCs w:val="20"/>
          </w:rPr>
        </w:r>
        <w:r w:rsidR="00AF4700" w:rsidRPr="00AF4700">
          <w:rPr>
            <w:rFonts w:asciiTheme="majorHAnsi" w:hAnsiTheme="majorHAnsi"/>
            <w:noProof/>
            <w:webHidden/>
            <w:sz w:val="20"/>
            <w:szCs w:val="20"/>
          </w:rPr>
          <w:fldChar w:fldCharType="separate"/>
        </w:r>
        <w:r>
          <w:rPr>
            <w:rFonts w:asciiTheme="majorHAnsi" w:hAnsiTheme="majorHAnsi"/>
            <w:noProof/>
            <w:webHidden/>
            <w:sz w:val="20"/>
            <w:szCs w:val="20"/>
          </w:rPr>
          <w:t>16</w:t>
        </w:r>
        <w:r w:rsidR="00AF4700" w:rsidRPr="00AF4700">
          <w:rPr>
            <w:rFonts w:asciiTheme="majorHAnsi" w:hAnsiTheme="majorHAnsi"/>
            <w:noProof/>
            <w:webHidden/>
            <w:sz w:val="20"/>
            <w:szCs w:val="20"/>
          </w:rPr>
          <w:fldChar w:fldCharType="end"/>
        </w:r>
      </w:hyperlink>
    </w:p>
    <w:p w:rsidR="008D768D" w:rsidRPr="00AF4700" w:rsidRDefault="00AF4700" w:rsidP="00AF4700">
      <w:pPr>
        <w:tabs>
          <w:tab w:val="left" w:pos="720"/>
        </w:tabs>
        <w:suppressAutoHyphens/>
        <w:rPr>
          <w:rFonts w:asciiTheme="majorHAnsi" w:hAnsiTheme="majorHAnsi"/>
          <w:sz w:val="20"/>
          <w:szCs w:val="20"/>
          <w:lang w:val="es-ES_tradnl"/>
        </w:rPr>
      </w:pPr>
      <w:r w:rsidRPr="00AF4700">
        <w:rPr>
          <w:rFonts w:asciiTheme="majorHAnsi" w:hAnsiTheme="majorHAnsi"/>
          <w:b/>
          <w:sz w:val="20"/>
          <w:szCs w:val="20"/>
          <w:lang w:val="es-ES_tradnl"/>
        </w:rPr>
        <w:fldChar w:fldCharType="end"/>
      </w:r>
    </w:p>
    <w:p w:rsidR="00722C9F" w:rsidRPr="00AF4700" w:rsidRDefault="00722C9F" w:rsidP="00AF4700">
      <w:pPr>
        <w:tabs>
          <w:tab w:val="left" w:pos="720"/>
        </w:tabs>
        <w:rPr>
          <w:rFonts w:asciiTheme="majorHAnsi" w:hAnsiTheme="majorHAnsi" w:cs="Calibri"/>
          <w:sz w:val="20"/>
          <w:szCs w:val="20"/>
          <w:lang w:val="es-ES"/>
        </w:rPr>
      </w:pPr>
      <w:r w:rsidRPr="00AF4700">
        <w:rPr>
          <w:rFonts w:asciiTheme="majorHAnsi" w:hAnsiTheme="majorHAnsi" w:cs="Calibri"/>
          <w:sz w:val="20"/>
          <w:szCs w:val="20"/>
          <w:lang w:val="es-ES"/>
        </w:rPr>
        <w:br w:type="page"/>
      </w:r>
    </w:p>
    <w:p w:rsidR="00722C9F" w:rsidRPr="000D31F6" w:rsidRDefault="007C756A" w:rsidP="000D31F6">
      <w:pPr>
        <w:suppressAutoHyphens/>
        <w:jc w:val="center"/>
        <w:rPr>
          <w:rFonts w:asciiTheme="majorHAnsi" w:hAnsiTheme="majorHAnsi"/>
          <w:b/>
          <w:sz w:val="18"/>
          <w:szCs w:val="20"/>
          <w:lang w:val="pt-BR"/>
        </w:rPr>
      </w:pPr>
      <w:r w:rsidRPr="001D7748">
        <w:rPr>
          <w:rFonts w:asciiTheme="majorHAnsi" w:hAnsiTheme="majorHAnsi"/>
          <w:b/>
          <w:sz w:val="18"/>
          <w:szCs w:val="20"/>
          <w:lang w:val="pt-BR"/>
        </w:rPr>
        <w:lastRenderedPageBreak/>
        <w:t xml:space="preserve">INFORME No. </w:t>
      </w:r>
      <w:r w:rsidR="005A7F45">
        <w:rPr>
          <w:rFonts w:asciiTheme="majorHAnsi" w:hAnsiTheme="majorHAnsi"/>
          <w:b/>
          <w:sz w:val="18"/>
          <w:szCs w:val="20"/>
          <w:lang w:val="pt-BR"/>
        </w:rPr>
        <w:t>148</w:t>
      </w:r>
      <w:r w:rsidRPr="000D31F6">
        <w:rPr>
          <w:rFonts w:asciiTheme="majorHAnsi" w:hAnsiTheme="majorHAnsi"/>
          <w:b/>
          <w:sz w:val="18"/>
          <w:szCs w:val="20"/>
          <w:lang w:val="pt-BR"/>
        </w:rPr>
        <w:t>/</w:t>
      </w:r>
      <w:r w:rsidR="000D31F6" w:rsidRPr="000D31F6">
        <w:rPr>
          <w:rFonts w:asciiTheme="majorHAnsi" w:hAnsiTheme="majorHAnsi"/>
          <w:b/>
          <w:sz w:val="18"/>
          <w:szCs w:val="20"/>
          <w:lang w:val="pt-BR"/>
        </w:rPr>
        <w:t>18</w:t>
      </w:r>
    </w:p>
    <w:p w:rsidR="00722C9F" w:rsidRPr="000D31F6" w:rsidRDefault="004B0D2C" w:rsidP="000D31F6">
      <w:pPr>
        <w:suppressAutoHyphens/>
        <w:jc w:val="center"/>
        <w:rPr>
          <w:rFonts w:asciiTheme="majorHAnsi" w:hAnsiTheme="majorHAnsi"/>
          <w:b/>
          <w:sz w:val="18"/>
          <w:szCs w:val="20"/>
          <w:lang w:val="pt-BR"/>
        </w:rPr>
      </w:pPr>
      <w:r w:rsidRPr="000D31F6">
        <w:rPr>
          <w:rFonts w:asciiTheme="majorHAnsi" w:hAnsiTheme="majorHAnsi"/>
          <w:b/>
          <w:sz w:val="18"/>
          <w:szCs w:val="20"/>
          <w:lang w:val="pt-BR"/>
        </w:rPr>
        <w:t>CASO 12.997</w:t>
      </w:r>
    </w:p>
    <w:p w:rsidR="00722C9F" w:rsidRPr="000D31F6" w:rsidRDefault="007C756A" w:rsidP="000D31F6">
      <w:pPr>
        <w:suppressAutoHyphens/>
        <w:jc w:val="center"/>
        <w:rPr>
          <w:rFonts w:asciiTheme="majorHAnsi" w:hAnsiTheme="majorHAnsi"/>
          <w:sz w:val="18"/>
          <w:szCs w:val="20"/>
          <w:lang w:val="pt-BR"/>
        </w:rPr>
      </w:pPr>
      <w:r w:rsidRPr="000D31F6">
        <w:rPr>
          <w:rFonts w:asciiTheme="majorHAnsi" w:hAnsiTheme="majorHAnsi"/>
          <w:sz w:val="18"/>
          <w:szCs w:val="20"/>
          <w:lang w:val="pt-BR"/>
        </w:rPr>
        <w:t>FONDO</w:t>
      </w:r>
    </w:p>
    <w:p w:rsidR="00722C9F" w:rsidRPr="000D31F6" w:rsidRDefault="004B0D2C" w:rsidP="000D31F6">
      <w:pPr>
        <w:suppressAutoHyphens/>
        <w:jc w:val="center"/>
        <w:rPr>
          <w:rFonts w:asciiTheme="majorHAnsi" w:hAnsiTheme="majorHAnsi"/>
          <w:sz w:val="18"/>
          <w:szCs w:val="20"/>
          <w:lang w:val="pt-BR"/>
        </w:rPr>
      </w:pPr>
      <w:r w:rsidRPr="000D31F6">
        <w:rPr>
          <w:rFonts w:asciiTheme="majorHAnsi" w:hAnsiTheme="majorHAnsi"/>
          <w:sz w:val="18"/>
          <w:szCs w:val="20"/>
          <w:lang w:val="pt-BR"/>
        </w:rPr>
        <w:t>SANDRA CECILIA PAVEZ PAVEZ</w:t>
      </w:r>
    </w:p>
    <w:p w:rsidR="00722C9F" w:rsidRPr="000D31F6" w:rsidRDefault="004B0D2C" w:rsidP="000D31F6">
      <w:pPr>
        <w:suppressAutoHyphens/>
        <w:jc w:val="center"/>
        <w:rPr>
          <w:rFonts w:asciiTheme="majorHAnsi" w:hAnsiTheme="majorHAnsi"/>
          <w:sz w:val="18"/>
          <w:szCs w:val="20"/>
          <w:lang w:val="es-ES_tradnl"/>
        </w:rPr>
      </w:pPr>
      <w:r w:rsidRPr="000D31F6">
        <w:rPr>
          <w:rFonts w:asciiTheme="majorHAnsi" w:hAnsiTheme="majorHAnsi"/>
          <w:sz w:val="18"/>
          <w:szCs w:val="20"/>
          <w:lang w:val="es-ES_tradnl"/>
        </w:rPr>
        <w:t>CHILE</w:t>
      </w:r>
      <w:r w:rsidR="005C4CA5" w:rsidRPr="000D31F6">
        <w:rPr>
          <w:rStyle w:val="FootnoteReference"/>
          <w:rFonts w:asciiTheme="majorHAnsi" w:hAnsiTheme="majorHAnsi"/>
          <w:sz w:val="18"/>
          <w:szCs w:val="20"/>
          <w:lang w:val="es-ES_tradnl"/>
        </w:rPr>
        <w:footnoteReference w:id="2"/>
      </w:r>
    </w:p>
    <w:p w:rsidR="00722C9F" w:rsidRPr="000D31F6" w:rsidRDefault="00C71AD2" w:rsidP="000D31F6">
      <w:pPr>
        <w:suppressAutoHyphens/>
        <w:jc w:val="center"/>
        <w:rPr>
          <w:rFonts w:asciiTheme="majorHAnsi" w:hAnsiTheme="majorHAnsi"/>
          <w:sz w:val="18"/>
          <w:szCs w:val="20"/>
          <w:lang w:val="es-ES_tradnl"/>
        </w:rPr>
      </w:pPr>
      <w:r>
        <w:rPr>
          <w:rFonts w:asciiTheme="majorHAnsi" w:hAnsiTheme="majorHAnsi"/>
          <w:sz w:val="18"/>
          <w:szCs w:val="20"/>
          <w:lang w:val="es-ES_tradnl"/>
        </w:rPr>
        <w:t>7 de diciembre de 2018</w:t>
      </w:r>
    </w:p>
    <w:p w:rsidR="005937F1" w:rsidRDefault="005937F1" w:rsidP="000D31F6">
      <w:pPr>
        <w:pStyle w:val="ListParagraph"/>
        <w:suppressAutoHyphens/>
        <w:ind w:left="1440"/>
        <w:rPr>
          <w:rFonts w:asciiTheme="majorHAnsi" w:hAnsiTheme="majorHAnsi"/>
          <w:b/>
          <w:sz w:val="20"/>
          <w:szCs w:val="20"/>
          <w:lang w:val="es-ES_tradnl"/>
        </w:rPr>
      </w:pPr>
    </w:p>
    <w:p w:rsidR="000D31F6" w:rsidRPr="00D73C5B" w:rsidRDefault="000D31F6" w:rsidP="000D31F6">
      <w:pPr>
        <w:pStyle w:val="ListParagraph"/>
        <w:suppressAutoHyphens/>
        <w:ind w:left="1440"/>
        <w:rPr>
          <w:rFonts w:asciiTheme="majorHAnsi" w:hAnsiTheme="majorHAnsi"/>
          <w:b/>
          <w:sz w:val="20"/>
          <w:szCs w:val="20"/>
          <w:lang w:val="es-ES_tradnl"/>
        </w:rPr>
      </w:pPr>
    </w:p>
    <w:p w:rsidR="00D12193" w:rsidRPr="000D31F6" w:rsidRDefault="00D12193" w:rsidP="000D31F6">
      <w:pPr>
        <w:pStyle w:val="Heading1"/>
      </w:pPr>
      <w:bookmarkStart w:id="1" w:name="_Toc531327088"/>
      <w:r w:rsidRPr="000D31F6">
        <w:t>RESUMEN</w:t>
      </w:r>
      <w:bookmarkEnd w:id="1"/>
    </w:p>
    <w:p w:rsidR="005C4CA5" w:rsidRPr="00D73C5B" w:rsidRDefault="005C4CA5" w:rsidP="000D31F6">
      <w:pPr>
        <w:suppressAutoHyphens/>
        <w:ind w:left="360"/>
        <w:rPr>
          <w:rFonts w:asciiTheme="majorHAnsi" w:hAnsiTheme="majorHAnsi"/>
          <w:b/>
          <w:sz w:val="20"/>
          <w:szCs w:val="20"/>
          <w:lang w:val="es-ES_tradnl"/>
        </w:rPr>
      </w:pPr>
    </w:p>
    <w:p w:rsidR="009014A4" w:rsidRPr="00D73C5B" w:rsidRDefault="005C4CA5"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sz w:val="20"/>
          <w:szCs w:val="20"/>
          <w:lang w:val="es-VE"/>
        </w:rPr>
        <w:t xml:space="preserve">El </w:t>
      </w:r>
      <w:r w:rsidR="004B0D2C" w:rsidRPr="00D73C5B">
        <w:rPr>
          <w:rFonts w:asciiTheme="majorHAnsi" w:hAnsiTheme="majorHAnsi"/>
          <w:sz w:val="20"/>
          <w:szCs w:val="20"/>
          <w:lang w:val="es-VE"/>
        </w:rPr>
        <w:t>28</w:t>
      </w:r>
      <w:r w:rsidRPr="00D73C5B">
        <w:rPr>
          <w:rFonts w:asciiTheme="majorHAnsi" w:hAnsiTheme="majorHAnsi"/>
          <w:sz w:val="20"/>
          <w:szCs w:val="20"/>
          <w:lang w:val="es-VE"/>
        </w:rPr>
        <w:t xml:space="preserve"> de </w:t>
      </w:r>
      <w:r w:rsidR="004B0D2C" w:rsidRPr="00D73C5B">
        <w:rPr>
          <w:rFonts w:asciiTheme="majorHAnsi" w:hAnsiTheme="majorHAnsi"/>
          <w:sz w:val="20"/>
          <w:szCs w:val="20"/>
          <w:lang w:val="es-VE"/>
        </w:rPr>
        <w:t>octubre</w:t>
      </w:r>
      <w:r w:rsidRPr="00D73C5B">
        <w:rPr>
          <w:rFonts w:asciiTheme="majorHAnsi" w:hAnsiTheme="majorHAnsi"/>
          <w:sz w:val="20"/>
          <w:szCs w:val="20"/>
          <w:lang w:val="es-VE"/>
        </w:rPr>
        <w:t xml:space="preserve"> de </w:t>
      </w:r>
      <w:r w:rsidR="004B0D2C" w:rsidRPr="00D73C5B">
        <w:rPr>
          <w:rFonts w:asciiTheme="majorHAnsi" w:hAnsiTheme="majorHAnsi"/>
          <w:sz w:val="20"/>
          <w:szCs w:val="20"/>
          <w:lang w:val="es-VE"/>
        </w:rPr>
        <w:t>2008</w:t>
      </w:r>
      <w:r w:rsidRPr="00D73C5B">
        <w:rPr>
          <w:rFonts w:asciiTheme="majorHAnsi" w:hAnsiTheme="majorHAnsi"/>
          <w:sz w:val="20"/>
          <w:szCs w:val="20"/>
          <w:lang w:val="es-VE"/>
        </w:rPr>
        <w:t xml:space="preserve"> </w:t>
      </w:r>
      <w:r w:rsidRPr="00D73C5B">
        <w:rPr>
          <w:rFonts w:asciiTheme="majorHAnsi" w:hAnsiTheme="majorHAnsi"/>
          <w:color w:val="000000" w:themeColor="text1"/>
          <w:sz w:val="20"/>
          <w:szCs w:val="20"/>
          <w:lang w:val="es-VE"/>
        </w:rPr>
        <w:t>la Comisión Interamericana de Derechos Humanos (en adelante “la Comisión Interamericana”, “la Comisión” o “la CIDH”) recibi</w:t>
      </w:r>
      <w:r w:rsidR="005242C9" w:rsidRPr="00D73C5B">
        <w:rPr>
          <w:rFonts w:asciiTheme="majorHAnsi" w:hAnsiTheme="majorHAnsi"/>
          <w:color w:val="000000" w:themeColor="text1"/>
          <w:sz w:val="20"/>
          <w:szCs w:val="20"/>
          <w:lang w:val="es-VE"/>
        </w:rPr>
        <w:t xml:space="preserve">ó una petición presentada por Sandra Cecilia </w:t>
      </w:r>
      <w:proofErr w:type="spellStart"/>
      <w:r w:rsidR="005242C9" w:rsidRPr="00D73C5B">
        <w:rPr>
          <w:rFonts w:asciiTheme="majorHAnsi" w:hAnsiTheme="majorHAnsi"/>
          <w:color w:val="000000" w:themeColor="text1"/>
          <w:sz w:val="20"/>
          <w:szCs w:val="20"/>
          <w:lang w:val="es-VE"/>
        </w:rPr>
        <w:t>Pavez</w:t>
      </w:r>
      <w:proofErr w:type="spellEnd"/>
      <w:r w:rsidR="005242C9" w:rsidRPr="00D73C5B">
        <w:rPr>
          <w:rFonts w:asciiTheme="majorHAnsi" w:hAnsiTheme="majorHAnsi"/>
          <w:color w:val="000000" w:themeColor="text1"/>
          <w:sz w:val="20"/>
          <w:szCs w:val="20"/>
          <w:lang w:val="es-VE"/>
        </w:rPr>
        <w:t xml:space="preserve"> </w:t>
      </w:r>
      <w:proofErr w:type="spellStart"/>
      <w:r w:rsidR="005242C9" w:rsidRPr="00D73C5B">
        <w:rPr>
          <w:rFonts w:asciiTheme="majorHAnsi" w:hAnsiTheme="majorHAnsi"/>
          <w:color w:val="000000" w:themeColor="text1"/>
          <w:sz w:val="20"/>
          <w:szCs w:val="20"/>
          <w:lang w:val="es-VE"/>
        </w:rPr>
        <w:t>Pavez</w:t>
      </w:r>
      <w:proofErr w:type="spellEnd"/>
      <w:r w:rsidR="005242C9" w:rsidRPr="00D73C5B">
        <w:rPr>
          <w:rFonts w:asciiTheme="majorHAnsi" w:hAnsiTheme="majorHAnsi"/>
          <w:color w:val="000000" w:themeColor="text1"/>
          <w:sz w:val="20"/>
          <w:szCs w:val="20"/>
          <w:lang w:val="es-VE"/>
        </w:rPr>
        <w:t>, Rolando Paul Jiménez Pérez, representante legal del Movimiento de Integración y Liberación Homosexual (MOVILH)</w:t>
      </w:r>
      <w:r w:rsidR="008B7C24" w:rsidRPr="00D73C5B">
        <w:rPr>
          <w:rFonts w:asciiTheme="majorHAnsi" w:hAnsiTheme="majorHAnsi"/>
          <w:color w:val="000000" w:themeColor="text1"/>
          <w:sz w:val="20"/>
          <w:szCs w:val="20"/>
          <w:lang w:val="es-VE"/>
        </w:rPr>
        <w:t xml:space="preserve"> y Alfredo Morgado</w:t>
      </w:r>
      <w:r w:rsidRPr="00D73C5B">
        <w:rPr>
          <w:rFonts w:asciiTheme="majorHAnsi" w:hAnsiTheme="majorHAnsi"/>
          <w:color w:val="000000" w:themeColor="text1"/>
          <w:sz w:val="20"/>
          <w:szCs w:val="20"/>
          <w:lang w:val="es-VE"/>
        </w:rPr>
        <w:t xml:space="preserve"> (en a</w:t>
      </w:r>
      <w:r w:rsidR="008B7C24" w:rsidRPr="00D73C5B">
        <w:rPr>
          <w:rFonts w:asciiTheme="majorHAnsi" w:hAnsiTheme="majorHAnsi"/>
          <w:color w:val="000000" w:themeColor="text1"/>
          <w:sz w:val="20"/>
          <w:szCs w:val="20"/>
          <w:lang w:val="es-VE"/>
        </w:rPr>
        <w:t>delante “la parte peticionaria”</w:t>
      </w:r>
      <w:r w:rsidR="0088338B" w:rsidRPr="00D73C5B">
        <w:rPr>
          <w:rFonts w:asciiTheme="majorHAnsi" w:hAnsiTheme="majorHAnsi"/>
          <w:color w:val="000000" w:themeColor="text1"/>
          <w:sz w:val="20"/>
          <w:szCs w:val="20"/>
          <w:lang w:val="es-VE"/>
        </w:rPr>
        <w:t>)</w:t>
      </w:r>
      <w:r w:rsidRPr="00D73C5B">
        <w:rPr>
          <w:rStyle w:val="FootnoteReference"/>
          <w:rFonts w:asciiTheme="majorHAnsi" w:hAnsiTheme="majorHAnsi"/>
          <w:color w:val="000000" w:themeColor="text1"/>
          <w:sz w:val="20"/>
          <w:szCs w:val="20"/>
          <w:lang w:val="es-VE"/>
        </w:rPr>
        <w:footnoteReference w:id="3"/>
      </w:r>
      <w:r w:rsidRPr="00D73C5B">
        <w:rPr>
          <w:rFonts w:asciiTheme="majorHAnsi" w:hAnsiTheme="majorHAnsi"/>
          <w:color w:val="000000" w:themeColor="text1"/>
          <w:sz w:val="20"/>
          <w:szCs w:val="20"/>
          <w:lang w:val="es-VE"/>
        </w:rPr>
        <w:t xml:space="preserve"> en la cual se alega la responsabilidad internacional de </w:t>
      </w:r>
      <w:r w:rsidR="00035494" w:rsidRPr="00D73C5B">
        <w:rPr>
          <w:rFonts w:asciiTheme="majorHAnsi" w:hAnsiTheme="majorHAnsi"/>
          <w:sz w:val="20"/>
          <w:szCs w:val="20"/>
          <w:lang w:val="es-VE"/>
        </w:rPr>
        <w:t>Chile</w:t>
      </w:r>
      <w:r w:rsidR="00035494" w:rsidRPr="00D73C5B">
        <w:rPr>
          <w:rFonts w:asciiTheme="majorHAnsi" w:hAnsiTheme="majorHAnsi"/>
          <w:color w:val="000000" w:themeColor="text1"/>
          <w:sz w:val="20"/>
          <w:szCs w:val="20"/>
          <w:lang w:val="es-VE"/>
        </w:rPr>
        <w:t xml:space="preserve"> (en adelante “el Estado chileno</w:t>
      </w:r>
      <w:r w:rsidRPr="00D73C5B">
        <w:rPr>
          <w:rFonts w:asciiTheme="majorHAnsi" w:hAnsiTheme="majorHAnsi"/>
          <w:color w:val="000000" w:themeColor="text1"/>
          <w:sz w:val="20"/>
          <w:szCs w:val="20"/>
          <w:lang w:val="es-VE"/>
        </w:rPr>
        <w:t xml:space="preserve">”, “el Estado” </w:t>
      </w:r>
      <w:r w:rsidR="00035494" w:rsidRPr="00D73C5B">
        <w:rPr>
          <w:rFonts w:asciiTheme="majorHAnsi" w:hAnsiTheme="majorHAnsi"/>
          <w:color w:val="000000" w:themeColor="text1"/>
          <w:sz w:val="20"/>
          <w:szCs w:val="20"/>
          <w:lang w:val="es-VE"/>
        </w:rPr>
        <w:t>o “Chile</w:t>
      </w:r>
      <w:r w:rsidRPr="00D73C5B">
        <w:rPr>
          <w:rFonts w:asciiTheme="majorHAnsi" w:hAnsiTheme="majorHAnsi"/>
          <w:color w:val="000000" w:themeColor="text1"/>
          <w:sz w:val="20"/>
          <w:szCs w:val="20"/>
          <w:lang w:val="es-VE"/>
        </w:rPr>
        <w:t xml:space="preserve">”) en perjuicio de </w:t>
      </w:r>
      <w:r w:rsidR="00035494" w:rsidRPr="00D73C5B">
        <w:rPr>
          <w:rFonts w:asciiTheme="majorHAnsi" w:hAnsiTheme="majorHAnsi"/>
          <w:sz w:val="20"/>
          <w:szCs w:val="20"/>
          <w:lang w:val="es-VE"/>
        </w:rPr>
        <w:t xml:space="preserve">Sandra </w:t>
      </w:r>
      <w:r w:rsidR="008B42F0" w:rsidRPr="00D73C5B">
        <w:rPr>
          <w:rFonts w:asciiTheme="majorHAnsi" w:hAnsiTheme="majorHAnsi"/>
          <w:sz w:val="20"/>
          <w:szCs w:val="20"/>
          <w:lang w:val="es-VE"/>
        </w:rPr>
        <w:t xml:space="preserve">Cecilia </w:t>
      </w:r>
      <w:proofErr w:type="spellStart"/>
      <w:r w:rsidR="00035494" w:rsidRPr="00D73C5B">
        <w:rPr>
          <w:rFonts w:asciiTheme="majorHAnsi" w:hAnsiTheme="majorHAnsi"/>
          <w:sz w:val="20"/>
          <w:szCs w:val="20"/>
          <w:lang w:val="es-VE"/>
        </w:rPr>
        <w:t>Pavez</w:t>
      </w:r>
      <w:proofErr w:type="spellEnd"/>
      <w:r w:rsidR="00035494" w:rsidRPr="00D73C5B">
        <w:rPr>
          <w:rFonts w:asciiTheme="majorHAnsi" w:hAnsiTheme="majorHAnsi"/>
          <w:sz w:val="20"/>
          <w:szCs w:val="20"/>
          <w:lang w:val="es-VE"/>
        </w:rPr>
        <w:t xml:space="preserve"> </w:t>
      </w:r>
      <w:proofErr w:type="spellStart"/>
      <w:r w:rsidR="00035494" w:rsidRPr="00D73C5B">
        <w:rPr>
          <w:rFonts w:asciiTheme="majorHAnsi" w:hAnsiTheme="majorHAnsi"/>
          <w:sz w:val="20"/>
          <w:szCs w:val="20"/>
          <w:lang w:val="es-VE"/>
        </w:rPr>
        <w:t>Pavez</w:t>
      </w:r>
      <w:proofErr w:type="spellEnd"/>
      <w:r w:rsidRPr="00D73C5B">
        <w:rPr>
          <w:rFonts w:asciiTheme="majorHAnsi" w:hAnsiTheme="majorHAnsi"/>
          <w:sz w:val="20"/>
          <w:szCs w:val="20"/>
          <w:lang w:val="es-VE"/>
        </w:rPr>
        <w:t xml:space="preserve">. </w:t>
      </w:r>
    </w:p>
    <w:p w:rsidR="009014A4" w:rsidRPr="00D73C5B" w:rsidRDefault="009014A4"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color w:val="000000" w:themeColor="text1"/>
          <w:sz w:val="20"/>
          <w:szCs w:val="20"/>
          <w:lang w:val="es-VE"/>
        </w:rPr>
      </w:pPr>
    </w:p>
    <w:p w:rsidR="009014A4" w:rsidRPr="00D73C5B" w:rsidRDefault="009014A4"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L</w:t>
      </w:r>
      <w:r w:rsidRPr="00D73C5B">
        <w:rPr>
          <w:rFonts w:asciiTheme="majorHAnsi" w:hAnsiTheme="majorHAnsi"/>
          <w:sz w:val="20"/>
          <w:szCs w:val="20"/>
          <w:lang w:val="es-ES_tradnl"/>
        </w:rPr>
        <w:t xml:space="preserve">a Comisión aprobó el informe de admisibilidad No. </w:t>
      </w:r>
      <w:r w:rsidR="007B13C6" w:rsidRPr="00D73C5B">
        <w:rPr>
          <w:rFonts w:asciiTheme="majorHAnsi" w:hAnsiTheme="majorHAnsi"/>
          <w:sz w:val="20"/>
          <w:szCs w:val="20"/>
          <w:lang w:val="es-ES_tradnl"/>
        </w:rPr>
        <w:t>30</w:t>
      </w:r>
      <w:r w:rsidRPr="00D73C5B">
        <w:rPr>
          <w:rFonts w:asciiTheme="majorHAnsi" w:hAnsiTheme="majorHAnsi"/>
          <w:sz w:val="20"/>
          <w:szCs w:val="20"/>
          <w:lang w:val="es-ES_tradnl"/>
        </w:rPr>
        <w:t>/</w:t>
      </w:r>
      <w:r w:rsidR="007B13C6" w:rsidRPr="00D73C5B">
        <w:rPr>
          <w:rFonts w:asciiTheme="majorHAnsi" w:hAnsiTheme="majorHAnsi"/>
          <w:sz w:val="20"/>
          <w:szCs w:val="20"/>
          <w:lang w:val="es-ES_tradnl"/>
        </w:rPr>
        <w:t>15</w:t>
      </w:r>
      <w:r w:rsidRPr="00D73C5B">
        <w:rPr>
          <w:rFonts w:asciiTheme="majorHAnsi" w:hAnsiTheme="majorHAnsi"/>
          <w:sz w:val="20"/>
          <w:szCs w:val="20"/>
          <w:lang w:val="es-ES_tradnl"/>
        </w:rPr>
        <w:t xml:space="preserve"> el </w:t>
      </w:r>
      <w:r w:rsidR="007B13C6" w:rsidRPr="00D73C5B">
        <w:rPr>
          <w:rFonts w:asciiTheme="majorHAnsi" w:hAnsiTheme="majorHAnsi"/>
          <w:sz w:val="20"/>
          <w:szCs w:val="20"/>
          <w:lang w:val="es-ES_tradnl"/>
        </w:rPr>
        <w:t>21</w:t>
      </w:r>
      <w:r w:rsidRPr="00D73C5B">
        <w:rPr>
          <w:rFonts w:asciiTheme="majorHAnsi" w:hAnsiTheme="majorHAnsi"/>
          <w:sz w:val="20"/>
          <w:szCs w:val="20"/>
          <w:lang w:val="es-ES_tradnl"/>
        </w:rPr>
        <w:t xml:space="preserve"> de </w:t>
      </w:r>
      <w:r w:rsidR="007B13C6" w:rsidRPr="00D73C5B">
        <w:rPr>
          <w:rFonts w:asciiTheme="majorHAnsi" w:hAnsiTheme="majorHAnsi"/>
          <w:sz w:val="20"/>
          <w:szCs w:val="20"/>
          <w:lang w:val="es-ES_tradnl"/>
        </w:rPr>
        <w:t>julio</w:t>
      </w:r>
      <w:r w:rsidRPr="00D73C5B">
        <w:rPr>
          <w:rFonts w:asciiTheme="majorHAnsi" w:hAnsiTheme="majorHAnsi"/>
          <w:sz w:val="20"/>
          <w:szCs w:val="20"/>
          <w:lang w:val="es-ES_tradnl"/>
        </w:rPr>
        <w:t xml:space="preserve"> de </w:t>
      </w:r>
      <w:r w:rsidR="007B13C6" w:rsidRPr="00D73C5B">
        <w:rPr>
          <w:rFonts w:asciiTheme="majorHAnsi" w:hAnsiTheme="majorHAnsi"/>
          <w:sz w:val="20"/>
          <w:szCs w:val="20"/>
          <w:lang w:val="es-ES_tradnl"/>
        </w:rPr>
        <w:t>2015</w:t>
      </w:r>
      <w:r w:rsidRPr="00D73C5B">
        <w:rPr>
          <w:rStyle w:val="FootnoteReference"/>
          <w:rFonts w:asciiTheme="majorHAnsi" w:hAnsiTheme="majorHAnsi"/>
          <w:sz w:val="20"/>
          <w:szCs w:val="20"/>
          <w:lang w:val="es-ES_tradnl"/>
        </w:rPr>
        <w:footnoteReference w:id="4"/>
      </w:r>
      <w:r w:rsidR="00AF7988" w:rsidRPr="00D73C5B">
        <w:rPr>
          <w:rFonts w:asciiTheme="majorHAnsi" w:hAnsiTheme="majorHAnsi"/>
          <w:sz w:val="20"/>
          <w:szCs w:val="20"/>
          <w:lang w:val="es-ES_tradnl"/>
        </w:rPr>
        <w:t xml:space="preserve">. </w:t>
      </w:r>
      <w:r w:rsidRPr="00D73C5B">
        <w:rPr>
          <w:rFonts w:asciiTheme="majorHAnsi" w:hAnsiTheme="majorHAnsi"/>
          <w:sz w:val="20"/>
          <w:szCs w:val="20"/>
          <w:lang w:val="es-ES_tradnl"/>
        </w:rPr>
        <w:t xml:space="preserve">El </w:t>
      </w:r>
      <w:r w:rsidR="007B13C6" w:rsidRPr="00D73C5B">
        <w:rPr>
          <w:rFonts w:asciiTheme="majorHAnsi" w:hAnsiTheme="majorHAnsi"/>
          <w:sz w:val="20"/>
          <w:szCs w:val="20"/>
          <w:lang w:val="es-ES_tradnl"/>
        </w:rPr>
        <w:t>29</w:t>
      </w:r>
      <w:r w:rsidRPr="00D73C5B">
        <w:rPr>
          <w:rFonts w:asciiTheme="majorHAnsi" w:hAnsiTheme="majorHAnsi"/>
          <w:sz w:val="20"/>
          <w:szCs w:val="20"/>
          <w:lang w:val="es-ES_tradnl"/>
        </w:rPr>
        <w:t xml:space="preserve"> de </w:t>
      </w:r>
      <w:r w:rsidR="007B13C6" w:rsidRPr="00D73C5B">
        <w:rPr>
          <w:rFonts w:asciiTheme="majorHAnsi" w:hAnsiTheme="majorHAnsi"/>
          <w:sz w:val="20"/>
          <w:szCs w:val="20"/>
          <w:lang w:val="es-ES_tradnl"/>
        </w:rPr>
        <w:t>septiembre</w:t>
      </w:r>
      <w:r w:rsidRPr="00D73C5B">
        <w:rPr>
          <w:rFonts w:asciiTheme="majorHAnsi" w:hAnsiTheme="majorHAnsi"/>
          <w:sz w:val="20"/>
          <w:szCs w:val="20"/>
          <w:lang w:val="es-ES_tradnl"/>
        </w:rPr>
        <w:t xml:space="preserve"> de </w:t>
      </w:r>
      <w:r w:rsidR="007B13C6" w:rsidRPr="00D73C5B">
        <w:rPr>
          <w:rFonts w:asciiTheme="majorHAnsi" w:hAnsiTheme="majorHAnsi"/>
          <w:sz w:val="20"/>
          <w:szCs w:val="20"/>
          <w:lang w:val="es-ES_tradnl"/>
        </w:rPr>
        <w:t>2015</w:t>
      </w:r>
      <w:r w:rsidRPr="00D73C5B">
        <w:rPr>
          <w:rFonts w:asciiTheme="majorHAnsi" w:hAnsiTheme="majorHAnsi"/>
          <w:sz w:val="20"/>
          <w:szCs w:val="20"/>
          <w:lang w:val="es-ES_tradnl"/>
        </w:rPr>
        <w:t xml:space="preserve"> la Comisión notificó dicho informe a las partes y se puso a su disposición a fin de llegar a una solución amistosa</w:t>
      </w:r>
      <w:r w:rsidRPr="00D73C5B">
        <w:rPr>
          <w:rStyle w:val="FootnoteReference"/>
          <w:rFonts w:asciiTheme="majorHAnsi" w:hAnsiTheme="majorHAnsi"/>
          <w:sz w:val="20"/>
          <w:szCs w:val="20"/>
          <w:lang w:val="es-ES_tradnl"/>
        </w:rPr>
        <w:footnoteReference w:id="5"/>
      </w:r>
      <w:r w:rsidRPr="00D73C5B">
        <w:rPr>
          <w:rFonts w:asciiTheme="majorHAnsi" w:hAnsiTheme="majorHAnsi"/>
          <w:sz w:val="20"/>
          <w:szCs w:val="20"/>
          <w:lang w:val="es-ES_tradnl"/>
        </w:rPr>
        <w:t xml:space="preserve">. Las partes contaron con los plazos reglamentarios para presentar sus observaciones adicionales sobre el fondo. Toda la información recibida fue debidamente trasladada entre las partes. </w:t>
      </w:r>
    </w:p>
    <w:p w:rsidR="009014A4" w:rsidRPr="00D73C5B" w:rsidRDefault="009014A4" w:rsidP="00306C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VE"/>
        </w:rPr>
      </w:pPr>
    </w:p>
    <w:p w:rsidR="005C4CA5" w:rsidRPr="00D73C5B" w:rsidRDefault="005C4CA5"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La</w:t>
      </w:r>
      <w:r w:rsidR="00BE6DBD" w:rsidRPr="00D73C5B">
        <w:rPr>
          <w:rFonts w:asciiTheme="majorHAnsi" w:hAnsiTheme="majorHAnsi"/>
          <w:color w:val="000000" w:themeColor="text1"/>
          <w:sz w:val="20"/>
          <w:szCs w:val="20"/>
          <w:lang w:val="es-VE"/>
        </w:rPr>
        <w:t xml:space="preserve"> parte peticionaria ale</w:t>
      </w:r>
      <w:r w:rsidR="005D4A43" w:rsidRPr="00D73C5B">
        <w:rPr>
          <w:rFonts w:asciiTheme="majorHAnsi" w:hAnsiTheme="majorHAnsi"/>
          <w:color w:val="000000" w:themeColor="text1"/>
          <w:sz w:val="20"/>
          <w:szCs w:val="20"/>
          <w:lang w:val="es-VE"/>
        </w:rPr>
        <w:t xml:space="preserve">gó </w:t>
      </w:r>
      <w:r w:rsidR="00B27F02" w:rsidRPr="00D73C5B">
        <w:rPr>
          <w:rFonts w:asciiTheme="majorHAnsi" w:hAnsiTheme="majorHAnsi"/>
          <w:color w:val="000000" w:themeColor="text1"/>
          <w:sz w:val="20"/>
          <w:szCs w:val="20"/>
          <w:lang w:val="es-VE"/>
        </w:rPr>
        <w:t xml:space="preserve">que Sandra </w:t>
      </w:r>
      <w:proofErr w:type="spellStart"/>
      <w:r w:rsidR="00B27F02" w:rsidRPr="00D73C5B">
        <w:rPr>
          <w:rFonts w:asciiTheme="majorHAnsi" w:hAnsiTheme="majorHAnsi"/>
          <w:color w:val="000000" w:themeColor="text1"/>
          <w:sz w:val="20"/>
          <w:szCs w:val="20"/>
          <w:lang w:val="es-VE"/>
        </w:rPr>
        <w:t>Pavez</w:t>
      </w:r>
      <w:proofErr w:type="spellEnd"/>
      <w:r w:rsidR="00B27F02" w:rsidRPr="00D73C5B">
        <w:rPr>
          <w:rFonts w:asciiTheme="majorHAnsi" w:hAnsiTheme="majorHAnsi"/>
          <w:color w:val="000000" w:themeColor="text1"/>
          <w:sz w:val="20"/>
          <w:szCs w:val="20"/>
          <w:lang w:val="es-VE"/>
        </w:rPr>
        <w:t xml:space="preserve"> se desempeñó por más de 20 años como profesora de religión en una institución de educación pública, y que el 25 de julio de 2007 el vicario para la educación del Obispado de San Bernardo le revocó el certificado de idoneidad que a normativa interna requería para ejercer tal función. Indicó que tal revocatoria se basó en la orientación sexual de Sandra </w:t>
      </w:r>
      <w:proofErr w:type="spellStart"/>
      <w:r w:rsidR="00B27F02" w:rsidRPr="00D73C5B">
        <w:rPr>
          <w:rFonts w:asciiTheme="majorHAnsi" w:hAnsiTheme="majorHAnsi"/>
          <w:color w:val="000000" w:themeColor="text1"/>
          <w:sz w:val="20"/>
          <w:szCs w:val="20"/>
          <w:lang w:val="es-VE"/>
        </w:rPr>
        <w:t>Pavez</w:t>
      </w:r>
      <w:proofErr w:type="spellEnd"/>
      <w:r w:rsidR="00B27F02" w:rsidRPr="00D73C5B">
        <w:rPr>
          <w:rFonts w:asciiTheme="majorHAnsi" w:hAnsiTheme="majorHAnsi"/>
          <w:color w:val="000000" w:themeColor="text1"/>
          <w:sz w:val="20"/>
          <w:szCs w:val="20"/>
          <w:lang w:val="es-VE"/>
        </w:rPr>
        <w:t xml:space="preserve">, por lo que fue discriminatoria y violatoria de otros derechos establecidos en la Convención. Agregó que interpuso un recurso de protección, el cual resultó inefectivo.  </w:t>
      </w:r>
    </w:p>
    <w:p w:rsidR="005C4CA5" w:rsidRPr="00D73C5B" w:rsidRDefault="005C4CA5"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color w:val="000000" w:themeColor="text1"/>
          <w:sz w:val="20"/>
          <w:szCs w:val="20"/>
          <w:lang w:val="es-VE"/>
        </w:rPr>
      </w:pPr>
    </w:p>
    <w:p w:rsidR="005C4CA5" w:rsidRPr="00D73C5B" w:rsidRDefault="005C4CA5"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El Estado alegó </w:t>
      </w:r>
      <w:r w:rsidR="00A00C27" w:rsidRPr="00D73C5B">
        <w:rPr>
          <w:rFonts w:asciiTheme="majorHAnsi" w:hAnsiTheme="majorHAnsi"/>
          <w:color w:val="000000" w:themeColor="text1"/>
          <w:sz w:val="20"/>
          <w:szCs w:val="20"/>
          <w:lang w:val="es-VE"/>
        </w:rPr>
        <w:t>que</w:t>
      </w:r>
      <w:r w:rsidR="00AC2F7A" w:rsidRPr="00D73C5B">
        <w:rPr>
          <w:rFonts w:asciiTheme="majorHAnsi" w:hAnsiTheme="majorHAnsi"/>
          <w:color w:val="000000" w:themeColor="text1"/>
          <w:sz w:val="20"/>
          <w:szCs w:val="20"/>
          <w:lang w:val="es-VE"/>
        </w:rPr>
        <w:t xml:space="preserve"> </w:t>
      </w:r>
      <w:r w:rsidR="00581884" w:rsidRPr="00D73C5B">
        <w:rPr>
          <w:rFonts w:asciiTheme="majorHAnsi" w:hAnsiTheme="majorHAnsi"/>
          <w:color w:val="000000" w:themeColor="text1"/>
          <w:sz w:val="20"/>
          <w:szCs w:val="20"/>
          <w:lang w:val="es-VE"/>
        </w:rPr>
        <w:t xml:space="preserve">no incurrió en discriminación por orientación sexual pues </w:t>
      </w:r>
      <w:r w:rsidR="00AC2F7A" w:rsidRPr="00D73C5B">
        <w:rPr>
          <w:rFonts w:asciiTheme="majorHAnsi" w:hAnsiTheme="majorHAnsi"/>
          <w:color w:val="000000" w:themeColor="text1"/>
          <w:sz w:val="20"/>
          <w:szCs w:val="20"/>
          <w:lang w:val="es-VE"/>
        </w:rPr>
        <w:t xml:space="preserve">la normativa interna otorga a las religiones la potestad de determinar la idoneidad de las personas que enseñan tal asignatura, lo cual </w:t>
      </w:r>
      <w:r w:rsidR="00FB42C6" w:rsidRPr="00D73C5B">
        <w:rPr>
          <w:rFonts w:asciiTheme="majorHAnsi" w:hAnsiTheme="majorHAnsi"/>
          <w:color w:val="000000" w:themeColor="text1"/>
          <w:sz w:val="20"/>
          <w:szCs w:val="20"/>
          <w:lang w:val="es-VE"/>
        </w:rPr>
        <w:t>resulta legítimo y constituye una forma de respetar la libertad religiosa. Agregó que no le corresponde al Estado inmiscuirse en tales decisiones y que la relación laboral de la entidad pública con los profesores de religión es separada de la habilitación que le</w:t>
      </w:r>
      <w:r w:rsidR="00581884" w:rsidRPr="00D73C5B">
        <w:rPr>
          <w:rFonts w:asciiTheme="majorHAnsi" w:hAnsiTheme="majorHAnsi"/>
          <w:color w:val="000000" w:themeColor="text1"/>
          <w:sz w:val="20"/>
          <w:szCs w:val="20"/>
          <w:lang w:val="es-VE"/>
        </w:rPr>
        <w:t>s</w:t>
      </w:r>
      <w:r w:rsidR="00FB42C6" w:rsidRPr="00D73C5B">
        <w:rPr>
          <w:rFonts w:asciiTheme="majorHAnsi" w:hAnsiTheme="majorHAnsi"/>
          <w:color w:val="000000" w:themeColor="text1"/>
          <w:sz w:val="20"/>
          <w:szCs w:val="20"/>
          <w:lang w:val="es-VE"/>
        </w:rPr>
        <w:t xml:space="preserve"> corresponde a las iglesias. </w:t>
      </w:r>
      <w:r w:rsidR="00581884" w:rsidRPr="00D73C5B">
        <w:rPr>
          <w:rFonts w:asciiTheme="majorHAnsi" w:hAnsiTheme="majorHAnsi"/>
          <w:color w:val="000000" w:themeColor="text1"/>
          <w:sz w:val="20"/>
          <w:szCs w:val="20"/>
          <w:lang w:val="es-VE"/>
        </w:rPr>
        <w:t xml:space="preserve">Indicó que, sin embargo, ha iniciado un proceso de revisión de la normativa interna. </w:t>
      </w:r>
    </w:p>
    <w:p w:rsidR="005C4CA5" w:rsidRPr="00D73C5B" w:rsidRDefault="005C4CA5" w:rsidP="00306C81">
      <w:pPr>
        <w:pStyle w:val="ListParagraph"/>
        <w:ind w:firstLine="720"/>
        <w:rPr>
          <w:rFonts w:asciiTheme="majorHAnsi" w:hAnsiTheme="majorHAnsi"/>
          <w:color w:val="000000" w:themeColor="text1"/>
          <w:sz w:val="20"/>
          <w:szCs w:val="20"/>
          <w:lang w:val="es-VE"/>
        </w:rPr>
      </w:pPr>
    </w:p>
    <w:p w:rsidR="005C4CA5" w:rsidRPr="00D73C5B" w:rsidRDefault="005C4CA5"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Con base en las determinaciones de hecho y de derecho, la Comisión Interamericana concluyó que</w:t>
      </w:r>
      <w:r w:rsidR="00A814FA" w:rsidRPr="00D73C5B">
        <w:rPr>
          <w:rFonts w:asciiTheme="majorHAnsi" w:hAnsiTheme="majorHAnsi"/>
          <w:color w:val="000000" w:themeColor="text1"/>
          <w:sz w:val="20"/>
          <w:szCs w:val="20"/>
          <w:lang w:val="es-VE"/>
        </w:rPr>
        <w:t xml:space="preserve"> </w:t>
      </w:r>
      <w:r w:rsidRPr="00D73C5B">
        <w:rPr>
          <w:rFonts w:asciiTheme="majorHAnsi" w:hAnsiTheme="majorHAnsi"/>
          <w:color w:val="000000" w:themeColor="text1"/>
          <w:sz w:val="20"/>
          <w:szCs w:val="20"/>
          <w:lang w:val="es-VE"/>
        </w:rPr>
        <w:t>el Estado es responsable por la violación de los artículos</w:t>
      </w:r>
      <w:r w:rsidR="001663B9" w:rsidRPr="00D73C5B">
        <w:rPr>
          <w:rFonts w:asciiTheme="majorHAnsi" w:hAnsiTheme="majorHAnsi"/>
          <w:color w:val="000000" w:themeColor="text1"/>
          <w:sz w:val="20"/>
          <w:szCs w:val="20"/>
          <w:lang w:val="es-VE"/>
        </w:rPr>
        <w:t xml:space="preserve"> 8 (garantías judiciales),</w:t>
      </w:r>
      <w:r w:rsidRPr="00D73C5B">
        <w:rPr>
          <w:rFonts w:asciiTheme="majorHAnsi" w:hAnsiTheme="majorHAnsi"/>
          <w:color w:val="000000" w:themeColor="text1"/>
          <w:sz w:val="20"/>
          <w:szCs w:val="20"/>
          <w:lang w:val="es-VE"/>
        </w:rPr>
        <w:t xml:space="preserve"> </w:t>
      </w:r>
      <w:r w:rsidR="001663B9" w:rsidRPr="00D73C5B">
        <w:rPr>
          <w:rFonts w:asciiTheme="majorHAnsi" w:hAnsiTheme="majorHAnsi"/>
          <w:color w:val="000000" w:themeColor="text1"/>
          <w:sz w:val="20"/>
          <w:szCs w:val="20"/>
          <w:lang w:val="es-VE"/>
        </w:rPr>
        <w:t>11</w:t>
      </w:r>
      <w:r w:rsidRPr="00D73C5B">
        <w:rPr>
          <w:rFonts w:asciiTheme="majorHAnsi" w:hAnsiTheme="majorHAnsi"/>
          <w:color w:val="000000" w:themeColor="text1"/>
          <w:sz w:val="20"/>
          <w:szCs w:val="20"/>
          <w:lang w:val="es-VE"/>
        </w:rPr>
        <w:t xml:space="preserve"> (</w:t>
      </w:r>
      <w:r w:rsidR="00C8645D" w:rsidRPr="00D73C5B">
        <w:rPr>
          <w:rFonts w:asciiTheme="majorHAnsi" w:hAnsiTheme="majorHAnsi"/>
          <w:color w:val="000000" w:themeColor="text1"/>
          <w:sz w:val="20"/>
          <w:szCs w:val="20"/>
          <w:lang w:val="es-VE"/>
        </w:rPr>
        <w:t>vida privada y autonomía)</w:t>
      </w:r>
      <w:r w:rsidR="001663B9" w:rsidRPr="00D73C5B">
        <w:rPr>
          <w:rFonts w:asciiTheme="majorHAnsi" w:hAnsiTheme="majorHAnsi"/>
          <w:color w:val="000000" w:themeColor="text1"/>
          <w:sz w:val="20"/>
          <w:szCs w:val="20"/>
          <w:lang w:val="es-VE"/>
        </w:rPr>
        <w:t>,</w:t>
      </w:r>
      <w:r w:rsidR="00C8645D" w:rsidRPr="00D73C5B">
        <w:rPr>
          <w:rFonts w:asciiTheme="majorHAnsi" w:hAnsiTheme="majorHAnsi"/>
          <w:color w:val="000000" w:themeColor="text1"/>
          <w:sz w:val="20"/>
          <w:szCs w:val="20"/>
          <w:lang w:val="es-VE"/>
        </w:rPr>
        <w:t xml:space="preserve"> 23.1 c) (acceso a la función pública en condiciones de igualdad),</w:t>
      </w:r>
      <w:r w:rsidR="001663B9" w:rsidRPr="00D73C5B">
        <w:rPr>
          <w:rFonts w:asciiTheme="majorHAnsi" w:hAnsiTheme="majorHAnsi"/>
          <w:color w:val="000000" w:themeColor="text1"/>
          <w:sz w:val="20"/>
          <w:szCs w:val="20"/>
          <w:lang w:val="es-VE"/>
        </w:rPr>
        <w:t xml:space="preserve"> 24 (igualdad ante la ley), 25.1 (protección judicial) y 26 (derecho al trabajo) </w:t>
      </w:r>
      <w:r w:rsidRPr="00D73C5B">
        <w:rPr>
          <w:rFonts w:asciiTheme="majorHAnsi" w:hAnsiTheme="majorHAnsi"/>
          <w:color w:val="000000" w:themeColor="text1"/>
          <w:sz w:val="20"/>
          <w:szCs w:val="20"/>
          <w:lang w:val="es-VE"/>
        </w:rPr>
        <w:t xml:space="preserve">de la Convención Americana sobre Derechos Humanos (en adelante  “la Convención Americana” </w:t>
      </w:r>
      <w:r w:rsidR="008217E6" w:rsidRPr="00D73C5B">
        <w:rPr>
          <w:rFonts w:asciiTheme="majorHAnsi" w:hAnsiTheme="majorHAnsi"/>
          <w:color w:val="000000" w:themeColor="text1"/>
          <w:sz w:val="20"/>
          <w:szCs w:val="20"/>
          <w:lang w:val="es-VE"/>
        </w:rPr>
        <w:t xml:space="preserve"> </w:t>
      </w:r>
      <w:r w:rsidRPr="00D73C5B">
        <w:rPr>
          <w:rFonts w:asciiTheme="majorHAnsi" w:hAnsiTheme="majorHAnsi"/>
          <w:color w:val="000000" w:themeColor="text1"/>
          <w:sz w:val="20"/>
          <w:szCs w:val="20"/>
          <w:lang w:val="es-VE"/>
        </w:rPr>
        <w:t xml:space="preserve">o “la Convención”), en relación con las obligaciones establecidas en los </w:t>
      </w:r>
      <w:r w:rsidRPr="00D73C5B">
        <w:rPr>
          <w:rFonts w:asciiTheme="majorHAnsi" w:hAnsiTheme="majorHAnsi"/>
          <w:sz w:val="20"/>
          <w:szCs w:val="20"/>
          <w:lang w:val="es-VE"/>
        </w:rPr>
        <w:t>artícul</w:t>
      </w:r>
      <w:r w:rsidR="001663B9" w:rsidRPr="00D73C5B">
        <w:rPr>
          <w:rFonts w:asciiTheme="majorHAnsi" w:hAnsiTheme="majorHAnsi"/>
          <w:sz w:val="20"/>
          <w:szCs w:val="20"/>
          <w:lang w:val="es-VE"/>
        </w:rPr>
        <w:t xml:space="preserve">os </w:t>
      </w:r>
      <w:r w:rsidRPr="00D73C5B">
        <w:rPr>
          <w:rFonts w:asciiTheme="majorHAnsi" w:hAnsiTheme="majorHAnsi"/>
          <w:sz w:val="20"/>
          <w:szCs w:val="20"/>
          <w:lang w:val="es-VE"/>
        </w:rPr>
        <w:t>1.1</w:t>
      </w:r>
      <w:r w:rsidR="001663B9" w:rsidRPr="00D73C5B">
        <w:rPr>
          <w:rFonts w:asciiTheme="majorHAnsi" w:hAnsiTheme="majorHAnsi"/>
          <w:sz w:val="20"/>
          <w:szCs w:val="20"/>
          <w:lang w:val="es-VE"/>
        </w:rPr>
        <w:t xml:space="preserve"> y </w:t>
      </w:r>
      <w:r w:rsidRPr="00D73C5B">
        <w:rPr>
          <w:rFonts w:asciiTheme="majorHAnsi" w:hAnsiTheme="majorHAnsi"/>
          <w:sz w:val="20"/>
          <w:szCs w:val="20"/>
          <w:lang w:val="es-VE"/>
        </w:rPr>
        <w:t xml:space="preserve">2 del </w:t>
      </w:r>
      <w:r w:rsidRPr="00D73C5B">
        <w:rPr>
          <w:rFonts w:asciiTheme="majorHAnsi" w:hAnsiTheme="majorHAnsi"/>
          <w:color w:val="000000" w:themeColor="text1"/>
          <w:sz w:val="20"/>
          <w:szCs w:val="20"/>
          <w:lang w:val="es-VE"/>
        </w:rPr>
        <w:t xml:space="preserve">mismo instrumento. La Comisión formuló las recomendaciones respectivas. </w:t>
      </w:r>
    </w:p>
    <w:p w:rsidR="007C756A" w:rsidRDefault="007C756A" w:rsidP="000D31F6">
      <w:pPr>
        <w:pStyle w:val="ListParagraph"/>
        <w:suppressAutoHyphens/>
        <w:ind w:left="1080"/>
        <w:rPr>
          <w:rFonts w:asciiTheme="majorHAnsi" w:hAnsiTheme="majorHAnsi"/>
          <w:b/>
          <w:sz w:val="20"/>
          <w:szCs w:val="20"/>
          <w:lang w:val="es-ES_tradnl"/>
        </w:rPr>
      </w:pPr>
    </w:p>
    <w:p w:rsidR="001D7748" w:rsidRDefault="001D7748" w:rsidP="000D31F6">
      <w:pPr>
        <w:pStyle w:val="ListParagraph"/>
        <w:suppressAutoHyphens/>
        <w:ind w:left="1080"/>
        <w:rPr>
          <w:rFonts w:asciiTheme="majorHAnsi" w:hAnsiTheme="majorHAnsi"/>
          <w:b/>
          <w:sz w:val="20"/>
          <w:szCs w:val="20"/>
          <w:lang w:val="es-ES_tradnl"/>
        </w:rPr>
      </w:pPr>
    </w:p>
    <w:p w:rsidR="001D7748" w:rsidRDefault="001D7748" w:rsidP="000D31F6">
      <w:pPr>
        <w:pStyle w:val="ListParagraph"/>
        <w:suppressAutoHyphens/>
        <w:ind w:left="1080"/>
        <w:rPr>
          <w:rFonts w:asciiTheme="majorHAnsi" w:hAnsiTheme="majorHAnsi"/>
          <w:b/>
          <w:sz w:val="20"/>
          <w:szCs w:val="20"/>
          <w:lang w:val="es-ES_tradnl"/>
        </w:rPr>
      </w:pPr>
    </w:p>
    <w:p w:rsidR="001D7748" w:rsidRDefault="001D7748" w:rsidP="000D31F6">
      <w:pPr>
        <w:pStyle w:val="ListParagraph"/>
        <w:suppressAutoHyphens/>
        <w:ind w:left="1080"/>
        <w:rPr>
          <w:rFonts w:asciiTheme="majorHAnsi" w:hAnsiTheme="majorHAnsi"/>
          <w:b/>
          <w:sz w:val="20"/>
          <w:szCs w:val="20"/>
          <w:lang w:val="es-ES_tradnl"/>
        </w:rPr>
      </w:pPr>
    </w:p>
    <w:p w:rsidR="001D7748" w:rsidRDefault="001D7748" w:rsidP="000D31F6">
      <w:pPr>
        <w:pStyle w:val="ListParagraph"/>
        <w:suppressAutoHyphens/>
        <w:ind w:left="1080"/>
        <w:rPr>
          <w:rFonts w:asciiTheme="majorHAnsi" w:hAnsiTheme="majorHAnsi"/>
          <w:b/>
          <w:sz w:val="20"/>
          <w:szCs w:val="20"/>
          <w:lang w:val="es-ES_tradnl"/>
        </w:rPr>
      </w:pPr>
    </w:p>
    <w:p w:rsidR="001D7748" w:rsidRDefault="001D7748" w:rsidP="000D31F6">
      <w:pPr>
        <w:pStyle w:val="ListParagraph"/>
        <w:suppressAutoHyphens/>
        <w:ind w:left="1080"/>
        <w:rPr>
          <w:rFonts w:asciiTheme="majorHAnsi" w:hAnsiTheme="majorHAnsi"/>
          <w:b/>
          <w:sz w:val="20"/>
          <w:szCs w:val="20"/>
          <w:lang w:val="es-ES_tradnl"/>
        </w:rPr>
      </w:pPr>
    </w:p>
    <w:p w:rsidR="00D12193" w:rsidRPr="00D73C5B" w:rsidRDefault="00D12193" w:rsidP="000D31F6">
      <w:pPr>
        <w:pStyle w:val="Heading1"/>
      </w:pPr>
      <w:bookmarkStart w:id="2" w:name="_Toc531327089"/>
      <w:bookmarkStart w:id="3" w:name="_Hlk530503804"/>
      <w:r w:rsidRPr="00D73C5B">
        <w:t>ALEGATOS DE LAS PARTES</w:t>
      </w:r>
      <w:bookmarkEnd w:id="2"/>
    </w:p>
    <w:p w:rsidR="00D83D73" w:rsidRPr="00D73C5B" w:rsidRDefault="00D83D73" w:rsidP="000D31F6">
      <w:pPr>
        <w:suppressAutoHyphens/>
        <w:rPr>
          <w:rFonts w:asciiTheme="majorHAnsi" w:hAnsiTheme="majorHAnsi"/>
          <w:b/>
          <w:sz w:val="20"/>
          <w:szCs w:val="20"/>
          <w:lang w:val="es-ES_tradnl"/>
        </w:rPr>
      </w:pPr>
    </w:p>
    <w:p w:rsidR="00D12193" w:rsidRPr="000D31F6" w:rsidRDefault="000D31F6" w:rsidP="000D31F6">
      <w:pPr>
        <w:pStyle w:val="Heading2"/>
      </w:pPr>
      <w:bookmarkStart w:id="4" w:name="_Toc531327090"/>
      <w:r w:rsidRPr="000D31F6">
        <w:t>Parte peticionaria</w:t>
      </w:r>
      <w:bookmarkEnd w:id="4"/>
      <w:r w:rsidR="00CC63CF" w:rsidRPr="000D31F6">
        <w:t xml:space="preserve"> </w:t>
      </w:r>
    </w:p>
    <w:p w:rsidR="00361415" w:rsidRPr="00D73C5B" w:rsidRDefault="00361415" w:rsidP="000D31F6">
      <w:pPr>
        <w:suppressAutoHyphens/>
        <w:rPr>
          <w:rFonts w:asciiTheme="majorHAnsi" w:hAnsiTheme="majorHAnsi"/>
          <w:sz w:val="20"/>
          <w:szCs w:val="20"/>
          <w:lang w:val="es-ES_tradnl"/>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olor w:val="000000" w:themeColor="text1"/>
          <w:sz w:val="20"/>
          <w:szCs w:val="20"/>
          <w:lang w:val="es-VE"/>
        </w:rPr>
        <w:t xml:space="preserve">Según </w:t>
      </w:r>
      <w:r w:rsidRPr="00D73C5B">
        <w:rPr>
          <w:rFonts w:asciiTheme="majorHAnsi" w:hAnsiTheme="majorHAnsi"/>
          <w:sz w:val="20"/>
          <w:szCs w:val="20"/>
          <w:lang w:val="es-VE"/>
        </w:rPr>
        <w:t xml:space="preserve">la parte peticionaria, Sandra Cecilia </w:t>
      </w:r>
      <w:proofErr w:type="spellStart"/>
      <w:r w:rsidRPr="00D73C5B">
        <w:rPr>
          <w:rFonts w:asciiTheme="majorHAnsi" w:hAnsiTheme="majorHAnsi"/>
          <w:sz w:val="20"/>
          <w:szCs w:val="20"/>
          <w:lang w:val="es-VE"/>
        </w:rPr>
        <w:t>Pavez</w:t>
      </w:r>
      <w:proofErr w:type="spellEnd"/>
      <w:r w:rsidRPr="00D73C5B">
        <w:rPr>
          <w:rFonts w:asciiTheme="majorHAnsi" w:hAnsiTheme="majorHAnsi"/>
          <w:sz w:val="20"/>
          <w:szCs w:val="20"/>
          <w:lang w:val="es-VE"/>
        </w:rPr>
        <w:t xml:space="preserve"> </w:t>
      </w:r>
      <w:proofErr w:type="spellStart"/>
      <w:r w:rsidRPr="00D73C5B">
        <w:rPr>
          <w:rFonts w:asciiTheme="majorHAnsi" w:hAnsiTheme="majorHAnsi"/>
          <w:sz w:val="20"/>
          <w:szCs w:val="20"/>
          <w:lang w:val="es-VE"/>
        </w:rPr>
        <w:t>Pavez</w:t>
      </w:r>
      <w:proofErr w:type="spellEnd"/>
      <w:r w:rsidR="00550A33" w:rsidRPr="00D73C5B">
        <w:rPr>
          <w:rFonts w:asciiTheme="majorHAnsi" w:hAnsiTheme="majorHAnsi"/>
          <w:sz w:val="20"/>
          <w:szCs w:val="20"/>
          <w:lang w:val="es-VE"/>
        </w:rPr>
        <w:t xml:space="preserve"> es</w:t>
      </w:r>
      <w:r w:rsidRPr="00D73C5B">
        <w:rPr>
          <w:rFonts w:asciiTheme="majorHAnsi" w:hAnsiTheme="majorHAnsi"/>
          <w:sz w:val="20"/>
          <w:szCs w:val="20"/>
          <w:lang w:val="es-VE"/>
        </w:rPr>
        <w:t xml:space="preserve"> profesora de la asignatura de religión de </w:t>
      </w:r>
      <w:r w:rsidRPr="00D73C5B">
        <w:rPr>
          <w:rFonts w:asciiTheme="majorHAnsi" w:hAnsiTheme="majorHAnsi"/>
          <w:sz w:val="20"/>
          <w:szCs w:val="20"/>
          <w:lang w:val="es-ES_tradnl"/>
        </w:rPr>
        <w:t>Educación</w:t>
      </w:r>
      <w:r w:rsidRPr="00D73C5B">
        <w:rPr>
          <w:rFonts w:asciiTheme="majorHAnsi" w:hAnsiTheme="majorHAnsi"/>
          <w:sz w:val="20"/>
          <w:szCs w:val="20"/>
          <w:lang w:val="es-VE"/>
        </w:rPr>
        <w:t xml:space="preserve"> General Básica en el </w:t>
      </w:r>
      <w:r w:rsidRPr="00D73C5B">
        <w:rPr>
          <w:rFonts w:asciiTheme="majorHAnsi" w:hAnsiTheme="majorHAnsi" w:cs="Arial"/>
          <w:sz w:val="20"/>
          <w:szCs w:val="20"/>
          <w:lang w:val="es-ES_tradnl"/>
        </w:rPr>
        <w:t xml:space="preserve">Colegio Municipal Cardenal Antonio </w:t>
      </w:r>
      <w:proofErr w:type="spellStart"/>
      <w:r w:rsidRPr="00D73C5B">
        <w:rPr>
          <w:rFonts w:asciiTheme="majorHAnsi" w:hAnsiTheme="majorHAnsi" w:cs="Arial"/>
          <w:sz w:val="20"/>
          <w:szCs w:val="20"/>
          <w:lang w:val="es-ES_tradnl"/>
        </w:rPr>
        <w:t>Samoré</w:t>
      </w:r>
      <w:proofErr w:type="spellEnd"/>
      <w:r w:rsidRPr="00D73C5B">
        <w:rPr>
          <w:rFonts w:asciiTheme="majorHAnsi" w:hAnsiTheme="majorHAnsi" w:cs="Arial"/>
          <w:sz w:val="20"/>
          <w:szCs w:val="20"/>
          <w:lang w:val="es-ES_tradnl"/>
        </w:rPr>
        <w:t xml:space="preserve"> desde hace más de 22 años. La parte peticionaria indicó que de conformidad con el artículo 9 del Decreto 924 del Ministerio de Educación </w:t>
      </w:r>
      <w:r w:rsidR="00BC5B9E" w:rsidRPr="00D73C5B">
        <w:rPr>
          <w:rFonts w:asciiTheme="majorHAnsi" w:hAnsiTheme="majorHAnsi" w:cs="Arial"/>
          <w:sz w:val="20"/>
          <w:szCs w:val="20"/>
          <w:lang w:val="es-ES_tradnl"/>
        </w:rPr>
        <w:t>c</w:t>
      </w:r>
      <w:r w:rsidRPr="00D73C5B">
        <w:rPr>
          <w:rFonts w:asciiTheme="majorHAnsi" w:hAnsiTheme="majorHAnsi" w:cs="Arial"/>
          <w:sz w:val="20"/>
          <w:szCs w:val="20"/>
          <w:lang w:val="es-ES_tradnl"/>
        </w:rPr>
        <w:t>hileno que reglamenta las clases de religión en establecimientos educacionales, quienes enseñan dicha asignatura para poder ejercer, además de acreditar sus estudios, requieren de un certificado de idoneidad expedido por la autoridad religiosa correspondiente.</w:t>
      </w:r>
    </w:p>
    <w:p w:rsidR="00967F2C" w:rsidRPr="00D73C5B" w:rsidRDefault="00967F2C"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cs="Arial"/>
          <w:sz w:val="20"/>
          <w:szCs w:val="20"/>
          <w:lang w:val="es-ES_tradnl"/>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 xml:space="preserve">La parte peticionaria señaló que el 25 de julio de 2007 el vicario para la educación del obispado de San Bernardo, René Aguilera, emitió una comunicación escrita dirigida a la señora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en donde le informó la decisión de revocarle su certificado de idoneidad -el cual había sido expedido continuamente desde que la señora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empezó a ejercer como docente-, e inhabilitarla para el ejercicio de su profesión. La parte peticionaria alegó que dicha decisión fue tomada debido a que la autoridad tuvo conocimiento de la orientación sexual de Sandra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En ese sentido, indicó que previamente el vicario había exhortado a la presunta víctima a que dejara su “vida homosexual” so pena de que no se le permitiría seguir ejerciendo como docente de religión. Asimismo, la parte peticionaria señaló que </w:t>
      </w:r>
      <w:r w:rsidR="00A8345A" w:rsidRPr="00D73C5B">
        <w:rPr>
          <w:rFonts w:asciiTheme="majorHAnsi" w:hAnsiTheme="majorHAnsi" w:cs="Arial"/>
          <w:sz w:val="20"/>
          <w:szCs w:val="20"/>
          <w:lang w:val="es-ES_tradnl"/>
        </w:rPr>
        <w:t>dicha</w:t>
      </w:r>
      <w:r w:rsidRPr="00D73C5B">
        <w:rPr>
          <w:rFonts w:asciiTheme="majorHAnsi" w:hAnsiTheme="majorHAnsi" w:cs="Arial"/>
          <w:sz w:val="20"/>
          <w:szCs w:val="20"/>
          <w:lang w:val="es-ES_tradnl"/>
        </w:rPr>
        <w:t xml:space="preserve"> autoridad le había impuesto como condición adicional que se sometiera a una terapia psiquiátrica para que “revirtiera su supuesta alteración mental”. Sostuvo que la presunta víctima no accedió a dichas imposiciones y que por esa razón se revocó su certificado de idoneidad. </w:t>
      </w:r>
    </w:p>
    <w:p w:rsidR="00967F2C" w:rsidRPr="00D73C5B" w:rsidRDefault="00967F2C" w:rsidP="00306C81">
      <w:pPr>
        <w:pStyle w:val="ListParagraph"/>
        <w:ind w:firstLine="720"/>
        <w:rPr>
          <w:rFonts w:asciiTheme="majorHAnsi" w:hAnsiTheme="majorHAnsi" w:cs="Arial"/>
          <w:sz w:val="20"/>
          <w:szCs w:val="20"/>
          <w:lang w:val="es-ES_tradnl"/>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 xml:space="preserve">Con respecto al proceso, la parte peticionaria manifestó que se interpuso un recurso de protección en contra del vicario. Refirió que dicho recurso fue rechazado por la Corte de Apelaciones de San Miguel al considerar que la legislación aplicable facultaba a la autoridad religiosa a tomar una decisión al respecto, sin que competa al Estado inmiscuirse o cuestionarla. Ante esta decisión, la parte peticionaria señaló que se interpuso recurso de apelación, el cual fue resuelto por la Corte Suprema chilena confirmando en todas sus partes la sentencia recurrida. </w:t>
      </w:r>
    </w:p>
    <w:p w:rsidR="00967F2C" w:rsidRPr="00D73C5B" w:rsidRDefault="00967F2C" w:rsidP="00306C81">
      <w:pPr>
        <w:pStyle w:val="ListParagraph"/>
        <w:ind w:firstLine="720"/>
        <w:rPr>
          <w:rFonts w:asciiTheme="majorHAnsi" w:hAnsiTheme="majorHAnsi"/>
          <w:color w:val="000000" w:themeColor="text1"/>
          <w:sz w:val="20"/>
          <w:szCs w:val="20"/>
          <w:lang w:val="es-VE"/>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olor w:val="000000" w:themeColor="text1"/>
          <w:sz w:val="20"/>
          <w:szCs w:val="20"/>
          <w:lang w:val="es-VE"/>
        </w:rPr>
        <w:t xml:space="preserve">La parte peticionaria arguyó que el presente es un caso sobre empleo público y discriminación en razón de la orientación sexual. Afirmó que el Estado, aun en el “supuesto resguardo de la Libertad de Creencia, no puede ni debe tolerar actos discriminatorios en una sociedad democrática”. Indicó que el Estado le transfirió una potestad de decisión amplia y sin límites a las religiones que les da un espacio de impunidad para censurar a profesionales por razones discriminatorias. </w:t>
      </w:r>
    </w:p>
    <w:p w:rsidR="00967F2C" w:rsidRPr="00D73C5B" w:rsidRDefault="00967F2C" w:rsidP="00306C81">
      <w:pPr>
        <w:pStyle w:val="ListParagraph"/>
        <w:ind w:firstLine="720"/>
        <w:rPr>
          <w:rFonts w:asciiTheme="majorHAnsi" w:hAnsiTheme="majorHAnsi"/>
          <w:color w:val="000000" w:themeColor="text1"/>
          <w:sz w:val="20"/>
          <w:szCs w:val="20"/>
          <w:lang w:val="es-VE"/>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olor w:val="000000" w:themeColor="text1"/>
          <w:sz w:val="20"/>
          <w:szCs w:val="20"/>
          <w:lang w:val="es-VE"/>
        </w:rPr>
        <w:t xml:space="preserve">La parte peticionaria alegó que los hechos anteriormente descritos constituyeron una violación del derecho al empleo público en condiciones de igualdad consagrado en el artículo 23.1.c de la CADH en relación con la obligación de garantía. Afirmó que Sandra </w:t>
      </w:r>
      <w:proofErr w:type="spellStart"/>
      <w:r w:rsidRPr="00D73C5B">
        <w:rPr>
          <w:rFonts w:asciiTheme="majorHAnsi" w:hAnsiTheme="majorHAnsi"/>
          <w:color w:val="000000" w:themeColor="text1"/>
          <w:sz w:val="20"/>
          <w:szCs w:val="20"/>
          <w:lang w:val="es-VE"/>
        </w:rPr>
        <w:t>Pavez</w:t>
      </w:r>
      <w:proofErr w:type="spellEnd"/>
      <w:r w:rsidRPr="00D73C5B">
        <w:rPr>
          <w:rFonts w:asciiTheme="majorHAnsi" w:hAnsiTheme="majorHAnsi"/>
          <w:color w:val="000000" w:themeColor="text1"/>
          <w:sz w:val="20"/>
          <w:szCs w:val="20"/>
          <w:lang w:val="es-VE"/>
        </w:rPr>
        <w:t xml:space="preserve"> se desempeñaba como funcionaria pública en un establecimiento educacional estatal y que el Estado, al otorgar la potestad a una autoridad religiosa de evaluar la idoneidad de un profesional no se basó en ningún parámetro razonable u objetivo, y al tolerar la decisión de la Iglesia Católica discriminó a una persona en su empleo público basándose en una categoría prohibida. Asimismo, señaló que el Decreto 924 no es idóneo para regular y tener efecto sobre el empleo público, al no ser una ley en el sentido de la Convención.</w:t>
      </w:r>
    </w:p>
    <w:p w:rsidR="00967F2C" w:rsidRPr="00D73C5B" w:rsidRDefault="00967F2C" w:rsidP="00306C81">
      <w:pPr>
        <w:pStyle w:val="ListParagraph"/>
        <w:ind w:firstLine="720"/>
        <w:rPr>
          <w:rFonts w:asciiTheme="majorHAnsi" w:hAnsiTheme="majorHAnsi"/>
          <w:color w:val="000000" w:themeColor="text1"/>
          <w:sz w:val="20"/>
          <w:szCs w:val="20"/>
          <w:lang w:val="es-VE"/>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olor w:val="000000" w:themeColor="text1"/>
          <w:sz w:val="20"/>
          <w:szCs w:val="20"/>
          <w:lang w:val="es-VE"/>
        </w:rPr>
        <w:t xml:space="preserve">La parte peticionaria argumentó que el Estado también violó el derecho a la igualdad ante la ley de Sandra </w:t>
      </w:r>
      <w:proofErr w:type="spellStart"/>
      <w:r w:rsidRPr="00D73C5B">
        <w:rPr>
          <w:rFonts w:asciiTheme="majorHAnsi" w:hAnsiTheme="majorHAnsi"/>
          <w:color w:val="000000" w:themeColor="text1"/>
          <w:sz w:val="20"/>
          <w:szCs w:val="20"/>
          <w:lang w:val="es-VE"/>
        </w:rPr>
        <w:t>Pavez</w:t>
      </w:r>
      <w:proofErr w:type="spellEnd"/>
      <w:r w:rsidRPr="00D73C5B">
        <w:rPr>
          <w:rFonts w:asciiTheme="majorHAnsi" w:hAnsiTheme="majorHAnsi"/>
          <w:color w:val="000000" w:themeColor="text1"/>
          <w:sz w:val="20"/>
          <w:szCs w:val="20"/>
          <w:lang w:val="es-VE"/>
        </w:rPr>
        <w:t xml:space="preserve">, puesto que la conducta desplegada por el Vicario Aguilera, sumada a la negación de derechos por parte de los tribunales chilenos, “conllevan a perpetuar una situación de constante discriminación y repudio a las minorías homosexuales, a favor de una corriente de pensamiento al interior de la Iglesia Católica que contradice en forma directa la Ley del Estado de Chile”. </w:t>
      </w:r>
    </w:p>
    <w:p w:rsidR="00967F2C" w:rsidRDefault="00967F2C"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Pr="00D73C5B" w:rsidRDefault="00227946" w:rsidP="00306C81">
      <w:pPr>
        <w:pStyle w:val="ListParagraph"/>
        <w:ind w:firstLine="720"/>
        <w:rPr>
          <w:rFonts w:asciiTheme="majorHAnsi" w:hAnsiTheme="majorHAnsi"/>
          <w:color w:val="000000" w:themeColor="text1"/>
          <w:sz w:val="20"/>
          <w:szCs w:val="20"/>
          <w:lang w:val="es-VE"/>
        </w:rPr>
      </w:pPr>
    </w:p>
    <w:p w:rsidR="00967F2C" w:rsidRPr="00D73C5B" w:rsidRDefault="00967F2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olor w:val="000000" w:themeColor="text1"/>
          <w:sz w:val="20"/>
          <w:szCs w:val="20"/>
          <w:lang w:val="es-VE"/>
        </w:rPr>
        <w:t>Asimismo, afirmó que Chile es responsable por la violación del derecho a la protección de la honra y de la dignidad debido a que los tribunales chilenos ampararon en sus decisiones corrientes de pensamiento que fomentan la discriminación e injerencia en la vida privada de los individuos. Finalmente, sostuvo que la inacción del Estado en adoptar medidas como la reforma del Decreto 924 para impedir la discriminación, incumplió el deber de adoptar disposiciones de derecho interno.</w:t>
      </w:r>
    </w:p>
    <w:p w:rsidR="00361415" w:rsidRPr="00D73C5B" w:rsidRDefault="00361415" w:rsidP="000D31F6">
      <w:pPr>
        <w:suppressAutoHyphens/>
        <w:rPr>
          <w:rFonts w:asciiTheme="majorHAnsi" w:hAnsiTheme="majorHAnsi"/>
          <w:color w:val="548DD4" w:themeColor="text2" w:themeTint="99"/>
          <w:sz w:val="20"/>
          <w:szCs w:val="20"/>
          <w:lang w:val="es-VE"/>
        </w:rPr>
      </w:pPr>
    </w:p>
    <w:p w:rsidR="00D12193" w:rsidRPr="00D73C5B" w:rsidRDefault="000D31F6" w:rsidP="000D31F6">
      <w:pPr>
        <w:pStyle w:val="Heading2"/>
      </w:pPr>
      <w:bookmarkStart w:id="5" w:name="_Toc531327091"/>
      <w:r w:rsidRPr="00D73C5B">
        <w:t>Estado</w:t>
      </w:r>
      <w:bookmarkEnd w:id="5"/>
      <w:r w:rsidR="00CC63CF" w:rsidRPr="00D73C5B">
        <w:t xml:space="preserve"> </w:t>
      </w:r>
    </w:p>
    <w:p w:rsidR="007C756A" w:rsidRPr="00D73C5B" w:rsidRDefault="007C756A" w:rsidP="000D31F6">
      <w:pPr>
        <w:suppressAutoHyphens/>
        <w:rPr>
          <w:rFonts w:asciiTheme="majorHAnsi" w:hAnsiTheme="majorHAnsi"/>
          <w:sz w:val="20"/>
          <w:szCs w:val="20"/>
          <w:lang w:val="es-ES_tradnl"/>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El Estado indicó que no tenía reparos en relación con los hechos descritos por la parte peticionaria. </w:t>
      </w:r>
    </w:p>
    <w:p w:rsidR="00F5369E" w:rsidRPr="00D73C5B" w:rsidRDefault="00F5369E"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color w:val="000000" w:themeColor="text1"/>
          <w:sz w:val="20"/>
          <w:szCs w:val="20"/>
          <w:lang w:val="es-VE"/>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Señaló que desde 1925 se encuentra vigente la separación formal entre la Iglesia Católica y el Estado, hecho que representa la autonomía de la que gozan, en materia de asuntos religiosos, las iglesias y cultos que coexisten en el país. Argumentó que en consecuencia, las decisiones que adopte la Iglesia Católica en temas que son de su exclusiva competencia no deben ser ni interpretadas ni interferidas por acciones del Estado laico.</w:t>
      </w:r>
    </w:p>
    <w:p w:rsidR="00F5369E" w:rsidRPr="00D73C5B" w:rsidRDefault="00F5369E" w:rsidP="00306C81">
      <w:pPr>
        <w:pStyle w:val="ListParagraph"/>
        <w:ind w:firstLine="720"/>
        <w:rPr>
          <w:rFonts w:asciiTheme="majorHAnsi" w:hAnsiTheme="majorHAnsi"/>
          <w:color w:val="000000" w:themeColor="text1"/>
          <w:sz w:val="20"/>
          <w:szCs w:val="20"/>
          <w:lang w:val="es-VE"/>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El Estado sostuvo que el Decreto 924 es congruente con lo que la Convención Americana prescribe en materia de libertad de consciencia y de religión. Afirmó que la norma no interfiere ni toma posición, sino que se limita a transferir a cada credo la posibilidad de decidir, de acuerdo a sus creencias, las características que deben tener quienes enseñan su religión. Arguyó que la potestad no es arbitraria sino que se trata de una facultad legítima establecida para garantizar la independencia de las iglesias. </w:t>
      </w:r>
    </w:p>
    <w:p w:rsidR="00F5369E" w:rsidRPr="00D73C5B" w:rsidRDefault="00F5369E" w:rsidP="00306C81">
      <w:pPr>
        <w:pStyle w:val="ListParagraph"/>
        <w:ind w:firstLine="720"/>
        <w:rPr>
          <w:rFonts w:asciiTheme="majorHAnsi" w:hAnsiTheme="majorHAnsi"/>
          <w:color w:val="000000" w:themeColor="text1"/>
          <w:sz w:val="20"/>
          <w:szCs w:val="20"/>
          <w:lang w:val="es-VE"/>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Refirió que sin perjuicio de lo anterior, el Decreto en cuestión está siendo objeto de análisis “en cuanto a la pertinencia de una modificación con miras a dejar cerrada la puerta a situaciones que pudieran considerarse difusas o poco claras en relación a la compatibilidad con los estándares internacionales”. Indicó que el estudio se inició con ocasión del acuerdo de solución amistosa celebrado en la petición “Cesar Peralta y otros” sobre matrimonio igualitario en Chile. Afirmó que en el acuerdo se plasmó lo siguiente: </w:t>
      </w:r>
    </w:p>
    <w:p w:rsidR="00F5369E" w:rsidRPr="00D73C5B" w:rsidRDefault="00F5369E" w:rsidP="000D31F6">
      <w:pPr>
        <w:jc w:val="both"/>
        <w:rPr>
          <w:rFonts w:asciiTheme="majorHAnsi" w:hAnsiTheme="majorHAnsi"/>
          <w:color w:val="000000" w:themeColor="text1"/>
          <w:sz w:val="20"/>
          <w:szCs w:val="20"/>
          <w:lang w:val="es-VE"/>
        </w:rPr>
      </w:pPr>
    </w:p>
    <w:p w:rsidR="00F5369E" w:rsidRPr="00D73C5B" w:rsidRDefault="00F5369E" w:rsidP="00306C81">
      <w:pPr>
        <w:ind w:left="720" w:right="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Asegurar que el estudio del Decreto Supremo 924, del 12 de septiembre de 1983, del Ministerio de Educación, que Reglamenta Clases de Religión en Establecimientos Educacionales, conducirá a una actualización del mismo y considerará los aspectos pertinentes que garanticen la no discriminación de docentes y estudiantes, teniendo en cuenta las categorías de protección definidas en la Ley Nº 20.609. </w:t>
      </w:r>
      <w:proofErr w:type="gramStart"/>
      <w:r w:rsidRPr="00D73C5B">
        <w:rPr>
          <w:rFonts w:asciiTheme="majorHAnsi" w:hAnsiTheme="majorHAnsi"/>
          <w:color w:val="000000" w:themeColor="text1"/>
          <w:sz w:val="20"/>
          <w:szCs w:val="20"/>
          <w:lang w:val="es-VE"/>
        </w:rPr>
        <w:t>que</w:t>
      </w:r>
      <w:proofErr w:type="gramEnd"/>
      <w:r w:rsidRPr="00D73C5B">
        <w:rPr>
          <w:rFonts w:asciiTheme="majorHAnsi" w:hAnsiTheme="majorHAnsi"/>
          <w:color w:val="000000" w:themeColor="text1"/>
          <w:sz w:val="20"/>
          <w:szCs w:val="20"/>
          <w:lang w:val="es-VE"/>
        </w:rPr>
        <w:t xml:space="preserve"> Establece Medidas contra la Discriminación. Se deja constancia que el estudio del Decreto Supremo 924 se inició el primer semestre del 2016.</w:t>
      </w:r>
    </w:p>
    <w:p w:rsidR="00F5369E" w:rsidRPr="00D73C5B" w:rsidRDefault="00F5369E" w:rsidP="000D31F6">
      <w:pPr>
        <w:ind w:right="340"/>
        <w:jc w:val="both"/>
        <w:rPr>
          <w:rFonts w:asciiTheme="majorHAnsi" w:hAnsiTheme="majorHAnsi"/>
          <w:color w:val="000000" w:themeColor="text1"/>
          <w:sz w:val="20"/>
          <w:szCs w:val="20"/>
          <w:lang w:val="es-VE"/>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Por otro lado, el Estado chileno señaló que debe distinguirse a la entidad que hace el nombramiento o contrata a un docente –en este caso una escuela pública- con quien se tiene un vínculo estrictamente laboral, y la autoridad religiosa que habilita para enseñar. En cuanto a la autoridad habilitante, afirmó que la pérdida de confianza es motivo o razón suficiente para revocar una designación, como elemento esencial de la llamada “confianza pastoral”. </w:t>
      </w:r>
    </w:p>
    <w:p w:rsidR="00F5369E" w:rsidRPr="00D73C5B" w:rsidRDefault="00F5369E"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color w:val="000000" w:themeColor="text1"/>
          <w:sz w:val="20"/>
          <w:szCs w:val="20"/>
          <w:lang w:val="es-VE"/>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Indicó que “el caso que se presenta ante la Comisión tiene como finalidad atribuir al Estado responsabilidad por una supuesta falta de acción (…) Sin embargo la tenue línea que separa los ámbitos entre lo estatal y lo religioso, hace complejo señalar abierta y decididamente al Estado como responsable exclusivo de una violación de derechos humanos basada en la discriminación por orientación sexual”.</w:t>
      </w:r>
    </w:p>
    <w:p w:rsidR="00F5369E" w:rsidRDefault="00F5369E"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Default="00227946" w:rsidP="00306C81">
      <w:pPr>
        <w:pStyle w:val="ListParagraph"/>
        <w:ind w:firstLine="720"/>
        <w:rPr>
          <w:rFonts w:asciiTheme="majorHAnsi" w:hAnsiTheme="majorHAnsi"/>
          <w:color w:val="000000" w:themeColor="text1"/>
          <w:sz w:val="20"/>
          <w:szCs w:val="20"/>
          <w:lang w:val="es-VE"/>
        </w:rPr>
      </w:pPr>
    </w:p>
    <w:p w:rsidR="00227946" w:rsidRPr="00D73C5B" w:rsidRDefault="00227946" w:rsidP="00306C81">
      <w:pPr>
        <w:pStyle w:val="ListParagraph"/>
        <w:ind w:firstLine="720"/>
        <w:rPr>
          <w:rFonts w:asciiTheme="majorHAnsi" w:hAnsiTheme="majorHAnsi"/>
          <w:color w:val="000000" w:themeColor="text1"/>
          <w:sz w:val="20"/>
          <w:szCs w:val="20"/>
          <w:lang w:val="es-VE"/>
        </w:rPr>
      </w:pPr>
    </w:p>
    <w:p w:rsidR="00F5369E"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El Estado recalcó que la parte peticionaria nunca refirió como vulnerado el derecho a la libertad de conciencia y de religión por lo que no puede atribuírsele una actitud contraria al libre ejercicio de la fe religiosa de la peticionaria. </w:t>
      </w:r>
    </w:p>
    <w:p w:rsidR="00F5369E" w:rsidRPr="00D73C5B" w:rsidRDefault="00F5369E" w:rsidP="00306C81">
      <w:pPr>
        <w:pStyle w:val="ListParagraph"/>
        <w:ind w:firstLine="720"/>
        <w:rPr>
          <w:rFonts w:asciiTheme="majorHAnsi" w:hAnsiTheme="majorHAnsi"/>
          <w:color w:val="000000" w:themeColor="text1"/>
          <w:sz w:val="20"/>
          <w:szCs w:val="20"/>
          <w:lang w:val="es-VE"/>
        </w:rPr>
      </w:pPr>
    </w:p>
    <w:p w:rsidR="007F7E9A" w:rsidRPr="00D73C5B" w:rsidRDefault="00F5369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Finalmente, sostuvo que en lo que respecta al actuar de agentes estatales o instituciones públicas, no existen elementos objetivos que induzcan a pensar que hubo un trato discriminatorio en contra de la presunta víctima por su orientación sexual. </w:t>
      </w:r>
    </w:p>
    <w:p w:rsidR="008266A7" w:rsidRDefault="008266A7" w:rsidP="000D31F6">
      <w:pPr>
        <w:pStyle w:val="ListParagraph"/>
        <w:rPr>
          <w:rFonts w:asciiTheme="majorHAnsi" w:hAnsiTheme="majorHAnsi"/>
          <w:color w:val="FF0000"/>
          <w:sz w:val="20"/>
          <w:szCs w:val="20"/>
          <w:lang w:val="es-AR"/>
        </w:rPr>
      </w:pPr>
    </w:p>
    <w:p w:rsidR="00815021" w:rsidRPr="00D73C5B" w:rsidRDefault="00D12193" w:rsidP="000D31F6">
      <w:pPr>
        <w:pStyle w:val="Heading1"/>
      </w:pPr>
      <w:bookmarkStart w:id="6" w:name="_Toc531327092"/>
      <w:r w:rsidRPr="00D73C5B">
        <w:t>DETERMINACIONES DE HECHO</w:t>
      </w:r>
      <w:bookmarkEnd w:id="6"/>
    </w:p>
    <w:p w:rsidR="00D83D73" w:rsidRPr="00D73C5B" w:rsidRDefault="00D83D73" w:rsidP="000D31F6">
      <w:pPr>
        <w:pStyle w:val="ListParagraph"/>
        <w:ind w:left="1440"/>
        <w:rPr>
          <w:rFonts w:asciiTheme="majorHAnsi" w:hAnsiTheme="majorHAnsi"/>
          <w:b/>
          <w:color w:val="auto"/>
          <w:sz w:val="20"/>
          <w:szCs w:val="20"/>
          <w:lang w:val="es-ES_tradnl"/>
        </w:rPr>
      </w:pPr>
    </w:p>
    <w:p w:rsidR="000A576A" w:rsidRPr="00D73C5B" w:rsidRDefault="000D31F6" w:rsidP="000D31F6">
      <w:pPr>
        <w:pStyle w:val="Heading2"/>
        <w:numPr>
          <w:ilvl w:val="0"/>
          <w:numId w:val="69"/>
        </w:numPr>
        <w:ind w:hanging="720"/>
      </w:pPr>
      <w:bookmarkStart w:id="7" w:name="_Toc531327093"/>
      <w:r w:rsidRPr="00D73C5B">
        <w:t>Marco normativo relevante</w:t>
      </w:r>
      <w:bookmarkEnd w:id="7"/>
    </w:p>
    <w:p w:rsidR="00635C78" w:rsidRPr="00D73C5B" w:rsidRDefault="00635C78" w:rsidP="000D31F6">
      <w:pPr>
        <w:jc w:val="both"/>
        <w:rPr>
          <w:rFonts w:asciiTheme="majorHAnsi" w:hAnsiTheme="majorHAnsi"/>
          <w:b/>
          <w:color w:val="FF0000"/>
          <w:sz w:val="20"/>
          <w:szCs w:val="20"/>
          <w:lang w:val="es-ES_tradnl"/>
        </w:rPr>
      </w:pPr>
    </w:p>
    <w:p w:rsidR="00635C78" w:rsidRPr="00D73C5B" w:rsidRDefault="00635C78"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D73C5B">
        <w:rPr>
          <w:rFonts w:asciiTheme="majorHAnsi" w:hAnsiTheme="majorHAnsi"/>
          <w:sz w:val="20"/>
          <w:szCs w:val="20"/>
          <w:lang w:val="es-ES_tradnl"/>
        </w:rPr>
        <w:t>El Decreto 924 del Ministerio de Educación chileno de 12 de septiembre de 1983 “reglamenta las clases de religión en establecimientos educacionales”. Dicho Decreto en su artículo noveno establece que:</w:t>
      </w:r>
    </w:p>
    <w:p w:rsidR="00635C78" w:rsidRPr="00D73C5B" w:rsidRDefault="00635C78" w:rsidP="000D31F6">
      <w:pPr>
        <w:jc w:val="both"/>
        <w:rPr>
          <w:rFonts w:asciiTheme="majorHAnsi" w:hAnsiTheme="majorHAnsi"/>
          <w:sz w:val="20"/>
          <w:szCs w:val="20"/>
          <w:lang w:val="es-ES_tradnl"/>
        </w:rPr>
      </w:pPr>
    </w:p>
    <w:p w:rsidR="00635C78" w:rsidRPr="00D73C5B" w:rsidRDefault="00635C78" w:rsidP="00306C81">
      <w:pPr>
        <w:ind w:left="720" w:right="720"/>
        <w:jc w:val="both"/>
        <w:rPr>
          <w:rFonts w:asciiTheme="majorHAnsi" w:hAnsiTheme="majorHAnsi"/>
          <w:sz w:val="20"/>
          <w:szCs w:val="20"/>
          <w:lang w:val="es-ES_tradnl"/>
        </w:rPr>
      </w:pPr>
      <w:r w:rsidRPr="00D73C5B">
        <w:rPr>
          <w:rFonts w:asciiTheme="majorHAnsi" w:hAnsiTheme="majorHAnsi"/>
          <w:sz w:val="20"/>
          <w:szCs w:val="20"/>
          <w:lang w:val="es-ES_tradnl"/>
        </w:rPr>
        <w:t>El profesor de religión, para ejercer como tal, deberá estar en posesión de un certificado de idoneidad otorgado por la autoridad religiosa que corresponda, cuya validez durará mientras esta no lo revoque, y acreditar además los estudios realizados para servir dicho cargo.</w:t>
      </w:r>
    </w:p>
    <w:p w:rsidR="00635C78" w:rsidRPr="00D73C5B" w:rsidRDefault="00635C78" w:rsidP="00306C81">
      <w:pPr>
        <w:ind w:left="720" w:right="720"/>
        <w:jc w:val="both"/>
        <w:rPr>
          <w:rFonts w:asciiTheme="majorHAnsi" w:hAnsiTheme="majorHAnsi"/>
          <w:sz w:val="20"/>
          <w:szCs w:val="20"/>
          <w:lang w:val="es-ES_tradnl"/>
        </w:rPr>
      </w:pPr>
    </w:p>
    <w:p w:rsidR="00635C78" w:rsidRPr="00D73C5B" w:rsidRDefault="00635C78" w:rsidP="00306C81">
      <w:pPr>
        <w:ind w:left="720" w:right="720"/>
        <w:jc w:val="both"/>
        <w:rPr>
          <w:rFonts w:asciiTheme="majorHAnsi" w:hAnsiTheme="majorHAnsi"/>
          <w:sz w:val="20"/>
          <w:szCs w:val="20"/>
          <w:lang w:val="es-ES_tradnl"/>
        </w:rPr>
      </w:pPr>
      <w:r w:rsidRPr="00D73C5B">
        <w:rPr>
          <w:rFonts w:asciiTheme="majorHAnsi" w:hAnsiTheme="majorHAnsi"/>
          <w:sz w:val="20"/>
          <w:szCs w:val="20"/>
          <w:lang w:val="es-ES_tradnl"/>
        </w:rPr>
        <w:t>La autoridad religiosa correspondiente, podrá otorgar certificado de idoneidad a extranjeros para desempeñarse en establecimientos educacionales municipales y particulares.</w:t>
      </w:r>
    </w:p>
    <w:p w:rsidR="00635C78" w:rsidRPr="00D73C5B" w:rsidRDefault="00635C78" w:rsidP="00306C81">
      <w:pPr>
        <w:ind w:left="720" w:right="720"/>
        <w:jc w:val="both"/>
        <w:rPr>
          <w:rFonts w:asciiTheme="majorHAnsi" w:hAnsiTheme="majorHAnsi"/>
          <w:sz w:val="20"/>
          <w:szCs w:val="20"/>
          <w:lang w:val="es-ES_tradnl"/>
        </w:rPr>
      </w:pPr>
    </w:p>
    <w:p w:rsidR="00635C78" w:rsidRPr="00D73C5B" w:rsidRDefault="00635C78" w:rsidP="00306C81">
      <w:pPr>
        <w:ind w:left="720" w:right="720"/>
        <w:jc w:val="both"/>
        <w:rPr>
          <w:rFonts w:asciiTheme="majorHAnsi" w:hAnsiTheme="majorHAnsi"/>
          <w:sz w:val="20"/>
          <w:szCs w:val="20"/>
          <w:lang w:val="es-ES_tradnl"/>
        </w:rPr>
      </w:pPr>
      <w:r w:rsidRPr="00D73C5B">
        <w:rPr>
          <w:rFonts w:asciiTheme="majorHAnsi" w:hAnsiTheme="majorHAnsi"/>
          <w:sz w:val="20"/>
          <w:szCs w:val="20"/>
          <w:lang w:val="es-ES_tradnl"/>
        </w:rPr>
        <w:t>Si el establecimiento educacional no cuenta con personal idóneo deberá requerirlo a la autoridad religiosa que corresponda, de acuerdo a la preferencia de los padres y apoderados</w:t>
      </w:r>
      <w:r w:rsidRPr="00D73C5B">
        <w:rPr>
          <w:rStyle w:val="FootnoteReference"/>
          <w:rFonts w:asciiTheme="majorHAnsi" w:hAnsiTheme="majorHAnsi"/>
          <w:sz w:val="20"/>
          <w:szCs w:val="20"/>
          <w:lang w:val="es-ES_tradnl"/>
        </w:rPr>
        <w:footnoteReference w:id="6"/>
      </w:r>
      <w:r w:rsidRPr="00D73C5B">
        <w:rPr>
          <w:rFonts w:asciiTheme="majorHAnsi" w:hAnsiTheme="majorHAnsi"/>
          <w:sz w:val="20"/>
          <w:szCs w:val="20"/>
          <w:lang w:val="es-ES_tradnl"/>
        </w:rPr>
        <w:t>.</w:t>
      </w:r>
    </w:p>
    <w:p w:rsidR="00D83D73" w:rsidRPr="00D73C5B" w:rsidRDefault="00D83D73" w:rsidP="000D31F6">
      <w:pPr>
        <w:rPr>
          <w:rFonts w:asciiTheme="majorHAnsi" w:hAnsiTheme="majorHAnsi"/>
          <w:b/>
          <w:color w:val="FF0000"/>
          <w:sz w:val="20"/>
          <w:szCs w:val="20"/>
          <w:lang w:val="es-ES_tradnl"/>
        </w:rPr>
      </w:pPr>
    </w:p>
    <w:p w:rsidR="00D83D73" w:rsidRPr="00D73C5B" w:rsidRDefault="000D31F6" w:rsidP="000D31F6">
      <w:pPr>
        <w:pStyle w:val="Heading2"/>
      </w:pPr>
      <w:bookmarkStart w:id="8" w:name="_Toc531327094"/>
      <w:r w:rsidRPr="00D73C5B">
        <w:t>Hechos del caso</w:t>
      </w:r>
      <w:bookmarkEnd w:id="8"/>
    </w:p>
    <w:p w:rsidR="0017561D" w:rsidRPr="00D73C5B" w:rsidRDefault="0017561D" w:rsidP="000D31F6">
      <w:pPr>
        <w:jc w:val="both"/>
        <w:rPr>
          <w:rFonts w:asciiTheme="majorHAnsi" w:hAnsiTheme="majorHAnsi" w:cs="Arial"/>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 xml:space="preserve">Sandra Cecilia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se desempeñaba como profesora de la asignatura de religión para la Educación General Básica</w:t>
      </w:r>
      <w:r w:rsidRPr="00D73C5B">
        <w:rPr>
          <w:rStyle w:val="FootnoteReference"/>
          <w:rFonts w:asciiTheme="majorHAnsi" w:hAnsiTheme="majorHAnsi" w:cs="Arial"/>
          <w:sz w:val="20"/>
          <w:szCs w:val="20"/>
          <w:lang w:val="es-ES_tradnl"/>
        </w:rPr>
        <w:footnoteReference w:id="7"/>
      </w:r>
      <w:r w:rsidRPr="00D73C5B">
        <w:rPr>
          <w:rFonts w:asciiTheme="majorHAnsi" w:hAnsiTheme="majorHAnsi" w:cs="Arial"/>
          <w:sz w:val="20"/>
          <w:szCs w:val="20"/>
          <w:lang w:val="es-ES_tradnl"/>
        </w:rPr>
        <w:t xml:space="preserve">. La presunta víctima trabajaba como profesora de dicha asignatura en el Colegio Municipal Cardenal Antonio </w:t>
      </w:r>
      <w:proofErr w:type="spellStart"/>
      <w:r w:rsidRPr="00D73C5B">
        <w:rPr>
          <w:rFonts w:asciiTheme="majorHAnsi" w:hAnsiTheme="majorHAnsi" w:cs="Arial"/>
          <w:sz w:val="20"/>
          <w:szCs w:val="20"/>
          <w:lang w:val="es-ES_tradnl"/>
        </w:rPr>
        <w:t>Samoré</w:t>
      </w:r>
      <w:proofErr w:type="spellEnd"/>
      <w:r w:rsidRPr="00D73C5B">
        <w:rPr>
          <w:rFonts w:asciiTheme="majorHAnsi" w:hAnsiTheme="majorHAnsi" w:cs="Arial"/>
          <w:sz w:val="20"/>
          <w:szCs w:val="20"/>
          <w:lang w:val="es-ES_tradnl"/>
        </w:rPr>
        <w:t xml:space="preserve"> desde 1985, y en 1991 obtuvo la calidad de profesora de planta de esa institución educativa</w:t>
      </w:r>
      <w:r w:rsidRPr="00D73C5B">
        <w:rPr>
          <w:rStyle w:val="FootnoteReference"/>
          <w:rFonts w:asciiTheme="majorHAnsi" w:hAnsiTheme="majorHAnsi" w:cs="Arial"/>
          <w:sz w:val="20"/>
          <w:szCs w:val="20"/>
          <w:lang w:val="es-ES_tradnl"/>
        </w:rPr>
        <w:footnoteReference w:id="8"/>
      </w:r>
      <w:r w:rsidRPr="00D73C5B">
        <w:rPr>
          <w:rFonts w:asciiTheme="majorHAnsi" w:hAnsiTheme="majorHAnsi" w:cs="Arial"/>
          <w:sz w:val="20"/>
          <w:szCs w:val="20"/>
          <w:lang w:val="es-ES_tradnl"/>
        </w:rPr>
        <w:t xml:space="preserve">. La parte peticionaria señaló que la señora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nunca fue objeto de reproche alguno por parte de sus superiores, pares, ni del alumnado</w:t>
      </w:r>
      <w:r w:rsidRPr="00D73C5B">
        <w:rPr>
          <w:rStyle w:val="FootnoteReference"/>
          <w:rFonts w:asciiTheme="majorHAnsi" w:hAnsiTheme="majorHAnsi" w:cs="Arial"/>
          <w:sz w:val="20"/>
          <w:szCs w:val="20"/>
          <w:lang w:val="es-ES_tradnl"/>
        </w:rPr>
        <w:footnoteReference w:id="9"/>
      </w:r>
      <w:r w:rsidRPr="00D73C5B">
        <w:rPr>
          <w:rFonts w:asciiTheme="majorHAnsi" w:hAnsiTheme="majorHAnsi" w:cs="Arial"/>
          <w:sz w:val="20"/>
          <w:szCs w:val="20"/>
          <w:lang w:val="es-ES_tradnl"/>
        </w:rPr>
        <w:t>.</w:t>
      </w:r>
    </w:p>
    <w:p w:rsidR="0017561D" w:rsidRPr="00D73C5B" w:rsidRDefault="0017561D"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cs="Arial"/>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 xml:space="preserve">Atendiendo al marco normativo aplicable en la materia derivado del Decreto 924, la señora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había recibido doce certificados de idoneidad por parte de la autoridad eclesiástica hasta 2007</w:t>
      </w:r>
      <w:r w:rsidRPr="00D73C5B">
        <w:rPr>
          <w:rStyle w:val="FootnoteReference"/>
          <w:rFonts w:asciiTheme="majorHAnsi" w:hAnsiTheme="majorHAnsi" w:cs="Arial"/>
          <w:sz w:val="20"/>
          <w:szCs w:val="20"/>
          <w:lang w:val="es-ES_tradnl"/>
        </w:rPr>
        <w:footnoteReference w:id="10"/>
      </w:r>
      <w:r w:rsidRPr="00D73C5B">
        <w:rPr>
          <w:rFonts w:asciiTheme="majorHAnsi" w:hAnsiTheme="majorHAnsi" w:cs="Arial"/>
          <w:sz w:val="20"/>
          <w:szCs w:val="20"/>
          <w:lang w:val="es-ES_tradnl"/>
        </w:rPr>
        <w:t>.</w:t>
      </w:r>
    </w:p>
    <w:p w:rsidR="0017561D" w:rsidRPr="00D73C5B" w:rsidRDefault="0017561D" w:rsidP="00306C81">
      <w:pPr>
        <w:pStyle w:val="ListParagraph"/>
        <w:ind w:firstLine="720"/>
        <w:rPr>
          <w:rFonts w:asciiTheme="majorHAnsi" w:hAnsiTheme="majorHAnsi" w:cs="Arial"/>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 xml:space="preserve">La parte peticionaria indicó que el colegio Cardenal Antonio </w:t>
      </w:r>
      <w:proofErr w:type="spellStart"/>
      <w:r w:rsidRPr="00D73C5B">
        <w:rPr>
          <w:rFonts w:asciiTheme="majorHAnsi" w:hAnsiTheme="majorHAnsi" w:cs="Arial"/>
          <w:sz w:val="20"/>
          <w:szCs w:val="20"/>
          <w:lang w:val="es-ES_tradnl"/>
        </w:rPr>
        <w:t>Samoré</w:t>
      </w:r>
      <w:proofErr w:type="spellEnd"/>
      <w:r w:rsidRPr="00D73C5B">
        <w:rPr>
          <w:rFonts w:asciiTheme="majorHAnsi" w:hAnsiTheme="majorHAnsi" w:cs="Arial"/>
          <w:sz w:val="20"/>
          <w:szCs w:val="20"/>
          <w:lang w:val="es-ES_tradnl"/>
        </w:rPr>
        <w:t xml:space="preserve"> es un establecimiento educacional público, administrado y financiado por el Estado chileno a través de la municipalidad de San Bernardo</w:t>
      </w:r>
      <w:r w:rsidRPr="00D73C5B">
        <w:rPr>
          <w:rStyle w:val="FootnoteReference"/>
          <w:rFonts w:asciiTheme="majorHAnsi" w:hAnsiTheme="majorHAnsi" w:cs="Arial"/>
          <w:sz w:val="20"/>
          <w:szCs w:val="20"/>
          <w:lang w:val="es-ES_tradnl"/>
        </w:rPr>
        <w:footnoteReference w:id="11"/>
      </w:r>
      <w:r w:rsidRPr="00D73C5B">
        <w:rPr>
          <w:rFonts w:asciiTheme="majorHAnsi" w:hAnsiTheme="majorHAnsi" w:cs="Arial"/>
          <w:sz w:val="20"/>
          <w:szCs w:val="20"/>
          <w:lang w:val="es-ES_tradnl"/>
        </w:rPr>
        <w:t xml:space="preserve">. </w:t>
      </w:r>
    </w:p>
    <w:p w:rsidR="0017561D" w:rsidRDefault="0017561D" w:rsidP="00306C81">
      <w:pPr>
        <w:pStyle w:val="ListParagraph"/>
        <w:ind w:firstLine="720"/>
        <w:rPr>
          <w:rFonts w:asciiTheme="majorHAnsi" w:hAnsiTheme="majorHAnsi" w:cs="Arial"/>
          <w:sz w:val="20"/>
          <w:szCs w:val="20"/>
          <w:lang w:val="es-ES_tradnl"/>
        </w:rPr>
      </w:pPr>
    </w:p>
    <w:p w:rsidR="00227946" w:rsidRDefault="00227946" w:rsidP="00306C81">
      <w:pPr>
        <w:pStyle w:val="ListParagraph"/>
        <w:ind w:firstLine="720"/>
        <w:rPr>
          <w:rFonts w:asciiTheme="majorHAnsi" w:hAnsiTheme="majorHAnsi" w:cs="Arial"/>
          <w:sz w:val="20"/>
          <w:szCs w:val="20"/>
          <w:lang w:val="es-ES_tradnl"/>
        </w:rPr>
      </w:pPr>
    </w:p>
    <w:p w:rsidR="00227946" w:rsidRPr="00D73C5B" w:rsidRDefault="00227946" w:rsidP="00306C81">
      <w:pPr>
        <w:pStyle w:val="ListParagraph"/>
        <w:ind w:firstLine="720"/>
        <w:rPr>
          <w:rFonts w:asciiTheme="majorHAnsi" w:hAnsiTheme="majorHAnsi" w:cs="Arial"/>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La parte peticionaria afirmó que en el año 2007 a través de llamadas al establecimiento educativo y a la Diócesis de San Bernardo se esparció el rumor de que la presunta víctima era lesbiana</w:t>
      </w:r>
      <w:r w:rsidRPr="00D73C5B">
        <w:rPr>
          <w:rStyle w:val="FootnoteReference"/>
          <w:rFonts w:asciiTheme="majorHAnsi" w:hAnsiTheme="majorHAnsi" w:cs="Arial"/>
          <w:sz w:val="20"/>
          <w:szCs w:val="20"/>
          <w:lang w:val="es-ES_tradnl"/>
        </w:rPr>
        <w:footnoteReference w:id="12"/>
      </w:r>
      <w:r w:rsidRPr="00D73C5B">
        <w:rPr>
          <w:rFonts w:asciiTheme="majorHAnsi" w:hAnsiTheme="majorHAnsi" w:cs="Arial"/>
          <w:sz w:val="20"/>
          <w:szCs w:val="20"/>
          <w:lang w:val="es-ES_tradnl"/>
        </w:rPr>
        <w:t>. Afirmó que debido a estos hechos, el Vicario</w:t>
      </w:r>
      <w:r w:rsidRPr="00D73C5B">
        <w:rPr>
          <w:rFonts w:asciiTheme="majorHAnsi" w:hAnsiTheme="majorHAnsi"/>
          <w:sz w:val="20"/>
          <w:szCs w:val="20"/>
          <w:lang w:val="es-ES_tradnl"/>
        </w:rPr>
        <w:t xml:space="preserve"> </w:t>
      </w:r>
      <w:r w:rsidRPr="00D73C5B">
        <w:rPr>
          <w:rFonts w:asciiTheme="majorHAnsi" w:hAnsiTheme="majorHAnsi" w:cs="Arial"/>
          <w:sz w:val="20"/>
          <w:szCs w:val="20"/>
          <w:lang w:val="es-ES_tradnl"/>
        </w:rPr>
        <w:t xml:space="preserve">para la Educación del Obispado de San Bernardo, René Aguilera </w:t>
      </w:r>
      <w:proofErr w:type="spellStart"/>
      <w:r w:rsidRPr="00D73C5B">
        <w:rPr>
          <w:rFonts w:asciiTheme="majorHAnsi" w:hAnsiTheme="majorHAnsi" w:cs="Arial"/>
          <w:sz w:val="20"/>
          <w:szCs w:val="20"/>
          <w:lang w:val="es-ES_tradnl"/>
        </w:rPr>
        <w:t>Colinier</w:t>
      </w:r>
      <w:proofErr w:type="spellEnd"/>
      <w:r w:rsidRPr="00D73C5B">
        <w:rPr>
          <w:rFonts w:asciiTheme="majorHAnsi" w:hAnsiTheme="majorHAnsi" w:cs="Arial"/>
          <w:sz w:val="20"/>
          <w:szCs w:val="20"/>
          <w:lang w:val="es-ES_tradnl"/>
        </w:rPr>
        <w:t xml:space="preserve">, en representación del Obispo de la Diócesis de San Bernardo, Juan Ignacio González Errázuriz, cuestionó a Sandra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sobre la veracidad de las afirmaciones</w:t>
      </w:r>
      <w:r w:rsidRPr="00D73C5B">
        <w:rPr>
          <w:rStyle w:val="FootnoteReference"/>
          <w:rFonts w:asciiTheme="majorHAnsi" w:hAnsiTheme="majorHAnsi" w:cs="Arial"/>
          <w:sz w:val="20"/>
          <w:szCs w:val="20"/>
          <w:lang w:val="es-ES_tradnl"/>
        </w:rPr>
        <w:footnoteReference w:id="13"/>
      </w:r>
      <w:r w:rsidRPr="00D73C5B">
        <w:rPr>
          <w:rFonts w:asciiTheme="majorHAnsi" w:hAnsiTheme="majorHAnsi" w:cs="Arial"/>
          <w:sz w:val="20"/>
          <w:szCs w:val="20"/>
          <w:lang w:val="es-ES_tradnl"/>
        </w:rPr>
        <w:t xml:space="preserve">. Señaló que </w:t>
      </w:r>
      <w:r w:rsidR="00867197" w:rsidRPr="00D73C5B">
        <w:rPr>
          <w:rFonts w:asciiTheme="majorHAnsi" w:hAnsiTheme="majorHAnsi" w:cs="Arial"/>
          <w:sz w:val="20"/>
          <w:szCs w:val="20"/>
          <w:lang w:val="es-ES_tradnl"/>
        </w:rPr>
        <w:t xml:space="preserve">la señora </w:t>
      </w:r>
      <w:proofErr w:type="spellStart"/>
      <w:r w:rsidR="00867197" w:rsidRPr="00D73C5B">
        <w:rPr>
          <w:rFonts w:asciiTheme="majorHAnsi" w:hAnsiTheme="majorHAnsi" w:cs="Arial"/>
          <w:sz w:val="20"/>
          <w:szCs w:val="20"/>
          <w:lang w:val="es-ES_tradnl"/>
        </w:rPr>
        <w:t>Pavez</w:t>
      </w:r>
      <w:proofErr w:type="spellEnd"/>
      <w:r w:rsidR="00867197" w:rsidRPr="00D73C5B">
        <w:rPr>
          <w:rFonts w:asciiTheme="majorHAnsi" w:hAnsiTheme="majorHAnsi" w:cs="Arial"/>
          <w:sz w:val="20"/>
          <w:szCs w:val="20"/>
          <w:lang w:val="es-ES_tradnl"/>
        </w:rPr>
        <w:t xml:space="preserve"> le confirmó al v</w:t>
      </w:r>
      <w:r w:rsidRPr="00D73C5B">
        <w:rPr>
          <w:rFonts w:asciiTheme="majorHAnsi" w:hAnsiTheme="majorHAnsi" w:cs="Arial"/>
          <w:sz w:val="20"/>
          <w:szCs w:val="20"/>
          <w:lang w:val="es-ES_tradnl"/>
        </w:rPr>
        <w:t>icario su orientación sexual y que mantenía una relación estable con una pareja del mismo sexo</w:t>
      </w:r>
      <w:r w:rsidRPr="00D73C5B">
        <w:rPr>
          <w:rStyle w:val="FootnoteReference"/>
          <w:rFonts w:asciiTheme="majorHAnsi" w:hAnsiTheme="majorHAnsi" w:cs="Arial"/>
          <w:sz w:val="20"/>
          <w:szCs w:val="20"/>
          <w:lang w:val="es-ES_tradnl"/>
        </w:rPr>
        <w:footnoteReference w:id="14"/>
      </w:r>
      <w:r w:rsidRPr="00D73C5B">
        <w:rPr>
          <w:rFonts w:asciiTheme="majorHAnsi" w:hAnsiTheme="majorHAnsi" w:cs="Arial"/>
          <w:sz w:val="20"/>
          <w:szCs w:val="20"/>
          <w:lang w:val="es-ES_tradnl"/>
        </w:rPr>
        <w:t xml:space="preserve">. </w:t>
      </w:r>
    </w:p>
    <w:p w:rsidR="00361AAA" w:rsidRPr="00D73C5B" w:rsidRDefault="00361AAA" w:rsidP="00306C81">
      <w:pPr>
        <w:pStyle w:val="ListParagraph"/>
        <w:ind w:firstLine="720"/>
        <w:rPr>
          <w:rFonts w:asciiTheme="majorHAnsi" w:hAnsiTheme="majorHAnsi" w:cs="Arial"/>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 xml:space="preserve">La parte peticionaria </w:t>
      </w:r>
      <w:r w:rsidR="00867197" w:rsidRPr="00D73C5B">
        <w:rPr>
          <w:rFonts w:asciiTheme="majorHAnsi" w:hAnsiTheme="majorHAnsi" w:cs="Arial"/>
          <w:sz w:val="20"/>
          <w:szCs w:val="20"/>
          <w:lang w:val="es-ES_tradnl"/>
        </w:rPr>
        <w:t>sostuvo que el v</w:t>
      </w:r>
      <w:r w:rsidRPr="00D73C5B">
        <w:rPr>
          <w:rFonts w:asciiTheme="majorHAnsi" w:hAnsiTheme="majorHAnsi" w:cs="Arial"/>
          <w:sz w:val="20"/>
          <w:szCs w:val="20"/>
          <w:lang w:val="es-ES_tradnl"/>
        </w:rPr>
        <w:t>icario exhortó en varias oportunidades a la presunta víctima a terminar su “vida homosexual” bajo la pena de que no podría ejercer más su profesión de docente de religión, y se le impuso que para continuar con el ejercicio de su cargo debería someterse a terapias de orden psiquiátrico</w:t>
      </w:r>
      <w:r w:rsidRPr="00D73C5B">
        <w:rPr>
          <w:rStyle w:val="FootnoteReference"/>
          <w:rFonts w:asciiTheme="majorHAnsi" w:hAnsiTheme="majorHAnsi" w:cs="Arial"/>
          <w:sz w:val="20"/>
          <w:szCs w:val="20"/>
          <w:lang w:val="es-ES_tradnl"/>
        </w:rPr>
        <w:footnoteReference w:id="15"/>
      </w:r>
      <w:r w:rsidRPr="00D73C5B">
        <w:rPr>
          <w:rFonts w:asciiTheme="majorHAnsi" w:hAnsiTheme="majorHAnsi" w:cs="Arial"/>
          <w:sz w:val="20"/>
          <w:szCs w:val="20"/>
          <w:lang w:val="es-ES_tradnl"/>
        </w:rPr>
        <w:t xml:space="preserve">. Señaló que la señora </w:t>
      </w:r>
      <w:proofErr w:type="spellStart"/>
      <w:r w:rsidRPr="00D73C5B">
        <w:rPr>
          <w:rFonts w:asciiTheme="majorHAnsi" w:hAnsiTheme="majorHAnsi" w:cs="Arial"/>
          <w:sz w:val="20"/>
          <w:szCs w:val="20"/>
          <w:lang w:val="es-ES_tradnl"/>
        </w:rPr>
        <w:t>Pavez</w:t>
      </w:r>
      <w:proofErr w:type="spellEnd"/>
      <w:r w:rsidRPr="00D73C5B">
        <w:rPr>
          <w:rFonts w:asciiTheme="majorHAnsi" w:hAnsiTheme="majorHAnsi" w:cs="Arial"/>
          <w:sz w:val="20"/>
          <w:szCs w:val="20"/>
          <w:lang w:val="es-ES_tradnl"/>
        </w:rPr>
        <w:t xml:space="preserve"> se negó a acatar las indicaciones de la autoridad religiosa</w:t>
      </w:r>
      <w:r w:rsidRPr="00D73C5B">
        <w:rPr>
          <w:rStyle w:val="FootnoteReference"/>
          <w:rFonts w:asciiTheme="majorHAnsi" w:hAnsiTheme="majorHAnsi" w:cs="Arial"/>
          <w:sz w:val="20"/>
          <w:szCs w:val="20"/>
          <w:lang w:val="es-ES_tradnl"/>
        </w:rPr>
        <w:footnoteReference w:id="16"/>
      </w:r>
      <w:r w:rsidRPr="00D73C5B">
        <w:rPr>
          <w:rFonts w:asciiTheme="majorHAnsi" w:hAnsiTheme="majorHAnsi" w:cs="Arial"/>
          <w:sz w:val="20"/>
          <w:szCs w:val="20"/>
          <w:lang w:val="es-ES_tradnl"/>
        </w:rPr>
        <w:t>.</w:t>
      </w:r>
    </w:p>
    <w:p w:rsidR="0017561D" w:rsidRPr="00D73C5B" w:rsidRDefault="0017561D" w:rsidP="00306C81">
      <w:pPr>
        <w:pStyle w:val="ListParagraph"/>
        <w:ind w:firstLine="720"/>
        <w:rPr>
          <w:rFonts w:asciiTheme="majorHAnsi" w:hAnsiTheme="majorHAnsi" w:cs="Arial"/>
          <w:sz w:val="20"/>
          <w:szCs w:val="20"/>
          <w:lang w:val="es-ES_tradnl"/>
        </w:rPr>
      </w:pPr>
    </w:p>
    <w:p w:rsidR="0017561D" w:rsidRPr="00D73C5B" w:rsidRDefault="00867197"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El 25 de julio de 2007 el v</w:t>
      </w:r>
      <w:r w:rsidR="0017561D" w:rsidRPr="00D73C5B">
        <w:rPr>
          <w:rFonts w:asciiTheme="majorHAnsi" w:hAnsiTheme="majorHAnsi" w:cs="Arial"/>
          <w:sz w:val="20"/>
          <w:szCs w:val="20"/>
          <w:lang w:val="es-ES_tradnl"/>
        </w:rPr>
        <w:t xml:space="preserve">icario René Aguilera emitió una comunicación escrita dirigida a Sandra </w:t>
      </w:r>
      <w:proofErr w:type="spellStart"/>
      <w:r w:rsidR="0017561D" w:rsidRPr="00D73C5B">
        <w:rPr>
          <w:rFonts w:asciiTheme="majorHAnsi" w:hAnsiTheme="majorHAnsi" w:cs="Arial"/>
          <w:sz w:val="20"/>
          <w:szCs w:val="20"/>
          <w:lang w:val="es-ES_tradnl"/>
        </w:rPr>
        <w:t>Pavez</w:t>
      </w:r>
      <w:proofErr w:type="spellEnd"/>
      <w:r w:rsidR="0017561D" w:rsidRPr="00D73C5B">
        <w:rPr>
          <w:rFonts w:asciiTheme="majorHAnsi" w:hAnsiTheme="majorHAnsi" w:cs="Arial"/>
          <w:sz w:val="20"/>
          <w:szCs w:val="20"/>
          <w:lang w:val="es-ES_tradnl"/>
        </w:rPr>
        <w:t xml:space="preserve"> en donde informó la decisión de revocar su certificado de idoneidad, inhabilitándola para el ejercicio como docente de la asignatura de religión en los establecimientos educacionales que se encuentran en la diócesis de San Bernardo</w:t>
      </w:r>
      <w:r w:rsidR="0017561D" w:rsidRPr="00D73C5B">
        <w:rPr>
          <w:rStyle w:val="FootnoteReference"/>
          <w:rFonts w:asciiTheme="majorHAnsi" w:hAnsiTheme="majorHAnsi" w:cs="Arial"/>
          <w:sz w:val="20"/>
          <w:szCs w:val="20"/>
          <w:lang w:val="es-ES_tradnl"/>
        </w:rPr>
        <w:footnoteReference w:id="17"/>
      </w:r>
      <w:r w:rsidR="0017561D" w:rsidRPr="00D73C5B">
        <w:rPr>
          <w:rFonts w:asciiTheme="majorHAnsi" w:hAnsiTheme="majorHAnsi" w:cs="Arial"/>
          <w:sz w:val="20"/>
          <w:szCs w:val="20"/>
          <w:lang w:val="es-ES_tradnl"/>
        </w:rPr>
        <w:t>. En la referida comunicación se indicó que la decisión fue tomada</w:t>
      </w:r>
      <w:r w:rsidR="0017561D" w:rsidRPr="00D73C5B">
        <w:rPr>
          <w:rFonts w:asciiTheme="majorHAnsi" w:hAnsiTheme="majorHAnsi"/>
          <w:sz w:val="20"/>
          <w:szCs w:val="20"/>
          <w:lang w:val="es-ES_tradnl"/>
        </w:rPr>
        <w:t xml:space="preserve"> </w:t>
      </w:r>
      <w:r w:rsidR="0017561D" w:rsidRPr="00D73C5B">
        <w:rPr>
          <w:rFonts w:asciiTheme="majorHAnsi" w:hAnsiTheme="majorHAnsi" w:cs="Arial"/>
          <w:sz w:val="20"/>
          <w:szCs w:val="20"/>
          <w:lang w:val="es-ES_tradnl"/>
        </w:rPr>
        <w:t xml:space="preserve">de conformidad con las normas del derecho canónico y luego de analizar una situación que ya se había conversado con la señora </w:t>
      </w:r>
      <w:proofErr w:type="spellStart"/>
      <w:r w:rsidR="0017561D" w:rsidRPr="00D73C5B">
        <w:rPr>
          <w:rFonts w:asciiTheme="majorHAnsi" w:hAnsiTheme="majorHAnsi" w:cs="Arial"/>
          <w:sz w:val="20"/>
          <w:szCs w:val="20"/>
          <w:lang w:val="es-ES_tradnl"/>
        </w:rPr>
        <w:t>Pavez</w:t>
      </w:r>
      <w:proofErr w:type="spellEnd"/>
      <w:r w:rsidR="0017561D" w:rsidRPr="00D73C5B">
        <w:rPr>
          <w:rStyle w:val="FootnoteReference"/>
          <w:rFonts w:asciiTheme="majorHAnsi" w:hAnsiTheme="majorHAnsi" w:cs="Arial"/>
          <w:sz w:val="20"/>
          <w:szCs w:val="20"/>
          <w:lang w:val="es-ES_tradnl"/>
        </w:rPr>
        <w:footnoteReference w:id="18"/>
      </w:r>
      <w:r w:rsidR="0017561D" w:rsidRPr="00D73C5B">
        <w:rPr>
          <w:rFonts w:asciiTheme="majorHAnsi" w:hAnsiTheme="majorHAnsi" w:cs="Arial"/>
          <w:sz w:val="20"/>
          <w:szCs w:val="20"/>
          <w:lang w:val="es-ES_tradnl"/>
        </w:rPr>
        <w:t xml:space="preserve">. </w:t>
      </w:r>
    </w:p>
    <w:p w:rsidR="0017561D" w:rsidRPr="00D73C5B" w:rsidRDefault="0017561D" w:rsidP="000D31F6">
      <w:pPr>
        <w:pStyle w:val="ListParagraph"/>
        <w:rPr>
          <w:rFonts w:asciiTheme="majorHAnsi" w:hAnsiTheme="majorHAnsi" w:cs="Arial"/>
          <w:sz w:val="20"/>
          <w:szCs w:val="20"/>
          <w:lang w:val="es-ES_tradnl"/>
        </w:rPr>
      </w:pPr>
    </w:p>
    <w:p w:rsidR="00635C78" w:rsidRPr="00D73C5B" w:rsidRDefault="00867197"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_tradnl"/>
        </w:rPr>
      </w:pPr>
      <w:r w:rsidRPr="00D73C5B">
        <w:rPr>
          <w:rFonts w:asciiTheme="majorHAnsi" w:hAnsiTheme="majorHAnsi" w:cs="Arial"/>
          <w:sz w:val="20"/>
          <w:szCs w:val="20"/>
          <w:lang w:val="es-ES_tradnl"/>
        </w:rPr>
        <w:t>Asimismo en la comunicación el v</w:t>
      </w:r>
      <w:r w:rsidR="0017561D" w:rsidRPr="00D73C5B">
        <w:rPr>
          <w:rFonts w:asciiTheme="majorHAnsi" w:hAnsiTheme="majorHAnsi" w:cs="Arial"/>
          <w:sz w:val="20"/>
          <w:szCs w:val="20"/>
          <w:lang w:val="es-ES_tradnl"/>
        </w:rPr>
        <w:t xml:space="preserve">icario señaló “como a </w:t>
      </w:r>
      <w:proofErr w:type="spellStart"/>
      <w:r w:rsidR="0017561D" w:rsidRPr="00D73C5B">
        <w:rPr>
          <w:rFonts w:asciiTheme="majorHAnsi" w:hAnsiTheme="majorHAnsi" w:cs="Arial"/>
          <w:sz w:val="20"/>
          <w:szCs w:val="20"/>
          <w:lang w:val="es-ES_tradnl"/>
        </w:rPr>
        <w:t>ud.</w:t>
      </w:r>
      <w:proofErr w:type="spellEnd"/>
      <w:r w:rsidR="0017561D" w:rsidRPr="00D73C5B">
        <w:rPr>
          <w:rFonts w:asciiTheme="majorHAnsi" w:hAnsiTheme="majorHAnsi" w:cs="Arial"/>
          <w:sz w:val="20"/>
          <w:szCs w:val="20"/>
          <w:lang w:val="es-ES_tradnl"/>
        </w:rPr>
        <w:t xml:space="preserve"> le consta, como sacerdote y Vicario de este obispado, he intentado realizar todo lo posible para que no se llegara a esta difícil determinación, dejando constancia de que las ayudas espirituales y médicas ofrecidas fueron rechazadas por </w:t>
      </w:r>
      <w:proofErr w:type="spellStart"/>
      <w:r w:rsidR="0017561D" w:rsidRPr="00D73C5B">
        <w:rPr>
          <w:rFonts w:asciiTheme="majorHAnsi" w:hAnsiTheme="majorHAnsi" w:cs="Arial"/>
          <w:sz w:val="20"/>
          <w:szCs w:val="20"/>
          <w:lang w:val="es-ES_tradnl"/>
        </w:rPr>
        <w:t>ud.</w:t>
      </w:r>
      <w:proofErr w:type="spellEnd"/>
      <w:r w:rsidR="0017561D" w:rsidRPr="00D73C5B">
        <w:rPr>
          <w:rFonts w:asciiTheme="majorHAnsi" w:hAnsiTheme="majorHAnsi" w:cs="Arial"/>
          <w:sz w:val="20"/>
          <w:szCs w:val="20"/>
          <w:lang w:val="es-ES_tradnl"/>
        </w:rPr>
        <w:t>, lo cual lamento profundamente”</w:t>
      </w:r>
      <w:r w:rsidR="0017561D" w:rsidRPr="00D73C5B">
        <w:rPr>
          <w:rStyle w:val="FootnoteReference"/>
          <w:rFonts w:asciiTheme="majorHAnsi" w:hAnsiTheme="majorHAnsi" w:cs="Arial"/>
          <w:sz w:val="20"/>
          <w:szCs w:val="20"/>
          <w:lang w:val="es-ES_tradnl"/>
        </w:rPr>
        <w:footnoteReference w:id="19"/>
      </w:r>
      <w:r w:rsidR="0017561D" w:rsidRPr="00D73C5B">
        <w:rPr>
          <w:rFonts w:asciiTheme="majorHAnsi" w:hAnsiTheme="majorHAnsi" w:cs="Arial"/>
          <w:sz w:val="20"/>
          <w:szCs w:val="20"/>
          <w:lang w:val="es-ES_tradnl"/>
        </w:rPr>
        <w:t>. Copia de esta comunicación fue remitida a la Alcaldesa de San Bernardo y al Director de la Corporación de Educación y Salud de la misma municipalidad</w:t>
      </w:r>
      <w:r w:rsidR="0017561D" w:rsidRPr="00D73C5B">
        <w:rPr>
          <w:rStyle w:val="FootnoteReference"/>
          <w:rFonts w:asciiTheme="majorHAnsi" w:hAnsiTheme="majorHAnsi" w:cs="Arial"/>
          <w:sz w:val="20"/>
          <w:szCs w:val="20"/>
          <w:lang w:val="es-ES_tradnl"/>
        </w:rPr>
        <w:footnoteReference w:id="20"/>
      </w:r>
      <w:r w:rsidR="0017561D" w:rsidRPr="00D73C5B">
        <w:rPr>
          <w:rFonts w:asciiTheme="majorHAnsi" w:hAnsiTheme="majorHAnsi" w:cs="Arial"/>
          <w:sz w:val="20"/>
          <w:szCs w:val="20"/>
          <w:lang w:val="es-ES_tradnl"/>
        </w:rPr>
        <w:t>.</w:t>
      </w:r>
    </w:p>
    <w:p w:rsidR="004D195F" w:rsidRPr="00D73C5B" w:rsidRDefault="004D195F" w:rsidP="000D31F6">
      <w:pPr>
        <w:pStyle w:val="ListParagraph"/>
        <w:rPr>
          <w:rFonts w:asciiTheme="majorHAnsi" w:hAnsiTheme="majorHAnsi"/>
          <w:b/>
          <w:color w:val="FF0000"/>
          <w:sz w:val="20"/>
          <w:szCs w:val="20"/>
          <w:lang w:val="es-ES_tradnl"/>
        </w:rPr>
      </w:pPr>
    </w:p>
    <w:p w:rsidR="004D195F" w:rsidRPr="00D73C5B" w:rsidRDefault="000D31F6" w:rsidP="000D31F6">
      <w:pPr>
        <w:pStyle w:val="Heading2"/>
      </w:pPr>
      <w:bookmarkStart w:id="9" w:name="_Toc531327095"/>
      <w:r w:rsidRPr="00D73C5B">
        <w:t>Procesos internos</w:t>
      </w:r>
      <w:bookmarkEnd w:id="9"/>
    </w:p>
    <w:p w:rsidR="0017561D" w:rsidRPr="00D73C5B" w:rsidRDefault="0017561D" w:rsidP="000D31F6">
      <w:pPr>
        <w:jc w:val="both"/>
        <w:rPr>
          <w:rFonts w:asciiTheme="majorHAnsi" w:hAnsiTheme="majorHAnsi"/>
          <w:b/>
          <w:color w:val="FF0000"/>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D73C5B">
        <w:rPr>
          <w:rFonts w:asciiTheme="majorHAnsi" w:hAnsiTheme="majorHAnsi"/>
          <w:sz w:val="20"/>
          <w:szCs w:val="20"/>
          <w:lang w:val="es-ES_tradnl"/>
        </w:rPr>
        <w:t xml:space="preserve">Sandra </w:t>
      </w:r>
      <w:proofErr w:type="spellStart"/>
      <w:r w:rsidRPr="00D73C5B">
        <w:rPr>
          <w:rFonts w:asciiTheme="majorHAnsi" w:hAnsiTheme="majorHAnsi"/>
          <w:sz w:val="20"/>
          <w:szCs w:val="20"/>
          <w:lang w:val="es-ES_tradnl"/>
        </w:rPr>
        <w:t>Pavez</w:t>
      </w:r>
      <w:proofErr w:type="spellEnd"/>
      <w:r w:rsidRPr="00D73C5B">
        <w:rPr>
          <w:rFonts w:asciiTheme="majorHAnsi" w:hAnsiTheme="majorHAnsi"/>
          <w:sz w:val="20"/>
          <w:szCs w:val="20"/>
          <w:lang w:val="es-ES_tradnl"/>
        </w:rPr>
        <w:t xml:space="preserve">, </w:t>
      </w:r>
      <w:r w:rsidRPr="00D73C5B">
        <w:rPr>
          <w:rFonts w:asciiTheme="majorHAnsi" w:hAnsiTheme="majorHAnsi" w:cs="Arial"/>
          <w:sz w:val="20"/>
          <w:szCs w:val="20"/>
          <w:lang w:val="es-ES_tradnl"/>
        </w:rPr>
        <w:t>el</w:t>
      </w:r>
      <w:r w:rsidRPr="00D73C5B">
        <w:rPr>
          <w:rFonts w:asciiTheme="majorHAnsi" w:hAnsiTheme="majorHAnsi"/>
          <w:sz w:val="20"/>
          <w:szCs w:val="20"/>
          <w:lang w:val="es-ES_tradnl"/>
        </w:rPr>
        <w:t xml:space="preserve"> representante legal del MOVILH y el Presidente del Colegio de Profesores A.G. en conjunto interpusieron un recurso de protección en contra de René Aguilera </w:t>
      </w:r>
      <w:proofErr w:type="spellStart"/>
      <w:r w:rsidRPr="00D73C5B">
        <w:rPr>
          <w:rFonts w:asciiTheme="majorHAnsi" w:hAnsiTheme="majorHAnsi"/>
          <w:sz w:val="20"/>
          <w:szCs w:val="20"/>
          <w:lang w:val="es-ES_tradnl"/>
        </w:rPr>
        <w:t>Colinier</w:t>
      </w:r>
      <w:proofErr w:type="spellEnd"/>
      <w:r w:rsidRPr="00D73C5B">
        <w:rPr>
          <w:rStyle w:val="FootnoteReference"/>
          <w:rFonts w:asciiTheme="majorHAnsi" w:hAnsiTheme="majorHAnsi"/>
          <w:sz w:val="20"/>
          <w:szCs w:val="20"/>
          <w:lang w:val="es-ES_tradnl"/>
        </w:rPr>
        <w:footnoteReference w:id="21"/>
      </w:r>
      <w:r w:rsidRPr="00D73C5B">
        <w:rPr>
          <w:rFonts w:asciiTheme="majorHAnsi" w:hAnsiTheme="majorHAnsi"/>
          <w:sz w:val="20"/>
          <w:szCs w:val="20"/>
          <w:lang w:val="es-ES_tradnl"/>
        </w:rPr>
        <w:t>. El recurso interpuesto se fundamentó en la arbitrariedad e ilegalidad de la actuación de la Vicaría, señalando que vulnera gravemente las garantías constitucionales, puesto que se le impidió el ejercicio de sus derechos y la discriminación arbitraria a la que fue sometida por parte de la Iglesia no le ha permitido desarrollarlos conforme se le garantiza</w:t>
      </w:r>
      <w:r w:rsidRPr="00D73C5B">
        <w:rPr>
          <w:rStyle w:val="FootnoteReference"/>
          <w:rFonts w:asciiTheme="majorHAnsi" w:hAnsiTheme="majorHAnsi"/>
          <w:sz w:val="20"/>
          <w:szCs w:val="20"/>
          <w:lang w:val="es-ES_tradnl"/>
        </w:rPr>
        <w:footnoteReference w:id="22"/>
      </w:r>
      <w:r w:rsidRPr="00D73C5B">
        <w:rPr>
          <w:rFonts w:asciiTheme="majorHAnsi" w:hAnsiTheme="majorHAnsi"/>
          <w:sz w:val="20"/>
          <w:szCs w:val="20"/>
          <w:lang w:val="es-ES_tradnl"/>
        </w:rPr>
        <w:t>.</w:t>
      </w:r>
    </w:p>
    <w:p w:rsidR="0017561D" w:rsidRDefault="0017561D"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227946" w:rsidRDefault="00227946"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227946" w:rsidRDefault="00227946"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227946" w:rsidRDefault="00227946"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227946" w:rsidRDefault="00227946"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C907A1" w:rsidRDefault="00C907A1"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227946" w:rsidRPr="00D73C5B" w:rsidRDefault="00227946"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D73C5B">
        <w:rPr>
          <w:rFonts w:asciiTheme="majorHAnsi" w:hAnsiTheme="majorHAnsi"/>
          <w:sz w:val="20"/>
          <w:szCs w:val="20"/>
          <w:lang w:val="es-ES_tradnl"/>
        </w:rPr>
        <w:t>El 27 de noviembre de 2007 la Corte de Apelaciones de San Miguel rechazó el recurso interpuesto al considerar que el acto recurrido no podía ser calificado de ilegal o arbitrario</w:t>
      </w:r>
      <w:r w:rsidRPr="00D73C5B">
        <w:rPr>
          <w:rStyle w:val="FootnoteReference"/>
          <w:rFonts w:asciiTheme="majorHAnsi" w:hAnsiTheme="majorHAnsi"/>
          <w:sz w:val="20"/>
          <w:szCs w:val="20"/>
          <w:lang w:val="es-ES_tradnl"/>
        </w:rPr>
        <w:footnoteReference w:id="23"/>
      </w:r>
      <w:r w:rsidRPr="00D73C5B">
        <w:rPr>
          <w:rFonts w:asciiTheme="majorHAnsi" w:hAnsiTheme="majorHAnsi"/>
          <w:sz w:val="20"/>
          <w:szCs w:val="20"/>
          <w:lang w:val="es-ES_tradnl"/>
        </w:rPr>
        <w:t>. Señaló que la propia legislación aplicable al caso, es decir el Decreto 924, faculta al órgano religioso para que otorgue y revoque la autorización correspondiente de acuerdo con sus principios, situación que no permite injerencia alguna por parte del Estado ni de algún particular</w:t>
      </w:r>
      <w:r w:rsidRPr="00D73C5B">
        <w:rPr>
          <w:rStyle w:val="FootnoteReference"/>
          <w:rFonts w:asciiTheme="majorHAnsi" w:hAnsiTheme="majorHAnsi"/>
          <w:sz w:val="20"/>
          <w:szCs w:val="20"/>
          <w:lang w:val="es-ES_tradnl"/>
        </w:rPr>
        <w:footnoteReference w:id="24"/>
      </w:r>
      <w:r w:rsidRPr="00D73C5B">
        <w:rPr>
          <w:rFonts w:asciiTheme="majorHAnsi" w:hAnsiTheme="majorHAnsi"/>
          <w:sz w:val="20"/>
          <w:szCs w:val="20"/>
          <w:lang w:val="es-ES_tradnl"/>
        </w:rPr>
        <w:t>. El tribunal determinó que “subyace en la propia norma citada que quien imparta tal credo en las aulas deberá ajustarse a dichas normas, creencias y dogmas sin que competa a los órganos del Estado inmiscuirse o cuestionarlas”</w:t>
      </w:r>
      <w:r w:rsidRPr="00D73C5B">
        <w:rPr>
          <w:rStyle w:val="FootnoteReference"/>
          <w:rFonts w:asciiTheme="majorHAnsi" w:hAnsiTheme="majorHAnsi"/>
          <w:sz w:val="20"/>
          <w:szCs w:val="20"/>
          <w:lang w:val="es-ES_tradnl"/>
        </w:rPr>
        <w:footnoteReference w:id="25"/>
      </w:r>
      <w:r w:rsidRPr="00D73C5B">
        <w:rPr>
          <w:rFonts w:asciiTheme="majorHAnsi" w:hAnsiTheme="majorHAnsi"/>
          <w:sz w:val="20"/>
          <w:szCs w:val="20"/>
          <w:lang w:val="es-ES_tradnl"/>
        </w:rPr>
        <w:t>. En este mismo sentido, estableció que “el Decreto 924 debe relacionarse a su vez, con las normas contenidas en los artículos 803, 804, 805 y 806 del Código de Derecho Canónico en cuanto este último cuerpo legal consagra la facultad de la Iglesia Católica y sus autoridades para fijar las directrices necesarias en el ámbito de la difusión de la fe católica, tanto en cuanto a su contenido como a la idoneidad de las personas encargadas de la enseñanza de la doctrina de la Iglesia”</w:t>
      </w:r>
      <w:r w:rsidRPr="00D73C5B">
        <w:rPr>
          <w:rStyle w:val="FootnoteReference"/>
          <w:rFonts w:asciiTheme="majorHAnsi" w:hAnsiTheme="majorHAnsi"/>
          <w:sz w:val="20"/>
          <w:szCs w:val="20"/>
          <w:lang w:val="es-ES_tradnl"/>
        </w:rPr>
        <w:footnoteReference w:id="26"/>
      </w:r>
      <w:r w:rsidRPr="00D73C5B">
        <w:rPr>
          <w:rFonts w:asciiTheme="majorHAnsi" w:hAnsiTheme="majorHAnsi"/>
          <w:sz w:val="20"/>
          <w:szCs w:val="20"/>
          <w:lang w:val="es-ES_tradnl"/>
        </w:rPr>
        <w:t>.</w:t>
      </w:r>
    </w:p>
    <w:p w:rsidR="0017561D" w:rsidRPr="00D73C5B" w:rsidRDefault="0017561D"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hAnsiTheme="majorHAnsi"/>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D73C5B">
        <w:rPr>
          <w:rFonts w:asciiTheme="majorHAnsi" w:hAnsiTheme="majorHAnsi"/>
          <w:sz w:val="20"/>
          <w:szCs w:val="20"/>
          <w:lang w:val="es-ES_tradnl"/>
        </w:rPr>
        <w:t xml:space="preserve">En contra de la anterior decisión, los abogados de Sandra </w:t>
      </w:r>
      <w:proofErr w:type="spellStart"/>
      <w:r w:rsidRPr="00D73C5B">
        <w:rPr>
          <w:rFonts w:asciiTheme="majorHAnsi" w:hAnsiTheme="majorHAnsi"/>
          <w:sz w:val="20"/>
          <w:szCs w:val="20"/>
          <w:lang w:val="es-ES_tradnl"/>
        </w:rPr>
        <w:t>Pavez</w:t>
      </w:r>
      <w:proofErr w:type="spellEnd"/>
      <w:r w:rsidRPr="00D73C5B">
        <w:rPr>
          <w:rFonts w:asciiTheme="majorHAnsi" w:hAnsiTheme="majorHAnsi"/>
          <w:sz w:val="20"/>
          <w:szCs w:val="20"/>
          <w:lang w:val="es-ES_tradnl"/>
        </w:rPr>
        <w:t xml:space="preserve"> interpusieron un recurso de apelación ante la Corte Suprema de la República de Chile</w:t>
      </w:r>
      <w:r w:rsidRPr="00D73C5B">
        <w:rPr>
          <w:rStyle w:val="FootnoteReference"/>
          <w:rFonts w:asciiTheme="majorHAnsi" w:hAnsiTheme="majorHAnsi"/>
          <w:sz w:val="20"/>
          <w:szCs w:val="20"/>
          <w:lang w:val="es-ES_tradnl"/>
        </w:rPr>
        <w:footnoteReference w:id="27"/>
      </w:r>
      <w:r w:rsidRPr="00D73C5B">
        <w:rPr>
          <w:rFonts w:asciiTheme="majorHAnsi" w:hAnsiTheme="majorHAnsi"/>
          <w:sz w:val="20"/>
          <w:szCs w:val="20"/>
          <w:lang w:val="es-ES_tradnl"/>
        </w:rPr>
        <w:t>. La parte peticionaria señaló que el recurso estaba fundamentado en la falta de consideración de la arbitrariedad de la medida adoptada por el Vicario, por parte de la Corte de Apelaciones de San Miguel</w:t>
      </w:r>
      <w:r w:rsidRPr="00D73C5B">
        <w:rPr>
          <w:rStyle w:val="FootnoteReference"/>
          <w:rFonts w:asciiTheme="majorHAnsi" w:hAnsiTheme="majorHAnsi"/>
          <w:sz w:val="20"/>
          <w:szCs w:val="20"/>
          <w:lang w:val="es-ES_tradnl"/>
        </w:rPr>
        <w:footnoteReference w:id="28"/>
      </w:r>
      <w:r w:rsidRPr="00D73C5B">
        <w:rPr>
          <w:rFonts w:asciiTheme="majorHAnsi" w:hAnsiTheme="majorHAnsi"/>
          <w:sz w:val="20"/>
          <w:szCs w:val="20"/>
          <w:lang w:val="es-ES_tradnl"/>
        </w:rPr>
        <w:t>.</w:t>
      </w:r>
    </w:p>
    <w:p w:rsidR="0017561D" w:rsidRPr="00D73C5B" w:rsidRDefault="0017561D" w:rsidP="00306C81">
      <w:pPr>
        <w:pStyle w:val="ListParagraph"/>
        <w:ind w:firstLine="720"/>
        <w:rPr>
          <w:rFonts w:asciiTheme="majorHAnsi" w:hAnsiTheme="majorHAnsi"/>
          <w:sz w:val="20"/>
          <w:szCs w:val="20"/>
          <w:lang w:val="es-ES_tradnl"/>
        </w:rPr>
      </w:pPr>
    </w:p>
    <w:p w:rsidR="0017561D" w:rsidRPr="00D73C5B" w:rsidRDefault="0017561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D73C5B">
        <w:rPr>
          <w:rFonts w:asciiTheme="majorHAnsi" w:hAnsiTheme="majorHAnsi"/>
          <w:sz w:val="20"/>
          <w:szCs w:val="20"/>
          <w:lang w:val="es-ES_tradnl"/>
        </w:rPr>
        <w:t>En decisión de fecha 17 de abril de 2008 la Corte Suprema consideró no ha lugar los alegatos solicitados y confirmó en todas sus partes la sentencia de la Corte de Apelaciones de San Miguel</w:t>
      </w:r>
      <w:r w:rsidRPr="00D73C5B">
        <w:rPr>
          <w:rStyle w:val="FootnoteReference"/>
          <w:rFonts w:asciiTheme="majorHAnsi" w:hAnsiTheme="majorHAnsi"/>
          <w:sz w:val="20"/>
          <w:szCs w:val="20"/>
          <w:lang w:val="es-ES_tradnl"/>
        </w:rPr>
        <w:footnoteReference w:id="29"/>
      </w:r>
      <w:r w:rsidRPr="00D73C5B">
        <w:rPr>
          <w:rFonts w:asciiTheme="majorHAnsi" w:hAnsiTheme="majorHAnsi"/>
          <w:sz w:val="20"/>
          <w:szCs w:val="20"/>
          <w:lang w:val="es-ES_tradnl"/>
        </w:rPr>
        <w:t>. La CIDH toma nota de que en la decisión que obra en el expediente no consta motivación alguna de la misma</w:t>
      </w:r>
      <w:r w:rsidR="00CB053C" w:rsidRPr="00D73C5B">
        <w:rPr>
          <w:rFonts w:asciiTheme="majorHAnsi" w:hAnsiTheme="majorHAnsi"/>
          <w:sz w:val="20"/>
          <w:szCs w:val="20"/>
          <w:lang w:val="es-ES_tradnl"/>
        </w:rPr>
        <w:t xml:space="preserve">, más allá de la referida confirmación de la sentencia de primera instancia. </w:t>
      </w:r>
    </w:p>
    <w:p w:rsidR="004D2720" w:rsidRPr="00D73C5B" w:rsidRDefault="004D2720" w:rsidP="000D31F6">
      <w:pPr>
        <w:pStyle w:val="ListParagraph"/>
        <w:rPr>
          <w:rFonts w:asciiTheme="majorHAnsi" w:hAnsiTheme="majorHAnsi"/>
          <w:b/>
          <w:color w:val="FF0000"/>
          <w:sz w:val="20"/>
          <w:szCs w:val="20"/>
          <w:lang w:val="es-ES_tradnl"/>
        </w:rPr>
      </w:pPr>
    </w:p>
    <w:p w:rsidR="004D2720" w:rsidRPr="00D73C5B" w:rsidRDefault="000D31F6" w:rsidP="000D31F6">
      <w:pPr>
        <w:pStyle w:val="Heading2"/>
      </w:pPr>
      <w:bookmarkStart w:id="10" w:name="_Toc531327096"/>
      <w:r w:rsidRPr="00D73C5B">
        <w:t>Información sobre afectación a la presunta víctima</w:t>
      </w:r>
      <w:bookmarkEnd w:id="10"/>
      <w:r w:rsidRPr="00D73C5B">
        <w:t xml:space="preserve"> </w:t>
      </w:r>
    </w:p>
    <w:p w:rsidR="005B4181" w:rsidRPr="00D73C5B" w:rsidRDefault="005B4181" w:rsidP="000D31F6">
      <w:pPr>
        <w:jc w:val="both"/>
        <w:rPr>
          <w:rFonts w:asciiTheme="majorHAnsi" w:hAnsiTheme="majorHAnsi"/>
          <w:b/>
          <w:color w:val="FF0000"/>
          <w:sz w:val="20"/>
          <w:szCs w:val="20"/>
          <w:lang w:val="es-ES_tradnl"/>
        </w:rPr>
      </w:pPr>
    </w:p>
    <w:p w:rsidR="005B4181" w:rsidRPr="00D73C5B" w:rsidRDefault="005B4181"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s-ES_tradnl"/>
        </w:rPr>
      </w:pPr>
      <w:r w:rsidRPr="00D73C5B">
        <w:rPr>
          <w:rFonts w:asciiTheme="majorHAnsi" w:eastAsia="Calibri" w:hAnsiTheme="majorHAnsi"/>
          <w:sz w:val="20"/>
          <w:szCs w:val="20"/>
          <w:bdr w:val="none" w:sz="0" w:space="0" w:color="auto"/>
          <w:lang w:val="es-ES_tradnl"/>
        </w:rPr>
        <w:t xml:space="preserve">La parte peticionaria sostuvo que la situación que enfrentó la señora </w:t>
      </w:r>
      <w:proofErr w:type="spellStart"/>
      <w:r w:rsidRPr="00D73C5B">
        <w:rPr>
          <w:rFonts w:asciiTheme="majorHAnsi" w:eastAsia="Calibri" w:hAnsiTheme="majorHAnsi"/>
          <w:sz w:val="20"/>
          <w:szCs w:val="20"/>
          <w:bdr w:val="none" w:sz="0" w:space="0" w:color="auto"/>
          <w:lang w:val="es-ES_tradnl"/>
        </w:rPr>
        <w:t>Pavez</w:t>
      </w:r>
      <w:proofErr w:type="spellEnd"/>
      <w:r w:rsidRPr="00D73C5B">
        <w:rPr>
          <w:rFonts w:asciiTheme="majorHAnsi" w:eastAsia="Calibri" w:hAnsiTheme="majorHAnsi"/>
          <w:sz w:val="20"/>
          <w:szCs w:val="20"/>
          <w:bdr w:val="none" w:sz="0" w:space="0" w:color="auto"/>
          <w:lang w:val="es-ES_tradnl"/>
        </w:rPr>
        <w:t xml:space="preserve"> al haber perdido el trabajo que desempeñó por 22 años debido a su orientación sexual, le ocasionó una depresión severa que ha padecido los últimos años</w:t>
      </w:r>
      <w:r w:rsidRPr="00D73C5B">
        <w:rPr>
          <w:rFonts w:asciiTheme="majorHAnsi" w:eastAsia="Calibri" w:hAnsiTheme="majorHAnsi"/>
          <w:sz w:val="20"/>
          <w:szCs w:val="20"/>
          <w:bdr w:val="none" w:sz="0" w:space="0" w:color="auto"/>
          <w:vertAlign w:val="superscript"/>
          <w:lang w:val="es-ES_tradnl"/>
        </w:rPr>
        <w:footnoteReference w:id="30"/>
      </w:r>
      <w:r w:rsidRPr="00D73C5B">
        <w:rPr>
          <w:rFonts w:asciiTheme="majorHAnsi" w:eastAsia="Calibri" w:hAnsiTheme="majorHAnsi"/>
          <w:sz w:val="20"/>
          <w:szCs w:val="20"/>
          <w:bdr w:val="none" w:sz="0" w:space="0" w:color="auto"/>
          <w:lang w:val="es-ES_tradnl"/>
        </w:rPr>
        <w:t>. Señaló que la decisión de la Vicaría la forzó de manera traumática a asumir su orientación sexual, cuestión que había mantenido todos esos años en reserva como parte de su vida privada</w:t>
      </w:r>
      <w:r w:rsidRPr="00D73C5B">
        <w:rPr>
          <w:rFonts w:asciiTheme="majorHAnsi" w:eastAsia="Calibri" w:hAnsiTheme="majorHAnsi"/>
          <w:sz w:val="20"/>
          <w:szCs w:val="20"/>
          <w:bdr w:val="none" w:sz="0" w:space="0" w:color="auto"/>
          <w:vertAlign w:val="superscript"/>
          <w:lang w:val="es-ES_tradnl"/>
        </w:rPr>
        <w:footnoteReference w:id="31"/>
      </w:r>
      <w:r w:rsidRPr="00D73C5B">
        <w:rPr>
          <w:rFonts w:asciiTheme="majorHAnsi" w:eastAsia="Calibri" w:hAnsiTheme="majorHAnsi"/>
          <w:sz w:val="20"/>
          <w:szCs w:val="20"/>
          <w:bdr w:val="none" w:sz="0" w:space="0" w:color="auto"/>
          <w:lang w:val="es-ES_tradnl"/>
        </w:rPr>
        <w:t>.</w:t>
      </w:r>
    </w:p>
    <w:p w:rsidR="005B4181" w:rsidRPr="00D73C5B" w:rsidRDefault="005B4181" w:rsidP="00306C81">
      <w:pPr>
        <w:pBdr>
          <w:top w:val="none" w:sz="0" w:space="0" w:color="auto"/>
          <w:left w:val="none" w:sz="0" w:space="0" w:color="auto"/>
          <w:bottom w:val="none" w:sz="0" w:space="0" w:color="auto"/>
          <w:right w:val="none" w:sz="0" w:space="0" w:color="auto"/>
          <w:between w:val="none" w:sz="0" w:space="0" w:color="auto"/>
          <w:bar w:val="none" w:sz="0" w:color="auto"/>
        </w:pBdr>
        <w:ind w:left="630" w:firstLine="720"/>
        <w:jc w:val="both"/>
        <w:rPr>
          <w:rFonts w:asciiTheme="majorHAnsi" w:eastAsia="Calibri" w:hAnsiTheme="majorHAnsi"/>
          <w:sz w:val="20"/>
          <w:szCs w:val="20"/>
          <w:bdr w:val="none" w:sz="0" w:space="0" w:color="auto"/>
          <w:lang w:val="es-ES_tradnl"/>
        </w:rPr>
      </w:pPr>
    </w:p>
    <w:p w:rsidR="005B4181" w:rsidRPr="00D73C5B" w:rsidRDefault="005B4181"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s-ES_tradnl"/>
        </w:rPr>
      </w:pPr>
      <w:r w:rsidRPr="00D73C5B">
        <w:rPr>
          <w:rFonts w:asciiTheme="majorHAnsi" w:eastAsia="Calibri" w:hAnsiTheme="majorHAnsi"/>
          <w:sz w:val="20"/>
          <w:szCs w:val="20"/>
          <w:bdr w:val="none" w:sz="0" w:space="0" w:color="auto"/>
          <w:lang w:val="es-ES_tradnl"/>
        </w:rPr>
        <w:t>La parte peticionaria indicó que la presunta víctima se ha visto impedida de ejercer su profesión no sólo en los establecimientos educacionales que hacen parte de la diócesis de San Bernardo, sino también en cualquier entidad educacional nacional debido a las bases que estructuran la Iglesia Católica</w:t>
      </w:r>
      <w:r w:rsidRPr="00D73C5B">
        <w:rPr>
          <w:rFonts w:asciiTheme="majorHAnsi" w:eastAsia="Calibri" w:hAnsiTheme="majorHAnsi"/>
          <w:sz w:val="20"/>
          <w:szCs w:val="20"/>
          <w:bdr w:val="none" w:sz="0" w:space="0" w:color="auto"/>
          <w:vertAlign w:val="superscript"/>
          <w:lang w:val="es-ES_tradnl"/>
        </w:rPr>
        <w:footnoteReference w:id="32"/>
      </w:r>
      <w:r w:rsidRPr="00D73C5B">
        <w:rPr>
          <w:rFonts w:asciiTheme="majorHAnsi" w:eastAsia="Calibri" w:hAnsiTheme="majorHAnsi"/>
          <w:sz w:val="20"/>
          <w:szCs w:val="20"/>
          <w:bdr w:val="none" w:sz="0" w:space="0" w:color="auto"/>
          <w:lang w:val="es-ES_tradnl"/>
        </w:rPr>
        <w:t xml:space="preserve">. Afirmó que luego de la revocatoria del certificado de idoneidad de Sandra </w:t>
      </w:r>
      <w:proofErr w:type="spellStart"/>
      <w:r w:rsidRPr="00D73C5B">
        <w:rPr>
          <w:rFonts w:asciiTheme="majorHAnsi" w:eastAsia="Calibri" w:hAnsiTheme="majorHAnsi"/>
          <w:sz w:val="20"/>
          <w:szCs w:val="20"/>
          <w:bdr w:val="none" w:sz="0" w:space="0" w:color="auto"/>
          <w:lang w:val="es-ES_tradnl"/>
        </w:rPr>
        <w:t>Pavez</w:t>
      </w:r>
      <w:proofErr w:type="spellEnd"/>
      <w:r w:rsidRPr="00D73C5B">
        <w:rPr>
          <w:rFonts w:asciiTheme="majorHAnsi" w:eastAsia="Calibri" w:hAnsiTheme="majorHAnsi"/>
          <w:sz w:val="20"/>
          <w:szCs w:val="20"/>
          <w:bdr w:val="none" w:sz="0" w:space="0" w:color="auto"/>
          <w:lang w:val="es-ES_tradnl"/>
        </w:rPr>
        <w:t>, la dirección del establecimiento educativo le ofreció un cargo administrativo como inspectora general interina que a 2016 se encontraba desempeñando</w:t>
      </w:r>
      <w:r w:rsidRPr="00D73C5B">
        <w:rPr>
          <w:rFonts w:asciiTheme="majorHAnsi" w:eastAsia="Calibri" w:hAnsiTheme="majorHAnsi"/>
          <w:sz w:val="20"/>
          <w:szCs w:val="20"/>
          <w:bdr w:val="none" w:sz="0" w:space="0" w:color="auto"/>
          <w:vertAlign w:val="superscript"/>
          <w:lang w:val="es-ES_tradnl"/>
        </w:rPr>
        <w:footnoteReference w:id="33"/>
      </w:r>
      <w:r w:rsidRPr="00D73C5B">
        <w:rPr>
          <w:rFonts w:asciiTheme="majorHAnsi" w:eastAsia="Calibri" w:hAnsiTheme="majorHAnsi"/>
          <w:sz w:val="20"/>
          <w:szCs w:val="20"/>
          <w:bdr w:val="none" w:sz="0" w:space="0" w:color="auto"/>
          <w:lang w:val="es-ES_tradnl"/>
        </w:rPr>
        <w:t xml:space="preserve">. Indicó que el cargo no le permite ejercer la profesión para la cual estudió, que </w:t>
      </w:r>
      <w:r w:rsidRPr="00D73C5B">
        <w:rPr>
          <w:rFonts w:asciiTheme="majorHAnsi" w:eastAsia="Calibri" w:hAnsiTheme="majorHAnsi"/>
          <w:sz w:val="20"/>
          <w:szCs w:val="20"/>
          <w:bdr w:val="none" w:sz="0" w:space="0" w:color="auto"/>
          <w:lang w:val="es-ES_tradnl"/>
        </w:rPr>
        <w:lastRenderedPageBreak/>
        <w:t>no se aumentó su remuneración y que no le asegura estabilidad como sí lo hacía el cargo de docente</w:t>
      </w:r>
      <w:r w:rsidRPr="00D73C5B">
        <w:rPr>
          <w:rFonts w:asciiTheme="majorHAnsi" w:eastAsia="Calibri" w:hAnsiTheme="majorHAnsi"/>
          <w:sz w:val="20"/>
          <w:szCs w:val="20"/>
          <w:bdr w:val="none" w:sz="0" w:space="0" w:color="auto"/>
          <w:vertAlign w:val="superscript"/>
          <w:lang w:val="es-ES_tradnl"/>
        </w:rPr>
        <w:footnoteReference w:id="34"/>
      </w:r>
      <w:r w:rsidRPr="00D73C5B">
        <w:rPr>
          <w:rFonts w:asciiTheme="majorHAnsi" w:eastAsia="Calibri" w:hAnsiTheme="majorHAnsi"/>
          <w:sz w:val="20"/>
          <w:szCs w:val="20"/>
          <w:bdr w:val="none" w:sz="0" w:space="0" w:color="auto"/>
          <w:lang w:val="es-ES_tradnl"/>
        </w:rPr>
        <w:t xml:space="preserve">. Por estos motivos señaló que los hechos ocasionaron un daño incalculable al proyecto de vida de Sandra </w:t>
      </w:r>
      <w:proofErr w:type="spellStart"/>
      <w:r w:rsidRPr="00D73C5B">
        <w:rPr>
          <w:rFonts w:asciiTheme="majorHAnsi" w:eastAsia="Calibri" w:hAnsiTheme="majorHAnsi"/>
          <w:sz w:val="20"/>
          <w:szCs w:val="20"/>
          <w:bdr w:val="none" w:sz="0" w:space="0" w:color="auto"/>
          <w:lang w:val="es-ES_tradnl"/>
        </w:rPr>
        <w:t>Pavez</w:t>
      </w:r>
      <w:proofErr w:type="spellEnd"/>
      <w:r w:rsidRPr="00D73C5B">
        <w:rPr>
          <w:rFonts w:asciiTheme="majorHAnsi" w:eastAsia="Calibri" w:hAnsiTheme="majorHAnsi"/>
          <w:sz w:val="20"/>
          <w:szCs w:val="20"/>
          <w:bdr w:val="none" w:sz="0" w:space="0" w:color="auto"/>
          <w:vertAlign w:val="superscript"/>
          <w:lang w:val="es-ES_tradnl"/>
        </w:rPr>
        <w:footnoteReference w:id="35"/>
      </w:r>
      <w:r w:rsidRPr="00D73C5B">
        <w:rPr>
          <w:rFonts w:asciiTheme="majorHAnsi" w:eastAsia="Calibri" w:hAnsiTheme="majorHAnsi"/>
          <w:sz w:val="20"/>
          <w:szCs w:val="20"/>
          <w:bdr w:val="none" w:sz="0" w:space="0" w:color="auto"/>
          <w:lang w:val="es-ES_tradnl"/>
        </w:rPr>
        <w:t>.</w:t>
      </w:r>
    </w:p>
    <w:bookmarkEnd w:id="3"/>
    <w:p w:rsidR="004D2720" w:rsidRDefault="004D2720" w:rsidP="000D31F6">
      <w:pPr>
        <w:rPr>
          <w:rFonts w:asciiTheme="majorHAnsi" w:hAnsiTheme="majorHAnsi"/>
          <w:b/>
          <w:color w:val="FF0000"/>
          <w:sz w:val="20"/>
          <w:szCs w:val="20"/>
          <w:lang w:val="es-ES_tradnl"/>
        </w:rPr>
      </w:pPr>
    </w:p>
    <w:p w:rsidR="00FD5A99" w:rsidRPr="00D73C5B" w:rsidRDefault="00D12193" w:rsidP="000D31F6">
      <w:pPr>
        <w:pStyle w:val="Heading1"/>
      </w:pPr>
      <w:bookmarkStart w:id="11" w:name="_Toc531327097"/>
      <w:r w:rsidRPr="00D73C5B">
        <w:t>ANÁLISIS DE DERECHO</w:t>
      </w:r>
      <w:bookmarkEnd w:id="11"/>
    </w:p>
    <w:p w:rsidR="00204B61" w:rsidRPr="00D73C5B" w:rsidRDefault="00204B61" w:rsidP="000D31F6">
      <w:pPr>
        <w:pStyle w:val="ListParagraph"/>
        <w:ind w:left="1440"/>
        <w:rPr>
          <w:rFonts w:asciiTheme="majorHAnsi" w:hAnsiTheme="majorHAnsi"/>
          <w:b/>
          <w:color w:val="FF0000"/>
          <w:sz w:val="20"/>
          <w:szCs w:val="20"/>
          <w:lang w:val="es-ES_tradnl"/>
        </w:rPr>
      </w:pPr>
    </w:p>
    <w:p w:rsidR="004D6618" w:rsidRPr="00D73C5B" w:rsidRDefault="000D31F6" w:rsidP="00724068">
      <w:pPr>
        <w:pStyle w:val="Heading2"/>
        <w:numPr>
          <w:ilvl w:val="0"/>
          <w:numId w:val="70"/>
        </w:numPr>
        <w:ind w:hanging="720"/>
        <w:jc w:val="both"/>
      </w:pPr>
      <w:bookmarkStart w:id="12" w:name="_Toc485650798"/>
      <w:bookmarkStart w:id="13" w:name="_Toc531327098"/>
      <w:r w:rsidRPr="00D73C5B">
        <w:t>Derechos a las garantías judiciales, vida privada y autonomía, acceso a la función pública en condiciones de igualdad, igualdad y no discriminación, protección judicial y al trabajo</w:t>
      </w:r>
      <w:r w:rsidR="005A1CAC" w:rsidRPr="00D73C5B">
        <w:t xml:space="preserve"> </w:t>
      </w:r>
      <w:bookmarkEnd w:id="12"/>
      <w:r w:rsidR="005A1CAC" w:rsidRPr="00C65738">
        <w:t>(Artículos 8.1</w:t>
      </w:r>
      <w:r w:rsidR="003C4EF4" w:rsidRPr="00A3119C">
        <w:rPr>
          <w:vertAlign w:val="superscript"/>
        </w:rPr>
        <w:footnoteReference w:id="36"/>
      </w:r>
      <w:r w:rsidR="005A1CAC" w:rsidRPr="00C65738">
        <w:t xml:space="preserve">, </w:t>
      </w:r>
      <w:r w:rsidR="00401807" w:rsidRPr="00C65738">
        <w:t>11.2</w:t>
      </w:r>
      <w:r w:rsidR="00AC6629" w:rsidRPr="00CD59F0">
        <w:rPr>
          <w:rStyle w:val="FootnoteReference"/>
        </w:rPr>
        <w:footnoteReference w:id="37"/>
      </w:r>
      <w:r w:rsidR="00401807" w:rsidRPr="00C65738">
        <w:t>, 23.1 c)</w:t>
      </w:r>
      <w:r w:rsidR="00E66F4F" w:rsidRPr="00E66F4F">
        <w:rPr>
          <w:rStyle w:val="FootnoteReference"/>
        </w:rPr>
        <w:footnoteReference w:id="38"/>
      </w:r>
      <w:r w:rsidR="00401807" w:rsidRPr="00C65738">
        <w:t>, 24</w:t>
      </w:r>
      <w:r w:rsidR="00144AB8" w:rsidRPr="00144AB8">
        <w:rPr>
          <w:rStyle w:val="FootnoteReference"/>
        </w:rPr>
        <w:footnoteReference w:id="39"/>
      </w:r>
      <w:r w:rsidR="00401807" w:rsidRPr="00C65738">
        <w:t>, 25</w:t>
      </w:r>
      <w:r w:rsidR="00877CB3" w:rsidRPr="00877CB3">
        <w:rPr>
          <w:rStyle w:val="FootnoteReference"/>
        </w:rPr>
        <w:footnoteReference w:id="40"/>
      </w:r>
      <w:r w:rsidR="00401807" w:rsidRPr="00C65738">
        <w:t xml:space="preserve"> y 2</w:t>
      </w:r>
      <w:r w:rsidR="00877CB3">
        <w:t>6</w:t>
      </w:r>
      <w:r w:rsidR="003C4EF4" w:rsidRPr="000842B3">
        <w:rPr>
          <w:rStyle w:val="FootnoteReference"/>
        </w:rPr>
        <w:footnoteReference w:id="41"/>
      </w:r>
      <w:r w:rsidR="00401807" w:rsidRPr="00C65738">
        <w:t xml:space="preserve"> en relación con los artículos 1.1 y 2 de la Convención Americana)</w:t>
      </w:r>
      <w:bookmarkEnd w:id="13"/>
      <w:r w:rsidR="00401807" w:rsidRPr="00D73C5B">
        <w:t xml:space="preserve"> </w:t>
      </w:r>
      <w:r w:rsidR="005A1CAC" w:rsidRPr="00D73C5B">
        <w:t xml:space="preserve"> </w:t>
      </w:r>
      <w:r w:rsidR="00BA461E" w:rsidRPr="00D73C5B">
        <w:t xml:space="preserve"> </w:t>
      </w:r>
    </w:p>
    <w:p w:rsidR="001D18C7" w:rsidRPr="00D73C5B" w:rsidRDefault="001D18C7" w:rsidP="000D31F6">
      <w:pPr>
        <w:pStyle w:val="ListParagraph"/>
        <w:ind w:left="1440"/>
        <w:jc w:val="both"/>
        <w:rPr>
          <w:rFonts w:asciiTheme="majorHAnsi" w:hAnsiTheme="majorHAnsi"/>
          <w:b/>
          <w:color w:val="FF0000"/>
          <w:sz w:val="20"/>
          <w:szCs w:val="20"/>
          <w:lang w:val="es-ES"/>
        </w:rPr>
      </w:pPr>
    </w:p>
    <w:p w:rsidR="009176DA" w:rsidRPr="000D31F6" w:rsidRDefault="001D18C7" w:rsidP="000D31F6">
      <w:pPr>
        <w:pStyle w:val="Heading3"/>
      </w:pPr>
      <w:bookmarkStart w:id="14" w:name="_Toc531327099"/>
      <w:r w:rsidRPr="000D31F6">
        <w:t xml:space="preserve">Consideraciones sobre </w:t>
      </w:r>
      <w:r w:rsidR="00507A77" w:rsidRPr="000D31F6">
        <w:t xml:space="preserve">el principio de igualdad y no </w:t>
      </w:r>
      <w:r w:rsidR="003C2A3D" w:rsidRPr="000D31F6">
        <w:t>discriminación</w:t>
      </w:r>
      <w:r w:rsidR="0075060B" w:rsidRPr="000D31F6">
        <w:t xml:space="preserve">, el derecho a la vida privada y autonomía </w:t>
      </w:r>
      <w:r w:rsidR="00507A77" w:rsidRPr="000D31F6">
        <w:t>y la orientación sexual</w:t>
      </w:r>
      <w:bookmarkEnd w:id="14"/>
      <w:r w:rsidR="00507A77" w:rsidRPr="000D31F6">
        <w:t xml:space="preserve"> </w:t>
      </w:r>
    </w:p>
    <w:p w:rsidR="00592C12" w:rsidRPr="00D73C5B" w:rsidRDefault="00592C12" w:rsidP="000D31F6">
      <w:pPr>
        <w:jc w:val="both"/>
        <w:rPr>
          <w:rFonts w:asciiTheme="majorHAnsi" w:hAnsiTheme="majorHAnsi"/>
          <w:b/>
          <w:sz w:val="20"/>
          <w:szCs w:val="20"/>
          <w:lang w:val="es-ES"/>
        </w:rPr>
      </w:pPr>
    </w:p>
    <w:p w:rsidR="008545E3" w:rsidRPr="00D73C5B" w:rsidRDefault="008545E3"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sidRPr="00D73C5B">
        <w:rPr>
          <w:rFonts w:asciiTheme="majorHAnsi" w:hAnsiTheme="majorHAnsi"/>
          <w:sz w:val="20"/>
          <w:szCs w:val="20"/>
          <w:lang w:val="es-US"/>
        </w:rPr>
        <w:t xml:space="preserve">La Corte Interamericana ha señalado que la noción de igualdad se desprende directamente de la unidad de </w:t>
      </w:r>
      <w:r w:rsidRPr="00D73C5B">
        <w:rPr>
          <w:rFonts w:asciiTheme="majorHAnsi" w:hAnsiTheme="majorHAnsi"/>
          <w:sz w:val="20"/>
          <w:szCs w:val="20"/>
          <w:lang w:val="es-CL"/>
        </w:rPr>
        <w:t>naturaleza</w:t>
      </w:r>
      <w:r w:rsidRPr="00D73C5B">
        <w:rPr>
          <w:rFonts w:asciiTheme="majorHAnsi" w:hAnsiTheme="majorHAnsi"/>
          <w:sz w:val="20"/>
          <w:szCs w:val="20"/>
          <w:lang w:val="es-US"/>
        </w:rPr>
        <w:t xml:space="preserve">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w:t>
      </w:r>
      <w:r w:rsidRPr="00D73C5B">
        <w:rPr>
          <w:rFonts w:asciiTheme="majorHAnsi" w:hAnsiTheme="majorHAnsi"/>
          <w:sz w:val="20"/>
          <w:szCs w:val="20"/>
          <w:lang w:val="es-VE"/>
        </w:rPr>
        <w:t>discrimine</w:t>
      </w:r>
      <w:r w:rsidRPr="00D73C5B">
        <w:rPr>
          <w:rFonts w:asciiTheme="majorHAnsi" w:hAnsiTheme="majorHAnsi"/>
          <w:sz w:val="20"/>
          <w:szCs w:val="20"/>
          <w:lang w:val="es-US"/>
        </w:rPr>
        <w:t xml:space="preserve"> del goce de derechos que sí se reconocen a quienes no se consideran incursos en tal situación. La jurisprudencia de la Corte ha indicado que en la actual etapa de la evolución del derecho internacional, el principio fundamental de igualdad y no discriminación ha ingresado en el dominio del </w:t>
      </w:r>
      <w:proofErr w:type="spellStart"/>
      <w:r w:rsidRPr="00D73C5B">
        <w:rPr>
          <w:rFonts w:asciiTheme="majorHAnsi" w:hAnsiTheme="majorHAnsi"/>
          <w:i/>
          <w:sz w:val="20"/>
          <w:szCs w:val="20"/>
          <w:lang w:val="es-US"/>
        </w:rPr>
        <w:t>ius</w:t>
      </w:r>
      <w:proofErr w:type="spellEnd"/>
      <w:r w:rsidRPr="00D73C5B">
        <w:rPr>
          <w:rFonts w:asciiTheme="majorHAnsi" w:hAnsiTheme="majorHAnsi"/>
          <w:i/>
          <w:sz w:val="20"/>
          <w:szCs w:val="20"/>
          <w:lang w:val="es-US"/>
        </w:rPr>
        <w:t xml:space="preserve"> </w:t>
      </w:r>
      <w:proofErr w:type="spellStart"/>
      <w:r w:rsidRPr="00D73C5B">
        <w:rPr>
          <w:rFonts w:asciiTheme="majorHAnsi" w:hAnsiTheme="majorHAnsi"/>
          <w:i/>
          <w:sz w:val="20"/>
          <w:szCs w:val="20"/>
          <w:lang w:val="es-US"/>
        </w:rPr>
        <w:t>cogens</w:t>
      </w:r>
      <w:proofErr w:type="spellEnd"/>
      <w:r w:rsidRPr="00D73C5B">
        <w:rPr>
          <w:rFonts w:asciiTheme="majorHAnsi" w:hAnsiTheme="majorHAnsi"/>
          <w:sz w:val="20"/>
          <w:szCs w:val="20"/>
          <w:lang w:val="es-US"/>
        </w:rPr>
        <w:t>.</w:t>
      </w:r>
      <w:r w:rsidRPr="00D73C5B">
        <w:rPr>
          <w:rFonts w:asciiTheme="majorHAnsi" w:hAnsiTheme="majorHAnsi"/>
          <w:i/>
          <w:sz w:val="20"/>
          <w:szCs w:val="20"/>
          <w:lang w:val="es-US"/>
        </w:rPr>
        <w:t xml:space="preserve"> </w:t>
      </w:r>
      <w:r w:rsidRPr="00D73C5B">
        <w:rPr>
          <w:rFonts w:asciiTheme="majorHAnsi" w:hAnsiTheme="majorHAnsi"/>
          <w:sz w:val="20"/>
          <w:szCs w:val="20"/>
          <w:lang w:val="es-CO"/>
        </w:rPr>
        <w:t>Sobre él descansa el andamiaje jurídico del orden público nacional e internacional y permea todo el ordenamiento jurídico</w:t>
      </w:r>
      <w:r w:rsidRPr="00D73C5B">
        <w:rPr>
          <w:rStyle w:val="FootnoteReference"/>
          <w:rFonts w:asciiTheme="majorHAnsi" w:hAnsiTheme="majorHAnsi"/>
          <w:sz w:val="20"/>
          <w:szCs w:val="20"/>
        </w:rPr>
        <w:footnoteReference w:id="42"/>
      </w:r>
      <w:r w:rsidRPr="00D73C5B">
        <w:rPr>
          <w:rFonts w:asciiTheme="majorHAnsi" w:hAnsiTheme="majorHAnsi"/>
          <w:sz w:val="20"/>
          <w:szCs w:val="20"/>
          <w:lang w:val="es-CO"/>
        </w:rPr>
        <w:t>.</w:t>
      </w:r>
    </w:p>
    <w:p w:rsidR="008545E3" w:rsidRPr="00D73C5B" w:rsidRDefault="008545E3" w:rsidP="00306C81">
      <w:pPr>
        <w:pStyle w:val="ListParagraph"/>
        <w:ind w:left="634" w:firstLine="720"/>
        <w:jc w:val="both"/>
        <w:rPr>
          <w:rFonts w:asciiTheme="majorHAnsi" w:hAnsiTheme="majorHAnsi"/>
          <w:sz w:val="20"/>
          <w:szCs w:val="20"/>
          <w:lang w:val="es-CR" w:eastAsia="es-MX"/>
        </w:rPr>
      </w:pPr>
    </w:p>
    <w:p w:rsidR="00592C12" w:rsidRPr="00D73C5B" w:rsidRDefault="008545E3"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sidRPr="00D73C5B">
        <w:rPr>
          <w:rFonts w:asciiTheme="majorHAnsi" w:hAnsiTheme="majorHAnsi"/>
          <w:sz w:val="20"/>
          <w:szCs w:val="20"/>
          <w:lang w:val="es-CO"/>
        </w:rPr>
        <w:t>El principio de igualdad y no discriminación debe entenderse en el sentido de incorporar dos concepciones: “(…) una concepción negativa relacionada con la prohibición de diferencias de trato arbitrarias, y una concepción positiva relacionada con la obligación de los Estados de crear condiciones de igualdad real frente a grupos que han sido históricamente excluidos o que se encuentran en mayor riesgo de ser discriminados”</w:t>
      </w:r>
      <w:r w:rsidRPr="00D73C5B">
        <w:rPr>
          <w:rStyle w:val="FootnoteReference"/>
          <w:rFonts w:asciiTheme="majorHAnsi" w:hAnsiTheme="majorHAnsi"/>
          <w:sz w:val="20"/>
          <w:szCs w:val="20"/>
          <w:lang w:val="es-CO"/>
        </w:rPr>
        <w:footnoteReference w:id="43"/>
      </w:r>
      <w:r w:rsidRPr="00D73C5B">
        <w:rPr>
          <w:rFonts w:asciiTheme="majorHAnsi" w:hAnsiTheme="majorHAnsi"/>
          <w:sz w:val="20"/>
          <w:szCs w:val="20"/>
          <w:lang w:val="es-CO"/>
        </w:rPr>
        <w:t>.</w:t>
      </w:r>
      <w:r w:rsidR="0096102B" w:rsidRPr="00D73C5B">
        <w:rPr>
          <w:rFonts w:asciiTheme="majorHAnsi" w:hAnsiTheme="majorHAnsi"/>
          <w:sz w:val="20"/>
          <w:szCs w:val="20"/>
          <w:lang w:val="es-CO"/>
        </w:rPr>
        <w:t xml:space="preserve"> </w:t>
      </w:r>
    </w:p>
    <w:p w:rsidR="00D15A50" w:rsidRDefault="00D15A50" w:rsidP="00306C81">
      <w:pPr>
        <w:pStyle w:val="ListParagraph"/>
        <w:ind w:firstLine="720"/>
        <w:rPr>
          <w:rFonts w:asciiTheme="majorHAnsi" w:hAnsiTheme="majorHAnsi"/>
          <w:sz w:val="20"/>
          <w:szCs w:val="20"/>
          <w:lang w:val="es-CL"/>
        </w:rPr>
      </w:pPr>
    </w:p>
    <w:p w:rsidR="00361AAA" w:rsidRDefault="00361AAA" w:rsidP="00306C81">
      <w:pPr>
        <w:pStyle w:val="ListParagraph"/>
        <w:ind w:firstLine="720"/>
        <w:rPr>
          <w:rFonts w:asciiTheme="majorHAnsi" w:hAnsiTheme="majorHAnsi"/>
          <w:sz w:val="20"/>
          <w:szCs w:val="20"/>
          <w:lang w:val="es-CL"/>
        </w:rPr>
      </w:pPr>
    </w:p>
    <w:p w:rsidR="00361AAA" w:rsidRDefault="00361AAA" w:rsidP="00306C81">
      <w:pPr>
        <w:pStyle w:val="ListParagraph"/>
        <w:ind w:firstLine="720"/>
        <w:rPr>
          <w:rFonts w:asciiTheme="majorHAnsi" w:hAnsiTheme="majorHAnsi"/>
          <w:sz w:val="20"/>
          <w:szCs w:val="20"/>
          <w:lang w:val="es-CL"/>
        </w:rPr>
      </w:pPr>
    </w:p>
    <w:p w:rsidR="00361AAA" w:rsidRPr="00D73C5B" w:rsidRDefault="00361AAA" w:rsidP="00306C81">
      <w:pPr>
        <w:pStyle w:val="ListParagraph"/>
        <w:ind w:firstLine="720"/>
        <w:rPr>
          <w:rFonts w:asciiTheme="majorHAnsi" w:hAnsiTheme="majorHAnsi"/>
          <w:sz w:val="20"/>
          <w:szCs w:val="20"/>
          <w:lang w:val="es-CL"/>
        </w:rPr>
      </w:pPr>
    </w:p>
    <w:p w:rsidR="00220F9A" w:rsidRPr="00D73C5B" w:rsidRDefault="005B07D9"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sidRPr="00D73C5B">
        <w:rPr>
          <w:rFonts w:asciiTheme="majorHAnsi" w:hAnsiTheme="majorHAnsi"/>
          <w:sz w:val="20"/>
          <w:szCs w:val="20"/>
          <w:lang w:val="es-CL"/>
        </w:rPr>
        <w:t>Respecto de la primera concepción, que es la relevante en el presente caso, d</w:t>
      </w:r>
      <w:r w:rsidR="0043780E" w:rsidRPr="00D73C5B">
        <w:rPr>
          <w:rFonts w:asciiTheme="majorHAnsi" w:hAnsiTheme="majorHAnsi"/>
          <w:sz w:val="20"/>
          <w:szCs w:val="20"/>
          <w:lang w:val="es-CL"/>
        </w:rPr>
        <w:t>esde su temprana jurisprudencia en la materia, la Corte Interamericana señaló que no toda diferencia de trato es discriminatoria y que es preciso establecer si la misma tiene justificación objetiva y razonable</w:t>
      </w:r>
      <w:r w:rsidR="0043780E" w:rsidRPr="00D73C5B">
        <w:rPr>
          <w:rStyle w:val="FootnoteReference"/>
          <w:rFonts w:asciiTheme="majorHAnsi" w:hAnsiTheme="majorHAnsi"/>
          <w:sz w:val="20"/>
          <w:szCs w:val="20"/>
          <w:lang w:val="es-ES"/>
        </w:rPr>
        <w:footnoteReference w:id="44"/>
      </w:r>
      <w:r w:rsidR="0075060B" w:rsidRPr="00D73C5B">
        <w:rPr>
          <w:rFonts w:asciiTheme="majorHAnsi" w:hAnsiTheme="majorHAnsi"/>
          <w:sz w:val="20"/>
          <w:szCs w:val="20"/>
          <w:lang w:val="es-ES"/>
        </w:rPr>
        <w:t>.</w:t>
      </w:r>
      <w:r w:rsidRPr="00D73C5B">
        <w:rPr>
          <w:rFonts w:asciiTheme="majorHAnsi" w:hAnsiTheme="majorHAnsi"/>
          <w:sz w:val="20"/>
          <w:szCs w:val="20"/>
          <w:lang w:val="es-ES"/>
        </w:rPr>
        <w:t xml:space="preserve"> Este análisis es especialmente estricto cuando se trata de una diferencia de trato basada en una de las categorías prohibidas por el artículo 1.1 de la Convención.</w:t>
      </w:r>
    </w:p>
    <w:p w:rsidR="005B07D9" w:rsidRPr="00D73C5B" w:rsidRDefault="005B07D9" w:rsidP="00306C81">
      <w:pPr>
        <w:pStyle w:val="ListParagraph"/>
        <w:ind w:firstLine="720"/>
        <w:rPr>
          <w:rFonts w:asciiTheme="majorHAnsi" w:hAnsiTheme="majorHAnsi"/>
          <w:sz w:val="20"/>
          <w:szCs w:val="20"/>
          <w:lang w:val="es-CL"/>
        </w:rPr>
      </w:pPr>
    </w:p>
    <w:p w:rsidR="005B07D9" w:rsidRPr="00D73C5B" w:rsidRDefault="005B07D9"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sidRPr="00D73C5B">
        <w:rPr>
          <w:rFonts w:asciiTheme="majorHAnsi" w:hAnsiTheme="majorHAnsi"/>
          <w:sz w:val="20"/>
          <w:szCs w:val="20"/>
          <w:lang w:val="es-CL"/>
        </w:rPr>
        <w:t xml:space="preserve">En cuanto a la orientación sexual, desde el caso </w:t>
      </w:r>
      <w:proofErr w:type="spellStart"/>
      <w:r w:rsidRPr="00D73C5B">
        <w:rPr>
          <w:rFonts w:asciiTheme="majorHAnsi" w:hAnsiTheme="majorHAnsi"/>
          <w:i/>
          <w:sz w:val="20"/>
          <w:szCs w:val="20"/>
          <w:lang w:val="es-CL"/>
        </w:rPr>
        <w:t>Atala</w:t>
      </w:r>
      <w:proofErr w:type="spellEnd"/>
      <w:r w:rsidRPr="00D73C5B">
        <w:rPr>
          <w:rFonts w:asciiTheme="majorHAnsi" w:hAnsiTheme="majorHAnsi"/>
          <w:i/>
          <w:sz w:val="20"/>
          <w:szCs w:val="20"/>
          <w:lang w:val="es-CL"/>
        </w:rPr>
        <w:t xml:space="preserve"> </w:t>
      </w:r>
      <w:proofErr w:type="spellStart"/>
      <w:r w:rsidRPr="00D73C5B">
        <w:rPr>
          <w:rFonts w:asciiTheme="majorHAnsi" w:hAnsiTheme="majorHAnsi"/>
          <w:i/>
          <w:sz w:val="20"/>
          <w:szCs w:val="20"/>
          <w:lang w:val="es-CL"/>
        </w:rPr>
        <w:t>Riffo</w:t>
      </w:r>
      <w:proofErr w:type="spellEnd"/>
      <w:r w:rsidR="001B0B3A" w:rsidRPr="00D73C5B">
        <w:rPr>
          <w:rFonts w:asciiTheme="majorHAnsi" w:hAnsiTheme="majorHAnsi"/>
          <w:i/>
          <w:sz w:val="20"/>
          <w:szCs w:val="20"/>
          <w:lang w:val="es-CL"/>
        </w:rPr>
        <w:t xml:space="preserve"> e hijas</w:t>
      </w:r>
      <w:r w:rsidRPr="00D73C5B">
        <w:rPr>
          <w:rFonts w:asciiTheme="majorHAnsi" w:hAnsiTheme="majorHAnsi"/>
          <w:i/>
          <w:sz w:val="20"/>
          <w:szCs w:val="20"/>
          <w:lang w:val="es-CL"/>
        </w:rPr>
        <w:t xml:space="preserve"> vs. Chile</w:t>
      </w:r>
      <w:r w:rsidRPr="00D73C5B">
        <w:rPr>
          <w:rFonts w:asciiTheme="majorHAnsi" w:hAnsiTheme="majorHAnsi"/>
          <w:sz w:val="20"/>
          <w:szCs w:val="20"/>
          <w:lang w:val="es-CL"/>
        </w:rPr>
        <w:t>, y en casos posteriores, la Corte Interamericana estableció que se encuentra comprendida en el artículo 1.1 de la Convención bajo “otra condición social</w:t>
      </w:r>
      <w:r w:rsidR="00A90EA6" w:rsidRPr="00D73C5B">
        <w:rPr>
          <w:rFonts w:asciiTheme="majorHAnsi" w:hAnsiTheme="majorHAnsi"/>
          <w:sz w:val="20"/>
          <w:szCs w:val="20"/>
          <w:lang w:val="es-CL"/>
        </w:rPr>
        <w:t>”</w:t>
      </w:r>
      <w:r w:rsidR="00101E7C" w:rsidRPr="00D73C5B">
        <w:rPr>
          <w:rStyle w:val="FootnoteReference"/>
          <w:rFonts w:asciiTheme="majorHAnsi" w:hAnsiTheme="majorHAnsi"/>
          <w:sz w:val="20"/>
          <w:szCs w:val="20"/>
          <w:lang w:val="es-CL"/>
        </w:rPr>
        <w:footnoteReference w:id="45"/>
      </w:r>
      <w:r w:rsidR="00A90EA6" w:rsidRPr="00D73C5B">
        <w:rPr>
          <w:rFonts w:asciiTheme="majorHAnsi" w:hAnsiTheme="majorHAnsi"/>
          <w:sz w:val="20"/>
          <w:szCs w:val="20"/>
          <w:lang w:val="es-CL"/>
        </w:rPr>
        <w:t xml:space="preserve">. </w:t>
      </w:r>
      <w:r w:rsidR="00E177BB" w:rsidRPr="00D73C5B">
        <w:rPr>
          <w:rFonts w:asciiTheme="majorHAnsi" w:hAnsiTheme="majorHAnsi"/>
          <w:sz w:val="20"/>
          <w:szCs w:val="20"/>
          <w:lang w:val="es-CL"/>
        </w:rPr>
        <w:t>En palabras de la Corte:</w:t>
      </w:r>
    </w:p>
    <w:p w:rsidR="00E177BB" w:rsidRPr="00D73C5B" w:rsidRDefault="00E177BB" w:rsidP="000D31F6">
      <w:pPr>
        <w:pStyle w:val="ListParagraph"/>
        <w:rPr>
          <w:rFonts w:asciiTheme="majorHAnsi" w:hAnsiTheme="majorHAnsi"/>
          <w:sz w:val="20"/>
          <w:szCs w:val="20"/>
          <w:lang w:val="es-CL"/>
        </w:rPr>
      </w:pPr>
    </w:p>
    <w:p w:rsidR="00E177BB" w:rsidRPr="00D73C5B" w:rsidRDefault="00E177BB" w:rsidP="00306C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i/>
          <w:sz w:val="20"/>
          <w:szCs w:val="20"/>
          <w:lang w:val="es-CO"/>
        </w:rPr>
      </w:pPr>
      <w:r w:rsidRPr="00D73C5B">
        <w:rPr>
          <w:rFonts w:asciiTheme="majorHAnsi" w:hAnsiTheme="majorHAnsi"/>
          <w:sz w:val="20"/>
          <w:szCs w:val="20"/>
          <w:lang w:val="es-CO"/>
        </w:rPr>
        <w:t>La Corte Interamericana ya ha establecido que la orientación sexual y la identidad de género de las personas son categorías protegidas por la Convención. Por ello, está proscrita por la Convención cualquier norma, acto o práctica discriminatoria basada en la orientación sexual de la persona. En consecuencia, ninguna norma, decisión o práctica de derecho interno, sea por parte de autoridades estatales o por particulares, pueden disminuir o restringir, de modo alguno, los derechos de una persona a partir de su orientación sexual</w:t>
      </w:r>
      <w:r w:rsidRPr="00D73C5B">
        <w:rPr>
          <w:rStyle w:val="FootnoteReference"/>
          <w:rFonts w:asciiTheme="majorHAnsi" w:hAnsiTheme="majorHAnsi"/>
          <w:sz w:val="20"/>
          <w:szCs w:val="20"/>
        </w:rPr>
        <w:footnoteReference w:id="46"/>
      </w:r>
      <w:r w:rsidRPr="00D73C5B">
        <w:rPr>
          <w:rFonts w:asciiTheme="majorHAnsi" w:hAnsiTheme="majorHAnsi"/>
          <w:sz w:val="20"/>
          <w:szCs w:val="20"/>
          <w:lang w:val="es-CO"/>
        </w:rPr>
        <w:t xml:space="preserve">. </w:t>
      </w:r>
    </w:p>
    <w:p w:rsidR="00E177BB" w:rsidRPr="00D73C5B" w:rsidRDefault="00E177BB" w:rsidP="00306C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lang w:val="es-CO"/>
        </w:rPr>
      </w:pPr>
    </w:p>
    <w:p w:rsidR="00E177BB" w:rsidRPr="00D73C5B" w:rsidRDefault="00E177BB" w:rsidP="00306C8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i/>
          <w:sz w:val="20"/>
          <w:szCs w:val="20"/>
          <w:lang w:val="es-CO"/>
        </w:rPr>
      </w:pPr>
      <w:r w:rsidRPr="00D73C5B">
        <w:rPr>
          <w:rFonts w:asciiTheme="majorHAnsi" w:hAnsiTheme="majorHAnsi"/>
          <w:sz w:val="20"/>
          <w:szCs w:val="20"/>
          <w:lang w:val="es-CO"/>
        </w:rPr>
        <w:t xml:space="preserve">En ese sentido, el instrumento interamericano proscribe la discriminación, en general, incluyendo en ello categorías como las de la orientación sexual la que no puede servir de sustento para negar o restringir ninguno de los derechos establecidos en la Convención. Lo anterior sería contrario a lo establecido en el artículo 1.1. </w:t>
      </w:r>
      <w:proofErr w:type="gramStart"/>
      <w:r w:rsidRPr="00D73C5B">
        <w:rPr>
          <w:rFonts w:asciiTheme="majorHAnsi" w:hAnsiTheme="majorHAnsi"/>
          <w:sz w:val="20"/>
          <w:szCs w:val="20"/>
          <w:lang w:val="es-CO"/>
        </w:rPr>
        <w:t>de</w:t>
      </w:r>
      <w:proofErr w:type="gramEnd"/>
      <w:r w:rsidRPr="00D73C5B">
        <w:rPr>
          <w:rFonts w:asciiTheme="majorHAnsi" w:hAnsiTheme="majorHAnsi"/>
          <w:sz w:val="20"/>
          <w:szCs w:val="20"/>
          <w:lang w:val="es-CO"/>
        </w:rPr>
        <w:t xml:space="preserve"> la Convención Americana</w:t>
      </w:r>
      <w:r w:rsidRPr="00D73C5B">
        <w:rPr>
          <w:rStyle w:val="FootnoteReference"/>
          <w:rFonts w:asciiTheme="majorHAnsi" w:hAnsiTheme="majorHAnsi"/>
          <w:sz w:val="20"/>
          <w:szCs w:val="20"/>
        </w:rPr>
        <w:footnoteReference w:id="47"/>
      </w:r>
      <w:r w:rsidRPr="00D73C5B">
        <w:rPr>
          <w:rFonts w:asciiTheme="majorHAnsi" w:hAnsiTheme="majorHAnsi"/>
          <w:sz w:val="20"/>
          <w:szCs w:val="20"/>
          <w:lang w:val="es-CO"/>
        </w:rPr>
        <w:t xml:space="preserve">. </w:t>
      </w:r>
    </w:p>
    <w:p w:rsidR="001B0B3A" w:rsidRPr="00D73C5B" w:rsidRDefault="001B0B3A" w:rsidP="000D31F6">
      <w:pPr>
        <w:rPr>
          <w:rFonts w:asciiTheme="majorHAnsi" w:hAnsiTheme="majorHAnsi"/>
          <w:sz w:val="20"/>
          <w:szCs w:val="20"/>
          <w:lang w:val="es-ES"/>
        </w:rPr>
      </w:pPr>
    </w:p>
    <w:p w:rsidR="0091487D" w:rsidRPr="00D73C5B" w:rsidRDefault="00A83BD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O"/>
        </w:rPr>
      </w:pPr>
      <w:r w:rsidRPr="00D73C5B">
        <w:rPr>
          <w:rFonts w:asciiTheme="majorHAnsi" w:hAnsiTheme="majorHAnsi"/>
          <w:sz w:val="20"/>
          <w:szCs w:val="20"/>
          <w:lang w:val="es-CL"/>
        </w:rPr>
        <w:t xml:space="preserve">Sobre el derecho a la vida privada y autonomía, la Corte ha señalado que </w:t>
      </w:r>
      <w:bookmarkStart w:id="15" w:name="_Ref319669930"/>
      <w:r w:rsidRPr="00D73C5B">
        <w:rPr>
          <w:rFonts w:asciiTheme="majorHAnsi" w:hAnsiTheme="majorHAnsi"/>
          <w:sz w:val="20"/>
          <w:szCs w:val="20"/>
          <w:lang w:val="es-CL"/>
        </w:rPr>
        <w:t xml:space="preserve">el </w:t>
      </w:r>
      <w:r w:rsidR="000C4B3C" w:rsidRPr="00D73C5B">
        <w:rPr>
          <w:rFonts w:asciiTheme="majorHAnsi" w:hAnsiTheme="majorHAnsi" w:cs="Verdana"/>
          <w:sz w:val="20"/>
          <w:szCs w:val="20"/>
          <w:lang w:val="es-CO"/>
        </w:rPr>
        <w:t xml:space="preserve">artículo 11 de la Convención prohíbe toda </w:t>
      </w:r>
      <w:r w:rsidR="000C4B3C" w:rsidRPr="00D73C5B">
        <w:rPr>
          <w:rFonts w:asciiTheme="majorHAnsi" w:hAnsiTheme="majorHAnsi"/>
          <w:sz w:val="20"/>
          <w:szCs w:val="20"/>
          <w:lang w:val="es-CL"/>
        </w:rPr>
        <w:t>injerencia</w:t>
      </w:r>
      <w:r w:rsidR="000C4B3C" w:rsidRPr="00D73C5B">
        <w:rPr>
          <w:rFonts w:asciiTheme="majorHAnsi" w:hAnsiTheme="majorHAnsi" w:cs="Verdana"/>
          <w:sz w:val="20"/>
          <w:szCs w:val="20"/>
          <w:lang w:val="es-CO"/>
        </w:rPr>
        <w:t xml:space="preserve"> arbitraria o abusiva en la vida privada de las personas, enunciando diversos ámbitos de la misma como la vida privada de sus familias. En ese sentido, la Corte ha sostenido que el ámbito de la privacidad se caracteriza por quedar exento e inmune a las invasiones o agresiones abusivas o arbitrarias por parte de terceros o de la autoridad pública</w:t>
      </w:r>
      <w:bookmarkStart w:id="16" w:name="_Ref318127168"/>
      <w:r w:rsidR="000C4B3C" w:rsidRPr="00D73C5B">
        <w:rPr>
          <w:rStyle w:val="FootnoteReference"/>
          <w:rFonts w:asciiTheme="majorHAnsi" w:hAnsiTheme="majorHAnsi" w:cs="Verdana"/>
          <w:sz w:val="20"/>
          <w:szCs w:val="20"/>
        </w:rPr>
        <w:footnoteReference w:id="48"/>
      </w:r>
      <w:bookmarkEnd w:id="16"/>
      <w:r w:rsidR="000C4B3C" w:rsidRPr="00D73C5B">
        <w:rPr>
          <w:rFonts w:asciiTheme="majorHAnsi" w:hAnsiTheme="majorHAnsi" w:cs="Verdana"/>
          <w:sz w:val="20"/>
          <w:szCs w:val="20"/>
          <w:lang w:val="es-CO"/>
        </w:rPr>
        <w:t>.</w:t>
      </w:r>
      <w:bookmarkEnd w:id="15"/>
      <w:r w:rsidRPr="00D73C5B">
        <w:rPr>
          <w:rFonts w:asciiTheme="majorHAnsi" w:hAnsiTheme="majorHAnsi"/>
          <w:sz w:val="20"/>
          <w:szCs w:val="20"/>
          <w:lang w:val="es-CO"/>
        </w:rPr>
        <w:t xml:space="preserve"> Igualmente, señaló que “</w:t>
      </w:r>
      <w:r w:rsidRPr="00D73C5B">
        <w:rPr>
          <w:rFonts w:asciiTheme="majorHAnsi" w:eastAsia="ヒラギノ角ゴ Pro W3" w:hAnsiTheme="majorHAnsi"/>
          <w:sz w:val="20"/>
          <w:szCs w:val="20"/>
          <w:lang w:val="es-CO"/>
        </w:rPr>
        <w:t>l</w:t>
      </w:r>
      <w:r w:rsidR="000C4B3C" w:rsidRPr="00D73C5B">
        <w:rPr>
          <w:rFonts w:asciiTheme="majorHAnsi" w:eastAsia="ヒラギノ角ゴ Pro W3" w:hAnsiTheme="majorHAnsi"/>
          <w:sz w:val="20"/>
          <w:szCs w:val="20"/>
          <w:lang w:val="es-CO"/>
        </w:rPr>
        <w:t xml:space="preserve">a vida privada es un concepto amplio que no es susceptible de definiciones exhaustivas y comprende, entre otros ámbitos protegidos, la vida sexual y el derecho a establecer y desarrollar relaciones con otros seres humanos. </w:t>
      </w:r>
      <w:r w:rsidR="000C4B3C" w:rsidRPr="00D73C5B">
        <w:rPr>
          <w:rFonts w:asciiTheme="majorHAnsi" w:hAnsiTheme="majorHAnsi"/>
          <w:sz w:val="20"/>
          <w:szCs w:val="20"/>
          <w:lang w:val="es-CO"/>
        </w:rPr>
        <w:t>Es decir, la vida privada incluye la forma en que el individuo se ve a sí mismo y cómo y cuándo decide proyectar a los demás</w:t>
      </w:r>
      <w:r w:rsidR="000C4B3C" w:rsidRPr="00D73C5B">
        <w:rPr>
          <w:rStyle w:val="FootnoteReference"/>
          <w:rFonts w:asciiTheme="majorHAnsi" w:hAnsiTheme="majorHAnsi"/>
          <w:sz w:val="20"/>
          <w:szCs w:val="20"/>
        </w:rPr>
        <w:footnoteReference w:id="49"/>
      </w:r>
      <w:r w:rsidRPr="00D73C5B">
        <w:rPr>
          <w:rFonts w:asciiTheme="majorHAnsi" w:hAnsiTheme="majorHAnsi"/>
          <w:sz w:val="20"/>
          <w:szCs w:val="20"/>
          <w:lang w:val="es-CO"/>
        </w:rPr>
        <w:t>”</w:t>
      </w:r>
      <w:r w:rsidR="000C4B3C" w:rsidRPr="00D73C5B">
        <w:rPr>
          <w:rFonts w:asciiTheme="majorHAnsi" w:hAnsiTheme="majorHAnsi"/>
          <w:sz w:val="20"/>
          <w:szCs w:val="20"/>
          <w:lang w:val="es-CO"/>
        </w:rPr>
        <w:t>.</w:t>
      </w:r>
    </w:p>
    <w:p w:rsidR="0091487D" w:rsidRDefault="0091487D" w:rsidP="000D31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jc w:val="both"/>
        <w:rPr>
          <w:rFonts w:asciiTheme="majorHAnsi" w:hAnsiTheme="majorHAnsi"/>
          <w:sz w:val="20"/>
          <w:szCs w:val="20"/>
          <w:lang w:val="es-CO"/>
        </w:rPr>
      </w:pPr>
    </w:p>
    <w:p w:rsidR="0091487D" w:rsidRPr="00D73C5B" w:rsidRDefault="00966DA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O"/>
        </w:rPr>
      </w:pPr>
      <w:r w:rsidRPr="00D73C5B">
        <w:rPr>
          <w:rFonts w:asciiTheme="majorHAnsi" w:hAnsiTheme="majorHAnsi"/>
          <w:sz w:val="20"/>
          <w:szCs w:val="20"/>
          <w:lang w:val="es-CO"/>
        </w:rPr>
        <w:t xml:space="preserve">Con base en lo anterior, la Corte Interamericana ha señalado que la orientación sexual hace parte de la vida privada de las personas y, por lo </w:t>
      </w:r>
      <w:r w:rsidR="00C82765" w:rsidRPr="00D73C5B">
        <w:rPr>
          <w:rFonts w:asciiTheme="majorHAnsi" w:hAnsiTheme="majorHAnsi"/>
          <w:sz w:val="20"/>
          <w:szCs w:val="20"/>
          <w:lang w:val="es-CO"/>
        </w:rPr>
        <w:t>t</w:t>
      </w:r>
      <w:r w:rsidRPr="00D73C5B">
        <w:rPr>
          <w:rFonts w:asciiTheme="majorHAnsi" w:hAnsiTheme="majorHAnsi"/>
          <w:sz w:val="20"/>
          <w:szCs w:val="20"/>
          <w:lang w:val="es-CO"/>
        </w:rPr>
        <w:t>anto, se trata de un ámbito que no puede ser sometido a injerencias arbitrarias</w:t>
      </w:r>
      <w:r w:rsidR="00C82765" w:rsidRPr="00D73C5B">
        <w:rPr>
          <w:rStyle w:val="FootnoteReference"/>
          <w:rFonts w:asciiTheme="majorHAnsi" w:hAnsiTheme="majorHAnsi"/>
          <w:sz w:val="20"/>
          <w:szCs w:val="20"/>
          <w:lang w:val="es-CO"/>
        </w:rPr>
        <w:footnoteReference w:id="50"/>
      </w:r>
      <w:r w:rsidRPr="00D73C5B">
        <w:rPr>
          <w:rFonts w:asciiTheme="majorHAnsi" w:hAnsiTheme="majorHAnsi"/>
          <w:sz w:val="20"/>
          <w:szCs w:val="20"/>
          <w:lang w:val="es-CO"/>
        </w:rPr>
        <w:t xml:space="preserve">. En el caso </w:t>
      </w:r>
      <w:proofErr w:type="spellStart"/>
      <w:r w:rsidRPr="00D73C5B">
        <w:rPr>
          <w:rFonts w:asciiTheme="majorHAnsi" w:hAnsiTheme="majorHAnsi"/>
          <w:i/>
          <w:sz w:val="20"/>
          <w:szCs w:val="20"/>
          <w:lang w:val="es-CO"/>
        </w:rPr>
        <w:t>Atala</w:t>
      </w:r>
      <w:proofErr w:type="spellEnd"/>
      <w:r w:rsidRPr="00D73C5B">
        <w:rPr>
          <w:rFonts w:asciiTheme="majorHAnsi" w:hAnsiTheme="majorHAnsi"/>
          <w:i/>
          <w:sz w:val="20"/>
          <w:szCs w:val="20"/>
          <w:lang w:val="es-CO"/>
        </w:rPr>
        <w:t xml:space="preserve"> </w:t>
      </w:r>
      <w:proofErr w:type="spellStart"/>
      <w:r w:rsidRPr="00D73C5B">
        <w:rPr>
          <w:rFonts w:asciiTheme="majorHAnsi" w:hAnsiTheme="majorHAnsi"/>
          <w:i/>
          <w:sz w:val="20"/>
          <w:szCs w:val="20"/>
          <w:lang w:val="es-CO"/>
        </w:rPr>
        <w:t>Riffo</w:t>
      </w:r>
      <w:proofErr w:type="spellEnd"/>
      <w:r w:rsidRPr="00D73C5B">
        <w:rPr>
          <w:rFonts w:asciiTheme="majorHAnsi" w:hAnsiTheme="majorHAnsi"/>
          <w:i/>
          <w:sz w:val="20"/>
          <w:szCs w:val="20"/>
          <w:lang w:val="es-CO"/>
        </w:rPr>
        <w:t xml:space="preserve"> e hijas vs. Chile</w:t>
      </w:r>
      <w:r w:rsidRPr="00D73C5B">
        <w:rPr>
          <w:rFonts w:asciiTheme="majorHAnsi" w:hAnsiTheme="majorHAnsi"/>
          <w:sz w:val="20"/>
          <w:szCs w:val="20"/>
          <w:lang w:val="es-CO"/>
        </w:rPr>
        <w:t>, la Corte determinó que el hecho de que una decisión judicial tuviera “como referente de peso la orientación sexual”, ello implicó una exposición de su vida privada</w:t>
      </w:r>
      <w:r w:rsidR="00C82765" w:rsidRPr="00D73C5B">
        <w:rPr>
          <w:rStyle w:val="FootnoteReference"/>
          <w:rFonts w:asciiTheme="majorHAnsi" w:hAnsiTheme="majorHAnsi"/>
          <w:sz w:val="20"/>
          <w:szCs w:val="20"/>
          <w:lang w:val="es-CO"/>
        </w:rPr>
        <w:footnoteReference w:id="51"/>
      </w:r>
      <w:r w:rsidRPr="00D73C5B">
        <w:rPr>
          <w:rFonts w:asciiTheme="majorHAnsi" w:hAnsiTheme="majorHAnsi" w:cs="Verdana"/>
          <w:sz w:val="20"/>
          <w:szCs w:val="20"/>
          <w:lang w:val="es-CO"/>
        </w:rPr>
        <w:t xml:space="preserve">. </w:t>
      </w:r>
      <w:r w:rsidR="000C4B3C" w:rsidRPr="00D73C5B">
        <w:rPr>
          <w:rFonts w:asciiTheme="majorHAnsi" w:hAnsiTheme="majorHAnsi" w:cs="Verdana"/>
          <w:sz w:val="20"/>
          <w:szCs w:val="20"/>
          <w:lang w:val="es-CO"/>
        </w:rPr>
        <w:t xml:space="preserve"> </w:t>
      </w:r>
    </w:p>
    <w:p w:rsidR="0091487D" w:rsidRDefault="0091487D" w:rsidP="00306C81">
      <w:pPr>
        <w:pStyle w:val="ListParagraph"/>
        <w:ind w:firstLine="720"/>
        <w:rPr>
          <w:rFonts w:asciiTheme="majorHAnsi" w:hAnsiTheme="majorHAnsi"/>
          <w:sz w:val="20"/>
          <w:szCs w:val="20"/>
          <w:lang w:val="es-ES"/>
        </w:rPr>
      </w:pPr>
    </w:p>
    <w:p w:rsidR="00530CFF" w:rsidRPr="00D73C5B" w:rsidRDefault="0075060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O"/>
        </w:rPr>
      </w:pPr>
      <w:r w:rsidRPr="00D73C5B">
        <w:rPr>
          <w:rFonts w:asciiTheme="majorHAnsi" w:hAnsiTheme="majorHAnsi"/>
          <w:sz w:val="20"/>
          <w:szCs w:val="20"/>
          <w:lang w:val="es-ES"/>
        </w:rPr>
        <w:lastRenderedPageBreak/>
        <w:t>Así, en el análisis de casos concretos,</w:t>
      </w:r>
      <w:r w:rsidR="000D6257" w:rsidRPr="00D73C5B">
        <w:rPr>
          <w:rFonts w:asciiTheme="majorHAnsi" w:hAnsiTheme="majorHAnsi"/>
          <w:sz w:val="20"/>
          <w:szCs w:val="20"/>
          <w:lang w:val="es-ES"/>
        </w:rPr>
        <w:t xml:space="preserve"> tanto para analizar </w:t>
      </w:r>
      <w:r w:rsidR="0091487D" w:rsidRPr="00D73C5B">
        <w:rPr>
          <w:rFonts w:asciiTheme="majorHAnsi" w:hAnsiTheme="majorHAnsi"/>
          <w:sz w:val="20"/>
          <w:szCs w:val="20"/>
          <w:lang w:val="es-ES"/>
        </w:rPr>
        <w:t xml:space="preserve">injerencias </w:t>
      </w:r>
      <w:r w:rsidR="000D6257" w:rsidRPr="00D73C5B">
        <w:rPr>
          <w:rFonts w:asciiTheme="majorHAnsi" w:hAnsiTheme="majorHAnsi"/>
          <w:sz w:val="20"/>
          <w:szCs w:val="20"/>
          <w:lang w:val="es-ES"/>
        </w:rPr>
        <w:t>a la vida privada</w:t>
      </w:r>
      <w:r w:rsidR="00AB5D69" w:rsidRPr="00D73C5B">
        <w:rPr>
          <w:rFonts w:asciiTheme="majorHAnsi" w:hAnsiTheme="majorHAnsi"/>
          <w:sz w:val="20"/>
          <w:szCs w:val="20"/>
          <w:lang w:val="es-ES"/>
        </w:rPr>
        <w:t xml:space="preserve"> y autonomía, como para analizar difere</w:t>
      </w:r>
      <w:r w:rsidR="00A3547F" w:rsidRPr="00D73C5B">
        <w:rPr>
          <w:rFonts w:asciiTheme="majorHAnsi" w:hAnsiTheme="majorHAnsi"/>
          <w:sz w:val="20"/>
          <w:szCs w:val="20"/>
          <w:lang w:val="es-ES"/>
        </w:rPr>
        <w:t xml:space="preserve">ncias de trato, se ha utilizado </w:t>
      </w:r>
      <w:r w:rsidR="008E7411" w:rsidRPr="00D73C5B">
        <w:rPr>
          <w:rFonts w:asciiTheme="majorHAnsi" w:hAnsiTheme="majorHAnsi"/>
          <w:sz w:val="20"/>
          <w:szCs w:val="20"/>
          <w:lang w:val="es-ES"/>
        </w:rPr>
        <w:t>un juicio de proporcionalidad</w:t>
      </w:r>
      <w:r w:rsidR="00A3547F" w:rsidRPr="00D73C5B">
        <w:rPr>
          <w:rFonts w:asciiTheme="majorHAnsi" w:hAnsiTheme="majorHAnsi"/>
          <w:sz w:val="20"/>
          <w:szCs w:val="20"/>
          <w:lang w:val="es-ES"/>
        </w:rPr>
        <w:t xml:space="preserve"> que consta de los siguientes elementos escalonados: </w:t>
      </w:r>
      <w:r w:rsidRPr="00D73C5B">
        <w:rPr>
          <w:rFonts w:asciiTheme="majorHAnsi" w:hAnsiTheme="majorHAnsi"/>
          <w:sz w:val="20"/>
          <w:szCs w:val="20"/>
          <w:lang w:val="es-CL"/>
        </w:rPr>
        <w:t>i) legalidad de la restricción, esto es si se encontraba prevista en ley en sentido formal y material; ii) la existencia de un fin legítimo; iii) la idoneidad, es decir la determinación de si existe una relación lógica de causalidad de medio a fin entre la distinción y el fin que persigue; iv) la necesidad, esto es, la determinación de si existen alternativas menos restrictivas e igualmente idóneas; y v) la proporcionalidad en sentido estricto, es decir, el balance de los intereses en juego y el grado de sacrifico de uno respecto del otro</w:t>
      </w:r>
      <w:r w:rsidRPr="00D73C5B">
        <w:rPr>
          <w:rStyle w:val="FootnoteReference"/>
          <w:rFonts w:asciiTheme="majorHAnsi" w:hAnsiTheme="majorHAnsi"/>
          <w:sz w:val="20"/>
          <w:szCs w:val="20"/>
          <w:lang w:val="es-CL"/>
        </w:rPr>
        <w:footnoteReference w:id="52"/>
      </w:r>
      <w:r w:rsidRPr="00D73C5B">
        <w:rPr>
          <w:rFonts w:asciiTheme="majorHAnsi" w:hAnsiTheme="majorHAnsi"/>
          <w:sz w:val="20"/>
          <w:szCs w:val="20"/>
          <w:lang w:val="es-CL"/>
        </w:rPr>
        <w:t xml:space="preserve">. </w:t>
      </w:r>
    </w:p>
    <w:p w:rsidR="00530CFF" w:rsidRPr="00D73C5B" w:rsidRDefault="00530CFF" w:rsidP="00306C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firstLine="720"/>
        <w:jc w:val="both"/>
        <w:rPr>
          <w:rFonts w:asciiTheme="majorHAnsi" w:hAnsiTheme="majorHAnsi"/>
          <w:sz w:val="20"/>
          <w:szCs w:val="20"/>
          <w:lang w:val="es-CL"/>
        </w:rPr>
      </w:pPr>
    </w:p>
    <w:p w:rsidR="004F739A" w:rsidRPr="00D73C5B" w:rsidRDefault="009442FA"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sidRPr="00D73C5B">
        <w:rPr>
          <w:rFonts w:asciiTheme="majorHAnsi" w:hAnsiTheme="majorHAnsi"/>
          <w:sz w:val="20"/>
          <w:szCs w:val="20"/>
          <w:lang w:val="es-CL"/>
        </w:rPr>
        <w:t>Tratándose de diferencias de trato basadas en una de las categorías prohibidas por el artículo 1.1 de la Convención como la orientación sexual</w:t>
      </w:r>
      <w:r w:rsidR="007974A0" w:rsidRPr="00D73C5B">
        <w:rPr>
          <w:rFonts w:asciiTheme="majorHAnsi" w:hAnsiTheme="majorHAnsi"/>
          <w:sz w:val="20"/>
          <w:szCs w:val="20"/>
          <w:lang w:val="es-CL"/>
        </w:rPr>
        <w:t>,</w:t>
      </w:r>
      <w:r w:rsidR="00530CFF" w:rsidRPr="00D73C5B">
        <w:rPr>
          <w:rFonts w:asciiTheme="majorHAnsi" w:hAnsiTheme="majorHAnsi"/>
          <w:sz w:val="20"/>
          <w:szCs w:val="20"/>
          <w:lang w:val="es-CL"/>
        </w:rPr>
        <w:t xml:space="preserve"> la Comisión ha señalado que</w:t>
      </w:r>
      <w:r w:rsidR="007974A0" w:rsidRPr="00D73C5B">
        <w:rPr>
          <w:rFonts w:asciiTheme="majorHAnsi" w:hAnsiTheme="majorHAnsi"/>
          <w:sz w:val="20"/>
          <w:szCs w:val="20"/>
          <w:lang w:val="es-CL"/>
        </w:rPr>
        <w:t xml:space="preserve"> corresponde realizar un escrutinio estricto de cada uno de estos pasos,</w:t>
      </w:r>
      <w:r w:rsidR="00D52694" w:rsidRPr="00D73C5B">
        <w:rPr>
          <w:rFonts w:asciiTheme="majorHAnsi" w:hAnsiTheme="majorHAnsi"/>
          <w:sz w:val="20"/>
          <w:szCs w:val="20"/>
          <w:lang w:val="es-CL"/>
        </w:rPr>
        <w:t xml:space="preserve"> pues se trata de una categoría sospechosa que se presume </w:t>
      </w:r>
      <w:proofErr w:type="spellStart"/>
      <w:r w:rsidR="00D52694" w:rsidRPr="00D73C5B">
        <w:rPr>
          <w:rFonts w:asciiTheme="majorHAnsi" w:hAnsiTheme="majorHAnsi"/>
          <w:sz w:val="20"/>
          <w:szCs w:val="20"/>
          <w:lang w:val="es-CL"/>
        </w:rPr>
        <w:t>inconvencional</w:t>
      </w:r>
      <w:proofErr w:type="spellEnd"/>
      <w:r w:rsidR="00D52694" w:rsidRPr="00D73C5B">
        <w:rPr>
          <w:rFonts w:asciiTheme="majorHAnsi" w:hAnsiTheme="majorHAnsi"/>
          <w:sz w:val="20"/>
          <w:szCs w:val="20"/>
          <w:lang w:val="es-CL"/>
        </w:rPr>
        <w:t xml:space="preserve">, </w:t>
      </w:r>
      <w:r w:rsidR="00D52694" w:rsidRPr="00D73C5B">
        <w:rPr>
          <w:rFonts w:asciiTheme="majorHAnsi" w:hAnsiTheme="majorHAnsi"/>
          <w:sz w:val="20"/>
          <w:szCs w:val="20"/>
          <w:lang w:val="es-ES"/>
        </w:rPr>
        <w:t>siendo</w:t>
      </w:r>
      <w:r w:rsidR="00D52694" w:rsidRPr="00D73C5B">
        <w:rPr>
          <w:rFonts w:asciiTheme="majorHAnsi" w:hAnsiTheme="majorHAnsi"/>
          <w:sz w:val="20"/>
          <w:szCs w:val="20"/>
          <w:lang w:val="es-CL"/>
        </w:rPr>
        <w:t xml:space="preserve"> carga del Estado concernido justificar con base en razones de mucho peso</w:t>
      </w:r>
      <w:r w:rsidR="003D738C" w:rsidRPr="00D73C5B">
        <w:rPr>
          <w:rStyle w:val="FootnoteReference"/>
          <w:rFonts w:asciiTheme="majorHAnsi" w:hAnsiTheme="majorHAnsi"/>
          <w:sz w:val="20"/>
          <w:szCs w:val="20"/>
          <w:lang w:val="es-CL"/>
        </w:rPr>
        <w:footnoteReference w:id="53"/>
      </w:r>
      <w:r w:rsidR="00D52694" w:rsidRPr="00D73C5B">
        <w:rPr>
          <w:rFonts w:asciiTheme="majorHAnsi" w:hAnsiTheme="majorHAnsi"/>
          <w:sz w:val="20"/>
          <w:szCs w:val="20"/>
          <w:lang w:val="es-CL"/>
        </w:rPr>
        <w:t xml:space="preserve">. </w:t>
      </w:r>
      <w:r w:rsidR="00530CFF" w:rsidRPr="00D73C5B">
        <w:rPr>
          <w:rFonts w:asciiTheme="majorHAnsi" w:hAnsiTheme="majorHAnsi"/>
          <w:sz w:val="20"/>
          <w:szCs w:val="20"/>
          <w:lang w:val="es-CL"/>
        </w:rPr>
        <w:t xml:space="preserve">En la misma línea, la Corte ha indicado que </w:t>
      </w:r>
      <w:r w:rsidR="00530CFF" w:rsidRPr="00D73C5B">
        <w:rPr>
          <w:rFonts w:asciiTheme="majorHAnsi" w:hAnsiTheme="majorHAnsi"/>
          <w:sz w:val="20"/>
          <w:szCs w:val="20"/>
          <w:lang w:val="es-CR"/>
        </w:rPr>
        <w:t>“</w:t>
      </w:r>
      <w:r w:rsidR="00530CFF" w:rsidRPr="00D73C5B">
        <w:rPr>
          <w:rFonts w:asciiTheme="majorHAnsi" w:hAnsiTheme="majorHAnsi" w:cs="Arial"/>
          <w:sz w:val="20"/>
          <w:szCs w:val="20"/>
          <w:lang w:val="es-CR"/>
        </w:rPr>
        <w:t xml:space="preserve">tratándose de la prohibición de discriminación por una de las categorías protegidas contempladas en el artículo 1.1 de la Convención, la eventual restricción de un derecho exige una fundamentación rigurosa, lo cual </w:t>
      </w:r>
      <w:r w:rsidR="00530CFF" w:rsidRPr="00D73C5B">
        <w:rPr>
          <w:rFonts w:asciiTheme="majorHAnsi" w:hAnsiTheme="majorHAnsi" w:cs="Courier New"/>
          <w:sz w:val="20"/>
          <w:szCs w:val="20"/>
          <w:lang w:val="es-CR"/>
        </w:rPr>
        <w:t>implica que las razones utilizadas por el Estado para realizar la diferenciación de trato deben ser particularmente serias y estar sustentadas en una argumentación exhaustiva</w:t>
      </w:r>
      <w:r w:rsidR="00530CFF" w:rsidRPr="00D73C5B">
        <w:rPr>
          <w:rFonts w:asciiTheme="majorHAnsi" w:hAnsiTheme="majorHAnsi" w:cs="Arial"/>
          <w:sz w:val="20"/>
          <w:szCs w:val="20"/>
          <w:vertAlign w:val="superscript"/>
        </w:rPr>
        <w:footnoteReference w:id="54"/>
      </w:r>
      <w:r w:rsidR="00530CFF" w:rsidRPr="00D73C5B">
        <w:rPr>
          <w:rFonts w:asciiTheme="majorHAnsi" w:hAnsiTheme="majorHAnsi" w:cs="Courier New"/>
          <w:sz w:val="20"/>
          <w:szCs w:val="20"/>
          <w:lang w:val="es-CR"/>
        </w:rPr>
        <w:t xml:space="preserve">”. </w:t>
      </w:r>
    </w:p>
    <w:p w:rsidR="00BC60B9" w:rsidRPr="00D73C5B" w:rsidRDefault="00BC60B9" w:rsidP="000D31F6">
      <w:pPr>
        <w:rPr>
          <w:rFonts w:asciiTheme="majorHAnsi" w:hAnsiTheme="majorHAnsi"/>
          <w:b/>
          <w:sz w:val="20"/>
          <w:szCs w:val="20"/>
          <w:lang w:val="es-ES"/>
        </w:rPr>
      </w:pPr>
    </w:p>
    <w:p w:rsidR="00507A77" w:rsidRPr="00D73C5B" w:rsidRDefault="00507A77" w:rsidP="00306C81">
      <w:pPr>
        <w:pStyle w:val="Heading3"/>
      </w:pPr>
      <w:bookmarkStart w:id="17" w:name="_Toc531327100"/>
      <w:r w:rsidRPr="00D73C5B">
        <w:t>Consideraciones sobre el derecho de acceso a la función pública en condiciones de igualdad y el derecho al trabajo</w:t>
      </w:r>
      <w:bookmarkEnd w:id="17"/>
      <w:r w:rsidRPr="00D73C5B">
        <w:t xml:space="preserve"> </w:t>
      </w:r>
    </w:p>
    <w:p w:rsidR="009176DA" w:rsidRPr="00D73C5B" w:rsidRDefault="009176DA" w:rsidP="000D31F6">
      <w:pPr>
        <w:rPr>
          <w:rFonts w:asciiTheme="majorHAnsi" w:hAnsiTheme="majorHAnsi"/>
          <w:b/>
          <w:sz w:val="20"/>
          <w:szCs w:val="20"/>
          <w:lang w:val="es-ES"/>
        </w:rPr>
      </w:pPr>
    </w:p>
    <w:p w:rsidR="003C6449" w:rsidRPr="00D73C5B" w:rsidRDefault="002B4482"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iCs/>
          <w:sz w:val="20"/>
          <w:szCs w:val="20"/>
          <w:lang w:val="es-CO"/>
        </w:rPr>
      </w:pPr>
      <w:r w:rsidRPr="00D73C5B">
        <w:rPr>
          <w:rFonts w:asciiTheme="majorHAnsi" w:hAnsiTheme="majorHAnsi" w:cs="TimesNewRomanPS-BoldMT"/>
          <w:bCs/>
          <w:sz w:val="20"/>
          <w:szCs w:val="20"/>
          <w:lang w:val="es-CO"/>
        </w:rPr>
        <w:t xml:space="preserve">La Corte ha señalado que </w:t>
      </w:r>
      <w:r w:rsidR="003C6449" w:rsidRPr="00D73C5B">
        <w:rPr>
          <w:rFonts w:asciiTheme="majorHAnsi" w:hAnsiTheme="majorHAnsi" w:cs="Tahoma"/>
          <w:sz w:val="20"/>
          <w:szCs w:val="20"/>
          <w:lang w:val="es-CO"/>
        </w:rPr>
        <w:t xml:space="preserve">el </w:t>
      </w:r>
      <w:r w:rsidR="003C6449" w:rsidRPr="00D73C5B">
        <w:rPr>
          <w:rFonts w:asciiTheme="majorHAnsi" w:hAnsiTheme="majorHAnsi"/>
          <w:sz w:val="20"/>
          <w:szCs w:val="20"/>
          <w:lang w:val="es-CO"/>
        </w:rPr>
        <w:t>artículo 23.1.c no establece el derecho a acceder a un cargo público, sino a hacerlo en “condiciones generales de igualdad”. Esto quiere decir que el respeto y garantía de este derecho se cumplen cuando “los criterios y procedimientos para el nombramiento, ascenso, suspensión y destitución [sean] razonables y objetivos” y que “las personas no sean objeto de discriminación” en el ejercicio de este derecho</w:t>
      </w:r>
      <w:bookmarkStart w:id="18" w:name="_Ref233092580"/>
      <w:r w:rsidR="003C6449" w:rsidRPr="00D73C5B">
        <w:rPr>
          <w:rStyle w:val="FootnoteReference"/>
          <w:rFonts w:asciiTheme="majorHAnsi" w:hAnsiTheme="majorHAnsi"/>
          <w:sz w:val="20"/>
          <w:szCs w:val="20"/>
        </w:rPr>
        <w:footnoteReference w:id="55"/>
      </w:r>
      <w:bookmarkEnd w:id="18"/>
      <w:r w:rsidR="003C6449" w:rsidRPr="00D73C5B">
        <w:rPr>
          <w:rFonts w:asciiTheme="majorHAnsi" w:hAnsiTheme="majorHAnsi"/>
          <w:sz w:val="20"/>
          <w:szCs w:val="20"/>
          <w:lang w:val="es-CO"/>
        </w:rPr>
        <w:t>.</w:t>
      </w:r>
      <w:r w:rsidR="003C6449" w:rsidRPr="00D73C5B">
        <w:rPr>
          <w:rFonts w:asciiTheme="majorHAnsi" w:hAnsiTheme="majorHAnsi" w:cs="TimesNewRomanPSMT"/>
          <w:sz w:val="20"/>
          <w:szCs w:val="20"/>
          <w:lang w:val="es-CO"/>
        </w:rPr>
        <w:t xml:space="preserve"> Asimismo, el Comité de Derechos Humanos ha interpretado que la garantía de protección abarca tanto el acceso como la permanencia en condiciones de igualdad y no discriminación respecto a los procedimientos de suspensión y destitución</w:t>
      </w:r>
      <w:r w:rsidR="003C6449" w:rsidRPr="00D73C5B">
        <w:rPr>
          <w:rStyle w:val="FootnoteReference"/>
          <w:rFonts w:asciiTheme="majorHAnsi" w:hAnsiTheme="majorHAnsi"/>
          <w:sz w:val="20"/>
          <w:szCs w:val="20"/>
        </w:rPr>
        <w:footnoteReference w:id="56"/>
      </w:r>
      <w:r w:rsidR="003C6449" w:rsidRPr="00D73C5B">
        <w:rPr>
          <w:rFonts w:asciiTheme="majorHAnsi" w:hAnsiTheme="majorHAnsi"/>
          <w:sz w:val="20"/>
          <w:szCs w:val="20"/>
          <w:lang w:val="es-CO"/>
        </w:rPr>
        <w:t>.</w:t>
      </w:r>
      <w:r w:rsidR="003C6449" w:rsidRPr="00D73C5B">
        <w:rPr>
          <w:rFonts w:asciiTheme="majorHAnsi" w:hAnsiTheme="majorHAnsi"/>
          <w:bCs/>
          <w:iCs/>
          <w:sz w:val="20"/>
          <w:szCs w:val="20"/>
          <w:lang w:val="es-CO"/>
        </w:rPr>
        <w:t xml:space="preserve"> </w:t>
      </w:r>
      <w:r w:rsidR="00F86FE0" w:rsidRPr="00D73C5B">
        <w:rPr>
          <w:rFonts w:asciiTheme="majorHAnsi" w:hAnsiTheme="majorHAnsi"/>
          <w:bCs/>
          <w:iCs/>
          <w:sz w:val="20"/>
          <w:szCs w:val="20"/>
          <w:lang w:val="es-CO"/>
        </w:rPr>
        <w:t>En palabras de la Corte “</w:t>
      </w:r>
      <w:r w:rsidR="003C6449" w:rsidRPr="00D73C5B">
        <w:rPr>
          <w:rFonts w:asciiTheme="majorHAnsi" w:hAnsiTheme="majorHAnsi"/>
          <w:bCs/>
          <w:iCs/>
          <w:sz w:val="20"/>
          <w:szCs w:val="20"/>
          <w:lang w:val="es-CO"/>
        </w:rPr>
        <w:t xml:space="preserve">el acceso en condiciones de igualdad constituiría una garantía </w:t>
      </w:r>
      <w:r w:rsidR="003C6449" w:rsidRPr="00D73C5B">
        <w:rPr>
          <w:rFonts w:asciiTheme="majorHAnsi" w:hAnsiTheme="majorHAnsi"/>
          <w:sz w:val="20"/>
          <w:szCs w:val="20"/>
          <w:lang w:val="es-MX"/>
        </w:rPr>
        <w:t>insuficiente</w:t>
      </w:r>
      <w:r w:rsidR="003C6449" w:rsidRPr="00D73C5B">
        <w:rPr>
          <w:rFonts w:asciiTheme="majorHAnsi" w:hAnsiTheme="majorHAnsi"/>
          <w:bCs/>
          <w:iCs/>
          <w:sz w:val="20"/>
          <w:szCs w:val="20"/>
          <w:lang w:val="es-CO"/>
        </w:rPr>
        <w:t xml:space="preserve"> si no está acompañado por la protección efectiva de la permanencia en aquello a lo que se accede</w:t>
      </w:r>
      <w:r w:rsidR="00F86FE0" w:rsidRPr="00D73C5B">
        <w:rPr>
          <w:rFonts w:asciiTheme="majorHAnsi" w:hAnsiTheme="majorHAnsi"/>
          <w:bCs/>
          <w:iCs/>
          <w:sz w:val="20"/>
          <w:szCs w:val="20"/>
          <w:lang w:val="es-CO"/>
        </w:rPr>
        <w:t>”</w:t>
      </w:r>
      <w:r w:rsidR="00AA5502" w:rsidRPr="00D73C5B">
        <w:rPr>
          <w:rStyle w:val="FootnoteReference"/>
          <w:rFonts w:asciiTheme="majorHAnsi" w:hAnsiTheme="majorHAnsi"/>
          <w:bCs/>
          <w:iCs/>
          <w:sz w:val="20"/>
          <w:szCs w:val="20"/>
          <w:lang w:val="es-CO"/>
        </w:rPr>
        <w:footnoteReference w:id="57"/>
      </w:r>
      <w:r w:rsidR="003C6449" w:rsidRPr="00D73C5B">
        <w:rPr>
          <w:rFonts w:asciiTheme="majorHAnsi" w:hAnsiTheme="majorHAnsi"/>
          <w:bCs/>
          <w:iCs/>
          <w:sz w:val="20"/>
          <w:szCs w:val="20"/>
          <w:lang w:val="es-CO"/>
        </w:rPr>
        <w:t>.</w:t>
      </w:r>
      <w:r w:rsidR="00B74305" w:rsidRPr="00D73C5B">
        <w:rPr>
          <w:rFonts w:asciiTheme="majorHAnsi" w:hAnsiTheme="majorHAnsi"/>
          <w:bCs/>
          <w:iCs/>
          <w:sz w:val="20"/>
          <w:szCs w:val="20"/>
          <w:lang w:val="es-CO"/>
        </w:rPr>
        <w:t xml:space="preserve"> Asimismo, ha señalado que:</w:t>
      </w:r>
    </w:p>
    <w:p w:rsidR="003C6449" w:rsidRPr="00D73C5B" w:rsidRDefault="003C6449" w:rsidP="000D31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NewRomanPS-BoldMT"/>
          <w:bCs/>
          <w:sz w:val="20"/>
          <w:szCs w:val="20"/>
          <w:lang w:val="es-CO"/>
        </w:rPr>
      </w:pPr>
      <w:bookmarkStart w:id="19" w:name="_Ref235607749"/>
    </w:p>
    <w:p w:rsidR="00A332E3" w:rsidRPr="00D73C5B" w:rsidRDefault="00B74305" w:rsidP="00306C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hAnsiTheme="majorHAnsi" w:cs="TimesNewRomanPS-BoldMT"/>
          <w:b/>
          <w:bCs/>
          <w:sz w:val="20"/>
          <w:szCs w:val="20"/>
          <w:lang w:val="es-CO"/>
        </w:rPr>
      </w:pPr>
      <w:r w:rsidRPr="00D73C5B">
        <w:rPr>
          <w:rFonts w:asciiTheme="majorHAnsi" w:hAnsiTheme="majorHAnsi" w:cs="TimesNewRomanPS-BoldMT"/>
          <w:bCs/>
          <w:sz w:val="20"/>
          <w:szCs w:val="20"/>
          <w:lang w:val="es-CO"/>
        </w:rPr>
        <w:t xml:space="preserve">(…) </w:t>
      </w:r>
      <w:r w:rsidR="003C6449" w:rsidRPr="00D73C5B">
        <w:rPr>
          <w:rFonts w:asciiTheme="majorHAnsi" w:hAnsiTheme="majorHAnsi" w:cs="TimesNewRomanPS-BoldMT"/>
          <w:bCs/>
          <w:sz w:val="20"/>
          <w:szCs w:val="20"/>
          <w:lang w:val="es-CO"/>
        </w:rPr>
        <w:t>e</w:t>
      </w:r>
      <w:r w:rsidR="003C6449" w:rsidRPr="00D73C5B">
        <w:rPr>
          <w:rFonts w:asciiTheme="majorHAnsi" w:hAnsiTheme="majorHAnsi"/>
          <w:sz w:val="20"/>
          <w:szCs w:val="20"/>
          <w:lang w:val="es-CO"/>
        </w:rPr>
        <w:t xml:space="preserve">l derecho a tener acceso a las funciones públicas en condiciones generales de igualdad protege el acceso a una forma directa de participación en el diseño, implementación, desarrollo y ejecución de las directrices políticas estatales a través de funciones públicas. Por lo tanto, es </w:t>
      </w:r>
      <w:r w:rsidR="003C6449" w:rsidRPr="00D73C5B">
        <w:rPr>
          <w:rFonts w:asciiTheme="majorHAnsi" w:hAnsiTheme="majorHAnsi"/>
          <w:sz w:val="20"/>
          <w:szCs w:val="20"/>
          <w:lang w:val="es-ES_tradnl"/>
        </w:rPr>
        <w:t>indispensable que el Estado genere las condiciones y mecanismos óptimos para que dichos derechos políticos puedan ser ejercidos de forma efectiva, respetando el principio de igualdad y no discriminación</w:t>
      </w:r>
      <w:r w:rsidR="003C6449" w:rsidRPr="00D73C5B">
        <w:rPr>
          <w:rStyle w:val="FootnoteReference"/>
          <w:rFonts w:asciiTheme="majorHAnsi" w:hAnsiTheme="majorHAnsi"/>
          <w:sz w:val="20"/>
          <w:szCs w:val="20"/>
          <w:lang w:val="es-ES_tradnl"/>
        </w:rPr>
        <w:footnoteReference w:id="58"/>
      </w:r>
      <w:r w:rsidR="003C6449" w:rsidRPr="00D73C5B">
        <w:rPr>
          <w:rFonts w:asciiTheme="majorHAnsi" w:hAnsiTheme="majorHAnsi"/>
          <w:sz w:val="20"/>
          <w:szCs w:val="20"/>
          <w:lang w:val="es-ES_tradnl"/>
        </w:rPr>
        <w:t>.</w:t>
      </w:r>
      <w:bookmarkEnd w:id="19"/>
      <w:r w:rsidR="003C6449" w:rsidRPr="00D73C5B">
        <w:rPr>
          <w:rFonts w:asciiTheme="majorHAnsi" w:hAnsiTheme="majorHAnsi"/>
          <w:sz w:val="20"/>
          <w:szCs w:val="20"/>
          <w:lang w:val="es-ES_tradnl"/>
        </w:rPr>
        <w:t xml:space="preserve"> </w:t>
      </w:r>
    </w:p>
    <w:p w:rsidR="00A332E3" w:rsidRDefault="00A332E3" w:rsidP="000D31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jc w:val="both"/>
        <w:rPr>
          <w:rFonts w:asciiTheme="majorHAnsi" w:hAnsiTheme="majorHAnsi"/>
          <w:sz w:val="20"/>
          <w:szCs w:val="20"/>
          <w:lang w:val="es-VE"/>
        </w:rPr>
      </w:pPr>
    </w:p>
    <w:p w:rsidR="00B55B3C" w:rsidRPr="00D73C5B" w:rsidRDefault="00213AF4"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VE"/>
        </w:rPr>
      </w:pPr>
      <w:r w:rsidRPr="00D73C5B">
        <w:rPr>
          <w:rFonts w:asciiTheme="majorHAnsi" w:hAnsiTheme="majorHAnsi"/>
          <w:sz w:val="20"/>
          <w:szCs w:val="20"/>
          <w:lang w:val="es-MX"/>
        </w:rPr>
        <w:t>Por su parte, e</w:t>
      </w:r>
      <w:r w:rsidR="00B55B3C" w:rsidRPr="00D73C5B">
        <w:rPr>
          <w:rFonts w:asciiTheme="majorHAnsi" w:hAnsiTheme="majorHAnsi"/>
          <w:sz w:val="20"/>
          <w:szCs w:val="20"/>
          <w:lang w:val="es-MX"/>
        </w:rPr>
        <w:t xml:space="preserve">l </w:t>
      </w:r>
      <w:r w:rsidR="00B55B3C" w:rsidRPr="00D73C5B">
        <w:rPr>
          <w:rFonts w:asciiTheme="majorHAnsi" w:hAnsiTheme="majorHAnsi"/>
          <w:sz w:val="20"/>
          <w:szCs w:val="20"/>
          <w:lang w:val="es-US"/>
        </w:rPr>
        <w:t>artículo</w:t>
      </w:r>
      <w:r w:rsidR="00B55B3C" w:rsidRPr="00D73C5B">
        <w:rPr>
          <w:rFonts w:asciiTheme="majorHAnsi" w:hAnsiTheme="majorHAnsi"/>
          <w:sz w:val="20"/>
          <w:szCs w:val="20"/>
          <w:lang w:val="es-MX"/>
        </w:rPr>
        <w:t xml:space="preserve"> 26 de la Convención Americana establece una obligación en cabeza de los Estados partes, de </w:t>
      </w:r>
      <w:r w:rsidR="00B55B3C" w:rsidRPr="00D73C5B">
        <w:rPr>
          <w:rFonts w:asciiTheme="majorHAnsi" w:hAnsiTheme="majorHAnsi"/>
          <w:sz w:val="20"/>
          <w:szCs w:val="20"/>
          <w:lang w:val="es-AR"/>
        </w:rPr>
        <w:t>procurar</w:t>
      </w:r>
      <w:r w:rsidR="00B55B3C" w:rsidRPr="00D73C5B">
        <w:rPr>
          <w:rFonts w:asciiTheme="majorHAnsi" w:hAnsiTheme="majorHAnsi"/>
          <w:sz w:val="20"/>
          <w:szCs w:val="20"/>
          <w:lang w:val="es-MX"/>
        </w:rPr>
        <w:t> el desarrollo progresivo de los derechos que dicha norma contiene. </w:t>
      </w:r>
      <w:r w:rsidR="00B55B3C" w:rsidRPr="00D73C5B">
        <w:rPr>
          <w:rFonts w:asciiTheme="majorHAnsi" w:hAnsiTheme="majorHAnsi" w:cs="Arial"/>
          <w:snapToGrid w:val="0"/>
          <w:sz w:val="20"/>
          <w:szCs w:val="20"/>
          <w:lang w:val="es-MX"/>
        </w:rPr>
        <w:t>A</w:t>
      </w:r>
      <w:proofErr w:type="spellStart"/>
      <w:r w:rsidR="00B55B3C" w:rsidRPr="00D73C5B">
        <w:rPr>
          <w:rFonts w:asciiTheme="majorHAnsi" w:hAnsiTheme="majorHAnsi" w:cs="Arial"/>
          <w:snapToGrid w:val="0"/>
          <w:sz w:val="20"/>
          <w:szCs w:val="20"/>
          <w:lang w:val="es-CO"/>
        </w:rPr>
        <w:t>mbos</w:t>
      </w:r>
      <w:proofErr w:type="spellEnd"/>
      <w:r w:rsidR="00B55B3C" w:rsidRPr="00D73C5B">
        <w:rPr>
          <w:rFonts w:asciiTheme="majorHAnsi" w:hAnsiTheme="majorHAnsi" w:cs="Arial"/>
          <w:snapToGrid w:val="0"/>
          <w:sz w:val="20"/>
          <w:szCs w:val="20"/>
          <w:lang w:val="es-CO"/>
        </w:rPr>
        <w:t xml:space="preserve"> órganos del sistema interamericano</w:t>
      </w:r>
      <w:r w:rsidR="00B55B3C" w:rsidRPr="00D73C5B">
        <w:rPr>
          <w:rStyle w:val="FootnoteReference"/>
          <w:rFonts w:asciiTheme="majorHAnsi" w:hAnsiTheme="majorHAnsi" w:cs="Arial"/>
          <w:snapToGrid w:val="0"/>
          <w:sz w:val="20"/>
          <w:szCs w:val="20"/>
          <w:lang w:val="es-CO"/>
        </w:rPr>
        <w:footnoteReference w:id="59"/>
      </w:r>
      <w:r w:rsidR="00B55B3C" w:rsidRPr="00D73C5B">
        <w:rPr>
          <w:rFonts w:asciiTheme="majorHAnsi" w:hAnsiTheme="majorHAnsi" w:cs="Arial"/>
          <w:snapToGrid w:val="0"/>
          <w:sz w:val="20"/>
          <w:szCs w:val="20"/>
          <w:lang w:val="es-CO"/>
        </w:rPr>
        <w:t xml:space="preserve"> han reafirmado su competencia para pronunciarse sobre posibles violaciones del artículo 26 </w:t>
      </w:r>
      <w:r w:rsidR="00B55B3C" w:rsidRPr="00D73C5B">
        <w:rPr>
          <w:rFonts w:asciiTheme="majorHAnsi" w:eastAsia="Batang" w:hAnsiTheme="majorHAnsi"/>
          <w:sz w:val="20"/>
          <w:szCs w:val="20"/>
          <w:bdr w:val="none" w:sz="0" w:space="0" w:color="auto"/>
          <w:lang w:val="es-UY"/>
        </w:rPr>
        <w:t>de</w:t>
      </w:r>
      <w:r w:rsidR="00B55B3C" w:rsidRPr="00D73C5B">
        <w:rPr>
          <w:rFonts w:asciiTheme="majorHAnsi" w:hAnsiTheme="majorHAnsi" w:cs="Arial"/>
          <w:snapToGrid w:val="0"/>
          <w:sz w:val="20"/>
          <w:szCs w:val="20"/>
          <w:lang w:val="es-CO"/>
        </w:rPr>
        <w:t xml:space="preserve"> la Convención Americana en el marco del sistema de peticiones y casos individuales</w:t>
      </w:r>
      <w:r w:rsidR="00B55B3C" w:rsidRPr="00D73C5B">
        <w:rPr>
          <w:rStyle w:val="FootnoteReference"/>
          <w:rFonts w:asciiTheme="majorHAnsi" w:eastAsia="Calibri" w:hAnsiTheme="majorHAnsi"/>
          <w:sz w:val="20"/>
          <w:szCs w:val="20"/>
          <w:lang w:val="es-ES_tradnl"/>
        </w:rPr>
        <w:footnoteReference w:id="60"/>
      </w:r>
      <w:r w:rsidR="00B55B3C" w:rsidRPr="00D73C5B">
        <w:rPr>
          <w:rFonts w:asciiTheme="majorHAnsi" w:hAnsiTheme="majorHAnsi" w:cs="Arial"/>
          <w:i/>
          <w:snapToGrid w:val="0"/>
          <w:sz w:val="20"/>
          <w:szCs w:val="20"/>
          <w:lang w:val="es-CO"/>
        </w:rPr>
        <w:t>.</w:t>
      </w:r>
    </w:p>
    <w:p w:rsidR="00B55B3C" w:rsidRPr="00D73C5B" w:rsidRDefault="00B55B3C" w:rsidP="00306C8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heme="majorHAnsi" w:hAnsiTheme="majorHAnsi"/>
          <w:sz w:val="20"/>
          <w:szCs w:val="20"/>
          <w:lang w:val="es-MX"/>
        </w:rPr>
      </w:pPr>
    </w:p>
    <w:p w:rsidR="00B55B3C" w:rsidRPr="00D73C5B" w:rsidRDefault="00B55B3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Arial"/>
          <w:snapToGrid w:val="0"/>
          <w:sz w:val="20"/>
          <w:szCs w:val="20"/>
          <w:lang w:val="es-CO"/>
        </w:rPr>
      </w:pPr>
      <w:r w:rsidRPr="00D73C5B">
        <w:rPr>
          <w:rFonts w:asciiTheme="majorHAnsi" w:hAnsiTheme="majorHAnsi" w:cs="Arial"/>
          <w:snapToGrid w:val="0"/>
          <w:sz w:val="20"/>
          <w:szCs w:val="20"/>
          <w:lang w:val="es-CO"/>
        </w:rPr>
        <w:t xml:space="preserve">La Comisión reconoce que el artículo 26 de la Convención y la determinación </w:t>
      </w:r>
      <w:r w:rsidRPr="00D73C5B">
        <w:rPr>
          <w:rFonts w:asciiTheme="majorHAnsi" w:hAnsiTheme="majorHAnsi"/>
          <w:sz w:val="20"/>
          <w:szCs w:val="20"/>
          <w:lang w:val="es-MX"/>
        </w:rPr>
        <w:t>concreta</w:t>
      </w:r>
      <w:r w:rsidRPr="00D73C5B">
        <w:rPr>
          <w:rFonts w:asciiTheme="majorHAnsi" w:hAnsiTheme="majorHAnsi" w:cs="Arial"/>
          <w:snapToGrid w:val="0"/>
          <w:sz w:val="20"/>
          <w:szCs w:val="20"/>
          <w:lang w:val="es-CO"/>
        </w:rPr>
        <w:t xml:space="preserve"> de su </w:t>
      </w:r>
      <w:r w:rsidRPr="00D73C5B">
        <w:rPr>
          <w:rFonts w:asciiTheme="majorHAnsi" w:hAnsiTheme="majorHAnsi"/>
          <w:sz w:val="20"/>
          <w:szCs w:val="20"/>
          <w:lang w:val="es-MX"/>
        </w:rPr>
        <w:t>alcance</w:t>
      </w:r>
      <w:r w:rsidRPr="00D73C5B">
        <w:rPr>
          <w:rFonts w:asciiTheme="majorHAnsi" w:hAnsiTheme="majorHAnsi" w:cs="Arial"/>
          <w:snapToGrid w:val="0"/>
          <w:sz w:val="20"/>
          <w:szCs w:val="20"/>
          <w:lang w:val="es-CO"/>
        </w:rPr>
        <w:t xml:space="preserve"> y contenido puede revestir ciertas complejidades interpretativas. </w:t>
      </w:r>
      <w:r w:rsidRPr="00D73C5B">
        <w:rPr>
          <w:rFonts w:asciiTheme="majorHAnsi" w:hAnsiTheme="majorHAnsi"/>
          <w:sz w:val="20"/>
          <w:szCs w:val="20"/>
          <w:lang w:val="es-MX"/>
        </w:rPr>
        <w:t xml:space="preserve">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 incluyendo fundamentalmente la Declaración Americana y otras normas relevantes del </w:t>
      </w:r>
      <w:r w:rsidRPr="00D73C5B">
        <w:rPr>
          <w:rFonts w:asciiTheme="majorHAnsi" w:hAnsiTheme="majorHAnsi"/>
          <w:i/>
          <w:sz w:val="20"/>
          <w:szCs w:val="20"/>
          <w:lang w:val="es-MX"/>
        </w:rPr>
        <w:t xml:space="preserve">corpus iuris </w:t>
      </w:r>
      <w:r w:rsidRPr="00D73C5B">
        <w:rPr>
          <w:rFonts w:asciiTheme="majorHAnsi" w:hAnsiTheme="majorHAnsi"/>
          <w:sz w:val="20"/>
          <w:szCs w:val="20"/>
          <w:lang w:val="es-MX"/>
        </w:rPr>
        <w:t xml:space="preserve">internacional. </w:t>
      </w:r>
    </w:p>
    <w:p w:rsidR="00B55B3C" w:rsidRPr="00D73C5B" w:rsidRDefault="00B55B3C" w:rsidP="00306C81">
      <w:pPr>
        <w:pStyle w:val="ListParagraph"/>
        <w:ind w:firstLine="720"/>
        <w:rPr>
          <w:rFonts w:asciiTheme="majorHAnsi" w:hAnsiTheme="majorHAnsi" w:cs="Arial"/>
          <w:snapToGrid w:val="0"/>
          <w:sz w:val="20"/>
          <w:szCs w:val="20"/>
          <w:lang w:val="es-CO"/>
        </w:rPr>
      </w:pPr>
    </w:p>
    <w:p w:rsidR="00B55B3C" w:rsidRPr="00D73C5B" w:rsidRDefault="00B55B3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Arial"/>
          <w:snapToGrid w:val="0"/>
          <w:sz w:val="20"/>
          <w:szCs w:val="20"/>
          <w:lang w:val="es-CO"/>
        </w:rPr>
      </w:pPr>
      <w:r w:rsidRPr="00D73C5B">
        <w:rPr>
          <w:rFonts w:asciiTheme="majorHAnsi" w:hAnsiTheme="majorHAnsi"/>
          <w:sz w:val="20"/>
          <w:szCs w:val="20"/>
          <w:lang w:val="es-PE"/>
        </w:rPr>
        <w:t>En aplicación de los anteriores parámetros al presente caso, la Comisión y la Corte ya establecieron que el derecho a</w:t>
      </w:r>
      <w:r w:rsidR="00E606F7" w:rsidRPr="00D73C5B">
        <w:rPr>
          <w:rFonts w:asciiTheme="majorHAnsi" w:hAnsiTheme="majorHAnsi"/>
          <w:sz w:val="20"/>
          <w:szCs w:val="20"/>
          <w:lang w:val="es-PE"/>
        </w:rPr>
        <w:t xml:space="preserve">l trabajo </w:t>
      </w:r>
      <w:r w:rsidRPr="00D73C5B">
        <w:rPr>
          <w:rFonts w:asciiTheme="majorHAnsi" w:eastAsia="Batang" w:hAnsiTheme="majorHAnsi"/>
          <w:sz w:val="20"/>
          <w:szCs w:val="20"/>
          <w:lang w:val="es-UY"/>
        </w:rPr>
        <w:t>es uno de los que se deriva de las normas económicas y sociales mencionadas en el artículo 26 de la Convención, por lo que no resulta necesario recapitular dicho análisis</w:t>
      </w:r>
      <w:r w:rsidR="00701CEB" w:rsidRPr="00D73C5B">
        <w:rPr>
          <w:rStyle w:val="FootnoteReference"/>
          <w:rFonts w:asciiTheme="majorHAnsi" w:hAnsiTheme="majorHAnsi"/>
          <w:sz w:val="20"/>
          <w:szCs w:val="20"/>
        </w:rPr>
        <w:footnoteReference w:id="61"/>
      </w:r>
      <w:r w:rsidRPr="00D73C5B">
        <w:rPr>
          <w:rFonts w:asciiTheme="majorHAnsi" w:eastAsia="Batang" w:hAnsiTheme="majorHAnsi"/>
          <w:sz w:val="20"/>
          <w:szCs w:val="20"/>
          <w:lang w:val="es-UY"/>
        </w:rPr>
        <w:t>.</w:t>
      </w:r>
      <w:r w:rsidR="008C05A8" w:rsidRPr="00D73C5B">
        <w:rPr>
          <w:rFonts w:asciiTheme="majorHAnsi" w:eastAsia="Batang" w:hAnsiTheme="majorHAnsi"/>
          <w:sz w:val="20"/>
          <w:szCs w:val="20"/>
          <w:lang w:val="es-UY"/>
        </w:rPr>
        <w:t xml:space="preserve"> </w:t>
      </w:r>
    </w:p>
    <w:p w:rsidR="00B55B3C" w:rsidRPr="00D73C5B" w:rsidRDefault="00B55B3C" w:rsidP="000D31F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ajorHAnsi" w:hAnsiTheme="majorHAnsi"/>
          <w:sz w:val="20"/>
          <w:szCs w:val="20"/>
          <w:lang w:val="es-MX"/>
        </w:rPr>
      </w:pPr>
    </w:p>
    <w:p w:rsidR="00B55B3C" w:rsidRPr="00D73C5B" w:rsidRDefault="00B55B3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sidRPr="00D73C5B">
        <w:rPr>
          <w:rFonts w:asciiTheme="majorHAnsi" w:hAnsiTheme="majorHAnsi"/>
          <w:sz w:val="20"/>
          <w:szCs w:val="20"/>
          <w:lang w:val="es-MX"/>
        </w:rPr>
        <w:t xml:space="preserve">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naturaleza y </w:t>
      </w:r>
      <w:r w:rsidRPr="00D73C5B">
        <w:rPr>
          <w:rFonts w:asciiTheme="majorHAnsi" w:hAnsiTheme="majorHAnsi"/>
          <w:sz w:val="20"/>
          <w:szCs w:val="20"/>
          <w:lang w:val="es-PE"/>
        </w:rPr>
        <w:t>alcance</w:t>
      </w:r>
      <w:r w:rsidRPr="00D73C5B">
        <w:rPr>
          <w:rFonts w:asciiTheme="majorHAnsi" w:hAnsiTheme="majorHAnsi"/>
          <w:sz w:val="20"/>
          <w:szCs w:val="20"/>
          <w:lang w:val="es-MX"/>
        </w:rPr>
        <w:t xml:space="preserve"> de las obligaciones exigibles al Estado bajo los artículos 1.1, 2 y 26 de la Convención, así como los contenidos del derecho de que se trate.</w:t>
      </w:r>
    </w:p>
    <w:p w:rsidR="00B55B3C" w:rsidRPr="00D73C5B" w:rsidRDefault="00B55B3C" w:rsidP="00306C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MX"/>
        </w:rPr>
      </w:pPr>
    </w:p>
    <w:p w:rsidR="00B55B3C" w:rsidRPr="00D73C5B" w:rsidRDefault="00F804C4"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Arial"/>
          <w:snapToGrid w:val="0"/>
          <w:sz w:val="20"/>
          <w:szCs w:val="20"/>
          <w:lang w:val="es-CO"/>
        </w:rPr>
      </w:pPr>
      <w:r>
        <w:rPr>
          <w:rFonts w:asciiTheme="majorHAnsi" w:hAnsiTheme="majorHAnsi" w:cs="Arial"/>
          <w:snapToGrid w:val="0"/>
          <w:sz w:val="20"/>
          <w:szCs w:val="20"/>
          <w:lang w:val="es-CO"/>
        </w:rPr>
        <w:t xml:space="preserve">En ese sentido, </w:t>
      </w:r>
      <w:r w:rsidR="00B55B3C" w:rsidRPr="00D73C5B">
        <w:rPr>
          <w:rFonts w:asciiTheme="majorHAnsi" w:hAnsiTheme="majorHAnsi" w:cs="Arial"/>
          <w:snapToGrid w:val="0"/>
          <w:sz w:val="20"/>
          <w:szCs w:val="20"/>
          <w:lang w:val="es-CO"/>
        </w:rPr>
        <w:t xml:space="preserve">la Comisión entiende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pasos o adoptar medidas para </w:t>
      </w:r>
      <w:r w:rsidR="00B55B3C" w:rsidRPr="00D73C5B">
        <w:rPr>
          <w:rFonts w:asciiTheme="majorHAnsi" w:hAnsiTheme="majorHAnsi" w:cs="Helvetica"/>
          <w:sz w:val="20"/>
          <w:szCs w:val="20"/>
          <w:lang w:val="es-CO" w:bidi="en-US"/>
        </w:rPr>
        <w:t>lograr</w:t>
      </w:r>
      <w:r w:rsidR="00B55B3C" w:rsidRPr="00D73C5B">
        <w:rPr>
          <w:rFonts w:asciiTheme="majorHAnsi" w:hAnsiTheme="majorHAnsi"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obligaciones, deberán ser establecidas según las circunstancias propias de cada caso.</w:t>
      </w:r>
    </w:p>
    <w:p w:rsidR="00361AAA" w:rsidRDefault="00361AAA" w:rsidP="00306C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napToGrid w:val="0"/>
          <w:sz w:val="20"/>
          <w:szCs w:val="20"/>
          <w:lang w:val="es-CO"/>
        </w:rPr>
      </w:pPr>
    </w:p>
    <w:p w:rsidR="00633320" w:rsidRDefault="00633320" w:rsidP="00306C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napToGrid w:val="0"/>
          <w:sz w:val="20"/>
          <w:szCs w:val="20"/>
          <w:lang w:val="es-CO"/>
        </w:rPr>
      </w:pPr>
    </w:p>
    <w:p w:rsidR="00633320" w:rsidRPr="00D73C5B" w:rsidRDefault="00633320" w:rsidP="00306C8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Arial"/>
          <w:snapToGrid w:val="0"/>
          <w:sz w:val="20"/>
          <w:szCs w:val="20"/>
          <w:lang w:val="es-CO"/>
        </w:rPr>
      </w:pPr>
    </w:p>
    <w:p w:rsidR="00B55B3C" w:rsidRPr="00D73C5B" w:rsidRDefault="00B55B3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s="Arial"/>
          <w:snapToGrid w:val="0"/>
          <w:sz w:val="20"/>
          <w:szCs w:val="20"/>
          <w:lang w:val="es-CO"/>
        </w:rPr>
      </w:pPr>
      <w:r w:rsidRPr="00D73C5B">
        <w:rPr>
          <w:rFonts w:asciiTheme="majorHAnsi" w:hAnsiTheme="majorHAnsi" w:cs="Arial"/>
          <w:snapToGrid w:val="0"/>
          <w:sz w:val="20"/>
          <w:szCs w:val="20"/>
          <w:lang w:val="es-CO"/>
        </w:rPr>
        <w:t>En relación con los componentes exigibles e inmediatos de la obligación de dar pasos o adoptar medidas, el Comité DESC ha indicado, por ejemplo, que la</w:t>
      </w:r>
      <w:r w:rsidRPr="00D73C5B">
        <w:rPr>
          <w:rFonts w:asciiTheme="majorHAnsi" w:hAnsiTheme="majorHAnsi"/>
          <w:sz w:val="20"/>
          <w:szCs w:val="20"/>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D73C5B">
        <w:rPr>
          <w:rFonts w:asciiTheme="majorHAnsi" w:hAnsiTheme="majorHAnsi" w:cs="Arial"/>
          <w:sz w:val="20"/>
          <w:szCs w:val="20"/>
          <w:shd w:val="clear" w:color="auto" w:fill="FFFFFF"/>
          <w:lang w:val="es-PE"/>
        </w:rPr>
        <w:t xml:space="preserve">deliberadas, concretas y orientadas lo más claramente posible a su cumplimiento. El Estado además tiene obligaciones básicas que deben satisfacer niveles esenciales de tales derechos, las cuales no están sujetas al desarrollo </w:t>
      </w:r>
      <w:r w:rsidRPr="00D73C5B">
        <w:rPr>
          <w:rFonts w:asciiTheme="majorHAnsi" w:hAnsiTheme="majorHAnsi"/>
          <w:sz w:val="20"/>
          <w:szCs w:val="20"/>
          <w:lang w:val="es-ES"/>
        </w:rPr>
        <w:t>progresivo</w:t>
      </w:r>
      <w:r w:rsidRPr="00D73C5B">
        <w:rPr>
          <w:rFonts w:asciiTheme="majorHAnsi" w:hAnsiTheme="majorHAnsi" w:cs="Arial"/>
          <w:sz w:val="20"/>
          <w:szCs w:val="20"/>
          <w:shd w:val="clear" w:color="auto" w:fill="FFFFFF"/>
          <w:lang w:val="es-PE"/>
        </w:rPr>
        <w:t xml:space="preserve"> sino que son de carácter inmediato</w:t>
      </w:r>
      <w:r w:rsidRPr="00D73C5B">
        <w:rPr>
          <w:rStyle w:val="FootnoteReference"/>
          <w:rFonts w:asciiTheme="majorHAnsi" w:hAnsiTheme="majorHAnsi" w:cs="Arial"/>
          <w:snapToGrid w:val="0"/>
          <w:sz w:val="20"/>
          <w:szCs w:val="20"/>
          <w:lang w:val="es-CO"/>
        </w:rPr>
        <w:footnoteReference w:id="62"/>
      </w:r>
      <w:r w:rsidRPr="00D73C5B">
        <w:rPr>
          <w:rFonts w:asciiTheme="majorHAnsi" w:hAnsiTheme="majorHAnsi" w:cs="Arial"/>
          <w:sz w:val="20"/>
          <w:szCs w:val="20"/>
          <w:shd w:val="clear" w:color="auto" w:fill="FFFFFF"/>
          <w:lang w:val="es-PE"/>
        </w:rPr>
        <w:t xml:space="preserve">. </w:t>
      </w:r>
    </w:p>
    <w:p w:rsidR="00B55B3C" w:rsidRPr="00D73C5B" w:rsidRDefault="00B55B3C" w:rsidP="00306C81">
      <w:pPr>
        <w:pStyle w:val="ListParagraph"/>
        <w:ind w:firstLine="720"/>
        <w:rPr>
          <w:rFonts w:asciiTheme="majorHAnsi" w:eastAsia="Batang" w:hAnsiTheme="majorHAnsi"/>
          <w:sz w:val="20"/>
          <w:szCs w:val="20"/>
          <w:lang w:val="es-UY"/>
        </w:rPr>
      </w:pPr>
    </w:p>
    <w:p w:rsidR="00304CFB" w:rsidRPr="00304CFB" w:rsidRDefault="00D74159"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sidRPr="008732C5">
        <w:rPr>
          <w:rFonts w:asciiTheme="majorHAnsi" w:eastAsia="Batang" w:hAnsiTheme="majorHAnsi"/>
          <w:sz w:val="20"/>
          <w:szCs w:val="20"/>
          <w:lang w:val="es-UY"/>
        </w:rPr>
        <w:t xml:space="preserve">En el caso </w:t>
      </w:r>
      <w:r w:rsidRPr="008732C5">
        <w:rPr>
          <w:rFonts w:asciiTheme="majorHAnsi" w:eastAsia="Batang" w:hAnsiTheme="majorHAnsi"/>
          <w:i/>
          <w:sz w:val="20"/>
          <w:szCs w:val="20"/>
          <w:lang w:val="es-UY"/>
        </w:rPr>
        <w:t xml:space="preserve">San Miguel Sosa y otras vs. Venezuela, </w:t>
      </w:r>
      <w:r w:rsidR="00D3566F">
        <w:rPr>
          <w:rFonts w:asciiTheme="majorHAnsi" w:eastAsia="Batang" w:hAnsiTheme="majorHAnsi"/>
          <w:sz w:val="20"/>
          <w:szCs w:val="20"/>
          <w:lang w:val="es-UY"/>
        </w:rPr>
        <w:t xml:space="preserve">y en aplicación de los contenidos relevantes del derecho al trabajo, </w:t>
      </w:r>
      <w:r w:rsidR="008732C5">
        <w:rPr>
          <w:rFonts w:asciiTheme="majorHAnsi" w:eastAsia="Batang" w:hAnsiTheme="majorHAnsi"/>
          <w:sz w:val="20"/>
          <w:szCs w:val="20"/>
          <w:lang w:val="es-UY"/>
        </w:rPr>
        <w:t>la Corte Interamericana</w:t>
      </w:r>
      <w:r w:rsidR="00D3566F">
        <w:rPr>
          <w:rFonts w:asciiTheme="majorHAnsi" w:eastAsia="Batang" w:hAnsiTheme="majorHAnsi"/>
          <w:sz w:val="20"/>
          <w:szCs w:val="20"/>
          <w:lang w:val="es-UY"/>
        </w:rPr>
        <w:t xml:space="preserve"> estableció la violación del derecho al trabajo, en relación con el principio de igualdad y no discriminación, tras establecer que tres funcionarias públicas fueron separadas de sus cargos de manera discriminatoria</w:t>
      </w:r>
      <w:r w:rsidR="002063C5">
        <w:rPr>
          <w:rStyle w:val="FootnoteReference"/>
          <w:rFonts w:asciiTheme="majorHAnsi" w:eastAsia="Batang" w:hAnsiTheme="majorHAnsi"/>
          <w:sz w:val="20"/>
          <w:szCs w:val="20"/>
          <w:lang w:val="es-UY"/>
        </w:rPr>
        <w:footnoteReference w:id="63"/>
      </w:r>
      <w:r w:rsidR="00D3566F">
        <w:rPr>
          <w:rFonts w:asciiTheme="majorHAnsi" w:eastAsia="Batang" w:hAnsiTheme="majorHAnsi"/>
          <w:sz w:val="20"/>
          <w:szCs w:val="20"/>
          <w:lang w:val="es-UY"/>
        </w:rPr>
        <w:t xml:space="preserve">. </w:t>
      </w:r>
    </w:p>
    <w:p w:rsidR="00304CFB" w:rsidRDefault="00304CFB" w:rsidP="00306C81">
      <w:pPr>
        <w:pStyle w:val="ListParagraph"/>
        <w:ind w:firstLine="720"/>
        <w:rPr>
          <w:rFonts w:asciiTheme="majorHAnsi" w:hAnsiTheme="majorHAnsi"/>
          <w:sz w:val="20"/>
          <w:szCs w:val="20"/>
          <w:lang w:val="es-CL"/>
        </w:rPr>
      </w:pPr>
    </w:p>
    <w:p w:rsidR="0017436D" w:rsidRDefault="00304CF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L"/>
        </w:rPr>
      </w:pPr>
      <w:r>
        <w:rPr>
          <w:rFonts w:asciiTheme="majorHAnsi" w:hAnsiTheme="majorHAnsi"/>
          <w:sz w:val="20"/>
          <w:szCs w:val="20"/>
          <w:lang w:val="es-CL"/>
        </w:rPr>
        <w:t>La Comisión considera que si bien en el presente caso la presunta víctima no perdió su trabajo, sino que tuvo que dejar de ser docente de religión y asumir un cargo distinto al que venía ejerciendo por más de 20 años, el precedente citado resulta relevante en la medida en que se trató de un acto presuntamente discriminatorio que tuvo un impacto en su trabajo que, en este caso, se trataba del ejercicio de la función pública</w:t>
      </w:r>
      <w:r w:rsidR="002F6FD0">
        <w:rPr>
          <w:rFonts w:asciiTheme="majorHAnsi" w:hAnsiTheme="majorHAnsi"/>
          <w:sz w:val="20"/>
          <w:szCs w:val="20"/>
          <w:lang w:val="es-CL"/>
        </w:rPr>
        <w:t xml:space="preserve"> como docente o maestra en el ámbito educativo</w:t>
      </w:r>
      <w:r>
        <w:rPr>
          <w:rFonts w:asciiTheme="majorHAnsi" w:hAnsiTheme="majorHAnsi"/>
          <w:sz w:val="20"/>
          <w:szCs w:val="20"/>
          <w:lang w:val="es-CL"/>
        </w:rPr>
        <w:t>. De esta manera, además de</w:t>
      </w:r>
      <w:r w:rsidR="00FE2A6B">
        <w:rPr>
          <w:rFonts w:asciiTheme="majorHAnsi" w:hAnsiTheme="majorHAnsi"/>
          <w:sz w:val="20"/>
          <w:szCs w:val="20"/>
          <w:lang w:val="es-CL"/>
        </w:rPr>
        <w:t>l principio de igualdad y no discriminación y del derecho a la vida privada y a la autonomía, la</w:t>
      </w:r>
      <w:r>
        <w:rPr>
          <w:rFonts w:asciiTheme="majorHAnsi" w:hAnsiTheme="majorHAnsi"/>
          <w:sz w:val="20"/>
          <w:szCs w:val="20"/>
          <w:lang w:val="es-CL"/>
        </w:rPr>
        <w:t xml:space="preserve"> Comisión también considera </w:t>
      </w:r>
      <w:r w:rsidR="00FE2A6B">
        <w:rPr>
          <w:rFonts w:asciiTheme="majorHAnsi" w:hAnsiTheme="majorHAnsi"/>
          <w:sz w:val="20"/>
          <w:szCs w:val="20"/>
          <w:lang w:val="es-CL"/>
        </w:rPr>
        <w:t xml:space="preserve">pertinente analizar el presente caso a la luz de los </w:t>
      </w:r>
      <w:r>
        <w:rPr>
          <w:rFonts w:asciiTheme="majorHAnsi" w:hAnsiTheme="majorHAnsi"/>
          <w:sz w:val="20"/>
          <w:szCs w:val="20"/>
          <w:lang w:val="es-CL"/>
        </w:rPr>
        <w:t>artículos 23.1 c) y 26 de la Convención</w:t>
      </w:r>
      <w:r w:rsidR="00B35AB7">
        <w:rPr>
          <w:rFonts w:asciiTheme="majorHAnsi" w:hAnsiTheme="majorHAnsi"/>
          <w:sz w:val="20"/>
          <w:szCs w:val="20"/>
          <w:lang w:val="es-CL"/>
        </w:rPr>
        <w:t>.</w:t>
      </w:r>
    </w:p>
    <w:p w:rsidR="005F4E9B" w:rsidRDefault="005F4E9B" w:rsidP="000D31F6">
      <w:pPr>
        <w:pStyle w:val="ListParagraph"/>
        <w:rPr>
          <w:rFonts w:asciiTheme="majorHAnsi" w:hAnsiTheme="majorHAnsi"/>
          <w:sz w:val="20"/>
          <w:szCs w:val="20"/>
          <w:lang w:val="es-CL"/>
        </w:rPr>
      </w:pPr>
    </w:p>
    <w:p w:rsidR="005F4E9B" w:rsidRPr="00D73C5B" w:rsidRDefault="005F4E9B" w:rsidP="00306C81">
      <w:pPr>
        <w:pStyle w:val="Heading3"/>
      </w:pPr>
      <w:bookmarkStart w:id="20" w:name="_Toc531327101"/>
      <w:r w:rsidRPr="00D73C5B">
        <w:t>Consideraciones sobre el derecho a contar con decisiones motivadas y el derecho a la protección judicial</w:t>
      </w:r>
      <w:bookmarkEnd w:id="20"/>
    </w:p>
    <w:p w:rsidR="005F4E9B" w:rsidRPr="00D73C5B" w:rsidRDefault="005F4E9B" w:rsidP="000D31F6">
      <w:pPr>
        <w:rPr>
          <w:rFonts w:asciiTheme="majorHAnsi" w:hAnsiTheme="majorHAnsi"/>
          <w:sz w:val="20"/>
          <w:szCs w:val="20"/>
          <w:u w:color="000000"/>
          <w:lang w:val="es-CL"/>
        </w:rPr>
      </w:pPr>
    </w:p>
    <w:p w:rsidR="005F4E9B" w:rsidRPr="00D73C5B" w:rsidRDefault="005F4E9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CR"/>
        </w:rPr>
      </w:pPr>
      <w:r w:rsidRPr="00D73C5B">
        <w:rPr>
          <w:rFonts w:asciiTheme="majorHAnsi" w:hAnsiTheme="majorHAnsi"/>
          <w:sz w:val="20"/>
          <w:szCs w:val="20"/>
          <w:lang w:val="es-CL"/>
        </w:rPr>
        <w:t xml:space="preserve">Sobre el derecho a la protección judicial, la Corte ha señalado que </w:t>
      </w:r>
      <w:r w:rsidRPr="00D73C5B">
        <w:rPr>
          <w:rFonts w:asciiTheme="majorHAnsi" w:hAnsiTheme="majorHAnsi"/>
          <w:sz w:val="20"/>
          <w:szCs w:val="20"/>
          <w:lang w:val="es-CO"/>
        </w:rPr>
        <w:t xml:space="preserve">el artículo 25.1 de la Convención, establece, en términos amplios, la obligación a cargo de los Estados de ofrecer, a todas las personas sometidas a su </w:t>
      </w:r>
      <w:r w:rsidRPr="00D73C5B">
        <w:rPr>
          <w:rFonts w:asciiTheme="majorHAnsi" w:hAnsiTheme="majorHAnsi"/>
          <w:sz w:val="20"/>
          <w:szCs w:val="20"/>
          <w:lang w:val="es-CL"/>
        </w:rPr>
        <w:t>jurisdicción</w:t>
      </w:r>
      <w:r w:rsidRPr="00D73C5B">
        <w:rPr>
          <w:rFonts w:asciiTheme="majorHAnsi" w:hAnsiTheme="majorHAnsi"/>
          <w:sz w:val="20"/>
          <w:szCs w:val="20"/>
          <w:lang w:val="es-CO"/>
        </w:rPr>
        <w:t>, un recurso judicial efectivo contra actos violatorios de sus derechos fundamentales</w:t>
      </w:r>
      <w:r w:rsidRPr="00D73C5B">
        <w:rPr>
          <w:rStyle w:val="FootnoteReference"/>
          <w:rFonts w:asciiTheme="majorHAnsi" w:hAnsiTheme="majorHAnsi"/>
          <w:sz w:val="20"/>
          <w:szCs w:val="20"/>
          <w:lang w:val="es-CO"/>
        </w:rPr>
        <w:footnoteReference w:id="64"/>
      </w:r>
      <w:r w:rsidRPr="00D73C5B">
        <w:rPr>
          <w:rFonts w:asciiTheme="majorHAnsi" w:hAnsiTheme="majorHAnsi"/>
          <w:sz w:val="20"/>
          <w:szCs w:val="20"/>
          <w:lang w:val="es-CO"/>
        </w:rPr>
        <w:t>.  Además, la Corte ha establecido que para que el Estado cumpla con lo dispuesto en el artículo 25 de la Convención no basta con que los recursos existan formalmente, sino que es preciso que tengan efectividad en los términos del mismo, es decir que den resultados o respuestas a las violaciones de derechos reconocidos, ya sea en la Convención, en la Constitución o en la ley. Lo anterior implica que el recurso debe ser idóneo para combatir la violación y que sea efectiva su aplicación por la autoridad competente. De igual manera un recurso efectivo implica que el análisis por la autoridad competente de un recurso judicial no puede reducirse a una mera formalidad, sino que debe examinar las razones invocadas por el demandante y manifestarse expresamente sobre ellas</w:t>
      </w:r>
      <w:r w:rsidRPr="00D73C5B">
        <w:rPr>
          <w:rStyle w:val="FootnoteReference"/>
          <w:rFonts w:asciiTheme="majorHAnsi" w:hAnsiTheme="majorHAnsi"/>
          <w:sz w:val="20"/>
          <w:szCs w:val="20"/>
          <w:lang w:val="es-CO"/>
        </w:rPr>
        <w:footnoteReference w:id="65"/>
      </w:r>
      <w:r w:rsidRPr="00D73C5B">
        <w:rPr>
          <w:rFonts w:asciiTheme="majorHAnsi" w:hAnsiTheme="majorHAnsi"/>
          <w:sz w:val="20"/>
          <w:szCs w:val="20"/>
          <w:lang w:val="es-CO"/>
        </w:rPr>
        <w:t>.</w:t>
      </w:r>
    </w:p>
    <w:p w:rsidR="005F4E9B" w:rsidRPr="00D73C5B" w:rsidRDefault="005F4E9B" w:rsidP="00306C81">
      <w:pPr>
        <w:ind w:left="567" w:firstLine="720"/>
        <w:jc w:val="both"/>
        <w:rPr>
          <w:rFonts w:asciiTheme="majorHAnsi" w:hAnsiTheme="majorHAnsi"/>
          <w:sz w:val="20"/>
          <w:szCs w:val="20"/>
          <w:lang w:val="es-CR"/>
        </w:rPr>
      </w:pPr>
    </w:p>
    <w:p w:rsidR="005F4E9B" w:rsidRPr="00D73C5B" w:rsidRDefault="005F4E9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D73C5B">
        <w:rPr>
          <w:rFonts w:asciiTheme="majorHAnsi" w:hAnsiTheme="majorHAnsi"/>
          <w:sz w:val="20"/>
          <w:szCs w:val="20"/>
          <w:lang w:val="es-ES"/>
        </w:rPr>
        <w:t xml:space="preserve">En cuanto al deber de motivación suficiente, la Corte Interamericana ha señalado que constituye una de las “debidas garantías” a las que se refiere el artículo 8.1 de la Convención. En cuanto a su contenido, señaló: </w:t>
      </w:r>
    </w:p>
    <w:p w:rsidR="005F4E9B" w:rsidRPr="00D73C5B" w:rsidRDefault="005F4E9B" w:rsidP="000D31F6">
      <w:pPr>
        <w:jc w:val="both"/>
        <w:rPr>
          <w:rFonts w:asciiTheme="majorHAnsi" w:hAnsiTheme="majorHAnsi"/>
          <w:sz w:val="20"/>
          <w:szCs w:val="20"/>
          <w:lang w:val="es-ES"/>
        </w:rPr>
      </w:pPr>
    </w:p>
    <w:p w:rsidR="005F4E9B" w:rsidRPr="00D73C5B" w:rsidRDefault="005F4E9B" w:rsidP="00306C81">
      <w:pPr>
        <w:ind w:left="720" w:right="720"/>
        <w:jc w:val="both"/>
        <w:rPr>
          <w:rFonts w:asciiTheme="majorHAnsi" w:hAnsiTheme="majorHAnsi"/>
          <w:sz w:val="20"/>
          <w:szCs w:val="20"/>
          <w:lang w:val="es-CO"/>
        </w:rPr>
      </w:pPr>
      <w:r w:rsidRPr="00D73C5B">
        <w:rPr>
          <w:rFonts w:asciiTheme="majorHAnsi" w:hAnsiTheme="majorHAnsi"/>
          <w:sz w:val="20"/>
          <w:szCs w:val="20"/>
          <w:lang w:val="es-CO"/>
        </w:rPr>
        <w:t>(...) la motivación “es la exteriorización de la justificación razonada que permite llegar a una conclusión”. El deber de motivar las resoluciones es una garantía vinculada con la correcta administración de justicia</w:t>
      </w:r>
      <w:r w:rsidRPr="00D73C5B">
        <w:rPr>
          <w:rStyle w:val="FootnoteReference"/>
          <w:rFonts w:asciiTheme="majorHAnsi" w:hAnsiTheme="majorHAnsi"/>
          <w:sz w:val="20"/>
          <w:szCs w:val="20"/>
        </w:rPr>
        <w:footnoteReference w:id="66"/>
      </w:r>
      <w:r w:rsidRPr="00D73C5B">
        <w:rPr>
          <w:rFonts w:asciiTheme="majorHAnsi" w:hAnsiTheme="majorHAnsi"/>
          <w:sz w:val="20"/>
          <w:szCs w:val="20"/>
          <w:lang w:val="es-CO"/>
        </w:rPr>
        <w:t xml:space="preserve">, que protege el derecho de los ciudadanos a ser juzgados por las </w:t>
      </w:r>
      <w:r w:rsidRPr="00D73C5B">
        <w:rPr>
          <w:rFonts w:asciiTheme="majorHAnsi" w:hAnsiTheme="majorHAnsi"/>
          <w:sz w:val="20"/>
          <w:szCs w:val="20"/>
          <w:lang w:val="es-CO"/>
        </w:rPr>
        <w:lastRenderedPageBreak/>
        <w:t>razones que el Derecho suministra, y otorga credibilidad de las decisiones jurídicas en el marco de una sociedad democrática</w:t>
      </w:r>
      <w:r w:rsidRPr="00D73C5B">
        <w:rPr>
          <w:rStyle w:val="FootnoteReference"/>
          <w:rFonts w:asciiTheme="majorHAnsi" w:hAnsiTheme="majorHAnsi"/>
          <w:sz w:val="20"/>
          <w:szCs w:val="20"/>
          <w:lang w:val="es-CO"/>
        </w:rPr>
        <w:footnoteReference w:id="67"/>
      </w:r>
      <w:r w:rsidRPr="00D73C5B">
        <w:rPr>
          <w:rFonts w:asciiTheme="majorHAnsi" w:hAnsiTheme="majorHAnsi"/>
          <w:sz w:val="20"/>
          <w:szCs w:val="20"/>
          <w:lang w:val="es-CO"/>
        </w:rPr>
        <w:t xml:space="preserve">. </w:t>
      </w:r>
    </w:p>
    <w:p w:rsidR="005F4E9B" w:rsidRPr="00D73C5B" w:rsidRDefault="005F4E9B" w:rsidP="00306C81">
      <w:pPr>
        <w:pStyle w:val="NormalWeb"/>
        <w:spacing w:before="0" w:beforeAutospacing="0" w:after="0" w:afterAutospacing="0"/>
        <w:ind w:left="720" w:right="720"/>
        <w:jc w:val="both"/>
        <w:rPr>
          <w:rFonts w:asciiTheme="majorHAnsi" w:hAnsiTheme="majorHAnsi"/>
          <w:bCs/>
          <w:iCs/>
          <w:sz w:val="20"/>
          <w:szCs w:val="20"/>
          <w:lang w:val="es-CO"/>
        </w:rPr>
      </w:pPr>
    </w:p>
    <w:p w:rsidR="005F4E9B" w:rsidRPr="005F4E9B" w:rsidRDefault="005F4E9B" w:rsidP="00306C81">
      <w:pPr>
        <w:pStyle w:val="NormalWeb"/>
        <w:spacing w:before="0" w:beforeAutospacing="0" w:after="0" w:afterAutospacing="0"/>
        <w:ind w:left="720" w:right="720"/>
        <w:jc w:val="both"/>
        <w:rPr>
          <w:rFonts w:asciiTheme="majorHAnsi" w:hAnsiTheme="majorHAnsi"/>
          <w:sz w:val="20"/>
          <w:szCs w:val="20"/>
          <w:lang w:val="es-CO"/>
        </w:rPr>
      </w:pPr>
      <w:r w:rsidRPr="00D73C5B">
        <w:rPr>
          <w:rFonts w:asciiTheme="majorHAnsi" w:hAnsiTheme="majorHAnsi"/>
          <w:bCs/>
          <w:iCs/>
          <w:sz w:val="20"/>
          <w:szCs w:val="20"/>
          <w:lang w:val="es-CO"/>
        </w:rPr>
        <w:t>El Tribunal ha resaltado que las decisiones que adopten los órganos internos que puedan afectar derechos humanos deben estar debidamente fundamentadas, pues de lo contrario serían decisiones arbitrarias</w:t>
      </w:r>
      <w:r w:rsidRPr="00D73C5B">
        <w:rPr>
          <w:rStyle w:val="FootnoteReference"/>
          <w:rFonts w:asciiTheme="majorHAnsi" w:hAnsiTheme="majorHAnsi"/>
          <w:bCs/>
          <w:iCs/>
          <w:sz w:val="20"/>
          <w:szCs w:val="20"/>
        </w:rPr>
        <w:footnoteReference w:id="68"/>
      </w:r>
      <w:r w:rsidRPr="00D73C5B">
        <w:rPr>
          <w:rFonts w:asciiTheme="majorHAnsi" w:hAnsiTheme="majorHAnsi"/>
          <w:bCs/>
          <w:iCs/>
          <w:sz w:val="20"/>
          <w:szCs w:val="20"/>
          <w:lang w:val="es-CO"/>
        </w:rPr>
        <w:t>.</w:t>
      </w:r>
      <w:r w:rsidRPr="00D73C5B">
        <w:rPr>
          <w:rFonts w:asciiTheme="majorHAnsi" w:hAnsiTheme="majorHAnsi"/>
          <w:sz w:val="20"/>
          <w:szCs w:val="20"/>
          <w:lang w:val="es-CO"/>
        </w:rPr>
        <w:t xml:space="preserve"> En este sentido, la argumentación de un fallo debe mostrar que han sido debidamente tomados en cuenta los alegatos de las partes y que el conjunto de pruebas ha sido analizado. Asimismo, la motivación demuestra a las partes que éstas han sido oídas y, en aquellos casos en que las decisiones son recurribles, les proporciona la posibilidad de criticar la resolución y lograr un nuevo examen de la cuestión ante las instancias superiores</w:t>
      </w:r>
      <w:r w:rsidRPr="00D73C5B">
        <w:rPr>
          <w:rStyle w:val="FootnoteReference"/>
          <w:rFonts w:asciiTheme="majorHAnsi" w:hAnsiTheme="majorHAnsi"/>
          <w:sz w:val="20"/>
          <w:szCs w:val="20"/>
        </w:rPr>
        <w:footnoteReference w:id="69"/>
      </w:r>
      <w:r w:rsidRPr="00D73C5B">
        <w:rPr>
          <w:rFonts w:asciiTheme="majorHAnsi" w:hAnsiTheme="majorHAnsi"/>
          <w:sz w:val="20"/>
          <w:szCs w:val="20"/>
          <w:lang w:val="es-CO"/>
        </w:rPr>
        <w:t xml:space="preserve">. </w:t>
      </w:r>
    </w:p>
    <w:p w:rsidR="0017436D" w:rsidRPr="00D73C5B" w:rsidRDefault="0017436D" w:rsidP="000D31F6">
      <w:pPr>
        <w:rPr>
          <w:rFonts w:asciiTheme="majorHAnsi" w:hAnsiTheme="majorHAnsi"/>
          <w:b/>
          <w:sz w:val="20"/>
          <w:szCs w:val="20"/>
          <w:lang w:val="es-ES"/>
        </w:rPr>
      </w:pPr>
    </w:p>
    <w:p w:rsidR="00DE5A03" w:rsidRPr="00D73C5B" w:rsidRDefault="00FD5A99" w:rsidP="00306C81">
      <w:pPr>
        <w:pStyle w:val="Heading3"/>
      </w:pPr>
      <w:bookmarkStart w:id="21" w:name="_Toc531327102"/>
      <w:r w:rsidRPr="00D73C5B">
        <w:t>Análisis del caso</w:t>
      </w:r>
      <w:bookmarkEnd w:id="21"/>
    </w:p>
    <w:p w:rsidR="00D44AD2" w:rsidRDefault="00D44AD2" w:rsidP="000D31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jc w:val="both"/>
        <w:rPr>
          <w:rFonts w:asciiTheme="majorHAnsi" w:hAnsiTheme="majorHAnsi"/>
          <w:sz w:val="20"/>
          <w:szCs w:val="20"/>
          <w:lang w:val="es-ES"/>
        </w:rPr>
      </w:pPr>
    </w:p>
    <w:p w:rsidR="00571EF2" w:rsidRDefault="00EF4800"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 </w:t>
      </w:r>
      <w:r w:rsidR="00571EF2">
        <w:rPr>
          <w:rFonts w:asciiTheme="majorHAnsi" w:hAnsiTheme="majorHAnsi"/>
          <w:sz w:val="20"/>
          <w:szCs w:val="20"/>
          <w:lang w:val="es-ES"/>
        </w:rPr>
        <w:t>T</w:t>
      </w:r>
      <w:r w:rsidR="0040655E">
        <w:rPr>
          <w:rFonts w:asciiTheme="majorHAnsi" w:hAnsiTheme="majorHAnsi"/>
          <w:sz w:val="20"/>
          <w:szCs w:val="20"/>
          <w:lang w:val="es-ES"/>
        </w:rPr>
        <w:t>omando en cuenta lo alegado por las partes</w:t>
      </w:r>
      <w:r w:rsidR="00571EF2">
        <w:rPr>
          <w:rFonts w:asciiTheme="majorHAnsi" w:hAnsiTheme="majorHAnsi"/>
          <w:sz w:val="20"/>
          <w:szCs w:val="20"/>
          <w:lang w:val="es-ES"/>
        </w:rPr>
        <w:t xml:space="preserve">, la Comisión debe determinar, en primer lugar, si en el presente caso ocurrió una diferencia de trato basada en la orientación sexual de la presunta víctima. De ser el caso, corresponde a la CIDH establecer si dicha diferencia de trato fue objetiva y razonable, aplicando el juicio de proporcionalidad citado mediante un escrutinio estricto, tomando en cuenta que se trataría de una de las categorías prohibidas por el artículo 1.1 de la Convención Americana. </w:t>
      </w:r>
    </w:p>
    <w:p w:rsidR="00B844FE" w:rsidRDefault="00B844FE" w:rsidP="00306C81">
      <w:pPr>
        <w:pStyle w:val="ListParagraph"/>
        <w:ind w:firstLine="720"/>
        <w:rPr>
          <w:rFonts w:asciiTheme="majorHAnsi" w:hAnsiTheme="majorHAnsi"/>
          <w:sz w:val="20"/>
          <w:szCs w:val="20"/>
          <w:lang w:val="es-ES"/>
        </w:rPr>
      </w:pPr>
    </w:p>
    <w:p w:rsidR="007F099F" w:rsidRDefault="00B844FE"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En cuanto al primer punto, la Comis</w:t>
      </w:r>
      <w:r w:rsidR="001B1A30">
        <w:rPr>
          <w:rFonts w:asciiTheme="majorHAnsi" w:hAnsiTheme="majorHAnsi"/>
          <w:sz w:val="20"/>
          <w:szCs w:val="20"/>
          <w:lang w:val="es-ES"/>
        </w:rPr>
        <w:t xml:space="preserve">ión observa que no existe controversia en cuanto </w:t>
      </w:r>
      <w:r w:rsidR="007F099F">
        <w:rPr>
          <w:rFonts w:asciiTheme="majorHAnsi" w:hAnsiTheme="majorHAnsi"/>
          <w:sz w:val="20"/>
          <w:szCs w:val="20"/>
          <w:lang w:val="es-ES"/>
        </w:rPr>
        <w:t xml:space="preserve">a </w:t>
      </w:r>
      <w:r w:rsidR="007F099F" w:rsidRPr="007F099F">
        <w:rPr>
          <w:rFonts w:asciiTheme="majorHAnsi" w:hAnsiTheme="majorHAnsi"/>
          <w:sz w:val="20"/>
          <w:szCs w:val="20"/>
          <w:lang w:val="es-ES"/>
        </w:rPr>
        <w:t xml:space="preserve">que Sandra </w:t>
      </w:r>
      <w:proofErr w:type="spellStart"/>
      <w:r w:rsidR="007F099F" w:rsidRPr="007F099F">
        <w:rPr>
          <w:rFonts w:asciiTheme="majorHAnsi" w:hAnsiTheme="majorHAnsi"/>
          <w:sz w:val="20"/>
          <w:szCs w:val="20"/>
          <w:lang w:val="es-ES"/>
        </w:rPr>
        <w:t>Pavez</w:t>
      </w:r>
      <w:proofErr w:type="spellEnd"/>
      <w:r w:rsidR="007F099F" w:rsidRPr="007F099F">
        <w:rPr>
          <w:rFonts w:asciiTheme="majorHAnsi" w:hAnsiTheme="majorHAnsi"/>
          <w:sz w:val="20"/>
          <w:szCs w:val="20"/>
          <w:lang w:val="es-ES"/>
        </w:rPr>
        <w:t xml:space="preserve"> se desempeñaba como profesora de religión en el Colegio Municipal Cardenal Antonio </w:t>
      </w:r>
      <w:proofErr w:type="spellStart"/>
      <w:r w:rsidR="007F099F" w:rsidRPr="007F099F">
        <w:rPr>
          <w:rFonts w:asciiTheme="majorHAnsi" w:hAnsiTheme="majorHAnsi"/>
          <w:sz w:val="20"/>
          <w:szCs w:val="20"/>
          <w:lang w:val="es-ES"/>
        </w:rPr>
        <w:t>Samore</w:t>
      </w:r>
      <w:proofErr w:type="spellEnd"/>
      <w:r w:rsidR="007F099F" w:rsidRPr="007F099F">
        <w:rPr>
          <w:rFonts w:asciiTheme="majorHAnsi" w:hAnsiTheme="majorHAnsi"/>
          <w:sz w:val="20"/>
          <w:szCs w:val="20"/>
          <w:lang w:val="es-ES"/>
        </w:rPr>
        <w:t xml:space="preserve"> y que el 25 de julio de 2007 le fue revocado el certificado de idoneidad por parte del obispado de San Bernardo. Como se indicó en los hechos probados, el certificado de idoneidad era requerido por el Decreto 924 de 1983 del Ministerio de Educación, que reglamenta las clases de religión en establecimientos educacionales. Dicha norma entregaba tal facultad a las respectivas religiones. Sin embargo, no está en controversia que el cargo que ejercía Sandra </w:t>
      </w:r>
      <w:proofErr w:type="spellStart"/>
      <w:r w:rsidR="007F099F" w:rsidRPr="007F099F">
        <w:rPr>
          <w:rFonts w:asciiTheme="majorHAnsi" w:hAnsiTheme="majorHAnsi"/>
          <w:sz w:val="20"/>
          <w:szCs w:val="20"/>
          <w:lang w:val="es-ES"/>
        </w:rPr>
        <w:t>Pavez</w:t>
      </w:r>
      <w:proofErr w:type="spellEnd"/>
      <w:r w:rsidR="007F099F" w:rsidRPr="007F099F">
        <w:rPr>
          <w:rFonts w:asciiTheme="majorHAnsi" w:hAnsiTheme="majorHAnsi"/>
          <w:sz w:val="20"/>
          <w:szCs w:val="20"/>
          <w:lang w:val="es-ES"/>
        </w:rPr>
        <w:t xml:space="preserve"> como </w:t>
      </w:r>
      <w:r w:rsidR="009B64CE">
        <w:rPr>
          <w:rFonts w:asciiTheme="majorHAnsi" w:hAnsiTheme="majorHAnsi"/>
          <w:sz w:val="20"/>
          <w:szCs w:val="20"/>
          <w:lang w:val="es-ES"/>
        </w:rPr>
        <w:t xml:space="preserve">docente </w:t>
      </w:r>
      <w:r w:rsidR="007F099F" w:rsidRPr="007F099F">
        <w:rPr>
          <w:rFonts w:asciiTheme="majorHAnsi" w:hAnsiTheme="majorHAnsi"/>
          <w:sz w:val="20"/>
          <w:szCs w:val="20"/>
          <w:lang w:val="es-ES"/>
        </w:rPr>
        <w:t xml:space="preserve">era un cargo público. </w:t>
      </w:r>
      <w:r w:rsidR="00F41669">
        <w:rPr>
          <w:rFonts w:asciiTheme="majorHAnsi" w:hAnsiTheme="majorHAnsi"/>
          <w:sz w:val="20"/>
          <w:szCs w:val="20"/>
          <w:lang w:val="es-ES"/>
        </w:rPr>
        <w:t xml:space="preserve">Tampoco existe controversia sobre </w:t>
      </w:r>
      <w:r w:rsidR="00A5158D">
        <w:rPr>
          <w:rFonts w:asciiTheme="majorHAnsi" w:hAnsiTheme="majorHAnsi"/>
          <w:sz w:val="20"/>
          <w:szCs w:val="20"/>
          <w:lang w:val="es-ES"/>
        </w:rPr>
        <w:t xml:space="preserve">el hecho de que la razón que motivó la revocatoria del certificado de idoneidad, fue la </w:t>
      </w:r>
      <w:r w:rsidR="007D1C31">
        <w:rPr>
          <w:rFonts w:asciiTheme="majorHAnsi" w:hAnsiTheme="majorHAnsi"/>
          <w:sz w:val="20"/>
          <w:szCs w:val="20"/>
          <w:lang w:val="es-ES"/>
        </w:rPr>
        <w:t xml:space="preserve">orientación sexual de Sandra </w:t>
      </w:r>
      <w:proofErr w:type="spellStart"/>
      <w:r w:rsidR="007D1C31">
        <w:rPr>
          <w:rFonts w:asciiTheme="majorHAnsi" w:hAnsiTheme="majorHAnsi"/>
          <w:sz w:val="20"/>
          <w:szCs w:val="20"/>
          <w:lang w:val="es-ES"/>
        </w:rPr>
        <w:t>Pavez</w:t>
      </w:r>
      <w:proofErr w:type="spellEnd"/>
      <w:r w:rsidR="007D1C31">
        <w:rPr>
          <w:rFonts w:asciiTheme="majorHAnsi" w:hAnsiTheme="majorHAnsi"/>
          <w:sz w:val="20"/>
          <w:szCs w:val="20"/>
          <w:lang w:val="es-ES"/>
        </w:rPr>
        <w:t xml:space="preserve"> y el hecho de que mantenía una relación con una persona de su mismo sexo. Esto resulta evidente tanto de los contenidos de la propia revocatoria, como de los hechos anteriores relativos a las indagaciones por parte del vicario sobre la orientación sexual de la presunta víctima y las advertencias que le fueron realizadas, incluso requiriéndole que se sometiera a terapias. </w:t>
      </w:r>
    </w:p>
    <w:p w:rsidR="00787F58" w:rsidRDefault="00787F58" w:rsidP="000D31F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jc w:val="both"/>
        <w:rPr>
          <w:rFonts w:asciiTheme="majorHAnsi" w:hAnsiTheme="majorHAnsi"/>
          <w:sz w:val="20"/>
          <w:szCs w:val="20"/>
          <w:lang w:val="es-ES"/>
        </w:rPr>
      </w:pPr>
    </w:p>
    <w:p w:rsidR="003E02B1" w:rsidRDefault="00787F58"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En virtud de lo anterior, la CIDH considera suficientemente acreditado que la revocatoria del certificado de idoneidad de 25 de julio de 2007, constituyó una diferencia de trato</w:t>
      </w:r>
      <w:r w:rsidR="003E02B1">
        <w:rPr>
          <w:rFonts w:asciiTheme="majorHAnsi" w:hAnsiTheme="majorHAnsi"/>
          <w:sz w:val="20"/>
          <w:szCs w:val="20"/>
          <w:lang w:val="es-ES"/>
        </w:rPr>
        <w:t>,</w:t>
      </w:r>
      <w:r>
        <w:rPr>
          <w:rFonts w:asciiTheme="majorHAnsi" w:hAnsiTheme="majorHAnsi"/>
          <w:sz w:val="20"/>
          <w:szCs w:val="20"/>
          <w:lang w:val="es-ES"/>
        </w:rPr>
        <w:t xml:space="preserve"> la cual fue basada explícitamente y de manera exclusiva en la orientación sexual de Sandra </w:t>
      </w:r>
      <w:proofErr w:type="spellStart"/>
      <w:r>
        <w:rPr>
          <w:rFonts w:asciiTheme="majorHAnsi" w:hAnsiTheme="majorHAnsi"/>
          <w:sz w:val="20"/>
          <w:szCs w:val="20"/>
          <w:lang w:val="es-ES"/>
        </w:rPr>
        <w:t>Pavez</w:t>
      </w:r>
      <w:proofErr w:type="spellEnd"/>
      <w:r>
        <w:rPr>
          <w:rFonts w:asciiTheme="majorHAnsi" w:hAnsiTheme="majorHAnsi"/>
          <w:sz w:val="20"/>
          <w:szCs w:val="20"/>
          <w:lang w:val="es-ES"/>
        </w:rPr>
        <w:t xml:space="preserve">. </w:t>
      </w:r>
    </w:p>
    <w:p w:rsidR="003E02B1" w:rsidRDefault="003E02B1" w:rsidP="00306C81">
      <w:pPr>
        <w:pStyle w:val="ListParagraph"/>
        <w:ind w:firstLine="720"/>
        <w:rPr>
          <w:rFonts w:asciiTheme="majorHAnsi" w:hAnsiTheme="majorHAnsi"/>
          <w:sz w:val="20"/>
          <w:szCs w:val="20"/>
          <w:lang w:val="es-ES"/>
        </w:rPr>
      </w:pPr>
    </w:p>
    <w:p w:rsidR="003D0B8A" w:rsidRDefault="003E02B1"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Conforme a los estándares descritos y al tratarse de una categoría sospechosa protegida por el artículo 1.1 de</w:t>
      </w:r>
      <w:r w:rsidR="008E0AF6">
        <w:rPr>
          <w:rFonts w:asciiTheme="majorHAnsi" w:hAnsiTheme="majorHAnsi"/>
          <w:sz w:val="20"/>
          <w:szCs w:val="20"/>
          <w:lang w:val="es-ES"/>
        </w:rPr>
        <w:t xml:space="preserve"> </w:t>
      </w:r>
      <w:r>
        <w:rPr>
          <w:rFonts w:asciiTheme="majorHAnsi" w:hAnsiTheme="majorHAnsi"/>
          <w:sz w:val="20"/>
          <w:szCs w:val="20"/>
          <w:lang w:val="es-ES"/>
        </w:rPr>
        <w:t>la Convención,</w:t>
      </w:r>
      <w:r w:rsidR="008E0AF6">
        <w:rPr>
          <w:rFonts w:asciiTheme="majorHAnsi" w:hAnsiTheme="majorHAnsi"/>
          <w:sz w:val="20"/>
          <w:szCs w:val="20"/>
          <w:lang w:val="es-ES"/>
        </w:rPr>
        <w:t xml:space="preserve"> la diferencia de trato se presume </w:t>
      </w:r>
      <w:r w:rsidR="001A744A">
        <w:rPr>
          <w:rFonts w:asciiTheme="majorHAnsi" w:hAnsiTheme="majorHAnsi"/>
          <w:sz w:val="20"/>
          <w:szCs w:val="20"/>
          <w:lang w:val="es-ES"/>
        </w:rPr>
        <w:t xml:space="preserve">en conflicto con las obligaciones internacionales del Estado </w:t>
      </w:r>
      <w:r w:rsidR="008E0AF6">
        <w:rPr>
          <w:rFonts w:asciiTheme="majorHAnsi" w:hAnsiTheme="majorHAnsi"/>
          <w:sz w:val="20"/>
          <w:szCs w:val="20"/>
          <w:lang w:val="es-ES"/>
        </w:rPr>
        <w:t xml:space="preserve">y corresponde evaluar si </w:t>
      </w:r>
      <w:r w:rsidR="005A260A">
        <w:rPr>
          <w:rFonts w:asciiTheme="majorHAnsi" w:hAnsiTheme="majorHAnsi"/>
          <w:sz w:val="20"/>
          <w:szCs w:val="20"/>
          <w:lang w:val="es-ES"/>
        </w:rPr>
        <w:t>e</w:t>
      </w:r>
      <w:r w:rsidR="00910733">
        <w:rPr>
          <w:rFonts w:asciiTheme="majorHAnsi" w:hAnsiTheme="majorHAnsi"/>
          <w:sz w:val="20"/>
          <w:szCs w:val="20"/>
          <w:lang w:val="es-ES"/>
        </w:rPr>
        <w:t>x</w:t>
      </w:r>
      <w:r w:rsidR="005A260A">
        <w:rPr>
          <w:rFonts w:asciiTheme="majorHAnsi" w:hAnsiTheme="majorHAnsi"/>
          <w:sz w:val="20"/>
          <w:szCs w:val="20"/>
          <w:lang w:val="es-ES"/>
        </w:rPr>
        <w:t xml:space="preserve">iste una justificación de </w:t>
      </w:r>
      <w:r w:rsidR="008E0AF6">
        <w:rPr>
          <w:rFonts w:asciiTheme="majorHAnsi" w:hAnsiTheme="majorHAnsi"/>
          <w:sz w:val="20"/>
          <w:szCs w:val="20"/>
          <w:lang w:val="es-ES"/>
        </w:rPr>
        <w:t>suficiente peso que supere un escrutinio estricto de los pasos del juicio de proporcionalidad mencionado.</w:t>
      </w:r>
      <w:r w:rsidR="00910733">
        <w:rPr>
          <w:rFonts w:asciiTheme="majorHAnsi" w:hAnsiTheme="majorHAnsi"/>
          <w:sz w:val="20"/>
          <w:szCs w:val="20"/>
          <w:lang w:val="es-ES"/>
        </w:rPr>
        <w:t xml:space="preserve"> Al respecto, la Comisión</w:t>
      </w:r>
      <w:r w:rsidR="00575561">
        <w:rPr>
          <w:rFonts w:asciiTheme="majorHAnsi" w:hAnsiTheme="majorHAnsi"/>
          <w:sz w:val="20"/>
          <w:szCs w:val="20"/>
          <w:lang w:val="es-ES"/>
        </w:rPr>
        <w:t xml:space="preserve"> observa que los contenidos de la revocatoria no ofrecen explicación alguna que permita determinar la necesidad imperiosa perseguida por la diferencia de trato, la idoneidad de dicha diferencia con relación a tal necesidad, ni su necesidad ni proporcionalidad estrictas. Por el contrario, la revocatoria se limita a hacer explícito que el criterio diferenciador fue la orientación sexual de Sandra </w:t>
      </w:r>
      <w:proofErr w:type="spellStart"/>
      <w:r w:rsidR="00575561">
        <w:rPr>
          <w:rFonts w:asciiTheme="majorHAnsi" w:hAnsiTheme="majorHAnsi"/>
          <w:sz w:val="20"/>
          <w:szCs w:val="20"/>
          <w:lang w:val="es-ES"/>
        </w:rPr>
        <w:t>Pavez</w:t>
      </w:r>
      <w:proofErr w:type="spellEnd"/>
      <w:r w:rsidR="00575561">
        <w:rPr>
          <w:rFonts w:asciiTheme="majorHAnsi" w:hAnsiTheme="majorHAnsi"/>
          <w:sz w:val="20"/>
          <w:szCs w:val="20"/>
          <w:lang w:val="es-ES"/>
        </w:rPr>
        <w:t xml:space="preserve"> sin ofrecer motivo alguno que supere un test </w:t>
      </w:r>
      <w:r w:rsidR="00575561">
        <w:rPr>
          <w:rFonts w:asciiTheme="majorHAnsi" w:hAnsiTheme="majorHAnsi"/>
          <w:sz w:val="20"/>
          <w:szCs w:val="20"/>
          <w:lang w:val="es-ES"/>
        </w:rPr>
        <w:lastRenderedPageBreak/>
        <w:t>mínimo de objetividad y razonabilidad, mucho menos, un escrutinio estricto</w:t>
      </w:r>
      <w:r w:rsidR="003D0B8A">
        <w:rPr>
          <w:rFonts w:asciiTheme="majorHAnsi" w:hAnsiTheme="majorHAnsi"/>
          <w:sz w:val="20"/>
          <w:szCs w:val="20"/>
          <w:lang w:val="es-ES"/>
        </w:rPr>
        <w:t xml:space="preserve"> como el exigido cuando se trata de dicha categoría.</w:t>
      </w:r>
      <w:r w:rsidR="00575561">
        <w:rPr>
          <w:rFonts w:asciiTheme="majorHAnsi" w:hAnsiTheme="majorHAnsi"/>
          <w:sz w:val="20"/>
          <w:szCs w:val="20"/>
          <w:lang w:val="es-ES"/>
        </w:rPr>
        <w:t xml:space="preserve"> </w:t>
      </w:r>
    </w:p>
    <w:p w:rsidR="003D0B8A" w:rsidRDefault="003D0B8A" w:rsidP="00306C81">
      <w:pPr>
        <w:pStyle w:val="ListParagraph"/>
        <w:ind w:firstLine="720"/>
        <w:rPr>
          <w:rFonts w:asciiTheme="majorHAnsi" w:hAnsiTheme="majorHAnsi"/>
          <w:sz w:val="20"/>
          <w:szCs w:val="20"/>
          <w:lang w:val="es-ES"/>
        </w:rPr>
      </w:pPr>
    </w:p>
    <w:p w:rsidR="003C4EFC" w:rsidRDefault="003D0B8A"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Ahora bien, la Comisión observa que la defensa del Estado chileno descansa más bien en que la normativa interna otorga a las respectivas religiones la potestad de certificar la idoneidad de las personas que van a enseñar religión, por lo que tales determinaciones no serían una responsabilidad del Estado. De hecho, el Estado alega que la finalidad que persigue dicha norma es </w:t>
      </w:r>
      <w:r w:rsidR="003C4EFC">
        <w:rPr>
          <w:rFonts w:asciiTheme="majorHAnsi" w:hAnsiTheme="majorHAnsi"/>
          <w:sz w:val="20"/>
          <w:szCs w:val="20"/>
          <w:lang w:val="es-ES"/>
        </w:rPr>
        <w:t>el respeto a la libertad de religión y que no le corresponde inmiscuirse en tales cuestiones.</w:t>
      </w:r>
    </w:p>
    <w:p w:rsidR="003C4EFC" w:rsidRDefault="003C4EFC" w:rsidP="00306C81">
      <w:pPr>
        <w:pStyle w:val="ListParagraph"/>
        <w:ind w:firstLine="720"/>
        <w:rPr>
          <w:rFonts w:asciiTheme="majorHAnsi" w:hAnsiTheme="majorHAnsi"/>
          <w:sz w:val="20"/>
          <w:szCs w:val="20"/>
          <w:lang w:val="es-ES"/>
        </w:rPr>
      </w:pPr>
    </w:p>
    <w:p w:rsidR="009E5539" w:rsidRDefault="003C4EFC"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La Comisión considera que estos argumentos del Estado parecieran estar más relacionados </w:t>
      </w:r>
      <w:r w:rsidR="000420B9">
        <w:rPr>
          <w:rFonts w:asciiTheme="majorHAnsi" w:hAnsiTheme="majorHAnsi"/>
          <w:sz w:val="20"/>
          <w:szCs w:val="20"/>
          <w:lang w:val="es-ES"/>
        </w:rPr>
        <w:t xml:space="preserve">con una controversia sobre atribución de responsabilidad internacional por las actuaciones de las autoridades religiosas en ejercicio de la facultad legal que les otorga el Decreto 924 de 1983. </w:t>
      </w:r>
      <w:r w:rsidR="003250EA">
        <w:rPr>
          <w:rFonts w:asciiTheme="majorHAnsi" w:hAnsiTheme="majorHAnsi"/>
          <w:sz w:val="20"/>
          <w:szCs w:val="20"/>
          <w:lang w:val="es-ES"/>
        </w:rPr>
        <w:t xml:space="preserve">Sobre este punto, la Comisión </w:t>
      </w:r>
      <w:r w:rsidR="009E5539">
        <w:rPr>
          <w:rFonts w:asciiTheme="majorHAnsi" w:hAnsiTheme="majorHAnsi"/>
          <w:sz w:val="20"/>
          <w:szCs w:val="20"/>
          <w:lang w:val="es-ES"/>
        </w:rPr>
        <w:t xml:space="preserve">estima necesario formular varias consideraciones. </w:t>
      </w:r>
    </w:p>
    <w:p w:rsidR="009E5539" w:rsidRDefault="009E5539" w:rsidP="00306C81">
      <w:pPr>
        <w:pStyle w:val="ListParagraph"/>
        <w:ind w:firstLine="720"/>
        <w:rPr>
          <w:rFonts w:asciiTheme="majorHAnsi" w:hAnsiTheme="majorHAnsi"/>
          <w:sz w:val="20"/>
          <w:szCs w:val="20"/>
          <w:lang w:val="es-ES"/>
        </w:rPr>
      </w:pPr>
    </w:p>
    <w:p w:rsidR="00DC4CD2" w:rsidRDefault="009E5539"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La primera, es que </w:t>
      </w:r>
      <w:r w:rsidR="003250EA">
        <w:rPr>
          <w:rFonts w:asciiTheme="majorHAnsi" w:hAnsiTheme="majorHAnsi"/>
          <w:sz w:val="20"/>
          <w:szCs w:val="20"/>
          <w:lang w:val="es-ES"/>
        </w:rPr>
        <w:t xml:space="preserve">no está en controversia que Sandra </w:t>
      </w:r>
      <w:proofErr w:type="spellStart"/>
      <w:r w:rsidR="003250EA">
        <w:rPr>
          <w:rFonts w:asciiTheme="majorHAnsi" w:hAnsiTheme="majorHAnsi"/>
          <w:sz w:val="20"/>
          <w:szCs w:val="20"/>
          <w:lang w:val="es-ES"/>
        </w:rPr>
        <w:t>Pavez</w:t>
      </w:r>
      <w:proofErr w:type="spellEnd"/>
      <w:r w:rsidR="003250EA">
        <w:rPr>
          <w:rFonts w:asciiTheme="majorHAnsi" w:hAnsiTheme="majorHAnsi"/>
          <w:sz w:val="20"/>
          <w:szCs w:val="20"/>
          <w:lang w:val="es-ES"/>
        </w:rPr>
        <w:t xml:space="preserve"> era docente de un colegio público y que tenía el carácter de funcionaria públic</w:t>
      </w:r>
      <w:r>
        <w:rPr>
          <w:rFonts w:asciiTheme="majorHAnsi" w:hAnsiTheme="majorHAnsi"/>
          <w:sz w:val="20"/>
          <w:szCs w:val="20"/>
          <w:lang w:val="es-ES"/>
        </w:rPr>
        <w:t>a. En ese sentido, la relación con el Estado era directa. La segunda es que</w:t>
      </w:r>
      <w:r w:rsidR="00D456BC">
        <w:rPr>
          <w:rFonts w:asciiTheme="majorHAnsi" w:hAnsiTheme="majorHAnsi"/>
          <w:sz w:val="20"/>
          <w:szCs w:val="20"/>
          <w:lang w:val="es-ES"/>
        </w:rPr>
        <w:t xml:space="preserve"> la potestad dada a las autoridades religiosas para certificar la idoneidad de las personas, se encuentra prevista en la legislación, por lo que </w:t>
      </w:r>
      <w:r w:rsidR="00FD7A59">
        <w:rPr>
          <w:rFonts w:asciiTheme="majorHAnsi" w:hAnsiTheme="majorHAnsi"/>
          <w:sz w:val="20"/>
          <w:szCs w:val="20"/>
          <w:lang w:val="es-ES"/>
        </w:rPr>
        <w:t>fue</w:t>
      </w:r>
      <w:r w:rsidR="00D456BC">
        <w:rPr>
          <w:rFonts w:asciiTheme="majorHAnsi" w:hAnsiTheme="majorHAnsi"/>
          <w:sz w:val="20"/>
          <w:szCs w:val="20"/>
          <w:lang w:val="es-ES"/>
        </w:rPr>
        <w:t xml:space="preserve"> el Estado el que delegó un componente de la función pública a entes no estatales, como las autoridades religiosas. En ese sentido, la Comisión observa que tal delegación se realizó en términos absolutos, sin establecer salvaguardas para </w:t>
      </w:r>
      <w:r w:rsidR="00607A88">
        <w:rPr>
          <w:rFonts w:asciiTheme="majorHAnsi" w:hAnsiTheme="majorHAnsi"/>
          <w:sz w:val="20"/>
          <w:szCs w:val="20"/>
          <w:lang w:val="es-ES"/>
        </w:rPr>
        <w:t xml:space="preserve">evitar </w:t>
      </w:r>
      <w:r w:rsidR="00D456BC">
        <w:rPr>
          <w:rFonts w:asciiTheme="majorHAnsi" w:hAnsiTheme="majorHAnsi"/>
          <w:sz w:val="20"/>
          <w:szCs w:val="20"/>
          <w:lang w:val="es-ES"/>
        </w:rPr>
        <w:t>que se realizara de manera arbitraria o violatoria de derechos fundamentales, incluyendo el principio de igualdad y no discriminación.</w:t>
      </w:r>
      <w:r w:rsidR="00604434">
        <w:rPr>
          <w:rFonts w:asciiTheme="majorHAnsi" w:hAnsiTheme="majorHAnsi"/>
          <w:sz w:val="20"/>
          <w:szCs w:val="20"/>
          <w:lang w:val="es-ES"/>
        </w:rPr>
        <w:t xml:space="preserve"> </w:t>
      </w:r>
      <w:r w:rsidR="006B4BCC">
        <w:rPr>
          <w:rFonts w:asciiTheme="majorHAnsi" w:hAnsiTheme="majorHAnsi"/>
          <w:sz w:val="20"/>
          <w:szCs w:val="20"/>
          <w:lang w:val="es-ES"/>
        </w:rPr>
        <w:t xml:space="preserve">Con base en estos dos elementos, la Comisión considera que las actuaciones de las autoridades religiosas en ejercicio de la delegación contenida en el Decreto 924 de 1983 para el ejercicio de una función pública, necesariamente compromete la responsabilidad internacional del Estado. </w:t>
      </w:r>
    </w:p>
    <w:p w:rsidR="00CE136B" w:rsidRPr="006B4BCC" w:rsidRDefault="00CE136B" w:rsidP="00306C81">
      <w:pPr>
        <w:ind w:firstLine="720"/>
        <w:rPr>
          <w:rFonts w:asciiTheme="majorHAnsi" w:hAnsiTheme="majorHAnsi"/>
          <w:sz w:val="20"/>
          <w:szCs w:val="20"/>
          <w:lang w:val="es-ES"/>
        </w:rPr>
      </w:pPr>
    </w:p>
    <w:p w:rsidR="00CE136B" w:rsidRPr="00197A7F" w:rsidRDefault="00CE136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197A7F">
        <w:rPr>
          <w:rFonts w:asciiTheme="majorHAnsi" w:hAnsiTheme="majorHAnsi"/>
          <w:sz w:val="20"/>
          <w:szCs w:val="20"/>
          <w:lang w:val="es-ES"/>
        </w:rPr>
        <w:t>La tercera consideración es que</w:t>
      </w:r>
      <w:r w:rsidR="006B4BCC" w:rsidRPr="00563C2B">
        <w:rPr>
          <w:rFonts w:asciiTheme="majorHAnsi" w:hAnsiTheme="majorHAnsi"/>
          <w:sz w:val="20"/>
          <w:szCs w:val="20"/>
          <w:lang w:val="es-ES"/>
        </w:rPr>
        <w:t xml:space="preserve"> sin perjuicio de lo anterior y aun aceptando en gracia de discusión, que no se trató de un acto </w:t>
      </w:r>
      <w:r w:rsidR="00563C2B">
        <w:rPr>
          <w:rFonts w:asciiTheme="majorHAnsi" w:hAnsiTheme="majorHAnsi"/>
          <w:sz w:val="20"/>
          <w:szCs w:val="20"/>
          <w:lang w:val="es-ES"/>
        </w:rPr>
        <w:t>atribuible al Estado</w:t>
      </w:r>
      <w:r w:rsidR="006B4BCC" w:rsidRPr="00563C2B">
        <w:rPr>
          <w:rFonts w:asciiTheme="majorHAnsi" w:hAnsiTheme="majorHAnsi"/>
          <w:sz w:val="20"/>
          <w:szCs w:val="20"/>
          <w:lang w:val="es-ES"/>
        </w:rPr>
        <w:t xml:space="preserve">, el principio de igualdad y no discriminación, por su carácter fundamental, proyecta sus efectos a las relaciones entre particulares, imponiendo obligaciones de carácter </w:t>
      </w:r>
      <w:r w:rsidR="006B4BCC" w:rsidRPr="00563C2B">
        <w:rPr>
          <w:rFonts w:asciiTheme="majorHAnsi" w:hAnsiTheme="majorHAnsi"/>
          <w:i/>
          <w:sz w:val="20"/>
          <w:szCs w:val="20"/>
          <w:lang w:val="es-ES"/>
        </w:rPr>
        <w:t xml:space="preserve">erga omnes. </w:t>
      </w:r>
      <w:r w:rsidR="00437AF6" w:rsidRPr="00563C2B">
        <w:rPr>
          <w:rFonts w:asciiTheme="majorHAnsi" w:hAnsiTheme="majorHAnsi"/>
          <w:sz w:val="20"/>
          <w:szCs w:val="20"/>
          <w:lang w:val="es-ES"/>
        </w:rPr>
        <w:t>Esto implica que el Estado debe garantizar su estricto cumplimiento no solamente en el ámbito de las actuaciones estatales, sin</w:t>
      </w:r>
      <w:r w:rsidR="00563C2B">
        <w:rPr>
          <w:rFonts w:asciiTheme="majorHAnsi" w:hAnsiTheme="majorHAnsi"/>
          <w:sz w:val="20"/>
          <w:szCs w:val="20"/>
          <w:lang w:val="es-ES"/>
        </w:rPr>
        <w:t>o</w:t>
      </w:r>
      <w:r w:rsidR="00437AF6" w:rsidRPr="00563C2B">
        <w:rPr>
          <w:rFonts w:asciiTheme="majorHAnsi" w:hAnsiTheme="majorHAnsi"/>
          <w:sz w:val="20"/>
          <w:szCs w:val="20"/>
          <w:lang w:val="es-ES"/>
        </w:rPr>
        <w:t xml:space="preserve"> también en la esfera privada. De esta manera, ante el conocimiento de un acto discriminatorio </w:t>
      </w:r>
      <w:r w:rsidR="00563C2B">
        <w:rPr>
          <w:rFonts w:asciiTheme="majorHAnsi" w:hAnsiTheme="majorHAnsi"/>
          <w:sz w:val="20"/>
          <w:szCs w:val="20"/>
          <w:lang w:val="es-ES"/>
        </w:rPr>
        <w:t xml:space="preserve">o trato diferenciado injustificado </w:t>
      </w:r>
      <w:r w:rsidR="00437AF6" w:rsidRPr="00563C2B">
        <w:rPr>
          <w:rFonts w:asciiTheme="majorHAnsi" w:hAnsiTheme="majorHAnsi"/>
          <w:sz w:val="20"/>
          <w:szCs w:val="20"/>
          <w:lang w:val="es-ES"/>
        </w:rPr>
        <w:t xml:space="preserve">por parte de un actor no estatal, le es exigible al Estado un deber de </w:t>
      </w:r>
      <w:r w:rsidR="0065744A" w:rsidRPr="00563C2B">
        <w:rPr>
          <w:rFonts w:asciiTheme="majorHAnsi" w:hAnsiTheme="majorHAnsi"/>
          <w:sz w:val="20"/>
          <w:szCs w:val="20"/>
          <w:lang w:val="es-ES"/>
        </w:rPr>
        <w:t xml:space="preserve">protección y </w:t>
      </w:r>
      <w:r w:rsidR="00437AF6" w:rsidRPr="00563C2B">
        <w:rPr>
          <w:rFonts w:asciiTheme="majorHAnsi" w:hAnsiTheme="majorHAnsi"/>
          <w:sz w:val="20"/>
          <w:szCs w:val="20"/>
          <w:lang w:val="es-ES"/>
        </w:rPr>
        <w:t>respuesta para hacer cesar dicha discriminación</w:t>
      </w:r>
      <w:r w:rsidR="0065744A" w:rsidRPr="00563C2B">
        <w:rPr>
          <w:rFonts w:asciiTheme="majorHAnsi" w:hAnsiTheme="majorHAnsi"/>
          <w:sz w:val="20"/>
          <w:szCs w:val="20"/>
          <w:lang w:val="es-ES"/>
        </w:rPr>
        <w:t xml:space="preserve"> y procurar la debida reparación. </w:t>
      </w:r>
      <w:r w:rsidR="005B20DA" w:rsidRPr="00563C2B">
        <w:rPr>
          <w:rFonts w:asciiTheme="majorHAnsi" w:hAnsiTheme="majorHAnsi"/>
          <w:sz w:val="20"/>
          <w:szCs w:val="20"/>
          <w:lang w:val="es-ES"/>
        </w:rPr>
        <w:t xml:space="preserve">Es por ello que resulta fundamental que existan recursos judiciales efectivos para proteger a las personas frente a actos discriminatorios que provengan tanto del Estado como de actores </w:t>
      </w:r>
      <w:r w:rsidR="00563C2B">
        <w:rPr>
          <w:rFonts w:asciiTheme="majorHAnsi" w:hAnsiTheme="majorHAnsi"/>
          <w:sz w:val="20"/>
          <w:szCs w:val="20"/>
          <w:lang w:val="es-ES"/>
        </w:rPr>
        <w:t>n</w:t>
      </w:r>
      <w:r w:rsidR="005B20DA" w:rsidRPr="00563C2B">
        <w:rPr>
          <w:rFonts w:asciiTheme="majorHAnsi" w:hAnsiTheme="majorHAnsi"/>
          <w:sz w:val="20"/>
          <w:szCs w:val="20"/>
          <w:lang w:val="es-ES"/>
        </w:rPr>
        <w:t>o estatales</w:t>
      </w:r>
      <w:r w:rsidR="005B20DA" w:rsidRPr="00197A7F">
        <w:rPr>
          <w:rFonts w:asciiTheme="majorHAnsi" w:hAnsiTheme="majorHAnsi"/>
          <w:sz w:val="20"/>
          <w:szCs w:val="20"/>
          <w:lang w:val="es-ES"/>
        </w:rPr>
        <w:t xml:space="preserve">. </w:t>
      </w:r>
    </w:p>
    <w:p w:rsidR="0029474D" w:rsidRDefault="0029474D" w:rsidP="00306C81">
      <w:pPr>
        <w:pStyle w:val="ListParagraph"/>
        <w:ind w:firstLine="720"/>
        <w:rPr>
          <w:rFonts w:asciiTheme="majorHAnsi" w:hAnsiTheme="majorHAnsi"/>
          <w:sz w:val="20"/>
          <w:szCs w:val="20"/>
          <w:lang w:val="es-ES"/>
        </w:rPr>
      </w:pPr>
    </w:p>
    <w:p w:rsidR="00D040E7" w:rsidRDefault="0029474D"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Con base en los anteriores puntos, la Comisión reitera que la diferencia de trato con base en la orientación sexual en perjuicio de Sandra </w:t>
      </w:r>
      <w:proofErr w:type="spellStart"/>
      <w:r>
        <w:rPr>
          <w:rFonts w:asciiTheme="majorHAnsi" w:hAnsiTheme="majorHAnsi"/>
          <w:sz w:val="20"/>
          <w:szCs w:val="20"/>
          <w:lang w:val="es-ES"/>
        </w:rPr>
        <w:t>Pavez</w:t>
      </w:r>
      <w:proofErr w:type="spellEnd"/>
      <w:r>
        <w:rPr>
          <w:rFonts w:asciiTheme="majorHAnsi" w:hAnsiTheme="majorHAnsi"/>
          <w:sz w:val="20"/>
          <w:szCs w:val="20"/>
          <w:lang w:val="es-ES"/>
        </w:rPr>
        <w:t xml:space="preserve"> no contó con una justificación mínima que permita efectuar un análisis </w:t>
      </w:r>
      <w:r w:rsidR="001778EA">
        <w:rPr>
          <w:rFonts w:asciiTheme="majorHAnsi" w:hAnsiTheme="majorHAnsi"/>
          <w:sz w:val="20"/>
          <w:szCs w:val="20"/>
          <w:lang w:val="es-ES"/>
        </w:rPr>
        <w:t>ni siquiera sobre el primer paso del juicio de proporcionalidad, esto es, la legit</w:t>
      </w:r>
      <w:r w:rsidR="006E62B7">
        <w:rPr>
          <w:rFonts w:asciiTheme="majorHAnsi" w:hAnsiTheme="majorHAnsi"/>
          <w:sz w:val="20"/>
          <w:szCs w:val="20"/>
          <w:lang w:val="es-ES"/>
        </w:rPr>
        <w:t>i</w:t>
      </w:r>
      <w:r w:rsidR="001778EA">
        <w:rPr>
          <w:rFonts w:asciiTheme="majorHAnsi" w:hAnsiTheme="majorHAnsi"/>
          <w:sz w:val="20"/>
          <w:szCs w:val="20"/>
          <w:lang w:val="es-ES"/>
        </w:rPr>
        <w:t xml:space="preserve">midad del fin que en el caso de las categorías sospechosas establecidas en el artículo 1.1 de la Convención, debe evaluarse estrictamente en el sentido de exigir una necesidad imperiosa. De esta manera, tal diferencia de trato no </w:t>
      </w:r>
      <w:r w:rsidR="00617102">
        <w:rPr>
          <w:rFonts w:asciiTheme="majorHAnsi" w:hAnsiTheme="majorHAnsi"/>
          <w:sz w:val="20"/>
          <w:szCs w:val="20"/>
          <w:lang w:val="es-ES"/>
        </w:rPr>
        <w:t>supera el primer paso del juicio de proporcionalidad y, por lo tanto</w:t>
      </w:r>
      <w:r w:rsidR="00942FD0">
        <w:rPr>
          <w:rFonts w:asciiTheme="majorHAnsi" w:hAnsiTheme="majorHAnsi"/>
          <w:sz w:val="20"/>
          <w:szCs w:val="20"/>
          <w:lang w:val="es-ES"/>
        </w:rPr>
        <w:t>,</w:t>
      </w:r>
      <w:r w:rsidR="00617102">
        <w:rPr>
          <w:rFonts w:asciiTheme="majorHAnsi" w:hAnsiTheme="majorHAnsi"/>
          <w:sz w:val="20"/>
          <w:szCs w:val="20"/>
          <w:lang w:val="es-ES"/>
        </w:rPr>
        <w:t xml:space="preserve"> resulta discriminatoria</w:t>
      </w:r>
      <w:r w:rsidR="00F61296">
        <w:rPr>
          <w:rFonts w:asciiTheme="majorHAnsi" w:hAnsiTheme="majorHAnsi"/>
          <w:sz w:val="20"/>
          <w:szCs w:val="20"/>
          <w:lang w:val="es-ES"/>
        </w:rPr>
        <w:t xml:space="preserve"> y violatoria de los artículos 24 y 1.1 de la Convención.</w:t>
      </w:r>
      <w:r w:rsidR="00617102">
        <w:rPr>
          <w:rFonts w:asciiTheme="majorHAnsi" w:hAnsiTheme="majorHAnsi"/>
          <w:sz w:val="20"/>
          <w:szCs w:val="20"/>
          <w:lang w:val="es-ES"/>
        </w:rPr>
        <w:t xml:space="preserve"> </w:t>
      </w:r>
      <w:r w:rsidR="00942FD0">
        <w:rPr>
          <w:rFonts w:asciiTheme="majorHAnsi" w:hAnsiTheme="majorHAnsi"/>
          <w:sz w:val="20"/>
          <w:szCs w:val="20"/>
          <w:lang w:val="es-ES"/>
        </w:rPr>
        <w:t xml:space="preserve">Esta discriminación resulta atribuible al Estado chileno, en tanto se trató de una diferencia de trato </w:t>
      </w:r>
      <w:r w:rsidR="001A744A">
        <w:rPr>
          <w:rFonts w:asciiTheme="majorHAnsi" w:hAnsiTheme="majorHAnsi"/>
          <w:sz w:val="20"/>
          <w:szCs w:val="20"/>
          <w:lang w:val="es-ES"/>
        </w:rPr>
        <w:t xml:space="preserve">injustificada no solo </w:t>
      </w:r>
      <w:r w:rsidR="00942FD0">
        <w:rPr>
          <w:rFonts w:asciiTheme="majorHAnsi" w:hAnsiTheme="majorHAnsi"/>
          <w:sz w:val="20"/>
          <w:szCs w:val="20"/>
          <w:lang w:val="es-ES"/>
        </w:rPr>
        <w:t>en el ejercicio de una función pública</w:t>
      </w:r>
      <w:r w:rsidR="001A744A">
        <w:rPr>
          <w:rFonts w:asciiTheme="majorHAnsi" w:hAnsiTheme="majorHAnsi"/>
          <w:sz w:val="20"/>
          <w:szCs w:val="20"/>
          <w:lang w:val="es-ES"/>
        </w:rPr>
        <w:t xml:space="preserve">, como es la educativa, sino </w:t>
      </w:r>
      <w:r w:rsidR="00834B6B">
        <w:rPr>
          <w:rFonts w:asciiTheme="majorHAnsi" w:hAnsiTheme="majorHAnsi"/>
          <w:sz w:val="20"/>
          <w:szCs w:val="20"/>
          <w:lang w:val="es-ES"/>
        </w:rPr>
        <w:t>en su condición de</w:t>
      </w:r>
      <w:r w:rsidR="001A744A">
        <w:rPr>
          <w:rFonts w:asciiTheme="majorHAnsi" w:hAnsiTheme="majorHAnsi"/>
          <w:sz w:val="20"/>
          <w:szCs w:val="20"/>
          <w:lang w:val="es-ES"/>
        </w:rPr>
        <w:t xml:space="preserve"> trabajadora mediante una relación laboral directa con el Estado</w:t>
      </w:r>
      <w:r w:rsidR="00834B6B">
        <w:rPr>
          <w:rFonts w:asciiTheme="majorHAnsi" w:hAnsiTheme="majorHAnsi"/>
          <w:sz w:val="20"/>
          <w:szCs w:val="20"/>
          <w:lang w:val="es-ES"/>
        </w:rPr>
        <w:t>, la cual</w:t>
      </w:r>
      <w:r w:rsidR="00942FD0">
        <w:rPr>
          <w:rFonts w:asciiTheme="majorHAnsi" w:hAnsiTheme="majorHAnsi"/>
          <w:sz w:val="20"/>
          <w:szCs w:val="20"/>
          <w:lang w:val="es-ES"/>
        </w:rPr>
        <w:t>, además, tuvo lugar como consecuencia de una regulación que otorgaba facultades absolutas en la materia a las autoridades religiosas sin salvaguarda alguna para evitar violaciones a derechos fundamentales, incluido el principio de igualdad y no discriminación.</w:t>
      </w:r>
      <w:r w:rsidR="00EC591F">
        <w:rPr>
          <w:rFonts w:asciiTheme="majorHAnsi" w:hAnsiTheme="majorHAnsi"/>
          <w:sz w:val="20"/>
          <w:szCs w:val="20"/>
          <w:lang w:val="es-ES"/>
        </w:rPr>
        <w:t xml:space="preserve"> </w:t>
      </w:r>
      <w:r w:rsidR="00EC591F">
        <w:rPr>
          <w:rFonts w:asciiTheme="majorHAnsi" w:hAnsiTheme="majorHAnsi" w:cs="Tahoma"/>
          <w:color w:val="333333"/>
          <w:sz w:val="20"/>
          <w:szCs w:val="20"/>
          <w:shd w:val="clear" w:color="auto" w:fill="FFFFFF"/>
          <w:lang w:val="es-PE"/>
        </w:rPr>
        <w:t>En casos de prestación de servicios de interés público, como la salud,  la Corte IDH ha señalado que los Estados tienen el deber de regular y supervisar tales servicios, independientemente de su naturaleza pública o privada</w:t>
      </w:r>
      <w:r w:rsidR="00EC591F">
        <w:rPr>
          <w:rStyle w:val="FootnoteReference"/>
          <w:rFonts w:asciiTheme="majorHAnsi" w:hAnsiTheme="majorHAnsi" w:cs="Tahoma"/>
          <w:color w:val="333333"/>
          <w:sz w:val="20"/>
          <w:szCs w:val="20"/>
          <w:shd w:val="clear" w:color="auto" w:fill="FFFFFF"/>
          <w:lang w:val="es-PE"/>
        </w:rPr>
        <w:footnoteReference w:id="70"/>
      </w:r>
      <w:r w:rsidR="00EC591F">
        <w:rPr>
          <w:rFonts w:asciiTheme="majorHAnsi" w:hAnsiTheme="majorHAnsi" w:cs="Tahoma"/>
          <w:color w:val="333333"/>
          <w:sz w:val="20"/>
          <w:szCs w:val="20"/>
          <w:shd w:val="clear" w:color="auto" w:fill="FFFFFF"/>
          <w:lang w:val="es-PE"/>
        </w:rPr>
        <w:t xml:space="preserve">, la CIDH considera que </w:t>
      </w:r>
      <w:r w:rsidR="0024179E">
        <w:rPr>
          <w:rFonts w:asciiTheme="majorHAnsi" w:hAnsiTheme="majorHAnsi" w:cs="Tahoma"/>
          <w:color w:val="333333"/>
          <w:sz w:val="20"/>
          <w:szCs w:val="20"/>
          <w:shd w:val="clear" w:color="auto" w:fill="FFFFFF"/>
          <w:lang w:val="es-PE"/>
        </w:rPr>
        <w:t>e</w:t>
      </w:r>
      <w:r w:rsidR="00EC591F">
        <w:rPr>
          <w:rFonts w:asciiTheme="majorHAnsi" w:hAnsiTheme="majorHAnsi" w:cs="Tahoma"/>
          <w:color w:val="333333"/>
          <w:sz w:val="20"/>
          <w:szCs w:val="20"/>
          <w:shd w:val="clear" w:color="auto" w:fill="FFFFFF"/>
          <w:lang w:val="es-PE"/>
        </w:rPr>
        <w:t xml:space="preserve">l ámbito </w:t>
      </w:r>
      <w:r w:rsidR="0024179E">
        <w:rPr>
          <w:rFonts w:asciiTheme="majorHAnsi" w:hAnsiTheme="majorHAnsi" w:cs="Tahoma"/>
          <w:color w:val="333333"/>
          <w:sz w:val="20"/>
          <w:szCs w:val="20"/>
          <w:shd w:val="clear" w:color="auto" w:fill="FFFFFF"/>
          <w:lang w:val="es-PE"/>
        </w:rPr>
        <w:t>educativo</w:t>
      </w:r>
      <w:r w:rsidR="00834B6B">
        <w:rPr>
          <w:rFonts w:asciiTheme="majorHAnsi" w:hAnsiTheme="majorHAnsi" w:cs="Tahoma"/>
          <w:color w:val="333333"/>
          <w:sz w:val="20"/>
          <w:szCs w:val="20"/>
          <w:shd w:val="clear" w:color="auto" w:fill="FFFFFF"/>
          <w:lang w:val="es-PE"/>
        </w:rPr>
        <w:t>,</w:t>
      </w:r>
      <w:r w:rsidR="00197A7F">
        <w:rPr>
          <w:rFonts w:asciiTheme="majorHAnsi" w:hAnsiTheme="majorHAnsi" w:cs="Tahoma"/>
          <w:color w:val="333333"/>
          <w:sz w:val="20"/>
          <w:szCs w:val="20"/>
          <w:shd w:val="clear" w:color="auto" w:fill="FFFFFF"/>
          <w:lang w:val="es-PE"/>
        </w:rPr>
        <w:t xml:space="preserve"> </w:t>
      </w:r>
      <w:r w:rsidR="0024179E">
        <w:rPr>
          <w:rFonts w:asciiTheme="majorHAnsi" w:hAnsiTheme="majorHAnsi" w:cs="Tahoma"/>
          <w:color w:val="333333"/>
          <w:sz w:val="20"/>
          <w:szCs w:val="20"/>
          <w:shd w:val="clear" w:color="auto" w:fill="FFFFFF"/>
          <w:lang w:val="es-PE"/>
        </w:rPr>
        <w:t>el cual incluye aspectos laborales de los docentes por tener un impacto directo en este</w:t>
      </w:r>
      <w:r w:rsidR="00EC591F">
        <w:rPr>
          <w:rFonts w:asciiTheme="majorHAnsi" w:hAnsiTheme="majorHAnsi" w:cs="Tahoma"/>
          <w:color w:val="333333"/>
          <w:sz w:val="20"/>
          <w:szCs w:val="20"/>
          <w:shd w:val="clear" w:color="auto" w:fill="FFFFFF"/>
          <w:lang w:val="es-PE"/>
        </w:rPr>
        <w:t xml:space="preserve">, reúne similares características para la aplicación de dichas obligaciones. En ese sentido, para la CIDH es esencial que el principio de igualdad y no discriminación guie </w:t>
      </w:r>
      <w:r w:rsidR="00A30A30">
        <w:rPr>
          <w:rFonts w:asciiTheme="majorHAnsi" w:hAnsiTheme="majorHAnsi" w:cs="Tahoma"/>
          <w:color w:val="333333"/>
          <w:sz w:val="20"/>
          <w:szCs w:val="20"/>
          <w:shd w:val="clear" w:color="auto" w:fill="FFFFFF"/>
          <w:lang w:val="es-PE"/>
        </w:rPr>
        <w:t>toda</w:t>
      </w:r>
      <w:r w:rsidR="00EC591F">
        <w:rPr>
          <w:rFonts w:asciiTheme="majorHAnsi" w:hAnsiTheme="majorHAnsi" w:cs="Tahoma"/>
          <w:color w:val="333333"/>
          <w:sz w:val="20"/>
          <w:szCs w:val="20"/>
          <w:shd w:val="clear" w:color="auto" w:fill="FFFFFF"/>
          <w:lang w:val="es-PE"/>
        </w:rPr>
        <w:t xml:space="preserve"> normativa que regula el acceso y permanencia del </w:t>
      </w:r>
      <w:r w:rsidR="00EC591F">
        <w:rPr>
          <w:rFonts w:asciiTheme="majorHAnsi" w:hAnsiTheme="majorHAnsi" w:cs="Tahoma"/>
          <w:color w:val="333333"/>
          <w:sz w:val="20"/>
          <w:szCs w:val="20"/>
          <w:shd w:val="clear" w:color="auto" w:fill="FFFFFF"/>
          <w:lang w:val="es-PE"/>
        </w:rPr>
        <w:lastRenderedPageBreak/>
        <w:t xml:space="preserve">personal docente en las escuelas </w:t>
      </w:r>
      <w:r w:rsidR="00A30A30">
        <w:rPr>
          <w:rFonts w:asciiTheme="majorHAnsi" w:hAnsiTheme="majorHAnsi" w:cs="Tahoma"/>
          <w:color w:val="333333"/>
          <w:sz w:val="20"/>
          <w:szCs w:val="20"/>
          <w:shd w:val="clear" w:color="auto" w:fill="FFFFFF"/>
          <w:lang w:val="es-PE"/>
        </w:rPr>
        <w:t>con objeto de</w:t>
      </w:r>
      <w:r w:rsidR="00EC591F">
        <w:rPr>
          <w:rFonts w:asciiTheme="majorHAnsi" w:hAnsiTheme="majorHAnsi" w:cs="Tahoma"/>
          <w:color w:val="333333"/>
          <w:sz w:val="20"/>
          <w:szCs w:val="20"/>
          <w:shd w:val="clear" w:color="auto" w:fill="FFFFFF"/>
          <w:lang w:val="es-PE"/>
        </w:rPr>
        <w:t xml:space="preserve"> prevenir violaciones de derechos humanos como las analizadas en el presente caso, situación que no se corresponde con </w:t>
      </w:r>
      <w:r w:rsidR="00834B6B">
        <w:rPr>
          <w:rFonts w:asciiTheme="majorHAnsi" w:hAnsiTheme="majorHAnsi" w:cs="Tahoma"/>
          <w:color w:val="333333"/>
          <w:sz w:val="20"/>
          <w:szCs w:val="20"/>
          <w:shd w:val="clear" w:color="auto" w:fill="FFFFFF"/>
          <w:lang w:val="es-PE"/>
        </w:rPr>
        <w:t>la aplicación d</w:t>
      </w:r>
      <w:r w:rsidR="00EC591F">
        <w:rPr>
          <w:rFonts w:asciiTheme="majorHAnsi" w:hAnsiTheme="majorHAnsi" w:cs="Tahoma"/>
          <w:color w:val="333333"/>
          <w:sz w:val="20"/>
          <w:szCs w:val="20"/>
          <w:shd w:val="clear" w:color="auto" w:fill="FFFFFF"/>
          <w:lang w:val="es-PE"/>
        </w:rPr>
        <w:t xml:space="preserve">el </w:t>
      </w:r>
      <w:r w:rsidR="00EC591F" w:rsidRPr="00D73C5B">
        <w:rPr>
          <w:rFonts w:asciiTheme="majorHAnsi" w:eastAsia="Times New Roman" w:hAnsiTheme="majorHAnsi" w:cs="Tahoma"/>
          <w:sz w:val="20"/>
          <w:szCs w:val="20"/>
          <w:bdr w:val="none" w:sz="0" w:space="0" w:color="auto"/>
          <w:lang w:val="es-US"/>
        </w:rPr>
        <w:t>Decreto 924 de 1983</w:t>
      </w:r>
      <w:r w:rsidR="00EC591F">
        <w:rPr>
          <w:rFonts w:asciiTheme="majorHAnsi" w:eastAsia="Times New Roman" w:hAnsiTheme="majorHAnsi" w:cs="Tahoma"/>
          <w:sz w:val="20"/>
          <w:szCs w:val="20"/>
          <w:bdr w:val="none" w:sz="0" w:space="0" w:color="auto"/>
          <w:lang w:val="es-US"/>
        </w:rPr>
        <w:t xml:space="preserve"> por las razones antes indicadas.</w:t>
      </w:r>
      <w:r w:rsidR="00EC591F" w:rsidRPr="00D73C5B">
        <w:rPr>
          <w:rFonts w:asciiTheme="majorHAnsi" w:eastAsia="Times New Roman" w:hAnsiTheme="majorHAnsi" w:cs="Tahoma"/>
          <w:sz w:val="20"/>
          <w:szCs w:val="20"/>
          <w:bdr w:val="none" w:sz="0" w:space="0" w:color="auto"/>
          <w:lang w:val="es-US"/>
        </w:rPr>
        <w:t xml:space="preserve"> </w:t>
      </w:r>
      <w:r w:rsidR="00EC591F">
        <w:rPr>
          <w:rFonts w:asciiTheme="majorHAnsi" w:hAnsiTheme="majorHAnsi" w:cs="Tahoma"/>
          <w:color w:val="333333"/>
          <w:sz w:val="20"/>
          <w:szCs w:val="20"/>
          <w:shd w:val="clear" w:color="auto" w:fill="FFFFFF"/>
          <w:lang w:val="es-PE"/>
        </w:rPr>
        <w:t xml:space="preserve"> </w:t>
      </w:r>
      <w:r w:rsidR="00942FD0">
        <w:rPr>
          <w:rFonts w:asciiTheme="majorHAnsi" w:hAnsiTheme="majorHAnsi"/>
          <w:sz w:val="20"/>
          <w:szCs w:val="20"/>
          <w:lang w:val="es-ES"/>
        </w:rPr>
        <w:t xml:space="preserve"> </w:t>
      </w:r>
    </w:p>
    <w:p w:rsidR="00361AAA" w:rsidRDefault="00361AAA" w:rsidP="00306C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firstLine="720"/>
        <w:jc w:val="both"/>
        <w:rPr>
          <w:rFonts w:asciiTheme="majorHAnsi" w:hAnsiTheme="majorHAnsi"/>
          <w:sz w:val="20"/>
          <w:szCs w:val="20"/>
          <w:lang w:val="es-ES"/>
        </w:rPr>
      </w:pPr>
    </w:p>
    <w:p w:rsidR="00942FD0" w:rsidRDefault="00E91C73"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1C5BF0">
        <w:rPr>
          <w:rFonts w:asciiTheme="majorHAnsi" w:hAnsiTheme="majorHAnsi"/>
          <w:sz w:val="20"/>
          <w:szCs w:val="20"/>
          <w:lang w:val="es-PE"/>
        </w:rPr>
        <w:t>La Comisión recuerda que ya ha instado a los Estados Miembros de la OEA a adoptar y hacer cumplir medidas efectivas para la prevención de la violencia y la discriminación contra las personas LGBTI en instituciones educativas tanto públicas como privadas</w:t>
      </w:r>
      <w:r w:rsidRPr="001C5BF0">
        <w:rPr>
          <w:rStyle w:val="FootnoteReference"/>
          <w:rFonts w:asciiTheme="majorHAnsi" w:hAnsiTheme="majorHAnsi"/>
          <w:sz w:val="20"/>
          <w:szCs w:val="20"/>
          <w:lang w:val="es-PE"/>
        </w:rPr>
        <w:footnoteReference w:id="71"/>
      </w:r>
      <w:r w:rsidRPr="001C5BF0">
        <w:rPr>
          <w:rFonts w:asciiTheme="majorHAnsi" w:hAnsiTheme="majorHAnsi"/>
          <w:sz w:val="20"/>
          <w:szCs w:val="20"/>
          <w:lang w:val="es-PE"/>
        </w:rPr>
        <w:t>. En ese marco, l</w:t>
      </w:r>
      <w:r w:rsidRPr="003C1F53">
        <w:rPr>
          <w:rFonts w:asciiTheme="majorHAnsi" w:hAnsiTheme="majorHAnsi" w:cs="Tahoma"/>
          <w:color w:val="333333"/>
          <w:sz w:val="20"/>
          <w:szCs w:val="20"/>
          <w:shd w:val="clear" w:color="auto" w:fill="FFFFFF"/>
          <w:lang w:val="es-PE"/>
        </w:rPr>
        <w:t>a CIDH considera que los actos de represalia, discriminación u hostigamiento en el trabajo en base a la orientación sexual resulta</w:t>
      </w:r>
      <w:r w:rsidR="001C5BF0" w:rsidRPr="003C1F53">
        <w:rPr>
          <w:rFonts w:asciiTheme="majorHAnsi" w:hAnsiTheme="majorHAnsi" w:cs="Tahoma"/>
          <w:color w:val="333333"/>
          <w:sz w:val="20"/>
          <w:szCs w:val="20"/>
          <w:shd w:val="clear" w:color="auto" w:fill="FFFFFF"/>
          <w:lang w:val="es-PE"/>
        </w:rPr>
        <w:t>n</w:t>
      </w:r>
      <w:r w:rsidRPr="003C1F53">
        <w:rPr>
          <w:rFonts w:asciiTheme="majorHAnsi" w:hAnsiTheme="majorHAnsi" w:cs="Tahoma"/>
          <w:color w:val="333333"/>
          <w:sz w:val="20"/>
          <w:szCs w:val="20"/>
          <w:shd w:val="clear" w:color="auto" w:fill="FFFFFF"/>
          <w:lang w:val="es-PE"/>
        </w:rPr>
        <w:t xml:space="preserve"> particularmente crítico</w:t>
      </w:r>
      <w:r w:rsidR="001C5BF0" w:rsidRPr="003C1F53">
        <w:rPr>
          <w:rFonts w:asciiTheme="majorHAnsi" w:hAnsiTheme="majorHAnsi" w:cs="Tahoma"/>
          <w:color w:val="333333"/>
          <w:sz w:val="20"/>
          <w:szCs w:val="20"/>
          <w:shd w:val="clear" w:color="auto" w:fill="FFFFFF"/>
          <w:lang w:val="es-PE"/>
        </w:rPr>
        <w:t>s</w:t>
      </w:r>
      <w:r w:rsidRPr="003C1F53">
        <w:rPr>
          <w:rFonts w:asciiTheme="majorHAnsi" w:hAnsiTheme="majorHAnsi" w:cs="Tahoma"/>
          <w:color w:val="333333"/>
          <w:sz w:val="20"/>
          <w:szCs w:val="20"/>
          <w:shd w:val="clear" w:color="auto" w:fill="FFFFFF"/>
          <w:lang w:val="es-PE"/>
        </w:rPr>
        <w:t xml:space="preserve"> </w:t>
      </w:r>
      <w:r w:rsidR="001C5BF0" w:rsidRPr="003C1F53">
        <w:rPr>
          <w:rFonts w:asciiTheme="majorHAnsi" w:hAnsiTheme="majorHAnsi" w:cs="Tahoma"/>
          <w:color w:val="333333"/>
          <w:sz w:val="20"/>
          <w:szCs w:val="20"/>
          <w:shd w:val="clear" w:color="auto" w:fill="FFFFFF"/>
          <w:lang w:val="es-PE"/>
        </w:rPr>
        <w:t>cuando se enmarcan en un</w:t>
      </w:r>
      <w:r w:rsidRPr="003C1F53">
        <w:rPr>
          <w:rFonts w:asciiTheme="majorHAnsi" w:hAnsiTheme="majorHAnsi" w:cs="Tahoma"/>
          <w:color w:val="333333"/>
          <w:sz w:val="20"/>
          <w:szCs w:val="20"/>
          <w:shd w:val="clear" w:color="auto" w:fill="FFFFFF"/>
          <w:lang w:val="es-PE"/>
        </w:rPr>
        <w:t xml:space="preserve"> contexto educativo, ya que los Estados </w:t>
      </w:r>
      <w:r w:rsidRPr="003C1F53">
        <w:rPr>
          <w:rFonts w:asciiTheme="majorHAnsi" w:hAnsiTheme="majorHAnsi"/>
          <w:sz w:val="20"/>
          <w:szCs w:val="20"/>
          <w:lang w:val="es-PE"/>
        </w:rPr>
        <w:t xml:space="preserve">deben garantizar que sus políticas </w:t>
      </w:r>
      <w:r w:rsidR="001C5BF0">
        <w:rPr>
          <w:rFonts w:asciiTheme="majorHAnsi" w:hAnsiTheme="majorHAnsi"/>
          <w:sz w:val="20"/>
          <w:szCs w:val="20"/>
          <w:lang w:val="es-PE"/>
        </w:rPr>
        <w:t>relacionadas a la educación</w:t>
      </w:r>
      <w:r w:rsidR="001C5BF0" w:rsidRPr="003C1F53">
        <w:rPr>
          <w:rFonts w:asciiTheme="majorHAnsi" w:hAnsiTheme="majorHAnsi"/>
          <w:sz w:val="20"/>
          <w:szCs w:val="20"/>
          <w:lang w:val="es-PE"/>
        </w:rPr>
        <w:t>,</w:t>
      </w:r>
      <w:r w:rsidR="00197A7F">
        <w:rPr>
          <w:rFonts w:asciiTheme="majorHAnsi" w:hAnsiTheme="majorHAnsi" w:cs="Tahoma"/>
          <w:color w:val="333333"/>
          <w:sz w:val="20"/>
          <w:szCs w:val="20"/>
          <w:shd w:val="clear" w:color="auto" w:fill="FFFFFF"/>
          <w:lang w:val="es-PE"/>
        </w:rPr>
        <w:t xml:space="preserve"> que </w:t>
      </w:r>
      <w:r w:rsidR="0024179E">
        <w:rPr>
          <w:rFonts w:asciiTheme="majorHAnsi" w:hAnsiTheme="majorHAnsi" w:cs="Tahoma"/>
          <w:color w:val="333333"/>
          <w:sz w:val="20"/>
          <w:szCs w:val="20"/>
          <w:shd w:val="clear" w:color="auto" w:fill="FFFFFF"/>
          <w:lang w:val="es-PE"/>
        </w:rPr>
        <w:t xml:space="preserve">como se indicó </w:t>
      </w:r>
      <w:r w:rsidR="00197A7F">
        <w:rPr>
          <w:rFonts w:asciiTheme="majorHAnsi" w:hAnsiTheme="majorHAnsi" w:cs="Tahoma"/>
          <w:color w:val="333333"/>
          <w:sz w:val="20"/>
          <w:szCs w:val="20"/>
          <w:shd w:val="clear" w:color="auto" w:fill="FFFFFF"/>
          <w:lang w:val="es-PE"/>
        </w:rPr>
        <w:t>incluye aspectos laborales del personal docente</w:t>
      </w:r>
      <w:r w:rsidR="001C5BF0" w:rsidRPr="003C1F53">
        <w:rPr>
          <w:rFonts w:asciiTheme="majorHAnsi" w:hAnsiTheme="majorHAnsi"/>
          <w:sz w:val="20"/>
          <w:szCs w:val="20"/>
          <w:lang w:val="es-PE"/>
        </w:rPr>
        <w:t>,</w:t>
      </w:r>
      <w:r w:rsidRPr="003C1F53">
        <w:rPr>
          <w:rFonts w:asciiTheme="majorHAnsi" w:hAnsiTheme="majorHAnsi"/>
          <w:sz w:val="20"/>
          <w:szCs w:val="20"/>
          <w:lang w:val="es-PE"/>
        </w:rPr>
        <w:t xml:space="preserve"> c</w:t>
      </w:r>
      <w:r w:rsidR="001C5BF0">
        <w:rPr>
          <w:rFonts w:asciiTheme="majorHAnsi" w:hAnsiTheme="majorHAnsi"/>
          <w:sz w:val="20"/>
          <w:szCs w:val="20"/>
          <w:lang w:val="es-PE"/>
        </w:rPr>
        <w:t>ombatan</w:t>
      </w:r>
      <w:r w:rsidRPr="003C1F53">
        <w:rPr>
          <w:rFonts w:asciiTheme="majorHAnsi" w:hAnsiTheme="majorHAnsi"/>
          <w:sz w:val="20"/>
          <w:szCs w:val="20"/>
          <w:lang w:val="es-PE"/>
        </w:rPr>
        <w:t xml:space="preserve"> los patrones sociales y culturales de conducta</w:t>
      </w:r>
      <w:r w:rsidR="00FA4198">
        <w:rPr>
          <w:rFonts w:asciiTheme="majorHAnsi" w:hAnsiTheme="majorHAnsi"/>
          <w:sz w:val="20"/>
          <w:szCs w:val="20"/>
          <w:lang w:val="es-PE"/>
        </w:rPr>
        <w:t>s</w:t>
      </w:r>
      <w:r w:rsidRPr="003C1F53">
        <w:rPr>
          <w:rFonts w:asciiTheme="majorHAnsi" w:hAnsiTheme="majorHAnsi"/>
          <w:sz w:val="20"/>
          <w:szCs w:val="20"/>
          <w:lang w:val="es-PE"/>
        </w:rPr>
        <w:t xml:space="preserve"> discriminatorias. </w:t>
      </w:r>
      <w:r w:rsidR="001C5BF0" w:rsidRPr="003C1F53">
        <w:rPr>
          <w:rFonts w:asciiTheme="majorHAnsi" w:hAnsiTheme="majorHAnsi"/>
          <w:sz w:val="20"/>
          <w:szCs w:val="20"/>
          <w:lang w:val="es-PE"/>
        </w:rPr>
        <w:t xml:space="preserve">De lo contrario, </w:t>
      </w:r>
      <w:r w:rsidR="00FA4198">
        <w:rPr>
          <w:rFonts w:asciiTheme="majorHAnsi" w:hAnsiTheme="majorHAnsi" w:cs="Tahoma"/>
          <w:color w:val="333333"/>
          <w:sz w:val="20"/>
          <w:szCs w:val="20"/>
          <w:shd w:val="clear" w:color="auto" w:fill="FFFFFF"/>
          <w:lang w:val="es-PE"/>
        </w:rPr>
        <w:t>se</w:t>
      </w:r>
      <w:r w:rsidRPr="003C1F53">
        <w:rPr>
          <w:rFonts w:asciiTheme="majorHAnsi" w:hAnsiTheme="majorHAnsi" w:cs="Tahoma"/>
          <w:color w:val="333333"/>
          <w:sz w:val="20"/>
          <w:szCs w:val="20"/>
          <w:shd w:val="clear" w:color="auto" w:fill="FFFFFF"/>
          <w:lang w:val="es-PE"/>
        </w:rPr>
        <w:t xml:space="preserve"> envía un fuerte mensaje social de </w:t>
      </w:r>
      <w:r w:rsidR="00FA4198">
        <w:rPr>
          <w:rFonts w:asciiTheme="majorHAnsi" w:hAnsiTheme="majorHAnsi" w:cs="Tahoma"/>
          <w:color w:val="333333"/>
          <w:sz w:val="20"/>
          <w:szCs w:val="20"/>
          <w:shd w:val="clear" w:color="auto" w:fill="FFFFFF"/>
          <w:lang w:val="es-PE"/>
        </w:rPr>
        <w:t xml:space="preserve">rechazo contra </w:t>
      </w:r>
      <w:r w:rsidR="001C5BF0" w:rsidRPr="003C1F53">
        <w:rPr>
          <w:rFonts w:asciiTheme="majorHAnsi" w:hAnsiTheme="majorHAnsi" w:cs="Tahoma"/>
          <w:color w:val="333333"/>
          <w:sz w:val="20"/>
          <w:szCs w:val="20"/>
          <w:shd w:val="clear" w:color="auto" w:fill="FFFFFF"/>
          <w:lang w:val="es-PE"/>
        </w:rPr>
        <w:t>las personas con orientaciones sexuales diversas no dominantes</w:t>
      </w:r>
      <w:r w:rsidRPr="003C1F53">
        <w:rPr>
          <w:rFonts w:asciiTheme="majorHAnsi" w:hAnsiTheme="majorHAnsi" w:cs="Tahoma"/>
          <w:color w:val="333333"/>
          <w:sz w:val="20"/>
          <w:szCs w:val="20"/>
          <w:shd w:val="clear" w:color="auto" w:fill="FFFFFF"/>
          <w:lang w:val="es-PE"/>
        </w:rPr>
        <w:t xml:space="preserve">, promoviendo </w:t>
      </w:r>
      <w:r w:rsidR="00FA4198">
        <w:rPr>
          <w:rFonts w:asciiTheme="majorHAnsi" w:hAnsiTheme="majorHAnsi" w:cs="Tahoma"/>
          <w:color w:val="333333"/>
          <w:sz w:val="20"/>
          <w:szCs w:val="20"/>
          <w:shd w:val="clear" w:color="auto" w:fill="FFFFFF"/>
          <w:lang w:val="es-PE"/>
        </w:rPr>
        <w:t>no solo conductas</w:t>
      </w:r>
      <w:r w:rsidRPr="003C1F53">
        <w:rPr>
          <w:rFonts w:asciiTheme="majorHAnsi" w:hAnsiTheme="majorHAnsi" w:cs="Tahoma"/>
          <w:color w:val="333333"/>
          <w:sz w:val="20"/>
          <w:szCs w:val="20"/>
          <w:shd w:val="clear" w:color="auto" w:fill="FFFFFF"/>
          <w:lang w:val="es-PE"/>
        </w:rPr>
        <w:t xml:space="preserve"> </w:t>
      </w:r>
      <w:r w:rsidR="00FA4198">
        <w:rPr>
          <w:rFonts w:asciiTheme="majorHAnsi" w:hAnsiTheme="majorHAnsi" w:cs="Tahoma"/>
          <w:color w:val="333333"/>
          <w:sz w:val="20"/>
          <w:szCs w:val="20"/>
          <w:shd w:val="clear" w:color="auto" w:fill="FFFFFF"/>
          <w:lang w:val="es-PE"/>
        </w:rPr>
        <w:t xml:space="preserve">en </w:t>
      </w:r>
      <w:r w:rsidR="001C5BF0" w:rsidRPr="003C1F53">
        <w:rPr>
          <w:rFonts w:asciiTheme="majorHAnsi" w:hAnsiTheme="majorHAnsi" w:cs="Tahoma"/>
          <w:color w:val="333333"/>
          <w:sz w:val="20"/>
          <w:szCs w:val="20"/>
          <w:shd w:val="clear" w:color="auto" w:fill="FFFFFF"/>
          <w:lang w:val="es-PE"/>
        </w:rPr>
        <w:t xml:space="preserve">contra </w:t>
      </w:r>
      <w:r w:rsidR="00FA4198">
        <w:rPr>
          <w:rFonts w:asciiTheme="majorHAnsi" w:hAnsiTheme="majorHAnsi" w:cs="Tahoma"/>
          <w:color w:val="333333"/>
          <w:sz w:val="20"/>
          <w:szCs w:val="20"/>
          <w:shd w:val="clear" w:color="auto" w:fill="FFFFFF"/>
          <w:lang w:val="es-PE"/>
        </w:rPr>
        <w:t>d</w:t>
      </w:r>
      <w:r w:rsidR="001C5BF0" w:rsidRPr="003C1F53">
        <w:rPr>
          <w:rFonts w:asciiTheme="majorHAnsi" w:hAnsiTheme="majorHAnsi" w:cs="Tahoma"/>
          <w:color w:val="333333"/>
          <w:sz w:val="20"/>
          <w:szCs w:val="20"/>
          <w:shd w:val="clear" w:color="auto" w:fill="FFFFFF"/>
          <w:lang w:val="es-PE"/>
        </w:rPr>
        <w:t>el personal docente sino también contra la comunidad de estudiantes, en su mayoría niños y niñas</w:t>
      </w:r>
      <w:r w:rsidRPr="003C1F53">
        <w:rPr>
          <w:rFonts w:asciiTheme="majorHAnsi" w:hAnsiTheme="majorHAnsi" w:cs="Tahoma"/>
          <w:color w:val="333333"/>
          <w:sz w:val="20"/>
          <w:szCs w:val="20"/>
          <w:shd w:val="clear" w:color="auto" w:fill="FFFFFF"/>
          <w:lang w:val="es-PE"/>
        </w:rPr>
        <w:t xml:space="preserve">, </w:t>
      </w:r>
      <w:r w:rsidR="00FA4198" w:rsidRPr="00F25A73">
        <w:rPr>
          <w:rFonts w:asciiTheme="majorHAnsi" w:hAnsiTheme="majorHAnsi" w:cs="Tahoma"/>
          <w:color w:val="333333"/>
          <w:sz w:val="20"/>
          <w:szCs w:val="20"/>
          <w:shd w:val="clear" w:color="auto" w:fill="FFFFFF"/>
          <w:lang w:val="es-PE"/>
        </w:rPr>
        <w:t>perteneciente</w:t>
      </w:r>
      <w:r w:rsidR="00FA4198">
        <w:rPr>
          <w:rFonts w:asciiTheme="majorHAnsi" w:hAnsiTheme="majorHAnsi" w:cs="Tahoma"/>
          <w:color w:val="333333"/>
          <w:sz w:val="20"/>
          <w:szCs w:val="20"/>
          <w:shd w:val="clear" w:color="auto" w:fill="FFFFFF"/>
          <w:lang w:val="es-PE"/>
        </w:rPr>
        <w:t>s</w:t>
      </w:r>
      <w:r w:rsidR="00FA4198" w:rsidRPr="00F25A73">
        <w:rPr>
          <w:rFonts w:asciiTheme="majorHAnsi" w:hAnsiTheme="majorHAnsi" w:cs="Tahoma"/>
          <w:color w:val="333333"/>
          <w:sz w:val="20"/>
          <w:szCs w:val="20"/>
          <w:shd w:val="clear" w:color="auto" w:fill="FFFFFF"/>
          <w:lang w:val="es-PE"/>
        </w:rPr>
        <w:t xml:space="preserve"> a este grupo</w:t>
      </w:r>
      <w:r w:rsidRPr="003C1F53">
        <w:rPr>
          <w:rFonts w:asciiTheme="majorHAnsi" w:hAnsiTheme="majorHAnsi" w:cs="Tahoma"/>
          <w:color w:val="333333"/>
          <w:sz w:val="20"/>
          <w:szCs w:val="20"/>
          <w:shd w:val="clear" w:color="auto" w:fill="FFFFFF"/>
          <w:lang w:val="es-PE"/>
        </w:rPr>
        <w:t xml:space="preserve">, </w:t>
      </w:r>
      <w:r w:rsidR="00FA4198">
        <w:rPr>
          <w:rFonts w:asciiTheme="majorHAnsi" w:hAnsiTheme="majorHAnsi" w:cs="Tahoma"/>
          <w:color w:val="333333"/>
          <w:sz w:val="20"/>
          <w:szCs w:val="20"/>
          <w:shd w:val="clear" w:color="auto" w:fill="FFFFFF"/>
          <w:lang w:val="es-PE"/>
        </w:rPr>
        <w:t xml:space="preserve">y </w:t>
      </w:r>
      <w:r w:rsidRPr="003C1F53">
        <w:rPr>
          <w:rFonts w:asciiTheme="majorHAnsi" w:hAnsiTheme="majorHAnsi" w:cs="Tahoma"/>
          <w:color w:val="333333"/>
          <w:sz w:val="20"/>
          <w:szCs w:val="20"/>
          <w:shd w:val="clear" w:color="auto" w:fill="FFFFFF"/>
          <w:lang w:val="es-PE"/>
        </w:rPr>
        <w:t>ref</w:t>
      </w:r>
      <w:r w:rsidR="00FA4198">
        <w:rPr>
          <w:rFonts w:asciiTheme="majorHAnsi" w:hAnsiTheme="majorHAnsi" w:cs="Tahoma"/>
          <w:color w:val="333333"/>
          <w:sz w:val="20"/>
          <w:szCs w:val="20"/>
          <w:shd w:val="clear" w:color="auto" w:fill="FFFFFF"/>
          <w:lang w:val="es-PE"/>
        </w:rPr>
        <w:t>uerza al mismo al mismo tiempo</w:t>
      </w:r>
      <w:r w:rsidRPr="003C1F53">
        <w:rPr>
          <w:rFonts w:asciiTheme="majorHAnsi" w:hAnsiTheme="majorHAnsi" w:cs="Tahoma"/>
          <w:color w:val="333333"/>
          <w:sz w:val="20"/>
          <w:szCs w:val="20"/>
          <w:shd w:val="clear" w:color="auto" w:fill="FFFFFF"/>
          <w:lang w:val="es-PE"/>
        </w:rPr>
        <w:t xml:space="preserve"> el estigma y sentimientos de vergüenza e inferioridad </w:t>
      </w:r>
      <w:r w:rsidR="001C5BF0" w:rsidRPr="003C1F53">
        <w:rPr>
          <w:rFonts w:asciiTheme="majorHAnsi" w:hAnsiTheme="majorHAnsi" w:cs="Tahoma"/>
          <w:color w:val="333333"/>
          <w:sz w:val="20"/>
          <w:szCs w:val="20"/>
          <w:shd w:val="clear" w:color="auto" w:fill="FFFFFF"/>
          <w:lang w:val="es-PE"/>
        </w:rPr>
        <w:t>sobre estas personas.</w:t>
      </w:r>
      <w:r w:rsidR="000A43AA">
        <w:rPr>
          <w:rFonts w:asciiTheme="majorHAnsi" w:hAnsiTheme="majorHAnsi" w:cs="Tahoma"/>
          <w:color w:val="333333"/>
          <w:sz w:val="20"/>
          <w:szCs w:val="20"/>
          <w:shd w:val="clear" w:color="auto" w:fill="FFFFFF"/>
          <w:lang w:val="es-PE"/>
        </w:rPr>
        <w:t xml:space="preserve"> </w:t>
      </w:r>
    </w:p>
    <w:p w:rsidR="002159D9" w:rsidRDefault="002159D9" w:rsidP="00306C81">
      <w:pPr>
        <w:pStyle w:val="ListParagraph"/>
        <w:ind w:firstLine="720"/>
        <w:rPr>
          <w:rFonts w:asciiTheme="majorHAnsi" w:hAnsiTheme="majorHAnsi"/>
          <w:sz w:val="20"/>
          <w:szCs w:val="20"/>
          <w:lang w:val="es-ES"/>
        </w:rPr>
      </w:pPr>
    </w:p>
    <w:p w:rsidR="00F61296" w:rsidRDefault="002159D9"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Además de la violación al principio de igualdad y no discriminación, la Comisión considera que tanto las indagaciones previas</w:t>
      </w:r>
      <w:r w:rsidR="004F7224">
        <w:rPr>
          <w:rFonts w:asciiTheme="majorHAnsi" w:hAnsiTheme="majorHAnsi"/>
          <w:sz w:val="20"/>
          <w:szCs w:val="20"/>
          <w:lang w:val="es-ES"/>
        </w:rPr>
        <w:t xml:space="preserve"> sobre la orientación sexual y vida de pareja de Sandra </w:t>
      </w:r>
      <w:proofErr w:type="spellStart"/>
      <w:r w:rsidR="004F7224">
        <w:rPr>
          <w:rFonts w:asciiTheme="majorHAnsi" w:hAnsiTheme="majorHAnsi"/>
          <w:sz w:val="20"/>
          <w:szCs w:val="20"/>
          <w:lang w:val="es-ES"/>
        </w:rPr>
        <w:t>Pavez</w:t>
      </w:r>
      <w:proofErr w:type="spellEnd"/>
      <w:r w:rsidR="004F7224">
        <w:rPr>
          <w:rFonts w:asciiTheme="majorHAnsi" w:hAnsiTheme="majorHAnsi"/>
          <w:sz w:val="20"/>
          <w:szCs w:val="20"/>
          <w:lang w:val="es-ES"/>
        </w:rPr>
        <w:t>,</w:t>
      </w:r>
      <w:r>
        <w:rPr>
          <w:rFonts w:asciiTheme="majorHAnsi" w:hAnsiTheme="majorHAnsi"/>
          <w:sz w:val="20"/>
          <w:szCs w:val="20"/>
          <w:lang w:val="es-ES"/>
        </w:rPr>
        <w:t xml:space="preserve"> </w:t>
      </w:r>
      <w:r w:rsidR="004F7224">
        <w:rPr>
          <w:rFonts w:asciiTheme="majorHAnsi" w:hAnsiTheme="majorHAnsi"/>
          <w:sz w:val="20"/>
          <w:szCs w:val="20"/>
          <w:lang w:val="es-ES"/>
        </w:rPr>
        <w:t xml:space="preserve">incluyendo las advertencias para que “corrigiera” tales cuestiones, </w:t>
      </w:r>
      <w:r>
        <w:rPr>
          <w:rFonts w:asciiTheme="majorHAnsi" w:hAnsiTheme="majorHAnsi"/>
          <w:sz w:val="20"/>
          <w:szCs w:val="20"/>
          <w:lang w:val="es-ES"/>
        </w:rPr>
        <w:t xml:space="preserve">como la propia revocatoria del certificado de idoneidad </w:t>
      </w:r>
      <w:r w:rsidR="004F7224">
        <w:rPr>
          <w:rFonts w:asciiTheme="majorHAnsi" w:hAnsiTheme="majorHAnsi"/>
          <w:sz w:val="20"/>
          <w:szCs w:val="20"/>
          <w:lang w:val="es-ES"/>
        </w:rPr>
        <w:t xml:space="preserve">justamente con base en las mismas, </w:t>
      </w:r>
      <w:r>
        <w:rPr>
          <w:rFonts w:asciiTheme="majorHAnsi" w:hAnsiTheme="majorHAnsi"/>
          <w:sz w:val="20"/>
          <w:szCs w:val="20"/>
          <w:lang w:val="es-ES"/>
        </w:rPr>
        <w:t xml:space="preserve">constituyeron una </w:t>
      </w:r>
      <w:r w:rsidR="003846EB">
        <w:rPr>
          <w:rFonts w:asciiTheme="majorHAnsi" w:hAnsiTheme="majorHAnsi"/>
          <w:sz w:val="20"/>
          <w:szCs w:val="20"/>
          <w:lang w:val="es-ES"/>
        </w:rPr>
        <w:t xml:space="preserve">injerencia en su </w:t>
      </w:r>
      <w:r w:rsidR="004F7224">
        <w:rPr>
          <w:rFonts w:asciiTheme="majorHAnsi" w:hAnsiTheme="majorHAnsi"/>
          <w:sz w:val="20"/>
          <w:szCs w:val="20"/>
          <w:lang w:val="es-ES"/>
        </w:rPr>
        <w:t xml:space="preserve">vida privada y autonomía. </w:t>
      </w:r>
      <w:r w:rsidR="00C732AA">
        <w:rPr>
          <w:rFonts w:asciiTheme="majorHAnsi" w:hAnsiTheme="majorHAnsi"/>
          <w:sz w:val="20"/>
          <w:szCs w:val="20"/>
          <w:lang w:val="es-ES"/>
        </w:rPr>
        <w:t xml:space="preserve">La propia víctima indicó que los procesos internos le hicieron ventilar un aspecto de su vida privada. </w:t>
      </w:r>
      <w:r w:rsidR="004F7224">
        <w:rPr>
          <w:rFonts w:asciiTheme="majorHAnsi" w:hAnsiTheme="majorHAnsi"/>
          <w:sz w:val="20"/>
          <w:szCs w:val="20"/>
          <w:lang w:val="es-ES"/>
        </w:rPr>
        <w:t>Como se indicó anteriormente, en la jurisprudencia interamericana, el análisis de arbitrariedad de una injerencia en la vida privada y autonomía de una persona atiende a la misma metodología relativa a las diferencias de trato, esto es al mismo juicio de proporcionalidad.</w:t>
      </w:r>
      <w:r w:rsidR="00F61296">
        <w:rPr>
          <w:rFonts w:asciiTheme="majorHAnsi" w:hAnsiTheme="majorHAnsi"/>
          <w:sz w:val="20"/>
          <w:szCs w:val="20"/>
          <w:lang w:val="es-ES"/>
        </w:rPr>
        <w:t xml:space="preserve"> En ese sentido, la conclusión de los párrafos precedentes sobre la manera en que en el presente caso no se logró evidenciar un fin legítimo, resulta</w:t>
      </w:r>
      <w:r w:rsidR="004F7224">
        <w:rPr>
          <w:rFonts w:asciiTheme="majorHAnsi" w:hAnsiTheme="majorHAnsi"/>
          <w:sz w:val="20"/>
          <w:szCs w:val="20"/>
          <w:lang w:val="es-ES"/>
        </w:rPr>
        <w:t xml:space="preserve"> </w:t>
      </w:r>
      <w:r w:rsidR="00F61296">
        <w:rPr>
          <w:rFonts w:asciiTheme="majorHAnsi" w:hAnsiTheme="majorHAnsi"/>
          <w:sz w:val="20"/>
          <w:szCs w:val="20"/>
          <w:lang w:val="es-ES"/>
        </w:rPr>
        <w:t xml:space="preserve">plenamente aplicable a este punto y, por lo tanto, suficiente para establecer que la injerencia en la vida privada y autonomía de Sandra </w:t>
      </w:r>
      <w:proofErr w:type="spellStart"/>
      <w:r w:rsidR="00F61296">
        <w:rPr>
          <w:rFonts w:asciiTheme="majorHAnsi" w:hAnsiTheme="majorHAnsi"/>
          <w:sz w:val="20"/>
          <w:szCs w:val="20"/>
          <w:lang w:val="es-ES"/>
        </w:rPr>
        <w:t>Pavez</w:t>
      </w:r>
      <w:proofErr w:type="spellEnd"/>
      <w:r w:rsidR="00F61296">
        <w:rPr>
          <w:rFonts w:asciiTheme="majorHAnsi" w:hAnsiTheme="majorHAnsi"/>
          <w:sz w:val="20"/>
          <w:szCs w:val="20"/>
          <w:lang w:val="es-ES"/>
        </w:rPr>
        <w:t xml:space="preserve"> fue arbitraria, en violación del artículo 11.2 de la Convención.</w:t>
      </w:r>
    </w:p>
    <w:p w:rsidR="002E17FB" w:rsidRDefault="002E17FB" w:rsidP="00306C8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630" w:firstLine="720"/>
        <w:jc w:val="both"/>
        <w:rPr>
          <w:rFonts w:asciiTheme="majorHAnsi" w:hAnsiTheme="majorHAnsi"/>
          <w:sz w:val="20"/>
          <w:szCs w:val="20"/>
          <w:lang w:val="es-ES"/>
        </w:rPr>
      </w:pPr>
    </w:p>
    <w:p w:rsidR="002E17FB" w:rsidRDefault="002E17FB"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La CIDH reitera que dentro de las obligaciones inmediatas en relación con el derecho al trabajo protegido por el artículo 26 de la CADH está la de garantizar su ejercicio sin discriminación alguna y la de adoptar medidas </w:t>
      </w:r>
      <w:r w:rsidR="0024179E">
        <w:rPr>
          <w:rFonts w:asciiTheme="majorHAnsi" w:hAnsiTheme="majorHAnsi"/>
          <w:sz w:val="20"/>
          <w:szCs w:val="20"/>
          <w:lang w:val="es-ES"/>
        </w:rPr>
        <w:t xml:space="preserve">o dar pasos </w:t>
      </w:r>
      <w:r>
        <w:rPr>
          <w:rFonts w:asciiTheme="majorHAnsi" w:hAnsiTheme="majorHAnsi"/>
          <w:sz w:val="20"/>
          <w:szCs w:val="20"/>
          <w:lang w:val="es-ES"/>
        </w:rPr>
        <w:t>deliber</w:t>
      </w:r>
      <w:r w:rsidR="0024179E">
        <w:rPr>
          <w:rFonts w:asciiTheme="majorHAnsi" w:hAnsiTheme="majorHAnsi"/>
          <w:sz w:val="20"/>
          <w:szCs w:val="20"/>
          <w:lang w:val="es-ES"/>
        </w:rPr>
        <w:t>ado</w:t>
      </w:r>
      <w:r>
        <w:rPr>
          <w:rFonts w:asciiTheme="majorHAnsi" w:hAnsiTheme="majorHAnsi"/>
          <w:sz w:val="20"/>
          <w:szCs w:val="20"/>
          <w:lang w:val="es-ES"/>
        </w:rPr>
        <w:t>s y concret</w:t>
      </w:r>
      <w:r w:rsidR="0024179E">
        <w:rPr>
          <w:rFonts w:asciiTheme="majorHAnsi" w:hAnsiTheme="majorHAnsi"/>
          <w:sz w:val="20"/>
          <w:szCs w:val="20"/>
          <w:lang w:val="es-ES"/>
        </w:rPr>
        <w:t>o</w:t>
      </w:r>
      <w:r>
        <w:rPr>
          <w:rFonts w:asciiTheme="majorHAnsi" w:hAnsiTheme="majorHAnsi"/>
          <w:sz w:val="20"/>
          <w:szCs w:val="20"/>
          <w:lang w:val="es-ES"/>
        </w:rPr>
        <w:t xml:space="preserve">s </w:t>
      </w:r>
      <w:r w:rsidR="0024179E">
        <w:rPr>
          <w:rFonts w:asciiTheme="majorHAnsi" w:hAnsiTheme="majorHAnsi"/>
          <w:sz w:val="20"/>
          <w:szCs w:val="20"/>
          <w:lang w:val="es-ES"/>
        </w:rPr>
        <w:t>dirigido</w:t>
      </w:r>
      <w:r>
        <w:rPr>
          <w:rFonts w:asciiTheme="majorHAnsi" w:hAnsiTheme="majorHAnsi"/>
          <w:sz w:val="20"/>
          <w:szCs w:val="20"/>
          <w:lang w:val="es-ES"/>
        </w:rPr>
        <w:t>s a la realización plena del derecho en cuestión, estas obligaciones no están sujetas a una aplicación progresiva ni supeditada a los recursos disponibles. Según el Comité DESC “la discriminación en el empleo está constituida por una amplia variedad de violaciones que afectan a todas las fases de la vida […] y puede tener un efecto no despreciable sobre la situación profesional de las personas”, por tanto dentro de las obligaciones básicas se encuentra “evitar las medidas que tengan como resultado el aumento de la discriminación y del trato desigual en los sectores público y privado de las personas y grupos desfavorecidos y marginados” en este ámbito</w:t>
      </w:r>
      <w:r>
        <w:rPr>
          <w:rStyle w:val="FootnoteReference"/>
          <w:rFonts w:asciiTheme="majorHAnsi" w:hAnsiTheme="majorHAnsi"/>
          <w:sz w:val="20"/>
          <w:szCs w:val="20"/>
          <w:lang w:val="es-ES"/>
        </w:rPr>
        <w:footnoteReference w:id="72"/>
      </w:r>
      <w:r>
        <w:rPr>
          <w:rFonts w:asciiTheme="majorHAnsi" w:hAnsiTheme="majorHAnsi"/>
          <w:sz w:val="20"/>
          <w:szCs w:val="20"/>
          <w:lang w:val="es-ES"/>
        </w:rPr>
        <w:t>. Por tanto, de acuerdo a los hechos probados en este caso</w:t>
      </w:r>
      <w:r w:rsidR="00A30A30">
        <w:rPr>
          <w:rFonts w:asciiTheme="majorHAnsi" w:hAnsiTheme="majorHAnsi"/>
          <w:sz w:val="20"/>
          <w:szCs w:val="20"/>
          <w:lang w:val="es-ES"/>
        </w:rPr>
        <w:t>,</w:t>
      </w:r>
      <w:r>
        <w:rPr>
          <w:rFonts w:asciiTheme="majorHAnsi" w:hAnsiTheme="majorHAnsi"/>
          <w:sz w:val="20"/>
          <w:szCs w:val="20"/>
          <w:lang w:val="es-ES"/>
        </w:rPr>
        <w:t xml:space="preserve"> </w:t>
      </w:r>
      <w:r w:rsidR="0024179E">
        <w:rPr>
          <w:rFonts w:asciiTheme="majorHAnsi" w:hAnsiTheme="majorHAnsi"/>
          <w:sz w:val="20"/>
          <w:szCs w:val="20"/>
          <w:lang w:val="es-ES"/>
        </w:rPr>
        <w:t xml:space="preserve">la CIDH observa que </w:t>
      </w:r>
      <w:r>
        <w:rPr>
          <w:rFonts w:asciiTheme="majorHAnsi" w:hAnsiTheme="majorHAnsi"/>
          <w:sz w:val="20"/>
          <w:szCs w:val="20"/>
          <w:lang w:val="es-ES"/>
        </w:rPr>
        <w:t xml:space="preserve">no solo se discriminó a Sandra </w:t>
      </w:r>
      <w:proofErr w:type="spellStart"/>
      <w:r>
        <w:rPr>
          <w:rFonts w:asciiTheme="majorHAnsi" w:hAnsiTheme="majorHAnsi"/>
          <w:sz w:val="20"/>
          <w:szCs w:val="20"/>
          <w:lang w:val="es-ES"/>
        </w:rPr>
        <w:t>Pavez</w:t>
      </w:r>
      <w:proofErr w:type="spellEnd"/>
      <w:r>
        <w:rPr>
          <w:rFonts w:asciiTheme="majorHAnsi" w:hAnsiTheme="majorHAnsi"/>
          <w:sz w:val="20"/>
          <w:szCs w:val="20"/>
          <w:lang w:val="es-ES"/>
        </w:rPr>
        <w:t xml:space="preserve"> por su orientación sexual en su </w:t>
      </w:r>
      <w:r w:rsidR="0024179E">
        <w:rPr>
          <w:rFonts w:asciiTheme="majorHAnsi" w:hAnsiTheme="majorHAnsi"/>
          <w:sz w:val="20"/>
          <w:szCs w:val="20"/>
          <w:lang w:val="es-ES"/>
        </w:rPr>
        <w:t>labor de docencia</w:t>
      </w:r>
      <w:r>
        <w:rPr>
          <w:rFonts w:asciiTheme="majorHAnsi" w:hAnsiTheme="majorHAnsi"/>
          <w:sz w:val="20"/>
          <w:szCs w:val="20"/>
          <w:lang w:val="es-ES"/>
        </w:rPr>
        <w:t>, sino que no existieron acciones concretas y delibera</w:t>
      </w:r>
      <w:r w:rsidR="003C1F53">
        <w:rPr>
          <w:rFonts w:asciiTheme="majorHAnsi" w:hAnsiTheme="majorHAnsi"/>
          <w:sz w:val="20"/>
          <w:szCs w:val="20"/>
          <w:lang w:val="es-ES"/>
        </w:rPr>
        <w:t>da</w:t>
      </w:r>
      <w:r>
        <w:rPr>
          <w:rFonts w:asciiTheme="majorHAnsi" w:hAnsiTheme="majorHAnsi"/>
          <w:sz w:val="20"/>
          <w:szCs w:val="20"/>
          <w:lang w:val="es-ES"/>
        </w:rPr>
        <w:t>s para i</w:t>
      </w:r>
      <w:r w:rsidR="0024179E">
        <w:rPr>
          <w:rFonts w:asciiTheme="majorHAnsi" w:hAnsiTheme="majorHAnsi"/>
          <w:sz w:val="20"/>
          <w:szCs w:val="20"/>
          <w:lang w:val="es-ES"/>
        </w:rPr>
        <w:t>mpedir este tipo de violaciones;</w:t>
      </w:r>
      <w:r>
        <w:rPr>
          <w:rFonts w:asciiTheme="majorHAnsi" w:hAnsiTheme="majorHAnsi"/>
          <w:sz w:val="20"/>
          <w:szCs w:val="20"/>
          <w:lang w:val="es-ES"/>
        </w:rPr>
        <w:t xml:space="preserve"> al contrario el Estado las ratificó y reforzó mediante </w:t>
      </w:r>
      <w:r w:rsidR="0024179E">
        <w:rPr>
          <w:rFonts w:asciiTheme="majorHAnsi" w:hAnsiTheme="majorHAnsi"/>
          <w:sz w:val="20"/>
          <w:szCs w:val="20"/>
          <w:lang w:val="es-ES"/>
        </w:rPr>
        <w:t xml:space="preserve">las decisiones de </w:t>
      </w:r>
      <w:r>
        <w:rPr>
          <w:rFonts w:asciiTheme="majorHAnsi" w:hAnsiTheme="majorHAnsi"/>
          <w:sz w:val="20"/>
          <w:szCs w:val="20"/>
          <w:lang w:val="es-ES"/>
        </w:rPr>
        <w:t>sus autoridades judiciales. La CIDH subraya que uno de los elementos sustantivos del contenido del derecho al trabajo implica la elección o aceptación libre del mismo, lo cual a su vez conlleva</w:t>
      </w:r>
      <w:r w:rsidR="0024179E">
        <w:rPr>
          <w:rFonts w:asciiTheme="majorHAnsi" w:hAnsiTheme="majorHAnsi"/>
          <w:sz w:val="20"/>
          <w:szCs w:val="20"/>
          <w:lang w:val="es-ES"/>
        </w:rPr>
        <w:t>,</w:t>
      </w:r>
      <w:r>
        <w:rPr>
          <w:rFonts w:asciiTheme="majorHAnsi" w:hAnsiTheme="majorHAnsi"/>
          <w:sz w:val="20"/>
          <w:szCs w:val="20"/>
          <w:lang w:val="es-ES"/>
        </w:rPr>
        <w:t xml:space="preserve"> ya sea </w:t>
      </w:r>
      <w:r w:rsidR="0024179E">
        <w:rPr>
          <w:rFonts w:asciiTheme="majorHAnsi" w:hAnsiTheme="majorHAnsi"/>
          <w:sz w:val="20"/>
          <w:szCs w:val="20"/>
          <w:lang w:val="es-ES"/>
        </w:rPr>
        <w:t xml:space="preserve">mediante </w:t>
      </w:r>
      <w:r>
        <w:rPr>
          <w:rFonts w:asciiTheme="majorHAnsi" w:hAnsiTheme="majorHAnsi"/>
          <w:sz w:val="20"/>
          <w:szCs w:val="20"/>
          <w:lang w:val="es-ES"/>
        </w:rPr>
        <w:t xml:space="preserve">la creación de oportunidades que permitan o </w:t>
      </w:r>
      <w:r w:rsidR="0024179E">
        <w:rPr>
          <w:rFonts w:asciiTheme="majorHAnsi" w:hAnsiTheme="majorHAnsi"/>
          <w:sz w:val="20"/>
          <w:szCs w:val="20"/>
          <w:lang w:val="es-ES"/>
        </w:rPr>
        <w:t>a través de</w:t>
      </w:r>
      <w:r>
        <w:rPr>
          <w:rFonts w:asciiTheme="majorHAnsi" w:hAnsiTheme="majorHAnsi"/>
          <w:sz w:val="20"/>
          <w:szCs w:val="20"/>
          <w:lang w:val="es-ES"/>
        </w:rPr>
        <w:t xml:space="preserve"> la adopción de medidas que no impidan</w:t>
      </w:r>
      <w:r w:rsidR="0024179E">
        <w:rPr>
          <w:rFonts w:asciiTheme="majorHAnsi" w:hAnsiTheme="majorHAnsi"/>
          <w:sz w:val="20"/>
          <w:szCs w:val="20"/>
          <w:lang w:val="es-ES"/>
        </w:rPr>
        <w:t>,</w:t>
      </w:r>
      <w:r>
        <w:rPr>
          <w:rFonts w:asciiTheme="majorHAnsi" w:hAnsiTheme="majorHAnsi"/>
          <w:sz w:val="20"/>
          <w:szCs w:val="20"/>
          <w:lang w:val="es-ES"/>
        </w:rPr>
        <w:t xml:space="preserve"> seguir la vocación que uno tenga y dedicarse a la actividad que responda de manera razonable a sus expectativas o planes de vida.   </w:t>
      </w:r>
    </w:p>
    <w:p w:rsidR="00F61296" w:rsidRDefault="00F61296" w:rsidP="00306C81">
      <w:pPr>
        <w:pStyle w:val="ListParagraph"/>
        <w:ind w:firstLine="720"/>
        <w:rPr>
          <w:rFonts w:asciiTheme="majorHAnsi" w:hAnsiTheme="majorHAnsi"/>
          <w:sz w:val="20"/>
          <w:szCs w:val="20"/>
          <w:lang w:val="es-ES"/>
        </w:rPr>
      </w:pPr>
    </w:p>
    <w:p w:rsidR="002159D9" w:rsidRDefault="005B5C94"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De esta forma, l</w:t>
      </w:r>
      <w:r w:rsidR="00F61296">
        <w:rPr>
          <w:rFonts w:asciiTheme="majorHAnsi" w:hAnsiTheme="majorHAnsi"/>
          <w:sz w:val="20"/>
          <w:szCs w:val="20"/>
          <w:lang w:val="es-ES"/>
        </w:rPr>
        <w:t xml:space="preserve">a Comisión considera que </w:t>
      </w:r>
      <w:r>
        <w:rPr>
          <w:rFonts w:asciiTheme="majorHAnsi" w:hAnsiTheme="majorHAnsi"/>
          <w:sz w:val="20"/>
          <w:szCs w:val="20"/>
          <w:lang w:val="es-ES"/>
        </w:rPr>
        <w:t xml:space="preserve">la naturaleza del empleo de Sandra </w:t>
      </w:r>
      <w:proofErr w:type="spellStart"/>
      <w:r>
        <w:rPr>
          <w:rFonts w:asciiTheme="majorHAnsi" w:hAnsiTheme="majorHAnsi"/>
          <w:sz w:val="20"/>
          <w:szCs w:val="20"/>
          <w:lang w:val="es-ES"/>
        </w:rPr>
        <w:t>Pavez</w:t>
      </w:r>
      <w:proofErr w:type="spellEnd"/>
      <w:r>
        <w:rPr>
          <w:rFonts w:asciiTheme="majorHAnsi" w:hAnsiTheme="majorHAnsi"/>
          <w:sz w:val="20"/>
          <w:szCs w:val="20"/>
          <w:lang w:val="es-ES"/>
        </w:rPr>
        <w:t xml:space="preserve"> como docente escolar implicaba también el ejercicio de una función pública, por lo que la</w:t>
      </w:r>
      <w:r w:rsidR="00F61296">
        <w:rPr>
          <w:rFonts w:asciiTheme="majorHAnsi" w:hAnsiTheme="majorHAnsi"/>
          <w:sz w:val="20"/>
          <w:szCs w:val="20"/>
          <w:lang w:val="es-ES"/>
        </w:rPr>
        <w:t xml:space="preserve"> discriminación </w:t>
      </w:r>
      <w:r>
        <w:rPr>
          <w:rFonts w:asciiTheme="majorHAnsi" w:hAnsiTheme="majorHAnsi"/>
          <w:sz w:val="20"/>
          <w:szCs w:val="20"/>
          <w:lang w:val="es-ES"/>
        </w:rPr>
        <w:t>en la continuidad de este trabajo ejercido durante largos años de su vida profesional derivó en la</w:t>
      </w:r>
      <w:r w:rsidR="00F61296">
        <w:rPr>
          <w:rFonts w:asciiTheme="majorHAnsi" w:hAnsiTheme="majorHAnsi"/>
          <w:sz w:val="20"/>
          <w:szCs w:val="20"/>
          <w:lang w:val="es-ES"/>
        </w:rPr>
        <w:t xml:space="preserve"> violación de los derechos al acceso a la función pública en condiciones de igualdad </w:t>
      </w:r>
      <w:r w:rsidR="006A767E">
        <w:rPr>
          <w:rFonts w:asciiTheme="majorHAnsi" w:hAnsiTheme="majorHAnsi"/>
          <w:sz w:val="20"/>
          <w:szCs w:val="20"/>
          <w:lang w:val="es-ES"/>
        </w:rPr>
        <w:t xml:space="preserve">y a no ser discriminada en el ámbito laboral, protegidos por los artículos 23.1 c) y 26 de la Convención Americana. </w:t>
      </w:r>
    </w:p>
    <w:p w:rsidR="00361AAA" w:rsidRDefault="00361AAA" w:rsidP="00306C81">
      <w:pPr>
        <w:pStyle w:val="ListParagraph"/>
        <w:ind w:firstLine="720"/>
        <w:rPr>
          <w:rFonts w:asciiTheme="majorHAnsi" w:hAnsiTheme="majorHAnsi"/>
          <w:sz w:val="20"/>
          <w:szCs w:val="20"/>
          <w:lang w:val="es-ES"/>
        </w:rPr>
      </w:pPr>
    </w:p>
    <w:p w:rsidR="00633320" w:rsidRDefault="00633320" w:rsidP="00306C81">
      <w:pPr>
        <w:pStyle w:val="ListParagraph"/>
        <w:ind w:firstLine="720"/>
        <w:rPr>
          <w:rFonts w:asciiTheme="majorHAnsi" w:hAnsiTheme="majorHAnsi"/>
          <w:sz w:val="20"/>
          <w:szCs w:val="20"/>
          <w:lang w:val="es-ES"/>
        </w:rPr>
      </w:pPr>
    </w:p>
    <w:p w:rsidR="00633320" w:rsidRDefault="00633320" w:rsidP="00306C81">
      <w:pPr>
        <w:pStyle w:val="ListParagraph"/>
        <w:ind w:firstLine="720"/>
        <w:rPr>
          <w:rFonts w:asciiTheme="majorHAnsi" w:hAnsiTheme="majorHAnsi"/>
          <w:sz w:val="20"/>
          <w:szCs w:val="20"/>
          <w:lang w:val="es-ES"/>
        </w:rPr>
      </w:pPr>
    </w:p>
    <w:p w:rsidR="00942FD0" w:rsidRDefault="00EC1A92"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Por último,</w:t>
      </w:r>
      <w:r w:rsidR="00952E1F">
        <w:rPr>
          <w:rFonts w:asciiTheme="majorHAnsi" w:hAnsiTheme="majorHAnsi"/>
          <w:sz w:val="20"/>
          <w:szCs w:val="20"/>
          <w:lang w:val="es-ES"/>
        </w:rPr>
        <w:t xml:space="preserve"> la Comisión destaca que la manera en que se decidió el recurso de protección, puso en evidencia la total indefensión en que quedó Sandra </w:t>
      </w:r>
      <w:proofErr w:type="spellStart"/>
      <w:r w:rsidR="00952E1F">
        <w:rPr>
          <w:rFonts w:asciiTheme="majorHAnsi" w:hAnsiTheme="majorHAnsi"/>
          <w:sz w:val="20"/>
          <w:szCs w:val="20"/>
          <w:lang w:val="es-ES"/>
        </w:rPr>
        <w:t>Pavez</w:t>
      </w:r>
      <w:proofErr w:type="spellEnd"/>
      <w:r w:rsidR="00952E1F">
        <w:rPr>
          <w:rFonts w:asciiTheme="majorHAnsi" w:hAnsiTheme="majorHAnsi"/>
          <w:sz w:val="20"/>
          <w:szCs w:val="20"/>
          <w:lang w:val="es-ES"/>
        </w:rPr>
        <w:t xml:space="preserve"> frente al acto discriminatorio sufrido, pues la Corte de Apelaciones de San Miguel no analizó si la revocatoria del certificado de idoneidad violó sus derechos constitucionales y convencionales, sino que se limitó a establecer la legalidad de la actuación de la autoridad religiosa, por la vigencia del Decreto 924. A pesar de que en su recurso de apelación, Sandra </w:t>
      </w:r>
      <w:proofErr w:type="spellStart"/>
      <w:r w:rsidR="00952E1F">
        <w:rPr>
          <w:rFonts w:asciiTheme="majorHAnsi" w:hAnsiTheme="majorHAnsi"/>
          <w:sz w:val="20"/>
          <w:szCs w:val="20"/>
          <w:lang w:val="es-ES"/>
        </w:rPr>
        <w:t>Pavez</w:t>
      </w:r>
      <w:proofErr w:type="spellEnd"/>
      <w:r w:rsidR="00952E1F">
        <w:rPr>
          <w:rFonts w:asciiTheme="majorHAnsi" w:hAnsiTheme="majorHAnsi"/>
          <w:sz w:val="20"/>
          <w:szCs w:val="20"/>
          <w:lang w:val="es-ES"/>
        </w:rPr>
        <w:t xml:space="preserve"> hizo referencia explícita a la necesidad de que se evaluara la arbitrariedad de la medida a la luz de sus derechos, la Corte Suprema validó integralmente la decisión de la Corte de Apelaciones de San Miguel sin motivación alguna y sin responder al alegato de la víctima que resultaba fundamental pues procuraba un pronunciamiento</w:t>
      </w:r>
      <w:r w:rsidR="002159D9">
        <w:rPr>
          <w:rFonts w:asciiTheme="majorHAnsi" w:hAnsiTheme="majorHAnsi"/>
          <w:sz w:val="20"/>
          <w:szCs w:val="20"/>
          <w:lang w:val="es-ES"/>
        </w:rPr>
        <w:t xml:space="preserve"> que más allá de la </w:t>
      </w:r>
      <w:r w:rsidR="00952E1F">
        <w:rPr>
          <w:rFonts w:asciiTheme="majorHAnsi" w:hAnsiTheme="majorHAnsi"/>
          <w:sz w:val="20"/>
          <w:szCs w:val="20"/>
          <w:lang w:val="es-ES"/>
        </w:rPr>
        <w:t xml:space="preserve">legalidad de la </w:t>
      </w:r>
      <w:r w:rsidR="002159D9">
        <w:rPr>
          <w:rFonts w:asciiTheme="majorHAnsi" w:hAnsiTheme="majorHAnsi"/>
          <w:sz w:val="20"/>
          <w:szCs w:val="20"/>
          <w:lang w:val="es-ES"/>
        </w:rPr>
        <w:t xml:space="preserve">revocatoria, determinara si la misma había violado sus derechos humanos. </w:t>
      </w:r>
      <w:r>
        <w:rPr>
          <w:rFonts w:asciiTheme="majorHAnsi" w:hAnsiTheme="majorHAnsi"/>
          <w:sz w:val="20"/>
          <w:szCs w:val="20"/>
          <w:lang w:val="es-ES"/>
        </w:rPr>
        <w:t xml:space="preserve">En ese sentido, además del incumplimiento del deber de garantía frente a la violación de los derechos analizados hasta este momento, el recurso de protección resultó violatorio de los derechos a contar con decisiones debidamente motivadas y a la protección judicial. </w:t>
      </w:r>
    </w:p>
    <w:p w:rsidR="002024A9" w:rsidRDefault="002024A9" w:rsidP="00306C8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rsidR="00DE5A03" w:rsidRPr="00D73C5B" w:rsidRDefault="00DE5A03"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D73C5B">
        <w:rPr>
          <w:rFonts w:asciiTheme="majorHAnsi" w:hAnsiTheme="majorHAnsi"/>
          <w:sz w:val="20"/>
          <w:szCs w:val="20"/>
          <w:lang w:val="es-ES"/>
        </w:rPr>
        <w:t xml:space="preserve">En virtud de las anteriores consideraciones, la Comisión concluye que el Estado de Chile es responsable por la violación a la vida privada y autonomía, al principio de igualdad y no discriminación, al acceso a la </w:t>
      </w:r>
      <w:r w:rsidRPr="00D73C5B">
        <w:rPr>
          <w:rFonts w:asciiTheme="majorHAnsi" w:hAnsiTheme="majorHAnsi"/>
          <w:sz w:val="20"/>
          <w:szCs w:val="20"/>
          <w:lang w:val="es-PE"/>
        </w:rPr>
        <w:t>función</w:t>
      </w:r>
      <w:r w:rsidRPr="00D73C5B">
        <w:rPr>
          <w:rFonts w:asciiTheme="majorHAnsi" w:hAnsiTheme="majorHAnsi"/>
          <w:sz w:val="20"/>
          <w:szCs w:val="20"/>
          <w:lang w:val="es-ES"/>
        </w:rPr>
        <w:t xml:space="preserve"> pública en condiciones de i</w:t>
      </w:r>
      <w:r w:rsidR="00C918EA" w:rsidRPr="00D73C5B">
        <w:rPr>
          <w:rFonts w:asciiTheme="majorHAnsi" w:hAnsiTheme="majorHAnsi"/>
          <w:sz w:val="20"/>
          <w:szCs w:val="20"/>
          <w:lang w:val="es-ES"/>
        </w:rPr>
        <w:t>gualdad, al trabajo, a contar con decisiones motivadas y a la protección judicial, establecidos en los artículos 11.2, 24, 23.1 c), 26, 8.</w:t>
      </w:r>
      <w:r w:rsidR="005F4874">
        <w:rPr>
          <w:rFonts w:asciiTheme="majorHAnsi" w:hAnsiTheme="majorHAnsi"/>
          <w:sz w:val="20"/>
          <w:szCs w:val="20"/>
          <w:lang w:val="es-ES"/>
        </w:rPr>
        <w:t>1</w:t>
      </w:r>
      <w:r w:rsidR="00C918EA" w:rsidRPr="00D73C5B">
        <w:rPr>
          <w:rFonts w:asciiTheme="majorHAnsi" w:hAnsiTheme="majorHAnsi"/>
          <w:sz w:val="20"/>
          <w:szCs w:val="20"/>
          <w:lang w:val="es-ES"/>
        </w:rPr>
        <w:t xml:space="preserve"> y 25.1 de la Convención Americana en relación con las obligaciones establecidas en los artículos 1.1 y 2 del mismo instrumento, en perjuicio de Sandra </w:t>
      </w:r>
      <w:proofErr w:type="spellStart"/>
      <w:r w:rsidR="00C918EA" w:rsidRPr="00D73C5B">
        <w:rPr>
          <w:rFonts w:asciiTheme="majorHAnsi" w:hAnsiTheme="majorHAnsi"/>
          <w:sz w:val="20"/>
          <w:szCs w:val="20"/>
          <w:lang w:val="es-ES"/>
        </w:rPr>
        <w:t>Pavez</w:t>
      </w:r>
      <w:proofErr w:type="spellEnd"/>
      <w:r w:rsidR="00C918EA" w:rsidRPr="00D73C5B">
        <w:rPr>
          <w:rFonts w:asciiTheme="majorHAnsi" w:hAnsiTheme="majorHAnsi"/>
          <w:sz w:val="20"/>
          <w:szCs w:val="20"/>
          <w:lang w:val="es-ES"/>
        </w:rPr>
        <w:t xml:space="preserve">. </w:t>
      </w:r>
    </w:p>
    <w:p w:rsidR="003D67C7" w:rsidRPr="00D73C5B" w:rsidRDefault="003D67C7" w:rsidP="000D31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D12193" w:rsidRPr="00D73C5B" w:rsidRDefault="00D12193" w:rsidP="00306C81">
      <w:pPr>
        <w:pStyle w:val="Heading1"/>
      </w:pPr>
      <w:bookmarkStart w:id="22" w:name="_Toc531327103"/>
      <w:r w:rsidRPr="00D73C5B">
        <w:t>CONCLUSIONES Y RECOMENDACIONES</w:t>
      </w:r>
      <w:bookmarkEnd w:id="22"/>
      <w:r w:rsidRPr="00D73C5B">
        <w:t xml:space="preserve"> </w:t>
      </w:r>
    </w:p>
    <w:p w:rsidR="00D12193" w:rsidRPr="00D73C5B" w:rsidRDefault="00D12193" w:rsidP="000D31F6">
      <w:pPr>
        <w:suppressAutoHyphens/>
        <w:rPr>
          <w:rFonts w:asciiTheme="majorHAnsi" w:hAnsiTheme="majorHAnsi"/>
          <w:b/>
          <w:sz w:val="20"/>
          <w:szCs w:val="20"/>
          <w:lang w:val="es-ES_tradnl"/>
        </w:rPr>
      </w:pPr>
    </w:p>
    <w:p w:rsidR="005E7AE8" w:rsidRPr="00D73C5B" w:rsidRDefault="005E7AE8"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000000" w:themeColor="text1"/>
          <w:sz w:val="20"/>
          <w:szCs w:val="20"/>
          <w:lang w:val="es-VE"/>
        </w:rPr>
      </w:pPr>
      <w:r w:rsidRPr="00D73C5B">
        <w:rPr>
          <w:rFonts w:asciiTheme="majorHAnsi" w:hAnsiTheme="majorHAnsi"/>
          <w:color w:val="000000" w:themeColor="text1"/>
          <w:sz w:val="20"/>
          <w:szCs w:val="20"/>
          <w:lang w:val="es-VE"/>
        </w:rPr>
        <w:t xml:space="preserve">Con base en las determinaciones de hecho y de derecho, la Comisión Interamericana concluyó que el Estado es responsable por la violación de los artículos 8 (garantías judiciales), 11 (vida privada y autonomía), 23.1 c) (acceso a la función pública en condiciones de igualdad), 24 (igualdad ante la ley), 25.1 (protección judicial) y 26 (derecho al trabajo) de la Convención Americana, en relación con las obligaciones establecidas en los </w:t>
      </w:r>
      <w:r w:rsidRPr="00D73C5B">
        <w:rPr>
          <w:rFonts w:asciiTheme="majorHAnsi" w:hAnsiTheme="majorHAnsi"/>
          <w:sz w:val="20"/>
          <w:szCs w:val="20"/>
          <w:lang w:val="es-VE"/>
        </w:rPr>
        <w:t xml:space="preserve">artículos 1.1 y 2 del </w:t>
      </w:r>
      <w:r w:rsidRPr="00D73C5B">
        <w:rPr>
          <w:rFonts w:asciiTheme="majorHAnsi" w:hAnsiTheme="majorHAnsi"/>
          <w:color w:val="000000" w:themeColor="text1"/>
          <w:sz w:val="20"/>
          <w:szCs w:val="20"/>
          <w:lang w:val="es-VE"/>
        </w:rPr>
        <w:t>mismo instrumento</w:t>
      </w:r>
      <w:r w:rsidR="00533626">
        <w:rPr>
          <w:rFonts w:asciiTheme="majorHAnsi" w:hAnsiTheme="majorHAnsi"/>
          <w:color w:val="000000" w:themeColor="text1"/>
          <w:sz w:val="20"/>
          <w:szCs w:val="20"/>
          <w:lang w:val="es-VE"/>
        </w:rPr>
        <w:t>.</w:t>
      </w:r>
    </w:p>
    <w:p w:rsidR="005E7AE8" w:rsidRPr="00D73C5B" w:rsidRDefault="005E7AE8" w:rsidP="000D31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006896" w:rsidRPr="00D73C5B" w:rsidRDefault="00006896" w:rsidP="00306C8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D73C5B">
        <w:rPr>
          <w:rFonts w:asciiTheme="majorHAnsi" w:hAnsiTheme="majorHAnsi"/>
          <w:sz w:val="20"/>
          <w:szCs w:val="20"/>
          <w:lang w:val="es-VE"/>
        </w:rPr>
        <w:t>En</w:t>
      </w:r>
      <w:r w:rsidRPr="00D73C5B">
        <w:rPr>
          <w:rFonts w:asciiTheme="majorHAnsi" w:hAnsiTheme="majorHAnsi"/>
          <w:sz w:val="20"/>
          <w:szCs w:val="20"/>
          <w:lang w:val="es-ES_tradnl"/>
        </w:rPr>
        <w:t xml:space="preserve"> </w:t>
      </w:r>
      <w:r w:rsidRPr="00D73C5B">
        <w:rPr>
          <w:rFonts w:asciiTheme="majorHAnsi" w:hAnsiTheme="majorHAnsi"/>
          <w:sz w:val="20"/>
          <w:szCs w:val="20"/>
          <w:lang w:val="es-ES"/>
        </w:rPr>
        <w:t>virtud</w:t>
      </w:r>
      <w:r w:rsidRPr="00D73C5B">
        <w:rPr>
          <w:rFonts w:asciiTheme="majorHAnsi" w:hAnsiTheme="majorHAnsi"/>
          <w:sz w:val="20"/>
          <w:szCs w:val="20"/>
          <w:lang w:val="es-ES_tradnl"/>
        </w:rPr>
        <w:t xml:space="preserve"> de las anteriores conclusiones,</w:t>
      </w:r>
      <w:r w:rsidR="005F309E" w:rsidRPr="00D73C5B">
        <w:rPr>
          <w:rFonts w:asciiTheme="majorHAnsi" w:hAnsiTheme="majorHAnsi"/>
          <w:sz w:val="20"/>
          <w:szCs w:val="20"/>
          <w:lang w:val="es-ES_tradnl"/>
        </w:rPr>
        <w:t xml:space="preserve"> </w:t>
      </w:r>
    </w:p>
    <w:p w:rsidR="00006896" w:rsidRPr="00D73C5B" w:rsidRDefault="00006896" w:rsidP="000D31F6">
      <w:pPr>
        <w:suppressAutoHyphens/>
        <w:jc w:val="both"/>
        <w:rPr>
          <w:rFonts w:asciiTheme="majorHAnsi" w:hAnsiTheme="majorHAnsi"/>
          <w:sz w:val="20"/>
          <w:szCs w:val="20"/>
          <w:lang w:val="es-ES_tradnl"/>
        </w:rPr>
      </w:pPr>
    </w:p>
    <w:p w:rsidR="00006896" w:rsidRPr="00D73C5B" w:rsidRDefault="00006896" w:rsidP="000D31F6">
      <w:pPr>
        <w:ind w:firstLine="720"/>
        <w:jc w:val="both"/>
        <w:rPr>
          <w:rFonts w:asciiTheme="majorHAnsi" w:hAnsiTheme="majorHAnsi"/>
          <w:b/>
          <w:sz w:val="20"/>
          <w:szCs w:val="20"/>
          <w:lang w:val="es-ES_tradnl"/>
        </w:rPr>
      </w:pPr>
      <w:r w:rsidRPr="00D73C5B">
        <w:rPr>
          <w:rFonts w:asciiTheme="majorHAnsi" w:hAnsiTheme="majorHAnsi"/>
          <w:b/>
          <w:sz w:val="20"/>
          <w:szCs w:val="20"/>
          <w:lang w:val="es-ES_tradnl"/>
        </w:rPr>
        <w:t xml:space="preserve">LA COMISIÓN INTERAMERICANA DE DERECHOS HUMANOS, RECOMIENDA AL ESTADO DE </w:t>
      </w:r>
      <w:r w:rsidR="00B20CD5" w:rsidRPr="00D73C5B">
        <w:rPr>
          <w:rFonts w:asciiTheme="majorHAnsi" w:hAnsiTheme="majorHAnsi"/>
          <w:b/>
          <w:sz w:val="20"/>
          <w:szCs w:val="20"/>
          <w:lang w:val="es-ES_tradnl"/>
        </w:rPr>
        <w:t>CHILE</w:t>
      </w:r>
      <w:r w:rsidRPr="00D73C5B">
        <w:rPr>
          <w:rFonts w:asciiTheme="majorHAnsi" w:hAnsiTheme="majorHAnsi"/>
          <w:b/>
          <w:sz w:val="20"/>
          <w:szCs w:val="20"/>
          <w:lang w:val="es-ES_tradnl"/>
        </w:rPr>
        <w:t>,</w:t>
      </w:r>
    </w:p>
    <w:p w:rsidR="00006896" w:rsidRPr="00D73C5B" w:rsidRDefault="00006896" w:rsidP="000D31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666666"/>
          <w:sz w:val="20"/>
          <w:szCs w:val="20"/>
          <w:bdr w:val="none" w:sz="0" w:space="0" w:color="auto"/>
          <w:lang w:val="es-US"/>
        </w:rPr>
      </w:pPr>
      <w:r w:rsidRPr="00D73C5B">
        <w:rPr>
          <w:rFonts w:asciiTheme="majorHAnsi" w:eastAsia="Times New Roman" w:hAnsiTheme="majorHAnsi"/>
          <w:color w:val="666666"/>
          <w:sz w:val="20"/>
          <w:szCs w:val="20"/>
          <w:bdr w:val="none" w:sz="0" w:space="0" w:color="auto"/>
          <w:lang w:val="es-US"/>
        </w:rPr>
        <w:t> </w:t>
      </w:r>
    </w:p>
    <w:p w:rsidR="005F309E" w:rsidRPr="00D73C5B" w:rsidRDefault="005F309E" w:rsidP="00306C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ahoma"/>
          <w:color w:val="auto"/>
          <w:sz w:val="20"/>
          <w:szCs w:val="20"/>
          <w:bdr w:val="none" w:sz="0" w:space="0" w:color="auto"/>
          <w:lang w:val="es-ES"/>
        </w:rPr>
      </w:pPr>
      <w:r w:rsidRPr="00D73C5B">
        <w:rPr>
          <w:rFonts w:asciiTheme="majorHAnsi" w:eastAsia="Times New Roman" w:hAnsiTheme="majorHAnsi" w:cs="Tahoma"/>
          <w:color w:val="auto"/>
          <w:sz w:val="20"/>
          <w:szCs w:val="20"/>
          <w:bdr w:val="none" w:sz="0" w:space="0" w:color="auto"/>
          <w:lang w:val="es-ES"/>
        </w:rPr>
        <w:t>Re</w:t>
      </w:r>
      <w:r w:rsidR="000B65F4" w:rsidRPr="00D73C5B">
        <w:rPr>
          <w:rFonts w:asciiTheme="majorHAnsi" w:eastAsia="Times New Roman" w:hAnsiTheme="majorHAnsi" w:cs="Tahoma"/>
          <w:color w:val="auto"/>
          <w:sz w:val="20"/>
          <w:szCs w:val="20"/>
          <w:bdr w:val="none" w:sz="0" w:space="0" w:color="auto"/>
          <w:lang w:val="es-ES"/>
        </w:rPr>
        <w:t xml:space="preserve">incorporar a Sandra </w:t>
      </w:r>
      <w:proofErr w:type="spellStart"/>
      <w:r w:rsidR="000B65F4" w:rsidRPr="00D73C5B">
        <w:rPr>
          <w:rFonts w:asciiTheme="majorHAnsi" w:eastAsia="Times New Roman" w:hAnsiTheme="majorHAnsi" w:cs="Tahoma"/>
          <w:color w:val="auto"/>
          <w:sz w:val="20"/>
          <w:szCs w:val="20"/>
          <w:bdr w:val="none" w:sz="0" w:space="0" w:color="auto"/>
          <w:lang w:val="es-ES"/>
        </w:rPr>
        <w:t>Pavez</w:t>
      </w:r>
      <w:proofErr w:type="spellEnd"/>
      <w:r w:rsidR="000B65F4" w:rsidRPr="00D73C5B">
        <w:rPr>
          <w:rFonts w:asciiTheme="majorHAnsi" w:eastAsia="Times New Roman" w:hAnsiTheme="majorHAnsi" w:cs="Tahoma"/>
          <w:color w:val="auto"/>
          <w:sz w:val="20"/>
          <w:szCs w:val="20"/>
          <w:bdr w:val="none" w:sz="0" w:space="0" w:color="auto"/>
          <w:lang w:val="es-ES"/>
        </w:rPr>
        <w:t xml:space="preserve"> </w:t>
      </w:r>
      <w:r w:rsidR="005079EA" w:rsidRPr="00D73C5B">
        <w:rPr>
          <w:rFonts w:asciiTheme="majorHAnsi" w:eastAsia="Times New Roman" w:hAnsiTheme="majorHAnsi" w:cs="Tahoma"/>
          <w:color w:val="auto"/>
          <w:sz w:val="20"/>
          <w:szCs w:val="20"/>
          <w:bdr w:val="none" w:sz="0" w:space="0" w:color="auto"/>
          <w:lang w:val="es-ES"/>
        </w:rPr>
        <w:t xml:space="preserve">al cargo que ocupaba como </w:t>
      </w:r>
      <w:r w:rsidR="00A31DD9" w:rsidRPr="00D73C5B">
        <w:rPr>
          <w:rFonts w:asciiTheme="majorHAnsi" w:eastAsia="Times New Roman" w:hAnsiTheme="majorHAnsi" w:cs="Tahoma"/>
          <w:color w:val="auto"/>
          <w:sz w:val="20"/>
          <w:szCs w:val="20"/>
          <w:bdr w:val="none" w:sz="0" w:space="0" w:color="auto"/>
          <w:lang w:val="es-ES"/>
        </w:rPr>
        <w:t xml:space="preserve">profesora en una institución de educación pública, de ser su voluntad y en concertación con ella. </w:t>
      </w:r>
    </w:p>
    <w:p w:rsidR="005F309E" w:rsidRPr="00D73C5B" w:rsidRDefault="005F309E" w:rsidP="00306C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ahoma"/>
          <w:sz w:val="20"/>
          <w:szCs w:val="20"/>
          <w:bdr w:val="none" w:sz="0" w:space="0" w:color="auto"/>
          <w:lang w:val="es-ES"/>
        </w:rPr>
      </w:pPr>
    </w:p>
    <w:p w:rsidR="005F309E" w:rsidRPr="00D73C5B" w:rsidRDefault="005F309E" w:rsidP="00306C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ahoma"/>
          <w:sz w:val="20"/>
          <w:szCs w:val="20"/>
          <w:bdr w:val="none" w:sz="0" w:space="0" w:color="auto"/>
          <w:lang w:val="es-ES"/>
        </w:rPr>
      </w:pPr>
      <w:r w:rsidRPr="00D73C5B">
        <w:rPr>
          <w:rFonts w:asciiTheme="majorHAnsi" w:eastAsia="Times New Roman" w:hAnsiTheme="majorHAnsi" w:cs="Tahoma"/>
          <w:sz w:val="20"/>
          <w:szCs w:val="20"/>
          <w:bdr w:val="none" w:sz="0" w:space="0" w:color="auto"/>
          <w:lang w:val="es-ES"/>
        </w:rPr>
        <w:t xml:space="preserve">Reparar integralmente las violaciones de derechos humanos declaradas en el presente informe </w:t>
      </w:r>
      <w:r w:rsidR="00512E1D" w:rsidRPr="00D73C5B">
        <w:rPr>
          <w:rFonts w:asciiTheme="majorHAnsi" w:eastAsia="Times New Roman" w:hAnsiTheme="majorHAnsi" w:cs="Tahoma"/>
          <w:sz w:val="20"/>
          <w:szCs w:val="20"/>
          <w:bdr w:val="none" w:sz="0" w:space="0" w:color="auto"/>
          <w:lang w:val="es-ES"/>
        </w:rPr>
        <w:t xml:space="preserve">en contra de Sandra </w:t>
      </w:r>
      <w:proofErr w:type="spellStart"/>
      <w:r w:rsidR="00512E1D" w:rsidRPr="00D73C5B">
        <w:rPr>
          <w:rFonts w:asciiTheme="majorHAnsi" w:eastAsia="Times New Roman" w:hAnsiTheme="majorHAnsi" w:cs="Tahoma"/>
          <w:sz w:val="20"/>
          <w:szCs w:val="20"/>
          <w:bdr w:val="none" w:sz="0" w:space="0" w:color="auto"/>
          <w:lang w:val="es-ES"/>
        </w:rPr>
        <w:t>Pavez</w:t>
      </w:r>
      <w:proofErr w:type="spellEnd"/>
      <w:r w:rsidR="00512E1D" w:rsidRPr="00D73C5B">
        <w:rPr>
          <w:rFonts w:asciiTheme="majorHAnsi" w:eastAsia="Times New Roman" w:hAnsiTheme="majorHAnsi" w:cs="Tahoma"/>
          <w:sz w:val="20"/>
          <w:szCs w:val="20"/>
          <w:bdr w:val="none" w:sz="0" w:space="0" w:color="auto"/>
          <w:lang w:val="es-ES"/>
        </w:rPr>
        <w:t xml:space="preserve"> </w:t>
      </w:r>
      <w:r w:rsidRPr="00D73C5B">
        <w:rPr>
          <w:rFonts w:asciiTheme="majorHAnsi" w:eastAsia="Times New Roman" w:hAnsiTheme="majorHAnsi" w:cs="Tahoma"/>
          <w:sz w:val="20"/>
          <w:szCs w:val="20"/>
          <w:bdr w:val="none" w:sz="0" w:space="0" w:color="auto"/>
          <w:lang w:val="es-ES"/>
        </w:rPr>
        <w:t xml:space="preserve">tanto en el aspecto material como inmaterial. </w:t>
      </w:r>
      <w:r w:rsidR="00563C2B">
        <w:rPr>
          <w:rFonts w:asciiTheme="majorHAnsi" w:eastAsia="Times New Roman" w:hAnsiTheme="majorHAnsi" w:cs="Tahoma"/>
          <w:sz w:val="20"/>
          <w:szCs w:val="20"/>
          <w:bdr w:val="none" w:sz="0" w:space="0" w:color="auto"/>
          <w:lang w:val="es-ES"/>
        </w:rPr>
        <w:t>El aspecto material deberá tener en cuenta las diferencias de los montos económicos salariales y prestaciones sociales que hubiere recibido en su condición de docente. Además, e</w:t>
      </w:r>
      <w:r w:rsidRPr="00D73C5B">
        <w:rPr>
          <w:rFonts w:asciiTheme="majorHAnsi" w:eastAsia="Times New Roman" w:hAnsiTheme="majorHAnsi" w:cs="Tahoma"/>
          <w:sz w:val="20"/>
          <w:szCs w:val="20"/>
          <w:bdr w:val="none" w:sz="0" w:space="0" w:color="auto"/>
          <w:lang w:val="es-ES"/>
        </w:rPr>
        <w:t>l Estado deberá adoptar las medidas de compensación económica y satisfacción</w:t>
      </w:r>
      <w:r w:rsidR="00563C2B">
        <w:rPr>
          <w:rFonts w:asciiTheme="majorHAnsi" w:eastAsia="Times New Roman" w:hAnsiTheme="majorHAnsi" w:cs="Tahoma"/>
          <w:sz w:val="20"/>
          <w:szCs w:val="20"/>
          <w:bdr w:val="none" w:sz="0" w:space="0" w:color="auto"/>
          <w:lang w:val="es-ES"/>
        </w:rPr>
        <w:t xml:space="preserve"> que correspondan</w:t>
      </w:r>
      <w:r w:rsidRPr="00D73C5B">
        <w:rPr>
          <w:rFonts w:asciiTheme="majorHAnsi" w:eastAsia="Times New Roman" w:hAnsiTheme="majorHAnsi" w:cs="Tahoma"/>
          <w:sz w:val="20"/>
          <w:szCs w:val="20"/>
          <w:bdr w:val="none" w:sz="0" w:space="0" w:color="auto"/>
          <w:lang w:val="es-ES"/>
        </w:rPr>
        <w:t xml:space="preserve">. </w:t>
      </w:r>
    </w:p>
    <w:p w:rsidR="0033028D" w:rsidRPr="00D73C5B" w:rsidRDefault="0033028D" w:rsidP="00306C81">
      <w:pPr>
        <w:ind w:firstLine="720"/>
        <w:rPr>
          <w:rFonts w:asciiTheme="majorHAnsi" w:eastAsia="Times New Roman" w:hAnsiTheme="majorHAnsi" w:cs="Tahoma"/>
          <w:sz w:val="20"/>
          <w:szCs w:val="20"/>
          <w:bdr w:val="none" w:sz="0" w:space="0" w:color="auto"/>
          <w:lang w:val="es-ES"/>
        </w:rPr>
      </w:pPr>
    </w:p>
    <w:p w:rsidR="00006896" w:rsidRPr="00D73C5B" w:rsidRDefault="00006896" w:rsidP="00306C8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
        </w:rPr>
      </w:pPr>
      <w:r w:rsidRPr="00D73C5B">
        <w:rPr>
          <w:rFonts w:asciiTheme="majorHAnsi" w:eastAsia="Times New Roman" w:hAnsiTheme="majorHAnsi" w:cs="Tahoma"/>
          <w:sz w:val="20"/>
          <w:szCs w:val="20"/>
          <w:bdr w:val="none" w:sz="0" w:space="0" w:color="auto"/>
          <w:lang w:val="es-US"/>
        </w:rPr>
        <w:t>Disponer mecanismos de no repetición que incluyan:</w:t>
      </w:r>
      <w:r w:rsidR="00B6379A" w:rsidRPr="00D73C5B">
        <w:rPr>
          <w:rFonts w:asciiTheme="majorHAnsi" w:eastAsia="Times New Roman" w:hAnsiTheme="majorHAnsi" w:cs="Tahoma"/>
          <w:sz w:val="20"/>
          <w:szCs w:val="20"/>
          <w:bdr w:val="none" w:sz="0" w:space="0" w:color="auto"/>
          <w:lang w:val="es-US"/>
        </w:rPr>
        <w:t xml:space="preserve"> </w:t>
      </w:r>
      <w:r w:rsidR="008C77C4" w:rsidRPr="00D73C5B">
        <w:rPr>
          <w:rFonts w:asciiTheme="majorHAnsi" w:eastAsia="Times New Roman" w:hAnsiTheme="majorHAnsi" w:cs="Tahoma"/>
          <w:sz w:val="20"/>
          <w:szCs w:val="20"/>
          <w:bdr w:val="none" w:sz="0" w:space="0" w:color="auto"/>
          <w:lang w:val="es-US"/>
        </w:rPr>
        <w:t>i) la</w:t>
      </w:r>
      <w:r w:rsidR="00753601" w:rsidRPr="00D73C5B">
        <w:rPr>
          <w:rFonts w:asciiTheme="majorHAnsi" w:eastAsia="Times New Roman" w:hAnsiTheme="majorHAnsi" w:cs="Tahoma"/>
          <w:sz w:val="20"/>
          <w:szCs w:val="20"/>
          <w:bdr w:val="none" w:sz="0" w:space="0" w:color="auto"/>
          <w:lang w:val="es-US"/>
        </w:rPr>
        <w:t xml:space="preserve"> adecuación de la normativa interna, incluyendo el Decreto 924 de 1983 del Ministerio de Educación, a fin de que asegurar que el mismo no promueva actos de discriminación por orientación sexual en su aplicación; ii) la adopción de las medidas necesarias para asegurar el debido control </w:t>
      </w:r>
      <w:r w:rsidR="00563C2B">
        <w:rPr>
          <w:rFonts w:asciiTheme="majorHAnsi" w:eastAsia="Times New Roman" w:hAnsiTheme="majorHAnsi" w:cs="Tahoma"/>
          <w:sz w:val="20"/>
          <w:szCs w:val="20"/>
          <w:bdr w:val="none" w:sz="0" w:space="0" w:color="auto"/>
          <w:lang w:val="es-US"/>
        </w:rPr>
        <w:t xml:space="preserve">administrativo y </w:t>
      </w:r>
      <w:r w:rsidR="00753601" w:rsidRPr="00D73C5B">
        <w:rPr>
          <w:rFonts w:asciiTheme="majorHAnsi" w:eastAsia="Times New Roman" w:hAnsiTheme="majorHAnsi" w:cs="Tahoma"/>
          <w:sz w:val="20"/>
          <w:szCs w:val="20"/>
          <w:bdr w:val="none" w:sz="0" w:space="0" w:color="auto"/>
          <w:lang w:val="es-US"/>
        </w:rPr>
        <w:t xml:space="preserve">judicial de posibles situaciones discriminatorias en el contexto de la aplicación de la referida </w:t>
      </w:r>
      <w:r w:rsidR="00E45628" w:rsidRPr="00D73C5B">
        <w:rPr>
          <w:rFonts w:asciiTheme="majorHAnsi" w:eastAsia="Times New Roman" w:hAnsiTheme="majorHAnsi" w:cs="Tahoma"/>
          <w:sz w:val="20"/>
          <w:szCs w:val="20"/>
          <w:bdr w:val="none" w:sz="0" w:space="0" w:color="auto"/>
          <w:lang w:val="es-US"/>
        </w:rPr>
        <w:t>normativa; y iii) capacitar a</w:t>
      </w:r>
      <w:r w:rsidR="00563C2B">
        <w:rPr>
          <w:rFonts w:asciiTheme="majorHAnsi" w:eastAsia="Times New Roman" w:hAnsiTheme="majorHAnsi" w:cs="Tahoma"/>
          <w:sz w:val="20"/>
          <w:szCs w:val="20"/>
          <w:bdr w:val="none" w:sz="0" w:space="0" w:color="auto"/>
          <w:lang w:val="es-US"/>
        </w:rPr>
        <w:t xml:space="preserve"> las personas encargadas de evaluar la idoneidad del personal docente y a los</w:t>
      </w:r>
      <w:r w:rsidR="00E45628" w:rsidRPr="00D73C5B">
        <w:rPr>
          <w:rFonts w:asciiTheme="majorHAnsi" w:eastAsia="Times New Roman" w:hAnsiTheme="majorHAnsi" w:cs="Tahoma"/>
          <w:sz w:val="20"/>
          <w:szCs w:val="20"/>
          <w:bdr w:val="none" w:sz="0" w:space="0" w:color="auto"/>
          <w:lang w:val="es-US"/>
        </w:rPr>
        <w:t xml:space="preserve"> funcionarios judiciales de todas las instancias que estén llamados a conocer recursos de protección de derechos fundamentales</w:t>
      </w:r>
      <w:r w:rsidR="00D3790F" w:rsidRPr="00D73C5B">
        <w:rPr>
          <w:rFonts w:asciiTheme="majorHAnsi" w:eastAsia="Times New Roman" w:hAnsiTheme="majorHAnsi" w:cs="Tahoma"/>
          <w:sz w:val="20"/>
          <w:szCs w:val="20"/>
          <w:bdr w:val="none" w:sz="0" w:space="0" w:color="auto"/>
          <w:lang w:val="es-US"/>
        </w:rPr>
        <w:t>, sobre el alcance y contenido del principio de igualdad y no discriminación</w:t>
      </w:r>
      <w:r w:rsidR="00414AD7" w:rsidRPr="00D73C5B">
        <w:rPr>
          <w:rFonts w:asciiTheme="majorHAnsi" w:eastAsia="Times New Roman" w:hAnsiTheme="majorHAnsi" w:cs="Tahoma"/>
          <w:sz w:val="20"/>
          <w:szCs w:val="20"/>
          <w:bdr w:val="none" w:sz="0" w:space="0" w:color="auto"/>
          <w:lang w:val="es-US"/>
        </w:rPr>
        <w:t xml:space="preserve">, incluyendo </w:t>
      </w:r>
      <w:r w:rsidR="00D3790F" w:rsidRPr="00D73C5B">
        <w:rPr>
          <w:rFonts w:asciiTheme="majorHAnsi" w:eastAsia="Times New Roman" w:hAnsiTheme="majorHAnsi" w:cs="Tahoma"/>
          <w:sz w:val="20"/>
          <w:szCs w:val="20"/>
          <w:bdr w:val="none" w:sz="0" w:space="0" w:color="auto"/>
          <w:lang w:val="es-US"/>
        </w:rPr>
        <w:t>la prohibición de discriminación por orientación sexual</w:t>
      </w:r>
      <w:r w:rsidR="00414AD7" w:rsidRPr="00D73C5B">
        <w:rPr>
          <w:rFonts w:asciiTheme="majorHAnsi" w:eastAsia="Times New Roman" w:hAnsiTheme="majorHAnsi" w:cs="Tahoma"/>
          <w:sz w:val="20"/>
          <w:szCs w:val="20"/>
          <w:bdr w:val="none" w:sz="0" w:space="0" w:color="auto"/>
          <w:lang w:val="es-US"/>
        </w:rPr>
        <w:t xml:space="preserve">. </w:t>
      </w:r>
      <w:r w:rsidR="00D3790F" w:rsidRPr="00D73C5B">
        <w:rPr>
          <w:rFonts w:asciiTheme="majorHAnsi" w:eastAsia="Times New Roman" w:hAnsiTheme="majorHAnsi" w:cs="Tahoma"/>
          <w:sz w:val="20"/>
          <w:szCs w:val="20"/>
          <w:bdr w:val="none" w:sz="0" w:space="0" w:color="auto"/>
          <w:lang w:val="es-US"/>
        </w:rPr>
        <w:t xml:space="preserve"> </w:t>
      </w:r>
    </w:p>
    <w:p w:rsidR="00006896" w:rsidRDefault="00006896" w:rsidP="000D31F6">
      <w:pPr>
        <w:ind w:firstLine="720"/>
        <w:jc w:val="both"/>
        <w:rPr>
          <w:rFonts w:asciiTheme="majorHAnsi" w:hAnsiTheme="majorHAnsi"/>
          <w:b/>
          <w:sz w:val="20"/>
          <w:szCs w:val="20"/>
          <w:lang w:val="es-ES_tradnl"/>
        </w:rPr>
      </w:pPr>
    </w:p>
    <w:p w:rsidR="00633320" w:rsidRDefault="00633320" w:rsidP="000D31F6">
      <w:pPr>
        <w:ind w:firstLine="720"/>
        <w:jc w:val="both"/>
        <w:rPr>
          <w:rFonts w:asciiTheme="majorHAnsi" w:hAnsiTheme="majorHAnsi"/>
          <w:b/>
          <w:sz w:val="20"/>
          <w:szCs w:val="20"/>
          <w:lang w:val="es-ES_tradnl"/>
        </w:rPr>
      </w:pPr>
    </w:p>
    <w:p w:rsidR="00633320" w:rsidRDefault="00633320" w:rsidP="000D31F6">
      <w:pPr>
        <w:ind w:firstLine="720"/>
        <w:jc w:val="both"/>
        <w:rPr>
          <w:rFonts w:asciiTheme="majorHAnsi" w:hAnsiTheme="majorHAnsi"/>
          <w:b/>
          <w:sz w:val="20"/>
          <w:szCs w:val="20"/>
          <w:lang w:val="es-ES_tradnl"/>
        </w:rPr>
      </w:pPr>
    </w:p>
    <w:p w:rsidR="00633320" w:rsidRDefault="00633320" w:rsidP="000D31F6">
      <w:pPr>
        <w:ind w:firstLine="720"/>
        <w:jc w:val="both"/>
        <w:rPr>
          <w:rFonts w:asciiTheme="majorHAnsi" w:hAnsiTheme="majorHAnsi"/>
          <w:b/>
          <w:sz w:val="20"/>
          <w:szCs w:val="20"/>
          <w:lang w:val="es-ES_tradnl"/>
        </w:rPr>
      </w:pPr>
    </w:p>
    <w:p w:rsidR="00633320" w:rsidRDefault="00633320" w:rsidP="00633320">
      <w:pPr>
        <w:suppressAutoHyphens/>
        <w:jc w:val="both"/>
        <w:rPr>
          <w:rFonts w:ascii="Cambria" w:hAnsi="Cambria"/>
          <w:sz w:val="20"/>
          <w:szCs w:val="20"/>
          <w:lang w:val="es-AR"/>
        </w:rPr>
      </w:pPr>
    </w:p>
    <w:p w:rsidR="00633320" w:rsidRDefault="00633320" w:rsidP="00633320">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Washington, D.C. a los 7 días del mes de diciembre de 2018.  (Firmado): </w:t>
      </w:r>
      <w:proofErr w:type="spellStart"/>
      <w:r>
        <w:rPr>
          <w:rFonts w:ascii="Cambria" w:hAnsi="Cambria"/>
          <w:spacing w:val="-2"/>
          <w:sz w:val="20"/>
          <w:szCs w:val="20"/>
          <w:lang w:val="es-CL"/>
        </w:rPr>
        <w:t>Margarette</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Macaulay</w:t>
      </w:r>
      <w:proofErr w:type="spellEnd"/>
      <w:r>
        <w:rPr>
          <w:rFonts w:ascii="Cambria" w:hAnsi="Cambria"/>
          <w:spacing w:val="-2"/>
          <w:sz w:val="20"/>
          <w:szCs w:val="20"/>
          <w:lang w:val="es-CL"/>
        </w:rPr>
        <w:t xml:space="preserve">, Presidenta; Esmeralda Arosemena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Francisco José Eguiguren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y Flavia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B769E6" w:rsidRPr="00A37B82" w:rsidRDefault="00B769E6" w:rsidP="00B769E6">
      <w:pPr>
        <w:suppressAutoHyphens/>
        <w:ind w:firstLine="720"/>
        <w:jc w:val="both"/>
        <w:rPr>
          <w:rFonts w:asciiTheme="majorHAnsi" w:hAnsiTheme="majorHAnsi" w:cs="Arial"/>
          <w:noProof/>
          <w:spacing w:val="-2"/>
          <w:sz w:val="20"/>
          <w:szCs w:val="20"/>
          <w:lang w:val="es-CL"/>
        </w:rPr>
      </w:pPr>
    </w:p>
    <w:p w:rsidR="00D73767" w:rsidRDefault="00D73767" w:rsidP="00D73767">
      <w:pPr>
        <w:ind w:firstLine="720"/>
        <w:jc w:val="both"/>
        <w:rPr>
          <w:rFonts w:asciiTheme="majorHAnsi" w:hAnsiTheme="majorHAnsi" w:cs="Arial"/>
          <w:noProof/>
          <w:sz w:val="20"/>
          <w:szCs w:val="20"/>
          <w:lang w:val="es-CL"/>
        </w:rPr>
      </w:pPr>
      <w:bookmarkStart w:id="23" w:name="_GoBack"/>
      <w:bookmarkEnd w:id="23"/>
      <w:r>
        <w:rPr>
          <w:rFonts w:asciiTheme="majorHAnsi" w:hAnsiTheme="majorHAnsi" w:cs="Arial"/>
          <w:noProof/>
          <w:sz w:val="20"/>
          <w:szCs w:val="20"/>
          <w:lang w:val="es-CL"/>
        </w:rPr>
        <w:t>La que suscribe, Maria Claudia Pulido, por autorización del Secretario Ejecutivo de la Comisión Interamericana de Derechos Humanos, de conformidad con el artículo 49 del Reglamento de la Comisión, certifica que es copia fiel del original depositado en los archivos de la Secretaría de la CIDH.</w:t>
      </w:r>
    </w:p>
    <w:p w:rsidR="00D73767" w:rsidRDefault="00D73767" w:rsidP="00D73767">
      <w:pPr>
        <w:ind w:firstLine="720"/>
        <w:jc w:val="both"/>
        <w:rPr>
          <w:rFonts w:asciiTheme="majorHAnsi" w:hAnsiTheme="majorHAnsi" w:cs="Arial"/>
          <w:noProof/>
          <w:sz w:val="20"/>
          <w:szCs w:val="20"/>
          <w:lang w:val="es-CL"/>
        </w:rPr>
      </w:pPr>
    </w:p>
    <w:p w:rsidR="00D73767" w:rsidRDefault="00D73767" w:rsidP="00D73767">
      <w:pPr>
        <w:ind w:firstLine="720"/>
        <w:jc w:val="both"/>
        <w:rPr>
          <w:rFonts w:asciiTheme="majorHAnsi" w:hAnsiTheme="majorHAnsi" w:cs="Arial"/>
          <w:noProof/>
          <w:sz w:val="20"/>
          <w:szCs w:val="20"/>
          <w:lang w:val="es-CL"/>
        </w:rPr>
      </w:pPr>
    </w:p>
    <w:p w:rsidR="00D73767" w:rsidRDefault="00D73767" w:rsidP="00D73767">
      <w:pPr>
        <w:jc w:val="both"/>
        <w:rPr>
          <w:rFonts w:asciiTheme="majorHAnsi" w:hAnsiTheme="majorHAnsi" w:cs="Arial"/>
          <w:noProof/>
          <w:sz w:val="20"/>
          <w:szCs w:val="20"/>
          <w:lang w:val="es-CL"/>
        </w:rPr>
      </w:pPr>
    </w:p>
    <w:p w:rsidR="00D73767" w:rsidRDefault="00D73767" w:rsidP="00D73767">
      <w:pPr>
        <w:ind w:firstLine="720"/>
        <w:jc w:val="center"/>
        <w:rPr>
          <w:rFonts w:asciiTheme="majorHAnsi" w:hAnsiTheme="majorHAnsi" w:cs="Arial"/>
          <w:noProof/>
          <w:sz w:val="20"/>
          <w:szCs w:val="20"/>
          <w:lang w:val="es-CL"/>
        </w:rPr>
      </w:pPr>
    </w:p>
    <w:p w:rsidR="00D73767" w:rsidRDefault="00D73767" w:rsidP="00D73767">
      <w:pPr>
        <w:ind w:firstLine="720"/>
        <w:jc w:val="center"/>
        <w:rPr>
          <w:rFonts w:asciiTheme="majorHAnsi" w:hAnsiTheme="majorHAnsi" w:cs="Arial"/>
          <w:noProof/>
          <w:sz w:val="20"/>
          <w:szCs w:val="20"/>
          <w:lang w:val="es-CL"/>
        </w:rPr>
      </w:pPr>
      <w:r>
        <w:rPr>
          <w:rFonts w:asciiTheme="majorHAnsi" w:hAnsiTheme="majorHAnsi" w:cs="Arial"/>
          <w:noProof/>
          <w:sz w:val="20"/>
          <w:szCs w:val="20"/>
          <w:lang w:val="es-CL"/>
        </w:rPr>
        <w:t>Maria Claudia Pulido</w:t>
      </w:r>
    </w:p>
    <w:p w:rsidR="00D73767" w:rsidRDefault="00D73767" w:rsidP="00D73767">
      <w:pPr>
        <w:ind w:firstLine="720"/>
        <w:jc w:val="center"/>
        <w:rPr>
          <w:rFonts w:asciiTheme="majorHAnsi" w:hAnsiTheme="majorHAnsi"/>
          <w:spacing w:val="-2"/>
          <w:sz w:val="20"/>
          <w:szCs w:val="20"/>
          <w:lang w:val="es-CL"/>
        </w:rPr>
      </w:pPr>
      <w:r>
        <w:rPr>
          <w:rFonts w:asciiTheme="majorHAnsi" w:hAnsiTheme="majorHAnsi" w:cs="Arial"/>
          <w:noProof/>
          <w:sz w:val="20"/>
          <w:szCs w:val="20"/>
          <w:lang w:val="es-CL"/>
        </w:rPr>
        <w:t>Por autorización del Secretario Ejecutivo</w:t>
      </w:r>
    </w:p>
    <w:p w:rsidR="00D73767" w:rsidRDefault="00D73767" w:rsidP="00D73767">
      <w:pPr>
        <w:ind w:left="720" w:hanging="720"/>
        <w:jc w:val="center"/>
        <w:rPr>
          <w:rFonts w:asciiTheme="majorHAnsi" w:hAnsiTheme="majorHAnsi"/>
          <w:spacing w:val="-2"/>
          <w:sz w:val="20"/>
          <w:szCs w:val="20"/>
          <w:lang w:val="es-SV"/>
        </w:rPr>
      </w:pPr>
    </w:p>
    <w:p w:rsidR="00006896" w:rsidRPr="00B769E6" w:rsidRDefault="00006896" w:rsidP="00D73767">
      <w:pPr>
        <w:ind w:firstLine="720"/>
        <w:jc w:val="both"/>
        <w:rPr>
          <w:rFonts w:asciiTheme="majorHAnsi" w:hAnsiTheme="majorHAnsi"/>
          <w:color w:val="548DD4" w:themeColor="text2" w:themeTint="99"/>
          <w:sz w:val="20"/>
          <w:szCs w:val="20"/>
          <w:lang w:val="es-SV"/>
        </w:rPr>
      </w:pPr>
    </w:p>
    <w:sectPr w:rsidR="00006896" w:rsidRPr="00B769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E2" w:rsidRDefault="00505BE2">
      <w:r>
        <w:separator/>
      </w:r>
    </w:p>
  </w:endnote>
  <w:endnote w:type="continuationSeparator" w:id="0">
    <w:p w:rsidR="00505BE2" w:rsidRDefault="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1"/>
    <w:family w:val="roman"/>
    <w:notTrueType/>
    <w:pitch w:val="variable"/>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040E7" w:rsidRPr="00934A2C" w:rsidRDefault="00D040E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3767">
          <w:rPr>
            <w:noProof/>
            <w:sz w:val="16"/>
            <w:szCs w:val="22"/>
          </w:rPr>
          <w:t>1</w:t>
        </w:r>
        <w:r w:rsidRPr="00934A2C">
          <w:rPr>
            <w:noProof/>
            <w:sz w:val="16"/>
            <w:szCs w:val="22"/>
          </w:rPr>
          <w:fldChar w:fldCharType="end"/>
        </w:r>
      </w:p>
    </w:sdtContent>
  </w:sdt>
  <w:p w:rsidR="00D040E7" w:rsidRDefault="00D04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7" w:rsidRPr="00934A2C" w:rsidRDefault="00D040E7">
    <w:pPr>
      <w:pStyle w:val="Footer"/>
      <w:jc w:val="center"/>
      <w:rPr>
        <w:sz w:val="16"/>
        <w:szCs w:val="22"/>
      </w:rPr>
    </w:pPr>
  </w:p>
  <w:p w:rsidR="00D040E7" w:rsidRDefault="00D0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E2" w:rsidRPr="000F35ED" w:rsidRDefault="00505BE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05BE2" w:rsidRPr="000F35ED" w:rsidRDefault="00505BE2" w:rsidP="000F35ED">
      <w:pPr>
        <w:rPr>
          <w:rFonts w:asciiTheme="majorHAnsi" w:hAnsiTheme="majorHAnsi"/>
          <w:sz w:val="16"/>
          <w:szCs w:val="16"/>
        </w:rPr>
      </w:pPr>
      <w:r w:rsidRPr="000F35ED">
        <w:rPr>
          <w:rFonts w:asciiTheme="majorHAnsi" w:hAnsiTheme="majorHAnsi"/>
          <w:sz w:val="16"/>
          <w:szCs w:val="16"/>
        </w:rPr>
        <w:separator/>
      </w:r>
    </w:p>
    <w:p w:rsidR="00505BE2" w:rsidRPr="000F35ED" w:rsidRDefault="00505BE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05BE2" w:rsidRPr="000F35ED" w:rsidRDefault="00505BE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040E7" w:rsidRPr="00A16690" w:rsidRDefault="00D040E7" w:rsidP="002063C5">
      <w:pPr>
        <w:pStyle w:val="FootnoteText"/>
        <w:jc w:val="both"/>
        <w:rPr>
          <w:rFonts w:asciiTheme="majorHAnsi" w:hAnsiTheme="majorHAnsi"/>
          <w:sz w:val="16"/>
          <w:szCs w:val="16"/>
          <w:lang w:val="es-US"/>
        </w:rPr>
      </w:pPr>
      <w:r w:rsidRPr="00A16690">
        <w:rPr>
          <w:rStyle w:val="FootnoteReference"/>
          <w:rFonts w:asciiTheme="majorHAnsi" w:hAnsiTheme="majorHAnsi"/>
          <w:sz w:val="16"/>
          <w:szCs w:val="16"/>
        </w:rPr>
        <w:footnoteRef/>
      </w:r>
      <w:r w:rsidRPr="00A16690">
        <w:rPr>
          <w:rFonts w:asciiTheme="majorHAnsi" w:hAnsiTheme="majorHAnsi"/>
          <w:sz w:val="16"/>
          <w:szCs w:val="16"/>
          <w:lang w:val="es-US"/>
        </w:rPr>
        <w:t xml:space="preserve"> </w:t>
      </w:r>
      <w:r w:rsidRPr="00A16690">
        <w:rPr>
          <w:rFonts w:asciiTheme="majorHAnsi" w:hAnsiTheme="majorHAnsi"/>
          <w:sz w:val="16"/>
          <w:szCs w:val="16"/>
          <w:lang w:val="es-CO"/>
        </w:rPr>
        <w:t xml:space="preserve">Conforme a lo dispuesto en el artículo 17.2 del Reglamento de la Comisión, la Comisionada Antonia </w:t>
      </w:r>
      <w:proofErr w:type="spellStart"/>
      <w:r w:rsidRPr="00A16690">
        <w:rPr>
          <w:rFonts w:asciiTheme="majorHAnsi" w:hAnsiTheme="majorHAnsi"/>
          <w:sz w:val="16"/>
          <w:szCs w:val="16"/>
          <w:lang w:val="es-CO"/>
        </w:rPr>
        <w:t>Urrejola</w:t>
      </w:r>
      <w:proofErr w:type="spellEnd"/>
      <w:r w:rsidRPr="00A16690">
        <w:rPr>
          <w:rFonts w:asciiTheme="majorHAnsi" w:hAnsiTheme="majorHAnsi"/>
          <w:sz w:val="16"/>
          <w:szCs w:val="16"/>
          <w:lang w:val="es-CO"/>
        </w:rPr>
        <w:t xml:space="preserve"> de nacionalidad chilena, no participó en el debate ni en la decisión del presente cas</w:t>
      </w:r>
      <w:r w:rsidRPr="00A16690">
        <w:rPr>
          <w:rFonts w:asciiTheme="majorHAnsi" w:hAnsiTheme="majorHAnsi"/>
          <w:color w:val="auto"/>
          <w:sz w:val="16"/>
          <w:szCs w:val="16"/>
          <w:lang w:val="es-CO"/>
        </w:rPr>
        <w:t xml:space="preserve">o. </w:t>
      </w:r>
    </w:p>
  </w:footnote>
  <w:footnote w:id="3">
    <w:p w:rsidR="00D040E7" w:rsidRPr="00A16690" w:rsidRDefault="00D040E7" w:rsidP="002063C5">
      <w:pPr>
        <w:pStyle w:val="FootnoteText"/>
        <w:jc w:val="both"/>
        <w:rPr>
          <w:rFonts w:asciiTheme="majorHAnsi" w:hAnsiTheme="majorHAnsi"/>
          <w:sz w:val="16"/>
          <w:szCs w:val="16"/>
          <w:lang w:val="es-US"/>
        </w:rPr>
      </w:pPr>
      <w:r w:rsidRPr="00A16690">
        <w:rPr>
          <w:rStyle w:val="FootnoteReference"/>
          <w:rFonts w:asciiTheme="majorHAnsi" w:hAnsiTheme="majorHAnsi"/>
          <w:sz w:val="16"/>
          <w:szCs w:val="16"/>
        </w:rPr>
        <w:footnoteRef/>
      </w:r>
      <w:r w:rsidRPr="00A16690">
        <w:rPr>
          <w:rFonts w:asciiTheme="majorHAnsi" w:hAnsiTheme="majorHAnsi"/>
          <w:sz w:val="16"/>
          <w:szCs w:val="16"/>
          <w:lang w:val="es-US"/>
        </w:rPr>
        <w:t xml:space="preserve"> Con posterioridad Ciro </w:t>
      </w:r>
      <w:proofErr w:type="spellStart"/>
      <w:r w:rsidRPr="00A16690">
        <w:rPr>
          <w:rFonts w:asciiTheme="majorHAnsi" w:hAnsiTheme="majorHAnsi"/>
          <w:sz w:val="16"/>
          <w:szCs w:val="16"/>
          <w:lang w:val="es-US"/>
        </w:rPr>
        <w:t>Colombara</w:t>
      </w:r>
      <w:proofErr w:type="spellEnd"/>
      <w:r w:rsidRPr="00A16690">
        <w:rPr>
          <w:rFonts w:asciiTheme="majorHAnsi" w:hAnsiTheme="majorHAnsi"/>
          <w:sz w:val="16"/>
          <w:szCs w:val="16"/>
          <w:lang w:val="es-US"/>
        </w:rPr>
        <w:t xml:space="preserve"> López se incorporó como parte peticionaria mediante escrito recibido el 2 de febrero de 2016.</w:t>
      </w:r>
    </w:p>
  </w:footnote>
  <w:footnote w:id="4">
    <w:p w:rsidR="00D040E7" w:rsidRPr="00A16690" w:rsidRDefault="00D040E7" w:rsidP="002063C5">
      <w:pPr>
        <w:pStyle w:val="FootnoteText"/>
        <w:jc w:val="both"/>
        <w:rPr>
          <w:rFonts w:asciiTheme="majorHAnsi" w:hAnsiTheme="majorHAnsi"/>
          <w:sz w:val="16"/>
          <w:szCs w:val="16"/>
          <w:lang w:val="es-US"/>
        </w:rPr>
      </w:pPr>
      <w:r w:rsidRPr="00A16690">
        <w:rPr>
          <w:rStyle w:val="FootnoteReference"/>
          <w:rFonts w:asciiTheme="majorHAnsi" w:hAnsiTheme="majorHAnsi"/>
          <w:color w:val="auto"/>
          <w:sz w:val="16"/>
          <w:szCs w:val="16"/>
        </w:rPr>
        <w:footnoteRef/>
      </w:r>
      <w:r w:rsidRPr="00AC65E8">
        <w:rPr>
          <w:rFonts w:asciiTheme="majorHAnsi" w:hAnsiTheme="majorHAnsi"/>
          <w:color w:val="auto"/>
          <w:sz w:val="16"/>
          <w:szCs w:val="16"/>
          <w:lang w:val="es-PE"/>
        </w:rPr>
        <w:t xml:space="preserve"> CIDH. Informe No. 30/15. </w:t>
      </w:r>
      <w:r w:rsidRPr="00A16690">
        <w:rPr>
          <w:rFonts w:asciiTheme="majorHAnsi" w:hAnsiTheme="majorHAnsi"/>
          <w:color w:val="auto"/>
          <w:sz w:val="16"/>
          <w:szCs w:val="16"/>
          <w:lang w:val="es-US"/>
        </w:rPr>
        <w:t xml:space="preserve">Petición 1263-08. Admisibilidad. Sandra Cecilia </w:t>
      </w:r>
      <w:proofErr w:type="spellStart"/>
      <w:r w:rsidRPr="00A16690">
        <w:rPr>
          <w:rFonts w:asciiTheme="majorHAnsi" w:hAnsiTheme="majorHAnsi"/>
          <w:color w:val="auto"/>
          <w:sz w:val="16"/>
          <w:szCs w:val="16"/>
          <w:lang w:val="es-US"/>
        </w:rPr>
        <w:t>Pavez</w:t>
      </w:r>
      <w:proofErr w:type="spellEnd"/>
      <w:r w:rsidRPr="00A16690">
        <w:rPr>
          <w:rFonts w:asciiTheme="majorHAnsi" w:hAnsiTheme="majorHAnsi"/>
          <w:color w:val="auto"/>
          <w:sz w:val="16"/>
          <w:szCs w:val="16"/>
          <w:lang w:val="es-US"/>
        </w:rPr>
        <w:t xml:space="preserve"> </w:t>
      </w:r>
      <w:proofErr w:type="spellStart"/>
      <w:r w:rsidRPr="00A16690">
        <w:rPr>
          <w:rFonts w:asciiTheme="majorHAnsi" w:hAnsiTheme="majorHAnsi"/>
          <w:color w:val="auto"/>
          <w:sz w:val="16"/>
          <w:szCs w:val="16"/>
          <w:lang w:val="es-US"/>
        </w:rPr>
        <w:t>Pavez</w:t>
      </w:r>
      <w:proofErr w:type="spellEnd"/>
      <w:r w:rsidRPr="00A16690">
        <w:rPr>
          <w:rFonts w:asciiTheme="majorHAnsi" w:hAnsiTheme="majorHAnsi"/>
          <w:color w:val="auto"/>
          <w:sz w:val="16"/>
          <w:szCs w:val="16"/>
          <w:lang w:val="es-US"/>
        </w:rPr>
        <w:t xml:space="preserve">. Chile. 21 de julio de 2015. Los artículos declarados admisibles fueron 8, 11, 24 y 25 de la </w:t>
      </w:r>
      <w:proofErr w:type="spellStart"/>
      <w:r w:rsidRPr="00A16690">
        <w:rPr>
          <w:rFonts w:asciiTheme="majorHAnsi" w:hAnsiTheme="majorHAnsi"/>
          <w:color w:val="auto"/>
          <w:sz w:val="16"/>
          <w:szCs w:val="16"/>
          <w:lang w:val="es-US"/>
        </w:rPr>
        <w:t>Convenci</w:t>
      </w:r>
      <w:r w:rsidRPr="00A16690">
        <w:rPr>
          <w:rFonts w:asciiTheme="majorHAnsi" w:hAnsiTheme="majorHAnsi"/>
          <w:color w:val="auto"/>
          <w:sz w:val="16"/>
          <w:szCs w:val="16"/>
          <w:lang w:val="es-CO"/>
        </w:rPr>
        <w:t>ón</w:t>
      </w:r>
      <w:proofErr w:type="spellEnd"/>
      <w:r w:rsidRPr="00A16690">
        <w:rPr>
          <w:rFonts w:asciiTheme="majorHAnsi" w:hAnsiTheme="majorHAnsi"/>
          <w:color w:val="auto"/>
          <w:sz w:val="16"/>
          <w:szCs w:val="16"/>
          <w:lang w:val="es-CO"/>
        </w:rPr>
        <w:t xml:space="preserve"> Americana. </w:t>
      </w:r>
      <w:r w:rsidRPr="00A16690">
        <w:rPr>
          <w:rFonts w:asciiTheme="majorHAnsi" w:hAnsiTheme="majorHAnsi"/>
          <w:color w:val="auto"/>
          <w:sz w:val="16"/>
          <w:szCs w:val="16"/>
          <w:lang w:val="es-US"/>
        </w:rPr>
        <w:t xml:space="preserve"> </w:t>
      </w:r>
    </w:p>
  </w:footnote>
  <w:footnote w:id="5">
    <w:p w:rsidR="00D040E7" w:rsidRPr="00A16690" w:rsidRDefault="00D040E7" w:rsidP="002063C5">
      <w:pPr>
        <w:pStyle w:val="FootnoteText"/>
        <w:jc w:val="both"/>
        <w:rPr>
          <w:rFonts w:asciiTheme="majorHAnsi" w:hAnsiTheme="majorHAnsi"/>
          <w:sz w:val="16"/>
          <w:szCs w:val="16"/>
          <w:lang w:val="es-US"/>
        </w:rPr>
      </w:pPr>
      <w:r w:rsidRPr="00A16690">
        <w:rPr>
          <w:rStyle w:val="FootnoteReference"/>
          <w:rFonts w:asciiTheme="majorHAnsi" w:hAnsiTheme="majorHAnsi"/>
          <w:color w:val="auto"/>
          <w:sz w:val="16"/>
          <w:szCs w:val="16"/>
        </w:rPr>
        <w:footnoteRef/>
      </w:r>
      <w:r w:rsidRPr="00A16690">
        <w:rPr>
          <w:rFonts w:asciiTheme="majorHAnsi" w:hAnsiTheme="majorHAnsi"/>
          <w:color w:val="auto"/>
          <w:sz w:val="16"/>
          <w:szCs w:val="16"/>
          <w:lang w:val="es-US"/>
        </w:rPr>
        <w:t xml:space="preserve"> En escrito de 7 de noviembre de 2016 el Estado expresó su voluntad de iniciar un proceso de solución amistosa. La parte peticionaria no contestó dicha solicitud. </w:t>
      </w:r>
    </w:p>
  </w:footnote>
  <w:footnote w:id="6">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272F76">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7">
    <w:p w:rsidR="00D040E7" w:rsidRPr="00A16690" w:rsidRDefault="00D040E7" w:rsidP="002063C5">
      <w:pPr>
        <w:pStyle w:val="FootnoteText"/>
        <w:jc w:val="both"/>
        <w:rPr>
          <w:rFonts w:asciiTheme="majorHAnsi" w:hAnsiTheme="majorHAnsi" w:cstheme="minorBid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E301EF">
        <w:rPr>
          <w:rFonts w:asciiTheme="majorHAnsi" w:hAnsiTheme="majorHAnsi"/>
          <w:sz w:val="16"/>
          <w:szCs w:val="16"/>
          <w:lang w:val="es-ES"/>
        </w:rPr>
        <w:t>2</w:t>
      </w:r>
      <w:r w:rsidRPr="00A16690">
        <w:rPr>
          <w:rFonts w:asciiTheme="majorHAnsi" w:hAnsiTheme="majorHAnsi"/>
          <w:sz w:val="16"/>
          <w:szCs w:val="16"/>
          <w:lang w:val="es-ES"/>
        </w:rPr>
        <w:t xml:space="preserve">. Títulos obtenidos por Sandra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como Profesora de Religión, Catequista y Profesora de Religión Católica y Moral. Anexo al escrito de la parte peticionaria de 28 de octubre de 2008. </w:t>
      </w:r>
    </w:p>
  </w:footnote>
  <w:footnote w:id="8">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E301EF">
        <w:rPr>
          <w:rFonts w:asciiTheme="majorHAnsi" w:hAnsiTheme="majorHAnsi"/>
          <w:sz w:val="16"/>
          <w:szCs w:val="16"/>
          <w:lang w:val="es-ES"/>
        </w:rPr>
        <w:t>3</w:t>
      </w:r>
      <w:r w:rsidRPr="00A16690">
        <w:rPr>
          <w:rFonts w:asciiTheme="majorHAnsi" w:hAnsiTheme="majorHAnsi"/>
          <w:sz w:val="16"/>
          <w:szCs w:val="16"/>
          <w:lang w:val="es-ES"/>
        </w:rPr>
        <w:t xml:space="preserve">. Resolución No. 129 que dispone la contratación de Sandra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como profesora del Colegio Cardenal Antonio </w:t>
      </w:r>
      <w:proofErr w:type="spellStart"/>
      <w:r w:rsidRPr="00A16690">
        <w:rPr>
          <w:rFonts w:asciiTheme="majorHAnsi" w:hAnsiTheme="majorHAnsi"/>
          <w:sz w:val="16"/>
          <w:szCs w:val="16"/>
          <w:lang w:val="es-ES"/>
        </w:rPr>
        <w:t>Samoré</w:t>
      </w:r>
      <w:proofErr w:type="spellEnd"/>
      <w:r w:rsidRPr="00A16690">
        <w:rPr>
          <w:rFonts w:asciiTheme="majorHAnsi" w:hAnsiTheme="majorHAnsi"/>
          <w:sz w:val="16"/>
          <w:szCs w:val="16"/>
          <w:lang w:val="es-ES"/>
        </w:rPr>
        <w:t xml:space="preserve"> de 9 de abril de 1991. Anexo al escrito de la parte peticionaria de 28 de octubre de 2998. </w:t>
      </w:r>
    </w:p>
  </w:footnote>
  <w:footnote w:id="9">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28 de octubre de 2008.</w:t>
      </w:r>
    </w:p>
  </w:footnote>
  <w:footnote w:id="10">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05496F">
        <w:rPr>
          <w:rFonts w:asciiTheme="majorHAnsi" w:hAnsiTheme="majorHAnsi"/>
          <w:sz w:val="16"/>
          <w:szCs w:val="16"/>
          <w:lang w:val="es-ES"/>
        </w:rPr>
        <w:t>4</w:t>
      </w:r>
      <w:r w:rsidRPr="00A16690">
        <w:rPr>
          <w:rFonts w:asciiTheme="majorHAnsi" w:hAnsiTheme="majorHAnsi"/>
          <w:sz w:val="16"/>
          <w:szCs w:val="16"/>
          <w:lang w:val="es-ES"/>
        </w:rPr>
        <w:t xml:space="preserve">. Autorización No. 0176/06 Certificado de Idoneidad de Sandra Cecilia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de 30 de abril de 2006. Anexo al escrito de la parte peticionaria de 28 de octubre de 2008.</w:t>
      </w:r>
    </w:p>
  </w:footnote>
  <w:footnote w:id="11">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12">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13">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14">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15">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28 de octubre de 2008.</w:t>
      </w:r>
    </w:p>
  </w:footnote>
  <w:footnote w:id="16">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28 de octubre de 2008.</w:t>
      </w:r>
    </w:p>
  </w:footnote>
  <w:footnote w:id="17">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CE684D">
        <w:rPr>
          <w:rFonts w:asciiTheme="majorHAnsi" w:hAnsiTheme="majorHAnsi"/>
          <w:sz w:val="16"/>
          <w:szCs w:val="16"/>
          <w:lang w:val="es-ES"/>
        </w:rPr>
        <w:t>5</w:t>
      </w:r>
      <w:r w:rsidRPr="00A16690">
        <w:rPr>
          <w:rFonts w:asciiTheme="majorHAnsi" w:hAnsiTheme="majorHAnsi"/>
          <w:sz w:val="16"/>
          <w:szCs w:val="16"/>
          <w:lang w:val="es-ES"/>
        </w:rPr>
        <w:t xml:space="preserve">. Comunicación dirigida a Sandra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de la Vicaría para la Educación del Obispado de San Bernardo de 25 de julio de 2007. Anexo al escrito de la parte peticionaria de 28 de octubre de 2008.</w:t>
      </w:r>
    </w:p>
  </w:footnote>
  <w:footnote w:id="18">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525424">
        <w:rPr>
          <w:rFonts w:asciiTheme="majorHAnsi" w:hAnsiTheme="majorHAnsi"/>
          <w:sz w:val="16"/>
          <w:szCs w:val="16"/>
          <w:lang w:val="es-ES"/>
        </w:rPr>
        <w:t>5</w:t>
      </w:r>
      <w:r w:rsidRPr="00A16690">
        <w:rPr>
          <w:rFonts w:asciiTheme="majorHAnsi" w:hAnsiTheme="majorHAnsi"/>
          <w:sz w:val="16"/>
          <w:szCs w:val="16"/>
          <w:lang w:val="es-ES"/>
        </w:rPr>
        <w:t xml:space="preserve">. Comunicación dirigida a Sandra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de la Vicaría para la Educación del Obispado de San Bernardo de 25 de julio de 2007. Anexo al escrito de la parte peticionaria de 28 de octubre de 2008.</w:t>
      </w:r>
    </w:p>
  </w:footnote>
  <w:footnote w:id="19">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525424">
        <w:rPr>
          <w:rFonts w:asciiTheme="majorHAnsi" w:hAnsiTheme="majorHAnsi"/>
          <w:sz w:val="16"/>
          <w:szCs w:val="16"/>
          <w:lang w:val="es-ES"/>
        </w:rPr>
        <w:t>5</w:t>
      </w:r>
      <w:r w:rsidRPr="00A16690">
        <w:rPr>
          <w:rFonts w:asciiTheme="majorHAnsi" w:hAnsiTheme="majorHAnsi"/>
          <w:sz w:val="16"/>
          <w:szCs w:val="16"/>
          <w:lang w:val="es-ES"/>
        </w:rPr>
        <w:t xml:space="preserve">. Comunicación dirigida a Sandra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de la Vicaría para la Educación del Obispado de San Bernardo de 25 de julio de 2007. Anexo al escrito de la parte peticionaria de 28 de octubre de 2008.</w:t>
      </w:r>
    </w:p>
  </w:footnote>
  <w:footnote w:id="20">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525424">
        <w:rPr>
          <w:rFonts w:asciiTheme="majorHAnsi" w:hAnsiTheme="majorHAnsi"/>
          <w:sz w:val="16"/>
          <w:szCs w:val="16"/>
          <w:lang w:val="es-ES"/>
        </w:rPr>
        <w:t>5</w:t>
      </w:r>
      <w:r w:rsidRPr="00A16690">
        <w:rPr>
          <w:rFonts w:asciiTheme="majorHAnsi" w:hAnsiTheme="majorHAnsi"/>
          <w:sz w:val="16"/>
          <w:szCs w:val="16"/>
          <w:lang w:val="es-ES"/>
        </w:rPr>
        <w:t xml:space="preserve">. Comunicación dirigida a Sandra </w:t>
      </w:r>
      <w:proofErr w:type="spellStart"/>
      <w:r w:rsidRPr="00A16690">
        <w:rPr>
          <w:rFonts w:asciiTheme="majorHAnsi" w:hAnsiTheme="majorHAnsi"/>
          <w:sz w:val="16"/>
          <w:szCs w:val="16"/>
          <w:lang w:val="es-ES"/>
        </w:rPr>
        <w:t>Pavez</w:t>
      </w:r>
      <w:proofErr w:type="spellEnd"/>
      <w:r w:rsidRPr="00A16690">
        <w:rPr>
          <w:rFonts w:asciiTheme="majorHAnsi" w:hAnsiTheme="majorHAnsi"/>
          <w:sz w:val="16"/>
          <w:szCs w:val="16"/>
          <w:lang w:val="es-ES"/>
        </w:rPr>
        <w:t xml:space="preserve"> de la Vicaría para la Educación del Obispado de San Bernardo de 25 de julio de 2007. Anexo al escrito de la parte peticionaria de 28 de octubre de 2008.</w:t>
      </w:r>
    </w:p>
  </w:footnote>
  <w:footnote w:id="21">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2">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3">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4">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5">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6">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7">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A43174">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28">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28 de octubre de 2008.</w:t>
      </w:r>
    </w:p>
  </w:footnote>
  <w:footnote w:id="29">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Anexo </w:t>
      </w:r>
      <w:r w:rsidR="001C7892">
        <w:rPr>
          <w:rFonts w:asciiTheme="majorHAnsi" w:hAnsiTheme="majorHAnsi"/>
          <w:sz w:val="16"/>
          <w:szCs w:val="16"/>
          <w:lang w:val="es-ES"/>
        </w:rPr>
        <w:t>1</w:t>
      </w:r>
      <w:r w:rsidRPr="00A16690">
        <w:rPr>
          <w:rFonts w:asciiTheme="majorHAnsi" w:hAnsiTheme="majorHAnsi"/>
          <w:sz w:val="16"/>
          <w:szCs w:val="16"/>
          <w:lang w:val="es-ES"/>
        </w:rPr>
        <w:t>. Oficio No. 840-2008 de la Corte de Apelaciones de San Miguel de 13 de mayo de 2008. Anexo al escrito de la parte peticionaria de 28 de octubre de 2008.</w:t>
      </w:r>
    </w:p>
  </w:footnote>
  <w:footnote w:id="30">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31">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32">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28 de octubre de 2008.</w:t>
      </w:r>
    </w:p>
  </w:footnote>
  <w:footnote w:id="33">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34">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35">
    <w:p w:rsidR="00D040E7" w:rsidRPr="00A16690" w:rsidRDefault="00D040E7" w:rsidP="002063C5">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Escrito de la parte peticionaria de 5 de abril de 2016.</w:t>
      </w:r>
    </w:p>
  </w:footnote>
  <w:footnote w:id="36">
    <w:p w:rsidR="00D040E7" w:rsidRPr="008F0E62" w:rsidRDefault="00D040E7" w:rsidP="003C4EF4">
      <w:pPr>
        <w:pStyle w:val="FootnoteText"/>
        <w:jc w:val="both"/>
        <w:rPr>
          <w:rFonts w:asciiTheme="majorHAnsi" w:hAnsiTheme="majorHAnsi"/>
          <w:sz w:val="16"/>
          <w:szCs w:val="16"/>
          <w:lang w:val="es-US"/>
        </w:rPr>
      </w:pPr>
      <w:r w:rsidRPr="008F0E62">
        <w:rPr>
          <w:rStyle w:val="FootnoteReference"/>
          <w:rFonts w:asciiTheme="majorHAnsi" w:hAnsiTheme="majorHAnsi"/>
          <w:sz w:val="16"/>
          <w:szCs w:val="16"/>
        </w:rPr>
        <w:footnoteRef/>
      </w:r>
      <w:r w:rsidRPr="008F0E62">
        <w:rPr>
          <w:rFonts w:asciiTheme="majorHAnsi" w:hAnsiTheme="majorHAnsi"/>
          <w:sz w:val="16"/>
          <w:szCs w:val="16"/>
          <w:lang w:val="es-US"/>
        </w:rPr>
        <w:t xml:space="preserve"> El artículo 8 de la Convención Americana consagra en lo pertinente: </w:t>
      </w:r>
      <w:r w:rsidRPr="008F0E62">
        <w:rPr>
          <w:rFonts w:asciiTheme="majorHAnsi" w:hAnsiTheme="majorHAnsi"/>
          <w:sz w:val="16"/>
          <w:szCs w:val="16"/>
          <w:lang w:val="es-US"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8F0E62">
        <w:rPr>
          <w:rFonts w:asciiTheme="majorHAnsi" w:hAnsiTheme="majorHAnsi"/>
          <w:sz w:val="16"/>
          <w:szCs w:val="16"/>
          <w:lang w:val="es-US"/>
        </w:rPr>
        <w:t xml:space="preserve"> </w:t>
      </w:r>
    </w:p>
  </w:footnote>
  <w:footnote w:id="37">
    <w:p w:rsidR="00D040E7" w:rsidRPr="008F0E62" w:rsidRDefault="00D040E7" w:rsidP="00AC6629">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11 establece en lo pertinente que: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 </w:t>
      </w:r>
    </w:p>
  </w:footnote>
  <w:footnote w:id="38">
    <w:p w:rsidR="00D040E7" w:rsidRPr="007A560B" w:rsidRDefault="00D040E7" w:rsidP="00E66F4F">
      <w:pPr>
        <w:pStyle w:val="FootnoteText"/>
        <w:contextualSpacing/>
        <w:jc w:val="both"/>
        <w:rPr>
          <w:rFonts w:asciiTheme="majorHAnsi" w:hAnsiTheme="majorHAnsi"/>
          <w:sz w:val="16"/>
          <w:szCs w:val="16"/>
          <w:lang w:val="es-CO"/>
        </w:rPr>
      </w:pPr>
      <w:r w:rsidRPr="007A560B">
        <w:rPr>
          <w:rStyle w:val="FootnoteReference"/>
          <w:rFonts w:asciiTheme="majorHAnsi" w:hAnsiTheme="majorHAnsi"/>
          <w:sz w:val="16"/>
          <w:szCs w:val="16"/>
        </w:rPr>
        <w:footnoteRef/>
      </w:r>
      <w:r w:rsidRPr="007A560B">
        <w:rPr>
          <w:rFonts w:asciiTheme="majorHAnsi" w:hAnsiTheme="majorHAnsi"/>
          <w:sz w:val="16"/>
          <w:szCs w:val="16"/>
          <w:lang w:val="es-CO"/>
        </w:rPr>
        <w:t xml:space="preserve"> El artículo 23 de la Convención Americana establece, en lo relevante, que: 1. Todos los ciudadanos deben gozar de los siguientes derechos y oportunidades: (…) c. De tener acceso, en condiciones generales de igualdad, a las funciones públicas de su país. 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39">
    <w:p w:rsidR="00D040E7" w:rsidRPr="008F0E62" w:rsidRDefault="00D040E7" w:rsidP="00144AB8">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24 de la Convención Americana establece que todas las personas son iguales ante la ley. En consecuencia, tienen derecho, sin discriminación, a igual protección de la ley. </w:t>
      </w:r>
    </w:p>
  </w:footnote>
  <w:footnote w:id="40">
    <w:p w:rsidR="00D040E7" w:rsidRPr="008F0E62" w:rsidRDefault="00D040E7" w:rsidP="00877CB3">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25.1 de la Convención Americana establece que: </w:t>
      </w:r>
      <w:r w:rsidRPr="008F0E62">
        <w:rPr>
          <w:rFonts w:asciiTheme="majorHAnsi" w:hAnsiTheme="majorHAnsi" w:cs="Tahoma"/>
          <w:sz w:val="16"/>
          <w:szCs w:val="16"/>
          <w:lang w:val="es-VE"/>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41">
    <w:p w:rsidR="00D040E7" w:rsidRPr="008F0E62" w:rsidRDefault="00D040E7" w:rsidP="003C4EF4">
      <w:pPr>
        <w:pStyle w:val="FootnoteText"/>
        <w:jc w:val="both"/>
        <w:rPr>
          <w:rFonts w:asciiTheme="majorHAnsi" w:hAnsiTheme="majorHAnsi"/>
          <w:sz w:val="16"/>
          <w:szCs w:val="16"/>
          <w:lang w:val="es-VE"/>
        </w:rPr>
      </w:pPr>
      <w:r w:rsidRPr="008F0E62">
        <w:rPr>
          <w:rStyle w:val="FootnoteReference"/>
          <w:rFonts w:asciiTheme="majorHAnsi" w:hAnsiTheme="majorHAnsi"/>
          <w:sz w:val="16"/>
          <w:szCs w:val="16"/>
        </w:rPr>
        <w:footnoteRef/>
      </w:r>
      <w:r w:rsidRPr="008F0E62">
        <w:rPr>
          <w:rFonts w:asciiTheme="majorHAnsi" w:hAnsiTheme="majorHAnsi"/>
          <w:sz w:val="16"/>
          <w:szCs w:val="16"/>
          <w:lang w:val="es-VE"/>
        </w:rPr>
        <w:t xml:space="preserve"> El artículo 26 establece que los Estados Partes se comprometen a </w:t>
      </w:r>
      <w:r w:rsidRPr="008F0E62">
        <w:rPr>
          <w:rFonts w:asciiTheme="majorHAnsi" w:hAnsiTheme="majorHAnsi" w:cs="Tahoma"/>
          <w:sz w:val="16"/>
          <w:szCs w:val="16"/>
          <w:lang w:val="es-VE"/>
        </w:rPr>
        <w:t>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42">
    <w:p w:rsidR="00D040E7" w:rsidRPr="00A16690" w:rsidRDefault="00D040E7" w:rsidP="002063C5">
      <w:pPr>
        <w:jc w:val="both"/>
        <w:rPr>
          <w:rFonts w:asciiTheme="majorHAnsi" w:hAnsiTheme="majorHAnsi"/>
          <w:bCs/>
          <w:sz w:val="16"/>
          <w:szCs w:val="16"/>
          <w:lang w:val="es-CO"/>
        </w:rPr>
      </w:pPr>
      <w:r w:rsidRPr="00A16690">
        <w:rPr>
          <w:rStyle w:val="FootnoteReference"/>
          <w:rFonts w:asciiTheme="majorHAnsi" w:hAnsiTheme="majorHAnsi"/>
          <w:sz w:val="16"/>
          <w:szCs w:val="16"/>
        </w:rPr>
        <w:footnoteRef/>
      </w:r>
      <w:r w:rsidRPr="00AC65E8">
        <w:rPr>
          <w:rFonts w:asciiTheme="majorHAnsi" w:hAnsiTheme="majorHAnsi"/>
          <w:sz w:val="16"/>
          <w:szCs w:val="16"/>
          <w:lang w:val="pt-BR"/>
        </w:rPr>
        <w:t xml:space="preserve"> </w:t>
      </w:r>
      <w:r w:rsidRPr="00AC65E8">
        <w:rPr>
          <w:rStyle w:val="Strong"/>
          <w:rFonts w:asciiTheme="majorHAnsi" w:hAnsiTheme="majorHAnsi"/>
          <w:b w:val="0"/>
          <w:sz w:val="16"/>
          <w:szCs w:val="16"/>
          <w:lang w:val="pt-BR"/>
        </w:rPr>
        <w:t xml:space="preserve">Corte IDH. Caso Flor Freire Vs. </w:t>
      </w:r>
      <w:r w:rsidRPr="00A16690">
        <w:rPr>
          <w:rStyle w:val="Strong"/>
          <w:rFonts w:asciiTheme="majorHAnsi" w:hAnsiTheme="majorHAnsi"/>
          <w:b w:val="0"/>
          <w:sz w:val="16"/>
          <w:szCs w:val="16"/>
          <w:lang w:val="es-CO"/>
        </w:rPr>
        <w:t xml:space="preserve">Ecuador. Excepción Preliminar, Fondo, Reparaciones y Costas. Sentencia de 31 de agosto de 2016. Serie C No. 315. Párr. 109. </w:t>
      </w:r>
    </w:p>
  </w:footnote>
  <w:footnote w:id="43">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Fonts w:asciiTheme="majorHAnsi" w:eastAsia="Times New Roman" w:hAnsiTheme="majorHAnsi"/>
          <w:bCs/>
          <w:sz w:val="16"/>
          <w:szCs w:val="16"/>
          <w:lang w:val="es-CO"/>
        </w:rPr>
        <w:t xml:space="preserve">Corte IDH. Caso </w:t>
      </w:r>
      <w:proofErr w:type="spellStart"/>
      <w:r w:rsidRPr="00A16690">
        <w:rPr>
          <w:rFonts w:asciiTheme="majorHAnsi" w:eastAsia="Times New Roman" w:hAnsiTheme="majorHAnsi"/>
          <w:bCs/>
          <w:sz w:val="16"/>
          <w:szCs w:val="16"/>
          <w:lang w:val="es-CO"/>
        </w:rPr>
        <w:t>Furlan</w:t>
      </w:r>
      <w:proofErr w:type="spellEnd"/>
      <w:r w:rsidRPr="00A16690">
        <w:rPr>
          <w:rFonts w:asciiTheme="majorHAnsi" w:eastAsia="Times New Roman" w:hAnsiTheme="majorHAnsi"/>
          <w:bCs/>
          <w:sz w:val="16"/>
          <w:szCs w:val="16"/>
          <w:lang w:val="es-CO"/>
        </w:rPr>
        <w:t xml:space="preserve"> y familiares Vs. Argentina. Excepciones Preliminares, Fondo, Reparaciones y Costas. Sentencia de 31 de agosto de 2012. Serie C No. 246. Párr. 267.</w:t>
      </w:r>
    </w:p>
  </w:footnote>
  <w:footnote w:id="44">
    <w:p w:rsidR="00D040E7" w:rsidRPr="00A16690" w:rsidRDefault="00D040E7" w:rsidP="002063C5">
      <w:pPr>
        <w:jc w:val="both"/>
        <w:rPr>
          <w:rFonts w:asciiTheme="majorHAnsi" w:eastAsia="Times New Roman"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Fonts w:asciiTheme="majorHAnsi" w:eastAsia="Times New Roman" w:hAnsiTheme="majorHAnsi"/>
          <w:bCs/>
          <w:color w:val="000000"/>
          <w:sz w:val="16"/>
          <w:szCs w:val="16"/>
          <w:lang w:val="es-CO"/>
        </w:rPr>
        <w:t xml:space="preserve">Corte IDH. Propuesta de modificación a la Constitución Política de Costa Rica relacionada con la naturalización. Opinión Consultiva OC-4/84 de 19 de enero de 1984. Serie A No. 4. </w:t>
      </w:r>
      <w:proofErr w:type="spellStart"/>
      <w:r w:rsidRPr="00A16690">
        <w:rPr>
          <w:rFonts w:asciiTheme="majorHAnsi" w:eastAsia="Times New Roman" w:hAnsiTheme="majorHAnsi"/>
          <w:bCs/>
          <w:color w:val="000000"/>
          <w:sz w:val="16"/>
          <w:szCs w:val="16"/>
          <w:lang w:val="es-CO"/>
        </w:rPr>
        <w:t>Párrs</w:t>
      </w:r>
      <w:proofErr w:type="spellEnd"/>
      <w:r w:rsidRPr="00A16690">
        <w:rPr>
          <w:rFonts w:asciiTheme="majorHAnsi" w:eastAsia="Times New Roman" w:hAnsiTheme="majorHAnsi"/>
          <w:bCs/>
          <w:color w:val="000000"/>
          <w:sz w:val="16"/>
          <w:szCs w:val="16"/>
          <w:lang w:val="es-CO"/>
        </w:rPr>
        <w:t xml:space="preserve">. 55 y 56. </w:t>
      </w:r>
    </w:p>
  </w:footnote>
  <w:footnote w:id="45">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Atala</w:t>
      </w:r>
      <w:proofErr w:type="spellEnd"/>
      <w:r w:rsidRPr="00A16690">
        <w:rPr>
          <w:rStyle w:val="Strong"/>
          <w:rFonts w:asciiTheme="majorHAnsi" w:hAnsiTheme="majorHAnsi"/>
          <w:b w:val="0"/>
          <w:sz w:val="16"/>
          <w:szCs w:val="16"/>
          <w:lang w:val="es-CO"/>
        </w:rPr>
        <w:t xml:space="preserve"> </w:t>
      </w:r>
      <w:proofErr w:type="spellStart"/>
      <w:r w:rsidRPr="00A16690">
        <w:rPr>
          <w:rStyle w:val="Strong"/>
          <w:rFonts w:asciiTheme="majorHAnsi" w:hAnsiTheme="majorHAnsi"/>
          <w:b w:val="0"/>
          <w:sz w:val="16"/>
          <w:szCs w:val="16"/>
          <w:lang w:val="es-CO"/>
        </w:rPr>
        <w:t>Riffo</w:t>
      </w:r>
      <w:proofErr w:type="spellEnd"/>
      <w:r w:rsidRPr="00A16690">
        <w:rPr>
          <w:rStyle w:val="Strong"/>
          <w:rFonts w:asciiTheme="majorHAnsi" w:hAnsiTheme="majorHAnsi"/>
          <w:b w:val="0"/>
          <w:sz w:val="16"/>
          <w:szCs w:val="16"/>
          <w:lang w:val="es-CO"/>
        </w:rPr>
        <w:t xml:space="preserve"> y niñas Vs. Chile. Fondo, Reparaciones y Costas. Sentencia de 24 de febrero de 2012. Serie C No. 239. Párr. </w:t>
      </w:r>
      <w:r w:rsidRPr="00A16690">
        <w:rPr>
          <w:rFonts w:asciiTheme="majorHAnsi" w:hAnsiTheme="majorHAnsi"/>
          <w:sz w:val="16"/>
          <w:szCs w:val="16"/>
          <w:lang w:val="es-CO"/>
        </w:rPr>
        <w:t xml:space="preserve">91 y 93. </w:t>
      </w:r>
    </w:p>
  </w:footnote>
  <w:footnote w:id="46">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D73767">
        <w:rPr>
          <w:rFonts w:asciiTheme="majorHAnsi" w:hAnsiTheme="majorHAnsi"/>
          <w:sz w:val="16"/>
          <w:szCs w:val="16"/>
          <w:lang w:val="es-PE"/>
        </w:rPr>
        <w:t xml:space="preserve"> </w:t>
      </w:r>
      <w:r w:rsidRPr="00D73767">
        <w:rPr>
          <w:rStyle w:val="Strong"/>
          <w:rFonts w:asciiTheme="majorHAnsi" w:hAnsiTheme="majorHAnsi"/>
          <w:b w:val="0"/>
          <w:sz w:val="16"/>
          <w:szCs w:val="16"/>
          <w:lang w:val="es-PE"/>
        </w:rPr>
        <w:t xml:space="preserve">Corte IDH. Caso Duque Vs. </w:t>
      </w:r>
      <w:r w:rsidRPr="00A16690">
        <w:rPr>
          <w:rStyle w:val="Strong"/>
          <w:rFonts w:asciiTheme="majorHAnsi" w:hAnsiTheme="majorHAnsi"/>
          <w:b w:val="0"/>
          <w:sz w:val="16"/>
          <w:szCs w:val="16"/>
          <w:lang w:val="es-CO"/>
        </w:rPr>
        <w:t>Colombia. Excepciones Preliminares, Fondo, Reparaciones y Costas. Sentencia de 26 de febrero de 2016. Serie C No. 310.</w:t>
      </w:r>
      <w:r w:rsidRPr="00A16690">
        <w:rPr>
          <w:rFonts w:asciiTheme="majorHAnsi" w:hAnsiTheme="majorHAnsi"/>
          <w:sz w:val="16"/>
          <w:szCs w:val="16"/>
          <w:lang w:val="es-CO"/>
        </w:rPr>
        <w:t xml:space="preserve"> Párr. 104. </w:t>
      </w:r>
    </w:p>
  </w:footnote>
  <w:footnote w:id="47">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Duque Vs. Colombia. Excepciones Preliminares, Fondo, Reparaciones y Costas. </w:t>
      </w:r>
      <w:r w:rsidRPr="00AC65E8">
        <w:rPr>
          <w:rStyle w:val="Strong"/>
          <w:rFonts w:asciiTheme="majorHAnsi" w:hAnsiTheme="majorHAnsi"/>
          <w:b w:val="0"/>
          <w:sz w:val="16"/>
          <w:szCs w:val="16"/>
          <w:lang w:val="es-PE"/>
        </w:rPr>
        <w:t>Sentencia de 26 de febrero de 2016. Serie C No. 310.</w:t>
      </w:r>
      <w:r w:rsidRPr="00AC65E8">
        <w:rPr>
          <w:rFonts w:asciiTheme="majorHAnsi" w:hAnsiTheme="majorHAnsi"/>
          <w:sz w:val="16"/>
          <w:szCs w:val="16"/>
          <w:lang w:val="es-PE"/>
        </w:rPr>
        <w:t xml:space="preserve"> </w:t>
      </w:r>
      <w:r w:rsidRPr="00A16690">
        <w:rPr>
          <w:rFonts w:asciiTheme="majorHAnsi" w:hAnsiTheme="majorHAnsi"/>
          <w:sz w:val="16"/>
          <w:szCs w:val="16"/>
          <w:lang w:val="es-CO"/>
        </w:rPr>
        <w:t xml:space="preserve">Párr. 105. </w:t>
      </w:r>
    </w:p>
  </w:footnote>
  <w:footnote w:id="48">
    <w:p w:rsidR="00D040E7" w:rsidRPr="00A16690" w:rsidRDefault="00D040E7" w:rsidP="002063C5">
      <w:pPr>
        <w:pStyle w:val="FootnoteText"/>
        <w:tabs>
          <w:tab w:val="left" w:pos="426"/>
          <w:tab w:val="left" w:pos="540"/>
        </w:tabs>
        <w:ind w:right="43"/>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Atala</w:t>
      </w:r>
      <w:proofErr w:type="spellEnd"/>
      <w:r w:rsidRPr="00A16690">
        <w:rPr>
          <w:rStyle w:val="Strong"/>
          <w:rFonts w:asciiTheme="majorHAnsi" w:hAnsiTheme="majorHAnsi"/>
          <w:b w:val="0"/>
          <w:sz w:val="16"/>
          <w:szCs w:val="16"/>
          <w:lang w:val="es-CO"/>
        </w:rPr>
        <w:t xml:space="preserve"> </w:t>
      </w:r>
      <w:proofErr w:type="spellStart"/>
      <w:r w:rsidRPr="00A16690">
        <w:rPr>
          <w:rStyle w:val="Strong"/>
          <w:rFonts w:asciiTheme="majorHAnsi" w:hAnsiTheme="majorHAnsi"/>
          <w:b w:val="0"/>
          <w:sz w:val="16"/>
          <w:szCs w:val="16"/>
          <w:lang w:val="es-CO"/>
        </w:rPr>
        <w:t>Riffo</w:t>
      </w:r>
      <w:proofErr w:type="spellEnd"/>
      <w:r w:rsidRPr="00A16690">
        <w:rPr>
          <w:rStyle w:val="Strong"/>
          <w:rFonts w:asciiTheme="majorHAnsi" w:hAnsiTheme="majorHAnsi"/>
          <w:b w:val="0"/>
          <w:sz w:val="16"/>
          <w:szCs w:val="16"/>
          <w:lang w:val="es-CO"/>
        </w:rPr>
        <w:t xml:space="preserve"> y niñas Vs. Chile. Fondo, Reparaciones y Costas. Sentencia de 24 de febrero de 2012. Serie C No. 239. Párr. </w:t>
      </w:r>
      <w:r w:rsidRPr="00A16690">
        <w:rPr>
          <w:rFonts w:asciiTheme="majorHAnsi" w:hAnsiTheme="majorHAnsi"/>
          <w:sz w:val="16"/>
          <w:szCs w:val="16"/>
          <w:lang w:val="es-MX"/>
        </w:rPr>
        <w:t xml:space="preserve">161. </w:t>
      </w:r>
    </w:p>
  </w:footnote>
  <w:footnote w:id="49">
    <w:p w:rsidR="00D040E7" w:rsidRPr="00A16690" w:rsidRDefault="00D040E7" w:rsidP="002063C5">
      <w:pPr>
        <w:pStyle w:val="FootnoteText"/>
        <w:tabs>
          <w:tab w:val="left" w:pos="720"/>
        </w:tabs>
        <w:jc w:val="both"/>
        <w:rPr>
          <w:rFonts w:asciiTheme="majorHAnsi" w:hAnsiTheme="majorHAnsi" w:cs="Verdana"/>
          <w:sz w:val="16"/>
          <w:szCs w:val="16"/>
          <w:lang w:val="es-CO" w:bidi="en-US"/>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Atala</w:t>
      </w:r>
      <w:proofErr w:type="spellEnd"/>
      <w:r w:rsidRPr="00A16690">
        <w:rPr>
          <w:rStyle w:val="Strong"/>
          <w:rFonts w:asciiTheme="majorHAnsi" w:hAnsiTheme="majorHAnsi"/>
          <w:b w:val="0"/>
          <w:sz w:val="16"/>
          <w:szCs w:val="16"/>
          <w:lang w:val="es-CO"/>
        </w:rPr>
        <w:t xml:space="preserve"> </w:t>
      </w:r>
      <w:proofErr w:type="spellStart"/>
      <w:r w:rsidRPr="00A16690">
        <w:rPr>
          <w:rStyle w:val="Strong"/>
          <w:rFonts w:asciiTheme="majorHAnsi" w:hAnsiTheme="majorHAnsi"/>
          <w:b w:val="0"/>
          <w:sz w:val="16"/>
          <w:szCs w:val="16"/>
          <w:lang w:val="es-CO"/>
        </w:rPr>
        <w:t>Riffo</w:t>
      </w:r>
      <w:proofErr w:type="spellEnd"/>
      <w:r w:rsidRPr="00A16690">
        <w:rPr>
          <w:rStyle w:val="Strong"/>
          <w:rFonts w:asciiTheme="majorHAnsi" w:hAnsiTheme="majorHAnsi"/>
          <w:b w:val="0"/>
          <w:sz w:val="16"/>
          <w:szCs w:val="16"/>
          <w:lang w:val="es-CO"/>
        </w:rPr>
        <w:t xml:space="preserve"> y niñas Vs. Chile. Fondo, Reparaciones y Costas. Sentencia de 24 de febrero de 2012. Serie C No. 239. Párr. </w:t>
      </w:r>
      <w:r w:rsidRPr="00A16690">
        <w:rPr>
          <w:rFonts w:asciiTheme="majorHAnsi" w:hAnsiTheme="majorHAnsi"/>
          <w:sz w:val="16"/>
          <w:szCs w:val="16"/>
          <w:lang w:val="es-CO"/>
        </w:rPr>
        <w:t xml:space="preserve">162. </w:t>
      </w:r>
    </w:p>
  </w:footnote>
  <w:footnote w:id="50">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Atala</w:t>
      </w:r>
      <w:proofErr w:type="spellEnd"/>
      <w:r w:rsidRPr="00A16690">
        <w:rPr>
          <w:rStyle w:val="Strong"/>
          <w:rFonts w:asciiTheme="majorHAnsi" w:hAnsiTheme="majorHAnsi"/>
          <w:b w:val="0"/>
          <w:sz w:val="16"/>
          <w:szCs w:val="16"/>
          <w:lang w:val="es-CO"/>
        </w:rPr>
        <w:t xml:space="preserve"> </w:t>
      </w:r>
      <w:proofErr w:type="spellStart"/>
      <w:r w:rsidRPr="00A16690">
        <w:rPr>
          <w:rStyle w:val="Strong"/>
          <w:rFonts w:asciiTheme="majorHAnsi" w:hAnsiTheme="majorHAnsi"/>
          <w:b w:val="0"/>
          <w:sz w:val="16"/>
          <w:szCs w:val="16"/>
          <w:lang w:val="es-CO"/>
        </w:rPr>
        <w:t>Riffo</w:t>
      </w:r>
      <w:proofErr w:type="spellEnd"/>
      <w:r w:rsidRPr="00A16690">
        <w:rPr>
          <w:rStyle w:val="Strong"/>
          <w:rFonts w:asciiTheme="majorHAnsi" w:hAnsiTheme="majorHAnsi"/>
          <w:b w:val="0"/>
          <w:sz w:val="16"/>
          <w:szCs w:val="16"/>
          <w:lang w:val="es-CO"/>
        </w:rPr>
        <w:t xml:space="preserve"> y niñas Vs. Chile. Fondo, Reparaciones y Costas. Sentencia de 24 de febrero de 2012. Serie C No. 239. Párr. </w:t>
      </w:r>
      <w:r w:rsidRPr="00A16690">
        <w:rPr>
          <w:rFonts w:asciiTheme="majorHAnsi" w:hAnsiTheme="majorHAnsi"/>
          <w:sz w:val="16"/>
          <w:szCs w:val="16"/>
          <w:lang w:val="es-CO"/>
        </w:rPr>
        <w:t xml:space="preserve">165. </w:t>
      </w:r>
    </w:p>
  </w:footnote>
  <w:footnote w:id="51">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Atala</w:t>
      </w:r>
      <w:proofErr w:type="spellEnd"/>
      <w:r w:rsidRPr="00A16690">
        <w:rPr>
          <w:rStyle w:val="Strong"/>
          <w:rFonts w:asciiTheme="majorHAnsi" w:hAnsiTheme="majorHAnsi"/>
          <w:b w:val="0"/>
          <w:sz w:val="16"/>
          <w:szCs w:val="16"/>
          <w:lang w:val="es-CO"/>
        </w:rPr>
        <w:t xml:space="preserve"> </w:t>
      </w:r>
      <w:proofErr w:type="spellStart"/>
      <w:r w:rsidRPr="00A16690">
        <w:rPr>
          <w:rStyle w:val="Strong"/>
          <w:rFonts w:asciiTheme="majorHAnsi" w:hAnsiTheme="majorHAnsi"/>
          <w:b w:val="0"/>
          <w:sz w:val="16"/>
          <w:szCs w:val="16"/>
          <w:lang w:val="es-CO"/>
        </w:rPr>
        <w:t>Riffo</w:t>
      </w:r>
      <w:proofErr w:type="spellEnd"/>
      <w:r w:rsidRPr="00A16690">
        <w:rPr>
          <w:rStyle w:val="Strong"/>
          <w:rFonts w:asciiTheme="majorHAnsi" w:hAnsiTheme="majorHAnsi"/>
          <w:b w:val="0"/>
          <w:sz w:val="16"/>
          <w:szCs w:val="16"/>
          <w:lang w:val="es-CO"/>
        </w:rPr>
        <w:t xml:space="preserve"> y niñas Vs. Chile. Fondo, Reparaciones y Costas. Sentencia de 24 de febrero de 2012. </w:t>
      </w:r>
      <w:r w:rsidRPr="00AC65E8">
        <w:rPr>
          <w:rStyle w:val="Strong"/>
          <w:rFonts w:asciiTheme="majorHAnsi" w:hAnsiTheme="majorHAnsi"/>
          <w:b w:val="0"/>
          <w:sz w:val="16"/>
          <w:szCs w:val="16"/>
          <w:lang w:val="es-PE"/>
        </w:rPr>
        <w:t xml:space="preserve">Serie C No. 239. Párr. </w:t>
      </w:r>
      <w:r w:rsidRPr="00A16690">
        <w:rPr>
          <w:rFonts w:asciiTheme="majorHAnsi" w:hAnsiTheme="majorHAnsi"/>
          <w:sz w:val="16"/>
          <w:szCs w:val="16"/>
          <w:lang w:val="es-CO"/>
        </w:rPr>
        <w:t xml:space="preserve">166. </w:t>
      </w:r>
    </w:p>
  </w:footnote>
  <w:footnote w:id="52">
    <w:p w:rsidR="00D040E7" w:rsidRPr="00A16690" w:rsidRDefault="00D040E7" w:rsidP="002063C5">
      <w:pPr>
        <w:pStyle w:val="FootnoteText"/>
        <w:jc w:val="both"/>
        <w:rPr>
          <w:rFonts w:asciiTheme="majorHAnsi" w:hAnsiTheme="majorHAnsi"/>
          <w:sz w:val="16"/>
          <w:szCs w:val="16"/>
          <w:lang w:val="es-VE"/>
        </w:rPr>
      </w:pPr>
      <w:r w:rsidRPr="00A16690">
        <w:rPr>
          <w:rStyle w:val="FootnoteReference"/>
          <w:rFonts w:asciiTheme="majorHAnsi" w:hAnsiTheme="majorHAnsi"/>
          <w:sz w:val="16"/>
          <w:szCs w:val="16"/>
        </w:rPr>
        <w:footnoteRef/>
      </w:r>
      <w:r w:rsidRPr="00A16690">
        <w:rPr>
          <w:rFonts w:asciiTheme="majorHAnsi" w:hAnsiTheme="majorHAnsi"/>
          <w:sz w:val="16"/>
          <w:szCs w:val="16"/>
          <w:lang w:val="es-VE"/>
        </w:rPr>
        <w:t xml:space="preserve"> Corte IDH, Caso </w:t>
      </w:r>
      <w:proofErr w:type="spellStart"/>
      <w:r w:rsidRPr="00A16690">
        <w:rPr>
          <w:rFonts w:asciiTheme="majorHAnsi" w:hAnsiTheme="majorHAnsi"/>
          <w:sz w:val="16"/>
          <w:szCs w:val="16"/>
          <w:lang w:val="es-VE"/>
        </w:rPr>
        <w:t>Artavia</w:t>
      </w:r>
      <w:proofErr w:type="spellEnd"/>
      <w:r w:rsidRPr="00A16690">
        <w:rPr>
          <w:rFonts w:asciiTheme="majorHAnsi" w:hAnsiTheme="majorHAnsi"/>
          <w:sz w:val="16"/>
          <w:szCs w:val="16"/>
          <w:lang w:val="es-VE"/>
        </w:rPr>
        <w:t xml:space="preserve"> Murillo y otros (“Fecundación in Vitro”) vs. Costa Rica. Excepciones Preliminares, Fondo, Reparaciones y Costas. Sentencia de 28 de noviembre de 2012. Serie C No. 257, párr. 273; y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Atala</w:t>
      </w:r>
      <w:proofErr w:type="spellEnd"/>
      <w:r w:rsidRPr="00A16690">
        <w:rPr>
          <w:rStyle w:val="Strong"/>
          <w:rFonts w:asciiTheme="majorHAnsi" w:hAnsiTheme="majorHAnsi"/>
          <w:b w:val="0"/>
          <w:sz w:val="16"/>
          <w:szCs w:val="16"/>
          <w:lang w:val="es-CO"/>
        </w:rPr>
        <w:t xml:space="preserve"> </w:t>
      </w:r>
      <w:proofErr w:type="spellStart"/>
      <w:r w:rsidRPr="00A16690">
        <w:rPr>
          <w:rStyle w:val="Strong"/>
          <w:rFonts w:asciiTheme="majorHAnsi" w:hAnsiTheme="majorHAnsi"/>
          <w:b w:val="0"/>
          <w:sz w:val="16"/>
          <w:szCs w:val="16"/>
          <w:lang w:val="es-CO"/>
        </w:rPr>
        <w:t>Riffo</w:t>
      </w:r>
      <w:proofErr w:type="spellEnd"/>
      <w:r w:rsidRPr="00A16690">
        <w:rPr>
          <w:rStyle w:val="Strong"/>
          <w:rFonts w:asciiTheme="majorHAnsi" w:hAnsiTheme="majorHAnsi"/>
          <w:b w:val="0"/>
          <w:sz w:val="16"/>
          <w:szCs w:val="16"/>
          <w:lang w:val="es-CO"/>
        </w:rPr>
        <w:t xml:space="preserve"> y niñas Vs. Chile. Fondo, Reparaciones y Costas. Sentencia de 24 de febrero de 2012. Serie C No. 239.</w:t>
      </w:r>
      <w:r w:rsidRPr="00A16690">
        <w:rPr>
          <w:rFonts w:asciiTheme="majorHAnsi" w:hAnsiTheme="majorHAnsi"/>
          <w:sz w:val="16"/>
          <w:szCs w:val="16"/>
          <w:lang w:val="es-VE"/>
        </w:rPr>
        <w:t xml:space="preserve"> Párr. 146. </w:t>
      </w:r>
    </w:p>
  </w:footnote>
  <w:footnote w:id="53">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CIDH. Demanda presentada a la Corte Interamericana de Derechos Humanos. Caso Karen </w:t>
      </w:r>
      <w:proofErr w:type="spellStart"/>
      <w:r w:rsidRPr="00A16690">
        <w:rPr>
          <w:rFonts w:asciiTheme="majorHAnsi" w:hAnsiTheme="majorHAnsi"/>
          <w:sz w:val="16"/>
          <w:szCs w:val="16"/>
          <w:lang w:val="es-CO"/>
        </w:rPr>
        <w:t>Atala</w:t>
      </w:r>
      <w:proofErr w:type="spellEnd"/>
      <w:r w:rsidRPr="00A16690">
        <w:rPr>
          <w:rFonts w:asciiTheme="majorHAnsi" w:hAnsiTheme="majorHAnsi"/>
          <w:sz w:val="16"/>
          <w:szCs w:val="16"/>
          <w:lang w:val="es-CO"/>
        </w:rPr>
        <w:t xml:space="preserve"> e hijas. Párr. XX.</w:t>
      </w:r>
    </w:p>
  </w:footnote>
  <w:footnote w:id="54">
    <w:p w:rsidR="00D040E7" w:rsidRPr="00A16690" w:rsidRDefault="00D040E7" w:rsidP="002063C5">
      <w:pPr>
        <w:pStyle w:val="FootnoteText"/>
        <w:contextualSpacing/>
        <w:jc w:val="both"/>
        <w:rPr>
          <w:rFonts w:asciiTheme="majorHAnsi" w:hAnsiTheme="majorHAnsi"/>
          <w:sz w:val="16"/>
          <w:szCs w:val="16"/>
          <w:lang w:val="es-CR"/>
        </w:rPr>
      </w:pPr>
      <w:r w:rsidRPr="00A16690">
        <w:rPr>
          <w:rStyle w:val="FootnoteReference"/>
          <w:rFonts w:asciiTheme="majorHAnsi" w:hAnsiTheme="majorHAnsi"/>
          <w:sz w:val="16"/>
          <w:szCs w:val="16"/>
        </w:rPr>
        <w:footnoteRef/>
      </w:r>
      <w:r w:rsidRPr="00D73767">
        <w:rPr>
          <w:rFonts w:asciiTheme="majorHAnsi" w:hAnsiTheme="majorHAnsi"/>
          <w:sz w:val="16"/>
          <w:szCs w:val="16"/>
          <w:lang w:val="es-VE"/>
        </w:rPr>
        <w:t xml:space="preserve"> </w:t>
      </w:r>
      <w:r w:rsidRPr="00D73767">
        <w:rPr>
          <w:rStyle w:val="Strong"/>
          <w:rFonts w:asciiTheme="majorHAnsi" w:hAnsiTheme="majorHAnsi"/>
          <w:b w:val="0"/>
          <w:sz w:val="16"/>
          <w:szCs w:val="16"/>
          <w:lang w:val="es-VE"/>
        </w:rPr>
        <w:t xml:space="preserve">Corte IDH. </w:t>
      </w:r>
      <w:r w:rsidRPr="00D73767">
        <w:rPr>
          <w:rStyle w:val="Strong"/>
          <w:rFonts w:asciiTheme="majorHAnsi" w:hAnsiTheme="majorHAnsi"/>
          <w:b w:val="0"/>
          <w:sz w:val="16"/>
          <w:szCs w:val="16"/>
          <w:lang w:val="es-PE"/>
        </w:rPr>
        <w:t xml:space="preserve">Caso Duque Vs. </w:t>
      </w:r>
      <w:r w:rsidRPr="00A16690">
        <w:rPr>
          <w:rStyle w:val="Strong"/>
          <w:rFonts w:asciiTheme="majorHAnsi" w:hAnsiTheme="majorHAnsi"/>
          <w:b w:val="0"/>
          <w:sz w:val="16"/>
          <w:szCs w:val="16"/>
          <w:lang w:val="es-CO"/>
        </w:rPr>
        <w:t>Colombia. Excepciones Preliminares, Fondo, Reparaciones y Costas. Sentencia de 26 de febrero de 2016. Serie C No. 310.</w:t>
      </w:r>
      <w:r w:rsidRPr="00A16690">
        <w:rPr>
          <w:rFonts w:asciiTheme="majorHAnsi" w:hAnsiTheme="majorHAnsi"/>
          <w:sz w:val="16"/>
          <w:szCs w:val="16"/>
          <w:lang w:val="es-CO"/>
        </w:rPr>
        <w:t xml:space="preserve"> Párr. </w:t>
      </w:r>
      <w:r w:rsidRPr="00A16690">
        <w:rPr>
          <w:rFonts w:asciiTheme="majorHAnsi" w:hAnsiTheme="majorHAnsi"/>
          <w:sz w:val="16"/>
          <w:szCs w:val="16"/>
          <w:lang w:val="es-CR"/>
        </w:rPr>
        <w:t xml:space="preserve">106. Citando. Cfr. </w:t>
      </w:r>
      <w:r w:rsidRPr="00A16690">
        <w:rPr>
          <w:rFonts w:asciiTheme="majorHAnsi" w:hAnsiTheme="majorHAnsi"/>
          <w:sz w:val="16"/>
          <w:szCs w:val="16"/>
          <w:lang w:val="es-CO"/>
        </w:rPr>
        <w:t xml:space="preserve">Caso Gonzales </w:t>
      </w:r>
      <w:proofErr w:type="spellStart"/>
      <w:r w:rsidRPr="00A16690">
        <w:rPr>
          <w:rFonts w:asciiTheme="majorHAnsi" w:hAnsiTheme="majorHAnsi"/>
          <w:sz w:val="16"/>
          <w:szCs w:val="16"/>
          <w:lang w:val="es-CO"/>
        </w:rPr>
        <w:t>Lluy</w:t>
      </w:r>
      <w:proofErr w:type="spellEnd"/>
      <w:r w:rsidRPr="00A16690">
        <w:rPr>
          <w:rFonts w:asciiTheme="majorHAnsi" w:hAnsiTheme="majorHAnsi"/>
          <w:sz w:val="16"/>
          <w:szCs w:val="16"/>
          <w:lang w:val="es-CO"/>
        </w:rPr>
        <w:t xml:space="preserve"> y otros Vs. Ecuador, párr.</w:t>
      </w:r>
      <w:r w:rsidRPr="00A16690">
        <w:rPr>
          <w:rFonts w:asciiTheme="majorHAnsi" w:hAnsiTheme="majorHAnsi"/>
          <w:sz w:val="16"/>
          <w:szCs w:val="16"/>
          <w:lang w:val="es-CR"/>
        </w:rPr>
        <w:t xml:space="preserve"> 257. Asimismo, Mutatis </w:t>
      </w:r>
      <w:proofErr w:type="spellStart"/>
      <w:r w:rsidRPr="00A16690">
        <w:rPr>
          <w:rFonts w:asciiTheme="majorHAnsi" w:hAnsiTheme="majorHAnsi"/>
          <w:sz w:val="16"/>
          <w:szCs w:val="16"/>
          <w:lang w:val="es-CR"/>
        </w:rPr>
        <w:t>mutandi</w:t>
      </w:r>
      <w:proofErr w:type="spellEnd"/>
      <w:r w:rsidRPr="00A16690">
        <w:rPr>
          <w:rFonts w:asciiTheme="majorHAnsi" w:hAnsiTheme="majorHAnsi"/>
          <w:sz w:val="16"/>
          <w:szCs w:val="16"/>
          <w:lang w:val="es-CR"/>
        </w:rPr>
        <w:t xml:space="preserve">, </w:t>
      </w:r>
      <w:r w:rsidRPr="00A16690">
        <w:rPr>
          <w:rFonts w:asciiTheme="majorHAnsi" w:hAnsiTheme="majorHAnsi"/>
          <w:sz w:val="16"/>
          <w:szCs w:val="16"/>
          <w:lang w:val="es-CO"/>
        </w:rPr>
        <w:t xml:space="preserve">Caso </w:t>
      </w:r>
      <w:proofErr w:type="spellStart"/>
      <w:r w:rsidRPr="00A16690">
        <w:rPr>
          <w:rFonts w:asciiTheme="majorHAnsi" w:hAnsiTheme="majorHAnsi"/>
          <w:sz w:val="16"/>
          <w:szCs w:val="16"/>
          <w:lang w:val="es-CO"/>
        </w:rPr>
        <w:t>Atala</w:t>
      </w:r>
      <w:proofErr w:type="spellEnd"/>
      <w:r w:rsidRPr="00A16690">
        <w:rPr>
          <w:rFonts w:asciiTheme="majorHAnsi" w:hAnsiTheme="majorHAnsi"/>
          <w:sz w:val="16"/>
          <w:szCs w:val="16"/>
          <w:lang w:val="es-CO"/>
        </w:rPr>
        <w:t xml:space="preserve"> </w:t>
      </w:r>
      <w:proofErr w:type="spellStart"/>
      <w:r w:rsidRPr="00A16690">
        <w:rPr>
          <w:rFonts w:asciiTheme="majorHAnsi" w:hAnsiTheme="majorHAnsi"/>
          <w:sz w:val="16"/>
          <w:szCs w:val="16"/>
          <w:lang w:val="es-CO"/>
        </w:rPr>
        <w:t>Riffo</w:t>
      </w:r>
      <w:proofErr w:type="spellEnd"/>
      <w:r w:rsidRPr="00A16690">
        <w:rPr>
          <w:rFonts w:asciiTheme="majorHAnsi" w:hAnsiTheme="majorHAnsi"/>
          <w:sz w:val="16"/>
          <w:szCs w:val="16"/>
          <w:lang w:val="es-CO"/>
        </w:rPr>
        <w:t xml:space="preserve"> y Niñas Vs. </w:t>
      </w:r>
      <w:r w:rsidRPr="00A16690">
        <w:rPr>
          <w:rFonts w:asciiTheme="majorHAnsi" w:hAnsiTheme="majorHAnsi" w:cs="Vrinda"/>
          <w:spacing w:val="-4"/>
          <w:sz w:val="16"/>
          <w:szCs w:val="16"/>
          <w:lang w:val="es-CO"/>
        </w:rPr>
        <w:t>Chile</w:t>
      </w:r>
      <w:r w:rsidRPr="00A16690">
        <w:rPr>
          <w:rFonts w:asciiTheme="majorHAnsi" w:hAnsiTheme="majorHAnsi"/>
          <w:sz w:val="16"/>
          <w:szCs w:val="16"/>
          <w:lang w:val="es-CO"/>
        </w:rPr>
        <w:t>. Fondo, Reparaciones y Costas</w:t>
      </w:r>
      <w:r w:rsidRPr="00A16690">
        <w:rPr>
          <w:rFonts w:asciiTheme="majorHAnsi" w:hAnsiTheme="majorHAnsi"/>
          <w:bCs/>
          <w:sz w:val="16"/>
          <w:szCs w:val="16"/>
          <w:lang w:val="es-CO"/>
        </w:rPr>
        <w:t>, párr. 124,</w:t>
      </w:r>
      <w:r w:rsidRPr="00A16690">
        <w:rPr>
          <w:rFonts w:asciiTheme="majorHAnsi" w:hAnsiTheme="majorHAnsi"/>
          <w:sz w:val="16"/>
          <w:szCs w:val="16"/>
          <w:lang w:val="es-CR"/>
        </w:rPr>
        <w:t xml:space="preserve"> y Caso </w:t>
      </w:r>
      <w:proofErr w:type="spellStart"/>
      <w:r w:rsidRPr="00A16690">
        <w:rPr>
          <w:rFonts w:asciiTheme="majorHAnsi" w:hAnsiTheme="majorHAnsi"/>
          <w:sz w:val="16"/>
          <w:szCs w:val="16"/>
          <w:lang w:val="es-CR"/>
        </w:rPr>
        <w:t>Granier</w:t>
      </w:r>
      <w:proofErr w:type="spellEnd"/>
      <w:r w:rsidRPr="00A16690">
        <w:rPr>
          <w:rFonts w:asciiTheme="majorHAnsi" w:hAnsiTheme="majorHAnsi"/>
          <w:sz w:val="16"/>
          <w:szCs w:val="16"/>
          <w:lang w:val="es-CR"/>
        </w:rPr>
        <w:t xml:space="preserve"> y otros (Radio Caracas Televisión) Vs. Venezuela, párr. 228.</w:t>
      </w:r>
    </w:p>
  </w:footnote>
  <w:footnote w:id="55">
    <w:p w:rsidR="00D040E7" w:rsidRPr="00AC65E8" w:rsidRDefault="00D040E7" w:rsidP="002063C5">
      <w:pPr>
        <w:pStyle w:val="FootnoteText"/>
        <w:jc w:val="both"/>
        <w:rPr>
          <w:rFonts w:asciiTheme="majorHAnsi" w:hAnsiTheme="majorHAnsi"/>
          <w:sz w:val="16"/>
          <w:szCs w:val="16"/>
          <w:lang w:val="es-PE"/>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Reverón</w:t>
      </w:r>
      <w:proofErr w:type="spellEnd"/>
      <w:r w:rsidRPr="00A16690">
        <w:rPr>
          <w:rStyle w:val="Strong"/>
          <w:rFonts w:asciiTheme="majorHAnsi" w:hAnsiTheme="majorHAnsi"/>
          <w:b w:val="0"/>
          <w:sz w:val="16"/>
          <w:szCs w:val="16"/>
          <w:lang w:val="es-CO"/>
        </w:rPr>
        <w:t xml:space="preserve"> Trujillo Vs. Venezuela. Excepción Preliminar, Fondo, Reparaciones y Costas. </w:t>
      </w:r>
      <w:r w:rsidRPr="00AC65E8">
        <w:rPr>
          <w:rStyle w:val="Strong"/>
          <w:rFonts w:asciiTheme="majorHAnsi" w:hAnsiTheme="majorHAnsi"/>
          <w:b w:val="0"/>
          <w:sz w:val="16"/>
          <w:szCs w:val="16"/>
          <w:lang w:val="es-PE"/>
        </w:rPr>
        <w:t>Sentencia de 30 de junio de 2009. Serie C No. 197.</w:t>
      </w:r>
      <w:r w:rsidRPr="00A16690">
        <w:rPr>
          <w:rFonts w:asciiTheme="majorHAnsi" w:hAnsiTheme="majorHAnsi"/>
          <w:sz w:val="16"/>
          <w:szCs w:val="16"/>
          <w:lang w:val="es-CO"/>
        </w:rPr>
        <w:t xml:space="preserve"> Párr. 138. </w:t>
      </w:r>
      <w:r w:rsidRPr="00A16690">
        <w:rPr>
          <w:rFonts w:asciiTheme="majorHAnsi" w:hAnsiTheme="majorHAnsi" w:cs="Arial"/>
          <w:sz w:val="16"/>
          <w:szCs w:val="16"/>
          <w:lang w:val="es-CO"/>
        </w:rPr>
        <w:t xml:space="preserve">Citando. </w:t>
      </w:r>
      <w:r w:rsidRPr="00A16690">
        <w:rPr>
          <w:rFonts w:asciiTheme="majorHAnsi" w:hAnsiTheme="majorHAnsi"/>
          <w:sz w:val="16"/>
          <w:szCs w:val="16"/>
          <w:lang w:val="es-CL"/>
        </w:rPr>
        <w:t xml:space="preserve">Naciones Unidas, Comité de Derechos Humanos, </w:t>
      </w:r>
      <w:r w:rsidRPr="00A16690">
        <w:rPr>
          <w:rStyle w:val="Strong"/>
          <w:rFonts w:asciiTheme="majorHAnsi" w:hAnsiTheme="majorHAnsi"/>
          <w:b w:val="0"/>
          <w:sz w:val="16"/>
          <w:szCs w:val="16"/>
          <w:lang w:val="es-CO"/>
        </w:rPr>
        <w:t xml:space="preserve">Observación General No. 25: </w:t>
      </w:r>
      <w:smartTag w:uri="urn:schemas-microsoft-com:office:smarttags" w:element="PersonName">
        <w:smartTagPr>
          <w:attr w:name="ProductID" w:val="La Participaci￳n"/>
        </w:smartTagPr>
        <w:r w:rsidRPr="00A16690">
          <w:rPr>
            <w:rStyle w:val="Strong"/>
            <w:rFonts w:asciiTheme="majorHAnsi" w:hAnsiTheme="majorHAnsi"/>
            <w:b w:val="0"/>
            <w:sz w:val="16"/>
            <w:szCs w:val="16"/>
            <w:lang w:val="es-CO"/>
          </w:rPr>
          <w:t>La Participación</w:t>
        </w:r>
      </w:smartTag>
      <w:r w:rsidRPr="00A16690">
        <w:rPr>
          <w:rStyle w:val="Strong"/>
          <w:rFonts w:asciiTheme="majorHAnsi" w:hAnsiTheme="majorHAnsi"/>
          <w:b w:val="0"/>
          <w:sz w:val="16"/>
          <w:szCs w:val="16"/>
          <w:lang w:val="es-CO"/>
        </w:rPr>
        <w:t xml:space="preserve"> en los Asuntos Públicos y el Derecho de Voto, CCPR/C/21/Rev. 1/</w:t>
      </w:r>
      <w:proofErr w:type="spellStart"/>
      <w:r w:rsidRPr="00A16690">
        <w:rPr>
          <w:rStyle w:val="Strong"/>
          <w:rFonts w:asciiTheme="majorHAnsi" w:hAnsiTheme="majorHAnsi"/>
          <w:b w:val="0"/>
          <w:sz w:val="16"/>
          <w:szCs w:val="16"/>
          <w:lang w:val="es-CO"/>
        </w:rPr>
        <w:t>Add</w:t>
      </w:r>
      <w:proofErr w:type="spellEnd"/>
      <w:r w:rsidRPr="00A16690">
        <w:rPr>
          <w:rStyle w:val="Strong"/>
          <w:rFonts w:asciiTheme="majorHAnsi" w:hAnsiTheme="majorHAnsi"/>
          <w:b w:val="0"/>
          <w:sz w:val="16"/>
          <w:szCs w:val="16"/>
          <w:lang w:val="es-CO"/>
        </w:rPr>
        <w:t xml:space="preserve">. 7, 12 de julio de 1996, párr. </w:t>
      </w:r>
      <w:r w:rsidRPr="00AC65E8">
        <w:rPr>
          <w:rStyle w:val="Strong"/>
          <w:rFonts w:asciiTheme="majorHAnsi" w:hAnsiTheme="majorHAnsi"/>
          <w:b w:val="0"/>
          <w:sz w:val="16"/>
          <w:szCs w:val="16"/>
          <w:lang w:val="es-PE"/>
        </w:rPr>
        <w:t>23.</w:t>
      </w:r>
    </w:p>
  </w:footnote>
  <w:footnote w:id="56">
    <w:p w:rsidR="00D040E7" w:rsidRPr="00A16690" w:rsidRDefault="00D040E7" w:rsidP="002063C5">
      <w:pPr>
        <w:pStyle w:val="FootnoteText"/>
        <w:jc w:val="both"/>
        <w:rPr>
          <w:rFonts w:asciiTheme="majorHAnsi" w:hAnsiTheme="majorHAnsi" w:cs="Arial"/>
          <w:sz w:val="16"/>
          <w:szCs w:val="16"/>
          <w:lang w:val="es-CO"/>
        </w:rPr>
      </w:pPr>
      <w:r w:rsidRPr="00A16690">
        <w:rPr>
          <w:rStyle w:val="FootnoteReference"/>
          <w:rFonts w:asciiTheme="majorHAnsi" w:hAnsiTheme="majorHAnsi"/>
          <w:sz w:val="16"/>
          <w:szCs w:val="16"/>
        </w:rPr>
        <w:footnoteRef/>
      </w:r>
      <w:r w:rsidRPr="00AC65E8">
        <w:rPr>
          <w:rFonts w:asciiTheme="majorHAnsi" w:hAnsiTheme="majorHAnsi"/>
          <w:sz w:val="16"/>
          <w:szCs w:val="16"/>
          <w:lang w:val="es-PE"/>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Reverón</w:t>
      </w:r>
      <w:proofErr w:type="spellEnd"/>
      <w:r w:rsidRPr="00A16690">
        <w:rPr>
          <w:rStyle w:val="Strong"/>
          <w:rFonts w:asciiTheme="majorHAnsi" w:hAnsiTheme="majorHAnsi"/>
          <w:b w:val="0"/>
          <w:sz w:val="16"/>
          <w:szCs w:val="16"/>
          <w:lang w:val="es-CO"/>
        </w:rPr>
        <w:t xml:space="preserve"> Trujillo Vs. Venezuela. Excepción Preliminar, Fondo, Reparaciones y Costas. Sentencia de 30 de junio de 2009. Serie C No. 197. Párr. </w:t>
      </w:r>
      <w:r w:rsidRPr="00AC65E8">
        <w:rPr>
          <w:rFonts w:asciiTheme="majorHAnsi" w:hAnsiTheme="majorHAnsi"/>
          <w:sz w:val="16"/>
          <w:szCs w:val="16"/>
          <w:lang w:val="es-PE"/>
        </w:rPr>
        <w:t xml:space="preserve">138. Citando. </w:t>
      </w:r>
      <w:proofErr w:type="spellStart"/>
      <w:r w:rsidRPr="001D7748">
        <w:rPr>
          <w:rFonts w:asciiTheme="majorHAnsi" w:hAnsiTheme="majorHAnsi"/>
          <w:iCs/>
          <w:sz w:val="16"/>
          <w:szCs w:val="16"/>
          <w:lang w:val="es-PE"/>
        </w:rPr>
        <w:t>Pastukhov</w:t>
      </w:r>
      <w:proofErr w:type="spellEnd"/>
      <w:r w:rsidRPr="001D7748">
        <w:rPr>
          <w:rFonts w:asciiTheme="majorHAnsi" w:hAnsiTheme="majorHAnsi"/>
          <w:iCs/>
          <w:sz w:val="16"/>
          <w:szCs w:val="16"/>
          <w:lang w:val="es-PE"/>
        </w:rPr>
        <w:t xml:space="preserve"> v. </w:t>
      </w:r>
      <w:proofErr w:type="spellStart"/>
      <w:r w:rsidRPr="001D7748">
        <w:rPr>
          <w:rFonts w:asciiTheme="majorHAnsi" w:hAnsiTheme="majorHAnsi"/>
          <w:iCs/>
          <w:sz w:val="16"/>
          <w:szCs w:val="16"/>
          <w:lang w:val="es-PE"/>
        </w:rPr>
        <w:t>Belarus</w:t>
      </w:r>
      <w:proofErr w:type="spellEnd"/>
      <w:r w:rsidRPr="001D7748">
        <w:rPr>
          <w:rFonts w:asciiTheme="majorHAnsi" w:hAnsiTheme="majorHAnsi"/>
          <w:sz w:val="16"/>
          <w:szCs w:val="16"/>
          <w:lang w:val="es-PE"/>
        </w:rPr>
        <w:t xml:space="preserve"> (814/1998), ICCPR, A/58/40 vol. II (5 </w:t>
      </w:r>
      <w:proofErr w:type="spellStart"/>
      <w:r w:rsidRPr="001D7748">
        <w:rPr>
          <w:rFonts w:asciiTheme="majorHAnsi" w:hAnsiTheme="majorHAnsi"/>
          <w:sz w:val="16"/>
          <w:szCs w:val="16"/>
          <w:lang w:val="es-PE"/>
        </w:rPr>
        <w:t>August</w:t>
      </w:r>
      <w:proofErr w:type="spellEnd"/>
      <w:r w:rsidRPr="001D7748">
        <w:rPr>
          <w:rFonts w:asciiTheme="majorHAnsi" w:hAnsiTheme="majorHAnsi"/>
          <w:sz w:val="16"/>
          <w:szCs w:val="16"/>
          <w:lang w:val="es-PE"/>
        </w:rPr>
        <w:t xml:space="preserve"> 2003) 69 (CCPR/C/78/D/814/1998) at paras. </w:t>
      </w:r>
      <w:r w:rsidRPr="00D73767">
        <w:rPr>
          <w:rFonts w:asciiTheme="majorHAnsi" w:hAnsiTheme="majorHAnsi"/>
          <w:sz w:val="16"/>
          <w:szCs w:val="16"/>
        </w:rPr>
        <w:t xml:space="preserve">7.3 and 9; </w:t>
      </w:r>
      <w:r w:rsidRPr="00D73767">
        <w:rPr>
          <w:rFonts w:asciiTheme="majorHAnsi" w:hAnsiTheme="majorHAnsi"/>
          <w:iCs/>
          <w:sz w:val="16"/>
          <w:szCs w:val="16"/>
        </w:rPr>
        <w:t>Adrien Mundyo Busyo, Thomas Osthudi Wongodi, René Sibu Matubuka et al. v. Democratic Republic of the Congo</w:t>
      </w:r>
      <w:r w:rsidRPr="00D73767">
        <w:rPr>
          <w:rFonts w:asciiTheme="majorHAnsi" w:hAnsiTheme="majorHAnsi"/>
          <w:sz w:val="16"/>
          <w:szCs w:val="16"/>
        </w:rPr>
        <w:t xml:space="preserve"> (933/2000), ICCPR, A/58/40 vol. </w:t>
      </w:r>
      <w:r w:rsidRPr="00A16690">
        <w:rPr>
          <w:rFonts w:asciiTheme="majorHAnsi" w:hAnsiTheme="majorHAnsi"/>
          <w:sz w:val="16"/>
          <w:szCs w:val="16"/>
          <w:lang w:val="es-CO"/>
        </w:rPr>
        <w:t xml:space="preserve">II (31 </w:t>
      </w:r>
      <w:proofErr w:type="spellStart"/>
      <w:r w:rsidRPr="00A16690">
        <w:rPr>
          <w:rFonts w:asciiTheme="majorHAnsi" w:hAnsiTheme="majorHAnsi"/>
          <w:sz w:val="16"/>
          <w:szCs w:val="16"/>
          <w:lang w:val="es-CO"/>
        </w:rPr>
        <w:t>July</w:t>
      </w:r>
      <w:proofErr w:type="spellEnd"/>
      <w:r w:rsidRPr="00A16690">
        <w:rPr>
          <w:rFonts w:asciiTheme="majorHAnsi" w:hAnsiTheme="majorHAnsi"/>
          <w:sz w:val="16"/>
          <w:szCs w:val="16"/>
          <w:lang w:val="es-CO"/>
        </w:rPr>
        <w:t xml:space="preserve"> 2003) 224 (CCPR/C/78/D/933/2000) at para. 5.2. </w:t>
      </w:r>
    </w:p>
  </w:footnote>
  <w:footnote w:id="57">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Reverón</w:t>
      </w:r>
      <w:proofErr w:type="spellEnd"/>
      <w:r w:rsidRPr="00A16690">
        <w:rPr>
          <w:rStyle w:val="Strong"/>
          <w:rFonts w:asciiTheme="majorHAnsi" w:hAnsiTheme="majorHAnsi"/>
          <w:b w:val="0"/>
          <w:sz w:val="16"/>
          <w:szCs w:val="16"/>
          <w:lang w:val="es-CO"/>
        </w:rPr>
        <w:t xml:space="preserve"> Trujillo Vs. Venezuela. Excepción Preliminar, Fondo, Reparaciones y Costas. Sentencia de 30 de junio de 2009. Serie C No. 197. Párr. </w:t>
      </w:r>
      <w:r w:rsidRPr="00A16690">
        <w:rPr>
          <w:rFonts w:asciiTheme="majorHAnsi" w:hAnsiTheme="majorHAnsi"/>
          <w:sz w:val="16"/>
          <w:szCs w:val="16"/>
          <w:lang w:val="es-CO"/>
        </w:rPr>
        <w:t xml:space="preserve">138. </w:t>
      </w:r>
    </w:p>
  </w:footnote>
  <w:footnote w:id="58">
    <w:p w:rsidR="00D040E7" w:rsidRPr="00A16690" w:rsidRDefault="00D040E7" w:rsidP="002063C5">
      <w:pPr>
        <w:pStyle w:val="FootnoteText"/>
        <w:jc w:val="both"/>
        <w:rPr>
          <w:rFonts w:asciiTheme="majorHAnsi" w:hAnsiTheme="majorHAnsi"/>
          <w:sz w:val="16"/>
          <w:szCs w:val="16"/>
          <w:lang w:val="es-CL"/>
        </w:rPr>
      </w:pPr>
      <w:r w:rsidRPr="00A16690">
        <w:rPr>
          <w:rStyle w:val="FootnoteReference"/>
          <w:rFonts w:asciiTheme="majorHAnsi" w:hAnsiTheme="majorHAnsi"/>
          <w:sz w:val="16"/>
          <w:szCs w:val="16"/>
        </w:rPr>
        <w:footnoteRef/>
      </w:r>
      <w:r w:rsidRPr="00A16690">
        <w:rPr>
          <w:rFonts w:asciiTheme="majorHAnsi" w:hAnsiTheme="majorHAnsi"/>
          <w:sz w:val="16"/>
          <w:szCs w:val="16"/>
          <w:lang w:val="es-CL"/>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Reverón</w:t>
      </w:r>
      <w:proofErr w:type="spellEnd"/>
      <w:r w:rsidRPr="00A16690">
        <w:rPr>
          <w:rStyle w:val="Strong"/>
          <w:rFonts w:asciiTheme="majorHAnsi" w:hAnsiTheme="majorHAnsi"/>
          <w:b w:val="0"/>
          <w:sz w:val="16"/>
          <w:szCs w:val="16"/>
          <w:lang w:val="es-CO"/>
        </w:rPr>
        <w:t xml:space="preserve"> Trujillo Vs. Venezuela. Excepción Preliminar, Fondo, Reparaciones y Costas. Sentencia de 30 de junio de 2009. Serie C No. 197. Párr. </w:t>
      </w:r>
      <w:r w:rsidRPr="00A16690">
        <w:rPr>
          <w:rFonts w:asciiTheme="majorHAnsi" w:hAnsiTheme="majorHAnsi"/>
          <w:sz w:val="16"/>
          <w:szCs w:val="16"/>
          <w:lang w:val="es-CL"/>
        </w:rPr>
        <w:t xml:space="preserve">139. Citando. Cfr. </w:t>
      </w:r>
      <w:r w:rsidRPr="00A16690">
        <w:rPr>
          <w:rFonts w:asciiTheme="majorHAnsi" w:hAnsiTheme="majorHAnsi"/>
          <w:bCs/>
          <w:sz w:val="16"/>
          <w:szCs w:val="16"/>
          <w:lang w:val="es-CO"/>
        </w:rPr>
        <w:t xml:space="preserve">Caso </w:t>
      </w:r>
      <w:proofErr w:type="spellStart"/>
      <w:r w:rsidRPr="00A16690">
        <w:rPr>
          <w:rFonts w:asciiTheme="majorHAnsi" w:hAnsiTheme="majorHAnsi"/>
          <w:bCs/>
          <w:sz w:val="16"/>
          <w:szCs w:val="16"/>
          <w:lang w:val="es-CO"/>
        </w:rPr>
        <w:t>Yatama</w:t>
      </w:r>
      <w:proofErr w:type="spellEnd"/>
      <w:r w:rsidRPr="00A16690">
        <w:rPr>
          <w:rFonts w:asciiTheme="majorHAnsi" w:hAnsiTheme="majorHAnsi"/>
          <w:bCs/>
          <w:sz w:val="16"/>
          <w:szCs w:val="16"/>
          <w:lang w:val="es-CO"/>
        </w:rPr>
        <w:t xml:space="preserve"> Vs. Nicaragua. </w:t>
      </w:r>
      <w:r w:rsidRPr="00A16690">
        <w:rPr>
          <w:rFonts w:asciiTheme="majorHAnsi" w:hAnsiTheme="majorHAnsi"/>
          <w:sz w:val="16"/>
          <w:szCs w:val="16"/>
          <w:lang w:val="es-CO"/>
        </w:rPr>
        <w:t>Excepciones Preliminares, Fondo, Reparaciones y Costas. Sentencia de 23 de junio de 2005. Serie C No. 127</w:t>
      </w:r>
      <w:r w:rsidRPr="00A16690">
        <w:rPr>
          <w:rFonts w:asciiTheme="majorHAnsi" w:hAnsiTheme="majorHAnsi"/>
          <w:sz w:val="16"/>
          <w:szCs w:val="16"/>
          <w:lang w:val="es-CL"/>
        </w:rPr>
        <w:t xml:space="preserve">, </w:t>
      </w:r>
      <w:r w:rsidRPr="00A16690">
        <w:rPr>
          <w:rFonts w:asciiTheme="majorHAnsi" w:hAnsiTheme="majorHAnsi"/>
          <w:bCs/>
          <w:sz w:val="16"/>
          <w:szCs w:val="16"/>
          <w:lang w:val="es-CO"/>
        </w:rPr>
        <w:t xml:space="preserve">párr. </w:t>
      </w:r>
      <w:r w:rsidRPr="00A16690">
        <w:rPr>
          <w:rFonts w:asciiTheme="majorHAnsi" w:hAnsiTheme="majorHAnsi"/>
          <w:sz w:val="16"/>
          <w:szCs w:val="16"/>
          <w:lang w:val="es-CL"/>
        </w:rPr>
        <w:t xml:space="preserve">195. </w:t>
      </w:r>
    </w:p>
  </w:footnote>
  <w:footnote w:id="59">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Ver por ejemplo algunos informes de admisibilidad en los cuales se ha admitido la posible violación del artículo 26 de la Convención: </w:t>
      </w:r>
      <w:r w:rsidRPr="00A16690">
        <w:rPr>
          <w:rFonts w:asciiTheme="majorHAnsi" w:hAnsiTheme="majorHAnsi" w:cs="Helvetica"/>
          <w:color w:val="141413"/>
          <w:sz w:val="16"/>
          <w:szCs w:val="16"/>
          <w:lang w:val="es-CO" w:bidi="en-US"/>
        </w:rPr>
        <w:t xml:space="preserve">Informe 29/01. Caso 12.249. Jorge </w:t>
      </w:r>
      <w:proofErr w:type="spellStart"/>
      <w:r w:rsidRPr="00A16690">
        <w:rPr>
          <w:rFonts w:asciiTheme="majorHAnsi" w:hAnsiTheme="majorHAnsi" w:cs="Helvetica"/>
          <w:color w:val="141413"/>
          <w:sz w:val="16"/>
          <w:szCs w:val="16"/>
          <w:lang w:val="es-CO" w:bidi="en-US"/>
        </w:rPr>
        <w:t>Odir</w:t>
      </w:r>
      <w:proofErr w:type="spellEnd"/>
      <w:r w:rsidRPr="00A16690">
        <w:rPr>
          <w:rFonts w:asciiTheme="majorHAnsi" w:hAnsiTheme="majorHAnsi" w:cs="Helvetica"/>
          <w:color w:val="141413"/>
          <w:sz w:val="16"/>
          <w:szCs w:val="16"/>
          <w:lang w:val="es-CO" w:bidi="en-US"/>
        </w:rPr>
        <w:t xml:space="preserve"> Miranda Cortez y otros. El Salvador, 7 de marzo de 2001; e Informe 70/04. Petición 667/01. Admisibilidad. Jesús Manuel Naranjo Cárdenas y otros (Jubilados de la Empresa Venezolana de Aviación </w:t>
      </w:r>
      <w:proofErr w:type="spellStart"/>
      <w:r w:rsidRPr="00A16690">
        <w:rPr>
          <w:rFonts w:asciiTheme="majorHAnsi" w:hAnsiTheme="majorHAnsi" w:cs="Helvetica"/>
          <w:color w:val="141413"/>
          <w:sz w:val="16"/>
          <w:szCs w:val="16"/>
          <w:lang w:val="es-CO" w:bidi="en-US"/>
        </w:rPr>
        <w:t>viasa</w:t>
      </w:r>
      <w:proofErr w:type="spellEnd"/>
      <w:r w:rsidRPr="00A16690">
        <w:rPr>
          <w:rFonts w:asciiTheme="majorHAnsi" w:hAnsiTheme="majorHAnsi" w:cs="Helvetica"/>
          <w:color w:val="141413"/>
          <w:sz w:val="16"/>
          <w:szCs w:val="16"/>
          <w:lang w:val="es-CO" w:bidi="en-US"/>
        </w:rPr>
        <w:t xml:space="preserve">). Venezuela, 13 de octubre de 2004. Asimismo ver el pronunciamiento de fondo sobre el artículo 26 en Informe 38/09. Caso 12.670. Asociación Nacional de Ex Servidores del Instituto de Seguridad Social y otros vs. Perú. 27 de marzo de 2009. En similar sentido, la Corte reafirmó dicha competencia en Caso Acevedo Buendía y otros (“Cesantes y Jubilados de la Contraloría”) vs. Perú (Excepción Preliminar, Fondo, Reparaciones y Costas), Sentencia del 1 de julio de 2009; </w:t>
      </w:r>
      <w:r w:rsidRPr="00A16690">
        <w:rPr>
          <w:rFonts w:asciiTheme="majorHAnsi" w:hAnsiTheme="majorHAnsi" w:cs="Times New Roman"/>
          <w:bCs/>
          <w:sz w:val="16"/>
          <w:szCs w:val="16"/>
          <w:lang w:val="es-CO"/>
        </w:rPr>
        <w:t xml:space="preserve">Corte IDH. Caso </w:t>
      </w:r>
      <w:proofErr w:type="spellStart"/>
      <w:r w:rsidRPr="00A16690">
        <w:rPr>
          <w:rFonts w:asciiTheme="majorHAnsi" w:hAnsiTheme="majorHAnsi" w:cs="Times New Roman"/>
          <w:bCs/>
          <w:sz w:val="16"/>
          <w:szCs w:val="16"/>
          <w:lang w:val="es-CO"/>
        </w:rPr>
        <w:t>Cuscul</w:t>
      </w:r>
      <w:proofErr w:type="spellEnd"/>
      <w:r w:rsidRPr="00A16690">
        <w:rPr>
          <w:rFonts w:asciiTheme="majorHAnsi" w:hAnsiTheme="majorHAnsi" w:cs="Times New Roman"/>
          <w:bCs/>
          <w:sz w:val="16"/>
          <w:szCs w:val="16"/>
          <w:lang w:val="es-CO"/>
        </w:rPr>
        <w:t xml:space="preserve"> </w:t>
      </w:r>
      <w:proofErr w:type="spellStart"/>
      <w:r w:rsidRPr="00A16690">
        <w:rPr>
          <w:rFonts w:asciiTheme="majorHAnsi" w:hAnsiTheme="majorHAnsi" w:cs="Times New Roman"/>
          <w:bCs/>
          <w:sz w:val="16"/>
          <w:szCs w:val="16"/>
          <w:lang w:val="es-CO"/>
        </w:rPr>
        <w:t>Pivaral</w:t>
      </w:r>
      <w:proofErr w:type="spellEnd"/>
      <w:r w:rsidRPr="00A16690">
        <w:rPr>
          <w:rFonts w:asciiTheme="majorHAnsi" w:hAnsiTheme="majorHAnsi" w:cs="Times New Roman"/>
          <w:bCs/>
          <w:sz w:val="16"/>
          <w:szCs w:val="16"/>
          <w:lang w:val="es-CO"/>
        </w:rPr>
        <w:t xml:space="preserve"> y otros Vs. Guatemala. Excepción Preliminar, Fondo, Reparaciones y Costas. Sentencia de 23 de agosto de 2018. Serie C No. 359. </w:t>
      </w:r>
      <w:proofErr w:type="spellStart"/>
      <w:r w:rsidRPr="00A16690">
        <w:rPr>
          <w:rFonts w:asciiTheme="majorHAnsi" w:hAnsiTheme="majorHAnsi" w:cs="Times New Roman"/>
          <w:bCs/>
          <w:sz w:val="16"/>
          <w:szCs w:val="16"/>
          <w:lang w:val="es-CO"/>
        </w:rPr>
        <w:t>Párrs</w:t>
      </w:r>
      <w:proofErr w:type="spellEnd"/>
      <w:r w:rsidRPr="00A16690">
        <w:rPr>
          <w:rFonts w:asciiTheme="majorHAnsi" w:hAnsiTheme="majorHAnsi" w:cs="Times New Roman"/>
          <w:bCs/>
          <w:sz w:val="16"/>
          <w:szCs w:val="16"/>
          <w:lang w:val="es-CO"/>
        </w:rPr>
        <w:t>. 74 - 97.</w:t>
      </w:r>
    </w:p>
  </w:footnote>
  <w:footnote w:id="60">
    <w:p w:rsidR="00D040E7" w:rsidRPr="00A16690" w:rsidRDefault="00D040E7" w:rsidP="002063C5">
      <w:pPr>
        <w:pStyle w:val="FootnoteText"/>
        <w:jc w:val="both"/>
        <w:rPr>
          <w:rFonts w:asciiTheme="majorHAnsi" w:hAnsiTheme="majorHAnsi" w:cs="Times New Roman"/>
          <w:sz w:val="16"/>
          <w:szCs w:val="16"/>
          <w:lang w:val="es-CO"/>
        </w:rPr>
      </w:pPr>
    </w:p>
  </w:footnote>
  <w:footnote w:id="61">
    <w:p w:rsidR="00D040E7" w:rsidRPr="00A16690" w:rsidRDefault="00D040E7" w:rsidP="002063C5">
      <w:pPr>
        <w:pStyle w:val="FootnoteText"/>
        <w:tabs>
          <w:tab w:val="left" w:pos="9356"/>
        </w:tabs>
        <w:jc w:val="both"/>
        <w:rPr>
          <w:rFonts w:asciiTheme="majorHAnsi" w:hAnsiTheme="majorHAnsi" w:cs="Times New Roman"/>
          <w:sz w:val="16"/>
          <w:szCs w:val="16"/>
          <w:lang w:val="es-CO"/>
        </w:rPr>
      </w:pPr>
      <w:r w:rsidRPr="00A16690">
        <w:rPr>
          <w:rStyle w:val="FootnoteReference"/>
          <w:rFonts w:asciiTheme="majorHAnsi" w:hAnsiTheme="majorHAnsi" w:cs="Times New Roman"/>
          <w:sz w:val="16"/>
          <w:szCs w:val="16"/>
        </w:rPr>
        <w:footnoteRef/>
      </w:r>
      <w:r w:rsidRPr="00A16690">
        <w:rPr>
          <w:rFonts w:asciiTheme="majorHAnsi" w:hAnsiTheme="majorHAnsi" w:cs="Times New Roman"/>
          <w:sz w:val="16"/>
          <w:szCs w:val="16"/>
          <w:lang w:val="es-CO"/>
        </w:rPr>
        <w:t xml:space="preserve"> </w:t>
      </w:r>
      <w:r w:rsidRPr="00A16690">
        <w:rPr>
          <w:rStyle w:val="Strong"/>
          <w:rFonts w:asciiTheme="majorHAnsi" w:hAnsiTheme="majorHAnsi" w:cs="Times New Roman"/>
          <w:b w:val="0"/>
          <w:sz w:val="16"/>
          <w:szCs w:val="16"/>
          <w:lang w:val="es-CO"/>
        </w:rPr>
        <w:t>Corte IDH. Caso Lagos del Campo Vs. Perú. Excepciones Preliminares, Fondo, Reparaciones y Costas. Sentencia de 31 de agosto de 2017. Serie C No. 340.</w:t>
      </w:r>
      <w:r w:rsidRPr="00A16690">
        <w:rPr>
          <w:rFonts w:asciiTheme="majorHAnsi" w:hAnsiTheme="majorHAnsi" w:cs="Times New Roman"/>
          <w:sz w:val="16"/>
          <w:szCs w:val="16"/>
          <w:lang w:val="es-CO"/>
        </w:rPr>
        <w:t xml:space="preserve"> Párr. 146; </w:t>
      </w:r>
      <w:r w:rsidRPr="00A16690">
        <w:rPr>
          <w:rStyle w:val="Strong"/>
          <w:rFonts w:asciiTheme="majorHAnsi" w:hAnsiTheme="majorHAnsi" w:cs="Times New Roman"/>
          <w:b w:val="0"/>
          <w:sz w:val="16"/>
          <w:szCs w:val="16"/>
          <w:lang w:val="es-CO"/>
        </w:rPr>
        <w:t>Corte IDH. Caso Trabajadores Cesados de Petroperú y otros Vs. Perú. Excepciones Preliminares, Fondo, Reparaciones y Costas. Sentencia de 23 de noviembre de 2017. Serie C No. 344.</w:t>
      </w:r>
      <w:r w:rsidRPr="00A16690">
        <w:rPr>
          <w:rFonts w:asciiTheme="majorHAnsi" w:hAnsiTheme="majorHAnsi" w:cs="Times New Roman"/>
          <w:sz w:val="16"/>
          <w:szCs w:val="16"/>
          <w:lang w:val="es-CO"/>
        </w:rPr>
        <w:t xml:space="preserve"> Párr. 192; y </w:t>
      </w:r>
      <w:r w:rsidRPr="00A16690">
        <w:rPr>
          <w:rStyle w:val="Strong"/>
          <w:rFonts w:asciiTheme="majorHAnsi" w:hAnsiTheme="majorHAnsi" w:cs="Times New Roman"/>
          <w:b w:val="0"/>
          <w:sz w:val="16"/>
          <w:szCs w:val="16"/>
          <w:lang w:val="es-CO"/>
        </w:rPr>
        <w:t>Corte IDH. Caso San Miguel Sosa y otras Vs. Venezuela. Fondo, Reparaciones y Costas. Sentencia de 8 de febrero de 2018. Serie C No. 348.</w:t>
      </w:r>
      <w:r w:rsidRPr="00A16690">
        <w:rPr>
          <w:rFonts w:asciiTheme="majorHAnsi" w:hAnsiTheme="majorHAnsi" w:cs="Times New Roman"/>
          <w:sz w:val="16"/>
          <w:szCs w:val="16"/>
          <w:lang w:val="es-CO"/>
        </w:rPr>
        <w:t xml:space="preserve"> Párr. 220.  </w:t>
      </w:r>
    </w:p>
  </w:footnote>
  <w:footnote w:id="62">
    <w:p w:rsidR="00D040E7" w:rsidRPr="00A16690" w:rsidRDefault="00D040E7" w:rsidP="002063C5">
      <w:pPr>
        <w:jc w:val="both"/>
        <w:rPr>
          <w:rFonts w:asciiTheme="majorHAnsi" w:eastAsia="Times New Roman" w:hAnsiTheme="majorHAnsi"/>
          <w:sz w:val="16"/>
          <w:szCs w:val="16"/>
          <w:lang w:val="es-PE"/>
        </w:rPr>
      </w:pPr>
      <w:r w:rsidRPr="00A16690">
        <w:rPr>
          <w:rStyle w:val="FootnoteReference"/>
          <w:rFonts w:asciiTheme="majorHAnsi" w:hAnsiTheme="majorHAnsi"/>
          <w:sz w:val="16"/>
          <w:szCs w:val="16"/>
        </w:rPr>
        <w:footnoteRef/>
      </w:r>
      <w:r w:rsidRPr="00A16690">
        <w:rPr>
          <w:rFonts w:asciiTheme="majorHAnsi" w:hAnsiTheme="majorHAnsi"/>
          <w:sz w:val="16"/>
          <w:szCs w:val="16"/>
          <w:lang w:val="es-PE"/>
        </w:rPr>
        <w:t xml:space="preserve"> </w:t>
      </w:r>
      <w:r w:rsidRPr="00A16690">
        <w:rPr>
          <w:rFonts w:asciiTheme="majorHAnsi" w:eastAsia="Times New Roman" w:hAnsiTheme="majorHAnsi"/>
          <w:color w:val="000000"/>
          <w:sz w:val="16"/>
          <w:szCs w:val="16"/>
          <w:lang w:val="es-PE"/>
        </w:rPr>
        <w:t>Comité de Derechos Económicos, Sociales y Culturales de Naciones Unidas,</w:t>
      </w:r>
      <w:r w:rsidRPr="00A16690">
        <w:rPr>
          <w:rStyle w:val="apple-converted-space"/>
          <w:rFonts w:asciiTheme="majorHAnsi" w:eastAsia="Times New Roman" w:hAnsiTheme="majorHAnsi"/>
          <w:sz w:val="16"/>
          <w:szCs w:val="16"/>
          <w:lang w:val="es-PE"/>
        </w:rPr>
        <w:t> </w:t>
      </w:r>
      <w:r w:rsidRPr="00A16690">
        <w:rPr>
          <w:rFonts w:asciiTheme="majorHAnsi" w:eastAsia="Times New Roman" w:hAnsiTheme="majorHAnsi"/>
          <w:iCs/>
          <w:color w:val="000000"/>
          <w:sz w:val="16"/>
          <w:szCs w:val="16"/>
          <w:lang w:val="es-PE"/>
        </w:rPr>
        <w:t>Observación general 3: La índole de las obligaciones de los Estados Partes (párrafo 1 del artículo 2 del Pacto)</w:t>
      </w:r>
      <w:r w:rsidRPr="00A16690">
        <w:rPr>
          <w:rFonts w:asciiTheme="majorHAnsi" w:eastAsia="Times New Roman" w:hAnsiTheme="majorHAnsi"/>
          <w:color w:val="000000"/>
          <w:sz w:val="16"/>
          <w:szCs w:val="16"/>
          <w:lang w:val="es-PE"/>
        </w:rPr>
        <w:t xml:space="preserve">,  1990. En ese sentido ver: </w:t>
      </w:r>
      <w:r w:rsidRPr="00A16690">
        <w:rPr>
          <w:rFonts w:asciiTheme="majorHAnsi" w:hAnsiTheme="majorHAnsi"/>
          <w:sz w:val="16"/>
          <w:szCs w:val="16"/>
          <w:lang w:val="es-PE"/>
        </w:rPr>
        <w:t>CIDH. Informe sobre pobreza y derechos humanos en las Américas OEA/</w:t>
      </w:r>
      <w:proofErr w:type="spellStart"/>
      <w:r w:rsidRPr="00A16690">
        <w:rPr>
          <w:rFonts w:asciiTheme="majorHAnsi" w:hAnsiTheme="majorHAnsi"/>
          <w:sz w:val="16"/>
          <w:szCs w:val="16"/>
          <w:lang w:val="es-PE"/>
        </w:rPr>
        <w:t>Ser.L</w:t>
      </w:r>
      <w:proofErr w:type="spellEnd"/>
      <w:r w:rsidRPr="00A16690">
        <w:rPr>
          <w:rFonts w:asciiTheme="majorHAnsi" w:hAnsiTheme="majorHAnsi"/>
          <w:sz w:val="16"/>
          <w:szCs w:val="16"/>
          <w:lang w:val="es-PE"/>
        </w:rPr>
        <w:t xml:space="preserve">/V/II.164 Doc. 147 (7 de septiembre de 2017) </w:t>
      </w:r>
      <w:proofErr w:type="spellStart"/>
      <w:r w:rsidRPr="00A16690">
        <w:rPr>
          <w:rFonts w:asciiTheme="majorHAnsi" w:hAnsiTheme="majorHAnsi"/>
          <w:sz w:val="16"/>
          <w:szCs w:val="16"/>
          <w:lang w:val="es-PE"/>
        </w:rPr>
        <w:t>párrs</w:t>
      </w:r>
      <w:proofErr w:type="spellEnd"/>
      <w:r w:rsidRPr="00A16690">
        <w:rPr>
          <w:rFonts w:asciiTheme="majorHAnsi" w:hAnsiTheme="majorHAnsi"/>
          <w:sz w:val="16"/>
          <w:szCs w:val="16"/>
          <w:lang w:val="es-PE"/>
        </w:rPr>
        <w:t>. 236 y 237.</w:t>
      </w:r>
    </w:p>
  </w:footnote>
  <w:footnote w:id="63">
    <w:p w:rsidR="00D040E7" w:rsidRPr="00A16690" w:rsidRDefault="00D040E7" w:rsidP="002063C5">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cs="Times New Roman"/>
          <w:b w:val="0"/>
          <w:sz w:val="16"/>
          <w:szCs w:val="16"/>
          <w:lang w:val="es-CO"/>
        </w:rPr>
        <w:t>Corte IDH. Caso San Miguel Sosa y otras Vs. Venezuela. Fondo, Reparaciones y Costas. Sentencia de 8 de febrero de 2018. Serie C No. 348.</w:t>
      </w:r>
      <w:r w:rsidRPr="00A16690">
        <w:rPr>
          <w:rFonts w:asciiTheme="majorHAnsi" w:hAnsiTheme="majorHAnsi"/>
          <w:sz w:val="16"/>
          <w:szCs w:val="16"/>
          <w:lang w:val="es-CO"/>
        </w:rPr>
        <w:t xml:space="preserve"> </w:t>
      </w:r>
      <w:proofErr w:type="spellStart"/>
      <w:r w:rsidRPr="00A16690">
        <w:rPr>
          <w:rFonts w:asciiTheme="majorHAnsi" w:hAnsiTheme="majorHAnsi"/>
          <w:sz w:val="16"/>
          <w:szCs w:val="16"/>
          <w:lang w:val="es-CO"/>
        </w:rPr>
        <w:t>Párrs</w:t>
      </w:r>
      <w:proofErr w:type="spellEnd"/>
      <w:r w:rsidRPr="00A16690">
        <w:rPr>
          <w:rFonts w:asciiTheme="majorHAnsi" w:hAnsiTheme="majorHAnsi"/>
          <w:sz w:val="16"/>
          <w:szCs w:val="16"/>
          <w:lang w:val="es-CO"/>
        </w:rPr>
        <w:t xml:space="preserve">. 221 y 222. </w:t>
      </w:r>
    </w:p>
  </w:footnote>
  <w:footnote w:id="64">
    <w:p w:rsidR="00D040E7" w:rsidRPr="00A16690" w:rsidRDefault="00D040E7" w:rsidP="005F4E9B">
      <w:pPr>
        <w:jc w:val="both"/>
        <w:rPr>
          <w:rFonts w:asciiTheme="majorHAnsi" w:hAnsiTheme="majorHAnsi"/>
          <w:bCs/>
          <w:color w:val="000000"/>
          <w:sz w:val="16"/>
          <w:szCs w:val="16"/>
          <w:lang w:val="es-CO"/>
        </w:rPr>
      </w:pPr>
      <w:r w:rsidRPr="00A16690">
        <w:rPr>
          <w:rStyle w:val="FootnoteReference"/>
          <w:rFonts w:asciiTheme="majorHAnsi" w:hAnsiTheme="majorHAnsi"/>
          <w:sz w:val="16"/>
          <w:szCs w:val="16"/>
        </w:rPr>
        <w:footnoteRef/>
      </w:r>
      <w:r w:rsidRPr="00D73767">
        <w:rPr>
          <w:rFonts w:asciiTheme="majorHAnsi" w:hAnsiTheme="majorHAnsi"/>
          <w:sz w:val="16"/>
          <w:szCs w:val="16"/>
          <w:lang w:val="es-PE"/>
        </w:rPr>
        <w:t xml:space="preserve"> </w:t>
      </w:r>
      <w:r w:rsidRPr="00D73767">
        <w:rPr>
          <w:rFonts w:asciiTheme="majorHAnsi" w:hAnsiTheme="majorHAnsi"/>
          <w:bCs/>
          <w:color w:val="000000"/>
          <w:sz w:val="16"/>
          <w:szCs w:val="16"/>
          <w:lang w:val="es-PE"/>
        </w:rPr>
        <w:t xml:space="preserve">Corte IDH. Caso Maldonado Ordóñez Vs. </w:t>
      </w:r>
      <w:r w:rsidRPr="00A16690">
        <w:rPr>
          <w:rFonts w:asciiTheme="majorHAnsi" w:hAnsiTheme="majorHAnsi"/>
          <w:bCs/>
          <w:color w:val="000000"/>
          <w:sz w:val="16"/>
          <w:szCs w:val="16"/>
          <w:lang w:val="es-CO"/>
        </w:rPr>
        <w:t xml:space="preserve">Guatemala. Excepción Preliminar, Fondo, Reparaciones y Costas. Sentencia de 3 de mayo de 2016. Serie C No. 311. Párr. 108. </w:t>
      </w:r>
    </w:p>
  </w:footnote>
  <w:footnote w:id="65">
    <w:p w:rsidR="00D040E7" w:rsidRPr="00A16690" w:rsidRDefault="00D040E7" w:rsidP="005F4E9B">
      <w:pPr>
        <w:jc w:val="both"/>
        <w:rPr>
          <w:rFonts w:asciiTheme="majorHAnsi" w:hAnsiTheme="majorHAnsi"/>
          <w:bCs/>
          <w:color w:val="000000"/>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Fonts w:asciiTheme="majorHAnsi" w:hAnsiTheme="majorHAnsi"/>
          <w:bCs/>
          <w:color w:val="000000"/>
          <w:sz w:val="16"/>
          <w:szCs w:val="16"/>
          <w:lang w:val="es-CO"/>
        </w:rPr>
        <w:t xml:space="preserve">Corte IDH. Caso Maldonado Ordóñez Vs. Guatemala. Excepción Preliminar, Fondo, Reparaciones y Costas. Sentencia de 3 de mayo de 2016. Serie C No. 311. Párr. 109. </w:t>
      </w:r>
    </w:p>
  </w:footnote>
  <w:footnote w:id="66">
    <w:p w:rsidR="00D040E7" w:rsidRPr="00A16690" w:rsidRDefault="00D040E7" w:rsidP="005F4E9B">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ES"/>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Apitz</w:t>
      </w:r>
      <w:proofErr w:type="spellEnd"/>
      <w:r w:rsidRPr="00A16690">
        <w:rPr>
          <w:rStyle w:val="Strong"/>
          <w:rFonts w:asciiTheme="majorHAnsi" w:hAnsiTheme="majorHAnsi"/>
          <w:b w:val="0"/>
          <w:sz w:val="16"/>
          <w:szCs w:val="16"/>
          <w:lang w:val="es-CO"/>
        </w:rPr>
        <w:t xml:space="preserve"> Barbera y otros (“Corte Primera de lo Contencioso Administrativo”) Vs. Venezuela. Excepción Preliminar, Fondo, Reparaciones y Costas. Sentencia de 5 de agosto de 2008. Serie C No. 182. Párr. 77.</w:t>
      </w:r>
      <w:r w:rsidRPr="00A16690">
        <w:rPr>
          <w:rFonts w:asciiTheme="majorHAnsi" w:hAnsiTheme="majorHAnsi"/>
          <w:sz w:val="16"/>
          <w:szCs w:val="16"/>
          <w:lang w:val="es-ES"/>
        </w:rPr>
        <w:t xml:space="preserve"> Citando. “Así lo ha establecido la Corte Europea en el </w:t>
      </w:r>
      <w:r w:rsidRPr="00A16690">
        <w:rPr>
          <w:rFonts w:asciiTheme="majorHAnsi" w:hAnsiTheme="majorHAnsi"/>
          <w:kern w:val="1"/>
          <w:sz w:val="16"/>
          <w:szCs w:val="16"/>
          <w:lang w:val="es-ES"/>
        </w:rPr>
        <w:t xml:space="preserve">Caso </w:t>
      </w:r>
      <w:proofErr w:type="spellStart"/>
      <w:r w:rsidRPr="00A16690">
        <w:rPr>
          <w:rFonts w:asciiTheme="majorHAnsi" w:hAnsiTheme="majorHAnsi"/>
          <w:kern w:val="1"/>
          <w:sz w:val="16"/>
          <w:szCs w:val="16"/>
          <w:lang w:val="es-ES"/>
        </w:rPr>
        <w:t>Suominen</w:t>
      </w:r>
      <w:proofErr w:type="spellEnd"/>
      <w:r w:rsidRPr="00A16690">
        <w:rPr>
          <w:rFonts w:asciiTheme="majorHAnsi" w:hAnsiTheme="majorHAnsi"/>
          <w:kern w:val="1"/>
          <w:sz w:val="16"/>
          <w:szCs w:val="16"/>
          <w:lang w:val="es-ES"/>
        </w:rPr>
        <w:t xml:space="preserve">: ‘[l]a Corte reitera entonces que, de acuerdo con su jurisprudencia constante y en reflejo de un principio relativo a la correcta administración de justicia, las sentencias de las cortes y los tribunales deben exponer de manera adecuada las razones en las que se basan’ (traducción de esta Corte). Cfr. </w:t>
      </w:r>
      <w:proofErr w:type="spellStart"/>
      <w:r w:rsidRPr="00A16690">
        <w:rPr>
          <w:rFonts w:asciiTheme="majorHAnsi" w:hAnsiTheme="majorHAnsi"/>
          <w:kern w:val="1"/>
          <w:sz w:val="16"/>
          <w:szCs w:val="16"/>
          <w:lang w:val="es-ES"/>
        </w:rPr>
        <w:t>Suominen</w:t>
      </w:r>
      <w:proofErr w:type="spellEnd"/>
      <w:r w:rsidRPr="00A16690">
        <w:rPr>
          <w:rFonts w:asciiTheme="majorHAnsi" w:hAnsiTheme="majorHAnsi"/>
          <w:kern w:val="1"/>
          <w:sz w:val="16"/>
          <w:szCs w:val="16"/>
          <w:lang w:val="es-ES"/>
        </w:rPr>
        <w:t xml:space="preserve"> v. </w:t>
      </w:r>
      <w:proofErr w:type="spellStart"/>
      <w:r w:rsidRPr="00A16690">
        <w:rPr>
          <w:rFonts w:asciiTheme="majorHAnsi" w:hAnsiTheme="majorHAnsi"/>
          <w:kern w:val="1"/>
          <w:sz w:val="16"/>
          <w:szCs w:val="16"/>
          <w:lang w:val="es-ES"/>
        </w:rPr>
        <w:t>Finland</w:t>
      </w:r>
      <w:proofErr w:type="spellEnd"/>
      <w:r w:rsidRPr="00A16690">
        <w:rPr>
          <w:rFonts w:asciiTheme="majorHAnsi" w:hAnsiTheme="majorHAnsi"/>
          <w:kern w:val="1"/>
          <w:sz w:val="16"/>
          <w:szCs w:val="16"/>
          <w:lang w:val="es-ES"/>
        </w:rPr>
        <w:t xml:space="preserve">, no. 37801/97, § 34, 1 </w:t>
      </w:r>
      <w:proofErr w:type="spellStart"/>
      <w:r w:rsidRPr="00A16690">
        <w:rPr>
          <w:rFonts w:asciiTheme="majorHAnsi" w:hAnsiTheme="majorHAnsi"/>
          <w:kern w:val="1"/>
          <w:sz w:val="16"/>
          <w:szCs w:val="16"/>
          <w:lang w:val="es-ES"/>
        </w:rPr>
        <w:t>July</w:t>
      </w:r>
      <w:proofErr w:type="spellEnd"/>
      <w:r w:rsidRPr="00A16690">
        <w:rPr>
          <w:rFonts w:asciiTheme="majorHAnsi" w:hAnsiTheme="majorHAnsi"/>
          <w:kern w:val="1"/>
          <w:sz w:val="16"/>
          <w:szCs w:val="16"/>
          <w:lang w:val="es-ES"/>
        </w:rPr>
        <w:t xml:space="preserve"> 2003”.</w:t>
      </w:r>
    </w:p>
  </w:footnote>
  <w:footnote w:id="67">
    <w:p w:rsidR="00D040E7" w:rsidRPr="00A16690" w:rsidRDefault="00D040E7" w:rsidP="005F4E9B">
      <w:pPr>
        <w:jc w:val="both"/>
        <w:rPr>
          <w:rFonts w:asciiTheme="majorHAnsi" w:hAnsiTheme="majorHAnsi"/>
          <w:bCs/>
          <w:color w:val="000000"/>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color w:val="000000"/>
          <w:sz w:val="16"/>
          <w:szCs w:val="16"/>
          <w:lang w:val="es-CO"/>
        </w:rPr>
        <w:t xml:space="preserve">Corte IDH. Caso </w:t>
      </w:r>
      <w:proofErr w:type="spellStart"/>
      <w:r w:rsidRPr="00A16690">
        <w:rPr>
          <w:rStyle w:val="Strong"/>
          <w:rFonts w:asciiTheme="majorHAnsi" w:hAnsiTheme="majorHAnsi"/>
          <w:b w:val="0"/>
          <w:color w:val="000000"/>
          <w:sz w:val="16"/>
          <w:szCs w:val="16"/>
          <w:lang w:val="es-CO"/>
        </w:rPr>
        <w:t>Apitz</w:t>
      </w:r>
      <w:proofErr w:type="spellEnd"/>
      <w:r w:rsidRPr="00A16690">
        <w:rPr>
          <w:rStyle w:val="Strong"/>
          <w:rFonts w:asciiTheme="majorHAnsi" w:hAnsiTheme="majorHAnsi"/>
          <w:b w:val="0"/>
          <w:color w:val="000000"/>
          <w:sz w:val="16"/>
          <w:szCs w:val="16"/>
          <w:lang w:val="es-CO"/>
        </w:rPr>
        <w:t xml:space="preserve"> Barbera y otros (“Corte Primera de lo Contencioso Administrativo”) Vs. Venezuela. Excepción Preliminar, Fondo, Reparaciones y Costas. Sentencia de 5 de agosto de 2008. Serie C No. 182. Párr. 77. </w:t>
      </w:r>
    </w:p>
  </w:footnote>
  <w:footnote w:id="68">
    <w:p w:rsidR="00D040E7" w:rsidRPr="00A16690" w:rsidRDefault="00D040E7" w:rsidP="005F4E9B">
      <w:pPr>
        <w:pStyle w:val="FootnoteText"/>
        <w:jc w:val="both"/>
        <w:rPr>
          <w:rFonts w:asciiTheme="majorHAnsi" w:hAnsiTheme="majorHAnsi"/>
          <w:sz w:val="16"/>
          <w:szCs w:val="16"/>
          <w:lang w:val="es-CO"/>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Apitz</w:t>
      </w:r>
      <w:proofErr w:type="spellEnd"/>
      <w:r w:rsidRPr="00A16690">
        <w:rPr>
          <w:rStyle w:val="Strong"/>
          <w:rFonts w:asciiTheme="majorHAnsi" w:hAnsiTheme="majorHAnsi"/>
          <w:b w:val="0"/>
          <w:sz w:val="16"/>
          <w:szCs w:val="16"/>
          <w:lang w:val="es-CO"/>
        </w:rPr>
        <w:t xml:space="preserve"> Barbera y otros (“Corte Primera de lo Contencioso Administrativo”) Vs. Venezuela. Excepción Preliminar, Fondo, Reparaciones y Costas. Sentencia de 5 de agosto de 2008. Serie C No. 182. Párr. 78. </w:t>
      </w:r>
    </w:p>
  </w:footnote>
  <w:footnote w:id="69">
    <w:p w:rsidR="00D040E7" w:rsidRPr="00A16690" w:rsidRDefault="00D040E7" w:rsidP="005F4E9B">
      <w:pPr>
        <w:pStyle w:val="FootnoteText"/>
        <w:jc w:val="both"/>
        <w:rPr>
          <w:rFonts w:asciiTheme="majorHAnsi" w:hAnsiTheme="majorHAnsi"/>
          <w:sz w:val="16"/>
          <w:szCs w:val="16"/>
          <w:lang w:val="es-ES"/>
        </w:rPr>
      </w:pPr>
      <w:r w:rsidRPr="00A16690">
        <w:rPr>
          <w:rStyle w:val="FootnoteReference"/>
          <w:rFonts w:asciiTheme="majorHAnsi" w:hAnsiTheme="majorHAnsi"/>
          <w:sz w:val="16"/>
          <w:szCs w:val="16"/>
        </w:rPr>
        <w:footnoteRef/>
      </w:r>
      <w:r w:rsidRPr="00A16690">
        <w:rPr>
          <w:rFonts w:asciiTheme="majorHAnsi" w:hAnsiTheme="majorHAnsi"/>
          <w:sz w:val="16"/>
          <w:szCs w:val="16"/>
          <w:lang w:val="es-CO"/>
        </w:rPr>
        <w:t xml:space="preserve"> </w:t>
      </w:r>
      <w:r w:rsidRPr="00A16690">
        <w:rPr>
          <w:rStyle w:val="Strong"/>
          <w:rFonts w:asciiTheme="majorHAnsi" w:hAnsiTheme="majorHAnsi"/>
          <w:b w:val="0"/>
          <w:sz w:val="16"/>
          <w:szCs w:val="16"/>
          <w:lang w:val="es-CO"/>
        </w:rPr>
        <w:t xml:space="preserve">Corte IDH. Caso </w:t>
      </w:r>
      <w:proofErr w:type="spellStart"/>
      <w:r w:rsidRPr="00A16690">
        <w:rPr>
          <w:rStyle w:val="Strong"/>
          <w:rFonts w:asciiTheme="majorHAnsi" w:hAnsiTheme="majorHAnsi"/>
          <w:b w:val="0"/>
          <w:sz w:val="16"/>
          <w:szCs w:val="16"/>
          <w:lang w:val="es-CO"/>
        </w:rPr>
        <w:t>Apitz</w:t>
      </w:r>
      <w:proofErr w:type="spellEnd"/>
      <w:r w:rsidRPr="00A16690">
        <w:rPr>
          <w:rStyle w:val="Strong"/>
          <w:rFonts w:asciiTheme="majorHAnsi" w:hAnsiTheme="majorHAnsi"/>
          <w:b w:val="0"/>
          <w:sz w:val="16"/>
          <w:szCs w:val="16"/>
          <w:lang w:val="es-CO"/>
        </w:rPr>
        <w:t xml:space="preserve"> Barbera y otros (“Corte Primera de lo Contencioso Administrativo”) Vs. Venezuela. Excepción Preliminar, Fondo, Reparaciones y Costas. Sentencia de 5 de agosto de 2008. Serie C No. 182. Párr. 78. </w:t>
      </w:r>
    </w:p>
  </w:footnote>
  <w:footnote w:id="70">
    <w:p w:rsidR="00D040E7" w:rsidRPr="003C1F53" w:rsidRDefault="00D040E7" w:rsidP="003C1F53">
      <w:pPr>
        <w:pStyle w:val="FootnoteText"/>
        <w:jc w:val="both"/>
        <w:rPr>
          <w:rFonts w:ascii="Cambria" w:hAnsi="Cambria"/>
          <w:sz w:val="16"/>
          <w:szCs w:val="16"/>
          <w:lang w:val="es-PE"/>
        </w:rPr>
      </w:pPr>
      <w:r w:rsidRPr="003C1F53">
        <w:rPr>
          <w:rStyle w:val="FootnoteReference"/>
          <w:rFonts w:ascii="Cambria" w:hAnsi="Cambria"/>
          <w:sz w:val="16"/>
          <w:szCs w:val="16"/>
        </w:rPr>
        <w:footnoteRef/>
      </w:r>
      <w:r w:rsidRPr="001D7748">
        <w:rPr>
          <w:rFonts w:ascii="Cambria" w:hAnsi="Cambria"/>
          <w:sz w:val="16"/>
          <w:szCs w:val="16"/>
          <w:lang w:val="es-PE"/>
        </w:rPr>
        <w:t xml:space="preserve"> </w:t>
      </w:r>
      <w:r w:rsidR="00197A7F" w:rsidRPr="001D7748">
        <w:rPr>
          <w:rFonts w:ascii="Cambria" w:hAnsi="Cambria"/>
          <w:sz w:val="16"/>
          <w:szCs w:val="16"/>
          <w:lang w:val="es-PE"/>
        </w:rPr>
        <w:t xml:space="preserve">Corte IDH. Caso Suárez Peralta Vs. </w:t>
      </w:r>
      <w:r w:rsidR="00197A7F" w:rsidRPr="003C1F53">
        <w:rPr>
          <w:rFonts w:ascii="Cambria" w:hAnsi="Cambria"/>
          <w:sz w:val="16"/>
          <w:szCs w:val="16"/>
          <w:lang w:val="es-PE"/>
        </w:rPr>
        <w:t>Ecuador. Excepciones Preliminares, Fondo, Reparaciones y Costas. Sentencia de 21 de mayo de 2013. Serie C No. 261, párr. 132.</w:t>
      </w:r>
    </w:p>
  </w:footnote>
  <w:footnote w:id="71">
    <w:p w:rsidR="00D040E7" w:rsidRPr="003C1F53" w:rsidRDefault="00D040E7" w:rsidP="003C1F53">
      <w:pPr>
        <w:pStyle w:val="FootnoteText"/>
        <w:jc w:val="both"/>
        <w:rPr>
          <w:rFonts w:ascii="Cambria" w:hAnsi="Cambria"/>
          <w:sz w:val="16"/>
          <w:szCs w:val="16"/>
          <w:lang w:val="es-PE"/>
        </w:rPr>
      </w:pPr>
      <w:r w:rsidRPr="003C1F53">
        <w:rPr>
          <w:rStyle w:val="FootnoteReference"/>
          <w:rFonts w:ascii="Cambria" w:hAnsi="Cambria"/>
          <w:sz w:val="16"/>
          <w:szCs w:val="16"/>
        </w:rPr>
        <w:footnoteRef/>
      </w:r>
      <w:r w:rsidRPr="003C1F53">
        <w:rPr>
          <w:rFonts w:ascii="Cambria" w:hAnsi="Cambria"/>
          <w:sz w:val="16"/>
          <w:szCs w:val="16"/>
          <w:lang w:val="es-PE"/>
        </w:rPr>
        <w:t xml:space="preserve"> CIDH. </w:t>
      </w:r>
      <w:r w:rsidR="002E17FB" w:rsidRPr="003C1F53">
        <w:rPr>
          <w:rFonts w:ascii="Cambria" w:hAnsi="Cambria"/>
          <w:sz w:val="16"/>
          <w:szCs w:val="16"/>
          <w:lang w:val="es-PE"/>
        </w:rPr>
        <w:t xml:space="preserve">Violencia contra Personas Lesbianas, Gay, Bisexuales, </w:t>
      </w:r>
      <w:proofErr w:type="spellStart"/>
      <w:r w:rsidR="002E17FB" w:rsidRPr="003C1F53">
        <w:rPr>
          <w:rFonts w:ascii="Cambria" w:hAnsi="Cambria"/>
          <w:sz w:val="16"/>
          <w:szCs w:val="16"/>
          <w:lang w:val="es-PE"/>
        </w:rPr>
        <w:t>Trans</w:t>
      </w:r>
      <w:proofErr w:type="spellEnd"/>
      <w:r w:rsidR="002E17FB" w:rsidRPr="003C1F53">
        <w:rPr>
          <w:rFonts w:ascii="Cambria" w:hAnsi="Cambria"/>
          <w:sz w:val="16"/>
          <w:szCs w:val="16"/>
          <w:lang w:val="es-PE"/>
        </w:rPr>
        <w:t xml:space="preserve"> e </w:t>
      </w:r>
      <w:proofErr w:type="spellStart"/>
      <w:r w:rsidR="002E17FB" w:rsidRPr="003C1F53">
        <w:rPr>
          <w:rFonts w:ascii="Cambria" w:hAnsi="Cambria"/>
          <w:sz w:val="16"/>
          <w:szCs w:val="16"/>
          <w:lang w:val="es-PE"/>
        </w:rPr>
        <w:t>Intersex</w:t>
      </w:r>
      <w:proofErr w:type="spellEnd"/>
      <w:r w:rsidR="002E17FB" w:rsidRPr="003C1F53">
        <w:rPr>
          <w:rFonts w:ascii="Cambria" w:hAnsi="Cambria"/>
          <w:sz w:val="16"/>
          <w:szCs w:val="16"/>
          <w:lang w:val="es-PE"/>
        </w:rPr>
        <w:t xml:space="preserve"> en América. 12 de noviembre de 2015, p</w:t>
      </w:r>
      <w:r w:rsidRPr="003C1F53">
        <w:rPr>
          <w:rFonts w:ascii="Cambria" w:hAnsi="Cambria"/>
          <w:sz w:val="16"/>
          <w:szCs w:val="16"/>
          <w:lang w:val="es-PE"/>
        </w:rPr>
        <w:t>árr. 453</w:t>
      </w:r>
    </w:p>
  </w:footnote>
  <w:footnote w:id="72">
    <w:p w:rsidR="002E17FB" w:rsidRPr="003C1F53" w:rsidRDefault="002E17FB" w:rsidP="003C1F53">
      <w:pPr>
        <w:pStyle w:val="FootnoteText"/>
        <w:jc w:val="both"/>
        <w:rPr>
          <w:lang w:val="es-PE"/>
        </w:rPr>
      </w:pPr>
      <w:r w:rsidRPr="003C1F53">
        <w:rPr>
          <w:rStyle w:val="FootnoteReference"/>
          <w:rFonts w:ascii="Cambria" w:hAnsi="Cambria"/>
          <w:sz w:val="16"/>
          <w:szCs w:val="16"/>
        </w:rPr>
        <w:footnoteRef/>
      </w:r>
      <w:r w:rsidRPr="003C1F53">
        <w:rPr>
          <w:rFonts w:ascii="Cambria" w:hAnsi="Cambria"/>
          <w:sz w:val="16"/>
          <w:szCs w:val="16"/>
          <w:lang w:val="es-PE"/>
        </w:rPr>
        <w:t xml:space="preserve"> Comité de Derechos Económicos, Sociales y Culturales. Observación General No, 18, 6 de febrero de 2006, párr.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7" w:rsidRDefault="00D040E7" w:rsidP="0029474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040E7" w:rsidRDefault="00D04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E7" w:rsidRDefault="00D040E7"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040E7" w:rsidRPr="00EC7D62" w:rsidRDefault="00D7376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3AE"/>
    <w:multiLevelType w:val="hybridMultilevel"/>
    <w:tmpl w:val="CF80FC0E"/>
    <w:lvl w:ilvl="0" w:tplc="60E0F4C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27283D"/>
    <w:multiLevelType w:val="hybridMultilevel"/>
    <w:tmpl w:val="2C948518"/>
    <w:lvl w:ilvl="0" w:tplc="FB605E76">
      <w:start w:val="161"/>
      <w:numFmt w:val="decimal"/>
      <w:lvlText w:val="%1."/>
      <w:lvlJc w:val="left"/>
      <w:pPr>
        <w:ind w:left="804" w:hanging="444"/>
      </w:pPr>
      <w:rPr>
        <w:rFont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0D3DAE"/>
    <w:multiLevelType w:val="hybridMultilevel"/>
    <w:tmpl w:val="F17818D6"/>
    <w:lvl w:ilvl="0" w:tplc="0FBC0CC4">
      <w:start w:val="1"/>
      <w:numFmt w:val="decimal"/>
      <w:lvlText w:val="%1."/>
      <w:lvlJc w:val="left"/>
      <w:pPr>
        <w:tabs>
          <w:tab w:val="num" w:pos="1260"/>
        </w:tabs>
        <w:ind w:left="1260" w:hanging="36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40127D8"/>
    <w:multiLevelType w:val="hybridMultilevel"/>
    <w:tmpl w:val="3116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1B68F9"/>
    <w:multiLevelType w:val="hybridMultilevel"/>
    <w:tmpl w:val="24BE1774"/>
    <w:lvl w:ilvl="0" w:tplc="01A674F6">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B66050"/>
    <w:multiLevelType w:val="hybridMultilevel"/>
    <w:tmpl w:val="E304D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72A0BA1"/>
    <w:multiLevelType w:val="hybridMultilevel"/>
    <w:tmpl w:val="BCF82940"/>
    <w:lvl w:ilvl="0" w:tplc="D15A0BD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E492E96"/>
    <w:multiLevelType w:val="hybridMultilevel"/>
    <w:tmpl w:val="66AE8DEA"/>
    <w:lvl w:ilvl="0" w:tplc="EF02D364">
      <w:start w:val="1"/>
      <w:numFmt w:val="decimal"/>
      <w:lvlText w:val="%1."/>
      <w:lvlJc w:val="left"/>
      <w:pPr>
        <w:ind w:left="1260" w:hanging="360"/>
      </w:pPr>
      <w:rPr>
        <w:rFonts w:ascii="Cambria" w:eastAsia="Arial Unicode MS" w:hAnsi="Cambria" w:cs="Times New Roman"/>
        <w:b w:val="0"/>
        <w:i w:val="0"/>
        <w:sz w:val="20"/>
        <w:szCs w:val="20"/>
      </w:rPr>
    </w:lvl>
    <w:lvl w:ilvl="1" w:tplc="A740E0C6">
      <w:start w:val="1"/>
      <w:numFmt w:val="lowerLetter"/>
      <w:lvlText w:val="%2)"/>
      <w:lvlJc w:val="left"/>
      <w:pPr>
        <w:ind w:left="1440" w:hanging="360"/>
      </w:pPr>
      <w:rPr>
        <w:rFont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4F714D6"/>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753A80"/>
    <w:multiLevelType w:val="hybridMultilevel"/>
    <w:tmpl w:val="B9B8489E"/>
    <w:lvl w:ilvl="0" w:tplc="5126705A">
      <w:start w:val="1"/>
      <w:numFmt w:val="decimal"/>
      <w:pStyle w:val="PrrafodeSentencia"/>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3F0893E6" w:tentative="1">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E64D32"/>
    <w:multiLevelType w:val="hybridMultilevel"/>
    <w:tmpl w:val="492C8C84"/>
    <w:lvl w:ilvl="0" w:tplc="268290B2">
      <w:start w:val="1"/>
      <w:numFmt w:val="decimal"/>
      <w:lvlText w:val="%1."/>
      <w:lvlJc w:val="left"/>
      <w:pPr>
        <w:tabs>
          <w:tab w:val="num" w:pos="124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1"/>
  </w:num>
  <w:num w:numId="4">
    <w:abstractNumId w:val="25"/>
  </w:num>
  <w:num w:numId="5">
    <w:abstractNumId w:val="53"/>
  </w:num>
  <w:num w:numId="6">
    <w:abstractNumId w:val="31"/>
  </w:num>
  <w:num w:numId="7">
    <w:abstractNumId w:val="9"/>
  </w:num>
  <w:num w:numId="8">
    <w:abstractNumId w:val="20"/>
  </w:num>
  <w:num w:numId="9">
    <w:abstractNumId w:val="46"/>
  </w:num>
  <w:num w:numId="10">
    <w:abstractNumId w:val="1"/>
  </w:num>
  <w:num w:numId="11">
    <w:abstractNumId w:val="41"/>
  </w:num>
  <w:num w:numId="12">
    <w:abstractNumId w:val="42"/>
  </w:num>
  <w:num w:numId="13">
    <w:abstractNumId w:val="48"/>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30"/>
  </w:num>
  <w:num w:numId="31">
    <w:abstractNumId w:val="32"/>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1"/>
  </w:num>
  <w:num w:numId="42">
    <w:abstractNumId w:val="55"/>
  </w:num>
  <w:num w:numId="43">
    <w:abstractNumId w:val="56"/>
  </w:num>
  <w:num w:numId="44">
    <w:abstractNumId w:val="58"/>
  </w:num>
  <w:num w:numId="45">
    <w:abstractNumId w:val="60"/>
  </w:num>
  <w:num w:numId="46">
    <w:abstractNumId w:val="62"/>
  </w:num>
  <w:num w:numId="47">
    <w:abstractNumId w:val="63"/>
  </w:num>
  <w:num w:numId="48">
    <w:abstractNumId w:val="64"/>
  </w:num>
  <w:num w:numId="49">
    <w:abstractNumId w:val="66"/>
  </w:num>
  <w:num w:numId="50">
    <w:abstractNumId w:val="67"/>
  </w:num>
  <w:num w:numId="51">
    <w:abstractNumId w:val="24"/>
  </w:num>
  <w:num w:numId="52">
    <w:abstractNumId w:val="45"/>
  </w:num>
  <w:num w:numId="53">
    <w:abstractNumId w:val="57"/>
  </w:num>
  <w:num w:numId="54">
    <w:abstractNumId w:val="49"/>
  </w:num>
  <w:num w:numId="55">
    <w:abstractNumId w:val="29"/>
  </w:num>
  <w:num w:numId="56">
    <w:abstractNumId w:val="19"/>
  </w:num>
  <w:num w:numId="57">
    <w:abstractNumId w:val="50"/>
  </w:num>
  <w:num w:numId="58">
    <w:abstractNumId w:val="23"/>
  </w:num>
  <w:num w:numId="59">
    <w:abstractNumId w:val="8"/>
  </w:num>
  <w:num w:numId="60">
    <w:abstractNumId w:val="0"/>
  </w:num>
  <w:num w:numId="61">
    <w:abstractNumId w:val="33"/>
  </w:num>
  <w:num w:numId="62">
    <w:abstractNumId w:val="6"/>
  </w:num>
  <w:num w:numId="63">
    <w:abstractNumId w:val="47"/>
  </w:num>
  <w:num w:numId="64">
    <w:abstractNumId w:val="54"/>
  </w:num>
  <w:num w:numId="65">
    <w:abstractNumId w:val="52"/>
  </w:num>
  <w:num w:numId="66">
    <w:abstractNumId w:val="59"/>
  </w:num>
  <w:num w:numId="67">
    <w:abstractNumId w:val="65"/>
  </w:num>
  <w:num w:numId="68">
    <w:abstractNumId w:val="3"/>
  </w:num>
  <w:num w:numId="69">
    <w:abstractNumId w:val="19"/>
    <w:lvlOverride w:ilvl="0">
      <w:startOverride w:val="1"/>
    </w:lvlOverride>
  </w:num>
  <w:num w:numId="70">
    <w:abstractNumId w:val="19"/>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VE" w:vendorID="64" w:dllVersion="6" w:nlCheck="1" w:checkStyle="1"/>
  <w:activeWritingStyle w:appName="MSWord" w:lang="es-AR" w:vendorID="64" w:dllVersion="6" w:nlCheck="1" w:checkStyle="1"/>
  <w:activeWritingStyle w:appName="MSWord" w:lang="es-CL" w:vendorID="64" w:dllVersion="6" w:nlCheck="1" w:checkStyle="1"/>
  <w:activeWritingStyle w:appName="MSWord" w:lang="es-US" w:vendorID="64" w:dllVersion="6" w:nlCheck="1" w:checkStyle="1"/>
  <w:activeWritingStyle w:appName="MSWord" w:lang="en-US" w:vendorID="64" w:dllVersion="6" w:nlCheck="1" w:checkStyle="1"/>
  <w:activeWritingStyle w:appName="MSWord" w:lang="es-CO" w:vendorID="64" w:dllVersion="6" w:nlCheck="1" w:checkStyle="1"/>
  <w:activeWritingStyle w:appName="MSWord" w:lang="es-PE" w:vendorID="64" w:dllVersion="6" w:nlCheck="1" w:checkStyle="1"/>
  <w:activeWritingStyle w:appName="MSWord" w:lang="es-VE" w:vendorID="64" w:dllVersion="0" w:nlCheck="1" w:checkStyle="0"/>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CL" w:vendorID="64" w:dllVersion="0" w:nlCheck="1" w:checkStyle="0"/>
  <w:activeWritingStyle w:appName="MSWord" w:lang="es-AR" w:vendorID="64" w:dllVersion="0" w:nlCheck="1" w:checkStyle="0"/>
  <w:activeWritingStyle w:appName="MSWord" w:lang="es-CR" w:vendorID="64" w:dllVersion="0" w:nlCheck="1" w:checkStyle="0"/>
  <w:activeWritingStyle w:appName="MSWord" w:lang="es-MX" w:vendorID="64" w:dllVersion="0" w:nlCheck="1" w:checkStyle="0"/>
  <w:activeWritingStyle w:appName="MSWord" w:lang="es-PE" w:vendorID="64" w:dllVersion="0" w:nlCheck="1" w:checkStyle="0"/>
  <w:activeWritingStyle w:appName="MSWord" w:lang="es-UY" w:vendorID="64" w:dllVersion="0" w:nlCheck="1" w:checkStyle="0"/>
  <w:activeWritingStyle w:appName="MSWord" w:lang="es-MX" w:vendorID="64" w:dllVersion="6" w:nlCheck="1" w:checkStyle="1"/>
  <w:activeWritingStyle w:appName="MSWord" w:lang="es-E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CL"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es-US" w:vendorID="64" w:dllVersion="131078" w:nlCheck="1" w:checkStyle="1"/>
  <w:activeWritingStyle w:appName="MSWord" w:lang="es-UY" w:vendorID="64" w:dllVersion="131078" w:nlCheck="1" w:checkStyle="1"/>
  <w:activeWritingStyle w:appName="MSWord" w:lang="es-CR" w:vendorID="64" w:dllVersion="131078" w:nlCheck="1" w:checkStyle="1"/>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896"/>
    <w:rsid w:val="00006E1F"/>
    <w:rsid w:val="000070D7"/>
    <w:rsid w:val="00007ABC"/>
    <w:rsid w:val="000158FD"/>
    <w:rsid w:val="0001788C"/>
    <w:rsid w:val="00022719"/>
    <w:rsid w:val="000349AF"/>
    <w:rsid w:val="00035494"/>
    <w:rsid w:val="00040C3A"/>
    <w:rsid w:val="000420B9"/>
    <w:rsid w:val="000535C4"/>
    <w:rsid w:val="0005496F"/>
    <w:rsid w:val="00062218"/>
    <w:rsid w:val="00067A5D"/>
    <w:rsid w:val="000716C5"/>
    <w:rsid w:val="00075E23"/>
    <w:rsid w:val="0008768F"/>
    <w:rsid w:val="0009344A"/>
    <w:rsid w:val="00095D90"/>
    <w:rsid w:val="000A392E"/>
    <w:rsid w:val="000A43AA"/>
    <w:rsid w:val="000A575F"/>
    <w:rsid w:val="000A576A"/>
    <w:rsid w:val="000B65F4"/>
    <w:rsid w:val="000C4B3C"/>
    <w:rsid w:val="000C5C09"/>
    <w:rsid w:val="000D10DB"/>
    <w:rsid w:val="000D31F6"/>
    <w:rsid w:val="000D6257"/>
    <w:rsid w:val="000E5EB5"/>
    <w:rsid w:val="000F35ED"/>
    <w:rsid w:val="00101E7C"/>
    <w:rsid w:val="00107131"/>
    <w:rsid w:val="0010736F"/>
    <w:rsid w:val="00113F73"/>
    <w:rsid w:val="00120EE3"/>
    <w:rsid w:val="00121CC2"/>
    <w:rsid w:val="00126B10"/>
    <w:rsid w:val="00133EE5"/>
    <w:rsid w:val="00144AB8"/>
    <w:rsid w:val="00146AFF"/>
    <w:rsid w:val="00166189"/>
    <w:rsid w:val="001663B9"/>
    <w:rsid w:val="00167A34"/>
    <w:rsid w:val="0017436D"/>
    <w:rsid w:val="0017561D"/>
    <w:rsid w:val="001778EA"/>
    <w:rsid w:val="00181F34"/>
    <w:rsid w:val="00187432"/>
    <w:rsid w:val="00197A7F"/>
    <w:rsid w:val="001A744A"/>
    <w:rsid w:val="001A7870"/>
    <w:rsid w:val="001B03C7"/>
    <w:rsid w:val="001B0B3A"/>
    <w:rsid w:val="001B1A30"/>
    <w:rsid w:val="001B3A67"/>
    <w:rsid w:val="001C103F"/>
    <w:rsid w:val="001C1B41"/>
    <w:rsid w:val="001C5BF0"/>
    <w:rsid w:val="001C7892"/>
    <w:rsid w:val="001D18C7"/>
    <w:rsid w:val="001D65EF"/>
    <w:rsid w:val="001D7748"/>
    <w:rsid w:val="001E15B6"/>
    <w:rsid w:val="001E43C7"/>
    <w:rsid w:val="001E4EAC"/>
    <w:rsid w:val="002024A9"/>
    <w:rsid w:val="00204B61"/>
    <w:rsid w:val="002060E1"/>
    <w:rsid w:val="0020631C"/>
    <w:rsid w:val="002063C5"/>
    <w:rsid w:val="00213AF4"/>
    <w:rsid w:val="002159D9"/>
    <w:rsid w:val="00215F3F"/>
    <w:rsid w:val="00220F9A"/>
    <w:rsid w:val="002250A3"/>
    <w:rsid w:val="00226C50"/>
    <w:rsid w:val="00227946"/>
    <w:rsid w:val="00231480"/>
    <w:rsid w:val="00235217"/>
    <w:rsid w:val="002400B6"/>
    <w:rsid w:val="0024179E"/>
    <w:rsid w:val="00242AF3"/>
    <w:rsid w:val="00246D1F"/>
    <w:rsid w:val="00247403"/>
    <w:rsid w:val="00247542"/>
    <w:rsid w:val="00266B61"/>
    <w:rsid w:val="0026712A"/>
    <w:rsid w:val="002704DB"/>
    <w:rsid w:val="00272F76"/>
    <w:rsid w:val="00276DF8"/>
    <w:rsid w:val="00277EF9"/>
    <w:rsid w:val="002827DD"/>
    <w:rsid w:val="0029474D"/>
    <w:rsid w:val="002A0AAE"/>
    <w:rsid w:val="002A5820"/>
    <w:rsid w:val="002B4482"/>
    <w:rsid w:val="002B650A"/>
    <w:rsid w:val="002D2B26"/>
    <w:rsid w:val="002D5B8D"/>
    <w:rsid w:val="002D6F37"/>
    <w:rsid w:val="002D7EA2"/>
    <w:rsid w:val="002E17FB"/>
    <w:rsid w:val="002E187C"/>
    <w:rsid w:val="002E4AEA"/>
    <w:rsid w:val="002F5130"/>
    <w:rsid w:val="002F6FD0"/>
    <w:rsid w:val="00302733"/>
    <w:rsid w:val="00303D52"/>
    <w:rsid w:val="00304CFB"/>
    <w:rsid w:val="00306C81"/>
    <w:rsid w:val="00307ABC"/>
    <w:rsid w:val="003124E2"/>
    <w:rsid w:val="00312628"/>
    <w:rsid w:val="00314078"/>
    <w:rsid w:val="0031535D"/>
    <w:rsid w:val="00324B95"/>
    <w:rsid w:val="003250EA"/>
    <w:rsid w:val="0033028D"/>
    <w:rsid w:val="0033169F"/>
    <w:rsid w:val="00335A6C"/>
    <w:rsid w:val="00346C95"/>
    <w:rsid w:val="00355282"/>
    <w:rsid w:val="00356185"/>
    <w:rsid w:val="00360380"/>
    <w:rsid w:val="00361415"/>
    <w:rsid w:val="00361AAA"/>
    <w:rsid w:val="00365564"/>
    <w:rsid w:val="00365872"/>
    <w:rsid w:val="0037519E"/>
    <w:rsid w:val="0038315B"/>
    <w:rsid w:val="003846EB"/>
    <w:rsid w:val="00386CF0"/>
    <w:rsid w:val="00391CE2"/>
    <w:rsid w:val="003A2FB5"/>
    <w:rsid w:val="003B3917"/>
    <w:rsid w:val="003C1F53"/>
    <w:rsid w:val="003C2A3D"/>
    <w:rsid w:val="003C4EF4"/>
    <w:rsid w:val="003C4EFC"/>
    <w:rsid w:val="003C6449"/>
    <w:rsid w:val="003C676B"/>
    <w:rsid w:val="003D0B8A"/>
    <w:rsid w:val="003D3BC2"/>
    <w:rsid w:val="003D5668"/>
    <w:rsid w:val="003D67C7"/>
    <w:rsid w:val="003D738C"/>
    <w:rsid w:val="003D7C03"/>
    <w:rsid w:val="003E02B1"/>
    <w:rsid w:val="003E432F"/>
    <w:rsid w:val="003E656D"/>
    <w:rsid w:val="003E6CA1"/>
    <w:rsid w:val="003F3BBE"/>
    <w:rsid w:val="004005AA"/>
    <w:rsid w:val="00401807"/>
    <w:rsid w:val="0040474C"/>
    <w:rsid w:val="0040655E"/>
    <w:rsid w:val="00414AD7"/>
    <w:rsid w:val="004165C2"/>
    <w:rsid w:val="00426114"/>
    <w:rsid w:val="00434DA4"/>
    <w:rsid w:val="00437655"/>
    <w:rsid w:val="0043780E"/>
    <w:rsid w:val="00437AF6"/>
    <w:rsid w:val="00441ECB"/>
    <w:rsid w:val="004665B4"/>
    <w:rsid w:val="00467B7E"/>
    <w:rsid w:val="00477592"/>
    <w:rsid w:val="00482EC8"/>
    <w:rsid w:val="00486F1C"/>
    <w:rsid w:val="00490C9D"/>
    <w:rsid w:val="0049419D"/>
    <w:rsid w:val="00496557"/>
    <w:rsid w:val="004A25D2"/>
    <w:rsid w:val="004B0D2C"/>
    <w:rsid w:val="004B4070"/>
    <w:rsid w:val="004C20D2"/>
    <w:rsid w:val="004C2D03"/>
    <w:rsid w:val="004C3957"/>
    <w:rsid w:val="004C4B62"/>
    <w:rsid w:val="004C54C9"/>
    <w:rsid w:val="004C790D"/>
    <w:rsid w:val="004D195F"/>
    <w:rsid w:val="004D2720"/>
    <w:rsid w:val="004D491D"/>
    <w:rsid w:val="004D6025"/>
    <w:rsid w:val="004D6618"/>
    <w:rsid w:val="004E2649"/>
    <w:rsid w:val="004E533A"/>
    <w:rsid w:val="004F47A6"/>
    <w:rsid w:val="004F627D"/>
    <w:rsid w:val="004F7224"/>
    <w:rsid w:val="004F739A"/>
    <w:rsid w:val="00501399"/>
    <w:rsid w:val="00505BE2"/>
    <w:rsid w:val="0050633D"/>
    <w:rsid w:val="005079EA"/>
    <w:rsid w:val="00507A77"/>
    <w:rsid w:val="00507BC4"/>
    <w:rsid w:val="005128E4"/>
    <w:rsid w:val="00512E1D"/>
    <w:rsid w:val="005133DB"/>
    <w:rsid w:val="0051717B"/>
    <w:rsid w:val="005228CA"/>
    <w:rsid w:val="005242C9"/>
    <w:rsid w:val="00525424"/>
    <w:rsid w:val="00525560"/>
    <w:rsid w:val="00526F81"/>
    <w:rsid w:val="0052733E"/>
    <w:rsid w:val="00530CFF"/>
    <w:rsid w:val="00533626"/>
    <w:rsid w:val="005354F3"/>
    <w:rsid w:val="00536917"/>
    <w:rsid w:val="00536923"/>
    <w:rsid w:val="005430CE"/>
    <w:rsid w:val="00544C49"/>
    <w:rsid w:val="00550A33"/>
    <w:rsid w:val="005516A1"/>
    <w:rsid w:val="005615B9"/>
    <w:rsid w:val="00563C2B"/>
    <w:rsid w:val="00565744"/>
    <w:rsid w:val="00571EF2"/>
    <w:rsid w:val="0057402A"/>
    <w:rsid w:val="00575561"/>
    <w:rsid w:val="005771D0"/>
    <w:rsid w:val="00581884"/>
    <w:rsid w:val="005829DD"/>
    <w:rsid w:val="0059191A"/>
    <w:rsid w:val="005921FF"/>
    <w:rsid w:val="00592C12"/>
    <w:rsid w:val="005937F1"/>
    <w:rsid w:val="00595C1D"/>
    <w:rsid w:val="005A1CAC"/>
    <w:rsid w:val="005A260A"/>
    <w:rsid w:val="005A6D0E"/>
    <w:rsid w:val="005A7F45"/>
    <w:rsid w:val="005B07D9"/>
    <w:rsid w:val="005B20DA"/>
    <w:rsid w:val="005B2EC1"/>
    <w:rsid w:val="005B4181"/>
    <w:rsid w:val="005B52B0"/>
    <w:rsid w:val="005B5C94"/>
    <w:rsid w:val="005B6806"/>
    <w:rsid w:val="005C4225"/>
    <w:rsid w:val="005C4AE5"/>
    <w:rsid w:val="005C4B3A"/>
    <w:rsid w:val="005C4CA5"/>
    <w:rsid w:val="005D0DB1"/>
    <w:rsid w:val="005D4A43"/>
    <w:rsid w:val="005E641C"/>
    <w:rsid w:val="005E7AE8"/>
    <w:rsid w:val="005F0DAD"/>
    <w:rsid w:val="005F0F33"/>
    <w:rsid w:val="005F309E"/>
    <w:rsid w:val="005F4874"/>
    <w:rsid w:val="005F4E9B"/>
    <w:rsid w:val="00600DEB"/>
    <w:rsid w:val="00601880"/>
    <w:rsid w:val="00604434"/>
    <w:rsid w:val="006056A7"/>
    <w:rsid w:val="00607A88"/>
    <w:rsid w:val="00611CC8"/>
    <w:rsid w:val="006125C3"/>
    <w:rsid w:val="00617102"/>
    <w:rsid w:val="006266EC"/>
    <w:rsid w:val="00626B58"/>
    <w:rsid w:val="00627C9F"/>
    <w:rsid w:val="00627CBD"/>
    <w:rsid w:val="006311E9"/>
    <w:rsid w:val="00632354"/>
    <w:rsid w:val="00633320"/>
    <w:rsid w:val="00633F12"/>
    <w:rsid w:val="00635C78"/>
    <w:rsid w:val="006408E8"/>
    <w:rsid w:val="00642810"/>
    <w:rsid w:val="00645E75"/>
    <w:rsid w:val="00652333"/>
    <w:rsid w:val="0065744A"/>
    <w:rsid w:val="00661EF3"/>
    <w:rsid w:val="00667055"/>
    <w:rsid w:val="0068009E"/>
    <w:rsid w:val="00692219"/>
    <w:rsid w:val="0069736E"/>
    <w:rsid w:val="006A17D2"/>
    <w:rsid w:val="006A4B39"/>
    <w:rsid w:val="006A5B9D"/>
    <w:rsid w:val="006A73E6"/>
    <w:rsid w:val="006A767E"/>
    <w:rsid w:val="006B2D5C"/>
    <w:rsid w:val="006B492F"/>
    <w:rsid w:val="006B4BCC"/>
    <w:rsid w:val="006B4D40"/>
    <w:rsid w:val="006C0622"/>
    <w:rsid w:val="006C1A20"/>
    <w:rsid w:val="006C4EB1"/>
    <w:rsid w:val="006C7EB0"/>
    <w:rsid w:val="006E0166"/>
    <w:rsid w:val="006E1986"/>
    <w:rsid w:val="006E5CD4"/>
    <w:rsid w:val="006E62B7"/>
    <w:rsid w:val="006E7B34"/>
    <w:rsid w:val="006F55AB"/>
    <w:rsid w:val="00701CEB"/>
    <w:rsid w:val="0070697F"/>
    <w:rsid w:val="0071534F"/>
    <w:rsid w:val="00715B86"/>
    <w:rsid w:val="0072199C"/>
    <w:rsid w:val="00722C9F"/>
    <w:rsid w:val="00724068"/>
    <w:rsid w:val="007253B8"/>
    <w:rsid w:val="00734640"/>
    <w:rsid w:val="0073631B"/>
    <w:rsid w:val="0073741F"/>
    <w:rsid w:val="0075060B"/>
    <w:rsid w:val="00753601"/>
    <w:rsid w:val="0076643F"/>
    <w:rsid w:val="00767E5C"/>
    <w:rsid w:val="007723FA"/>
    <w:rsid w:val="007775A9"/>
    <w:rsid w:val="00777F63"/>
    <w:rsid w:val="007809C7"/>
    <w:rsid w:val="00787F58"/>
    <w:rsid w:val="007974A0"/>
    <w:rsid w:val="007A5817"/>
    <w:rsid w:val="007A74CC"/>
    <w:rsid w:val="007B0842"/>
    <w:rsid w:val="007B0D9F"/>
    <w:rsid w:val="007B13C6"/>
    <w:rsid w:val="007B60E9"/>
    <w:rsid w:val="007B6CC3"/>
    <w:rsid w:val="007C3334"/>
    <w:rsid w:val="007C756A"/>
    <w:rsid w:val="007D1C31"/>
    <w:rsid w:val="007D2B98"/>
    <w:rsid w:val="007E21BC"/>
    <w:rsid w:val="007E7666"/>
    <w:rsid w:val="007F099F"/>
    <w:rsid w:val="007F7E9A"/>
    <w:rsid w:val="00803F1C"/>
    <w:rsid w:val="0080600E"/>
    <w:rsid w:val="00815021"/>
    <w:rsid w:val="008160F0"/>
    <w:rsid w:val="00817612"/>
    <w:rsid w:val="008217E6"/>
    <w:rsid w:val="0082554C"/>
    <w:rsid w:val="008266A7"/>
    <w:rsid w:val="008338A4"/>
    <w:rsid w:val="00834B6B"/>
    <w:rsid w:val="00836709"/>
    <w:rsid w:val="00837C45"/>
    <w:rsid w:val="00844730"/>
    <w:rsid w:val="00845717"/>
    <w:rsid w:val="008457C2"/>
    <w:rsid w:val="00846581"/>
    <w:rsid w:val="00846C75"/>
    <w:rsid w:val="008545E3"/>
    <w:rsid w:val="00857A82"/>
    <w:rsid w:val="008613C9"/>
    <w:rsid w:val="00865653"/>
    <w:rsid w:val="00867197"/>
    <w:rsid w:val="00871DE4"/>
    <w:rsid w:val="008732C5"/>
    <w:rsid w:val="00873836"/>
    <w:rsid w:val="00877CB3"/>
    <w:rsid w:val="0088338B"/>
    <w:rsid w:val="00885737"/>
    <w:rsid w:val="00890650"/>
    <w:rsid w:val="00894EE0"/>
    <w:rsid w:val="00897E12"/>
    <w:rsid w:val="008A1C9E"/>
    <w:rsid w:val="008A7E0F"/>
    <w:rsid w:val="008B12F5"/>
    <w:rsid w:val="008B42F0"/>
    <w:rsid w:val="008B7C24"/>
    <w:rsid w:val="008C05A8"/>
    <w:rsid w:val="008C308D"/>
    <w:rsid w:val="008C3098"/>
    <w:rsid w:val="008C77C4"/>
    <w:rsid w:val="008D3DA3"/>
    <w:rsid w:val="008D768D"/>
    <w:rsid w:val="008E0AF6"/>
    <w:rsid w:val="008E3352"/>
    <w:rsid w:val="008E3759"/>
    <w:rsid w:val="008E7411"/>
    <w:rsid w:val="008F1912"/>
    <w:rsid w:val="008F1B28"/>
    <w:rsid w:val="008F604B"/>
    <w:rsid w:val="009014A4"/>
    <w:rsid w:val="0090223E"/>
    <w:rsid w:val="0090270B"/>
    <w:rsid w:val="009041DC"/>
    <w:rsid w:val="00910733"/>
    <w:rsid w:val="0091487D"/>
    <w:rsid w:val="009176DA"/>
    <w:rsid w:val="00917B5A"/>
    <w:rsid w:val="00920A58"/>
    <w:rsid w:val="00920A8C"/>
    <w:rsid w:val="0092111F"/>
    <w:rsid w:val="00934A2C"/>
    <w:rsid w:val="00942FD0"/>
    <w:rsid w:val="009442FA"/>
    <w:rsid w:val="00951CBC"/>
    <w:rsid w:val="00952E1F"/>
    <w:rsid w:val="00954934"/>
    <w:rsid w:val="00956182"/>
    <w:rsid w:val="009609E8"/>
    <w:rsid w:val="0096102B"/>
    <w:rsid w:val="00966DAD"/>
    <w:rsid w:val="0096706E"/>
    <w:rsid w:val="00967432"/>
    <w:rsid w:val="00967F2C"/>
    <w:rsid w:val="00975C4E"/>
    <w:rsid w:val="00981FBA"/>
    <w:rsid w:val="009837EC"/>
    <w:rsid w:val="00985900"/>
    <w:rsid w:val="00997BC5"/>
    <w:rsid w:val="00997F5E"/>
    <w:rsid w:val="009A0BE3"/>
    <w:rsid w:val="009A4F41"/>
    <w:rsid w:val="009B381B"/>
    <w:rsid w:val="009B64CE"/>
    <w:rsid w:val="009C000E"/>
    <w:rsid w:val="009C4EAA"/>
    <w:rsid w:val="009D12BB"/>
    <w:rsid w:val="009D1753"/>
    <w:rsid w:val="009D7611"/>
    <w:rsid w:val="009E0B61"/>
    <w:rsid w:val="009E5157"/>
    <w:rsid w:val="009E53DE"/>
    <w:rsid w:val="009E5539"/>
    <w:rsid w:val="00A00C27"/>
    <w:rsid w:val="00A12A1C"/>
    <w:rsid w:val="00A16690"/>
    <w:rsid w:val="00A20E6E"/>
    <w:rsid w:val="00A2598E"/>
    <w:rsid w:val="00A30A30"/>
    <w:rsid w:val="00A3119C"/>
    <w:rsid w:val="00A31DD9"/>
    <w:rsid w:val="00A328B3"/>
    <w:rsid w:val="00A332E3"/>
    <w:rsid w:val="00A33B1E"/>
    <w:rsid w:val="00A3547F"/>
    <w:rsid w:val="00A43174"/>
    <w:rsid w:val="00A50FCF"/>
    <w:rsid w:val="00A5158D"/>
    <w:rsid w:val="00A528D1"/>
    <w:rsid w:val="00A610CD"/>
    <w:rsid w:val="00A679F4"/>
    <w:rsid w:val="00A713B8"/>
    <w:rsid w:val="00A75E63"/>
    <w:rsid w:val="00A814FA"/>
    <w:rsid w:val="00A8345A"/>
    <w:rsid w:val="00A83BDB"/>
    <w:rsid w:val="00A90EA6"/>
    <w:rsid w:val="00AA09A2"/>
    <w:rsid w:val="00AA5502"/>
    <w:rsid w:val="00AA6A8B"/>
    <w:rsid w:val="00AA7996"/>
    <w:rsid w:val="00AB4434"/>
    <w:rsid w:val="00AB47E7"/>
    <w:rsid w:val="00AB5D69"/>
    <w:rsid w:val="00AC19CB"/>
    <w:rsid w:val="00AC2F7A"/>
    <w:rsid w:val="00AC55D4"/>
    <w:rsid w:val="00AC65E8"/>
    <w:rsid w:val="00AC6629"/>
    <w:rsid w:val="00AE5488"/>
    <w:rsid w:val="00AE6F91"/>
    <w:rsid w:val="00AF3284"/>
    <w:rsid w:val="00AF4700"/>
    <w:rsid w:val="00AF5571"/>
    <w:rsid w:val="00AF7988"/>
    <w:rsid w:val="00B00AB5"/>
    <w:rsid w:val="00B07184"/>
    <w:rsid w:val="00B07341"/>
    <w:rsid w:val="00B0783D"/>
    <w:rsid w:val="00B20CD5"/>
    <w:rsid w:val="00B22B14"/>
    <w:rsid w:val="00B22BB7"/>
    <w:rsid w:val="00B27F02"/>
    <w:rsid w:val="00B30539"/>
    <w:rsid w:val="00B314DB"/>
    <w:rsid w:val="00B34CE7"/>
    <w:rsid w:val="00B35AB7"/>
    <w:rsid w:val="00B361F2"/>
    <w:rsid w:val="00B3718B"/>
    <w:rsid w:val="00B405AB"/>
    <w:rsid w:val="00B4632A"/>
    <w:rsid w:val="00B513B1"/>
    <w:rsid w:val="00B5212E"/>
    <w:rsid w:val="00B530F1"/>
    <w:rsid w:val="00B54A0C"/>
    <w:rsid w:val="00B55B3C"/>
    <w:rsid w:val="00B632D6"/>
    <w:rsid w:val="00B6379A"/>
    <w:rsid w:val="00B67999"/>
    <w:rsid w:val="00B74305"/>
    <w:rsid w:val="00B769E6"/>
    <w:rsid w:val="00B81A9C"/>
    <w:rsid w:val="00B844FE"/>
    <w:rsid w:val="00B869DA"/>
    <w:rsid w:val="00BA276C"/>
    <w:rsid w:val="00BA461E"/>
    <w:rsid w:val="00BB306F"/>
    <w:rsid w:val="00BC1180"/>
    <w:rsid w:val="00BC5B9E"/>
    <w:rsid w:val="00BC60B9"/>
    <w:rsid w:val="00BD0AB3"/>
    <w:rsid w:val="00BD4B89"/>
    <w:rsid w:val="00BE2C98"/>
    <w:rsid w:val="00BE55E3"/>
    <w:rsid w:val="00BE6DBD"/>
    <w:rsid w:val="00BF02CB"/>
    <w:rsid w:val="00BF11D3"/>
    <w:rsid w:val="00BF1664"/>
    <w:rsid w:val="00BF16B9"/>
    <w:rsid w:val="00BF6FD8"/>
    <w:rsid w:val="00C03680"/>
    <w:rsid w:val="00C054DF"/>
    <w:rsid w:val="00C21762"/>
    <w:rsid w:val="00C24543"/>
    <w:rsid w:val="00C256A2"/>
    <w:rsid w:val="00C30413"/>
    <w:rsid w:val="00C40789"/>
    <w:rsid w:val="00C46EE5"/>
    <w:rsid w:val="00C5074B"/>
    <w:rsid w:val="00C51515"/>
    <w:rsid w:val="00C5660B"/>
    <w:rsid w:val="00C577EC"/>
    <w:rsid w:val="00C62A75"/>
    <w:rsid w:val="00C65738"/>
    <w:rsid w:val="00C66B72"/>
    <w:rsid w:val="00C71AD2"/>
    <w:rsid w:val="00C732AA"/>
    <w:rsid w:val="00C75282"/>
    <w:rsid w:val="00C810D8"/>
    <w:rsid w:val="00C82765"/>
    <w:rsid w:val="00C8645D"/>
    <w:rsid w:val="00C907A1"/>
    <w:rsid w:val="00C90FC1"/>
    <w:rsid w:val="00C918EA"/>
    <w:rsid w:val="00C9567A"/>
    <w:rsid w:val="00C968F0"/>
    <w:rsid w:val="00C97129"/>
    <w:rsid w:val="00CA4D4E"/>
    <w:rsid w:val="00CA5CA8"/>
    <w:rsid w:val="00CB0513"/>
    <w:rsid w:val="00CB053C"/>
    <w:rsid w:val="00CB212D"/>
    <w:rsid w:val="00CB2583"/>
    <w:rsid w:val="00CB2660"/>
    <w:rsid w:val="00CC5E90"/>
    <w:rsid w:val="00CC63CF"/>
    <w:rsid w:val="00CD046C"/>
    <w:rsid w:val="00CD59F0"/>
    <w:rsid w:val="00CE076C"/>
    <w:rsid w:val="00CE136B"/>
    <w:rsid w:val="00CE5199"/>
    <w:rsid w:val="00CE66D5"/>
    <w:rsid w:val="00CE684D"/>
    <w:rsid w:val="00CF41A1"/>
    <w:rsid w:val="00CF637A"/>
    <w:rsid w:val="00D040E7"/>
    <w:rsid w:val="00D059DE"/>
    <w:rsid w:val="00D0795F"/>
    <w:rsid w:val="00D12193"/>
    <w:rsid w:val="00D13FCE"/>
    <w:rsid w:val="00D15A50"/>
    <w:rsid w:val="00D306D1"/>
    <w:rsid w:val="00D31A33"/>
    <w:rsid w:val="00D34786"/>
    <w:rsid w:val="00D3566F"/>
    <w:rsid w:val="00D3790F"/>
    <w:rsid w:val="00D37BFC"/>
    <w:rsid w:val="00D44AD2"/>
    <w:rsid w:val="00D456BC"/>
    <w:rsid w:val="00D47A8E"/>
    <w:rsid w:val="00D52694"/>
    <w:rsid w:val="00D52D14"/>
    <w:rsid w:val="00D712D3"/>
    <w:rsid w:val="00D71422"/>
    <w:rsid w:val="00D72DC6"/>
    <w:rsid w:val="00D73767"/>
    <w:rsid w:val="00D73C5B"/>
    <w:rsid w:val="00D74159"/>
    <w:rsid w:val="00D7558D"/>
    <w:rsid w:val="00D76350"/>
    <w:rsid w:val="00D81D92"/>
    <w:rsid w:val="00D81DB0"/>
    <w:rsid w:val="00D82895"/>
    <w:rsid w:val="00D83D73"/>
    <w:rsid w:val="00D8413B"/>
    <w:rsid w:val="00D938F4"/>
    <w:rsid w:val="00D96E66"/>
    <w:rsid w:val="00DA7B5F"/>
    <w:rsid w:val="00DB6085"/>
    <w:rsid w:val="00DC11E7"/>
    <w:rsid w:val="00DC2233"/>
    <w:rsid w:val="00DC4CD2"/>
    <w:rsid w:val="00DC7023"/>
    <w:rsid w:val="00DC769A"/>
    <w:rsid w:val="00DD195A"/>
    <w:rsid w:val="00DD3258"/>
    <w:rsid w:val="00DD3D86"/>
    <w:rsid w:val="00DD6498"/>
    <w:rsid w:val="00DE0F2C"/>
    <w:rsid w:val="00DE5A03"/>
    <w:rsid w:val="00DF1EC4"/>
    <w:rsid w:val="00DF403A"/>
    <w:rsid w:val="00E0340B"/>
    <w:rsid w:val="00E04A90"/>
    <w:rsid w:val="00E069A7"/>
    <w:rsid w:val="00E1053F"/>
    <w:rsid w:val="00E177BB"/>
    <w:rsid w:val="00E209B6"/>
    <w:rsid w:val="00E219C7"/>
    <w:rsid w:val="00E301EF"/>
    <w:rsid w:val="00E34CAF"/>
    <w:rsid w:val="00E43157"/>
    <w:rsid w:val="00E43B1E"/>
    <w:rsid w:val="00E45130"/>
    <w:rsid w:val="00E45628"/>
    <w:rsid w:val="00E461CE"/>
    <w:rsid w:val="00E5126F"/>
    <w:rsid w:val="00E5417D"/>
    <w:rsid w:val="00E548A9"/>
    <w:rsid w:val="00E57471"/>
    <w:rsid w:val="00E606F7"/>
    <w:rsid w:val="00E66F4F"/>
    <w:rsid w:val="00E720CA"/>
    <w:rsid w:val="00E72E57"/>
    <w:rsid w:val="00E810C3"/>
    <w:rsid w:val="00E84EB5"/>
    <w:rsid w:val="00E85662"/>
    <w:rsid w:val="00E8789F"/>
    <w:rsid w:val="00E909AA"/>
    <w:rsid w:val="00E91C73"/>
    <w:rsid w:val="00E97B71"/>
    <w:rsid w:val="00EA3D34"/>
    <w:rsid w:val="00EA7D41"/>
    <w:rsid w:val="00EB454D"/>
    <w:rsid w:val="00EC1A92"/>
    <w:rsid w:val="00EC591F"/>
    <w:rsid w:val="00ED6AA8"/>
    <w:rsid w:val="00ED76BE"/>
    <w:rsid w:val="00EE4345"/>
    <w:rsid w:val="00EF4800"/>
    <w:rsid w:val="00EF6159"/>
    <w:rsid w:val="00EF619B"/>
    <w:rsid w:val="00F00B55"/>
    <w:rsid w:val="00F02AD1"/>
    <w:rsid w:val="00F253CC"/>
    <w:rsid w:val="00F277A0"/>
    <w:rsid w:val="00F37106"/>
    <w:rsid w:val="00F41669"/>
    <w:rsid w:val="00F45E65"/>
    <w:rsid w:val="00F467B3"/>
    <w:rsid w:val="00F512F0"/>
    <w:rsid w:val="00F519CF"/>
    <w:rsid w:val="00F5369E"/>
    <w:rsid w:val="00F56BA5"/>
    <w:rsid w:val="00F60E22"/>
    <w:rsid w:val="00F61296"/>
    <w:rsid w:val="00F73104"/>
    <w:rsid w:val="00F765A9"/>
    <w:rsid w:val="00F804C4"/>
    <w:rsid w:val="00F805FB"/>
    <w:rsid w:val="00F81395"/>
    <w:rsid w:val="00F86FE0"/>
    <w:rsid w:val="00F902EB"/>
    <w:rsid w:val="00F917D1"/>
    <w:rsid w:val="00F9653B"/>
    <w:rsid w:val="00FA09E9"/>
    <w:rsid w:val="00FA4198"/>
    <w:rsid w:val="00FB1EB0"/>
    <w:rsid w:val="00FB42C6"/>
    <w:rsid w:val="00FB62CF"/>
    <w:rsid w:val="00FD3C3B"/>
    <w:rsid w:val="00FD5A99"/>
    <w:rsid w:val="00FD7A59"/>
    <w:rsid w:val="00FE07DD"/>
    <w:rsid w:val="00FE2A6B"/>
    <w:rsid w:val="00FE4496"/>
    <w:rsid w:val="00FE6B45"/>
    <w:rsid w:val="00FF22F6"/>
    <w:rsid w:val="00FF55F3"/>
    <w:rsid w:val="00FF5851"/>
    <w:rsid w:val="00FF7B79"/>
    <w:rsid w:val="00FF7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0D31F6"/>
    <w:pPr>
      <w:numPr>
        <w:numId w:val="55"/>
      </w:numPr>
      <w:suppressAutoHyphens/>
      <w:ind w:left="144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0D31F6"/>
    <w:pPr>
      <w:numPr>
        <w:numId w:val="56"/>
      </w:numPr>
      <w:suppressAutoHyphens/>
      <w:ind w:hanging="720"/>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0D31F6"/>
    <w:pPr>
      <w:numPr>
        <w:numId w:val="60"/>
      </w:numPr>
      <w:ind w:left="1440" w:hanging="720"/>
      <w:jc w:val="both"/>
      <w:outlineLvl w:val="2"/>
    </w:pPr>
    <w:rPr>
      <w:rFonts w:asciiTheme="majorHAnsi" w:hAnsiTheme="majorHAnsi"/>
      <w:b/>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D31F6"/>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0D31F6"/>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0D31F6"/>
    <w:rPr>
      <w:rFonts w:asciiTheme="majorHAnsi" w:eastAsia="Cambria" w:hAnsiTheme="majorHAnsi" w:cs="Cambria"/>
      <w:b/>
      <w:u w:color="000000"/>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Strong">
    <w:name w:val="Strong"/>
    <w:uiPriority w:val="22"/>
    <w:qFormat/>
    <w:rsid w:val="008545E3"/>
    <w:rPr>
      <w:b/>
      <w:bCs/>
    </w:rPr>
  </w:style>
  <w:style w:type="paragraph" w:customStyle="1" w:styleId="PrrafodeSentencia">
    <w:name w:val="*. Párrafo de Sentencia"/>
    <w:basedOn w:val="FootnoteText"/>
    <w:autoRedefine/>
    <w:qFormat/>
    <w:rsid w:val="00E177BB"/>
    <w:pPr>
      <w:numPr>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both"/>
    </w:pPr>
    <w:rPr>
      <w:rFonts w:ascii="Verdana" w:eastAsia="Times New Roman" w:hAnsi="Verdana" w:cs="Times New Roman"/>
      <w:bCs/>
      <w:noProof/>
      <w:color w:val="auto"/>
      <w:bdr w:val="none" w:sz="0" w:space="0" w:color="auto"/>
      <w:lang w:val="es-ES_tradnl"/>
    </w:rPr>
  </w:style>
  <w:style w:type="character" w:customStyle="1" w:styleId="ListParagraphChar1">
    <w:name w:val="List Paragraph Char1"/>
    <w:basedOn w:val="DefaultParagraphFont"/>
    <w:uiPriority w:val="99"/>
    <w:rsid w:val="000C4B3C"/>
    <w:rPr>
      <w:rFonts w:ascii="Verdana" w:eastAsia="Times New Roman" w:hAnsi="Verdana"/>
      <w:lang w:val="es-ES_tradnl" w:eastAsia="en-US"/>
    </w:rPr>
  </w:style>
  <w:style w:type="paragraph" w:styleId="NormalWeb">
    <w:name w:val="Normal (Web)"/>
    <w:basedOn w:val="Normal"/>
    <w:uiPriority w:val="99"/>
    <w:unhideWhenUsed/>
    <w:rsid w:val="003552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pple-converted-space">
    <w:name w:val="apple-converted-space"/>
    <w:rsid w:val="00B55B3C"/>
    <w:rPr>
      <w:rFonts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01CE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character" w:styleId="CommentReference">
    <w:name w:val="annotation reference"/>
    <w:basedOn w:val="DefaultParagraphFont"/>
    <w:uiPriority w:val="99"/>
    <w:semiHidden/>
    <w:unhideWhenUsed/>
    <w:rsid w:val="00563C2B"/>
    <w:rPr>
      <w:sz w:val="16"/>
      <w:szCs w:val="16"/>
    </w:rPr>
  </w:style>
  <w:style w:type="paragraph" w:styleId="CommentText">
    <w:name w:val="annotation text"/>
    <w:basedOn w:val="Normal"/>
    <w:link w:val="CommentTextChar"/>
    <w:uiPriority w:val="99"/>
    <w:semiHidden/>
    <w:unhideWhenUsed/>
    <w:rsid w:val="00563C2B"/>
    <w:rPr>
      <w:sz w:val="20"/>
      <w:szCs w:val="20"/>
    </w:rPr>
  </w:style>
  <w:style w:type="character" w:customStyle="1" w:styleId="CommentTextChar">
    <w:name w:val="Comment Text Char"/>
    <w:basedOn w:val="DefaultParagraphFont"/>
    <w:link w:val="CommentText"/>
    <w:uiPriority w:val="99"/>
    <w:semiHidden/>
    <w:rsid w:val="00563C2B"/>
    <w:rPr>
      <w:lang w:val="en-US" w:eastAsia="en-US"/>
    </w:rPr>
  </w:style>
  <w:style w:type="paragraph" w:styleId="CommentSubject">
    <w:name w:val="annotation subject"/>
    <w:basedOn w:val="CommentText"/>
    <w:next w:val="CommentText"/>
    <w:link w:val="CommentSubjectChar"/>
    <w:uiPriority w:val="99"/>
    <w:semiHidden/>
    <w:unhideWhenUsed/>
    <w:rsid w:val="00563C2B"/>
    <w:rPr>
      <w:b/>
      <w:bCs/>
    </w:rPr>
  </w:style>
  <w:style w:type="character" w:customStyle="1" w:styleId="CommentSubjectChar">
    <w:name w:val="Comment Subject Char"/>
    <w:basedOn w:val="CommentTextChar"/>
    <w:link w:val="CommentSubject"/>
    <w:uiPriority w:val="99"/>
    <w:semiHidden/>
    <w:rsid w:val="00563C2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0D31F6"/>
    <w:pPr>
      <w:numPr>
        <w:numId w:val="55"/>
      </w:numPr>
      <w:suppressAutoHyphens/>
      <w:ind w:left="144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0D31F6"/>
    <w:pPr>
      <w:numPr>
        <w:numId w:val="56"/>
      </w:numPr>
      <w:suppressAutoHyphens/>
      <w:ind w:hanging="720"/>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0D31F6"/>
    <w:pPr>
      <w:numPr>
        <w:numId w:val="60"/>
      </w:numPr>
      <w:ind w:left="1440" w:hanging="720"/>
      <w:jc w:val="both"/>
      <w:outlineLvl w:val="2"/>
    </w:pPr>
    <w:rPr>
      <w:rFonts w:asciiTheme="majorHAnsi" w:hAnsiTheme="majorHAnsi"/>
      <w:b/>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D31F6"/>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0D31F6"/>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0D31F6"/>
    <w:rPr>
      <w:rFonts w:asciiTheme="majorHAnsi" w:eastAsia="Cambria" w:hAnsiTheme="majorHAnsi" w:cs="Cambria"/>
      <w:b/>
      <w:u w:color="000000"/>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Strong">
    <w:name w:val="Strong"/>
    <w:uiPriority w:val="22"/>
    <w:qFormat/>
    <w:rsid w:val="008545E3"/>
    <w:rPr>
      <w:b/>
      <w:bCs/>
    </w:rPr>
  </w:style>
  <w:style w:type="paragraph" w:customStyle="1" w:styleId="PrrafodeSentencia">
    <w:name w:val="*. Párrafo de Sentencia"/>
    <w:basedOn w:val="FootnoteText"/>
    <w:autoRedefine/>
    <w:qFormat/>
    <w:rsid w:val="00E177BB"/>
    <w:pPr>
      <w:numPr>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both"/>
    </w:pPr>
    <w:rPr>
      <w:rFonts w:ascii="Verdana" w:eastAsia="Times New Roman" w:hAnsi="Verdana" w:cs="Times New Roman"/>
      <w:bCs/>
      <w:noProof/>
      <w:color w:val="auto"/>
      <w:bdr w:val="none" w:sz="0" w:space="0" w:color="auto"/>
      <w:lang w:val="es-ES_tradnl"/>
    </w:rPr>
  </w:style>
  <w:style w:type="character" w:customStyle="1" w:styleId="ListParagraphChar1">
    <w:name w:val="List Paragraph Char1"/>
    <w:basedOn w:val="DefaultParagraphFont"/>
    <w:uiPriority w:val="99"/>
    <w:rsid w:val="000C4B3C"/>
    <w:rPr>
      <w:rFonts w:ascii="Verdana" w:eastAsia="Times New Roman" w:hAnsi="Verdana"/>
      <w:lang w:val="es-ES_tradnl" w:eastAsia="en-US"/>
    </w:rPr>
  </w:style>
  <w:style w:type="paragraph" w:styleId="NormalWeb">
    <w:name w:val="Normal (Web)"/>
    <w:basedOn w:val="Normal"/>
    <w:uiPriority w:val="99"/>
    <w:unhideWhenUsed/>
    <w:rsid w:val="003552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pple-converted-space">
    <w:name w:val="apple-converted-space"/>
    <w:rsid w:val="00B55B3C"/>
    <w:rPr>
      <w:rFonts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01CE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character" w:styleId="CommentReference">
    <w:name w:val="annotation reference"/>
    <w:basedOn w:val="DefaultParagraphFont"/>
    <w:uiPriority w:val="99"/>
    <w:semiHidden/>
    <w:unhideWhenUsed/>
    <w:rsid w:val="00563C2B"/>
    <w:rPr>
      <w:sz w:val="16"/>
      <w:szCs w:val="16"/>
    </w:rPr>
  </w:style>
  <w:style w:type="paragraph" w:styleId="CommentText">
    <w:name w:val="annotation text"/>
    <w:basedOn w:val="Normal"/>
    <w:link w:val="CommentTextChar"/>
    <w:uiPriority w:val="99"/>
    <w:semiHidden/>
    <w:unhideWhenUsed/>
    <w:rsid w:val="00563C2B"/>
    <w:rPr>
      <w:sz w:val="20"/>
      <w:szCs w:val="20"/>
    </w:rPr>
  </w:style>
  <w:style w:type="character" w:customStyle="1" w:styleId="CommentTextChar">
    <w:name w:val="Comment Text Char"/>
    <w:basedOn w:val="DefaultParagraphFont"/>
    <w:link w:val="CommentText"/>
    <w:uiPriority w:val="99"/>
    <w:semiHidden/>
    <w:rsid w:val="00563C2B"/>
    <w:rPr>
      <w:lang w:val="en-US" w:eastAsia="en-US"/>
    </w:rPr>
  </w:style>
  <w:style w:type="paragraph" w:styleId="CommentSubject">
    <w:name w:val="annotation subject"/>
    <w:basedOn w:val="CommentText"/>
    <w:next w:val="CommentText"/>
    <w:link w:val="CommentSubjectChar"/>
    <w:uiPriority w:val="99"/>
    <w:semiHidden/>
    <w:unhideWhenUsed/>
    <w:rsid w:val="00563C2B"/>
    <w:rPr>
      <w:b/>
      <w:bCs/>
    </w:rPr>
  </w:style>
  <w:style w:type="character" w:customStyle="1" w:styleId="CommentSubjectChar">
    <w:name w:val="Comment Subject Char"/>
    <w:basedOn w:val="CommentTextChar"/>
    <w:link w:val="CommentSubject"/>
    <w:uiPriority w:val="99"/>
    <w:semiHidden/>
    <w:rsid w:val="00563C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3404">
      <w:bodyDiv w:val="1"/>
      <w:marLeft w:val="0"/>
      <w:marRight w:val="0"/>
      <w:marTop w:val="0"/>
      <w:marBottom w:val="0"/>
      <w:divBdr>
        <w:top w:val="none" w:sz="0" w:space="0" w:color="auto"/>
        <w:left w:val="none" w:sz="0" w:space="0" w:color="auto"/>
        <w:bottom w:val="none" w:sz="0" w:space="0" w:color="auto"/>
        <w:right w:val="none" w:sz="0" w:space="0" w:color="auto"/>
      </w:divBdr>
    </w:div>
    <w:div w:id="393554160">
      <w:bodyDiv w:val="1"/>
      <w:marLeft w:val="0"/>
      <w:marRight w:val="0"/>
      <w:marTop w:val="0"/>
      <w:marBottom w:val="0"/>
      <w:divBdr>
        <w:top w:val="none" w:sz="0" w:space="0" w:color="auto"/>
        <w:left w:val="none" w:sz="0" w:space="0" w:color="auto"/>
        <w:bottom w:val="none" w:sz="0" w:space="0" w:color="auto"/>
        <w:right w:val="none" w:sz="0" w:space="0" w:color="auto"/>
      </w:divBdr>
    </w:div>
    <w:div w:id="458764557">
      <w:bodyDiv w:val="1"/>
      <w:marLeft w:val="0"/>
      <w:marRight w:val="0"/>
      <w:marTop w:val="0"/>
      <w:marBottom w:val="0"/>
      <w:divBdr>
        <w:top w:val="none" w:sz="0" w:space="0" w:color="auto"/>
        <w:left w:val="none" w:sz="0" w:space="0" w:color="auto"/>
        <w:bottom w:val="none" w:sz="0" w:space="0" w:color="auto"/>
        <w:right w:val="none" w:sz="0" w:space="0" w:color="auto"/>
      </w:divBdr>
    </w:div>
    <w:div w:id="1311790560">
      <w:bodyDiv w:val="1"/>
      <w:marLeft w:val="0"/>
      <w:marRight w:val="0"/>
      <w:marTop w:val="0"/>
      <w:marBottom w:val="0"/>
      <w:divBdr>
        <w:top w:val="none" w:sz="0" w:space="0" w:color="auto"/>
        <w:left w:val="none" w:sz="0" w:space="0" w:color="auto"/>
        <w:bottom w:val="none" w:sz="0" w:space="0" w:color="auto"/>
        <w:right w:val="none" w:sz="0" w:space="0" w:color="auto"/>
      </w:divBdr>
    </w:div>
    <w:div w:id="14850502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4035151">
      <w:bodyDiv w:val="1"/>
      <w:marLeft w:val="0"/>
      <w:marRight w:val="0"/>
      <w:marTop w:val="0"/>
      <w:marBottom w:val="0"/>
      <w:divBdr>
        <w:top w:val="none" w:sz="0" w:space="0" w:color="auto"/>
        <w:left w:val="none" w:sz="0" w:space="0" w:color="auto"/>
        <w:bottom w:val="none" w:sz="0" w:space="0" w:color="auto"/>
        <w:right w:val="none" w:sz="0" w:space="0" w:color="auto"/>
      </w:divBdr>
    </w:div>
    <w:div w:id="191446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E959-3B07-412F-9A52-C7E142F1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7920</Words>
  <Characters>45146</Characters>
  <Application>Microsoft Office Word</Application>
  <DocSecurity>0</DocSecurity>
  <Lines>376</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2019-03-11T19:28:00Z</cp:lastPrinted>
  <dcterms:created xsi:type="dcterms:W3CDTF">2019-03-11T15:39:00Z</dcterms:created>
  <dcterms:modified xsi:type="dcterms:W3CDTF">2019-03-11T19:29:00Z</dcterms:modified>
</cp:coreProperties>
</file>